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703FCF" w:rsidRDefault="00703FCF" w:rsidP="00703FCF">
      <w:pPr>
        <w:pStyle w:val="14"/>
        <w:ind w:left="567" w:hanging="567"/>
        <w:rPr>
          <w:rFonts w:hint="eastAsia"/>
          <w:color w:val="000000"/>
        </w:rPr>
      </w:pPr>
      <w:bookmarkStart w:id="10" w:name="_Toc464543013"/>
      <w:bookmarkStart w:id="11" w:name="_Toc53477387"/>
      <w:bookmarkStart w:id="12" w:name="_Toc84769275"/>
      <w:bookmarkStart w:id="13" w:name="_Toc184635453"/>
      <w:bookmarkStart w:id="14" w:name="_Toc184808816"/>
      <w:bookmarkEnd w:id="7"/>
      <w:bookmarkEnd w:id="8"/>
      <w:bookmarkEnd w:id="9"/>
      <w:r w:rsidRPr="00703FCF">
        <w:rPr>
          <w:rFonts w:hint="eastAsia"/>
          <w:color w:val="000000"/>
        </w:rPr>
        <w:t>二、112年度僑外來臺投資金額較111年度減少15.40%，且近年僑外來臺投資製造業未見成長，允宜審酌產業變化趨勢，賡續檢討優化國內投資環境，擴大吸引外人來臺投資</w:t>
      </w:r>
      <w:bookmarkEnd w:id="13"/>
      <w:bookmarkEnd w:id="14"/>
    </w:p>
    <w:p w:rsidR="00703FCF" w:rsidRPr="00703FCF" w:rsidRDefault="00703FCF" w:rsidP="00703FCF">
      <w:pPr>
        <w:ind w:left="566" w:firstLine="566"/>
        <w:rPr>
          <w:rFonts w:hAnsi="標楷體" w:hint="eastAsia"/>
          <w:color w:val="000000"/>
        </w:rPr>
      </w:pPr>
      <w:r w:rsidRPr="00703FCF">
        <w:rPr>
          <w:rFonts w:hAnsi="標楷體" w:hint="eastAsia"/>
          <w:color w:val="000000"/>
        </w:rPr>
        <w:t xml:space="preserve">經濟部112年度「促進投資」預算數1億5,199萬4千元，執行結果，決算數1億4,960萬1千元(執行率98.43%)，賸餘數239萬3千元，主要辦理僑外來臺及臺商回臺投資暨加速投資臺灣之服務計畫等工作。經查： </w:t>
      </w:r>
    </w:p>
    <w:p w:rsidR="00703FCF" w:rsidRPr="00703FCF" w:rsidRDefault="00703FCF" w:rsidP="00703FCF">
      <w:pPr>
        <w:ind w:left="849" w:hangingChars="100" w:hanging="283"/>
        <w:rPr>
          <w:rFonts w:hAnsi="標楷體" w:cs="New Gulim" w:hint="eastAsia"/>
          <w:b/>
          <w:color w:val="000000"/>
        </w:rPr>
      </w:pPr>
      <w:r w:rsidRPr="00703FCF">
        <w:rPr>
          <w:rFonts w:hAnsi="標楷體" w:cs="New Gulim" w:hint="eastAsia"/>
          <w:b/>
          <w:color w:val="000000"/>
        </w:rPr>
        <w:t>(一)</w:t>
      </w:r>
      <w:bookmarkStart w:id="15" w:name="_Hlk146210033"/>
      <w:bookmarkStart w:id="16" w:name="_Hlk184387448"/>
      <w:r w:rsidRPr="00703FCF">
        <w:rPr>
          <w:rFonts w:hint="eastAsia"/>
          <w:b/>
          <w:color w:val="000000"/>
        </w:rPr>
        <w:t>112年度僑外來臺投資金額</w:t>
      </w:r>
      <w:bookmarkEnd w:id="15"/>
      <w:r w:rsidRPr="00703FCF">
        <w:rPr>
          <w:rFonts w:hint="eastAsia"/>
          <w:b/>
          <w:color w:val="000000"/>
        </w:rPr>
        <w:t>較111年度減少</w:t>
      </w:r>
      <w:r w:rsidRPr="00703FCF">
        <w:rPr>
          <w:b/>
          <w:color w:val="000000"/>
        </w:rPr>
        <w:t>15.40%</w:t>
      </w:r>
      <w:bookmarkEnd w:id="16"/>
    </w:p>
    <w:p w:rsidR="00703FCF" w:rsidRPr="00703FCF" w:rsidRDefault="00703FCF" w:rsidP="00703FCF">
      <w:pPr>
        <w:adjustRightInd w:val="0"/>
        <w:ind w:leftChars="300" w:left="850" w:firstLine="566"/>
        <w:rPr>
          <w:rFonts w:hAnsi="標楷體" w:hint="eastAsia"/>
          <w:color w:val="000000"/>
        </w:rPr>
      </w:pPr>
      <w:r w:rsidRPr="00703FCF">
        <w:rPr>
          <w:rFonts w:hint="eastAsia"/>
          <w:color w:val="000000"/>
        </w:rPr>
        <w:t>彙整經濟</w:t>
      </w:r>
      <w:r w:rsidRPr="00703FCF">
        <w:rPr>
          <w:color w:val="000000"/>
        </w:rPr>
        <w:t>部投</w:t>
      </w:r>
      <w:r w:rsidRPr="00703FCF">
        <w:rPr>
          <w:rFonts w:hint="eastAsia"/>
          <w:color w:val="000000"/>
        </w:rPr>
        <w:t>資</w:t>
      </w:r>
      <w:r w:rsidRPr="00703FCF">
        <w:rPr>
          <w:color w:val="000000"/>
        </w:rPr>
        <w:t>審</w:t>
      </w:r>
      <w:r w:rsidRPr="00703FCF">
        <w:rPr>
          <w:rFonts w:hint="eastAsia"/>
          <w:color w:val="000000"/>
        </w:rPr>
        <w:t>議司近5年(108至112年度)核准華僑</w:t>
      </w:r>
      <w:r w:rsidRPr="00703FCF">
        <w:rPr>
          <w:rFonts w:hAnsi="標楷體" w:hint="eastAsia"/>
          <w:color w:val="000000"/>
        </w:rPr>
        <w:t>或</w:t>
      </w:r>
      <w:r w:rsidRPr="00703FCF">
        <w:rPr>
          <w:rFonts w:hint="eastAsia"/>
          <w:color w:val="000000"/>
        </w:rPr>
        <w:t>外國人</w:t>
      </w:r>
      <w:r w:rsidRPr="00703FCF">
        <w:rPr>
          <w:rFonts w:hAnsi="標楷體" w:hint="eastAsia"/>
          <w:color w:val="000000"/>
        </w:rPr>
        <w:t>(</w:t>
      </w:r>
      <w:r w:rsidRPr="00703FCF">
        <w:rPr>
          <w:rFonts w:hint="eastAsia"/>
          <w:color w:val="000000"/>
        </w:rPr>
        <w:t>以下簡稱僑外)及陸資來臺投資情形</w:t>
      </w:r>
      <w:r w:rsidRPr="00703FCF">
        <w:rPr>
          <w:rFonts w:hAnsi="標楷體" w:hint="eastAsia"/>
          <w:color w:val="000000"/>
        </w:rPr>
        <w:t>(</w:t>
      </w:r>
      <w:r w:rsidRPr="00703FCF">
        <w:rPr>
          <w:rFonts w:hint="eastAsia"/>
          <w:color w:val="000000"/>
        </w:rPr>
        <w:t>詳表1)</w:t>
      </w:r>
      <w:r w:rsidRPr="00703FCF">
        <w:rPr>
          <w:color w:val="000000"/>
        </w:rPr>
        <w:t>，</w:t>
      </w:r>
      <w:r w:rsidRPr="00703FCF">
        <w:rPr>
          <w:rFonts w:hint="eastAsia"/>
          <w:color w:val="000000"/>
        </w:rPr>
        <w:t>1</w:t>
      </w:r>
      <w:r w:rsidRPr="00703FCF">
        <w:rPr>
          <w:rFonts w:hAnsi="標楷體" w:hint="eastAsia"/>
          <w:color w:val="000000"/>
        </w:rPr>
        <w:t>09及110年受C</w:t>
      </w:r>
      <w:r w:rsidRPr="00703FCF">
        <w:rPr>
          <w:rFonts w:hAnsi="標楷體"/>
          <w:color w:val="000000"/>
        </w:rPr>
        <w:t>ovid-19</w:t>
      </w:r>
      <w:r w:rsidRPr="00703FCF">
        <w:rPr>
          <w:rFonts w:hAnsi="標楷體" w:hint="eastAsia"/>
          <w:color w:val="000000"/>
        </w:rPr>
        <w:t>疫情影響，僑外來臺投資金額分別年減</w:t>
      </w:r>
      <w:r w:rsidRPr="00703FCF">
        <w:rPr>
          <w:rFonts w:hAnsi="標楷體" w:hint="eastAsia"/>
          <w:color w:val="000000"/>
        </w:rPr>
        <w:lastRenderedPageBreak/>
        <w:t>18.32</w:t>
      </w:r>
      <w:r w:rsidRPr="00703FCF">
        <w:rPr>
          <w:rFonts w:hAnsi="標楷體"/>
          <w:color w:val="000000"/>
        </w:rPr>
        <w:t>%</w:t>
      </w:r>
      <w:r w:rsidRPr="00703FCF">
        <w:rPr>
          <w:rFonts w:hAnsi="標楷體" w:hint="eastAsia"/>
          <w:color w:val="000000"/>
        </w:rPr>
        <w:t>及18.24%，</w:t>
      </w:r>
      <w:r w:rsidRPr="00703FCF">
        <w:rPr>
          <w:rFonts w:hint="eastAsia"/>
          <w:color w:val="000000"/>
        </w:rPr>
        <w:t>1</w:t>
      </w:r>
      <w:r w:rsidRPr="00703FCF">
        <w:rPr>
          <w:color w:val="000000"/>
        </w:rPr>
        <w:t>11</w:t>
      </w:r>
      <w:r w:rsidRPr="00703FCF">
        <w:rPr>
          <w:rFonts w:hint="eastAsia"/>
          <w:color w:val="000000"/>
        </w:rPr>
        <w:t>年隨國際景氣復甦等</w:t>
      </w:r>
      <w:r w:rsidRPr="00703FCF">
        <w:rPr>
          <w:rFonts w:hAnsi="標楷體" w:hint="eastAsia"/>
          <w:color w:val="000000"/>
        </w:rPr>
        <w:t>，</w:t>
      </w:r>
      <w:r w:rsidRPr="00703FCF">
        <w:rPr>
          <w:rFonts w:hint="eastAsia"/>
          <w:color w:val="000000"/>
        </w:rPr>
        <w:t>核准僑外來臺投資金額達</w:t>
      </w:r>
      <w:r w:rsidRPr="00703FCF">
        <w:rPr>
          <w:color w:val="000000"/>
        </w:rPr>
        <w:t>133.03</w:t>
      </w:r>
      <w:r w:rsidRPr="00703FCF">
        <w:rPr>
          <w:rFonts w:hint="eastAsia"/>
          <w:color w:val="000000"/>
        </w:rPr>
        <w:t>億美元，</w:t>
      </w:r>
      <w:r w:rsidRPr="00703FCF">
        <w:rPr>
          <w:rFonts w:hAnsi="標楷體" w:hint="eastAsia"/>
          <w:color w:val="000000"/>
        </w:rPr>
        <w:t>較1</w:t>
      </w:r>
      <w:r w:rsidRPr="00703FCF">
        <w:rPr>
          <w:rFonts w:hAnsi="標楷體"/>
          <w:color w:val="000000"/>
        </w:rPr>
        <w:t>10</w:t>
      </w:r>
      <w:r w:rsidRPr="00703FCF">
        <w:rPr>
          <w:rFonts w:hAnsi="標楷體" w:hint="eastAsia"/>
          <w:color w:val="000000"/>
        </w:rPr>
        <w:t>年增加58</w:t>
      </w:r>
      <w:r w:rsidRPr="00703FCF">
        <w:rPr>
          <w:rFonts w:hAnsi="標楷體"/>
          <w:color w:val="000000"/>
        </w:rPr>
        <w:t>.27</w:t>
      </w:r>
      <w:r w:rsidRPr="00703FCF">
        <w:rPr>
          <w:rFonts w:hAnsi="標楷體" w:hint="eastAsia"/>
          <w:color w:val="000000"/>
        </w:rPr>
        <w:t>億美元，增幅77.94%，</w:t>
      </w:r>
      <w:r w:rsidRPr="00703FCF">
        <w:rPr>
          <w:rFonts w:hint="eastAsia"/>
          <w:color w:val="000000"/>
        </w:rPr>
        <w:t>創近</w:t>
      </w:r>
      <w:r w:rsidRPr="00703FCF">
        <w:rPr>
          <w:color w:val="000000"/>
        </w:rPr>
        <w:t>5</w:t>
      </w:r>
      <w:r w:rsidRPr="00703FCF">
        <w:rPr>
          <w:rFonts w:hint="eastAsia"/>
          <w:color w:val="000000"/>
        </w:rPr>
        <w:t>年最高</w:t>
      </w:r>
      <w:r w:rsidRPr="00703FCF">
        <w:rPr>
          <w:rFonts w:hAnsi="標楷體" w:hint="eastAsia"/>
          <w:color w:val="000000"/>
        </w:rPr>
        <w:t>；惟112年度核准僑外來臺投資2</w:t>
      </w:r>
      <w:r w:rsidRPr="00703FCF">
        <w:rPr>
          <w:rFonts w:hAnsi="標楷體"/>
          <w:color w:val="000000"/>
        </w:rPr>
        <w:t>,</w:t>
      </w:r>
      <w:r w:rsidRPr="00703FCF">
        <w:rPr>
          <w:rFonts w:hAnsi="標楷體" w:hint="eastAsia"/>
          <w:color w:val="000000"/>
        </w:rPr>
        <w:t>310件及投資金額112.55億美元，因基期較高等影響，分別較111年度減少9.98%及15.40%，另陸資來臺投資自110至112年度已連續3年衰退。</w:t>
      </w:r>
    </w:p>
    <w:p w:rsidR="00703FCF" w:rsidRPr="00703FCF" w:rsidRDefault="00703FCF" w:rsidP="00703FCF">
      <w:pPr>
        <w:spacing w:line="400" w:lineRule="exact"/>
        <w:ind w:leftChars="0" w:left="992" w:hangingChars="350" w:hanging="992"/>
        <w:jc w:val="left"/>
        <w:rPr>
          <w:color w:val="000000"/>
        </w:rPr>
      </w:pPr>
      <w:r w:rsidRPr="00703FCF">
        <w:rPr>
          <w:rFonts w:hint="eastAsia"/>
          <w:b/>
          <w:color w:val="000000"/>
        </w:rPr>
        <w:t>表1  近5年僑外及陸資來臺投資概況表</w:t>
      </w:r>
      <w:r w:rsidRPr="00703FCF">
        <w:rPr>
          <w:rFonts w:hint="eastAsia"/>
          <w:b/>
          <w:color w:val="000000"/>
          <w:sz w:val="24"/>
          <w:szCs w:val="24"/>
        </w:rPr>
        <w:t xml:space="preserve">          </w:t>
      </w:r>
      <w:r w:rsidRPr="00703FCF">
        <w:rPr>
          <w:b/>
          <w:color w:val="000000"/>
          <w:sz w:val="24"/>
          <w:szCs w:val="24"/>
        </w:rPr>
        <w:t xml:space="preserve">   </w:t>
      </w:r>
      <w:r w:rsidRPr="00703FCF">
        <w:rPr>
          <w:rFonts w:hint="eastAsia"/>
          <w:color w:val="000000"/>
          <w:sz w:val="24"/>
          <w:szCs w:val="24"/>
        </w:rPr>
        <w:t>單位:美金千元</w:t>
      </w:r>
      <w:r w:rsidRPr="00703FCF">
        <w:rPr>
          <w:rFonts w:hAnsi="標楷體" w:hint="eastAsia"/>
          <w:color w:val="000000"/>
          <w:sz w:val="24"/>
          <w:szCs w:val="24"/>
        </w:rPr>
        <w:t>；</w:t>
      </w:r>
      <w:r w:rsidRPr="00703FCF">
        <w:rPr>
          <w:rFonts w:hint="eastAsia"/>
          <w:color w:val="000000"/>
          <w:sz w:val="24"/>
          <w:szCs w:val="24"/>
        </w:rPr>
        <w:t>%</w:t>
      </w:r>
    </w:p>
    <w:tbl>
      <w:tblPr>
        <w:tblW w:w="8597"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CellMar>
          <w:left w:w="28" w:type="dxa"/>
          <w:right w:w="28" w:type="dxa"/>
        </w:tblCellMar>
        <w:tblLook w:val="04A0" w:firstRow="1" w:lastRow="0" w:firstColumn="1" w:lastColumn="0" w:noHBand="0" w:noVBand="1"/>
      </w:tblPr>
      <w:tblGrid>
        <w:gridCol w:w="756"/>
        <w:gridCol w:w="708"/>
        <w:gridCol w:w="946"/>
        <w:gridCol w:w="1207"/>
        <w:gridCol w:w="996"/>
        <w:gridCol w:w="996"/>
        <w:gridCol w:w="912"/>
        <w:gridCol w:w="1080"/>
        <w:gridCol w:w="996"/>
      </w:tblGrid>
      <w:tr w:rsidR="00703FCF" w:rsidRPr="00703FCF" w:rsidTr="00674FFF">
        <w:trPr>
          <w:tblHeader/>
          <w:jc w:val="center"/>
        </w:trPr>
        <w:tc>
          <w:tcPr>
            <w:tcW w:w="756" w:type="dxa"/>
            <w:vMerge w:val="restart"/>
            <w:shd w:val="clear" w:color="auto" w:fill="FFFFFF"/>
            <w:noWrap/>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年度</w:t>
            </w:r>
          </w:p>
        </w:tc>
        <w:tc>
          <w:tcPr>
            <w:tcW w:w="3857" w:type="dxa"/>
            <w:gridSpan w:val="4"/>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華僑及外國人來臺投資</w:t>
            </w:r>
          </w:p>
        </w:tc>
        <w:tc>
          <w:tcPr>
            <w:tcW w:w="3984" w:type="dxa"/>
            <w:gridSpan w:val="4"/>
            <w:shd w:val="clear" w:color="auto" w:fill="FFFFFF"/>
          </w:tcPr>
          <w:p w:rsidR="00703FCF" w:rsidRPr="00703FCF" w:rsidRDefault="00703FCF" w:rsidP="00703FCF">
            <w:pPr>
              <w:spacing w:line="280" w:lineRule="exact"/>
              <w:ind w:leftChars="0" w:left="0" w:firstLineChars="0" w:firstLine="0"/>
              <w:jc w:val="center"/>
              <w:rPr>
                <w:color w:val="000000"/>
                <w:sz w:val="24"/>
              </w:rPr>
            </w:pPr>
            <w:r w:rsidRPr="00703FCF">
              <w:rPr>
                <w:color w:val="000000"/>
                <w:sz w:val="24"/>
              </w:rPr>
              <w:t>陸資來臺投資</w:t>
            </w:r>
          </w:p>
        </w:tc>
      </w:tr>
      <w:tr w:rsidR="00703FCF" w:rsidRPr="00703FCF" w:rsidTr="00674FFF">
        <w:trPr>
          <w:tblHeader/>
          <w:jc w:val="center"/>
        </w:trPr>
        <w:tc>
          <w:tcPr>
            <w:tcW w:w="756" w:type="dxa"/>
            <w:vMerge/>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件數</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金額</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996"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件數</w:t>
            </w:r>
          </w:p>
        </w:tc>
        <w:tc>
          <w:tcPr>
            <w:tcW w:w="912"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c>
          <w:tcPr>
            <w:tcW w:w="1080"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金額</w:t>
            </w:r>
          </w:p>
        </w:tc>
        <w:tc>
          <w:tcPr>
            <w:tcW w:w="996" w:type="dxa"/>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年增率%</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108</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4,118</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w:t>
            </w:r>
            <w:r w:rsidRPr="00703FCF">
              <w:rPr>
                <w:rFonts w:hint="eastAsia"/>
                <w:color w:val="000000"/>
                <w:spacing w:val="-12"/>
                <w:sz w:val="24"/>
              </w:rPr>
              <w:t>3</w:t>
            </w:r>
            <w:r w:rsidRPr="00703FCF">
              <w:rPr>
                <w:color w:val="000000"/>
                <w:spacing w:val="-12"/>
                <w:sz w:val="24"/>
              </w:rPr>
              <w:t>.</w:t>
            </w:r>
            <w:r w:rsidRPr="00703FCF">
              <w:rPr>
                <w:rFonts w:hint="eastAsia"/>
                <w:color w:val="000000"/>
                <w:spacing w:val="-12"/>
                <w:sz w:val="24"/>
              </w:rPr>
              <w:t>73</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11,195,975</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-2.14</w:t>
            </w:r>
          </w:p>
        </w:tc>
        <w:tc>
          <w:tcPr>
            <w:tcW w:w="996"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143</w:t>
            </w:r>
          </w:p>
        </w:tc>
        <w:tc>
          <w:tcPr>
            <w:tcW w:w="912"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1.42</w:t>
            </w:r>
          </w:p>
        </w:tc>
        <w:tc>
          <w:tcPr>
            <w:tcW w:w="1080"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97,180</w:t>
            </w:r>
          </w:p>
        </w:tc>
        <w:tc>
          <w:tcPr>
            <w:tcW w:w="996" w:type="dxa"/>
            <w:shd w:val="clear" w:color="auto" w:fill="FFFFFF"/>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-57.97</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color w:val="000000"/>
                <w:spacing w:val="-12"/>
                <w:sz w:val="24"/>
              </w:rPr>
            </w:pPr>
            <w:r w:rsidRPr="00703FCF">
              <w:rPr>
                <w:rFonts w:hint="eastAsia"/>
                <w:color w:val="000000"/>
                <w:spacing w:val="-12"/>
                <w:sz w:val="24"/>
              </w:rPr>
              <w:t>109</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3,418</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-17.00</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9,144,336</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-18.32</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90</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-37.06</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126,311</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29.98</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w:t>
            </w:r>
            <w:r w:rsidRPr="00703FCF">
              <w:rPr>
                <w:color w:val="000000"/>
                <w:spacing w:val="-12"/>
                <w:sz w:val="24"/>
              </w:rPr>
              <w:t>10</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,711</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20.68</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7</w:t>
            </w:r>
            <w:r w:rsidRPr="00703FCF">
              <w:rPr>
                <w:color w:val="000000"/>
                <w:spacing w:val="-12"/>
                <w:sz w:val="24"/>
              </w:rPr>
              <w:t>,476,273</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18.24</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49</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-45.56</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116,243</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-7.97</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111</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2,566</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-5.35</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13,303,265</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77.94</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46</w:t>
            </w:r>
          </w:p>
        </w:tc>
        <w:tc>
          <w:tcPr>
            <w:tcW w:w="912"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-6.12</w:t>
            </w:r>
          </w:p>
        </w:tc>
        <w:tc>
          <w:tcPr>
            <w:tcW w:w="1080"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38,729</w:t>
            </w:r>
          </w:p>
        </w:tc>
        <w:tc>
          <w:tcPr>
            <w:tcW w:w="996" w:type="dxa"/>
            <w:shd w:val="clear" w:color="auto" w:fill="FFFFFF"/>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-66.68</w:t>
            </w:r>
          </w:p>
        </w:tc>
      </w:tr>
      <w:tr w:rsidR="00703FCF" w:rsidRPr="00703FCF" w:rsidTr="00674FFF">
        <w:trPr>
          <w:jc w:val="center"/>
        </w:trPr>
        <w:tc>
          <w:tcPr>
            <w:tcW w:w="756" w:type="dxa"/>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12"/>
                <w:sz w:val="24"/>
              </w:rPr>
            </w:pPr>
            <w:r w:rsidRPr="00703FCF">
              <w:rPr>
                <w:rFonts w:hint="eastAsia"/>
                <w:color w:val="000000"/>
                <w:spacing w:val="-12"/>
                <w:sz w:val="24"/>
              </w:rPr>
              <w:t>112</w:t>
            </w:r>
          </w:p>
        </w:tc>
        <w:tc>
          <w:tcPr>
            <w:tcW w:w="708"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,310</w:t>
            </w:r>
          </w:p>
        </w:tc>
        <w:tc>
          <w:tcPr>
            <w:tcW w:w="94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w:t>
            </w:r>
            <w:r w:rsidRPr="00703FCF">
              <w:rPr>
                <w:color w:val="000000"/>
                <w:spacing w:val="-12"/>
                <w:sz w:val="24"/>
              </w:rPr>
              <w:t>9.98</w:t>
            </w:r>
          </w:p>
        </w:tc>
        <w:tc>
          <w:tcPr>
            <w:tcW w:w="1207" w:type="dxa"/>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1</w:t>
            </w:r>
            <w:r w:rsidRPr="00703FCF">
              <w:rPr>
                <w:color w:val="000000"/>
                <w:spacing w:val="-12"/>
                <w:sz w:val="24"/>
              </w:rPr>
              <w:t>1,254,769</w:t>
            </w:r>
          </w:p>
        </w:tc>
        <w:tc>
          <w:tcPr>
            <w:tcW w:w="996" w:type="dxa"/>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color w:val="000000"/>
                <w:spacing w:val="-12"/>
                <w:sz w:val="24"/>
              </w:rPr>
              <w:t>-15.40</w:t>
            </w:r>
          </w:p>
        </w:tc>
        <w:tc>
          <w:tcPr>
            <w:tcW w:w="996" w:type="dxa"/>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3</w:t>
            </w:r>
            <w:r w:rsidRPr="00703FCF">
              <w:rPr>
                <w:color w:val="000000"/>
                <w:spacing w:val="-12"/>
                <w:sz w:val="24"/>
              </w:rPr>
              <w:t>0</w:t>
            </w:r>
          </w:p>
        </w:tc>
        <w:tc>
          <w:tcPr>
            <w:tcW w:w="912" w:type="dxa"/>
            <w:shd w:val="clear" w:color="auto" w:fill="FFFFFF"/>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color w:val="000000"/>
                <w:spacing w:val="-12"/>
                <w:sz w:val="24"/>
              </w:rPr>
              <w:t>-34.78</w:t>
            </w:r>
          </w:p>
        </w:tc>
        <w:tc>
          <w:tcPr>
            <w:tcW w:w="1080" w:type="dxa"/>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12"/>
                <w:sz w:val="24"/>
              </w:rPr>
            </w:pPr>
            <w:r w:rsidRPr="00703FCF">
              <w:rPr>
                <w:rFonts w:hint="eastAsia"/>
                <w:color w:val="000000"/>
                <w:spacing w:val="-12"/>
                <w:sz w:val="24"/>
              </w:rPr>
              <w:t>2</w:t>
            </w:r>
            <w:r w:rsidRPr="00703FCF">
              <w:rPr>
                <w:color w:val="000000"/>
                <w:spacing w:val="-12"/>
                <w:sz w:val="24"/>
              </w:rPr>
              <w:t>9,691</w:t>
            </w:r>
          </w:p>
        </w:tc>
        <w:tc>
          <w:tcPr>
            <w:tcW w:w="996" w:type="dxa"/>
            <w:shd w:val="clear" w:color="auto" w:fill="FFFFFF"/>
            <w:vAlign w:val="center"/>
          </w:tcPr>
          <w:p w:rsidR="00703FCF" w:rsidRPr="00703FCF" w:rsidRDefault="00703FCF" w:rsidP="00703FCF">
            <w:pPr>
              <w:spacing w:line="280" w:lineRule="exact"/>
              <w:ind w:leftChars="0" w:left="0" w:firstLineChars="0" w:firstLine="0"/>
              <w:jc w:val="right"/>
              <w:rPr>
                <w:color w:val="000000"/>
                <w:spacing w:val="-12"/>
                <w:sz w:val="24"/>
              </w:rPr>
            </w:pPr>
            <w:r w:rsidRPr="00703FCF">
              <w:rPr>
                <w:rFonts w:hint="eastAsia"/>
                <w:color w:val="000000"/>
                <w:spacing w:val="-12"/>
                <w:sz w:val="24"/>
              </w:rPr>
              <w:t>-</w:t>
            </w:r>
            <w:r w:rsidRPr="00703FCF">
              <w:rPr>
                <w:color w:val="000000"/>
                <w:spacing w:val="-12"/>
                <w:sz w:val="24"/>
              </w:rPr>
              <w:t>23.34</w:t>
            </w:r>
          </w:p>
        </w:tc>
      </w:tr>
    </w:tbl>
    <w:p w:rsidR="00703FCF" w:rsidRPr="00703FCF" w:rsidRDefault="00703FCF" w:rsidP="00703FCF">
      <w:pPr>
        <w:spacing w:line="280" w:lineRule="exact"/>
        <w:ind w:leftChars="-1" w:left="1203" w:hangingChars="496" w:hanging="1206"/>
        <w:rPr>
          <w:color w:val="000000"/>
          <w:sz w:val="24"/>
        </w:rPr>
      </w:pPr>
      <w:r w:rsidRPr="00703FCF">
        <w:rPr>
          <w:rFonts w:hint="eastAsia"/>
          <w:color w:val="000000"/>
          <w:sz w:val="24"/>
        </w:rPr>
        <w:t>說    明</w:t>
      </w:r>
      <w:r w:rsidRPr="00703FCF">
        <w:rPr>
          <w:rFonts w:hAnsi="標楷體" w:hint="eastAsia"/>
          <w:color w:val="000000"/>
          <w:sz w:val="24"/>
        </w:rPr>
        <w:t>：投資件數係計算投資人初次投資之案件數，投資金額則為初次投資金額與增資金額之加總。</w:t>
      </w:r>
    </w:p>
    <w:p w:rsidR="00703FCF" w:rsidRPr="00703FCF" w:rsidRDefault="00703FCF" w:rsidP="00703FCF">
      <w:pPr>
        <w:spacing w:line="280" w:lineRule="exact"/>
        <w:ind w:leftChars="-1" w:left="1203" w:hangingChars="496" w:hanging="1206"/>
        <w:rPr>
          <w:rFonts w:hAnsi="標楷體" w:hint="eastAsia"/>
          <w:color w:val="000000"/>
          <w:sz w:val="24"/>
        </w:rPr>
      </w:pPr>
      <w:r w:rsidRPr="00703FCF">
        <w:rPr>
          <w:rFonts w:hint="eastAsia"/>
          <w:color w:val="000000"/>
          <w:sz w:val="24"/>
        </w:rPr>
        <w:t>資料來源</w:t>
      </w:r>
      <w:r w:rsidRPr="00703FCF">
        <w:rPr>
          <w:rFonts w:hAnsi="標楷體" w:hint="eastAsia"/>
          <w:color w:val="000000"/>
          <w:sz w:val="24"/>
        </w:rPr>
        <w:t>：</w:t>
      </w:r>
      <w:r w:rsidRPr="00703FCF">
        <w:rPr>
          <w:rFonts w:hint="eastAsia"/>
          <w:color w:val="000000"/>
          <w:sz w:val="24"/>
        </w:rPr>
        <w:t>經濟部投資審議司網站/業務統計/核准僑外投資、陸資來臺投資、國外投資、對</w:t>
      </w:r>
      <w:r w:rsidRPr="00703FCF">
        <w:rPr>
          <w:rFonts w:hAnsi="標楷體" w:hint="eastAsia"/>
          <w:color w:val="000000"/>
          <w:sz w:val="24"/>
        </w:rPr>
        <w:t>中國大陸</w:t>
      </w:r>
      <w:r w:rsidRPr="00703FCF">
        <w:rPr>
          <w:rFonts w:hint="eastAsia"/>
          <w:color w:val="000000"/>
          <w:sz w:val="24"/>
        </w:rPr>
        <w:t>投資統計月報(113年10月)</w:t>
      </w:r>
      <w:r w:rsidRPr="00703FCF">
        <w:rPr>
          <w:rFonts w:hAnsi="標楷體" w:hint="eastAsia"/>
          <w:color w:val="000000"/>
          <w:sz w:val="24"/>
        </w:rPr>
        <w:t>。</w:t>
      </w:r>
    </w:p>
    <w:p w:rsidR="00703FCF" w:rsidRPr="00703FCF" w:rsidRDefault="00703FCF" w:rsidP="00703FCF">
      <w:pPr>
        <w:ind w:left="849" w:hangingChars="100" w:hanging="283"/>
        <w:rPr>
          <w:rFonts w:hAnsi="標楷體" w:cs="New Gulim" w:hint="eastAsia"/>
          <w:b/>
          <w:color w:val="000000"/>
        </w:rPr>
      </w:pPr>
      <w:r w:rsidRPr="00703FCF">
        <w:rPr>
          <w:rFonts w:hAnsi="標楷體" w:cs="New Gulim" w:hint="eastAsia"/>
          <w:b/>
          <w:color w:val="000000"/>
        </w:rPr>
        <w:t>(二)比較近5年僑外來臺投資產業，「金融及保險業」及「電力及燃氣供應業」尚呈成長，「製造業」及「電子零組件」未見成長</w:t>
      </w:r>
    </w:p>
    <w:p w:rsidR="00703FCF" w:rsidRPr="00703FCF" w:rsidRDefault="00703FCF" w:rsidP="00703FCF">
      <w:pPr>
        <w:adjustRightInd w:val="0"/>
        <w:ind w:leftChars="300" w:left="850" w:firstLine="566"/>
        <w:rPr>
          <w:color w:val="000000"/>
        </w:rPr>
      </w:pPr>
      <w:r w:rsidRPr="00703FCF">
        <w:rPr>
          <w:rFonts w:hint="eastAsia"/>
          <w:color w:val="000000"/>
        </w:rPr>
        <w:t>比較近5年僑外來臺投資之產業概況(詳表2)</w:t>
      </w:r>
      <w:r w:rsidRPr="00703FCF">
        <w:rPr>
          <w:rFonts w:hAnsi="標楷體" w:hint="eastAsia"/>
          <w:color w:val="000000"/>
        </w:rPr>
        <w:t>，</w:t>
      </w:r>
      <w:r w:rsidRPr="00703FCF">
        <w:rPr>
          <w:rFonts w:hint="eastAsia"/>
          <w:color w:val="000000"/>
        </w:rPr>
        <w:t>111年度核准僑外來臺投資133.03億美元，創近5年最高，惟就投資產業別觀之，主要為「金融及保險業」</w:t>
      </w:r>
      <w:r w:rsidRPr="00703FCF">
        <w:rPr>
          <w:color w:val="000000"/>
        </w:rPr>
        <w:t>55</w:t>
      </w:r>
      <w:r w:rsidRPr="00703FCF">
        <w:rPr>
          <w:rFonts w:hint="eastAsia"/>
          <w:color w:val="000000"/>
        </w:rPr>
        <w:t>.34</w:t>
      </w:r>
      <w:r w:rsidRPr="00703FCF">
        <w:rPr>
          <w:color w:val="000000"/>
        </w:rPr>
        <w:t>億美元</w:t>
      </w:r>
      <w:r w:rsidRPr="00703FCF">
        <w:rPr>
          <w:rFonts w:hint="eastAsia"/>
          <w:color w:val="000000"/>
        </w:rPr>
        <w:t>，占比達41.6%</w:t>
      </w:r>
      <w:r w:rsidRPr="00703FCF">
        <w:rPr>
          <w:rFonts w:hAnsi="標楷體" w:hint="eastAsia"/>
          <w:color w:val="000000"/>
        </w:rPr>
        <w:t>，</w:t>
      </w:r>
      <w:r w:rsidRPr="00703FCF">
        <w:rPr>
          <w:rFonts w:hint="eastAsia"/>
          <w:color w:val="000000"/>
        </w:rPr>
        <w:t>112年度占比持續上升至47.54%</w:t>
      </w:r>
      <w:r w:rsidRPr="00703FCF">
        <w:rPr>
          <w:rFonts w:hAnsi="標楷體" w:hint="eastAsia"/>
          <w:color w:val="000000"/>
        </w:rPr>
        <w:t>；另</w:t>
      </w:r>
      <w:r w:rsidRPr="00703FCF">
        <w:rPr>
          <w:rFonts w:hint="eastAsia"/>
          <w:color w:val="000000"/>
        </w:rPr>
        <w:t>配合政府推動綠能及離岸風電政策，111及112年度僑外投資「電力及燃氣供應業」亦呈增加趨勢</w:t>
      </w:r>
      <w:r w:rsidRPr="00703FCF">
        <w:rPr>
          <w:rFonts w:hAnsi="標楷體" w:hint="eastAsia"/>
          <w:color w:val="000000"/>
        </w:rPr>
        <w:t>，</w:t>
      </w:r>
      <w:r w:rsidRPr="00703FCF">
        <w:rPr>
          <w:rFonts w:hint="eastAsia"/>
          <w:color w:val="000000"/>
        </w:rPr>
        <w:t>分別達18.84億美元及15.57億美元</w:t>
      </w:r>
      <w:r w:rsidRPr="00703FCF">
        <w:rPr>
          <w:rFonts w:hAnsi="標楷體" w:hint="eastAsia"/>
          <w:color w:val="000000"/>
        </w:rPr>
        <w:t>，</w:t>
      </w:r>
      <w:r w:rsidRPr="00703FCF">
        <w:rPr>
          <w:rFonts w:hint="eastAsia"/>
          <w:color w:val="000000"/>
        </w:rPr>
        <w:t>占整體僑外投資金額攀升達14.16%及13.83%。</w:t>
      </w:r>
    </w:p>
    <w:p w:rsidR="00703FCF" w:rsidRPr="00703FCF" w:rsidRDefault="00703FCF" w:rsidP="00703FCF">
      <w:pPr>
        <w:adjustRightInd w:val="0"/>
        <w:ind w:leftChars="300" w:left="850" w:firstLine="566"/>
        <w:rPr>
          <w:rFonts w:hAnsi="標楷體"/>
          <w:color w:val="000000"/>
        </w:rPr>
      </w:pPr>
      <w:r w:rsidRPr="00703FCF">
        <w:rPr>
          <w:rFonts w:hint="eastAsia"/>
          <w:color w:val="000000"/>
        </w:rPr>
        <w:t>惟近年僑外對我國「製造業」及「電子零組件」之投資未見成長，112年度對於整體製造業投資13.86億美元</w:t>
      </w:r>
      <w:r w:rsidRPr="00703FCF">
        <w:rPr>
          <w:rFonts w:hAnsi="標楷體" w:hint="eastAsia"/>
          <w:color w:val="000000"/>
        </w:rPr>
        <w:t>，</w:t>
      </w:r>
      <w:r w:rsidRPr="00703FCF">
        <w:rPr>
          <w:rFonts w:hint="eastAsia"/>
          <w:color w:val="000000"/>
        </w:rPr>
        <w:t>其中投資電子零組件4.45億美元</w:t>
      </w:r>
      <w:r w:rsidRPr="00703FCF">
        <w:rPr>
          <w:rFonts w:hAnsi="標楷體" w:hint="eastAsia"/>
          <w:color w:val="000000"/>
        </w:rPr>
        <w:t>，</w:t>
      </w:r>
      <w:r w:rsidRPr="00703FCF">
        <w:rPr>
          <w:rFonts w:hint="eastAsia"/>
          <w:color w:val="000000"/>
        </w:rPr>
        <w:t>均為近5年最低</w:t>
      </w:r>
      <w:r w:rsidRPr="00703FCF">
        <w:rPr>
          <w:rFonts w:hAnsi="標楷體" w:hint="eastAsia"/>
          <w:color w:val="000000"/>
        </w:rPr>
        <w:t>。爰此，有關國內投資環境之精進優化，允宜審慎評估產業變化情形，檢討強化配</w:t>
      </w:r>
      <w:r w:rsidRPr="00703FCF">
        <w:rPr>
          <w:rFonts w:hAnsi="標楷體" w:hint="eastAsia"/>
          <w:color w:val="000000"/>
        </w:rPr>
        <w:lastRenderedPageBreak/>
        <w:t>套措施，以提高成效。</w:t>
      </w:r>
    </w:p>
    <w:p w:rsidR="00703FCF" w:rsidRPr="00703FCF" w:rsidRDefault="00703FCF" w:rsidP="00703FCF">
      <w:pPr>
        <w:ind w:leftChars="0" w:left="992" w:rightChars="-100" w:right="-283" w:hangingChars="350" w:hanging="992"/>
        <w:jc w:val="left"/>
        <w:rPr>
          <w:rFonts w:hint="eastAsia"/>
          <w:color w:val="000000"/>
          <w:sz w:val="24"/>
          <w:szCs w:val="24"/>
        </w:rPr>
      </w:pPr>
      <w:r w:rsidRPr="00703FCF">
        <w:rPr>
          <w:rFonts w:hint="eastAsia"/>
          <w:b/>
          <w:color w:val="000000"/>
        </w:rPr>
        <w:t xml:space="preserve">表2  近5年僑外來臺投資產業概況表         </w:t>
      </w:r>
      <w:r w:rsidRPr="00703FCF">
        <w:rPr>
          <w:b/>
          <w:color w:val="000000"/>
        </w:rPr>
        <w:t xml:space="preserve"> </w:t>
      </w:r>
      <w:r w:rsidRPr="00703FCF">
        <w:rPr>
          <w:rFonts w:hint="eastAsia"/>
          <w:b/>
          <w:color w:val="000000"/>
        </w:rPr>
        <w:t xml:space="preserve">     </w:t>
      </w:r>
      <w:r w:rsidRPr="00703FCF">
        <w:rPr>
          <w:rFonts w:hint="eastAsia"/>
          <w:color w:val="000000"/>
          <w:sz w:val="24"/>
          <w:szCs w:val="24"/>
        </w:rPr>
        <w:t>單位:美金千元</w:t>
      </w:r>
      <w:r w:rsidRPr="00703FCF">
        <w:rPr>
          <w:rFonts w:hAnsi="標楷體" w:hint="eastAsia"/>
          <w:color w:val="000000"/>
          <w:sz w:val="24"/>
          <w:szCs w:val="24"/>
        </w:rPr>
        <w:t>；</w:t>
      </w:r>
      <w:r w:rsidRPr="00703FCF">
        <w:rPr>
          <w:rFonts w:hint="eastAsia"/>
          <w:color w:val="000000"/>
          <w:sz w:val="24"/>
          <w:szCs w:val="24"/>
        </w:rPr>
        <w:t>%</w:t>
      </w:r>
    </w:p>
    <w:tbl>
      <w:tblPr>
        <w:tblW w:w="8817"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CellMar>
          <w:left w:w="28" w:type="dxa"/>
          <w:right w:w="28" w:type="dxa"/>
        </w:tblCellMar>
        <w:tblLook w:val="04A0" w:firstRow="1" w:lastRow="0" w:firstColumn="1" w:lastColumn="0" w:noHBand="0" w:noVBand="1"/>
      </w:tblPr>
      <w:tblGrid>
        <w:gridCol w:w="426"/>
        <w:gridCol w:w="1022"/>
        <w:gridCol w:w="893"/>
        <w:gridCol w:w="894"/>
        <w:gridCol w:w="893"/>
        <w:gridCol w:w="894"/>
        <w:gridCol w:w="894"/>
        <w:gridCol w:w="580"/>
        <w:gridCol w:w="580"/>
        <w:gridCol w:w="580"/>
        <w:gridCol w:w="580"/>
        <w:gridCol w:w="581"/>
      </w:tblGrid>
      <w:tr w:rsidR="00703FCF" w:rsidRPr="00703FCF" w:rsidTr="00674FFF">
        <w:tc>
          <w:tcPr>
            <w:tcW w:w="426" w:type="dxa"/>
            <w:vMerge w:val="restart"/>
            <w:tcBorders>
              <w:top w:val="single" w:sz="12" w:space="0" w:color="000000"/>
            </w:tcBorders>
            <w:shd w:val="clear" w:color="auto" w:fill="FFFFFF"/>
            <w:noWrap/>
            <w:vAlign w:val="center"/>
          </w:tcPr>
          <w:p w:rsidR="00703FCF" w:rsidRPr="00703FCF" w:rsidRDefault="00703FCF" w:rsidP="00703FCF">
            <w:pPr>
              <w:spacing w:line="280" w:lineRule="exact"/>
              <w:ind w:leftChars="0" w:left="560" w:firstLineChars="0" w:firstLine="360"/>
              <w:jc w:val="left"/>
              <w:rPr>
                <w:rFonts w:hint="eastAsia"/>
                <w:color w:val="000000"/>
                <w:spacing w:val="-20"/>
                <w:sz w:val="22"/>
                <w:szCs w:val="22"/>
              </w:rPr>
            </w:pPr>
            <w:r w:rsidRPr="00703FCF">
              <w:rPr>
                <w:rFonts w:hint="eastAsia"/>
                <w:color w:val="000000"/>
                <w:spacing w:val="-20"/>
                <w:sz w:val="22"/>
                <w:szCs w:val="22"/>
              </w:rPr>
              <w:t>年度</w:t>
            </w:r>
          </w:p>
        </w:tc>
        <w:tc>
          <w:tcPr>
            <w:tcW w:w="1022" w:type="dxa"/>
            <w:vMerge w:val="restart"/>
            <w:tcBorders>
              <w:top w:val="single" w:sz="12"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總投資額</w:t>
            </w:r>
          </w:p>
        </w:tc>
        <w:tc>
          <w:tcPr>
            <w:tcW w:w="4468" w:type="dxa"/>
            <w:gridSpan w:val="5"/>
            <w:tcBorders>
              <w:top w:val="single" w:sz="12"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重要產業投資金額</w:t>
            </w:r>
          </w:p>
        </w:tc>
        <w:tc>
          <w:tcPr>
            <w:tcW w:w="2901" w:type="dxa"/>
            <w:gridSpan w:val="5"/>
            <w:tcBorders>
              <w:top w:val="single" w:sz="12"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38"/>
              <w:jc w:val="center"/>
              <w:rPr>
                <w:rFonts w:hint="eastAsia"/>
                <w:color w:val="000000"/>
                <w:spacing w:val="-20"/>
                <w:sz w:val="22"/>
                <w:szCs w:val="22"/>
              </w:rPr>
            </w:pPr>
            <w:r w:rsidRPr="00703FCF">
              <w:rPr>
                <w:color w:val="000000"/>
                <w:spacing w:val="-20"/>
                <w:sz w:val="22"/>
                <w:szCs w:val="22"/>
              </w:rPr>
              <w:t>占總投資金額比率</w:t>
            </w:r>
            <w:r w:rsidRPr="00703FCF">
              <w:rPr>
                <w:rFonts w:hint="eastAsia"/>
                <w:color w:val="000000"/>
                <w:spacing w:val="-20"/>
                <w:sz w:val="22"/>
                <w:szCs w:val="22"/>
              </w:rPr>
              <w:t>(%)</w:t>
            </w:r>
          </w:p>
        </w:tc>
      </w:tr>
      <w:tr w:rsidR="00703FCF" w:rsidRPr="00703FCF" w:rsidTr="00674FFF">
        <w:tc>
          <w:tcPr>
            <w:tcW w:w="426" w:type="dxa"/>
            <w:vMerge/>
            <w:shd w:val="clear" w:color="auto" w:fill="FFFFFF"/>
            <w:noWrap/>
            <w:vAlign w:val="center"/>
          </w:tcPr>
          <w:p w:rsidR="00703FCF" w:rsidRPr="00703FCF" w:rsidRDefault="00703FCF" w:rsidP="00703FCF">
            <w:pPr>
              <w:spacing w:line="280" w:lineRule="exact"/>
              <w:ind w:leftChars="0" w:left="560" w:firstLineChars="0" w:firstLine="360"/>
              <w:jc w:val="left"/>
              <w:rPr>
                <w:rFonts w:hint="eastAsia"/>
                <w:color w:val="000000"/>
                <w:spacing w:val="-20"/>
                <w:sz w:val="22"/>
                <w:szCs w:val="22"/>
              </w:rPr>
            </w:pPr>
          </w:p>
        </w:tc>
        <w:tc>
          <w:tcPr>
            <w:tcW w:w="1022" w:type="dxa"/>
            <w:vMerge/>
            <w:tcBorders>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tcBorders>
              <w:top w:val="single" w:sz="4" w:space="0" w:color="000000"/>
              <w:left w:val="double" w:sz="4" w:space="0" w:color="auto"/>
              <w:bottom w:val="nil"/>
              <w:right w:val="nil"/>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製造業</w:t>
            </w:r>
          </w:p>
        </w:tc>
        <w:tc>
          <w:tcPr>
            <w:tcW w:w="894" w:type="dxa"/>
            <w:tcBorders>
              <w:top w:val="single" w:sz="4" w:space="0" w:color="000000"/>
              <w:left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電力及燃</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氣供應業</w:t>
            </w:r>
          </w:p>
        </w:tc>
        <w:tc>
          <w:tcPr>
            <w:tcW w:w="894"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批發及</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零售業</w:t>
            </w:r>
          </w:p>
        </w:tc>
        <w:tc>
          <w:tcPr>
            <w:tcW w:w="894"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金融及</w:t>
            </w:r>
          </w:p>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保險業</w:t>
            </w:r>
          </w:p>
        </w:tc>
        <w:tc>
          <w:tcPr>
            <w:tcW w:w="580" w:type="dxa"/>
            <w:tcBorders>
              <w:top w:val="single" w:sz="4" w:space="0" w:color="000000"/>
              <w:bottom w:val="nil"/>
              <w:right w:val="nil"/>
            </w:tcBorders>
            <w:shd w:val="clear" w:color="auto" w:fill="FFFFFF"/>
            <w:vAlign w:val="center"/>
          </w:tcPr>
          <w:p w:rsidR="00703FCF" w:rsidRPr="00703FCF" w:rsidRDefault="00703FCF" w:rsidP="00703FCF">
            <w:pPr>
              <w:spacing w:line="280" w:lineRule="exact"/>
              <w:ind w:leftChars="0" w:left="0" w:rightChars="-13" w:right="-37" w:firstLineChars="0" w:firstLine="0"/>
              <w:jc w:val="center"/>
              <w:rPr>
                <w:rFonts w:hint="eastAsia"/>
                <w:color w:val="000000"/>
                <w:spacing w:val="-20"/>
                <w:sz w:val="22"/>
                <w:szCs w:val="22"/>
              </w:rPr>
            </w:pPr>
            <w:r w:rsidRPr="00703FCF">
              <w:rPr>
                <w:rFonts w:hint="eastAsia"/>
                <w:color w:val="000000"/>
                <w:spacing w:val="-20"/>
                <w:sz w:val="22"/>
                <w:szCs w:val="22"/>
              </w:rPr>
              <w:t>製造業</w:t>
            </w:r>
          </w:p>
        </w:tc>
        <w:tc>
          <w:tcPr>
            <w:tcW w:w="580" w:type="dxa"/>
            <w:tcBorders>
              <w:top w:val="single" w:sz="4" w:space="0" w:color="000000"/>
              <w:left w:val="nil"/>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580"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10" w:left="-28" w:firstLineChars="0" w:firstLine="0"/>
              <w:jc w:val="center"/>
              <w:rPr>
                <w:rFonts w:hint="eastAsia"/>
                <w:color w:val="000000"/>
                <w:spacing w:val="-20"/>
                <w:sz w:val="22"/>
                <w:szCs w:val="22"/>
              </w:rPr>
            </w:pPr>
            <w:r w:rsidRPr="00703FCF">
              <w:rPr>
                <w:rFonts w:hint="eastAsia"/>
                <w:color w:val="000000"/>
                <w:spacing w:val="-20"/>
                <w:sz w:val="22"/>
                <w:szCs w:val="22"/>
              </w:rPr>
              <w:t>電力及燃氣供應業</w:t>
            </w:r>
          </w:p>
        </w:tc>
        <w:tc>
          <w:tcPr>
            <w:tcW w:w="580"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9" w:left="-25" w:firstLineChars="0" w:firstLine="0"/>
              <w:jc w:val="center"/>
              <w:rPr>
                <w:rFonts w:hint="eastAsia"/>
                <w:color w:val="000000"/>
                <w:spacing w:val="-20"/>
                <w:sz w:val="22"/>
                <w:szCs w:val="22"/>
              </w:rPr>
            </w:pPr>
            <w:r w:rsidRPr="00703FCF">
              <w:rPr>
                <w:rFonts w:hint="eastAsia"/>
                <w:color w:val="000000"/>
                <w:spacing w:val="-20"/>
                <w:sz w:val="22"/>
                <w:szCs w:val="22"/>
              </w:rPr>
              <w:t>批發及零售業</w:t>
            </w:r>
          </w:p>
        </w:tc>
        <w:tc>
          <w:tcPr>
            <w:tcW w:w="581" w:type="dxa"/>
            <w:vMerge w:val="restart"/>
            <w:tcBorders>
              <w:top w:val="single" w:sz="4" w:space="0" w:color="000000"/>
            </w:tcBorders>
            <w:shd w:val="clear" w:color="auto" w:fill="FFFFFF"/>
            <w:vAlign w:val="center"/>
          </w:tcPr>
          <w:p w:rsidR="00703FCF" w:rsidRPr="00703FCF" w:rsidRDefault="00703FCF" w:rsidP="00703FCF">
            <w:pPr>
              <w:spacing w:line="280" w:lineRule="exact"/>
              <w:ind w:leftChars="-17" w:left="-48" w:firstLineChars="0" w:firstLine="0"/>
              <w:jc w:val="center"/>
              <w:rPr>
                <w:rFonts w:hint="eastAsia"/>
                <w:color w:val="000000"/>
                <w:spacing w:val="-20"/>
                <w:sz w:val="22"/>
                <w:szCs w:val="22"/>
              </w:rPr>
            </w:pPr>
            <w:r w:rsidRPr="00703FCF">
              <w:rPr>
                <w:rFonts w:hint="eastAsia"/>
                <w:color w:val="000000"/>
                <w:spacing w:val="-20"/>
                <w:sz w:val="22"/>
                <w:szCs w:val="22"/>
              </w:rPr>
              <w:t>金融及保險業</w:t>
            </w:r>
          </w:p>
        </w:tc>
      </w:tr>
      <w:tr w:rsidR="00703FCF" w:rsidRPr="00703FCF" w:rsidTr="00674FFF">
        <w:tc>
          <w:tcPr>
            <w:tcW w:w="426" w:type="dxa"/>
            <w:vMerge/>
            <w:tcBorders>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p>
        </w:tc>
        <w:tc>
          <w:tcPr>
            <w:tcW w:w="1022" w:type="dxa"/>
            <w:vMerge/>
            <w:tcBorders>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p>
        </w:tc>
        <w:tc>
          <w:tcPr>
            <w:tcW w:w="893" w:type="dxa"/>
            <w:tcBorders>
              <w:top w:val="nil"/>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rFonts w:hint="eastAsia"/>
                <w:color w:val="000000"/>
                <w:spacing w:val="-20"/>
                <w:sz w:val="22"/>
                <w:szCs w:val="22"/>
              </w:rPr>
            </w:pPr>
            <w:r w:rsidRPr="00703FCF">
              <w:rPr>
                <w:rFonts w:hint="eastAsia"/>
                <w:color w:val="000000"/>
                <w:spacing w:val="-20"/>
                <w:sz w:val="22"/>
                <w:szCs w:val="22"/>
              </w:rPr>
              <w:t>電子</w:t>
            </w:r>
          </w:p>
          <w:p w:rsidR="00703FCF" w:rsidRPr="00703FCF" w:rsidRDefault="00703FCF" w:rsidP="00703FCF">
            <w:pPr>
              <w:spacing w:line="280" w:lineRule="exact"/>
              <w:ind w:leftChars="0" w:left="0" w:firstLineChars="0" w:firstLine="0"/>
              <w:jc w:val="center"/>
              <w:rPr>
                <w:color w:val="000000"/>
                <w:spacing w:val="-20"/>
                <w:sz w:val="22"/>
                <w:szCs w:val="22"/>
              </w:rPr>
            </w:pPr>
            <w:r w:rsidRPr="00703FCF">
              <w:rPr>
                <w:rFonts w:hint="eastAsia"/>
                <w:color w:val="000000"/>
                <w:spacing w:val="-20"/>
                <w:sz w:val="22"/>
                <w:szCs w:val="22"/>
              </w:rPr>
              <w:t>零組件</w:t>
            </w:r>
          </w:p>
        </w:tc>
        <w:tc>
          <w:tcPr>
            <w:tcW w:w="893"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894" w:type="dxa"/>
            <w:vMerge/>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580" w:type="dxa"/>
            <w:tcBorders>
              <w:top w:val="nil"/>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center"/>
              <w:rPr>
                <w:color w:val="000000"/>
                <w:spacing w:val="-20"/>
                <w:sz w:val="22"/>
                <w:szCs w:val="22"/>
              </w:rPr>
            </w:pPr>
          </w:p>
        </w:tc>
        <w:tc>
          <w:tcPr>
            <w:tcW w:w="580" w:type="dxa"/>
            <w:tcBorders>
              <w:bottom w:val="single" w:sz="4" w:space="0" w:color="000000"/>
            </w:tcBorders>
            <w:shd w:val="clear" w:color="auto" w:fill="FFFFFF"/>
            <w:vAlign w:val="center"/>
          </w:tcPr>
          <w:p w:rsidR="00703FCF" w:rsidRPr="00703FCF" w:rsidRDefault="00703FCF" w:rsidP="00703FCF">
            <w:pPr>
              <w:spacing w:line="280" w:lineRule="exact"/>
              <w:ind w:leftChars="-10" w:left="-28" w:rightChars="-12" w:right="-34" w:firstLineChars="0" w:firstLine="0"/>
              <w:jc w:val="center"/>
              <w:rPr>
                <w:color w:val="000000"/>
                <w:spacing w:val="-20"/>
                <w:sz w:val="22"/>
                <w:szCs w:val="22"/>
              </w:rPr>
            </w:pPr>
            <w:r w:rsidRPr="00703FCF">
              <w:rPr>
                <w:rFonts w:hint="eastAsia"/>
                <w:color w:val="000000"/>
                <w:spacing w:val="-20"/>
                <w:sz w:val="22"/>
                <w:szCs w:val="22"/>
              </w:rPr>
              <w:t>電子零組件</w:t>
            </w:r>
          </w:p>
        </w:tc>
        <w:tc>
          <w:tcPr>
            <w:tcW w:w="580"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c>
          <w:tcPr>
            <w:tcW w:w="580"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c>
          <w:tcPr>
            <w:tcW w:w="581" w:type="dxa"/>
            <w:vMerge/>
            <w:tcBorders>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left"/>
              <w:rPr>
                <w:color w:val="000000"/>
                <w:spacing w:val="-20"/>
                <w:sz w:val="22"/>
                <w:szCs w:val="22"/>
              </w:rPr>
            </w:pP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108</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11,195,975</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4,295,141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2,749,067</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478,782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1,073,281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2,177,417</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38.36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24.55</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4.28</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9.59</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19.45</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pacing w:val="-20"/>
                <w:sz w:val="22"/>
                <w:szCs w:val="22"/>
              </w:rPr>
            </w:pPr>
            <w:r w:rsidRPr="00703FCF">
              <w:rPr>
                <w:rFonts w:hint="eastAsia"/>
                <w:color w:val="000000"/>
                <w:spacing w:val="-20"/>
                <w:sz w:val="22"/>
                <w:szCs w:val="22"/>
              </w:rPr>
              <w:t>109</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9,144,336</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1,688,448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806,514</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1,099,613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1,150,085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2,786,322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18.46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8.82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12.03</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12.58</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30.47</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w:t>
            </w:r>
            <w:r w:rsidRPr="00703FCF">
              <w:rPr>
                <w:color w:val="000000"/>
                <w:spacing w:val="-20"/>
                <w:sz w:val="22"/>
                <w:szCs w:val="22"/>
              </w:rPr>
              <w:t>10</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7</w:t>
            </w:r>
            <w:r w:rsidRPr="00703FCF">
              <w:rPr>
                <w:color w:val="000000"/>
                <w:spacing w:val="-20"/>
                <w:sz w:val="22"/>
                <w:szCs w:val="22"/>
              </w:rPr>
              <w:t>,476,273</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1,686,649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570,498</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143,188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912,445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2,291,496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22.56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7.63</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1.92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12.20</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30.65</w:t>
            </w:r>
          </w:p>
        </w:tc>
      </w:tr>
      <w:tr w:rsidR="00703FCF" w:rsidRPr="00703FCF" w:rsidTr="00674FFF">
        <w:tc>
          <w:tcPr>
            <w:tcW w:w="426" w:type="dxa"/>
            <w:tcBorders>
              <w:top w:val="single" w:sz="4" w:space="0" w:color="000000"/>
              <w:bottom w:val="single" w:sz="4"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22"/>
                <w:szCs w:val="22"/>
              </w:rPr>
            </w:pPr>
            <w:r w:rsidRPr="00703FCF">
              <w:rPr>
                <w:rFonts w:hint="eastAsia"/>
                <w:color w:val="000000"/>
                <w:spacing w:val="-20"/>
                <w:sz w:val="22"/>
                <w:szCs w:val="22"/>
              </w:rPr>
              <w:t>111</w:t>
            </w:r>
          </w:p>
        </w:tc>
        <w:tc>
          <w:tcPr>
            <w:tcW w:w="1022" w:type="dxa"/>
            <w:tcBorders>
              <w:top w:val="single" w:sz="4" w:space="0" w:color="000000"/>
              <w:bottom w:val="single" w:sz="4"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13,303,265</w:t>
            </w:r>
          </w:p>
        </w:tc>
        <w:tc>
          <w:tcPr>
            <w:tcW w:w="893" w:type="dxa"/>
            <w:tcBorders>
              <w:top w:val="single" w:sz="4" w:space="0" w:color="000000"/>
              <w:left w:val="double" w:sz="4" w:space="0" w:color="auto"/>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2,291,055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color w:val="000000"/>
                <w:spacing w:val="-20"/>
                <w:sz w:val="22"/>
                <w:szCs w:val="22"/>
              </w:rPr>
              <w:t>486,286</w:t>
            </w:r>
          </w:p>
        </w:tc>
        <w:tc>
          <w:tcPr>
            <w:tcW w:w="893"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 xml:space="preserve">1,883,600 </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1,905,935</w:t>
            </w:r>
          </w:p>
        </w:tc>
        <w:tc>
          <w:tcPr>
            <w:tcW w:w="894"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5,534,005</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17.22</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3.66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color w:val="000000"/>
                <w:spacing w:val="-20"/>
                <w:sz w:val="22"/>
                <w:szCs w:val="22"/>
              </w:rPr>
              <w:t>14.16</w:t>
            </w:r>
          </w:p>
        </w:tc>
        <w:tc>
          <w:tcPr>
            <w:tcW w:w="580"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14.33</w:t>
            </w:r>
          </w:p>
        </w:tc>
        <w:tc>
          <w:tcPr>
            <w:tcW w:w="581" w:type="dxa"/>
            <w:tcBorders>
              <w:top w:val="single" w:sz="4" w:space="0" w:color="000000"/>
              <w:bottom w:val="single" w:sz="4"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41.60</w:t>
            </w:r>
          </w:p>
        </w:tc>
      </w:tr>
      <w:tr w:rsidR="00703FCF" w:rsidRPr="00703FCF" w:rsidTr="00674FFF">
        <w:tc>
          <w:tcPr>
            <w:tcW w:w="426" w:type="dxa"/>
            <w:tcBorders>
              <w:top w:val="single" w:sz="4" w:space="0" w:color="000000"/>
              <w:bottom w:val="single" w:sz="12" w:space="0" w:color="000000"/>
            </w:tcBorders>
            <w:shd w:val="clear" w:color="auto" w:fill="FFFFFF"/>
            <w:noWrap/>
            <w:vAlign w:val="center"/>
          </w:tcPr>
          <w:p w:rsidR="00703FCF" w:rsidRPr="00703FCF" w:rsidRDefault="00703FCF" w:rsidP="00703FCF">
            <w:pPr>
              <w:spacing w:line="280" w:lineRule="exact"/>
              <w:ind w:leftChars="0" w:left="0" w:firstLineChars="0" w:firstLine="0"/>
              <w:jc w:val="left"/>
              <w:rPr>
                <w:rFonts w:hint="eastAsia"/>
                <w:color w:val="000000"/>
                <w:spacing w:val="-20"/>
                <w:sz w:val="18"/>
                <w:szCs w:val="18"/>
              </w:rPr>
            </w:pPr>
            <w:r w:rsidRPr="00703FCF">
              <w:rPr>
                <w:rFonts w:hint="eastAsia"/>
                <w:color w:val="000000"/>
                <w:spacing w:val="-20"/>
                <w:sz w:val="22"/>
                <w:szCs w:val="22"/>
              </w:rPr>
              <w:t>112</w:t>
            </w:r>
          </w:p>
        </w:tc>
        <w:tc>
          <w:tcPr>
            <w:tcW w:w="1022" w:type="dxa"/>
            <w:tcBorders>
              <w:top w:val="single" w:sz="4" w:space="0" w:color="000000"/>
              <w:bottom w:val="single" w:sz="12" w:space="0" w:color="000000"/>
              <w:right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right"/>
              <w:rPr>
                <w:rFonts w:hint="eastAsia"/>
                <w:color w:val="000000"/>
                <w:spacing w:val="-20"/>
                <w:sz w:val="22"/>
                <w:szCs w:val="22"/>
              </w:rPr>
            </w:pPr>
            <w:r w:rsidRPr="00703FCF">
              <w:rPr>
                <w:rFonts w:hint="eastAsia"/>
                <w:color w:val="000000"/>
                <w:spacing w:val="-20"/>
                <w:sz w:val="22"/>
                <w:szCs w:val="22"/>
              </w:rPr>
              <w:t>11,254,769</w:t>
            </w:r>
          </w:p>
        </w:tc>
        <w:tc>
          <w:tcPr>
            <w:tcW w:w="893" w:type="dxa"/>
            <w:tcBorders>
              <w:top w:val="single" w:sz="4" w:space="0" w:color="000000"/>
              <w:left w:val="double" w:sz="4" w:space="0" w:color="auto"/>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1,385,879</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444,861</w:t>
            </w:r>
          </w:p>
        </w:tc>
        <w:tc>
          <w:tcPr>
            <w:tcW w:w="893"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1,556,915</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1,001,084</w:t>
            </w:r>
          </w:p>
        </w:tc>
        <w:tc>
          <w:tcPr>
            <w:tcW w:w="894"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5,350,786</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12.31</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3.95</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13.83</w:t>
            </w:r>
          </w:p>
        </w:tc>
        <w:tc>
          <w:tcPr>
            <w:tcW w:w="580"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8.89</w:t>
            </w:r>
          </w:p>
        </w:tc>
        <w:tc>
          <w:tcPr>
            <w:tcW w:w="581" w:type="dxa"/>
            <w:tcBorders>
              <w:top w:val="single" w:sz="4" w:space="0" w:color="000000"/>
              <w:bottom w:val="single" w:sz="12" w:space="0" w:color="000000"/>
            </w:tcBorders>
            <w:shd w:val="clear" w:color="auto" w:fill="FFFFFF"/>
            <w:vAlign w:val="center"/>
          </w:tcPr>
          <w:p w:rsidR="00703FCF" w:rsidRPr="00703FCF" w:rsidRDefault="00703FCF" w:rsidP="00703FCF">
            <w:pPr>
              <w:spacing w:line="280" w:lineRule="exact"/>
              <w:ind w:leftChars="0" w:left="0" w:firstLineChars="0" w:firstLine="0"/>
              <w:jc w:val="right"/>
              <w:rPr>
                <w:color w:val="000000"/>
                <w:spacing w:val="-20"/>
                <w:sz w:val="22"/>
                <w:szCs w:val="22"/>
              </w:rPr>
            </w:pPr>
            <w:r w:rsidRPr="00703FCF">
              <w:rPr>
                <w:rFonts w:hint="eastAsia"/>
                <w:color w:val="000000"/>
                <w:spacing w:val="-20"/>
                <w:sz w:val="22"/>
                <w:szCs w:val="22"/>
              </w:rPr>
              <w:t>47.54</w:t>
            </w:r>
          </w:p>
        </w:tc>
      </w:tr>
    </w:tbl>
    <w:p w:rsidR="00703FCF" w:rsidRPr="00703FCF" w:rsidRDefault="00703FCF" w:rsidP="00703FCF">
      <w:pPr>
        <w:spacing w:line="280" w:lineRule="exact"/>
        <w:ind w:leftChars="1" w:left="1134" w:hangingChars="465" w:hanging="1131"/>
        <w:rPr>
          <w:rFonts w:hAnsi="標楷體" w:hint="eastAsia"/>
          <w:color w:val="000000"/>
          <w:sz w:val="24"/>
        </w:rPr>
      </w:pPr>
      <w:r w:rsidRPr="00703FCF">
        <w:rPr>
          <w:rFonts w:hint="eastAsia"/>
          <w:color w:val="000000"/>
          <w:sz w:val="24"/>
        </w:rPr>
        <w:t>資料來源</w:t>
      </w:r>
      <w:r w:rsidRPr="00703FCF">
        <w:rPr>
          <w:rFonts w:hAnsi="標楷體" w:hint="eastAsia"/>
          <w:color w:val="000000"/>
          <w:sz w:val="24"/>
        </w:rPr>
        <w:t>：同表1</w:t>
      </w:r>
    </w:p>
    <w:p w:rsidR="00703FCF" w:rsidRDefault="00703FCF" w:rsidP="00703FCF">
      <w:pPr>
        <w:ind w:left="566" w:firstLine="566"/>
        <w:rPr>
          <w:rFonts w:hAnsi="標楷體"/>
          <w:color w:val="000000"/>
        </w:rPr>
      </w:pPr>
      <w:r w:rsidRPr="00703FCF">
        <w:rPr>
          <w:rFonts w:hint="eastAsia"/>
          <w:color w:val="000000"/>
        </w:rPr>
        <w:t>綜上</w:t>
      </w:r>
      <w:r w:rsidRPr="00703FCF">
        <w:rPr>
          <w:rFonts w:hAnsi="標楷體" w:hint="eastAsia"/>
          <w:color w:val="000000"/>
        </w:rPr>
        <w:t>，112年度僑外來臺投資金額較111年度減少15.4%，且近年僑外對我國「製造業」及「電子零組件」之投資未見成長，112年度對於整體製造業投資13.86億美元，其中投資電子零組件4.45億美元，均為近5年最低，允宜審酌全球產業變化趨勢，賡續檢討優化國內投資環境，擴大吸引外人來臺投資。</w:t>
      </w:r>
    </w:p>
    <w:p w:rsidR="00703FCF" w:rsidRDefault="00703FCF" w:rsidP="00703FCF">
      <w:pPr>
        <w:pStyle w:val="ab"/>
        <w:ind w:left="566" w:firstLine="566"/>
        <w:rPr>
          <w:rFonts w:hAnsi="標楷體"/>
          <w:b/>
          <w:color w:val="000000"/>
        </w:rPr>
      </w:pPr>
      <w:r w:rsidRPr="00703FCF">
        <w:rPr>
          <w:rFonts w:hAnsi="標楷體" w:hint="eastAsia"/>
          <w:color w:val="000000"/>
        </w:rPr>
        <w:t>（分機：1928 施岑佩）</w:t>
      </w:r>
    </w:p>
    <w:bookmarkEnd w:id="10"/>
    <w:bookmarkEnd w:id="11"/>
    <w:bookmarkEnd w:id="12"/>
    <w:bookmarkEnd w:id="4"/>
    <w:bookmarkEnd w:id="5"/>
    <w:bookmarkEnd w:id="6"/>
    <w:sectPr w:rsidR="00703FC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New Gulim">
    <w:charset w:val="81"/>
    <w:family w:val="roman"/>
    <w:pitch w:val="variable"/>
    <w:sig w:usb0="B00002AF" w:usb1="7B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BA5D44" w:rsidRPr="00BA5D44">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A5D44"/>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A80E0A3-1ADD-4307-90A7-C0D180203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803979-C2AB-447C-862B-938A55F4A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374</Words>
  <Characters>2136</Characters>
  <Application>Microsoft Office Word</Application>
  <DocSecurity>0</DocSecurity>
  <Lines>17</Lines>
  <Paragraphs>5</Paragraphs>
  <ScaleCrop>false</ScaleCrop>
  <Company/>
  <LinksUpToDate>false</LinksUpToDate>
  <CharactersWithSpaces>2505</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