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13D" w:rsidRPr="008A5015" w:rsidRDefault="00FB113D" w:rsidP="00722B87">
      <w:pPr>
        <w:pStyle w:val="aa"/>
      </w:pPr>
      <w:bookmarkStart w:id="0" w:name="_Toc477265286"/>
      <w:bookmarkStart w:id="1" w:name="_Toc495221729"/>
      <w:bookmarkStart w:id="2" w:name="_Toc496878062"/>
      <w:bookmarkStart w:id="3" w:name="_GoBack"/>
      <w:bookmarkEnd w:id="3"/>
      <w:r w:rsidRPr="008A5015">
        <w:rPr>
          <w:rFonts w:hint="eastAsia"/>
        </w:rPr>
        <w:t>經濟部主管</w:t>
      </w:r>
      <w:r w:rsidR="002E0C6B" w:rsidRPr="008A5015">
        <w:t>11</w:t>
      </w:r>
      <w:r w:rsidR="00703FCF">
        <w:rPr>
          <w:rFonts w:hint="eastAsia"/>
        </w:rPr>
        <w:t>2</w:t>
      </w:r>
      <w:r w:rsidRPr="008A5015">
        <w:rPr>
          <w:rFonts w:hint="eastAsia"/>
        </w:rPr>
        <w:t>年度單位決算評估報告</w:t>
      </w:r>
    </w:p>
    <w:p w:rsidR="00703FCF" w:rsidRPr="00703FCF" w:rsidRDefault="00703FCF" w:rsidP="00703FCF">
      <w:pPr>
        <w:adjustRightInd w:val="0"/>
        <w:ind w:leftChars="0" w:left="0" w:firstLine="566"/>
        <w:rPr>
          <w:color w:val="000000"/>
        </w:rPr>
      </w:pPr>
      <w:bookmarkStart w:id="4" w:name="_Toc496609238"/>
      <w:bookmarkStart w:id="5" w:name="_Toc527539941"/>
      <w:bookmarkStart w:id="6" w:name="_Toc147390057"/>
      <w:bookmarkStart w:id="7" w:name="_Toc350505858"/>
      <w:bookmarkStart w:id="8" w:name="_Toc372620661"/>
      <w:bookmarkStart w:id="9" w:name="_Toc479322361"/>
      <w:bookmarkEnd w:id="0"/>
      <w:bookmarkEnd w:id="1"/>
      <w:bookmarkEnd w:id="2"/>
      <w:r w:rsidRPr="00703FCF">
        <w:rPr>
          <w:rFonts w:hint="eastAsia"/>
          <w:color w:val="000000"/>
        </w:rPr>
        <w:t>經濟部主管包括經濟部、工業局(產業發展署)、國際貿易局及所屬(國際貿易署)、標準檢驗局及所屬、智慧財產局、水利署及所屬、中小企業處(中小及新創企業署)、加工出口區管理處及所屬(產業園區管理局及所屬)、中央地質調查所(地質調查及礦業管理中心)及能源局(能源署)等10個機關</w:t>
      </w:r>
      <w:r w:rsidRPr="00703FCF">
        <w:rPr>
          <w:color w:val="000000"/>
          <w:vertAlign w:val="superscript"/>
        </w:rPr>
        <w:footnoteReference w:id="1"/>
      </w:r>
      <w:r w:rsidRPr="00703FCF">
        <w:rPr>
          <w:rFonts w:hAnsi="標楷體" w:hint="eastAsia"/>
          <w:color w:val="000000"/>
        </w:rPr>
        <w:t>，112年度主管歲入預算數</w:t>
      </w:r>
      <w:r w:rsidRPr="00703FCF">
        <w:rPr>
          <w:rFonts w:hAnsi="標楷體"/>
          <w:color w:val="000000"/>
        </w:rPr>
        <w:t>19</w:t>
      </w:r>
      <w:r w:rsidRPr="00703FCF">
        <w:rPr>
          <w:rFonts w:hAnsi="標楷體" w:hint="eastAsia"/>
          <w:color w:val="000000"/>
        </w:rPr>
        <w:t>7億9</w:t>
      </w:r>
      <w:r w:rsidRPr="00703FCF">
        <w:rPr>
          <w:rFonts w:hAnsi="標楷體"/>
          <w:color w:val="000000"/>
        </w:rPr>
        <w:t>,</w:t>
      </w:r>
      <w:r w:rsidRPr="00703FCF">
        <w:rPr>
          <w:rFonts w:hAnsi="標楷體" w:hint="eastAsia"/>
          <w:color w:val="000000"/>
        </w:rPr>
        <w:t>573萬</w:t>
      </w:r>
      <w:r w:rsidRPr="00703FCF">
        <w:rPr>
          <w:rFonts w:hAnsi="標楷體"/>
          <w:color w:val="000000"/>
        </w:rPr>
        <w:t>4</w:t>
      </w:r>
      <w:r w:rsidRPr="00703FCF">
        <w:rPr>
          <w:rFonts w:hAnsi="標楷體" w:hint="eastAsia"/>
          <w:color w:val="000000"/>
        </w:rPr>
        <w:t>千元，決算審定數</w:t>
      </w:r>
      <w:r w:rsidRPr="00703FCF">
        <w:rPr>
          <w:rFonts w:hAnsi="標楷體"/>
          <w:color w:val="000000"/>
        </w:rPr>
        <w:t>172</w:t>
      </w:r>
      <w:r w:rsidRPr="00703FCF">
        <w:rPr>
          <w:rFonts w:hAnsi="標楷體" w:hint="eastAsia"/>
          <w:color w:val="000000"/>
        </w:rPr>
        <w:t>億</w:t>
      </w:r>
      <w:r w:rsidRPr="00703FCF">
        <w:rPr>
          <w:rFonts w:hAnsi="標楷體"/>
          <w:color w:val="000000"/>
        </w:rPr>
        <w:t>3,183</w:t>
      </w:r>
      <w:r w:rsidRPr="00703FCF">
        <w:rPr>
          <w:rFonts w:hAnsi="標楷體" w:hint="eastAsia"/>
          <w:color w:val="000000"/>
        </w:rPr>
        <w:t>萬5千元，較預算減少25億6,389萬9千元(減幅12.95%)；主管歲出預算數2</w:t>
      </w:r>
      <w:r w:rsidRPr="00703FCF">
        <w:rPr>
          <w:rFonts w:hAnsi="標楷體"/>
          <w:color w:val="000000"/>
        </w:rPr>
        <w:t>,</w:t>
      </w:r>
      <w:r w:rsidRPr="00703FCF">
        <w:rPr>
          <w:rFonts w:hAnsi="標楷體" w:hint="eastAsia"/>
          <w:color w:val="000000"/>
        </w:rPr>
        <w:t>13</w:t>
      </w:r>
      <w:r w:rsidRPr="00703FCF">
        <w:rPr>
          <w:rFonts w:hAnsi="標楷體"/>
          <w:color w:val="000000"/>
        </w:rPr>
        <w:t>9</w:t>
      </w:r>
      <w:r w:rsidRPr="00703FCF">
        <w:rPr>
          <w:rFonts w:hAnsi="標楷體" w:hint="eastAsia"/>
          <w:color w:val="000000"/>
        </w:rPr>
        <w:t>億</w:t>
      </w:r>
      <w:r w:rsidRPr="00703FCF">
        <w:rPr>
          <w:rFonts w:hAnsi="標楷體"/>
          <w:color w:val="000000"/>
        </w:rPr>
        <w:t>8,082</w:t>
      </w:r>
      <w:r w:rsidRPr="00703FCF">
        <w:rPr>
          <w:rFonts w:hAnsi="標楷體" w:hint="eastAsia"/>
          <w:color w:val="000000"/>
        </w:rPr>
        <w:t>萬</w:t>
      </w:r>
      <w:r w:rsidRPr="00703FCF">
        <w:rPr>
          <w:rFonts w:hAnsi="標楷體"/>
          <w:color w:val="000000"/>
        </w:rPr>
        <w:t>5</w:t>
      </w:r>
      <w:r w:rsidRPr="00703FCF">
        <w:rPr>
          <w:rFonts w:hAnsi="標楷體" w:hint="eastAsia"/>
          <w:color w:val="000000"/>
        </w:rPr>
        <w:t>千元(含動支第二預備金8</w:t>
      </w:r>
      <w:r w:rsidRPr="00703FCF">
        <w:rPr>
          <w:rFonts w:hAnsi="標楷體"/>
          <w:color w:val="000000"/>
        </w:rPr>
        <w:t>,</w:t>
      </w:r>
      <w:r w:rsidRPr="00703FCF">
        <w:rPr>
          <w:rFonts w:hAnsi="標楷體" w:hint="eastAsia"/>
          <w:color w:val="000000"/>
        </w:rPr>
        <w:t>316萬3千元)，預算執行結果，決算審定數</w:t>
      </w:r>
      <w:r w:rsidRPr="00703FCF">
        <w:rPr>
          <w:rFonts w:hAnsi="標楷體"/>
          <w:color w:val="000000"/>
        </w:rPr>
        <w:t>2,134</w:t>
      </w:r>
      <w:r w:rsidRPr="00703FCF">
        <w:rPr>
          <w:rFonts w:hAnsi="標楷體" w:hint="eastAsia"/>
          <w:color w:val="000000"/>
        </w:rPr>
        <w:t>億</w:t>
      </w:r>
      <w:r w:rsidRPr="00703FCF">
        <w:rPr>
          <w:rFonts w:hAnsi="標楷體"/>
          <w:color w:val="000000"/>
        </w:rPr>
        <w:t>6</w:t>
      </w:r>
      <w:r w:rsidRPr="00703FCF">
        <w:rPr>
          <w:rFonts w:hAnsi="標楷體" w:hint="eastAsia"/>
          <w:color w:val="000000"/>
        </w:rPr>
        <w:t>,</w:t>
      </w:r>
      <w:r w:rsidRPr="00703FCF">
        <w:rPr>
          <w:rFonts w:hAnsi="標楷體"/>
          <w:color w:val="000000"/>
        </w:rPr>
        <w:t>267</w:t>
      </w:r>
      <w:r w:rsidRPr="00703FCF">
        <w:rPr>
          <w:rFonts w:hAnsi="標楷體" w:hint="eastAsia"/>
          <w:color w:val="000000"/>
        </w:rPr>
        <w:t>萬</w:t>
      </w:r>
      <w:r w:rsidRPr="00703FCF">
        <w:rPr>
          <w:rFonts w:hAnsi="標楷體"/>
          <w:color w:val="000000"/>
        </w:rPr>
        <w:t>1</w:t>
      </w:r>
      <w:r w:rsidRPr="00703FCF">
        <w:rPr>
          <w:rFonts w:hAnsi="標楷體" w:hint="eastAsia"/>
          <w:color w:val="000000"/>
        </w:rPr>
        <w:t>千元</w:t>
      </w:r>
      <w:r w:rsidRPr="00703FCF">
        <w:rPr>
          <w:rFonts w:hAnsi="標楷體"/>
          <w:color w:val="000000"/>
          <w:vertAlign w:val="superscript"/>
        </w:rPr>
        <w:footnoteReference w:id="2"/>
      </w:r>
      <w:r w:rsidRPr="00703FCF">
        <w:rPr>
          <w:rFonts w:hAnsi="標楷體" w:hint="eastAsia"/>
          <w:color w:val="000000"/>
        </w:rPr>
        <w:t>(預算執行率9</w:t>
      </w:r>
      <w:r w:rsidRPr="00703FCF">
        <w:rPr>
          <w:rFonts w:hAnsi="標楷體"/>
          <w:color w:val="000000"/>
        </w:rPr>
        <w:t>9</w:t>
      </w:r>
      <w:r w:rsidRPr="00703FCF">
        <w:rPr>
          <w:rFonts w:hAnsi="標楷體" w:hint="eastAsia"/>
          <w:color w:val="000000"/>
        </w:rPr>
        <w:t>.</w:t>
      </w:r>
      <w:r w:rsidRPr="00703FCF">
        <w:rPr>
          <w:rFonts w:hAnsi="標楷體"/>
          <w:color w:val="000000"/>
        </w:rPr>
        <w:t>76</w:t>
      </w:r>
      <w:r w:rsidRPr="00703FCF">
        <w:rPr>
          <w:rFonts w:hAnsi="標楷體" w:hint="eastAsia"/>
          <w:color w:val="000000"/>
        </w:rPr>
        <w:t>%)及賸餘數</w:t>
      </w:r>
      <w:r w:rsidRPr="00703FCF">
        <w:rPr>
          <w:rFonts w:hAnsi="標楷體"/>
          <w:color w:val="000000"/>
        </w:rPr>
        <w:t>5</w:t>
      </w:r>
      <w:r w:rsidRPr="00703FCF">
        <w:rPr>
          <w:rFonts w:hAnsi="標楷體" w:hint="eastAsia"/>
          <w:color w:val="000000"/>
        </w:rPr>
        <w:t>億</w:t>
      </w:r>
      <w:r w:rsidRPr="00703FCF">
        <w:rPr>
          <w:rFonts w:hAnsi="標楷體"/>
          <w:color w:val="000000"/>
        </w:rPr>
        <w:t>1</w:t>
      </w:r>
      <w:r w:rsidRPr="00703FCF">
        <w:rPr>
          <w:rFonts w:hAnsi="標楷體" w:hint="eastAsia"/>
          <w:color w:val="000000"/>
        </w:rPr>
        <w:t>,</w:t>
      </w:r>
      <w:r w:rsidRPr="00703FCF">
        <w:rPr>
          <w:rFonts w:hAnsi="標楷體"/>
          <w:color w:val="000000"/>
        </w:rPr>
        <w:t>815</w:t>
      </w:r>
      <w:r w:rsidRPr="00703FCF">
        <w:rPr>
          <w:rFonts w:hAnsi="標楷體" w:hint="eastAsia"/>
          <w:color w:val="000000"/>
        </w:rPr>
        <w:t>萬</w:t>
      </w:r>
      <w:r w:rsidRPr="00703FCF">
        <w:rPr>
          <w:rFonts w:hAnsi="標楷體"/>
          <w:color w:val="000000"/>
        </w:rPr>
        <w:t>4</w:t>
      </w:r>
      <w:r w:rsidRPr="00703FCF">
        <w:rPr>
          <w:rFonts w:hAnsi="標楷體" w:hint="eastAsia"/>
          <w:color w:val="000000"/>
        </w:rPr>
        <w:t>千元。謹就經濟部主管11</w:t>
      </w:r>
      <w:r w:rsidRPr="00703FCF">
        <w:rPr>
          <w:rFonts w:hAnsi="標楷體"/>
          <w:color w:val="000000"/>
        </w:rPr>
        <w:t>2</w:t>
      </w:r>
      <w:r w:rsidRPr="00703FCF">
        <w:rPr>
          <w:rFonts w:hAnsi="標楷體" w:hint="eastAsia"/>
          <w:color w:val="000000"/>
        </w:rPr>
        <w:t>年度單位決算評析如下：</w:t>
      </w:r>
    </w:p>
    <w:p w:rsidR="00674FFF" w:rsidRDefault="002A5A6B" w:rsidP="00674FFF">
      <w:pPr>
        <w:pStyle w:val="14"/>
        <w:ind w:left="567" w:hanging="567"/>
        <w:rPr>
          <w:rFonts w:hint="eastAsia"/>
        </w:rPr>
      </w:pPr>
      <w:bookmarkStart w:id="10" w:name="_Toc84249410"/>
      <w:bookmarkStart w:id="11" w:name="_Toc147390058"/>
      <w:bookmarkStart w:id="12" w:name="_Toc527539942"/>
      <w:bookmarkStart w:id="13" w:name="_Toc184808823"/>
      <w:bookmarkEnd w:id="7"/>
      <w:bookmarkEnd w:id="8"/>
      <w:bookmarkEnd w:id="9"/>
      <w:bookmarkEnd w:id="4"/>
      <w:bookmarkEnd w:id="5"/>
      <w:bookmarkEnd w:id="6"/>
      <w:r>
        <w:rPr>
          <w:rFonts w:hint="eastAsia"/>
        </w:rPr>
        <w:t>六</w:t>
      </w:r>
      <w:r w:rsidRPr="00EB2D7A">
        <w:rPr>
          <w:rFonts w:hint="eastAsia"/>
        </w:rPr>
        <w:t>、</w:t>
      </w:r>
      <w:bookmarkStart w:id="14" w:name="_Toc184802598"/>
      <w:bookmarkEnd w:id="10"/>
      <w:r w:rsidR="00674FFF">
        <w:rPr>
          <w:rFonts w:hint="eastAsia"/>
        </w:rPr>
        <w:t>112年度部分度量衡器檢查結果不合格率偏高，允宜加強追蹤後續改善情形，並妥為規劃度量衡檢查計畫之辦理</w:t>
      </w:r>
      <w:bookmarkEnd w:id="13"/>
      <w:bookmarkEnd w:id="14"/>
    </w:p>
    <w:p w:rsidR="00674FFF" w:rsidRDefault="00674FFF" w:rsidP="00674FFF">
      <w:pPr>
        <w:adjustRightInd w:val="0"/>
        <w:ind w:left="566" w:firstLine="566"/>
        <w:rPr>
          <w:rFonts w:hAnsi="標楷體"/>
        </w:rPr>
      </w:pPr>
      <w:r w:rsidRPr="000A00A3">
        <w:rPr>
          <w:rFonts w:hAnsi="標楷體" w:hint="eastAsia"/>
        </w:rPr>
        <w:t>標準檢驗局及所屬</w:t>
      </w:r>
      <w:r>
        <w:rPr>
          <w:rFonts w:hAnsi="標楷體" w:hint="eastAsia"/>
        </w:rPr>
        <w:t>(以下簡稱標準局)112年度於「</w:t>
      </w:r>
      <w:r w:rsidRPr="00255773">
        <w:rPr>
          <w:rFonts w:hAnsi="標楷體" w:hint="eastAsia"/>
        </w:rPr>
        <w:t>標準檢驗及度政管理</w:t>
      </w:r>
      <w:r>
        <w:rPr>
          <w:rFonts w:hAnsi="標楷體" w:hint="eastAsia"/>
        </w:rPr>
        <w:t>」</w:t>
      </w:r>
      <w:r w:rsidRPr="00255773">
        <w:rPr>
          <w:rFonts w:hAnsi="標楷體" w:hint="eastAsia"/>
        </w:rPr>
        <w:t>項下分別編列「度量衡管理及檢定」與「度量衡器檢定檢查事務」2億5,610萬8千元及8,261萬元，辦理度量衡器檢定及檢查等業務，經執行後決算數為2億</w:t>
      </w:r>
      <w:r>
        <w:rPr>
          <w:rFonts w:hAnsi="標楷體" w:hint="eastAsia"/>
        </w:rPr>
        <w:t>5</w:t>
      </w:r>
      <w:r w:rsidRPr="00255773">
        <w:rPr>
          <w:rFonts w:hAnsi="標楷體" w:hint="eastAsia"/>
        </w:rPr>
        <w:t>,</w:t>
      </w:r>
      <w:r>
        <w:rPr>
          <w:rFonts w:hAnsi="標楷體" w:hint="eastAsia"/>
        </w:rPr>
        <w:t>625</w:t>
      </w:r>
      <w:r w:rsidRPr="00255773">
        <w:rPr>
          <w:rFonts w:hAnsi="標楷體" w:hint="eastAsia"/>
        </w:rPr>
        <w:t>萬</w:t>
      </w:r>
      <w:r>
        <w:rPr>
          <w:rFonts w:hAnsi="標楷體" w:hint="eastAsia"/>
        </w:rPr>
        <w:t>4</w:t>
      </w:r>
      <w:r w:rsidRPr="00255773">
        <w:rPr>
          <w:rFonts w:hAnsi="標楷體" w:hint="eastAsia"/>
        </w:rPr>
        <w:t>千元及</w:t>
      </w:r>
      <w:r>
        <w:rPr>
          <w:rFonts w:hAnsi="標楷體" w:hint="eastAsia"/>
        </w:rPr>
        <w:t>8</w:t>
      </w:r>
      <w:r>
        <w:rPr>
          <w:rFonts w:hAnsi="標楷體"/>
        </w:rPr>
        <w:t>,</w:t>
      </w:r>
      <w:r>
        <w:rPr>
          <w:rFonts w:hAnsi="標楷體" w:hint="eastAsia"/>
        </w:rPr>
        <w:t>380</w:t>
      </w:r>
      <w:r w:rsidRPr="00255773">
        <w:rPr>
          <w:rFonts w:hAnsi="標楷體" w:hint="eastAsia"/>
        </w:rPr>
        <w:t>萬</w:t>
      </w:r>
      <w:r>
        <w:rPr>
          <w:rFonts w:hAnsi="標楷體" w:hint="eastAsia"/>
        </w:rPr>
        <w:t>2千</w:t>
      </w:r>
      <w:r w:rsidRPr="00255773">
        <w:rPr>
          <w:rFonts w:hAnsi="標楷體" w:hint="eastAsia"/>
        </w:rPr>
        <w:t>元</w:t>
      </w:r>
      <w:r>
        <w:rPr>
          <w:rFonts w:hAnsi="標楷體" w:hint="eastAsia"/>
        </w:rPr>
        <w:t>，均逾原編預算數</w:t>
      </w:r>
      <w:r>
        <w:rPr>
          <w:rStyle w:val="ae"/>
          <w:rFonts w:hAnsi="標楷體"/>
        </w:rPr>
        <w:footnoteReference w:id="3"/>
      </w:r>
      <w:r w:rsidRPr="005B65DB">
        <w:rPr>
          <w:rFonts w:hAnsi="標楷體" w:hint="eastAsia"/>
        </w:rPr>
        <w:t>。</w:t>
      </w:r>
      <w:r>
        <w:rPr>
          <w:rFonts w:hAnsi="標楷體" w:hint="eastAsia"/>
        </w:rPr>
        <w:t>經查：</w:t>
      </w:r>
    </w:p>
    <w:p w:rsidR="00674FFF" w:rsidRPr="000F5240" w:rsidRDefault="00674FFF" w:rsidP="00674FFF">
      <w:pPr>
        <w:pStyle w:val="a4"/>
        <w:ind w:left="849" w:hanging="283"/>
        <w:rPr>
          <w:rFonts w:hAnsi="標楷體" w:hint="eastAsia"/>
          <w:b/>
        </w:rPr>
      </w:pPr>
      <w:r w:rsidRPr="000F5240">
        <w:rPr>
          <w:rFonts w:hint="eastAsia"/>
          <w:b/>
        </w:rPr>
        <w:t>(一)</w:t>
      </w:r>
      <w:r>
        <w:rPr>
          <w:rFonts w:hAnsi="標楷體" w:hint="eastAsia"/>
          <w:b/>
        </w:rPr>
        <w:t>112年度標準局辦理度量衡器檢查情形</w:t>
      </w:r>
    </w:p>
    <w:p w:rsidR="00674FFF" w:rsidRDefault="00674FFF" w:rsidP="00674FFF">
      <w:pPr>
        <w:pStyle w:val="21"/>
        <w:ind w:left="850" w:firstLine="566"/>
        <w:rPr>
          <w:rFonts w:hAnsi="標楷體" w:hint="eastAsia"/>
        </w:rPr>
      </w:pPr>
      <w:r>
        <w:rPr>
          <w:rFonts w:hAnsi="標楷體" w:hint="eastAsia"/>
        </w:rPr>
        <w:t>度量衡法第16條第1項規定：</w:t>
      </w:r>
      <w:r w:rsidRPr="001263A5">
        <w:rPr>
          <w:rFonts w:hAnsi="標楷體" w:hint="eastAsia"/>
        </w:rPr>
        <w:t>「</w:t>
      </w:r>
      <w:r w:rsidRPr="00022AC9">
        <w:rPr>
          <w:rFonts w:hAnsi="標楷體" w:hint="eastAsia"/>
        </w:rPr>
        <w:t>經檢定合格在使用中之法定度量衡器，應接受檢查。」</w:t>
      </w:r>
      <w:r>
        <w:rPr>
          <w:rFonts w:hAnsi="標楷體" w:hint="eastAsia"/>
        </w:rPr>
        <w:t>及</w:t>
      </w:r>
      <w:r w:rsidRPr="00022AC9">
        <w:rPr>
          <w:rFonts w:hAnsi="標楷體" w:hint="eastAsia"/>
        </w:rPr>
        <w:t>度量衡器檢定檢查辦法</w:t>
      </w:r>
      <w:r>
        <w:rPr>
          <w:rFonts w:hAnsi="標楷體" w:hint="eastAsia"/>
        </w:rPr>
        <w:t>第17條</w:t>
      </w:r>
      <w:r>
        <w:rPr>
          <w:rFonts w:hAnsi="標楷體" w:hint="eastAsia"/>
        </w:rPr>
        <w:lastRenderedPageBreak/>
        <w:t>第1項規定：</w:t>
      </w:r>
      <w:r w:rsidRPr="001263A5">
        <w:rPr>
          <w:rFonts w:hAnsi="標楷體" w:hint="eastAsia"/>
        </w:rPr>
        <w:t>「</w:t>
      </w:r>
      <w:r w:rsidRPr="00022AC9">
        <w:rPr>
          <w:rFonts w:hAnsi="標楷體" w:hint="eastAsia"/>
        </w:rPr>
        <w:t>檢定合格並在使用中之法定度量衡器，應接受檢定機關（構）之定期或不定期檢查。」</w:t>
      </w:r>
      <w:r>
        <w:rPr>
          <w:rFonts w:hAnsi="標楷體" w:hint="eastAsia"/>
        </w:rPr>
        <w:t>標準局112年度依前述規定辦理</w:t>
      </w:r>
      <w:r w:rsidRPr="008D172D">
        <w:rPr>
          <w:rFonts w:hAnsi="標楷體" w:hint="eastAsia"/>
        </w:rPr>
        <w:t>定期(一般)檢查及不定期(專案)檢查，前者包括氣量計(瓦斯表)、水量計(水表)、電度表(電表)等民生用表檢查、計程車計費表檢查等，後者則如春節等節慶前針對全國年貨大街、水果量販店、量販超市及大型傳統市場執行衡器(磅秤)專案檢查等</w:t>
      </w:r>
      <w:r w:rsidRPr="005B65DB">
        <w:rPr>
          <w:rFonts w:hAnsi="標楷體" w:hint="eastAsia"/>
        </w:rPr>
        <w:t>。</w:t>
      </w:r>
      <w:r>
        <w:rPr>
          <w:rFonts w:hAnsi="標楷體" w:hint="eastAsia"/>
        </w:rPr>
        <w:t>112年度標準局共編列預算數</w:t>
      </w:r>
      <w:r w:rsidRPr="00C45616">
        <w:rPr>
          <w:rFonts w:hAnsi="標楷體"/>
        </w:rPr>
        <w:t>3</w:t>
      </w:r>
      <w:r>
        <w:rPr>
          <w:rFonts w:hAnsi="標楷體" w:hint="eastAsia"/>
        </w:rPr>
        <w:t>億</w:t>
      </w:r>
      <w:r w:rsidRPr="00C45616">
        <w:rPr>
          <w:rFonts w:hAnsi="標楷體"/>
        </w:rPr>
        <w:t>3,871</w:t>
      </w:r>
      <w:r>
        <w:rPr>
          <w:rFonts w:hAnsi="標楷體" w:hint="eastAsia"/>
        </w:rPr>
        <w:t>萬</w:t>
      </w:r>
      <w:r w:rsidRPr="00C45616">
        <w:rPr>
          <w:rFonts w:hAnsi="標楷體"/>
        </w:rPr>
        <w:t>8</w:t>
      </w:r>
      <w:r>
        <w:rPr>
          <w:rFonts w:hAnsi="標楷體" w:hint="eastAsia"/>
        </w:rPr>
        <w:t>千元，辦理</w:t>
      </w:r>
      <w:r w:rsidRPr="00C45616">
        <w:rPr>
          <w:rFonts w:hAnsi="標楷體" w:hint="eastAsia"/>
        </w:rPr>
        <w:t>度量衡器檢定及檢查</w:t>
      </w:r>
      <w:r>
        <w:rPr>
          <w:rFonts w:hAnsi="標楷體" w:hint="eastAsia"/>
        </w:rPr>
        <w:t>業務，決算數為</w:t>
      </w:r>
      <w:r w:rsidRPr="00C45616">
        <w:rPr>
          <w:rFonts w:hAnsi="標楷體"/>
        </w:rPr>
        <w:t>3</w:t>
      </w:r>
      <w:r>
        <w:rPr>
          <w:rFonts w:hAnsi="標楷體" w:hint="eastAsia"/>
        </w:rPr>
        <w:t>億</w:t>
      </w:r>
      <w:r w:rsidRPr="00C45616">
        <w:rPr>
          <w:rFonts w:hAnsi="標楷體"/>
        </w:rPr>
        <w:t>4,005</w:t>
      </w:r>
      <w:r>
        <w:rPr>
          <w:rFonts w:hAnsi="標楷體" w:hint="eastAsia"/>
        </w:rPr>
        <w:t>萬</w:t>
      </w:r>
      <w:r w:rsidRPr="00C45616">
        <w:rPr>
          <w:rFonts w:hAnsi="標楷體"/>
        </w:rPr>
        <w:t>6</w:t>
      </w:r>
      <w:r>
        <w:rPr>
          <w:rFonts w:hAnsi="標楷體" w:hint="eastAsia"/>
        </w:rPr>
        <w:t>千元，共檢查6萬6</w:t>
      </w:r>
      <w:r>
        <w:rPr>
          <w:rFonts w:hAnsi="標楷體"/>
        </w:rPr>
        <w:t>,</w:t>
      </w:r>
      <w:r>
        <w:rPr>
          <w:rFonts w:hAnsi="標楷體" w:hint="eastAsia"/>
        </w:rPr>
        <w:t>025具</w:t>
      </w:r>
      <w:r w:rsidRPr="005B65DB">
        <w:rPr>
          <w:rFonts w:hAnsi="標楷體" w:hint="eastAsia"/>
        </w:rPr>
        <w:t>。</w:t>
      </w:r>
    </w:p>
    <w:p w:rsidR="00674FFF" w:rsidRPr="000F5240" w:rsidRDefault="00674FFF" w:rsidP="00674FFF">
      <w:pPr>
        <w:pStyle w:val="a4"/>
        <w:ind w:left="849" w:hanging="283"/>
        <w:rPr>
          <w:rFonts w:hAnsi="標楷體" w:hint="eastAsia"/>
          <w:b/>
        </w:rPr>
      </w:pPr>
      <w:r w:rsidRPr="000F5240">
        <w:rPr>
          <w:rFonts w:hint="eastAsia"/>
          <w:b/>
        </w:rPr>
        <w:t>(</w:t>
      </w:r>
      <w:r>
        <w:rPr>
          <w:rFonts w:hint="eastAsia"/>
          <w:b/>
        </w:rPr>
        <w:t>二</w:t>
      </w:r>
      <w:r w:rsidRPr="000F5240">
        <w:rPr>
          <w:rFonts w:hint="eastAsia"/>
          <w:b/>
        </w:rPr>
        <w:t>)</w:t>
      </w:r>
      <w:r>
        <w:rPr>
          <w:rFonts w:hint="eastAsia"/>
          <w:b/>
        </w:rPr>
        <w:t>部分度量衡器檢查結果不合格率相對高，允持續追蹤不合格度量衡器改善情形宜，並妥為規劃後續年度檢查計畫</w:t>
      </w:r>
    </w:p>
    <w:p w:rsidR="00674FFF" w:rsidRDefault="00674FFF" w:rsidP="00674FFF">
      <w:pPr>
        <w:pStyle w:val="21"/>
        <w:ind w:left="850" w:firstLine="566"/>
        <w:rPr>
          <w:rFonts w:hAnsi="標楷體"/>
        </w:rPr>
      </w:pPr>
      <w:r>
        <w:rPr>
          <w:rFonts w:hAnsi="標楷體" w:hint="eastAsia"/>
        </w:rPr>
        <w:t>彙整標準局112年度</w:t>
      </w:r>
      <w:r w:rsidRPr="006752F4">
        <w:rPr>
          <w:rFonts w:hAnsi="標楷體" w:hint="eastAsia"/>
        </w:rPr>
        <w:t>各項度量衡器檢查</w:t>
      </w:r>
      <w:r>
        <w:rPr>
          <w:rFonts w:hAnsi="標楷體" w:hint="eastAsia"/>
        </w:rPr>
        <w:t>計畫</w:t>
      </w:r>
      <w:r w:rsidRPr="006752F4">
        <w:rPr>
          <w:rFonts w:hAnsi="標楷體" w:hint="eastAsia"/>
        </w:rPr>
        <w:t>執行情形</w:t>
      </w:r>
      <w:r>
        <w:rPr>
          <w:rFonts w:hAnsi="標楷體" w:hint="eastAsia"/>
        </w:rPr>
        <w:t>(詳如表1)，並說明如下：</w:t>
      </w:r>
    </w:p>
    <w:p w:rsidR="00674FFF" w:rsidRDefault="00674FFF" w:rsidP="00674FFF">
      <w:pPr>
        <w:pStyle w:val="123"/>
        <w:ind w:left="1133" w:hanging="283"/>
      </w:pPr>
      <w:r>
        <w:rPr>
          <w:rFonts w:hint="eastAsia"/>
        </w:rPr>
        <w:t>1</w:t>
      </w:r>
      <w:r>
        <w:t>.</w:t>
      </w:r>
      <w:r>
        <w:rPr>
          <w:rFonts w:hint="eastAsia"/>
        </w:rPr>
        <w:t>標準局112年度合共辦理計程車計費表</w:t>
      </w:r>
      <w:r w:rsidRPr="00932CFC">
        <w:rPr>
          <w:rFonts w:hint="eastAsia"/>
        </w:rPr>
        <w:t>、</w:t>
      </w:r>
      <w:r>
        <w:rPr>
          <w:rFonts w:hint="eastAsia"/>
        </w:rPr>
        <w:t>電度表及膜式氣量計等12項</w:t>
      </w:r>
      <w:r w:rsidRPr="00BC2A36">
        <w:rPr>
          <w:rFonts w:hint="eastAsia"/>
        </w:rPr>
        <w:t>度量衡器檢查計畫</w:t>
      </w:r>
      <w:r>
        <w:rPr>
          <w:rFonts w:hint="eastAsia"/>
        </w:rPr>
        <w:t>，檢查具數共計6萬6,025具，不合格計434具，不合格率為0.66%</w:t>
      </w:r>
      <w:r w:rsidRPr="001F2DA1">
        <w:rPr>
          <w:rFonts w:hint="eastAsia"/>
        </w:rPr>
        <w:t>。</w:t>
      </w:r>
      <w:r>
        <w:rPr>
          <w:rFonts w:hint="eastAsia"/>
        </w:rPr>
        <w:t>12項檢查計畫中僅</w:t>
      </w:r>
      <w:r w:rsidRPr="002C0EC9">
        <w:rPr>
          <w:rFonts w:hint="eastAsia"/>
        </w:rPr>
        <w:t>公務檢測用雷達測速儀</w:t>
      </w:r>
      <w:r w:rsidRPr="00932CFC">
        <w:rPr>
          <w:rFonts w:hint="eastAsia"/>
        </w:rPr>
        <w:t>、</w:t>
      </w:r>
      <w:r w:rsidRPr="002C0EC9">
        <w:rPr>
          <w:rFonts w:hint="eastAsia"/>
        </w:rPr>
        <w:t>公務檢測用雷射測速儀</w:t>
      </w:r>
      <w:r>
        <w:rPr>
          <w:rFonts w:hint="eastAsia"/>
        </w:rPr>
        <w:t>及</w:t>
      </w:r>
      <w:r w:rsidRPr="002C0EC9">
        <w:rPr>
          <w:rFonts w:hint="eastAsia"/>
        </w:rPr>
        <w:t>公務檢測用區間平均速率裝置</w:t>
      </w:r>
      <w:r>
        <w:rPr>
          <w:rFonts w:hint="eastAsia"/>
        </w:rPr>
        <w:t>等3項未檢出不合格者，其餘9項檢查計畫不合格率介於0.04%至12.5%，其中</w:t>
      </w:r>
      <w:r w:rsidRPr="00506F14">
        <w:rPr>
          <w:rFonts w:hint="eastAsia"/>
        </w:rPr>
        <w:t>公務檢測用噪音計</w:t>
      </w:r>
      <w:r>
        <w:rPr>
          <w:rFonts w:hint="eastAsia"/>
        </w:rPr>
        <w:t>及</w:t>
      </w:r>
      <w:r w:rsidRPr="002C0EC9">
        <w:rPr>
          <w:rFonts w:hint="eastAsia"/>
        </w:rPr>
        <w:t>膜式氣量計</w:t>
      </w:r>
      <w:r>
        <w:rPr>
          <w:rFonts w:hint="eastAsia"/>
        </w:rPr>
        <w:t>不合格率分別為12.5%及4.44%相對高</w:t>
      </w:r>
      <w:r w:rsidRPr="00837F89">
        <w:rPr>
          <w:rFonts w:hint="eastAsia"/>
        </w:rPr>
        <w:t>。</w:t>
      </w:r>
    </w:p>
    <w:p w:rsidR="00674FFF" w:rsidRDefault="00674FFF" w:rsidP="00674FFF">
      <w:pPr>
        <w:pStyle w:val="123"/>
        <w:ind w:left="1133" w:hanging="283"/>
      </w:pPr>
      <w:r>
        <w:rPr>
          <w:rFonts w:hint="eastAsia"/>
        </w:rPr>
        <w:t>2</w:t>
      </w:r>
      <w:r>
        <w:t>.</w:t>
      </w:r>
      <w:r>
        <w:rPr>
          <w:rFonts w:hint="eastAsia"/>
        </w:rPr>
        <w:t>據標準局說明略以，經檢查不合格之度量衡器，若未涉違規部分，該局則要求使用者立即停止使用，去除檢定合格印證，並限期改善，經重新檢定合格後始得計量使用；倘若已違反度量衡法規定者，即處以罰鍰並確認報廢或經重新檢查合格後始結案</w:t>
      </w:r>
      <w:r w:rsidRPr="00BB362C">
        <w:rPr>
          <w:rFonts w:hint="eastAsia"/>
        </w:rPr>
        <w:t>。</w:t>
      </w:r>
      <w:r>
        <w:rPr>
          <w:rFonts w:hint="eastAsia"/>
        </w:rPr>
        <w:t>按標準局統計，112年度經該局處分案件共21件</w:t>
      </w:r>
      <w:r w:rsidRPr="000B0E72">
        <w:rPr>
          <w:rFonts w:hint="eastAsia"/>
        </w:rPr>
        <w:t>。</w:t>
      </w:r>
    </w:p>
    <w:p w:rsidR="00674FFF" w:rsidRPr="002C0EC9" w:rsidRDefault="00674FFF" w:rsidP="00674FFF">
      <w:pPr>
        <w:pStyle w:val="123"/>
        <w:ind w:left="1133" w:hanging="283"/>
        <w:rPr>
          <w:rFonts w:hint="eastAsia"/>
        </w:rPr>
      </w:pPr>
      <w:r>
        <w:rPr>
          <w:rFonts w:hint="eastAsia"/>
        </w:rPr>
        <w:t>3.鑑於標準局112年度</w:t>
      </w:r>
      <w:r w:rsidRPr="00F148BE">
        <w:rPr>
          <w:rFonts w:hint="eastAsia"/>
        </w:rPr>
        <w:t>度量衡器檢查計畫</w:t>
      </w:r>
      <w:r>
        <w:rPr>
          <w:rFonts w:hint="eastAsia"/>
        </w:rPr>
        <w:t>檢查結果僅3項全數</w:t>
      </w:r>
      <w:r>
        <w:rPr>
          <w:rFonts w:hint="eastAsia"/>
        </w:rPr>
        <w:lastRenderedPageBreak/>
        <w:t>合格</w:t>
      </w:r>
      <w:r w:rsidRPr="00F148BE">
        <w:rPr>
          <w:rFonts w:hint="eastAsia"/>
        </w:rPr>
        <w:t>，</w:t>
      </w:r>
      <w:r>
        <w:rPr>
          <w:rFonts w:hint="eastAsia"/>
        </w:rPr>
        <w:t>又</w:t>
      </w:r>
      <w:r w:rsidRPr="00506F14">
        <w:rPr>
          <w:rFonts w:hint="eastAsia"/>
        </w:rPr>
        <w:t>公務檢測用噪音計</w:t>
      </w:r>
      <w:r w:rsidRPr="00F148BE">
        <w:rPr>
          <w:rFonts w:hint="eastAsia"/>
        </w:rPr>
        <w:t>及膜式氣量計不合格率</w:t>
      </w:r>
      <w:r>
        <w:rPr>
          <w:rFonts w:hint="eastAsia"/>
        </w:rPr>
        <w:t>相對高，允宜妥為規劃檢查計畫，並加強追蹤不合格之度量衡器後續改善情形，俾確保量測準確</w:t>
      </w:r>
      <w:r w:rsidRPr="000B0E72">
        <w:rPr>
          <w:rFonts w:hint="eastAsia"/>
        </w:rPr>
        <w:t>。</w:t>
      </w:r>
    </w:p>
    <w:p w:rsidR="00674FFF" w:rsidRDefault="00674FFF" w:rsidP="00674FFF">
      <w:pPr>
        <w:ind w:left="566" w:firstLine="566"/>
        <w:rPr>
          <w:rFonts w:hAnsi="標楷體"/>
        </w:rPr>
      </w:pPr>
      <w:r w:rsidRPr="00B3027E">
        <w:rPr>
          <w:rFonts w:hint="eastAsia"/>
        </w:rPr>
        <w:t>綜上，</w:t>
      </w:r>
      <w:r>
        <w:rPr>
          <w:rFonts w:hint="eastAsia"/>
        </w:rPr>
        <w:t>標準局112年度</w:t>
      </w:r>
      <w:r w:rsidRPr="00BC2A36">
        <w:rPr>
          <w:rFonts w:hint="eastAsia"/>
        </w:rPr>
        <w:t>「標準檢驗及度政管理」項下分別編列「度量衡管理及檢定」與「度量衡器檢定檢查事務」2億5,610萬8千元及8,261萬元，經執行後決算數為2億5,625萬4千元及8,380萬2千元，辦理度量衡器檢定及檢查等業務</w:t>
      </w:r>
      <w:r>
        <w:rPr>
          <w:rFonts w:hint="eastAsia"/>
        </w:rPr>
        <w:t>，惟112年度12項度量衡器檢查計畫中僅3項全數合格，且部分不合格率相對高，允宜妥為規劃度量衡檢查計畫之辦理，並強化不合格度量衡器改善進度之追蹤，俾營造</w:t>
      </w:r>
      <w:r w:rsidRPr="00326199">
        <w:rPr>
          <w:rFonts w:hint="eastAsia"/>
        </w:rPr>
        <w:t>公平交易環境</w:t>
      </w:r>
      <w:r w:rsidRPr="006A26D1">
        <w:rPr>
          <w:rFonts w:hAnsi="標楷體" w:hint="eastAsia"/>
        </w:rPr>
        <w:t>。</w:t>
      </w:r>
    </w:p>
    <w:p w:rsidR="00674FFF" w:rsidRPr="004D7352" w:rsidRDefault="00674FFF" w:rsidP="00674FFF">
      <w:pPr>
        <w:pStyle w:val="200"/>
        <w:spacing w:line="500" w:lineRule="exact"/>
        <w:jc w:val="both"/>
        <w:rPr>
          <w:rFonts w:hint="eastAsia"/>
          <w:spacing w:val="-12"/>
        </w:rPr>
      </w:pPr>
      <w:r w:rsidRPr="0028102C">
        <w:rPr>
          <w:rFonts w:hint="eastAsia"/>
          <w:b/>
          <w:snapToGrid/>
          <w:sz w:val="28"/>
        </w:rPr>
        <w:t>表</w:t>
      </w:r>
      <w:r>
        <w:rPr>
          <w:rFonts w:hint="eastAsia"/>
          <w:b/>
          <w:snapToGrid/>
          <w:sz w:val="28"/>
        </w:rPr>
        <w:t>1</w:t>
      </w:r>
      <w:r w:rsidRPr="0028102C">
        <w:rPr>
          <w:rFonts w:hint="eastAsia"/>
          <w:b/>
          <w:snapToGrid/>
          <w:sz w:val="28"/>
        </w:rPr>
        <w:t xml:space="preserve">  </w:t>
      </w:r>
      <w:r w:rsidRPr="006D4E1D">
        <w:rPr>
          <w:rFonts w:hint="eastAsia"/>
          <w:b/>
          <w:snapToGrid/>
          <w:sz w:val="28"/>
        </w:rPr>
        <w:t>112年度標準局各項度量衡器檢查計畫執行情形</w:t>
      </w:r>
    </w:p>
    <w:tbl>
      <w:tblPr>
        <w:tblW w:w="0" w:type="auto"/>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3"/>
        <w:gridCol w:w="3402"/>
        <w:gridCol w:w="3083"/>
      </w:tblGrid>
      <w:tr w:rsidR="00674FFF" w:rsidRPr="006752F4" w:rsidTr="00674FFF">
        <w:trPr>
          <w:tblHeader/>
          <w:jc w:val="right"/>
        </w:trPr>
        <w:tc>
          <w:tcPr>
            <w:tcW w:w="2123" w:type="dxa"/>
            <w:shd w:val="clear" w:color="auto" w:fill="auto"/>
          </w:tcPr>
          <w:p w:rsidR="00674FFF" w:rsidRPr="006752F4" w:rsidRDefault="00674FFF" w:rsidP="00674FFF">
            <w:pPr>
              <w:pStyle w:val="142"/>
              <w:spacing w:line="260" w:lineRule="exact"/>
              <w:jc w:val="center"/>
              <w:rPr>
                <w:spacing w:val="-20"/>
              </w:rPr>
            </w:pPr>
            <w:r w:rsidRPr="006752F4">
              <w:rPr>
                <w:spacing w:val="-20"/>
              </w:rPr>
              <w:t>計畫名稱</w:t>
            </w:r>
          </w:p>
        </w:tc>
        <w:tc>
          <w:tcPr>
            <w:tcW w:w="3402" w:type="dxa"/>
            <w:shd w:val="clear" w:color="auto" w:fill="auto"/>
          </w:tcPr>
          <w:p w:rsidR="00674FFF" w:rsidRPr="006752F4" w:rsidRDefault="00674FFF" w:rsidP="00674FFF">
            <w:pPr>
              <w:pStyle w:val="142"/>
              <w:spacing w:line="260" w:lineRule="exact"/>
              <w:jc w:val="center"/>
              <w:rPr>
                <w:spacing w:val="-20"/>
              </w:rPr>
            </w:pPr>
            <w:r w:rsidRPr="006752F4">
              <w:rPr>
                <w:spacing w:val="-20"/>
              </w:rPr>
              <w:t>計畫主要內容</w:t>
            </w:r>
          </w:p>
        </w:tc>
        <w:tc>
          <w:tcPr>
            <w:tcW w:w="3083" w:type="dxa"/>
            <w:shd w:val="clear" w:color="auto" w:fill="auto"/>
          </w:tcPr>
          <w:p w:rsidR="00674FFF" w:rsidRPr="006752F4" w:rsidRDefault="00674FFF" w:rsidP="00674FFF">
            <w:pPr>
              <w:pStyle w:val="142"/>
              <w:spacing w:line="260" w:lineRule="exact"/>
              <w:jc w:val="center"/>
              <w:rPr>
                <w:spacing w:val="-20"/>
              </w:rPr>
            </w:pPr>
            <w:r w:rsidRPr="006752F4">
              <w:rPr>
                <w:spacing w:val="-20"/>
              </w:rPr>
              <w:t>辦理情形</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計程車計費表檢查計畫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隨機攔檢</w:t>
            </w:r>
            <w:r>
              <w:rPr>
                <w:rFonts w:hint="eastAsia"/>
                <w:spacing w:val="-20"/>
              </w:rPr>
              <w:t>，</w:t>
            </w:r>
            <w:r w:rsidRPr="006752F4">
              <w:rPr>
                <w:spacing w:val="-20"/>
              </w:rPr>
              <w:t>針對轄區配合警察執行路邊檢查，及各大車隊合作，赴車隊廠區進行檢查。</w:t>
            </w:r>
          </w:p>
        </w:tc>
        <w:tc>
          <w:tcPr>
            <w:tcW w:w="3083" w:type="dxa"/>
            <w:shd w:val="clear" w:color="auto" w:fill="auto"/>
            <w:vAlign w:val="center"/>
          </w:tcPr>
          <w:p w:rsidR="00674FFF" w:rsidRPr="006752F4" w:rsidRDefault="00674FFF" w:rsidP="00674FFF">
            <w:pPr>
              <w:pStyle w:val="142"/>
              <w:spacing w:line="260" w:lineRule="exact"/>
              <w:jc w:val="both"/>
              <w:rPr>
                <w:rFonts w:hint="eastAsia"/>
                <w:spacing w:val="-20"/>
              </w:rPr>
            </w:pPr>
            <w:r w:rsidRPr="006752F4">
              <w:rPr>
                <w:spacing w:val="-20"/>
              </w:rPr>
              <w:t>完成9,518具計程車計費表檢查，</w:t>
            </w:r>
            <w:r w:rsidRPr="006D4E1D">
              <w:rPr>
                <w:b/>
                <w:spacing w:val="-20"/>
              </w:rPr>
              <w:t>不合格4具</w:t>
            </w:r>
            <w:r w:rsidRPr="006752F4">
              <w:rPr>
                <w:spacing w:val="-20"/>
              </w:rPr>
              <w:t>。</w:t>
            </w:r>
            <w:r>
              <w:rPr>
                <w:rFonts w:hint="eastAsia"/>
                <w:spacing w:val="-20"/>
              </w:rPr>
              <w:t>(不合格率0.04%)</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電度表檢查計畫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以機械式及電子式電度表分類進行抽樣</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rFonts w:hint="eastAsia"/>
                <w:spacing w:val="-20"/>
              </w:rPr>
            </w:pPr>
            <w:r w:rsidRPr="006752F4">
              <w:rPr>
                <w:spacing w:val="-20"/>
              </w:rPr>
              <w:t>完成4,516具電度表檢查，</w:t>
            </w:r>
            <w:r w:rsidRPr="006D4E1D">
              <w:rPr>
                <w:b/>
                <w:spacing w:val="-20"/>
              </w:rPr>
              <w:t>不合格37具</w:t>
            </w:r>
            <w:r w:rsidRPr="006752F4">
              <w:rPr>
                <w:spacing w:val="-20"/>
              </w:rPr>
              <w:t>。</w:t>
            </w:r>
            <w:r>
              <w:rPr>
                <w:rFonts w:hint="eastAsia"/>
                <w:spacing w:val="-20"/>
              </w:rPr>
              <w:t>(不合格率0.82%)</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膜式氣量計檢查計畫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依據廠牌、型號、檢定年份隨機抽樣</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rFonts w:hint="eastAsia"/>
                <w:spacing w:val="-20"/>
              </w:rPr>
            </w:pPr>
            <w:r w:rsidRPr="006752F4">
              <w:rPr>
                <w:spacing w:val="-20"/>
              </w:rPr>
              <w:t>完成4,005具膜式氣量計檢查，</w:t>
            </w:r>
            <w:r w:rsidRPr="006D4E1D">
              <w:rPr>
                <w:b/>
                <w:spacing w:val="-20"/>
              </w:rPr>
              <w:t>不合格178具</w:t>
            </w:r>
            <w:r w:rsidRPr="006752F4">
              <w:rPr>
                <w:spacing w:val="-20"/>
              </w:rPr>
              <w:t>。</w:t>
            </w:r>
            <w:r>
              <w:rPr>
                <w:rFonts w:hint="eastAsia"/>
                <w:spacing w:val="-20"/>
              </w:rPr>
              <w:t>(不合格率4.44%)</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水量計檢查計畫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依據使用度數、檢定年份及廠牌隨機抽樣</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rFonts w:hint="eastAsia"/>
                <w:spacing w:val="-20"/>
              </w:rPr>
            </w:pPr>
            <w:r w:rsidRPr="006752F4">
              <w:rPr>
                <w:spacing w:val="-20"/>
              </w:rPr>
              <w:t>完成6,902具水量計檢查，</w:t>
            </w:r>
            <w:r w:rsidRPr="006D4E1D">
              <w:rPr>
                <w:b/>
                <w:spacing w:val="-20"/>
              </w:rPr>
              <w:t>不合格132具</w:t>
            </w:r>
            <w:r w:rsidRPr="006752F4">
              <w:rPr>
                <w:spacing w:val="-20"/>
              </w:rPr>
              <w:t>。</w:t>
            </w:r>
            <w:r>
              <w:rPr>
                <w:rFonts w:hint="eastAsia"/>
                <w:spacing w:val="-20"/>
              </w:rPr>
              <w:t>(不合格率1.91%)</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油量計檢查計畫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針對已檢定合格滿3個月以上之油量計隨機抽樣</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rFonts w:hint="eastAsia"/>
                <w:spacing w:val="-20"/>
              </w:rPr>
            </w:pPr>
            <w:r w:rsidRPr="006752F4">
              <w:rPr>
                <w:spacing w:val="-20"/>
              </w:rPr>
              <w:t>完成10,398具油量計檢查，</w:t>
            </w:r>
            <w:r w:rsidRPr="006D4E1D">
              <w:rPr>
                <w:b/>
                <w:spacing w:val="-20"/>
              </w:rPr>
              <w:t>不合格48具</w:t>
            </w:r>
            <w:r w:rsidRPr="006752F4">
              <w:rPr>
                <w:spacing w:val="-20"/>
              </w:rPr>
              <w:t>。</w:t>
            </w:r>
            <w:r>
              <w:rPr>
                <w:rFonts w:hint="eastAsia"/>
                <w:spacing w:val="-20"/>
              </w:rPr>
              <w:t>(不合格率0.46%)</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公務檢測用雷達測速儀檢查計畫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依受檢單位持有數量依比例抽出</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完成35具雷達測速儀檢查，全數合格。</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公務檢測用雷射測速儀檢查計畫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依受檢單位持有數量依比例抽出</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完成21具雷射測速儀檢查，全數合格。</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公務檢測用呼氣酒精測試器及分析儀檢查計畫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依據各受檢單位持有廠牌型號比率進行抽樣</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完成200具呼氣酒精測試器及分析儀檢查，</w:t>
            </w:r>
            <w:r w:rsidRPr="006D4E1D">
              <w:rPr>
                <w:b/>
                <w:spacing w:val="-20"/>
              </w:rPr>
              <w:t>不合格1具</w:t>
            </w:r>
            <w:r w:rsidRPr="006752F4">
              <w:rPr>
                <w:spacing w:val="-20"/>
              </w:rPr>
              <w:t>。</w:t>
            </w:r>
            <w:r>
              <w:rPr>
                <w:rFonts w:hint="eastAsia"/>
                <w:spacing w:val="-20"/>
              </w:rPr>
              <w:t>(不合格率0.</w:t>
            </w:r>
            <w:r>
              <w:rPr>
                <w:spacing w:val="-20"/>
              </w:rPr>
              <w:t>5</w:t>
            </w:r>
            <w:r>
              <w:rPr>
                <w:rFonts w:hint="eastAsia"/>
                <w:spacing w:val="-20"/>
              </w:rPr>
              <w:t>%)</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衡器檢查計畫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隨機抽檢</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完成27,878具衡器檢查，</w:t>
            </w:r>
            <w:r w:rsidRPr="006D4E1D">
              <w:rPr>
                <w:b/>
                <w:spacing w:val="-20"/>
              </w:rPr>
              <w:t>不合格24具</w:t>
            </w:r>
            <w:r w:rsidRPr="006752F4">
              <w:rPr>
                <w:spacing w:val="-20"/>
              </w:rPr>
              <w:t>。</w:t>
            </w:r>
            <w:r>
              <w:rPr>
                <w:rFonts w:hint="eastAsia"/>
                <w:spacing w:val="-20"/>
              </w:rPr>
              <w:t>(不合格率0.0</w:t>
            </w:r>
            <w:r>
              <w:rPr>
                <w:spacing w:val="-20"/>
              </w:rPr>
              <w:t>9</w:t>
            </w:r>
            <w:r>
              <w:rPr>
                <w:rFonts w:hint="eastAsia"/>
                <w:spacing w:val="-20"/>
              </w:rPr>
              <w:t>%)</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非侵入式機械血壓計檢查計畫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轄區內公私立醫療院所使用中血壓計</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完成2,537具非侵入式機械血壓計檢查，</w:t>
            </w:r>
            <w:r w:rsidRPr="006D4E1D">
              <w:rPr>
                <w:b/>
                <w:spacing w:val="-20"/>
              </w:rPr>
              <w:t>不合格9具</w:t>
            </w:r>
            <w:r w:rsidRPr="006752F4">
              <w:rPr>
                <w:spacing w:val="-20"/>
              </w:rPr>
              <w:t>。</w:t>
            </w:r>
            <w:r>
              <w:rPr>
                <w:rFonts w:hint="eastAsia"/>
                <w:spacing w:val="-20"/>
              </w:rPr>
              <w:t>(不合格率0.</w:t>
            </w:r>
            <w:r>
              <w:rPr>
                <w:spacing w:val="-20"/>
              </w:rPr>
              <w:t>35</w:t>
            </w:r>
            <w:r>
              <w:rPr>
                <w:rFonts w:hint="eastAsia"/>
                <w:spacing w:val="-20"/>
              </w:rPr>
              <w:t>%)</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公務檢測用噪音計檢查計畫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依受檢單位持有數量依比例抽出</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完成8具噪音計檢查，</w:t>
            </w:r>
            <w:r w:rsidRPr="006D4E1D">
              <w:rPr>
                <w:b/>
                <w:spacing w:val="-20"/>
              </w:rPr>
              <w:t>不合格1具</w:t>
            </w:r>
            <w:r w:rsidRPr="006752F4">
              <w:rPr>
                <w:spacing w:val="-20"/>
              </w:rPr>
              <w:t>。</w:t>
            </w:r>
            <w:r>
              <w:rPr>
                <w:rFonts w:hint="eastAsia"/>
                <w:spacing w:val="-20"/>
              </w:rPr>
              <w:t>(不合格率</w:t>
            </w:r>
            <w:r>
              <w:rPr>
                <w:spacing w:val="-20"/>
              </w:rPr>
              <w:t>12.5</w:t>
            </w:r>
            <w:r>
              <w:rPr>
                <w:rFonts w:hint="eastAsia"/>
                <w:spacing w:val="-20"/>
              </w:rPr>
              <w:t>%)</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公務檢測用區間平均速率裝置檢查計畫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依受檢單位持有數量依比例抽出</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完成7具區間平均速率裝置檢查，全數合格。</w:t>
            </w:r>
          </w:p>
        </w:tc>
      </w:tr>
      <w:tr w:rsidR="00674FFF" w:rsidRPr="006752F4" w:rsidTr="00674FFF">
        <w:trPr>
          <w:jc w:val="right"/>
        </w:trPr>
        <w:tc>
          <w:tcPr>
            <w:tcW w:w="5525" w:type="dxa"/>
            <w:gridSpan w:val="2"/>
            <w:shd w:val="clear" w:color="auto" w:fill="auto"/>
            <w:vAlign w:val="center"/>
          </w:tcPr>
          <w:p w:rsidR="00674FFF" w:rsidRPr="006752F4" w:rsidRDefault="00674FFF" w:rsidP="00674FFF">
            <w:pPr>
              <w:pStyle w:val="142"/>
              <w:spacing w:line="260" w:lineRule="exact"/>
              <w:jc w:val="center"/>
              <w:rPr>
                <w:spacing w:val="-20"/>
              </w:rPr>
            </w:pPr>
            <w:r>
              <w:rPr>
                <w:rFonts w:hint="eastAsia"/>
                <w:spacing w:val="-20"/>
              </w:rPr>
              <w:t>合計</w:t>
            </w:r>
          </w:p>
        </w:tc>
        <w:tc>
          <w:tcPr>
            <w:tcW w:w="3083" w:type="dxa"/>
            <w:shd w:val="clear" w:color="auto" w:fill="auto"/>
            <w:vAlign w:val="center"/>
          </w:tcPr>
          <w:p w:rsidR="00674FFF" w:rsidRPr="006752F4" w:rsidRDefault="00674FFF" w:rsidP="00674FFF">
            <w:pPr>
              <w:pStyle w:val="142"/>
              <w:spacing w:line="260" w:lineRule="exact"/>
              <w:jc w:val="both"/>
              <w:rPr>
                <w:rFonts w:hint="eastAsia"/>
                <w:spacing w:val="-20"/>
              </w:rPr>
            </w:pPr>
            <w:r>
              <w:rPr>
                <w:rFonts w:hint="eastAsia"/>
                <w:spacing w:val="-20"/>
              </w:rPr>
              <w:t>共完成66</w:t>
            </w:r>
            <w:r>
              <w:rPr>
                <w:spacing w:val="-20"/>
              </w:rPr>
              <w:t>,</w:t>
            </w:r>
            <w:r>
              <w:rPr>
                <w:rFonts w:hint="eastAsia"/>
                <w:spacing w:val="-20"/>
              </w:rPr>
              <w:t>025具，</w:t>
            </w:r>
            <w:r w:rsidRPr="00932CFC">
              <w:rPr>
                <w:rFonts w:hint="eastAsia"/>
                <w:b/>
                <w:spacing w:val="-20"/>
              </w:rPr>
              <w:t>不合格434</w:t>
            </w:r>
            <w:r w:rsidRPr="00932CFC">
              <w:rPr>
                <w:rFonts w:hint="eastAsia"/>
                <w:b/>
                <w:spacing w:val="-20"/>
              </w:rPr>
              <w:lastRenderedPageBreak/>
              <w:t>具</w:t>
            </w:r>
            <w:r w:rsidRPr="006752F4">
              <w:rPr>
                <w:spacing w:val="-20"/>
              </w:rPr>
              <w:t>。</w:t>
            </w:r>
            <w:r>
              <w:rPr>
                <w:rFonts w:hint="eastAsia"/>
                <w:spacing w:val="-20"/>
              </w:rPr>
              <w:t>(不合格率0.66%)</w:t>
            </w:r>
          </w:p>
        </w:tc>
      </w:tr>
    </w:tbl>
    <w:p w:rsidR="00703FCF" w:rsidRPr="00D0060B" w:rsidRDefault="00674FFF" w:rsidP="007C7664">
      <w:pPr>
        <w:pStyle w:val="142"/>
        <w:ind w:left="1216" w:hangingChars="500" w:hanging="1216"/>
      </w:pPr>
      <w:r w:rsidRPr="003C7FED">
        <w:rPr>
          <w:rFonts w:hint="eastAsia"/>
        </w:rPr>
        <w:lastRenderedPageBreak/>
        <w:t>資料來源</w:t>
      </w:r>
      <w:r>
        <w:rPr>
          <w:rFonts w:hint="eastAsia"/>
        </w:rPr>
        <w:t>：標檢局</w:t>
      </w:r>
      <w:r w:rsidRPr="003C7FED">
        <w:rPr>
          <w:rFonts w:hint="eastAsia"/>
        </w:rPr>
        <w:t>提供</w:t>
      </w:r>
      <w:r w:rsidRPr="006C7313">
        <w:rPr>
          <w:rFonts w:hint="eastAsia"/>
        </w:rPr>
        <w:t>。</w:t>
      </w:r>
      <w:bookmarkEnd w:id="11"/>
      <w:bookmarkEnd w:id="12"/>
    </w:p>
    <w:sectPr w:rsidR="00703FCF" w:rsidRPr="00D0060B"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1D0" w:rsidRDefault="002B71D0" w:rsidP="00E96594">
      <w:pPr>
        <w:spacing w:line="240" w:lineRule="auto"/>
        <w:ind w:left="560" w:firstLine="560"/>
      </w:pPr>
      <w:r>
        <w:separator/>
      </w:r>
    </w:p>
  </w:endnote>
  <w:endnote w:type="continuationSeparator" w:id="0">
    <w:p w:rsidR="002B71D0" w:rsidRDefault="002B71D0"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7C7664" w:rsidRPr="007C7664">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1D0" w:rsidRDefault="002B71D0" w:rsidP="00DF65DC">
      <w:pPr>
        <w:spacing w:line="240" w:lineRule="auto"/>
        <w:ind w:left="560" w:firstLine="560"/>
      </w:pPr>
      <w:r>
        <w:separator/>
      </w:r>
    </w:p>
  </w:footnote>
  <w:footnote w:type="continuationSeparator" w:id="0">
    <w:p w:rsidR="002B71D0" w:rsidRDefault="002B71D0" w:rsidP="00E96594">
      <w:pPr>
        <w:spacing w:line="240" w:lineRule="auto"/>
        <w:ind w:left="560" w:firstLine="560"/>
      </w:pPr>
      <w:r>
        <w:continuationSeparator/>
      </w:r>
    </w:p>
  </w:footnote>
  <w:footnote w:id="1">
    <w:p w:rsidR="00674FFF" w:rsidRPr="00810234" w:rsidRDefault="00674FFF" w:rsidP="00703FCF">
      <w:pPr>
        <w:pStyle w:val="142"/>
        <w:ind w:left="112" w:hangingChars="46" w:hanging="112"/>
        <w:jc w:val="both"/>
        <w:rPr>
          <w:rFonts w:hint="eastAsia"/>
          <w:color w:val="000000"/>
        </w:rPr>
      </w:pPr>
      <w:r w:rsidRPr="00810234">
        <w:rPr>
          <w:rStyle w:val="ae"/>
          <w:color w:val="000000"/>
        </w:rPr>
        <w:footnoteRef/>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sidRPr="00810234">
        <w:rPr>
          <w:rFonts w:hAnsi="標楷體" w:hint="eastAsia"/>
          <w:color w:val="000000"/>
        </w:rPr>
        <w:t>。</w:t>
      </w:r>
    </w:p>
  </w:footnote>
  <w:footnote w:id="2">
    <w:p w:rsidR="00674FFF" w:rsidRPr="00C94EEB" w:rsidRDefault="00674FFF" w:rsidP="00703FCF">
      <w:pPr>
        <w:pStyle w:val="142"/>
        <w:rPr>
          <w:rFonts w:hint="eastAsia"/>
        </w:rPr>
      </w:pPr>
      <w:r w:rsidRPr="00810234">
        <w:rPr>
          <w:rStyle w:val="ae"/>
          <w:color w:val="000000"/>
        </w:rPr>
        <w:footnoteRef/>
      </w:r>
      <w:r w:rsidRPr="00810234">
        <w:rPr>
          <w:rFonts w:hint="eastAsia"/>
          <w:color w:val="000000"/>
        </w:rPr>
        <w:t>包含實現數2,</w:t>
      </w:r>
      <w:r w:rsidRPr="00810234">
        <w:rPr>
          <w:color w:val="000000"/>
        </w:rPr>
        <w:t>109</w:t>
      </w:r>
      <w:r w:rsidRPr="00810234">
        <w:rPr>
          <w:rFonts w:hint="eastAsia"/>
          <w:color w:val="000000"/>
        </w:rPr>
        <w:t>億</w:t>
      </w:r>
      <w:r w:rsidRPr="00810234">
        <w:rPr>
          <w:color w:val="000000"/>
        </w:rPr>
        <w:t>5,861</w:t>
      </w:r>
      <w:r w:rsidRPr="00810234">
        <w:rPr>
          <w:rFonts w:hint="eastAsia"/>
          <w:color w:val="000000"/>
        </w:rPr>
        <w:t>萬</w:t>
      </w:r>
      <w:r w:rsidRPr="00810234">
        <w:rPr>
          <w:color w:val="000000"/>
        </w:rPr>
        <w:t>8</w:t>
      </w:r>
      <w:r w:rsidRPr="00810234">
        <w:rPr>
          <w:rFonts w:hint="eastAsia"/>
          <w:color w:val="000000"/>
        </w:rPr>
        <w:t>千元及應付保留數</w:t>
      </w:r>
      <w:r w:rsidRPr="00810234">
        <w:rPr>
          <w:color w:val="000000"/>
        </w:rPr>
        <w:t>25</w:t>
      </w:r>
      <w:r w:rsidRPr="00810234">
        <w:rPr>
          <w:rFonts w:hint="eastAsia"/>
          <w:color w:val="000000"/>
        </w:rPr>
        <w:t>億</w:t>
      </w:r>
      <w:r w:rsidRPr="00810234">
        <w:rPr>
          <w:color w:val="000000"/>
        </w:rPr>
        <w:t>405</w:t>
      </w:r>
      <w:r w:rsidRPr="00810234">
        <w:rPr>
          <w:rFonts w:hint="eastAsia"/>
          <w:color w:val="000000"/>
        </w:rPr>
        <w:t>萬</w:t>
      </w:r>
      <w:r w:rsidRPr="00810234">
        <w:rPr>
          <w:color w:val="000000"/>
        </w:rPr>
        <w:t>3</w:t>
      </w:r>
      <w:r w:rsidRPr="00810234">
        <w:rPr>
          <w:rFonts w:hint="eastAsia"/>
          <w:color w:val="000000"/>
        </w:rPr>
        <w:t>千元</w:t>
      </w:r>
      <w:r w:rsidRPr="00810234">
        <w:rPr>
          <w:rFonts w:hAnsi="標楷體" w:hint="eastAsia"/>
          <w:color w:val="000000"/>
        </w:rPr>
        <w:t>。</w:t>
      </w:r>
    </w:p>
  </w:footnote>
  <w:footnote w:id="3">
    <w:p w:rsidR="00674FFF" w:rsidRDefault="00674FFF" w:rsidP="00674FFF">
      <w:pPr>
        <w:pStyle w:val="142"/>
        <w:ind w:left="61" w:hangingChars="25" w:hanging="61"/>
        <w:jc w:val="both"/>
        <w:rPr>
          <w:rFonts w:hint="eastAsia"/>
        </w:rPr>
      </w:pPr>
      <w:r>
        <w:rPr>
          <w:rStyle w:val="ae"/>
        </w:rPr>
        <w:footnoteRef/>
      </w:r>
      <w:r>
        <w:rPr>
          <w:rFonts w:hint="eastAsia"/>
        </w:rPr>
        <w:t>詢據標準局說明略以，因</w:t>
      </w:r>
      <w:r w:rsidRPr="008F771E">
        <w:rPr>
          <w:rFonts w:hint="eastAsia"/>
        </w:rPr>
        <w:t>「度量衡管理及檢定」與「度量衡器檢定檢查事務」</w:t>
      </w:r>
      <w:r>
        <w:rPr>
          <w:rFonts w:hint="eastAsia"/>
        </w:rPr>
        <w:t>原編預算數尚不足支應所需經費，故自同一工作計畫項下之</w:t>
      </w:r>
      <w:r w:rsidRPr="008F771E">
        <w:rPr>
          <w:rFonts w:hint="eastAsia"/>
        </w:rPr>
        <w:t>「企劃檢驗驗證及國際事務」與「發展檢試驗暨技術服務」</w:t>
      </w:r>
      <w:r>
        <w:rPr>
          <w:rFonts w:hint="eastAsia"/>
        </w:rPr>
        <w:t>分別調整運用</w:t>
      </w:r>
      <w:r w:rsidRPr="003E27D8">
        <w:t>22</w:t>
      </w:r>
      <w:r>
        <w:rPr>
          <w:rFonts w:hint="eastAsia"/>
        </w:rPr>
        <w:t>萬</w:t>
      </w:r>
      <w:r w:rsidRPr="003E27D8">
        <w:t>3</w:t>
      </w:r>
      <w:r>
        <w:rPr>
          <w:rFonts w:hint="eastAsia"/>
        </w:rPr>
        <w:t>千元及111萬5千元</w:t>
      </w:r>
      <w:r w:rsidRPr="008F771E">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9"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0"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2"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4"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5"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7"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19"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1"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9"/>
  </w:num>
  <w:num w:numId="2">
    <w:abstractNumId w:val="3"/>
  </w:num>
  <w:num w:numId="3">
    <w:abstractNumId w:val="0"/>
  </w:num>
  <w:num w:numId="4">
    <w:abstractNumId w:val="16"/>
  </w:num>
  <w:num w:numId="5">
    <w:abstractNumId w:val="2"/>
  </w:num>
  <w:num w:numId="6">
    <w:abstractNumId w:val="20"/>
  </w:num>
  <w:num w:numId="7">
    <w:abstractNumId w:val="23"/>
  </w:num>
  <w:num w:numId="8">
    <w:abstractNumId w:val="12"/>
  </w:num>
  <w:num w:numId="9">
    <w:abstractNumId w:val="1"/>
  </w:num>
  <w:num w:numId="10">
    <w:abstractNumId w:val="14"/>
  </w:num>
  <w:num w:numId="11">
    <w:abstractNumId w:val="8"/>
  </w:num>
  <w:num w:numId="12">
    <w:abstractNumId w:val="13"/>
  </w:num>
  <w:num w:numId="13">
    <w:abstractNumId w:val="17"/>
  </w:num>
  <w:num w:numId="14">
    <w:abstractNumId w:val="11"/>
  </w:num>
  <w:num w:numId="15">
    <w:abstractNumId w:val="18"/>
  </w:num>
  <w:num w:numId="16">
    <w:abstractNumId w:val="4"/>
  </w:num>
  <w:num w:numId="17">
    <w:abstractNumId w:val="24"/>
  </w:num>
  <w:num w:numId="18">
    <w:abstractNumId w:val="15"/>
  </w:num>
  <w:num w:numId="19">
    <w:abstractNumId w:val="22"/>
  </w:num>
  <w:num w:numId="20">
    <w:abstractNumId w:val="7"/>
  </w:num>
  <w:num w:numId="21">
    <w:abstractNumId w:val="5"/>
  </w:num>
  <w:num w:numId="22">
    <w:abstractNumId w:val="6"/>
  </w:num>
  <w:num w:numId="23">
    <w:abstractNumId w:val="21"/>
  </w:num>
  <w:num w:numId="24">
    <w:abstractNumId w:val="10"/>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1C2E"/>
    <w:rsid w:val="00143177"/>
    <w:rsid w:val="00146BA6"/>
    <w:rsid w:val="00153232"/>
    <w:rsid w:val="00156ADD"/>
    <w:rsid w:val="00157060"/>
    <w:rsid w:val="001675C8"/>
    <w:rsid w:val="001676C1"/>
    <w:rsid w:val="0017210C"/>
    <w:rsid w:val="00177D5E"/>
    <w:rsid w:val="001810EF"/>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6EFF"/>
    <w:rsid w:val="004F000F"/>
    <w:rsid w:val="004F0CEC"/>
    <w:rsid w:val="004F10BD"/>
    <w:rsid w:val="004F1F21"/>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664"/>
    <w:rsid w:val="007C7CA0"/>
    <w:rsid w:val="007E2296"/>
    <w:rsid w:val="007E4123"/>
    <w:rsid w:val="007E478E"/>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D1D48"/>
    <w:rsid w:val="008D33F4"/>
    <w:rsid w:val="008D3521"/>
    <w:rsid w:val="008D3E36"/>
    <w:rsid w:val="008D41C8"/>
    <w:rsid w:val="008E1A1D"/>
    <w:rsid w:val="008E2268"/>
    <w:rsid w:val="008E2329"/>
    <w:rsid w:val="008E2A3E"/>
    <w:rsid w:val="008E464F"/>
    <w:rsid w:val="008E5033"/>
    <w:rsid w:val="008F13C1"/>
    <w:rsid w:val="008F3525"/>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80E5A"/>
    <w:rsid w:val="00B849E7"/>
    <w:rsid w:val="00B87F91"/>
    <w:rsid w:val="00B905FF"/>
    <w:rsid w:val="00B939C6"/>
    <w:rsid w:val="00B93E88"/>
    <w:rsid w:val="00B9500F"/>
    <w:rsid w:val="00B952D9"/>
    <w:rsid w:val="00B95B80"/>
    <w:rsid w:val="00B95F94"/>
    <w:rsid w:val="00BA13D7"/>
    <w:rsid w:val="00BA3166"/>
    <w:rsid w:val="00BA37D6"/>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47A9453-2363-4F42-ADCC-0BEE03951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uiPriority w:val="99"/>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3B39E-0C09-4CE4-A92A-2E4C01652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379</Words>
  <Characters>2162</Characters>
  <Application>Microsoft Office Word</Application>
  <DocSecurity>0</DocSecurity>
  <Lines>18</Lines>
  <Paragraphs>5</Paragraphs>
  <ScaleCrop>false</ScaleCrop>
  <Company/>
  <LinksUpToDate>false</LinksUpToDate>
  <CharactersWithSpaces>2536</CharactersWithSpaces>
  <SharedDoc>false</SharedDoc>
  <HLinks>
    <vt:vector size="96" baseType="variant">
      <vt:variant>
        <vt:i4>1900605</vt:i4>
      </vt:variant>
      <vt:variant>
        <vt:i4>92</vt:i4>
      </vt:variant>
      <vt:variant>
        <vt:i4>0</vt:i4>
      </vt:variant>
      <vt:variant>
        <vt:i4>5</vt:i4>
      </vt:variant>
      <vt:variant>
        <vt:lpwstr/>
      </vt:variant>
      <vt:variant>
        <vt:lpwstr>_Toc184808829</vt:lpwstr>
      </vt:variant>
      <vt:variant>
        <vt:i4>1900605</vt:i4>
      </vt:variant>
      <vt:variant>
        <vt:i4>86</vt:i4>
      </vt:variant>
      <vt:variant>
        <vt:i4>0</vt:i4>
      </vt:variant>
      <vt:variant>
        <vt:i4>5</vt:i4>
      </vt:variant>
      <vt:variant>
        <vt:lpwstr/>
      </vt:variant>
      <vt:variant>
        <vt:lpwstr>_Toc184808828</vt:lpwstr>
      </vt:variant>
      <vt:variant>
        <vt:i4>1900605</vt:i4>
      </vt:variant>
      <vt:variant>
        <vt:i4>80</vt:i4>
      </vt:variant>
      <vt:variant>
        <vt:i4>0</vt:i4>
      </vt:variant>
      <vt:variant>
        <vt:i4>5</vt:i4>
      </vt:variant>
      <vt:variant>
        <vt:lpwstr/>
      </vt:variant>
      <vt:variant>
        <vt:lpwstr>_Toc184808827</vt:lpwstr>
      </vt:variant>
      <vt:variant>
        <vt:i4>1900605</vt:i4>
      </vt:variant>
      <vt:variant>
        <vt:i4>74</vt:i4>
      </vt:variant>
      <vt:variant>
        <vt:i4>0</vt:i4>
      </vt:variant>
      <vt:variant>
        <vt:i4>5</vt:i4>
      </vt:variant>
      <vt:variant>
        <vt:lpwstr/>
      </vt:variant>
      <vt:variant>
        <vt:lpwstr>_Toc184808826</vt:lpwstr>
      </vt:variant>
      <vt:variant>
        <vt:i4>1900605</vt:i4>
      </vt:variant>
      <vt:variant>
        <vt:i4>68</vt:i4>
      </vt:variant>
      <vt:variant>
        <vt:i4>0</vt:i4>
      </vt:variant>
      <vt:variant>
        <vt:i4>5</vt:i4>
      </vt:variant>
      <vt:variant>
        <vt:lpwstr/>
      </vt:variant>
      <vt:variant>
        <vt:lpwstr>_Toc184808825</vt:lpwstr>
      </vt:variant>
      <vt:variant>
        <vt:i4>1900605</vt:i4>
      </vt:variant>
      <vt:variant>
        <vt:i4>62</vt:i4>
      </vt:variant>
      <vt:variant>
        <vt:i4>0</vt:i4>
      </vt:variant>
      <vt:variant>
        <vt:i4>5</vt:i4>
      </vt:variant>
      <vt:variant>
        <vt:lpwstr/>
      </vt:variant>
      <vt:variant>
        <vt:lpwstr>_Toc184808824</vt:lpwstr>
      </vt:variant>
      <vt:variant>
        <vt:i4>1900605</vt:i4>
      </vt:variant>
      <vt:variant>
        <vt:i4>56</vt:i4>
      </vt:variant>
      <vt:variant>
        <vt:i4>0</vt:i4>
      </vt:variant>
      <vt:variant>
        <vt:i4>5</vt:i4>
      </vt:variant>
      <vt:variant>
        <vt:lpwstr/>
      </vt:variant>
      <vt:variant>
        <vt:lpwstr>_Toc184808823</vt:lpwstr>
      </vt:variant>
      <vt:variant>
        <vt:i4>1900605</vt:i4>
      </vt:variant>
      <vt:variant>
        <vt:i4>50</vt:i4>
      </vt:variant>
      <vt:variant>
        <vt:i4>0</vt:i4>
      </vt:variant>
      <vt:variant>
        <vt:i4>5</vt:i4>
      </vt:variant>
      <vt:variant>
        <vt:lpwstr/>
      </vt:variant>
      <vt:variant>
        <vt:lpwstr>_Toc184808822</vt:lpwstr>
      </vt:variant>
      <vt:variant>
        <vt:i4>1900605</vt:i4>
      </vt:variant>
      <vt:variant>
        <vt:i4>44</vt:i4>
      </vt:variant>
      <vt:variant>
        <vt:i4>0</vt:i4>
      </vt:variant>
      <vt:variant>
        <vt:i4>5</vt:i4>
      </vt:variant>
      <vt:variant>
        <vt:lpwstr/>
      </vt:variant>
      <vt:variant>
        <vt:lpwstr>_Toc184808821</vt:lpwstr>
      </vt:variant>
      <vt:variant>
        <vt:i4>1900605</vt:i4>
      </vt:variant>
      <vt:variant>
        <vt:i4>38</vt:i4>
      </vt:variant>
      <vt:variant>
        <vt:i4>0</vt:i4>
      </vt:variant>
      <vt:variant>
        <vt:i4>5</vt:i4>
      </vt:variant>
      <vt:variant>
        <vt:lpwstr/>
      </vt:variant>
      <vt:variant>
        <vt:lpwstr>_Toc184808820</vt:lpwstr>
      </vt:variant>
      <vt:variant>
        <vt:i4>1966141</vt:i4>
      </vt:variant>
      <vt:variant>
        <vt:i4>32</vt:i4>
      </vt:variant>
      <vt:variant>
        <vt:i4>0</vt:i4>
      </vt:variant>
      <vt:variant>
        <vt:i4>5</vt:i4>
      </vt:variant>
      <vt:variant>
        <vt:lpwstr/>
      </vt:variant>
      <vt:variant>
        <vt:lpwstr>_Toc184808819</vt:lpwstr>
      </vt:variant>
      <vt:variant>
        <vt:i4>1966141</vt:i4>
      </vt:variant>
      <vt:variant>
        <vt:i4>26</vt:i4>
      </vt:variant>
      <vt:variant>
        <vt:i4>0</vt:i4>
      </vt:variant>
      <vt:variant>
        <vt:i4>5</vt:i4>
      </vt:variant>
      <vt:variant>
        <vt:lpwstr/>
      </vt:variant>
      <vt:variant>
        <vt:lpwstr>_Toc184808818</vt:lpwstr>
      </vt:variant>
      <vt:variant>
        <vt:i4>1966141</vt:i4>
      </vt:variant>
      <vt:variant>
        <vt:i4>20</vt:i4>
      </vt:variant>
      <vt:variant>
        <vt:i4>0</vt:i4>
      </vt:variant>
      <vt:variant>
        <vt:i4>5</vt:i4>
      </vt:variant>
      <vt:variant>
        <vt:lpwstr/>
      </vt:variant>
      <vt:variant>
        <vt:lpwstr>_Toc184808817</vt:lpwstr>
      </vt:variant>
      <vt:variant>
        <vt:i4>1966141</vt:i4>
      </vt:variant>
      <vt:variant>
        <vt:i4>14</vt:i4>
      </vt:variant>
      <vt:variant>
        <vt:i4>0</vt:i4>
      </vt:variant>
      <vt:variant>
        <vt:i4>5</vt:i4>
      </vt:variant>
      <vt:variant>
        <vt:lpwstr/>
      </vt:variant>
      <vt:variant>
        <vt:lpwstr>_Toc184808816</vt:lpwstr>
      </vt:variant>
      <vt:variant>
        <vt:i4>1966141</vt:i4>
      </vt:variant>
      <vt:variant>
        <vt:i4>8</vt:i4>
      </vt:variant>
      <vt:variant>
        <vt:i4>0</vt:i4>
      </vt:variant>
      <vt:variant>
        <vt:i4>5</vt:i4>
      </vt:variant>
      <vt:variant>
        <vt:lpwstr/>
      </vt:variant>
      <vt:variant>
        <vt:lpwstr>_Toc184808815</vt:lpwstr>
      </vt:variant>
      <vt:variant>
        <vt:i4>1966141</vt:i4>
      </vt:variant>
      <vt:variant>
        <vt:i4>2</vt:i4>
      </vt:variant>
      <vt:variant>
        <vt:i4>0</vt:i4>
      </vt:variant>
      <vt:variant>
        <vt:i4>5</vt:i4>
      </vt:variant>
      <vt:variant>
        <vt:lpwstr/>
      </vt:variant>
      <vt:variant>
        <vt:lpwstr>_Toc184808814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2023-10-17T01:18:00Z</cp:lastPrinted>
  <dcterms:created xsi:type="dcterms:W3CDTF">2024-12-13T02:48:00Z</dcterms:created>
  <dcterms:modified xsi:type="dcterms:W3CDTF">2024-12-13T02:48:00Z</dcterms:modified>
</cp:coreProperties>
</file>