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13D" w:rsidRPr="008A5015" w:rsidRDefault="00FB113D" w:rsidP="00722B87">
      <w:pPr>
        <w:pStyle w:val="aa"/>
      </w:pPr>
      <w:bookmarkStart w:id="0" w:name="_Toc477265286"/>
      <w:bookmarkStart w:id="1" w:name="_Toc495221729"/>
      <w:bookmarkStart w:id="2" w:name="_Toc496878062"/>
      <w:bookmarkStart w:id="3" w:name="_GoBack"/>
      <w:bookmarkEnd w:id="3"/>
      <w:r w:rsidRPr="008A5015">
        <w:rPr>
          <w:rFonts w:hint="eastAsia"/>
        </w:rPr>
        <w:t>經濟部主管</w:t>
      </w:r>
      <w:r w:rsidR="002E0C6B" w:rsidRPr="008A5015">
        <w:t>11</w:t>
      </w:r>
      <w:r w:rsidR="00703FCF">
        <w:rPr>
          <w:rFonts w:hint="eastAsia"/>
        </w:rPr>
        <w:t>2</w:t>
      </w:r>
      <w:r w:rsidRPr="008A5015">
        <w:rPr>
          <w:rFonts w:hint="eastAsia"/>
        </w:rPr>
        <w:t>年度單位決算評估報告</w:t>
      </w:r>
    </w:p>
    <w:p w:rsidR="00703FCF" w:rsidRPr="00703FCF" w:rsidRDefault="00703FCF" w:rsidP="00703FCF">
      <w:pPr>
        <w:adjustRightInd w:val="0"/>
        <w:ind w:leftChars="0" w:left="0" w:firstLine="566"/>
        <w:rPr>
          <w:color w:val="000000"/>
        </w:rPr>
      </w:pPr>
      <w:bookmarkStart w:id="4" w:name="_Toc496609238"/>
      <w:bookmarkStart w:id="5" w:name="_Toc527539941"/>
      <w:bookmarkStart w:id="6" w:name="_Toc147390057"/>
      <w:bookmarkStart w:id="7" w:name="_Toc350505858"/>
      <w:bookmarkStart w:id="8" w:name="_Toc372620661"/>
      <w:bookmarkStart w:id="9" w:name="_Toc479322361"/>
      <w:bookmarkEnd w:id="0"/>
      <w:bookmarkEnd w:id="1"/>
      <w:bookmarkEnd w:id="2"/>
      <w:r w:rsidRPr="00703FCF">
        <w:rPr>
          <w:rFonts w:hint="eastAsia"/>
          <w:color w:val="000000"/>
        </w:rPr>
        <w:t>經濟部主管包括經濟部、工業局(產業發展署)、國際貿易局及所屬(國際貿易署)、標準檢驗局及所屬、智慧財產局、水利署及所屬、中小企業處(中小及新創企業署)、加工出口區管理處及所屬(產業園區管理局及所屬)、中央地質調查所(地質調查及礦業管理中心)及能源局(能源署)等10個機關</w:t>
      </w:r>
      <w:r w:rsidRPr="00703FCF">
        <w:rPr>
          <w:color w:val="000000"/>
          <w:vertAlign w:val="superscript"/>
        </w:rPr>
        <w:footnoteReference w:id="1"/>
      </w:r>
      <w:r w:rsidRPr="00703FCF">
        <w:rPr>
          <w:rFonts w:hAnsi="標楷體" w:hint="eastAsia"/>
          <w:color w:val="000000"/>
        </w:rPr>
        <w:t>，112年度主管歲入預算數</w:t>
      </w:r>
      <w:r w:rsidRPr="00703FCF">
        <w:rPr>
          <w:rFonts w:hAnsi="標楷體"/>
          <w:color w:val="000000"/>
        </w:rPr>
        <w:t>19</w:t>
      </w:r>
      <w:r w:rsidRPr="00703FCF">
        <w:rPr>
          <w:rFonts w:hAnsi="標楷體" w:hint="eastAsia"/>
          <w:color w:val="000000"/>
        </w:rPr>
        <w:t>7億9</w:t>
      </w:r>
      <w:r w:rsidRPr="00703FCF">
        <w:rPr>
          <w:rFonts w:hAnsi="標楷體"/>
          <w:color w:val="000000"/>
        </w:rPr>
        <w:t>,</w:t>
      </w:r>
      <w:r w:rsidRPr="00703FCF">
        <w:rPr>
          <w:rFonts w:hAnsi="標楷體" w:hint="eastAsia"/>
          <w:color w:val="000000"/>
        </w:rPr>
        <w:t>573萬</w:t>
      </w:r>
      <w:r w:rsidRPr="00703FCF">
        <w:rPr>
          <w:rFonts w:hAnsi="標楷體"/>
          <w:color w:val="000000"/>
        </w:rPr>
        <w:t>4</w:t>
      </w:r>
      <w:r w:rsidRPr="00703FCF">
        <w:rPr>
          <w:rFonts w:hAnsi="標楷體" w:hint="eastAsia"/>
          <w:color w:val="000000"/>
        </w:rPr>
        <w:t>千元，決算審定數</w:t>
      </w:r>
      <w:r w:rsidRPr="00703FCF">
        <w:rPr>
          <w:rFonts w:hAnsi="標楷體"/>
          <w:color w:val="000000"/>
        </w:rPr>
        <w:t>172</w:t>
      </w:r>
      <w:r w:rsidRPr="00703FCF">
        <w:rPr>
          <w:rFonts w:hAnsi="標楷體" w:hint="eastAsia"/>
          <w:color w:val="000000"/>
        </w:rPr>
        <w:t>億</w:t>
      </w:r>
      <w:r w:rsidRPr="00703FCF">
        <w:rPr>
          <w:rFonts w:hAnsi="標楷體"/>
          <w:color w:val="000000"/>
        </w:rPr>
        <w:t>3,183</w:t>
      </w:r>
      <w:r w:rsidRPr="00703FCF">
        <w:rPr>
          <w:rFonts w:hAnsi="標楷體" w:hint="eastAsia"/>
          <w:color w:val="000000"/>
        </w:rPr>
        <w:t>萬5千元，較預算減少25億6,389萬9千元(減幅12.95%)；主管歲出預算數2</w:t>
      </w:r>
      <w:r w:rsidRPr="00703FCF">
        <w:rPr>
          <w:rFonts w:hAnsi="標楷體"/>
          <w:color w:val="000000"/>
        </w:rPr>
        <w:t>,</w:t>
      </w:r>
      <w:r w:rsidRPr="00703FCF">
        <w:rPr>
          <w:rFonts w:hAnsi="標楷體" w:hint="eastAsia"/>
          <w:color w:val="000000"/>
        </w:rPr>
        <w:t>13</w:t>
      </w:r>
      <w:r w:rsidRPr="00703FCF">
        <w:rPr>
          <w:rFonts w:hAnsi="標楷體"/>
          <w:color w:val="000000"/>
        </w:rPr>
        <w:t>9</w:t>
      </w:r>
      <w:r w:rsidRPr="00703FCF">
        <w:rPr>
          <w:rFonts w:hAnsi="標楷體" w:hint="eastAsia"/>
          <w:color w:val="000000"/>
        </w:rPr>
        <w:t>億</w:t>
      </w:r>
      <w:r w:rsidRPr="00703FCF">
        <w:rPr>
          <w:rFonts w:hAnsi="標楷體"/>
          <w:color w:val="000000"/>
        </w:rPr>
        <w:t>8,082</w:t>
      </w:r>
      <w:r w:rsidRPr="00703FCF">
        <w:rPr>
          <w:rFonts w:hAnsi="標楷體" w:hint="eastAsia"/>
          <w:color w:val="000000"/>
        </w:rPr>
        <w:t>萬</w:t>
      </w:r>
      <w:r w:rsidRPr="00703FCF">
        <w:rPr>
          <w:rFonts w:hAnsi="標楷體"/>
          <w:color w:val="000000"/>
        </w:rPr>
        <w:t>5</w:t>
      </w:r>
      <w:r w:rsidRPr="00703FCF">
        <w:rPr>
          <w:rFonts w:hAnsi="標楷體" w:hint="eastAsia"/>
          <w:color w:val="000000"/>
        </w:rPr>
        <w:t>千元(含動支第二預備金8</w:t>
      </w:r>
      <w:r w:rsidRPr="00703FCF">
        <w:rPr>
          <w:rFonts w:hAnsi="標楷體"/>
          <w:color w:val="000000"/>
        </w:rPr>
        <w:t>,</w:t>
      </w:r>
      <w:r w:rsidRPr="00703FCF">
        <w:rPr>
          <w:rFonts w:hAnsi="標楷體" w:hint="eastAsia"/>
          <w:color w:val="000000"/>
        </w:rPr>
        <w:t>316萬3千元)，預算執行結果，決算審定數</w:t>
      </w:r>
      <w:r w:rsidRPr="00703FCF">
        <w:rPr>
          <w:rFonts w:hAnsi="標楷體"/>
          <w:color w:val="000000"/>
        </w:rPr>
        <w:t>2,134</w:t>
      </w:r>
      <w:r w:rsidRPr="00703FCF">
        <w:rPr>
          <w:rFonts w:hAnsi="標楷體" w:hint="eastAsia"/>
          <w:color w:val="000000"/>
        </w:rPr>
        <w:t>億</w:t>
      </w:r>
      <w:r w:rsidRPr="00703FCF">
        <w:rPr>
          <w:rFonts w:hAnsi="標楷體"/>
          <w:color w:val="000000"/>
        </w:rPr>
        <w:t>6</w:t>
      </w:r>
      <w:r w:rsidRPr="00703FCF">
        <w:rPr>
          <w:rFonts w:hAnsi="標楷體" w:hint="eastAsia"/>
          <w:color w:val="000000"/>
        </w:rPr>
        <w:t>,</w:t>
      </w:r>
      <w:r w:rsidRPr="00703FCF">
        <w:rPr>
          <w:rFonts w:hAnsi="標楷體"/>
          <w:color w:val="000000"/>
        </w:rPr>
        <w:t>267</w:t>
      </w:r>
      <w:r w:rsidRPr="00703FCF">
        <w:rPr>
          <w:rFonts w:hAnsi="標楷體" w:hint="eastAsia"/>
          <w:color w:val="000000"/>
        </w:rPr>
        <w:t>萬</w:t>
      </w:r>
      <w:r w:rsidRPr="00703FCF">
        <w:rPr>
          <w:rFonts w:hAnsi="標楷體"/>
          <w:color w:val="000000"/>
        </w:rPr>
        <w:t>1</w:t>
      </w:r>
      <w:r w:rsidRPr="00703FCF">
        <w:rPr>
          <w:rFonts w:hAnsi="標楷體" w:hint="eastAsia"/>
          <w:color w:val="000000"/>
        </w:rPr>
        <w:t>千元</w:t>
      </w:r>
      <w:r w:rsidRPr="00703FCF">
        <w:rPr>
          <w:rFonts w:hAnsi="標楷體"/>
          <w:color w:val="000000"/>
          <w:vertAlign w:val="superscript"/>
        </w:rPr>
        <w:footnoteReference w:id="2"/>
      </w:r>
      <w:r w:rsidRPr="00703FCF">
        <w:rPr>
          <w:rFonts w:hAnsi="標楷體" w:hint="eastAsia"/>
          <w:color w:val="000000"/>
        </w:rPr>
        <w:t>(預算執行率9</w:t>
      </w:r>
      <w:r w:rsidRPr="00703FCF">
        <w:rPr>
          <w:rFonts w:hAnsi="標楷體"/>
          <w:color w:val="000000"/>
        </w:rPr>
        <w:t>9</w:t>
      </w:r>
      <w:r w:rsidRPr="00703FCF">
        <w:rPr>
          <w:rFonts w:hAnsi="標楷體" w:hint="eastAsia"/>
          <w:color w:val="000000"/>
        </w:rPr>
        <w:t>.</w:t>
      </w:r>
      <w:r w:rsidRPr="00703FCF">
        <w:rPr>
          <w:rFonts w:hAnsi="標楷體"/>
          <w:color w:val="000000"/>
        </w:rPr>
        <w:t>76</w:t>
      </w:r>
      <w:r w:rsidRPr="00703FCF">
        <w:rPr>
          <w:rFonts w:hAnsi="標楷體" w:hint="eastAsia"/>
          <w:color w:val="000000"/>
        </w:rPr>
        <w:t>%)及賸餘數</w:t>
      </w:r>
      <w:r w:rsidRPr="00703FCF">
        <w:rPr>
          <w:rFonts w:hAnsi="標楷體"/>
          <w:color w:val="000000"/>
        </w:rPr>
        <w:t>5</w:t>
      </w:r>
      <w:r w:rsidRPr="00703FCF">
        <w:rPr>
          <w:rFonts w:hAnsi="標楷體" w:hint="eastAsia"/>
          <w:color w:val="000000"/>
        </w:rPr>
        <w:t>億</w:t>
      </w:r>
      <w:r w:rsidRPr="00703FCF">
        <w:rPr>
          <w:rFonts w:hAnsi="標楷體"/>
          <w:color w:val="000000"/>
        </w:rPr>
        <w:t>1</w:t>
      </w:r>
      <w:r w:rsidRPr="00703FCF">
        <w:rPr>
          <w:rFonts w:hAnsi="標楷體" w:hint="eastAsia"/>
          <w:color w:val="000000"/>
        </w:rPr>
        <w:t>,</w:t>
      </w:r>
      <w:r w:rsidRPr="00703FCF">
        <w:rPr>
          <w:rFonts w:hAnsi="標楷體"/>
          <w:color w:val="000000"/>
        </w:rPr>
        <w:t>815</w:t>
      </w:r>
      <w:r w:rsidRPr="00703FCF">
        <w:rPr>
          <w:rFonts w:hAnsi="標楷體" w:hint="eastAsia"/>
          <w:color w:val="000000"/>
        </w:rPr>
        <w:t>萬</w:t>
      </w:r>
      <w:r w:rsidRPr="00703FCF">
        <w:rPr>
          <w:rFonts w:hAnsi="標楷體"/>
          <w:color w:val="000000"/>
        </w:rPr>
        <w:t>4</w:t>
      </w:r>
      <w:r w:rsidRPr="00703FCF">
        <w:rPr>
          <w:rFonts w:hAnsi="標楷體" w:hint="eastAsia"/>
          <w:color w:val="000000"/>
        </w:rPr>
        <w:t>千元。謹就經濟部主管11</w:t>
      </w:r>
      <w:r w:rsidRPr="00703FCF">
        <w:rPr>
          <w:rFonts w:hAnsi="標楷體"/>
          <w:color w:val="000000"/>
        </w:rPr>
        <w:t>2</w:t>
      </w:r>
      <w:r w:rsidRPr="00703FCF">
        <w:rPr>
          <w:rFonts w:hAnsi="標楷體" w:hint="eastAsia"/>
          <w:color w:val="000000"/>
        </w:rPr>
        <w:t>年度單位決算評析如下：</w:t>
      </w:r>
    </w:p>
    <w:p w:rsidR="00391B29" w:rsidRPr="000F5240" w:rsidRDefault="00391B29" w:rsidP="00391B29">
      <w:pPr>
        <w:pStyle w:val="14"/>
        <w:ind w:left="567" w:hanging="567"/>
      </w:pPr>
      <w:bookmarkStart w:id="10" w:name="_Toc184808825"/>
      <w:bookmarkEnd w:id="7"/>
      <w:bookmarkEnd w:id="8"/>
      <w:bookmarkEnd w:id="9"/>
      <w:bookmarkEnd w:id="4"/>
      <w:bookmarkEnd w:id="5"/>
      <w:bookmarkEnd w:id="6"/>
      <w:r>
        <w:rPr>
          <w:rFonts w:hAnsi="標楷體" w:hint="eastAsia"/>
        </w:rPr>
        <w:t>七、鑑於近3年</w:t>
      </w:r>
      <w:r w:rsidRPr="009A54F3">
        <w:rPr>
          <w:rFonts w:hAnsi="標楷體" w:hint="eastAsia"/>
        </w:rPr>
        <w:t>全臺地層顯著下陷面積並未明顯改善，</w:t>
      </w:r>
      <w:r>
        <w:rPr>
          <w:rFonts w:hAnsi="標楷體" w:hint="eastAsia"/>
        </w:rPr>
        <w:t>且</w:t>
      </w:r>
      <w:r w:rsidRPr="009A54F3">
        <w:rPr>
          <w:rFonts w:hAnsi="標楷體" w:hint="eastAsia"/>
        </w:rPr>
        <w:t>迄112底清查納管水井經輔導取得水權狀</w:t>
      </w:r>
      <w:r>
        <w:rPr>
          <w:rFonts w:hAnsi="標楷體" w:hint="eastAsia"/>
        </w:rPr>
        <w:t>占比僅2.64%，允宜審慎檢討計畫執行成效，並強化與地方政府協商改善地下水井管理方案</w:t>
      </w:r>
      <w:bookmarkEnd w:id="10"/>
    </w:p>
    <w:p w:rsidR="00391B29" w:rsidRPr="00416992" w:rsidRDefault="00391B29" w:rsidP="00391B29">
      <w:pPr>
        <w:adjustRightInd w:val="0"/>
        <w:ind w:left="566" w:firstLine="566"/>
        <w:rPr>
          <w:rFonts w:hAnsi="標楷體" w:hint="eastAsia"/>
        </w:rPr>
      </w:pPr>
      <w:r>
        <w:rPr>
          <w:rFonts w:hAnsi="標楷體" w:hint="eastAsia"/>
        </w:rPr>
        <w:t>水利署112年度於</w:t>
      </w:r>
      <w:r w:rsidRPr="00421FFF">
        <w:rPr>
          <w:rFonts w:hAnsi="標楷體" w:hint="eastAsia"/>
        </w:rPr>
        <w:t>「</w:t>
      </w:r>
      <w:r w:rsidRPr="00813F86">
        <w:rPr>
          <w:rFonts w:hAnsi="標楷體" w:hint="eastAsia"/>
        </w:rPr>
        <w:t>河川海岸及排水環境營造-地下水保育及水文觀測計畫」項下編列「地下水保育管理暨地層下陷防治第3期計畫(110-113年)」2億</w:t>
      </w:r>
      <w:r>
        <w:rPr>
          <w:rFonts w:hAnsi="標楷體" w:hint="eastAsia"/>
        </w:rPr>
        <w:t>4</w:t>
      </w:r>
      <w:r w:rsidRPr="00813F86">
        <w:rPr>
          <w:rFonts w:hAnsi="標楷體" w:hint="eastAsia"/>
        </w:rPr>
        <w:t>,800萬元</w:t>
      </w:r>
      <w:r>
        <w:rPr>
          <w:rFonts w:hAnsi="標楷體" w:hint="eastAsia"/>
        </w:rPr>
        <w:t>，主要</w:t>
      </w:r>
      <w:r w:rsidRPr="00813F86">
        <w:rPr>
          <w:rFonts w:hAnsi="標楷體" w:hint="eastAsia"/>
        </w:rPr>
        <w:t>辦理推動地下水環境調查分析、精進監控預警技術及推動地下水補注等業務</w:t>
      </w:r>
      <w:r>
        <w:rPr>
          <w:rFonts w:hAnsi="標楷體" w:hint="eastAsia"/>
        </w:rPr>
        <w:t>，經執行後決算數</w:t>
      </w:r>
      <w:r w:rsidRPr="00813F86">
        <w:rPr>
          <w:rFonts w:hAnsi="標楷體"/>
        </w:rPr>
        <w:t>2</w:t>
      </w:r>
      <w:r>
        <w:rPr>
          <w:rFonts w:hAnsi="標楷體" w:hint="eastAsia"/>
        </w:rPr>
        <w:t>億</w:t>
      </w:r>
      <w:r w:rsidRPr="00813F86">
        <w:rPr>
          <w:rFonts w:hAnsi="標楷體"/>
        </w:rPr>
        <w:t>3,610</w:t>
      </w:r>
      <w:r>
        <w:rPr>
          <w:rFonts w:hAnsi="標楷體" w:hint="eastAsia"/>
        </w:rPr>
        <w:t>萬</w:t>
      </w:r>
      <w:r w:rsidRPr="00813F86">
        <w:rPr>
          <w:rFonts w:hAnsi="標楷體"/>
        </w:rPr>
        <w:t>7</w:t>
      </w:r>
      <w:r>
        <w:rPr>
          <w:rFonts w:hAnsi="標楷體" w:hint="eastAsia"/>
        </w:rPr>
        <w:t>千元，預算執行率95.20%</w:t>
      </w:r>
      <w:r w:rsidRPr="00416992">
        <w:rPr>
          <w:rFonts w:hAnsi="標楷體" w:hint="eastAsia"/>
        </w:rPr>
        <w:t>。經查：</w:t>
      </w:r>
    </w:p>
    <w:p w:rsidR="00391B29" w:rsidRPr="000F5240" w:rsidRDefault="00391B29" w:rsidP="00391B29">
      <w:pPr>
        <w:pStyle w:val="a4"/>
        <w:ind w:left="849" w:hanging="283"/>
        <w:rPr>
          <w:rFonts w:hAnsi="標楷體"/>
          <w:b/>
        </w:rPr>
      </w:pPr>
      <w:r w:rsidRPr="000F5240">
        <w:rPr>
          <w:rFonts w:hint="eastAsia"/>
          <w:b/>
        </w:rPr>
        <w:t>(一)</w:t>
      </w:r>
      <w:r>
        <w:rPr>
          <w:rFonts w:hint="eastAsia"/>
          <w:b/>
        </w:rPr>
        <w:t>110至112年度全臺</w:t>
      </w:r>
      <w:r w:rsidRPr="00EA3178">
        <w:rPr>
          <w:rFonts w:hint="eastAsia"/>
          <w:b/>
        </w:rPr>
        <w:t>顯著下陷面積均超過200平方公尺，</w:t>
      </w:r>
      <w:r>
        <w:rPr>
          <w:rFonts w:hint="eastAsia"/>
          <w:b/>
        </w:rPr>
        <w:t>允宜審慎檢討計畫執行成效，並加強地下水管理機制</w:t>
      </w:r>
      <w:r w:rsidRPr="000F5240">
        <w:rPr>
          <w:rFonts w:hAnsi="標楷體"/>
          <w:b/>
        </w:rPr>
        <w:t xml:space="preserve"> </w:t>
      </w:r>
    </w:p>
    <w:p w:rsidR="00391B29" w:rsidRDefault="00391B29" w:rsidP="00391B29">
      <w:pPr>
        <w:pStyle w:val="21"/>
        <w:ind w:left="850" w:firstLine="566"/>
      </w:pPr>
      <w:r>
        <w:rPr>
          <w:rFonts w:hint="eastAsia"/>
        </w:rPr>
        <w:t>水利署自110年起推動</w:t>
      </w:r>
      <w:r w:rsidRPr="0039576E">
        <w:rPr>
          <w:rFonts w:hint="eastAsia"/>
        </w:rPr>
        <w:t>「地下水保育管理暨地層下陷防治</w:t>
      </w:r>
      <w:r w:rsidRPr="0039576E">
        <w:rPr>
          <w:rFonts w:hint="eastAsia"/>
        </w:rPr>
        <w:lastRenderedPageBreak/>
        <w:t>第3期計畫(110-113年)」</w:t>
      </w:r>
      <w:r>
        <w:rPr>
          <w:rFonts w:hint="eastAsia"/>
        </w:rPr>
        <w:t>，迄1</w:t>
      </w:r>
      <w:r>
        <w:t>12</w:t>
      </w:r>
      <w:r>
        <w:rPr>
          <w:rFonts w:hint="eastAsia"/>
        </w:rPr>
        <w:t>年度累計已編列預算數為</w:t>
      </w:r>
      <w:r>
        <w:t>6</w:t>
      </w:r>
      <w:r>
        <w:rPr>
          <w:rFonts w:hint="eastAsia"/>
        </w:rPr>
        <w:t>億</w:t>
      </w:r>
      <w:r>
        <w:t>8,200</w:t>
      </w:r>
      <w:r>
        <w:rPr>
          <w:rFonts w:hint="eastAsia"/>
        </w:rPr>
        <w:t>萬元，累計執行數6億4</w:t>
      </w:r>
      <w:r>
        <w:t>,</w:t>
      </w:r>
      <w:r>
        <w:rPr>
          <w:rFonts w:hint="eastAsia"/>
        </w:rPr>
        <w:t>556萬1千元(實現數及應付數分別為6億4</w:t>
      </w:r>
      <w:r>
        <w:t>,</w:t>
      </w:r>
      <w:r>
        <w:rPr>
          <w:rFonts w:hint="eastAsia"/>
        </w:rPr>
        <w:t>316萬9千元及239萬2千元)，已完成辦理臺灣地區約6,409.6公里水準網檢測</w:t>
      </w:r>
      <w:r w:rsidRPr="002E5A81">
        <w:rPr>
          <w:rFonts w:hint="eastAsia"/>
        </w:rPr>
        <w:t>、</w:t>
      </w:r>
      <w:r>
        <w:rPr>
          <w:rFonts w:hint="eastAsia"/>
        </w:rPr>
        <w:t>760口次地下水觀測井水質採樣、檢驗及分析</w:t>
      </w:r>
      <w:r w:rsidRPr="002E5A81">
        <w:rPr>
          <w:rFonts w:hint="eastAsia"/>
        </w:rPr>
        <w:t>、</w:t>
      </w:r>
      <w:r>
        <w:rPr>
          <w:rFonts w:hint="eastAsia"/>
        </w:rPr>
        <w:t>查察地下水管制區工廠1,737家</w:t>
      </w:r>
      <w:r w:rsidRPr="002E5A81">
        <w:rPr>
          <w:rFonts w:hint="eastAsia"/>
        </w:rPr>
        <w:t>、</w:t>
      </w:r>
      <w:r>
        <w:rPr>
          <w:rFonts w:hint="eastAsia"/>
        </w:rPr>
        <w:t>地層下陷防治教育宣導32場次及二維地電阻施測3,750公尺</w:t>
      </w:r>
      <w:r>
        <w:rPr>
          <w:rStyle w:val="ae"/>
        </w:rPr>
        <w:footnoteReference w:id="3"/>
      </w:r>
      <w:r w:rsidRPr="000640D7">
        <w:rPr>
          <w:rFonts w:hint="eastAsia"/>
        </w:rPr>
        <w:t>。</w:t>
      </w:r>
    </w:p>
    <w:p w:rsidR="00391B29" w:rsidRDefault="00391B29" w:rsidP="00391B29">
      <w:pPr>
        <w:pStyle w:val="21"/>
        <w:ind w:left="850" w:firstLine="566"/>
        <w:rPr>
          <w:rFonts w:hint="eastAsia"/>
        </w:rPr>
      </w:pPr>
      <w:r>
        <w:rPr>
          <w:rFonts w:hint="eastAsia"/>
        </w:rPr>
        <w:t>依據</w:t>
      </w:r>
      <w:r w:rsidRPr="00B74B00">
        <w:rPr>
          <w:rFonts w:hint="eastAsia"/>
        </w:rPr>
        <w:t>「地下水保育管理暨地層下陷防治第3期計畫(110-113年)」</w:t>
      </w:r>
      <w:r>
        <w:rPr>
          <w:rFonts w:hint="eastAsia"/>
        </w:rPr>
        <w:t>目標，預計地下水位回升0.2公尺以上，全臺顯著下陷面積小於200平方公尺，按水利署說明略以，</w:t>
      </w:r>
      <w:r w:rsidRPr="00F67A59">
        <w:rPr>
          <w:rFonts w:hint="eastAsia"/>
        </w:rPr>
        <w:t>雲林中部4鄉鎮指標井</w:t>
      </w:r>
      <w:r>
        <w:rPr>
          <w:rFonts w:hint="eastAsia"/>
        </w:rPr>
        <w:t>近</w:t>
      </w:r>
      <w:r w:rsidRPr="00F67A59">
        <w:rPr>
          <w:rFonts w:hint="eastAsia"/>
        </w:rPr>
        <w:t>3年</w:t>
      </w:r>
      <w:r>
        <w:rPr>
          <w:rFonts w:hint="eastAsia"/>
        </w:rPr>
        <w:t>(</w:t>
      </w:r>
      <w:r w:rsidRPr="00F67A59">
        <w:rPr>
          <w:rFonts w:hint="eastAsia"/>
        </w:rPr>
        <w:t>110</w:t>
      </w:r>
      <w:r>
        <w:rPr>
          <w:rFonts w:hint="eastAsia"/>
        </w:rPr>
        <w:t>至</w:t>
      </w:r>
      <w:r w:rsidRPr="00F67A59">
        <w:rPr>
          <w:rFonts w:hint="eastAsia"/>
        </w:rPr>
        <w:t>112年</w:t>
      </w:r>
      <w:r>
        <w:rPr>
          <w:rFonts w:hint="eastAsia"/>
        </w:rPr>
        <w:t>度)</w:t>
      </w:r>
      <w:r w:rsidRPr="00F67A59">
        <w:rPr>
          <w:rFonts w:hint="eastAsia"/>
        </w:rPr>
        <w:t>平均最低地下水位回升約0.4公尺</w:t>
      </w:r>
      <w:r>
        <w:rPr>
          <w:rFonts w:hint="eastAsia"/>
        </w:rPr>
        <w:t>，其他</w:t>
      </w:r>
      <w:r w:rsidRPr="00F67A59">
        <w:rPr>
          <w:rFonts w:hint="eastAsia"/>
        </w:rPr>
        <w:t>地區指標井之地下</w:t>
      </w:r>
      <w:r>
        <w:rPr>
          <w:rFonts w:hint="eastAsia"/>
        </w:rPr>
        <w:t>水</w:t>
      </w:r>
      <w:r w:rsidRPr="00F67A59">
        <w:rPr>
          <w:rFonts w:hint="eastAsia"/>
        </w:rPr>
        <w:t>位，3年平均最</w:t>
      </w:r>
      <w:r>
        <w:rPr>
          <w:rFonts w:hint="eastAsia"/>
        </w:rPr>
        <w:t>低</w:t>
      </w:r>
      <w:r w:rsidRPr="00F67A59">
        <w:rPr>
          <w:rFonts w:hint="eastAsia"/>
        </w:rPr>
        <w:t>地下水位回升約1.2公尺</w:t>
      </w:r>
      <w:r>
        <w:rPr>
          <w:rFonts w:hint="eastAsia"/>
        </w:rPr>
        <w:t>，已達計畫目標</w:t>
      </w:r>
      <w:r w:rsidRPr="000640D7">
        <w:rPr>
          <w:rFonts w:hint="eastAsia"/>
        </w:rPr>
        <w:t>。</w:t>
      </w:r>
      <w:r>
        <w:rPr>
          <w:rFonts w:hint="eastAsia"/>
        </w:rPr>
        <w:t>惟按水利署統計近3年</w:t>
      </w:r>
      <w:r w:rsidRPr="00B74B00">
        <w:rPr>
          <w:rFonts w:hint="eastAsia"/>
        </w:rPr>
        <w:t>全臺地層顯著下陷面積</w:t>
      </w:r>
      <w:r>
        <w:rPr>
          <w:rFonts w:hint="eastAsia"/>
        </w:rPr>
        <w:t>資料(詳表1)，均超過200平方公尺，其中110及112年度受乾旱事件影響，顯著下陷面積甚高逾600平方公尺，允宜詳實檢討計畫執行成效，並加強地下水抽取管理及推動地下水補注，俾緩解地層下陷及有效管理地下水之運用</w:t>
      </w:r>
      <w:r w:rsidRPr="00F67A59">
        <w:rPr>
          <w:rFonts w:hint="eastAsia"/>
        </w:rPr>
        <w:t>。</w:t>
      </w:r>
    </w:p>
    <w:p w:rsidR="00391B29" w:rsidRPr="00AE425A" w:rsidRDefault="00391B29" w:rsidP="00391B29">
      <w:pPr>
        <w:pStyle w:val="200"/>
        <w:spacing w:line="500" w:lineRule="exact"/>
        <w:ind w:left="850" w:hangingChars="300" w:hanging="850"/>
        <w:jc w:val="both"/>
        <w:rPr>
          <w:snapToGrid/>
          <w:spacing w:val="-4"/>
          <w:szCs w:val="24"/>
        </w:rPr>
      </w:pPr>
      <w:r w:rsidRPr="0028102C">
        <w:rPr>
          <w:rFonts w:hint="eastAsia"/>
          <w:b/>
          <w:snapToGrid/>
          <w:sz w:val="28"/>
        </w:rPr>
        <w:t>表</w:t>
      </w:r>
      <w:r>
        <w:rPr>
          <w:rFonts w:hint="eastAsia"/>
          <w:b/>
          <w:snapToGrid/>
          <w:sz w:val="28"/>
        </w:rPr>
        <w:t>1</w:t>
      </w:r>
      <w:r w:rsidRPr="0028102C">
        <w:rPr>
          <w:rFonts w:hint="eastAsia"/>
          <w:b/>
          <w:snapToGrid/>
          <w:sz w:val="28"/>
        </w:rPr>
        <w:t xml:space="preserve">  </w:t>
      </w:r>
      <w:r w:rsidRPr="00AE425A">
        <w:rPr>
          <w:rFonts w:hint="eastAsia"/>
          <w:b/>
          <w:snapToGrid/>
          <w:sz w:val="28"/>
        </w:rPr>
        <w:t>110至112年度全臺地層顯著下陷面積</w:t>
      </w:r>
      <w:r>
        <w:rPr>
          <w:rFonts w:hint="eastAsia"/>
          <w:b/>
          <w:snapToGrid/>
          <w:sz w:val="28"/>
        </w:rPr>
        <w:t xml:space="preserve">         </w:t>
      </w:r>
      <w:r w:rsidRPr="00AE425A">
        <w:rPr>
          <w:rFonts w:hint="eastAsia"/>
          <w:snapToGrid/>
        </w:rPr>
        <w:t>單位：平方公里</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63"/>
        <w:gridCol w:w="1063"/>
        <w:gridCol w:w="1063"/>
        <w:gridCol w:w="1063"/>
        <w:gridCol w:w="1063"/>
        <w:gridCol w:w="1063"/>
        <w:gridCol w:w="1063"/>
        <w:gridCol w:w="1064"/>
      </w:tblGrid>
      <w:tr w:rsidR="00391B29" w:rsidRPr="00AE425A" w:rsidTr="002B71D0">
        <w:trPr>
          <w:tblHeader/>
        </w:trPr>
        <w:tc>
          <w:tcPr>
            <w:tcW w:w="1063" w:type="dxa"/>
            <w:shd w:val="clear" w:color="auto" w:fill="auto"/>
            <w:vAlign w:val="center"/>
          </w:tcPr>
          <w:p w:rsidR="00391B29" w:rsidRPr="00AE425A" w:rsidRDefault="00391B29" w:rsidP="002B71D0">
            <w:pPr>
              <w:pStyle w:val="142"/>
              <w:jc w:val="center"/>
              <w:rPr>
                <w:rFonts w:hint="eastAsia"/>
                <w:spacing w:val="-6"/>
              </w:rPr>
            </w:pPr>
            <w:r w:rsidRPr="00AE425A">
              <w:rPr>
                <w:rFonts w:hint="eastAsia"/>
                <w:spacing w:val="-6"/>
              </w:rPr>
              <w:t>地區</w:t>
            </w:r>
          </w:p>
        </w:tc>
        <w:tc>
          <w:tcPr>
            <w:tcW w:w="1063" w:type="dxa"/>
            <w:shd w:val="clear" w:color="auto" w:fill="auto"/>
            <w:vAlign w:val="center"/>
          </w:tcPr>
          <w:p w:rsidR="00391B29" w:rsidRPr="00AE425A" w:rsidRDefault="00391B29" w:rsidP="002B71D0">
            <w:pPr>
              <w:pStyle w:val="142"/>
              <w:jc w:val="center"/>
              <w:rPr>
                <w:rFonts w:hint="eastAsia"/>
                <w:spacing w:val="-6"/>
              </w:rPr>
            </w:pPr>
            <w:r w:rsidRPr="00AE425A">
              <w:rPr>
                <w:rFonts w:hint="eastAsia"/>
                <w:spacing w:val="-6"/>
              </w:rPr>
              <w:t>110年度</w:t>
            </w:r>
          </w:p>
        </w:tc>
        <w:tc>
          <w:tcPr>
            <w:tcW w:w="1063" w:type="dxa"/>
            <w:shd w:val="clear" w:color="auto" w:fill="auto"/>
            <w:vAlign w:val="center"/>
          </w:tcPr>
          <w:p w:rsidR="00391B29" w:rsidRPr="00AE425A" w:rsidRDefault="00391B29" w:rsidP="002B71D0">
            <w:pPr>
              <w:pStyle w:val="142"/>
              <w:jc w:val="center"/>
              <w:rPr>
                <w:rFonts w:hint="eastAsia"/>
                <w:spacing w:val="-6"/>
              </w:rPr>
            </w:pPr>
            <w:r w:rsidRPr="00AE425A">
              <w:rPr>
                <w:rFonts w:hint="eastAsia"/>
                <w:spacing w:val="-6"/>
              </w:rPr>
              <w:t>111年度</w:t>
            </w:r>
          </w:p>
        </w:tc>
        <w:tc>
          <w:tcPr>
            <w:tcW w:w="1063" w:type="dxa"/>
            <w:tcBorders>
              <w:right w:val="double" w:sz="4" w:space="0" w:color="auto"/>
            </w:tcBorders>
            <w:shd w:val="clear" w:color="auto" w:fill="auto"/>
            <w:vAlign w:val="center"/>
          </w:tcPr>
          <w:p w:rsidR="00391B29" w:rsidRPr="00AE425A" w:rsidRDefault="00391B29" w:rsidP="002B71D0">
            <w:pPr>
              <w:pStyle w:val="142"/>
              <w:jc w:val="center"/>
              <w:rPr>
                <w:rFonts w:hint="eastAsia"/>
                <w:spacing w:val="-6"/>
              </w:rPr>
            </w:pPr>
            <w:r w:rsidRPr="00AE425A">
              <w:rPr>
                <w:rFonts w:hint="eastAsia"/>
                <w:spacing w:val="-6"/>
              </w:rPr>
              <w:t>112年度</w:t>
            </w:r>
          </w:p>
        </w:tc>
        <w:tc>
          <w:tcPr>
            <w:tcW w:w="1063" w:type="dxa"/>
            <w:tcBorders>
              <w:top w:val="single" w:sz="12" w:space="0" w:color="auto"/>
              <w:left w:val="double" w:sz="4" w:space="0" w:color="auto"/>
              <w:bottom w:val="single" w:sz="4" w:space="0" w:color="auto"/>
            </w:tcBorders>
            <w:vAlign w:val="center"/>
          </w:tcPr>
          <w:p w:rsidR="00391B29" w:rsidRPr="00AE425A" w:rsidRDefault="00391B29" w:rsidP="002B71D0">
            <w:pPr>
              <w:pStyle w:val="142"/>
              <w:jc w:val="center"/>
              <w:rPr>
                <w:rFonts w:hint="eastAsia"/>
                <w:spacing w:val="-6"/>
              </w:rPr>
            </w:pPr>
            <w:r w:rsidRPr="00AE425A">
              <w:rPr>
                <w:rFonts w:hint="eastAsia"/>
                <w:spacing w:val="-6"/>
              </w:rPr>
              <w:t>地區</w:t>
            </w:r>
          </w:p>
        </w:tc>
        <w:tc>
          <w:tcPr>
            <w:tcW w:w="1063" w:type="dxa"/>
            <w:vAlign w:val="center"/>
          </w:tcPr>
          <w:p w:rsidR="00391B29" w:rsidRPr="00AE425A" w:rsidRDefault="00391B29" w:rsidP="002B71D0">
            <w:pPr>
              <w:pStyle w:val="142"/>
              <w:jc w:val="center"/>
              <w:rPr>
                <w:rFonts w:hint="eastAsia"/>
                <w:spacing w:val="-6"/>
              </w:rPr>
            </w:pPr>
            <w:r w:rsidRPr="00AE425A">
              <w:rPr>
                <w:rFonts w:hint="eastAsia"/>
                <w:spacing w:val="-6"/>
              </w:rPr>
              <w:t>110年度</w:t>
            </w:r>
          </w:p>
        </w:tc>
        <w:tc>
          <w:tcPr>
            <w:tcW w:w="1063" w:type="dxa"/>
            <w:vAlign w:val="center"/>
          </w:tcPr>
          <w:p w:rsidR="00391B29" w:rsidRPr="00AE425A" w:rsidRDefault="00391B29" w:rsidP="002B71D0">
            <w:pPr>
              <w:pStyle w:val="142"/>
              <w:jc w:val="center"/>
              <w:rPr>
                <w:rFonts w:hint="eastAsia"/>
                <w:spacing w:val="-6"/>
              </w:rPr>
            </w:pPr>
            <w:r w:rsidRPr="00AE425A">
              <w:rPr>
                <w:rFonts w:hint="eastAsia"/>
                <w:spacing w:val="-6"/>
              </w:rPr>
              <w:t>111年度</w:t>
            </w:r>
          </w:p>
        </w:tc>
        <w:tc>
          <w:tcPr>
            <w:tcW w:w="1064" w:type="dxa"/>
            <w:vAlign w:val="center"/>
          </w:tcPr>
          <w:p w:rsidR="00391B29" w:rsidRPr="00AE425A" w:rsidRDefault="00391B29" w:rsidP="002B71D0">
            <w:pPr>
              <w:pStyle w:val="142"/>
              <w:jc w:val="center"/>
              <w:rPr>
                <w:rFonts w:hint="eastAsia"/>
                <w:spacing w:val="-6"/>
              </w:rPr>
            </w:pPr>
            <w:r w:rsidRPr="00AE425A">
              <w:rPr>
                <w:rFonts w:hint="eastAsia"/>
                <w:spacing w:val="-6"/>
              </w:rPr>
              <w:t>112年度</w:t>
            </w:r>
          </w:p>
        </w:tc>
      </w:tr>
      <w:tr w:rsidR="00391B29" w:rsidRPr="00AE425A" w:rsidTr="002B71D0">
        <w:tc>
          <w:tcPr>
            <w:tcW w:w="1063" w:type="dxa"/>
            <w:shd w:val="clear" w:color="auto" w:fill="auto"/>
            <w:vAlign w:val="center"/>
          </w:tcPr>
          <w:p w:rsidR="00391B29" w:rsidRPr="00AE425A" w:rsidRDefault="00391B29" w:rsidP="002B71D0">
            <w:pPr>
              <w:pStyle w:val="142"/>
              <w:jc w:val="center"/>
            </w:pPr>
            <w:r w:rsidRPr="00AE425A">
              <w:rPr>
                <w:rFonts w:hint="eastAsia"/>
              </w:rPr>
              <w:t>臺北</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tcBorders>
              <w:right w:val="double" w:sz="4" w:space="0" w:color="auto"/>
            </w:tcBorders>
            <w:shd w:val="clear" w:color="auto" w:fill="auto"/>
            <w:vAlign w:val="center"/>
          </w:tcPr>
          <w:p w:rsidR="00391B29" w:rsidRPr="00AE425A" w:rsidRDefault="00391B29" w:rsidP="002B71D0">
            <w:pPr>
              <w:pStyle w:val="142"/>
              <w:jc w:val="right"/>
            </w:pPr>
            <w:r w:rsidRPr="00AE425A">
              <w:t>-</w:t>
            </w:r>
          </w:p>
        </w:tc>
        <w:tc>
          <w:tcPr>
            <w:tcW w:w="1063" w:type="dxa"/>
            <w:tcBorders>
              <w:top w:val="single" w:sz="4" w:space="0" w:color="auto"/>
              <w:left w:val="double" w:sz="4" w:space="0" w:color="auto"/>
              <w:bottom w:val="single" w:sz="4" w:space="0" w:color="auto"/>
            </w:tcBorders>
            <w:vAlign w:val="center"/>
          </w:tcPr>
          <w:p w:rsidR="00391B29" w:rsidRPr="00AE425A" w:rsidRDefault="00391B29" w:rsidP="002B71D0">
            <w:pPr>
              <w:pStyle w:val="142"/>
              <w:jc w:val="center"/>
            </w:pPr>
            <w:r w:rsidRPr="00AE425A">
              <w:rPr>
                <w:rFonts w:hint="eastAsia"/>
              </w:rPr>
              <w:t>雲林</w:t>
            </w:r>
          </w:p>
        </w:tc>
        <w:tc>
          <w:tcPr>
            <w:tcW w:w="1063" w:type="dxa"/>
            <w:vAlign w:val="center"/>
          </w:tcPr>
          <w:p w:rsidR="00391B29" w:rsidRPr="00AE425A" w:rsidRDefault="00391B29" w:rsidP="002B71D0">
            <w:pPr>
              <w:pStyle w:val="142"/>
              <w:jc w:val="right"/>
            </w:pPr>
            <w:r w:rsidRPr="00AE425A">
              <w:t>502.7</w:t>
            </w:r>
          </w:p>
        </w:tc>
        <w:tc>
          <w:tcPr>
            <w:tcW w:w="1063" w:type="dxa"/>
            <w:vAlign w:val="center"/>
          </w:tcPr>
          <w:p w:rsidR="00391B29" w:rsidRPr="00AE425A" w:rsidRDefault="00391B29" w:rsidP="002B71D0">
            <w:pPr>
              <w:pStyle w:val="142"/>
              <w:jc w:val="right"/>
            </w:pPr>
            <w:r w:rsidRPr="00AE425A">
              <w:t>239.5</w:t>
            </w:r>
          </w:p>
        </w:tc>
        <w:tc>
          <w:tcPr>
            <w:tcW w:w="1064" w:type="dxa"/>
            <w:vAlign w:val="center"/>
          </w:tcPr>
          <w:p w:rsidR="00391B29" w:rsidRPr="00AE425A" w:rsidRDefault="00391B29" w:rsidP="002B71D0">
            <w:pPr>
              <w:pStyle w:val="142"/>
              <w:jc w:val="right"/>
            </w:pPr>
            <w:r w:rsidRPr="00AE425A">
              <w:t>247.7</w:t>
            </w:r>
          </w:p>
        </w:tc>
      </w:tr>
      <w:tr w:rsidR="00391B29" w:rsidRPr="00AE425A" w:rsidTr="002B71D0">
        <w:tc>
          <w:tcPr>
            <w:tcW w:w="1063" w:type="dxa"/>
            <w:shd w:val="clear" w:color="auto" w:fill="auto"/>
            <w:vAlign w:val="center"/>
          </w:tcPr>
          <w:p w:rsidR="00391B29" w:rsidRPr="00AE425A" w:rsidRDefault="00391B29" w:rsidP="002B71D0">
            <w:pPr>
              <w:pStyle w:val="142"/>
              <w:jc w:val="center"/>
            </w:pPr>
            <w:r w:rsidRPr="00AE425A">
              <w:rPr>
                <w:rFonts w:hint="eastAsia"/>
              </w:rPr>
              <w:t>宜蘭</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tcBorders>
              <w:right w:val="double" w:sz="4" w:space="0" w:color="auto"/>
            </w:tcBorders>
            <w:shd w:val="clear" w:color="auto" w:fill="auto"/>
            <w:vAlign w:val="center"/>
          </w:tcPr>
          <w:p w:rsidR="00391B29" w:rsidRPr="00AE425A" w:rsidRDefault="00391B29" w:rsidP="002B71D0">
            <w:pPr>
              <w:pStyle w:val="142"/>
              <w:jc w:val="right"/>
            </w:pPr>
            <w:r w:rsidRPr="00AE425A">
              <w:t>-</w:t>
            </w:r>
          </w:p>
        </w:tc>
        <w:tc>
          <w:tcPr>
            <w:tcW w:w="1063" w:type="dxa"/>
            <w:tcBorders>
              <w:top w:val="single" w:sz="4" w:space="0" w:color="auto"/>
              <w:left w:val="double" w:sz="4" w:space="0" w:color="auto"/>
              <w:bottom w:val="single" w:sz="4" w:space="0" w:color="auto"/>
            </w:tcBorders>
            <w:vAlign w:val="center"/>
          </w:tcPr>
          <w:p w:rsidR="00391B29" w:rsidRPr="00AE425A" w:rsidRDefault="00391B29" w:rsidP="002B71D0">
            <w:pPr>
              <w:pStyle w:val="142"/>
              <w:jc w:val="center"/>
            </w:pPr>
            <w:r w:rsidRPr="00AE425A">
              <w:rPr>
                <w:rFonts w:hint="eastAsia"/>
              </w:rPr>
              <w:t>嘉義</w:t>
            </w:r>
          </w:p>
        </w:tc>
        <w:tc>
          <w:tcPr>
            <w:tcW w:w="1063" w:type="dxa"/>
            <w:vAlign w:val="center"/>
          </w:tcPr>
          <w:p w:rsidR="00391B29" w:rsidRPr="00AE425A" w:rsidRDefault="00391B29" w:rsidP="002B71D0">
            <w:pPr>
              <w:pStyle w:val="142"/>
              <w:jc w:val="right"/>
            </w:pPr>
            <w:r w:rsidRPr="00AE425A">
              <w:t>132.8</w:t>
            </w:r>
          </w:p>
        </w:tc>
        <w:tc>
          <w:tcPr>
            <w:tcW w:w="1063" w:type="dxa"/>
            <w:vAlign w:val="center"/>
          </w:tcPr>
          <w:p w:rsidR="00391B29" w:rsidRPr="00AE425A" w:rsidRDefault="00391B29" w:rsidP="002B71D0">
            <w:pPr>
              <w:pStyle w:val="142"/>
              <w:jc w:val="right"/>
            </w:pPr>
            <w:r w:rsidRPr="00AE425A">
              <w:t>-</w:t>
            </w:r>
          </w:p>
        </w:tc>
        <w:tc>
          <w:tcPr>
            <w:tcW w:w="1064" w:type="dxa"/>
            <w:vAlign w:val="center"/>
          </w:tcPr>
          <w:p w:rsidR="00391B29" w:rsidRPr="00AE425A" w:rsidRDefault="00391B29" w:rsidP="002B71D0">
            <w:pPr>
              <w:pStyle w:val="142"/>
              <w:jc w:val="right"/>
            </w:pPr>
            <w:r w:rsidRPr="00AE425A">
              <w:t>241.1</w:t>
            </w:r>
          </w:p>
        </w:tc>
      </w:tr>
      <w:tr w:rsidR="00391B29" w:rsidRPr="00AE425A" w:rsidTr="002B71D0">
        <w:tc>
          <w:tcPr>
            <w:tcW w:w="1063" w:type="dxa"/>
            <w:shd w:val="clear" w:color="auto" w:fill="auto"/>
            <w:vAlign w:val="center"/>
          </w:tcPr>
          <w:p w:rsidR="00391B29" w:rsidRPr="00AE425A" w:rsidRDefault="00391B29" w:rsidP="002B71D0">
            <w:pPr>
              <w:pStyle w:val="142"/>
              <w:jc w:val="center"/>
            </w:pPr>
            <w:r w:rsidRPr="00AE425A">
              <w:rPr>
                <w:rFonts w:hint="eastAsia"/>
              </w:rPr>
              <w:t>桃園</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tcBorders>
              <w:right w:val="double" w:sz="4" w:space="0" w:color="auto"/>
            </w:tcBorders>
            <w:shd w:val="clear" w:color="auto" w:fill="auto"/>
            <w:vAlign w:val="center"/>
          </w:tcPr>
          <w:p w:rsidR="00391B29" w:rsidRPr="00AE425A" w:rsidRDefault="00391B29" w:rsidP="002B71D0">
            <w:pPr>
              <w:pStyle w:val="142"/>
              <w:jc w:val="right"/>
            </w:pPr>
            <w:r w:rsidRPr="00AE425A">
              <w:t>-</w:t>
            </w:r>
          </w:p>
        </w:tc>
        <w:tc>
          <w:tcPr>
            <w:tcW w:w="1063" w:type="dxa"/>
            <w:tcBorders>
              <w:top w:val="single" w:sz="4" w:space="0" w:color="auto"/>
              <w:left w:val="double" w:sz="4" w:space="0" w:color="auto"/>
              <w:bottom w:val="single" w:sz="4" w:space="0" w:color="auto"/>
            </w:tcBorders>
            <w:vAlign w:val="center"/>
          </w:tcPr>
          <w:p w:rsidR="00391B29" w:rsidRPr="00AE425A" w:rsidRDefault="00391B29" w:rsidP="002B71D0">
            <w:pPr>
              <w:pStyle w:val="142"/>
              <w:jc w:val="center"/>
            </w:pPr>
            <w:r w:rsidRPr="00AE425A">
              <w:rPr>
                <w:rFonts w:hint="eastAsia"/>
              </w:rPr>
              <w:t>高雄</w:t>
            </w:r>
          </w:p>
        </w:tc>
        <w:tc>
          <w:tcPr>
            <w:tcW w:w="1063" w:type="dxa"/>
            <w:vAlign w:val="center"/>
          </w:tcPr>
          <w:p w:rsidR="00391B29" w:rsidRPr="00AE425A" w:rsidRDefault="00391B29" w:rsidP="002B71D0">
            <w:pPr>
              <w:pStyle w:val="142"/>
              <w:jc w:val="right"/>
            </w:pPr>
            <w:r w:rsidRPr="00AE425A">
              <w:t>-</w:t>
            </w:r>
          </w:p>
        </w:tc>
        <w:tc>
          <w:tcPr>
            <w:tcW w:w="1063" w:type="dxa"/>
            <w:vAlign w:val="center"/>
          </w:tcPr>
          <w:p w:rsidR="00391B29" w:rsidRPr="00AE425A" w:rsidRDefault="00391B29" w:rsidP="002B71D0">
            <w:pPr>
              <w:pStyle w:val="142"/>
              <w:jc w:val="right"/>
            </w:pPr>
            <w:r w:rsidRPr="00AE425A">
              <w:t>-</w:t>
            </w:r>
          </w:p>
        </w:tc>
        <w:tc>
          <w:tcPr>
            <w:tcW w:w="1064" w:type="dxa"/>
            <w:vAlign w:val="center"/>
          </w:tcPr>
          <w:p w:rsidR="00391B29" w:rsidRPr="00AE425A" w:rsidRDefault="00391B29" w:rsidP="002B71D0">
            <w:pPr>
              <w:pStyle w:val="142"/>
              <w:jc w:val="right"/>
            </w:pPr>
            <w:r w:rsidRPr="00AE425A">
              <w:t>-</w:t>
            </w:r>
          </w:p>
        </w:tc>
      </w:tr>
      <w:tr w:rsidR="00391B29" w:rsidRPr="00AE425A" w:rsidTr="002B71D0">
        <w:tc>
          <w:tcPr>
            <w:tcW w:w="1063" w:type="dxa"/>
            <w:shd w:val="clear" w:color="auto" w:fill="auto"/>
            <w:vAlign w:val="center"/>
          </w:tcPr>
          <w:p w:rsidR="00391B29" w:rsidRPr="00AE425A" w:rsidRDefault="00391B29" w:rsidP="002B71D0">
            <w:pPr>
              <w:pStyle w:val="142"/>
              <w:jc w:val="center"/>
            </w:pPr>
            <w:r w:rsidRPr="00AE425A">
              <w:rPr>
                <w:rFonts w:hint="eastAsia"/>
              </w:rPr>
              <w:t>苗栗</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tcBorders>
              <w:right w:val="double" w:sz="4" w:space="0" w:color="auto"/>
            </w:tcBorders>
            <w:shd w:val="clear" w:color="auto" w:fill="auto"/>
            <w:vAlign w:val="center"/>
          </w:tcPr>
          <w:p w:rsidR="00391B29" w:rsidRPr="00AE425A" w:rsidRDefault="00391B29" w:rsidP="002B71D0">
            <w:pPr>
              <w:pStyle w:val="142"/>
              <w:jc w:val="right"/>
            </w:pPr>
            <w:r w:rsidRPr="00AE425A">
              <w:t>-</w:t>
            </w:r>
          </w:p>
        </w:tc>
        <w:tc>
          <w:tcPr>
            <w:tcW w:w="1063" w:type="dxa"/>
            <w:tcBorders>
              <w:top w:val="single" w:sz="4" w:space="0" w:color="auto"/>
              <w:left w:val="double" w:sz="4" w:space="0" w:color="auto"/>
              <w:bottom w:val="single" w:sz="4" w:space="0" w:color="auto"/>
            </w:tcBorders>
            <w:vAlign w:val="center"/>
          </w:tcPr>
          <w:p w:rsidR="00391B29" w:rsidRPr="00AE425A" w:rsidRDefault="00391B29" w:rsidP="002B71D0">
            <w:pPr>
              <w:pStyle w:val="142"/>
              <w:jc w:val="center"/>
            </w:pPr>
            <w:r w:rsidRPr="00AE425A">
              <w:rPr>
                <w:rFonts w:hint="eastAsia"/>
              </w:rPr>
              <w:t>臺南</w:t>
            </w:r>
          </w:p>
        </w:tc>
        <w:tc>
          <w:tcPr>
            <w:tcW w:w="1063" w:type="dxa"/>
            <w:vAlign w:val="center"/>
          </w:tcPr>
          <w:p w:rsidR="00391B29" w:rsidRPr="00AE425A" w:rsidRDefault="00391B29" w:rsidP="002B71D0">
            <w:pPr>
              <w:pStyle w:val="142"/>
              <w:jc w:val="right"/>
            </w:pPr>
            <w:r w:rsidRPr="00AE425A">
              <w:t>-</w:t>
            </w:r>
          </w:p>
        </w:tc>
        <w:tc>
          <w:tcPr>
            <w:tcW w:w="1063" w:type="dxa"/>
            <w:vAlign w:val="center"/>
          </w:tcPr>
          <w:p w:rsidR="00391B29" w:rsidRPr="00AE425A" w:rsidRDefault="00391B29" w:rsidP="002B71D0">
            <w:pPr>
              <w:pStyle w:val="142"/>
              <w:jc w:val="right"/>
            </w:pPr>
            <w:r w:rsidRPr="00AE425A">
              <w:t>-</w:t>
            </w:r>
          </w:p>
        </w:tc>
        <w:tc>
          <w:tcPr>
            <w:tcW w:w="1064" w:type="dxa"/>
            <w:vAlign w:val="center"/>
          </w:tcPr>
          <w:p w:rsidR="00391B29" w:rsidRPr="00AE425A" w:rsidRDefault="00391B29" w:rsidP="002B71D0">
            <w:pPr>
              <w:pStyle w:val="142"/>
              <w:jc w:val="right"/>
            </w:pPr>
            <w:r w:rsidRPr="00AE425A">
              <w:t>-</w:t>
            </w:r>
          </w:p>
        </w:tc>
      </w:tr>
      <w:tr w:rsidR="00391B29" w:rsidRPr="00AE425A" w:rsidTr="002B71D0">
        <w:tc>
          <w:tcPr>
            <w:tcW w:w="1063" w:type="dxa"/>
            <w:shd w:val="clear" w:color="auto" w:fill="auto"/>
            <w:vAlign w:val="center"/>
          </w:tcPr>
          <w:p w:rsidR="00391B29" w:rsidRPr="00AE425A" w:rsidRDefault="00391B29" w:rsidP="002B71D0">
            <w:pPr>
              <w:pStyle w:val="142"/>
              <w:jc w:val="center"/>
            </w:pPr>
            <w:r w:rsidRPr="00AE425A">
              <w:rPr>
                <w:rFonts w:hint="eastAsia"/>
              </w:rPr>
              <w:t>臺中</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tcBorders>
              <w:right w:val="double" w:sz="4" w:space="0" w:color="auto"/>
            </w:tcBorders>
            <w:shd w:val="clear" w:color="auto" w:fill="auto"/>
            <w:vAlign w:val="center"/>
          </w:tcPr>
          <w:p w:rsidR="00391B29" w:rsidRPr="00AE425A" w:rsidRDefault="00391B29" w:rsidP="002B71D0">
            <w:pPr>
              <w:pStyle w:val="142"/>
              <w:jc w:val="right"/>
            </w:pPr>
            <w:r w:rsidRPr="00AE425A">
              <w:t>-</w:t>
            </w:r>
          </w:p>
        </w:tc>
        <w:tc>
          <w:tcPr>
            <w:tcW w:w="1063" w:type="dxa"/>
            <w:tcBorders>
              <w:top w:val="single" w:sz="4" w:space="0" w:color="auto"/>
              <w:left w:val="double" w:sz="4" w:space="0" w:color="auto"/>
              <w:bottom w:val="single" w:sz="4" w:space="0" w:color="auto"/>
            </w:tcBorders>
            <w:vAlign w:val="center"/>
          </w:tcPr>
          <w:p w:rsidR="00391B29" w:rsidRPr="00AE425A" w:rsidRDefault="00391B29" w:rsidP="002B71D0">
            <w:pPr>
              <w:pStyle w:val="142"/>
              <w:jc w:val="center"/>
            </w:pPr>
            <w:r w:rsidRPr="00AE425A">
              <w:rPr>
                <w:rFonts w:hint="eastAsia"/>
              </w:rPr>
              <w:t>屏東</w:t>
            </w:r>
          </w:p>
        </w:tc>
        <w:tc>
          <w:tcPr>
            <w:tcW w:w="1063" w:type="dxa"/>
            <w:vAlign w:val="center"/>
          </w:tcPr>
          <w:p w:rsidR="00391B29" w:rsidRPr="00AE425A" w:rsidRDefault="00391B29" w:rsidP="002B71D0">
            <w:pPr>
              <w:pStyle w:val="142"/>
              <w:jc w:val="right"/>
            </w:pPr>
            <w:r w:rsidRPr="00AE425A">
              <w:t>-</w:t>
            </w:r>
          </w:p>
        </w:tc>
        <w:tc>
          <w:tcPr>
            <w:tcW w:w="1063" w:type="dxa"/>
            <w:vAlign w:val="center"/>
          </w:tcPr>
          <w:p w:rsidR="00391B29" w:rsidRPr="00AE425A" w:rsidRDefault="00391B29" w:rsidP="002B71D0">
            <w:pPr>
              <w:pStyle w:val="142"/>
              <w:jc w:val="right"/>
            </w:pPr>
            <w:r w:rsidRPr="00AE425A">
              <w:t>68.5</w:t>
            </w:r>
          </w:p>
        </w:tc>
        <w:tc>
          <w:tcPr>
            <w:tcW w:w="1064" w:type="dxa"/>
            <w:vAlign w:val="center"/>
          </w:tcPr>
          <w:p w:rsidR="00391B29" w:rsidRPr="00AE425A" w:rsidRDefault="00391B29" w:rsidP="002B71D0">
            <w:pPr>
              <w:pStyle w:val="142"/>
              <w:jc w:val="right"/>
            </w:pPr>
            <w:r w:rsidRPr="00AE425A">
              <w:t>105.9</w:t>
            </w:r>
          </w:p>
        </w:tc>
      </w:tr>
      <w:tr w:rsidR="00391B29" w:rsidRPr="00AE425A" w:rsidTr="002B71D0">
        <w:tc>
          <w:tcPr>
            <w:tcW w:w="1063" w:type="dxa"/>
            <w:shd w:val="clear" w:color="auto" w:fill="auto"/>
            <w:vAlign w:val="center"/>
          </w:tcPr>
          <w:p w:rsidR="00391B29" w:rsidRPr="00AE425A" w:rsidRDefault="00391B29" w:rsidP="002B71D0">
            <w:pPr>
              <w:pStyle w:val="142"/>
              <w:jc w:val="center"/>
            </w:pPr>
            <w:r w:rsidRPr="00AE425A">
              <w:rPr>
                <w:rFonts w:hint="eastAsia"/>
              </w:rPr>
              <w:t>彰化</w:t>
            </w:r>
          </w:p>
        </w:tc>
        <w:tc>
          <w:tcPr>
            <w:tcW w:w="1063" w:type="dxa"/>
            <w:shd w:val="clear" w:color="auto" w:fill="auto"/>
            <w:vAlign w:val="center"/>
          </w:tcPr>
          <w:p w:rsidR="00391B29" w:rsidRPr="00AE425A" w:rsidRDefault="00391B29" w:rsidP="002B71D0">
            <w:pPr>
              <w:pStyle w:val="142"/>
              <w:jc w:val="right"/>
            </w:pPr>
            <w:r w:rsidRPr="00AE425A">
              <w:t>53.3</w:t>
            </w:r>
          </w:p>
        </w:tc>
        <w:tc>
          <w:tcPr>
            <w:tcW w:w="1063" w:type="dxa"/>
            <w:shd w:val="clear" w:color="auto" w:fill="auto"/>
            <w:vAlign w:val="center"/>
          </w:tcPr>
          <w:p w:rsidR="00391B29" w:rsidRPr="00AE425A" w:rsidRDefault="00391B29" w:rsidP="002B71D0">
            <w:pPr>
              <w:pStyle w:val="142"/>
              <w:jc w:val="right"/>
            </w:pPr>
            <w:r w:rsidRPr="00AE425A">
              <w:t>2</w:t>
            </w:r>
            <w:r w:rsidRPr="00AE425A">
              <w:rPr>
                <w:rFonts w:hint="eastAsia"/>
              </w:rPr>
              <w:t>.0</w:t>
            </w:r>
          </w:p>
        </w:tc>
        <w:tc>
          <w:tcPr>
            <w:tcW w:w="1063" w:type="dxa"/>
            <w:tcBorders>
              <w:right w:val="double" w:sz="4" w:space="0" w:color="auto"/>
            </w:tcBorders>
            <w:shd w:val="clear" w:color="auto" w:fill="auto"/>
            <w:vAlign w:val="center"/>
          </w:tcPr>
          <w:p w:rsidR="00391B29" w:rsidRPr="00AE425A" w:rsidRDefault="00391B29" w:rsidP="002B71D0">
            <w:pPr>
              <w:pStyle w:val="142"/>
              <w:jc w:val="right"/>
            </w:pPr>
            <w:r w:rsidRPr="00AE425A">
              <w:t>25.9</w:t>
            </w:r>
          </w:p>
        </w:tc>
        <w:tc>
          <w:tcPr>
            <w:tcW w:w="1063" w:type="dxa"/>
            <w:tcBorders>
              <w:top w:val="single" w:sz="4" w:space="0" w:color="auto"/>
              <w:left w:val="double" w:sz="4" w:space="0" w:color="auto"/>
              <w:bottom w:val="single" w:sz="12" w:space="0" w:color="auto"/>
            </w:tcBorders>
            <w:vAlign w:val="center"/>
          </w:tcPr>
          <w:p w:rsidR="00391B29" w:rsidRPr="00506F14" w:rsidRDefault="00391B29" w:rsidP="002B71D0">
            <w:pPr>
              <w:pStyle w:val="142"/>
              <w:jc w:val="center"/>
              <w:rPr>
                <w:b/>
              </w:rPr>
            </w:pPr>
            <w:r w:rsidRPr="00506F14">
              <w:rPr>
                <w:rFonts w:hint="eastAsia"/>
                <w:b/>
              </w:rPr>
              <w:t>合計</w:t>
            </w:r>
          </w:p>
        </w:tc>
        <w:tc>
          <w:tcPr>
            <w:tcW w:w="1063" w:type="dxa"/>
            <w:vAlign w:val="center"/>
          </w:tcPr>
          <w:p w:rsidR="00391B29" w:rsidRPr="00506F14" w:rsidRDefault="00391B29" w:rsidP="002B71D0">
            <w:pPr>
              <w:pStyle w:val="142"/>
              <w:jc w:val="right"/>
              <w:rPr>
                <w:b/>
              </w:rPr>
            </w:pPr>
            <w:r w:rsidRPr="00506F14">
              <w:rPr>
                <w:b/>
              </w:rPr>
              <w:t>688.8</w:t>
            </w:r>
          </w:p>
        </w:tc>
        <w:tc>
          <w:tcPr>
            <w:tcW w:w="1063" w:type="dxa"/>
            <w:vAlign w:val="center"/>
          </w:tcPr>
          <w:p w:rsidR="00391B29" w:rsidRPr="00506F14" w:rsidRDefault="00391B29" w:rsidP="002B71D0">
            <w:pPr>
              <w:pStyle w:val="142"/>
              <w:jc w:val="right"/>
              <w:rPr>
                <w:b/>
              </w:rPr>
            </w:pPr>
            <w:r w:rsidRPr="00506F14">
              <w:rPr>
                <w:b/>
              </w:rPr>
              <w:t>310</w:t>
            </w:r>
            <w:r w:rsidRPr="00506F14">
              <w:rPr>
                <w:rFonts w:hint="eastAsia"/>
                <w:b/>
              </w:rPr>
              <w:t>.0</w:t>
            </w:r>
          </w:p>
        </w:tc>
        <w:tc>
          <w:tcPr>
            <w:tcW w:w="1064" w:type="dxa"/>
            <w:vAlign w:val="center"/>
          </w:tcPr>
          <w:p w:rsidR="00391B29" w:rsidRPr="00506F14" w:rsidRDefault="00391B29" w:rsidP="002B71D0">
            <w:pPr>
              <w:pStyle w:val="142"/>
              <w:jc w:val="right"/>
              <w:rPr>
                <w:b/>
              </w:rPr>
            </w:pPr>
            <w:r w:rsidRPr="00506F14">
              <w:rPr>
                <w:b/>
              </w:rPr>
              <w:t>620.6</w:t>
            </w:r>
          </w:p>
        </w:tc>
      </w:tr>
    </w:tbl>
    <w:p w:rsidR="00391B29" w:rsidRDefault="00391B29" w:rsidP="00391B29">
      <w:pPr>
        <w:pStyle w:val="142"/>
        <w:ind w:left="1216" w:hangingChars="500" w:hanging="1216"/>
      </w:pPr>
      <w:r w:rsidRPr="003C7FED">
        <w:rPr>
          <w:rFonts w:hint="eastAsia"/>
        </w:rPr>
        <w:t>資料來源</w:t>
      </w:r>
      <w:r>
        <w:rPr>
          <w:rFonts w:hint="eastAsia"/>
        </w:rPr>
        <w:t>：水利署提供</w:t>
      </w:r>
      <w:r w:rsidRPr="006C7313">
        <w:rPr>
          <w:rFonts w:hint="eastAsia"/>
        </w:rPr>
        <w:t>。</w:t>
      </w:r>
    </w:p>
    <w:p w:rsidR="005B78C1" w:rsidRDefault="005B78C1" w:rsidP="00391B29">
      <w:pPr>
        <w:pStyle w:val="142"/>
        <w:ind w:left="1216" w:hangingChars="500" w:hanging="1216"/>
      </w:pPr>
    </w:p>
    <w:p w:rsidR="005B78C1" w:rsidRDefault="005B78C1" w:rsidP="00391B29">
      <w:pPr>
        <w:pStyle w:val="142"/>
        <w:ind w:left="1216" w:hangingChars="500" w:hanging="1216"/>
        <w:rPr>
          <w:rFonts w:hint="eastAsia"/>
          <w:color w:val="0000FF"/>
        </w:rPr>
      </w:pPr>
    </w:p>
    <w:p w:rsidR="00391B29" w:rsidRDefault="00391B29" w:rsidP="00391B29">
      <w:pPr>
        <w:pStyle w:val="a4"/>
        <w:ind w:left="849" w:hanging="283"/>
        <w:rPr>
          <w:rFonts w:hint="eastAsia"/>
          <w:b/>
        </w:rPr>
      </w:pPr>
      <w:r w:rsidRPr="00DF004E">
        <w:rPr>
          <w:rFonts w:hint="eastAsia"/>
          <w:b/>
        </w:rPr>
        <w:t>(</w:t>
      </w:r>
      <w:r>
        <w:rPr>
          <w:rFonts w:hint="eastAsia"/>
          <w:b/>
        </w:rPr>
        <w:t>二</w:t>
      </w:r>
      <w:r w:rsidRPr="00DF004E">
        <w:rPr>
          <w:rFonts w:hint="eastAsia"/>
          <w:b/>
        </w:rPr>
        <w:t>)</w:t>
      </w:r>
      <w:r>
        <w:rPr>
          <w:rFonts w:hint="eastAsia"/>
          <w:b/>
        </w:rPr>
        <w:t>迄112年底取得水權狀水井數占比僅</w:t>
      </w:r>
      <w:r w:rsidRPr="00CA39C0">
        <w:rPr>
          <w:rFonts w:hint="eastAsia"/>
          <w:b/>
        </w:rPr>
        <w:t>2.64%，</w:t>
      </w:r>
      <w:r>
        <w:rPr>
          <w:rFonts w:hint="eastAsia"/>
          <w:b/>
        </w:rPr>
        <w:t>且</w:t>
      </w:r>
      <w:r w:rsidRPr="005C5538">
        <w:rPr>
          <w:rFonts w:hint="eastAsia"/>
          <w:b/>
        </w:rPr>
        <w:t>近10年度地</w:t>
      </w:r>
      <w:r w:rsidRPr="005C5538">
        <w:rPr>
          <w:rFonts w:hint="eastAsia"/>
          <w:b/>
        </w:rPr>
        <w:lastRenderedPageBreak/>
        <w:t>下水仍呈超抽情形</w:t>
      </w:r>
      <w:r>
        <w:rPr>
          <w:rFonts w:hint="eastAsia"/>
          <w:b/>
        </w:rPr>
        <w:t>，允宜積極與地方政府研商改進方案，俾強化地下水井之管理</w:t>
      </w:r>
    </w:p>
    <w:p w:rsidR="00391B29" w:rsidRDefault="00391B29" w:rsidP="00391B29">
      <w:pPr>
        <w:pStyle w:val="21"/>
        <w:ind w:left="850" w:firstLine="566"/>
      </w:pPr>
      <w:r>
        <w:rPr>
          <w:rFonts w:hint="eastAsia"/>
        </w:rPr>
        <w:t>據</w:t>
      </w:r>
      <w:r w:rsidRPr="00BD7CBB">
        <w:rPr>
          <w:rFonts w:hint="eastAsia"/>
        </w:rPr>
        <w:t>111年度「綠色國民所得帳編製報告(環境與經濟帳)」，近10年度</w:t>
      </w:r>
      <w:r>
        <w:rPr>
          <w:rFonts w:hint="eastAsia"/>
        </w:rPr>
        <w:t>我國</w:t>
      </w:r>
      <w:r w:rsidRPr="00BD7CBB">
        <w:rPr>
          <w:rFonts w:hint="eastAsia"/>
        </w:rPr>
        <w:t>地下水仍呈超抽情形(詳表2)，超抽區域主要分布於「濁水溪沖積扇」、「嘉南平原」及「屏東平原」等，均屬地層顯著下陷面積較廣之地區。</w:t>
      </w:r>
      <w:r>
        <w:rPr>
          <w:rFonts w:hint="eastAsia"/>
        </w:rPr>
        <w:t>另審計部112年度中央政府總決算審核報告亦指出略以，增鑿水井利用地下水資源作為枯旱期間備援水源，惟地下水取用水量超逾年滲透量，且部分抗旱水井未檢測水質，又缺乏資訊系統管理抗旱水井資訊等尚待檢討改善，俾利運用地下水，以因應旱災挑戰</w:t>
      </w:r>
      <w:r w:rsidRPr="007B2868">
        <w:rPr>
          <w:rFonts w:hint="eastAsia"/>
        </w:rPr>
        <w:t>。</w:t>
      </w:r>
      <w:r>
        <w:rPr>
          <w:rFonts w:hint="eastAsia"/>
        </w:rPr>
        <w:t>又依水利署統計，迄112年底清查納管水井數為</w:t>
      </w:r>
      <w:r w:rsidRPr="00994DD4">
        <w:t>33</w:t>
      </w:r>
      <w:r>
        <w:rPr>
          <w:rFonts w:hint="eastAsia"/>
        </w:rPr>
        <w:t>萬</w:t>
      </w:r>
      <w:r w:rsidRPr="00994DD4">
        <w:t>1,167</w:t>
      </w:r>
      <w:r>
        <w:rPr>
          <w:rFonts w:hint="eastAsia"/>
        </w:rPr>
        <w:t>口，經</w:t>
      </w:r>
      <w:r w:rsidRPr="00994DD4">
        <w:rPr>
          <w:rFonts w:hint="eastAsia"/>
        </w:rPr>
        <w:t>輔導取得水權狀水井數</w:t>
      </w:r>
      <w:r w:rsidRPr="00994DD4">
        <w:t>8,739</w:t>
      </w:r>
      <w:r w:rsidRPr="00994DD4">
        <w:rPr>
          <w:rFonts w:hint="eastAsia"/>
        </w:rPr>
        <w:t>口</w:t>
      </w:r>
      <w:r>
        <w:rPr>
          <w:rFonts w:hint="eastAsia"/>
        </w:rPr>
        <w:t>，</w:t>
      </w:r>
      <w:r w:rsidRPr="00994DD4">
        <w:rPr>
          <w:rFonts w:hint="eastAsia"/>
        </w:rPr>
        <w:t>占比僅2.</w:t>
      </w:r>
      <w:r>
        <w:t>64</w:t>
      </w:r>
      <w:r w:rsidRPr="00994DD4">
        <w:rPr>
          <w:rFonts w:hint="eastAsia"/>
        </w:rPr>
        <w:t>%，恐不利於地下水全面管理，</w:t>
      </w:r>
      <w:r>
        <w:rPr>
          <w:rFonts w:hint="eastAsia"/>
        </w:rPr>
        <w:t>詢據該署說明略以，</w:t>
      </w:r>
      <w:r w:rsidRPr="00BD7CBB">
        <w:rPr>
          <w:rFonts w:hint="eastAsia"/>
        </w:rPr>
        <w:t>地下水水權核發管理為地方政府權責，因早期未登記水井數量龐大，且民眾對於納管輔導仍有相當疑慮，地方政府考量行政執行量能，優先輔導抽用水量較大之工業水井取得水權；至抽用水量較小之農業水井，則採軟性勸導方式並配合簡政便民措施</w:t>
      </w:r>
      <w:r w:rsidRPr="007B2868">
        <w:rPr>
          <w:rFonts w:hint="eastAsia"/>
        </w:rPr>
        <w:t>。</w:t>
      </w:r>
    </w:p>
    <w:p w:rsidR="00391B29" w:rsidRPr="00BD7CBB" w:rsidRDefault="00391B29" w:rsidP="00391B29">
      <w:pPr>
        <w:pStyle w:val="21"/>
        <w:ind w:left="850" w:firstLine="566"/>
        <w:rPr>
          <w:rFonts w:hint="eastAsia"/>
        </w:rPr>
      </w:pPr>
      <w:r w:rsidRPr="003150D2">
        <w:rPr>
          <w:rFonts w:hint="eastAsia"/>
        </w:rPr>
        <w:t>鑑於近3年全臺地層顯著下陷面積並未明顯改善，</w:t>
      </w:r>
      <w:r>
        <w:rPr>
          <w:rFonts w:hint="eastAsia"/>
        </w:rPr>
        <w:t>又迄112底清查納管水井僅</w:t>
      </w:r>
      <w:r w:rsidRPr="003150D2">
        <w:t>2.64%</w:t>
      </w:r>
      <w:r>
        <w:rPr>
          <w:rFonts w:hint="eastAsia"/>
        </w:rPr>
        <w:t>經輔導取得水權狀，允宜強化地下水抽取運用及補注之控管，並加強與地方政府研商，強化改善地下水井管理方案</w:t>
      </w:r>
      <w:r w:rsidRPr="003150D2">
        <w:rPr>
          <w:rFonts w:hint="eastAsia"/>
        </w:rPr>
        <w:t>。</w:t>
      </w:r>
    </w:p>
    <w:p w:rsidR="00391B29" w:rsidRDefault="00391B29" w:rsidP="00391B29">
      <w:pPr>
        <w:ind w:left="566" w:firstLine="566"/>
        <w:rPr>
          <w:rFonts w:hAnsi="標楷體"/>
        </w:rPr>
      </w:pPr>
      <w:r>
        <w:rPr>
          <w:rFonts w:hint="eastAsia"/>
        </w:rPr>
        <w:t>綜上</w:t>
      </w:r>
      <w:r>
        <w:rPr>
          <w:rFonts w:hAnsi="標楷體" w:hint="eastAsia"/>
        </w:rPr>
        <w:t>，水利署</w:t>
      </w:r>
      <w:r w:rsidRPr="00421FFF">
        <w:rPr>
          <w:rFonts w:hAnsi="標楷體" w:hint="eastAsia"/>
        </w:rPr>
        <w:t>112年度</w:t>
      </w:r>
      <w:r>
        <w:rPr>
          <w:rFonts w:hAnsi="標楷體" w:hint="eastAsia"/>
        </w:rPr>
        <w:t>編列</w:t>
      </w:r>
      <w:r w:rsidRPr="00421FFF">
        <w:rPr>
          <w:rFonts w:hAnsi="標楷體" w:hint="eastAsia"/>
        </w:rPr>
        <w:t>「地下水保育管理暨地層下陷防治第3期計畫(110-113年)」2億4,800萬元，經執行後決算數2億3,610萬7千元，</w:t>
      </w:r>
      <w:r>
        <w:rPr>
          <w:rFonts w:hAnsi="標楷體" w:hint="eastAsia"/>
        </w:rPr>
        <w:t>鑑於</w:t>
      </w:r>
      <w:r w:rsidRPr="00421FFF">
        <w:rPr>
          <w:rFonts w:hAnsi="標楷體" w:hint="eastAsia"/>
        </w:rPr>
        <w:t>近3年全臺地層顯著下陷面積</w:t>
      </w:r>
      <w:r>
        <w:rPr>
          <w:rFonts w:hAnsi="標楷體" w:hint="eastAsia"/>
        </w:rPr>
        <w:t>均超過計畫目標值200平方公里，且迄112年底清查納管水井中僅2.64%經輔導取得水權狀，允宜審酌檢討計畫執行成效，並強化與地方</w:t>
      </w:r>
      <w:r>
        <w:rPr>
          <w:rFonts w:hAnsi="標楷體" w:hint="eastAsia"/>
        </w:rPr>
        <w:lastRenderedPageBreak/>
        <w:t>政府研商，強化改善地下水井管理方案，俾有效運用地下水資源及緩解地層下陷。</w:t>
      </w:r>
    </w:p>
    <w:p w:rsidR="00391B29" w:rsidRDefault="00391B29" w:rsidP="00391B29">
      <w:pPr>
        <w:pStyle w:val="200"/>
      </w:pPr>
      <w:r w:rsidRPr="00421FFF">
        <w:rPr>
          <w:b/>
          <w:sz w:val="28"/>
        </w:rPr>
        <w:t>表</w:t>
      </w:r>
      <w:r w:rsidRPr="00421FFF">
        <w:rPr>
          <w:rFonts w:hint="eastAsia"/>
          <w:b/>
          <w:sz w:val="28"/>
        </w:rPr>
        <w:t>2</w:t>
      </w:r>
      <w:r w:rsidRPr="00421FFF">
        <w:rPr>
          <w:b/>
          <w:sz w:val="28"/>
        </w:rPr>
        <w:t xml:space="preserve">  </w:t>
      </w:r>
      <w:r w:rsidRPr="00421FFF">
        <w:rPr>
          <w:rFonts w:hint="eastAsia"/>
          <w:b/>
          <w:sz w:val="28"/>
        </w:rPr>
        <w:t>102至111年度地下水抽用及補注概況表</w:t>
      </w:r>
      <w:r w:rsidRPr="000D0120">
        <w:rPr>
          <w:rFonts w:hint="eastAsia"/>
        </w:rPr>
        <w:t xml:space="preserve">     單位：百萬立方公尺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1"/>
        <w:gridCol w:w="995"/>
        <w:gridCol w:w="995"/>
        <w:gridCol w:w="995"/>
        <w:gridCol w:w="1701"/>
        <w:gridCol w:w="1056"/>
        <w:gridCol w:w="1057"/>
        <w:gridCol w:w="1057"/>
      </w:tblGrid>
      <w:tr w:rsidR="00391B29" w:rsidRPr="0009789C" w:rsidTr="002B71D0">
        <w:trPr>
          <w:tblHeader/>
        </w:trPr>
        <w:tc>
          <w:tcPr>
            <w:tcW w:w="701" w:type="dxa"/>
            <w:shd w:val="clear" w:color="auto" w:fill="auto"/>
            <w:vAlign w:val="center"/>
          </w:tcPr>
          <w:p w:rsidR="00391B29" w:rsidRPr="0009789C" w:rsidRDefault="00391B29" w:rsidP="002B71D0">
            <w:pPr>
              <w:pStyle w:val="142"/>
              <w:jc w:val="center"/>
              <w:rPr>
                <w:rFonts w:hAnsi="標楷體" w:hint="eastAsia"/>
                <w:spacing w:val="-12"/>
              </w:rPr>
            </w:pPr>
            <w:r w:rsidRPr="0009789C">
              <w:rPr>
                <w:rFonts w:hAnsi="標楷體" w:hint="eastAsia"/>
                <w:spacing w:val="-12"/>
              </w:rPr>
              <w:t>年度</w:t>
            </w:r>
          </w:p>
        </w:tc>
        <w:tc>
          <w:tcPr>
            <w:tcW w:w="995" w:type="dxa"/>
            <w:shd w:val="clear" w:color="auto" w:fill="auto"/>
            <w:vAlign w:val="center"/>
          </w:tcPr>
          <w:p w:rsidR="00391B29" w:rsidRPr="0009789C" w:rsidRDefault="00391B29" w:rsidP="002B71D0">
            <w:pPr>
              <w:pStyle w:val="142"/>
              <w:jc w:val="center"/>
              <w:rPr>
                <w:rFonts w:hAnsi="標楷體" w:hint="eastAsia"/>
                <w:spacing w:val="-12"/>
              </w:rPr>
            </w:pPr>
            <w:r w:rsidRPr="0009789C">
              <w:rPr>
                <w:rFonts w:hAnsi="標楷體" w:hint="eastAsia"/>
                <w:spacing w:val="-12"/>
              </w:rPr>
              <w:t>抽用量</w:t>
            </w:r>
          </w:p>
        </w:tc>
        <w:tc>
          <w:tcPr>
            <w:tcW w:w="995" w:type="dxa"/>
            <w:shd w:val="clear" w:color="auto" w:fill="auto"/>
            <w:vAlign w:val="center"/>
          </w:tcPr>
          <w:p w:rsidR="00391B29" w:rsidRPr="0009789C" w:rsidRDefault="00391B29" w:rsidP="002B71D0">
            <w:pPr>
              <w:pStyle w:val="142"/>
              <w:jc w:val="center"/>
              <w:rPr>
                <w:rFonts w:hAnsi="標楷體" w:hint="eastAsia"/>
                <w:spacing w:val="-12"/>
              </w:rPr>
            </w:pPr>
            <w:r w:rsidRPr="0009789C">
              <w:rPr>
                <w:rFonts w:hAnsi="標楷體" w:hint="eastAsia"/>
                <w:spacing w:val="-12"/>
              </w:rPr>
              <w:t>補注量</w:t>
            </w:r>
          </w:p>
        </w:tc>
        <w:tc>
          <w:tcPr>
            <w:tcW w:w="995" w:type="dxa"/>
            <w:tcBorders>
              <w:right w:val="double" w:sz="4" w:space="0" w:color="auto"/>
            </w:tcBorders>
            <w:shd w:val="clear" w:color="auto" w:fill="auto"/>
            <w:vAlign w:val="center"/>
          </w:tcPr>
          <w:p w:rsidR="00391B29" w:rsidRPr="0009789C" w:rsidRDefault="00391B29" w:rsidP="002B71D0">
            <w:pPr>
              <w:pStyle w:val="142"/>
              <w:jc w:val="center"/>
              <w:rPr>
                <w:rFonts w:hAnsi="標楷體" w:hint="eastAsia"/>
                <w:spacing w:val="-12"/>
              </w:rPr>
            </w:pPr>
            <w:r w:rsidRPr="0009789C">
              <w:rPr>
                <w:rFonts w:hAnsi="標楷體" w:hint="eastAsia"/>
                <w:spacing w:val="-12"/>
              </w:rPr>
              <w:t>超抽量</w:t>
            </w:r>
          </w:p>
        </w:tc>
        <w:tc>
          <w:tcPr>
            <w:tcW w:w="1701" w:type="dxa"/>
            <w:tcBorders>
              <w:top w:val="single" w:sz="12" w:space="0" w:color="auto"/>
              <w:left w:val="double" w:sz="4" w:space="0" w:color="auto"/>
              <w:bottom w:val="single" w:sz="4" w:space="0" w:color="auto"/>
            </w:tcBorders>
            <w:vAlign w:val="center"/>
          </w:tcPr>
          <w:p w:rsidR="00391B29" w:rsidRPr="0009789C" w:rsidRDefault="00391B29" w:rsidP="002B71D0">
            <w:pPr>
              <w:pStyle w:val="142"/>
              <w:jc w:val="center"/>
              <w:rPr>
                <w:rFonts w:hAnsi="標楷體" w:hint="eastAsia"/>
                <w:spacing w:val="-12"/>
              </w:rPr>
            </w:pPr>
            <w:r w:rsidRPr="0009789C">
              <w:rPr>
                <w:rFonts w:hAnsi="標楷體" w:hint="eastAsia"/>
                <w:spacing w:val="-12"/>
              </w:rPr>
              <w:t>年度/地下水區</w:t>
            </w:r>
          </w:p>
        </w:tc>
        <w:tc>
          <w:tcPr>
            <w:tcW w:w="1056" w:type="dxa"/>
            <w:vAlign w:val="center"/>
          </w:tcPr>
          <w:p w:rsidR="00391B29" w:rsidRPr="0009789C" w:rsidRDefault="00391B29" w:rsidP="002B71D0">
            <w:pPr>
              <w:pStyle w:val="142"/>
              <w:jc w:val="center"/>
              <w:rPr>
                <w:rFonts w:hAnsi="標楷體" w:hint="eastAsia"/>
                <w:spacing w:val="-12"/>
              </w:rPr>
            </w:pPr>
            <w:r w:rsidRPr="0009789C">
              <w:rPr>
                <w:rFonts w:hAnsi="標楷體" w:hint="eastAsia"/>
                <w:spacing w:val="-12"/>
              </w:rPr>
              <w:t>抽用量</w:t>
            </w:r>
          </w:p>
        </w:tc>
        <w:tc>
          <w:tcPr>
            <w:tcW w:w="1057" w:type="dxa"/>
            <w:vAlign w:val="center"/>
          </w:tcPr>
          <w:p w:rsidR="00391B29" w:rsidRPr="0009789C" w:rsidRDefault="00391B29" w:rsidP="002B71D0">
            <w:pPr>
              <w:pStyle w:val="142"/>
              <w:jc w:val="center"/>
              <w:rPr>
                <w:rFonts w:hAnsi="標楷體" w:hint="eastAsia"/>
                <w:spacing w:val="-12"/>
              </w:rPr>
            </w:pPr>
            <w:r w:rsidRPr="0009789C">
              <w:rPr>
                <w:rFonts w:hAnsi="標楷體" w:hint="eastAsia"/>
                <w:spacing w:val="-12"/>
              </w:rPr>
              <w:t>補注量</w:t>
            </w:r>
          </w:p>
        </w:tc>
        <w:tc>
          <w:tcPr>
            <w:tcW w:w="1057" w:type="dxa"/>
            <w:vAlign w:val="center"/>
          </w:tcPr>
          <w:p w:rsidR="00391B29" w:rsidRPr="0009789C" w:rsidRDefault="00391B29" w:rsidP="002B71D0">
            <w:pPr>
              <w:pStyle w:val="142"/>
              <w:jc w:val="center"/>
              <w:rPr>
                <w:rFonts w:hAnsi="標楷體" w:hint="eastAsia"/>
                <w:spacing w:val="-12"/>
              </w:rPr>
            </w:pPr>
            <w:r w:rsidRPr="0009789C">
              <w:rPr>
                <w:rFonts w:hAnsi="標楷體" w:hint="eastAsia"/>
                <w:spacing w:val="-12"/>
              </w:rPr>
              <w:t>超抽量</w:t>
            </w:r>
          </w:p>
        </w:tc>
      </w:tr>
      <w:tr w:rsidR="00391B29" w:rsidRPr="0009789C" w:rsidTr="002B71D0">
        <w:tc>
          <w:tcPr>
            <w:tcW w:w="701" w:type="dxa"/>
            <w:shd w:val="clear" w:color="auto" w:fill="auto"/>
          </w:tcPr>
          <w:p w:rsidR="00391B29" w:rsidRPr="0009789C" w:rsidRDefault="00391B29" w:rsidP="002B71D0">
            <w:pPr>
              <w:pStyle w:val="142"/>
              <w:jc w:val="center"/>
              <w:rPr>
                <w:rFonts w:hAnsi="標楷體" w:hint="eastAsia"/>
                <w:spacing w:val="-12"/>
              </w:rPr>
            </w:pPr>
            <w:r w:rsidRPr="0009789C">
              <w:rPr>
                <w:rFonts w:hAnsi="標楷體" w:hint="eastAsia"/>
                <w:spacing w:val="-12"/>
              </w:rPr>
              <w:t>102</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spacing w:val="-12"/>
              </w:rPr>
              <w:t>5,223.9</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,173.8</w:t>
            </w:r>
          </w:p>
        </w:tc>
        <w:tc>
          <w:tcPr>
            <w:tcW w:w="995" w:type="dxa"/>
            <w:tcBorders>
              <w:right w:val="double" w:sz="4" w:space="0" w:color="auto"/>
            </w:tcBorders>
            <w:shd w:val="clear" w:color="auto" w:fill="auto"/>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,550.4</w:t>
            </w:r>
          </w:p>
        </w:tc>
        <w:tc>
          <w:tcPr>
            <w:tcW w:w="1701" w:type="dxa"/>
            <w:tcBorders>
              <w:top w:val="single" w:sz="4" w:space="0" w:color="auto"/>
              <w:left w:val="double" w:sz="4" w:space="0" w:color="auto"/>
              <w:bottom w:val="single" w:sz="4" w:space="0" w:color="auto"/>
            </w:tcBorders>
          </w:tcPr>
          <w:p w:rsidR="00391B29" w:rsidRPr="0009789C" w:rsidRDefault="00391B29" w:rsidP="002B71D0">
            <w:pPr>
              <w:pStyle w:val="142"/>
              <w:rPr>
                <w:rFonts w:hAnsi="標楷體" w:hint="eastAsia"/>
                <w:spacing w:val="-12"/>
              </w:rPr>
            </w:pPr>
            <w:r w:rsidRPr="0009789C">
              <w:rPr>
                <w:rFonts w:hAnsi="標楷體" w:hint="eastAsia"/>
                <w:spacing w:val="-12"/>
              </w:rPr>
              <w:t>109</w:t>
            </w:r>
          </w:p>
        </w:tc>
        <w:tc>
          <w:tcPr>
            <w:tcW w:w="1056"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,020.6</w:t>
            </w:r>
          </w:p>
        </w:tc>
        <w:tc>
          <w:tcPr>
            <w:tcW w:w="1057"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4</w:t>
            </w:r>
            <w:r w:rsidRPr="0009789C">
              <w:rPr>
                <w:rFonts w:hAnsi="標楷體"/>
                <w:spacing w:val="-12"/>
              </w:rPr>
              <w:t>,603.1</w:t>
            </w:r>
          </w:p>
        </w:tc>
        <w:tc>
          <w:tcPr>
            <w:tcW w:w="1057" w:type="dxa"/>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,639.6</w:t>
            </w:r>
          </w:p>
        </w:tc>
      </w:tr>
      <w:tr w:rsidR="00391B29" w:rsidRPr="0009789C" w:rsidTr="002B71D0">
        <w:tc>
          <w:tcPr>
            <w:tcW w:w="701" w:type="dxa"/>
            <w:shd w:val="clear" w:color="auto" w:fill="auto"/>
          </w:tcPr>
          <w:p w:rsidR="00391B29" w:rsidRPr="0009789C" w:rsidRDefault="00391B29" w:rsidP="002B71D0">
            <w:pPr>
              <w:pStyle w:val="142"/>
              <w:jc w:val="center"/>
              <w:rPr>
                <w:rFonts w:hAnsi="標楷體" w:hint="eastAsia"/>
                <w:spacing w:val="-12"/>
              </w:rPr>
            </w:pPr>
            <w:r w:rsidRPr="0009789C">
              <w:rPr>
                <w:rFonts w:hAnsi="標楷體" w:hint="eastAsia"/>
                <w:spacing w:val="-12"/>
              </w:rPr>
              <w:t>103</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,157.3</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,057.9</w:t>
            </w:r>
          </w:p>
        </w:tc>
        <w:tc>
          <w:tcPr>
            <w:tcW w:w="995" w:type="dxa"/>
            <w:tcBorders>
              <w:right w:val="double" w:sz="4" w:space="0" w:color="auto"/>
            </w:tcBorders>
            <w:shd w:val="clear" w:color="auto" w:fill="auto"/>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,420.5</w:t>
            </w:r>
          </w:p>
        </w:tc>
        <w:tc>
          <w:tcPr>
            <w:tcW w:w="1701" w:type="dxa"/>
            <w:tcBorders>
              <w:top w:val="single" w:sz="4" w:space="0" w:color="auto"/>
              <w:left w:val="double" w:sz="4" w:space="0" w:color="auto"/>
              <w:bottom w:val="single" w:sz="4" w:space="0" w:color="auto"/>
            </w:tcBorders>
          </w:tcPr>
          <w:p w:rsidR="00391B29" w:rsidRPr="0009789C" w:rsidRDefault="00391B29" w:rsidP="002B71D0">
            <w:pPr>
              <w:pStyle w:val="142"/>
              <w:rPr>
                <w:rFonts w:hAnsi="標楷體" w:hint="eastAsia"/>
                <w:spacing w:val="-12"/>
              </w:rPr>
            </w:pPr>
            <w:r w:rsidRPr="0009789C">
              <w:rPr>
                <w:rFonts w:hAnsi="標楷體" w:hint="eastAsia"/>
                <w:spacing w:val="-12"/>
              </w:rPr>
              <w:t>110</w:t>
            </w:r>
          </w:p>
        </w:tc>
        <w:tc>
          <w:tcPr>
            <w:tcW w:w="1056"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,059.5</w:t>
            </w:r>
          </w:p>
        </w:tc>
        <w:tc>
          <w:tcPr>
            <w:tcW w:w="1057"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4</w:t>
            </w:r>
            <w:r w:rsidRPr="0009789C">
              <w:rPr>
                <w:rFonts w:hAnsi="標楷體"/>
                <w:spacing w:val="-12"/>
              </w:rPr>
              <w:t>,782.7</w:t>
            </w:r>
          </w:p>
        </w:tc>
        <w:tc>
          <w:tcPr>
            <w:tcW w:w="1057" w:type="dxa"/>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,390.9</w:t>
            </w:r>
          </w:p>
        </w:tc>
      </w:tr>
      <w:tr w:rsidR="00391B29" w:rsidRPr="0009789C" w:rsidTr="002B71D0">
        <w:tc>
          <w:tcPr>
            <w:tcW w:w="701" w:type="dxa"/>
            <w:shd w:val="clear" w:color="auto" w:fill="auto"/>
          </w:tcPr>
          <w:p w:rsidR="00391B29" w:rsidRPr="0009789C" w:rsidRDefault="00391B29" w:rsidP="002B71D0">
            <w:pPr>
              <w:pStyle w:val="142"/>
              <w:jc w:val="center"/>
              <w:rPr>
                <w:rFonts w:hAnsi="標楷體" w:hint="eastAsia"/>
                <w:spacing w:val="-12"/>
              </w:rPr>
            </w:pPr>
            <w:r w:rsidRPr="0009789C">
              <w:rPr>
                <w:rFonts w:hAnsi="標楷體" w:hint="eastAsia"/>
                <w:spacing w:val="-12"/>
              </w:rPr>
              <w:t>104</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,006.1</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4</w:t>
            </w:r>
            <w:r w:rsidRPr="0009789C">
              <w:rPr>
                <w:rFonts w:hAnsi="標楷體"/>
                <w:spacing w:val="-12"/>
              </w:rPr>
              <w:t>,982.3</w:t>
            </w:r>
          </w:p>
        </w:tc>
        <w:tc>
          <w:tcPr>
            <w:tcW w:w="995" w:type="dxa"/>
            <w:tcBorders>
              <w:right w:val="double" w:sz="4" w:space="0" w:color="auto"/>
            </w:tcBorders>
            <w:shd w:val="clear" w:color="auto" w:fill="auto"/>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,454.2</w:t>
            </w:r>
          </w:p>
        </w:tc>
        <w:tc>
          <w:tcPr>
            <w:tcW w:w="1701" w:type="dxa"/>
            <w:tcBorders>
              <w:top w:val="single" w:sz="4" w:space="0" w:color="auto"/>
              <w:left w:val="double" w:sz="4" w:space="0" w:color="auto"/>
              <w:bottom w:val="single" w:sz="4" w:space="0" w:color="auto"/>
            </w:tcBorders>
          </w:tcPr>
          <w:p w:rsidR="00391B29" w:rsidRPr="0009789C" w:rsidRDefault="00391B29" w:rsidP="002B71D0">
            <w:pPr>
              <w:pStyle w:val="142"/>
              <w:rPr>
                <w:rFonts w:hAnsi="標楷體" w:hint="eastAsia"/>
                <w:spacing w:val="-12"/>
              </w:rPr>
            </w:pPr>
            <w:r w:rsidRPr="0009789C">
              <w:rPr>
                <w:rFonts w:hAnsi="標楷體" w:hint="eastAsia"/>
                <w:spacing w:val="-12"/>
              </w:rPr>
              <w:t>111</w:t>
            </w:r>
          </w:p>
        </w:tc>
        <w:tc>
          <w:tcPr>
            <w:tcW w:w="1056"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4</w:t>
            </w:r>
            <w:r w:rsidRPr="0009789C">
              <w:rPr>
                <w:rFonts w:hAnsi="標楷體"/>
                <w:spacing w:val="-12"/>
              </w:rPr>
              <w:t>,707.5</w:t>
            </w:r>
          </w:p>
        </w:tc>
        <w:tc>
          <w:tcPr>
            <w:tcW w:w="1057"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,061.3</w:t>
            </w:r>
          </w:p>
        </w:tc>
        <w:tc>
          <w:tcPr>
            <w:tcW w:w="1057" w:type="dxa"/>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9</w:t>
            </w:r>
            <w:r w:rsidRPr="0009789C">
              <w:rPr>
                <w:rFonts w:hAnsi="標楷體"/>
                <w:b/>
                <w:spacing w:val="-12"/>
              </w:rPr>
              <w:t>42.8</w:t>
            </w:r>
          </w:p>
        </w:tc>
      </w:tr>
      <w:tr w:rsidR="00391B29" w:rsidRPr="0009789C" w:rsidTr="002B71D0">
        <w:tc>
          <w:tcPr>
            <w:tcW w:w="701" w:type="dxa"/>
            <w:shd w:val="clear" w:color="auto" w:fill="auto"/>
          </w:tcPr>
          <w:p w:rsidR="00391B29" w:rsidRPr="0009789C" w:rsidRDefault="00391B29" w:rsidP="002B71D0">
            <w:pPr>
              <w:pStyle w:val="142"/>
              <w:jc w:val="center"/>
              <w:rPr>
                <w:rFonts w:hAnsi="標楷體" w:hint="eastAsia"/>
                <w:spacing w:val="-12"/>
              </w:rPr>
            </w:pPr>
            <w:r w:rsidRPr="0009789C">
              <w:rPr>
                <w:rFonts w:hAnsi="標楷體" w:hint="eastAsia"/>
                <w:spacing w:val="-12"/>
              </w:rPr>
              <w:t>105</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,076.2</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,514.7</w:t>
            </w:r>
          </w:p>
        </w:tc>
        <w:tc>
          <w:tcPr>
            <w:tcW w:w="995" w:type="dxa"/>
            <w:tcBorders>
              <w:right w:val="double" w:sz="4" w:space="0" w:color="auto"/>
            </w:tcBorders>
            <w:shd w:val="clear" w:color="auto" w:fill="auto"/>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,171.0</w:t>
            </w:r>
          </w:p>
        </w:tc>
        <w:tc>
          <w:tcPr>
            <w:tcW w:w="1701" w:type="dxa"/>
            <w:tcBorders>
              <w:top w:val="single" w:sz="4" w:space="0" w:color="auto"/>
              <w:left w:val="double" w:sz="4" w:space="0" w:color="auto"/>
              <w:bottom w:val="single" w:sz="4" w:space="0" w:color="auto"/>
            </w:tcBorders>
          </w:tcPr>
          <w:p w:rsidR="00391B29" w:rsidRPr="0009789C" w:rsidRDefault="00391B29" w:rsidP="002B71D0">
            <w:pPr>
              <w:pStyle w:val="142"/>
              <w:rPr>
                <w:rFonts w:hAnsi="標楷體" w:hint="eastAsia"/>
                <w:spacing w:val="-12"/>
              </w:rPr>
            </w:pPr>
            <w:r>
              <w:rPr>
                <w:rFonts w:hAnsi="標楷體" w:hint="eastAsia"/>
                <w:spacing w:val="-12"/>
              </w:rPr>
              <w:t xml:space="preserve"> </w:t>
            </w:r>
            <w:r w:rsidRPr="0009789C">
              <w:rPr>
                <w:rFonts w:hAnsi="標楷體" w:hint="eastAsia"/>
                <w:spacing w:val="-12"/>
              </w:rPr>
              <w:t>濁水溪沖積扇</w:t>
            </w:r>
          </w:p>
        </w:tc>
        <w:tc>
          <w:tcPr>
            <w:tcW w:w="1056"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1</w:t>
            </w:r>
            <w:r w:rsidRPr="0009789C">
              <w:rPr>
                <w:rFonts w:hAnsi="標楷體"/>
                <w:spacing w:val="-12"/>
              </w:rPr>
              <w:t>,760.5</w:t>
            </w:r>
          </w:p>
        </w:tc>
        <w:tc>
          <w:tcPr>
            <w:tcW w:w="1057" w:type="dxa"/>
            <w:vAlign w:val="center"/>
          </w:tcPr>
          <w:p w:rsidR="00391B29" w:rsidRPr="0009789C" w:rsidRDefault="00391B29" w:rsidP="002B71D0">
            <w:pPr>
              <w:pStyle w:val="142"/>
              <w:jc w:val="right"/>
              <w:rPr>
                <w:rFonts w:hAnsi="標楷體" w:hint="eastAsia"/>
                <w:spacing w:val="-12"/>
              </w:rPr>
            </w:pPr>
            <w:r w:rsidRPr="0009789C">
              <w:rPr>
                <w:rFonts w:hAnsi="標楷體"/>
                <w:spacing w:val="-12"/>
              </w:rPr>
              <w:t>1,380.7</w:t>
            </w:r>
          </w:p>
        </w:tc>
        <w:tc>
          <w:tcPr>
            <w:tcW w:w="1057" w:type="dxa"/>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3</w:t>
            </w:r>
            <w:r w:rsidRPr="0009789C">
              <w:rPr>
                <w:rFonts w:hAnsi="標楷體"/>
                <w:b/>
                <w:spacing w:val="-12"/>
              </w:rPr>
              <w:t>79.8</w:t>
            </w:r>
          </w:p>
        </w:tc>
      </w:tr>
      <w:tr w:rsidR="00391B29" w:rsidRPr="0009789C" w:rsidTr="002B71D0">
        <w:tc>
          <w:tcPr>
            <w:tcW w:w="701" w:type="dxa"/>
            <w:shd w:val="clear" w:color="auto" w:fill="auto"/>
          </w:tcPr>
          <w:p w:rsidR="00391B29" w:rsidRPr="0009789C" w:rsidRDefault="00391B29" w:rsidP="002B71D0">
            <w:pPr>
              <w:pStyle w:val="142"/>
              <w:jc w:val="center"/>
              <w:rPr>
                <w:rFonts w:hAnsi="標楷體" w:hint="eastAsia"/>
                <w:spacing w:val="-12"/>
              </w:rPr>
            </w:pPr>
            <w:r w:rsidRPr="0009789C">
              <w:rPr>
                <w:rFonts w:hAnsi="標楷體" w:hint="eastAsia"/>
                <w:spacing w:val="-12"/>
              </w:rPr>
              <w:t>106</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,146.1</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,124.8</w:t>
            </w:r>
          </w:p>
        </w:tc>
        <w:tc>
          <w:tcPr>
            <w:tcW w:w="995" w:type="dxa"/>
            <w:tcBorders>
              <w:right w:val="double" w:sz="4" w:space="0" w:color="auto"/>
            </w:tcBorders>
            <w:shd w:val="clear" w:color="auto" w:fill="auto"/>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,441.2</w:t>
            </w:r>
          </w:p>
        </w:tc>
        <w:tc>
          <w:tcPr>
            <w:tcW w:w="1701" w:type="dxa"/>
            <w:tcBorders>
              <w:top w:val="single" w:sz="4" w:space="0" w:color="auto"/>
              <w:left w:val="double" w:sz="4" w:space="0" w:color="auto"/>
              <w:bottom w:val="single" w:sz="4" w:space="0" w:color="auto"/>
            </w:tcBorders>
          </w:tcPr>
          <w:p w:rsidR="00391B29" w:rsidRPr="0009789C" w:rsidRDefault="00391B29" w:rsidP="002B71D0">
            <w:pPr>
              <w:pStyle w:val="142"/>
              <w:rPr>
                <w:rFonts w:hAnsi="標楷體" w:hint="eastAsia"/>
                <w:spacing w:val="-12"/>
              </w:rPr>
            </w:pPr>
            <w:r>
              <w:rPr>
                <w:rFonts w:hAnsi="標楷體" w:hint="eastAsia"/>
                <w:spacing w:val="-12"/>
              </w:rPr>
              <w:t xml:space="preserve"> </w:t>
            </w:r>
            <w:r w:rsidRPr="0009789C">
              <w:rPr>
                <w:rFonts w:hAnsi="標楷體" w:hint="eastAsia"/>
                <w:spacing w:val="-12"/>
              </w:rPr>
              <w:t>嘉南平原</w:t>
            </w:r>
          </w:p>
        </w:tc>
        <w:tc>
          <w:tcPr>
            <w:tcW w:w="1056"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1</w:t>
            </w:r>
            <w:r w:rsidRPr="0009789C">
              <w:rPr>
                <w:rFonts w:hAnsi="標楷體"/>
                <w:spacing w:val="-12"/>
              </w:rPr>
              <w:t>,198.8</w:t>
            </w:r>
          </w:p>
        </w:tc>
        <w:tc>
          <w:tcPr>
            <w:tcW w:w="1057"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8</w:t>
            </w:r>
            <w:r w:rsidRPr="0009789C">
              <w:rPr>
                <w:rFonts w:hAnsi="標楷體"/>
                <w:spacing w:val="-12"/>
              </w:rPr>
              <w:t>52.8</w:t>
            </w:r>
          </w:p>
        </w:tc>
        <w:tc>
          <w:tcPr>
            <w:tcW w:w="1057" w:type="dxa"/>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3</w:t>
            </w:r>
            <w:r w:rsidRPr="0009789C">
              <w:rPr>
                <w:rFonts w:hAnsi="標楷體"/>
                <w:b/>
                <w:spacing w:val="-12"/>
              </w:rPr>
              <w:t>46.0</w:t>
            </w:r>
          </w:p>
        </w:tc>
      </w:tr>
      <w:tr w:rsidR="00391B29" w:rsidRPr="0009789C" w:rsidTr="002B71D0">
        <w:tc>
          <w:tcPr>
            <w:tcW w:w="701" w:type="dxa"/>
            <w:shd w:val="clear" w:color="auto" w:fill="auto"/>
          </w:tcPr>
          <w:p w:rsidR="00391B29" w:rsidRPr="0009789C" w:rsidRDefault="00391B29" w:rsidP="002B71D0">
            <w:pPr>
              <w:pStyle w:val="142"/>
              <w:jc w:val="center"/>
              <w:rPr>
                <w:rFonts w:hAnsi="標楷體" w:hint="eastAsia"/>
                <w:spacing w:val="-12"/>
              </w:rPr>
            </w:pPr>
            <w:r w:rsidRPr="0009789C">
              <w:rPr>
                <w:rFonts w:hAnsi="標楷體" w:hint="eastAsia"/>
                <w:spacing w:val="-12"/>
              </w:rPr>
              <w:t>107</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,066.6</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,134.6</w:t>
            </w:r>
          </w:p>
        </w:tc>
        <w:tc>
          <w:tcPr>
            <w:tcW w:w="995" w:type="dxa"/>
            <w:tcBorders>
              <w:right w:val="double" w:sz="4" w:space="0" w:color="auto"/>
            </w:tcBorders>
            <w:shd w:val="clear" w:color="auto" w:fill="auto"/>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,328.2</w:t>
            </w:r>
          </w:p>
        </w:tc>
        <w:tc>
          <w:tcPr>
            <w:tcW w:w="1701" w:type="dxa"/>
            <w:tcBorders>
              <w:top w:val="single" w:sz="4" w:space="0" w:color="auto"/>
              <w:left w:val="double" w:sz="4" w:space="0" w:color="auto"/>
              <w:bottom w:val="single" w:sz="4" w:space="0" w:color="auto"/>
            </w:tcBorders>
          </w:tcPr>
          <w:p w:rsidR="00391B29" w:rsidRPr="0009789C" w:rsidRDefault="00391B29" w:rsidP="002B71D0">
            <w:pPr>
              <w:pStyle w:val="142"/>
              <w:rPr>
                <w:rFonts w:hAnsi="標楷體" w:hint="eastAsia"/>
                <w:spacing w:val="-12"/>
              </w:rPr>
            </w:pPr>
            <w:r>
              <w:rPr>
                <w:rFonts w:hAnsi="標楷體" w:hint="eastAsia"/>
                <w:spacing w:val="-12"/>
              </w:rPr>
              <w:t xml:space="preserve"> </w:t>
            </w:r>
            <w:r w:rsidRPr="0009789C">
              <w:rPr>
                <w:rFonts w:hAnsi="標楷體" w:hint="eastAsia"/>
                <w:spacing w:val="-12"/>
              </w:rPr>
              <w:t>屏東平原</w:t>
            </w:r>
          </w:p>
        </w:tc>
        <w:tc>
          <w:tcPr>
            <w:tcW w:w="1056"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99</w:t>
            </w:r>
            <w:r w:rsidRPr="0009789C">
              <w:rPr>
                <w:rFonts w:hAnsi="標楷體"/>
                <w:spacing w:val="-12"/>
              </w:rPr>
              <w:t>3.7</w:t>
            </w:r>
          </w:p>
        </w:tc>
        <w:tc>
          <w:tcPr>
            <w:tcW w:w="1057"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7</w:t>
            </w:r>
            <w:r w:rsidRPr="0009789C">
              <w:rPr>
                <w:rFonts w:hAnsi="標楷體"/>
                <w:spacing w:val="-12"/>
              </w:rPr>
              <w:t>77.8</w:t>
            </w:r>
          </w:p>
        </w:tc>
        <w:tc>
          <w:tcPr>
            <w:tcW w:w="1057" w:type="dxa"/>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2</w:t>
            </w:r>
            <w:r w:rsidRPr="0009789C">
              <w:rPr>
                <w:rFonts w:hAnsi="標楷體"/>
                <w:b/>
                <w:spacing w:val="-12"/>
              </w:rPr>
              <w:t>15.9</w:t>
            </w:r>
          </w:p>
        </w:tc>
      </w:tr>
      <w:tr w:rsidR="00391B29" w:rsidRPr="0009789C" w:rsidTr="002B71D0">
        <w:tc>
          <w:tcPr>
            <w:tcW w:w="701" w:type="dxa"/>
            <w:shd w:val="clear" w:color="auto" w:fill="auto"/>
          </w:tcPr>
          <w:p w:rsidR="00391B29" w:rsidRPr="0009789C" w:rsidRDefault="00391B29" w:rsidP="002B71D0">
            <w:pPr>
              <w:pStyle w:val="142"/>
              <w:jc w:val="center"/>
              <w:rPr>
                <w:rFonts w:hAnsi="標楷體" w:hint="eastAsia"/>
                <w:spacing w:val="-12"/>
              </w:rPr>
            </w:pPr>
            <w:r w:rsidRPr="0009789C">
              <w:rPr>
                <w:rFonts w:hAnsi="標楷體" w:hint="eastAsia"/>
                <w:spacing w:val="-12"/>
              </w:rPr>
              <w:t>108</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,088.4</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,255.4</w:t>
            </w:r>
          </w:p>
        </w:tc>
        <w:tc>
          <w:tcPr>
            <w:tcW w:w="995" w:type="dxa"/>
            <w:tcBorders>
              <w:right w:val="double" w:sz="4" w:space="0" w:color="auto"/>
            </w:tcBorders>
            <w:shd w:val="clear" w:color="auto" w:fill="auto"/>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,302.2</w:t>
            </w:r>
          </w:p>
        </w:tc>
        <w:tc>
          <w:tcPr>
            <w:tcW w:w="1701" w:type="dxa"/>
            <w:tcBorders>
              <w:top w:val="single" w:sz="4" w:space="0" w:color="auto"/>
              <w:left w:val="double" w:sz="4" w:space="0" w:color="auto"/>
              <w:bottom w:val="single" w:sz="12" w:space="0" w:color="auto"/>
            </w:tcBorders>
          </w:tcPr>
          <w:p w:rsidR="00391B29" w:rsidRPr="0009789C" w:rsidRDefault="00391B29" w:rsidP="002B71D0">
            <w:pPr>
              <w:pStyle w:val="142"/>
              <w:rPr>
                <w:rFonts w:hAnsi="標楷體" w:hint="eastAsia"/>
                <w:spacing w:val="-12"/>
              </w:rPr>
            </w:pPr>
            <w:r>
              <w:rPr>
                <w:rFonts w:hAnsi="標楷體" w:hint="eastAsia"/>
                <w:spacing w:val="-12"/>
              </w:rPr>
              <w:t xml:space="preserve"> </w:t>
            </w:r>
            <w:r w:rsidRPr="0009789C">
              <w:rPr>
                <w:rFonts w:hAnsi="標楷體" w:hint="eastAsia"/>
                <w:spacing w:val="-12"/>
              </w:rPr>
              <w:t>離島地區</w:t>
            </w:r>
          </w:p>
        </w:tc>
        <w:tc>
          <w:tcPr>
            <w:tcW w:w="1056"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1</w:t>
            </w:r>
            <w:r w:rsidRPr="0009789C">
              <w:rPr>
                <w:rFonts w:hAnsi="標楷體"/>
                <w:spacing w:val="-12"/>
              </w:rPr>
              <w:t>0.1</w:t>
            </w:r>
          </w:p>
        </w:tc>
        <w:tc>
          <w:tcPr>
            <w:tcW w:w="1057"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9</w:t>
            </w:r>
            <w:r w:rsidRPr="0009789C">
              <w:rPr>
                <w:rFonts w:hAnsi="標楷體"/>
                <w:spacing w:val="-12"/>
              </w:rPr>
              <w:t>.4</w:t>
            </w:r>
          </w:p>
        </w:tc>
        <w:tc>
          <w:tcPr>
            <w:tcW w:w="1057" w:type="dxa"/>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.1</w:t>
            </w:r>
          </w:p>
        </w:tc>
      </w:tr>
    </w:tbl>
    <w:p w:rsidR="00391B29" w:rsidRPr="00B23720" w:rsidRDefault="00391B29" w:rsidP="00391B29">
      <w:pPr>
        <w:pStyle w:val="142"/>
        <w:ind w:left="1216" w:hangingChars="500" w:hanging="1216"/>
        <w:jc w:val="both"/>
        <w:rPr>
          <w:rFonts w:hAnsi="標楷體"/>
        </w:rPr>
      </w:pPr>
      <w:r w:rsidRPr="00B23720">
        <w:rPr>
          <w:rFonts w:hAnsi="標楷體" w:hint="eastAsia"/>
        </w:rPr>
        <w:t>說    明：超抽量係指各地下水超抽量之合計。</w:t>
      </w:r>
      <w:r>
        <w:rPr>
          <w:rFonts w:hAnsi="標楷體" w:hint="eastAsia"/>
        </w:rPr>
        <w:t>另111年度僅列示超抽地區地下水抽用</w:t>
      </w:r>
      <w:r w:rsidRPr="00525B1F">
        <w:rPr>
          <w:rFonts w:hAnsi="標楷體" w:hint="eastAsia"/>
        </w:rPr>
        <w:t>、</w:t>
      </w:r>
      <w:r>
        <w:rPr>
          <w:rFonts w:hAnsi="標楷體" w:hint="eastAsia"/>
        </w:rPr>
        <w:t>補注及超抽情形</w:t>
      </w:r>
      <w:r w:rsidRPr="00525B1F">
        <w:rPr>
          <w:rFonts w:hAnsi="標楷體" w:hint="eastAsia"/>
        </w:rPr>
        <w:t>。</w:t>
      </w:r>
    </w:p>
    <w:p w:rsidR="00391B29" w:rsidRPr="00525B1F" w:rsidRDefault="00391B29" w:rsidP="00391B29">
      <w:pPr>
        <w:pStyle w:val="142"/>
        <w:ind w:left="1216" w:hangingChars="500" w:hanging="1216"/>
        <w:jc w:val="both"/>
        <w:rPr>
          <w:rFonts w:hAnsi="標楷體" w:hint="eastAsia"/>
          <w:spacing w:val="-10"/>
        </w:rPr>
      </w:pPr>
      <w:r w:rsidRPr="00B23720">
        <w:rPr>
          <w:rFonts w:hAnsi="標楷體" w:hint="eastAsia"/>
        </w:rPr>
        <w:t>資料來源：</w:t>
      </w:r>
      <w:r w:rsidRPr="00525B1F">
        <w:rPr>
          <w:rFonts w:hAnsi="標楷體" w:hint="eastAsia"/>
          <w:spacing w:val="-10"/>
        </w:rPr>
        <w:t>111年度綠色國民所得帳編製報告(環境與經濟帳)「實物資產帳－地下水」。</w:t>
      </w:r>
    </w:p>
    <w:p w:rsidR="00391B29" w:rsidRDefault="00391B29" w:rsidP="00391B29">
      <w:pPr>
        <w:pStyle w:val="ab"/>
        <w:rPr>
          <w:rFonts w:hAnsi="標楷體"/>
        </w:rPr>
      </w:pPr>
      <w:r>
        <w:rPr>
          <w:rStyle w:val="ac"/>
          <w:rFonts w:hint="eastAsia"/>
        </w:rPr>
        <w:t xml:space="preserve"> (</w:t>
      </w:r>
      <w:r w:rsidRPr="00963945">
        <w:rPr>
          <w:rStyle w:val="ac"/>
          <w:rFonts w:hint="eastAsia"/>
        </w:rPr>
        <w:t>分機：1922  羅玉姍）</w:t>
      </w:r>
    </w:p>
    <w:sectPr w:rsidR="00391B29"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1D0" w:rsidRDefault="002B71D0" w:rsidP="00E96594">
      <w:pPr>
        <w:spacing w:line="240" w:lineRule="auto"/>
        <w:ind w:left="560" w:firstLine="560"/>
      </w:pPr>
      <w:r>
        <w:separator/>
      </w:r>
    </w:p>
  </w:endnote>
  <w:endnote w:type="continuationSeparator" w:id="0">
    <w:p w:rsidR="002B71D0" w:rsidRDefault="002B71D0"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D91B65" w:rsidRPr="00D91B65">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1D0" w:rsidRDefault="002B71D0" w:rsidP="00DF65DC">
      <w:pPr>
        <w:spacing w:line="240" w:lineRule="auto"/>
        <w:ind w:left="560" w:firstLine="560"/>
      </w:pPr>
      <w:r>
        <w:separator/>
      </w:r>
    </w:p>
  </w:footnote>
  <w:footnote w:type="continuationSeparator" w:id="0">
    <w:p w:rsidR="002B71D0" w:rsidRDefault="002B71D0" w:rsidP="00E96594">
      <w:pPr>
        <w:spacing w:line="240" w:lineRule="auto"/>
        <w:ind w:left="560" w:firstLine="560"/>
      </w:pPr>
      <w:r>
        <w:continuationSeparator/>
      </w:r>
    </w:p>
  </w:footnote>
  <w:footnote w:id="1">
    <w:p w:rsidR="00674FFF" w:rsidRPr="00810234" w:rsidRDefault="00674FFF" w:rsidP="00703FCF">
      <w:pPr>
        <w:pStyle w:val="142"/>
        <w:ind w:left="112" w:hangingChars="46" w:hanging="112"/>
        <w:jc w:val="both"/>
        <w:rPr>
          <w:rFonts w:hint="eastAsia"/>
          <w:color w:val="000000"/>
        </w:rPr>
      </w:pPr>
      <w:r w:rsidRPr="00810234">
        <w:rPr>
          <w:rStyle w:val="ae"/>
          <w:color w:val="000000"/>
        </w:rPr>
        <w:footnoteRef/>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sidRPr="00810234">
        <w:rPr>
          <w:rFonts w:hAnsi="標楷體" w:hint="eastAsia"/>
          <w:color w:val="000000"/>
        </w:rPr>
        <w:t>。</w:t>
      </w:r>
    </w:p>
  </w:footnote>
  <w:footnote w:id="2">
    <w:p w:rsidR="00674FFF" w:rsidRPr="00C94EEB" w:rsidRDefault="00674FFF" w:rsidP="00703FCF">
      <w:pPr>
        <w:pStyle w:val="142"/>
        <w:rPr>
          <w:rFonts w:hint="eastAsia"/>
        </w:rPr>
      </w:pPr>
      <w:r w:rsidRPr="00810234">
        <w:rPr>
          <w:rStyle w:val="ae"/>
          <w:color w:val="000000"/>
        </w:rPr>
        <w:footnoteRef/>
      </w:r>
      <w:r w:rsidRPr="00810234">
        <w:rPr>
          <w:rFonts w:hint="eastAsia"/>
          <w:color w:val="000000"/>
        </w:rPr>
        <w:t>包含實現數2,</w:t>
      </w:r>
      <w:r w:rsidRPr="00810234">
        <w:rPr>
          <w:color w:val="000000"/>
        </w:rPr>
        <w:t>109</w:t>
      </w:r>
      <w:r w:rsidRPr="00810234">
        <w:rPr>
          <w:rFonts w:hint="eastAsia"/>
          <w:color w:val="000000"/>
        </w:rPr>
        <w:t>億</w:t>
      </w:r>
      <w:r w:rsidRPr="00810234">
        <w:rPr>
          <w:color w:val="000000"/>
        </w:rPr>
        <w:t>5,861</w:t>
      </w:r>
      <w:r w:rsidRPr="00810234">
        <w:rPr>
          <w:rFonts w:hint="eastAsia"/>
          <w:color w:val="000000"/>
        </w:rPr>
        <w:t>萬</w:t>
      </w:r>
      <w:r w:rsidRPr="00810234">
        <w:rPr>
          <w:color w:val="000000"/>
        </w:rPr>
        <w:t>8</w:t>
      </w:r>
      <w:r w:rsidRPr="00810234">
        <w:rPr>
          <w:rFonts w:hint="eastAsia"/>
          <w:color w:val="000000"/>
        </w:rPr>
        <w:t>千元及應付保留數</w:t>
      </w:r>
      <w:r w:rsidRPr="00810234">
        <w:rPr>
          <w:color w:val="000000"/>
        </w:rPr>
        <w:t>25</w:t>
      </w:r>
      <w:r w:rsidRPr="00810234">
        <w:rPr>
          <w:rFonts w:hint="eastAsia"/>
          <w:color w:val="000000"/>
        </w:rPr>
        <w:t>億</w:t>
      </w:r>
      <w:r w:rsidRPr="00810234">
        <w:rPr>
          <w:color w:val="000000"/>
        </w:rPr>
        <w:t>405</w:t>
      </w:r>
      <w:r w:rsidRPr="00810234">
        <w:rPr>
          <w:rFonts w:hint="eastAsia"/>
          <w:color w:val="000000"/>
        </w:rPr>
        <w:t>萬</w:t>
      </w:r>
      <w:r w:rsidRPr="00810234">
        <w:rPr>
          <w:color w:val="000000"/>
        </w:rPr>
        <w:t>3</w:t>
      </w:r>
      <w:r w:rsidRPr="00810234">
        <w:rPr>
          <w:rFonts w:hint="eastAsia"/>
          <w:color w:val="000000"/>
        </w:rPr>
        <w:t>千元</w:t>
      </w:r>
      <w:r w:rsidRPr="00810234">
        <w:rPr>
          <w:rFonts w:hAnsi="標楷體" w:hint="eastAsia"/>
          <w:color w:val="000000"/>
        </w:rPr>
        <w:t>。</w:t>
      </w:r>
    </w:p>
  </w:footnote>
  <w:footnote w:id="3">
    <w:p w:rsidR="00391B29" w:rsidRPr="0004263F" w:rsidRDefault="00391B29" w:rsidP="00391B29">
      <w:pPr>
        <w:pStyle w:val="142"/>
        <w:ind w:left="83" w:hangingChars="34" w:hanging="83"/>
        <w:jc w:val="both"/>
        <w:rPr>
          <w:rFonts w:hint="eastAsia"/>
        </w:rPr>
      </w:pPr>
      <w:r>
        <w:rPr>
          <w:rStyle w:val="ae"/>
        </w:rPr>
        <w:footnoteRef/>
      </w:r>
      <w:r w:rsidRPr="0004263F">
        <w:rPr>
          <w:rFonts w:hint="eastAsia"/>
        </w:rPr>
        <w:t>「地下水保育管理暨地層下陷防治第3期計畫(110-113年)」</w:t>
      </w:r>
      <w:r>
        <w:rPr>
          <w:rFonts w:hint="eastAsia"/>
        </w:rPr>
        <w:t>迄112年底預計完成</w:t>
      </w:r>
      <w:r w:rsidRPr="0004263F">
        <w:rPr>
          <w:rFonts w:hint="eastAsia"/>
        </w:rPr>
        <w:t>辦理臺灣地區</w:t>
      </w:r>
      <w:r>
        <w:rPr>
          <w:rFonts w:hint="eastAsia"/>
        </w:rPr>
        <w:t>5</w:t>
      </w:r>
      <w:r>
        <w:t>,</w:t>
      </w:r>
      <w:r>
        <w:rPr>
          <w:rFonts w:hint="eastAsia"/>
        </w:rPr>
        <w:t>450</w:t>
      </w:r>
      <w:r w:rsidRPr="0004263F">
        <w:rPr>
          <w:rFonts w:hint="eastAsia"/>
        </w:rPr>
        <w:t>公里水準網檢測、</w:t>
      </w:r>
      <w:r>
        <w:rPr>
          <w:rFonts w:hint="eastAsia"/>
        </w:rPr>
        <w:t>450</w:t>
      </w:r>
      <w:r w:rsidRPr="0004263F">
        <w:rPr>
          <w:rFonts w:hint="eastAsia"/>
        </w:rPr>
        <w:t>口次地下水觀測井水質採樣、檢驗及分析、查察地下水管制區工廠</w:t>
      </w:r>
      <w:r>
        <w:rPr>
          <w:rFonts w:hint="eastAsia"/>
        </w:rPr>
        <w:t>600家</w:t>
      </w:r>
      <w:r w:rsidRPr="0004263F">
        <w:rPr>
          <w:rFonts w:hint="eastAsia"/>
        </w:rPr>
        <w:t>及地層下陷防治教育宣導</w:t>
      </w:r>
      <w:r>
        <w:rPr>
          <w:rFonts w:hint="eastAsia"/>
        </w:rPr>
        <w:t>15</w:t>
      </w:r>
      <w:r w:rsidRPr="0004263F">
        <w:rPr>
          <w:rFonts w:hint="eastAsia"/>
        </w:rPr>
        <w:t>場次。</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9"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0"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2"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4"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5"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7"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19"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1"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9"/>
  </w:num>
  <w:num w:numId="2">
    <w:abstractNumId w:val="3"/>
  </w:num>
  <w:num w:numId="3">
    <w:abstractNumId w:val="0"/>
  </w:num>
  <w:num w:numId="4">
    <w:abstractNumId w:val="16"/>
  </w:num>
  <w:num w:numId="5">
    <w:abstractNumId w:val="2"/>
  </w:num>
  <w:num w:numId="6">
    <w:abstractNumId w:val="20"/>
  </w:num>
  <w:num w:numId="7">
    <w:abstractNumId w:val="23"/>
  </w:num>
  <w:num w:numId="8">
    <w:abstractNumId w:val="12"/>
  </w:num>
  <w:num w:numId="9">
    <w:abstractNumId w:val="1"/>
  </w:num>
  <w:num w:numId="10">
    <w:abstractNumId w:val="14"/>
  </w:num>
  <w:num w:numId="11">
    <w:abstractNumId w:val="8"/>
  </w:num>
  <w:num w:numId="12">
    <w:abstractNumId w:val="13"/>
  </w:num>
  <w:num w:numId="13">
    <w:abstractNumId w:val="17"/>
  </w:num>
  <w:num w:numId="14">
    <w:abstractNumId w:val="11"/>
  </w:num>
  <w:num w:numId="15">
    <w:abstractNumId w:val="18"/>
  </w:num>
  <w:num w:numId="16">
    <w:abstractNumId w:val="4"/>
  </w:num>
  <w:num w:numId="17">
    <w:abstractNumId w:val="24"/>
  </w:num>
  <w:num w:numId="18">
    <w:abstractNumId w:val="15"/>
  </w:num>
  <w:num w:numId="19">
    <w:abstractNumId w:val="22"/>
  </w:num>
  <w:num w:numId="20">
    <w:abstractNumId w:val="7"/>
  </w:num>
  <w:num w:numId="21">
    <w:abstractNumId w:val="5"/>
  </w:num>
  <w:num w:numId="22">
    <w:abstractNumId w:val="6"/>
  </w:num>
  <w:num w:numId="23">
    <w:abstractNumId w:val="21"/>
  </w:num>
  <w:num w:numId="24">
    <w:abstractNumId w:val="10"/>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1C2E"/>
    <w:rsid w:val="00143177"/>
    <w:rsid w:val="00146BA6"/>
    <w:rsid w:val="00153232"/>
    <w:rsid w:val="00156ADD"/>
    <w:rsid w:val="00157060"/>
    <w:rsid w:val="001675C8"/>
    <w:rsid w:val="001676C1"/>
    <w:rsid w:val="0017210C"/>
    <w:rsid w:val="00177D5E"/>
    <w:rsid w:val="001810EF"/>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6EFF"/>
    <w:rsid w:val="004F000F"/>
    <w:rsid w:val="004F0CEC"/>
    <w:rsid w:val="004F10BD"/>
    <w:rsid w:val="004F1F21"/>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D1D48"/>
    <w:rsid w:val="008D33F4"/>
    <w:rsid w:val="008D3521"/>
    <w:rsid w:val="008D3E36"/>
    <w:rsid w:val="008D41C8"/>
    <w:rsid w:val="008E1A1D"/>
    <w:rsid w:val="008E2268"/>
    <w:rsid w:val="008E2329"/>
    <w:rsid w:val="008E2A3E"/>
    <w:rsid w:val="008E464F"/>
    <w:rsid w:val="008E5033"/>
    <w:rsid w:val="008F13C1"/>
    <w:rsid w:val="008F3525"/>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80E5A"/>
    <w:rsid w:val="00B849E7"/>
    <w:rsid w:val="00B87F91"/>
    <w:rsid w:val="00B905FF"/>
    <w:rsid w:val="00B939C6"/>
    <w:rsid w:val="00B93E88"/>
    <w:rsid w:val="00B9500F"/>
    <w:rsid w:val="00B952D9"/>
    <w:rsid w:val="00B95B80"/>
    <w:rsid w:val="00B95F94"/>
    <w:rsid w:val="00BA13D7"/>
    <w:rsid w:val="00BA3166"/>
    <w:rsid w:val="00BA37D6"/>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B65"/>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C2BDBDF-747B-4285-BD8A-ADDD6E11F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uiPriority w:val="99"/>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C80B2-BB8D-4A20-BCE4-E1340D683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406</Words>
  <Characters>2317</Characters>
  <Application>Microsoft Office Word</Application>
  <DocSecurity>0</DocSecurity>
  <Lines>19</Lines>
  <Paragraphs>5</Paragraphs>
  <ScaleCrop>false</ScaleCrop>
  <Company/>
  <LinksUpToDate>false</LinksUpToDate>
  <CharactersWithSpaces>2718</CharactersWithSpaces>
  <SharedDoc>false</SharedDoc>
  <HLinks>
    <vt:vector size="96" baseType="variant">
      <vt:variant>
        <vt:i4>1900605</vt:i4>
      </vt:variant>
      <vt:variant>
        <vt:i4>92</vt:i4>
      </vt:variant>
      <vt:variant>
        <vt:i4>0</vt:i4>
      </vt:variant>
      <vt:variant>
        <vt:i4>5</vt:i4>
      </vt:variant>
      <vt:variant>
        <vt:lpwstr/>
      </vt:variant>
      <vt:variant>
        <vt:lpwstr>_Toc184808829</vt:lpwstr>
      </vt:variant>
      <vt:variant>
        <vt:i4>1900605</vt:i4>
      </vt:variant>
      <vt:variant>
        <vt:i4>86</vt:i4>
      </vt:variant>
      <vt:variant>
        <vt:i4>0</vt:i4>
      </vt:variant>
      <vt:variant>
        <vt:i4>5</vt:i4>
      </vt:variant>
      <vt:variant>
        <vt:lpwstr/>
      </vt:variant>
      <vt:variant>
        <vt:lpwstr>_Toc184808828</vt:lpwstr>
      </vt:variant>
      <vt:variant>
        <vt:i4>1900605</vt:i4>
      </vt:variant>
      <vt:variant>
        <vt:i4>80</vt:i4>
      </vt:variant>
      <vt:variant>
        <vt:i4>0</vt:i4>
      </vt:variant>
      <vt:variant>
        <vt:i4>5</vt:i4>
      </vt:variant>
      <vt:variant>
        <vt:lpwstr/>
      </vt:variant>
      <vt:variant>
        <vt:lpwstr>_Toc184808827</vt:lpwstr>
      </vt:variant>
      <vt:variant>
        <vt:i4>1900605</vt:i4>
      </vt:variant>
      <vt:variant>
        <vt:i4>74</vt:i4>
      </vt:variant>
      <vt:variant>
        <vt:i4>0</vt:i4>
      </vt:variant>
      <vt:variant>
        <vt:i4>5</vt:i4>
      </vt:variant>
      <vt:variant>
        <vt:lpwstr/>
      </vt:variant>
      <vt:variant>
        <vt:lpwstr>_Toc184808826</vt:lpwstr>
      </vt:variant>
      <vt:variant>
        <vt:i4>1900605</vt:i4>
      </vt:variant>
      <vt:variant>
        <vt:i4>68</vt:i4>
      </vt:variant>
      <vt:variant>
        <vt:i4>0</vt:i4>
      </vt:variant>
      <vt:variant>
        <vt:i4>5</vt:i4>
      </vt:variant>
      <vt:variant>
        <vt:lpwstr/>
      </vt:variant>
      <vt:variant>
        <vt:lpwstr>_Toc184808825</vt:lpwstr>
      </vt:variant>
      <vt:variant>
        <vt:i4>1900605</vt:i4>
      </vt:variant>
      <vt:variant>
        <vt:i4>62</vt:i4>
      </vt:variant>
      <vt:variant>
        <vt:i4>0</vt:i4>
      </vt:variant>
      <vt:variant>
        <vt:i4>5</vt:i4>
      </vt:variant>
      <vt:variant>
        <vt:lpwstr/>
      </vt:variant>
      <vt:variant>
        <vt:lpwstr>_Toc184808824</vt:lpwstr>
      </vt:variant>
      <vt:variant>
        <vt:i4>1900605</vt:i4>
      </vt:variant>
      <vt:variant>
        <vt:i4>56</vt:i4>
      </vt:variant>
      <vt:variant>
        <vt:i4>0</vt:i4>
      </vt:variant>
      <vt:variant>
        <vt:i4>5</vt:i4>
      </vt:variant>
      <vt:variant>
        <vt:lpwstr/>
      </vt:variant>
      <vt:variant>
        <vt:lpwstr>_Toc184808823</vt:lpwstr>
      </vt:variant>
      <vt:variant>
        <vt:i4>1900605</vt:i4>
      </vt:variant>
      <vt:variant>
        <vt:i4>50</vt:i4>
      </vt:variant>
      <vt:variant>
        <vt:i4>0</vt:i4>
      </vt:variant>
      <vt:variant>
        <vt:i4>5</vt:i4>
      </vt:variant>
      <vt:variant>
        <vt:lpwstr/>
      </vt:variant>
      <vt:variant>
        <vt:lpwstr>_Toc184808822</vt:lpwstr>
      </vt:variant>
      <vt:variant>
        <vt:i4>1900605</vt:i4>
      </vt:variant>
      <vt:variant>
        <vt:i4>44</vt:i4>
      </vt:variant>
      <vt:variant>
        <vt:i4>0</vt:i4>
      </vt:variant>
      <vt:variant>
        <vt:i4>5</vt:i4>
      </vt:variant>
      <vt:variant>
        <vt:lpwstr/>
      </vt:variant>
      <vt:variant>
        <vt:lpwstr>_Toc184808821</vt:lpwstr>
      </vt:variant>
      <vt:variant>
        <vt:i4>1900605</vt:i4>
      </vt:variant>
      <vt:variant>
        <vt:i4>38</vt:i4>
      </vt:variant>
      <vt:variant>
        <vt:i4>0</vt:i4>
      </vt:variant>
      <vt:variant>
        <vt:i4>5</vt:i4>
      </vt:variant>
      <vt:variant>
        <vt:lpwstr/>
      </vt:variant>
      <vt:variant>
        <vt:lpwstr>_Toc184808820</vt:lpwstr>
      </vt:variant>
      <vt:variant>
        <vt:i4>1966141</vt:i4>
      </vt:variant>
      <vt:variant>
        <vt:i4>32</vt:i4>
      </vt:variant>
      <vt:variant>
        <vt:i4>0</vt:i4>
      </vt:variant>
      <vt:variant>
        <vt:i4>5</vt:i4>
      </vt:variant>
      <vt:variant>
        <vt:lpwstr/>
      </vt:variant>
      <vt:variant>
        <vt:lpwstr>_Toc184808819</vt:lpwstr>
      </vt:variant>
      <vt:variant>
        <vt:i4>1966141</vt:i4>
      </vt:variant>
      <vt:variant>
        <vt:i4>26</vt:i4>
      </vt:variant>
      <vt:variant>
        <vt:i4>0</vt:i4>
      </vt:variant>
      <vt:variant>
        <vt:i4>5</vt:i4>
      </vt:variant>
      <vt:variant>
        <vt:lpwstr/>
      </vt:variant>
      <vt:variant>
        <vt:lpwstr>_Toc184808818</vt:lpwstr>
      </vt:variant>
      <vt:variant>
        <vt:i4>1966141</vt:i4>
      </vt:variant>
      <vt:variant>
        <vt:i4>20</vt:i4>
      </vt:variant>
      <vt:variant>
        <vt:i4>0</vt:i4>
      </vt:variant>
      <vt:variant>
        <vt:i4>5</vt:i4>
      </vt:variant>
      <vt:variant>
        <vt:lpwstr/>
      </vt:variant>
      <vt:variant>
        <vt:lpwstr>_Toc184808817</vt:lpwstr>
      </vt:variant>
      <vt:variant>
        <vt:i4>1966141</vt:i4>
      </vt:variant>
      <vt:variant>
        <vt:i4>14</vt:i4>
      </vt:variant>
      <vt:variant>
        <vt:i4>0</vt:i4>
      </vt:variant>
      <vt:variant>
        <vt:i4>5</vt:i4>
      </vt:variant>
      <vt:variant>
        <vt:lpwstr/>
      </vt:variant>
      <vt:variant>
        <vt:lpwstr>_Toc184808816</vt:lpwstr>
      </vt:variant>
      <vt:variant>
        <vt:i4>1966141</vt:i4>
      </vt:variant>
      <vt:variant>
        <vt:i4>8</vt:i4>
      </vt:variant>
      <vt:variant>
        <vt:i4>0</vt:i4>
      </vt:variant>
      <vt:variant>
        <vt:i4>5</vt:i4>
      </vt:variant>
      <vt:variant>
        <vt:lpwstr/>
      </vt:variant>
      <vt:variant>
        <vt:lpwstr>_Toc184808815</vt:lpwstr>
      </vt:variant>
      <vt:variant>
        <vt:i4>1966141</vt:i4>
      </vt:variant>
      <vt:variant>
        <vt:i4>2</vt:i4>
      </vt:variant>
      <vt:variant>
        <vt:i4>0</vt:i4>
      </vt:variant>
      <vt:variant>
        <vt:i4>5</vt:i4>
      </vt:variant>
      <vt:variant>
        <vt:lpwstr/>
      </vt:variant>
      <vt:variant>
        <vt:lpwstr>_Toc184808814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2023-10-17T01:18:00Z</cp:lastPrinted>
  <dcterms:created xsi:type="dcterms:W3CDTF">2024-12-13T02:48:00Z</dcterms:created>
  <dcterms:modified xsi:type="dcterms:W3CDTF">2024-12-13T02:48:00Z</dcterms:modified>
</cp:coreProperties>
</file>