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c"/>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963541" w:rsidRPr="00CB7BA3" w:rsidRDefault="004A2ACA" w:rsidP="00963541">
      <w:pPr>
        <w:pStyle w:val="14"/>
        <w:ind w:left="567" w:hanging="567"/>
        <w:outlineLvl w:val="0"/>
        <w:rPr>
          <w:bCs/>
        </w:rPr>
      </w:pPr>
      <w:bookmarkStart w:id="6" w:name="_Toc52267230"/>
      <w:bookmarkStart w:id="7" w:name="_Toc116473310"/>
      <w:bookmarkStart w:id="8" w:name="_Hlk145526055"/>
      <w:bookmarkStart w:id="9" w:name="_Toc14966344"/>
      <w:bookmarkStart w:id="10" w:name="_Toc173827409"/>
      <w:bookmarkStart w:id="11" w:name="_Toc184654668"/>
      <w:bookmarkStart w:id="12" w:name="_Toc184820790"/>
      <w:bookmarkEnd w:id="0"/>
      <w:bookmarkEnd w:id="1"/>
      <w:bookmarkEnd w:id="2"/>
      <w:bookmarkEnd w:id="3"/>
      <w:bookmarkEnd w:id="4"/>
      <w:r>
        <w:rPr>
          <w:rFonts w:hint="eastAsia"/>
          <w:bCs/>
        </w:rPr>
        <w:t>六</w:t>
      </w:r>
      <w:r w:rsidR="00963541" w:rsidRPr="00CB7BA3">
        <w:rPr>
          <w:rFonts w:hint="eastAsia"/>
          <w:bCs/>
        </w:rPr>
        <w:t>、</w:t>
      </w:r>
      <w:r w:rsidR="00963541">
        <w:rPr>
          <w:rFonts w:hint="eastAsia"/>
          <w:bCs/>
        </w:rPr>
        <w:t>公路局近年推動</w:t>
      </w:r>
      <w:r w:rsidR="00963541" w:rsidRPr="008F0066">
        <w:rPr>
          <w:rFonts w:hint="eastAsia"/>
          <w:bCs/>
        </w:rPr>
        <w:t>服務性路線</w:t>
      </w:r>
      <w:r w:rsidR="00963541" w:rsidRPr="00CB7BA3">
        <w:rPr>
          <w:rFonts w:hint="eastAsia"/>
          <w:bCs/>
        </w:rPr>
        <w:t>需求反應式公共運輸</w:t>
      </w:r>
      <w:r w:rsidR="00963541">
        <w:rPr>
          <w:rFonts w:hint="eastAsia"/>
          <w:bCs/>
        </w:rPr>
        <w:t>服務</w:t>
      </w:r>
      <w:r w:rsidR="00963541" w:rsidRPr="00CB7BA3">
        <w:rPr>
          <w:rFonts w:hint="eastAsia"/>
          <w:bCs/>
        </w:rPr>
        <w:t>，仍無法補足運輸服務缺口，允宜檢討改善，</w:t>
      </w:r>
      <w:r w:rsidR="00963541" w:rsidRPr="00603FE7">
        <w:rPr>
          <w:rFonts w:hint="eastAsia"/>
          <w:bCs/>
        </w:rPr>
        <w:t>強化需求管理</w:t>
      </w:r>
      <w:r w:rsidR="00963541">
        <w:rPr>
          <w:rFonts w:ascii="新細明體" w:eastAsia="新細明體" w:hAnsi="新細明體" w:hint="eastAsia"/>
          <w:bCs/>
        </w:rPr>
        <w:t>，</w:t>
      </w:r>
      <w:r w:rsidR="00963541" w:rsidRPr="00CB7BA3">
        <w:rPr>
          <w:rFonts w:hint="eastAsia"/>
          <w:bCs/>
        </w:rPr>
        <w:t>以滿足基本民行</w:t>
      </w:r>
      <w:r w:rsidR="00963541">
        <w:rPr>
          <w:rFonts w:ascii="新細明體" w:eastAsia="新細明體" w:hAnsi="新細明體" w:hint="eastAsia"/>
          <w:bCs/>
        </w:rPr>
        <w:t>，</w:t>
      </w:r>
      <w:r w:rsidR="00963541" w:rsidRPr="00603FE7">
        <w:rPr>
          <w:rFonts w:hint="eastAsia"/>
          <w:bCs/>
        </w:rPr>
        <w:t>落實交通平權</w:t>
      </w:r>
      <w:bookmarkEnd w:id="11"/>
      <w:bookmarkEnd w:id="12"/>
    </w:p>
    <w:p w:rsidR="00963541" w:rsidRPr="00577AF5" w:rsidRDefault="00963541" w:rsidP="00963541">
      <w:pPr>
        <w:ind w:left="566" w:firstLine="566"/>
        <w:rPr>
          <w:rFonts w:hint="eastAsia"/>
        </w:rPr>
      </w:pPr>
      <w:r>
        <w:rPr>
          <w:rFonts w:hint="eastAsia"/>
        </w:rPr>
        <w:t>交通部公路局及所屬</w:t>
      </w:r>
      <w:r>
        <w:rPr>
          <w:rStyle w:val="af5"/>
          <w:sz w:val="24"/>
        </w:rPr>
        <w:footnoteReference w:id="1"/>
      </w:r>
      <w:r w:rsidRPr="00EE4DC0">
        <w:rPr>
          <w:rFonts w:hint="eastAsia"/>
        </w:rPr>
        <w:t>(以下簡稱</w:t>
      </w:r>
      <w:r>
        <w:rPr>
          <w:rFonts w:hint="eastAsia"/>
          <w:bCs/>
        </w:rPr>
        <w:t>公路局</w:t>
      </w:r>
      <w:r w:rsidRPr="00EE4DC0">
        <w:rPr>
          <w:rFonts w:hint="eastAsia"/>
        </w:rPr>
        <w:t>)112年度</w:t>
      </w:r>
      <w:r w:rsidRPr="00577AF5">
        <w:rPr>
          <w:rFonts w:hint="eastAsia"/>
        </w:rPr>
        <w:t>於「公路公共運輸服務升級計畫（110-113年）」</w:t>
      </w:r>
      <w:r>
        <w:rPr>
          <w:rFonts w:hint="eastAsia"/>
        </w:rPr>
        <w:t>項下</w:t>
      </w:r>
      <w:r w:rsidRPr="0098106E">
        <w:rPr>
          <w:rFonts w:hint="eastAsia"/>
        </w:rPr>
        <w:t>辦理</w:t>
      </w:r>
      <w:r>
        <w:rPr>
          <w:rFonts w:hint="eastAsia"/>
        </w:rPr>
        <w:t>推動</w:t>
      </w:r>
      <w:r w:rsidRPr="0098106E">
        <w:rPr>
          <w:rFonts w:hint="eastAsia"/>
        </w:rPr>
        <w:t>服務性路線需求反應式公共運輸</w:t>
      </w:r>
      <w:r>
        <w:rPr>
          <w:rFonts w:hint="eastAsia"/>
        </w:rPr>
        <w:t>服務</w:t>
      </w:r>
      <w:r>
        <w:rPr>
          <w:rFonts w:ascii="新細明體" w:eastAsia="新細明體" w:hAnsi="新細明體" w:hint="eastAsia"/>
        </w:rPr>
        <w:t>，</w:t>
      </w:r>
      <w:r>
        <w:rPr>
          <w:rFonts w:hint="eastAsia"/>
        </w:rPr>
        <w:t>補助</w:t>
      </w:r>
      <w:r w:rsidRPr="00577AF5">
        <w:rPr>
          <w:rFonts w:hint="eastAsia"/>
        </w:rPr>
        <w:t>核</w:t>
      </w:r>
      <w:r>
        <w:rPr>
          <w:rFonts w:hint="eastAsia"/>
        </w:rPr>
        <w:t>定</w:t>
      </w:r>
      <w:r w:rsidRPr="00577AF5">
        <w:rPr>
          <w:rFonts w:hint="eastAsia"/>
        </w:rPr>
        <w:t>數</w:t>
      </w:r>
      <w:r>
        <w:rPr>
          <w:rFonts w:hint="eastAsia"/>
        </w:rPr>
        <w:t>為</w:t>
      </w:r>
      <w:r w:rsidRPr="00577AF5">
        <w:t>3</w:t>
      </w:r>
      <w:r w:rsidRPr="00577AF5">
        <w:rPr>
          <w:rFonts w:hint="eastAsia"/>
        </w:rPr>
        <w:t>億</w:t>
      </w:r>
      <w:r w:rsidRPr="00577AF5">
        <w:t>7</w:t>
      </w:r>
      <w:r w:rsidRPr="00577AF5">
        <w:rPr>
          <w:rFonts w:hint="eastAsia"/>
        </w:rPr>
        <w:t>,</w:t>
      </w:r>
      <w:r w:rsidRPr="00577AF5">
        <w:t>8</w:t>
      </w:r>
      <w:r>
        <w:rPr>
          <w:rFonts w:hint="eastAsia"/>
        </w:rPr>
        <w:t>17</w:t>
      </w:r>
      <w:r w:rsidRPr="00577AF5">
        <w:rPr>
          <w:rFonts w:hint="eastAsia"/>
        </w:rPr>
        <w:t>萬</w:t>
      </w:r>
      <w:r>
        <w:rPr>
          <w:rFonts w:hint="eastAsia"/>
        </w:rPr>
        <w:t>4</w:t>
      </w:r>
      <w:r w:rsidRPr="00577AF5">
        <w:rPr>
          <w:rFonts w:hint="eastAsia"/>
        </w:rPr>
        <w:t>千元</w:t>
      </w:r>
      <w:r>
        <w:rPr>
          <w:rFonts w:ascii="新細明體" w:eastAsia="新細明體" w:hAnsi="新細明體" w:hint="eastAsia"/>
        </w:rPr>
        <w:t>，</w:t>
      </w:r>
      <w:r w:rsidRPr="002B5AD9">
        <w:rPr>
          <w:rFonts w:hint="eastAsia"/>
        </w:rPr>
        <w:t>核銷數</w:t>
      </w:r>
      <w:r>
        <w:rPr>
          <w:rFonts w:hint="eastAsia"/>
        </w:rPr>
        <w:t>為</w:t>
      </w:r>
      <w:r w:rsidRPr="002B5AD9">
        <w:t>1</w:t>
      </w:r>
      <w:r>
        <w:rPr>
          <w:rFonts w:hint="eastAsia"/>
        </w:rPr>
        <w:t>億</w:t>
      </w:r>
      <w:r w:rsidRPr="002B5AD9">
        <w:t>1,645</w:t>
      </w:r>
      <w:r>
        <w:rPr>
          <w:rFonts w:hint="eastAsia"/>
        </w:rPr>
        <w:t>萬</w:t>
      </w:r>
      <w:r w:rsidRPr="002B5AD9">
        <w:t>2</w:t>
      </w:r>
      <w:r>
        <w:rPr>
          <w:rFonts w:hint="eastAsia"/>
        </w:rPr>
        <w:t>千元</w:t>
      </w:r>
      <w:r w:rsidRPr="00577AF5">
        <w:rPr>
          <w:rFonts w:hint="eastAsia"/>
        </w:rPr>
        <w:t>(詳表1)</w:t>
      </w:r>
      <w:r>
        <w:rPr>
          <w:rFonts w:ascii="新細明體" w:eastAsia="新細明體" w:hAnsi="新細明體" w:hint="eastAsia"/>
        </w:rPr>
        <w:t>，</w:t>
      </w:r>
      <w:r w:rsidRPr="002B5AD9">
        <w:rPr>
          <w:rFonts w:hint="eastAsia"/>
        </w:rPr>
        <w:t>核銷數</w:t>
      </w:r>
      <w:r>
        <w:rPr>
          <w:rFonts w:hint="eastAsia"/>
        </w:rPr>
        <w:t>僅</w:t>
      </w:r>
      <w:r w:rsidRPr="0098106E">
        <w:rPr>
          <w:rFonts w:hint="eastAsia"/>
        </w:rPr>
        <w:t>占</w:t>
      </w:r>
      <w:r w:rsidRPr="005F67C7">
        <w:rPr>
          <w:rFonts w:hint="eastAsia"/>
        </w:rPr>
        <w:t>核定數</w:t>
      </w:r>
      <w:r>
        <w:rPr>
          <w:rFonts w:hint="eastAsia"/>
        </w:rPr>
        <w:t>30.79%</w:t>
      </w:r>
      <w:r w:rsidRPr="00577AF5">
        <w:rPr>
          <w:rFonts w:hAnsi="標楷體" w:hint="eastAsia"/>
        </w:rPr>
        <w:t>。經查：</w:t>
      </w:r>
    </w:p>
    <w:p w:rsidR="00963541" w:rsidRDefault="00963541" w:rsidP="00963541">
      <w:pPr>
        <w:pStyle w:val="a5"/>
        <w:ind w:left="849" w:hanging="283"/>
        <w:rPr>
          <w:b/>
          <w:bCs/>
        </w:rPr>
      </w:pPr>
      <w:r w:rsidRPr="00777023">
        <w:rPr>
          <w:rFonts w:hint="eastAsia"/>
          <w:b/>
          <w:bCs/>
        </w:rPr>
        <w:t>(一)辦理</w:t>
      </w:r>
      <w:r>
        <w:rPr>
          <w:rFonts w:hint="eastAsia"/>
          <w:b/>
          <w:bCs/>
        </w:rPr>
        <w:t>推動</w:t>
      </w:r>
      <w:r w:rsidRPr="00777023">
        <w:rPr>
          <w:rFonts w:hint="eastAsia"/>
          <w:b/>
          <w:bCs/>
        </w:rPr>
        <w:t>服務性路線需求反應式</w:t>
      </w:r>
      <w:r w:rsidRPr="00AF3D09">
        <w:rPr>
          <w:rFonts w:hint="eastAsia"/>
          <w:b/>
          <w:bCs/>
        </w:rPr>
        <w:t>公共運輸</w:t>
      </w:r>
      <w:r>
        <w:rPr>
          <w:rFonts w:hint="eastAsia"/>
          <w:b/>
          <w:bCs/>
        </w:rPr>
        <w:t>服務</w:t>
      </w:r>
      <w:r w:rsidRPr="00777023">
        <w:rPr>
          <w:rFonts w:hAnsi="標楷體" w:hint="eastAsia"/>
          <w:b/>
          <w:bCs/>
        </w:rPr>
        <w:t>之</w:t>
      </w:r>
      <w:r w:rsidRPr="00777023">
        <w:rPr>
          <w:rFonts w:hint="eastAsia"/>
          <w:b/>
          <w:bCs/>
        </w:rPr>
        <w:t>執行情形</w:t>
      </w:r>
    </w:p>
    <w:p w:rsidR="00963541" w:rsidRDefault="00963541" w:rsidP="00963541">
      <w:pPr>
        <w:pStyle w:val="123"/>
        <w:ind w:left="1133" w:hanging="283"/>
        <w:rPr>
          <w:kern w:val="0"/>
          <w:sz w:val="24"/>
          <w:szCs w:val="24"/>
        </w:rPr>
      </w:pPr>
      <w:r w:rsidRPr="00920666">
        <w:rPr>
          <w:rFonts w:hint="eastAsia"/>
          <w:b/>
          <w:bCs/>
        </w:rPr>
        <w:t>1.預算</w:t>
      </w:r>
      <w:r>
        <w:rPr>
          <w:rFonts w:hint="eastAsia"/>
          <w:b/>
          <w:bCs/>
        </w:rPr>
        <w:t>執行</w:t>
      </w:r>
      <w:r w:rsidRPr="00777023">
        <w:rPr>
          <w:rFonts w:hint="eastAsia"/>
          <w:b/>
          <w:bCs/>
        </w:rPr>
        <w:t>情形</w:t>
      </w:r>
      <w:r w:rsidRPr="00920666">
        <w:rPr>
          <w:rFonts w:hAnsi="標楷體" w:hint="eastAsia"/>
          <w:b/>
          <w:bCs/>
        </w:rPr>
        <w:t>：</w:t>
      </w:r>
      <w:r>
        <w:rPr>
          <w:rFonts w:hint="eastAsia"/>
        </w:rPr>
        <w:t>部分</w:t>
      </w:r>
      <w:r w:rsidRPr="00577AF5">
        <w:rPr>
          <w:rFonts w:hint="eastAsia"/>
        </w:rPr>
        <w:t>地區公共運輸發展條件不佳，公車收益低</w:t>
      </w:r>
      <w:r>
        <w:rPr>
          <w:rFonts w:ascii="新細明體" w:eastAsia="新細明體" w:hAnsi="新細明體" w:hint="eastAsia"/>
        </w:rPr>
        <w:t>，</w:t>
      </w:r>
      <w:r w:rsidRPr="00577AF5">
        <w:rPr>
          <w:rFonts w:hint="eastAsia"/>
        </w:rPr>
        <w:t>難吸引客運業者主動投入，營運之存續</w:t>
      </w:r>
      <w:r>
        <w:rPr>
          <w:rFonts w:ascii="新細明體" w:eastAsia="新細明體" w:hAnsi="新細明體" w:hint="eastAsia"/>
        </w:rPr>
        <w:t>，</w:t>
      </w:r>
      <w:r w:rsidRPr="00577AF5">
        <w:rPr>
          <w:rFonts w:hint="eastAsia"/>
        </w:rPr>
        <w:t>高度仰賴政府營運虧損補貼政策，112年</w:t>
      </w:r>
      <w:r>
        <w:rPr>
          <w:rFonts w:hint="eastAsia"/>
        </w:rPr>
        <w:t>度公路局</w:t>
      </w:r>
      <w:r w:rsidRPr="00577AF5">
        <w:rPr>
          <w:rFonts w:hint="eastAsia"/>
        </w:rPr>
        <w:t>補助地方政府公共運輸不足地區之基礎營運費用，</w:t>
      </w:r>
      <w:r w:rsidRPr="00440F68">
        <w:rPr>
          <w:rFonts w:hint="eastAsia"/>
        </w:rPr>
        <w:t>補助核定數為3億7,817萬4千元，核銷數為1億1,645萬2千元</w:t>
      </w:r>
      <w:r w:rsidRPr="00413EDC">
        <w:rPr>
          <w:rFonts w:hint="eastAsia"/>
        </w:rPr>
        <w:t>(詳表1)</w:t>
      </w:r>
      <w:r w:rsidRPr="00440F68">
        <w:rPr>
          <w:rFonts w:hint="eastAsia"/>
        </w:rPr>
        <w:t>，核銷數僅占核定數30.79%</w:t>
      </w:r>
      <w:r w:rsidRPr="00AF3E46">
        <w:rPr>
          <w:rFonts w:hint="eastAsia"/>
        </w:rPr>
        <w:t>，</w:t>
      </w:r>
      <w:r>
        <w:rPr>
          <w:rFonts w:hint="eastAsia"/>
        </w:rPr>
        <w:t>主要</w:t>
      </w:r>
      <w:r w:rsidRPr="00AF3E46">
        <w:rPr>
          <w:rFonts w:hint="eastAsia"/>
        </w:rPr>
        <w:t>係因部分市縣未依規定期限提報結算資料所致</w:t>
      </w:r>
      <w:r>
        <w:rPr>
          <w:rFonts w:hint="eastAsia"/>
          <w:kern w:val="0"/>
          <w:sz w:val="24"/>
          <w:szCs w:val="24"/>
        </w:rPr>
        <w:t>。</w:t>
      </w:r>
    </w:p>
    <w:p w:rsidR="00963541" w:rsidRDefault="00963541" w:rsidP="00963541">
      <w:pPr>
        <w:pStyle w:val="123"/>
        <w:ind w:left="1133" w:hanging="283"/>
      </w:pPr>
      <w:r w:rsidRPr="00920666">
        <w:rPr>
          <w:rFonts w:hint="eastAsia"/>
          <w:b/>
          <w:bCs/>
        </w:rPr>
        <w:t>2.計畫</w:t>
      </w:r>
      <w:r>
        <w:rPr>
          <w:rFonts w:hint="eastAsia"/>
          <w:b/>
          <w:bCs/>
        </w:rPr>
        <w:t>執行</w:t>
      </w:r>
      <w:r w:rsidRPr="00777023">
        <w:rPr>
          <w:rFonts w:hint="eastAsia"/>
          <w:b/>
          <w:bCs/>
        </w:rPr>
        <w:t>情形</w:t>
      </w:r>
      <w:r w:rsidRPr="00920666">
        <w:rPr>
          <w:rFonts w:hAnsi="標楷體" w:hint="eastAsia"/>
          <w:b/>
          <w:bCs/>
        </w:rPr>
        <w:t>：</w:t>
      </w:r>
      <w:r w:rsidRPr="003E0493">
        <w:rPr>
          <w:rFonts w:hAnsi="標楷體" w:hint="eastAsia"/>
        </w:rPr>
        <w:t>由於</w:t>
      </w:r>
      <w:r w:rsidRPr="00AF3E46">
        <w:rPr>
          <w:rFonts w:hint="eastAsia"/>
        </w:rPr>
        <w:t>客運業者長期仰賴虧損補貼，未能自主營運獲利，不利路線永續經營</w:t>
      </w:r>
      <w:r>
        <w:rPr>
          <w:rFonts w:hAnsi="標楷體" w:hint="eastAsia"/>
        </w:rPr>
        <w:t>；</w:t>
      </w:r>
      <w:r w:rsidRPr="00AF3E46">
        <w:rPr>
          <w:rFonts w:hint="eastAsia"/>
        </w:rPr>
        <w:t>另部分路線營運規劃</w:t>
      </w:r>
      <w:r>
        <w:rPr>
          <w:rFonts w:ascii="新細明體" w:eastAsia="新細明體" w:hAnsi="新細明體" w:hint="eastAsia"/>
        </w:rPr>
        <w:t>，</w:t>
      </w:r>
      <w:r w:rsidRPr="00AF3E46">
        <w:rPr>
          <w:rFonts w:hint="eastAsia"/>
        </w:rPr>
        <w:t>未符偏鄉民眾</w:t>
      </w:r>
      <w:r>
        <w:rPr>
          <w:rFonts w:hint="eastAsia"/>
        </w:rPr>
        <w:t>之</w:t>
      </w:r>
      <w:r w:rsidRPr="00AF3E46">
        <w:rPr>
          <w:rFonts w:hint="eastAsia"/>
        </w:rPr>
        <w:t>需求，造成部分偏鄉公共運輸涵蓋率未達目標值，仍有偏鄉無幸福巴士運行(詳表</w:t>
      </w:r>
      <w:r>
        <w:rPr>
          <w:rFonts w:hint="eastAsia"/>
        </w:rPr>
        <w:t>2</w:t>
      </w:r>
      <w:r w:rsidRPr="00AF3E46">
        <w:rPr>
          <w:rFonts w:hint="eastAsia"/>
        </w:rPr>
        <w:t>)，宜妥適規劃服務型態，進而建立永續經營</w:t>
      </w:r>
      <w:r>
        <w:rPr>
          <w:rFonts w:hint="eastAsia"/>
        </w:rPr>
        <w:t>之</w:t>
      </w:r>
      <w:r w:rsidRPr="00AF3E46">
        <w:rPr>
          <w:rFonts w:hint="eastAsia"/>
        </w:rPr>
        <w:t>機制。</w:t>
      </w:r>
    </w:p>
    <w:p w:rsidR="00963541" w:rsidRPr="00577AF5" w:rsidRDefault="00963541" w:rsidP="00963541">
      <w:pPr>
        <w:overflowPunct w:val="0"/>
        <w:adjustRightInd w:val="0"/>
        <w:snapToGrid w:val="0"/>
        <w:spacing w:line="400" w:lineRule="exact"/>
        <w:ind w:leftChars="0" w:left="780" w:hangingChars="275" w:hanging="780"/>
        <w:jc w:val="left"/>
        <w:rPr>
          <w:rFonts w:hAnsi="標楷體"/>
          <w:sz w:val="24"/>
          <w:szCs w:val="24"/>
        </w:rPr>
      </w:pPr>
      <w:bookmarkStart w:id="13" w:name="_Hlk175073963"/>
      <w:r w:rsidRPr="00577AF5">
        <w:rPr>
          <w:rFonts w:hint="eastAsia"/>
          <w:b/>
          <w:bCs/>
        </w:rPr>
        <w:t>表</w:t>
      </w:r>
      <w:r w:rsidRPr="00577AF5">
        <w:rPr>
          <w:b/>
          <w:bCs/>
        </w:rPr>
        <w:t>1</w:t>
      </w:r>
      <w:r w:rsidRPr="00577AF5">
        <w:rPr>
          <w:rFonts w:hint="eastAsia"/>
          <w:b/>
          <w:bCs/>
        </w:rPr>
        <w:t xml:space="preserve">　</w:t>
      </w:r>
      <w:r>
        <w:rPr>
          <w:rFonts w:hint="eastAsia"/>
          <w:b/>
          <w:bCs/>
        </w:rPr>
        <w:t>公路局</w:t>
      </w:r>
      <w:r w:rsidRPr="00577AF5">
        <w:rPr>
          <w:rFonts w:hint="eastAsia"/>
          <w:b/>
          <w:bCs/>
        </w:rPr>
        <w:t>1</w:t>
      </w:r>
      <w:r>
        <w:rPr>
          <w:rFonts w:hint="eastAsia"/>
          <w:b/>
          <w:bCs/>
        </w:rPr>
        <w:t>10</w:t>
      </w:r>
      <w:r w:rsidRPr="00577AF5">
        <w:rPr>
          <w:rFonts w:hint="eastAsia"/>
          <w:b/>
          <w:bCs/>
        </w:rPr>
        <w:t>至112年底止</w:t>
      </w:r>
      <w:bookmarkStart w:id="14" w:name="_Hlk184399396"/>
      <w:r w:rsidRPr="00577AF5">
        <w:rPr>
          <w:rFonts w:hint="eastAsia"/>
          <w:b/>
          <w:bCs/>
        </w:rPr>
        <w:t>辦理推動服務性路線需求反應式</w:t>
      </w:r>
      <w:r w:rsidRPr="00AF3D09">
        <w:rPr>
          <w:rFonts w:hint="eastAsia"/>
          <w:b/>
          <w:bCs/>
        </w:rPr>
        <w:t>公共運輸</w:t>
      </w:r>
      <w:bookmarkEnd w:id="14"/>
      <w:r>
        <w:rPr>
          <w:rFonts w:hint="eastAsia"/>
          <w:b/>
          <w:bCs/>
        </w:rPr>
        <w:t>服務</w:t>
      </w:r>
      <w:r w:rsidRPr="00577AF5">
        <w:rPr>
          <w:rFonts w:hint="eastAsia"/>
          <w:b/>
          <w:bCs/>
        </w:rPr>
        <w:t>預算執行情形</w:t>
      </w:r>
      <w:r w:rsidRPr="00E12C94">
        <w:rPr>
          <w:rFonts w:hint="eastAsia"/>
          <w:sz w:val="24"/>
          <w:szCs w:val="24"/>
        </w:rPr>
        <w:t xml:space="preserve">　　　　　　　　</w:t>
      </w:r>
      <w:r w:rsidRPr="00E12C94">
        <w:rPr>
          <w:rFonts w:hAnsi="標楷體" w:hint="eastAsia"/>
          <w:sz w:val="24"/>
          <w:szCs w:val="24"/>
        </w:rPr>
        <w:t xml:space="preserve">　　　　　　</w:t>
      </w:r>
      <w:r w:rsidRPr="00577AF5">
        <w:rPr>
          <w:rFonts w:hAnsi="標楷體" w:hint="eastAsia"/>
          <w:sz w:val="24"/>
          <w:szCs w:val="24"/>
        </w:rPr>
        <w:t>單位：新臺幣千元</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6"/>
        <w:gridCol w:w="1050"/>
        <w:gridCol w:w="1064"/>
        <w:gridCol w:w="4381"/>
        <w:gridCol w:w="1414"/>
      </w:tblGrid>
      <w:tr w:rsidR="00963541" w:rsidRPr="00577AF5" w:rsidTr="00D40481">
        <w:trPr>
          <w:tblHeader/>
        </w:trPr>
        <w:tc>
          <w:tcPr>
            <w:tcW w:w="616"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年度</w:t>
            </w:r>
          </w:p>
        </w:tc>
        <w:tc>
          <w:tcPr>
            <w:tcW w:w="1050"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3C5501">
              <w:rPr>
                <w:rFonts w:hAnsi="標楷體" w:hint="eastAsia"/>
                <w:spacing w:val="-20"/>
                <w:kern w:val="0"/>
                <w:sz w:val="24"/>
                <w:szCs w:val="24"/>
              </w:rPr>
              <w:t>核定數</w:t>
            </w:r>
          </w:p>
        </w:tc>
        <w:tc>
          <w:tcPr>
            <w:tcW w:w="1064" w:type="dxa"/>
            <w:tcBorders>
              <w:bottom w:val="doub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hint="eastAsia"/>
                <w:spacing w:val="-20"/>
                <w:kern w:val="0"/>
                <w:sz w:val="24"/>
                <w:szCs w:val="24"/>
              </w:rPr>
            </w:pPr>
            <w:r w:rsidRPr="003C5501">
              <w:rPr>
                <w:rFonts w:hAnsi="標楷體" w:hint="eastAsia"/>
                <w:spacing w:val="-20"/>
                <w:kern w:val="0"/>
                <w:sz w:val="24"/>
                <w:szCs w:val="24"/>
              </w:rPr>
              <w:t>核銷數</w:t>
            </w:r>
          </w:p>
        </w:tc>
        <w:tc>
          <w:tcPr>
            <w:tcW w:w="4381"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Pr>
                <w:rFonts w:hAnsi="標楷體" w:hint="eastAsia"/>
                <w:spacing w:val="-20"/>
                <w:kern w:val="0"/>
                <w:sz w:val="24"/>
                <w:szCs w:val="24"/>
              </w:rPr>
              <w:t>推動</w:t>
            </w:r>
            <w:r w:rsidRPr="00577AF5">
              <w:rPr>
                <w:rFonts w:hAnsi="標楷體" w:hint="eastAsia"/>
                <w:spacing w:val="-20"/>
                <w:kern w:val="0"/>
                <w:sz w:val="24"/>
                <w:szCs w:val="24"/>
              </w:rPr>
              <w:t>情形</w:t>
            </w:r>
          </w:p>
        </w:tc>
        <w:tc>
          <w:tcPr>
            <w:tcW w:w="1414" w:type="dxa"/>
            <w:tcBorders>
              <w:bottom w:val="doub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績效指標/</w:t>
            </w:r>
          </w:p>
          <w:p w:rsidR="00963541" w:rsidRPr="00577AF5" w:rsidRDefault="00963541" w:rsidP="00D40481">
            <w:pPr>
              <w:overflowPunct w:val="0"/>
              <w:adjustRightInd w:val="0"/>
              <w:snapToGrid w:val="0"/>
              <w:spacing w:line="400" w:lineRule="exact"/>
              <w:ind w:leftChars="-49" w:left="-58" w:rightChars="-20" w:right="-57" w:hangingChars="40" w:hanging="81"/>
              <w:jc w:val="center"/>
              <w:rPr>
                <w:rFonts w:hAnsi="標楷體"/>
                <w:spacing w:val="-20"/>
                <w:kern w:val="0"/>
                <w:sz w:val="24"/>
                <w:szCs w:val="24"/>
              </w:rPr>
            </w:pPr>
            <w:r w:rsidRPr="00577AF5">
              <w:rPr>
                <w:rFonts w:hAnsi="標楷體" w:hint="eastAsia"/>
                <w:spacing w:val="-20"/>
                <w:kern w:val="0"/>
                <w:sz w:val="24"/>
                <w:szCs w:val="24"/>
              </w:rPr>
              <w:t>實際達成情形</w:t>
            </w:r>
          </w:p>
        </w:tc>
      </w:tr>
      <w:tr w:rsidR="00963541" w:rsidRPr="00577AF5" w:rsidTr="00D40481">
        <w:tc>
          <w:tcPr>
            <w:tcW w:w="616"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lastRenderedPageBreak/>
              <w:t>110</w:t>
            </w:r>
          </w:p>
        </w:tc>
        <w:tc>
          <w:tcPr>
            <w:tcW w:w="1050" w:type="dxa"/>
            <w:tcBorders>
              <w:top w:val="single" w:sz="4"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spacing w:val="-20"/>
                <w:kern w:val="0"/>
                <w:sz w:val="24"/>
                <w:szCs w:val="24"/>
              </w:rPr>
            </w:pPr>
            <w:r w:rsidRPr="008F7863">
              <w:rPr>
                <w:spacing w:val="-20"/>
                <w:kern w:val="0"/>
                <w:sz w:val="24"/>
                <w:szCs w:val="24"/>
              </w:rPr>
              <w:t>312,269</w:t>
            </w:r>
          </w:p>
        </w:tc>
        <w:tc>
          <w:tcPr>
            <w:tcW w:w="1064" w:type="dxa"/>
            <w:tcBorders>
              <w:top w:val="single" w:sz="4" w:space="0" w:color="auto"/>
              <w:left w:val="single" w:sz="4" w:space="0" w:color="auto"/>
              <w:bottom w:val="single" w:sz="4" w:space="0" w:color="auto"/>
              <w:right w:val="sing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hint="eastAsia"/>
                <w:spacing w:val="-20"/>
                <w:kern w:val="0"/>
                <w:sz w:val="24"/>
                <w:szCs w:val="24"/>
              </w:rPr>
            </w:pPr>
            <w:r w:rsidRPr="00580529">
              <w:rPr>
                <w:spacing w:val="-20"/>
                <w:kern w:val="0"/>
                <w:sz w:val="24"/>
                <w:szCs w:val="24"/>
              </w:rPr>
              <w:t>129,413</w:t>
            </w:r>
          </w:p>
        </w:tc>
        <w:tc>
          <w:tcPr>
            <w:tcW w:w="4381"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補助120鄉鎮，推動322條幸福巴士路線，偏鄉公共運輸涵蓋率從88.33%提升至89.78%。</w:t>
            </w:r>
          </w:p>
        </w:tc>
        <w:tc>
          <w:tcPr>
            <w:tcW w:w="1414"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目標值89%/</w:t>
            </w:r>
          </w:p>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實際值89.78%</w:t>
            </w:r>
          </w:p>
        </w:tc>
      </w:tr>
      <w:tr w:rsidR="00963541" w:rsidRPr="00577AF5" w:rsidTr="00D40481">
        <w:tc>
          <w:tcPr>
            <w:tcW w:w="616"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111</w:t>
            </w:r>
          </w:p>
        </w:tc>
        <w:tc>
          <w:tcPr>
            <w:tcW w:w="1050" w:type="dxa"/>
            <w:tcBorders>
              <w:top w:val="single" w:sz="4"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spacing w:val="-20"/>
                <w:kern w:val="0"/>
                <w:sz w:val="24"/>
                <w:szCs w:val="24"/>
              </w:rPr>
            </w:pPr>
            <w:r w:rsidRPr="008F7863">
              <w:rPr>
                <w:spacing w:val="-20"/>
                <w:kern w:val="0"/>
                <w:sz w:val="24"/>
                <w:szCs w:val="24"/>
              </w:rPr>
              <w:t>301,613</w:t>
            </w:r>
          </w:p>
        </w:tc>
        <w:tc>
          <w:tcPr>
            <w:tcW w:w="1064" w:type="dxa"/>
            <w:tcBorders>
              <w:top w:val="single" w:sz="4" w:space="0" w:color="auto"/>
              <w:left w:val="single" w:sz="4" w:space="0" w:color="auto"/>
              <w:bottom w:val="single" w:sz="4" w:space="0" w:color="auto"/>
              <w:right w:val="sing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hint="eastAsia"/>
                <w:spacing w:val="-20"/>
                <w:kern w:val="0"/>
                <w:sz w:val="24"/>
                <w:szCs w:val="24"/>
              </w:rPr>
            </w:pPr>
            <w:r w:rsidRPr="00580529">
              <w:rPr>
                <w:spacing w:val="-20"/>
                <w:kern w:val="0"/>
                <w:sz w:val="24"/>
                <w:szCs w:val="24"/>
              </w:rPr>
              <w:t>147,879</w:t>
            </w:r>
          </w:p>
        </w:tc>
        <w:tc>
          <w:tcPr>
            <w:tcW w:w="4381"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補助152鄉鎮，推動399條幸福巴士路線，偏鄉公共運輸涵蓋率從89.78%提升至90.39%。</w:t>
            </w:r>
          </w:p>
        </w:tc>
        <w:tc>
          <w:tcPr>
            <w:tcW w:w="1414" w:type="dxa"/>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目標值90%/</w:t>
            </w:r>
          </w:p>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實際值90.39%</w:t>
            </w:r>
          </w:p>
        </w:tc>
      </w:tr>
      <w:tr w:rsidR="00963541" w:rsidRPr="00577AF5" w:rsidTr="00D40481">
        <w:tc>
          <w:tcPr>
            <w:tcW w:w="616" w:type="dxa"/>
            <w:tcBorders>
              <w:bottom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112</w:t>
            </w:r>
          </w:p>
        </w:tc>
        <w:tc>
          <w:tcPr>
            <w:tcW w:w="1050" w:type="dxa"/>
            <w:tcBorders>
              <w:top w:val="single" w:sz="4"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spacing w:val="-20"/>
                <w:kern w:val="0"/>
                <w:sz w:val="24"/>
                <w:szCs w:val="24"/>
              </w:rPr>
            </w:pPr>
            <w:r w:rsidRPr="008F7863">
              <w:rPr>
                <w:spacing w:val="-20"/>
                <w:kern w:val="0"/>
                <w:sz w:val="24"/>
                <w:szCs w:val="24"/>
              </w:rPr>
              <w:t>378,174</w:t>
            </w:r>
          </w:p>
        </w:tc>
        <w:tc>
          <w:tcPr>
            <w:tcW w:w="1064" w:type="dxa"/>
            <w:tcBorders>
              <w:top w:val="single" w:sz="4" w:space="0" w:color="auto"/>
              <w:left w:val="single" w:sz="4" w:space="0" w:color="auto"/>
              <w:bottom w:val="single" w:sz="4" w:space="0" w:color="auto"/>
              <w:right w:val="single" w:sz="4" w:space="0" w:color="auto"/>
            </w:tcBorders>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hint="eastAsia"/>
                <w:spacing w:val="-20"/>
                <w:kern w:val="0"/>
                <w:sz w:val="24"/>
                <w:szCs w:val="24"/>
              </w:rPr>
            </w:pPr>
            <w:r w:rsidRPr="00580529">
              <w:rPr>
                <w:spacing w:val="-20"/>
                <w:kern w:val="0"/>
                <w:sz w:val="24"/>
                <w:szCs w:val="24"/>
              </w:rPr>
              <w:t>116,452</w:t>
            </w:r>
          </w:p>
        </w:tc>
        <w:tc>
          <w:tcPr>
            <w:tcW w:w="4381" w:type="dxa"/>
            <w:tcBorders>
              <w:bottom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補助173鄉鎮，推動436條幸福巴士路線，偏鄉公共運輸涵蓋率從90.39%提升至91.97%。</w:t>
            </w:r>
          </w:p>
        </w:tc>
        <w:tc>
          <w:tcPr>
            <w:tcW w:w="1414" w:type="dxa"/>
            <w:tcBorders>
              <w:bottom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目標值91%/</w:t>
            </w:r>
          </w:p>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r w:rsidRPr="00577AF5">
              <w:rPr>
                <w:rFonts w:hAnsi="標楷體" w:hint="eastAsia"/>
                <w:spacing w:val="-20"/>
                <w:kern w:val="0"/>
                <w:sz w:val="24"/>
                <w:szCs w:val="24"/>
              </w:rPr>
              <w:t>實際值91.97%</w:t>
            </w:r>
          </w:p>
        </w:tc>
      </w:tr>
      <w:tr w:rsidR="00963541" w:rsidRPr="00577AF5" w:rsidTr="00D40481">
        <w:tc>
          <w:tcPr>
            <w:tcW w:w="616"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center"/>
              <w:rPr>
                <w:rFonts w:hAnsi="標楷體"/>
                <w:spacing w:val="-20"/>
                <w:kern w:val="0"/>
                <w:sz w:val="24"/>
                <w:szCs w:val="24"/>
              </w:rPr>
            </w:pPr>
            <w:r w:rsidRPr="00577AF5">
              <w:rPr>
                <w:rFonts w:hAnsi="標楷體" w:hint="eastAsia"/>
                <w:spacing w:val="-20"/>
                <w:kern w:val="0"/>
                <w:sz w:val="24"/>
                <w:szCs w:val="24"/>
              </w:rPr>
              <w:t>合計</w:t>
            </w:r>
          </w:p>
        </w:tc>
        <w:tc>
          <w:tcPr>
            <w:tcW w:w="1050"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spacing w:val="-20"/>
                <w:kern w:val="0"/>
                <w:sz w:val="24"/>
                <w:szCs w:val="24"/>
              </w:rPr>
            </w:pPr>
            <w:r>
              <w:rPr>
                <w:rFonts w:hAnsi="標楷體" w:hint="eastAsia"/>
                <w:spacing w:val="-20"/>
                <w:kern w:val="0"/>
                <w:sz w:val="24"/>
                <w:szCs w:val="24"/>
              </w:rPr>
              <w:t>992</w:t>
            </w:r>
            <w:r>
              <w:rPr>
                <w:rFonts w:hAnsi="標楷體"/>
                <w:spacing w:val="-20"/>
                <w:kern w:val="0"/>
                <w:sz w:val="24"/>
                <w:szCs w:val="24"/>
              </w:rPr>
              <w:t>,</w:t>
            </w:r>
            <w:r>
              <w:rPr>
                <w:rFonts w:hAnsi="標楷體" w:hint="eastAsia"/>
                <w:spacing w:val="-20"/>
                <w:kern w:val="0"/>
                <w:sz w:val="24"/>
                <w:szCs w:val="24"/>
              </w:rPr>
              <w:t>056</w:t>
            </w:r>
          </w:p>
        </w:tc>
        <w:tc>
          <w:tcPr>
            <w:tcW w:w="1064" w:type="dxa"/>
            <w:tcBorders>
              <w:top w:val="single" w:sz="4" w:space="0" w:color="auto"/>
              <w:bottom w:val="single" w:sz="12" w:space="0" w:color="auto"/>
            </w:tcBorders>
            <w:shd w:val="clear" w:color="auto" w:fill="FFFFFF"/>
          </w:tcPr>
          <w:p w:rsidR="00963541" w:rsidRPr="00577AF5" w:rsidRDefault="00963541" w:rsidP="00D40481">
            <w:pPr>
              <w:overflowPunct w:val="0"/>
              <w:adjustRightInd w:val="0"/>
              <w:snapToGrid w:val="0"/>
              <w:spacing w:line="400" w:lineRule="exact"/>
              <w:ind w:leftChars="-20" w:left="-57" w:rightChars="-20" w:right="-57" w:firstLineChars="0" w:firstLine="0"/>
              <w:jc w:val="right"/>
              <w:rPr>
                <w:rFonts w:hAnsi="標楷體"/>
                <w:spacing w:val="-20"/>
                <w:kern w:val="0"/>
                <w:sz w:val="24"/>
                <w:szCs w:val="24"/>
              </w:rPr>
            </w:pPr>
            <w:r>
              <w:rPr>
                <w:rFonts w:hAnsi="標楷體" w:hint="eastAsia"/>
                <w:spacing w:val="-20"/>
                <w:kern w:val="0"/>
                <w:sz w:val="24"/>
                <w:szCs w:val="24"/>
              </w:rPr>
              <w:t>3</w:t>
            </w:r>
            <w:r>
              <w:rPr>
                <w:rFonts w:hAnsi="標楷體"/>
                <w:spacing w:val="-20"/>
                <w:kern w:val="0"/>
                <w:sz w:val="24"/>
                <w:szCs w:val="24"/>
              </w:rPr>
              <w:t>93,744</w:t>
            </w:r>
          </w:p>
        </w:tc>
        <w:tc>
          <w:tcPr>
            <w:tcW w:w="4381"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p>
        </w:tc>
        <w:tc>
          <w:tcPr>
            <w:tcW w:w="1414" w:type="dxa"/>
            <w:tcBorders>
              <w:top w:val="single" w:sz="4" w:space="0" w:color="auto"/>
              <w:bottom w:val="single" w:sz="12" w:space="0" w:color="auto"/>
            </w:tcBorders>
            <w:shd w:val="clear" w:color="auto" w:fill="FFFFFF"/>
            <w:vAlign w:val="center"/>
          </w:tcPr>
          <w:p w:rsidR="00963541" w:rsidRPr="00577AF5" w:rsidRDefault="00963541" w:rsidP="00D40481">
            <w:pPr>
              <w:overflowPunct w:val="0"/>
              <w:adjustRightInd w:val="0"/>
              <w:snapToGrid w:val="0"/>
              <w:spacing w:line="400" w:lineRule="exact"/>
              <w:ind w:leftChars="-20" w:left="-57" w:rightChars="-20" w:right="-57" w:firstLineChars="0" w:firstLine="0"/>
              <w:rPr>
                <w:rFonts w:hAnsi="標楷體"/>
                <w:spacing w:val="-20"/>
                <w:kern w:val="0"/>
                <w:sz w:val="24"/>
                <w:szCs w:val="24"/>
              </w:rPr>
            </w:pPr>
          </w:p>
        </w:tc>
      </w:tr>
    </w:tbl>
    <w:p w:rsidR="00963541" w:rsidRPr="00577AF5" w:rsidRDefault="00963541" w:rsidP="00963541">
      <w:pPr>
        <w:overflowPunct w:val="0"/>
        <w:adjustRightInd w:val="0"/>
        <w:snapToGrid w:val="0"/>
        <w:spacing w:line="280" w:lineRule="exact"/>
        <w:ind w:leftChars="0" w:left="1216" w:hangingChars="500" w:hanging="1216"/>
        <w:rPr>
          <w:sz w:val="24"/>
        </w:rPr>
      </w:pPr>
      <w:r w:rsidRPr="00577AF5">
        <w:rPr>
          <w:rFonts w:hint="eastAsia"/>
          <w:sz w:val="24"/>
        </w:rPr>
        <w:t>說　　明：</w:t>
      </w:r>
      <w:r w:rsidRPr="00920666">
        <w:rPr>
          <w:rFonts w:hint="eastAsia"/>
          <w:sz w:val="24"/>
        </w:rPr>
        <w:t>辦理推動服務性路線需求反應式公共運輸</w:t>
      </w:r>
      <w:r>
        <w:rPr>
          <w:rFonts w:hint="eastAsia"/>
          <w:sz w:val="24"/>
        </w:rPr>
        <w:t>服務</w:t>
      </w:r>
      <w:r>
        <w:rPr>
          <w:rFonts w:ascii="新細明體" w:eastAsia="新細明體" w:hAnsi="新細明體" w:hint="eastAsia"/>
          <w:sz w:val="24"/>
        </w:rPr>
        <w:t>，</w:t>
      </w:r>
      <w:r w:rsidRPr="00577AF5">
        <w:rPr>
          <w:rFonts w:hint="eastAsia"/>
          <w:sz w:val="24"/>
        </w:rPr>
        <w:t>為</w:t>
      </w:r>
      <w:r w:rsidRPr="00FB330E">
        <w:rPr>
          <w:rFonts w:hint="eastAsia"/>
          <w:sz w:val="24"/>
        </w:rPr>
        <w:t>「公路公共運輸服務升級計畫（110-113年）」</w:t>
      </w:r>
      <w:r w:rsidRPr="00577AF5">
        <w:rPr>
          <w:rFonts w:hint="eastAsia"/>
          <w:sz w:val="24"/>
        </w:rPr>
        <w:t>項下之行動方案</w:t>
      </w:r>
      <w:r w:rsidRPr="00577AF5">
        <w:rPr>
          <w:rFonts w:hAnsi="標楷體" w:hint="eastAsia"/>
          <w:sz w:val="24"/>
        </w:rPr>
        <w:t>，未編列專項預算，依核定數核銷。</w:t>
      </w:r>
    </w:p>
    <w:p w:rsidR="00963541" w:rsidRDefault="00963541" w:rsidP="00963541">
      <w:pPr>
        <w:overflowPunct w:val="0"/>
        <w:adjustRightInd w:val="0"/>
        <w:snapToGrid w:val="0"/>
        <w:spacing w:line="280" w:lineRule="exact"/>
        <w:ind w:leftChars="0" w:left="669" w:hangingChars="275" w:hanging="669"/>
        <w:jc w:val="left"/>
        <w:rPr>
          <w:b/>
          <w:bCs/>
        </w:rPr>
      </w:pPr>
      <w:r w:rsidRPr="00577AF5">
        <w:rPr>
          <w:rFonts w:hint="eastAsia"/>
          <w:sz w:val="24"/>
        </w:rPr>
        <w:t>資料來源：</w:t>
      </w:r>
      <w:r>
        <w:rPr>
          <w:rFonts w:hint="eastAsia"/>
          <w:sz w:val="24"/>
        </w:rPr>
        <w:t>公路局</w:t>
      </w:r>
      <w:r w:rsidRPr="00577AF5">
        <w:rPr>
          <w:rFonts w:hint="eastAsia"/>
          <w:sz w:val="24"/>
        </w:rPr>
        <w:t>113年8月21日提供資料；本中心製表。</w:t>
      </w:r>
    </w:p>
    <w:p w:rsidR="00963541" w:rsidRPr="00577AF5" w:rsidRDefault="00963541" w:rsidP="00963541">
      <w:pPr>
        <w:overflowPunct w:val="0"/>
        <w:adjustRightInd w:val="0"/>
        <w:snapToGrid w:val="0"/>
        <w:spacing w:line="400" w:lineRule="exact"/>
        <w:ind w:leftChars="0" w:left="780" w:hangingChars="275" w:hanging="780"/>
        <w:jc w:val="left"/>
        <w:rPr>
          <w:b/>
          <w:bCs/>
        </w:rPr>
      </w:pPr>
      <w:r w:rsidRPr="00577AF5">
        <w:rPr>
          <w:rFonts w:hint="eastAsia"/>
          <w:b/>
          <w:bCs/>
        </w:rPr>
        <w:t>表</w:t>
      </w:r>
      <w:r>
        <w:rPr>
          <w:rFonts w:hint="eastAsia"/>
          <w:b/>
          <w:bCs/>
        </w:rPr>
        <w:t>2</w:t>
      </w:r>
      <w:r w:rsidRPr="00577AF5">
        <w:rPr>
          <w:rFonts w:hint="eastAsia"/>
          <w:b/>
          <w:bCs/>
        </w:rPr>
        <w:t xml:space="preserve">　截至112年底止公共運輸涵蓋率未達預定目標及尚無幸福巴士運行之偏鄉</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6568"/>
      </w:tblGrid>
      <w:tr w:rsidR="00963541" w:rsidRPr="00577AF5" w:rsidTr="00D40481">
        <w:trPr>
          <w:tblHeader/>
        </w:trPr>
        <w:tc>
          <w:tcPr>
            <w:tcW w:w="1985" w:type="dxa"/>
            <w:tcBorders>
              <w:top w:val="single" w:sz="12" w:space="0" w:color="auto"/>
              <w:bottom w:val="double" w:sz="4" w:space="0" w:color="auto"/>
            </w:tcBorders>
            <w:shd w:val="clear" w:color="auto" w:fill="auto"/>
          </w:tcPr>
          <w:p w:rsidR="00963541" w:rsidRPr="00652851" w:rsidRDefault="00963541" w:rsidP="00D40481">
            <w:pPr>
              <w:overflowPunct w:val="0"/>
              <w:adjustRightInd w:val="0"/>
              <w:snapToGrid w:val="0"/>
              <w:spacing w:line="400" w:lineRule="exact"/>
              <w:ind w:leftChars="0" w:left="0" w:firstLineChars="0" w:firstLine="0"/>
              <w:jc w:val="center"/>
              <w:rPr>
                <w:rFonts w:hint="eastAsia"/>
                <w:b/>
                <w:bCs/>
                <w:sz w:val="24"/>
                <w:szCs w:val="24"/>
              </w:rPr>
            </w:pPr>
            <w:bookmarkStart w:id="15" w:name="_Hlk175073512"/>
            <w:r w:rsidRPr="00652851">
              <w:rPr>
                <w:rFonts w:hint="eastAsia"/>
                <w:b/>
                <w:bCs/>
                <w:sz w:val="24"/>
                <w:szCs w:val="24"/>
              </w:rPr>
              <w:t>市縣</w:t>
            </w:r>
          </w:p>
        </w:tc>
        <w:tc>
          <w:tcPr>
            <w:tcW w:w="6568" w:type="dxa"/>
            <w:tcBorders>
              <w:top w:val="single" w:sz="12" w:space="0" w:color="auto"/>
              <w:bottom w:val="double" w:sz="4" w:space="0" w:color="auto"/>
            </w:tcBorders>
            <w:shd w:val="clear" w:color="auto" w:fill="auto"/>
          </w:tcPr>
          <w:p w:rsidR="00963541" w:rsidRPr="00652851" w:rsidRDefault="00963541" w:rsidP="00D40481">
            <w:pPr>
              <w:overflowPunct w:val="0"/>
              <w:adjustRightInd w:val="0"/>
              <w:snapToGrid w:val="0"/>
              <w:spacing w:line="400" w:lineRule="exact"/>
              <w:ind w:leftChars="0" w:left="0" w:firstLineChars="0" w:firstLine="0"/>
              <w:jc w:val="center"/>
              <w:rPr>
                <w:rFonts w:hint="eastAsia"/>
                <w:b/>
                <w:bCs/>
                <w:sz w:val="24"/>
                <w:szCs w:val="24"/>
              </w:rPr>
            </w:pPr>
            <w:r w:rsidRPr="00652851">
              <w:rPr>
                <w:rFonts w:hint="eastAsia"/>
                <w:b/>
                <w:bCs/>
                <w:sz w:val="24"/>
                <w:szCs w:val="24"/>
              </w:rPr>
              <w:t>偏鄉</w:t>
            </w:r>
          </w:p>
        </w:tc>
      </w:tr>
      <w:tr w:rsidR="00963541" w:rsidRPr="00577AF5" w:rsidTr="00D40481">
        <w:tc>
          <w:tcPr>
            <w:tcW w:w="8553" w:type="dxa"/>
            <w:gridSpan w:val="2"/>
            <w:tcBorders>
              <w:top w:val="single" w:sz="12" w:space="0" w:color="auto"/>
              <w:bottom w:val="doub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center"/>
              <w:rPr>
                <w:rFonts w:hint="eastAsia"/>
                <w:b/>
                <w:bCs/>
                <w:sz w:val="24"/>
                <w:szCs w:val="24"/>
              </w:rPr>
            </w:pPr>
            <w:r w:rsidRPr="00577AF5">
              <w:rPr>
                <w:rFonts w:hint="eastAsia"/>
                <w:b/>
                <w:bCs/>
                <w:sz w:val="24"/>
                <w:szCs w:val="24"/>
              </w:rPr>
              <w:t>公共運輸涵蓋率未達預定目標之偏鄉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新北市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石碇區、坪林區、平溪區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臺中市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和平區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臺南市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龍崎區、南化區、楠西區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高雄市</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田寮區、那瑪夏區、甲仙區、桃源區</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宜蘭縣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大同鄉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新竹縣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峨眉鄉、五峰鄉、尖石鄉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苗栗縣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獅潭鄉、南庄鄉、三灣鄉、泰安鄉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南投縣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魚池鄉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嘉義縣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阿里山鄉、番路鄉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屏東縣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霧臺鄉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花蓮縣</w:t>
            </w:r>
          </w:p>
        </w:tc>
        <w:tc>
          <w:tcPr>
            <w:tcW w:w="6568" w:type="dxa"/>
            <w:tcBorders>
              <w:top w:val="nil"/>
              <w:left w:val="nil"/>
              <w:bottom w:val="single" w:sz="4" w:space="0" w:color="auto"/>
              <w:right w:val="single" w:sz="12" w:space="0" w:color="auto"/>
            </w:tcBorders>
            <w:shd w:val="clear" w:color="auto" w:fill="auto"/>
            <w:vAlign w:val="center"/>
          </w:tcPr>
          <w:p w:rsidR="00963541" w:rsidRPr="00577AF5" w:rsidRDefault="00963541" w:rsidP="00D40481">
            <w:pPr>
              <w:overflowPunct w:val="0"/>
              <w:adjustRightInd w:val="0"/>
              <w:snapToGrid w:val="0"/>
              <w:spacing w:line="400" w:lineRule="exact"/>
              <w:ind w:leftChars="0" w:left="0" w:firstLineChars="0" w:firstLine="0"/>
              <w:jc w:val="left"/>
              <w:rPr>
                <w:rFonts w:hint="eastAsia"/>
                <w:sz w:val="24"/>
                <w:szCs w:val="24"/>
              </w:rPr>
            </w:pPr>
            <w:r w:rsidRPr="00577AF5">
              <w:rPr>
                <w:rFonts w:hAnsi="標楷體" w:cs="新細明體" w:hint="eastAsia"/>
                <w:color w:val="000000"/>
                <w:kern w:val="0"/>
                <w:sz w:val="24"/>
                <w:szCs w:val="24"/>
              </w:rPr>
              <w:t>富里鄉、玉里鎮</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臺東縣</w:t>
            </w:r>
          </w:p>
        </w:tc>
        <w:tc>
          <w:tcPr>
            <w:tcW w:w="6568" w:type="dxa"/>
            <w:tcBorders>
              <w:top w:val="nil"/>
              <w:left w:val="nil"/>
              <w:bottom w:val="single" w:sz="4" w:space="0" w:color="auto"/>
              <w:right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太麻里鄉、鹿野鄉、卑南鄉、長濱鄉、大武鄉</w:t>
            </w:r>
          </w:p>
        </w:tc>
      </w:tr>
      <w:tr w:rsidR="00963541" w:rsidRPr="00577AF5" w:rsidTr="00D40481">
        <w:tc>
          <w:tcPr>
            <w:tcW w:w="1985" w:type="dxa"/>
            <w:tcBorders>
              <w:top w:val="nil"/>
              <w:left w:val="single" w:sz="12" w:space="0" w:color="auto"/>
              <w:bottom w:val="single" w:sz="4" w:space="0" w:color="auto"/>
              <w:right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合計</w:t>
            </w:r>
          </w:p>
        </w:tc>
        <w:tc>
          <w:tcPr>
            <w:tcW w:w="6568" w:type="dxa"/>
            <w:tcBorders>
              <w:top w:val="nil"/>
              <w:left w:val="nil"/>
              <w:bottom w:val="single" w:sz="4" w:space="0" w:color="auto"/>
              <w:right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30個</w:t>
            </w:r>
          </w:p>
        </w:tc>
      </w:tr>
      <w:tr w:rsidR="00963541" w:rsidRPr="00577AF5" w:rsidTr="00D40481">
        <w:tc>
          <w:tcPr>
            <w:tcW w:w="8553" w:type="dxa"/>
            <w:gridSpan w:val="2"/>
            <w:tcBorders>
              <w:top w:val="double" w:sz="4" w:space="0" w:color="auto"/>
              <w:bottom w:val="doub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center"/>
              <w:rPr>
                <w:rFonts w:hint="eastAsia"/>
                <w:sz w:val="24"/>
                <w:szCs w:val="24"/>
              </w:rPr>
            </w:pPr>
            <w:r w:rsidRPr="00577AF5">
              <w:rPr>
                <w:rFonts w:hint="eastAsia"/>
                <w:b/>
                <w:bCs/>
                <w:sz w:val="24"/>
                <w:szCs w:val="24"/>
              </w:rPr>
              <w:t>尚無幸福巴士運行之偏鄉</w:t>
            </w:r>
          </w:p>
        </w:tc>
      </w:tr>
      <w:tr w:rsidR="00963541" w:rsidRPr="00577AF5" w:rsidTr="00D40481">
        <w:tc>
          <w:tcPr>
            <w:tcW w:w="1985" w:type="dxa"/>
            <w:tcBorders>
              <w:top w:val="doub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新北市</w:t>
            </w:r>
          </w:p>
        </w:tc>
        <w:tc>
          <w:tcPr>
            <w:tcW w:w="6568" w:type="dxa"/>
            <w:tcBorders>
              <w:top w:val="doub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石碇區、坪林區、烏來區</w:t>
            </w:r>
          </w:p>
        </w:tc>
      </w:tr>
      <w:tr w:rsidR="00963541" w:rsidRPr="00577AF5" w:rsidTr="00D40481">
        <w:tc>
          <w:tcPr>
            <w:tcW w:w="1985" w:type="dxa"/>
            <w:tcBorders>
              <w:top w:val="sing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新竹縣</w:t>
            </w:r>
          </w:p>
        </w:tc>
        <w:tc>
          <w:tcPr>
            <w:tcW w:w="6568" w:type="dxa"/>
            <w:tcBorders>
              <w:top w:val="single" w:sz="4" w:space="0" w:color="auto"/>
              <w:bottom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峨眉鄉</w:t>
            </w:r>
          </w:p>
        </w:tc>
      </w:tr>
      <w:tr w:rsidR="00963541" w:rsidRPr="00577AF5" w:rsidTr="00D40481">
        <w:tc>
          <w:tcPr>
            <w:tcW w:w="1985" w:type="dxa"/>
            <w:tcBorders>
              <w:top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lastRenderedPageBreak/>
              <w:t>苗栗縣</w:t>
            </w:r>
          </w:p>
        </w:tc>
        <w:tc>
          <w:tcPr>
            <w:tcW w:w="6568" w:type="dxa"/>
            <w:tcBorders>
              <w:top w:val="single" w:sz="4"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獅潭鄉</w:t>
            </w:r>
          </w:p>
        </w:tc>
      </w:tr>
      <w:tr w:rsidR="00963541" w:rsidRPr="00577AF5" w:rsidTr="00D40481">
        <w:tc>
          <w:tcPr>
            <w:tcW w:w="1985"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花蓮縣</w:t>
            </w:r>
          </w:p>
        </w:tc>
        <w:tc>
          <w:tcPr>
            <w:tcW w:w="6568"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花蓮市、玉里鎮</w:t>
            </w:r>
          </w:p>
        </w:tc>
      </w:tr>
      <w:tr w:rsidR="00963541" w:rsidRPr="00577AF5" w:rsidTr="00D40481">
        <w:tc>
          <w:tcPr>
            <w:tcW w:w="1985"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臺東縣</w:t>
            </w:r>
          </w:p>
        </w:tc>
        <w:tc>
          <w:tcPr>
            <w:tcW w:w="6568" w:type="dxa"/>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太麻里鄉、鹿野鄉</w:t>
            </w:r>
          </w:p>
        </w:tc>
      </w:tr>
      <w:tr w:rsidR="00963541" w:rsidRPr="00577AF5" w:rsidTr="00D40481">
        <w:tc>
          <w:tcPr>
            <w:tcW w:w="1985" w:type="dxa"/>
            <w:tcBorders>
              <w:bottom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合計</w:t>
            </w:r>
          </w:p>
        </w:tc>
        <w:tc>
          <w:tcPr>
            <w:tcW w:w="6568" w:type="dxa"/>
            <w:tcBorders>
              <w:bottom w:val="single" w:sz="12" w:space="0" w:color="auto"/>
            </w:tcBorders>
            <w:shd w:val="clear" w:color="auto" w:fill="auto"/>
          </w:tcPr>
          <w:p w:rsidR="00963541" w:rsidRPr="00577AF5" w:rsidRDefault="00963541" w:rsidP="00D40481">
            <w:pPr>
              <w:overflowPunct w:val="0"/>
              <w:adjustRightInd w:val="0"/>
              <w:snapToGrid w:val="0"/>
              <w:spacing w:line="400" w:lineRule="exact"/>
              <w:ind w:leftChars="0" w:left="0" w:firstLineChars="0" w:firstLine="0"/>
              <w:jc w:val="left"/>
              <w:rPr>
                <w:rFonts w:hAnsi="標楷體" w:cs="新細明體" w:hint="eastAsia"/>
                <w:color w:val="000000"/>
                <w:kern w:val="0"/>
                <w:sz w:val="24"/>
                <w:szCs w:val="24"/>
              </w:rPr>
            </w:pPr>
            <w:r w:rsidRPr="00577AF5">
              <w:rPr>
                <w:rFonts w:hAnsi="標楷體" w:cs="新細明體" w:hint="eastAsia"/>
                <w:color w:val="000000"/>
                <w:kern w:val="0"/>
                <w:sz w:val="24"/>
                <w:szCs w:val="24"/>
              </w:rPr>
              <w:t>9個</w:t>
            </w:r>
          </w:p>
        </w:tc>
      </w:tr>
    </w:tbl>
    <w:bookmarkEnd w:id="13"/>
    <w:bookmarkEnd w:id="15"/>
    <w:p w:rsidR="00963541" w:rsidRPr="00577AF5" w:rsidRDefault="00963541" w:rsidP="00963541">
      <w:pPr>
        <w:overflowPunct w:val="0"/>
        <w:adjustRightInd w:val="0"/>
        <w:snapToGrid w:val="0"/>
        <w:spacing w:line="280" w:lineRule="exact"/>
        <w:ind w:leftChars="0" w:left="1216" w:hangingChars="500" w:hanging="1216"/>
        <w:jc w:val="left"/>
        <w:rPr>
          <w:sz w:val="24"/>
        </w:rPr>
      </w:pPr>
      <w:r w:rsidRPr="00577AF5">
        <w:rPr>
          <w:rFonts w:hint="eastAsia"/>
          <w:sz w:val="24"/>
        </w:rPr>
        <w:t>說　　明：</w:t>
      </w:r>
      <w:r>
        <w:rPr>
          <w:rFonts w:hint="eastAsia"/>
          <w:sz w:val="24"/>
        </w:rPr>
        <w:t>公路局</w:t>
      </w:r>
      <w:r w:rsidRPr="00577AF5">
        <w:rPr>
          <w:rFonts w:hint="eastAsia"/>
          <w:sz w:val="24"/>
        </w:rPr>
        <w:t>明定公共運輸涵蓋率為績效指標</w:t>
      </w:r>
      <w:r w:rsidRPr="00577AF5">
        <w:rPr>
          <w:rFonts w:hAnsi="標楷體" w:hint="eastAsia"/>
          <w:sz w:val="24"/>
        </w:rPr>
        <w:t>，112年設定</w:t>
      </w:r>
      <w:r w:rsidRPr="00577AF5">
        <w:rPr>
          <w:rFonts w:hint="eastAsia"/>
          <w:sz w:val="24"/>
        </w:rPr>
        <w:t>目標值</w:t>
      </w:r>
      <w:r w:rsidRPr="00577AF5">
        <w:rPr>
          <w:rFonts w:hAnsi="標楷體" w:hint="eastAsia"/>
          <w:sz w:val="24"/>
        </w:rPr>
        <w:t>為91%。</w:t>
      </w:r>
    </w:p>
    <w:p w:rsidR="00963541" w:rsidRPr="00577AF5" w:rsidRDefault="00963541" w:rsidP="00963541">
      <w:pPr>
        <w:overflowPunct w:val="0"/>
        <w:adjustRightInd w:val="0"/>
        <w:snapToGrid w:val="0"/>
        <w:spacing w:line="280" w:lineRule="exact"/>
        <w:ind w:leftChars="0" w:left="1216" w:hangingChars="500" w:hanging="1216"/>
        <w:jc w:val="left"/>
        <w:rPr>
          <w:sz w:val="24"/>
        </w:rPr>
      </w:pPr>
      <w:r w:rsidRPr="00577AF5">
        <w:rPr>
          <w:rFonts w:hint="eastAsia"/>
          <w:sz w:val="24"/>
        </w:rPr>
        <w:t>資料來源：</w:t>
      </w:r>
      <w:r>
        <w:rPr>
          <w:rFonts w:hint="eastAsia"/>
          <w:sz w:val="24"/>
        </w:rPr>
        <w:t>公路局</w:t>
      </w:r>
      <w:r w:rsidRPr="00577AF5">
        <w:rPr>
          <w:rFonts w:hint="eastAsia"/>
          <w:sz w:val="24"/>
        </w:rPr>
        <w:t>113年</w:t>
      </w:r>
      <w:r w:rsidRPr="00577AF5">
        <w:rPr>
          <w:rFonts w:hAnsi="標楷體" w:hint="eastAsia"/>
          <w:sz w:val="24"/>
        </w:rPr>
        <w:t>8</w:t>
      </w:r>
      <w:r w:rsidRPr="00577AF5">
        <w:rPr>
          <w:rFonts w:hint="eastAsia"/>
          <w:sz w:val="24"/>
        </w:rPr>
        <w:t>月</w:t>
      </w:r>
      <w:r w:rsidRPr="00577AF5">
        <w:rPr>
          <w:rFonts w:hAnsi="標楷體" w:hint="eastAsia"/>
          <w:sz w:val="24"/>
        </w:rPr>
        <w:t>21</w:t>
      </w:r>
      <w:r w:rsidRPr="00577AF5">
        <w:rPr>
          <w:rFonts w:hint="eastAsia"/>
          <w:sz w:val="24"/>
        </w:rPr>
        <w:t>日提供資料；本中心製表。</w:t>
      </w:r>
    </w:p>
    <w:p w:rsidR="00963541" w:rsidRPr="00777023" w:rsidRDefault="00963541" w:rsidP="00963541">
      <w:pPr>
        <w:pStyle w:val="a5"/>
        <w:ind w:left="849" w:hanging="283"/>
        <w:rPr>
          <w:b/>
          <w:bCs/>
        </w:rPr>
      </w:pPr>
      <w:r w:rsidRPr="00777023">
        <w:rPr>
          <w:rFonts w:hint="eastAsia"/>
          <w:b/>
          <w:bCs/>
        </w:rPr>
        <w:t>(二)偏鄉公共運輸涵蓋率雖達91.97%，</w:t>
      </w:r>
      <w:bookmarkStart w:id="16" w:name="_Hlk170483905"/>
      <w:r w:rsidRPr="00777023">
        <w:rPr>
          <w:rFonts w:hint="eastAsia"/>
          <w:b/>
          <w:bCs/>
        </w:rPr>
        <w:t>仍出現運輸缺口</w:t>
      </w:r>
      <w:bookmarkEnd w:id="16"/>
      <w:r w:rsidRPr="00777023">
        <w:rPr>
          <w:rFonts w:hint="eastAsia"/>
          <w:b/>
          <w:bCs/>
        </w:rPr>
        <w:t>，允宜強化需求管理，妥適規劃服務型態，滿足基本民行，落實交通平權</w:t>
      </w:r>
    </w:p>
    <w:p w:rsidR="00963541" w:rsidRPr="00577AF5" w:rsidRDefault="00963541" w:rsidP="00963541">
      <w:pPr>
        <w:pStyle w:val="22"/>
        <w:ind w:left="850" w:firstLine="566"/>
        <w:rPr>
          <w:rFonts w:hAnsi="標楷體"/>
        </w:rPr>
      </w:pPr>
      <w:r w:rsidRPr="00AE4CA6">
        <w:rPr>
          <w:rFonts w:hint="eastAsia"/>
        </w:rPr>
        <w:t>偏鄉地區乘客多為老人、學生及經濟弱勢族群，受限搭乘者，其運具替代性相對較少，多依賴市區公車或公路客運提供之公共運輸服務</w:t>
      </w:r>
      <w:r>
        <w:rPr>
          <w:rFonts w:ascii="新細明體" w:eastAsia="新細明體" w:hAnsi="新細明體" w:hint="eastAsia"/>
        </w:rPr>
        <w:t>，</w:t>
      </w:r>
      <w:r>
        <w:rPr>
          <w:rFonts w:hint="eastAsia"/>
        </w:rPr>
        <w:t>公路局</w:t>
      </w:r>
      <w:r w:rsidRPr="00577AF5">
        <w:rPr>
          <w:rFonts w:hint="eastAsia"/>
        </w:rPr>
        <w:t>規劃藉由幸福巴士</w:t>
      </w:r>
      <w:r>
        <w:rPr>
          <w:rFonts w:hint="eastAsia"/>
        </w:rPr>
        <w:t>(</w:t>
      </w:r>
      <w:r w:rsidRPr="000D6987">
        <w:rPr>
          <w:rFonts w:hint="eastAsia"/>
        </w:rPr>
        <w:t>含幸福小黃</w:t>
      </w:r>
      <w:r>
        <w:rPr>
          <w:rFonts w:hint="eastAsia"/>
        </w:rPr>
        <w:t>)</w:t>
      </w:r>
      <w:r>
        <w:rPr>
          <w:rFonts w:ascii="新細明體" w:eastAsia="新細明體" w:hAnsi="新細明體" w:hint="eastAsia"/>
        </w:rPr>
        <w:t>，</w:t>
      </w:r>
      <w:r w:rsidRPr="00577AF5">
        <w:rPr>
          <w:rFonts w:hint="eastAsia"/>
        </w:rPr>
        <w:t>補足路網末端民行服務不足之處</w:t>
      </w:r>
      <w:r w:rsidRPr="00577AF5">
        <w:rPr>
          <w:rFonts w:hAnsi="標楷體" w:hint="eastAsia"/>
        </w:rPr>
        <w:t>，</w:t>
      </w:r>
      <w:r w:rsidRPr="00AE4CA6">
        <w:rPr>
          <w:rFonts w:hAnsi="標楷體" w:hint="eastAsia"/>
        </w:rPr>
        <w:t>迄112年底止，已於173鄉鎮(偏鄉62個)推動436條(偏鄉230條)幸福巴士</w:t>
      </w:r>
      <w:bookmarkStart w:id="17" w:name="_Hlk184653645"/>
      <w:r>
        <w:rPr>
          <w:rFonts w:hAnsi="標楷體" w:hint="eastAsia"/>
        </w:rPr>
        <w:t>(</w:t>
      </w:r>
      <w:r w:rsidRPr="00AE4CA6">
        <w:rPr>
          <w:rFonts w:hAnsi="標楷體" w:hint="eastAsia"/>
        </w:rPr>
        <w:t>含幸福小黃</w:t>
      </w:r>
      <w:r>
        <w:rPr>
          <w:rFonts w:hAnsi="標楷體" w:hint="eastAsia"/>
        </w:rPr>
        <w:t>)</w:t>
      </w:r>
      <w:bookmarkEnd w:id="17"/>
      <w:r w:rsidRPr="00AE4CA6">
        <w:rPr>
          <w:rFonts w:hAnsi="標楷體" w:hint="eastAsia"/>
        </w:rPr>
        <w:t>路線，其中幸福巴士已通車81個鄉鎮(偏鄉49個)推動252條(偏鄉179條)，幸福小黃已通車92個鄉鎮(偏鄉13個)推動184條(偏鄉51條)</w:t>
      </w:r>
      <w:r>
        <w:rPr>
          <w:rFonts w:hAnsi="標楷體" w:hint="eastAsia"/>
        </w:rPr>
        <w:t>。公路局</w:t>
      </w:r>
      <w:r w:rsidRPr="00CB39A6">
        <w:rPr>
          <w:rFonts w:hint="eastAsia"/>
        </w:rPr>
        <w:t>推動服務性路線需求反應式公共運輸服務</w:t>
      </w:r>
      <w:r w:rsidRPr="00577AF5">
        <w:rPr>
          <w:rFonts w:hint="eastAsia"/>
        </w:rPr>
        <w:t>多年</w:t>
      </w:r>
      <w:r>
        <w:rPr>
          <w:rFonts w:ascii="新細明體" w:eastAsia="新細明體" w:hAnsi="新細明體" w:hint="eastAsia"/>
        </w:rPr>
        <w:t>，</w:t>
      </w:r>
      <w:r w:rsidRPr="00577AF5">
        <w:rPr>
          <w:rFonts w:hint="eastAsia"/>
        </w:rPr>
        <w:t>偏鄉公共運輸涵蓋率雖已提升至91.97%</w:t>
      </w:r>
      <w:r w:rsidRPr="00577AF5">
        <w:rPr>
          <w:rFonts w:hAnsi="標楷體" w:hint="eastAsia"/>
        </w:rPr>
        <w:t>，仍出現運輸缺口，允宜強化需求管理，妥適規劃服務型態，</w:t>
      </w:r>
      <w:r>
        <w:rPr>
          <w:rFonts w:hAnsi="標楷體" w:hint="eastAsia"/>
        </w:rPr>
        <w:t>以</w:t>
      </w:r>
      <w:r w:rsidRPr="00577AF5">
        <w:rPr>
          <w:rFonts w:hAnsi="標楷體" w:hint="eastAsia"/>
        </w:rPr>
        <w:t>滿足基本民行，落實交通平權</w:t>
      </w:r>
      <w:r>
        <w:rPr>
          <w:rFonts w:hAnsi="標楷體" w:hint="eastAsia"/>
        </w:rPr>
        <w:t>。</w:t>
      </w:r>
    </w:p>
    <w:p w:rsidR="00963541" w:rsidRPr="00577AF5" w:rsidRDefault="00963541" w:rsidP="00963541">
      <w:pPr>
        <w:ind w:left="566" w:firstLine="566"/>
      </w:pPr>
      <w:r w:rsidRPr="00577AF5">
        <w:rPr>
          <w:rFonts w:hint="eastAsia"/>
        </w:rPr>
        <w:t>綜上，</w:t>
      </w:r>
      <w:r>
        <w:rPr>
          <w:rFonts w:hint="eastAsia"/>
        </w:rPr>
        <w:t>公路局</w:t>
      </w:r>
      <w:r w:rsidRPr="00413EDC">
        <w:rPr>
          <w:rFonts w:hint="eastAsia"/>
        </w:rPr>
        <w:t>112年度於「公路公共運輸服務升級計畫（110-113年）」項下</w:t>
      </w:r>
      <w:r>
        <w:rPr>
          <w:rFonts w:hint="eastAsia"/>
        </w:rPr>
        <w:t>辦理</w:t>
      </w:r>
      <w:r w:rsidRPr="000D6987">
        <w:rPr>
          <w:rFonts w:hint="eastAsia"/>
        </w:rPr>
        <w:t>推動服務性路線需求反應式公共運輸服務</w:t>
      </w:r>
      <w:r>
        <w:rPr>
          <w:rFonts w:ascii="新細明體" w:eastAsia="新細明體" w:hAnsi="新細明體" w:hint="eastAsia"/>
        </w:rPr>
        <w:t>，</w:t>
      </w:r>
      <w:r w:rsidRPr="00AE4CA6">
        <w:rPr>
          <w:rFonts w:hint="eastAsia"/>
        </w:rPr>
        <w:t>規劃藉由幸福巴士</w:t>
      </w:r>
      <w:r>
        <w:rPr>
          <w:rFonts w:hint="eastAsia"/>
        </w:rPr>
        <w:t>(</w:t>
      </w:r>
      <w:r w:rsidRPr="000D6987">
        <w:rPr>
          <w:rFonts w:hint="eastAsia"/>
        </w:rPr>
        <w:t>含幸福小黃</w:t>
      </w:r>
      <w:r>
        <w:rPr>
          <w:rFonts w:hint="eastAsia"/>
        </w:rPr>
        <w:t>)</w:t>
      </w:r>
      <w:r>
        <w:rPr>
          <w:rFonts w:ascii="新細明體" w:eastAsia="新細明體" w:hAnsi="新細明體" w:hint="eastAsia"/>
        </w:rPr>
        <w:t>，</w:t>
      </w:r>
      <w:r w:rsidRPr="00AE4CA6">
        <w:rPr>
          <w:rFonts w:hint="eastAsia"/>
        </w:rPr>
        <w:t>補足路網末端民行服務不足之處</w:t>
      </w:r>
      <w:r>
        <w:rPr>
          <w:rFonts w:ascii="新細明體" w:eastAsia="新細明體" w:hAnsi="新細明體" w:hint="eastAsia"/>
        </w:rPr>
        <w:t>，</w:t>
      </w:r>
      <w:r w:rsidRPr="00FB330E">
        <w:rPr>
          <w:rFonts w:hint="eastAsia"/>
        </w:rPr>
        <w:t>惟</w:t>
      </w:r>
      <w:r w:rsidRPr="001C6025">
        <w:rPr>
          <w:rFonts w:hint="eastAsia"/>
        </w:rPr>
        <w:t>仍無法補足運輸服務缺口</w:t>
      </w:r>
      <w:r w:rsidRPr="00577AF5">
        <w:rPr>
          <w:rFonts w:hint="eastAsia"/>
        </w:rPr>
        <w:t>，允宜掌握需求及旅次特性，強化需求管理，妥適規劃服務型態，以滿足偏鄉基本民行，落實交通平權。</w:t>
      </w:r>
    </w:p>
    <w:p w:rsidR="00963541" w:rsidRPr="00323F47" w:rsidRDefault="00963541" w:rsidP="00963541">
      <w:pPr>
        <w:pStyle w:val="22"/>
        <w:ind w:left="850" w:firstLine="486"/>
        <w:jc w:val="right"/>
        <w:rPr>
          <w:rFonts w:hint="eastAsia"/>
          <w:sz w:val="24"/>
          <w:lang w:eastAsia="zh-HK"/>
        </w:rPr>
      </w:pPr>
      <w:r w:rsidRPr="00577AF5">
        <w:rPr>
          <w:rFonts w:hint="eastAsia"/>
          <w:sz w:val="24"/>
          <w:lang w:eastAsia="zh-HK"/>
        </w:rPr>
        <w:t>(分機：19</w:t>
      </w:r>
      <w:r w:rsidRPr="00577AF5">
        <w:rPr>
          <w:rFonts w:hint="eastAsia"/>
          <w:sz w:val="24"/>
        </w:rPr>
        <w:t>37</w:t>
      </w:r>
      <w:r w:rsidRPr="00577AF5">
        <w:rPr>
          <w:rFonts w:hint="eastAsia"/>
          <w:sz w:val="24"/>
          <w:lang w:eastAsia="zh-HK"/>
        </w:rPr>
        <w:t>鄧可容)</w:t>
      </w:r>
      <w:bookmarkEnd w:id="6"/>
      <w:bookmarkEnd w:id="7"/>
      <w:bookmarkEnd w:id="8"/>
      <w:bookmarkEnd w:id="9"/>
      <w:bookmarkEnd w:id="10"/>
    </w:p>
    <w:sectPr w:rsidR="00963541" w:rsidRPr="00323F47"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E36725" w:rsidRPr="00E3672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963541" w:rsidRDefault="00963541" w:rsidP="00963541">
      <w:pPr>
        <w:pStyle w:val="142"/>
        <w:ind w:left="182" w:hangingChars="75" w:hanging="182"/>
        <w:jc w:val="both"/>
        <w:rPr>
          <w:rFonts w:hint="eastAsia"/>
        </w:rPr>
      </w:pPr>
      <w:r>
        <w:rPr>
          <w:rStyle w:val="af5"/>
        </w:rPr>
        <w:footnoteRef/>
      </w:r>
      <w:r w:rsidRPr="003E0493">
        <w:rPr>
          <w:rFonts w:hint="eastAsia"/>
          <w:sz w:val="12"/>
          <w:szCs w:val="12"/>
        </w:rPr>
        <w:t xml:space="preserve">　</w:t>
      </w:r>
      <w:r w:rsidRPr="006526C3">
        <w:rPr>
          <w:rFonts w:hint="eastAsia"/>
        </w:rPr>
        <w:t>交通部公路局組織法已於112年6月</w:t>
      </w:r>
      <w:r>
        <w:rPr>
          <w:rFonts w:hint="eastAsia"/>
        </w:rPr>
        <w:t>7</w:t>
      </w:r>
      <w:r w:rsidRPr="006526C3">
        <w:rPr>
          <w:rFonts w:hint="eastAsia"/>
        </w:rPr>
        <w:t>日公</w:t>
      </w:r>
      <w:r>
        <w:rPr>
          <w:rFonts w:hint="eastAsia"/>
        </w:rPr>
        <w:t>布</w:t>
      </w:r>
      <w:r w:rsidRPr="006526C3">
        <w:rPr>
          <w:rFonts w:hint="eastAsia"/>
        </w:rPr>
        <w:t>，修正後公路</w:t>
      </w:r>
      <w:r>
        <w:rPr>
          <w:rFonts w:hint="eastAsia"/>
        </w:rPr>
        <w:t>總</w:t>
      </w:r>
      <w:r w:rsidRPr="006526C3">
        <w:rPr>
          <w:rFonts w:hint="eastAsia"/>
        </w:rPr>
        <w:t>局更名為公路局，行政院公告於</w:t>
      </w:r>
      <w:r>
        <w:rPr>
          <w:rFonts w:hint="eastAsia"/>
        </w:rPr>
        <w:t>112</w:t>
      </w:r>
      <w:r w:rsidRPr="006526C3">
        <w:rPr>
          <w:rFonts w:hint="eastAsia"/>
        </w:rPr>
        <w:t>年9月15日施行，爰使用改制後之組織名稱。</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725"/>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EEAB66-A4A2-48BE-AC2C-0DB21B22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FEE18-863B-40D1-A9F4-0DADE3042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290</Words>
  <Characters>1654</Characters>
  <Application>Microsoft Office Word</Application>
  <DocSecurity>0</DocSecurity>
  <Lines>13</Lines>
  <Paragraphs>3</Paragraphs>
  <ScaleCrop>false</ScaleCrop>
  <Company/>
  <LinksUpToDate>false</LinksUpToDate>
  <CharactersWithSpaces>1941</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