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Default="0089665B" w:rsidP="00943898">
      <w:pPr>
        <w:pStyle w:val="144"/>
        <w:ind w:left="567" w:hanging="567"/>
        <w:rPr>
          <w:rFonts w:hAnsi="標楷體"/>
          <w:szCs w:val="24"/>
        </w:rPr>
      </w:pPr>
      <w:bookmarkStart w:id="23" w:name="_Toc82334975"/>
      <w:bookmarkStart w:id="24" w:name="_Toc184912919"/>
      <w:r w:rsidRPr="00AF3583">
        <w:rPr>
          <w:rFonts w:hint="eastAsia"/>
        </w:rPr>
        <w:t>壹、</w:t>
      </w:r>
      <w:bookmarkEnd w:id="23"/>
      <w:r w:rsidR="00E77C87" w:rsidRPr="00E77C87">
        <w:rPr>
          <w:rFonts w:hint="eastAsia"/>
        </w:rPr>
        <w:t>農業委員會（農業部)</w:t>
      </w:r>
      <w:bookmarkStart w:id="25" w:name="_GoBack"/>
      <w:bookmarkEnd w:id="24"/>
      <w:bookmarkEnd w:id="22"/>
      <w:bookmarkEnd w:id="25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350C702-311F-452B-925C-6C1F582DEE9A}"/>
    <w:embedBold r:id="rId2" w:fontKey="{9A3AEEE6-2A66-474F-B6CE-4AF49CE4914E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94E5411C-D870-4E56-9AB0-36027D9B55EE}"/>
    <w:embedBold r:id="rId4" w:subsetted="1" w:fontKey="{4411654C-0022-407C-B3AD-BE23346861C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BECE9DB6-A126-463C-A57C-CEC0D173C451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ADAC50C6-6DC2-42E7-945F-C20495602B25}"/>
    <w:embedBold r:id="rId7" w:fontKey="{759C2B81-CA35-41BD-9828-DF8D03DE445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9370A89C-EC6B-4859-8324-A64CC0AEE78E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7671378D-8E03-4D13-9308-D6C77409DD8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7D5852C1-BD70-4422-BCA2-BF759F1F813E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8056E698-A4A6-4FA6-81F0-12CA1C90F97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46CD2136-3F45-4B83-BCBF-F5D73CA19E7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943898">
      <w:rPr>
        <w:rStyle w:val="afb"/>
        <w:rFonts w:ascii="標楷體" w:hAnsi="標楷體"/>
        <w:noProof/>
        <w:sz w:val="24"/>
        <w:szCs w:val="24"/>
      </w:rPr>
      <w:t>1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3898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D204D54-04D2-4DCF-BBC0-AC7E2139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CF49-5B19-41A2-A1BD-3CF61E6F7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