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4F35F8" w:rsidRPr="00C31F12" w:rsidRDefault="004F35F8" w:rsidP="004F35F8">
      <w:pPr>
        <w:pStyle w:val="14"/>
        <w:ind w:left="567" w:hanging="567"/>
        <w:rPr>
          <w:snapToGrid/>
        </w:rPr>
      </w:pPr>
      <w:bookmarkStart w:id="4" w:name="_Toc115770453"/>
      <w:bookmarkStart w:id="5" w:name="_Toc496691884"/>
      <w:bookmarkStart w:id="6" w:name="_Toc22215707"/>
      <w:bookmarkStart w:id="7" w:name="_Toc185261763"/>
      <w:bookmarkEnd w:id="1"/>
      <w:r w:rsidRPr="00C31F12">
        <w:rPr>
          <w:rFonts w:hint="eastAsia"/>
        </w:rPr>
        <w:t>一、</w:t>
      </w:r>
      <w:bookmarkStart w:id="8" w:name="_Toc82676916"/>
      <w:bookmarkStart w:id="9" w:name="_Toc53047158"/>
      <w:r w:rsidR="00FB6145">
        <w:rPr>
          <w:rFonts w:hint="eastAsia"/>
        </w:rPr>
        <w:t>科學園區</w:t>
      </w:r>
      <w:r w:rsidRPr="00C31F12">
        <w:rPr>
          <w:rFonts w:hAnsi="標楷體" w:cs="細明體" w:hint="eastAsia"/>
        </w:rPr>
        <w:t>108至112年度增加近百家廠商進駐營運，從業人數及營業額</w:t>
      </w:r>
      <w:r w:rsidR="004A1932">
        <w:rPr>
          <w:rFonts w:hAnsi="標楷體" w:cs="細明體" w:hint="eastAsia"/>
        </w:rPr>
        <w:t>概呈</w:t>
      </w:r>
      <w:r w:rsidRPr="00C31F12">
        <w:rPr>
          <w:rFonts w:hAnsi="標楷體" w:cs="細明體" w:hint="eastAsia"/>
        </w:rPr>
        <w:t>增加</w:t>
      </w:r>
      <w:r w:rsidR="004A1932">
        <w:rPr>
          <w:rFonts w:hAnsi="標楷體" w:cs="細明體" w:hint="eastAsia"/>
        </w:rPr>
        <w:t>趨勢</w:t>
      </w:r>
      <w:r w:rsidRPr="00C31F12">
        <w:rPr>
          <w:rFonts w:hAnsi="標楷體" w:cs="細明體" w:hint="eastAsia"/>
        </w:rPr>
        <w:t>，惟112年度竹科及中科廠商營業額微幅下滑1至2成，允宜持續輔導廠商提升營運量能</w:t>
      </w:r>
      <w:bookmarkEnd w:id="7"/>
      <w:bookmarkEnd w:id="8"/>
    </w:p>
    <w:p w:rsidR="004F35F8" w:rsidRPr="00C31F12" w:rsidRDefault="004F35F8" w:rsidP="004F35F8">
      <w:pPr>
        <w:ind w:left="566" w:firstLine="566"/>
      </w:pPr>
      <w:r w:rsidRPr="00C31F12">
        <w:rPr>
          <w:rFonts w:hint="eastAsia"/>
        </w:rPr>
        <w:t>竹科、中科及南科112年度「投資推廣」計畫分別編列1</w:t>
      </w:r>
      <w:r w:rsidRPr="00C31F12">
        <w:t>,411</w:t>
      </w:r>
      <w:r w:rsidRPr="00C31F12">
        <w:rPr>
          <w:rFonts w:hint="eastAsia"/>
        </w:rPr>
        <w:t>萬</w:t>
      </w:r>
      <w:r w:rsidRPr="00C31F12">
        <w:t>4</w:t>
      </w:r>
      <w:r w:rsidRPr="00C31F12">
        <w:rPr>
          <w:rFonts w:hint="eastAsia"/>
        </w:rPr>
        <w:t>千元、7</w:t>
      </w:r>
      <w:r w:rsidRPr="00C31F12">
        <w:t>,</w:t>
      </w:r>
      <w:r w:rsidRPr="00C31F12">
        <w:rPr>
          <w:rFonts w:hint="eastAsia"/>
        </w:rPr>
        <w:t>073萬元及4</w:t>
      </w:r>
      <w:r w:rsidRPr="00C31F12">
        <w:t>,</w:t>
      </w:r>
      <w:r w:rsidRPr="00C31F12">
        <w:rPr>
          <w:rFonts w:hint="eastAsia"/>
        </w:rPr>
        <w:t>963萬1千元，決算數分別為1</w:t>
      </w:r>
      <w:r w:rsidR="00FB6145">
        <w:t>,</w:t>
      </w:r>
      <w:r w:rsidRPr="00C31F12">
        <w:rPr>
          <w:rFonts w:hint="eastAsia"/>
        </w:rPr>
        <w:t>226萬9千元、7</w:t>
      </w:r>
      <w:r w:rsidRPr="00C31F12">
        <w:t>,</w:t>
      </w:r>
      <w:r w:rsidRPr="00C31F12">
        <w:rPr>
          <w:rFonts w:hint="eastAsia"/>
        </w:rPr>
        <w:t>010萬6千元及4</w:t>
      </w:r>
      <w:r w:rsidRPr="00C31F12">
        <w:t>,</w:t>
      </w:r>
      <w:r w:rsidRPr="00C31F12">
        <w:rPr>
          <w:rFonts w:hint="eastAsia"/>
        </w:rPr>
        <w:t>909萬7千元，預算執行率分別為86.93</w:t>
      </w:r>
      <w:r w:rsidRPr="00C31F12">
        <w:t>%</w:t>
      </w:r>
      <w:r w:rsidRPr="00C31F12">
        <w:rPr>
          <w:rFonts w:hint="eastAsia"/>
        </w:rPr>
        <w:t>、99.12</w:t>
      </w:r>
      <w:r w:rsidRPr="00C31F12">
        <w:t>%</w:t>
      </w:r>
      <w:r w:rsidRPr="00C31F12">
        <w:rPr>
          <w:rFonts w:hint="eastAsia"/>
        </w:rPr>
        <w:t>及98.92</w:t>
      </w:r>
      <w:r w:rsidRPr="00C31F12">
        <w:t>%</w:t>
      </w:r>
      <w:r w:rsidRPr="00C31F12">
        <w:rPr>
          <w:rFonts w:hint="eastAsia"/>
        </w:rPr>
        <w:t>。經查：</w:t>
      </w:r>
    </w:p>
    <w:p w:rsidR="004F35F8" w:rsidRPr="00C31F12" w:rsidRDefault="004F35F8" w:rsidP="004F35F8">
      <w:pPr>
        <w:pStyle w:val="a4"/>
        <w:ind w:left="849" w:hanging="283"/>
        <w:rPr>
          <w:b/>
        </w:rPr>
      </w:pPr>
      <w:r w:rsidRPr="00C31F12">
        <w:rPr>
          <w:rFonts w:hAnsi="標楷體" w:hint="eastAsia"/>
          <w:b/>
        </w:rPr>
        <w:t>(</w:t>
      </w:r>
      <w:r w:rsidRPr="00C31F12">
        <w:rPr>
          <w:rFonts w:hAnsi="標楷體" w:cs="細明體" w:hint="eastAsia"/>
          <w:b/>
        </w:rPr>
        <w:t>一)</w:t>
      </w:r>
      <w:bookmarkStart w:id="10" w:name="_Hlk183595111"/>
      <w:r w:rsidRPr="00C31F12">
        <w:rPr>
          <w:rFonts w:hAnsi="標楷體" w:cs="細明體" w:hint="eastAsia"/>
          <w:b/>
        </w:rPr>
        <w:t>科學園區持續開發以供廠商進駐營運，108至112年度增加近百家廠商進駐營運投產</w:t>
      </w:r>
      <w:bookmarkEnd w:id="10"/>
    </w:p>
    <w:p w:rsidR="004F35F8" w:rsidRPr="00C31F12" w:rsidRDefault="004F35F8" w:rsidP="004F35F8">
      <w:pPr>
        <w:pStyle w:val="22"/>
        <w:ind w:left="850" w:firstLine="566"/>
      </w:pPr>
      <w:r w:rsidRPr="00C31F12">
        <w:rPr>
          <w:rFonts w:hint="eastAsia"/>
        </w:rPr>
        <w:t>我國自69年設立科學園區，迄112年底已設置竹科、中部及南科三大園區聚落，</w:t>
      </w:r>
      <w:r w:rsidR="00D5776B" w:rsidRPr="00C31F12">
        <w:rPr>
          <w:rFonts w:hint="eastAsia"/>
        </w:rPr>
        <w:t>各園區依轄區產業特色</w:t>
      </w:r>
      <w:r w:rsidR="00D5776B" w:rsidRPr="00C31F12">
        <w:rPr>
          <w:rFonts w:hAnsi="標楷體" w:hint="eastAsia"/>
        </w:rPr>
        <w:t>，</w:t>
      </w:r>
      <w:r w:rsidR="00D5776B" w:rsidRPr="00C31F12">
        <w:rPr>
          <w:rFonts w:hint="eastAsia"/>
        </w:rPr>
        <w:t>發展並建置衛星園區</w:t>
      </w:r>
      <w:r w:rsidR="00D5776B" w:rsidRPr="00C31F12">
        <w:rPr>
          <w:rFonts w:hAnsi="標楷體" w:hint="eastAsia"/>
        </w:rPr>
        <w:t>，</w:t>
      </w:r>
      <w:r w:rsidR="00D5776B" w:rsidRPr="00C31F12">
        <w:rPr>
          <w:rFonts w:hint="eastAsia"/>
        </w:rPr>
        <w:t>計有新竹園區、竹南園區、龍潭園區、新竹生醫園區、</w:t>
      </w:r>
      <w:r w:rsidR="00D5776B" w:rsidRPr="00C31F12">
        <w:rPr>
          <w:rFonts w:hint="eastAsia"/>
        </w:rPr>
        <w:lastRenderedPageBreak/>
        <w:t>銅鑼園區</w:t>
      </w:r>
      <w:r w:rsidR="00D5776B" w:rsidRPr="00C31F12">
        <w:rPr>
          <w:rFonts w:hAnsi="標楷體" w:hint="eastAsia"/>
        </w:rPr>
        <w:t>、</w:t>
      </w:r>
      <w:r w:rsidR="00D5776B" w:rsidRPr="00C31F12">
        <w:rPr>
          <w:rFonts w:hint="eastAsia"/>
        </w:rPr>
        <w:t>宜蘭園區</w:t>
      </w:r>
      <w:r w:rsidR="00D5776B" w:rsidRPr="00C31F12">
        <w:rPr>
          <w:rFonts w:hAnsi="標楷體" w:hint="eastAsia"/>
        </w:rPr>
        <w:t>、</w:t>
      </w:r>
      <w:r w:rsidR="00D5776B" w:rsidRPr="00C31F12">
        <w:rPr>
          <w:rFonts w:hint="eastAsia"/>
        </w:rPr>
        <w:t>台中園區、虎尾園區、后里園區、二林園區</w:t>
      </w:r>
      <w:r w:rsidR="00D5776B" w:rsidRPr="00C31F12">
        <w:rPr>
          <w:rFonts w:hAnsi="標楷體" w:hint="eastAsia"/>
        </w:rPr>
        <w:t>、</w:t>
      </w:r>
      <w:r w:rsidR="00D5776B" w:rsidRPr="00C31F12">
        <w:rPr>
          <w:rFonts w:hint="eastAsia"/>
        </w:rPr>
        <w:t>中興園區</w:t>
      </w:r>
      <w:r w:rsidR="00D5776B" w:rsidRPr="00C31F12">
        <w:rPr>
          <w:rFonts w:hAnsi="標楷體" w:hint="eastAsia"/>
        </w:rPr>
        <w:t>、</w:t>
      </w:r>
      <w:r w:rsidR="00D5776B" w:rsidRPr="00C31F12">
        <w:rPr>
          <w:rFonts w:hint="eastAsia"/>
        </w:rPr>
        <w:t>臺南園區、高雄園區及橋頭園區等</w:t>
      </w:r>
      <w:r w:rsidRPr="00C31F12">
        <w:rPr>
          <w:rFonts w:hint="eastAsia"/>
        </w:rPr>
        <w:t>14個衛星園區。科學</w:t>
      </w:r>
      <w:r w:rsidRPr="00C31F12">
        <w:rPr>
          <w:rFonts w:hAnsi="標楷體" w:hint="eastAsia"/>
        </w:rPr>
        <w:t>園區</w:t>
      </w:r>
      <w:r w:rsidRPr="00C31F12">
        <w:rPr>
          <w:rFonts w:hAnsi="標楷體" w:hint="eastAsia"/>
          <w:bCs/>
        </w:rPr>
        <w:t>已入區登記廠商家數</w:t>
      </w:r>
      <w:r w:rsidRPr="00C31F12">
        <w:rPr>
          <w:rFonts w:hint="eastAsia"/>
        </w:rPr>
        <w:t>自108年度852家成長至112年度949家</w:t>
      </w:r>
      <w:r w:rsidRPr="00C31F12">
        <w:rPr>
          <w:rFonts w:hAnsi="標楷體" w:hint="eastAsia"/>
        </w:rPr>
        <w:t>，</w:t>
      </w:r>
      <w:r w:rsidRPr="00C31F12">
        <w:rPr>
          <w:rFonts w:hint="eastAsia"/>
        </w:rPr>
        <w:t>增加97家(增幅11.38%)</w:t>
      </w:r>
      <w:r w:rsidRPr="00C31F12">
        <w:rPr>
          <w:rFonts w:hAnsi="標楷體" w:hint="eastAsia"/>
        </w:rPr>
        <w:t>，</w:t>
      </w:r>
      <w:r w:rsidR="00D5776B" w:rsidRPr="00C31F12">
        <w:rPr>
          <w:rFonts w:hAnsi="標楷體" w:hint="eastAsia"/>
        </w:rPr>
        <w:t>其中家數</w:t>
      </w:r>
      <w:r w:rsidRPr="00C31F12">
        <w:rPr>
          <w:rFonts w:hAnsi="標楷體" w:hint="eastAsia"/>
        </w:rPr>
        <w:t>以</w:t>
      </w:r>
      <w:r w:rsidRPr="00C31F12">
        <w:rPr>
          <w:rFonts w:hint="eastAsia"/>
        </w:rPr>
        <w:t>竹科增加</w:t>
      </w:r>
      <w:r w:rsidRPr="00C31F12">
        <w:rPr>
          <w:rFonts w:hAnsi="標楷體" w:hint="eastAsia"/>
        </w:rPr>
        <w:t>55家最多，增幅以南科14.95%最多(詳表</w:t>
      </w:r>
      <w:r w:rsidR="00D5776B" w:rsidRPr="00C31F12">
        <w:rPr>
          <w:rFonts w:hAnsi="標楷體" w:hint="eastAsia"/>
        </w:rPr>
        <w:t>1</w:t>
      </w:r>
      <w:r w:rsidRPr="00C31F12">
        <w:rPr>
          <w:rFonts w:hAnsi="標楷體" w:hint="eastAsia"/>
        </w:rPr>
        <w:t>)</w:t>
      </w:r>
      <w:r w:rsidRPr="00C31F12">
        <w:rPr>
          <w:rFonts w:hint="eastAsia"/>
        </w:rPr>
        <w:t>。</w:t>
      </w:r>
    </w:p>
    <w:p w:rsidR="00D5776B" w:rsidRPr="00C31F12" w:rsidRDefault="004F35F8" w:rsidP="004F35F8">
      <w:pPr>
        <w:ind w:leftChars="0" w:left="0" w:firstLineChars="0" w:firstLine="0"/>
        <w:rPr>
          <w:rFonts w:hAnsi="標楷體"/>
          <w:b/>
        </w:rPr>
      </w:pPr>
      <w:bookmarkStart w:id="11" w:name="_Hlk182989646"/>
      <w:r w:rsidRPr="00C31F12">
        <w:rPr>
          <w:rFonts w:hAnsi="標楷體" w:hint="eastAsia"/>
          <w:b/>
        </w:rPr>
        <w:t>表</w:t>
      </w:r>
      <w:r w:rsidR="00D5776B" w:rsidRPr="00C31F12">
        <w:rPr>
          <w:rFonts w:hAnsi="標楷體" w:hint="eastAsia"/>
          <w:b/>
        </w:rPr>
        <w:t>1</w:t>
      </w:r>
      <w:r w:rsidRPr="00C31F12">
        <w:rPr>
          <w:rFonts w:hAnsi="標楷體"/>
          <w:b/>
        </w:rPr>
        <w:t xml:space="preserve">  </w:t>
      </w:r>
      <w:r w:rsidRPr="00C31F12">
        <w:rPr>
          <w:rFonts w:hAnsi="標楷體" w:hint="eastAsia"/>
          <w:b/>
        </w:rPr>
        <w:t>108至1</w:t>
      </w:r>
      <w:r w:rsidRPr="00C31F12">
        <w:rPr>
          <w:rFonts w:hAnsi="標楷體"/>
          <w:b/>
        </w:rPr>
        <w:t>1</w:t>
      </w:r>
      <w:r w:rsidRPr="00C31F12">
        <w:rPr>
          <w:rFonts w:hAnsi="標楷體" w:hint="eastAsia"/>
          <w:b/>
        </w:rPr>
        <w:t>2年度科學園區管理局</w:t>
      </w:r>
      <w:bookmarkStart w:id="12" w:name="_Hlk182930070"/>
      <w:r w:rsidRPr="00C31F12">
        <w:rPr>
          <w:rFonts w:hAnsi="標楷體" w:hint="eastAsia"/>
          <w:b/>
        </w:rPr>
        <w:t>已入區登記廠商家數</w:t>
      </w:r>
      <w:bookmarkEnd w:id="12"/>
      <w:r w:rsidRPr="00C31F12">
        <w:rPr>
          <w:rFonts w:hAnsi="標楷體" w:hint="eastAsia"/>
          <w:b/>
        </w:rPr>
        <w:t>表</w:t>
      </w:r>
    </w:p>
    <w:p w:rsidR="004F35F8" w:rsidRPr="00C31F12" w:rsidRDefault="004F35F8" w:rsidP="00D5776B">
      <w:pPr>
        <w:pStyle w:val="142"/>
        <w:jc w:val="right"/>
        <w:rPr>
          <w:rFonts w:hAnsi="標楷體"/>
        </w:rPr>
      </w:pPr>
      <w:r w:rsidRPr="00C31F12">
        <w:rPr>
          <w:rFonts w:hAnsi="標楷體" w:hint="eastAsia"/>
        </w:rPr>
        <w:t>單位：家</w:t>
      </w:r>
      <w:r w:rsidR="00D5776B" w:rsidRPr="00C31F12">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32"/>
        <w:gridCol w:w="753"/>
        <w:gridCol w:w="1630"/>
        <w:gridCol w:w="1630"/>
        <w:gridCol w:w="1630"/>
        <w:gridCol w:w="1630"/>
      </w:tblGrid>
      <w:tr w:rsidR="00C31F12" w:rsidRPr="00C31F12" w:rsidTr="00357D7E">
        <w:trPr>
          <w:trHeight w:hRule="exact" w:val="340"/>
          <w:tblHeader/>
        </w:trPr>
        <w:tc>
          <w:tcPr>
            <w:tcW w:w="1985" w:type="dxa"/>
            <w:gridSpan w:val="2"/>
            <w:shd w:val="clear" w:color="auto" w:fill="auto"/>
            <w:vAlign w:val="center"/>
          </w:tcPr>
          <w:bookmarkEnd w:id="11"/>
          <w:p w:rsidR="004F35F8" w:rsidRPr="00C31F12" w:rsidRDefault="004F35F8" w:rsidP="00D5776B">
            <w:pPr>
              <w:pStyle w:val="142"/>
              <w:jc w:val="center"/>
              <w:rPr>
                <w:rFonts w:hAnsi="標楷體"/>
                <w:szCs w:val="24"/>
              </w:rPr>
            </w:pPr>
            <w:r w:rsidRPr="00C31F12">
              <w:rPr>
                <w:rFonts w:hAnsi="標楷體" w:hint="eastAsia"/>
                <w:szCs w:val="24"/>
              </w:rPr>
              <w:t>年度</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竹科</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中科</w:t>
            </w:r>
          </w:p>
        </w:tc>
        <w:tc>
          <w:tcPr>
            <w:tcW w:w="1630" w:type="dxa"/>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南科</w:t>
            </w:r>
          </w:p>
        </w:tc>
        <w:tc>
          <w:tcPr>
            <w:tcW w:w="1630" w:type="dxa"/>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合計</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108</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513</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145</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194</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852</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hint="eastAsia"/>
                <w:szCs w:val="24"/>
              </w:rPr>
            </w:pPr>
            <w:r w:rsidRPr="00C31F12">
              <w:rPr>
                <w:rFonts w:hAnsi="標楷體" w:hint="eastAsia"/>
                <w:szCs w:val="24"/>
              </w:rPr>
              <w:t>109</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532</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148</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205</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885</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110</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548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220</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919</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567</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153</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221</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941</w:t>
            </w:r>
          </w:p>
        </w:tc>
      </w:tr>
      <w:tr w:rsidR="00C31F12" w:rsidRPr="00C31F12" w:rsidTr="00D5776B">
        <w:trPr>
          <w:trHeight w:hRule="exact" w:val="340"/>
        </w:trPr>
        <w:tc>
          <w:tcPr>
            <w:tcW w:w="1985" w:type="dxa"/>
            <w:gridSpan w:val="2"/>
            <w:shd w:val="clear" w:color="auto" w:fill="auto"/>
            <w:vAlign w:val="center"/>
          </w:tcPr>
          <w:p w:rsidR="004F35F8" w:rsidRPr="00C31F12" w:rsidRDefault="004F35F8" w:rsidP="00D5776B">
            <w:pPr>
              <w:pStyle w:val="142"/>
              <w:jc w:val="center"/>
              <w:rPr>
                <w:rFonts w:hAnsi="標楷體"/>
                <w:szCs w:val="24"/>
              </w:rPr>
            </w:pPr>
            <w:r w:rsidRPr="00C31F12">
              <w:rPr>
                <w:rFonts w:hAnsi="標楷體" w:hint="eastAsia"/>
                <w:szCs w:val="24"/>
              </w:rPr>
              <w:t>112</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568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158</w:t>
            </w:r>
          </w:p>
        </w:tc>
        <w:tc>
          <w:tcPr>
            <w:tcW w:w="1630" w:type="dxa"/>
            <w:shd w:val="clear" w:color="auto" w:fill="auto"/>
            <w:vAlign w:val="center"/>
          </w:tcPr>
          <w:p w:rsidR="004F35F8" w:rsidRPr="00C31F12" w:rsidRDefault="004F35F8" w:rsidP="00D5776B">
            <w:pPr>
              <w:pStyle w:val="142"/>
              <w:jc w:val="right"/>
              <w:rPr>
                <w:rFonts w:hAnsi="標楷體"/>
                <w:szCs w:val="24"/>
              </w:rPr>
            </w:pPr>
            <w:r w:rsidRPr="00C31F12">
              <w:rPr>
                <w:rFonts w:hAnsi="標楷體" w:hint="eastAsia"/>
                <w:szCs w:val="24"/>
              </w:rPr>
              <w:t>223</w:t>
            </w:r>
          </w:p>
        </w:tc>
        <w:tc>
          <w:tcPr>
            <w:tcW w:w="1630" w:type="dxa"/>
            <w:shd w:val="clear" w:color="auto" w:fill="auto"/>
            <w:vAlign w:val="center"/>
          </w:tcPr>
          <w:p w:rsidR="004F35F8" w:rsidRPr="00C31F12" w:rsidRDefault="004F35F8" w:rsidP="00D5776B">
            <w:pPr>
              <w:pStyle w:val="142"/>
              <w:jc w:val="right"/>
              <w:rPr>
                <w:rFonts w:hAnsi="標楷體" w:hint="eastAsia"/>
                <w:szCs w:val="24"/>
              </w:rPr>
            </w:pPr>
            <w:r w:rsidRPr="00C31F12">
              <w:rPr>
                <w:rFonts w:hAnsi="標楷體" w:hint="eastAsia"/>
                <w:szCs w:val="24"/>
              </w:rPr>
              <w:t>949</w:t>
            </w:r>
          </w:p>
        </w:tc>
      </w:tr>
      <w:tr w:rsidR="00C31F12" w:rsidRPr="00C31F12" w:rsidTr="00D5776B">
        <w:trPr>
          <w:trHeight w:hRule="exact" w:val="340"/>
        </w:trPr>
        <w:tc>
          <w:tcPr>
            <w:tcW w:w="1232" w:type="dxa"/>
            <w:vMerge w:val="restart"/>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112較108增加</w:t>
            </w:r>
          </w:p>
        </w:tc>
        <w:tc>
          <w:tcPr>
            <w:tcW w:w="753" w:type="dxa"/>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家數</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55</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13</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29</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97</w:t>
            </w:r>
          </w:p>
        </w:tc>
      </w:tr>
      <w:tr w:rsidR="00C31F12" w:rsidRPr="00C31F12" w:rsidTr="00D5776B">
        <w:trPr>
          <w:trHeight w:hRule="exact" w:val="340"/>
        </w:trPr>
        <w:tc>
          <w:tcPr>
            <w:tcW w:w="1232" w:type="dxa"/>
            <w:vMerge/>
            <w:shd w:val="clear" w:color="auto" w:fill="auto"/>
            <w:vAlign w:val="center"/>
          </w:tcPr>
          <w:p w:rsidR="00D5776B" w:rsidRPr="00C31F12" w:rsidRDefault="00D5776B" w:rsidP="00D5776B">
            <w:pPr>
              <w:pStyle w:val="142"/>
              <w:jc w:val="center"/>
              <w:rPr>
                <w:rFonts w:hAnsi="標楷體" w:hint="eastAsia"/>
                <w:szCs w:val="24"/>
              </w:rPr>
            </w:pPr>
          </w:p>
        </w:tc>
        <w:tc>
          <w:tcPr>
            <w:tcW w:w="753" w:type="dxa"/>
            <w:shd w:val="clear" w:color="auto" w:fill="auto"/>
            <w:vAlign w:val="center"/>
          </w:tcPr>
          <w:p w:rsidR="00D5776B" w:rsidRPr="00C31F12" w:rsidRDefault="00D5776B" w:rsidP="00D5776B">
            <w:pPr>
              <w:pStyle w:val="142"/>
              <w:jc w:val="center"/>
              <w:rPr>
                <w:rFonts w:hAnsi="標楷體" w:hint="eastAsia"/>
                <w:szCs w:val="24"/>
              </w:rPr>
            </w:pPr>
            <w:r w:rsidRPr="00C31F12">
              <w:rPr>
                <w:rFonts w:hAnsi="標楷體" w:hint="eastAsia"/>
                <w:szCs w:val="24"/>
              </w:rPr>
              <w:t>比率</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10.72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8.97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14.95 </w:t>
            </w:r>
          </w:p>
        </w:tc>
        <w:tc>
          <w:tcPr>
            <w:tcW w:w="1630" w:type="dxa"/>
            <w:shd w:val="clear" w:color="auto" w:fill="auto"/>
            <w:vAlign w:val="center"/>
          </w:tcPr>
          <w:p w:rsidR="00D5776B" w:rsidRPr="00C31F12" w:rsidRDefault="00D5776B" w:rsidP="00D5776B">
            <w:pPr>
              <w:pStyle w:val="142"/>
              <w:jc w:val="right"/>
              <w:rPr>
                <w:rFonts w:hAnsi="標楷體" w:hint="eastAsia"/>
                <w:szCs w:val="24"/>
              </w:rPr>
            </w:pPr>
            <w:r w:rsidRPr="00C31F12">
              <w:rPr>
                <w:rFonts w:hAnsi="標楷體" w:hint="eastAsia"/>
              </w:rPr>
              <w:t xml:space="preserve">11.38 </w:t>
            </w:r>
          </w:p>
        </w:tc>
      </w:tr>
    </w:tbl>
    <w:p w:rsidR="004F35F8" w:rsidRPr="00C31F12" w:rsidRDefault="004F35F8" w:rsidP="004F35F8">
      <w:pPr>
        <w:pStyle w:val="142"/>
        <w:rPr>
          <w:rFonts w:hAnsi="標楷體"/>
        </w:rPr>
      </w:pPr>
      <w:r w:rsidRPr="00C31F12">
        <w:rPr>
          <w:rFonts w:hAnsi="標楷體" w:hint="eastAsia"/>
        </w:rPr>
        <w:t>資料來源：整理自國科會統計資料庫</w:t>
      </w:r>
      <w:r w:rsidRPr="00C31F12">
        <w:rPr>
          <w:rFonts w:hAnsi="標楷體"/>
        </w:rPr>
        <w:t>網站</w:t>
      </w:r>
      <w:r w:rsidRPr="00C31F12">
        <w:rPr>
          <w:rFonts w:hAnsi="標楷體" w:hint="eastAsia"/>
        </w:rPr>
        <w:t>。</w:t>
      </w:r>
    </w:p>
    <w:p w:rsidR="004F35F8" w:rsidRPr="00C31F12" w:rsidRDefault="004F35F8" w:rsidP="004F35F8">
      <w:pPr>
        <w:pStyle w:val="a4"/>
        <w:ind w:left="849" w:hanging="283"/>
        <w:rPr>
          <w:rFonts w:hAnsi="標楷體" w:cs="細明體"/>
          <w:b/>
        </w:rPr>
      </w:pPr>
      <w:r w:rsidRPr="00C31F12">
        <w:rPr>
          <w:rFonts w:hAnsi="標楷體" w:hint="eastAsia"/>
          <w:b/>
        </w:rPr>
        <w:t>(二</w:t>
      </w:r>
      <w:r w:rsidRPr="00C31F12">
        <w:rPr>
          <w:rFonts w:hAnsi="標楷體" w:cs="細明體" w:hint="eastAsia"/>
          <w:b/>
        </w:rPr>
        <w:t>)科學園區整體從業人數及營業額</w:t>
      </w:r>
      <w:r w:rsidR="005F6185">
        <w:rPr>
          <w:rFonts w:hAnsi="標楷體" w:cs="細明體" w:hint="eastAsia"/>
          <w:b/>
        </w:rPr>
        <w:t>概呈</w:t>
      </w:r>
      <w:r w:rsidRPr="00C31F12">
        <w:rPr>
          <w:rFonts w:hAnsi="標楷體" w:cs="細明體" w:hint="eastAsia"/>
          <w:b/>
        </w:rPr>
        <w:t>增加</w:t>
      </w:r>
      <w:r w:rsidR="005F6185">
        <w:rPr>
          <w:rFonts w:hAnsi="標楷體" w:cs="細明體" w:hint="eastAsia"/>
          <w:b/>
        </w:rPr>
        <w:t>趨勢</w:t>
      </w:r>
      <w:r w:rsidRPr="00C31F12">
        <w:rPr>
          <w:rFonts w:hAnsi="標楷體" w:cs="細明體" w:hint="eastAsia"/>
          <w:b/>
        </w:rPr>
        <w:t>，惟112年度竹科及中科廠商營業額微幅下滑1至2成，致人均營業額增幅低於南科，允宜持續輔導廠商提升營運量能</w:t>
      </w:r>
    </w:p>
    <w:p w:rsidR="00FB6145" w:rsidRDefault="004F35F8" w:rsidP="004F35F8">
      <w:pPr>
        <w:ind w:leftChars="300" w:left="850" w:firstLine="566"/>
        <w:rPr>
          <w:rFonts w:hAnsi="標楷體"/>
        </w:rPr>
      </w:pPr>
      <w:r w:rsidRPr="00C31F12">
        <w:rPr>
          <w:rFonts w:hint="eastAsia"/>
        </w:rPr>
        <w:t>依國科會官網統計資料庫顯示，3</w:t>
      </w:r>
      <w:r w:rsidR="00FB6145">
        <w:rPr>
          <w:rFonts w:hint="eastAsia"/>
        </w:rPr>
        <w:t>個</w:t>
      </w:r>
      <w:r w:rsidRPr="00C31F12">
        <w:rPr>
          <w:rFonts w:hint="eastAsia"/>
        </w:rPr>
        <w:t>科學園區整體從業人數均呈逐年成長</w:t>
      </w:r>
      <w:r w:rsidRPr="00C31F12">
        <w:rPr>
          <w:rFonts w:hAnsi="標楷體" w:hint="eastAsia"/>
        </w:rPr>
        <w:t>，總人數自108年度28萬48人增加至112年度32萬2</w:t>
      </w:r>
      <w:r w:rsidRPr="00C31F12">
        <w:rPr>
          <w:rFonts w:hAnsi="標楷體"/>
        </w:rPr>
        <w:t>,</w:t>
      </w:r>
      <w:r w:rsidRPr="00C31F12">
        <w:rPr>
          <w:rFonts w:hAnsi="標楷體" w:hint="eastAsia"/>
        </w:rPr>
        <w:t>936人，增加4萬2</w:t>
      </w:r>
      <w:r w:rsidRPr="00C31F12">
        <w:rPr>
          <w:rFonts w:hAnsi="標楷體"/>
        </w:rPr>
        <w:t>,</w:t>
      </w:r>
      <w:r w:rsidRPr="00C31F12">
        <w:rPr>
          <w:rFonts w:hAnsi="標楷體" w:hint="eastAsia"/>
        </w:rPr>
        <w:t>888人(增幅15.31%</w:t>
      </w:r>
      <w:r w:rsidRPr="00C31F12">
        <w:rPr>
          <w:rFonts w:hAnsi="標楷體"/>
        </w:rPr>
        <w:t>)</w:t>
      </w:r>
      <w:r w:rsidRPr="00C31F12">
        <w:rPr>
          <w:rFonts w:hAnsi="標楷體" w:hint="eastAsia"/>
        </w:rPr>
        <w:t>，其中就業人數以竹科增</w:t>
      </w:r>
      <w:r w:rsidRPr="00C31F12">
        <w:rPr>
          <w:rFonts w:hint="eastAsia"/>
        </w:rPr>
        <w:t>加2</w:t>
      </w:r>
      <w:r w:rsidRPr="00C31F12">
        <w:t>萬</w:t>
      </w:r>
      <w:r w:rsidRPr="00C31F12">
        <w:rPr>
          <w:rFonts w:hint="eastAsia"/>
        </w:rPr>
        <w:t>3</w:t>
      </w:r>
      <w:r w:rsidRPr="00C31F12">
        <w:t>,</w:t>
      </w:r>
      <w:r w:rsidRPr="00C31F12">
        <w:rPr>
          <w:rFonts w:hint="eastAsia"/>
        </w:rPr>
        <w:t>466人最多，另增幅以南科成長19.9%最多。廠商營業額自108年度2兆6,321億元成長至112年度</w:t>
      </w:r>
      <w:r w:rsidRPr="00C31F12">
        <w:t>3兆9,439億</w:t>
      </w:r>
      <w:r w:rsidRPr="00C31F12">
        <w:rPr>
          <w:rFonts w:hint="eastAsia"/>
        </w:rPr>
        <w:t>元</w:t>
      </w:r>
      <w:r w:rsidRPr="00C31F12">
        <w:rPr>
          <w:rFonts w:hAnsi="標楷體" w:hint="eastAsia"/>
        </w:rPr>
        <w:t>，增加1兆3,118億元(增幅49.84%</w:t>
      </w:r>
      <w:r w:rsidRPr="00C31F12">
        <w:rPr>
          <w:rFonts w:hAnsi="標楷體"/>
        </w:rPr>
        <w:t>)</w:t>
      </w:r>
      <w:r w:rsidRPr="00C31F12">
        <w:rPr>
          <w:rFonts w:hAnsi="標楷體" w:hint="eastAsia"/>
        </w:rPr>
        <w:t>，同時期南科廠商營業額逐年成長增加8</w:t>
      </w:r>
      <w:r w:rsidRPr="00C31F12">
        <w:rPr>
          <w:rFonts w:hAnsi="標楷體"/>
        </w:rPr>
        <w:t>,</w:t>
      </w:r>
      <w:r w:rsidRPr="00C31F12">
        <w:rPr>
          <w:rFonts w:hAnsi="標楷體" w:hint="eastAsia"/>
        </w:rPr>
        <w:t>42</w:t>
      </w:r>
      <w:r w:rsidR="003027D2">
        <w:rPr>
          <w:rFonts w:hAnsi="標楷體" w:hint="eastAsia"/>
        </w:rPr>
        <w:t>3</w:t>
      </w:r>
      <w:r w:rsidRPr="00C31F12">
        <w:rPr>
          <w:rFonts w:hAnsi="標楷體" w:hint="eastAsia"/>
        </w:rPr>
        <w:t>億元(增幅113.32%)，</w:t>
      </w:r>
      <w:r w:rsidR="00FB6145">
        <w:rPr>
          <w:rFonts w:hAnsi="標楷體" w:hint="eastAsia"/>
        </w:rPr>
        <w:t>而</w:t>
      </w:r>
      <w:r w:rsidRPr="00C31F12">
        <w:rPr>
          <w:rFonts w:hAnsi="標楷體" w:hint="eastAsia"/>
        </w:rPr>
        <w:t>竹科及中科108至111年度間雖呈成長趨勢，惟112年度</w:t>
      </w:r>
      <w:r w:rsidR="00653C95" w:rsidRPr="00653C95">
        <w:rPr>
          <w:rFonts w:hAnsi="標楷體" w:hint="eastAsia"/>
          <w:bCs/>
        </w:rPr>
        <w:t>廠商</w:t>
      </w:r>
      <w:r w:rsidRPr="00C31F12">
        <w:rPr>
          <w:rFonts w:hAnsi="標楷體" w:hint="eastAsia"/>
        </w:rPr>
        <w:t>營業額卻</w:t>
      </w:r>
      <w:r w:rsidR="00FB6145">
        <w:rPr>
          <w:rFonts w:hAnsi="標楷體" w:hint="eastAsia"/>
        </w:rPr>
        <w:t>較111年度</w:t>
      </w:r>
      <w:r w:rsidRPr="00C31F12">
        <w:rPr>
          <w:rFonts w:hAnsi="標楷體" w:hint="eastAsia"/>
        </w:rPr>
        <w:t>下滑，</w:t>
      </w:r>
      <w:r w:rsidR="00FB6145">
        <w:rPr>
          <w:rFonts w:hAnsi="標楷體" w:hint="eastAsia"/>
        </w:rPr>
        <w:t>分別</w:t>
      </w:r>
      <w:r w:rsidRPr="00C31F12">
        <w:rPr>
          <w:rFonts w:hAnsi="標楷體" w:hint="eastAsia"/>
        </w:rPr>
        <w:t>減少1</w:t>
      </w:r>
      <w:r w:rsidRPr="00C31F12">
        <w:rPr>
          <w:rFonts w:hAnsi="標楷體"/>
        </w:rPr>
        <w:t>,</w:t>
      </w:r>
      <w:r w:rsidRPr="00C31F12">
        <w:rPr>
          <w:rFonts w:hAnsi="標楷體" w:hint="eastAsia"/>
        </w:rPr>
        <w:t>932億元(減幅11.98%)</w:t>
      </w:r>
      <w:r w:rsidR="00FB6145">
        <w:rPr>
          <w:rFonts w:hAnsi="標楷體" w:hint="eastAsia"/>
        </w:rPr>
        <w:t>及</w:t>
      </w:r>
      <w:r w:rsidRPr="00C31F12">
        <w:rPr>
          <w:rFonts w:hAnsi="標楷體" w:hint="eastAsia"/>
        </w:rPr>
        <w:t>2</w:t>
      </w:r>
      <w:r w:rsidRPr="00C31F12">
        <w:rPr>
          <w:rFonts w:hAnsi="標楷體"/>
        </w:rPr>
        <w:t>,</w:t>
      </w:r>
      <w:r w:rsidRPr="00C31F12">
        <w:rPr>
          <w:rFonts w:hAnsi="標楷體" w:hint="eastAsia"/>
        </w:rPr>
        <w:t>314億元(減幅19.78%)。</w:t>
      </w:r>
    </w:p>
    <w:p w:rsidR="004F35F8" w:rsidRPr="00C31F12" w:rsidRDefault="00FB6145" w:rsidP="004F35F8">
      <w:pPr>
        <w:ind w:leftChars="300" w:left="850" w:firstLine="566"/>
      </w:pPr>
      <w:r>
        <w:rPr>
          <w:rFonts w:hAnsi="標楷體" w:hint="eastAsia"/>
        </w:rPr>
        <w:t>復</w:t>
      </w:r>
      <w:r w:rsidR="004F35F8" w:rsidRPr="00C31F12">
        <w:rPr>
          <w:rFonts w:hAnsi="標楷體" w:hint="eastAsia"/>
        </w:rPr>
        <w:t>以每位從業人員貢獻之平均營業額比較，竹科</w:t>
      </w:r>
      <w:r>
        <w:rPr>
          <w:rFonts w:hAnsi="標楷體" w:hint="eastAsia"/>
        </w:rPr>
        <w:t>自</w:t>
      </w:r>
      <w:r w:rsidR="004F35F8" w:rsidRPr="00C31F12">
        <w:rPr>
          <w:rFonts w:hAnsi="標楷體" w:hint="eastAsia"/>
        </w:rPr>
        <w:t>108年</w:t>
      </w:r>
      <w:r w:rsidR="004F35F8" w:rsidRPr="00C31F12">
        <w:rPr>
          <w:rFonts w:hAnsi="標楷體" w:hint="eastAsia"/>
        </w:rPr>
        <w:lastRenderedPageBreak/>
        <w:t>度717萬元成長至110年度964萬元再下滑至112年度808萬元，中科自108年度1</w:t>
      </w:r>
      <w:r w:rsidR="004F35F8" w:rsidRPr="00C31F12">
        <w:rPr>
          <w:rFonts w:hAnsi="標楷體"/>
        </w:rPr>
        <w:t>,</w:t>
      </w:r>
      <w:r w:rsidR="004F35F8" w:rsidRPr="00C31F12">
        <w:rPr>
          <w:rFonts w:hAnsi="標楷體" w:hint="eastAsia"/>
        </w:rPr>
        <w:t>569萬元成長至111年2</w:t>
      </w:r>
      <w:r w:rsidR="004F35F8" w:rsidRPr="00C31F12">
        <w:rPr>
          <w:rFonts w:hAnsi="標楷體"/>
        </w:rPr>
        <w:t>,</w:t>
      </w:r>
      <w:r w:rsidR="004F35F8" w:rsidRPr="00C31F12">
        <w:rPr>
          <w:rFonts w:hAnsi="標楷體" w:hint="eastAsia"/>
        </w:rPr>
        <w:t>116萬元再下滑至112年度1</w:t>
      </w:r>
      <w:r w:rsidR="004F35F8" w:rsidRPr="00C31F12">
        <w:rPr>
          <w:rFonts w:hAnsi="標楷體"/>
        </w:rPr>
        <w:t>,</w:t>
      </w:r>
      <w:r w:rsidR="004F35F8" w:rsidRPr="00C31F12">
        <w:rPr>
          <w:rFonts w:hAnsi="標楷體" w:hint="eastAsia"/>
        </w:rPr>
        <w:t>708萬元，而南科</w:t>
      </w:r>
      <w:r>
        <w:rPr>
          <w:rFonts w:hAnsi="標楷體" w:hint="eastAsia"/>
        </w:rPr>
        <w:t>則</w:t>
      </w:r>
      <w:r w:rsidR="004F35F8" w:rsidRPr="00C31F12">
        <w:rPr>
          <w:rFonts w:hAnsi="標楷體" w:hint="eastAsia"/>
        </w:rPr>
        <w:t>自108年度965萬元</w:t>
      </w:r>
      <w:r w:rsidR="00657969" w:rsidRPr="00C31F12">
        <w:rPr>
          <w:rFonts w:hAnsi="標楷體" w:hint="eastAsia"/>
        </w:rPr>
        <w:t>逐年成長</w:t>
      </w:r>
      <w:r w:rsidR="004F35F8" w:rsidRPr="00C31F12">
        <w:rPr>
          <w:rFonts w:hAnsi="標楷體" w:hint="eastAsia"/>
        </w:rPr>
        <w:t>至112年度1</w:t>
      </w:r>
      <w:r w:rsidR="004F35F8" w:rsidRPr="00C31F12">
        <w:rPr>
          <w:rFonts w:hAnsi="標楷體"/>
        </w:rPr>
        <w:t>,</w:t>
      </w:r>
      <w:r w:rsidR="004F35F8" w:rsidRPr="00C31F12">
        <w:rPr>
          <w:rFonts w:hAnsi="標楷體" w:hint="eastAsia"/>
        </w:rPr>
        <w:t>718萬元，累積成長幅度77.92%，</w:t>
      </w:r>
      <w:r w:rsidR="004A1932">
        <w:rPr>
          <w:rFonts w:hAnsi="標楷體" w:hint="eastAsia"/>
        </w:rPr>
        <w:t>同時期</w:t>
      </w:r>
      <w:r w:rsidR="004F35F8" w:rsidRPr="00C31F12">
        <w:rPr>
          <w:rFonts w:hAnsi="標楷體" w:hint="eastAsia"/>
        </w:rPr>
        <w:t>竹科及中科僅成長12.72%及8.87%</w:t>
      </w:r>
      <w:r w:rsidR="004F35F8" w:rsidRPr="00C31F12">
        <w:rPr>
          <w:rFonts w:hint="eastAsia"/>
        </w:rPr>
        <w:t>(詳表2</w:t>
      </w:r>
      <w:r w:rsidR="004F35F8" w:rsidRPr="00C31F12">
        <w:t>)</w:t>
      </w:r>
      <w:r w:rsidR="004F35F8" w:rsidRPr="00C31F12">
        <w:rPr>
          <w:rFonts w:hAnsi="標楷體" w:hint="eastAsia"/>
        </w:rPr>
        <w:t>。鑒於</w:t>
      </w:r>
      <w:r w:rsidR="004F35F8" w:rsidRPr="00C31F12">
        <w:rPr>
          <w:rFonts w:hAnsi="標楷體" w:cs="細明體" w:hint="eastAsia"/>
          <w:bCs/>
        </w:rPr>
        <w:t>1</w:t>
      </w:r>
      <w:r w:rsidR="004F35F8" w:rsidRPr="00C31F12">
        <w:rPr>
          <w:rFonts w:hAnsi="標楷體" w:cs="細明體"/>
          <w:bCs/>
        </w:rPr>
        <w:t>08</w:t>
      </w:r>
      <w:r w:rsidR="004F35F8" w:rsidRPr="00C31F12">
        <w:rPr>
          <w:rFonts w:hAnsi="標楷體" w:cs="細明體" w:hint="eastAsia"/>
          <w:bCs/>
        </w:rPr>
        <w:t>至112年度科學園區整體從業人數</w:t>
      </w:r>
      <w:r w:rsidR="00231C19" w:rsidRPr="00C31F12">
        <w:rPr>
          <w:rFonts w:hAnsi="標楷體" w:cs="細明體" w:hint="eastAsia"/>
          <w:bCs/>
        </w:rPr>
        <w:t>增加4萬餘人，同時期</w:t>
      </w:r>
      <w:r w:rsidR="00653C95" w:rsidRPr="00653C95">
        <w:rPr>
          <w:rFonts w:hAnsi="標楷體" w:cs="細明體" w:hint="eastAsia"/>
          <w:bCs/>
        </w:rPr>
        <w:t>廠商</w:t>
      </w:r>
      <w:r w:rsidR="004F35F8" w:rsidRPr="00C31F12">
        <w:rPr>
          <w:rFonts w:hAnsi="標楷體" w:cs="細明體" w:hint="eastAsia"/>
          <w:bCs/>
        </w:rPr>
        <w:t>營業額增加</w:t>
      </w:r>
      <w:r w:rsidR="00231C19" w:rsidRPr="00C31F12">
        <w:rPr>
          <w:rFonts w:hAnsi="標楷體" w:cs="細明體" w:hint="eastAsia"/>
          <w:bCs/>
        </w:rPr>
        <w:t>1兆3</w:t>
      </w:r>
      <w:r w:rsidR="00C31F12">
        <w:rPr>
          <w:rFonts w:hAnsi="標楷體" w:cs="細明體" w:hint="eastAsia"/>
          <w:bCs/>
        </w:rPr>
        <w:t>,</w:t>
      </w:r>
      <w:r w:rsidR="00231C19" w:rsidRPr="00C31F12">
        <w:rPr>
          <w:rFonts w:hAnsi="標楷體" w:cs="細明體" w:hint="eastAsia"/>
          <w:bCs/>
        </w:rPr>
        <w:t>000億餘元</w:t>
      </w:r>
      <w:r w:rsidR="004F35F8" w:rsidRPr="00C31F12">
        <w:rPr>
          <w:rFonts w:hAnsi="標楷體" w:cs="細明體" w:hint="eastAsia"/>
          <w:bCs/>
        </w:rPr>
        <w:t>，惟112年度竹科及中科</w:t>
      </w:r>
      <w:bookmarkStart w:id="13" w:name="_Hlk184917127"/>
      <w:r w:rsidR="004F35F8" w:rsidRPr="00C31F12">
        <w:rPr>
          <w:rFonts w:hAnsi="標楷體" w:cs="細明體" w:hint="eastAsia"/>
          <w:bCs/>
        </w:rPr>
        <w:t>廠商</w:t>
      </w:r>
      <w:bookmarkEnd w:id="13"/>
      <w:r w:rsidR="004F35F8" w:rsidRPr="00C31F12">
        <w:rPr>
          <w:rFonts w:hAnsi="標楷體" w:cs="細明體" w:hint="eastAsia"/>
          <w:bCs/>
        </w:rPr>
        <w:t>營業額</w:t>
      </w:r>
      <w:r w:rsidR="00657969">
        <w:rPr>
          <w:rFonts w:hAnsi="標楷體" w:cs="細明體" w:hint="eastAsia"/>
          <w:bCs/>
        </w:rPr>
        <w:t>較111年度</w:t>
      </w:r>
      <w:r w:rsidR="004F35F8" w:rsidRPr="00C31F12">
        <w:rPr>
          <w:rFonts w:hAnsi="標楷體" w:cs="細明體" w:hint="eastAsia"/>
          <w:bCs/>
        </w:rPr>
        <w:t>微幅下滑，致人均營業額增幅低於南科，允宜持續輔導廠商提升營運量能</w:t>
      </w:r>
      <w:r w:rsidR="004F35F8" w:rsidRPr="00C31F12">
        <w:rPr>
          <w:rFonts w:hint="eastAsia"/>
        </w:rPr>
        <w:t>。</w:t>
      </w:r>
    </w:p>
    <w:p w:rsidR="004F35F8" w:rsidRPr="00C31F12" w:rsidRDefault="004F35F8" w:rsidP="004F35F8">
      <w:pPr>
        <w:ind w:left="566" w:firstLine="566"/>
        <w:rPr>
          <w:rFonts w:hint="eastAsia"/>
        </w:rPr>
      </w:pPr>
      <w:r w:rsidRPr="00C31F12">
        <w:rPr>
          <w:rFonts w:hint="eastAsia"/>
        </w:rPr>
        <w:t>綜上，</w:t>
      </w:r>
      <w:r w:rsidRPr="00C31F12">
        <w:rPr>
          <w:rFonts w:hAnsi="標楷體" w:cs="細明體" w:hint="eastAsia"/>
        </w:rPr>
        <w:t>科學園區持續開發以供廠商進駐營運，108至112年度增加近百家廠商進駐營運</w:t>
      </w:r>
      <w:r w:rsidRPr="00C31F12">
        <w:rPr>
          <w:rFonts w:hAnsi="標楷體" w:hint="eastAsia"/>
        </w:rPr>
        <w:t>，</w:t>
      </w:r>
      <w:r w:rsidRPr="00C31F12">
        <w:rPr>
          <w:rFonts w:hAnsi="標楷體" w:cs="細明體" w:hint="eastAsia"/>
        </w:rPr>
        <w:t>整體從業人數及</w:t>
      </w:r>
      <w:r w:rsidR="00653C95" w:rsidRPr="00653C95">
        <w:rPr>
          <w:rFonts w:hAnsi="標楷體" w:cs="細明體" w:hint="eastAsia"/>
          <w:bCs/>
        </w:rPr>
        <w:t>廠商</w:t>
      </w:r>
      <w:r w:rsidRPr="00C31F12">
        <w:rPr>
          <w:rFonts w:hAnsi="標楷體" w:cs="細明體" w:hint="eastAsia"/>
        </w:rPr>
        <w:t>營業額</w:t>
      </w:r>
      <w:r w:rsidR="004A1932">
        <w:rPr>
          <w:rFonts w:hAnsi="標楷體" w:cs="細明體" w:hint="eastAsia"/>
        </w:rPr>
        <w:t>概呈</w:t>
      </w:r>
      <w:r w:rsidRPr="00C31F12">
        <w:rPr>
          <w:rFonts w:hAnsi="標楷體" w:cs="細明體" w:hint="eastAsia"/>
        </w:rPr>
        <w:t>增加</w:t>
      </w:r>
      <w:r w:rsidR="004A1932">
        <w:rPr>
          <w:rFonts w:hAnsi="標楷體" w:cs="細明體" w:hint="eastAsia"/>
        </w:rPr>
        <w:t>趨勢</w:t>
      </w:r>
      <w:r w:rsidRPr="00C31F12">
        <w:rPr>
          <w:rFonts w:hAnsi="標楷體" w:cs="細明體" w:hint="eastAsia"/>
        </w:rPr>
        <w:t>，惟112年度竹科及中科</w:t>
      </w:r>
      <w:r w:rsidR="00653C95" w:rsidRPr="00653C95">
        <w:rPr>
          <w:rFonts w:hAnsi="標楷體" w:cs="細明體" w:hint="eastAsia"/>
          <w:bCs/>
        </w:rPr>
        <w:t>廠商</w:t>
      </w:r>
      <w:r w:rsidR="00657969">
        <w:rPr>
          <w:rFonts w:hAnsi="標楷體" w:cs="細明體" w:hint="eastAsia"/>
        </w:rPr>
        <w:t>營業額及</w:t>
      </w:r>
      <w:r w:rsidRPr="00C31F12">
        <w:rPr>
          <w:rFonts w:hAnsi="標楷體" w:cs="細明體" w:hint="eastAsia"/>
        </w:rPr>
        <w:t>人均營業額</w:t>
      </w:r>
      <w:r w:rsidR="00657969">
        <w:rPr>
          <w:rFonts w:hAnsi="標楷體" w:cs="細明體" w:hint="eastAsia"/>
        </w:rPr>
        <w:t>均下滑</w:t>
      </w:r>
      <w:r w:rsidRPr="00C31F12">
        <w:rPr>
          <w:rFonts w:hAnsi="標楷體" w:cs="細明體" w:hint="eastAsia"/>
        </w:rPr>
        <w:t>，允宜持續輔導廠商提升營運量能</w:t>
      </w:r>
      <w:r w:rsidRPr="00C31F12">
        <w:rPr>
          <w:rFonts w:hint="eastAsia"/>
        </w:rPr>
        <w:t>。</w:t>
      </w:r>
    </w:p>
    <w:p w:rsidR="004F35F8" w:rsidRPr="00C31F12" w:rsidRDefault="004F35F8" w:rsidP="004F35F8">
      <w:pPr>
        <w:ind w:leftChars="0" w:left="0" w:firstLineChars="0" w:firstLine="0"/>
        <w:rPr>
          <w:rFonts w:hAnsi="標楷體"/>
          <w:b/>
        </w:rPr>
      </w:pPr>
      <w:r w:rsidRPr="00C31F12">
        <w:rPr>
          <w:rFonts w:hAnsi="標楷體" w:hint="eastAsia"/>
          <w:b/>
        </w:rPr>
        <w:t>表2</w:t>
      </w:r>
      <w:r w:rsidRPr="00C31F12">
        <w:rPr>
          <w:rFonts w:hAnsi="標楷體"/>
          <w:b/>
        </w:rPr>
        <w:t xml:space="preserve">  </w:t>
      </w:r>
      <w:r w:rsidRPr="00C31F12">
        <w:rPr>
          <w:rFonts w:hAnsi="標楷體" w:hint="eastAsia"/>
          <w:b/>
        </w:rPr>
        <w:t>108至1</w:t>
      </w:r>
      <w:r w:rsidRPr="00C31F12">
        <w:rPr>
          <w:rFonts w:hAnsi="標楷體"/>
          <w:b/>
        </w:rPr>
        <w:t>1</w:t>
      </w:r>
      <w:r w:rsidRPr="00C31F12">
        <w:rPr>
          <w:rFonts w:hAnsi="標楷體" w:hint="eastAsia"/>
          <w:b/>
        </w:rPr>
        <w:t>2年度科學園區</w:t>
      </w:r>
      <w:r w:rsidR="00653C95" w:rsidRPr="00653C95">
        <w:rPr>
          <w:rFonts w:hAnsi="標楷體" w:hint="eastAsia"/>
          <w:b/>
          <w:bCs/>
        </w:rPr>
        <w:t>廠商</w:t>
      </w:r>
      <w:r w:rsidRPr="00C31F12">
        <w:rPr>
          <w:rFonts w:hAnsi="標楷體" w:hint="eastAsia"/>
          <w:b/>
        </w:rPr>
        <w:t>營業額及從業人員概況表</w:t>
      </w:r>
    </w:p>
    <w:p w:rsidR="004F35F8" w:rsidRPr="00C31F12" w:rsidRDefault="004F35F8" w:rsidP="004F35F8">
      <w:pPr>
        <w:pStyle w:val="142"/>
        <w:jc w:val="right"/>
        <w:rPr>
          <w:rFonts w:hint="eastAsia"/>
        </w:rPr>
      </w:pPr>
      <w:r w:rsidRPr="00C31F12">
        <w:rPr>
          <w:rFonts w:hint="eastAsia"/>
        </w:rPr>
        <w:t>單位：新</w:t>
      </w:r>
      <w:r w:rsidR="006173C3">
        <w:rPr>
          <w:rFonts w:hint="eastAsia"/>
        </w:rPr>
        <w:t>臺</w:t>
      </w:r>
      <w:r w:rsidRPr="00C31F12">
        <w:rPr>
          <w:rFonts w:hint="eastAsia"/>
        </w:rPr>
        <w:t>幣億元</w:t>
      </w:r>
      <w:r w:rsidRPr="00C31F12">
        <w:rPr>
          <w:rFonts w:hAnsi="標楷體" w:hint="eastAsia"/>
        </w:rPr>
        <w:t>；</w:t>
      </w:r>
      <w:r w:rsidRPr="00C31F12">
        <w:rPr>
          <w:rFonts w:hint="eastAsia"/>
        </w:rPr>
        <w:t>人</w:t>
      </w:r>
      <w:r w:rsidR="00FB6145">
        <w:rPr>
          <w:rFonts w:hAnsi="標楷體" w:hint="eastAsia"/>
        </w:rPr>
        <w:t>；</w:t>
      </w:r>
      <w:r w:rsidR="00FB6145">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1652"/>
        <w:gridCol w:w="1074"/>
        <w:gridCol w:w="1075"/>
        <w:gridCol w:w="1074"/>
        <w:gridCol w:w="1075"/>
        <w:gridCol w:w="1074"/>
        <w:gridCol w:w="1075"/>
      </w:tblGrid>
      <w:tr w:rsidR="00C31F12" w:rsidRPr="00C31F12" w:rsidTr="00AC53AA">
        <w:trPr>
          <w:trHeight w:val="340"/>
          <w:tblHeader/>
        </w:trPr>
        <w:tc>
          <w:tcPr>
            <w:tcW w:w="406"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園區</w:t>
            </w:r>
          </w:p>
        </w:tc>
        <w:tc>
          <w:tcPr>
            <w:tcW w:w="1652" w:type="dxa"/>
            <w:tcBorders>
              <w:top w:val="single" w:sz="12" w:space="0" w:color="auto"/>
              <w:bottom w:val="single" w:sz="6" w:space="0" w:color="auto"/>
              <w:tl2br w:val="single" w:sz="6" w:space="0" w:color="auto"/>
            </w:tcBorders>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年度</w:t>
            </w:r>
          </w:p>
          <w:p w:rsidR="004F35F8" w:rsidRPr="00C31F12" w:rsidRDefault="004F35F8" w:rsidP="001E0CF2">
            <w:pPr>
              <w:pStyle w:val="142"/>
              <w:ind w:leftChars="-20" w:left="-57" w:rightChars="-20" w:right="-57"/>
              <w:rPr>
                <w:rFonts w:hAnsi="標楷體" w:hint="eastAsia"/>
                <w:spacing w:val="-20"/>
                <w:szCs w:val="24"/>
              </w:rPr>
            </w:pPr>
            <w:r w:rsidRPr="00C31F12">
              <w:rPr>
                <w:rFonts w:hAnsi="標楷體" w:hint="eastAsia"/>
                <w:spacing w:val="-20"/>
                <w:szCs w:val="24"/>
              </w:rPr>
              <w:t>項目</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108</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109</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110</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111</w:t>
            </w:r>
          </w:p>
        </w:tc>
        <w:tc>
          <w:tcPr>
            <w:tcW w:w="1074"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112</w:t>
            </w:r>
          </w:p>
        </w:tc>
        <w:tc>
          <w:tcPr>
            <w:tcW w:w="1075" w:type="dxa"/>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1</w:t>
            </w:r>
            <w:r w:rsidRPr="00C31F12">
              <w:rPr>
                <w:rFonts w:hAnsi="標楷體"/>
                <w:spacing w:val="-20"/>
                <w:szCs w:val="24"/>
              </w:rPr>
              <w:t>12</w:t>
            </w:r>
            <w:r w:rsidRPr="00C31F12">
              <w:rPr>
                <w:rFonts w:hAnsi="標楷體" w:hint="eastAsia"/>
                <w:spacing w:val="-20"/>
                <w:szCs w:val="24"/>
              </w:rPr>
              <w:t>較108成長率</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spacing w:val="-20"/>
                <w:szCs w:val="24"/>
              </w:rPr>
              <w:t>竹科</w:t>
            </w:r>
          </w:p>
        </w:tc>
        <w:tc>
          <w:tcPr>
            <w:tcW w:w="1652" w:type="dxa"/>
            <w:tcBorders>
              <w:top w:val="single" w:sz="6" w:space="0" w:color="auto"/>
            </w:tcBorders>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A)</w:t>
            </w:r>
          </w:p>
        </w:tc>
        <w:tc>
          <w:tcPr>
            <w:tcW w:w="1074"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10,916.46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12,439.15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15,879.72</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16,132.55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14,200.53</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30.08</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B)</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152,250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156,389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164,784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175,217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175,696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15.40</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A/B)</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0.0717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0.0795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0.0964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0.0921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0.0808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12.72</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中</w:t>
            </w:r>
            <w:r w:rsidRPr="00C31F12">
              <w:rPr>
                <w:rFonts w:hAnsi="標楷體"/>
                <w:spacing w:val="-20"/>
                <w:szCs w:val="24"/>
              </w:rPr>
              <w:t>科</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C)</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7,972.32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9,359.79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10,352.32</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11,698.11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9,383.96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17.71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D)</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50,817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51,827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52,888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55,295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54,940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8.11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C/D)</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0.1569</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0.1806</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0.1957</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0.2116</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0.1708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8.87</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南</w:t>
            </w:r>
            <w:r w:rsidRPr="00C31F12">
              <w:rPr>
                <w:rFonts w:hAnsi="標楷體"/>
                <w:spacing w:val="-20"/>
                <w:szCs w:val="24"/>
              </w:rPr>
              <w:t>科</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w:t>
            </w:r>
            <w:r w:rsidR="004F35F8" w:rsidRPr="00C31F12">
              <w:rPr>
                <w:rFonts w:hAnsi="標楷體"/>
                <w:spacing w:val="-20"/>
                <w:szCs w:val="24"/>
              </w:rPr>
              <w:t>E)</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7,432.36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8,477.31</w:t>
            </w:r>
          </w:p>
        </w:tc>
        <w:tc>
          <w:tcPr>
            <w:tcW w:w="1074"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10,948.84</w:t>
            </w:r>
          </w:p>
        </w:tc>
        <w:tc>
          <w:tcPr>
            <w:tcW w:w="1075" w:type="dxa"/>
            <w:shd w:val="clear" w:color="000000" w:fill="FFFFFF"/>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14,833.74</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cs="Arial"/>
                <w:spacing w:val="-20"/>
                <w:szCs w:val="24"/>
              </w:rPr>
              <w:t>15,855.00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113.32</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F)</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76,981</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80,021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84,050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92,601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92,300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19.90</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E/F)</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0.0965</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0.1059</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0.1303</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0.1602</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spacing w:val="-20"/>
                <w:szCs w:val="24"/>
              </w:rPr>
            </w:pPr>
            <w:r w:rsidRPr="00C31F12">
              <w:rPr>
                <w:rFonts w:hAnsi="標楷體" w:hint="eastAsia"/>
                <w:spacing w:val="-20"/>
                <w:szCs w:val="24"/>
              </w:rPr>
              <w:t>0.1718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77.92</w:t>
            </w:r>
          </w:p>
        </w:tc>
      </w:tr>
      <w:tr w:rsidR="00C31F12" w:rsidRPr="00C31F12" w:rsidTr="00AC53AA">
        <w:trPr>
          <w:trHeight w:val="340"/>
        </w:trPr>
        <w:tc>
          <w:tcPr>
            <w:tcW w:w="406" w:type="dxa"/>
            <w:vMerge w:val="restart"/>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r w:rsidRPr="00C31F12">
              <w:rPr>
                <w:rFonts w:hAnsi="標楷體" w:hint="eastAsia"/>
                <w:spacing w:val="-20"/>
                <w:szCs w:val="24"/>
              </w:rPr>
              <w:t>合計</w:t>
            </w:r>
          </w:p>
        </w:tc>
        <w:tc>
          <w:tcPr>
            <w:tcW w:w="1652" w:type="dxa"/>
            <w:shd w:val="clear" w:color="auto" w:fill="auto"/>
            <w:vAlign w:val="center"/>
          </w:tcPr>
          <w:p w:rsidR="004F35F8" w:rsidRPr="00C31F12" w:rsidRDefault="00653C95" w:rsidP="001E0CF2">
            <w:pPr>
              <w:pStyle w:val="142"/>
              <w:ind w:leftChars="-20" w:left="-57" w:rightChars="-20" w:right="-57"/>
              <w:jc w:val="both"/>
              <w:rPr>
                <w:rFonts w:hAnsi="標楷體" w:hint="eastAsia"/>
                <w:spacing w:val="-20"/>
                <w:szCs w:val="24"/>
              </w:rPr>
            </w:pPr>
            <w:r w:rsidRPr="00653C95">
              <w:rPr>
                <w:rFonts w:hAnsi="標楷體" w:hint="eastAsia"/>
                <w:bCs/>
                <w:spacing w:val="-20"/>
                <w:szCs w:val="24"/>
              </w:rPr>
              <w:t>廠商</w:t>
            </w:r>
            <w:r w:rsidR="004F35F8" w:rsidRPr="00C31F12">
              <w:rPr>
                <w:rFonts w:hAnsi="標楷體"/>
                <w:spacing w:val="-20"/>
                <w:szCs w:val="24"/>
              </w:rPr>
              <w:t>營業額</w:t>
            </w:r>
            <w:r w:rsidR="004F35F8" w:rsidRPr="00C31F12">
              <w:rPr>
                <w:rFonts w:hAnsi="標楷體" w:hint="eastAsia"/>
                <w:spacing w:val="-20"/>
                <w:szCs w:val="24"/>
              </w:rPr>
              <w:t>(G</w:t>
            </w:r>
            <w:r w:rsidR="004F35F8" w:rsidRPr="00C31F12">
              <w:rPr>
                <w:rFonts w:hAnsi="標楷體"/>
                <w:spacing w:val="-20"/>
                <w:szCs w:val="24"/>
              </w:rPr>
              <w:t>)</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26,321.14</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30,276.25</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37,180.88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42,664.41</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bookmarkStart w:id="14" w:name="_Hlk183528624"/>
            <w:r w:rsidRPr="00C31F12">
              <w:rPr>
                <w:rFonts w:hAnsi="標楷體" w:cs="Arial"/>
                <w:spacing w:val="-20"/>
                <w:szCs w:val="24"/>
              </w:rPr>
              <w:t>39,439.49</w:t>
            </w:r>
            <w:bookmarkEnd w:id="14"/>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49.84</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hint="eastAsia"/>
                <w:spacing w:val="-20"/>
                <w:szCs w:val="24"/>
              </w:rPr>
            </w:pPr>
            <w:r w:rsidRPr="00C31F12">
              <w:rPr>
                <w:rFonts w:hAnsi="標楷體"/>
                <w:spacing w:val="-20"/>
                <w:szCs w:val="24"/>
              </w:rPr>
              <w:t>從業人數</w:t>
            </w:r>
            <w:r w:rsidRPr="00C31F12">
              <w:rPr>
                <w:rFonts w:hAnsi="標楷體" w:hint="eastAsia"/>
                <w:spacing w:val="-20"/>
                <w:szCs w:val="24"/>
              </w:rPr>
              <w:t>(</w:t>
            </w:r>
            <w:r w:rsidRPr="00C31F12">
              <w:rPr>
                <w:rFonts w:hAnsi="標楷體"/>
                <w:spacing w:val="-20"/>
                <w:szCs w:val="24"/>
              </w:rPr>
              <w:t>H)</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280,048</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288,237</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301,722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323,113</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322,936</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15.31</w:t>
            </w:r>
          </w:p>
        </w:tc>
      </w:tr>
      <w:tr w:rsidR="00C31F12" w:rsidRPr="00C31F12" w:rsidTr="00AC53AA">
        <w:trPr>
          <w:trHeight w:val="340"/>
        </w:trPr>
        <w:tc>
          <w:tcPr>
            <w:tcW w:w="406" w:type="dxa"/>
            <w:vMerge/>
            <w:shd w:val="clear" w:color="auto" w:fill="auto"/>
            <w:vAlign w:val="center"/>
          </w:tcPr>
          <w:p w:rsidR="004F35F8" w:rsidRPr="00C31F12" w:rsidRDefault="004F35F8" w:rsidP="001E0CF2">
            <w:pPr>
              <w:pStyle w:val="142"/>
              <w:ind w:leftChars="-20" w:left="-57" w:rightChars="-20" w:right="-57"/>
              <w:jc w:val="center"/>
              <w:rPr>
                <w:rFonts w:hAnsi="標楷體"/>
                <w:spacing w:val="-20"/>
                <w:szCs w:val="24"/>
              </w:rPr>
            </w:pPr>
          </w:p>
        </w:tc>
        <w:tc>
          <w:tcPr>
            <w:tcW w:w="1652" w:type="dxa"/>
            <w:shd w:val="clear" w:color="auto" w:fill="auto"/>
            <w:vAlign w:val="center"/>
          </w:tcPr>
          <w:p w:rsidR="004F35F8" w:rsidRPr="00C31F12" w:rsidRDefault="004F35F8" w:rsidP="001E0CF2">
            <w:pPr>
              <w:pStyle w:val="142"/>
              <w:ind w:leftChars="-20" w:left="-57" w:rightChars="-20" w:right="-57"/>
              <w:jc w:val="both"/>
              <w:rPr>
                <w:rFonts w:hAnsi="標楷體" w:hint="eastAsia"/>
                <w:spacing w:val="-20"/>
                <w:szCs w:val="24"/>
              </w:rPr>
            </w:pPr>
            <w:r w:rsidRPr="00C31F12">
              <w:rPr>
                <w:rFonts w:hAnsi="標楷體" w:hint="eastAsia"/>
                <w:spacing w:val="-20"/>
                <w:szCs w:val="24"/>
              </w:rPr>
              <w:t>人</w:t>
            </w:r>
            <w:r w:rsidRPr="00C31F12">
              <w:rPr>
                <w:rFonts w:hAnsi="標楷體"/>
                <w:spacing w:val="-20"/>
                <w:szCs w:val="24"/>
              </w:rPr>
              <w:t>均營業額</w:t>
            </w:r>
            <w:r w:rsidRPr="00C31F12">
              <w:rPr>
                <w:rFonts w:hAnsi="標楷體" w:hint="eastAsia"/>
                <w:spacing w:val="-20"/>
                <w:szCs w:val="24"/>
              </w:rPr>
              <w:t>(</w:t>
            </w:r>
            <w:r w:rsidRPr="00C31F12">
              <w:rPr>
                <w:rFonts w:hAnsi="標楷體"/>
                <w:spacing w:val="-20"/>
                <w:szCs w:val="24"/>
              </w:rPr>
              <w:t>G/H)</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0.0940</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0.1050</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0.1232</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0.1320</w:t>
            </w:r>
          </w:p>
        </w:tc>
        <w:tc>
          <w:tcPr>
            <w:tcW w:w="1074"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0.1221</w:t>
            </w:r>
          </w:p>
        </w:tc>
        <w:tc>
          <w:tcPr>
            <w:tcW w:w="1075" w:type="dxa"/>
            <w:shd w:val="clear" w:color="auto" w:fill="auto"/>
            <w:vAlign w:val="center"/>
          </w:tcPr>
          <w:p w:rsidR="004F35F8" w:rsidRPr="00C31F12" w:rsidRDefault="004F35F8" w:rsidP="001E0CF2">
            <w:pPr>
              <w:pStyle w:val="142"/>
              <w:ind w:leftChars="-20" w:left="-57" w:rightChars="-20" w:right="-57"/>
              <w:jc w:val="right"/>
              <w:rPr>
                <w:rFonts w:hAnsi="標楷體" w:hint="eastAsia"/>
                <w:spacing w:val="-20"/>
                <w:szCs w:val="24"/>
              </w:rPr>
            </w:pPr>
            <w:r w:rsidRPr="00C31F12">
              <w:rPr>
                <w:rFonts w:hAnsi="標楷體" w:hint="eastAsia"/>
                <w:spacing w:val="-20"/>
                <w:szCs w:val="24"/>
              </w:rPr>
              <w:t>29.94</w:t>
            </w:r>
          </w:p>
        </w:tc>
      </w:tr>
    </w:tbl>
    <w:bookmarkEnd w:id="4"/>
    <w:bookmarkEnd w:id="5"/>
    <w:bookmarkEnd w:id="6"/>
    <w:bookmarkEnd w:id="9"/>
    <w:p w:rsidR="006F3F8D" w:rsidRPr="00C31F12" w:rsidRDefault="004F35F8" w:rsidP="00A36FA6">
      <w:pPr>
        <w:pStyle w:val="142"/>
        <w:rPr>
          <w:rFonts w:hAnsi="標楷體"/>
        </w:rPr>
      </w:pPr>
      <w:r w:rsidRPr="00C31F12">
        <w:rPr>
          <w:rFonts w:hint="eastAsia"/>
        </w:rPr>
        <w:t>資料來源：整理自國科會統計資料庫</w:t>
      </w:r>
      <w:r w:rsidRPr="00C31F12">
        <w:t>網站</w:t>
      </w:r>
      <w:r w:rsidRPr="00C31F12">
        <w:rPr>
          <w:rFonts w:hint="eastAsia"/>
        </w:rPr>
        <w:t>。</w:t>
      </w:r>
    </w:p>
    <w:sectPr w:rsidR="006F3F8D"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A36FA6" w:rsidRPr="00A36FA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6FA6"/>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1B9E9E-498D-4619-8F92-6D3FE4C7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E4A99-3070-4790-A589-DB5D0F4A8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407</Words>
  <Characters>2321</Characters>
  <Application>Microsoft Office Word</Application>
  <DocSecurity>0</DocSecurity>
  <Lines>19</Lines>
  <Paragraphs>5</Paragraphs>
  <ScaleCrop>false</ScaleCrop>
  <Company/>
  <LinksUpToDate>false</LinksUpToDate>
  <CharactersWithSpaces>2723</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2024-12-18T09:12:00Z</dcterms:created>
  <dcterms:modified xsi:type="dcterms:W3CDTF">2024-12-18T09:12:00Z</dcterms:modified>
</cp:coreProperties>
</file>