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bookmarkStart w:id="1" w:name="_GoBack"/>
      <w:bookmarkEnd w:id="1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AB78AB" w:rsidRDefault="00B12961" w:rsidP="00257667">
      <w:pPr>
        <w:pStyle w:val="14"/>
        <w:ind w:left="567" w:hanging="567"/>
        <w:rPr>
          <w:rFonts w:hAnsi="標楷體" w:hint="eastAsia"/>
        </w:rPr>
      </w:pPr>
      <w:bookmarkStart w:id="2" w:name="_Toc496609238"/>
      <w:bookmarkStart w:id="3" w:name="_Toc527539941"/>
      <w:bookmarkStart w:id="4" w:name="_Toc185254255"/>
      <w:r>
        <w:rPr>
          <w:rFonts w:hAnsi="標楷體" w:hint="eastAsia"/>
        </w:rPr>
        <w:t>壹</w:t>
      </w:r>
      <w:r w:rsidRPr="00AB78AB">
        <w:rPr>
          <w:rFonts w:hAnsi="標楷體" w:hint="eastAsia"/>
        </w:rPr>
        <w:t>、</w:t>
      </w:r>
      <w:r w:rsidRPr="00257667">
        <w:rPr>
          <w:rFonts w:hAnsi="標楷體" w:hint="eastAsia"/>
        </w:rPr>
        <w:t>國家發展委員會</w:t>
      </w:r>
      <w:bookmarkEnd w:id="4"/>
    </w:p>
    <w:p w:rsidR="00D27205" w:rsidRDefault="00B12961" w:rsidP="00EE76C4">
      <w:pPr>
        <w:pStyle w:val="a8"/>
        <w:ind w:left="566" w:firstLine="566"/>
        <w:rPr>
          <w:rFonts w:hAnsi="標楷體"/>
        </w:rPr>
      </w:pPr>
      <w:r w:rsidRPr="00AD5362">
        <w:rPr>
          <w:rFonts w:hint="eastAsia"/>
        </w:rPr>
        <w:t>國家發展委員會</w:t>
      </w:r>
      <w:r w:rsidR="005F1C5E">
        <w:rPr>
          <w:rFonts w:hint="eastAsia"/>
        </w:rPr>
        <w:t>(</w:t>
      </w:r>
      <w:r w:rsidRPr="00AD5362">
        <w:rPr>
          <w:rFonts w:hint="eastAsia"/>
        </w:rPr>
        <w:t>以下稱國發會</w:t>
      </w:r>
      <w:r w:rsidR="005F1C5E">
        <w:rPr>
          <w:rFonts w:hint="eastAsia"/>
        </w:rPr>
        <w:t>)</w:t>
      </w:r>
      <w:r w:rsidRPr="00AD5362">
        <w:rPr>
          <w:rFonts w:hint="eastAsia"/>
        </w:rPr>
        <w:t>112年度歲入決算數1</w:t>
      </w:r>
      <w:r w:rsidRPr="00AD5362">
        <w:t>,</w:t>
      </w:r>
      <w:r w:rsidRPr="00AD5362">
        <w:rPr>
          <w:rFonts w:hint="eastAsia"/>
        </w:rPr>
        <w:t>018萬3千元，較預算數增加84萬7千元</w:t>
      </w:r>
      <w:r w:rsidR="005F1C5E">
        <w:rPr>
          <w:rFonts w:hint="eastAsia"/>
        </w:rPr>
        <w:t>(</w:t>
      </w:r>
      <w:r w:rsidRPr="00AD5362">
        <w:rPr>
          <w:rFonts w:hint="eastAsia"/>
        </w:rPr>
        <w:t>增幅9.07%</w:t>
      </w:r>
      <w:r w:rsidR="005F1C5E">
        <w:rPr>
          <w:rFonts w:hint="eastAsia"/>
        </w:rPr>
        <w:t>)</w:t>
      </w:r>
      <w:r w:rsidRPr="00AD5362">
        <w:rPr>
          <w:rFonts w:hint="eastAsia"/>
        </w:rPr>
        <w:t>；歲出決算數22億5,861萬元，較預算數減少4,208萬7千元</w:t>
      </w:r>
      <w:r w:rsidR="005F1C5E">
        <w:rPr>
          <w:rFonts w:hint="eastAsia"/>
        </w:rPr>
        <w:t>(</w:t>
      </w:r>
      <w:r w:rsidRPr="00AD5362">
        <w:rPr>
          <w:rFonts w:hint="eastAsia"/>
        </w:rPr>
        <w:t>執行率98.17%</w:t>
      </w:r>
      <w:r w:rsidR="005F1C5E">
        <w:rPr>
          <w:rFonts w:hint="eastAsia"/>
        </w:rPr>
        <w:t>)</w:t>
      </w:r>
      <w:r w:rsidRPr="00AD5362">
        <w:rPr>
          <w:rFonts w:hint="eastAsia"/>
        </w:rPr>
        <w:t>。謹就國發會112年度單位決算評估如下：</w:t>
      </w:r>
      <w:bookmarkStart w:id="5" w:name="_Toc372547515"/>
      <w:bookmarkStart w:id="6" w:name="_Toc508801430"/>
      <w:r w:rsidRPr="00AD5362">
        <w:t xml:space="preserve"> </w:t>
      </w:r>
      <w:bookmarkEnd w:id="6"/>
      <w:bookmarkEnd w:id="5"/>
      <w:bookmarkEnd w:id="2"/>
      <w:bookmarkEnd w:id="3"/>
      <w:bookmarkEnd w:id="0"/>
    </w:p>
    <w:sectPr w:rsidR="00D27205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EE76C4">
      <w:rPr>
        <w:noProof/>
        <w:lang w:val="zh-TW"/>
      </w:rPr>
      <w:t>1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E76C4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16EC13-1419-4EE4-A7A0-8E7FC1EA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71A54-F2C1-47CF-A773-A6F5D858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2024-12-19T03:28:00Z</dcterms:created>
  <dcterms:modified xsi:type="dcterms:W3CDTF">2024-12-19T03:28:00Z</dcterms:modified>
</cp:coreProperties>
</file>