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AB78AB" w:rsidRDefault="00B12961" w:rsidP="00FD046B">
      <w:pPr>
        <w:pStyle w:val="14"/>
        <w:ind w:left="567" w:hanging="567"/>
        <w:rPr>
          <w:rFonts w:hAnsi="標楷體" w:hint="eastAsia"/>
        </w:rPr>
      </w:pPr>
      <w:bookmarkStart w:id="2" w:name="_Toc240777103"/>
      <w:bookmarkStart w:id="3" w:name="_Toc513535863"/>
      <w:bookmarkStart w:id="4" w:name="_Toc493669736"/>
      <w:bookmarkStart w:id="5" w:name="_Toc527539947"/>
      <w:bookmarkStart w:id="6" w:name="_Toc185254262"/>
      <w:r>
        <w:rPr>
          <w:rFonts w:hAnsi="標楷體" w:hint="eastAsia"/>
        </w:rPr>
        <w:t>肆</w:t>
      </w:r>
      <w:r w:rsidRPr="00AB78AB">
        <w:rPr>
          <w:rFonts w:hAnsi="標楷體" w:hint="eastAsia"/>
        </w:rPr>
        <w:t>、反托拉斯基金</w:t>
      </w:r>
      <w:bookmarkEnd w:id="5"/>
      <w:bookmarkEnd w:id="6"/>
    </w:p>
    <w:p w:rsidR="00D27205" w:rsidRDefault="00B12961" w:rsidP="00696AE4">
      <w:pPr>
        <w:pStyle w:val="a8"/>
        <w:ind w:firstLine="566"/>
        <w:rPr>
          <w:rFonts w:hAnsi="標楷體"/>
        </w:rPr>
      </w:pPr>
      <w:r w:rsidRPr="00AB78AB">
        <w:rPr>
          <w:rFonts w:hAnsi="標楷體" w:hint="eastAsia"/>
        </w:rPr>
        <w:t>公平會依公平交易法第47條之</w:t>
      </w:r>
      <w:r>
        <w:rPr>
          <w:rFonts w:hAnsi="標楷體" w:hint="eastAsia"/>
        </w:rPr>
        <w:t>1</w:t>
      </w:r>
      <w:r w:rsidRPr="00AB78AB">
        <w:rPr>
          <w:rFonts w:hAnsi="標楷體" w:hint="eastAsia"/>
        </w:rPr>
        <w:t>規定於105年度設置「反托拉斯基金」，該基金主要財源</w:t>
      </w:r>
      <w:r>
        <w:rPr>
          <w:rFonts w:hAnsi="標楷體" w:hint="eastAsia"/>
        </w:rPr>
        <w:t>為</w:t>
      </w:r>
      <w:r w:rsidRPr="00AB78AB">
        <w:rPr>
          <w:rFonts w:hAnsi="標楷體" w:hint="eastAsia"/>
        </w:rPr>
        <w:t>提撥違反公平交易法罰鍰之30%；基金用途則</w:t>
      </w:r>
      <w:r>
        <w:rPr>
          <w:rFonts w:hAnsi="標楷體" w:hint="eastAsia"/>
        </w:rPr>
        <w:t>主要包括「</w:t>
      </w:r>
      <w:r w:rsidRPr="00AB78AB">
        <w:rPr>
          <w:rFonts w:hAnsi="標楷體" w:hint="eastAsia"/>
        </w:rPr>
        <w:t>強化反托拉斯執法計畫</w:t>
      </w:r>
      <w:r>
        <w:rPr>
          <w:rFonts w:hAnsi="標楷體" w:hint="eastAsia"/>
        </w:rPr>
        <w:t>」</w:t>
      </w:r>
      <w:r w:rsidRPr="00C13952">
        <w:rPr>
          <w:rFonts w:hAnsi="標楷體" w:hint="eastAsia"/>
        </w:rPr>
        <w:t>辦理違法聯合行為獎金之支出、推動國際競爭法執法機關之合作交流等業務</w:t>
      </w:r>
      <w:r>
        <w:rPr>
          <w:rFonts w:hAnsi="標楷體" w:hint="eastAsia"/>
        </w:rPr>
        <w:t>，以及「</w:t>
      </w:r>
      <w:r w:rsidRPr="00C13952">
        <w:rPr>
          <w:rFonts w:hAnsi="標楷體" w:hint="eastAsia"/>
        </w:rPr>
        <w:t>數位經濟競爭政策研究及倡議計畫</w:t>
      </w:r>
      <w:r>
        <w:rPr>
          <w:rFonts w:hAnsi="標楷體" w:hint="eastAsia"/>
        </w:rPr>
        <w:t>」</w:t>
      </w:r>
      <w:r w:rsidRPr="00AB78AB">
        <w:rPr>
          <w:rFonts w:hAnsi="標楷體" w:hint="eastAsia"/>
        </w:rPr>
        <w:t>辦</w:t>
      </w:r>
      <w:r w:rsidRPr="00C13952">
        <w:rPr>
          <w:rFonts w:hAnsi="標楷體" w:hint="eastAsia"/>
        </w:rPr>
        <w:t>理研究數位經濟產業競爭議題與違法態樣、辦理不實廣告監控與查察業務等</w:t>
      </w:r>
      <w:r w:rsidRPr="00AB78AB">
        <w:rPr>
          <w:rFonts w:hAnsi="標楷體" w:hint="eastAsia"/>
        </w:rPr>
        <w:t>。</w:t>
      </w:r>
      <w:r w:rsidRPr="00351A33">
        <w:rPr>
          <w:rFonts w:hAnsi="標楷體" w:hint="eastAsia"/>
        </w:rPr>
        <w:t>該基金</w:t>
      </w:r>
      <w:r>
        <w:rPr>
          <w:rFonts w:hAnsi="標楷體" w:hint="eastAsia"/>
        </w:rPr>
        <w:t>11</w:t>
      </w:r>
      <w:r>
        <w:rPr>
          <w:rFonts w:hAnsi="標楷體"/>
        </w:rPr>
        <w:t>2</w:t>
      </w:r>
      <w:r w:rsidRPr="00351A33">
        <w:rPr>
          <w:rFonts w:hAnsi="標楷體" w:hint="eastAsia"/>
        </w:rPr>
        <w:t>年度預算</w:t>
      </w:r>
      <w:r w:rsidRPr="0064171E">
        <w:rPr>
          <w:rFonts w:hAnsi="標楷體" w:hint="eastAsia"/>
        </w:rPr>
        <w:t>基金來源預算數4,8</w:t>
      </w:r>
      <w:r>
        <w:rPr>
          <w:rFonts w:hAnsi="標楷體"/>
        </w:rPr>
        <w:t>31</w:t>
      </w:r>
      <w:r w:rsidRPr="0064171E">
        <w:rPr>
          <w:rFonts w:hAnsi="標楷體" w:hint="eastAsia"/>
        </w:rPr>
        <w:t>萬</w:t>
      </w:r>
      <w:r>
        <w:rPr>
          <w:rFonts w:hAnsi="標楷體"/>
        </w:rPr>
        <w:t>1</w:t>
      </w:r>
      <w:r w:rsidRPr="0064171E">
        <w:rPr>
          <w:rFonts w:hAnsi="標楷體" w:hint="eastAsia"/>
        </w:rPr>
        <w:t>千元，決算數</w:t>
      </w:r>
      <w:r>
        <w:rPr>
          <w:rFonts w:hAnsi="標楷體" w:hint="eastAsia"/>
        </w:rPr>
        <w:t>1,</w:t>
      </w:r>
      <w:r>
        <w:rPr>
          <w:rFonts w:hAnsi="標楷體"/>
        </w:rPr>
        <w:t>620</w:t>
      </w:r>
      <w:r w:rsidRPr="0064171E">
        <w:rPr>
          <w:rFonts w:hAnsi="標楷體" w:hint="eastAsia"/>
        </w:rPr>
        <w:t>萬</w:t>
      </w:r>
      <w:r>
        <w:rPr>
          <w:rFonts w:hAnsi="標楷體"/>
        </w:rPr>
        <w:t>1</w:t>
      </w:r>
      <w:r>
        <w:rPr>
          <w:rFonts w:hAnsi="標楷體" w:hint="eastAsia"/>
        </w:rPr>
        <w:t>千</w:t>
      </w:r>
      <w:r w:rsidRPr="0064171E">
        <w:rPr>
          <w:rFonts w:hAnsi="標楷體" w:hint="eastAsia"/>
        </w:rPr>
        <w:t>元，較預算數減少</w:t>
      </w:r>
      <w:r>
        <w:rPr>
          <w:rFonts w:hAnsi="標楷體"/>
        </w:rPr>
        <w:t>3,</w:t>
      </w:r>
      <w:r>
        <w:rPr>
          <w:rFonts w:hAnsi="標楷體" w:hint="eastAsia"/>
        </w:rPr>
        <w:t>211</w:t>
      </w:r>
      <w:r w:rsidRPr="0064171E">
        <w:rPr>
          <w:rFonts w:hAnsi="標楷體" w:hint="eastAsia"/>
        </w:rPr>
        <w:t>萬元(達成率</w:t>
      </w:r>
      <w:r>
        <w:rPr>
          <w:rFonts w:hAnsi="標楷體" w:hint="eastAsia"/>
        </w:rPr>
        <w:t>33.53</w:t>
      </w:r>
      <w:r w:rsidRPr="0064171E">
        <w:rPr>
          <w:rFonts w:hAnsi="標楷體" w:hint="eastAsia"/>
        </w:rPr>
        <w:t>%)，主要依公平交易法規定應提撥該基金之30%罰鍰收入</w:t>
      </w:r>
      <w:r>
        <w:rPr>
          <w:rFonts w:hAnsi="標楷體" w:hint="eastAsia"/>
        </w:rPr>
        <w:t>-</w:t>
      </w:r>
      <w:r w:rsidRPr="0064171E">
        <w:rPr>
          <w:rFonts w:hAnsi="標楷體" w:hint="eastAsia"/>
        </w:rPr>
        <w:t>「徵收及依法分配收入」決算數</w:t>
      </w:r>
      <w:r>
        <w:rPr>
          <w:rFonts w:hAnsi="標楷體" w:hint="eastAsia"/>
        </w:rPr>
        <w:t>910</w:t>
      </w:r>
      <w:r w:rsidRPr="0064171E">
        <w:rPr>
          <w:rFonts w:hAnsi="標楷體" w:hint="eastAsia"/>
        </w:rPr>
        <w:t>萬</w:t>
      </w:r>
      <w:r>
        <w:rPr>
          <w:rFonts w:hAnsi="標楷體" w:hint="eastAsia"/>
        </w:rPr>
        <w:t>9千</w:t>
      </w:r>
      <w:r w:rsidRPr="0064171E">
        <w:rPr>
          <w:rFonts w:hAnsi="標楷體" w:hint="eastAsia"/>
        </w:rPr>
        <w:t>元，較預</w:t>
      </w:r>
      <w:r w:rsidRPr="00BE4E11">
        <w:rPr>
          <w:rFonts w:hAnsi="標楷體" w:hint="eastAsia"/>
        </w:rPr>
        <w:t>算數減少</w:t>
      </w:r>
      <w:r>
        <w:rPr>
          <w:rFonts w:hAnsi="標楷體" w:hint="eastAsia"/>
        </w:rPr>
        <w:t>3</w:t>
      </w:r>
      <w:r>
        <w:rPr>
          <w:rFonts w:hAnsi="標楷體"/>
        </w:rPr>
        <w:t>,</w:t>
      </w:r>
      <w:r>
        <w:rPr>
          <w:rFonts w:hAnsi="標楷體" w:hint="eastAsia"/>
        </w:rPr>
        <w:t>758</w:t>
      </w:r>
      <w:r w:rsidRPr="00BE4E11">
        <w:rPr>
          <w:rFonts w:hAnsi="標楷體" w:hint="eastAsia"/>
        </w:rPr>
        <w:t>萬</w:t>
      </w:r>
      <w:r>
        <w:rPr>
          <w:rFonts w:hAnsi="標楷體" w:hint="eastAsia"/>
        </w:rPr>
        <w:t>5</w:t>
      </w:r>
      <w:r w:rsidRPr="00BE4E11">
        <w:rPr>
          <w:rFonts w:hAnsi="標楷體" w:hint="eastAsia"/>
        </w:rPr>
        <w:t>千元所致。基金用途預算數</w:t>
      </w:r>
      <w:r>
        <w:rPr>
          <w:rFonts w:hAnsi="標楷體" w:hint="eastAsia"/>
        </w:rPr>
        <w:t>7,674</w:t>
      </w:r>
      <w:r w:rsidRPr="00BE4E11">
        <w:rPr>
          <w:rFonts w:hAnsi="標楷體" w:hint="eastAsia"/>
        </w:rPr>
        <w:t>萬</w:t>
      </w:r>
      <w:r>
        <w:rPr>
          <w:rFonts w:hAnsi="標楷體" w:hint="eastAsia"/>
        </w:rPr>
        <w:t>4</w:t>
      </w:r>
      <w:r w:rsidRPr="00BE4E11">
        <w:rPr>
          <w:rFonts w:hAnsi="標楷體" w:hint="eastAsia"/>
        </w:rPr>
        <w:t>千元，決算數</w:t>
      </w:r>
      <w:r>
        <w:rPr>
          <w:rFonts w:hAnsi="標楷體" w:hint="eastAsia"/>
        </w:rPr>
        <w:t>7</w:t>
      </w:r>
      <w:r>
        <w:rPr>
          <w:rFonts w:hAnsi="標楷體"/>
        </w:rPr>
        <w:t>,</w:t>
      </w:r>
      <w:r>
        <w:rPr>
          <w:rFonts w:hAnsi="標楷體" w:hint="eastAsia"/>
        </w:rPr>
        <w:t>217</w:t>
      </w:r>
      <w:r w:rsidRPr="00BE4E11">
        <w:rPr>
          <w:rFonts w:hAnsi="標楷體" w:hint="eastAsia"/>
        </w:rPr>
        <w:t>萬元(執行率</w:t>
      </w:r>
      <w:r>
        <w:rPr>
          <w:rFonts w:hAnsi="標楷體" w:hint="eastAsia"/>
        </w:rPr>
        <w:t>94.04</w:t>
      </w:r>
      <w:r w:rsidRPr="00BE4E11">
        <w:rPr>
          <w:rFonts w:hAnsi="標楷體" w:hint="eastAsia"/>
        </w:rPr>
        <w:t>%)，主要係</w:t>
      </w:r>
      <w:r w:rsidRPr="00902B61">
        <w:rPr>
          <w:rFonts w:hAnsi="標楷體" w:hint="eastAsia"/>
        </w:rPr>
        <w:t>數位經濟競爭政策研究及倡議計畫</w:t>
      </w:r>
      <w:r w:rsidRPr="00BE4E11">
        <w:rPr>
          <w:rFonts w:hAnsi="標楷體" w:hint="eastAsia"/>
        </w:rPr>
        <w:t>經執行較預算數減少</w:t>
      </w:r>
      <w:r>
        <w:rPr>
          <w:rFonts w:hAnsi="標楷體" w:hint="eastAsia"/>
        </w:rPr>
        <w:t>597</w:t>
      </w:r>
      <w:r w:rsidRPr="00BE4E11">
        <w:rPr>
          <w:rFonts w:hAnsi="標楷體" w:hint="eastAsia"/>
        </w:rPr>
        <w:t>萬元所致。</w:t>
      </w:r>
      <w:r w:rsidRPr="001E6375">
        <w:rPr>
          <w:rFonts w:hAnsi="標楷體" w:hint="eastAsia"/>
        </w:rPr>
        <w:t>1</w:t>
      </w:r>
      <w:r>
        <w:rPr>
          <w:rFonts w:hAnsi="標楷體" w:hint="eastAsia"/>
        </w:rPr>
        <w:t>12</w:t>
      </w:r>
      <w:r w:rsidRPr="001E6375">
        <w:rPr>
          <w:rFonts w:hAnsi="標楷體" w:hint="eastAsia"/>
        </w:rPr>
        <w:t>年度決算</w:t>
      </w:r>
      <w:r>
        <w:rPr>
          <w:rFonts w:hAnsi="標楷體" w:hint="eastAsia"/>
        </w:rPr>
        <w:t>本期短絀</w:t>
      </w:r>
      <w:r w:rsidRPr="001E6375">
        <w:rPr>
          <w:rFonts w:hAnsi="標楷體" w:hint="eastAsia"/>
        </w:rPr>
        <w:t>數</w:t>
      </w:r>
      <w:r>
        <w:rPr>
          <w:rFonts w:hAnsi="標楷體" w:hint="eastAsia"/>
        </w:rPr>
        <w:t>5</w:t>
      </w:r>
      <w:r>
        <w:rPr>
          <w:rFonts w:hAnsi="標楷體"/>
        </w:rPr>
        <w:t>,</w:t>
      </w:r>
      <w:r>
        <w:rPr>
          <w:rFonts w:hAnsi="標楷體" w:hint="eastAsia"/>
        </w:rPr>
        <w:t>596</w:t>
      </w:r>
      <w:r w:rsidRPr="001E6375">
        <w:rPr>
          <w:rFonts w:hAnsi="標楷體" w:hint="eastAsia"/>
        </w:rPr>
        <w:t>萬</w:t>
      </w:r>
      <w:r>
        <w:rPr>
          <w:rFonts w:hAnsi="標楷體" w:hint="eastAsia"/>
        </w:rPr>
        <w:t>9千</w:t>
      </w:r>
      <w:r w:rsidRPr="001E6375">
        <w:rPr>
          <w:rFonts w:hAnsi="標楷體" w:hint="eastAsia"/>
        </w:rPr>
        <w:t>元，期末基金累積餘額為</w:t>
      </w:r>
      <w:r>
        <w:rPr>
          <w:rFonts w:hAnsi="標楷體" w:hint="eastAsia"/>
        </w:rPr>
        <w:t>8</w:t>
      </w:r>
      <w:r w:rsidRPr="001E6375">
        <w:rPr>
          <w:rFonts w:hAnsi="標楷體" w:hint="eastAsia"/>
        </w:rPr>
        <w:t>億</w:t>
      </w:r>
      <w:r>
        <w:rPr>
          <w:rFonts w:hAnsi="標楷體" w:hint="eastAsia"/>
        </w:rPr>
        <w:t>8</w:t>
      </w:r>
      <w:r>
        <w:rPr>
          <w:rFonts w:hAnsi="標楷體"/>
        </w:rPr>
        <w:t>,</w:t>
      </w:r>
      <w:r>
        <w:rPr>
          <w:rFonts w:hAnsi="標楷體" w:hint="eastAsia"/>
        </w:rPr>
        <w:t>713</w:t>
      </w:r>
      <w:r w:rsidRPr="001E6375">
        <w:rPr>
          <w:rFonts w:hAnsi="標楷體" w:hint="eastAsia"/>
        </w:rPr>
        <w:t>萬</w:t>
      </w:r>
      <w:r>
        <w:rPr>
          <w:rFonts w:hAnsi="標楷體" w:hint="eastAsia"/>
        </w:rPr>
        <w:t>2</w:t>
      </w:r>
      <w:r w:rsidRPr="001E6375">
        <w:rPr>
          <w:rFonts w:hAnsi="標楷體" w:hint="eastAsia"/>
        </w:rPr>
        <w:t>千元。謹</w:t>
      </w:r>
      <w:r w:rsidRPr="00552EA4">
        <w:rPr>
          <w:rFonts w:hAnsi="標楷體" w:hint="eastAsia"/>
        </w:rPr>
        <w:t>就反托拉斯基金1</w:t>
      </w:r>
      <w:r>
        <w:rPr>
          <w:rFonts w:hAnsi="標楷體" w:hint="eastAsia"/>
        </w:rPr>
        <w:t>12</w:t>
      </w:r>
      <w:r w:rsidRPr="00552EA4">
        <w:rPr>
          <w:rFonts w:hAnsi="標楷體" w:hint="eastAsia"/>
        </w:rPr>
        <w:t>年度決算評析如下：</w:t>
      </w:r>
      <w:bookmarkEnd w:id="0"/>
      <w:bookmarkEnd w:id="2"/>
      <w:bookmarkEnd w:id="3"/>
      <w:bookmarkEnd w:id="4"/>
    </w:p>
    <w:sectPr w:rsidR="00D27205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696AE4">
      <w:rPr>
        <w:noProof/>
        <w:lang w:val="zh-TW"/>
      </w:rPr>
      <w:t>1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AE4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15A0D4B-B687-4643-824D-59AAF131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5B3BA-1BD2-44AA-997D-536AF206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2024-12-19T03:29:00Z</dcterms:created>
  <dcterms:modified xsi:type="dcterms:W3CDTF">2024-12-19T03:29:00Z</dcterms:modified>
</cp:coreProperties>
</file>