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61" w:rsidRPr="00884690" w:rsidRDefault="00B12961" w:rsidP="008B63FB">
      <w:pPr>
        <w:adjustRightInd w:val="0"/>
        <w:ind w:leftChars="0" w:left="0" w:firstLineChars="0" w:firstLine="0"/>
        <w:rPr>
          <w:rFonts w:hint="eastAsia"/>
          <w:b/>
          <w:spacing w:val="-12"/>
          <w:sz w:val="36"/>
        </w:rPr>
      </w:pPr>
      <w:bookmarkStart w:id="0" w:name="_Toc209267999"/>
      <w:bookmarkStart w:id="1" w:name="_GoBack"/>
      <w:bookmarkEnd w:id="1"/>
      <w:r w:rsidRPr="00B712D4">
        <w:rPr>
          <w:rFonts w:hint="eastAsia"/>
          <w:b/>
          <w:spacing w:val="-12"/>
          <w:sz w:val="36"/>
        </w:rPr>
        <w:t>國家發展委員會及所屬、公平交易委員會及反托拉斯基金112年度決算評估報告</w:t>
      </w:r>
    </w:p>
    <w:p w:rsidR="00B12961" w:rsidRPr="0003682C" w:rsidRDefault="00B12961" w:rsidP="009C35DC">
      <w:pPr>
        <w:pStyle w:val="14"/>
        <w:ind w:left="567" w:hanging="567"/>
      </w:pPr>
      <w:bookmarkStart w:id="2" w:name="_Toc240777103"/>
      <w:bookmarkStart w:id="3" w:name="_Toc513535863"/>
      <w:bookmarkStart w:id="4" w:name="_Toc493669736"/>
      <w:bookmarkStart w:id="5" w:name="_Toc527539949"/>
      <w:bookmarkStart w:id="6" w:name="_Toc185254263"/>
      <w:r>
        <w:rPr>
          <w:rFonts w:hint="eastAsia"/>
        </w:rPr>
        <w:t>五</w:t>
      </w:r>
      <w:r w:rsidRPr="00CF04F7">
        <w:rPr>
          <w:rFonts w:hint="eastAsia"/>
        </w:rPr>
        <w:t>、</w:t>
      </w:r>
      <w:r>
        <w:rPr>
          <w:rFonts w:hint="eastAsia"/>
        </w:rPr>
        <w:t>112年度短絀達</w:t>
      </w:r>
      <w:r w:rsidRPr="001E3CC3">
        <w:rPr>
          <w:rFonts w:hint="eastAsia"/>
        </w:rPr>
        <w:t>5,596萬9千元</w:t>
      </w:r>
      <w:r>
        <w:rPr>
          <w:rFonts w:hint="eastAsia"/>
        </w:rPr>
        <w:t>，為近5年最高，允宜</w:t>
      </w:r>
      <w:r w:rsidRPr="00254C0E">
        <w:rPr>
          <w:rFonts w:hint="eastAsia"/>
        </w:rPr>
        <w:t>於兼顧風險控管下</w:t>
      </w:r>
      <w:r>
        <w:rPr>
          <w:rFonts w:hint="eastAsia"/>
        </w:rPr>
        <w:t>，</w:t>
      </w:r>
      <w:r w:rsidRPr="00254C0E">
        <w:rPr>
          <w:rFonts w:hint="eastAsia"/>
        </w:rPr>
        <w:t>妥適規劃配置餘裕資金，俾提升收益</w:t>
      </w:r>
      <w:bookmarkEnd w:id="6"/>
    </w:p>
    <w:p w:rsidR="00B12961" w:rsidRDefault="00B12961" w:rsidP="001E6375">
      <w:pPr>
        <w:ind w:leftChars="216" w:left="612" w:firstLine="566"/>
        <w:rPr>
          <w:rFonts w:hAnsi="標楷體" w:cs="Tahoma"/>
        </w:rPr>
      </w:pPr>
      <w:r w:rsidRPr="0075444D">
        <w:rPr>
          <w:rFonts w:hAnsi="標楷體" w:hint="eastAsia"/>
        </w:rPr>
        <w:t>反托拉斯基金1</w:t>
      </w:r>
      <w:r>
        <w:rPr>
          <w:rFonts w:hAnsi="標楷體"/>
        </w:rPr>
        <w:t>12</w:t>
      </w:r>
      <w:r>
        <w:rPr>
          <w:rFonts w:hAnsi="標楷體" w:hint="eastAsia"/>
        </w:rPr>
        <w:t>年</w:t>
      </w:r>
      <w:r w:rsidRPr="0075444D">
        <w:rPr>
          <w:rFonts w:hAnsi="標楷體" w:hint="eastAsia"/>
        </w:rPr>
        <w:t>度</w:t>
      </w:r>
      <w:r>
        <w:rPr>
          <w:rFonts w:hAnsi="標楷體" w:hint="eastAsia"/>
        </w:rPr>
        <w:t>決算基金來源</w:t>
      </w:r>
      <w:r w:rsidRPr="001E3CC3">
        <w:rPr>
          <w:rFonts w:hAnsi="標楷體" w:hint="eastAsia"/>
        </w:rPr>
        <w:t>910萬9千元、</w:t>
      </w:r>
      <w:r>
        <w:rPr>
          <w:rFonts w:hAnsi="標楷體" w:hint="eastAsia"/>
        </w:rPr>
        <w:t>基金用途</w:t>
      </w:r>
      <w:r w:rsidRPr="001E3CC3">
        <w:rPr>
          <w:rFonts w:hAnsi="標楷體" w:hint="eastAsia"/>
        </w:rPr>
        <w:t>7,217萬元，</w:t>
      </w:r>
      <w:r>
        <w:rPr>
          <w:rFonts w:hAnsi="標楷體" w:hint="eastAsia"/>
        </w:rPr>
        <w:t>來源用途經抵後，本期短絀</w:t>
      </w:r>
      <w:r w:rsidRPr="001E3CC3">
        <w:rPr>
          <w:rFonts w:hAnsi="標楷體" w:hint="eastAsia"/>
        </w:rPr>
        <w:t>5,596萬9</w:t>
      </w:r>
      <w:r>
        <w:rPr>
          <w:rFonts w:hAnsi="標楷體" w:hint="eastAsia"/>
        </w:rPr>
        <w:t>千元</w:t>
      </w:r>
      <w:r w:rsidRPr="001E3CC3">
        <w:rPr>
          <w:rFonts w:hAnsi="標楷體" w:hint="eastAsia"/>
        </w:rPr>
        <w:t>，較預算短絀數</w:t>
      </w:r>
      <w:r>
        <w:rPr>
          <w:rFonts w:hAnsi="標楷體" w:hint="eastAsia"/>
        </w:rPr>
        <w:t>2</w:t>
      </w:r>
      <w:r>
        <w:rPr>
          <w:rFonts w:hAnsi="標楷體"/>
        </w:rPr>
        <w:t>,</w:t>
      </w:r>
      <w:r>
        <w:rPr>
          <w:rFonts w:hAnsi="標楷體" w:hint="eastAsia"/>
        </w:rPr>
        <w:t>843</w:t>
      </w:r>
      <w:r w:rsidRPr="001E3CC3">
        <w:rPr>
          <w:rFonts w:hAnsi="標楷體" w:hint="eastAsia"/>
        </w:rPr>
        <w:t>萬</w:t>
      </w:r>
      <w:r>
        <w:rPr>
          <w:rFonts w:hAnsi="標楷體" w:hint="eastAsia"/>
        </w:rPr>
        <w:t>3</w:t>
      </w:r>
      <w:r w:rsidRPr="001E3CC3">
        <w:rPr>
          <w:rFonts w:hAnsi="標楷體" w:hint="eastAsia"/>
        </w:rPr>
        <w:t>千元，短絀增加2,7</w:t>
      </w:r>
      <w:r>
        <w:rPr>
          <w:rFonts w:hAnsi="標楷體" w:hint="eastAsia"/>
        </w:rPr>
        <w:t>53</w:t>
      </w:r>
      <w:r w:rsidRPr="001E3CC3">
        <w:rPr>
          <w:rFonts w:hAnsi="標楷體" w:hint="eastAsia"/>
        </w:rPr>
        <w:t>萬</w:t>
      </w:r>
      <w:r>
        <w:rPr>
          <w:rFonts w:hAnsi="標楷體" w:hint="eastAsia"/>
        </w:rPr>
        <w:t>6</w:t>
      </w:r>
      <w:r w:rsidRPr="001E3CC3">
        <w:rPr>
          <w:rFonts w:hAnsi="標楷體" w:hint="eastAsia"/>
        </w:rPr>
        <w:t>千元</w:t>
      </w:r>
      <w:r>
        <w:rPr>
          <w:rFonts w:hAnsi="標楷體" w:hint="eastAsia"/>
        </w:rPr>
        <w:t>。</w:t>
      </w:r>
      <w:r>
        <w:rPr>
          <w:rFonts w:hAnsi="標楷體" w:cs="Tahoma" w:hint="eastAsia"/>
        </w:rPr>
        <w:t>經查：</w:t>
      </w:r>
    </w:p>
    <w:p w:rsidR="00B12961" w:rsidRPr="000F5240" w:rsidRDefault="00B12961" w:rsidP="00C65DDF">
      <w:pPr>
        <w:pStyle w:val="a4"/>
        <w:ind w:left="849" w:hanging="283"/>
        <w:rPr>
          <w:rFonts w:hAnsi="標楷體"/>
          <w:b/>
        </w:rPr>
      </w:pPr>
      <w:r w:rsidRPr="000F5240">
        <w:rPr>
          <w:rFonts w:hint="eastAsia"/>
          <w:b/>
        </w:rPr>
        <w:t>(一)</w:t>
      </w:r>
      <w:r w:rsidRPr="00785E6E">
        <w:rPr>
          <w:rFonts w:hAnsi="標楷體" w:hint="eastAsia"/>
          <w:b/>
        </w:rPr>
        <w:t>112年度短絀</w:t>
      </w:r>
      <w:r>
        <w:rPr>
          <w:rFonts w:hAnsi="標楷體" w:hint="eastAsia"/>
          <w:b/>
        </w:rPr>
        <w:t>數</w:t>
      </w:r>
      <w:r w:rsidRPr="00785E6E">
        <w:rPr>
          <w:rFonts w:hAnsi="標楷體" w:hint="eastAsia"/>
          <w:b/>
        </w:rPr>
        <w:t>達5,596萬9千元，</w:t>
      </w:r>
      <w:r>
        <w:rPr>
          <w:rFonts w:hAnsi="標楷體" w:hint="eastAsia"/>
          <w:b/>
        </w:rPr>
        <w:t>為近5年最高</w:t>
      </w:r>
    </w:p>
    <w:p w:rsidR="00B12961" w:rsidRDefault="00B12961" w:rsidP="00C65DDF">
      <w:pPr>
        <w:pStyle w:val="21"/>
        <w:ind w:left="850" w:firstLine="566"/>
      </w:pPr>
      <w:r w:rsidRPr="00254C0E">
        <w:rPr>
          <w:rFonts w:hint="eastAsia"/>
        </w:rPr>
        <w:t>彙整反托拉斯基金</w:t>
      </w:r>
      <w:r>
        <w:rPr>
          <w:rFonts w:hint="eastAsia"/>
        </w:rPr>
        <w:t>近5年(108</w:t>
      </w:r>
      <w:r w:rsidRPr="00254C0E">
        <w:rPr>
          <w:rFonts w:hint="eastAsia"/>
        </w:rPr>
        <w:t>至11</w:t>
      </w:r>
      <w:r>
        <w:rPr>
          <w:rFonts w:hint="eastAsia"/>
        </w:rPr>
        <w:t>2</w:t>
      </w:r>
      <w:r w:rsidRPr="00254C0E">
        <w:rPr>
          <w:rFonts w:hint="eastAsia"/>
        </w:rPr>
        <w:t>年度</w:t>
      </w:r>
      <w:r>
        <w:rPr>
          <w:rFonts w:hint="eastAsia"/>
        </w:rPr>
        <w:t>)</w:t>
      </w:r>
      <w:r w:rsidRPr="00254C0E">
        <w:rPr>
          <w:rFonts w:hint="eastAsia"/>
        </w:rPr>
        <w:t>基金來源、用途及本期餘絀</w:t>
      </w:r>
      <w:r>
        <w:rPr>
          <w:rFonts w:hint="eastAsia"/>
        </w:rPr>
        <w:t>決算</w:t>
      </w:r>
      <w:r w:rsidRPr="00254C0E">
        <w:rPr>
          <w:rFonts w:hint="eastAsia"/>
        </w:rPr>
        <w:t>概況(詳表1)，並說明如下：</w:t>
      </w:r>
    </w:p>
    <w:p w:rsidR="00B12961" w:rsidRDefault="00B12961" w:rsidP="00C65DDF">
      <w:pPr>
        <w:pStyle w:val="123"/>
        <w:ind w:left="1133" w:hanging="283"/>
      </w:pPr>
      <w:r>
        <w:rPr>
          <w:rFonts w:hint="eastAsia"/>
        </w:rPr>
        <w:t>1.反托拉斯基金之基金來源決算數自110年起明顯增加，其中110及111年度主要係</w:t>
      </w:r>
      <w:r w:rsidRPr="00FB4F58">
        <w:rPr>
          <w:rFonts w:hint="eastAsia"/>
        </w:rPr>
        <w:t>「</w:t>
      </w:r>
      <w:r>
        <w:rPr>
          <w:rFonts w:hint="eastAsia"/>
        </w:rPr>
        <w:t>徵收及依法分配收入</w:t>
      </w:r>
      <w:r w:rsidRPr="00177098">
        <w:rPr>
          <w:rFonts w:hint="eastAsia"/>
        </w:rPr>
        <w:t>」</w:t>
      </w:r>
      <w:r>
        <w:rPr>
          <w:rFonts w:hint="eastAsia"/>
        </w:rPr>
        <w:t>較以前年度提升，112年度則因財產收入分別較110及111年度增加562萬5千元及456萬1千元(增幅分別達3.84倍及1.8倍)</w:t>
      </w:r>
      <w:r w:rsidRPr="00872C09">
        <w:rPr>
          <w:rFonts w:hint="eastAsia"/>
        </w:rPr>
        <w:t>。</w:t>
      </w:r>
    </w:p>
    <w:p w:rsidR="00B12961" w:rsidRDefault="00B12961" w:rsidP="00C65DDF">
      <w:pPr>
        <w:pStyle w:val="123"/>
        <w:ind w:left="1133" w:hanging="283"/>
      </w:pPr>
      <w:r>
        <w:rPr>
          <w:rFonts w:hint="eastAsia"/>
        </w:rPr>
        <w:t>2.近5年基金用途呈上升趨勢，112年度基金用途決算數達7</w:t>
      </w:r>
      <w:r>
        <w:t>,</w:t>
      </w:r>
      <w:r>
        <w:rPr>
          <w:rFonts w:hint="eastAsia"/>
        </w:rPr>
        <w:t>217萬元，較111年度增加2</w:t>
      </w:r>
      <w:r>
        <w:t>,</w:t>
      </w:r>
      <w:r>
        <w:rPr>
          <w:rFonts w:hint="eastAsia"/>
        </w:rPr>
        <w:t>257萬5千元(增幅45.52%)，包含</w:t>
      </w:r>
      <w:r w:rsidRPr="00FB4F58">
        <w:rPr>
          <w:rFonts w:hint="eastAsia"/>
        </w:rPr>
        <w:t>「</w:t>
      </w:r>
      <w:r w:rsidRPr="00177098">
        <w:rPr>
          <w:rFonts w:hint="eastAsia"/>
        </w:rPr>
        <w:t>強化反托拉斯執法計畫」</w:t>
      </w:r>
      <w:r>
        <w:rPr>
          <w:rFonts w:hint="eastAsia"/>
        </w:rPr>
        <w:t>及</w:t>
      </w:r>
      <w:r w:rsidRPr="00177098">
        <w:rPr>
          <w:rFonts w:hint="eastAsia"/>
        </w:rPr>
        <w:t>「數位經濟政策研究及倡議計畫」</w:t>
      </w:r>
      <w:r>
        <w:rPr>
          <w:rFonts w:hint="eastAsia"/>
        </w:rPr>
        <w:t>決算數均增加，並以後者增幅達1.04倍為主</w:t>
      </w:r>
      <w:r w:rsidRPr="00B630A5">
        <w:rPr>
          <w:rFonts w:hint="eastAsia"/>
        </w:rPr>
        <w:t>。</w:t>
      </w:r>
    </w:p>
    <w:p w:rsidR="00B12961" w:rsidRDefault="00B12961" w:rsidP="00C65DDF">
      <w:pPr>
        <w:pStyle w:val="123"/>
        <w:ind w:left="1133" w:hanging="283"/>
      </w:pPr>
      <w:r>
        <w:rPr>
          <w:rFonts w:hint="eastAsia"/>
        </w:rPr>
        <w:t>3.鑑於反托拉斯基金近5年基金來源並未顯著提升，隨基金用途逐年攀升，致112年度短絀達</w:t>
      </w:r>
      <w:r w:rsidRPr="00785E6E">
        <w:rPr>
          <w:rFonts w:hint="eastAsia"/>
        </w:rPr>
        <w:t>5,596萬9千元，</w:t>
      </w:r>
      <w:r w:rsidRPr="000768DE">
        <w:rPr>
          <w:rFonts w:hint="eastAsia"/>
        </w:rPr>
        <w:t>較111年度短絀</w:t>
      </w:r>
      <w:r>
        <w:rPr>
          <w:rFonts w:hint="eastAsia"/>
        </w:rPr>
        <w:t>數2</w:t>
      </w:r>
      <w:r>
        <w:t>,</w:t>
      </w:r>
      <w:r>
        <w:rPr>
          <w:rFonts w:hint="eastAsia"/>
        </w:rPr>
        <w:t>790萬7千元，</w:t>
      </w:r>
      <w:r w:rsidRPr="000768DE">
        <w:rPr>
          <w:rFonts w:hint="eastAsia"/>
        </w:rPr>
        <w:t>增加1.01倍，</w:t>
      </w:r>
      <w:r>
        <w:rPr>
          <w:rFonts w:hint="eastAsia"/>
        </w:rPr>
        <w:t>並</w:t>
      </w:r>
      <w:r w:rsidRPr="00785E6E">
        <w:rPr>
          <w:rFonts w:hint="eastAsia"/>
        </w:rPr>
        <w:t>為近5年最高</w:t>
      </w:r>
      <w:r w:rsidRPr="00872C09">
        <w:rPr>
          <w:rFonts w:hint="eastAsia"/>
        </w:rPr>
        <w:t>。</w:t>
      </w:r>
    </w:p>
    <w:p w:rsidR="00B12961" w:rsidRPr="002D0C40" w:rsidRDefault="00B12961" w:rsidP="00785E6E">
      <w:pPr>
        <w:adjustRightInd w:val="0"/>
        <w:ind w:leftChars="0" w:left="709" w:hangingChars="250" w:hanging="709"/>
        <w:jc w:val="left"/>
        <w:rPr>
          <w:rFonts w:hAnsi="標楷體"/>
          <w:sz w:val="24"/>
          <w:szCs w:val="24"/>
        </w:rPr>
      </w:pPr>
      <w:r w:rsidRPr="002D0C40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2D0C40">
        <w:rPr>
          <w:rFonts w:hAnsi="標楷體" w:hint="eastAsia"/>
          <w:b/>
        </w:rPr>
        <w:t xml:space="preserve"> </w:t>
      </w:r>
      <w:r w:rsidRPr="002D0C40">
        <w:rPr>
          <w:rFonts w:hAnsi="標楷體" w:hint="eastAsia"/>
          <w:b/>
          <w:sz w:val="20"/>
          <w:szCs w:val="20"/>
        </w:rPr>
        <w:t xml:space="preserve"> </w:t>
      </w:r>
      <w:r w:rsidRPr="002D0C40">
        <w:rPr>
          <w:rFonts w:hAnsi="標楷體" w:hint="eastAsia"/>
          <w:b/>
        </w:rPr>
        <w:t>反托拉斯基</w:t>
      </w:r>
      <w:r w:rsidRPr="00A2773C">
        <w:rPr>
          <w:rFonts w:hAnsi="標楷體" w:hint="eastAsia"/>
          <w:b/>
        </w:rPr>
        <w:t>金1</w:t>
      </w:r>
      <w:r>
        <w:rPr>
          <w:rFonts w:hAnsi="標楷體" w:hint="eastAsia"/>
          <w:b/>
        </w:rPr>
        <w:t>08</w:t>
      </w:r>
      <w:r w:rsidRPr="00A2773C">
        <w:rPr>
          <w:rFonts w:hAnsi="標楷體" w:hint="eastAsia"/>
          <w:b/>
        </w:rPr>
        <w:t>至1</w:t>
      </w:r>
      <w:r w:rsidRPr="00A2773C">
        <w:rPr>
          <w:rFonts w:hAnsi="標楷體"/>
          <w:b/>
        </w:rPr>
        <w:t>1</w:t>
      </w:r>
      <w:r>
        <w:rPr>
          <w:rFonts w:hAnsi="標楷體" w:hint="eastAsia"/>
          <w:b/>
        </w:rPr>
        <w:t>2</w:t>
      </w:r>
      <w:r w:rsidRPr="00A2773C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 xml:space="preserve">基金來源、用途及本期賸餘決算概況表                                     </w:t>
      </w:r>
      <w:r w:rsidRPr="002D0C40">
        <w:rPr>
          <w:rFonts w:hAnsi="標楷體" w:hint="eastAsia"/>
          <w:sz w:val="24"/>
          <w:szCs w:val="24"/>
        </w:rPr>
        <w:t xml:space="preserve"> 單位：新臺幣</w:t>
      </w:r>
      <w:r>
        <w:rPr>
          <w:rFonts w:hAnsi="標楷體" w:hint="eastAsia"/>
          <w:sz w:val="24"/>
          <w:szCs w:val="24"/>
        </w:rPr>
        <w:t>千</w:t>
      </w:r>
      <w:r w:rsidRPr="002D0C40">
        <w:rPr>
          <w:rFonts w:hAnsi="標楷體" w:hint="eastAsia"/>
          <w:sz w:val="24"/>
          <w:szCs w:val="24"/>
        </w:rPr>
        <w:t>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189"/>
        <w:gridCol w:w="1189"/>
        <w:gridCol w:w="1189"/>
        <w:gridCol w:w="1189"/>
        <w:gridCol w:w="1189"/>
      </w:tblGrid>
      <w:tr w:rsidR="00B12961" w:rsidRPr="000C3DFE" w:rsidTr="00180964">
        <w:trPr>
          <w:tblHeader/>
        </w:trPr>
        <w:tc>
          <w:tcPr>
            <w:tcW w:w="2552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項目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 xml:space="preserve"> </w:t>
            </w:r>
          </w:p>
        </w:tc>
        <w:tc>
          <w:tcPr>
            <w:tcW w:w="1189" w:type="dxa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20"/>
                <w:sz w:val="24"/>
                <w:szCs w:val="24"/>
              </w:rPr>
              <w:t>108年度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109年度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110年度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111年度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112年度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基金來源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8,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167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6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,310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1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2,834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20"/>
                <w:sz w:val="24"/>
                <w:szCs w:val="24"/>
              </w:rPr>
              <w:t>18,</w:t>
            </w:r>
            <w:r>
              <w:rPr>
                <w:rFonts w:hAnsi="標楷體"/>
                <w:b/>
                <w:spacing w:val="-20"/>
                <w:sz w:val="24"/>
                <w:szCs w:val="24"/>
              </w:rPr>
              <w:t>688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254C0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254C0E">
              <w:rPr>
                <w:rFonts w:hAnsi="標楷體" w:hint="eastAsia"/>
                <w:b/>
                <w:spacing w:val="-20"/>
                <w:sz w:val="24"/>
                <w:szCs w:val="24"/>
              </w:rPr>
              <w:t>1</w:t>
            </w:r>
            <w:r w:rsidRPr="00254C0E">
              <w:rPr>
                <w:rFonts w:hAnsi="標楷體"/>
                <w:b/>
                <w:spacing w:val="-20"/>
                <w:sz w:val="24"/>
                <w:szCs w:val="24"/>
              </w:rPr>
              <w:t>6,201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203" w:hanging="203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 xml:space="preserve">　徵收及依法分配收入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6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,667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4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,910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1,367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>
              <w:rPr>
                <w:rFonts w:hAnsi="標楷體"/>
                <w:spacing w:val="-20"/>
                <w:sz w:val="24"/>
                <w:szCs w:val="24"/>
              </w:rPr>
              <w:t>6,158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254C0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254C0E"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  <w:r w:rsidRPr="00254C0E">
              <w:rPr>
                <w:rFonts w:hAnsi="標楷體"/>
                <w:spacing w:val="-20"/>
                <w:sz w:val="24"/>
                <w:szCs w:val="24"/>
              </w:rPr>
              <w:t>,109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203" w:hanging="203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 xml:space="preserve">　財產收入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,500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,400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/>
                <w:spacing w:val="-20"/>
                <w:sz w:val="24"/>
                <w:szCs w:val="24"/>
              </w:rPr>
              <w:t>1,466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>
              <w:rPr>
                <w:rFonts w:hAnsi="標楷體"/>
                <w:spacing w:val="-20"/>
                <w:sz w:val="24"/>
                <w:szCs w:val="24"/>
              </w:rPr>
              <w:t>,530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254C0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254C0E">
              <w:rPr>
                <w:rFonts w:hAnsi="標楷體" w:hint="eastAsia"/>
                <w:spacing w:val="-20"/>
                <w:sz w:val="24"/>
                <w:szCs w:val="24"/>
              </w:rPr>
              <w:t>7</w:t>
            </w:r>
            <w:r w:rsidRPr="00254C0E">
              <w:rPr>
                <w:rFonts w:hAnsi="標楷體"/>
                <w:spacing w:val="-20"/>
                <w:sz w:val="24"/>
                <w:szCs w:val="24"/>
              </w:rPr>
              <w:t>,091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203" w:hanging="203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 xml:space="preserve">　其他收入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203" w:hanging="203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基金用途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1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4,848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3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6,080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40,926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>
              <w:rPr>
                <w:rFonts w:hAnsi="標楷體"/>
                <w:b/>
                <w:spacing w:val="-20"/>
                <w:sz w:val="24"/>
                <w:szCs w:val="24"/>
              </w:rPr>
              <w:t>49,595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254C0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254C0E">
              <w:rPr>
                <w:rFonts w:hAnsi="標楷體" w:hint="eastAsia"/>
                <w:b/>
                <w:spacing w:val="-20"/>
                <w:sz w:val="24"/>
                <w:szCs w:val="24"/>
              </w:rPr>
              <w:t>7</w:t>
            </w:r>
            <w:r w:rsidRPr="00254C0E">
              <w:rPr>
                <w:rFonts w:hAnsi="標楷體"/>
                <w:b/>
                <w:spacing w:val="-20"/>
                <w:sz w:val="24"/>
                <w:szCs w:val="24"/>
              </w:rPr>
              <w:t>2,170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203" w:hanging="203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lastRenderedPageBreak/>
              <w:t xml:space="preserve">　強化反托拉斯執法計畫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4,848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6,197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/>
                <w:spacing w:val="-20"/>
                <w:sz w:val="24"/>
                <w:szCs w:val="24"/>
              </w:rPr>
              <w:t>30,000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>
              <w:rPr>
                <w:rFonts w:hAnsi="標楷體"/>
                <w:spacing w:val="-20"/>
                <w:sz w:val="24"/>
                <w:szCs w:val="24"/>
              </w:rPr>
              <w:t>9,412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254C0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254C0E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  <w:r w:rsidRPr="00254C0E">
              <w:rPr>
                <w:rFonts w:hAnsi="標楷體"/>
                <w:spacing w:val="-20"/>
                <w:sz w:val="24"/>
                <w:szCs w:val="24"/>
              </w:rPr>
              <w:t>7,119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203" w:hanging="203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 xml:space="preserve">　數位經濟政策研究及倡議計畫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,883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0C3DFE">
              <w:rPr>
                <w:rFonts w:hAnsi="標楷體"/>
                <w:spacing w:val="-20"/>
                <w:sz w:val="24"/>
                <w:szCs w:val="24"/>
              </w:rPr>
              <w:t>0,926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>
              <w:rPr>
                <w:rFonts w:hAnsi="標楷體"/>
                <w:spacing w:val="-20"/>
                <w:sz w:val="24"/>
                <w:szCs w:val="24"/>
              </w:rPr>
              <w:t>7,183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254C0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254C0E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  <w:r w:rsidRPr="00254C0E">
              <w:rPr>
                <w:rFonts w:hAnsi="標楷體"/>
                <w:spacing w:val="-20"/>
                <w:sz w:val="24"/>
                <w:szCs w:val="24"/>
              </w:rPr>
              <w:t>5,050</w:t>
            </w:r>
          </w:p>
        </w:tc>
      </w:tr>
      <w:tr w:rsidR="00B12961" w:rsidRPr="000C3DFE" w:rsidTr="00180964">
        <w:tc>
          <w:tcPr>
            <w:tcW w:w="2552" w:type="dxa"/>
            <w:shd w:val="clear" w:color="auto" w:fill="auto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本期賸餘(短絀)</w:t>
            </w:r>
          </w:p>
        </w:tc>
        <w:tc>
          <w:tcPr>
            <w:tcW w:w="1189" w:type="dxa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(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6,681)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(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29,770)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0C3DFE">
              <w:rPr>
                <w:rFonts w:hAnsi="標楷體" w:hint="eastAsia"/>
                <w:b/>
                <w:spacing w:val="-20"/>
                <w:sz w:val="24"/>
                <w:szCs w:val="24"/>
              </w:rPr>
              <w:t>(</w:t>
            </w:r>
            <w:r w:rsidRPr="000C3DFE">
              <w:rPr>
                <w:rFonts w:hAnsi="標楷體"/>
                <w:b/>
                <w:spacing w:val="-20"/>
                <w:sz w:val="24"/>
                <w:szCs w:val="24"/>
              </w:rPr>
              <w:t>28,092)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20"/>
                <w:sz w:val="24"/>
                <w:szCs w:val="24"/>
              </w:rPr>
              <w:t>(</w:t>
            </w:r>
            <w:r>
              <w:rPr>
                <w:rFonts w:hAnsi="標楷體"/>
                <w:b/>
                <w:spacing w:val="-20"/>
                <w:sz w:val="24"/>
                <w:szCs w:val="24"/>
              </w:rPr>
              <w:t>27,907)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B12961" w:rsidRPr="000C3DFE" w:rsidRDefault="00B12961" w:rsidP="003965D5">
            <w:pPr>
              <w:pStyle w:val="123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20"/>
                <w:sz w:val="24"/>
                <w:szCs w:val="24"/>
              </w:rPr>
              <w:t>(</w:t>
            </w:r>
            <w:r w:rsidRPr="00254C0E">
              <w:rPr>
                <w:rFonts w:hAnsi="標楷體"/>
                <w:b/>
                <w:spacing w:val="-20"/>
                <w:sz w:val="24"/>
                <w:szCs w:val="24"/>
              </w:rPr>
              <w:t>55,969</w:t>
            </w:r>
            <w:r>
              <w:rPr>
                <w:rFonts w:hAnsi="標楷體"/>
                <w:b/>
                <w:spacing w:val="-20"/>
                <w:sz w:val="24"/>
                <w:szCs w:val="24"/>
              </w:rPr>
              <w:t>)</w:t>
            </w:r>
          </w:p>
        </w:tc>
      </w:tr>
    </w:tbl>
    <w:p w:rsidR="00B12961" w:rsidRPr="00B917B4" w:rsidRDefault="00B12961" w:rsidP="00254C0E">
      <w:pPr>
        <w:pStyle w:val="142"/>
        <w:ind w:left="1216" w:hangingChars="500" w:hanging="1216"/>
        <w:rPr>
          <w:rFonts w:hint="eastAsia"/>
        </w:rPr>
      </w:pPr>
      <w:r w:rsidRPr="00CD6158">
        <w:rPr>
          <w:rFonts w:hint="eastAsia"/>
        </w:rPr>
        <w:t>資料來源</w:t>
      </w:r>
      <w:r>
        <w:rPr>
          <w:rFonts w:hAnsi="標楷體" w:hint="eastAsia"/>
        </w:rPr>
        <w:t>：反托拉斯基金108至112年度審定決算書。</w:t>
      </w:r>
    </w:p>
    <w:p w:rsidR="00B12961" w:rsidRDefault="00B12961" w:rsidP="00254C0E">
      <w:pPr>
        <w:pStyle w:val="a4"/>
        <w:ind w:left="849" w:hanging="283"/>
        <w:rPr>
          <w:rFonts w:hint="eastAsia"/>
          <w:b/>
        </w:rPr>
      </w:pPr>
      <w:r w:rsidRPr="00DF004E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DF004E">
        <w:rPr>
          <w:rFonts w:hint="eastAsia"/>
          <w:b/>
        </w:rPr>
        <w:t>)</w:t>
      </w:r>
      <w:r>
        <w:rPr>
          <w:rFonts w:hint="eastAsia"/>
          <w:b/>
        </w:rPr>
        <w:t>為</w:t>
      </w:r>
      <w:r w:rsidRPr="00785E6E">
        <w:rPr>
          <w:rFonts w:hint="eastAsia"/>
          <w:b/>
        </w:rPr>
        <w:t>提升運用效益，允宜</w:t>
      </w:r>
      <w:r>
        <w:rPr>
          <w:rFonts w:hint="eastAsia"/>
          <w:b/>
        </w:rPr>
        <w:t>於</w:t>
      </w:r>
      <w:r w:rsidRPr="00A95E0C">
        <w:rPr>
          <w:rFonts w:hint="eastAsia"/>
          <w:b/>
        </w:rPr>
        <w:t>兼顧收益性及安全性</w:t>
      </w:r>
      <w:r>
        <w:rPr>
          <w:rFonts w:hint="eastAsia"/>
          <w:b/>
        </w:rPr>
        <w:t>情形下，</w:t>
      </w:r>
      <w:r w:rsidRPr="00785E6E">
        <w:rPr>
          <w:rFonts w:hint="eastAsia"/>
          <w:b/>
        </w:rPr>
        <w:t>妥適規劃餘裕資金之配置</w:t>
      </w:r>
    </w:p>
    <w:p w:rsidR="00B12961" w:rsidRDefault="00B12961" w:rsidP="00785E6E">
      <w:pPr>
        <w:pStyle w:val="21"/>
        <w:ind w:left="850" w:firstLine="566"/>
      </w:pPr>
      <w:r>
        <w:rPr>
          <w:rFonts w:hint="eastAsia"/>
        </w:rPr>
        <w:t>依</w:t>
      </w:r>
      <w:r w:rsidRPr="00AB78AB">
        <w:rPr>
          <w:rFonts w:hint="eastAsia"/>
        </w:rPr>
        <w:t>反托拉斯基金收支保管及運用辦法第3條規定：「本基金之來源如下：一、提撥違反本法罰鍰之</w:t>
      </w:r>
      <w:r>
        <w:rPr>
          <w:rFonts w:hint="eastAsia"/>
        </w:rPr>
        <w:t>30%</w:t>
      </w:r>
      <w:r w:rsidRPr="00AB78AB">
        <w:rPr>
          <w:rFonts w:hint="eastAsia"/>
        </w:rPr>
        <w:t>。二、</w:t>
      </w:r>
      <w:r w:rsidRPr="00C934B2">
        <w:rPr>
          <w:rFonts w:hint="eastAsia"/>
          <w:u w:val="single"/>
        </w:rPr>
        <w:t>基金孳息收入</w:t>
      </w:r>
      <w:r w:rsidRPr="00AB78AB">
        <w:rPr>
          <w:rFonts w:hint="eastAsia"/>
        </w:rPr>
        <w:t>。</w:t>
      </w:r>
      <w:r w:rsidRPr="00311F74">
        <w:rPr>
          <w:rFonts w:hAnsi="標楷體"/>
        </w:rPr>
        <w:t>…</w:t>
      </w:r>
      <w:r w:rsidRPr="00311F74">
        <w:rPr>
          <w:rFonts w:hAnsi="標楷體" w:hint="eastAsia"/>
        </w:rPr>
        <w:t>。</w:t>
      </w:r>
      <w:r w:rsidRPr="00AB78AB">
        <w:rPr>
          <w:rFonts w:hint="eastAsia"/>
        </w:rPr>
        <w:t>」</w:t>
      </w:r>
      <w:r>
        <w:rPr>
          <w:rFonts w:hint="eastAsia"/>
        </w:rPr>
        <w:t>檢視反托拉斯基金近5年</w:t>
      </w:r>
      <w:r w:rsidRPr="00D21112">
        <w:rPr>
          <w:rFonts w:hAnsi="標楷體" w:hint="eastAsia"/>
        </w:rPr>
        <w:t>餘裕資金運用配置及其孳息收入概況</w:t>
      </w:r>
      <w:r>
        <w:rPr>
          <w:rFonts w:hint="eastAsia"/>
        </w:rPr>
        <w:t>(詳表2)，該基金每年度餘裕資金概呈下降趨勢，112年度已低於9億元，其配置方式為4億9,000萬元固定作為定期存款，其餘金額均為活期存款</w:t>
      </w:r>
      <w:r w:rsidRPr="009C13AF">
        <w:rPr>
          <w:rFonts w:hint="eastAsia"/>
        </w:rPr>
        <w:t>。</w:t>
      </w:r>
      <w:r>
        <w:rPr>
          <w:rFonts w:hint="eastAsia"/>
        </w:rPr>
        <w:t>復依前述</w:t>
      </w:r>
      <w:r w:rsidRPr="00AB78AB">
        <w:rPr>
          <w:rFonts w:hint="eastAsia"/>
        </w:rPr>
        <w:t>辦法第5、6</w:t>
      </w:r>
      <w:r>
        <w:rPr>
          <w:rFonts w:hint="eastAsia"/>
        </w:rPr>
        <w:t>條</w:t>
      </w:r>
      <w:r w:rsidRPr="00AB78AB">
        <w:rPr>
          <w:rFonts w:hint="eastAsia"/>
        </w:rPr>
        <w:t>規定：「本基金之</w:t>
      </w:r>
      <w:r w:rsidRPr="00E00960">
        <w:rPr>
          <w:rFonts w:hint="eastAsia"/>
          <w:u w:val="single"/>
        </w:rPr>
        <w:t>保管及運用應注重收益性及安全性</w:t>
      </w:r>
      <w:r w:rsidRPr="00AB78AB">
        <w:rPr>
          <w:rFonts w:hint="eastAsia"/>
        </w:rPr>
        <w:t>，其存儲並應依公庫法及其相關法令規定辦理。」、「本基金</w:t>
      </w:r>
      <w:r w:rsidRPr="00E00960">
        <w:rPr>
          <w:rFonts w:hint="eastAsia"/>
          <w:u w:val="single"/>
        </w:rPr>
        <w:t>為應業務需要，得購買政府公債、國庫券或其他短期票券</w:t>
      </w:r>
      <w:r w:rsidRPr="00AB78AB">
        <w:rPr>
          <w:rFonts w:hint="eastAsia"/>
        </w:rPr>
        <w:t>。</w:t>
      </w:r>
      <w:r>
        <w:rPr>
          <w:rFonts w:hAnsi="標楷體" w:hint="eastAsia"/>
        </w:rPr>
        <w:t>」</w:t>
      </w:r>
      <w:r w:rsidRPr="0074416E">
        <w:rPr>
          <w:rFonts w:hAnsi="標楷體" w:hint="eastAsia"/>
        </w:rPr>
        <w:t>是以，</w:t>
      </w:r>
      <w:r w:rsidRPr="00D22109">
        <w:rPr>
          <w:rFonts w:hint="eastAsia"/>
        </w:rPr>
        <w:t>反托拉斯基金對餘裕基金之保管及運用，允應兼顧收益性及安全性，</w:t>
      </w:r>
      <w:r>
        <w:rPr>
          <w:rFonts w:hint="eastAsia"/>
        </w:rPr>
        <w:t>研議</w:t>
      </w:r>
      <w:r w:rsidRPr="00D22109">
        <w:rPr>
          <w:rFonts w:hint="eastAsia"/>
        </w:rPr>
        <w:t>將部分基金投資於政府公債、國庫券或其他短期票券，以分散風險並提升基金運用效益。</w:t>
      </w:r>
    </w:p>
    <w:p w:rsidR="00B12961" w:rsidRDefault="00B12961" w:rsidP="00C65DDF">
      <w:pPr>
        <w:ind w:left="566" w:firstLine="566"/>
        <w:rPr>
          <w:rFonts w:hAnsi="標楷體"/>
        </w:rPr>
      </w:pPr>
      <w:r>
        <w:rPr>
          <w:rFonts w:hint="eastAsia"/>
        </w:rPr>
        <w:t>綜上</w:t>
      </w:r>
      <w:r>
        <w:rPr>
          <w:rFonts w:hAnsi="標楷體" w:hint="eastAsia"/>
        </w:rPr>
        <w:t>，反托拉斯基金近5年基金來源未明顯提升，且基金用途逐年攀升，致112年度短絀達</w:t>
      </w:r>
      <w:r w:rsidRPr="00A95E0C">
        <w:rPr>
          <w:rFonts w:hAnsi="標楷體" w:hint="eastAsia"/>
        </w:rPr>
        <w:t>5,596萬9千元，</w:t>
      </w:r>
      <w:r>
        <w:rPr>
          <w:rFonts w:hAnsi="標楷體" w:hint="eastAsia"/>
        </w:rPr>
        <w:t>較111年度短絀增加1.01倍，</w:t>
      </w:r>
      <w:r w:rsidRPr="003965D5">
        <w:rPr>
          <w:rFonts w:hAnsi="標楷體" w:hint="eastAsia"/>
        </w:rPr>
        <w:t>允宜於兼顧風險控管下，妥適規劃配置餘裕資金，俾提</w:t>
      </w:r>
      <w:r>
        <w:rPr>
          <w:rFonts w:hAnsi="標楷體" w:hint="eastAsia"/>
        </w:rPr>
        <w:t>高</w:t>
      </w:r>
      <w:r w:rsidRPr="003965D5">
        <w:rPr>
          <w:rFonts w:hAnsi="標楷體" w:hint="eastAsia"/>
        </w:rPr>
        <w:t>收益</w:t>
      </w:r>
      <w:r>
        <w:rPr>
          <w:rFonts w:hAnsi="標楷體" w:hint="eastAsia"/>
        </w:rPr>
        <w:t>。</w:t>
      </w:r>
    </w:p>
    <w:bookmarkEnd w:id="5"/>
    <w:p w:rsidR="00B12961" w:rsidRDefault="00B12961" w:rsidP="00A95E0C">
      <w:pPr>
        <w:adjustRightInd w:val="0"/>
        <w:ind w:leftChars="0" w:left="709" w:hangingChars="250" w:hanging="709"/>
        <w:jc w:val="left"/>
        <w:rPr>
          <w:rFonts w:hAnsi="標楷體"/>
          <w:sz w:val="24"/>
        </w:rPr>
      </w:pPr>
      <w:r>
        <w:rPr>
          <w:rFonts w:hAnsi="標楷體" w:hint="eastAsia"/>
          <w:b/>
        </w:rPr>
        <w:t xml:space="preserve">表2  </w:t>
      </w:r>
      <w:r w:rsidRPr="00D21112">
        <w:rPr>
          <w:rFonts w:hAnsi="標楷體" w:hint="eastAsia"/>
          <w:b/>
        </w:rPr>
        <w:t>10</w:t>
      </w:r>
      <w:r>
        <w:rPr>
          <w:rFonts w:hAnsi="標楷體" w:hint="eastAsia"/>
          <w:b/>
        </w:rPr>
        <w:t>8</w:t>
      </w:r>
      <w:r w:rsidRPr="00D21112">
        <w:rPr>
          <w:rFonts w:hAnsi="標楷體" w:hint="eastAsia"/>
          <w:b/>
        </w:rPr>
        <w:t>至1</w:t>
      </w:r>
      <w:r>
        <w:rPr>
          <w:rFonts w:hAnsi="標楷體" w:hint="eastAsia"/>
          <w:b/>
        </w:rPr>
        <w:t xml:space="preserve">12年度反托拉斯基金之餘裕資金運用配置及其孳息收入概況                                    </w:t>
      </w:r>
      <w:r w:rsidRPr="00D21112">
        <w:rPr>
          <w:rFonts w:hAnsi="標楷體" w:hint="eastAsia"/>
          <w:sz w:val="24"/>
        </w:rPr>
        <w:t>單位：新臺幣千元；%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1"/>
        <w:gridCol w:w="1285"/>
        <w:gridCol w:w="1251"/>
        <w:gridCol w:w="1253"/>
        <w:gridCol w:w="1251"/>
        <w:gridCol w:w="1253"/>
        <w:gridCol w:w="1246"/>
      </w:tblGrid>
      <w:tr w:rsidR="00B12961" w:rsidRPr="00A74B8D" w:rsidTr="00A95E0C">
        <w:trPr>
          <w:trHeight w:val="20"/>
          <w:tblHeader/>
        </w:trPr>
        <w:tc>
          <w:tcPr>
            <w:tcW w:w="1346" w:type="pct"/>
            <w:gridSpan w:val="2"/>
            <w:shd w:val="clear" w:color="auto" w:fill="auto"/>
            <w:vAlign w:val="center"/>
            <w:hideMark/>
          </w:tcPr>
          <w:p w:rsidR="00B12961" w:rsidRPr="00A74B8D" w:rsidRDefault="00B12961" w:rsidP="00180964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  <w:lang w:eastAsia="zh-HK"/>
              </w:rPr>
              <w:t>項目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180964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108年度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180964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109</w:t>
            </w:r>
            <w:r w:rsidRPr="00A74B8D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180964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110</w:t>
            </w:r>
            <w:r w:rsidRPr="00A74B8D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180964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111</w:t>
            </w:r>
            <w:r w:rsidRPr="00A74B8D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74B8D" w:rsidRDefault="00B12961" w:rsidP="00180964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112</w:t>
            </w:r>
            <w:r w:rsidRPr="00A74B8D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年度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 w:val="restar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活期存款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配置金額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497,214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504,264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478,275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452,754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392,59</w:t>
            </w:r>
            <w:r w:rsidRPr="00A95E0C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孳息收入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419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253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199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76</w:t>
            </w:r>
            <w:r w:rsidRPr="00A95E0C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2,359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利率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0.08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0.04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0.04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0.170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0.</w:t>
            </w:r>
            <w:r w:rsidRPr="00A95E0C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601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 w:val="restar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定期存款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配置金額</w:t>
            </w:r>
          </w:p>
        </w:tc>
        <w:tc>
          <w:tcPr>
            <w:tcW w:w="731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490,000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490,000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490,000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490,000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490,000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孳息收入</w:t>
            </w:r>
          </w:p>
        </w:tc>
        <w:tc>
          <w:tcPr>
            <w:tcW w:w="731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1,081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1,147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1,267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1,76</w:t>
            </w:r>
            <w:r w:rsidRPr="00A95E0C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4,73</w:t>
            </w:r>
            <w:r w:rsidRPr="00A95E0C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利率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0.23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0.23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0.26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0.359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95E0C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95E0C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0.</w:t>
            </w:r>
            <w:r w:rsidRPr="00A95E0C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966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 w:val="restar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政府公債或國庫券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配置金額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孳息收入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無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利率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 w:val="restar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配置金額</w:t>
            </w:r>
          </w:p>
        </w:tc>
        <w:tc>
          <w:tcPr>
            <w:tcW w:w="731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987,214</w:t>
            </w:r>
          </w:p>
        </w:tc>
        <w:tc>
          <w:tcPr>
            <w:tcW w:w="732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994,264</w:t>
            </w:r>
          </w:p>
        </w:tc>
        <w:tc>
          <w:tcPr>
            <w:tcW w:w="731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968,275</w:t>
            </w:r>
          </w:p>
        </w:tc>
        <w:tc>
          <w:tcPr>
            <w:tcW w:w="732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942</w:t>
            </w:r>
            <w:r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754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882</w:t>
            </w:r>
            <w:r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529</w:t>
            </w:r>
          </w:p>
        </w:tc>
      </w:tr>
      <w:tr w:rsidR="00B12961" w:rsidRPr="00A74B8D" w:rsidTr="00A95E0C">
        <w:trPr>
          <w:trHeight w:val="20"/>
        </w:trPr>
        <w:tc>
          <w:tcPr>
            <w:tcW w:w="596" w:type="pct"/>
            <w:vMerge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孳息收入</w:t>
            </w:r>
          </w:p>
        </w:tc>
        <w:tc>
          <w:tcPr>
            <w:tcW w:w="731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1,500</w:t>
            </w:r>
          </w:p>
        </w:tc>
        <w:tc>
          <w:tcPr>
            <w:tcW w:w="732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1,400</w:t>
            </w:r>
          </w:p>
        </w:tc>
        <w:tc>
          <w:tcPr>
            <w:tcW w:w="731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A74B8D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1,466</w:t>
            </w:r>
          </w:p>
        </w:tc>
        <w:tc>
          <w:tcPr>
            <w:tcW w:w="732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530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B12961" w:rsidRPr="00A74B8D" w:rsidRDefault="00B12961" w:rsidP="00A95E0C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7</w:t>
            </w:r>
            <w:r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091</w:t>
            </w:r>
          </w:p>
        </w:tc>
      </w:tr>
    </w:tbl>
    <w:p w:rsidR="00B12961" w:rsidRDefault="00B12961" w:rsidP="00A95E0C">
      <w:pPr>
        <w:pStyle w:val="142"/>
        <w:ind w:left="1094" w:hangingChars="450" w:hanging="1094"/>
      </w:pPr>
      <w:r>
        <w:rPr>
          <w:rFonts w:hint="eastAsia"/>
        </w:rPr>
        <w:t>說    明：108至112年度為審定決算數</w:t>
      </w:r>
      <w:r>
        <w:rPr>
          <w:rFonts w:hAnsi="標楷體" w:hint="eastAsia"/>
        </w:rPr>
        <w:t>。</w:t>
      </w:r>
    </w:p>
    <w:p w:rsidR="00B12961" w:rsidRPr="00B917B4" w:rsidRDefault="00B12961" w:rsidP="00A95E0C">
      <w:pPr>
        <w:pStyle w:val="142"/>
        <w:ind w:left="1094" w:hangingChars="450" w:hanging="1094"/>
        <w:rPr>
          <w:rFonts w:hint="eastAsia"/>
        </w:rPr>
      </w:pPr>
      <w:r w:rsidRPr="00CD6158">
        <w:rPr>
          <w:rFonts w:hint="eastAsia"/>
        </w:rPr>
        <w:t>資料來源</w:t>
      </w:r>
      <w:r>
        <w:rPr>
          <w:rFonts w:hAnsi="標楷體" w:hint="eastAsia"/>
        </w:rPr>
        <w:t>：公平會提供。</w:t>
      </w:r>
    </w:p>
    <w:p w:rsidR="00D27205" w:rsidRDefault="00B12961" w:rsidP="00F21417">
      <w:pPr>
        <w:pStyle w:val="ac"/>
        <w:rPr>
          <w:rFonts w:hAnsi="標楷體"/>
        </w:rPr>
      </w:pPr>
      <w:r w:rsidRPr="00963945">
        <w:rPr>
          <w:rStyle w:val="ad"/>
          <w:rFonts w:hint="eastAsia"/>
        </w:rPr>
        <w:t>（分機：1922  羅玉姍）</w:t>
      </w:r>
      <w:bookmarkEnd w:id="0"/>
      <w:bookmarkEnd w:id="2"/>
      <w:bookmarkEnd w:id="3"/>
      <w:bookmarkEnd w:id="4"/>
    </w:p>
    <w:sectPr w:rsidR="00D27205" w:rsidSect="003145FD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43" w:rsidRDefault="008E3D43" w:rsidP="00F6734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C16" w:rsidRPr="003145FD" w:rsidRDefault="00F86C16" w:rsidP="00F86C16">
    <w:pPr>
      <w:pStyle w:val="af1"/>
      <w:ind w:leftChars="0" w:left="0" w:firstLineChars="0" w:firstLine="0"/>
      <w:jc w:val="center"/>
      <w:rPr>
        <w:noProof/>
        <w:lang w:val="zh-TW"/>
      </w:rPr>
    </w:pPr>
    <w:r w:rsidRPr="003145FD">
      <w:rPr>
        <w:noProof/>
        <w:lang w:val="zh-TW"/>
      </w:rPr>
      <w:fldChar w:fldCharType="begin"/>
    </w:r>
    <w:r w:rsidRPr="003145FD">
      <w:rPr>
        <w:noProof/>
        <w:lang w:val="zh-TW"/>
      </w:rPr>
      <w:instrText>PAGE   \* MERGEFORMAT</w:instrText>
    </w:r>
    <w:r w:rsidRPr="003145FD">
      <w:rPr>
        <w:noProof/>
        <w:lang w:val="zh-TW"/>
      </w:rPr>
      <w:fldChar w:fldCharType="separate"/>
    </w:r>
    <w:r w:rsidR="00690484">
      <w:rPr>
        <w:noProof/>
        <w:lang w:val="zh-TW"/>
      </w:rPr>
      <w:t>2</w:t>
    </w:r>
    <w:r w:rsidRPr="003145FD">
      <w:rPr>
        <w:noProof/>
        <w:lang w:val="zh-TW"/>
      </w:rPr>
      <w:fldChar w:fldCharType="end"/>
    </w:r>
  </w:p>
  <w:p w:rsidR="00F86C16" w:rsidRDefault="00F86C16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43" w:rsidRDefault="008E3D43" w:rsidP="00B67D8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605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6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94D"/>
    <w:rsid w:val="00001C51"/>
    <w:rsid w:val="00001F3C"/>
    <w:rsid w:val="00002110"/>
    <w:rsid w:val="00003573"/>
    <w:rsid w:val="00004F1D"/>
    <w:rsid w:val="0000569D"/>
    <w:rsid w:val="0000588D"/>
    <w:rsid w:val="000064D0"/>
    <w:rsid w:val="00006664"/>
    <w:rsid w:val="000068DE"/>
    <w:rsid w:val="00007CA6"/>
    <w:rsid w:val="00010892"/>
    <w:rsid w:val="00011252"/>
    <w:rsid w:val="00012C3F"/>
    <w:rsid w:val="000135DF"/>
    <w:rsid w:val="00015F99"/>
    <w:rsid w:val="00016B34"/>
    <w:rsid w:val="00017307"/>
    <w:rsid w:val="000201F1"/>
    <w:rsid w:val="00020F14"/>
    <w:rsid w:val="00020F8E"/>
    <w:rsid w:val="00022533"/>
    <w:rsid w:val="0002428F"/>
    <w:rsid w:val="0002445F"/>
    <w:rsid w:val="0002479F"/>
    <w:rsid w:val="00024CE2"/>
    <w:rsid w:val="0002564C"/>
    <w:rsid w:val="0002571B"/>
    <w:rsid w:val="00025CE0"/>
    <w:rsid w:val="00026475"/>
    <w:rsid w:val="000278EE"/>
    <w:rsid w:val="00030FCE"/>
    <w:rsid w:val="000322E9"/>
    <w:rsid w:val="00032E8E"/>
    <w:rsid w:val="000354E6"/>
    <w:rsid w:val="00035E39"/>
    <w:rsid w:val="000365E5"/>
    <w:rsid w:val="00036B95"/>
    <w:rsid w:val="00036DEF"/>
    <w:rsid w:val="000378BC"/>
    <w:rsid w:val="00040079"/>
    <w:rsid w:val="00040609"/>
    <w:rsid w:val="00045F9C"/>
    <w:rsid w:val="000460C7"/>
    <w:rsid w:val="000466E8"/>
    <w:rsid w:val="00046AA6"/>
    <w:rsid w:val="00046C1B"/>
    <w:rsid w:val="000474DB"/>
    <w:rsid w:val="00051E3B"/>
    <w:rsid w:val="00053018"/>
    <w:rsid w:val="0005307F"/>
    <w:rsid w:val="00053960"/>
    <w:rsid w:val="000550E6"/>
    <w:rsid w:val="00055AC2"/>
    <w:rsid w:val="0005696D"/>
    <w:rsid w:val="00056C6E"/>
    <w:rsid w:val="00057491"/>
    <w:rsid w:val="000616F2"/>
    <w:rsid w:val="00061D16"/>
    <w:rsid w:val="00063A55"/>
    <w:rsid w:val="00063B89"/>
    <w:rsid w:val="00064B42"/>
    <w:rsid w:val="000652C2"/>
    <w:rsid w:val="0006569C"/>
    <w:rsid w:val="0006651C"/>
    <w:rsid w:val="00066CF8"/>
    <w:rsid w:val="000677F7"/>
    <w:rsid w:val="00073673"/>
    <w:rsid w:val="000768DE"/>
    <w:rsid w:val="00076AE4"/>
    <w:rsid w:val="00076CEE"/>
    <w:rsid w:val="0007765F"/>
    <w:rsid w:val="000779E5"/>
    <w:rsid w:val="000815DE"/>
    <w:rsid w:val="0008234E"/>
    <w:rsid w:val="00082513"/>
    <w:rsid w:val="00083623"/>
    <w:rsid w:val="00084DEC"/>
    <w:rsid w:val="00084F05"/>
    <w:rsid w:val="00085323"/>
    <w:rsid w:val="000858F6"/>
    <w:rsid w:val="00086183"/>
    <w:rsid w:val="00086A83"/>
    <w:rsid w:val="00087417"/>
    <w:rsid w:val="00091B15"/>
    <w:rsid w:val="00092541"/>
    <w:rsid w:val="00092A2A"/>
    <w:rsid w:val="00093EBA"/>
    <w:rsid w:val="00096A2F"/>
    <w:rsid w:val="00097443"/>
    <w:rsid w:val="00097BF4"/>
    <w:rsid w:val="00097EDB"/>
    <w:rsid w:val="000A0AE0"/>
    <w:rsid w:val="000A0D53"/>
    <w:rsid w:val="000A2D58"/>
    <w:rsid w:val="000A3E38"/>
    <w:rsid w:val="000A51C5"/>
    <w:rsid w:val="000A6298"/>
    <w:rsid w:val="000A6D65"/>
    <w:rsid w:val="000A6E4D"/>
    <w:rsid w:val="000A7344"/>
    <w:rsid w:val="000A7802"/>
    <w:rsid w:val="000B0331"/>
    <w:rsid w:val="000B1086"/>
    <w:rsid w:val="000B1C6B"/>
    <w:rsid w:val="000B1CB0"/>
    <w:rsid w:val="000B4282"/>
    <w:rsid w:val="000B444A"/>
    <w:rsid w:val="000B4D9B"/>
    <w:rsid w:val="000B608C"/>
    <w:rsid w:val="000B62C9"/>
    <w:rsid w:val="000B64B0"/>
    <w:rsid w:val="000C0395"/>
    <w:rsid w:val="000C05E7"/>
    <w:rsid w:val="000C0FFF"/>
    <w:rsid w:val="000C1087"/>
    <w:rsid w:val="000C39B2"/>
    <w:rsid w:val="000C3C99"/>
    <w:rsid w:val="000C62A3"/>
    <w:rsid w:val="000C702F"/>
    <w:rsid w:val="000D08AD"/>
    <w:rsid w:val="000D1A59"/>
    <w:rsid w:val="000D1DCC"/>
    <w:rsid w:val="000D1E79"/>
    <w:rsid w:val="000D25A0"/>
    <w:rsid w:val="000D3E00"/>
    <w:rsid w:val="000D48E3"/>
    <w:rsid w:val="000D4AF9"/>
    <w:rsid w:val="000D5189"/>
    <w:rsid w:val="000D6939"/>
    <w:rsid w:val="000D6C70"/>
    <w:rsid w:val="000D71FC"/>
    <w:rsid w:val="000D7400"/>
    <w:rsid w:val="000D7AD8"/>
    <w:rsid w:val="000D7B18"/>
    <w:rsid w:val="000E17B9"/>
    <w:rsid w:val="000E2249"/>
    <w:rsid w:val="000E338B"/>
    <w:rsid w:val="000E3954"/>
    <w:rsid w:val="000E43A6"/>
    <w:rsid w:val="000E4C20"/>
    <w:rsid w:val="000E5E52"/>
    <w:rsid w:val="000E706E"/>
    <w:rsid w:val="000E79E3"/>
    <w:rsid w:val="000F11AD"/>
    <w:rsid w:val="000F1DC7"/>
    <w:rsid w:val="000F261C"/>
    <w:rsid w:val="000F3427"/>
    <w:rsid w:val="000F495F"/>
    <w:rsid w:val="000F4AB2"/>
    <w:rsid w:val="000F4E85"/>
    <w:rsid w:val="000F5240"/>
    <w:rsid w:val="000F5735"/>
    <w:rsid w:val="000F596F"/>
    <w:rsid w:val="000F5D52"/>
    <w:rsid w:val="000F6853"/>
    <w:rsid w:val="000F6986"/>
    <w:rsid w:val="000F7501"/>
    <w:rsid w:val="000F7C3C"/>
    <w:rsid w:val="00102BA0"/>
    <w:rsid w:val="00102DAC"/>
    <w:rsid w:val="001035FA"/>
    <w:rsid w:val="001036BE"/>
    <w:rsid w:val="001047E0"/>
    <w:rsid w:val="00104C1F"/>
    <w:rsid w:val="00104CAA"/>
    <w:rsid w:val="0010533E"/>
    <w:rsid w:val="00105660"/>
    <w:rsid w:val="00105E33"/>
    <w:rsid w:val="00106145"/>
    <w:rsid w:val="00107786"/>
    <w:rsid w:val="0011154D"/>
    <w:rsid w:val="00111C05"/>
    <w:rsid w:val="00111F7F"/>
    <w:rsid w:val="00112477"/>
    <w:rsid w:val="00113D4A"/>
    <w:rsid w:val="00114042"/>
    <w:rsid w:val="001146A5"/>
    <w:rsid w:val="00115FC5"/>
    <w:rsid w:val="00116BF8"/>
    <w:rsid w:val="00117AC5"/>
    <w:rsid w:val="00117E5E"/>
    <w:rsid w:val="001201D7"/>
    <w:rsid w:val="00120E79"/>
    <w:rsid w:val="001211FF"/>
    <w:rsid w:val="0012170E"/>
    <w:rsid w:val="00121893"/>
    <w:rsid w:val="00122655"/>
    <w:rsid w:val="0012290E"/>
    <w:rsid w:val="00123DD9"/>
    <w:rsid w:val="00125501"/>
    <w:rsid w:val="00125618"/>
    <w:rsid w:val="00125A9A"/>
    <w:rsid w:val="001263D5"/>
    <w:rsid w:val="00126880"/>
    <w:rsid w:val="00126FC2"/>
    <w:rsid w:val="00127014"/>
    <w:rsid w:val="001271DC"/>
    <w:rsid w:val="0012793D"/>
    <w:rsid w:val="001303EA"/>
    <w:rsid w:val="00130AD0"/>
    <w:rsid w:val="00130D1E"/>
    <w:rsid w:val="00131EC0"/>
    <w:rsid w:val="00132857"/>
    <w:rsid w:val="00132FD4"/>
    <w:rsid w:val="001335E6"/>
    <w:rsid w:val="00133A34"/>
    <w:rsid w:val="00134A9C"/>
    <w:rsid w:val="00135D34"/>
    <w:rsid w:val="0013639A"/>
    <w:rsid w:val="001367A0"/>
    <w:rsid w:val="0013710A"/>
    <w:rsid w:val="00137328"/>
    <w:rsid w:val="00137C2C"/>
    <w:rsid w:val="001407BE"/>
    <w:rsid w:val="001413DD"/>
    <w:rsid w:val="00142DC4"/>
    <w:rsid w:val="00143060"/>
    <w:rsid w:val="00144EDB"/>
    <w:rsid w:val="00145441"/>
    <w:rsid w:val="00146B68"/>
    <w:rsid w:val="00146F14"/>
    <w:rsid w:val="00146F5E"/>
    <w:rsid w:val="001503EC"/>
    <w:rsid w:val="00150AED"/>
    <w:rsid w:val="00150E30"/>
    <w:rsid w:val="001618A5"/>
    <w:rsid w:val="001619E2"/>
    <w:rsid w:val="00161A7A"/>
    <w:rsid w:val="00161C21"/>
    <w:rsid w:val="0016207B"/>
    <w:rsid w:val="001631C8"/>
    <w:rsid w:val="001637A5"/>
    <w:rsid w:val="001637AE"/>
    <w:rsid w:val="00164296"/>
    <w:rsid w:val="0016577B"/>
    <w:rsid w:val="00165E23"/>
    <w:rsid w:val="00165E5D"/>
    <w:rsid w:val="00170CB1"/>
    <w:rsid w:val="00171006"/>
    <w:rsid w:val="001716DC"/>
    <w:rsid w:val="00171EB1"/>
    <w:rsid w:val="00172C21"/>
    <w:rsid w:val="001732BA"/>
    <w:rsid w:val="0017472E"/>
    <w:rsid w:val="00175DEC"/>
    <w:rsid w:val="0017639C"/>
    <w:rsid w:val="00176B7F"/>
    <w:rsid w:val="00177098"/>
    <w:rsid w:val="00180964"/>
    <w:rsid w:val="00181239"/>
    <w:rsid w:val="00181DCE"/>
    <w:rsid w:val="001828C7"/>
    <w:rsid w:val="00183F46"/>
    <w:rsid w:val="00185091"/>
    <w:rsid w:val="00185CA9"/>
    <w:rsid w:val="001867F4"/>
    <w:rsid w:val="00190E30"/>
    <w:rsid w:val="00191277"/>
    <w:rsid w:val="00192011"/>
    <w:rsid w:val="001920CB"/>
    <w:rsid w:val="00192948"/>
    <w:rsid w:val="00193708"/>
    <w:rsid w:val="00194223"/>
    <w:rsid w:val="00194DF0"/>
    <w:rsid w:val="00195053"/>
    <w:rsid w:val="00195194"/>
    <w:rsid w:val="00195B59"/>
    <w:rsid w:val="00196BA4"/>
    <w:rsid w:val="00196D22"/>
    <w:rsid w:val="001974E2"/>
    <w:rsid w:val="0019776E"/>
    <w:rsid w:val="001A056F"/>
    <w:rsid w:val="001A0CDC"/>
    <w:rsid w:val="001A0D2E"/>
    <w:rsid w:val="001A1E02"/>
    <w:rsid w:val="001A2335"/>
    <w:rsid w:val="001A268E"/>
    <w:rsid w:val="001A313D"/>
    <w:rsid w:val="001A3717"/>
    <w:rsid w:val="001A6A75"/>
    <w:rsid w:val="001A6D51"/>
    <w:rsid w:val="001A7F8D"/>
    <w:rsid w:val="001B113B"/>
    <w:rsid w:val="001B2195"/>
    <w:rsid w:val="001B4333"/>
    <w:rsid w:val="001B5524"/>
    <w:rsid w:val="001B6CEA"/>
    <w:rsid w:val="001B767B"/>
    <w:rsid w:val="001C0A76"/>
    <w:rsid w:val="001C1138"/>
    <w:rsid w:val="001C338A"/>
    <w:rsid w:val="001C45CE"/>
    <w:rsid w:val="001C47FE"/>
    <w:rsid w:val="001C4966"/>
    <w:rsid w:val="001C65C6"/>
    <w:rsid w:val="001D029A"/>
    <w:rsid w:val="001D0337"/>
    <w:rsid w:val="001D2BD1"/>
    <w:rsid w:val="001D2D84"/>
    <w:rsid w:val="001D34CA"/>
    <w:rsid w:val="001D386A"/>
    <w:rsid w:val="001D75F0"/>
    <w:rsid w:val="001E1199"/>
    <w:rsid w:val="001E215A"/>
    <w:rsid w:val="001E2CBE"/>
    <w:rsid w:val="001E34C0"/>
    <w:rsid w:val="001E3718"/>
    <w:rsid w:val="001E3895"/>
    <w:rsid w:val="001E3CC3"/>
    <w:rsid w:val="001E3D50"/>
    <w:rsid w:val="001E6375"/>
    <w:rsid w:val="001E6B15"/>
    <w:rsid w:val="001E7209"/>
    <w:rsid w:val="001E7FF5"/>
    <w:rsid w:val="001F005C"/>
    <w:rsid w:val="001F18AB"/>
    <w:rsid w:val="001F1D22"/>
    <w:rsid w:val="001F2712"/>
    <w:rsid w:val="001F34BB"/>
    <w:rsid w:val="001F6C4E"/>
    <w:rsid w:val="002011A4"/>
    <w:rsid w:val="00201318"/>
    <w:rsid w:val="00201557"/>
    <w:rsid w:val="00202088"/>
    <w:rsid w:val="00203829"/>
    <w:rsid w:val="0020392D"/>
    <w:rsid w:val="00204ED4"/>
    <w:rsid w:val="00205BBB"/>
    <w:rsid w:val="0020724C"/>
    <w:rsid w:val="0020726F"/>
    <w:rsid w:val="00210D5D"/>
    <w:rsid w:val="00211310"/>
    <w:rsid w:val="0021317A"/>
    <w:rsid w:val="002141C3"/>
    <w:rsid w:val="0021469D"/>
    <w:rsid w:val="002151A7"/>
    <w:rsid w:val="002200BB"/>
    <w:rsid w:val="002206BB"/>
    <w:rsid w:val="00224304"/>
    <w:rsid w:val="00224F6E"/>
    <w:rsid w:val="00225AF2"/>
    <w:rsid w:val="00226279"/>
    <w:rsid w:val="00226F4E"/>
    <w:rsid w:val="002273D4"/>
    <w:rsid w:val="0023064A"/>
    <w:rsid w:val="00230D3D"/>
    <w:rsid w:val="00231DE6"/>
    <w:rsid w:val="002327B0"/>
    <w:rsid w:val="00233436"/>
    <w:rsid w:val="00233C06"/>
    <w:rsid w:val="00233D86"/>
    <w:rsid w:val="0023527E"/>
    <w:rsid w:val="00236A34"/>
    <w:rsid w:val="00236B5A"/>
    <w:rsid w:val="00236B95"/>
    <w:rsid w:val="00236E27"/>
    <w:rsid w:val="00237231"/>
    <w:rsid w:val="00237876"/>
    <w:rsid w:val="002437CC"/>
    <w:rsid w:val="002439EF"/>
    <w:rsid w:val="00243C6F"/>
    <w:rsid w:val="0024456C"/>
    <w:rsid w:val="0024584C"/>
    <w:rsid w:val="00247B34"/>
    <w:rsid w:val="00247DC9"/>
    <w:rsid w:val="00250230"/>
    <w:rsid w:val="00250BD6"/>
    <w:rsid w:val="002511B1"/>
    <w:rsid w:val="002512BE"/>
    <w:rsid w:val="00253B04"/>
    <w:rsid w:val="00254C0E"/>
    <w:rsid w:val="00256ABA"/>
    <w:rsid w:val="00257667"/>
    <w:rsid w:val="00257FE2"/>
    <w:rsid w:val="00257FF4"/>
    <w:rsid w:val="00260BD4"/>
    <w:rsid w:val="00261768"/>
    <w:rsid w:val="00262034"/>
    <w:rsid w:val="002623C5"/>
    <w:rsid w:val="00262A9E"/>
    <w:rsid w:val="0026317D"/>
    <w:rsid w:val="00263950"/>
    <w:rsid w:val="002640BC"/>
    <w:rsid w:val="00265AC6"/>
    <w:rsid w:val="002672B3"/>
    <w:rsid w:val="00270703"/>
    <w:rsid w:val="00271177"/>
    <w:rsid w:val="00271CE3"/>
    <w:rsid w:val="00272568"/>
    <w:rsid w:val="002728FD"/>
    <w:rsid w:val="00272A23"/>
    <w:rsid w:val="002734BF"/>
    <w:rsid w:val="00273AC1"/>
    <w:rsid w:val="00273B6E"/>
    <w:rsid w:val="002744F9"/>
    <w:rsid w:val="00274F94"/>
    <w:rsid w:val="00276E63"/>
    <w:rsid w:val="00276E68"/>
    <w:rsid w:val="00277922"/>
    <w:rsid w:val="002806CE"/>
    <w:rsid w:val="00280EC6"/>
    <w:rsid w:val="00282A90"/>
    <w:rsid w:val="00282F8D"/>
    <w:rsid w:val="002839FA"/>
    <w:rsid w:val="0028502B"/>
    <w:rsid w:val="00285159"/>
    <w:rsid w:val="00285877"/>
    <w:rsid w:val="00287296"/>
    <w:rsid w:val="002877DB"/>
    <w:rsid w:val="00287C47"/>
    <w:rsid w:val="0029100D"/>
    <w:rsid w:val="00291EEE"/>
    <w:rsid w:val="002938C1"/>
    <w:rsid w:val="00295AC7"/>
    <w:rsid w:val="002965AF"/>
    <w:rsid w:val="0029753C"/>
    <w:rsid w:val="002A2DA4"/>
    <w:rsid w:val="002A404E"/>
    <w:rsid w:val="002A560F"/>
    <w:rsid w:val="002A5E42"/>
    <w:rsid w:val="002A65AB"/>
    <w:rsid w:val="002B1FA3"/>
    <w:rsid w:val="002B2ABA"/>
    <w:rsid w:val="002B2F43"/>
    <w:rsid w:val="002B398D"/>
    <w:rsid w:val="002B458C"/>
    <w:rsid w:val="002B4812"/>
    <w:rsid w:val="002B5040"/>
    <w:rsid w:val="002B5C18"/>
    <w:rsid w:val="002B5EA7"/>
    <w:rsid w:val="002B76C9"/>
    <w:rsid w:val="002B7916"/>
    <w:rsid w:val="002C0069"/>
    <w:rsid w:val="002C0F7E"/>
    <w:rsid w:val="002C104C"/>
    <w:rsid w:val="002C1827"/>
    <w:rsid w:val="002C26AC"/>
    <w:rsid w:val="002C4BC5"/>
    <w:rsid w:val="002C6231"/>
    <w:rsid w:val="002C68BA"/>
    <w:rsid w:val="002C7E44"/>
    <w:rsid w:val="002D0B03"/>
    <w:rsid w:val="002D2E41"/>
    <w:rsid w:val="002D320A"/>
    <w:rsid w:val="002D3617"/>
    <w:rsid w:val="002D49E1"/>
    <w:rsid w:val="002D5329"/>
    <w:rsid w:val="002D553F"/>
    <w:rsid w:val="002D5EE0"/>
    <w:rsid w:val="002D6698"/>
    <w:rsid w:val="002D681C"/>
    <w:rsid w:val="002D7383"/>
    <w:rsid w:val="002E0771"/>
    <w:rsid w:val="002E0D7C"/>
    <w:rsid w:val="002E2D62"/>
    <w:rsid w:val="002E332E"/>
    <w:rsid w:val="002E4692"/>
    <w:rsid w:val="002E4F70"/>
    <w:rsid w:val="002E64EB"/>
    <w:rsid w:val="002E6EC2"/>
    <w:rsid w:val="002E7AE9"/>
    <w:rsid w:val="002F004E"/>
    <w:rsid w:val="002F0A61"/>
    <w:rsid w:val="002F3891"/>
    <w:rsid w:val="002F3DF7"/>
    <w:rsid w:val="002F50E8"/>
    <w:rsid w:val="002F5600"/>
    <w:rsid w:val="002F57EE"/>
    <w:rsid w:val="002F6509"/>
    <w:rsid w:val="002F6AD3"/>
    <w:rsid w:val="002F735B"/>
    <w:rsid w:val="002F7942"/>
    <w:rsid w:val="00300030"/>
    <w:rsid w:val="00300D8F"/>
    <w:rsid w:val="00301309"/>
    <w:rsid w:val="0030143F"/>
    <w:rsid w:val="0030208B"/>
    <w:rsid w:val="003020E8"/>
    <w:rsid w:val="00302746"/>
    <w:rsid w:val="003028D8"/>
    <w:rsid w:val="0030462A"/>
    <w:rsid w:val="00304E04"/>
    <w:rsid w:val="00306FD9"/>
    <w:rsid w:val="003102F6"/>
    <w:rsid w:val="003109C4"/>
    <w:rsid w:val="00311854"/>
    <w:rsid w:val="00312A99"/>
    <w:rsid w:val="00313923"/>
    <w:rsid w:val="00314391"/>
    <w:rsid w:val="003145FD"/>
    <w:rsid w:val="0031488F"/>
    <w:rsid w:val="00315256"/>
    <w:rsid w:val="003176E5"/>
    <w:rsid w:val="00320E84"/>
    <w:rsid w:val="00321F7E"/>
    <w:rsid w:val="00321F9A"/>
    <w:rsid w:val="0032264E"/>
    <w:rsid w:val="00322798"/>
    <w:rsid w:val="003231BB"/>
    <w:rsid w:val="003233CD"/>
    <w:rsid w:val="00323787"/>
    <w:rsid w:val="00323E1A"/>
    <w:rsid w:val="00324AA3"/>
    <w:rsid w:val="00324E20"/>
    <w:rsid w:val="00324E84"/>
    <w:rsid w:val="003253C2"/>
    <w:rsid w:val="0032579C"/>
    <w:rsid w:val="00325E13"/>
    <w:rsid w:val="003261DC"/>
    <w:rsid w:val="00330B7B"/>
    <w:rsid w:val="00330CBC"/>
    <w:rsid w:val="00330D62"/>
    <w:rsid w:val="003320E8"/>
    <w:rsid w:val="00332590"/>
    <w:rsid w:val="00332C38"/>
    <w:rsid w:val="003342FC"/>
    <w:rsid w:val="0033456D"/>
    <w:rsid w:val="0033626B"/>
    <w:rsid w:val="00336C7B"/>
    <w:rsid w:val="00337C2E"/>
    <w:rsid w:val="003401A8"/>
    <w:rsid w:val="003406B7"/>
    <w:rsid w:val="00341F08"/>
    <w:rsid w:val="00342CE0"/>
    <w:rsid w:val="003432D1"/>
    <w:rsid w:val="0034330F"/>
    <w:rsid w:val="0034335B"/>
    <w:rsid w:val="00344459"/>
    <w:rsid w:val="0034544C"/>
    <w:rsid w:val="00345AC6"/>
    <w:rsid w:val="003461EB"/>
    <w:rsid w:val="00346424"/>
    <w:rsid w:val="003515EC"/>
    <w:rsid w:val="00351A33"/>
    <w:rsid w:val="0035304C"/>
    <w:rsid w:val="00353DAD"/>
    <w:rsid w:val="00353FE7"/>
    <w:rsid w:val="00354CC6"/>
    <w:rsid w:val="00355A6A"/>
    <w:rsid w:val="00356967"/>
    <w:rsid w:val="00357340"/>
    <w:rsid w:val="0035749D"/>
    <w:rsid w:val="003602B4"/>
    <w:rsid w:val="00360AB3"/>
    <w:rsid w:val="00361710"/>
    <w:rsid w:val="00362613"/>
    <w:rsid w:val="00362FE7"/>
    <w:rsid w:val="00363428"/>
    <w:rsid w:val="00363576"/>
    <w:rsid w:val="00363674"/>
    <w:rsid w:val="0036525D"/>
    <w:rsid w:val="003704AE"/>
    <w:rsid w:val="003710ED"/>
    <w:rsid w:val="003713B8"/>
    <w:rsid w:val="00371670"/>
    <w:rsid w:val="00372372"/>
    <w:rsid w:val="00373CD0"/>
    <w:rsid w:val="003742B3"/>
    <w:rsid w:val="00374479"/>
    <w:rsid w:val="00374C8C"/>
    <w:rsid w:val="003768C3"/>
    <w:rsid w:val="00377A1B"/>
    <w:rsid w:val="00377FF0"/>
    <w:rsid w:val="00380D58"/>
    <w:rsid w:val="00383677"/>
    <w:rsid w:val="003836B6"/>
    <w:rsid w:val="003849E9"/>
    <w:rsid w:val="00384EBE"/>
    <w:rsid w:val="00386C14"/>
    <w:rsid w:val="0038756F"/>
    <w:rsid w:val="00391696"/>
    <w:rsid w:val="003918A5"/>
    <w:rsid w:val="0039329A"/>
    <w:rsid w:val="00393BF5"/>
    <w:rsid w:val="00393D83"/>
    <w:rsid w:val="00394D5A"/>
    <w:rsid w:val="003954BD"/>
    <w:rsid w:val="00396134"/>
    <w:rsid w:val="003965D5"/>
    <w:rsid w:val="00396D74"/>
    <w:rsid w:val="003A22D1"/>
    <w:rsid w:val="003A4D28"/>
    <w:rsid w:val="003A50CA"/>
    <w:rsid w:val="003A673B"/>
    <w:rsid w:val="003A6A84"/>
    <w:rsid w:val="003A6B20"/>
    <w:rsid w:val="003A7DF7"/>
    <w:rsid w:val="003A7E6A"/>
    <w:rsid w:val="003B100D"/>
    <w:rsid w:val="003B1361"/>
    <w:rsid w:val="003B2A01"/>
    <w:rsid w:val="003B3F9E"/>
    <w:rsid w:val="003B44AA"/>
    <w:rsid w:val="003B79DC"/>
    <w:rsid w:val="003B7DFD"/>
    <w:rsid w:val="003C0F6F"/>
    <w:rsid w:val="003C1DF3"/>
    <w:rsid w:val="003C31DF"/>
    <w:rsid w:val="003C37B1"/>
    <w:rsid w:val="003C4756"/>
    <w:rsid w:val="003C52D4"/>
    <w:rsid w:val="003C53E3"/>
    <w:rsid w:val="003C68AC"/>
    <w:rsid w:val="003C7597"/>
    <w:rsid w:val="003D0446"/>
    <w:rsid w:val="003D0DC9"/>
    <w:rsid w:val="003D119B"/>
    <w:rsid w:val="003D1AEB"/>
    <w:rsid w:val="003D2230"/>
    <w:rsid w:val="003D2B4D"/>
    <w:rsid w:val="003D419D"/>
    <w:rsid w:val="003D4CE5"/>
    <w:rsid w:val="003D5C62"/>
    <w:rsid w:val="003D6FDE"/>
    <w:rsid w:val="003E1166"/>
    <w:rsid w:val="003E4067"/>
    <w:rsid w:val="003E5589"/>
    <w:rsid w:val="003E5973"/>
    <w:rsid w:val="003E6485"/>
    <w:rsid w:val="003E7C2D"/>
    <w:rsid w:val="003E7F3D"/>
    <w:rsid w:val="003F2FDC"/>
    <w:rsid w:val="003F354E"/>
    <w:rsid w:val="003F505E"/>
    <w:rsid w:val="003F5B41"/>
    <w:rsid w:val="003F6237"/>
    <w:rsid w:val="003F6C2D"/>
    <w:rsid w:val="003F6D67"/>
    <w:rsid w:val="003F7EE1"/>
    <w:rsid w:val="00400E7D"/>
    <w:rsid w:val="00400F05"/>
    <w:rsid w:val="00403E31"/>
    <w:rsid w:val="0040441B"/>
    <w:rsid w:val="004045A0"/>
    <w:rsid w:val="00404B43"/>
    <w:rsid w:val="00404B4E"/>
    <w:rsid w:val="00406222"/>
    <w:rsid w:val="004068B0"/>
    <w:rsid w:val="00406B15"/>
    <w:rsid w:val="00406B9C"/>
    <w:rsid w:val="00406ED1"/>
    <w:rsid w:val="00410453"/>
    <w:rsid w:val="0041192D"/>
    <w:rsid w:val="00411D9F"/>
    <w:rsid w:val="004135BD"/>
    <w:rsid w:val="00414309"/>
    <w:rsid w:val="004149F9"/>
    <w:rsid w:val="00414C95"/>
    <w:rsid w:val="00414FA7"/>
    <w:rsid w:val="00415964"/>
    <w:rsid w:val="004160DD"/>
    <w:rsid w:val="004167CB"/>
    <w:rsid w:val="00416D0A"/>
    <w:rsid w:val="00416E3C"/>
    <w:rsid w:val="0041716D"/>
    <w:rsid w:val="004224E3"/>
    <w:rsid w:val="00422CF1"/>
    <w:rsid w:val="00423780"/>
    <w:rsid w:val="00423FE6"/>
    <w:rsid w:val="004267BA"/>
    <w:rsid w:val="00426F76"/>
    <w:rsid w:val="00427614"/>
    <w:rsid w:val="00430314"/>
    <w:rsid w:val="004310A6"/>
    <w:rsid w:val="00431C24"/>
    <w:rsid w:val="0043284A"/>
    <w:rsid w:val="0043347A"/>
    <w:rsid w:val="004335DF"/>
    <w:rsid w:val="004339DD"/>
    <w:rsid w:val="00433E9A"/>
    <w:rsid w:val="00433EC7"/>
    <w:rsid w:val="00434B39"/>
    <w:rsid w:val="00435A13"/>
    <w:rsid w:val="004369CF"/>
    <w:rsid w:val="00436FA3"/>
    <w:rsid w:val="00437115"/>
    <w:rsid w:val="00437354"/>
    <w:rsid w:val="00441478"/>
    <w:rsid w:val="00441A01"/>
    <w:rsid w:val="00441A87"/>
    <w:rsid w:val="00442172"/>
    <w:rsid w:val="00442C7D"/>
    <w:rsid w:val="00444AEF"/>
    <w:rsid w:val="00444EDD"/>
    <w:rsid w:val="0044748A"/>
    <w:rsid w:val="00450075"/>
    <w:rsid w:val="004507B6"/>
    <w:rsid w:val="00450F4B"/>
    <w:rsid w:val="004516EE"/>
    <w:rsid w:val="00451958"/>
    <w:rsid w:val="00451CB6"/>
    <w:rsid w:val="0045312A"/>
    <w:rsid w:val="00453E43"/>
    <w:rsid w:val="0045441B"/>
    <w:rsid w:val="00456B1D"/>
    <w:rsid w:val="004577B2"/>
    <w:rsid w:val="00457B96"/>
    <w:rsid w:val="00460D52"/>
    <w:rsid w:val="00460DE2"/>
    <w:rsid w:val="00461004"/>
    <w:rsid w:val="00461B0F"/>
    <w:rsid w:val="004626CB"/>
    <w:rsid w:val="004633F2"/>
    <w:rsid w:val="004636C2"/>
    <w:rsid w:val="00464E12"/>
    <w:rsid w:val="00464F3A"/>
    <w:rsid w:val="004705BB"/>
    <w:rsid w:val="0047143B"/>
    <w:rsid w:val="00471B82"/>
    <w:rsid w:val="00471F80"/>
    <w:rsid w:val="00472A39"/>
    <w:rsid w:val="00472F41"/>
    <w:rsid w:val="0047334C"/>
    <w:rsid w:val="00473579"/>
    <w:rsid w:val="004743E1"/>
    <w:rsid w:val="00474588"/>
    <w:rsid w:val="004765D3"/>
    <w:rsid w:val="00480103"/>
    <w:rsid w:val="00480E0F"/>
    <w:rsid w:val="00481BF1"/>
    <w:rsid w:val="00483F66"/>
    <w:rsid w:val="00485792"/>
    <w:rsid w:val="00486F8A"/>
    <w:rsid w:val="00487BEA"/>
    <w:rsid w:val="0049093D"/>
    <w:rsid w:val="0049202C"/>
    <w:rsid w:val="004939AE"/>
    <w:rsid w:val="00493E18"/>
    <w:rsid w:val="00495456"/>
    <w:rsid w:val="004968F3"/>
    <w:rsid w:val="0049696E"/>
    <w:rsid w:val="004979F5"/>
    <w:rsid w:val="004A0AEB"/>
    <w:rsid w:val="004A13C5"/>
    <w:rsid w:val="004A1A1A"/>
    <w:rsid w:val="004A1EED"/>
    <w:rsid w:val="004A2C24"/>
    <w:rsid w:val="004A3B18"/>
    <w:rsid w:val="004A4B1D"/>
    <w:rsid w:val="004A4ECA"/>
    <w:rsid w:val="004A558E"/>
    <w:rsid w:val="004A57C5"/>
    <w:rsid w:val="004A5D7A"/>
    <w:rsid w:val="004A6268"/>
    <w:rsid w:val="004A7A53"/>
    <w:rsid w:val="004B1185"/>
    <w:rsid w:val="004B289E"/>
    <w:rsid w:val="004B34B7"/>
    <w:rsid w:val="004B3F63"/>
    <w:rsid w:val="004B462F"/>
    <w:rsid w:val="004B5C8B"/>
    <w:rsid w:val="004B5EDA"/>
    <w:rsid w:val="004B63F6"/>
    <w:rsid w:val="004B66BE"/>
    <w:rsid w:val="004B6E60"/>
    <w:rsid w:val="004B77C9"/>
    <w:rsid w:val="004C0A8D"/>
    <w:rsid w:val="004C6BF6"/>
    <w:rsid w:val="004C76F3"/>
    <w:rsid w:val="004C77BA"/>
    <w:rsid w:val="004C7B41"/>
    <w:rsid w:val="004C7BD2"/>
    <w:rsid w:val="004C7FB5"/>
    <w:rsid w:val="004C7FE2"/>
    <w:rsid w:val="004D033E"/>
    <w:rsid w:val="004D03FD"/>
    <w:rsid w:val="004D0623"/>
    <w:rsid w:val="004D1C03"/>
    <w:rsid w:val="004D2CAE"/>
    <w:rsid w:val="004D3DEE"/>
    <w:rsid w:val="004D6689"/>
    <w:rsid w:val="004D7079"/>
    <w:rsid w:val="004D7706"/>
    <w:rsid w:val="004D788D"/>
    <w:rsid w:val="004D7A89"/>
    <w:rsid w:val="004E01D1"/>
    <w:rsid w:val="004E042B"/>
    <w:rsid w:val="004E07E6"/>
    <w:rsid w:val="004E093A"/>
    <w:rsid w:val="004E2012"/>
    <w:rsid w:val="004E24A4"/>
    <w:rsid w:val="004E3178"/>
    <w:rsid w:val="004E31D7"/>
    <w:rsid w:val="004E40A8"/>
    <w:rsid w:val="004E49CE"/>
    <w:rsid w:val="004E5ADD"/>
    <w:rsid w:val="004E5D40"/>
    <w:rsid w:val="004E609B"/>
    <w:rsid w:val="004E62B9"/>
    <w:rsid w:val="004E709D"/>
    <w:rsid w:val="004F1B36"/>
    <w:rsid w:val="004F2385"/>
    <w:rsid w:val="004F43B8"/>
    <w:rsid w:val="004F47F4"/>
    <w:rsid w:val="004F5B34"/>
    <w:rsid w:val="004F6C87"/>
    <w:rsid w:val="004F6D88"/>
    <w:rsid w:val="004F7F4A"/>
    <w:rsid w:val="00500045"/>
    <w:rsid w:val="00500921"/>
    <w:rsid w:val="005009A9"/>
    <w:rsid w:val="00501038"/>
    <w:rsid w:val="0050469C"/>
    <w:rsid w:val="005052BB"/>
    <w:rsid w:val="00505380"/>
    <w:rsid w:val="005063BD"/>
    <w:rsid w:val="00506AE7"/>
    <w:rsid w:val="005075EF"/>
    <w:rsid w:val="00507BF2"/>
    <w:rsid w:val="00510FBE"/>
    <w:rsid w:val="00511074"/>
    <w:rsid w:val="005115C0"/>
    <w:rsid w:val="00512006"/>
    <w:rsid w:val="00512125"/>
    <w:rsid w:val="0051276F"/>
    <w:rsid w:val="00512FE8"/>
    <w:rsid w:val="00513365"/>
    <w:rsid w:val="00513A8A"/>
    <w:rsid w:val="00513CEB"/>
    <w:rsid w:val="00514B26"/>
    <w:rsid w:val="0051511C"/>
    <w:rsid w:val="005155ED"/>
    <w:rsid w:val="00516928"/>
    <w:rsid w:val="005176F7"/>
    <w:rsid w:val="005203DC"/>
    <w:rsid w:val="0052102B"/>
    <w:rsid w:val="005212AE"/>
    <w:rsid w:val="00522731"/>
    <w:rsid w:val="005228BB"/>
    <w:rsid w:val="00524DEE"/>
    <w:rsid w:val="00525774"/>
    <w:rsid w:val="005257CE"/>
    <w:rsid w:val="005258C0"/>
    <w:rsid w:val="00525D37"/>
    <w:rsid w:val="00527893"/>
    <w:rsid w:val="00527B23"/>
    <w:rsid w:val="00527B35"/>
    <w:rsid w:val="00530832"/>
    <w:rsid w:val="00530BD5"/>
    <w:rsid w:val="00531315"/>
    <w:rsid w:val="00531662"/>
    <w:rsid w:val="00532453"/>
    <w:rsid w:val="00532783"/>
    <w:rsid w:val="00533A2E"/>
    <w:rsid w:val="00535917"/>
    <w:rsid w:val="00536CAA"/>
    <w:rsid w:val="00537DE5"/>
    <w:rsid w:val="005409E7"/>
    <w:rsid w:val="005410D0"/>
    <w:rsid w:val="00542422"/>
    <w:rsid w:val="00542A1F"/>
    <w:rsid w:val="00546B52"/>
    <w:rsid w:val="0054762B"/>
    <w:rsid w:val="00550320"/>
    <w:rsid w:val="0055037F"/>
    <w:rsid w:val="005506CC"/>
    <w:rsid w:val="00550EFA"/>
    <w:rsid w:val="00552EA4"/>
    <w:rsid w:val="00553A72"/>
    <w:rsid w:val="00553DC7"/>
    <w:rsid w:val="00556EE5"/>
    <w:rsid w:val="005573C2"/>
    <w:rsid w:val="00557E1F"/>
    <w:rsid w:val="005601E9"/>
    <w:rsid w:val="0056107E"/>
    <w:rsid w:val="00561354"/>
    <w:rsid w:val="00561B5D"/>
    <w:rsid w:val="00562987"/>
    <w:rsid w:val="00563D9A"/>
    <w:rsid w:val="005647FF"/>
    <w:rsid w:val="00564C79"/>
    <w:rsid w:val="0056575A"/>
    <w:rsid w:val="005673C2"/>
    <w:rsid w:val="0057073B"/>
    <w:rsid w:val="005710D6"/>
    <w:rsid w:val="00571C99"/>
    <w:rsid w:val="005726D8"/>
    <w:rsid w:val="00573CE0"/>
    <w:rsid w:val="00575834"/>
    <w:rsid w:val="0057595F"/>
    <w:rsid w:val="005813A3"/>
    <w:rsid w:val="005816A7"/>
    <w:rsid w:val="005825F7"/>
    <w:rsid w:val="00583317"/>
    <w:rsid w:val="005839A4"/>
    <w:rsid w:val="00584390"/>
    <w:rsid w:val="00584D52"/>
    <w:rsid w:val="005859A4"/>
    <w:rsid w:val="00586073"/>
    <w:rsid w:val="00587A70"/>
    <w:rsid w:val="005915F0"/>
    <w:rsid w:val="005918DB"/>
    <w:rsid w:val="0059316C"/>
    <w:rsid w:val="00595096"/>
    <w:rsid w:val="00596A34"/>
    <w:rsid w:val="00597CAE"/>
    <w:rsid w:val="005A00B0"/>
    <w:rsid w:val="005A19E5"/>
    <w:rsid w:val="005A34AA"/>
    <w:rsid w:val="005A583A"/>
    <w:rsid w:val="005A58A5"/>
    <w:rsid w:val="005A5A63"/>
    <w:rsid w:val="005A5E49"/>
    <w:rsid w:val="005A69BD"/>
    <w:rsid w:val="005A6B52"/>
    <w:rsid w:val="005A7CF9"/>
    <w:rsid w:val="005B0692"/>
    <w:rsid w:val="005B0927"/>
    <w:rsid w:val="005B1246"/>
    <w:rsid w:val="005B1DD2"/>
    <w:rsid w:val="005B2B86"/>
    <w:rsid w:val="005B33B5"/>
    <w:rsid w:val="005B3D23"/>
    <w:rsid w:val="005B769D"/>
    <w:rsid w:val="005B79EF"/>
    <w:rsid w:val="005C05BC"/>
    <w:rsid w:val="005C135F"/>
    <w:rsid w:val="005C436F"/>
    <w:rsid w:val="005C4DAA"/>
    <w:rsid w:val="005C5224"/>
    <w:rsid w:val="005C5BC6"/>
    <w:rsid w:val="005C5C4A"/>
    <w:rsid w:val="005C6767"/>
    <w:rsid w:val="005C6A2B"/>
    <w:rsid w:val="005C720B"/>
    <w:rsid w:val="005D1CEC"/>
    <w:rsid w:val="005D22E6"/>
    <w:rsid w:val="005D57A3"/>
    <w:rsid w:val="005D5C1E"/>
    <w:rsid w:val="005D6400"/>
    <w:rsid w:val="005E0330"/>
    <w:rsid w:val="005E194D"/>
    <w:rsid w:val="005E2F29"/>
    <w:rsid w:val="005E419F"/>
    <w:rsid w:val="005E59EC"/>
    <w:rsid w:val="005E6CB8"/>
    <w:rsid w:val="005E6FA0"/>
    <w:rsid w:val="005F1041"/>
    <w:rsid w:val="005F1B49"/>
    <w:rsid w:val="005F1C5E"/>
    <w:rsid w:val="005F21D5"/>
    <w:rsid w:val="006001C8"/>
    <w:rsid w:val="00601333"/>
    <w:rsid w:val="00601A4F"/>
    <w:rsid w:val="00602A4A"/>
    <w:rsid w:val="0060522B"/>
    <w:rsid w:val="0060528B"/>
    <w:rsid w:val="00605A27"/>
    <w:rsid w:val="00605A7D"/>
    <w:rsid w:val="00606A42"/>
    <w:rsid w:val="00607AAA"/>
    <w:rsid w:val="00610B3F"/>
    <w:rsid w:val="0061340B"/>
    <w:rsid w:val="006135D5"/>
    <w:rsid w:val="00613E95"/>
    <w:rsid w:val="006144EF"/>
    <w:rsid w:val="00615415"/>
    <w:rsid w:val="00615C9F"/>
    <w:rsid w:val="00615DE6"/>
    <w:rsid w:val="006202A4"/>
    <w:rsid w:val="00620413"/>
    <w:rsid w:val="006221E7"/>
    <w:rsid w:val="00622298"/>
    <w:rsid w:val="00622DD2"/>
    <w:rsid w:val="0062345A"/>
    <w:rsid w:val="00623E8B"/>
    <w:rsid w:val="0062414D"/>
    <w:rsid w:val="00624B77"/>
    <w:rsid w:val="00625AE4"/>
    <w:rsid w:val="006261AE"/>
    <w:rsid w:val="0062654D"/>
    <w:rsid w:val="006272CD"/>
    <w:rsid w:val="00630484"/>
    <w:rsid w:val="0063112D"/>
    <w:rsid w:val="006317E6"/>
    <w:rsid w:val="0063266A"/>
    <w:rsid w:val="00632790"/>
    <w:rsid w:val="006334FD"/>
    <w:rsid w:val="00633504"/>
    <w:rsid w:val="00634258"/>
    <w:rsid w:val="00634A65"/>
    <w:rsid w:val="0063546F"/>
    <w:rsid w:val="00636407"/>
    <w:rsid w:val="0063670B"/>
    <w:rsid w:val="006376AC"/>
    <w:rsid w:val="00640B4E"/>
    <w:rsid w:val="00640CC8"/>
    <w:rsid w:val="0064171E"/>
    <w:rsid w:val="00641941"/>
    <w:rsid w:val="00642971"/>
    <w:rsid w:val="006438A6"/>
    <w:rsid w:val="0064462A"/>
    <w:rsid w:val="00644ECD"/>
    <w:rsid w:val="00645BA9"/>
    <w:rsid w:val="0064642A"/>
    <w:rsid w:val="0064710A"/>
    <w:rsid w:val="00651AE8"/>
    <w:rsid w:val="00651D17"/>
    <w:rsid w:val="00651EDA"/>
    <w:rsid w:val="00652CEF"/>
    <w:rsid w:val="00652DE5"/>
    <w:rsid w:val="00653098"/>
    <w:rsid w:val="00653F52"/>
    <w:rsid w:val="00654059"/>
    <w:rsid w:val="0065430A"/>
    <w:rsid w:val="00654FE2"/>
    <w:rsid w:val="00656A2F"/>
    <w:rsid w:val="00656CF8"/>
    <w:rsid w:val="00656D8C"/>
    <w:rsid w:val="006579A8"/>
    <w:rsid w:val="006601E6"/>
    <w:rsid w:val="006607BA"/>
    <w:rsid w:val="00660999"/>
    <w:rsid w:val="00661B40"/>
    <w:rsid w:val="00662232"/>
    <w:rsid w:val="00662AAF"/>
    <w:rsid w:val="0066464C"/>
    <w:rsid w:val="00665800"/>
    <w:rsid w:val="00665B1E"/>
    <w:rsid w:val="00665C43"/>
    <w:rsid w:val="00665D2B"/>
    <w:rsid w:val="00666878"/>
    <w:rsid w:val="00667254"/>
    <w:rsid w:val="00667ECE"/>
    <w:rsid w:val="006704E6"/>
    <w:rsid w:val="006716AE"/>
    <w:rsid w:val="006718AF"/>
    <w:rsid w:val="00671A1B"/>
    <w:rsid w:val="00672134"/>
    <w:rsid w:val="0067245E"/>
    <w:rsid w:val="00672BFE"/>
    <w:rsid w:val="00673C3F"/>
    <w:rsid w:val="00673DD5"/>
    <w:rsid w:val="006746F5"/>
    <w:rsid w:val="00674BAF"/>
    <w:rsid w:val="00675368"/>
    <w:rsid w:val="006756E2"/>
    <w:rsid w:val="006765D3"/>
    <w:rsid w:val="006771E9"/>
    <w:rsid w:val="006807DC"/>
    <w:rsid w:val="006809D1"/>
    <w:rsid w:val="00681263"/>
    <w:rsid w:val="00681846"/>
    <w:rsid w:val="00682467"/>
    <w:rsid w:val="00682855"/>
    <w:rsid w:val="006836FC"/>
    <w:rsid w:val="0068418A"/>
    <w:rsid w:val="006846B7"/>
    <w:rsid w:val="00685C47"/>
    <w:rsid w:val="0068630E"/>
    <w:rsid w:val="0068657A"/>
    <w:rsid w:val="006866C3"/>
    <w:rsid w:val="00686B7A"/>
    <w:rsid w:val="00686BF9"/>
    <w:rsid w:val="006875F3"/>
    <w:rsid w:val="00687CEB"/>
    <w:rsid w:val="00690484"/>
    <w:rsid w:val="00690783"/>
    <w:rsid w:val="0069118F"/>
    <w:rsid w:val="0069145B"/>
    <w:rsid w:val="00694DA7"/>
    <w:rsid w:val="0069595A"/>
    <w:rsid w:val="0069636C"/>
    <w:rsid w:val="00696BF4"/>
    <w:rsid w:val="006A002D"/>
    <w:rsid w:val="006A0455"/>
    <w:rsid w:val="006A1674"/>
    <w:rsid w:val="006A2185"/>
    <w:rsid w:val="006A28A5"/>
    <w:rsid w:val="006A3007"/>
    <w:rsid w:val="006A370E"/>
    <w:rsid w:val="006A3F23"/>
    <w:rsid w:val="006A4FB3"/>
    <w:rsid w:val="006A5698"/>
    <w:rsid w:val="006A5F1D"/>
    <w:rsid w:val="006B07E3"/>
    <w:rsid w:val="006B0CE3"/>
    <w:rsid w:val="006B1374"/>
    <w:rsid w:val="006B1976"/>
    <w:rsid w:val="006B1F8B"/>
    <w:rsid w:val="006B313A"/>
    <w:rsid w:val="006B380B"/>
    <w:rsid w:val="006B3C3E"/>
    <w:rsid w:val="006B4EC6"/>
    <w:rsid w:val="006B5EDF"/>
    <w:rsid w:val="006B6A31"/>
    <w:rsid w:val="006B6A49"/>
    <w:rsid w:val="006B7A2D"/>
    <w:rsid w:val="006C124B"/>
    <w:rsid w:val="006C13A6"/>
    <w:rsid w:val="006C7880"/>
    <w:rsid w:val="006D10B8"/>
    <w:rsid w:val="006D210B"/>
    <w:rsid w:val="006D2521"/>
    <w:rsid w:val="006D2C5D"/>
    <w:rsid w:val="006D50BE"/>
    <w:rsid w:val="006D66A6"/>
    <w:rsid w:val="006D7D76"/>
    <w:rsid w:val="006E03E8"/>
    <w:rsid w:val="006E0C93"/>
    <w:rsid w:val="006E15EB"/>
    <w:rsid w:val="006E1C45"/>
    <w:rsid w:val="006E2973"/>
    <w:rsid w:val="006E46FE"/>
    <w:rsid w:val="006E61A4"/>
    <w:rsid w:val="006E7629"/>
    <w:rsid w:val="006E79A5"/>
    <w:rsid w:val="006E7F06"/>
    <w:rsid w:val="006F0739"/>
    <w:rsid w:val="006F1671"/>
    <w:rsid w:val="006F400B"/>
    <w:rsid w:val="006F42F7"/>
    <w:rsid w:val="006F5CAB"/>
    <w:rsid w:val="006F68FE"/>
    <w:rsid w:val="006F693A"/>
    <w:rsid w:val="00700574"/>
    <w:rsid w:val="007015A1"/>
    <w:rsid w:val="00701B8D"/>
    <w:rsid w:val="0070224F"/>
    <w:rsid w:val="00704550"/>
    <w:rsid w:val="0070520C"/>
    <w:rsid w:val="00706600"/>
    <w:rsid w:val="007066D7"/>
    <w:rsid w:val="00706A58"/>
    <w:rsid w:val="00707F0F"/>
    <w:rsid w:val="0071074D"/>
    <w:rsid w:val="00710835"/>
    <w:rsid w:val="00710E4B"/>
    <w:rsid w:val="00711EF7"/>
    <w:rsid w:val="0071307F"/>
    <w:rsid w:val="00713854"/>
    <w:rsid w:val="00713F44"/>
    <w:rsid w:val="00714891"/>
    <w:rsid w:val="00714DF7"/>
    <w:rsid w:val="00716386"/>
    <w:rsid w:val="00716B1A"/>
    <w:rsid w:val="00716DC6"/>
    <w:rsid w:val="007179F2"/>
    <w:rsid w:val="00721169"/>
    <w:rsid w:val="00721BE2"/>
    <w:rsid w:val="00721DBD"/>
    <w:rsid w:val="00722569"/>
    <w:rsid w:val="0072347D"/>
    <w:rsid w:val="00724BB5"/>
    <w:rsid w:val="00724E35"/>
    <w:rsid w:val="0072537B"/>
    <w:rsid w:val="007255E1"/>
    <w:rsid w:val="00725601"/>
    <w:rsid w:val="0072596C"/>
    <w:rsid w:val="007307DA"/>
    <w:rsid w:val="00730B6C"/>
    <w:rsid w:val="00733192"/>
    <w:rsid w:val="00733D9D"/>
    <w:rsid w:val="0073589E"/>
    <w:rsid w:val="00736EA9"/>
    <w:rsid w:val="00737870"/>
    <w:rsid w:val="00740B06"/>
    <w:rsid w:val="00740B97"/>
    <w:rsid w:val="00740CCD"/>
    <w:rsid w:val="007416CB"/>
    <w:rsid w:val="00742ABD"/>
    <w:rsid w:val="0074365D"/>
    <w:rsid w:val="007436D6"/>
    <w:rsid w:val="00743C16"/>
    <w:rsid w:val="00743EE6"/>
    <w:rsid w:val="00744408"/>
    <w:rsid w:val="00746DF8"/>
    <w:rsid w:val="007473F5"/>
    <w:rsid w:val="00747D45"/>
    <w:rsid w:val="00750329"/>
    <w:rsid w:val="00750346"/>
    <w:rsid w:val="00751A8D"/>
    <w:rsid w:val="007524E2"/>
    <w:rsid w:val="007536B4"/>
    <w:rsid w:val="00753C2B"/>
    <w:rsid w:val="007543F3"/>
    <w:rsid w:val="00754A15"/>
    <w:rsid w:val="00754D6E"/>
    <w:rsid w:val="00755B68"/>
    <w:rsid w:val="007571F8"/>
    <w:rsid w:val="00761029"/>
    <w:rsid w:val="007617D7"/>
    <w:rsid w:val="00762ABC"/>
    <w:rsid w:val="00763260"/>
    <w:rsid w:val="007637D9"/>
    <w:rsid w:val="00764D86"/>
    <w:rsid w:val="00764DC9"/>
    <w:rsid w:val="0076506A"/>
    <w:rsid w:val="00765B8A"/>
    <w:rsid w:val="007661A2"/>
    <w:rsid w:val="00766467"/>
    <w:rsid w:val="007668C0"/>
    <w:rsid w:val="00767170"/>
    <w:rsid w:val="00770D60"/>
    <w:rsid w:val="0077249D"/>
    <w:rsid w:val="00774328"/>
    <w:rsid w:val="007747D6"/>
    <w:rsid w:val="00774FD8"/>
    <w:rsid w:val="00777DA6"/>
    <w:rsid w:val="007805E3"/>
    <w:rsid w:val="00780794"/>
    <w:rsid w:val="00780A0D"/>
    <w:rsid w:val="00780C33"/>
    <w:rsid w:val="007822B5"/>
    <w:rsid w:val="007839D3"/>
    <w:rsid w:val="00783B00"/>
    <w:rsid w:val="00785E6E"/>
    <w:rsid w:val="007865FF"/>
    <w:rsid w:val="00787B0C"/>
    <w:rsid w:val="00790630"/>
    <w:rsid w:val="00791710"/>
    <w:rsid w:val="0079372C"/>
    <w:rsid w:val="00795730"/>
    <w:rsid w:val="007960B3"/>
    <w:rsid w:val="00796302"/>
    <w:rsid w:val="00796BE4"/>
    <w:rsid w:val="00796C55"/>
    <w:rsid w:val="007A0601"/>
    <w:rsid w:val="007A17F7"/>
    <w:rsid w:val="007A22E1"/>
    <w:rsid w:val="007A30B5"/>
    <w:rsid w:val="007A39DE"/>
    <w:rsid w:val="007A4285"/>
    <w:rsid w:val="007A53CE"/>
    <w:rsid w:val="007A5B3C"/>
    <w:rsid w:val="007B123D"/>
    <w:rsid w:val="007B2BA2"/>
    <w:rsid w:val="007B3C68"/>
    <w:rsid w:val="007B4E56"/>
    <w:rsid w:val="007B5953"/>
    <w:rsid w:val="007B5D89"/>
    <w:rsid w:val="007B5FA3"/>
    <w:rsid w:val="007B6326"/>
    <w:rsid w:val="007B7A78"/>
    <w:rsid w:val="007C0CF3"/>
    <w:rsid w:val="007C15A3"/>
    <w:rsid w:val="007C3524"/>
    <w:rsid w:val="007C3E04"/>
    <w:rsid w:val="007C4CB6"/>
    <w:rsid w:val="007C6E6C"/>
    <w:rsid w:val="007C7B48"/>
    <w:rsid w:val="007D11DA"/>
    <w:rsid w:val="007D3ED3"/>
    <w:rsid w:val="007D45E2"/>
    <w:rsid w:val="007D4DC1"/>
    <w:rsid w:val="007D52AC"/>
    <w:rsid w:val="007D6D54"/>
    <w:rsid w:val="007D78FA"/>
    <w:rsid w:val="007D7C19"/>
    <w:rsid w:val="007E0363"/>
    <w:rsid w:val="007E0D5E"/>
    <w:rsid w:val="007E0E82"/>
    <w:rsid w:val="007E1C8A"/>
    <w:rsid w:val="007E20BC"/>
    <w:rsid w:val="007E2112"/>
    <w:rsid w:val="007E2579"/>
    <w:rsid w:val="007E31FA"/>
    <w:rsid w:val="007E3A3F"/>
    <w:rsid w:val="007E3D23"/>
    <w:rsid w:val="007E41BC"/>
    <w:rsid w:val="007E5238"/>
    <w:rsid w:val="007E5670"/>
    <w:rsid w:val="007E63A7"/>
    <w:rsid w:val="007E772B"/>
    <w:rsid w:val="007E7E12"/>
    <w:rsid w:val="007F01F1"/>
    <w:rsid w:val="007F036A"/>
    <w:rsid w:val="007F0780"/>
    <w:rsid w:val="007F10F9"/>
    <w:rsid w:val="007F1510"/>
    <w:rsid w:val="007F188A"/>
    <w:rsid w:val="007F1F06"/>
    <w:rsid w:val="007F2A8C"/>
    <w:rsid w:val="007F3764"/>
    <w:rsid w:val="007F481A"/>
    <w:rsid w:val="007F4BC2"/>
    <w:rsid w:val="007F4DCB"/>
    <w:rsid w:val="007F5F35"/>
    <w:rsid w:val="007F6661"/>
    <w:rsid w:val="0080001D"/>
    <w:rsid w:val="0080059C"/>
    <w:rsid w:val="008005FF"/>
    <w:rsid w:val="008029FE"/>
    <w:rsid w:val="008040A8"/>
    <w:rsid w:val="00804796"/>
    <w:rsid w:val="00805508"/>
    <w:rsid w:val="00807BD9"/>
    <w:rsid w:val="0081269B"/>
    <w:rsid w:val="008129FE"/>
    <w:rsid w:val="00815836"/>
    <w:rsid w:val="00815B24"/>
    <w:rsid w:val="00816587"/>
    <w:rsid w:val="00816DA1"/>
    <w:rsid w:val="00817ED4"/>
    <w:rsid w:val="00820088"/>
    <w:rsid w:val="00820BD3"/>
    <w:rsid w:val="00823AC0"/>
    <w:rsid w:val="00824B35"/>
    <w:rsid w:val="00826A8D"/>
    <w:rsid w:val="00827CC9"/>
    <w:rsid w:val="00830091"/>
    <w:rsid w:val="0083115E"/>
    <w:rsid w:val="008339FF"/>
    <w:rsid w:val="008340A9"/>
    <w:rsid w:val="008346F8"/>
    <w:rsid w:val="00834FB5"/>
    <w:rsid w:val="0083594D"/>
    <w:rsid w:val="008407D6"/>
    <w:rsid w:val="00840C41"/>
    <w:rsid w:val="008417F9"/>
    <w:rsid w:val="0084361C"/>
    <w:rsid w:val="00843690"/>
    <w:rsid w:val="00845918"/>
    <w:rsid w:val="00845BC8"/>
    <w:rsid w:val="00845E56"/>
    <w:rsid w:val="008461CC"/>
    <w:rsid w:val="00846602"/>
    <w:rsid w:val="00846B1F"/>
    <w:rsid w:val="0085099F"/>
    <w:rsid w:val="0085180B"/>
    <w:rsid w:val="00851F30"/>
    <w:rsid w:val="00852C2C"/>
    <w:rsid w:val="00853ADE"/>
    <w:rsid w:val="00853E4A"/>
    <w:rsid w:val="00854F28"/>
    <w:rsid w:val="0085573A"/>
    <w:rsid w:val="00855DD8"/>
    <w:rsid w:val="00856781"/>
    <w:rsid w:val="00856CA2"/>
    <w:rsid w:val="00857660"/>
    <w:rsid w:val="00857C92"/>
    <w:rsid w:val="008601CB"/>
    <w:rsid w:val="008603CD"/>
    <w:rsid w:val="008629C9"/>
    <w:rsid w:val="00862B0B"/>
    <w:rsid w:val="00862CAE"/>
    <w:rsid w:val="008633C9"/>
    <w:rsid w:val="00863402"/>
    <w:rsid w:val="0086360D"/>
    <w:rsid w:val="008642DF"/>
    <w:rsid w:val="008644C8"/>
    <w:rsid w:val="008665C0"/>
    <w:rsid w:val="00866945"/>
    <w:rsid w:val="00866B05"/>
    <w:rsid w:val="00870FD8"/>
    <w:rsid w:val="00871726"/>
    <w:rsid w:val="00871E9C"/>
    <w:rsid w:val="00872276"/>
    <w:rsid w:val="0087234D"/>
    <w:rsid w:val="00872C09"/>
    <w:rsid w:val="008746CB"/>
    <w:rsid w:val="00874AFD"/>
    <w:rsid w:val="008765D0"/>
    <w:rsid w:val="00876B2A"/>
    <w:rsid w:val="00876EEB"/>
    <w:rsid w:val="00877208"/>
    <w:rsid w:val="0088080E"/>
    <w:rsid w:val="0088273C"/>
    <w:rsid w:val="00883905"/>
    <w:rsid w:val="008844C3"/>
    <w:rsid w:val="00884690"/>
    <w:rsid w:val="00885E7F"/>
    <w:rsid w:val="008878E4"/>
    <w:rsid w:val="00887A4C"/>
    <w:rsid w:val="00887D07"/>
    <w:rsid w:val="00890710"/>
    <w:rsid w:val="00891582"/>
    <w:rsid w:val="00891E7F"/>
    <w:rsid w:val="00891FD2"/>
    <w:rsid w:val="00892B39"/>
    <w:rsid w:val="00893CBE"/>
    <w:rsid w:val="0089483C"/>
    <w:rsid w:val="00896CF0"/>
    <w:rsid w:val="00896D71"/>
    <w:rsid w:val="00896EEE"/>
    <w:rsid w:val="00897390"/>
    <w:rsid w:val="00897786"/>
    <w:rsid w:val="00897C87"/>
    <w:rsid w:val="008A0341"/>
    <w:rsid w:val="008A2142"/>
    <w:rsid w:val="008A2829"/>
    <w:rsid w:val="008A47CB"/>
    <w:rsid w:val="008A613F"/>
    <w:rsid w:val="008A63B0"/>
    <w:rsid w:val="008A64AF"/>
    <w:rsid w:val="008A6B4E"/>
    <w:rsid w:val="008A6F1C"/>
    <w:rsid w:val="008A6F73"/>
    <w:rsid w:val="008A779C"/>
    <w:rsid w:val="008A7B01"/>
    <w:rsid w:val="008B0034"/>
    <w:rsid w:val="008B0B64"/>
    <w:rsid w:val="008B0CF4"/>
    <w:rsid w:val="008B0D71"/>
    <w:rsid w:val="008B2001"/>
    <w:rsid w:val="008B45A7"/>
    <w:rsid w:val="008B57E2"/>
    <w:rsid w:val="008B6142"/>
    <w:rsid w:val="008B6364"/>
    <w:rsid w:val="008B63FB"/>
    <w:rsid w:val="008B6E9D"/>
    <w:rsid w:val="008C0412"/>
    <w:rsid w:val="008C0882"/>
    <w:rsid w:val="008C2AD3"/>
    <w:rsid w:val="008C438F"/>
    <w:rsid w:val="008C5706"/>
    <w:rsid w:val="008C5967"/>
    <w:rsid w:val="008C5DDF"/>
    <w:rsid w:val="008C6AD0"/>
    <w:rsid w:val="008C7564"/>
    <w:rsid w:val="008C76FC"/>
    <w:rsid w:val="008C7A59"/>
    <w:rsid w:val="008C7E1D"/>
    <w:rsid w:val="008D0ED4"/>
    <w:rsid w:val="008D19A4"/>
    <w:rsid w:val="008D3E18"/>
    <w:rsid w:val="008D4584"/>
    <w:rsid w:val="008D77C4"/>
    <w:rsid w:val="008E0714"/>
    <w:rsid w:val="008E21E1"/>
    <w:rsid w:val="008E2369"/>
    <w:rsid w:val="008E2A71"/>
    <w:rsid w:val="008E3AF6"/>
    <w:rsid w:val="008E3D43"/>
    <w:rsid w:val="008E4D57"/>
    <w:rsid w:val="008E5E96"/>
    <w:rsid w:val="008E7D0D"/>
    <w:rsid w:val="008F01F6"/>
    <w:rsid w:val="008F1587"/>
    <w:rsid w:val="008F2F17"/>
    <w:rsid w:val="008F3512"/>
    <w:rsid w:val="008F3E41"/>
    <w:rsid w:val="008F6FF8"/>
    <w:rsid w:val="008F70ED"/>
    <w:rsid w:val="009007F5"/>
    <w:rsid w:val="00900824"/>
    <w:rsid w:val="009009BE"/>
    <w:rsid w:val="00900A2E"/>
    <w:rsid w:val="00901A17"/>
    <w:rsid w:val="00901D69"/>
    <w:rsid w:val="00901D6B"/>
    <w:rsid w:val="00902B61"/>
    <w:rsid w:val="00904DDC"/>
    <w:rsid w:val="0090543C"/>
    <w:rsid w:val="00905B6D"/>
    <w:rsid w:val="0090636E"/>
    <w:rsid w:val="00906B2D"/>
    <w:rsid w:val="00906DAF"/>
    <w:rsid w:val="00906F70"/>
    <w:rsid w:val="0090704D"/>
    <w:rsid w:val="009075AE"/>
    <w:rsid w:val="009076C8"/>
    <w:rsid w:val="009101D0"/>
    <w:rsid w:val="009117FE"/>
    <w:rsid w:val="00911927"/>
    <w:rsid w:val="00911C27"/>
    <w:rsid w:val="00911C63"/>
    <w:rsid w:val="00911DCE"/>
    <w:rsid w:val="00912374"/>
    <w:rsid w:val="009138C7"/>
    <w:rsid w:val="00914646"/>
    <w:rsid w:val="009149FE"/>
    <w:rsid w:val="0091710B"/>
    <w:rsid w:val="00917C13"/>
    <w:rsid w:val="00920241"/>
    <w:rsid w:val="009215A0"/>
    <w:rsid w:val="00924761"/>
    <w:rsid w:val="0092740B"/>
    <w:rsid w:val="00932CC5"/>
    <w:rsid w:val="00933A63"/>
    <w:rsid w:val="00933BEC"/>
    <w:rsid w:val="009342F2"/>
    <w:rsid w:val="00934F89"/>
    <w:rsid w:val="009352D3"/>
    <w:rsid w:val="009354E0"/>
    <w:rsid w:val="00935AF2"/>
    <w:rsid w:val="00935F20"/>
    <w:rsid w:val="00937E09"/>
    <w:rsid w:val="00937F1A"/>
    <w:rsid w:val="00937FE6"/>
    <w:rsid w:val="00940215"/>
    <w:rsid w:val="00941596"/>
    <w:rsid w:val="009419C2"/>
    <w:rsid w:val="00942556"/>
    <w:rsid w:val="00944A8F"/>
    <w:rsid w:val="00944E85"/>
    <w:rsid w:val="00945B94"/>
    <w:rsid w:val="00946500"/>
    <w:rsid w:val="00947CF4"/>
    <w:rsid w:val="009504AD"/>
    <w:rsid w:val="00950A73"/>
    <w:rsid w:val="00953392"/>
    <w:rsid w:val="00954016"/>
    <w:rsid w:val="00954B28"/>
    <w:rsid w:val="00956407"/>
    <w:rsid w:val="00960388"/>
    <w:rsid w:val="009603CF"/>
    <w:rsid w:val="00963657"/>
    <w:rsid w:val="00963945"/>
    <w:rsid w:val="00964889"/>
    <w:rsid w:val="0096666A"/>
    <w:rsid w:val="00966684"/>
    <w:rsid w:val="00966726"/>
    <w:rsid w:val="00967258"/>
    <w:rsid w:val="00967CAA"/>
    <w:rsid w:val="00970C08"/>
    <w:rsid w:val="0097393C"/>
    <w:rsid w:val="00973DA3"/>
    <w:rsid w:val="0097425E"/>
    <w:rsid w:val="0097472A"/>
    <w:rsid w:val="00974769"/>
    <w:rsid w:val="00976B6E"/>
    <w:rsid w:val="00981F8B"/>
    <w:rsid w:val="00982A9F"/>
    <w:rsid w:val="00983484"/>
    <w:rsid w:val="00983AF3"/>
    <w:rsid w:val="0098416E"/>
    <w:rsid w:val="00985185"/>
    <w:rsid w:val="00987E50"/>
    <w:rsid w:val="009900E2"/>
    <w:rsid w:val="00991AA4"/>
    <w:rsid w:val="00993229"/>
    <w:rsid w:val="00994B96"/>
    <w:rsid w:val="00996154"/>
    <w:rsid w:val="00996242"/>
    <w:rsid w:val="009968C4"/>
    <w:rsid w:val="00996CD3"/>
    <w:rsid w:val="00996D19"/>
    <w:rsid w:val="009A1038"/>
    <w:rsid w:val="009A11E2"/>
    <w:rsid w:val="009A173F"/>
    <w:rsid w:val="009A17C9"/>
    <w:rsid w:val="009A197B"/>
    <w:rsid w:val="009A1A57"/>
    <w:rsid w:val="009A30DC"/>
    <w:rsid w:val="009A3238"/>
    <w:rsid w:val="009A48F0"/>
    <w:rsid w:val="009A49E5"/>
    <w:rsid w:val="009A5342"/>
    <w:rsid w:val="009A56B7"/>
    <w:rsid w:val="009A6366"/>
    <w:rsid w:val="009B1094"/>
    <w:rsid w:val="009B12E2"/>
    <w:rsid w:val="009B12EC"/>
    <w:rsid w:val="009B1751"/>
    <w:rsid w:val="009B3100"/>
    <w:rsid w:val="009B35AE"/>
    <w:rsid w:val="009B3E96"/>
    <w:rsid w:val="009B4079"/>
    <w:rsid w:val="009B490E"/>
    <w:rsid w:val="009B508F"/>
    <w:rsid w:val="009B6C9C"/>
    <w:rsid w:val="009C0FAE"/>
    <w:rsid w:val="009C2801"/>
    <w:rsid w:val="009C35DC"/>
    <w:rsid w:val="009C5030"/>
    <w:rsid w:val="009C53F1"/>
    <w:rsid w:val="009C55D1"/>
    <w:rsid w:val="009C584A"/>
    <w:rsid w:val="009C5B39"/>
    <w:rsid w:val="009C6D35"/>
    <w:rsid w:val="009D09DD"/>
    <w:rsid w:val="009D0B0F"/>
    <w:rsid w:val="009D0C5B"/>
    <w:rsid w:val="009D1058"/>
    <w:rsid w:val="009D1550"/>
    <w:rsid w:val="009D345B"/>
    <w:rsid w:val="009D454E"/>
    <w:rsid w:val="009D5C5C"/>
    <w:rsid w:val="009D6CC0"/>
    <w:rsid w:val="009D6FDB"/>
    <w:rsid w:val="009E14F0"/>
    <w:rsid w:val="009E26CF"/>
    <w:rsid w:val="009E2A5D"/>
    <w:rsid w:val="009E3BB1"/>
    <w:rsid w:val="009E48EF"/>
    <w:rsid w:val="009E4F5D"/>
    <w:rsid w:val="009E5497"/>
    <w:rsid w:val="009E5C58"/>
    <w:rsid w:val="009E6619"/>
    <w:rsid w:val="009E6D33"/>
    <w:rsid w:val="009E6FA7"/>
    <w:rsid w:val="009E7629"/>
    <w:rsid w:val="009E7E2A"/>
    <w:rsid w:val="009F043B"/>
    <w:rsid w:val="009F1A99"/>
    <w:rsid w:val="009F1DAB"/>
    <w:rsid w:val="009F243A"/>
    <w:rsid w:val="009F26A8"/>
    <w:rsid w:val="009F2D54"/>
    <w:rsid w:val="009F3227"/>
    <w:rsid w:val="009F35A6"/>
    <w:rsid w:val="009F367F"/>
    <w:rsid w:val="009F650D"/>
    <w:rsid w:val="009F7195"/>
    <w:rsid w:val="009F7A53"/>
    <w:rsid w:val="009F7C8E"/>
    <w:rsid w:val="00A01C67"/>
    <w:rsid w:val="00A02DA9"/>
    <w:rsid w:val="00A03220"/>
    <w:rsid w:val="00A05229"/>
    <w:rsid w:val="00A11BDC"/>
    <w:rsid w:val="00A129F4"/>
    <w:rsid w:val="00A12DD0"/>
    <w:rsid w:val="00A14A42"/>
    <w:rsid w:val="00A14D04"/>
    <w:rsid w:val="00A15D11"/>
    <w:rsid w:val="00A160F9"/>
    <w:rsid w:val="00A1633B"/>
    <w:rsid w:val="00A16514"/>
    <w:rsid w:val="00A16693"/>
    <w:rsid w:val="00A16A36"/>
    <w:rsid w:val="00A16C17"/>
    <w:rsid w:val="00A16CD7"/>
    <w:rsid w:val="00A17332"/>
    <w:rsid w:val="00A176FC"/>
    <w:rsid w:val="00A179BA"/>
    <w:rsid w:val="00A179C9"/>
    <w:rsid w:val="00A20967"/>
    <w:rsid w:val="00A222E7"/>
    <w:rsid w:val="00A228D4"/>
    <w:rsid w:val="00A23474"/>
    <w:rsid w:val="00A237C8"/>
    <w:rsid w:val="00A242B1"/>
    <w:rsid w:val="00A24E89"/>
    <w:rsid w:val="00A25C0D"/>
    <w:rsid w:val="00A272E5"/>
    <w:rsid w:val="00A30B8A"/>
    <w:rsid w:val="00A31631"/>
    <w:rsid w:val="00A319B7"/>
    <w:rsid w:val="00A320E5"/>
    <w:rsid w:val="00A330EA"/>
    <w:rsid w:val="00A33525"/>
    <w:rsid w:val="00A363EB"/>
    <w:rsid w:val="00A40A3B"/>
    <w:rsid w:val="00A40A93"/>
    <w:rsid w:val="00A40E3F"/>
    <w:rsid w:val="00A428DA"/>
    <w:rsid w:val="00A434A5"/>
    <w:rsid w:val="00A4655A"/>
    <w:rsid w:val="00A46D53"/>
    <w:rsid w:val="00A47153"/>
    <w:rsid w:val="00A4757B"/>
    <w:rsid w:val="00A47808"/>
    <w:rsid w:val="00A50B4A"/>
    <w:rsid w:val="00A518F8"/>
    <w:rsid w:val="00A525D5"/>
    <w:rsid w:val="00A52C5D"/>
    <w:rsid w:val="00A52D64"/>
    <w:rsid w:val="00A54735"/>
    <w:rsid w:val="00A54D1C"/>
    <w:rsid w:val="00A557F8"/>
    <w:rsid w:val="00A55A06"/>
    <w:rsid w:val="00A56351"/>
    <w:rsid w:val="00A6014B"/>
    <w:rsid w:val="00A60433"/>
    <w:rsid w:val="00A610EC"/>
    <w:rsid w:val="00A61F90"/>
    <w:rsid w:val="00A61FA4"/>
    <w:rsid w:val="00A62206"/>
    <w:rsid w:val="00A62D1D"/>
    <w:rsid w:val="00A63317"/>
    <w:rsid w:val="00A634D0"/>
    <w:rsid w:val="00A641B0"/>
    <w:rsid w:val="00A6493A"/>
    <w:rsid w:val="00A65352"/>
    <w:rsid w:val="00A65E5C"/>
    <w:rsid w:val="00A65F3C"/>
    <w:rsid w:val="00A6616E"/>
    <w:rsid w:val="00A666E3"/>
    <w:rsid w:val="00A66A5D"/>
    <w:rsid w:val="00A66CED"/>
    <w:rsid w:val="00A670CF"/>
    <w:rsid w:val="00A70363"/>
    <w:rsid w:val="00A71336"/>
    <w:rsid w:val="00A71C0D"/>
    <w:rsid w:val="00A7216D"/>
    <w:rsid w:val="00A72E96"/>
    <w:rsid w:val="00A73563"/>
    <w:rsid w:val="00A73E09"/>
    <w:rsid w:val="00A76D7E"/>
    <w:rsid w:val="00A76EA6"/>
    <w:rsid w:val="00A77518"/>
    <w:rsid w:val="00A77E3C"/>
    <w:rsid w:val="00A77FCA"/>
    <w:rsid w:val="00A80FB6"/>
    <w:rsid w:val="00A818F0"/>
    <w:rsid w:val="00A81DAA"/>
    <w:rsid w:val="00A8229C"/>
    <w:rsid w:val="00A82AC0"/>
    <w:rsid w:val="00A82C3D"/>
    <w:rsid w:val="00A82EE2"/>
    <w:rsid w:val="00A85B40"/>
    <w:rsid w:val="00A85F18"/>
    <w:rsid w:val="00A875AA"/>
    <w:rsid w:val="00A909EB"/>
    <w:rsid w:val="00A912B8"/>
    <w:rsid w:val="00A91372"/>
    <w:rsid w:val="00A91572"/>
    <w:rsid w:val="00A91F70"/>
    <w:rsid w:val="00A92626"/>
    <w:rsid w:val="00A945A1"/>
    <w:rsid w:val="00A95E0C"/>
    <w:rsid w:val="00A96FEA"/>
    <w:rsid w:val="00A97F5C"/>
    <w:rsid w:val="00AA0BD8"/>
    <w:rsid w:val="00AA2373"/>
    <w:rsid w:val="00AA23A1"/>
    <w:rsid w:val="00AA3206"/>
    <w:rsid w:val="00AA4A05"/>
    <w:rsid w:val="00AA53BF"/>
    <w:rsid w:val="00AA5EFD"/>
    <w:rsid w:val="00AA6036"/>
    <w:rsid w:val="00AA63D5"/>
    <w:rsid w:val="00AA650C"/>
    <w:rsid w:val="00AA741C"/>
    <w:rsid w:val="00AA7569"/>
    <w:rsid w:val="00AB02D0"/>
    <w:rsid w:val="00AB1DE2"/>
    <w:rsid w:val="00AB2F60"/>
    <w:rsid w:val="00AB308B"/>
    <w:rsid w:val="00AB3549"/>
    <w:rsid w:val="00AB3B8A"/>
    <w:rsid w:val="00AB4458"/>
    <w:rsid w:val="00AB5AC6"/>
    <w:rsid w:val="00AB5DC1"/>
    <w:rsid w:val="00AB6E38"/>
    <w:rsid w:val="00AC1191"/>
    <w:rsid w:val="00AC1663"/>
    <w:rsid w:val="00AC194D"/>
    <w:rsid w:val="00AC3E17"/>
    <w:rsid w:val="00AC4F49"/>
    <w:rsid w:val="00AC7DC2"/>
    <w:rsid w:val="00AD02BA"/>
    <w:rsid w:val="00AD0B5D"/>
    <w:rsid w:val="00AD0F15"/>
    <w:rsid w:val="00AD576C"/>
    <w:rsid w:val="00AD6316"/>
    <w:rsid w:val="00AD6AD5"/>
    <w:rsid w:val="00AD6EF7"/>
    <w:rsid w:val="00AD7B06"/>
    <w:rsid w:val="00AE1B63"/>
    <w:rsid w:val="00AE2303"/>
    <w:rsid w:val="00AE3871"/>
    <w:rsid w:val="00AE5435"/>
    <w:rsid w:val="00AE5C6C"/>
    <w:rsid w:val="00AE6C60"/>
    <w:rsid w:val="00AE7410"/>
    <w:rsid w:val="00AE7583"/>
    <w:rsid w:val="00AE7664"/>
    <w:rsid w:val="00AF007D"/>
    <w:rsid w:val="00AF025A"/>
    <w:rsid w:val="00AF09D6"/>
    <w:rsid w:val="00AF21D5"/>
    <w:rsid w:val="00AF28D0"/>
    <w:rsid w:val="00AF330C"/>
    <w:rsid w:val="00AF3638"/>
    <w:rsid w:val="00AF3E00"/>
    <w:rsid w:val="00AF4A45"/>
    <w:rsid w:val="00AF4EF7"/>
    <w:rsid w:val="00AF6AE1"/>
    <w:rsid w:val="00AF6BC5"/>
    <w:rsid w:val="00B00A14"/>
    <w:rsid w:val="00B01FA6"/>
    <w:rsid w:val="00B0217E"/>
    <w:rsid w:val="00B02213"/>
    <w:rsid w:val="00B02237"/>
    <w:rsid w:val="00B03206"/>
    <w:rsid w:val="00B048C1"/>
    <w:rsid w:val="00B0744A"/>
    <w:rsid w:val="00B07860"/>
    <w:rsid w:val="00B07879"/>
    <w:rsid w:val="00B07DF5"/>
    <w:rsid w:val="00B122A0"/>
    <w:rsid w:val="00B1249F"/>
    <w:rsid w:val="00B12961"/>
    <w:rsid w:val="00B12DEE"/>
    <w:rsid w:val="00B14201"/>
    <w:rsid w:val="00B16379"/>
    <w:rsid w:val="00B222E1"/>
    <w:rsid w:val="00B22C14"/>
    <w:rsid w:val="00B22ED2"/>
    <w:rsid w:val="00B246CB"/>
    <w:rsid w:val="00B26457"/>
    <w:rsid w:val="00B267DB"/>
    <w:rsid w:val="00B26FA9"/>
    <w:rsid w:val="00B30597"/>
    <w:rsid w:val="00B31168"/>
    <w:rsid w:val="00B31B79"/>
    <w:rsid w:val="00B34700"/>
    <w:rsid w:val="00B357B6"/>
    <w:rsid w:val="00B35917"/>
    <w:rsid w:val="00B3594F"/>
    <w:rsid w:val="00B378BF"/>
    <w:rsid w:val="00B37DA7"/>
    <w:rsid w:val="00B4279E"/>
    <w:rsid w:val="00B429E7"/>
    <w:rsid w:val="00B42B1F"/>
    <w:rsid w:val="00B44317"/>
    <w:rsid w:val="00B45C53"/>
    <w:rsid w:val="00B46FE9"/>
    <w:rsid w:val="00B47824"/>
    <w:rsid w:val="00B51581"/>
    <w:rsid w:val="00B5276E"/>
    <w:rsid w:val="00B5451D"/>
    <w:rsid w:val="00B54DE7"/>
    <w:rsid w:val="00B57885"/>
    <w:rsid w:val="00B604F3"/>
    <w:rsid w:val="00B611F5"/>
    <w:rsid w:val="00B630A5"/>
    <w:rsid w:val="00B64BF5"/>
    <w:rsid w:val="00B64D59"/>
    <w:rsid w:val="00B655D6"/>
    <w:rsid w:val="00B656C7"/>
    <w:rsid w:val="00B67D2B"/>
    <w:rsid w:val="00B67D8D"/>
    <w:rsid w:val="00B67EE6"/>
    <w:rsid w:val="00B70132"/>
    <w:rsid w:val="00B712D4"/>
    <w:rsid w:val="00B728A4"/>
    <w:rsid w:val="00B72900"/>
    <w:rsid w:val="00B72B76"/>
    <w:rsid w:val="00B7332C"/>
    <w:rsid w:val="00B73437"/>
    <w:rsid w:val="00B74BB8"/>
    <w:rsid w:val="00B756A4"/>
    <w:rsid w:val="00B75B0D"/>
    <w:rsid w:val="00B75D54"/>
    <w:rsid w:val="00B813A9"/>
    <w:rsid w:val="00B81E84"/>
    <w:rsid w:val="00B8341A"/>
    <w:rsid w:val="00B836CE"/>
    <w:rsid w:val="00B83DAE"/>
    <w:rsid w:val="00B85EF4"/>
    <w:rsid w:val="00B86BDA"/>
    <w:rsid w:val="00B87DD1"/>
    <w:rsid w:val="00B909D4"/>
    <w:rsid w:val="00B91647"/>
    <w:rsid w:val="00B92E25"/>
    <w:rsid w:val="00B9316A"/>
    <w:rsid w:val="00B9445E"/>
    <w:rsid w:val="00B963C8"/>
    <w:rsid w:val="00B97A9A"/>
    <w:rsid w:val="00BA01BE"/>
    <w:rsid w:val="00BA06A5"/>
    <w:rsid w:val="00BA0FAB"/>
    <w:rsid w:val="00BA1072"/>
    <w:rsid w:val="00BA1570"/>
    <w:rsid w:val="00BA3EC3"/>
    <w:rsid w:val="00BA44FF"/>
    <w:rsid w:val="00BA4E1B"/>
    <w:rsid w:val="00BA6A28"/>
    <w:rsid w:val="00BA7167"/>
    <w:rsid w:val="00BA73A1"/>
    <w:rsid w:val="00BA7784"/>
    <w:rsid w:val="00BA790C"/>
    <w:rsid w:val="00BB178A"/>
    <w:rsid w:val="00BB2A06"/>
    <w:rsid w:val="00BB2D00"/>
    <w:rsid w:val="00BB30D1"/>
    <w:rsid w:val="00BB3A6B"/>
    <w:rsid w:val="00BB41C8"/>
    <w:rsid w:val="00BB5586"/>
    <w:rsid w:val="00BB5BBD"/>
    <w:rsid w:val="00BB6169"/>
    <w:rsid w:val="00BB6255"/>
    <w:rsid w:val="00BB7106"/>
    <w:rsid w:val="00BB71CE"/>
    <w:rsid w:val="00BB72DE"/>
    <w:rsid w:val="00BC0570"/>
    <w:rsid w:val="00BC1927"/>
    <w:rsid w:val="00BC1AC5"/>
    <w:rsid w:val="00BC4862"/>
    <w:rsid w:val="00BC5F71"/>
    <w:rsid w:val="00BC6D7F"/>
    <w:rsid w:val="00BD35DF"/>
    <w:rsid w:val="00BD49DE"/>
    <w:rsid w:val="00BD595A"/>
    <w:rsid w:val="00BD7382"/>
    <w:rsid w:val="00BE0509"/>
    <w:rsid w:val="00BE0A63"/>
    <w:rsid w:val="00BE10A2"/>
    <w:rsid w:val="00BE2512"/>
    <w:rsid w:val="00BE2669"/>
    <w:rsid w:val="00BE2A63"/>
    <w:rsid w:val="00BE3694"/>
    <w:rsid w:val="00BE4E11"/>
    <w:rsid w:val="00BE5F0F"/>
    <w:rsid w:val="00BE7A42"/>
    <w:rsid w:val="00BF071D"/>
    <w:rsid w:val="00BF302E"/>
    <w:rsid w:val="00BF3220"/>
    <w:rsid w:val="00BF3BD3"/>
    <w:rsid w:val="00BF4348"/>
    <w:rsid w:val="00BF50F5"/>
    <w:rsid w:val="00BF59A7"/>
    <w:rsid w:val="00BF6B2F"/>
    <w:rsid w:val="00BF6B30"/>
    <w:rsid w:val="00BF751D"/>
    <w:rsid w:val="00C00432"/>
    <w:rsid w:val="00C004DC"/>
    <w:rsid w:val="00C009F5"/>
    <w:rsid w:val="00C0100D"/>
    <w:rsid w:val="00C01F12"/>
    <w:rsid w:val="00C10846"/>
    <w:rsid w:val="00C111B2"/>
    <w:rsid w:val="00C11547"/>
    <w:rsid w:val="00C11836"/>
    <w:rsid w:val="00C11E93"/>
    <w:rsid w:val="00C13952"/>
    <w:rsid w:val="00C15869"/>
    <w:rsid w:val="00C17385"/>
    <w:rsid w:val="00C176C7"/>
    <w:rsid w:val="00C20054"/>
    <w:rsid w:val="00C20247"/>
    <w:rsid w:val="00C20E71"/>
    <w:rsid w:val="00C216DE"/>
    <w:rsid w:val="00C22315"/>
    <w:rsid w:val="00C22449"/>
    <w:rsid w:val="00C23A22"/>
    <w:rsid w:val="00C23F9A"/>
    <w:rsid w:val="00C24095"/>
    <w:rsid w:val="00C2479F"/>
    <w:rsid w:val="00C24B5B"/>
    <w:rsid w:val="00C26761"/>
    <w:rsid w:val="00C27AC8"/>
    <w:rsid w:val="00C318E2"/>
    <w:rsid w:val="00C32201"/>
    <w:rsid w:val="00C33D6E"/>
    <w:rsid w:val="00C344F1"/>
    <w:rsid w:val="00C348CB"/>
    <w:rsid w:val="00C3599C"/>
    <w:rsid w:val="00C35A84"/>
    <w:rsid w:val="00C368CD"/>
    <w:rsid w:val="00C3721C"/>
    <w:rsid w:val="00C402F6"/>
    <w:rsid w:val="00C40630"/>
    <w:rsid w:val="00C40B3A"/>
    <w:rsid w:val="00C40C0A"/>
    <w:rsid w:val="00C40CFF"/>
    <w:rsid w:val="00C40D09"/>
    <w:rsid w:val="00C40D68"/>
    <w:rsid w:val="00C40E30"/>
    <w:rsid w:val="00C411DE"/>
    <w:rsid w:val="00C4183A"/>
    <w:rsid w:val="00C42058"/>
    <w:rsid w:val="00C425BF"/>
    <w:rsid w:val="00C42F1E"/>
    <w:rsid w:val="00C43770"/>
    <w:rsid w:val="00C45E53"/>
    <w:rsid w:val="00C45E6B"/>
    <w:rsid w:val="00C46B37"/>
    <w:rsid w:val="00C5120C"/>
    <w:rsid w:val="00C52267"/>
    <w:rsid w:val="00C53E14"/>
    <w:rsid w:val="00C5527C"/>
    <w:rsid w:val="00C55934"/>
    <w:rsid w:val="00C55FA2"/>
    <w:rsid w:val="00C566D0"/>
    <w:rsid w:val="00C56E6C"/>
    <w:rsid w:val="00C5711D"/>
    <w:rsid w:val="00C6024B"/>
    <w:rsid w:val="00C60505"/>
    <w:rsid w:val="00C60CBA"/>
    <w:rsid w:val="00C613CC"/>
    <w:rsid w:val="00C62139"/>
    <w:rsid w:val="00C62A3C"/>
    <w:rsid w:val="00C632DD"/>
    <w:rsid w:val="00C6334B"/>
    <w:rsid w:val="00C6458E"/>
    <w:rsid w:val="00C65DDF"/>
    <w:rsid w:val="00C66850"/>
    <w:rsid w:val="00C67085"/>
    <w:rsid w:val="00C700DB"/>
    <w:rsid w:val="00C7011A"/>
    <w:rsid w:val="00C7175D"/>
    <w:rsid w:val="00C71AEF"/>
    <w:rsid w:val="00C71C3E"/>
    <w:rsid w:val="00C72BA9"/>
    <w:rsid w:val="00C747B5"/>
    <w:rsid w:val="00C75581"/>
    <w:rsid w:val="00C76496"/>
    <w:rsid w:val="00C7669B"/>
    <w:rsid w:val="00C76F47"/>
    <w:rsid w:val="00C77279"/>
    <w:rsid w:val="00C81CFA"/>
    <w:rsid w:val="00C82113"/>
    <w:rsid w:val="00C82F5E"/>
    <w:rsid w:val="00C84D31"/>
    <w:rsid w:val="00C84EFC"/>
    <w:rsid w:val="00C879DC"/>
    <w:rsid w:val="00C91464"/>
    <w:rsid w:val="00C91D24"/>
    <w:rsid w:val="00C91EB3"/>
    <w:rsid w:val="00C9253F"/>
    <w:rsid w:val="00C931ED"/>
    <w:rsid w:val="00C94069"/>
    <w:rsid w:val="00C950F0"/>
    <w:rsid w:val="00C969E0"/>
    <w:rsid w:val="00C97891"/>
    <w:rsid w:val="00C97B36"/>
    <w:rsid w:val="00C97B97"/>
    <w:rsid w:val="00CA192B"/>
    <w:rsid w:val="00CA1C3D"/>
    <w:rsid w:val="00CA2606"/>
    <w:rsid w:val="00CA3616"/>
    <w:rsid w:val="00CA4365"/>
    <w:rsid w:val="00CA6F3B"/>
    <w:rsid w:val="00CA75F1"/>
    <w:rsid w:val="00CB1517"/>
    <w:rsid w:val="00CB1841"/>
    <w:rsid w:val="00CB25DB"/>
    <w:rsid w:val="00CB30AB"/>
    <w:rsid w:val="00CB47C1"/>
    <w:rsid w:val="00CB4FB4"/>
    <w:rsid w:val="00CB527E"/>
    <w:rsid w:val="00CB65C8"/>
    <w:rsid w:val="00CB73CA"/>
    <w:rsid w:val="00CC1167"/>
    <w:rsid w:val="00CC1471"/>
    <w:rsid w:val="00CC33A4"/>
    <w:rsid w:val="00CC3A1F"/>
    <w:rsid w:val="00CC477C"/>
    <w:rsid w:val="00CC4DAF"/>
    <w:rsid w:val="00CC5C27"/>
    <w:rsid w:val="00CC6653"/>
    <w:rsid w:val="00CC67F4"/>
    <w:rsid w:val="00CC7886"/>
    <w:rsid w:val="00CC7D09"/>
    <w:rsid w:val="00CD054A"/>
    <w:rsid w:val="00CD099B"/>
    <w:rsid w:val="00CD52E3"/>
    <w:rsid w:val="00CE13D1"/>
    <w:rsid w:val="00CE163C"/>
    <w:rsid w:val="00CE3CEA"/>
    <w:rsid w:val="00CE5D08"/>
    <w:rsid w:val="00CE5ED9"/>
    <w:rsid w:val="00CE6280"/>
    <w:rsid w:val="00CE6A61"/>
    <w:rsid w:val="00CE6AC3"/>
    <w:rsid w:val="00CE6F6D"/>
    <w:rsid w:val="00CE73AE"/>
    <w:rsid w:val="00CF04F7"/>
    <w:rsid w:val="00CF0AB5"/>
    <w:rsid w:val="00CF0C23"/>
    <w:rsid w:val="00CF17B8"/>
    <w:rsid w:val="00CF1A08"/>
    <w:rsid w:val="00CF1B46"/>
    <w:rsid w:val="00CF23F3"/>
    <w:rsid w:val="00CF2C3D"/>
    <w:rsid w:val="00CF2F73"/>
    <w:rsid w:val="00CF3A69"/>
    <w:rsid w:val="00CF560E"/>
    <w:rsid w:val="00CF5CF8"/>
    <w:rsid w:val="00CF63EB"/>
    <w:rsid w:val="00CF69DE"/>
    <w:rsid w:val="00CF69F5"/>
    <w:rsid w:val="00D000A5"/>
    <w:rsid w:val="00D00F9D"/>
    <w:rsid w:val="00D0178D"/>
    <w:rsid w:val="00D01A57"/>
    <w:rsid w:val="00D033B6"/>
    <w:rsid w:val="00D04C79"/>
    <w:rsid w:val="00D05784"/>
    <w:rsid w:val="00D05D6B"/>
    <w:rsid w:val="00D06254"/>
    <w:rsid w:val="00D065F3"/>
    <w:rsid w:val="00D0690E"/>
    <w:rsid w:val="00D0763F"/>
    <w:rsid w:val="00D1091A"/>
    <w:rsid w:val="00D11448"/>
    <w:rsid w:val="00D119BE"/>
    <w:rsid w:val="00D11D14"/>
    <w:rsid w:val="00D11F66"/>
    <w:rsid w:val="00D12CAC"/>
    <w:rsid w:val="00D13A30"/>
    <w:rsid w:val="00D14AD9"/>
    <w:rsid w:val="00D15141"/>
    <w:rsid w:val="00D16DF7"/>
    <w:rsid w:val="00D177AA"/>
    <w:rsid w:val="00D20427"/>
    <w:rsid w:val="00D2099B"/>
    <w:rsid w:val="00D216FA"/>
    <w:rsid w:val="00D226E8"/>
    <w:rsid w:val="00D24984"/>
    <w:rsid w:val="00D24A0A"/>
    <w:rsid w:val="00D24A8D"/>
    <w:rsid w:val="00D24B1C"/>
    <w:rsid w:val="00D27205"/>
    <w:rsid w:val="00D27507"/>
    <w:rsid w:val="00D27D6A"/>
    <w:rsid w:val="00D326FC"/>
    <w:rsid w:val="00D333EF"/>
    <w:rsid w:val="00D33A48"/>
    <w:rsid w:val="00D35380"/>
    <w:rsid w:val="00D36B73"/>
    <w:rsid w:val="00D36FCD"/>
    <w:rsid w:val="00D37799"/>
    <w:rsid w:val="00D37929"/>
    <w:rsid w:val="00D37F0E"/>
    <w:rsid w:val="00D40B76"/>
    <w:rsid w:val="00D4203F"/>
    <w:rsid w:val="00D43A4B"/>
    <w:rsid w:val="00D44F7D"/>
    <w:rsid w:val="00D4619A"/>
    <w:rsid w:val="00D46622"/>
    <w:rsid w:val="00D5050A"/>
    <w:rsid w:val="00D51E13"/>
    <w:rsid w:val="00D5203B"/>
    <w:rsid w:val="00D52A6D"/>
    <w:rsid w:val="00D5378D"/>
    <w:rsid w:val="00D53F8C"/>
    <w:rsid w:val="00D54308"/>
    <w:rsid w:val="00D5437A"/>
    <w:rsid w:val="00D54AD1"/>
    <w:rsid w:val="00D56344"/>
    <w:rsid w:val="00D60979"/>
    <w:rsid w:val="00D6159C"/>
    <w:rsid w:val="00D62712"/>
    <w:rsid w:val="00D62FA9"/>
    <w:rsid w:val="00D63696"/>
    <w:rsid w:val="00D66D56"/>
    <w:rsid w:val="00D6736E"/>
    <w:rsid w:val="00D67380"/>
    <w:rsid w:val="00D67BE3"/>
    <w:rsid w:val="00D701B5"/>
    <w:rsid w:val="00D71409"/>
    <w:rsid w:val="00D72A77"/>
    <w:rsid w:val="00D72B89"/>
    <w:rsid w:val="00D73000"/>
    <w:rsid w:val="00D73632"/>
    <w:rsid w:val="00D736F2"/>
    <w:rsid w:val="00D73E07"/>
    <w:rsid w:val="00D73E14"/>
    <w:rsid w:val="00D740CD"/>
    <w:rsid w:val="00D74908"/>
    <w:rsid w:val="00D7596A"/>
    <w:rsid w:val="00D777C5"/>
    <w:rsid w:val="00D8078C"/>
    <w:rsid w:val="00D8157E"/>
    <w:rsid w:val="00D81AF8"/>
    <w:rsid w:val="00D81F73"/>
    <w:rsid w:val="00D831DE"/>
    <w:rsid w:val="00D835E5"/>
    <w:rsid w:val="00D83CCA"/>
    <w:rsid w:val="00D842AD"/>
    <w:rsid w:val="00D8552A"/>
    <w:rsid w:val="00D8618A"/>
    <w:rsid w:val="00D86D63"/>
    <w:rsid w:val="00D872AF"/>
    <w:rsid w:val="00D900F9"/>
    <w:rsid w:val="00D90292"/>
    <w:rsid w:val="00D949AF"/>
    <w:rsid w:val="00D94F8A"/>
    <w:rsid w:val="00D95AF5"/>
    <w:rsid w:val="00D97ABA"/>
    <w:rsid w:val="00DA0A8C"/>
    <w:rsid w:val="00DA24F3"/>
    <w:rsid w:val="00DA3661"/>
    <w:rsid w:val="00DA3F3F"/>
    <w:rsid w:val="00DA5D9D"/>
    <w:rsid w:val="00DA6F4F"/>
    <w:rsid w:val="00DB1260"/>
    <w:rsid w:val="00DB197A"/>
    <w:rsid w:val="00DB1E0C"/>
    <w:rsid w:val="00DB1F2F"/>
    <w:rsid w:val="00DB27EC"/>
    <w:rsid w:val="00DB3A55"/>
    <w:rsid w:val="00DB4865"/>
    <w:rsid w:val="00DB49F3"/>
    <w:rsid w:val="00DB548F"/>
    <w:rsid w:val="00DB74D4"/>
    <w:rsid w:val="00DB7B3B"/>
    <w:rsid w:val="00DC01DD"/>
    <w:rsid w:val="00DC1222"/>
    <w:rsid w:val="00DC19A3"/>
    <w:rsid w:val="00DC1A99"/>
    <w:rsid w:val="00DC3DAB"/>
    <w:rsid w:val="00DC4704"/>
    <w:rsid w:val="00DC48B2"/>
    <w:rsid w:val="00DC593E"/>
    <w:rsid w:val="00DC5EBB"/>
    <w:rsid w:val="00DC650C"/>
    <w:rsid w:val="00DC7928"/>
    <w:rsid w:val="00DD5E59"/>
    <w:rsid w:val="00DD7785"/>
    <w:rsid w:val="00DD7E6F"/>
    <w:rsid w:val="00DE1B4C"/>
    <w:rsid w:val="00DE26AA"/>
    <w:rsid w:val="00DE37F4"/>
    <w:rsid w:val="00DE4833"/>
    <w:rsid w:val="00DE4967"/>
    <w:rsid w:val="00DE49E9"/>
    <w:rsid w:val="00DE7191"/>
    <w:rsid w:val="00DF09BF"/>
    <w:rsid w:val="00DF1363"/>
    <w:rsid w:val="00DF2901"/>
    <w:rsid w:val="00DF2C73"/>
    <w:rsid w:val="00DF4360"/>
    <w:rsid w:val="00DF5C76"/>
    <w:rsid w:val="00DF7E86"/>
    <w:rsid w:val="00E00A98"/>
    <w:rsid w:val="00E021A1"/>
    <w:rsid w:val="00E02826"/>
    <w:rsid w:val="00E029E1"/>
    <w:rsid w:val="00E03465"/>
    <w:rsid w:val="00E039EE"/>
    <w:rsid w:val="00E06846"/>
    <w:rsid w:val="00E06A84"/>
    <w:rsid w:val="00E1147C"/>
    <w:rsid w:val="00E12F7D"/>
    <w:rsid w:val="00E136F6"/>
    <w:rsid w:val="00E138AD"/>
    <w:rsid w:val="00E1411D"/>
    <w:rsid w:val="00E16BEA"/>
    <w:rsid w:val="00E17E16"/>
    <w:rsid w:val="00E218BC"/>
    <w:rsid w:val="00E22916"/>
    <w:rsid w:val="00E24448"/>
    <w:rsid w:val="00E24473"/>
    <w:rsid w:val="00E2478A"/>
    <w:rsid w:val="00E24880"/>
    <w:rsid w:val="00E24DD3"/>
    <w:rsid w:val="00E25611"/>
    <w:rsid w:val="00E2706D"/>
    <w:rsid w:val="00E27C58"/>
    <w:rsid w:val="00E27CF2"/>
    <w:rsid w:val="00E27D06"/>
    <w:rsid w:val="00E31FC1"/>
    <w:rsid w:val="00E329BE"/>
    <w:rsid w:val="00E33355"/>
    <w:rsid w:val="00E335C8"/>
    <w:rsid w:val="00E35748"/>
    <w:rsid w:val="00E41D1A"/>
    <w:rsid w:val="00E43E8B"/>
    <w:rsid w:val="00E44241"/>
    <w:rsid w:val="00E44BA1"/>
    <w:rsid w:val="00E453D6"/>
    <w:rsid w:val="00E459E7"/>
    <w:rsid w:val="00E465BF"/>
    <w:rsid w:val="00E4794E"/>
    <w:rsid w:val="00E52CB8"/>
    <w:rsid w:val="00E52D46"/>
    <w:rsid w:val="00E54F27"/>
    <w:rsid w:val="00E552A4"/>
    <w:rsid w:val="00E56085"/>
    <w:rsid w:val="00E5608F"/>
    <w:rsid w:val="00E56427"/>
    <w:rsid w:val="00E57713"/>
    <w:rsid w:val="00E57FF4"/>
    <w:rsid w:val="00E6128F"/>
    <w:rsid w:val="00E6145A"/>
    <w:rsid w:val="00E62251"/>
    <w:rsid w:val="00E63084"/>
    <w:rsid w:val="00E64459"/>
    <w:rsid w:val="00E6459C"/>
    <w:rsid w:val="00E64A56"/>
    <w:rsid w:val="00E660D7"/>
    <w:rsid w:val="00E66A71"/>
    <w:rsid w:val="00E67379"/>
    <w:rsid w:val="00E710F7"/>
    <w:rsid w:val="00E71193"/>
    <w:rsid w:val="00E73BFB"/>
    <w:rsid w:val="00E76947"/>
    <w:rsid w:val="00E77CC7"/>
    <w:rsid w:val="00E77EAF"/>
    <w:rsid w:val="00E8230E"/>
    <w:rsid w:val="00E82871"/>
    <w:rsid w:val="00E82AD9"/>
    <w:rsid w:val="00E84D7D"/>
    <w:rsid w:val="00E853E1"/>
    <w:rsid w:val="00E86129"/>
    <w:rsid w:val="00E869FF"/>
    <w:rsid w:val="00E90B46"/>
    <w:rsid w:val="00E90DA4"/>
    <w:rsid w:val="00E91A8D"/>
    <w:rsid w:val="00E91EE6"/>
    <w:rsid w:val="00E92CDD"/>
    <w:rsid w:val="00E93774"/>
    <w:rsid w:val="00E9410E"/>
    <w:rsid w:val="00E949F5"/>
    <w:rsid w:val="00E94D7D"/>
    <w:rsid w:val="00E951AA"/>
    <w:rsid w:val="00E95813"/>
    <w:rsid w:val="00E95C3D"/>
    <w:rsid w:val="00E9636D"/>
    <w:rsid w:val="00EA03B9"/>
    <w:rsid w:val="00EA1664"/>
    <w:rsid w:val="00EA1CC8"/>
    <w:rsid w:val="00EA2BC3"/>
    <w:rsid w:val="00EA3030"/>
    <w:rsid w:val="00EA33FA"/>
    <w:rsid w:val="00EA5E13"/>
    <w:rsid w:val="00EA5FB6"/>
    <w:rsid w:val="00EA6A30"/>
    <w:rsid w:val="00EB2752"/>
    <w:rsid w:val="00EB375F"/>
    <w:rsid w:val="00EB4846"/>
    <w:rsid w:val="00EB4851"/>
    <w:rsid w:val="00EB5123"/>
    <w:rsid w:val="00EB5EA6"/>
    <w:rsid w:val="00EB62A5"/>
    <w:rsid w:val="00EB6986"/>
    <w:rsid w:val="00EB6CCB"/>
    <w:rsid w:val="00EB7AEF"/>
    <w:rsid w:val="00EC03A2"/>
    <w:rsid w:val="00EC07F6"/>
    <w:rsid w:val="00EC414B"/>
    <w:rsid w:val="00EC49EB"/>
    <w:rsid w:val="00EC4F63"/>
    <w:rsid w:val="00EC5B91"/>
    <w:rsid w:val="00EC5DF5"/>
    <w:rsid w:val="00EC6271"/>
    <w:rsid w:val="00EC663E"/>
    <w:rsid w:val="00ED041E"/>
    <w:rsid w:val="00ED0A9D"/>
    <w:rsid w:val="00ED0EBD"/>
    <w:rsid w:val="00ED15C7"/>
    <w:rsid w:val="00ED1711"/>
    <w:rsid w:val="00ED2275"/>
    <w:rsid w:val="00ED319D"/>
    <w:rsid w:val="00ED3600"/>
    <w:rsid w:val="00ED3909"/>
    <w:rsid w:val="00ED3B96"/>
    <w:rsid w:val="00ED4E40"/>
    <w:rsid w:val="00ED6316"/>
    <w:rsid w:val="00ED66E2"/>
    <w:rsid w:val="00EE2604"/>
    <w:rsid w:val="00EE271A"/>
    <w:rsid w:val="00EE2A93"/>
    <w:rsid w:val="00EE2B5C"/>
    <w:rsid w:val="00EE3D59"/>
    <w:rsid w:val="00EE59FB"/>
    <w:rsid w:val="00EE6057"/>
    <w:rsid w:val="00EF04ED"/>
    <w:rsid w:val="00EF1251"/>
    <w:rsid w:val="00EF13A4"/>
    <w:rsid w:val="00EF1A2B"/>
    <w:rsid w:val="00EF1BDC"/>
    <w:rsid w:val="00EF1D4F"/>
    <w:rsid w:val="00EF25EB"/>
    <w:rsid w:val="00EF27BC"/>
    <w:rsid w:val="00EF2F5B"/>
    <w:rsid w:val="00EF3C39"/>
    <w:rsid w:val="00EF4D66"/>
    <w:rsid w:val="00EF59E8"/>
    <w:rsid w:val="00EF64C4"/>
    <w:rsid w:val="00EF6B50"/>
    <w:rsid w:val="00F00620"/>
    <w:rsid w:val="00F01277"/>
    <w:rsid w:val="00F01783"/>
    <w:rsid w:val="00F02190"/>
    <w:rsid w:val="00F025AA"/>
    <w:rsid w:val="00F032C2"/>
    <w:rsid w:val="00F04BD5"/>
    <w:rsid w:val="00F0736E"/>
    <w:rsid w:val="00F07B0B"/>
    <w:rsid w:val="00F07E53"/>
    <w:rsid w:val="00F11AA9"/>
    <w:rsid w:val="00F1379F"/>
    <w:rsid w:val="00F168C2"/>
    <w:rsid w:val="00F174D0"/>
    <w:rsid w:val="00F1758E"/>
    <w:rsid w:val="00F209F9"/>
    <w:rsid w:val="00F20F2D"/>
    <w:rsid w:val="00F21417"/>
    <w:rsid w:val="00F22574"/>
    <w:rsid w:val="00F232E0"/>
    <w:rsid w:val="00F234FD"/>
    <w:rsid w:val="00F23B84"/>
    <w:rsid w:val="00F26AD2"/>
    <w:rsid w:val="00F3066D"/>
    <w:rsid w:val="00F30D97"/>
    <w:rsid w:val="00F31697"/>
    <w:rsid w:val="00F325BA"/>
    <w:rsid w:val="00F32DEA"/>
    <w:rsid w:val="00F33B1A"/>
    <w:rsid w:val="00F348A2"/>
    <w:rsid w:val="00F34C6A"/>
    <w:rsid w:val="00F34D97"/>
    <w:rsid w:val="00F35031"/>
    <w:rsid w:val="00F355E3"/>
    <w:rsid w:val="00F3600D"/>
    <w:rsid w:val="00F361C8"/>
    <w:rsid w:val="00F377E5"/>
    <w:rsid w:val="00F37ED6"/>
    <w:rsid w:val="00F37FA1"/>
    <w:rsid w:val="00F40DBF"/>
    <w:rsid w:val="00F41CEA"/>
    <w:rsid w:val="00F41EAD"/>
    <w:rsid w:val="00F4203E"/>
    <w:rsid w:val="00F42AAD"/>
    <w:rsid w:val="00F42DD3"/>
    <w:rsid w:val="00F4440B"/>
    <w:rsid w:val="00F46DF3"/>
    <w:rsid w:val="00F47B17"/>
    <w:rsid w:val="00F50106"/>
    <w:rsid w:val="00F50EC3"/>
    <w:rsid w:val="00F5100A"/>
    <w:rsid w:val="00F5114A"/>
    <w:rsid w:val="00F51883"/>
    <w:rsid w:val="00F51B67"/>
    <w:rsid w:val="00F53479"/>
    <w:rsid w:val="00F546DD"/>
    <w:rsid w:val="00F5580E"/>
    <w:rsid w:val="00F6262A"/>
    <w:rsid w:val="00F62EE6"/>
    <w:rsid w:val="00F63AC6"/>
    <w:rsid w:val="00F64C87"/>
    <w:rsid w:val="00F64D28"/>
    <w:rsid w:val="00F666C9"/>
    <w:rsid w:val="00F667A2"/>
    <w:rsid w:val="00F6734B"/>
    <w:rsid w:val="00F67B71"/>
    <w:rsid w:val="00F70743"/>
    <w:rsid w:val="00F70826"/>
    <w:rsid w:val="00F7154F"/>
    <w:rsid w:val="00F72EA1"/>
    <w:rsid w:val="00F74ABA"/>
    <w:rsid w:val="00F752BE"/>
    <w:rsid w:val="00F77116"/>
    <w:rsid w:val="00F818D7"/>
    <w:rsid w:val="00F83015"/>
    <w:rsid w:val="00F83AC9"/>
    <w:rsid w:val="00F83B4E"/>
    <w:rsid w:val="00F83C5F"/>
    <w:rsid w:val="00F8486D"/>
    <w:rsid w:val="00F84A30"/>
    <w:rsid w:val="00F84A3F"/>
    <w:rsid w:val="00F84E68"/>
    <w:rsid w:val="00F85CC7"/>
    <w:rsid w:val="00F86418"/>
    <w:rsid w:val="00F86C16"/>
    <w:rsid w:val="00F871AA"/>
    <w:rsid w:val="00F87E01"/>
    <w:rsid w:val="00F91CE4"/>
    <w:rsid w:val="00F92504"/>
    <w:rsid w:val="00F92E18"/>
    <w:rsid w:val="00F92E29"/>
    <w:rsid w:val="00F933EB"/>
    <w:rsid w:val="00F93DA9"/>
    <w:rsid w:val="00F9476F"/>
    <w:rsid w:val="00F951A0"/>
    <w:rsid w:val="00F978E0"/>
    <w:rsid w:val="00FA117C"/>
    <w:rsid w:val="00FA117F"/>
    <w:rsid w:val="00FA19AC"/>
    <w:rsid w:val="00FA1FB3"/>
    <w:rsid w:val="00FA20FC"/>
    <w:rsid w:val="00FA3423"/>
    <w:rsid w:val="00FA3754"/>
    <w:rsid w:val="00FA4B1E"/>
    <w:rsid w:val="00FA50FD"/>
    <w:rsid w:val="00FA6079"/>
    <w:rsid w:val="00FB2751"/>
    <w:rsid w:val="00FB436F"/>
    <w:rsid w:val="00FB488E"/>
    <w:rsid w:val="00FB4F58"/>
    <w:rsid w:val="00FB52F0"/>
    <w:rsid w:val="00FB5F0C"/>
    <w:rsid w:val="00FB6982"/>
    <w:rsid w:val="00FC08E0"/>
    <w:rsid w:val="00FC1020"/>
    <w:rsid w:val="00FC1AEE"/>
    <w:rsid w:val="00FC205B"/>
    <w:rsid w:val="00FC2C92"/>
    <w:rsid w:val="00FC4245"/>
    <w:rsid w:val="00FC439D"/>
    <w:rsid w:val="00FC5280"/>
    <w:rsid w:val="00FD046B"/>
    <w:rsid w:val="00FD0CEE"/>
    <w:rsid w:val="00FD2019"/>
    <w:rsid w:val="00FD609A"/>
    <w:rsid w:val="00FD663D"/>
    <w:rsid w:val="00FD68F1"/>
    <w:rsid w:val="00FD78B8"/>
    <w:rsid w:val="00FE02FD"/>
    <w:rsid w:val="00FE0BF0"/>
    <w:rsid w:val="00FE18E9"/>
    <w:rsid w:val="00FE2E99"/>
    <w:rsid w:val="00FE39B0"/>
    <w:rsid w:val="00FE411C"/>
    <w:rsid w:val="00FE4419"/>
    <w:rsid w:val="00FE450B"/>
    <w:rsid w:val="00FE467B"/>
    <w:rsid w:val="00FE57D5"/>
    <w:rsid w:val="00FE5C61"/>
    <w:rsid w:val="00FE7A83"/>
    <w:rsid w:val="00FE7CB2"/>
    <w:rsid w:val="00FF2A80"/>
    <w:rsid w:val="00FF347B"/>
    <w:rsid w:val="00FF5890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4226D62-D880-4AFE-BAC0-23971101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49C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f">
    <w:name w:val="header"/>
    <w:basedOn w:val="a"/>
    <w:link w:val="af0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A0AE0"/>
    <w:pPr>
      <w:tabs>
        <w:tab w:val="right" w:leader="hyphen" w:pos="8490"/>
      </w:tabs>
      <w:ind w:leftChars="0" w:left="487" w:rightChars="149" w:right="422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5C67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3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4">
    <w:name w:val="Table Grid"/>
    <w:basedOn w:val="a1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character" w:styleId="af5">
    <w:name w:val="Hyperlink"/>
    <w:uiPriority w:val="99"/>
    <w:rsid w:val="0035749D"/>
    <w:rPr>
      <w:color w:val="0000FF"/>
      <w:u w:val="single"/>
    </w:rPr>
  </w:style>
  <w:style w:type="character" w:styleId="af6">
    <w:name w:val="page number"/>
    <w:rsid w:val="0035749D"/>
  </w:style>
  <w:style w:type="paragraph" w:styleId="af7">
    <w:name w:val="footnote text"/>
    <w:basedOn w:val="a"/>
    <w:link w:val="af8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35749D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35749D"/>
    <w:rPr>
      <w:vertAlign w:val="superscript"/>
    </w:rPr>
  </w:style>
  <w:style w:type="paragraph" w:styleId="afa">
    <w:name w:val="Balloon Text"/>
    <w:basedOn w:val="a"/>
    <w:link w:val="afb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b">
    <w:name w:val="註解方塊文字 字元"/>
    <w:link w:val="afa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a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c">
    <w:name w:val="Body Text Indent"/>
    <w:basedOn w:val="a"/>
    <w:link w:val="afd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d">
    <w:name w:val="本文縮排 字元"/>
    <w:link w:val="afc"/>
    <w:uiPriority w:val="99"/>
    <w:rsid w:val="0035749D"/>
    <w:rPr>
      <w:spacing w:val="-5"/>
      <w:sz w:val="18"/>
    </w:rPr>
  </w:style>
  <w:style w:type="paragraph" w:customStyle="1" w:styleId="afe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3574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49D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d">
    <w:name w:val="姓名及分機 字元"/>
    <w:link w:val="ac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"/>
    <w:basedOn w:val="a"/>
    <w:link w:val="aff0"/>
    <w:unhideWhenUsed/>
    <w:rsid w:val="0035749D"/>
    <w:pPr>
      <w:spacing w:after="120"/>
    </w:pPr>
  </w:style>
  <w:style w:type="character" w:customStyle="1" w:styleId="aff0">
    <w:name w:val="本文 字元"/>
    <w:link w:val="aff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Note Heading"/>
    <w:basedOn w:val="a"/>
    <w:next w:val="a"/>
    <w:link w:val="aff2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2">
    <w:name w:val="註釋標題 字元"/>
    <w:link w:val="aff1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Web">
    <w:name w:val="Normal (Web)"/>
    <w:basedOn w:val="a"/>
    <w:semiHidden/>
    <w:rsid w:val="0035749D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kern w:val="0"/>
      <w:sz w:val="24"/>
      <w:szCs w:val="24"/>
    </w:rPr>
  </w:style>
  <w:style w:type="paragraph" w:styleId="aff3">
    <w:name w:val="Plain Text"/>
    <w:basedOn w:val="a"/>
    <w:link w:val="aff4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4">
    <w:name w:val="純文字 字元"/>
    <w:link w:val="aff3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5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7">
    <w:name w:val="FollowedHyperlink"/>
    <w:uiPriority w:val="99"/>
    <w:semiHidden/>
    <w:unhideWhenUsed/>
    <w:rsid w:val="004E3178"/>
    <w:rPr>
      <w:color w:val="800080"/>
      <w:u w:val="single"/>
    </w:rPr>
  </w:style>
  <w:style w:type="paragraph" w:styleId="aff8">
    <w:name w:val="Date"/>
    <w:basedOn w:val="a"/>
    <w:next w:val="a"/>
    <w:link w:val="aff9"/>
    <w:rsid w:val="004A57C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CompanyName">
    <w:name w:val="Company Name"/>
    <w:basedOn w:val="a"/>
    <w:rsid w:val="00BF75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a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character" w:customStyle="1" w:styleId="aff9">
    <w:name w:val="日期 字元"/>
    <w:link w:val="aff8"/>
    <w:rsid w:val="004A57C5"/>
    <w:rPr>
      <w:rFonts w:eastAsia="標楷體"/>
      <w:b/>
      <w:bCs/>
      <w:kern w:val="2"/>
      <w:sz w:val="36"/>
      <w:szCs w:val="24"/>
    </w:rPr>
  </w:style>
  <w:style w:type="paragraph" w:styleId="affb">
    <w:name w:val="List Paragraph"/>
    <w:basedOn w:val="a"/>
    <w:uiPriority w:val="34"/>
    <w:qFormat/>
    <w:rsid w:val="00EB275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pple-style-span">
    <w:name w:val="apple-style-span"/>
    <w:rsid w:val="008601CB"/>
  </w:style>
  <w:style w:type="character" w:customStyle="1" w:styleId="a9">
    <w:name w:val="前言內文 字元"/>
    <w:link w:val="a8"/>
    <w:rsid w:val="0025766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597B8-10C6-48F8-801C-AF3D6F98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3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Links>
    <vt:vector size="54" baseType="variant"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_Toc185254263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_Toc185254262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_Toc185254261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_Toc185254260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_Toc185254259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_Toc185254258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_Toc185254257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_Toc185254256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_Toc185254255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2024-12-16T07:22:00Z</cp:lastPrinted>
  <dcterms:created xsi:type="dcterms:W3CDTF">2024-12-19T03:29:00Z</dcterms:created>
  <dcterms:modified xsi:type="dcterms:W3CDTF">2024-12-19T03:29:00Z</dcterms:modified>
</cp:coreProperties>
</file>