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473" w:rsidRDefault="00B12961" w:rsidP="003342FC">
      <w:pPr>
        <w:adjustRightInd w:val="0"/>
        <w:ind w:leftChars="0" w:left="0" w:firstLineChars="0" w:firstLine="0"/>
        <w:rPr>
          <w:noProof/>
        </w:rPr>
      </w:pPr>
      <w:bookmarkStart w:id="0" w:name="_Toc209267999"/>
      <w:bookmarkStart w:id="1" w:name="_GoBack"/>
      <w:bookmarkEnd w:id="1"/>
      <w:r>
        <w:rPr>
          <w:rFonts w:hint="eastAsia"/>
          <w:b/>
          <w:spacing w:val="-10"/>
          <w:sz w:val="36"/>
        </w:rPr>
        <w:t>國家發展委員會及所屬</w:t>
      </w:r>
      <w:r w:rsidRPr="00B712D4">
        <w:rPr>
          <w:rFonts w:hint="eastAsia"/>
          <w:b/>
          <w:spacing w:val="-10"/>
          <w:sz w:val="36"/>
        </w:rPr>
        <w:t>、</w:t>
      </w:r>
      <w:r w:rsidRPr="00796C55">
        <w:rPr>
          <w:rFonts w:hint="eastAsia"/>
          <w:b/>
          <w:spacing w:val="-10"/>
          <w:sz w:val="36"/>
        </w:rPr>
        <w:t>公平交易委員會</w:t>
      </w:r>
      <w:r>
        <w:rPr>
          <w:rFonts w:hint="eastAsia"/>
          <w:b/>
          <w:spacing w:val="-10"/>
          <w:sz w:val="36"/>
        </w:rPr>
        <w:t>及</w:t>
      </w:r>
      <w:r w:rsidRPr="00796C55">
        <w:rPr>
          <w:rFonts w:hint="eastAsia"/>
          <w:b/>
          <w:spacing w:val="-10"/>
          <w:sz w:val="36"/>
        </w:rPr>
        <w:t>反托拉斯基金1</w:t>
      </w:r>
      <w:r>
        <w:rPr>
          <w:b/>
          <w:spacing w:val="-10"/>
          <w:sz w:val="36"/>
        </w:rPr>
        <w:t>12</w:t>
      </w:r>
      <w:r w:rsidRPr="00796C55">
        <w:rPr>
          <w:rFonts w:hint="eastAsia"/>
          <w:b/>
          <w:spacing w:val="-10"/>
          <w:sz w:val="36"/>
        </w:rPr>
        <w:t>年度決算評估報告</w:t>
      </w:r>
      <w:r w:rsidRPr="00796C55">
        <w:rPr>
          <w:rFonts w:hint="eastAsia"/>
          <w:b/>
          <w:spacing w:val="-20"/>
          <w:sz w:val="36"/>
        </w:rPr>
        <w:t>目錄</w:t>
      </w:r>
      <w:r>
        <w:rPr>
          <w:rFonts w:hint="eastAsia"/>
          <w:b/>
          <w:spacing w:val="-20"/>
          <w:sz w:val="36"/>
        </w:rPr>
        <w:t xml:space="preserve">          </w:t>
      </w:r>
      <w:r>
        <w:rPr>
          <w:rFonts w:hint="eastAsia"/>
          <w:sz w:val="36"/>
        </w:rPr>
        <w:t xml:space="preserve">               </w:t>
      </w:r>
      <w:r w:rsidRPr="007F5F35">
        <w:rPr>
          <w:rFonts w:hint="eastAsia"/>
          <w:sz w:val="24"/>
          <w:szCs w:val="24"/>
        </w:rPr>
        <w:t>頁次</w:t>
      </w:r>
      <w:r w:rsidRPr="00796C55">
        <w:rPr>
          <w:sz w:val="24"/>
          <w:szCs w:val="24"/>
        </w:rPr>
        <w:fldChar w:fldCharType="begin"/>
      </w:r>
      <w:r w:rsidRPr="00796C55">
        <w:rPr>
          <w:sz w:val="24"/>
          <w:szCs w:val="24"/>
        </w:rPr>
        <w:instrText xml:space="preserve"> TOC </w:instrText>
      </w:r>
      <w:r w:rsidRPr="00796C55">
        <w:rPr>
          <w:rFonts w:hint="eastAsia"/>
          <w:sz w:val="24"/>
          <w:szCs w:val="24"/>
        </w:rPr>
        <w:instrText>\h \z \t "第二層(14號字),1"</w:instrText>
      </w:r>
      <w:r w:rsidRPr="00796C55">
        <w:rPr>
          <w:sz w:val="24"/>
          <w:szCs w:val="24"/>
        </w:rPr>
        <w:instrText xml:space="preserve"> </w:instrText>
      </w:r>
      <w:r w:rsidRPr="00796C55">
        <w:rPr>
          <w:sz w:val="24"/>
          <w:szCs w:val="24"/>
        </w:rPr>
        <w:fldChar w:fldCharType="separate"/>
      </w:r>
    </w:p>
    <w:p w:rsidR="00E24473" w:rsidRPr="008E3D43" w:rsidRDefault="00E24473">
      <w:pPr>
        <w:pStyle w:val="11"/>
        <w:rPr>
          <w:rFonts w:ascii="Calibri" w:eastAsia="新細明體" w:hAnsi="Calibri"/>
          <w:b w:val="0"/>
          <w:snapToGrid/>
          <w:szCs w:val="22"/>
        </w:rPr>
      </w:pPr>
      <w:hyperlink w:anchor="_Toc185254255" w:history="1">
        <w:r w:rsidRPr="00F23AAA">
          <w:rPr>
            <w:rStyle w:val="af5"/>
            <w:rFonts w:hint="eastAsia"/>
          </w:rPr>
          <w:t>壹、國家發展委員會</w:t>
        </w:r>
        <w:r>
          <w:rPr>
            <w:webHidden/>
          </w:rPr>
          <w:tab/>
        </w:r>
        <w:r>
          <w:rPr>
            <w:webHidden/>
          </w:rPr>
          <w:fldChar w:fldCharType="begin"/>
        </w:r>
        <w:r>
          <w:rPr>
            <w:webHidden/>
          </w:rPr>
          <w:instrText xml:space="preserve"> PAGEREF _Toc185254255 \h </w:instrText>
        </w:r>
        <w:r>
          <w:rPr>
            <w:webHidden/>
          </w:rPr>
        </w:r>
        <w:r>
          <w:rPr>
            <w:webHidden/>
          </w:rPr>
          <w:fldChar w:fldCharType="separate"/>
        </w:r>
        <w:r w:rsidR="00F209F9">
          <w:rPr>
            <w:webHidden/>
          </w:rPr>
          <w:t>1</w:t>
        </w:r>
        <w:r>
          <w:rPr>
            <w:webHidden/>
          </w:rPr>
          <w:fldChar w:fldCharType="end"/>
        </w:r>
      </w:hyperlink>
    </w:p>
    <w:p w:rsidR="00E24473" w:rsidRPr="008E3D43" w:rsidRDefault="00E24473">
      <w:pPr>
        <w:pStyle w:val="11"/>
        <w:ind w:left="486" w:hanging="486"/>
        <w:rPr>
          <w:rFonts w:ascii="Calibri" w:eastAsia="新細明體" w:hAnsi="Calibri"/>
          <w:b w:val="0"/>
          <w:snapToGrid/>
          <w:szCs w:val="22"/>
        </w:rPr>
      </w:pPr>
      <w:hyperlink w:anchor="_Toc185254256" w:history="1">
        <w:r w:rsidRPr="00E24473">
          <w:rPr>
            <w:rStyle w:val="af5"/>
            <w:rFonts w:hint="eastAsia"/>
            <w:b w:val="0"/>
          </w:rPr>
          <w:t>一、「中興新村北、中核心公有資產活化建設計畫」保留數占比逾</w:t>
        </w:r>
        <w:r w:rsidRPr="00E24473">
          <w:rPr>
            <w:rStyle w:val="af5"/>
            <w:b w:val="0"/>
          </w:rPr>
          <w:t>5</w:t>
        </w:r>
        <w:r w:rsidRPr="00E24473">
          <w:rPr>
            <w:rStyle w:val="af5"/>
            <w:rFonts w:hint="eastAsia"/>
            <w:b w:val="0"/>
          </w:rPr>
          <w:t>成，允宜積極控管進度並加強辦理</w:t>
        </w:r>
        <w:r w:rsidRPr="00E24473">
          <w:rPr>
            <w:b w:val="0"/>
            <w:webHidden/>
          </w:rPr>
          <w:tab/>
        </w:r>
        <w:r w:rsidRPr="00E24473">
          <w:rPr>
            <w:b w:val="0"/>
            <w:webHidden/>
          </w:rPr>
          <w:fldChar w:fldCharType="begin"/>
        </w:r>
        <w:r w:rsidRPr="00E24473">
          <w:rPr>
            <w:b w:val="0"/>
            <w:webHidden/>
          </w:rPr>
          <w:instrText xml:space="preserve"> PAGEREF _Toc185254256 \h </w:instrText>
        </w:r>
        <w:r w:rsidRPr="00E24473">
          <w:rPr>
            <w:b w:val="0"/>
            <w:webHidden/>
          </w:rPr>
        </w:r>
        <w:r w:rsidRPr="00E24473">
          <w:rPr>
            <w:b w:val="0"/>
            <w:webHidden/>
          </w:rPr>
          <w:fldChar w:fldCharType="separate"/>
        </w:r>
        <w:r w:rsidR="00F209F9">
          <w:rPr>
            <w:b w:val="0"/>
            <w:webHidden/>
          </w:rPr>
          <w:t>1</w:t>
        </w:r>
        <w:r w:rsidRPr="00E24473">
          <w:rPr>
            <w:b w:val="0"/>
            <w:webHidden/>
          </w:rPr>
          <w:fldChar w:fldCharType="end"/>
        </w:r>
      </w:hyperlink>
    </w:p>
    <w:p w:rsidR="00E24473" w:rsidRPr="008E3D43" w:rsidRDefault="00E24473">
      <w:pPr>
        <w:pStyle w:val="11"/>
        <w:ind w:left="486" w:hanging="486"/>
        <w:rPr>
          <w:rFonts w:ascii="Calibri" w:eastAsia="新細明體" w:hAnsi="Calibri"/>
          <w:b w:val="0"/>
          <w:snapToGrid/>
          <w:szCs w:val="22"/>
        </w:rPr>
      </w:pPr>
      <w:hyperlink w:anchor="_Toc185254257" w:history="1">
        <w:r w:rsidRPr="00E24473">
          <w:rPr>
            <w:rStyle w:val="af5"/>
            <w:rFonts w:hint="eastAsia"/>
            <w:b w:val="0"/>
            <w:bCs/>
          </w:rPr>
          <w:t>二、截至</w:t>
        </w:r>
        <w:r w:rsidRPr="00E24473">
          <w:rPr>
            <w:rStyle w:val="af5"/>
            <w:b w:val="0"/>
            <w:bCs/>
          </w:rPr>
          <w:t>112</w:t>
        </w:r>
        <w:r w:rsidRPr="00E24473">
          <w:rPr>
            <w:rStyle w:val="af5"/>
            <w:rFonts w:hint="eastAsia"/>
            <w:b w:val="0"/>
            <w:bCs/>
          </w:rPr>
          <w:t>年底，地方創生國家戰略計畫中，仍有</w:t>
        </w:r>
        <w:r w:rsidRPr="00E24473">
          <w:rPr>
            <w:rStyle w:val="af5"/>
            <w:b w:val="0"/>
            <w:bCs/>
          </w:rPr>
          <w:t>30</w:t>
        </w:r>
        <w:r w:rsidRPr="00E24473">
          <w:rPr>
            <w:rStyle w:val="af5"/>
            <w:rFonts w:hint="eastAsia"/>
            <w:b w:val="0"/>
            <w:bCs/>
          </w:rPr>
          <w:t>處優先推動地區尚未提案，允宜強化輔導能量及增進與地方之溝通，並協助整合地方創生相關資源，確保地方均衡發展目標</w:t>
        </w:r>
        <w:r w:rsidRPr="00E24473">
          <w:rPr>
            <w:b w:val="0"/>
            <w:webHidden/>
          </w:rPr>
          <w:tab/>
        </w:r>
        <w:r w:rsidRPr="00E24473">
          <w:rPr>
            <w:b w:val="0"/>
            <w:webHidden/>
          </w:rPr>
          <w:fldChar w:fldCharType="begin"/>
        </w:r>
        <w:r w:rsidRPr="00E24473">
          <w:rPr>
            <w:b w:val="0"/>
            <w:webHidden/>
          </w:rPr>
          <w:instrText xml:space="preserve"> PAGEREF _Toc185254257 \h </w:instrText>
        </w:r>
        <w:r w:rsidRPr="00E24473">
          <w:rPr>
            <w:b w:val="0"/>
            <w:webHidden/>
          </w:rPr>
        </w:r>
        <w:r w:rsidRPr="00E24473">
          <w:rPr>
            <w:b w:val="0"/>
            <w:webHidden/>
          </w:rPr>
          <w:fldChar w:fldCharType="separate"/>
        </w:r>
        <w:r w:rsidR="00F209F9">
          <w:rPr>
            <w:b w:val="0"/>
            <w:webHidden/>
          </w:rPr>
          <w:t>3</w:t>
        </w:r>
        <w:r w:rsidRPr="00E24473">
          <w:rPr>
            <w:b w:val="0"/>
            <w:webHidden/>
          </w:rPr>
          <w:fldChar w:fldCharType="end"/>
        </w:r>
      </w:hyperlink>
    </w:p>
    <w:p w:rsidR="00E24473" w:rsidRPr="008E3D43" w:rsidRDefault="00E24473">
      <w:pPr>
        <w:pStyle w:val="11"/>
        <w:rPr>
          <w:rFonts w:ascii="Calibri" w:eastAsia="新細明體" w:hAnsi="Calibri"/>
          <w:b w:val="0"/>
          <w:snapToGrid/>
          <w:szCs w:val="22"/>
        </w:rPr>
      </w:pPr>
      <w:hyperlink w:anchor="_Toc185254258" w:history="1">
        <w:r w:rsidRPr="00F23AAA">
          <w:rPr>
            <w:rStyle w:val="af5"/>
            <w:rFonts w:hint="eastAsia"/>
          </w:rPr>
          <w:t>貳、檔案管理局</w:t>
        </w:r>
        <w:r>
          <w:rPr>
            <w:webHidden/>
          </w:rPr>
          <w:tab/>
        </w:r>
        <w:r>
          <w:rPr>
            <w:webHidden/>
          </w:rPr>
          <w:fldChar w:fldCharType="begin"/>
        </w:r>
        <w:r>
          <w:rPr>
            <w:webHidden/>
          </w:rPr>
          <w:instrText xml:space="preserve"> PAGEREF _Toc185254258 \h </w:instrText>
        </w:r>
        <w:r>
          <w:rPr>
            <w:webHidden/>
          </w:rPr>
        </w:r>
        <w:r>
          <w:rPr>
            <w:webHidden/>
          </w:rPr>
          <w:fldChar w:fldCharType="separate"/>
        </w:r>
        <w:r w:rsidR="00F209F9">
          <w:rPr>
            <w:webHidden/>
          </w:rPr>
          <w:t>5</w:t>
        </w:r>
        <w:r>
          <w:rPr>
            <w:webHidden/>
          </w:rPr>
          <w:fldChar w:fldCharType="end"/>
        </w:r>
      </w:hyperlink>
    </w:p>
    <w:p w:rsidR="00E24473" w:rsidRPr="008E3D43" w:rsidRDefault="00E24473">
      <w:pPr>
        <w:pStyle w:val="11"/>
        <w:ind w:left="486" w:hanging="486"/>
        <w:rPr>
          <w:rFonts w:ascii="Calibri" w:eastAsia="新細明體" w:hAnsi="Calibri"/>
          <w:b w:val="0"/>
          <w:snapToGrid/>
          <w:szCs w:val="22"/>
        </w:rPr>
      </w:pPr>
      <w:hyperlink w:anchor="_Toc185254259" w:history="1">
        <w:r w:rsidRPr="00E24473">
          <w:rPr>
            <w:rStyle w:val="af5"/>
            <w:rFonts w:hint="eastAsia"/>
            <w:b w:val="0"/>
          </w:rPr>
          <w:t>三、檔案管理局「國家檔案典藏及服務建設計畫」</w:t>
        </w:r>
        <w:r w:rsidRPr="00E24473">
          <w:rPr>
            <w:rStyle w:val="af5"/>
            <w:b w:val="0"/>
          </w:rPr>
          <w:t>107</w:t>
        </w:r>
        <w:r w:rsidRPr="00E24473">
          <w:rPr>
            <w:rStyle w:val="af5"/>
            <w:rFonts w:hint="eastAsia"/>
            <w:b w:val="0"/>
          </w:rPr>
          <w:t>至</w:t>
        </w:r>
        <w:r w:rsidRPr="00E24473">
          <w:rPr>
            <w:rStyle w:val="af5"/>
            <w:b w:val="0"/>
          </w:rPr>
          <w:t>112</w:t>
        </w:r>
        <w:r w:rsidRPr="00E24473">
          <w:rPr>
            <w:rStyle w:val="af5"/>
            <w:rFonts w:hint="eastAsia"/>
            <w:b w:val="0"/>
          </w:rPr>
          <w:t>年度預算執行率均未及</w:t>
        </w:r>
        <w:r w:rsidRPr="00E24473">
          <w:rPr>
            <w:rStyle w:val="af5"/>
            <w:b w:val="0"/>
          </w:rPr>
          <w:t>7</w:t>
        </w:r>
        <w:r w:rsidRPr="00E24473">
          <w:rPr>
            <w:rStyle w:val="af5"/>
            <w:rFonts w:hint="eastAsia"/>
            <w:b w:val="0"/>
          </w:rPr>
          <w:t>成，允宜確實檢討並強化管控措施</w:t>
        </w:r>
        <w:r w:rsidRPr="00E24473">
          <w:rPr>
            <w:b w:val="0"/>
            <w:webHidden/>
          </w:rPr>
          <w:tab/>
        </w:r>
        <w:r w:rsidRPr="00E24473">
          <w:rPr>
            <w:b w:val="0"/>
            <w:webHidden/>
          </w:rPr>
          <w:fldChar w:fldCharType="begin"/>
        </w:r>
        <w:r w:rsidRPr="00E24473">
          <w:rPr>
            <w:b w:val="0"/>
            <w:webHidden/>
          </w:rPr>
          <w:instrText xml:space="preserve"> PAGEREF _Toc185254259 \h </w:instrText>
        </w:r>
        <w:r w:rsidRPr="00E24473">
          <w:rPr>
            <w:b w:val="0"/>
            <w:webHidden/>
          </w:rPr>
        </w:r>
        <w:r w:rsidRPr="00E24473">
          <w:rPr>
            <w:b w:val="0"/>
            <w:webHidden/>
          </w:rPr>
          <w:fldChar w:fldCharType="separate"/>
        </w:r>
        <w:r w:rsidR="00F209F9">
          <w:rPr>
            <w:b w:val="0"/>
            <w:webHidden/>
          </w:rPr>
          <w:t>5</w:t>
        </w:r>
        <w:r w:rsidRPr="00E24473">
          <w:rPr>
            <w:b w:val="0"/>
            <w:webHidden/>
          </w:rPr>
          <w:fldChar w:fldCharType="end"/>
        </w:r>
      </w:hyperlink>
    </w:p>
    <w:p w:rsidR="00E24473" w:rsidRPr="008E3D43" w:rsidRDefault="00E24473">
      <w:pPr>
        <w:pStyle w:val="11"/>
        <w:rPr>
          <w:rFonts w:ascii="Calibri" w:eastAsia="新細明體" w:hAnsi="Calibri"/>
          <w:b w:val="0"/>
          <w:snapToGrid/>
          <w:szCs w:val="22"/>
        </w:rPr>
      </w:pPr>
      <w:hyperlink w:anchor="_Toc185254260" w:history="1">
        <w:r w:rsidRPr="00F23AAA">
          <w:rPr>
            <w:rStyle w:val="af5"/>
            <w:rFonts w:hint="eastAsia"/>
          </w:rPr>
          <w:t>參、公平交易委員會</w:t>
        </w:r>
        <w:r>
          <w:rPr>
            <w:webHidden/>
          </w:rPr>
          <w:tab/>
        </w:r>
        <w:r>
          <w:rPr>
            <w:webHidden/>
          </w:rPr>
          <w:fldChar w:fldCharType="begin"/>
        </w:r>
        <w:r>
          <w:rPr>
            <w:webHidden/>
          </w:rPr>
          <w:instrText xml:space="preserve"> PAGEREF _Toc185254260 \h </w:instrText>
        </w:r>
        <w:r>
          <w:rPr>
            <w:webHidden/>
          </w:rPr>
        </w:r>
        <w:r>
          <w:rPr>
            <w:webHidden/>
          </w:rPr>
          <w:fldChar w:fldCharType="separate"/>
        </w:r>
        <w:r w:rsidR="00F209F9">
          <w:rPr>
            <w:webHidden/>
          </w:rPr>
          <w:t>7</w:t>
        </w:r>
        <w:r>
          <w:rPr>
            <w:webHidden/>
          </w:rPr>
          <w:fldChar w:fldCharType="end"/>
        </w:r>
      </w:hyperlink>
    </w:p>
    <w:p w:rsidR="00E24473" w:rsidRPr="008E3D43" w:rsidRDefault="00E24473">
      <w:pPr>
        <w:pStyle w:val="11"/>
        <w:ind w:left="486" w:hanging="486"/>
        <w:rPr>
          <w:rFonts w:ascii="Calibri" w:eastAsia="新細明體" w:hAnsi="Calibri"/>
          <w:b w:val="0"/>
          <w:snapToGrid/>
          <w:szCs w:val="22"/>
        </w:rPr>
      </w:pPr>
      <w:hyperlink w:anchor="_Toc185254261" w:history="1">
        <w:r w:rsidRPr="00E24473">
          <w:rPr>
            <w:rStyle w:val="af5"/>
            <w:rFonts w:hint="eastAsia"/>
            <w:b w:val="0"/>
          </w:rPr>
          <w:t>四、近年物價異常波動頻仍，允宜持續精進調查分析方式及主動監測機制，俾維護市場競爭秩序及民眾權益</w:t>
        </w:r>
        <w:r w:rsidRPr="00E24473">
          <w:rPr>
            <w:b w:val="0"/>
            <w:webHidden/>
          </w:rPr>
          <w:tab/>
        </w:r>
        <w:r w:rsidRPr="00E24473">
          <w:rPr>
            <w:b w:val="0"/>
            <w:webHidden/>
          </w:rPr>
          <w:fldChar w:fldCharType="begin"/>
        </w:r>
        <w:r w:rsidRPr="00E24473">
          <w:rPr>
            <w:b w:val="0"/>
            <w:webHidden/>
          </w:rPr>
          <w:instrText xml:space="preserve"> PAGEREF _Toc185254261 \h </w:instrText>
        </w:r>
        <w:r w:rsidRPr="00E24473">
          <w:rPr>
            <w:b w:val="0"/>
            <w:webHidden/>
          </w:rPr>
        </w:r>
        <w:r w:rsidRPr="00E24473">
          <w:rPr>
            <w:b w:val="0"/>
            <w:webHidden/>
          </w:rPr>
          <w:fldChar w:fldCharType="separate"/>
        </w:r>
        <w:r w:rsidR="00F209F9">
          <w:rPr>
            <w:b w:val="0"/>
            <w:webHidden/>
          </w:rPr>
          <w:t>7</w:t>
        </w:r>
        <w:r w:rsidRPr="00E24473">
          <w:rPr>
            <w:b w:val="0"/>
            <w:webHidden/>
          </w:rPr>
          <w:fldChar w:fldCharType="end"/>
        </w:r>
      </w:hyperlink>
    </w:p>
    <w:p w:rsidR="00E24473" w:rsidRPr="008E3D43" w:rsidRDefault="00E24473">
      <w:pPr>
        <w:pStyle w:val="11"/>
        <w:rPr>
          <w:rFonts w:ascii="Calibri" w:eastAsia="新細明體" w:hAnsi="Calibri"/>
          <w:b w:val="0"/>
          <w:snapToGrid/>
          <w:szCs w:val="22"/>
        </w:rPr>
      </w:pPr>
      <w:hyperlink w:anchor="_Toc185254262" w:history="1">
        <w:r w:rsidRPr="00F23AAA">
          <w:rPr>
            <w:rStyle w:val="af5"/>
            <w:rFonts w:hint="eastAsia"/>
          </w:rPr>
          <w:t>肆、反托拉斯基金</w:t>
        </w:r>
        <w:r>
          <w:rPr>
            <w:webHidden/>
          </w:rPr>
          <w:tab/>
        </w:r>
        <w:r>
          <w:rPr>
            <w:webHidden/>
          </w:rPr>
          <w:fldChar w:fldCharType="begin"/>
        </w:r>
        <w:r>
          <w:rPr>
            <w:webHidden/>
          </w:rPr>
          <w:instrText xml:space="preserve"> PAGEREF _Toc185254262 \h </w:instrText>
        </w:r>
        <w:r>
          <w:rPr>
            <w:webHidden/>
          </w:rPr>
        </w:r>
        <w:r>
          <w:rPr>
            <w:webHidden/>
          </w:rPr>
          <w:fldChar w:fldCharType="separate"/>
        </w:r>
        <w:r w:rsidR="00F209F9">
          <w:rPr>
            <w:webHidden/>
          </w:rPr>
          <w:t>10</w:t>
        </w:r>
        <w:r>
          <w:rPr>
            <w:webHidden/>
          </w:rPr>
          <w:fldChar w:fldCharType="end"/>
        </w:r>
      </w:hyperlink>
    </w:p>
    <w:p w:rsidR="00E24473" w:rsidRPr="008E3D43" w:rsidRDefault="00E24473">
      <w:pPr>
        <w:pStyle w:val="11"/>
        <w:ind w:left="486" w:hanging="486"/>
        <w:rPr>
          <w:rFonts w:ascii="Calibri" w:eastAsia="新細明體" w:hAnsi="Calibri"/>
          <w:b w:val="0"/>
          <w:snapToGrid/>
          <w:szCs w:val="22"/>
        </w:rPr>
      </w:pPr>
      <w:hyperlink w:anchor="_Toc185254263" w:history="1">
        <w:r w:rsidRPr="00E24473">
          <w:rPr>
            <w:rStyle w:val="af5"/>
            <w:rFonts w:hint="eastAsia"/>
            <w:b w:val="0"/>
          </w:rPr>
          <w:t>五、</w:t>
        </w:r>
        <w:r w:rsidRPr="00E24473">
          <w:rPr>
            <w:rStyle w:val="af5"/>
            <w:b w:val="0"/>
          </w:rPr>
          <w:t>112</w:t>
        </w:r>
        <w:r w:rsidRPr="00E24473">
          <w:rPr>
            <w:rStyle w:val="af5"/>
            <w:rFonts w:hint="eastAsia"/>
            <w:b w:val="0"/>
          </w:rPr>
          <w:t>年度短絀達</w:t>
        </w:r>
        <w:r w:rsidRPr="00E24473">
          <w:rPr>
            <w:rStyle w:val="af5"/>
            <w:b w:val="0"/>
          </w:rPr>
          <w:t>5,596</w:t>
        </w:r>
        <w:r w:rsidRPr="00E24473">
          <w:rPr>
            <w:rStyle w:val="af5"/>
            <w:rFonts w:hint="eastAsia"/>
            <w:b w:val="0"/>
          </w:rPr>
          <w:t>萬</w:t>
        </w:r>
        <w:r w:rsidRPr="00E24473">
          <w:rPr>
            <w:rStyle w:val="af5"/>
            <w:b w:val="0"/>
          </w:rPr>
          <w:t>9</w:t>
        </w:r>
        <w:r w:rsidRPr="00E24473">
          <w:rPr>
            <w:rStyle w:val="af5"/>
            <w:rFonts w:hint="eastAsia"/>
            <w:b w:val="0"/>
          </w:rPr>
          <w:t>千元，為近</w:t>
        </w:r>
        <w:r w:rsidRPr="00E24473">
          <w:rPr>
            <w:rStyle w:val="af5"/>
            <w:b w:val="0"/>
          </w:rPr>
          <w:t>5</w:t>
        </w:r>
        <w:r w:rsidRPr="00E24473">
          <w:rPr>
            <w:rStyle w:val="af5"/>
            <w:rFonts w:hint="eastAsia"/>
            <w:b w:val="0"/>
          </w:rPr>
          <w:t>年最高，允宜於兼顧風險控管下，妥適規劃配置餘裕資金，俾提升收益</w:t>
        </w:r>
        <w:r w:rsidRPr="00E24473">
          <w:rPr>
            <w:b w:val="0"/>
            <w:webHidden/>
          </w:rPr>
          <w:tab/>
        </w:r>
        <w:r w:rsidRPr="00E24473">
          <w:rPr>
            <w:b w:val="0"/>
            <w:webHidden/>
          </w:rPr>
          <w:fldChar w:fldCharType="begin"/>
        </w:r>
        <w:r w:rsidRPr="00E24473">
          <w:rPr>
            <w:b w:val="0"/>
            <w:webHidden/>
          </w:rPr>
          <w:instrText xml:space="preserve"> PAGEREF _Toc185254263 \h </w:instrText>
        </w:r>
        <w:r w:rsidRPr="00E24473">
          <w:rPr>
            <w:b w:val="0"/>
            <w:webHidden/>
          </w:rPr>
        </w:r>
        <w:r w:rsidRPr="00E24473">
          <w:rPr>
            <w:b w:val="0"/>
            <w:webHidden/>
          </w:rPr>
          <w:fldChar w:fldCharType="separate"/>
        </w:r>
        <w:r w:rsidR="00F209F9">
          <w:rPr>
            <w:b w:val="0"/>
            <w:webHidden/>
          </w:rPr>
          <w:t>11</w:t>
        </w:r>
        <w:r w:rsidRPr="00E24473">
          <w:rPr>
            <w:b w:val="0"/>
            <w:webHidden/>
          </w:rPr>
          <w:fldChar w:fldCharType="end"/>
        </w:r>
      </w:hyperlink>
    </w:p>
    <w:p w:rsidR="00B12961" w:rsidRDefault="00B12961" w:rsidP="008B63FB">
      <w:pPr>
        <w:adjustRightInd w:val="0"/>
        <w:ind w:leftChars="0" w:left="0" w:firstLineChars="0" w:firstLine="0"/>
        <w:rPr>
          <w:sz w:val="24"/>
          <w:szCs w:val="24"/>
        </w:rPr>
        <w:sectPr w:rsidR="00B12961" w:rsidSect="00761029">
          <w:footerReference w:type="first" r:id="rId8"/>
          <w:pgSz w:w="11906" w:h="16838" w:code="9"/>
          <w:pgMar w:top="1701" w:right="1701" w:bottom="1701" w:left="1701" w:header="0" w:footer="1134" w:gutter="0"/>
          <w:pgNumType w:start="1"/>
          <w:cols w:space="425"/>
          <w:titlePg/>
          <w:docGrid w:type="linesAndChars" w:linePitch="500" w:charSpace="658"/>
        </w:sectPr>
      </w:pPr>
      <w:r w:rsidRPr="00796C55">
        <w:rPr>
          <w:sz w:val="24"/>
          <w:szCs w:val="24"/>
        </w:rPr>
        <w:fldChar w:fldCharType="end"/>
      </w:r>
    </w:p>
    <w:p w:rsidR="00B12961" w:rsidRPr="00884690" w:rsidRDefault="00B12961" w:rsidP="008B63FB">
      <w:pPr>
        <w:adjustRightInd w:val="0"/>
        <w:ind w:leftChars="0" w:left="0" w:firstLineChars="0" w:firstLine="0"/>
        <w:rPr>
          <w:rFonts w:hint="eastAsia"/>
          <w:b/>
          <w:spacing w:val="-12"/>
          <w:sz w:val="36"/>
        </w:rPr>
      </w:pPr>
      <w:r w:rsidRPr="00B712D4">
        <w:rPr>
          <w:rFonts w:hint="eastAsia"/>
          <w:b/>
          <w:spacing w:val="-12"/>
          <w:sz w:val="36"/>
        </w:rPr>
        <w:lastRenderedPageBreak/>
        <w:t>國家發展委員會及所屬、公平交易委員會及反托拉斯基金112年度決算評估報告</w:t>
      </w:r>
    </w:p>
    <w:p w:rsidR="00B12961" w:rsidRPr="00AB78AB" w:rsidRDefault="00B12961" w:rsidP="00257667">
      <w:pPr>
        <w:pStyle w:val="14"/>
        <w:ind w:left="567" w:hanging="567"/>
        <w:rPr>
          <w:rFonts w:hAnsi="標楷體" w:hint="eastAsia"/>
        </w:rPr>
      </w:pPr>
      <w:bookmarkStart w:id="2" w:name="_Toc496609238"/>
      <w:bookmarkStart w:id="3" w:name="_Toc527539941"/>
      <w:bookmarkStart w:id="4" w:name="_Toc185254255"/>
      <w:r>
        <w:rPr>
          <w:rFonts w:hAnsi="標楷體" w:hint="eastAsia"/>
        </w:rPr>
        <w:t>壹</w:t>
      </w:r>
      <w:r w:rsidRPr="00AB78AB">
        <w:rPr>
          <w:rFonts w:hAnsi="標楷體" w:hint="eastAsia"/>
        </w:rPr>
        <w:t>、</w:t>
      </w:r>
      <w:r w:rsidRPr="00257667">
        <w:rPr>
          <w:rFonts w:hAnsi="標楷體" w:hint="eastAsia"/>
        </w:rPr>
        <w:t>國家發展委員會</w:t>
      </w:r>
      <w:bookmarkEnd w:id="4"/>
    </w:p>
    <w:p w:rsidR="00B12961" w:rsidRPr="00AD5362" w:rsidRDefault="00B12961" w:rsidP="00622298">
      <w:pPr>
        <w:pStyle w:val="a8"/>
        <w:ind w:left="566" w:firstLine="566"/>
      </w:pPr>
      <w:r w:rsidRPr="00AD5362">
        <w:rPr>
          <w:rFonts w:hint="eastAsia"/>
        </w:rPr>
        <w:t>國家發展委員會</w:t>
      </w:r>
      <w:r w:rsidR="005F1C5E">
        <w:rPr>
          <w:rFonts w:hint="eastAsia"/>
        </w:rPr>
        <w:t>(</w:t>
      </w:r>
      <w:r w:rsidRPr="00AD5362">
        <w:rPr>
          <w:rFonts w:hint="eastAsia"/>
        </w:rPr>
        <w:t>以下稱國發會</w:t>
      </w:r>
      <w:r w:rsidR="005F1C5E">
        <w:rPr>
          <w:rFonts w:hint="eastAsia"/>
        </w:rPr>
        <w:t>)</w:t>
      </w:r>
      <w:r w:rsidRPr="00AD5362">
        <w:rPr>
          <w:rFonts w:hint="eastAsia"/>
        </w:rPr>
        <w:t>112年度歲入決算數1</w:t>
      </w:r>
      <w:r w:rsidRPr="00AD5362">
        <w:t>,</w:t>
      </w:r>
      <w:r w:rsidRPr="00AD5362">
        <w:rPr>
          <w:rFonts w:hint="eastAsia"/>
        </w:rPr>
        <w:t>018萬3千元，較預算數增加84萬7千元</w:t>
      </w:r>
      <w:r w:rsidR="005F1C5E">
        <w:rPr>
          <w:rFonts w:hint="eastAsia"/>
        </w:rPr>
        <w:t>(</w:t>
      </w:r>
      <w:r w:rsidRPr="00AD5362">
        <w:rPr>
          <w:rFonts w:hint="eastAsia"/>
        </w:rPr>
        <w:t>增幅9.07%</w:t>
      </w:r>
      <w:r w:rsidR="005F1C5E">
        <w:rPr>
          <w:rFonts w:hint="eastAsia"/>
        </w:rPr>
        <w:t>)</w:t>
      </w:r>
      <w:r w:rsidRPr="00AD5362">
        <w:rPr>
          <w:rFonts w:hint="eastAsia"/>
        </w:rPr>
        <w:t>；歲出決算數22億5,861萬元，較預算數減少4,208萬7千元</w:t>
      </w:r>
      <w:r w:rsidR="005F1C5E">
        <w:rPr>
          <w:rFonts w:hint="eastAsia"/>
        </w:rPr>
        <w:t>(</w:t>
      </w:r>
      <w:r w:rsidRPr="00AD5362">
        <w:rPr>
          <w:rFonts w:hint="eastAsia"/>
        </w:rPr>
        <w:t>執行率98.17%</w:t>
      </w:r>
      <w:r w:rsidR="005F1C5E">
        <w:rPr>
          <w:rFonts w:hint="eastAsia"/>
        </w:rPr>
        <w:t>)</w:t>
      </w:r>
      <w:r w:rsidRPr="00AD5362">
        <w:rPr>
          <w:rFonts w:hint="eastAsia"/>
        </w:rPr>
        <w:t>。謹就國發會112年度單位決算評估如下：</w:t>
      </w:r>
      <w:bookmarkStart w:id="5" w:name="_Toc372547515"/>
      <w:bookmarkStart w:id="6" w:name="_Toc508801430"/>
      <w:r w:rsidRPr="00AD5362">
        <w:t xml:space="preserve"> </w:t>
      </w:r>
    </w:p>
    <w:p w:rsidR="00B12961" w:rsidRPr="00AD5362" w:rsidRDefault="00B12961" w:rsidP="00622298">
      <w:pPr>
        <w:pStyle w:val="14"/>
        <w:ind w:left="567" w:hanging="567"/>
        <w:rPr>
          <w:rFonts w:hint="eastAsia"/>
          <w:u w:val="single"/>
        </w:rPr>
      </w:pPr>
      <w:bookmarkStart w:id="7" w:name="_Toc184903121"/>
      <w:bookmarkStart w:id="8" w:name="_Toc185254256"/>
      <w:r w:rsidRPr="00AD5362">
        <w:rPr>
          <w:rFonts w:hint="eastAsia"/>
        </w:rPr>
        <w:t>一、</w:t>
      </w:r>
      <w:bookmarkEnd w:id="6"/>
      <w:r w:rsidRPr="00AD5362">
        <w:rPr>
          <w:rFonts w:hint="eastAsia"/>
        </w:rPr>
        <w:t>「中興新村北、中核心公有資產活化建設計畫」保留數占比</w:t>
      </w:r>
      <w:r>
        <w:rPr>
          <w:rFonts w:hint="eastAsia"/>
        </w:rPr>
        <w:t>逾5成</w:t>
      </w:r>
      <w:r w:rsidRPr="00AD5362">
        <w:rPr>
          <w:rFonts w:hint="eastAsia"/>
        </w:rPr>
        <w:t>，允宜積極控管進度並加強辦理</w:t>
      </w:r>
      <w:bookmarkEnd w:id="7"/>
      <w:bookmarkEnd w:id="8"/>
    </w:p>
    <w:p w:rsidR="00B12961" w:rsidRPr="00AD5362" w:rsidRDefault="00B12961" w:rsidP="00622298">
      <w:pPr>
        <w:ind w:left="566" w:firstLine="566"/>
        <w:rPr>
          <w:rFonts w:hint="eastAsia"/>
        </w:rPr>
      </w:pPr>
      <w:r w:rsidRPr="00AD5362">
        <w:rPr>
          <w:rFonts w:hint="eastAsia"/>
        </w:rPr>
        <w:t>國發會112年度</w:t>
      </w:r>
      <w:r w:rsidRPr="000455F0">
        <w:rPr>
          <w:rFonts w:hint="eastAsia"/>
        </w:rPr>
        <w:t>「中興新村北、中核心</w:t>
      </w:r>
      <w:r>
        <w:rPr>
          <w:rFonts w:hint="eastAsia"/>
        </w:rPr>
        <w:t>維運</w:t>
      </w:r>
      <w:r w:rsidRPr="000455F0">
        <w:rPr>
          <w:rFonts w:hint="eastAsia"/>
        </w:rPr>
        <w:t>」</w:t>
      </w:r>
      <w:r>
        <w:rPr>
          <w:rFonts w:hint="eastAsia"/>
        </w:rPr>
        <w:t>工作計畫項下編列</w:t>
      </w:r>
      <w:r w:rsidRPr="00AD5362">
        <w:rPr>
          <w:rFonts w:hint="eastAsia"/>
        </w:rPr>
        <w:t>「中興新村北、中核心公有資產活化建設計畫」預算數1億6,599萬8千元，執行數8,222萬9千元，執行數占預算數49.54%。經查：</w:t>
      </w:r>
    </w:p>
    <w:p w:rsidR="00B12961" w:rsidRPr="00AD5362" w:rsidRDefault="00B12961" w:rsidP="00622298">
      <w:pPr>
        <w:pStyle w:val="a4"/>
        <w:ind w:left="849" w:hanging="283"/>
        <w:rPr>
          <w:rFonts w:hAnsi="標楷體" w:hint="eastAsia"/>
          <w:b/>
          <w:kern w:val="0"/>
        </w:rPr>
      </w:pPr>
      <w:r w:rsidRPr="00AD5362">
        <w:rPr>
          <w:rFonts w:hint="eastAsia"/>
          <w:b/>
        </w:rPr>
        <w:t>(一)計畫內容</w:t>
      </w:r>
      <w:r>
        <w:rPr>
          <w:rFonts w:hint="eastAsia"/>
          <w:b/>
        </w:rPr>
        <w:t>及修正情形</w:t>
      </w:r>
    </w:p>
    <w:p w:rsidR="00B12961" w:rsidRPr="00AD5362" w:rsidRDefault="00B12961" w:rsidP="00622298">
      <w:pPr>
        <w:adjustRightInd w:val="0"/>
        <w:ind w:leftChars="300" w:left="850" w:firstLine="566"/>
      </w:pPr>
      <w:r>
        <w:rPr>
          <w:rFonts w:hint="eastAsia"/>
        </w:rPr>
        <w:t>為配合</w:t>
      </w:r>
      <w:r w:rsidRPr="00B100D8">
        <w:rPr>
          <w:rFonts w:hint="eastAsia"/>
        </w:rPr>
        <w:t>「中興新村整體規劃案」</w:t>
      </w:r>
      <w:r w:rsidRPr="00B100D8">
        <w:rPr>
          <w:rFonts w:hAnsi="標楷體"/>
          <w:snapToGrid/>
          <w:kern w:val="3"/>
          <w:vertAlign w:val="superscript"/>
        </w:rPr>
        <w:footnoteReference w:id="1"/>
      </w:r>
      <w:r>
        <w:rPr>
          <w:rFonts w:hint="eastAsia"/>
        </w:rPr>
        <w:t>，</w:t>
      </w:r>
      <w:r w:rsidRPr="00B100D8">
        <w:rPr>
          <w:rFonts w:hint="eastAsia"/>
        </w:rPr>
        <w:t>於111年6月經行政院核定</w:t>
      </w:r>
      <w:r w:rsidRPr="00AD5362">
        <w:rPr>
          <w:rFonts w:hint="eastAsia"/>
        </w:rPr>
        <w:t>「中興新村北、中核心公有資產活化建設計畫」，計畫總經費10.44億元，執行期程自112至115年，</w:t>
      </w:r>
      <w:r>
        <w:rPr>
          <w:rFonts w:hint="eastAsia"/>
        </w:rPr>
        <w:t>嗣後因</w:t>
      </w:r>
      <w:r w:rsidRPr="00086845">
        <w:rPr>
          <w:rFonts w:hint="eastAsia"/>
        </w:rPr>
        <w:t>新增工程</w:t>
      </w:r>
      <w:r>
        <w:rPr>
          <w:rFonts w:hint="eastAsia"/>
        </w:rPr>
        <w:t>及</w:t>
      </w:r>
      <w:r w:rsidRPr="00086845">
        <w:rPr>
          <w:rFonts w:hint="eastAsia"/>
        </w:rPr>
        <w:t>配合物價波動</w:t>
      </w:r>
      <w:r>
        <w:rPr>
          <w:rFonts w:hint="eastAsia"/>
        </w:rPr>
        <w:t>等因素</w:t>
      </w:r>
      <w:r w:rsidRPr="00086845">
        <w:rPr>
          <w:rFonts w:hint="eastAsia"/>
        </w:rPr>
        <w:t>調增各年度經費</w:t>
      </w:r>
      <w:r>
        <w:rPr>
          <w:rFonts w:hint="eastAsia"/>
        </w:rPr>
        <w:t>，</w:t>
      </w:r>
      <w:r w:rsidRPr="00086845">
        <w:rPr>
          <w:rFonts w:hint="eastAsia"/>
        </w:rPr>
        <w:t>112年8月經行政院核定修正計畫，總經費調增至15.34億元，期程調整至116年</w:t>
      </w:r>
      <w:r w:rsidRPr="00086845">
        <w:rPr>
          <w:rFonts w:hAnsi="標楷體"/>
          <w:snapToGrid/>
          <w:kern w:val="3"/>
          <w:vertAlign w:val="superscript"/>
        </w:rPr>
        <w:footnoteReference w:id="2"/>
      </w:r>
      <w:r w:rsidRPr="00086845">
        <w:rPr>
          <w:rFonts w:hint="eastAsia"/>
        </w:rPr>
        <w:t>。</w:t>
      </w:r>
      <w:r>
        <w:rPr>
          <w:rFonts w:hint="eastAsia"/>
        </w:rPr>
        <w:t>該計畫工作內容</w:t>
      </w:r>
      <w:r w:rsidRPr="00AD5362">
        <w:rPr>
          <w:rFonts w:hint="eastAsia"/>
        </w:rPr>
        <w:t>包括優化改善中興新村職務宿舍，辦理歷史建築中興會堂及省府大樓等修復工程，辦理青少年活動中心及中興羽球館優化工程，規劃辦理主要道路改善、智慧路燈建置及公</w:t>
      </w:r>
      <w:r w:rsidRPr="00AD5362">
        <w:rPr>
          <w:rFonts w:hint="eastAsia"/>
        </w:rPr>
        <w:lastRenderedPageBreak/>
        <w:t>園優化等工程。</w:t>
      </w:r>
    </w:p>
    <w:p w:rsidR="00B12961" w:rsidRPr="00AD5362" w:rsidRDefault="00B12961" w:rsidP="00622298">
      <w:pPr>
        <w:pStyle w:val="a4"/>
        <w:ind w:left="849" w:hanging="283"/>
        <w:rPr>
          <w:rFonts w:hAnsi="標楷體" w:hint="eastAsia"/>
          <w:b/>
          <w:kern w:val="0"/>
        </w:rPr>
      </w:pPr>
      <w:r w:rsidRPr="00AD5362">
        <w:rPr>
          <w:rFonts w:hint="eastAsia"/>
          <w:b/>
        </w:rPr>
        <w:t>(二)112年</w:t>
      </w:r>
      <w:r>
        <w:rPr>
          <w:rFonts w:hint="eastAsia"/>
          <w:b/>
        </w:rPr>
        <w:t>度</w:t>
      </w:r>
      <w:r w:rsidRPr="00AD5362">
        <w:rPr>
          <w:rFonts w:hint="eastAsia"/>
          <w:b/>
        </w:rPr>
        <w:t>保留數占比</w:t>
      </w:r>
      <w:r>
        <w:rPr>
          <w:rFonts w:hint="eastAsia"/>
          <w:b/>
        </w:rPr>
        <w:t>50.46%</w:t>
      </w:r>
      <w:r w:rsidRPr="00AD5362">
        <w:rPr>
          <w:rFonts w:hint="eastAsia"/>
          <w:b/>
        </w:rPr>
        <w:t>，預算執行情形未如預期</w:t>
      </w:r>
    </w:p>
    <w:p w:rsidR="00B12961" w:rsidRPr="00AD5362" w:rsidRDefault="00B12961" w:rsidP="00622298">
      <w:pPr>
        <w:adjustRightInd w:val="0"/>
        <w:ind w:leftChars="300" w:left="850" w:firstLine="566"/>
      </w:pPr>
      <w:r w:rsidRPr="00AD5362">
        <w:rPr>
          <w:rFonts w:hint="eastAsia"/>
        </w:rPr>
        <w:t>檢視112年度國發會決算書「重大計畫執行績效報告表」，「中興新村北、中核心公有資產活化建設計畫」112年度</w:t>
      </w:r>
      <w:r>
        <w:rPr>
          <w:rFonts w:hint="eastAsia"/>
        </w:rPr>
        <w:t>編列第1年度</w:t>
      </w:r>
      <w:r w:rsidRPr="00AD5362">
        <w:rPr>
          <w:rFonts w:hint="eastAsia"/>
        </w:rPr>
        <w:t>預算數1億6,599萬8</w:t>
      </w:r>
      <w:r>
        <w:rPr>
          <w:rFonts w:hint="eastAsia"/>
        </w:rPr>
        <w:t>千元，執行</w:t>
      </w:r>
      <w:r w:rsidRPr="00AD5362">
        <w:rPr>
          <w:rFonts w:hint="eastAsia"/>
        </w:rPr>
        <w:t>數8,222萬9千元</w:t>
      </w:r>
      <w:r>
        <w:rPr>
          <w:rFonts w:hint="eastAsia"/>
        </w:rPr>
        <w:t>(全數為實現數)</w:t>
      </w:r>
      <w:r w:rsidRPr="00AD5362">
        <w:rPr>
          <w:rFonts w:hint="eastAsia"/>
        </w:rPr>
        <w:t>占可支用預算數49.54%</w:t>
      </w:r>
      <w:r w:rsidRPr="00CE7110">
        <w:rPr>
          <w:rFonts w:hint="eastAsia"/>
        </w:rPr>
        <w:t>(詳表1)</w:t>
      </w:r>
      <w:r w:rsidRPr="00AD5362">
        <w:rPr>
          <w:rFonts w:hint="eastAsia"/>
        </w:rPr>
        <w:t>，</w:t>
      </w:r>
      <w:r>
        <w:rPr>
          <w:rFonts w:hint="eastAsia"/>
        </w:rPr>
        <w:t>另</w:t>
      </w:r>
      <w:r>
        <w:rPr>
          <w:rFonts w:hAnsi="標楷體" w:hint="eastAsia"/>
        </w:rPr>
        <w:t>「</w:t>
      </w:r>
      <w:r w:rsidRPr="00086845">
        <w:rPr>
          <w:rFonts w:hint="eastAsia"/>
        </w:rPr>
        <w:t>中興新村多房間職務宿舍(第1階段)改善工程</w:t>
      </w:r>
      <w:r>
        <w:rPr>
          <w:rFonts w:hAnsi="標楷體" w:hint="eastAsia"/>
        </w:rPr>
        <w:t>」</w:t>
      </w:r>
      <w:r>
        <w:rPr>
          <w:rFonts w:hint="eastAsia"/>
        </w:rPr>
        <w:t>等3項計畫合計</w:t>
      </w:r>
      <w:r w:rsidRPr="00AD5362">
        <w:rPr>
          <w:rFonts w:hint="eastAsia"/>
        </w:rPr>
        <w:t>保留8,376萬9千元</w:t>
      </w:r>
      <w:r>
        <w:rPr>
          <w:rFonts w:hint="eastAsia"/>
        </w:rPr>
        <w:t>，</w:t>
      </w:r>
      <w:r w:rsidRPr="00AD5362">
        <w:rPr>
          <w:rFonts w:hint="eastAsia"/>
        </w:rPr>
        <w:t>占可支用預算數50.46%，</w:t>
      </w:r>
      <w:r>
        <w:rPr>
          <w:rFonts w:hint="eastAsia"/>
        </w:rPr>
        <w:t>預算</w:t>
      </w:r>
      <w:r w:rsidRPr="00AD5362">
        <w:rPr>
          <w:rFonts w:hint="eastAsia"/>
        </w:rPr>
        <w:t>保留</w:t>
      </w:r>
      <w:r>
        <w:rPr>
          <w:rFonts w:hint="eastAsia"/>
        </w:rPr>
        <w:t>比率</w:t>
      </w:r>
      <w:r w:rsidRPr="00AD5362">
        <w:rPr>
          <w:rFonts w:hint="eastAsia"/>
        </w:rPr>
        <w:t>偏高，執行情形未如預期。據國發會說明</w:t>
      </w:r>
      <w:r>
        <w:rPr>
          <w:rFonts w:hint="eastAsia"/>
        </w:rPr>
        <w:t>略以</w:t>
      </w:r>
      <w:r w:rsidRPr="00AD5362">
        <w:rPr>
          <w:rFonts w:hint="eastAsia"/>
        </w:rPr>
        <w:t>，主要係中興新村多房間職務宿舍(第1階段)改善工程112年10月2日始決標，因契約期程至113年5月31日，故保留工程經費至113年度繼續執行，後續該會將依契約加強控管相關計畫之執行進度。</w:t>
      </w:r>
    </w:p>
    <w:p w:rsidR="00B12961" w:rsidRPr="00AD5362" w:rsidRDefault="00B12961" w:rsidP="00622298">
      <w:pPr>
        <w:adjustRightInd w:val="0"/>
        <w:spacing w:line="400" w:lineRule="exact"/>
        <w:ind w:leftChars="0" w:left="850" w:hangingChars="300" w:hanging="850"/>
        <w:rPr>
          <w:b/>
        </w:rPr>
      </w:pPr>
      <w:r w:rsidRPr="00AD5362">
        <w:rPr>
          <w:rFonts w:hint="eastAsia"/>
          <w:b/>
        </w:rPr>
        <w:t xml:space="preserve">表1  112年度「中興新村北、中核心公有資產活化建設計畫」執行情形表      </w:t>
      </w:r>
      <w:r w:rsidRPr="00AD5362">
        <w:rPr>
          <w:rFonts w:hint="eastAsia"/>
          <w:sz w:val="24"/>
          <w:szCs w:val="24"/>
        </w:rPr>
        <w:t xml:space="preserve">                                  單位:新臺幣千元；%</w:t>
      </w:r>
    </w:p>
    <w:tbl>
      <w:tblPr>
        <w:tblW w:w="8612" w:type="dxa"/>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744"/>
        <w:gridCol w:w="1253"/>
        <w:gridCol w:w="1093"/>
        <w:gridCol w:w="1094"/>
        <w:gridCol w:w="1093"/>
        <w:gridCol w:w="1094"/>
        <w:gridCol w:w="1241"/>
      </w:tblGrid>
      <w:tr w:rsidR="00B12961" w:rsidRPr="00AD5362" w:rsidTr="00301309">
        <w:trPr>
          <w:trHeight w:val="425"/>
          <w:tblHeader/>
        </w:trPr>
        <w:tc>
          <w:tcPr>
            <w:tcW w:w="1744" w:type="dxa"/>
            <w:vMerge w:val="restart"/>
            <w:shd w:val="clear" w:color="auto" w:fill="auto"/>
            <w:vAlign w:val="center"/>
          </w:tcPr>
          <w:p w:rsidR="00B12961" w:rsidRPr="00AD5362" w:rsidRDefault="00B12961" w:rsidP="00301309">
            <w:pPr>
              <w:spacing w:line="260" w:lineRule="exact"/>
              <w:ind w:leftChars="0" w:left="0" w:firstLineChars="0" w:firstLine="0"/>
              <w:jc w:val="center"/>
              <w:rPr>
                <w:rFonts w:hint="eastAsia"/>
                <w:b/>
                <w:spacing w:val="-20"/>
                <w:sz w:val="24"/>
              </w:rPr>
            </w:pPr>
            <w:r w:rsidRPr="00AD5362">
              <w:rPr>
                <w:rFonts w:hint="eastAsia"/>
                <w:b/>
                <w:sz w:val="24"/>
              </w:rPr>
              <w:t>計畫名稱</w:t>
            </w:r>
          </w:p>
        </w:tc>
        <w:tc>
          <w:tcPr>
            <w:tcW w:w="1253" w:type="dxa"/>
            <w:vMerge w:val="restart"/>
            <w:shd w:val="clear" w:color="auto" w:fill="auto"/>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可支用</w:t>
            </w:r>
          </w:p>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預算數</w:t>
            </w:r>
          </w:p>
        </w:tc>
        <w:tc>
          <w:tcPr>
            <w:tcW w:w="4374" w:type="dxa"/>
            <w:gridSpan w:val="4"/>
            <w:shd w:val="clear" w:color="auto" w:fill="auto"/>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本期執行數</w:t>
            </w:r>
          </w:p>
        </w:tc>
        <w:tc>
          <w:tcPr>
            <w:tcW w:w="1241" w:type="dxa"/>
            <w:vMerge w:val="restart"/>
            <w:vAlign w:val="center"/>
          </w:tcPr>
          <w:p w:rsidR="00B12961" w:rsidRPr="00AD5362" w:rsidRDefault="00B12961" w:rsidP="00301309">
            <w:pPr>
              <w:spacing w:line="260" w:lineRule="exact"/>
              <w:ind w:leftChars="-20" w:left="-57" w:rightChars="-20" w:right="-57" w:firstLineChars="0" w:firstLine="0"/>
              <w:jc w:val="center"/>
              <w:rPr>
                <w:b/>
                <w:spacing w:val="-20"/>
                <w:sz w:val="24"/>
              </w:rPr>
            </w:pPr>
            <w:r w:rsidRPr="00AD5362">
              <w:rPr>
                <w:rFonts w:hint="eastAsia"/>
                <w:b/>
                <w:spacing w:val="-20"/>
                <w:sz w:val="24"/>
              </w:rPr>
              <w:t>本期執行數占可支用預算數比率</w:t>
            </w:r>
          </w:p>
        </w:tc>
      </w:tr>
      <w:tr w:rsidR="00B12961" w:rsidRPr="00AD5362" w:rsidTr="00301309">
        <w:trPr>
          <w:trHeight w:val="409"/>
          <w:tblHeader/>
        </w:trPr>
        <w:tc>
          <w:tcPr>
            <w:tcW w:w="1744" w:type="dxa"/>
            <w:vMerge/>
            <w:shd w:val="clear" w:color="auto" w:fill="auto"/>
            <w:vAlign w:val="center"/>
          </w:tcPr>
          <w:p w:rsidR="00B12961" w:rsidRPr="00AD5362" w:rsidRDefault="00B12961" w:rsidP="00301309">
            <w:pPr>
              <w:spacing w:line="260" w:lineRule="exact"/>
              <w:ind w:leftChars="0" w:left="0" w:firstLineChars="0" w:firstLine="0"/>
              <w:jc w:val="center"/>
              <w:rPr>
                <w:b/>
                <w:spacing w:val="-20"/>
                <w:sz w:val="24"/>
              </w:rPr>
            </w:pPr>
          </w:p>
        </w:tc>
        <w:tc>
          <w:tcPr>
            <w:tcW w:w="1253" w:type="dxa"/>
            <w:vMerge/>
            <w:shd w:val="clear" w:color="auto" w:fill="auto"/>
            <w:vAlign w:val="center"/>
          </w:tcPr>
          <w:p w:rsidR="00B12961" w:rsidRPr="00AD5362" w:rsidRDefault="00B12961" w:rsidP="00301309">
            <w:pPr>
              <w:spacing w:line="260" w:lineRule="exact"/>
              <w:ind w:leftChars="0" w:left="0" w:firstLineChars="0" w:firstLine="0"/>
              <w:jc w:val="center"/>
              <w:rPr>
                <w:b/>
                <w:spacing w:val="-20"/>
                <w:sz w:val="24"/>
              </w:rPr>
            </w:pPr>
          </w:p>
        </w:tc>
        <w:tc>
          <w:tcPr>
            <w:tcW w:w="1093" w:type="dxa"/>
            <w:shd w:val="clear" w:color="auto" w:fill="auto"/>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實現數</w:t>
            </w:r>
          </w:p>
        </w:tc>
        <w:tc>
          <w:tcPr>
            <w:tcW w:w="1094" w:type="dxa"/>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應付數</w:t>
            </w:r>
          </w:p>
        </w:tc>
        <w:tc>
          <w:tcPr>
            <w:tcW w:w="1093" w:type="dxa"/>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賸餘數</w:t>
            </w:r>
          </w:p>
        </w:tc>
        <w:tc>
          <w:tcPr>
            <w:tcW w:w="1094" w:type="dxa"/>
            <w:vAlign w:val="center"/>
          </w:tcPr>
          <w:p w:rsidR="00B12961" w:rsidRPr="00AD5362" w:rsidRDefault="00B12961" w:rsidP="00301309">
            <w:pPr>
              <w:spacing w:line="260" w:lineRule="exact"/>
              <w:ind w:leftChars="0" w:left="0" w:firstLineChars="0" w:firstLine="0"/>
              <w:jc w:val="center"/>
              <w:rPr>
                <w:b/>
                <w:spacing w:val="-20"/>
                <w:sz w:val="24"/>
              </w:rPr>
            </w:pPr>
            <w:r w:rsidRPr="00AD5362">
              <w:rPr>
                <w:rFonts w:hint="eastAsia"/>
                <w:b/>
                <w:spacing w:val="-20"/>
                <w:sz w:val="24"/>
              </w:rPr>
              <w:t>合計</w:t>
            </w:r>
          </w:p>
        </w:tc>
        <w:tc>
          <w:tcPr>
            <w:tcW w:w="1241" w:type="dxa"/>
            <w:vMerge/>
            <w:vAlign w:val="center"/>
          </w:tcPr>
          <w:p w:rsidR="00B12961" w:rsidRPr="00AD5362" w:rsidRDefault="00B12961" w:rsidP="00301309">
            <w:pPr>
              <w:spacing w:line="260" w:lineRule="exact"/>
              <w:ind w:leftChars="0" w:left="0" w:firstLineChars="0" w:firstLine="0"/>
              <w:jc w:val="center"/>
              <w:rPr>
                <w:b/>
                <w:spacing w:val="-20"/>
                <w:sz w:val="24"/>
              </w:rPr>
            </w:pPr>
          </w:p>
        </w:tc>
      </w:tr>
      <w:tr w:rsidR="00B12961" w:rsidRPr="00AD5362" w:rsidTr="00301309">
        <w:trPr>
          <w:trHeight w:val="680"/>
        </w:trPr>
        <w:tc>
          <w:tcPr>
            <w:tcW w:w="1744" w:type="dxa"/>
            <w:shd w:val="clear" w:color="auto" w:fill="auto"/>
            <w:vAlign w:val="center"/>
          </w:tcPr>
          <w:p w:rsidR="00B12961" w:rsidRPr="00AD5362" w:rsidRDefault="00B12961" w:rsidP="00301309">
            <w:pPr>
              <w:spacing w:line="280" w:lineRule="exact"/>
              <w:ind w:leftChars="0" w:left="0" w:firstLineChars="0" w:firstLine="0"/>
              <w:rPr>
                <w:rFonts w:hint="eastAsia"/>
                <w:spacing w:val="-10"/>
                <w:sz w:val="24"/>
              </w:rPr>
            </w:pPr>
            <w:r w:rsidRPr="00AD5362">
              <w:rPr>
                <w:rFonts w:hint="eastAsia"/>
                <w:spacing w:val="-20"/>
                <w:sz w:val="24"/>
              </w:rPr>
              <w:t>中興新村北、中核心公有資產活化建設計畫</w:t>
            </w:r>
          </w:p>
        </w:tc>
        <w:tc>
          <w:tcPr>
            <w:tcW w:w="1253" w:type="dxa"/>
            <w:shd w:val="clear" w:color="auto" w:fill="auto"/>
            <w:vAlign w:val="center"/>
          </w:tcPr>
          <w:p w:rsidR="00B12961" w:rsidRPr="00AD5362" w:rsidRDefault="00B12961" w:rsidP="00301309">
            <w:pPr>
              <w:spacing w:line="280" w:lineRule="exact"/>
              <w:ind w:leftChars="0" w:left="0" w:firstLineChars="0" w:firstLine="0"/>
              <w:jc w:val="right"/>
              <w:rPr>
                <w:spacing w:val="-10"/>
                <w:sz w:val="24"/>
              </w:rPr>
            </w:pPr>
            <w:r w:rsidRPr="00AD5362">
              <w:rPr>
                <w:spacing w:val="-10"/>
                <w:sz w:val="24"/>
              </w:rPr>
              <w:t>165</w:t>
            </w:r>
            <w:r w:rsidRPr="00AD5362">
              <w:rPr>
                <w:rFonts w:hint="eastAsia"/>
                <w:spacing w:val="-10"/>
                <w:sz w:val="24"/>
              </w:rPr>
              <w:t>,</w:t>
            </w:r>
            <w:r w:rsidRPr="00AD5362">
              <w:rPr>
                <w:spacing w:val="-10"/>
                <w:sz w:val="24"/>
              </w:rPr>
              <w:t>998</w:t>
            </w:r>
          </w:p>
        </w:tc>
        <w:tc>
          <w:tcPr>
            <w:tcW w:w="1093" w:type="dxa"/>
            <w:shd w:val="clear" w:color="auto" w:fill="auto"/>
            <w:vAlign w:val="center"/>
          </w:tcPr>
          <w:p w:rsidR="00B12961" w:rsidRPr="00AD5362" w:rsidRDefault="00B12961" w:rsidP="00301309">
            <w:pPr>
              <w:spacing w:line="280" w:lineRule="exact"/>
              <w:ind w:leftChars="0" w:left="0" w:firstLineChars="0" w:firstLine="0"/>
              <w:jc w:val="right"/>
              <w:rPr>
                <w:spacing w:val="-10"/>
                <w:sz w:val="24"/>
              </w:rPr>
            </w:pPr>
            <w:r w:rsidRPr="00AD5362">
              <w:rPr>
                <w:spacing w:val="-10"/>
                <w:sz w:val="24"/>
              </w:rPr>
              <w:t>82,229</w:t>
            </w:r>
          </w:p>
        </w:tc>
        <w:tc>
          <w:tcPr>
            <w:tcW w:w="1094" w:type="dxa"/>
            <w:vAlign w:val="center"/>
          </w:tcPr>
          <w:p w:rsidR="00B12961" w:rsidRPr="00AD5362" w:rsidRDefault="00B12961" w:rsidP="00301309">
            <w:pPr>
              <w:spacing w:line="280" w:lineRule="exact"/>
              <w:ind w:leftChars="0" w:left="0" w:firstLineChars="0" w:firstLine="0"/>
              <w:jc w:val="right"/>
              <w:rPr>
                <w:spacing w:val="-10"/>
                <w:sz w:val="24"/>
              </w:rPr>
            </w:pPr>
            <w:r w:rsidRPr="00AD5362">
              <w:rPr>
                <w:rFonts w:hint="eastAsia"/>
                <w:spacing w:val="-10"/>
                <w:sz w:val="24"/>
              </w:rPr>
              <w:t>-</w:t>
            </w:r>
          </w:p>
        </w:tc>
        <w:tc>
          <w:tcPr>
            <w:tcW w:w="1093" w:type="dxa"/>
            <w:vAlign w:val="center"/>
          </w:tcPr>
          <w:p w:rsidR="00B12961" w:rsidRPr="00AD5362" w:rsidRDefault="00B12961" w:rsidP="00301309">
            <w:pPr>
              <w:spacing w:line="280" w:lineRule="exact"/>
              <w:ind w:leftChars="0" w:left="0" w:firstLineChars="0" w:firstLine="0"/>
              <w:jc w:val="right"/>
              <w:rPr>
                <w:spacing w:val="-10"/>
                <w:sz w:val="24"/>
              </w:rPr>
            </w:pPr>
            <w:r w:rsidRPr="00AD5362">
              <w:rPr>
                <w:rFonts w:hint="eastAsia"/>
                <w:spacing w:val="-10"/>
                <w:sz w:val="24"/>
              </w:rPr>
              <w:t>-</w:t>
            </w:r>
          </w:p>
        </w:tc>
        <w:tc>
          <w:tcPr>
            <w:tcW w:w="1094" w:type="dxa"/>
            <w:vAlign w:val="center"/>
          </w:tcPr>
          <w:p w:rsidR="00B12961" w:rsidRPr="00AD5362" w:rsidRDefault="00B12961" w:rsidP="00301309">
            <w:pPr>
              <w:spacing w:line="280" w:lineRule="exact"/>
              <w:ind w:leftChars="0" w:left="0" w:firstLineChars="0" w:firstLine="0"/>
              <w:jc w:val="right"/>
              <w:rPr>
                <w:spacing w:val="-10"/>
                <w:sz w:val="24"/>
              </w:rPr>
            </w:pPr>
            <w:r w:rsidRPr="00AD5362">
              <w:rPr>
                <w:rFonts w:hint="eastAsia"/>
                <w:spacing w:val="-10"/>
                <w:sz w:val="24"/>
              </w:rPr>
              <w:t>82</w:t>
            </w:r>
            <w:r w:rsidRPr="00AD5362">
              <w:rPr>
                <w:spacing w:val="-10"/>
                <w:sz w:val="24"/>
              </w:rPr>
              <w:t>,</w:t>
            </w:r>
            <w:r w:rsidRPr="00AD5362">
              <w:rPr>
                <w:rFonts w:hint="eastAsia"/>
                <w:spacing w:val="-10"/>
                <w:sz w:val="24"/>
              </w:rPr>
              <w:t>229</w:t>
            </w:r>
          </w:p>
        </w:tc>
        <w:tc>
          <w:tcPr>
            <w:tcW w:w="1241" w:type="dxa"/>
            <w:vAlign w:val="center"/>
          </w:tcPr>
          <w:p w:rsidR="00B12961" w:rsidRPr="00AD5362" w:rsidRDefault="00B12961" w:rsidP="00301309">
            <w:pPr>
              <w:spacing w:line="280" w:lineRule="exact"/>
              <w:ind w:leftChars="0" w:left="0" w:firstLineChars="0" w:firstLine="0"/>
              <w:jc w:val="right"/>
              <w:rPr>
                <w:spacing w:val="-10"/>
                <w:sz w:val="24"/>
              </w:rPr>
            </w:pPr>
            <w:r w:rsidRPr="00AD5362">
              <w:rPr>
                <w:rFonts w:hint="eastAsia"/>
                <w:spacing w:val="-10"/>
                <w:sz w:val="24"/>
              </w:rPr>
              <w:t>49.54</w:t>
            </w:r>
          </w:p>
        </w:tc>
      </w:tr>
    </w:tbl>
    <w:p w:rsidR="00B12961" w:rsidRPr="00AD5362" w:rsidRDefault="00B12961" w:rsidP="00622298">
      <w:pPr>
        <w:spacing w:line="280" w:lineRule="exact"/>
        <w:ind w:leftChars="0" w:left="0" w:firstLineChars="0" w:firstLine="0"/>
        <w:jc w:val="left"/>
        <w:rPr>
          <w:sz w:val="24"/>
        </w:rPr>
      </w:pPr>
      <w:r w:rsidRPr="00AD5362">
        <w:rPr>
          <w:rFonts w:hint="eastAsia"/>
          <w:sz w:val="24"/>
        </w:rPr>
        <w:t>資料來源：國發會1</w:t>
      </w:r>
      <w:r w:rsidRPr="00AD5362">
        <w:rPr>
          <w:sz w:val="24"/>
        </w:rPr>
        <w:t>1</w:t>
      </w:r>
      <w:r w:rsidRPr="00AD5362">
        <w:rPr>
          <w:rFonts w:hint="eastAsia"/>
          <w:sz w:val="24"/>
        </w:rPr>
        <w:t>2年度決算書「重大計畫執行績效報告表」。</w:t>
      </w:r>
    </w:p>
    <w:p w:rsidR="00B12961" w:rsidRDefault="00B12961" w:rsidP="00622298">
      <w:pPr>
        <w:ind w:left="566" w:firstLine="566"/>
        <w:rPr>
          <w:rFonts w:hAnsi="標楷體"/>
        </w:rPr>
      </w:pPr>
      <w:r w:rsidRPr="00AD5362">
        <w:rPr>
          <w:rFonts w:hAnsi="標楷體" w:hint="eastAsia"/>
        </w:rPr>
        <w:t>綜上，國發會11</w:t>
      </w:r>
      <w:r w:rsidRPr="00AD5362">
        <w:rPr>
          <w:rFonts w:hAnsi="標楷體"/>
        </w:rPr>
        <w:t>2</w:t>
      </w:r>
      <w:r w:rsidRPr="00AD5362">
        <w:rPr>
          <w:rFonts w:hAnsi="標楷體" w:hint="eastAsia"/>
        </w:rPr>
        <w:t>年度「</w:t>
      </w:r>
      <w:r w:rsidRPr="00AD5362">
        <w:rPr>
          <w:rFonts w:hint="eastAsia"/>
        </w:rPr>
        <w:t>中興新村北、中核心公有資產活化建設計畫</w:t>
      </w:r>
      <w:r w:rsidRPr="00AD5362">
        <w:rPr>
          <w:rFonts w:hAnsi="標楷體" w:hint="eastAsia"/>
        </w:rPr>
        <w:t>」</w:t>
      </w:r>
      <w:r>
        <w:rPr>
          <w:rFonts w:hAnsi="標楷體" w:hint="eastAsia"/>
        </w:rPr>
        <w:t>保留數</w:t>
      </w:r>
      <w:r w:rsidRPr="00AD5362">
        <w:rPr>
          <w:rFonts w:hAnsi="標楷體" w:hint="eastAsia"/>
        </w:rPr>
        <w:t>占可支用預算數比率</w:t>
      </w:r>
      <w:r>
        <w:rPr>
          <w:rFonts w:hAnsi="標楷體" w:hint="eastAsia"/>
        </w:rPr>
        <w:t>逾</w:t>
      </w:r>
      <w:r w:rsidRPr="00AD5362">
        <w:rPr>
          <w:rFonts w:hAnsi="標楷體"/>
        </w:rPr>
        <w:t>5</w:t>
      </w:r>
      <w:r w:rsidRPr="00AD5362">
        <w:rPr>
          <w:rFonts w:hAnsi="標楷體" w:hint="eastAsia"/>
        </w:rPr>
        <w:t>成</w:t>
      </w:r>
      <w:r w:rsidRPr="00AD5362">
        <w:rPr>
          <w:rFonts w:hAnsi="標楷體" w:hint="eastAsia"/>
          <w:snapToGrid/>
        </w:rPr>
        <w:t>，保留數占比偏高，預算執行情形未如預期</w:t>
      </w:r>
      <w:r w:rsidRPr="00AD5362">
        <w:rPr>
          <w:rFonts w:hAnsi="標楷體" w:hint="eastAsia"/>
        </w:rPr>
        <w:t>，允宜積極控管進度並加強辦理，俾利計畫如期如質完成。</w:t>
      </w:r>
    </w:p>
    <w:p w:rsidR="00B12961" w:rsidRDefault="00B12961" w:rsidP="00622298">
      <w:pPr>
        <w:ind w:left="566" w:firstLine="566"/>
        <w:rPr>
          <w:rFonts w:hAnsi="標楷體"/>
        </w:rPr>
      </w:pPr>
    </w:p>
    <w:p w:rsidR="00B12961" w:rsidRPr="00AD5362" w:rsidRDefault="00B12961" w:rsidP="00622298">
      <w:pPr>
        <w:ind w:left="566" w:firstLine="567"/>
        <w:rPr>
          <w:rFonts w:hint="eastAsia"/>
          <w:b/>
          <w:u w:val="single"/>
          <w:bdr w:val="single" w:sz="12" w:space="0" w:color="auto"/>
        </w:rPr>
      </w:pPr>
    </w:p>
    <w:p w:rsidR="00B12961" w:rsidRPr="00AD5362" w:rsidRDefault="00B12961" w:rsidP="00622298">
      <w:pPr>
        <w:widowControl/>
        <w:ind w:leftChars="0" w:left="567" w:hangingChars="200" w:hanging="567"/>
        <w:rPr>
          <w:b/>
          <w:snapToGrid/>
          <w:szCs w:val="20"/>
        </w:rPr>
      </w:pPr>
    </w:p>
    <w:p w:rsidR="00B12961" w:rsidRPr="001974C6" w:rsidRDefault="00B12961" w:rsidP="00622298">
      <w:pPr>
        <w:pStyle w:val="14"/>
        <w:ind w:left="567" w:hanging="567"/>
        <w:rPr>
          <w:bCs/>
          <w:snapToGrid/>
        </w:rPr>
      </w:pPr>
      <w:bookmarkStart w:id="9" w:name="_Toc184903122"/>
      <w:bookmarkStart w:id="10" w:name="_Toc185254257"/>
      <w:r w:rsidRPr="001974C6">
        <w:rPr>
          <w:rFonts w:hint="eastAsia"/>
          <w:bCs/>
          <w:snapToGrid/>
        </w:rPr>
        <w:t>二、</w:t>
      </w:r>
      <w:r>
        <w:rPr>
          <w:rFonts w:hint="eastAsia"/>
          <w:bCs/>
          <w:snapToGrid/>
        </w:rPr>
        <w:t>截至112年底，</w:t>
      </w:r>
      <w:r w:rsidRPr="001974C6">
        <w:rPr>
          <w:rFonts w:hint="eastAsia"/>
          <w:bCs/>
          <w:snapToGrid/>
        </w:rPr>
        <w:t>地方創生國家戰略計畫</w:t>
      </w:r>
      <w:r>
        <w:rPr>
          <w:rFonts w:hint="eastAsia"/>
          <w:bCs/>
          <w:snapToGrid/>
        </w:rPr>
        <w:t>中，仍有30處</w:t>
      </w:r>
      <w:r w:rsidRPr="001974C6">
        <w:rPr>
          <w:rFonts w:hint="eastAsia"/>
          <w:bCs/>
          <w:snapToGrid/>
        </w:rPr>
        <w:t>優先推動地區尚未提案，允宜強化輔導能量及增進與地方之溝通，並</w:t>
      </w:r>
      <w:r>
        <w:rPr>
          <w:rFonts w:hint="eastAsia"/>
          <w:bCs/>
          <w:snapToGrid/>
        </w:rPr>
        <w:t>協助</w:t>
      </w:r>
      <w:r w:rsidRPr="001974C6">
        <w:rPr>
          <w:rFonts w:hint="eastAsia"/>
          <w:bCs/>
          <w:snapToGrid/>
        </w:rPr>
        <w:t>整合地方創生相關資源</w:t>
      </w:r>
      <w:r>
        <w:rPr>
          <w:rFonts w:hint="eastAsia"/>
          <w:bCs/>
          <w:snapToGrid/>
        </w:rPr>
        <w:t>，確保地方均衡發展目標</w:t>
      </w:r>
      <w:bookmarkEnd w:id="9"/>
      <w:bookmarkEnd w:id="10"/>
    </w:p>
    <w:p w:rsidR="00B12961" w:rsidRPr="00AD5362" w:rsidRDefault="00B12961" w:rsidP="00622298">
      <w:pPr>
        <w:adjustRightInd w:val="0"/>
        <w:snapToGrid w:val="0"/>
        <w:ind w:left="566" w:firstLine="566"/>
        <w:rPr>
          <w:rFonts w:hAnsi="標楷體" w:hint="eastAsia"/>
          <w:snapToGrid/>
        </w:rPr>
      </w:pPr>
      <w:r w:rsidRPr="00AD5362">
        <w:rPr>
          <w:rFonts w:hAnsi="標楷體" w:hint="eastAsia"/>
          <w:snapToGrid/>
        </w:rPr>
        <w:t>國發會112年度「健全國土規劃及經營管理」</w:t>
      </w:r>
      <w:r>
        <w:rPr>
          <w:rFonts w:hAnsi="標楷體" w:hint="eastAsia"/>
          <w:snapToGrid/>
        </w:rPr>
        <w:t>預算數1</w:t>
      </w:r>
      <w:r>
        <w:rPr>
          <w:rFonts w:hAnsi="標楷體"/>
          <w:snapToGrid/>
        </w:rPr>
        <w:t>,</w:t>
      </w:r>
      <w:r>
        <w:rPr>
          <w:rFonts w:hAnsi="標楷體" w:hint="eastAsia"/>
          <w:snapToGrid/>
        </w:rPr>
        <w:t>919萬1千元，決算數1</w:t>
      </w:r>
      <w:r>
        <w:rPr>
          <w:rFonts w:hAnsi="標楷體"/>
          <w:snapToGrid/>
        </w:rPr>
        <w:t>,</w:t>
      </w:r>
      <w:r>
        <w:rPr>
          <w:rFonts w:hAnsi="標楷體" w:hint="eastAsia"/>
          <w:snapToGrid/>
        </w:rPr>
        <w:t>806萬4千元，執行率9</w:t>
      </w:r>
      <w:r>
        <w:rPr>
          <w:rFonts w:hAnsi="標楷體"/>
          <w:snapToGrid/>
        </w:rPr>
        <w:t>4.13%</w:t>
      </w:r>
      <w:r>
        <w:rPr>
          <w:rFonts w:hAnsi="標楷體" w:hint="eastAsia"/>
          <w:snapToGrid/>
        </w:rPr>
        <w:t>，辦理內容</w:t>
      </w:r>
      <w:r w:rsidRPr="00AD5362">
        <w:rPr>
          <w:rFonts w:hAnsi="標楷體" w:hint="eastAsia"/>
          <w:snapToGrid/>
        </w:rPr>
        <w:t>包含加速推動地方創生計畫，促進青年返鄉，健全地方發展體質，落實區域均衡等；據決算書說明</w:t>
      </w:r>
      <w:r>
        <w:rPr>
          <w:rFonts w:hAnsi="標楷體" w:hint="eastAsia"/>
          <w:snapToGrid/>
        </w:rPr>
        <w:t>略以</w:t>
      </w:r>
      <w:r w:rsidRPr="00AD5362">
        <w:rPr>
          <w:rFonts w:hAnsi="標楷體" w:hint="eastAsia"/>
          <w:snapToGrid/>
        </w:rPr>
        <w:t>，該會持續推動地方創生戰略計畫，自108年起至112年底止，已會同相關部會輔導地方政府提報189件地方創生計畫。經查：</w:t>
      </w:r>
    </w:p>
    <w:p w:rsidR="00B12961" w:rsidRPr="00AD5362" w:rsidRDefault="00B12961" w:rsidP="00622298">
      <w:pPr>
        <w:ind w:left="849" w:hangingChars="100" w:hanging="283"/>
        <w:rPr>
          <w:rFonts w:hint="eastAsia"/>
          <w:b/>
          <w:snapToGrid/>
        </w:rPr>
      </w:pPr>
      <w:bookmarkStart w:id="11" w:name="_Toc44686222"/>
      <w:r w:rsidRPr="00AD5362">
        <w:rPr>
          <w:rFonts w:hint="eastAsia"/>
          <w:b/>
          <w:snapToGrid/>
        </w:rPr>
        <w:t>(一)108至112年地方創生計畫提案情形概況</w:t>
      </w:r>
    </w:p>
    <w:p w:rsidR="00B12961" w:rsidRPr="00AD5362" w:rsidRDefault="00B12961" w:rsidP="00622298">
      <w:pPr>
        <w:adjustRightInd w:val="0"/>
        <w:snapToGrid w:val="0"/>
        <w:ind w:leftChars="300" w:left="850" w:firstLine="566"/>
        <w:rPr>
          <w:rFonts w:hAnsi="標楷體"/>
          <w:snapToGrid/>
          <w:kern w:val="3"/>
        </w:rPr>
      </w:pPr>
      <w:r w:rsidRPr="00AD5362">
        <w:rPr>
          <w:rFonts w:hAnsi="標楷體" w:hint="eastAsia"/>
          <w:snapToGrid/>
          <w:kern w:val="3"/>
        </w:rPr>
        <w:t>面對我國總人口減少、都市人口過度集中、區域發展失衡等問題，行政院108年1月核定「地方創生國家戰略計畫」，期透過中央與地方密切合作並凝聚共識，建立地方創生完整生態系，以逐步促進島內移民，達成「均衡臺灣」之核心目標，該計畫並將134處鄉鎮區列為地方創生優先推動地區，由中央政府協助該地區提出地方創生事業提案等</w:t>
      </w:r>
      <w:r w:rsidRPr="00AD5362">
        <w:rPr>
          <w:rFonts w:hAnsi="標楷體"/>
          <w:snapToGrid/>
          <w:kern w:val="3"/>
          <w:vertAlign w:val="superscript"/>
        </w:rPr>
        <w:footnoteReference w:id="3"/>
      </w:r>
      <w:r w:rsidRPr="00AD5362">
        <w:rPr>
          <w:rFonts w:hAnsi="標楷體" w:hint="eastAsia"/>
          <w:snapToGrid/>
          <w:kern w:val="3"/>
        </w:rPr>
        <w:t>。</w:t>
      </w:r>
    </w:p>
    <w:p w:rsidR="00B12961" w:rsidRPr="00AD5362" w:rsidRDefault="00B12961" w:rsidP="00622298">
      <w:pPr>
        <w:adjustRightInd w:val="0"/>
        <w:snapToGrid w:val="0"/>
        <w:ind w:leftChars="300" w:left="850" w:firstLine="566"/>
        <w:rPr>
          <w:rFonts w:hAnsi="標楷體"/>
          <w:snapToGrid/>
          <w:kern w:val="3"/>
        </w:rPr>
      </w:pPr>
      <w:r w:rsidRPr="00AD5362">
        <w:rPr>
          <w:rFonts w:hAnsi="標楷體" w:hint="eastAsia"/>
          <w:snapToGrid/>
          <w:kern w:val="3"/>
        </w:rPr>
        <w:t>經洽國發會提供地方創生計畫之提案情形，自108年推動截至112年底止，累計各地方政府已提報189件地方創生計畫，141件已於「地方創生會報」工作會議通過，媒合相關資源開始執行，其餘48件輔導中(詳表1)。已通過工作會議之案件以區域別觀之，以中區52件最高，南區36件次之，惟通過案件中多元徵案</w:t>
      </w:r>
      <w:r w:rsidRPr="00B50FCB">
        <w:rPr>
          <w:rFonts w:hAnsi="標楷體"/>
          <w:snapToGrid/>
          <w:kern w:val="3"/>
          <w:vertAlign w:val="superscript"/>
        </w:rPr>
        <w:footnoteReference w:id="4"/>
      </w:r>
      <w:r w:rsidRPr="00AD5362">
        <w:rPr>
          <w:rFonts w:hAnsi="標楷體" w:hint="eastAsia"/>
          <w:snapToGrid/>
          <w:kern w:val="3"/>
        </w:rPr>
        <w:t>比率約占38.30%，仍待加強推廣，以加速地方創生之推動。</w:t>
      </w:r>
    </w:p>
    <w:p w:rsidR="00B12961" w:rsidRPr="00AD5362" w:rsidRDefault="00B12961" w:rsidP="00622298">
      <w:pPr>
        <w:widowControl/>
        <w:suppressAutoHyphens/>
        <w:autoSpaceDN w:val="0"/>
        <w:snapToGrid w:val="0"/>
        <w:ind w:leftChars="0" w:left="1304" w:firstLineChars="0" w:hanging="1304"/>
        <w:textAlignment w:val="baseline"/>
        <w:rPr>
          <w:rFonts w:hAnsi="標楷體" w:hint="eastAsia"/>
          <w:snapToGrid/>
          <w:kern w:val="3"/>
        </w:rPr>
      </w:pPr>
      <w:r w:rsidRPr="00AD5362">
        <w:rPr>
          <w:rFonts w:hAnsi="標楷體" w:hint="eastAsia"/>
          <w:b/>
          <w:snapToGrid/>
          <w:kern w:val="3"/>
          <w:szCs w:val="22"/>
        </w:rPr>
        <w:t>表1</w:t>
      </w:r>
      <w:r w:rsidRPr="00AD5362">
        <w:rPr>
          <w:rFonts w:hAnsi="標楷體" w:hint="eastAsia"/>
          <w:b/>
          <w:snapToGrid/>
          <w:kern w:val="3"/>
        </w:rPr>
        <w:t xml:space="preserve">  地方創生計畫截至112年底止辦理情形表            </w:t>
      </w:r>
      <w:r w:rsidRPr="00AD5362">
        <w:rPr>
          <w:rFonts w:hAnsi="標楷體" w:hint="eastAsia"/>
          <w:snapToGrid/>
          <w:kern w:val="3"/>
          <w:sz w:val="24"/>
        </w:rPr>
        <w:t>單位：</w:t>
      </w:r>
      <w:r>
        <w:rPr>
          <w:rFonts w:hAnsi="標楷體" w:hint="eastAsia"/>
          <w:snapToGrid/>
          <w:kern w:val="3"/>
          <w:sz w:val="24"/>
        </w:rPr>
        <w:t>件</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7"/>
        <w:gridCol w:w="1155"/>
        <w:gridCol w:w="1155"/>
        <w:gridCol w:w="1155"/>
        <w:gridCol w:w="1155"/>
        <w:gridCol w:w="1155"/>
        <w:gridCol w:w="1155"/>
      </w:tblGrid>
      <w:tr w:rsidR="00B12961" w:rsidRPr="00AD5362" w:rsidTr="00301309">
        <w:trPr>
          <w:tblHeader/>
          <w:jc w:val="center"/>
        </w:trPr>
        <w:tc>
          <w:tcPr>
            <w:tcW w:w="1547" w:type="dxa"/>
            <w:vMerge w:val="restart"/>
            <w:tcBorders>
              <w:top w:val="single" w:sz="12" w:space="0" w:color="auto"/>
              <w:left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center"/>
              <w:rPr>
                <w:rFonts w:hint="eastAsia"/>
                <w:b/>
                <w:snapToGrid/>
                <w:sz w:val="24"/>
              </w:rPr>
            </w:pPr>
            <w:r w:rsidRPr="00AD5362">
              <w:rPr>
                <w:rFonts w:hint="eastAsia"/>
                <w:b/>
                <w:snapToGrid/>
                <w:sz w:val="24"/>
              </w:rPr>
              <w:t>區域</w:t>
            </w:r>
          </w:p>
        </w:tc>
        <w:tc>
          <w:tcPr>
            <w:tcW w:w="3465" w:type="dxa"/>
            <w:gridSpan w:val="3"/>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hint="eastAsia"/>
                <w:b/>
                <w:snapToGrid/>
                <w:sz w:val="24"/>
              </w:rPr>
            </w:pPr>
            <w:r w:rsidRPr="00AD5362">
              <w:rPr>
                <w:rFonts w:hint="eastAsia"/>
                <w:b/>
                <w:snapToGrid/>
                <w:sz w:val="24"/>
              </w:rPr>
              <w:t>已通過工作會議</w:t>
            </w:r>
          </w:p>
        </w:tc>
        <w:tc>
          <w:tcPr>
            <w:tcW w:w="3465" w:type="dxa"/>
            <w:gridSpan w:val="3"/>
            <w:tcBorders>
              <w:top w:val="single" w:sz="12" w:space="0" w:color="auto"/>
              <w:left w:val="single" w:sz="4" w:space="0" w:color="auto"/>
              <w:bottom w:val="single" w:sz="4" w:space="0" w:color="auto"/>
              <w:right w:val="single" w:sz="12" w:space="0" w:color="auto"/>
            </w:tcBorders>
            <w:vAlign w:val="center"/>
            <w:hideMark/>
          </w:tcPr>
          <w:p w:rsidR="00B12961" w:rsidRPr="00AD5362" w:rsidRDefault="00B12961" w:rsidP="00301309">
            <w:pPr>
              <w:spacing w:line="280" w:lineRule="exact"/>
              <w:ind w:leftChars="0" w:left="0" w:firstLineChars="0" w:firstLine="0"/>
              <w:jc w:val="center"/>
              <w:rPr>
                <w:rFonts w:hint="eastAsia"/>
                <w:b/>
                <w:snapToGrid/>
                <w:sz w:val="24"/>
              </w:rPr>
            </w:pPr>
            <w:r w:rsidRPr="00AD5362">
              <w:rPr>
                <w:rFonts w:hint="eastAsia"/>
                <w:b/>
                <w:snapToGrid/>
                <w:sz w:val="24"/>
              </w:rPr>
              <w:t>已收件輔導中</w:t>
            </w:r>
          </w:p>
        </w:tc>
      </w:tr>
      <w:tr w:rsidR="00B12961" w:rsidRPr="00AD5362" w:rsidTr="00301309">
        <w:trPr>
          <w:tblHeader/>
          <w:jc w:val="center"/>
        </w:trPr>
        <w:tc>
          <w:tcPr>
            <w:tcW w:w="1547" w:type="dxa"/>
            <w:vMerge/>
            <w:tcBorders>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b/>
                <w:snapToGrid/>
                <w:sz w:val="24"/>
              </w:rPr>
            </w:pP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地方提案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多元徵案</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合計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地方提案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多元徵案</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合計</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北區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11</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8</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中區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38</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14</w:t>
            </w:r>
          </w:p>
        </w:tc>
        <w:tc>
          <w:tcPr>
            <w:tcW w:w="1155" w:type="dxa"/>
            <w:tcBorders>
              <w:top w:val="single" w:sz="4" w:space="0" w:color="auto"/>
              <w:left w:val="single" w:sz="4" w:space="0" w:color="auto"/>
              <w:bottom w:val="single" w:sz="4" w:space="0" w:color="auto"/>
              <w:right w:val="single" w:sz="4" w:space="0" w:color="auto"/>
            </w:tcBorders>
            <w:hideMark/>
          </w:tcPr>
          <w:p w:rsidR="00B12961" w:rsidRPr="00FC19F6" w:rsidRDefault="00B12961" w:rsidP="00301309">
            <w:pPr>
              <w:spacing w:line="280" w:lineRule="exact"/>
              <w:ind w:leftChars="0" w:left="0" w:firstLineChars="0" w:firstLine="0"/>
              <w:jc w:val="right"/>
              <w:rPr>
                <w:rFonts w:hint="eastAsia"/>
                <w:b/>
                <w:snapToGrid/>
                <w:sz w:val="24"/>
              </w:rPr>
            </w:pPr>
            <w:r w:rsidRPr="00FC19F6">
              <w:rPr>
                <w:rFonts w:hint="eastAsia"/>
                <w:b/>
                <w:snapToGrid/>
                <w:sz w:val="24"/>
              </w:rPr>
              <w:t>52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4</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14</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南區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hideMark/>
          </w:tcPr>
          <w:p w:rsidR="00B12961" w:rsidRPr="00FC19F6" w:rsidRDefault="00B12961" w:rsidP="00301309">
            <w:pPr>
              <w:spacing w:line="280" w:lineRule="exact"/>
              <w:ind w:leftChars="0" w:left="0" w:firstLineChars="0" w:firstLine="0"/>
              <w:jc w:val="right"/>
              <w:rPr>
                <w:rFonts w:hint="eastAsia"/>
                <w:b/>
                <w:snapToGrid/>
                <w:sz w:val="24"/>
              </w:rPr>
            </w:pPr>
            <w:r w:rsidRPr="00FC19F6">
              <w:rPr>
                <w:rFonts w:hint="eastAsia"/>
                <w:b/>
                <w:snapToGrid/>
                <w:sz w:val="24"/>
              </w:rPr>
              <w:t>36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東區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18</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34</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離島</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sz w:val="24"/>
              </w:rPr>
            </w:pPr>
            <w:r w:rsidRPr="00AD5362">
              <w:rPr>
                <w:rFonts w:hint="eastAsia"/>
                <w:b/>
                <w:snapToGrid/>
                <w:sz w:val="24"/>
              </w:rPr>
              <w:t>合計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87</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54</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141</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33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15</w:t>
            </w:r>
          </w:p>
        </w:tc>
        <w:tc>
          <w:tcPr>
            <w:tcW w:w="1155" w:type="dxa"/>
            <w:tcBorders>
              <w:top w:val="single" w:sz="4" w:space="0" w:color="auto"/>
              <w:left w:val="single" w:sz="4" w:space="0" w:color="auto"/>
              <w:bottom w:val="single" w:sz="4" w:space="0" w:color="auto"/>
              <w:right w:val="single" w:sz="12"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48</w:t>
            </w:r>
          </w:p>
        </w:tc>
      </w:tr>
      <w:tr w:rsidR="00B12961" w:rsidRPr="00AD5362" w:rsidTr="00301309">
        <w:trPr>
          <w:jc w:val="center"/>
        </w:trPr>
        <w:tc>
          <w:tcPr>
            <w:tcW w:w="1547" w:type="dxa"/>
            <w:tcBorders>
              <w:top w:val="single" w:sz="4" w:space="0" w:color="auto"/>
              <w:left w:val="single" w:sz="12" w:space="0" w:color="auto"/>
              <w:bottom w:val="single" w:sz="12" w:space="0" w:color="auto"/>
              <w:right w:val="single" w:sz="4" w:space="0" w:color="auto"/>
            </w:tcBorders>
            <w:hideMark/>
          </w:tcPr>
          <w:p w:rsidR="00B12961" w:rsidRPr="00AD5362" w:rsidRDefault="00B12961" w:rsidP="00301309">
            <w:pPr>
              <w:spacing w:line="280" w:lineRule="exact"/>
              <w:ind w:leftChars="0" w:left="0" w:firstLineChars="0" w:firstLine="0"/>
              <w:jc w:val="left"/>
              <w:rPr>
                <w:rFonts w:hint="eastAsia"/>
                <w:b/>
                <w:snapToGrid/>
                <w:sz w:val="24"/>
              </w:rPr>
            </w:pPr>
            <w:r w:rsidRPr="00AD5362">
              <w:rPr>
                <w:rFonts w:hint="eastAsia"/>
                <w:b/>
                <w:snapToGrid/>
                <w:sz w:val="24"/>
              </w:rPr>
              <w:t>總計</w:t>
            </w:r>
          </w:p>
        </w:tc>
        <w:tc>
          <w:tcPr>
            <w:tcW w:w="6930" w:type="dxa"/>
            <w:gridSpan w:val="6"/>
            <w:tcBorders>
              <w:top w:val="single" w:sz="4" w:space="0" w:color="auto"/>
              <w:left w:val="single" w:sz="4" w:space="0" w:color="auto"/>
              <w:bottom w:val="single" w:sz="12" w:space="0" w:color="auto"/>
              <w:right w:val="single" w:sz="12" w:space="0" w:color="auto"/>
            </w:tcBorders>
            <w:vAlign w:val="center"/>
            <w:hideMark/>
          </w:tcPr>
          <w:p w:rsidR="00B12961" w:rsidRPr="00AD5362" w:rsidRDefault="00B12961" w:rsidP="00301309">
            <w:pPr>
              <w:spacing w:line="280" w:lineRule="exact"/>
              <w:ind w:leftChars="0" w:left="560" w:firstLineChars="0" w:firstLine="561"/>
              <w:jc w:val="right"/>
              <w:rPr>
                <w:rFonts w:hint="eastAsia"/>
                <w:b/>
                <w:snapToGrid/>
                <w:sz w:val="24"/>
              </w:rPr>
            </w:pPr>
            <w:r w:rsidRPr="00AD5362">
              <w:rPr>
                <w:rFonts w:hint="eastAsia"/>
                <w:b/>
                <w:snapToGrid/>
                <w:sz w:val="24"/>
              </w:rPr>
              <w:t>189</w:t>
            </w:r>
          </w:p>
        </w:tc>
      </w:tr>
    </w:tbl>
    <w:p w:rsidR="00B12961" w:rsidRPr="00964C45" w:rsidRDefault="00B12961" w:rsidP="00622298">
      <w:pPr>
        <w:snapToGrid w:val="0"/>
        <w:spacing w:line="300" w:lineRule="exact"/>
        <w:ind w:leftChars="0" w:left="1216" w:hangingChars="500" w:hanging="1216"/>
        <w:rPr>
          <w:rFonts w:hAnsi="標楷體" w:hint="eastAsia"/>
          <w:snapToGrid/>
          <w:sz w:val="24"/>
        </w:rPr>
      </w:pPr>
      <w:r w:rsidRPr="00964C45">
        <w:rPr>
          <w:rFonts w:hAnsi="標楷體" w:hint="eastAsia"/>
          <w:snapToGrid/>
          <w:sz w:val="24"/>
        </w:rPr>
        <w:t>說    明：北區包含</w:t>
      </w:r>
      <w:r>
        <w:rPr>
          <w:rFonts w:hAnsi="標楷體" w:hint="eastAsia"/>
          <w:snapToGrid/>
          <w:sz w:val="24"/>
        </w:rPr>
        <w:t>基隆市、</w:t>
      </w:r>
      <w:r w:rsidRPr="00964C45">
        <w:rPr>
          <w:rFonts w:hAnsi="標楷體" w:hint="eastAsia"/>
          <w:snapToGrid/>
          <w:sz w:val="24"/>
        </w:rPr>
        <w:t>新北市、桃園市、新竹縣，中區包含苗栗縣、台中市、彰化縣、南投縣、雲林縣，南區包含嘉義縣</w:t>
      </w:r>
      <w:r>
        <w:rPr>
          <w:rFonts w:hAnsi="標楷體" w:hint="eastAsia"/>
          <w:snapToGrid/>
          <w:sz w:val="24"/>
        </w:rPr>
        <w:t>市</w:t>
      </w:r>
      <w:r w:rsidRPr="00964C45">
        <w:rPr>
          <w:rFonts w:hAnsi="標楷體" w:hint="eastAsia"/>
          <w:snapToGrid/>
          <w:sz w:val="24"/>
        </w:rPr>
        <w:t>、台南市、高雄市、屏東縣，東區包含宜蘭縣、花蓮縣、台東縣</w:t>
      </w:r>
      <w:r>
        <w:rPr>
          <w:rFonts w:hAnsi="標楷體" w:hint="eastAsia"/>
          <w:snapToGrid/>
          <w:sz w:val="24"/>
        </w:rPr>
        <w:t>，離島包含</w:t>
      </w:r>
      <w:r w:rsidRPr="006A7951">
        <w:rPr>
          <w:rFonts w:hAnsi="標楷體" w:hint="eastAsia"/>
          <w:snapToGrid/>
          <w:sz w:val="24"/>
        </w:rPr>
        <w:t>澎湖縣</w:t>
      </w:r>
      <w:r>
        <w:rPr>
          <w:rFonts w:hAnsi="標楷體" w:hint="eastAsia"/>
          <w:snapToGrid/>
          <w:sz w:val="24"/>
        </w:rPr>
        <w:t>、</w:t>
      </w:r>
      <w:r w:rsidRPr="006A7951">
        <w:rPr>
          <w:rFonts w:hAnsi="標楷體" w:hint="eastAsia"/>
          <w:snapToGrid/>
          <w:sz w:val="24"/>
        </w:rPr>
        <w:t>金門縣</w:t>
      </w:r>
      <w:r>
        <w:rPr>
          <w:rFonts w:hAnsi="標楷體" w:hint="eastAsia"/>
          <w:snapToGrid/>
          <w:sz w:val="24"/>
        </w:rPr>
        <w:t>、</w:t>
      </w:r>
      <w:r w:rsidRPr="006A7951">
        <w:rPr>
          <w:rFonts w:hAnsi="標楷體" w:hint="eastAsia"/>
          <w:snapToGrid/>
          <w:sz w:val="24"/>
        </w:rPr>
        <w:t>連江縣</w:t>
      </w:r>
      <w:r w:rsidRPr="00964C45">
        <w:rPr>
          <w:rFonts w:hAnsi="標楷體" w:hint="eastAsia"/>
          <w:snapToGrid/>
          <w:sz w:val="24"/>
        </w:rPr>
        <w:t>。</w:t>
      </w:r>
    </w:p>
    <w:p w:rsidR="00B12961" w:rsidRPr="00AD5362" w:rsidRDefault="00B12961" w:rsidP="00622298">
      <w:pPr>
        <w:widowControl/>
        <w:snapToGrid w:val="0"/>
        <w:spacing w:line="280" w:lineRule="exact"/>
        <w:ind w:leftChars="0" w:left="1167" w:hangingChars="480" w:hanging="1167"/>
        <w:rPr>
          <w:rFonts w:hint="eastAsia"/>
          <w:b/>
          <w:snapToGrid/>
        </w:rPr>
      </w:pPr>
      <w:r w:rsidRPr="00AD5362">
        <w:rPr>
          <w:rFonts w:hAnsi="標楷體" w:hint="eastAsia"/>
          <w:snapToGrid/>
          <w:sz w:val="24"/>
        </w:rPr>
        <w:t>資料來源：整理自國發會提供資料。</w:t>
      </w:r>
    </w:p>
    <w:p w:rsidR="00B12961" w:rsidRPr="00AD5362" w:rsidRDefault="00B12961" w:rsidP="00622298">
      <w:pPr>
        <w:ind w:left="849" w:hangingChars="100" w:hanging="283"/>
        <w:rPr>
          <w:rFonts w:hint="eastAsia"/>
          <w:b/>
          <w:snapToGrid/>
        </w:rPr>
      </w:pPr>
      <w:r w:rsidRPr="00AD5362">
        <w:rPr>
          <w:rFonts w:hint="eastAsia"/>
          <w:b/>
          <w:snapToGrid/>
        </w:rPr>
        <w:t>(二)截至112年底止</w:t>
      </w:r>
      <w:r>
        <w:rPr>
          <w:rFonts w:hint="eastAsia"/>
          <w:b/>
          <w:snapToGrid/>
        </w:rPr>
        <w:t>，</w:t>
      </w:r>
      <w:r w:rsidRPr="00AD5362">
        <w:rPr>
          <w:rFonts w:hint="eastAsia"/>
          <w:b/>
          <w:snapToGrid/>
        </w:rPr>
        <w:t>地方創生優先推動地區尚有30</w:t>
      </w:r>
      <w:r>
        <w:rPr>
          <w:rFonts w:hint="eastAsia"/>
          <w:b/>
          <w:snapToGrid/>
        </w:rPr>
        <w:t>處未提案，允宜</w:t>
      </w:r>
      <w:r w:rsidRPr="00AD5362">
        <w:rPr>
          <w:rFonts w:hint="eastAsia"/>
          <w:b/>
          <w:snapToGrid/>
        </w:rPr>
        <w:t>強</w:t>
      </w:r>
      <w:r>
        <w:rPr>
          <w:rFonts w:hint="eastAsia"/>
          <w:b/>
          <w:snapToGrid/>
        </w:rPr>
        <w:t>化</w:t>
      </w:r>
      <w:r w:rsidRPr="00AD5362">
        <w:rPr>
          <w:rFonts w:hint="eastAsia"/>
          <w:b/>
          <w:snapToGrid/>
        </w:rPr>
        <w:t>輔導</w:t>
      </w:r>
      <w:r>
        <w:rPr>
          <w:rFonts w:hint="eastAsia"/>
          <w:b/>
          <w:snapToGrid/>
        </w:rPr>
        <w:t>措施</w:t>
      </w:r>
      <w:r w:rsidRPr="00AD5362">
        <w:rPr>
          <w:rFonts w:hint="eastAsia"/>
          <w:b/>
          <w:snapToGrid/>
        </w:rPr>
        <w:t>及協助整合</w:t>
      </w:r>
      <w:r>
        <w:rPr>
          <w:rFonts w:hint="eastAsia"/>
          <w:b/>
          <w:snapToGrid/>
        </w:rPr>
        <w:t>相關資源</w:t>
      </w:r>
    </w:p>
    <w:p w:rsidR="00B12961" w:rsidRPr="00AD5362" w:rsidRDefault="00B12961" w:rsidP="00622298">
      <w:pPr>
        <w:adjustRightInd w:val="0"/>
        <w:snapToGrid w:val="0"/>
        <w:ind w:leftChars="300" w:left="850" w:firstLine="566"/>
        <w:rPr>
          <w:rFonts w:hAnsi="標楷體" w:hint="eastAsia"/>
          <w:snapToGrid/>
          <w:kern w:val="3"/>
          <w:u w:val="single"/>
        </w:rPr>
      </w:pPr>
      <w:r w:rsidRPr="00AD5362">
        <w:rPr>
          <w:rFonts w:hAnsi="標楷體" w:hint="eastAsia"/>
          <w:snapToGrid/>
          <w:kern w:val="3"/>
        </w:rPr>
        <w:t>「地方創生國家戰略計畫」經評估全國各鄉鎮區經分析人口變化率、人口規模、居民收入等因素，並考量資源運用優先順序及地區居民經濟弱勢情形，爰將134處鄉鎮區列為地方創生優先推動地區，自108年起推動，迄112年底已提案者104處，尚未提案者仍有30處，占優先地區總數比率22.39%(詳表2)</w:t>
      </w:r>
      <w:r w:rsidRPr="00AD5362">
        <w:rPr>
          <w:rFonts w:hAnsi="標楷體" w:hint="eastAsia"/>
          <w:snapToGrid/>
        </w:rPr>
        <w:t>；</w:t>
      </w:r>
      <w:r w:rsidRPr="00AD5362">
        <w:rPr>
          <w:rFonts w:hint="eastAsia"/>
          <w:snapToGrid/>
        </w:rPr>
        <w:t>另</w:t>
      </w:r>
      <w:r w:rsidRPr="00AD5362">
        <w:rPr>
          <w:rFonts w:hAnsi="標楷體" w:hint="eastAsia"/>
          <w:snapToGrid/>
          <w:kern w:val="3"/>
        </w:rPr>
        <w:t>以區域別觀之，南區尚未提案比率達32.20%，仍待研謀加速推動。詢據國發會說明</w:t>
      </w:r>
      <w:r>
        <w:rPr>
          <w:rFonts w:hAnsi="標楷體" w:hint="eastAsia"/>
          <w:snapToGrid/>
          <w:kern w:val="3"/>
        </w:rPr>
        <w:t>略以，</w:t>
      </w:r>
      <w:r w:rsidRPr="00AD5362">
        <w:rPr>
          <w:rFonts w:hAnsi="標楷體" w:hint="eastAsia"/>
          <w:snapToGrid/>
          <w:kern w:val="3"/>
        </w:rPr>
        <w:t>尚未提案之地區，考量地方政府提案量能趨於飽和，為加快推進地方創生之步伐，不僅以地方政府作為單一提案平台，將加強輔導地方團隊、青年培力工作站等，透過多元徵案方式鼓勵提案，地方事業體如有好的提案構想，在兼顧在地性、公共性、持續自主營運模式等前提下，由分區輔導中心協助納入地方政府之地方創生計畫或協助整合當地其他相關事業提案與需求，匯集為整體性地方創生計畫後並依程序辦理。</w:t>
      </w:r>
    </w:p>
    <w:p w:rsidR="00B12961" w:rsidRPr="00AD5362" w:rsidRDefault="00B12961" w:rsidP="00622298">
      <w:pPr>
        <w:widowControl/>
        <w:suppressAutoHyphens/>
        <w:autoSpaceDN w:val="0"/>
        <w:snapToGrid w:val="0"/>
        <w:ind w:leftChars="0" w:left="1304" w:firstLineChars="0" w:hanging="1304"/>
        <w:jc w:val="left"/>
        <w:textAlignment w:val="baseline"/>
        <w:rPr>
          <w:rFonts w:hAnsi="標楷體" w:hint="eastAsia"/>
          <w:b/>
          <w:snapToGrid/>
          <w:szCs w:val="22"/>
        </w:rPr>
      </w:pPr>
      <w:r w:rsidRPr="00AD5362">
        <w:rPr>
          <w:rFonts w:hint="eastAsia"/>
          <w:b/>
          <w:snapToGrid/>
        </w:rPr>
        <w:t>表2</w:t>
      </w:r>
      <w:r w:rsidRPr="00AD5362">
        <w:rPr>
          <w:rFonts w:hAnsi="標楷體" w:hint="eastAsia"/>
          <w:b/>
          <w:snapToGrid/>
          <w:szCs w:val="22"/>
        </w:rPr>
        <w:t xml:space="preserve">  截至112年底止尚未提案之優先推動地方創生地區一覽表</w:t>
      </w:r>
    </w:p>
    <w:p w:rsidR="00B12961" w:rsidRPr="00AD5362" w:rsidRDefault="00B12961" w:rsidP="00622298">
      <w:pPr>
        <w:widowControl/>
        <w:suppressAutoHyphens/>
        <w:autoSpaceDN w:val="0"/>
        <w:snapToGrid w:val="0"/>
        <w:spacing w:line="320" w:lineRule="exact"/>
        <w:ind w:leftChars="0" w:left="1304" w:firstLineChars="0" w:hanging="1304"/>
        <w:jc w:val="right"/>
        <w:textAlignment w:val="baseline"/>
        <w:rPr>
          <w:rFonts w:hAnsi="標楷體" w:hint="eastAsia"/>
          <w:snapToGrid/>
          <w:sz w:val="24"/>
          <w:szCs w:val="22"/>
        </w:rPr>
      </w:pPr>
      <w:r w:rsidRPr="00AD5362">
        <w:rPr>
          <w:rFonts w:hAnsi="標楷體" w:hint="eastAsia"/>
          <w:b/>
          <w:snapToGrid/>
          <w:szCs w:val="22"/>
        </w:rPr>
        <w:t xml:space="preserve">                           </w:t>
      </w:r>
      <w:r w:rsidRPr="00AD5362">
        <w:rPr>
          <w:rFonts w:hAnsi="標楷體" w:hint="eastAsia"/>
          <w:snapToGrid/>
          <w:sz w:val="24"/>
          <w:szCs w:val="22"/>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B12961" w:rsidRPr="00AD5362" w:rsidTr="00301309">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優先推動地方創生 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尚未提案鄉鎮區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尚未提案比率(%)</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0</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0</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7</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16.28</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32.20</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4</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15.38</w:t>
            </w:r>
          </w:p>
        </w:tc>
      </w:tr>
      <w:tr w:rsidR="00B12961" w:rsidRPr="00AD5362" w:rsidTr="00301309">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b/>
                <w:snapToGrid/>
                <w:sz w:val="24"/>
              </w:rPr>
            </w:pPr>
            <w:r w:rsidRPr="00AD5362">
              <w:rPr>
                <w:rFonts w:hint="eastAsia"/>
                <w:b/>
                <w:snapToGrid/>
                <w:sz w:val="24"/>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30</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22.39</w:t>
            </w:r>
          </w:p>
        </w:tc>
      </w:tr>
    </w:tbl>
    <w:p w:rsidR="00B12961" w:rsidRPr="00AD5362" w:rsidRDefault="00B12961" w:rsidP="00622298">
      <w:pPr>
        <w:snapToGrid w:val="0"/>
        <w:spacing w:line="300" w:lineRule="exact"/>
        <w:ind w:leftChars="0" w:left="1216" w:hangingChars="500" w:hanging="1216"/>
        <w:rPr>
          <w:rFonts w:hAnsi="標楷體" w:hint="eastAsia"/>
          <w:snapToGrid/>
          <w:sz w:val="24"/>
        </w:rPr>
      </w:pPr>
      <w:r w:rsidRPr="00AD5362">
        <w:rPr>
          <w:rFonts w:hAnsi="標楷體" w:hint="eastAsia"/>
          <w:snapToGrid/>
          <w:sz w:val="24"/>
        </w:rPr>
        <w:t>說    明：北、中、南、東區包含縣市詳表1說明。</w:t>
      </w:r>
    </w:p>
    <w:p w:rsidR="00B12961" w:rsidRPr="00AD5362" w:rsidRDefault="00B12961" w:rsidP="00622298">
      <w:pPr>
        <w:snapToGrid w:val="0"/>
        <w:spacing w:line="300" w:lineRule="exact"/>
        <w:ind w:leftChars="0" w:left="1216" w:hangingChars="500" w:hanging="1216"/>
        <w:rPr>
          <w:rFonts w:hAnsi="標楷體" w:hint="eastAsia"/>
          <w:snapToGrid/>
          <w:sz w:val="24"/>
        </w:rPr>
      </w:pPr>
      <w:r w:rsidRPr="00AD5362">
        <w:rPr>
          <w:rFonts w:hAnsi="標楷體" w:hint="eastAsia"/>
          <w:snapToGrid/>
          <w:sz w:val="24"/>
        </w:rPr>
        <w:t>資料來源：整理自國發會提供資料。</w:t>
      </w:r>
    </w:p>
    <w:bookmarkEnd w:id="11"/>
    <w:p w:rsidR="00B12961" w:rsidRPr="00AD5362" w:rsidRDefault="00B12961" w:rsidP="00622298">
      <w:pPr>
        <w:ind w:left="566" w:firstLine="566"/>
      </w:pPr>
      <w:r w:rsidRPr="00AD5362">
        <w:rPr>
          <w:rFonts w:hint="eastAsia"/>
        </w:rPr>
        <w:t>綜上，地方創生國家戰略計畫自108年起推動，截至112年底地方政府已提報189件地方創生計畫，惟優先推動地區尚未提案者仍有30處，允宜強化輔導能量及增進與地方之溝通，並整合相關資源，俾利推動地方創生工作。</w:t>
      </w:r>
    </w:p>
    <w:p w:rsidR="00B12961" w:rsidRPr="00B12961" w:rsidRDefault="00B12961" w:rsidP="00B12961">
      <w:pPr>
        <w:widowControl/>
        <w:snapToGrid w:val="0"/>
        <w:ind w:leftChars="0" w:left="567" w:hangingChars="200" w:hanging="567"/>
        <w:rPr>
          <w:rFonts w:hAnsi="標楷體"/>
          <w:b/>
          <w:snapToGrid/>
          <w:szCs w:val="20"/>
        </w:rPr>
      </w:pPr>
    </w:p>
    <w:p w:rsidR="00B12961" w:rsidRDefault="00B12961" w:rsidP="00B12961">
      <w:pPr>
        <w:pStyle w:val="14"/>
        <w:ind w:left="567" w:hanging="567"/>
        <w:rPr>
          <w:snapToGrid/>
        </w:rPr>
      </w:pPr>
      <w:bookmarkStart w:id="12" w:name="_Toc185253110"/>
      <w:bookmarkStart w:id="13" w:name="_Toc185254258"/>
      <w:r w:rsidRPr="00B12961">
        <w:rPr>
          <w:rFonts w:hint="eastAsia"/>
          <w:snapToGrid/>
        </w:rPr>
        <w:t>貳、檔案管理局</w:t>
      </w:r>
      <w:bookmarkEnd w:id="12"/>
      <w:bookmarkEnd w:id="13"/>
    </w:p>
    <w:p w:rsidR="00B12961" w:rsidRPr="00B12961" w:rsidRDefault="005F1C5E" w:rsidP="00B12961">
      <w:pPr>
        <w:pStyle w:val="a8"/>
        <w:ind w:left="566" w:firstLine="566"/>
        <w:rPr>
          <w:rFonts w:hint="eastAsia"/>
          <w:b/>
          <w:snapToGrid/>
        </w:rPr>
      </w:pPr>
      <w:r>
        <w:rPr>
          <w:rFonts w:hint="eastAsia"/>
        </w:rPr>
        <w:t>國發會檔案管理局(</w:t>
      </w:r>
      <w:r w:rsidR="00B12961" w:rsidRPr="00B12961">
        <w:rPr>
          <w:rFonts w:hint="eastAsia"/>
        </w:rPr>
        <w:t>以下稱檔管局</w:t>
      </w:r>
      <w:r>
        <w:rPr>
          <w:rFonts w:hint="eastAsia"/>
        </w:rPr>
        <w:t>)</w:t>
      </w:r>
      <w:r w:rsidR="00B12961" w:rsidRPr="00AD5362">
        <w:rPr>
          <w:rFonts w:hint="eastAsia"/>
        </w:rPr>
        <w:t>112年度歲入決算數</w:t>
      </w:r>
      <w:r w:rsidR="00B12961">
        <w:rPr>
          <w:rFonts w:hint="eastAsia"/>
        </w:rPr>
        <w:t>697</w:t>
      </w:r>
      <w:r w:rsidR="00B12961" w:rsidRPr="00AD5362">
        <w:rPr>
          <w:rFonts w:hint="eastAsia"/>
        </w:rPr>
        <w:t>萬</w:t>
      </w:r>
      <w:r w:rsidR="00B12961">
        <w:rPr>
          <w:rFonts w:hint="eastAsia"/>
        </w:rPr>
        <w:t>1</w:t>
      </w:r>
      <w:r w:rsidR="00B12961" w:rsidRPr="00AD5362">
        <w:rPr>
          <w:rFonts w:hint="eastAsia"/>
        </w:rPr>
        <w:t>千元，較預算數增加</w:t>
      </w:r>
      <w:r w:rsidR="00B12961">
        <w:rPr>
          <w:rFonts w:hint="eastAsia"/>
        </w:rPr>
        <w:t>62</w:t>
      </w:r>
      <w:r w:rsidR="00B12961" w:rsidRPr="00AD5362">
        <w:rPr>
          <w:rFonts w:hint="eastAsia"/>
        </w:rPr>
        <w:t>4萬</w:t>
      </w:r>
      <w:r w:rsidR="00B12961">
        <w:rPr>
          <w:rFonts w:hint="eastAsia"/>
        </w:rPr>
        <w:t>6</w:t>
      </w:r>
      <w:r w:rsidR="00B12961" w:rsidRPr="00AD5362">
        <w:rPr>
          <w:rFonts w:hint="eastAsia"/>
        </w:rPr>
        <w:t>千元</w:t>
      </w:r>
      <w:r>
        <w:rPr>
          <w:rFonts w:hint="eastAsia"/>
        </w:rPr>
        <w:t>(</w:t>
      </w:r>
      <w:r w:rsidR="00B12961" w:rsidRPr="00AD5362">
        <w:rPr>
          <w:rFonts w:hint="eastAsia"/>
        </w:rPr>
        <w:t>增幅</w:t>
      </w:r>
      <w:r w:rsidR="009F7A53">
        <w:rPr>
          <w:rFonts w:hint="eastAsia"/>
        </w:rPr>
        <w:t>861</w:t>
      </w:r>
      <w:r w:rsidR="00B12961" w:rsidRPr="00AD5362">
        <w:rPr>
          <w:rFonts w:hint="eastAsia"/>
        </w:rPr>
        <w:t>.</w:t>
      </w:r>
      <w:r w:rsidR="009F7A53">
        <w:rPr>
          <w:rFonts w:hint="eastAsia"/>
        </w:rPr>
        <w:t>52</w:t>
      </w:r>
      <w:r w:rsidR="00B12961" w:rsidRPr="00AD5362">
        <w:rPr>
          <w:rFonts w:hint="eastAsia"/>
        </w:rPr>
        <w:t>%</w:t>
      </w:r>
      <w:r>
        <w:rPr>
          <w:rFonts w:hint="eastAsia"/>
        </w:rPr>
        <w:t>)</w:t>
      </w:r>
      <w:r w:rsidR="00B12961" w:rsidRPr="00AD5362">
        <w:rPr>
          <w:rFonts w:hint="eastAsia"/>
        </w:rPr>
        <w:t>；歲出決算數</w:t>
      </w:r>
      <w:r w:rsidR="009F7A53">
        <w:rPr>
          <w:rFonts w:hint="eastAsia"/>
        </w:rPr>
        <w:t>1</w:t>
      </w:r>
      <w:r w:rsidR="00B12961" w:rsidRPr="00AD5362">
        <w:rPr>
          <w:rFonts w:hint="eastAsia"/>
        </w:rPr>
        <w:t>2億</w:t>
      </w:r>
      <w:r w:rsidR="009F7A53">
        <w:rPr>
          <w:rFonts w:hint="eastAsia"/>
        </w:rPr>
        <w:t>6</w:t>
      </w:r>
      <w:r w:rsidR="00B12961" w:rsidRPr="00AD5362">
        <w:rPr>
          <w:rFonts w:hint="eastAsia"/>
        </w:rPr>
        <w:t>,</w:t>
      </w:r>
      <w:r w:rsidR="009F7A53">
        <w:rPr>
          <w:rFonts w:hint="eastAsia"/>
        </w:rPr>
        <w:t>047</w:t>
      </w:r>
      <w:r w:rsidR="00B12961" w:rsidRPr="00AD5362">
        <w:rPr>
          <w:rFonts w:hint="eastAsia"/>
        </w:rPr>
        <w:t>萬</w:t>
      </w:r>
      <w:r w:rsidR="009F7A53">
        <w:rPr>
          <w:rFonts w:hint="eastAsia"/>
        </w:rPr>
        <w:t>5千</w:t>
      </w:r>
      <w:r w:rsidR="00B12961" w:rsidRPr="00AD5362">
        <w:rPr>
          <w:rFonts w:hint="eastAsia"/>
        </w:rPr>
        <w:t>元，較預算數減少</w:t>
      </w:r>
      <w:r w:rsidR="009F7A53">
        <w:rPr>
          <w:rFonts w:hint="eastAsia"/>
        </w:rPr>
        <w:t>1</w:t>
      </w:r>
      <w:r w:rsidR="00B12961" w:rsidRPr="00AD5362">
        <w:rPr>
          <w:rFonts w:hint="eastAsia"/>
        </w:rPr>
        <w:t>,</w:t>
      </w:r>
      <w:r w:rsidR="009F7A53">
        <w:rPr>
          <w:rFonts w:hint="eastAsia"/>
        </w:rPr>
        <w:t>221</w:t>
      </w:r>
      <w:r w:rsidR="00B12961" w:rsidRPr="00AD5362">
        <w:rPr>
          <w:rFonts w:hint="eastAsia"/>
        </w:rPr>
        <w:t>萬</w:t>
      </w:r>
      <w:r w:rsidR="009F7A53">
        <w:rPr>
          <w:rFonts w:hint="eastAsia"/>
        </w:rPr>
        <w:t>2</w:t>
      </w:r>
      <w:r w:rsidR="00B12961" w:rsidRPr="00AD5362">
        <w:rPr>
          <w:rFonts w:hint="eastAsia"/>
        </w:rPr>
        <w:t>千元</w:t>
      </w:r>
      <w:r>
        <w:rPr>
          <w:rFonts w:hint="eastAsia"/>
        </w:rPr>
        <w:t>(</w:t>
      </w:r>
      <w:r w:rsidR="00B12961" w:rsidRPr="00AD5362">
        <w:rPr>
          <w:rFonts w:hint="eastAsia"/>
        </w:rPr>
        <w:t>執行率9</w:t>
      </w:r>
      <w:r w:rsidR="009F7A53">
        <w:rPr>
          <w:rFonts w:hint="eastAsia"/>
        </w:rPr>
        <w:t>9</w:t>
      </w:r>
      <w:r w:rsidR="00B12961" w:rsidRPr="00AD5362">
        <w:rPr>
          <w:rFonts w:hint="eastAsia"/>
        </w:rPr>
        <w:t>.</w:t>
      </w:r>
      <w:r w:rsidR="009F7A53">
        <w:rPr>
          <w:rFonts w:hint="eastAsia"/>
        </w:rPr>
        <w:t>04</w:t>
      </w:r>
      <w:r w:rsidR="00B12961" w:rsidRPr="00AD5362">
        <w:rPr>
          <w:rFonts w:hint="eastAsia"/>
        </w:rPr>
        <w:t>%</w:t>
      </w:r>
      <w:r>
        <w:rPr>
          <w:rFonts w:hint="eastAsia"/>
        </w:rPr>
        <w:t>)</w:t>
      </w:r>
      <w:r w:rsidR="00B12961" w:rsidRPr="00AD5362">
        <w:rPr>
          <w:rFonts w:hint="eastAsia"/>
        </w:rPr>
        <w:t>。謹就</w:t>
      </w:r>
      <w:r w:rsidR="00B12961">
        <w:rPr>
          <w:rFonts w:hint="eastAsia"/>
        </w:rPr>
        <w:t>檔管局</w:t>
      </w:r>
      <w:r w:rsidR="00B12961" w:rsidRPr="00AD5362">
        <w:rPr>
          <w:rFonts w:hint="eastAsia"/>
        </w:rPr>
        <w:t>112年度單位決算評估如下：</w:t>
      </w:r>
    </w:p>
    <w:p w:rsidR="00B12961" w:rsidRPr="00AD5362" w:rsidRDefault="00B12961" w:rsidP="00622298">
      <w:pPr>
        <w:pStyle w:val="14"/>
        <w:ind w:left="567" w:hanging="567"/>
        <w:rPr>
          <w:rFonts w:hint="eastAsia"/>
        </w:rPr>
      </w:pPr>
      <w:bookmarkStart w:id="14" w:name="_Toc184903123"/>
      <w:bookmarkStart w:id="15" w:name="_Toc185254259"/>
      <w:r w:rsidRPr="00AD5362">
        <w:rPr>
          <w:rFonts w:hint="eastAsia"/>
        </w:rPr>
        <w:t>三、檔案管理局「國家檔案典藏及服務建設計畫」107至112年度預算執行率均未及7成，允宜</w:t>
      </w:r>
      <w:r>
        <w:rPr>
          <w:rFonts w:hint="eastAsia"/>
        </w:rPr>
        <w:t>確實檢討並強化</w:t>
      </w:r>
      <w:r w:rsidRPr="00AD5362">
        <w:rPr>
          <w:rFonts w:hint="eastAsia"/>
        </w:rPr>
        <w:t>管</w:t>
      </w:r>
      <w:r>
        <w:rPr>
          <w:rFonts w:hint="eastAsia"/>
        </w:rPr>
        <w:t>控措施</w:t>
      </w:r>
      <w:bookmarkEnd w:id="14"/>
      <w:bookmarkEnd w:id="15"/>
    </w:p>
    <w:p w:rsidR="00B12961" w:rsidRPr="00AD5362" w:rsidRDefault="00B12961" w:rsidP="00622298">
      <w:pPr>
        <w:ind w:left="566" w:firstLine="566"/>
        <w:rPr>
          <w:rFonts w:hint="eastAsia"/>
        </w:rPr>
      </w:pPr>
      <w:r w:rsidRPr="00AD5362">
        <w:rPr>
          <w:rFonts w:hint="eastAsia"/>
        </w:rPr>
        <w:t>檔管局112年度「國家檔案典藏及服務建設計畫」</w:t>
      </w:r>
      <w:r w:rsidRPr="00BD0D84">
        <w:rPr>
          <w:rFonts w:hint="eastAsia"/>
        </w:rPr>
        <w:t>可支用預算數10億5,847萬5千元</w:t>
      </w:r>
      <w:r>
        <w:rPr>
          <w:rFonts w:hint="eastAsia"/>
        </w:rPr>
        <w:t>(包含以前年度1億9</w:t>
      </w:r>
      <w:r>
        <w:t>,</w:t>
      </w:r>
      <w:r>
        <w:rPr>
          <w:rFonts w:hint="eastAsia"/>
        </w:rPr>
        <w:t>048萬元及本年度8億6</w:t>
      </w:r>
      <w:r>
        <w:t>,</w:t>
      </w:r>
      <w:r>
        <w:rPr>
          <w:rFonts w:hint="eastAsia"/>
        </w:rPr>
        <w:t>799萬5千元)</w:t>
      </w:r>
      <w:r w:rsidRPr="00BD0D84">
        <w:rPr>
          <w:rFonts w:hint="eastAsia"/>
        </w:rPr>
        <w:t>，執行數7億1,156萬8千元</w:t>
      </w:r>
      <w:r>
        <w:rPr>
          <w:rFonts w:hint="eastAsia"/>
        </w:rPr>
        <w:t>(全為實現數)</w:t>
      </w:r>
      <w:r w:rsidRPr="00BD0D84">
        <w:rPr>
          <w:rFonts w:hint="eastAsia"/>
        </w:rPr>
        <w:t>，執行數占可支用預算數</w:t>
      </w:r>
      <w:r>
        <w:t>67</w:t>
      </w:r>
      <w:r w:rsidRPr="00BD0D84">
        <w:rPr>
          <w:rFonts w:hint="eastAsia"/>
        </w:rPr>
        <w:t>.</w:t>
      </w:r>
      <w:r>
        <w:t>23</w:t>
      </w:r>
      <w:r w:rsidRPr="00BD0D84">
        <w:rPr>
          <w:rFonts w:hint="eastAsia"/>
        </w:rPr>
        <w:t>%</w:t>
      </w:r>
      <w:r w:rsidRPr="00AD5362">
        <w:rPr>
          <w:rFonts w:hint="eastAsia"/>
        </w:rPr>
        <w:t>。經查：</w:t>
      </w:r>
    </w:p>
    <w:p w:rsidR="00B12961" w:rsidRPr="00AD5362" w:rsidRDefault="00B12961" w:rsidP="00622298">
      <w:pPr>
        <w:pStyle w:val="a4"/>
        <w:ind w:left="849" w:hanging="283"/>
        <w:rPr>
          <w:rFonts w:hAnsi="標楷體" w:hint="eastAsia"/>
          <w:b/>
          <w:kern w:val="0"/>
        </w:rPr>
      </w:pPr>
      <w:r w:rsidRPr="00AD5362">
        <w:rPr>
          <w:rFonts w:hint="eastAsia"/>
          <w:b/>
        </w:rPr>
        <w:t>(一)計畫內容及修正情形</w:t>
      </w:r>
    </w:p>
    <w:p w:rsidR="00B12961" w:rsidRPr="00AD5362" w:rsidRDefault="00B12961" w:rsidP="00622298">
      <w:pPr>
        <w:pStyle w:val="21"/>
        <w:ind w:left="850" w:firstLine="566"/>
        <w:rPr>
          <w:rFonts w:cs="細明體" w:hint="eastAsia"/>
        </w:rPr>
      </w:pPr>
      <w:r w:rsidRPr="00AD5362">
        <w:rPr>
          <w:rFonts w:hint="eastAsia"/>
        </w:rPr>
        <w:t>「國家檔案典藏及服務建設計畫」以「建立國家級建設」為主軸，規劃於新北市林口區興建國家檔案館，將行政、服務及典藏功能整合建設，增設100公里國家檔案典藏容量，加速國家檔案之鑑選及移轉，擴增國家檔案典藏質量及設施，促進檔案應用及教育文化休閒服務，及引領檔案研究與管理專業技術與發展；該計畫原經行政院於106年8月核定，計畫期程107至112年，總經費25億497萬5千元</w:t>
      </w:r>
      <w:r w:rsidRPr="00AD5362">
        <w:rPr>
          <w:rFonts w:hAnsi="標楷體" w:cs="細明體" w:hint="eastAsia"/>
        </w:rPr>
        <w:t>；續因配合工程採購及作業期程需要，分別於109年1月及110年11月經行政院核定修正調整計畫期程至114年</w:t>
      </w:r>
      <w:r w:rsidRPr="00AD5362">
        <w:rPr>
          <w:rFonts w:cs="細明體" w:hint="eastAsia"/>
        </w:rPr>
        <w:t>，並調增計畫總經費至29億1</w:t>
      </w:r>
      <w:r w:rsidRPr="00AD5362">
        <w:rPr>
          <w:rFonts w:cs="細明體"/>
        </w:rPr>
        <w:t>,</w:t>
      </w:r>
      <w:r w:rsidRPr="00AD5362">
        <w:rPr>
          <w:rFonts w:cs="細明體" w:hint="eastAsia"/>
        </w:rPr>
        <w:t>921萬6千元。</w:t>
      </w:r>
    </w:p>
    <w:p w:rsidR="00B12961" w:rsidRPr="00AD5362" w:rsidRDefault="00B12961" w:rsidP="00622298">
      <w:pPr>
        <w:pStyle w:val="a4"/>
        <w:ind w:left="849" w:hanging="283"/>
        <w:rPr>
          <w:rFonts w:hint="eastAsia"/>
          <w:b/>
        </w:rPr>
      </w:pPr>
      <w:r w:rsidRPr="00AD5362">
        <w:rPr>
          <w:rFonts w:hint="eastAsia"/>
          <w:b/>
        </w:rPr>
        <w:t>(二)</w:t>
      </w:r>
      <w:r w:rsidRPr="000B1195">
        <w:rPr>
          <w:rFonts w:hint="eastAsia"/>
          <w:b/>
        </w:rPr>
        <w:t>107至112年度執行數占可支用預算數比率均</w:t>
      </w:r>
      <w:r>
        <w:rPr>
          <w:rFonts w:hint="eastAsia"/>
          <w:b/>
        </w:rPr>
        <w:t>未及7成，預算執行未如預期，允宜檢討加強控管</w:t>
      </w:r>
    </w:p>
    <w:p w:rsidR="00B12961" w:rsidRPr="00AD5362" w:rsidRDefault="00B12961" w:rsidP="00622298">
      <w:pPr>
        <w:pStyle w:val="21"/>
        <w:ind w:left="850" w:firstLine="566"/>
      </w:pPr>
      <w:r w:rsidRPr="00AD5362">
        <w:rPr>
          <w:rFonts w:hint="eastAsia"/>
        </w:rPr>
        <w:t>依檔管局112年度決算書「重大計畫執行績效報告表」，國家檔案典藏及服務建設計畫112年度可支用預算數10億5,847萬5</w:t>
      </w:r>
      <w:r>
        <w:rPr>
          <w:rFonts w:hint="eastAsia"/>
        </w:rPr>
        <w:t>千元，執行</w:t>
      </w:r>
      <w:r w:rsidRPr="00AD5362">
        <w:rPr>
          <w:rFonts w:hint="eastAsia"/>
        </w:rPr>
        <w:t>數7億1,156萬8千元</w:t>
      </w:r>
      <w:r>
        <w:rPr>
          <w:rFonts w:hint="eastAsia"/>
        </w:rPr>
        <w:t>(全為實現數)</w:t>
      </w:r>
      <w:r w:rsidRPr="00AD5362">
        <w:rPr>
          <w:rFonts w:hint="eastAsia"/>
        </w:rPr>
        <w:t>，占可支用預算數6</w:t>
      </w:r>
      <w:r w:rsidRPr="00AD5362">
        <w:t>7</w:t>
      </w:r>
      <w:r w:rsidRPr="00AD5362">
        <w:rPr>
          <w:rFonts w:hint="eastAsia"/>
        </w:rPr>
        <w:t>.23%</w:t>
      </w:r>
      <w:r>
        <w:rPr>
          <w:rFonts w:hint="eastAsia"/>
        </w:rPr>
        <w:t>(</w:t>
      </w:r>
      <w:r w:rsidRPr="00AD5362">
        <w:rPr>
          <w:rFonts w:hint="eastAsia"/>
        </w:rPr>
        <w:t>詳表1</w:t>
      </w:r>
      <w:r>
        <w:rPr>
          <w:rFonts w:hint="eastAsia"/>
        </w:rPr>
        <w:t>)</w:t>
      </w:r>
      <w:r w:rsidRPr="00AD5362">
        <w:rPr>
          <w:rFonts w:hint="eastAsia"/>
        </w:rPr>
        <w:t>，且107至112年度執行數占可支用預算數比率介於24.50%至67.38%之間，</w:t>
      </w:r>
      <w:r w:rsidRPr="000B1195">
        <w:rPr>
          <w:rFonts w:hint="eastAsia"/>
        </w:rPr>
        <w:t>執行情形容有改善空間，允宜研謀改善</w:t>
      </w:r>
      <w:r w:rsidRPr="00AD5362">
        <w:rPr>
          <w:rFonts w:hint="eastAsia"/>
        </w:rPr>
        <w:t>；據檔管局說明，該計畫109年度以前因缺工缺料等因素多次流標，110年2月決標並於同年4月開工，隨工程估驗進度計價逐期轉正</w:t>
      </w:r>
      <w:r w:rsidRPr="00AD5362">
        <w:rPr>
          <w:rFonts w:hAnsi="標楷體" w:hint="eastAsia"/>
        </w:rPr>
        <w:t>；</w:t>
      </w:r>
      <w:r>
        <w:rPr>
          <w:rFonts w:hAnsi="標楷體" w:hint="eastAsia"/>
        </w:rPr>
        <w:t>112年</w:t>
      </w:r>
      <w:r w:rsidRPr="00AD5362">
        <w:rPr>
          <w:rFonts w:hAnsi="標楷體" w:hint="eastAsia"/>
        </w:rPr>
        <w:t>部分弱電設備雖已進場，惟尚未安裝定位，仍不能估驗付款，需保留經費至113年度繼續執行</w:t>
      </w:r>
      <w:r w:rsidRPr="00AD5362">
        <w:rPr>
          <w:rFonts w:hint="eastAsia"/>
        </w:rPr>
        <w:t>。</w:t>
      </w:r>
    </w:p>
    <w:p w:rsidR="00B12961" w:rsidRPr="00AD5362" w:rsidRDefault="00B12961" w:rsidP="00622298">
      <w:pPr>
        <w:spacing w:beforeLines="10" w:before="50"/>
        <w:ind w:leftChars="0" w:left="567" w:hangingChars="200" w:hanging="567"/>
        <w:rPr>
          <w:rFonts w:hAnsi="標楷體" w:hint="eastAsia"/>
          <w:b/>
          <w:sz w:val="24"/>
          <w:szCs w:val="24"/>
        </w:rPr>
      </w:pPr>
      <w:r w:rsidRPr="00AD5362">
        <w:rPr>
          <w:rFonts w:hint="eastAsia"/>
          <w:b/>
        </w:rPr>
        <w:t>表1</w:t>
      </w:r>
      <w:r w:rsidRPr="00AD5362">
        <w:rPr>
          <w:rFonts w:hAnsi="標楷體"/>
          <w:b/>
        </w:rPr>
        <w:t xml:space="preserve">  </w:t>
      </w:r>
      <w:r w:rsidRPr="00AD5362">
        <w:rPr>
          <w:rFonts w:hint="eastAsia"/>
          <w:b/>
        </w:rPr>
        <w:t xml:space="preserve">國家檔案典藏及服務建設計畫執行情形表   </w:t>
      </w:r>
      <w:r w:rsidRPr="00AD5362">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039"/>
        <w:gridCol w:w="1040"/>
        <w:gridCol w:w="1181"/>
        <w:gridCol w:w="993"/>
        <w:gridCol w:w="944"/>
        <w:gridCol w:w="1040"/>
        <w:gridCol w:w="1559"/>
      </w:tblGrid>
      <w:tr w:rsidR="00B12961" w:rsidRPr="00AD5362" w:rsidTr="00301309">
        <w:trPr>
          <w:trHeight w:val="464"/>
          <w:tblHeader/>
        </w:trPr>
        <w:tc>
          <w:tcPr>
            <w:tcW w:w="709" w:type="dxa"/>
            <w:vMerge w:val="restart"/>
            <w:shd w:val="clear" w:color="auto" w:fill="auto"/>
            <w:vAlign w:val="center"/>
          </w:tcPr>
          <w:p w:rsidR="00B12961" w:rsidRPr="00AD5362" w:rsidRDefault="00B12961" w:rsidP="00622298">
            <w:pPr>
              <w:pStyle w:val="142"/>
              <w:jc w:val="center"/>
              <w:rPr>
                <w:rFonts w:hint="eastAsia"/>
                <w:b/>
              </w:rPr>
            </w:pPr>
            <w:r w:rsidRPr="00AD5362">
              <w:rPr>
                <w:rFonts w:hint="eastAsia"/>
                <w:b/>
              </w:rPr>
              <w:t>年度</w:t>
            </w:r>
          </w:p>
        </w:tc>
        <w:tc>
          <w:tcPr>
            <w:tcW w:w="3260" w:type="dxa"/>
            <w:gridSpan w:val="3"/>
            <w:shd w:val="clear" w:color="auto" w:fill="auto"/>
            <w:vAlign w:val="center"/>
          </w:tcPr>
          <w:p w:rsidR="00B12961" w:rsidRPr="00AD5362" w:rsidRDefault="00B12961" w:rsidP="00622298">
            <w:pPr>
              <w:pStyle w:val="142"/>
              <w:jc w:val="center"/>
              <w:rPr>
                <w:rFonts w:hint="eastAsia"/>
                <w:b/>
              </w:rPr>
            </w:pPr>
            <w:r w:rsidRPr="00AD5362">
              <w:rPr>
                <w:rFonts w:hint="eastAsia"/>
                <w:b/>
              </w:rPr>
              <w:t>可支用預算數</w:t>
            </w:r>
          </w:p>
        </w:tc>
        <w:tc>
          <w:tcPr>
            <w:tcW w:w="2977" w:type="dxa"/>
            <w:gridSpan w:val="3"/>
            <w:shd w:val="clear" w:color="auto" w:fill="auto"/>
            <w:vAlign w:val="center"/>
          </w:tcPr>
          <w:p w:rsidR="00B12961" w:rsidRPr="00AD5362" w:rsidRDefault="00B12961" w:rsidP="00622298">
            <w:pPr>
              <w:pStyle w:val="142"/>
              <w:jc w:val="center"/>
              <w:rPr>
                <w:rFonts w:hint="eastAsia"/>
                <w:b/>
              </w:rPr>
            </w:pPr>
            <w:r w:rsidRPr="00AD5362">
              <w:rPr>
                <w:rFonts w:hint="eastAsia"/>
                <w:b/>
              </w:rPr>
              <w:t>本期執行數</w:t>
            </w:r>
          </w:p>
        </w:tc>
        <w:tc>
          <w:tcPr>
            <w:tcW w:w="1559" w:type="dxa"/>
            <w:vMerge w:val="restart"/>
            <w:shd w:val="clear" w:color="auto" w:fill="auto"/>
            <w:vAlign w:val="center"/>
          </w:tcPr>
          <w:p w:rsidR="00B12961" w:rsidRPr="00AD5362" w:rsidRDefault="00B12961" w:rsidP="00622298">
            <w:pPr>
              <w:pStyle w:val="142"/>
              <w:jc w:val="center"/>
              <w:rPr>
                <w:rFonts w:hint="eastAsia"/>
                <w:b/>
              </w:rPr>
            </w:pPr>
            <w:r w:rsidRPr="00AD5362">
              <w:rPr>
                <w:b/>
              </w:rPr>
              <w:t>本期執行數</w:t>
            </w:r>
          </w:p>
          <w:p w:rsidR="00B12961" w:rsidRPr="00AD5362" w:rsidRDefault="00B12961" w:rsidP="00622298">
            <w:pPr>
              <w:pStyle w:val="142"/>
              <w:jc w:val="center"/>
              <w:rPr>
                <w:rFonts w:hint="eastAsia"/>
                <w:b/>
                <w:sz w:val="22"/>
                <w:szCs w:val="22"/>
              </w:rPr>
            </w:pPr>
            <w:r w:rsidRPr="00AD5362">
              <w:rPr>
                <w:b/>
              </w:rPr>
              <w:t>占可支用預算數</w:t>
            </w:r>
            <w:r w:rsidRPr="00AD5362">
              <w:rPr>
                <w:rFonts w:hint="eastAsia"/>
                <w:b/>
              </w:rPr>
              <w:t>比率</w:t>
            </w:r>
          </w:p>
        </w:tc>
      </w:tr>
      <w:tr w:rsidR="00B12961" w:rsidRPr="00AD5362" w:rsidTr="00301309">
        <w:trPr>
          <w:trHeight w:val="401"/>
          <w:tblHeader/>
        </w:trPr>
        <w:tc>
          <w:tcPr>
            <w:tcW w:w="709" w:type="dxa"/>
            <w:vMerge/>
            <w:shd w:val="clear" w:color="auto" w:fill="auto"/>
          </w:tcPr>
          <w:p w:rsidR="00B12961" w:rsidRPr="00AD5362" w:rsidRDefault="00B12961" w:rsidP="00622298">
            <w:pPr>
              <w:pStyle w:val="142"/>
              <w:jc w:val="center"/>
              <w:rPr>
                <w:rFonts w:hint="eastAsia"/>
              </w:rPr>
            </w:pPr>
          </w:p>
        </w:tc>
        <w:tc>
          <w:tcPr>
            <w:tcW w:w="1039" w:type="dxa"/>
            <w:shd w:val="clear" w:color="auto" w:fill="auto"/>
            <w:vAlign w:val="center"/>
          </w:tcPr>
          <w:p w:rsidR="00B12961" w:rsidRPr="00AD5362" w:rsidRDefault="00B12961" w:rsidP="00622298">
            <w:pPr>
              <w:pStyle w:val="142"/>
              <w:jc w:val="center"/>
              <w:rPr>
                <w:rFonts w:hint="eastAsia"/>
                <w:b/>
                <w:spacing w:val="-20"/>
              </w:rPr>
            </w:pPr>
            <w:r w:rsidRPr="00AD5362">
              <w:rPr>
                <w:b/>
                <w:spacing w:val="-20"/>
              </w:rPr>
              <w:t>以前年度</w:t>
            </w:r>
          </w:p>
        </w:tc>
        <w:tc>
          <w:tcPr>
            <w:tcW w:w="1040" w:type="dxa"/>
            <w:shd w:val="clear" w:color="auto" w:fill="auto"/>
            <w:vAlign w:val="center"/>
          </w:tcPr>
          <w:p w:rsidR="00B12961" w:rsidRPr="00AD5362" w:rsidRDefault="00B12961" w:rsidP="00622298">
            <w:pPr>
              <w:pStyle w:val="142"/>
              <w:jc w:val="center"/>
              <w:rPr>
                <w:rFonts w:hint="eastAsia"/>
                <w:b/>
              </w:rPr>
            </w:pPr>
            <w:r w:rsidRPr="00AD5362">
              <w:rPr>
                <w:rFonts w:hint="eastAsia"/>
                <w:b/>
              </w:rPr>
              <w:t>本年度</w:t>
            </w:r>
          </w:p>
        </w:tc>
        <w:tc>
          <w:tcPr>
            <w:tcW w:w="1181" w:type="dxa"/>
            <w:shd w:val="clear" w:color="auto" w:fill="auto"/>
            <w:vAlign w:val="center"/>
          </w:tcPr>
          <w:p w:rsidR="00B12961" w:rsidRPr="00AD5362" w:rsidRDefault="00B12961" w:rsidP="00622298">
            <w:pPr>
              <w:pStyle w:val="142"/>
              <w:jc w:val="center"/>
              <w:rPr>
                <w:rFonts w:hint="eastAsia"/>
                <w:b/>
              </w:rPr>
            </w:pPr>
            <w:r w:rsidRPr="00AD5362">
              <w:rPr>
                <w:rFonts w:hint="eastAsia"/>
                <w:b/>
              </w:rPr>
              <w:t>合計</w:t>
            </w:r>
          </w:p>
        </w:tc>
        <w:tc>
          <w:tcPr>
            <w:tcW w:w="993" w:type="dxa"/>
            <w:shd w:val="clear" w:color="auto" w:fill="auto"/>
            <w:vAlign w:val="center"/>
          </w:tcPr>
          <w:p w:rsidR="00B12961" w:rsidRPr="00AD5362" w:rsidRDefault="00B12961" w:rsidP="00622298">
            <w:pPr>
              <w:pStyle w:val="142"/>
              <w:jc w:val="center"/>
              <w:rPr>
                <w:rFonts w:hint="eastAsia"/>
                <w:b/>
              </w:rPr>
            </w:pPr>
            <w:r w:rsidRPr="00AD5362">
              <w:rPr>
                <w:rFonts w:hint="eastAsia"/>
                <w:b/>
              </w:rPr>
              <w:t>實現數</w:t>
            </w:r>
          </w:p>
        </w:tc>
        <w:tc>
          <w:tcPr>
            <w:tcW w:w="944" w:type="dxa"/>
            <w:shd w:val="clear" w:color="auto" w:fill="auto"/>
            <w:vAlign w:val="center"/>
          </w:tcPr>
          <w:p w:rsidR="00B12961" w:rsidRPr="00AD5362" w:rsidRDefault="00B12961" w:rsidP="00622298">
            <w:pPr>
              <w:pStyle w:val="142"/>
              <w:jc w:val="center"/>
              <w:rPr>
                <w:rFonts w:hint="eastAsia"/>
                <w:b/>
              </w:rPr>
            </w:pPr>
            <w:r w:rsidRPr="00AD5362">
              <w:rPr>
                <w:rFonts w:hint="eastAsia"/>
                <w:b/>
              </w:rPr>
              <w:t>賸餘數</w:t>
            </w:r>
          </w:p>
        </w:tc>
        <w:tc>
          <w:tcPr>
            <w:tcW w:w="1040" w:type="dxa"/>
            <w:shd w:val="clear" w:color="auto" w:fill="auto"/>
            <w:vAlign w:val="center"/>
          </w:tcPr>
          <w:p w:rsidR="00B12961" w:rsidRPr="00AD5362" w:rsidRDefault="00B12961" w:rsidP="00622298">
            <w:pPr>
              <w:pStyle w:val="142"/>
              <w:jc w:val="center"/>
              <w:rPr>
                <w:rFonts w:hint="eastAsia"/>
                <w:b/>
              </w:rPr>
            </w:pPr>
            <w:r w:rsidRPr="00AD5362">
              <w:rPr>
                <w:rFonts w:hint="eastAsia"/>
                <w:b/>
              </w:rPr>
              <w:t>合計</w:t>
            </w:r>
          </w:p>
        </w:tc>
        <w:tc>
          <w:tcPr>
            <w:tcW w:w="1559" w:type="dxa"/>
            <w:vMerge/>
            <w:shd w:val="clear" w:color="auto" w:fill="auto"/>
            <w:vAlign w:val="center"/>
          </w:tcPr>
          <w:p w:rsidR="00B12961" w:rsidRPr="00AD5362" w:rsidRDefault="00B12961" w:rsidP="00622298">
            <w:pPr>
              <w:pStyle w:val="142"/>
              <w:rPr>
                <w:rFonts w:hint="eastAsia"/>
              </w:rPr>
            </w:pPr>
          </w:p>
        </w:tc>
      </w:tr>
      <w:tr w:rsidR="00B12961" w:rsidRPr="00AD5362" w:rsidTr="00301309">
        <w:trPr>
          <w:trHeight w:val="421"/>
        </w:trPr>
        <w:tc>
          <w:tcPr>
            <w:tcW w:w="709" w:type="dxa"/>
            <w:tcBorders>
              <w:bottom w:val="single" w:sz="6" w:space="0" w:color="auto"/>
            </w:tcBorders>
            <w:shd w:val="clear" w:color="auto" w:fill="auto"/>
            <w:vAlign w:val="center"/>
          </w:tcPr>
          <w:p w:rsidR="00B12961" w:rsidRPr="00AD5362" w:rsidRDefault="00B12961" w:rsidP="00622298">
            <w:pPr>
              <w:pStyle w:val="142"/>
              <w:jc w:val="center"/>
            </w:pPr>
            <w:r w:rsidRPr="00AD5362">
              <w:rPr>
                <w:rFonts w:hint="eastAsia"/>
              </w:rPr>
              <w:t>107</w:t>
            </w:r>
          </w:p>
        </w:tc>
        <w:tc>
          <w:tcPr>
            <w:tcW w:w="1039"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0</w:t>
            </w:r>
          </w:p>
        </w:tc>
        <w:tc>
          <w:tcPr>
            <w:tcW w:w="1040"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26,482</w:t>
            </w:r>
          </w:p>
        </w:tc>
        <w:tc>
          <w:tcPr>
            <w:tcW w:w="1181"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26,482</w:t>
            </w:r>
          </w:p>
        </w:tc>
        <w:tc>
          <w:tcPr>
            <w:tcW w:w="993"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17,722</w:t>
            </w:r>
          </w:p>
        </w:tc>
        <w:tc>
          <w:tcPr>
            <w:tcW w:w="944"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0</w:t>
            </w:r>
          </w:p>
        </w:tc>
        <w:tc>
          <w:tcPr>
            <w:tcW w:w="1040"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17,826</w:t>
            </w:r>
          </w:p>
        </w:tc>
        <w:tc>
          <w:tcPr>
            <w:tcW w:w="1559" w:type="dxa"/>
            <w:tcBorders>
              <w:bottom w:val="single" w:sz="6"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67.31</w:t>
            </w:r>
          </w:p>
        </w:tc>
      </w:tr>
      <w:tr w:rsidR="00B12961" w:rsidRPr="00AD5362" w:rsidTr="00301309">
        <w:trPr>
          <w:trHeight w:val="421"/>
        </w:trPr>
        <w:tc>
          <w:tcPr>
            <w:tcW w:w="709" w:type="dxa"/>
            <w:tcBorders>
              <w:top w:val="single" w:sz="6" w:space="0" w:color="auto"/>
              <w:bottom w:val="single" w:sz="4" w:space="0" w:color="auto"/>
            </w:tcBorders>
            <w:shd w:val="clear" w:color="auto" w:fill="auto"/>
            <w:vAlign w:val="center"/>
          </w:tcPr>
          <w:p w:rsidR="00B12961" w:rsidRPr="00AD5362" w:rsidRDefault="00B12961" w:rsidP="00622298">
            <w:pPr>
              <w:pStyle w:val="142"/>
              <w:jc w:val="center"/>
            </w:pPr>
            <w:r w:rsidRPr="00AD5362">
              <w:rPr>
                <w:rFonts w:hint="eastAsia"/>
              </w:rPr>
              <w:t>108</w:t>
            </w:r>
          </w:p>
        </w:tc>
        <w:tc>
          <w:tcPr>
            <w:tcW w:w="1039"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8,656</w:t>
            </w:r>
          </w:p>
        </w:tc>
        <w:tc>
          <w:tcPr>
            <w:tcW w:w="1040"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26,769</w:t>
            </w:r>
          </w:p>
        </w:tc>
        <w:tc>
          <w:tcPr>
            <w:tcW w:w="1181"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35,425</w:t>
            </w:r>
          </w:p>
        </w:tc>
        <w:tc>
          <w:tcPr>
            <w:tcW w:w="993"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17,443</w:t>
            </w:r>
          </w:p>
        </w:tc>
        <w:tc>
          <w:tcPr>
            <w:tcW w:w="944"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19</w:t>
            </w:r>
          </w:p>
        </w:tc>
        <w:tc>
          <w:tcPr>
            <w:tcW w:w="1040"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17,462</w:t>
            </w:r>
          </w:p>
        </w:tc>
        <w:tc>
          <w:tcPr>
            <w:tcW w:w="1559" w:type="dxa"/>
            <w:tcBorders>
              <w:top w:val="single" w:sz="6"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49.29</w:t>
            </w:r>
          </w:p>
        </w:tc>
      </w:tr>
      <w:tr w:rsidR="00B12961" w:rsidRPr="00AD5362" w:rsidTr="00301309">
        <w:trPr>
          <w:trHeight w:val="421"/>
        </w:trPr>
        <w:tc>
          <w:tcPr>
            <w:tcW w:w="709" w:type="dxa"/>
            <w:tcBorders>
              <w:top w:val="single" w:sz="4" w:space="0" w:color="auto"/>
              <w:bottom w:val="single" w:sz="4" w:space="0" w:color="auto"/>
            </w:tcBorders>
            <w:shd w:val="clear" w:color="auto" w:fill="auto"/>
            <w:vAlign w:val="center"/>
          </w:tcPr>
          <w:p w:rsidR="00B12961" w:rsidRPr="00AD5362" w:rsidRDefault="00B12961" w:rsidP="00622298">
            <w:pPr>
              <w:pStyle w:val="142"/>
              <w:jc w:val="center"/>
            </w:pPr>
            <w:r w:rsidRPr="00AD5362">
              <w:rPr>
                <w:rFonts w:hint="eastAsia"/>
              </w:rPr>
              <w:t>10</w:t>
            </w:r>
            <w:r w:rsidRPr="00AD5362">
              <w:t>9</w:t>
            </w:r>
          </w:p>
        </w:tc>
        <w:tc>
          <w:tcPr>
            <w:tcW w:w="103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17</w:t>
            </w:r>
            <w:r w:rsidRPr="00AD5362">
              <w:rPr>
                <w:rFonts w:hint="eastAsia"/>
                <w:spacing w:val="-20"/>
              </w:rPr>
              <w:t>,</w:t>
            </w:r>
            <w:r w:rsidRPr="00AD5362">
              <w:rPr>
                <w:spacing w:val="-20"/>
              </w:rPr>
              <w:t>963</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34</w:t>
            </w:r>
            <w:r w:rsidRPr="00AD5362">
              <w:rPr>
                <w:rFonts w:hint="eastAsia"/>
                <w:spacing w:val="-20"/>
              </w:rPr>
              <w:t>,</w:t>
            </w:r>
            <w:r w:rsidRPr="00AD5362">
              <w:rPr>
                <w:spacing w:val="-20"/>
              </w:rPr>
              <w:t>311</w:t>
            </w:r>
          </w:p>
        </w:tc>
        <w:tc>
          <w:tcPr>
            <w:tcW w:w="1181"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52</w:t>
            </w:r>
            <w:r w:rsidRPr="00AD5362">
              <w:rPr>
                <w:rFonts w:hint="eastAsia"/>
                <w:spacing w:val="-20"/>
              </w:rPr>
              <w:t>,</w:t>
            </w:r>
            <w:r w:rsidRPr="00AD5362">
              <w:rPr>
                <w:spacing w:val="-20"/>
              </w:rPr>
              <w:t>274</w:t>
            </w:r>
          </w:p>
        </w:tc>
        <w:tc>
          <w:tcPr>
            <w:tcW w:w="993"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31</w:t>
            </w:r>
            <w:r w:rsidRPr="00AD5362">
              <w:rPr>
                <w:rFonts w:hint="eastAsia"/>
                <w:spacing w:val="-20"/>
              </w:rPr>
              <w:t>,</w:t>
            </w:r>
            <w:r w:rsidRPr="00AD5362">
              <w:rPr>
                <w:spacing w:val="-20"/>
              </w:rPr>
              <w:t>228</w:t>
            </w:r>
          </w:p>
        </w:tc>
        <w:tc>
          <w:tcPr>
            <w:tcW w:w="944"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120</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31</w:t>
            </w:r>
            <w:r w:rsidRPr="00AD5362">
              <w:rPr>
                <w:rFonts w:hint="eastAsia"/>
                <w:spacing w:val="-20"/>
              </w:rPr>
              <w:t>,</w:t>
            </w:r>
            <w:r w:rsidRPr="00AD5362">
              <w:rPr>
                <w:spacing w:val="-20"/>
              </w:rPr>
              <w:t>348</w:t>
            </w:r>
          </w:p>
        </w:tc>
        <w:tc>
          <w:tcPr>
            <w:tcW w:w="155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59</w:t>
            </w:r>
            <w:r w:rsidRPr="00AD5362">
              <w:rPr>
                <w:rFonts w:hint="eastAsia"/>
                <w:spacing w:val="-20"/>
              </w:rPr>
              <w:t>.</w:t>
            </w:r>
            <w:r w:rsidRPr="00AD5362">
              <w:rPr>
                <w:spacing w:val="-20"/>
              </w:rPr>
              <w:t>97</w:t>
            </w:r>
          </w:p>
        </w:tc>
      </w:tr>
      <w:tr w:rsidR="00B12961" w:rsidRPr="00AD5362" w:rsidTr="00301309">
        <w:trPr>
          <w:trHeight w:val="421"/>
        </w:trPr>
        <w:tc>
          <w:tcPr>
            <w:tcW w:w="709" w:type="dxa"/>
            <w:tcBorders>
              <w:top w:val="single" w:sz="4" w:space="0" w:color="auto"/>
              <w:bottom w:val="single" w:sz="4" w:space="0" w:color="auto"/>
            </w:tcBorders>
            <w:shd w:val="clear" w:color="auto" w:fill="auto"/>
            <w:vAlign w:val="center"/>
          </w:tcPr>
          <w:p w:rsidR="00B12961" w:rsidRPr="00AD5362" w:rsidRDefault="00B12961" w:rsidP="00622298">
            <w:pPr>
              <w:pStyle w:val="142"/>
              <w:jc w:val="center"/>
              <w:rPr>
                <w:rFonts w:hint="eastAsia"/>
              </w:rPr>
            </w:pPr>
            <w:r w:rsidRPr="00AD5362">
              <w:rPr>
                <w:rFonts w:hint="eastAsia"/>
              </w:rPr>
              <w:t>110</w:t>
            </w:r>
          </w:p>
        </w:tc>
        <w:tc>
          <w:tcPr>
            <w:tcW w:w="103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spacing w:val="-20"/>
              </w:rPr>
            </w:pPr>
            <w:r w:rsidRPr="00AD5362">
              <w:rPr>
                <w:rFonts w:hint="eastAsia"/>
                <w:spacing w:val="-20"/>
              </w:rPr>
              <w:t>20</w:t>
            </w:r>
            <w:r w:rsidRPr="00AD5362">
              <w:rPr>
                <w:spacing w:val="-20"/>
              </w:rPr>
              <w:t>,</w:t>
            </w:r>
            <w:r w:rsidRPr="00AD5362">
              <w:rPr>
                <w:rFonts w:hint="eastAsia"/>
                <w:spacing w:val="-20"/>
              </w:rPr>
              <w:t>925</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spacing w:val="-20"/>
              </w:rPr>
            </w:pPr>
            <w:r w:rsidRPr="00AD5362">
              <w:rPr>
                <w:rFonts w:hint="eastAsia"/>
                <w:spacing w:val="-20"/>
              </w:rPr>
              <w:t>256</w:t>
            </w:r>
            <w:r w:rsidRPr="00AD5362">
              <w:rPr>
                <w:spacing w:val="-20"/>
              </w:rPr>
              <w:t>,</w:t>
            </w:r>
            <w:r w:rsidRPr="00AD5362">
              <w:rPr>
                <w:rFonts w:hint="eastAsia"/>
                <w:spacing w:val="-20"/>
              </w:rPr>
              <w:t>916</w:t>
            </w:r>
          </w:p>
        </w:tc>
        <w:tc>
          <w:tcPr>
            <w:tcW w:w="1181"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spacing w:val="-20"/>
              </w:rPr>
            </w:pPr>
            <w:r w:rsidRPr="00AD5362">
              <w:rPr>
                <w:rFonts w:hint="eastAsia"/>
                <w:spacing w:val="-20"/>
              </w:rPr>
              <w:t>277</w:t>
            </w:r>
            <w:r w:rsidRPr="00AD5362">
              <w:rPr>
                <w:spacing w:val="-20"/>
              </w:rPr>
              <w:t>,</w:t>
            </w:r>
            <w:r w:rsidRPr="00AD5362">
              <w:rPr>
                <w:rFonts w:hint="eastAsia"/>
                <w:spacing w:val="-20"/>
              </w:rPr>
              <w:t>841</w:t>
            </w:r>
          </w:p>
        </w:tc>
        <w:tc>
          <w:tcPr>
            <w:tcW w:w="993"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spacing w:val="-20"/>
              </w:rPr>
            </w:pPr>
            <w:r w:rsidRPr="00AD5362">
              <w:rPr>
                <w:rFonts w:hint="eastAsia"/>
                <w:spacing w:val="-20"/>
              </w:rPr>
              <w:t>67</w:t>
            </w:r>
            <w:r w:rsidRPr="00AD5362">
              <w:rPr>
                <w:spacing w:val="-20"/>
              </w:rPr>
              <w:t>,</w:t>
            </w:r>
            <w:r w:rsidRPr="00AD5362">
              <w:rPr>
                <w:rFonts w:hint="eastAsia"/>
                <w:spacing w:val="-20"/>
              </w:rPr>
              <w:t>595</w:t>
            </w:r>
          </w:p>
        </w:tc>
        <w:tc>
          <w:tcPr>
            <w:tcW w:w="944"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466</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spacing w:val="-20"/>
              </w:rPr>
            </w:pPr>
            <w:r w:rsidRPr="00AD5362">
              <w:rPr>
                <w:rFonts w:hint="eastAsia"/>
                <w:spacing w:val="-20"/>
              </w:rPr>
              <w:t>68</w:t>
            </w:r>
            <w:r w:rsidRPr="00AD5362">
              <w:rPr>
                <w:spacing w:val="-20"/>
              </w:rPr>
              <w:t>,</w:t>
            </w:r>
            <w:r w:rsidRPr="00AD5362">
              <w:rPr>
                <w:rFonts w:hint="eastAsia"/>
                <w:spacing w:val="-20"/>
              </w:rPr>
              <w:t>061</w:t>
            </w:r>
          </w:p>
        </w:tc>
        <w:tc>
          <w:tcPr>
            <w:tcW w:w="155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24.50</w:t>
            </w:r>
          </w:p>
        </w:tc>
      </w:tr>
      <w:tr w:rsidR="00B12961" w:rsidRPr="00AD5362" w:rsidTr="00301309">
        <w:trPr>
          <w:trHeight w:val="421"/>
        </w:trPr>
        <w:tc>
          <w:tcPr>
            <w:tcW w:w="709" w:type="dxa"/>
            <w:tcBorders>
              <w:top w:val="single" w:sz="4" w:space="0" w:color="auto"/>
              <w:bottom w:val="single" w:sz="4" w:space="0" w:color="auto"/>
            </w:tcBorders>
            <w:shd w:val="clear" w:color="auto" w:fill="auto"/>
            <w:vAlign w:val="center"/>
          </w:tcPr>
          <w:p w:rsidR="00B12961" w:rsidRPr="00AD5362" w:rsidRDefault="00B12961" w:rsidP="00622298">
            <w:pPr>
              <w:pStyle w:val="142"/>
              <w:jc w:val="center"/>
              <w:rPr>
                <w:rFonts w:hint="eastAsia"/>
              </w:rPr>
            </w:pPr>
            <w:r w:rsidRPr="00AD5362">
              <w:rPr>
                <w:rFonts w:hint="eastAsia"/>
              </w:rPr>
              <w:t>111</w:t>
            </w:r>
          </w:p>
        </w:tc>
        <w:tc>
          <w:tcPr>
            <w:tcW w:w="103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209,</w:t>
            </w:r>
            <w:r w:rsidRPr="00AD5362">
              <w:rPr>
                <w:spacing w:val="-20"/>
              </w:rPr>
              <w:t>780</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3</w:t>
            </w:r>
            <w:r w:rsidRPr="00AD5362">
              <w:rPr>
                <w:spacing w:val="-20"/>
              </w:rPr>
              <w:t>74,172</w:t>
            </w:r>
          </w:p>
        </w:tc>
        <w:tc>
          <w:tcPr>
            <w:tcW w:w="1181"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5</w:t>
            </w:r>
            <w:r w:rsidRPr="00AD5362">
              <w:rPr>
                <w:spacing w:val="-20"/>
              </w:rPr>
              <w:t>83,952</w:t>
            </w:r>
          </w:p>
        </w:tc>
        <w:tc>
          <w:tcPr>
            <w:tcW w:w="993"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3</w:t>
            </w:r>
            <w:r w:rsidRPr="00AD5362">
              <w:rPr>
                <w:spacing w:val="-20"/>
              </w:rPr>
              <w:t>93,472</w:t>
            </w:r>
          </w:p>
        </w:tc>
        <w:tc>
          <w:tcPr>
            <w:tcW w:w="944"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0</w:t>
            </w:r>
          </w:p>
        </w:tc>
        <w:tc>
          <w:tcPr>
            <w:tcW w:w="1040"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3</w:t>
            </w:r>
            <w:r w:rsidRPr="00AD5362">
              <w:rPr>
                <w:spacing w:val="-20"/>
              </w:rPr>
              <w:t>93,472</w:t>
            </w:r>
          </w:p>
        </w:tc>
        <w:tc>
          <w:tcPr>
            <w:tcW w:w="1559" w:type="dxa"/>
            <w:tcBorders>
              <w:top w:val="single" w:sz="4" w:space="0" w:color="auto"/>
              <w:bottom w:val="single" w:sz="4"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6</w:t>
            </w:r>
            <w:r w:rsidRPr="00AD5362">
              <w:rPr>
                <w:spacing w:val="-20"/>
              </w:rPr>
              <w:t>7.38</w:t>
            </w:r>
          </w:p>
        </w:tc>
      </w:tr>
      <w:tr w:rsidR="00B12961" w:rsidRPr="00AD5362" w:rsidTr="00301309">
        <w:trPr>
          <w:trHeight w:val="421"/>
        </w:trPr>
        <w:tc>
          <w:tcPr>
            <w:tcW w:w="709" w:type="dxa"/>
            <w:tcBorders>
              <w:top w:val="single" w:sz="4" w:space="0" w:color="auto"/>
              <w:bottom w:val="single" w:sz="12" w:space="0" w:color="auto"/>
            </w:tcBorders>
            <w:shd w:val="clear" w:color="auto" w:fill="auto"/>
            <w:vAlign w:val="center"/>
          </w:tcPr>
          <w:p w:rsidR="00B12961" w:rsidRPr="00AD5362" w:rsidRDefault="00B12961" w:rsidP="00622298">
            <w:pPr>
              <w:pStyle w:val="142"/>
              <w:jc w:val="center"/>
              <w:rPr>
                <w:rFonts w:hint="eastAsia"/>
              </w:rPr>
            </w:pPr>
            <w:r w:rsidRPr="00AD5362">
              <w:rPr>
                <w:rFonts w:hint="eastAsia"/>
              </w:rPr>
              <w:t>112</w:t>
            </w:r>
          </w:p>
        </w:tc>
        <w:tc>
          <w:tcPr>
            <w:tcW w:w="1039"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spacing w:val="-20"/>
              </w:rPr>
              <w:t>190,480</w:t>
            </w:r>
          </w:p>
        </w:tc>
        <w:tc>
          <w:tcPr>
            <w:tcW w:w="1040"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8</w:t>
            </w:r>
            <w:r w:rsidRPr="00AD5362">
              <w:rPr>
                <w:spacing w:val="-20"/>
              </w:rPr>
              <w:t>67,995</w:t>
            </w:r>
          </w:p>
        </w:tc>
        <w:tc>
          <w:tcPr>
            <w:tcW w:w="1181"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1</w:t>
            </w:r>
            <w:r w:rsidRPr="00AD5362">
              <w:rPr>
                <w:spacing w:val="-20"/>
              </w:rPr>
              <w:t>,058,475</w:t>
            </w:r>
          </w:p>
        </w:tc>
        <w:tc>
          <w:tcPr>
            <w:tcW w:w="993"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7</w:t>
            </w:r>
            <w:r w:rsidRPr="00AD5362">
              <w:rPr>
                <w:spacing w:val="-20"/>
              </w:rPr>
              <w:t>11,568</w:t>
            </w:r>
          </w:p>
        </w:tc>
        <w:tc>
          <w:tcPr>
            <w:tcW w:w="944"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0</w:t>
            </w:r>
          </w:p>
        </w:tc>
        <w:tc>
          <w:tcPr>
            <w:tcW w:w="1040"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7</w:t>
            </w:r>
            <w:r w:rsidRPr="00AD5362">
              <w:rPr>
                <w:spacing w:val="-20"/>
              </w:rPr>
              <w:t>11,568</w:t>
            </w:r>
          </w:p>
        </w:tc>
        <w:tc>
          <w:tcPr>
            <w:tcW w:w="1559" w:type="dxa"/>
            <w:tcBorders>
              <w:top w:val="single" w:sz="4" w:space="0" w:color="auto"/>
              <w:bottom w:val="single" w:sz="12" w:space="0" w:color="auto"/>
            </w:tcBorders>
            <w:shd w:val="clear" w:color="auto" w:fill="auto"/>
            <w:vAlign w:val="center"/>
          </w:tcPr>
          <w:p w:rsidR="00B12961" w:rsidRPr="00AD5362" w:rsidRDefault="00B12961" w:rsidP="00622298">
            <w:pPr>
              <w:pStyle w:val="142"/>
              <w:jc w:val="right"/>
              <w:rPr>
                <w:rFonts w:hint="eastAsia"/>
                <w:spacing w:val="-20"/>
              </w:rPr>
            </w:pPr>
            <w:r w:rsidRPr="00AD5362">
              <w:rPr>
                <w:rFonts w:hint="eastAsia"/>
                <w:spacing w:val="-20"/>
              </w:rPr>
              <w:t>6</w:t>
            </w:r>
            <w:r w:rsidRPr="00AD5362">
              <w:rPr>
                <w:spacing w:val="-20"/>
              </w:rPr>
              <w:t>7.23</w:t>
            </w:r>
          </w:p>
        </w:tc>
      </w:tr>
    </w:tbl>
    <w:p w:rsidR="00B12961" w:rsidRPr="00AD5362" w:rsidRDefault="00B12961" w:rsidP="00622298">
      <w:pPr>
        <w:adjustRightInd w:val="0"/>
        <w:spacing w:line="280" w:lineRule="exact"/>
        <w:ind w:leftChars="0" w:left="992" w:hangingChars="408" w:hanging="992"/>
        <w:rPr>
          <w:rFonts w:hAnsi="標楷體"/>
          <w:sz w:val="24"/>
          <w:szCs w:val="24"/>
        </w:rPr>
      </w:pPr>
      <w:r w:rsidRPr="00AD5362">
        <w:rPr>
          <w:rFonts w:hAnsi="標楷體" w:hint="eastAsia"/>
          <w:sz w:val="24"/>
          <w:szCs w:val="24"/>
        </w:rPr>
        <w:t>資料來源：檔管局107-1</w:t>
      </w:r>
      <w:r w:rsidRPr="00AD5362">
        <w:rPr>
          <w:rFonts w:hAnsi="標楷體"/>
          <w:sz w:val="24"/>
          <w:szCs w:val="24"/>
        </w:rPr>
        <w:t>12</w:t>
      </w:r>
      <w:r w:rsidRPr="00AD5362">
        <w:rPr>
          <w:rFonts w:hAnsi="標楷體" w:hint="eastAsia"/>
          <w:sz w:val="24"/>
          <w:szCs w:val="24"/>
        </w:rPr>
        <w:t>年度決算書「重大計畫執行績效報告表」。</w:t>
      </w:r>
    </w:p>
    <w:p w:rsidR="00B12961" w:rsidRPr="00AD5362" w:rsidRDefault="00B12961" w:rsidP="00622298">
      <w:pPr>
        <w:ind w:left="566" w:firstLine="566"/>
      </w:pPr>
      <w:r w:rsidRPr="00AD5362">
        <w:rPr>
          <w:rFonts w:hint="eastAsia"/>
        </w:rPr>
        <w:t>綜上，檔管局1</w:t>
      </w:r>
      <w:r w:rsidRPr="00AD5362">
        <w:t>1</w:t>
      </w:r>
      <w:r w:rsidRPr="00AD5362">
        <w:rPr>
          <w:rFonts w:hint="eastAsia"/>
        </w:rPr>
        <w:t>2年度辦理</w:t>
      </w:r>
      <w:r w:rsidRPr="00AD5362">
        <w:rPr>
          <w:rFonts w:hAnsi="標楷體" w:hint="eastAsia"/>
        </w:rPr>
        <w:t>「</w:t>
      </w:r>
      <w:r w:rsidRPr="00AD5362">
        <w:rPr>
          <w:rFonts w:hint="eastAsia"/>
        </w:rPr>
        <w:t>國家檔案典藏及服務建設計畫</w:t>
      </w:r>
      <w:r w:rsidRPr="00AD5362">
        <w:rPr>
          <w:rFonts w:hAnsi="標楷體" w:hint="eastAsia"/>
        </w:rPr>
        <w:t>」</w:t>
      </w:r>
      <w:r>
        <w:rPr>
          <w:rFonts w:hint="eastAsia"/>
        </w:rPr>
        <w:t>執行</w:t>
      </w:r>
      <w:r w:rsidRPr="00AD5362">
        <w:rPr>
          <w:rFonts w:hint="eastAsia"/>
        </w:rPr>
        <w:t>數占可支用預算數未及7成，且107至111年度執行率均偏低，預算執行</w:t>
      </w:r>
      <w:r>
        <w:rPr>
          <w:rFonts w:hint="eastAsia"/>
        </w:rPr>
        <w:t>情形</w:t>
      </w:r>
      <w:r w:rsidRPr="00AD5362">
        <w:rPr>
          <w:rFonts w:hint="eastAsia"/>
        </w:rPr>
        <w:t>容有改善空間，允宜</w:t>
      </w:r>
      <w:r>
        <w:rPr>
          <w:rFonts w:hint="eastAsia"/>
        </w:rPr>
        <w:t>確實檢討</w:t>
      </w:r>
      <w:r w:rsidRPr="00AD5362">
        <w:rPr>
          <w:rFonts w:hint="eastAsia"/>
        </w:rPr>
        <w:t>並加強控管進度，俾利國家檔案館依計畫期程順利完工啟用。</w:t>
      </w:r>
    </w:p>
    <w:bookmarkEnd w:id="5"/>
    <w:p w:rsidR="00B12961" w:rsidRPr="00AD5362" w:rsidRDefault="00B12961" w:rsidP="00622298">
      <w:pPr>
        <w:pStyle w:val="ac"/>
        <w:spacing w:line="340" w:lineRule="exact"/>
        <w:ind w:left="566" w:firstLine="566"/>
        <w:rPr>
          <w:rFonts w:hint="eastAsia"/>
          <w:b/>
          <w:szCs w:val="24"/>
          <w:bdr w:val="single" w:sz="12" w:space="0" w:color="auto"/>
        </w:rPr>
      </w:pPr>
      <w:r w:rsidRPr="00AD5362">
        <w:rPr>
          <w:rFonts w:hint="eastAsia"/>
        </w:rPr>
        <w:t>（</w:t>
      </w:r>
      <w:r w:rsidRPr="00AD5362">
        <w:rPr>
          <w:rFonts w:hAnsi="標楷體" w:hint="eastAsia"/>
        </w:rPr>
        <w:t>分機：8652  廖怡絜</w:t>
      </w:r>
      <w:r w:rsidRPr="00AD5362">
        <w:rPr>
          <w:rFonts w:hint="eastAsia"/>
        </w:rPr>
        <w:t>）</w:t>
      </w:r>
    </w:p>
    <w:p w:rsidR="00B12961" w:rsidRPr="00AD5362" w:rsidRDefault="00B12961" w:rsidP="008B0B64">
      <w:pPr>
        <w:ind w:left="566" w:firstLine="566"/>
        <w:rPr>
          <w:rFonts w:hint="eastAsia"/>
          <w:bdr w:val="single" w:sz="12" w:space="0" w:color="auto"/>
        </w:rPr>
      </w:pPr>
    </w:p>
    <w:p w:rsidR="00B12961" w:rsidRPr="00AB78AB" w:rsidRDefault="00B12961" w:rsidP="00733D9D">
      <w:pPr>
        <w:pStyle w:val="14"/>
        <w:ind w:left="567" w:hanging="567"/>
        <w:rPr>
          <w:rFonts w:hAnsi="標楷體" w:hint="eastAsia"/>
        </w:rPr>
      </w:pPr>
      <w:bookmarkStart w:id="16" w:name="_Toc185254260"/>
      <w:r>
        <w:rPr>
          <w:rFonts w:hAnsi="標楷體" w:hint="eastAsia"/>
        </w:rPr>
        <w:t>參</w:t>
      </w:r>
      <w:r w:rsidRPr="00AB78AB">
        <w:rPr>
          <w:rFonts w:hAnsi="標楷體" w:hint="eastAsia"/>
        </w:rPr>
        <w:t>、</w:t>
      </w:r>
      <w:bookmarkEnd w:id="2"/>
      <w:r w:rsidRPr="00AB78AB">
        <w:rPr>
          <w:rFonts w:hAnsi="標楷體" w:hint="eastAsia"/>
        </w:rPr>
        <w:t>公平</w:t>
      </w:r>
      <w:r w:rsidRPr="00AB78AB">
        <w:rPr>
          <w:rStyle w:val="141"/>
          <w:rFonts w:hAnsi="標楷體" w:hint="eastAsia"/>
          <w:b/>
        </w:rPr>
        <w:t>交</w:t>
      </w:r>
      <w:r w:rsidRPr="00AB78AB">
        <w:rPr>
          <w:rFonts w:hAnsi="標楷體" w:hint="eastAsia"/>
        </w:rPr>
        <w:t>易委員會</w:t>
      </w:r>
      <w:bookmarkEnd w:id="3"/>
      <w:bookmarkEnd w:id="16"/>
    </w:p>
    <w:p w:rsidR="00B12961" w:rsidRPr="009342F2" w:rsidRDefault="00B12961" w:rsidP="00A77E3C">
      <w:pPr>
        <w:pStyle w:val="a8"/>
        <w:ind w:firstLine="566"/>
        <w:rPr>
          <w:rFonts w:hAnsi="標楷體" w:hint="eastAsia"/>
        </w:rPr>
      </w:pPr>
      <w:r w:rsidRPr="006704E6">
        <w:rPr>
          <w:rFonts w:hAnsi="標楷體" w:hint="eastAsia"/>
        </w:rPr>
        <w:t>公平交易委員會(以下簡稱公平會)負責公平交易法與多層次傳銷管理法等政策與法規擬定、處理公平交易相關事項、違反公平交易法與多</w:t>
      </w:r>
      <w:r w:rsidRPr="00A77E3C">
        <w:rPr>
          <w:rFonts w:hAnsi="標楷體" w:hint="eastAsia"/>
        </w:rPr>
        <w:t>層次傳銷管理法案件之調查及處分等。公平會</w:t>
      </w:r>
      <w:r w:rsidRPr="00A77E3C">
        <w:rPr>
          <w:rFonts w:hAnsi="標楷體"/>
        </w:rPr>
        <w:t>1</w:t>
      </w:r>
      <w:r>
        <w:rPr>
          <w:rFonts w:hAnsi="標楷體"/>
        </w:rPr>
        <w:t>12</w:t>
      </w:r>
      <w:r w:rsidRPr="00A77E3C">
        <w:rPr>
          <w:rFonts w:hAnsi="標楷體" w:hint="eastAsia"/>
        </w:rPr>
        <w:t>年度預算歲入1億</w:t>
      </w:r>
      <w:r>
        <w:rPr>
          <w:rFonts w:hAnsi="標楷體"/>
        </w:rPr>
        <w:t>1</w:t>
      </w:r>
      <w:r w:rsidRPr="00A77E3C">
        <w:rPr>
          <w:rFonts w:hAnsi="標楷體" w:hint="eastAsia"/>
        </w:rPr>
        <w:t>,</w:t>
      </w:r>
      <w:r>
        <w:rPr>
          <w:rFonts w:hAnsi="標楷體"/>
        </w:rPr>
        <w:t>929</w:t>
      </w:r>
      <w:r w:rsidRPr="00A77E3C">
        <w:rPr>
          <w:rFonts w:hAnsi="標楷體" w:hint="eastAsia"/>
        </w:rPr>
        <w:t>萬4千元，決算數</w:t>
      </w:r>
      <w:r>
        <w:rPr>
          <w:rFonts w:hAnsi="標楷體"/>
        </w:rPr>
        <w:t>2,489</w:t>
      </w:r>
      <w:r w:rsidRPr="00A77E3C">
        <w:rPr>
          <w:rFonts w:hAnsi="標楷體" w:hint="eastAsia"/>
        </w:rPr>
        <w:t>萬</w:t>
      </w:r>
      <w:r>
        <w:rPr>
          <w:rFonts w:hAnsi="標楷體"/>
        </w:rPr>
        <w:t>3</w:t>
      </w:r>
      <w:r w:rsidRPr="00A77E3C">
        <w:rPr>
          <w:rFonts w:hAnsi="標楷體" w:hint="eastAsia"/>
        </w:rPr>
        <w:t>千元（包括實現數</w:t>
      </w:r>
      <w:r>
        <w:rPr>
          <w:rFonts w:hAnsi="標楷體"/>
        </w:rPr>
        <w:t>2</w:t>
      </w:r>
      <w:r>
        <w:rPr>
          <w:rFonts w:hAnsi="標楷體" w:hint="eastAsia"/>
        </w:rPr>
        <w:t>,</w:t>
      </w:r>
      <w:r>
        <w:rPr>
          <w:rFonts w:hAnsi="標楷體"/>
        </w:rPr>
        <w:t>430</w:t>
      </w:r>
      <w:r w:rsidRPr="00A77E3C">
        <w:rPr>
          <w:rFonts w:hAnsi="標楷體" w:hint="eastAsia"/>
        </w:rPr>
        <w:t>萬</w:t>
      </w:r>
      <w:r>
        <w:rPr>
          <w:rFonts w:hAnsi="標楷體"/>
        </w:rPr>
        <w:t>4</w:t>
      </w:r>
      <w:r w:rsidRPr="00A77E3C">
        <w:rPr>
          <w:rFonts w:hAnsi="標楷體" w:hint="eastAsia"/>
        </w:rPr>
        <w:t>千元、應收數</w:t>
      </w:r>
      <w:r>
        <w:rPr>
          <w:rFonts w:hAnsi="標楷體"/>
        </w:rPr>
        <w:t>58</w:t>
      </w:r>
      <w:r w:rsidRPr="00A77E3C">
        <w:rPr>
          <w:rFonts w:hAnsi="標楷體" w:hint="eastAsia"/>
        </w:rPr>
        <w:t>萬</w:t>
      </w:r>
      <w:r>
        <w:rPr>
          <w:rFonts w:hAnsi="標楷體"/>
        </w:rPr>
        <w:t>9</w:t>
      </w:r>
      <w:r>
        <w:rPr>
          <w:rFonts w:hAnsi="標楷體" w:hint="eastAsia"/>
        </w:rPr>
        <w:t>千</w:t>
      </w:r>
      <w:r w:rsidRPr="00A77E3C">
        <w:rPr>
          <w:rFonts w:hAnsi="標楷體" w:hint="eastAsia"/>
        </w:rPr>
        <w:t>元），達成率</w:t>
      </w:r>
      <w:r>
        <w:rPr>
          <w:rFonts w:hAnsi="標楷體" w:hint="eastAsia"/>
        </w:rPr>
        <w:t>僅</w:t>
      </w:r>
      <w:r>
        <w:rPr>
          <w:rFonts w:hAnsi="標楷體"/>
        </w:rPr>
        <w:t>20.87</w:t>
      </w:r>
      <w:r w:rsidRPr="00A77E3C">
        <w:rPr>
          <w:rFonts w:hAnsi="標楷體" w:hint="eastAsia"/>
        </w:rPr>
        <w:t>%，主要係「罰金罰鍰」收入實際數低於預期所致。歲出預算數3億</w:t>
      </w:r>
      <w:r>
        <w:rPr>
          <w:rFonts w:hAnsi="標楷體" w:hint="eastAsia"/>
        </w:rPr>
        <w:t>4</w:t>
      </w:r>
      <w:r>
        <w:rPr>
          <w:rFonts w:hAnsi="標楷體"/>
        </w:rPr>
        <w:t>,</w:t>
      </w:r>
      <w:r>
        <w:rPr>
          <w:rFonts w:hAnsi="標楷體" w:hint="eastAsia"/>
        </w:rPr>
        <w:t>596</w:t>
      </w:r>
      <w:r w:rsidRPr="00A77E3C">
        <w:rPr>
          <w:rFonts w:hAnsi="標楷體" w:hint="eastAsia"/>
        </w:rPr>
        <w:t>萬</w:t>
      </w:r>
      <w:r>
        <w:rPr>
          <w:rFonts w:hAnsi="標楷體" w:hint="eastAsia"/>
        </w:rPr>
        <w:t>6</w:t>
      </w:r>
      <w:r w:rsidRPr="00A77E3C">
        <w:rPr>
          <w:rFonts w:hAnsi="標楷體" w:hint="eastAsia"/>
        </w:rPr>
        <w:t>千元，決算數3億</w:t>
      </w:r>
      <w:r>
        <w:rPr>
          <w:rFonts w:hAnsi="標楷體" w:hint="eastAsia"/>
        </w:rPr>
        <w:t>3</w:t>
      </w:r>
      <w:r>
        <w:rPr>
          <w:rFonts w:hAnsi="標楷體"/>
        </w:rPr>
        <w:t>,</w:t>
      </w:r>
      <w:r>
        <w:rPr>
          <w:rFonts w:hAnsi="標楷體" w:hint="eastAsia"/>
        </w:rPr>
        <w:t>071</w:t>
      </w:r>
      <w:r w:rsidRPr="00A77E3C">
        <w:rPr>
          <w:rFonts w:hAnsi="標楷體" w:hint="eastAsia"/>
        </w:rPr>
        <w:t>萬</w:t>
      </w:r>
      <w:r>
        <w:rPr>
          <w:rFonts w:hAnsi="標楷體"/>
        </w:rPr>
        <w:t>4</w:t>
      </w:r>
      <w:r w:rsidRPr="00A77E3C">
        <w:rPr>
          <w:rFonts w:hAnsi="標楷體" w:hint="eastAsia"/>
        </w:rPr>
        <w:t>千元，執行率</w:t>
      </w:r>
      <w:r>
        <w:rPr>
          <w:rFonts w:hAnsi="標楷體"/>
        </w:rPr>
        <w:t>95.</w:t>
      </w:r>
      <w:r>
        <w:rPr>
          <w:rFonts w:hAnsi="標楷體" w:hint="eastAsia"/>
        </w:rPr>
        <w:t>59</w:t>
      </w:r>
      <w:r w:rsidRPr="00A77E3C">
        <w:rPr>
          <w:rFonts w:hAnsi="標楷體" w:hint="eastAsia"/>
        </w:rPr>
        <w:t>%。謹就公平會</w:t>
      </w:r>
      <w:r>
        <w:rPr>
          <w:rFonts w:hAnsi="標楷體" w:hint="eastAsia"/>
        </w:rPr>
        <w:t>1</w:t>
      </w:r>
      <w:r>
        <w:rPr>
          <w:rFonts w:hAnsi="標楷體"/>
        </w:rPr>
        <w:t>12</w:t>
      </w:r>
      <w:r w:rsidRPr="00A77E3C">
        <w:rPr>
          <w:rFonts w:hAnsi="標楷體" w:hint="eastAsia"/>
        </w:rPr>
        <w:t>年度決算評析如下</w:t>
      </w:r>
      <w:r w:rsidRPr="009342F2">
        <w:rPr>
          <w:rFonts w:hAnsi="標楷體" w:hint="eastAsia"/>
        </w:rPr>
        <w:t xml:space="preserve">： </w:t>
      </w:r>
    </w:p>
    <w:p w:rsidR="00B12961" w:rsidRDefault="00B12961" w:rsidP="00872276">
      <w:pPr>
        <w:pStyle w:val="14"/>
        <w:ind w:left="567" w:hanging="567"/>
        <w:rPr>
          <w:rFonts w:hint="eastAsia"/>
        </w:rPr>
      </w:pPr>
      <w:bookmarkStart w:id="17" w:name="_Toc527539942"/>
      <w:bookmarkStart w:id="18" w:name="_Toc84249410"/>
      <w:bookmarkStart w:id="19" w:name="_Toc185254261"/>
      <w:r>
        <w:rPr>
          <w:rFonts w:hint="eastAsia"/>
        </w:rPr>
        <w:t>四</w:t>
      </w:r>
      <w:r w:rsidRPr="00EB2D7A">
        <w:rPr>
          <w:rFonts w:hint="eastAsia"/>
        </w:rPr>
        <w:t>、</w:t>
      </w:r>
      <w:bookmarkEnd w:id="18"/>
      <w:r w:rsidRPr="00A945A1">
        <w:rPr>
          <w:rFonts w:hint="eastAsia"/>
        </w:rPr>
        <w:t>近年物價異常波動頻仍，允宜</w:t>
      </w:r>
      <w:r>
        <w:rPr>
          <w:rFonts w:hint="eastAsia"/>
        </w:rPr>
        <w:t>持續精進</w:t>
      </w:r>
      <w:r w:rsidRPr="00A945A1">
        <w:rPr>
          <w:rFonts w:hint="eastAsia"/>
        </w:rPr>
        <w:t>調查分析方式及主動</w:t>
      </w:r>
      <w:r>
        <w:rPr>
          <w:rFonts w:hint="eastAsia"/>
        </w:rPr>
        <w:t>監</w:t>
      </w:r>
      <w:r w:rsidRPr="00A945A1">
        <w:rPr>
          <w:rFonts w:hint="eastAsia"/>
        </w:rPr>
        <w:t>測機制，</w:t>
      </w:r>
      <w:r>
        <w:rPr>
          <w:rFonts w:hint="eastAsia"/>
        </w:rPr>
        <w:t>俾</w:t>
      </w:r>
      <w:r w:rsidRPr="00A945A1">
        <w:rPr>
          <w:rFonts w:hint="eastAsia"/>
        </w:rPr>
        <w:t>維護市場競爭秩序及民眾權益</w:t>
      </w:r>
      <w:bookmarkEnd w:id="19"/>
    </w:p>
    <w:p w:rsidR="00B12961" w:rsidRDefault="00B12961" w:rsidP="00872276">
      <w:pPr>
        <w:adjustRightInd w:val="0"/>
        <w:ind w:left="566" w:firstLine="566"/>
        <w:rPr>
          <w:rFonts w:hAnsi="標楷體"/>
        </w:rPr>
      </w:pPr>
      <w:r w:rsidRPr="00872276">
        <w:rPr>
          <w:rFonts w:hAnsi="標楷體" w:hint="eastAsia"/>
        </w:rPr>
        <w:t>公平會1</w:t>
      </w:r>
      <w:r>
        <w:rPr>
          <w:rFonts w:hAnsi="標楷體" w:hint="eastAsia"/>
        </w:rPr>
        <w:t>1</w:t>
      </w:r>
      <w:r>
        <w:rPr>
          <w:rFonts w:hAnsi="標楷體"/>
        </w:rPr>
        <w:t>2</w:t>
      </w:r>
      <w:r w:rsidRPr="00872276">
        <w:rPr>
          <w:rFonts w:hAnsi="標楷體" w:hint="eastAsia"/>
        </w:rPr>
        <w:t>年度「</w:t>
      </w:r>
      <w:r w:rsidRPr="00713854">
        <w:rPr>
          <w:rFonts w:hAnsi="標楷體" w:hint="eastAsia"/>
        </w:rPr>
        <w:t>限制競爭行為調查處理</w:t>
      </w:r>
      <w:r w:rsidRPr="00872276">
        <w:rPr>
          <w:rFonts w:hAnsi="標楷體" w:hint="eastAsia"/>
        </w:rPr>
        <w:t>」計畫</w:t>
      </w:r>
      <w:r>
        <w:rPr>
          <w:rFonts w:hAnsi="標楷體" w:hint="eastAsia"/>
        </w:rPr>
        <w:t>預算數</w:t>
      </w:r>
      <w:r>
        <w:rPr>
          <w:rFonts w:hAnsi="標楷體"/>
        </w:rPr>
        <w:t>523</w:t>
      </w:r>
      <w:r w:rsidRPr="00872276">
        <w:rPr>
          <w:rFonts w:hAnsi="標楷體" w:hint="eastAsia"/>
        </w:rPr>
        <w:t>萬</w:t>
      </w:r>
      <w:r>
        <w:rPr>
          <w:rFonts w:hAnsi="標楷體"/>
        </w:rPr>
        <w:t>9</w:t>
      </w:r>
      <w:r w:rsidRPr="00872276">
        <w:rPr>
          <w:rFonts w:hAnsi="標楷體" w:hint="eastAsia"/>
        </w:rPr>
        <w:t>千元，決算數</w:t>
      </w:r>
      <w:r>
        <w:rPr>
          <w:rFonts w:hAnsi="標楷體"/>
        </w:rPr>
        <w:t>523</w:t>
      </w:r>
      <w:r w:rsidRPr="00872276">
        <w:rPr>
          <w:rFonts w:hAnsi="標楷體" w:hint="eastAsia"/>
        </w:rPr>
        <w:t>萬</w:t>
      </w:r>
      <w:r>
        <w:rPr>
          <w:rFonts w:hAnsi="標楷體"/>
        </w:rPr>
        <w:t>6</w:t>
      </w:r>
      <w:r w:rsidRPr="00872276">
        <w:rPr>
          <w:rFonts w:hAnsi="標楷體" w:hint="eastAsia"/>
        </w:rPr>
        <w:t>千元，執行率為</w:t>
      </w:r>
      <w:r>
        <w:rPr>
          <w:rFonts w:hAnsi="標楷體" w:hint="eastAsia"/>
        </w:rPr>
        <w:t>99.</w:t>
      </w:r>
      <w:r>
        <w:rPr>
          <w:rFonts w:hAnsi="標楷體"/>
        </w:rPr>
        <w:t>94</w:t>
      </w:r>
      <w:r w:rsidRPr="00872276">
        <w:rPr>
          <w:rFonts w:hAnsi="標楷體" w:hint="eastAsia"/>
        </w:rPr>
        <w:t>%</w:t>
      </w:r>
      <w:r>
        <w:rPr>
          <w:rFonts w:hAnsi="標楷體" w:hint="eastAsia"/>
        </w:rPr>
        <w:t>，該計畫主要</w:t>
      </w:r>
      <w:r w:rsidRPr="002B76C9">
        <w:rPr>
          <w:rFonts w:hAnsi="標楷體" w:hint="eastAsia"/>
        </w:rPr>
        <w:t>辦理</w:t>
      </w:r>
      <w:r>
        <w:rPr>
          <w:rFonts w:hAnsi="標楷體" w:hint="eastAsia"/>
        </w:rPr>
        <w:t>調查處理事業獨占</w:t>
      </w:r>
      <w:r w:rsidRPr="00713854">
        <w:rPr>
          <w:rFonts w:hAnsi="標楷體" w:hint="eastAsia"/>
        </w:rPr>
        <w:t>、</w:t>
      </w:r>
      <w:r>
        <w:rPr>
          <w:rFonts w:hAnsi="標楷體" w:hint="eastAsia"/>
        </w:rPr>
        <w:t>結合</w:t>
      </w:r>
      <w:r w:rsidRPr="00713854">
        <w:rPr>
          <w:rFonts w:hAnsi="標楷體" w:hint="eastAsia"/>
        </w:rPr>
        <w:t>、</w:t>
      </w:r>
      <w:r>
        <w:rPr>
          <w:rFonts w:hAnsi="標楷體" w:hint="eastAsia"/>
        </w:rPr>
        <w:t>聯合行為等限制競爭行為案件</w:t>
      </w:r>
      <w:r w:rsidRPr="00713854">
        <w:rPr>
          <w:rFonts w:hAnsi="標楷體" w:hint="eastAsia"/>
        </w:rPr>
        <w:t>、</w:t>
      </w:r>
      <w:r>
        <w:rPr>
          <w:rFonts w:hAnsi="標楷體" w:hint="eastAsia"/>
        </w:rPr>
        <w:t>掌握重要產業市場動態及建置市場公平競爭機制等業務</w:t>
      </w:r>
      <w:r w:rsidRPr="005B65DB">
        <w:rPr>
          <w:rFonts w:hAnsi="標楷體" w:hint="eastAsia"/>
        </w:rPr>
        <w:t>。</w:t>
      </w:r>
      <w:r>
        <w:rPr>
          <w:rFonts w:hAnsi="標楷體" w:hint="eastAsia"/>
        </w:rPr>
        <w:t>經查：</w:t>
      </w:r>
    </w:p>
    <w:p w:rsidR="00B12961" w:rsidRPr="000F5240" w:rsidRDefault="00B12961" w:rsidP="00711EF7">
      <w:pPr>
        <w:pStyle w:val="a4"/>
        <w:ind w:left="849" w:hanging="283"/>
        <w:rPr>
          <w:rFonts w:hAnsi="標楷體"/>
          <w:b/>
        </w:rPr>
      </w:pPr>
      <w:r w:rsidRPr="000F5240">
        <w:rPr>
          <w:rFonts w:hint="eastAsia"/>
          <w:b/>
        </w:rPr>
        <w:t>(一)</w:t>
      </w:r>
      <w:r w:rsidRPr="00A945A1">
        <w:rPr>
          <w:rFonts w:hint="eastAsia"/>
          <w:b/>
        </w:rPr>
        <w:t>112年度公平會重要民生物資價格異常波動立案調查</w:t>
      </w:r>
      <w:r>
        <w:rPr>
          <w:rFonts w:hint="eastAsia"/>
          <w:b/>
        </w:rPr>
        <w:t>情形</w:t>
      </w:r>
    </w:p>
    <w:p w:rsidR="00B12961" w:rsidRDefault="00B12961" w:rsidP="00711EF7">
      <w:pPr>
        <w:pStyle w:val="21"/>
        <w:ind w:left="850" w:firstLine="566"/>
        <w:rPr>
          <w:rFonts w:hAnsi="標楷體"/>
        </w:rPr>
      </w:pPr>
      <w:r w:rsidRPr="001F34BB">
        <w:rPr>
          <w:rFonts w:hAnsi="標楷體" w:hint="eastAsia"/>
        </w:rPr>
        <w:t>為</w:t>
      </w:r>
      <w:r>
        <w:rPr>
          <w:rFonts w:hAnsi="標楷體" w:hint="eastAsia"/>
        </w:rPr>
        <w:t>穩定民生物價，保障消費者權益，</w:t>
      </w:r>
      <w:r w:rsidRPr="001F34BB">
        <w:rPr>
          <w:rFonts w:hAnsi="標楷體" w:hint="eastAsia"/>
        </w:rPr>
        <w:t>行政院</w:t>
      </w:r>
      <w:r>
        <w:rPr>
          <w:rFonts w:hAnsi="標楷體" w:hint="eastAsia"/>
        </w:rPr>
        <w:t>自</w:t>
      </w:r>
      <w:r w:rsidRPr="001F34BB">
        <w:rPr>
          <w:rFonts w:hAnsi="標楷體" w:hint="eastAsia"/>
        </w:rPr>
        <w:t>96年</w:t>
      </w:r>
      <w:r>
        <w:rPr>
          <w:rFonts w:hAnsi="標楷體" w:hint="eastAsia"/>
        </w:rPr>
        <w:t>起</w:t>
      </w:r>
      <w:r w:rsidRPr="001F34BB">
        <w:rPr>
          <w:rFonts w:hAnsi="標楷體" w:hint="eastAsia"/>
        </w:rPr>
        <w:t>成立「穩定物價小組」，由各部會密切監視國、內外商品價格變化，定期調查國內民生商品價格，其中公平會</w:t>
      </w:r>
      <w:r>
        <w:rPr>
          <w:rFonts w:hAnsi="標楷體" w:hint="eastAsia"/>
        </w:rPr>
        <w:t>任務分工為針對各類商品及勞務價格異常案件，主動立案調查是否涉有人為操作及聯合壟斷等情形，於查獲業者設有違法行為時，依公平交易法進行裁處；公平會除參與前述</w:t>
      </w:r>
      <w:r w:rsidRPr="00AA63D5">
        <w:rPr>
          <w:rFonts w:hAnsi="標楷體" w:hint="eastAsia"/>
        </w:rPr>
        <w:t>「穩定物價小組」，</w:t>
      </w:r>
      <w:r>
        <w:rPr>
          <w:rFonts w:hAnsi="標楷體" w:hint="eastAsia"/>
        </w:rPr>
        <w:t>並</w:t>
      </w:r>
      <w:r w:rsidRPr="001F34BB">
        <w:rPr>
          <w:rFonts w:hAnsi="標楷體" w:hint="eastAsia"/>
        </w:rPr>
        <w:t>設置「防制人為操縱物價專案小組」運作，</w:t>
      </w:r>
      <w:r w:rsidRPr="00E951AA">
        <w:rPr>
          <w:rFonts w:hAnsi="標楷體" w:hint="eastAsia"/>
        </w:rPr>
        <w:t>因應春節、端午節及中秋節重要農畜產品及應節商品價格予以監測，亦就各類商品及勞務價格異常案件進行主動立案調查是否有人為操縱或聯合行為</w:t>
      </w:r>
      <w:r>
        <w:rPr>
          <w:rFonts w:hAnsi="標楷體" w:hint="eastAsia"/>
        </w:rPr>
        <w:t>。</w:t>
      </w:r>
    </w:p>
    <w:p w:rsidR="00B12961" w:rsidRPr="00C6723D" w:rsidRDefault="00B12961" w:rsidP="00711EF7">
      <w:pPr>
        <w:pStyle w:val="21"/>
        <w:ind w:left="850" w:firstLine="566"/>
        <w:rPr>
          <w:rFonts w:hint="eastAsia"/>
        </w:rPr>
      </w:pPr>
      <w:r>
        <w:rPr>
          <w:rFonts w:hAnsi="標楷體" w:hint="eastAsia"/>
        </w:rPr>
        <w:t>檢視公平會112年度</w:t>
      </w:r>
      <w:r w:rsidRPr="006B313A">
        <w:rPr>
          <w:rFonts w:hAnsi="標楷體" w:hint="eastAsia"/>
        </w:rPr>
        <w:t>依法針對盤商囤貨及哄抬價格等投機行為，或重要民生物資等價格波動異常或聯合壟斷立案調查之具體查核結果(詳表1)</w:t>
      </w:r>
      <w:r>
        <w:rPr>
          <w:rFonts w:hAnsi="標楷體" w:hint="eastAsia"/>
        </w:rPr>
        <w:t>，8件完成查處案件中，遭處分者計6件，裁罰金額共2億9</w:t>
      </w:r>
      <w:r>
        <w:rPr>
          <w:rFonts w:hAnsi="標楷體"/>
        </w:rPr>
        <w:t>,</w:t>
      </w:r>
      <w:r>
        <w:rPr>
          <w:rFonts w:hAnsi="標楷體" w:hint="eastAsia"/>
        </w:rPr>
        <w:t>210萬元</w:t>
      </w:r>
      <w:r w:rsidRPr="00A52D64">
        <w:rPr>
          <w:rFonts w:hAnsi="標楷體" w:hint="eastAsia"/>
        </w:rPr>
        <w:t>，</w:t>
      </w:r>
      <w:r>
        <w:rPr>
          <w:rFonts w:hAnsi="標楷體" w:hint="eastAsia"/>
        </w:rPr>
        <w:t>為</w:t>
      </w:r>
      <w:r w:rsidRPr="00A52D64">
        <w:rPr>
          <w:rFonts w:hAnsi="標楷體" w:hint="eastAsia"/>
        </w:rPr>
        <w:t>維護市場交易秩序與消費者權益</w:t>
      </w:r>
      <w:r>
        <w:rPr>
          <w:rFonts w:hAnsi="標楷體" w:hint="eastAsia"/>
        </w:rPr>
        <w:t>，</w:t>
      </w:r>
      <w:r w:rsidRPr="00A52D64">
        <w:rPr>
          <w:rFonts w:hAnsi="標楷體" w:hint="eastAsia"/>
        </w:rPr>
        <w:t>允宜</w:t>
      </w:r>
      <w:r>
        <w:rPr>
          <w:rFonts w:hAnsi="標楷體" w:hint="eastAsia"/>
        </w:rPr>
        <w:t>賡續檢討</w:t>
      </w:r>
      <w:r w:rsidRPr="00A52D64">
        <w:rPr>
          <w:rFonts w:hAnsi="標楷體" w:hint="eastAsia"/>
        </w:rPr>
        <w:t>加強重要原物料、民生物資價格之查處，以遏止不肖廠商合意或共同調漲物價</w:t>
      </w:r>
      <w:r>
        <w:rPr>
          <w:rFonts w:hAnsi="標楷體" w:hint="eastAsia"/>
        </w:rPr>
        <w:t>。</w:t>
      </w:r>
    </w:p>
    <w:p w:rsidR="00B12961" w:rsidRPr="006B313A" w:rsidRDefault="00B12961" w:rsidP="006B313A">
      <w:pPr>
        <w:pStyle w:val="200"/>
        <w:spacing w:line="500" w:lineRule="exact"/>
        <w:rPr>
          <w:b/>
          <w:snapToGrid/>
          <w:sz w:val="28"/>
          <w:szCs w:val="24"/>
        </w:rPr>
      </w:pPr>
      <w:r w:rsidRPr="006B313A">
        <w:rPr>
          <w:rFonts w:hint="eastAsia"/>
          <w:b/>
          <w:snapToGrid/>
          <w:sz w:val="28"/>
        </w:rPr>
        <w:t>表1  112年度公平會重要民生物資價格異常波動立案調查結果</w:t>
      </w:r>
      <w:r w:rsidRPr="006B313A">
        <w:rPr>
          <w:rFonts w:hint="eastAsia"/>
          <w:b/>
          <w:sz w:val="28"/>
        </w:rPr>
        <w:t>表</w:t>
      </w:r>
    </w:p>
    <w:tbl>
      <w:tblPr>
        <w:tblW w:w="8511"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851"/>
        <w:gridCol w:w="1134"/>
        <w:gridCol w:w="1893"/>
        <w:gridCol w:w="3544"/>
        <w:gridCol w:w="1089"/>
      </w:tblGrid>
      <w:tr w:rsidR="00B12961" w:rsidRPr="00911927" w:rsidTr="006B313A">
        <w:trPr>
          <w:tblHeader/>
        </w:trPr>
        <w:tc>
          <w:tcPr>
            <w:tcW w:w="851" w:type="dxa"/>
            <w:shd w:val="clear" w:color="auto" w:fill="auto"/>
            <w:vAlign w:val="center"/>
          </w:tcPr>
          <w:p w:rsidR="00B12961" w:rsidRPr="00911927" w:rsidRDefault="00B12961" w:rsidP="008B0B64">
            <w:pPr>
              <w:pStyle w:val="142"/>
              <w:jc w:val="center"/>
              <w:rPr>
                <w:spacing w:val="-20"/>
              </w:rPr>
            </w:pPr>
            <w:r w:rsidRPr="00911927">
              <w:rPr>
                <w:spacing w:val="-20"/>
              </w:rPr>
              <w:t>項目</w:t>
            </w:r>
          </w:p>
        </w:tc>
        <w:tc>
          <w:tcPr>
            <w:tcW w:w="1134" w:type="dxa"/>
            <w:vAlign w:val="center"/>
          </w:tcPr>
          <w:p w:rsidR="00B12961" w:rsidRPr="00911927" w:rsidRDefault="00B12961" w:rsidP="008B0B64">
            <w:pPr>
              <w:pStyle w:val="142"/>
              <w:jc w:val="center"/>
              <w:rPr>
                <w:spacing w:val="-20"/>
              </w:rPr>
            </w:pPr>
            <w:r w:rsidRPr="00911927">
              <w:rPr>
                <w:spacing w:val="-20"/>
              </w:rPr>
              <w:t>立案時間</w:t>
            </w:r>
          </w:p>
        </w:tc>
        <w:tc>
          <w:tcPr>
            <w:tcW w:w="1893" w:type="dxa"/>
            <w:shd w:val="clear" w:color="auto" w:fill="auto"/>
            <w:vAlign w:val="center"/>
          </w:tcPr>
          <w:p w:rsidR="00B12961" w:rsidRPr="00911927" w:rsidRDefault="00B12961" w:rsidP="008B0B64">
            <w:pPr>
              <w:pStyle w:val="142"/>
              <w:jc w:val="center"/>
              <w:rPr>
                <w:spacing w:val="-20"/>
              </w:rPr>
            </w:pPr>
            <w:r w:rsidRPr="00911927">
              <w:rPr>
                <w:spacing w:val="-20"/>
              </w:rPr>
              <w:t>調查重點</w:t>
            </w:r>
          </w:p>
        </w:tc>
        <w:tc>
          <w:tcPr>
            <w:tcW w:w="3544" w:type="dxa"/>
            <w:shd w:val="clear" w:color="auto" w:fill="auto"/>
            <w:vAlign w:val="center"/>
          </w:tcPr>
          <w:p w:rsidR="00B12961" w:rsidRPr="00911927" w:rsidRDefault="00B12961" w:rsidP="008B0B64">
            <w:pPr>
              <w:pStyle w:val="142"/>
              <w:jc w:val="center"/>
              <w:rPr>
                <w:spacing w:val="-20"/>
              </w:rPr>
            </w:pPr>
            <w:r w:rsidRPr="00911927">
              <w:rPr>
                <w:spacing w:val="-20"/>
              </w:rPr>
              <w:t>結案時間與調查結果</w:t>
            </w:r>
          </w:p>
        </w:tc>
        <w:tc>
          <w:tcPr>
            <w:tcW w:w="1089" w:type="dxa"/>
            <w:vAlign w:val="center"/>
          </w:tcPr>
          <w:p w:rsidR="00B12961" w:rsidRDefault="00B12961" w:rsidP="008B0B64">
            <w:pPr>
              <w:pStyle w:val="142"/>
              <w:jc w:val="center"/>
              <w:rPr>
                <w:spacing w:val="-20"/>
              </w:rPr>
            </w:pPr>
            <w:r w:rsidRPr="00911927">
              <w:rPr>
                <w:spacing w:val="-20"/>
              </w:rPr>
              <w:t>裁處</w:t>
            </w:r>
          </w:p>
          <w:p w:rsidR="00B12961" w:rsidRPr="00911927" w:rsidRDefault="00B12961" w:rsidP="008B0B64">
            <w:pPr>
              <w:pStyle w:val="142"/>
              <w:jc w:val="center"/>
              <w:rPr>
                <w:spacing w:val="-20"/>
              </w:rPr>
            </w:pPr>
            <w:r w:rsidRPr="00911927">
              <w:rPr>
                <w:spacing w:val="-20"/>
              </w:rPr>
              <w:t>金額</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預拌</w:t>
            </w:r>
          </w:p>
          <w:p w:rsidR="00B12961" w:rsidRPr="00911927" w:rsidRDefault="00B12961" w:rsidP="008B0B64">
            <w:pPr>
              <w:pStyle w:val="142"/>
              <w:jc w:val="center"/>
              <w:rPr>
                <w:spacing w:val="-20"/>
              </w:rPr>
            </w:pPr>
            <w:r w:rsidRPr="00911927">
              <w:rPr>
                <w:spacing w:val="-20"/>
              </w:rPr>
              <w:t>混凝土</w:t>
            </w:r>
          </w:p>
        </w:tc>
        <w:tc>
          <w:tcPr>
            <w:tcW w:w="1134" w:type="dxa"/>
            <w:vAlign w:val="center"/>
          </w:tcPr>
          <w:p w:rsidR="00B12961" w:rsidRPr="00911927" w:rsidRDefault="00B12961" w:rsidP="008B0B64">
            <w:pPr>
              <w:pStyle w:val="142"/>
              <w:jc w:val="center"/>
              <w:rPr>
                <w:spacing w:val="-20"/>
              </w:rPr>
            </w:pPr>
            <w:r w:rsidRPr="00911927">
              <w:rPr>
                <w:spacing w:val="-20"/>
              </w:rPr>
              <w:t>109.4.10</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北部預拌混凝土業者調價行為是否涉及聯合行為。</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t>112.2.15臺灣水泥公司、國產建材公司、亞東預拌混凝土公司等3家全國性業者及桃園市15家區域性業者，合意分配桃園市預拌混凝土交易對象及避免相互競爭，足以影響桃園市預拌混凝土供需之市場功能，違反公平交易法第15條第1項規定</w:t>
            </w:r>
            <w:r w:rsidRPr="00911927">
              <w:rPr>
                <w:spacing w:val="-20"/>
              </w:rPr>
              <w:t>。</w:t>
            </w:r>
          </w:p>
        </w:tc>
        <w:tc>
          <w:tcPr>
            <w:tcW w:w="1089" w:type="dxa"/>
            <w:vAlign w:val="center"/>
          </w:tcPr>
          <w:p w:rsidR="00B12961" w:rsidRPr="00911927"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2</w:t>
            </w:r>
            <w:r>
              <w:rPr>
                <w:rFonts w:hint="eastAsia"/>
                <w:spacing w:val="-20"/>
              </w:rPr>
              <w:t>億</w:t>
            </w:r>
            <w:r w:rsidRPr="00911927">
              <w:rPr>
                <w:spacing w:val="-20"/>
              </w:rPr>
              <w:t>1</w:t>
            </w:r>
            <w:r w:rsidRPr="00911927">
              <w:rPr>
                <w:rFonts w:hint="eastAsia"/>
                <w:spacing w:val="-20"/>
              </w:rPr>
              <w:t>,</w:t>
            </w:r>
            <w:r w:rsidRPr="00911927">
              <w:rPr>
                <w:spacing w:val="-20"/>
              </w:rPr>
              <w:t>310</w:t>
            </w:r>
            <w:r>
              <w:rPr>
                <w:rFonts w:hint="eastAsia"/>
                <w:spacing w:val="-20"/>
              </w:rPr>
              <w:t>萬元</w:t>
            </w:r>
          </w:p>
        </w:tc>
      </w:tr>
      <w:tr w:rsidR="00B12961" w:rsidRPr="00911927" w:rsidTr="006B313A">
        <w:tc>
          <w:tcPr>
            <w:tcW w:w="851" w:type="dxa"/>
            <w:vAlign w:val="center"/>
          </w:tcPr>
          <w:p w:rsidR="00B12961" w:rsidRPr="00911927" w:rsidRDefault="00B12961" w:rsidP="008B0B64">
            <w:pPr>
              <w:pStyle w:val="142"/>
              <w:jc w:val="center"/>
              <w:rPr>
                <w:spacing w:val="-20"/>
              </w:rPr>
            </w:pPr>
            <w:r w:rsidRPr="00911927">
              <w:rPr>
                <w:spacing w:val="-20"/>
              </w:rPr>
              <w:t>豬血</w:t>
            </w:r>
          </w:p>
        </w:tc>
        <w:tc>
          <w:tcPr>
            <w:tcW w:w="1134" w:type="dxa"/>
            <w:vAlign w:val="center"/>
          </w:tcPr>
          <w:p w:rsidR="00B12961" w:rsidRPr="00911927" w:rsidRDefault="00B12961" w:rsidP="008B0B64">
            <w:pPr>
              <w:pStyle w:val="142"/>
              <w:jc w:val="center"/>
              <w:rPr>
                <w:spacing w:val="-20"/>
              </w:rPr>
            </w:pPr>
            <w:r w:rsidRPr="00911927">
              <w:rPr>
                <w:spacing w:val="-20"/>
              </w:rPr>
              <w:t>111.11.1</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北部地區豬血食品業者調價行為是否涉及聯合行為。</w:t>
            </w:r>
          </w:p>
        </w:tc>
        <w:tc>
          <w:tcPr>
            <w:tcW w:w="3544" w:type="dxa"/>
            <w:shd w:val="clear" w:color="auto" w:fill="auto"/>
          </w:tcPr>
          <w:p w:rsidR="00B12961" w:rsidRPr="00911927" w:rsidRDefault="00B12961" w:rsidP="008B0B64">
            <w:pPr>
              <w:pStyle w:val="142"/>
              <w:jc w:val="both"/>
              <w:rPr>
                <w:spacing w:val="-20"/>
              </w:rPr>
            </w:pPr>
            <w:r w:rsidRPr="00911927">
              <w:rPr>
                <w:spacing w:val="-20"/>
              </w:rPr>
              <w:t>112.3.8彭勝公司及得意公司，合意調漲豬血食品價格，足以影響北部地區豬血食品市場之供需功能，違反公平交易法第15條第1項規定。</w:t>
            </w:r>
          </w:p>
        </w:tc>
        <w:tc>
          <w:tcPr>
            <w:tcW w:w="1089" w:type="dxa"/>
            <w:vAlign w:val="center"/>
          </w:tcPr>
          <w:p w:rsidR="00B12961" w:rsidRPr="00911927" w:rsidRDefault="00B12961" w:rsidP="008B0B64">
            <w:pPr>
              <w:pStyle w:val="142"/>
              <w:jc w:val="center"/>
              <w:rPr>
                <w:spacing w:val="-20"/>
              </w:rPr>
            </w:pPr>
            <w:r w:rsidRPr="00911927">
              <w:rPr>
                <w:rFonts w:hint="eastAsia"/>
                <w:spacing w:val="-20"/>
              </w:rPr>
              <w:t>處分</w:t>
            </w:r>
          </w:p>
          <w:p w:rsidR="00B12961" w:rsidRPr="00911927" w:rsidRDefault="00B12961" w:rsidP="008B0B64">
            <w:pPr>
              <w:pStyle w:val="142"/>
              <w:jc w:val="center"/>
              <w:rPr>
                <w:spacing w:val="-20"/>
              </w:rPr>
            </w:pPr>
            <w:r w:rsidRPr="00911927">
              <w:rPr>
                <w:spacing w:val="-20"/>
              </w:rPr>
              <w:t>20</w:t>
            </w:r>
            <w:r>
              <w:rPr>
                <w:rFonts w:hint="eastAsia"/>
                <w:spacing w:val="-20"/>
              </w:rPr>
              <w:t>萬元</w:t>
            </w:r>
          </w:p>
        </w:tc>
      </w:tr>
      <w:tr w:rsidR="00B12961" w:rsidRPr="00911927" w:rsidTr="00EF1BDC">
        <w:tc>
          <w:tcPr>
            <w:tcW w:w="851" w:type="dxa"/>
            <w:vAlign w:val="center"/>
          </w:tcPr>
          <w:p w:rsidR="00B12961" w:rsidRPr="00911927" w:rsidRDefault="00B12961" w:rsidP="008B0B64">
            <w:pPr>
              <w:pStyle w:val="142"/>
              <w:jc w:val="center"/>
              <w:rPr>
                <w:spacing w:val="-20"/>
              </w:rPr>
            </w:pPr>
            <w:r w:rsidRPr="00911927">
              <w:rPr>
                <w:spacing w:val="-20"/>
              </w:rPr>
              <w:t>液化石油氣</w:t>
            </w:r>
            <w:r w:rsidRPr="00911927">
              <w:rPr>
                <w:rFonts w:hint="eastAsia"/>
                <w:spacing w:val="-20"/>
              </w:rPr>
              <w:t>(</w:t>
            </w:r>
            <w:r w:rsidRPr="00911927">
              <w:rPr>
                <w:spacing w:val="-20"/>
              </w:rPr>
              <w:t>桶裝瓦斯</w:t>
            </w:r>
            <w:r w:rsidRPr="00911927">
              <w:rPr>
                <w:rFonts w:hint="eastAsia"/>
                <w:spacing w:val="-20"/>
              </w:rPr>
              <w:t>)</w:t>
            </w:r>
          </w:p>
        </w:tc>
        <w:tc>
          <w:tcPr>
            <w:tcW w:w="1134" w:type="dxa"/>
            <w:vAlign w:val="center"/>
          </w:tcPr>
          <w:p w:rsidR="00B12961" w:rsidRPr="00911927" w:rsidRDefault="00B12961" w:rsidP="008B0B64">
            <w:pPr>
              <w:pStyle w:val="142"/>
              <w:jc w:val="center"/>
              <w:rPr>
                <w:spacing w:val="-20"/>
              </w:rPr>
            </w:pPr>
            <w:r w:rsidRPr="00911927">
              <w:rPr>
                <w:spacing w:val="-20"/>
              </w:rPr>
              <w:t>111.2.14</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高屏地區液化石油氣分裝場業者是否涉及聯合行為。</w:t>
            </w:r>
          </w:p>
        </w:tc>
        <w:tc>
          <w:tcPr>
            <w:tcW w:w="3544" w:type="dxa"/>
            <w:shd w:val="clear" w:color="auto" w:fill="auto"/>
            <w:vAlign w:val="center"/>
          </w:tcPr>
          <w:p w:rsidR="00B12961" w:rsidRPr="00911927" w:rsidRDefault="00B12961" w:rsidP="008B0B64">
            <w:pPr>
              <w:pStyle w:val="142"/>
              <w:jc w:val="both"/>
              <w:rPr>
                <w:spacing w:val="-20"/>
              </w:rPr>
            </w:pPr>
            <w:r w:rsidRPr="00911927">
              <w:rPr>
                <w:spacing w:val="-20"/>
              </w:rPr>
              <w:t>112.6.20依現有事證，尚難認有違反公平交易法規定之情事。</w:t>
            </w:r>
          </w:p>
        </w:tc>
        <w:tc>
          <w:tcPr>
            <w:tcW w:w="1089" w:type="dxa"/>
            <w:vAlign w:val="center"/>
          </w:tcPr>
          <w:p w:rsidR="00B12961" w:rsidRPr="00911927" w:rsidRDefault="00B12961" w:rsidP="008B0B64">
            <w:pPr>
              <w:pStyle w:val="142"/>
              <w:jc w:val="center"/>
              <w:rPr>
                <w:spacing w:val="-20"/>
              </w:rPr>
            </w:pPr>
            <w:r w:rsidRPr="00911927">
              <w:rPr>
                <w:spacing w:val="-20"/>
              </w:rPr>
              <w:t>不處分</w:t>
            </w:r>
          </w:p>
        </w:tc>
      </w:tr>
      <w:tr w:rsidR="00B12961" w:rsidRPr="00911927" w:rsidTr="00EF1BDC">
        <w:tc>
          <w:tcPr>
            <w:tcW w:w="851" w:type="dxa"/>
            <w:vAlign w:val="center"/>
          </w:tcPr>
          <w:p w:rsidR="00B12961" w:rsidRPr="00911927" w:rsidRDefault="00B12961" w:rsidP="008B0B64">
            <w:pPr>
              <w:pStyle w:val="142"/>
              <w:jc w:val="center"/>
              <w:rPr>
                <w:spacing w:val="-20"/>
              </w:rPr>
            </w:pPr>
            <w:r w:rsidRPr="00911927">
              <w:rPr>
                <w:spacing w:val="-20"/>
              </w:rPr>
              <w:t>輪胎</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111.3.11</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rFonts w:hint="eastAsia"/>
                <w:spacing w:val="-20"/>
              </w:rPr>
              <w:t>國內輪胎業者聯合調漲輪胎價格，涉及違反公平交易法案</w:t>
            </w:r>
            <w:r w:rsidRPr="00911927">
              <w:rPr>
                <w:spacing w:val="-20"/>
              </w:rPr>
              <w:t>。</w:t>
            </w:r>
          </w:p>
        </w:tc>
        <w:tc>
          <w:tcPr>
            <w:tcW w:w="3544" w:type="dxa"/>
            <w:shd w:val="clear" w:color="auto" w:fill="auto"/>
            <w:vAlign w:val="center"/>
          </w:tcPr>
          <w:p w:rsidR="00B12961" w:rsidRPr="00911927" w:rsidRDefault="00B12961" w:rsidP="008B0B64">
            <w:pPr>
              <w:pStyle w:val="142"/>
              <w:jc w:val="both"/>
              <w:rPr>
                <w:spacing w:val="-20"/>
              </w:rPr>
            </w:pPr>
            <w:r w:rsidRPr="00911927">
              <w:rPr>
                <w:spacing w:val="-20"/>
              </w:rPr>
              <w:t>112.8.16依現有事證，尚難認有違反公平交易法規定之情事。</w:t>
            </w:r>
          </w:p>
        </w:tc>
        <w:tc>
          <w:tcPr>
            <w:tcW w:w="1089" w:type="dxa"/>
            <w:vAlign w:val="center"/>
          </w:tcPr>
          <w:p w:rsidR="00B12961" w:rsidRPr="00911927" w:rsidRDefault="00B12961" w:rsidP="008B0B64">
            <w:pPr>
              <w:pStyle w:val="142"/>
              <w:jc w:val="center"/>
              <w:rPr>
                <w:spacing w:val="-20"/>
              </w:rPr>
            </w:pPr>
            <w:r w:rsidRPr="00911927">
              <w:rPr>
                <w:spacing w:val="-20"/>
              </w:rPr>
              <w:t>不處分</w:t>
            </w:r>
          </w:p>
        </w:tc>
      </w:tr>
      <w:tr w:rsidR="00B12961" w:rsidRPr="00911927" w:rsidTr="006B313A">
        <w:tc>
          <w:tcPr>
            <w:tcW w:w="851" w:type="dxa"/>
            <w:vAlign w:val="center"/>
          </w:tcPr>
          <w:p w:rsidR="00B12961" w:rsidRPr="00911927" w:rsidRDefault="00B12961" w:rsidP="008B0B64">
            <w:pPr>
              <w:pStyle w:val="142"/>
              <w:jc w:val="center"/>
              <w:rPr>
                <w:spacing w:val="-20"/>
              </w:rPr>
            </w:pPr>
            <w:r w:rsidRPr="00911927">
              <w:rPr>
                <w:spacing w:val="-20"/>
              </w:rPr>
              <w:t>通話費</w:t>
            </w:r>
          </w:p>
        </w:tc>
        <w:tc>
          <w:tcPr>
            <w:tcW w:w="1134" w:type="dxa"/>
            <w:vAlign w:val="center"/>
          </w:tcPr>
          <w:p w:rsidR="00B12961" w:rsidRPr="00911927" w:rsidRDefault="00B12961" w:rsidP="008B0B64">
            <w:pPr>
              <w:pStyle w:val="142"/>
              <w:jc w:val="center"/>
              <w:rPr>
                <w:spacing w:val="-20"/>
              </w:rPr>
            </w:pPr>
            <w:r w:rsidRPr="00911927">
              <w:rPr>
                <w:spacing w:val="-20"/>
              </w:rPr>
              <w:t>111.2.15</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spacing w:val="-20"/>
              </w:rPr>
              <w:t>中華電信股份有限公司與台灣大哥大股份有限公司聯合停止實施手機購機方案，涉及違反公平交易法案。</w:t>
            </w:r>
          </w:p>
        </w:tc>
        <w:tc>
          <w:tcPr>
            <w:tcW w:w="3544" w:type="dxa"/>
            <w:shd w:val="clear" w:color="auto" w:fill="auto"/>
          </w:tcPr>
          <w:p w:rsidR="00B12961" w:rsidRPr="00911927" w:rsidRDefault="00B12961" w:rsidP="008B0B64">
            <w:pPr>
              <w:pStyle w:val="142"/>
              <w:jc w:val="both"/>
              <w:rPr>
                <w:spacing w:val="-20"/>
              </w:rPr>
            </w:pPr>
            <w:r w:rsidRPr="00911927">
              <w:rPr>
                <w:spacing w:val="-20"/>
              </w:rPr>
              <w:t>112.9.6中華電信公司與台哥大公司於107年10月就「行動寬頻4G不降速優惠專案（699H或699型）」、「新精選購機方案（月繳699元）」方案，聯合取消通話費優惠，且足以影響相關市場之供需功能，違反公平交易法第15條第1項規定。</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7</w:t>
            </w:r>
            <w:r w:rsidRPr="00911927">
              <w:rPr>
                <w:rFonts w:hint="eastAsia"/>
                <w:spacing w:val="-20"/>
              </w:rPr>
              <w:t>,</w:t>
            </w:r>
            <w:r w:rsidRPr="00911927">
              <w:rPr>
                <w:spacing w:val="-20"/>
              </w:rPr>
              <w:t>600</w:t>
            </w:r>
            <w:r>
              <w:rPr>
                <w:rFonts w:hint="eastAsia"/>
                <w:spacing w:val="-20"/>
              </w:rPr>
              <w:t>萬元</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熱浸</w:t>
            </w:r>
          </w:p>
          <w:p w:rsidR="00B12961" w:rsidRPr="00911927" w:rsidRDefault="00B12961" w:rsidP="008B0B64">
            <w:pPr>
              <w:pStyle w:val="142"/>
              <w:jc w:val="center"/>
              <w:rPr>
                <w:spacing w:val="-20"/>
              </w:rPr>
            </w:pPr>
            <w:r w:rsidRPr="00911927">
              <w:rPr>
                <w:spacing w:val="-20"/>
              </w:rPr>
              <w:t>鍍鋅</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111.8.17</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rFonts w:hint="eastAsia"/>
                <w:spacing w:val="-20"/>
              </w:rPr>
              <w:t>中華民國熱浸鍍鋅協會訂定統一收費標準是否涉及聯合行為</w:t>
            </w:r>
            <w:r w:rsidRPr="00911927">
              <w:rPr>
                <w:spacing w:val="-20"/>
              </w:rPr>
              <w:t>。</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t>112.9.30中華民國熱浸鍍鋅協會製作「熱浸鍍鋅加工建議價格表」，並於每季「熱浸鍍鋅雜誌」上刊載、發送所屬會員知悉，違反公平交易法第15條第1項規定</w:t>
            </w:r>
            <w:r w:rsidRPr="00911927">
              <w:rPr>
                <w:spacing w:val="-20"/>
              </w:rPr>
              <w:t>。</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10</w:t>
            </w:r>
            <w:r>
              <w:rPr>
                <w:rFonts w:hint="eastAsia"/>
                <w:spacing w:val="-20"/>
              </w:rPr>
              <w:t>萬元</w:t>
            </w:r>
          </w:p>
        </w:tc>
      </w:tr>
      <w:tr w:rsidR="00B12961" w:rsidRPr="00911927" w:rsidTr="00EF1BDC">
        <w:tc>
          <w:tcPr>
            <w:tcW w:w="851" w:type="dxa"/>
            <w:vAlign w:val="center"/>
          </w:tcPr>
          <w:p w:rsidR="00B12961" w:rsidRDefault="00B12961" w:rsidP="008B0B64">
            <w:pPr>
              <w:pStyle w:val="142"/>
              <w:jc w:val="center"/>
              <w:rPr>
                <w:spacing w:val="-20"/>
              </w:rPr>
            </w:pPr>
            <w:r w:rsidRPr="00911927">
              <w:rPr>
                <w:rFonts w:hint="eastAsia"/>
                <w:spacing w:val="-20"/>
              </w:rPr>
              <w:t>醫院</w:t>
            </w:r>
          </w:p>
          <w:p w:rsidR="00B12961" w:rsidRPr="00911927" w:rsidRDefault="00B12961" w:rsidP="008B0B64">
            <w:pPr>
              <w:pStyle w:val="142"/>
              <w:jc w:val="center"/>
              <w:rPr>
                <w:spacing w:val="-20"/>
              </w:rPr>
            </w:pPr>
            <w:r w:rsidRPr="00911927">
              <w:rPr>
                <w:rFonts w:hint="eastAsia"/>
                <w:spacing w:val="-20"/>
              </w:rPr>
              <w:t>掛號費</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111.9.30</w:t>
            </w:r>
          </w:p>
        </w:tc>
        <w:tc>
          <w:tcPr>
            <w:tcW w:w="1893" w:type="dxa"/>
            <w:shd w:val="clear" w:color="auto" w:fill="auto"/>
            <w:vAlign w:val="center"/>
          </w:tcPr>
          <w:p w:rsidR="00B12961" w:rsidRPr="00911927" w:rsidRDefault="00B12961" w:rsidP="008B0B64">
            <w:pPr>
              <w:pStyle w:val="142"/>
              <w:jc w:val="both"/>
              <w:rPr>
                <w:spacing w:val="-20"/>
              </w:rPr>
            </w:pPr>
            <w:r w:rsidRPr="006B313A">
              <w:rPr>
                <w:rFonts w:hint="eastAsia"/>
                <w:b/>
                <w:spacing w:val="-20"/>
              </w:rPr>
              <w:t>民眾檢舉</w:t>
            </w:r>
            <w:r w:rsidRPr="00911927">
              <w:rPr>
                <w:rFonts w:hint="eastAsia"/>
                <w:spacing w:val="-20"/>
              </w:rPr>
              <w:t>桃園市楊梅區怡仁綜合醫院及天成醫院聯合調漲掛號費，違反公平交易法案</w:t>
            </w:r>
            <w:r w:rsidRPr="00911927">
              <w:rPr>
                <w:spacing w:val="-20"/>
              </w:rPr>
              <w:t>。</w:t>
            </w:r>
          </w:p>
        </w:tc>
        <w:tc>
          <w:tcPr>
            <w:tcW w:w="3544" w:type="dxa"/>
            <w:shd w:val="clear" w:color="auto" w:fill="auto"/>
            <w:vAlign w:val="center"/>
          </w:tcPr>
          <w:p w:rsidR="00B12961" w:rsidRPr="00911927" w:rsidRDefault="00B12961" w:rsidP="008B0B64">
            <w:pPr>
              <w:pStyle w:val="142"/>
              <w:jc w:val="both"/>
              <w:rPr>
                <w:spacing w:val="-20"/>
              </w:rPr>
            </w:pPr>
            <w:r w:rsidRPr="00911927">
              <w:rPr>
                <w:rFonts w:hint="eastAsia"/>
                <w:spacing w:val="-20"/>
              </w:rPr>
              <w:t>112.11.17怡仁綜合醫院</w:t>
            </w:r>
            <w:r w:rsidRPr="00911927">
              <w:rPr>
                <w:spacing w:val="-20"/>
              </w:rPr>
              <w:t>等</w:t>
            </w:r>
            <w:r w:rsidRPr="00911927">
              <w:rPr>
                <w:rFonts w:hint="eastAsia"/>
                <w:spacing w:val="-20"/>
              </w:rPr>
              <w:t>2</w:t>
            </w:r>
            <w:r w:rsidRPr="00911927">
              <w:rPr>
                <w:spacing w:val="-20"/>
              </w:rPr>
              <w:t>家業者合意</w:t>
            </w:r>
            <w:r w:rsidRPr="00911927">
              <w:rPr>
                <w:rFonts w:hint="eastAsia"/>
                <w:spacing w:val="-20"/>
              </w:rPr>
              <w:t>共同調漲急診掛號費及門診掛號費，違反公平交易法第15條第1項規定。</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Pr>
                <w:rFonts w:hint="eastAsia"/>
                <w:spacing w:val="-20"/>
              </w:rPr>
              <w:t>1</w:t>
            </w:r>
            <w:r w:rsidRPr="00911927">
              <w:rPr>
                <w:rFonts w:hint="eastAsia"/>
                <w:spacing w:val="-20"/>
              </w:rPr>
              <w:t>60</w:t>
            </w:r>
            <w:r>
              <w:rPr>
                <w:rFonts w:hint="eastAsia"/>
                <w:spacing w:val="-20"/>
              </w:rPr>
              <w:t>萬元</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醫用</w:t>
            </w:r>
          </w:p>
          <w:p w:rsidR="00B12961" w:rsidRPr="00911927" w:rsidRDefault="00B12961" w:rsidP="008B0B64">
            <w:pPr>
              <w:pStyle w:val="142"/>
              <w:jc w:val="center"/>
              <w:rPr>
                <w:spacing w:val="-20"/>
              </w:rPr>
            </w:pPr>
            <w:r w:rsidRPr="00911927">
              <w:rPr>
                <w:spacing w:val="-20"/>
              </w:rPr>
              <w:t>氧氣</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112.2.23</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spacing w:val="-20"/>
              </w:rPr>
              <w:t>醫用氧氣業者調漲氣態醫用氧價格，</w:t>
            </w:r>
            <w:r w:rsidRPr="00911927">
              <w:rPr>
                <w:rFonts w:hint="eastAsia"/>
                <w:spacing w:val="-20"/>
              </w:rPr>
              <w:t>違反公平交易法案</w:t>
            </w:r>
            <w:r w:rsidRPr="00911927">
              <w:rPr>
                <w:spacing w:val="-20"/>
              </w:rPr>
              <w:t>。</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t>112.11.22台大氣體公司及臺北氧氣公司於111年8月至10月合意調漲氣態醫用氧價格，足以影響市場供需功能，違反公平交易法第15條第1項規定</w:t>
            </w:r>
            <w:r w:rsidRPr="00911927">
              <w:rPr>
                <w:spacing w:val="-20"/>
              </w:rPr>
              <w:t>。</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110</w:t>
            </w:r>
            <w:r>
              <w:rPr>
                <w:rFonts w:hint="eastAsia"/>
                <w:spacing w:val="-20"/>
              </w:rPr>
              <w:t>萬元</w:t>
            </w:r>
          </w:p>
        </w:tc>
      </w:tr>
    </w:tbl>
    <w:p w:rsidR="00B12961" w:rsidRDefault="00B12961" w:rsidP="00CE13D1">
      <w:pPr>
        <w:pStyle w:val="142"/>
        <w:ind w:left="1216" w:hangingChars="500" w:hanging="1216"/>
        <w:rPr>
          <w:color w:val="0000FF"/>
        </w:rPr>
      </w:pPr>
      <w:r w:rsidRPr="003C7FED">
        <w:rPr>
          <w:rFonts w:hint="eastAsia"/>
        </w:rPr>
        <w:t>資料來源</w:t>
      </w:r>
      <w:r>
        <w:rPr>
          <w:rFonts w:hint="eastAsia"/>
        </w:rPr>
        <w:t>：</w:t>
      </w:r>
      <w:r w:rsidRPr="003C7FED">
        <w:rPr>
          <w:rFonts w:hint="eastAsia"/>
        </w:rPr>
        <w:t>公平會提供</w:t>
      </w:r>
      <w:r w:rsidRPr="006C7313">
        <w:rPr>
          <w:rFonts w:hint="eastAsia"/>
        </w:rPr>
        <w:t>。</w:t>
      </w:r>
    </w:p>
    <w:p w:rsidR="00B12961" w:rsidRPr="000F5240" w:rsidRDefault="00B12961" w:rsidP="00F92E29">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Ansi="標楷體" w:hint="eastAsia"/>
          <w:b/>
        </w:rPr>
        <w:t>為維護市場競爭秩序及確保消費者權益，允宜</w:t>
      </w:r>
      <w:r w:rsidRPr="00A945A1">
        <w:rPr>
          <w:rFonts w:hAnsi="標楷體" w:hint="eastAsia"/>
          <w:b/>
        </w:rPr>
        <w:t>持續</w:t>
      </w:r>
      <w:r>
        <w:rPr>
          <w:rFonts w:hAnsi="標楷體" w:hint="eastAsia"/>
          <w:b/>
        </w:rPr>
        <w:t>精進物價異常波動調查分析及監測機制</w:t>
      </w:r>
    </w:p>
    <w:p w:rsidR="00B12961" w:rsidRDefault="00B12961" w:rsidP="00F92E29">
      <w:pPr>
        <w:pStyle w:val="21"/>
        <w:ind w:left="850" w:firstLine="566"/>
        <w:rPr>
          <w:rFonts w:hAnsi="標楷體"/>
        </w:rPr>
      </w:pPr>
      <w:r w:rsidRPr="00E9410E">
        <w:rPr>
          <w:rFonts w:hAnsi="標楷體" w:hint="eastAsia"/>
        </w:rPr>
        <w:t>本院對於</w:t>
      </w:r>
      <w:r>
        <w:rPr>
          <w:rFonts w:hAnsi="標楷體" w:hint="eastAsia"/>
        </w:rPr>
        <w:t>近年</w:t>
      </w:r>
      <w:r w:rsidRPr="00E9410E">
        <w:rPr>
          <w:rFonts w:hAnsi="標楷體" w:hint="eastAsia"/>
        </w:rPr>
        <w:t>各項民生物資價格持續高漲問題，</w:t>
      </w:r>
      <w:r w:rsidRPr="00E552A4">
        <w:rPr>
          <w:rFonts w:hAnsi="標楷體" w:hint="eastAsia"/>
        </w:rPr>
        <w:t>作有多項決議事項，建議公平會加強調查，舉例</w:t>
      </w:r>
      <w:r>
        <w:rPr>
          <w:rFonts w:hAnsi="標楷體" w:hint="eastAsia"/>
        </w:rPr>
        <w:t>112年度部分決議事項</w:t>
      </w:r>
      <w:r w:rsidRPr="00E552A4">
        <w:rPr>
          <w:rFonts w:hAnsi="標楷體" w:hint="eastAsia"/>
        </w:rPr>
        <w:t>如下：</w:t>
      </w:r>
    </w:p>
    <w:p w:rsidR="00B12961" w:rsidRDefault="00B12961" w:rsidP="00820BD3">
      <w:pPr>
        <w:pStyle w:val="123"/>
        <w:ind w:left="1133" w:hanging="283"/>
        <w:rPr>
          <w:rFonts w:hAnsi="標楷體"/>
          <w:snapToGrid/>
        </w:rPr>
      </w:pPr>
      <w:r>
        <w:rPr>
          <w:rFonts w:hAnsi="標楷體" w:hint="eastAsia"/>
          <w:snapToGrid/>
        </w:rPr>
        <w:t>1.</w:t>
      </w:r>
      <w:r w:rsidRPr="00F325BA">
        <w:rPr>
          <w:rFonts w:hAnsi="標楷體" w:hint="eastAsia"/>
          <w:snapToGrid/>
        </w:rPr>
        <w:t>(十七)有鑑於公平交易委員會工作計畫包括配合行政院「穩定物價小組」掌握重要民生物資市場供需概況，尤其是應景重要農畜產品價格監測等，</w:t>
      </w:r>
      <w:r>
        <w:rPr>
          <w:rFonts w:hAnsi="標楷體" w:hint="eastAsia"/>
          <w:snapToGrid/>
        </w:rPr>
        <w:t>須派員訪查</w:t>
      </w:r>
      <w:r w:rsidRPr="00F325BA">
        <w:rPr>
          <w:rFonts w:hAnsi="標楷體" w:hint="eastAsia"/>
          <w:snapToGrid/>
        </w:rPr>
        <w:t>掌握商品價格變動情形，惟查公平會人力有限，歷年來國內消費市場各項民生物資價格高漲問題仍有諸多未能如實反映，恐影響相關政策因應與推動，公平交易委員會既有規劃於111年8至10月間召開與地方機關協調聯繫會議，應併同檢討規劃配合地方機關查報重要民生物資價格波</w:t>
      </w:r>
      <w:r w:rsidRPr="00820BD3">
        <w:rPr>
          <w:rFonts w:hAnsi="標楷體" w:hint="eastAsia"/>
          <w:snapToGrid/>
        </w:rPr>
        <w:t>動之合作機制</w:t>
      </w:r>
      <w:r>
        <w:rPr>
          <w:rFonts w:hAnsi="標楷體" w:hint="eastAsia"/>
          <w:snapToGrid/>
        </w:rPr>
        <w:t>，</w:t>
      </w:r>
      <w:r w:rsidRPr="00932A24">
        <w:rPr>
          <w:rFonts w:hAnsi="標楷體" w:hint="eastAsia"/>
          <w:snapToGrid/>
        </w:rPr>
        <w:t>…</w:t>
      </w:r>
      <w:r w:rsidRPr="000E5D50">
        <w:rPr>
          <w:rFonts w:hAnsi="標楷體" w:hint="eastAsia"/>
          <w:snapToGrid/>
        </w:rPr>
        <w:t>。</w:t>
      </w:r>
    </w:p>
    <w:p w:rsidR="00B12961" w:rsidRDefault="00B12961" w:rsidP="00820BD3">
      <w:pPr>
        <w:pStyle w:val="123"/>
        <w:ind w:left="1133" w:hanging="283"/>
        <w:rPr>
          <w:rFonts w:hAnsi="標楷體" w:hint="eastAsia"/>
          <w:snapToGrid/>
        </w:rPr>
      </w:pPr>
      <w:r>
        <w:rPr>
          <w:rFonts w:hAnsi="標楷體" w:hint="eastAsia"/>
          <w:snapToGrid/>
        </w:rPr>
        <w:t>2.</w:t>
      </w:r>
      <w:r w:rsidRPr="00820BD3">
        <w:rPr>
          <w:rFonts w:hAnsi="標楷體" w:hint="eastAsia"/>
          <w:snapToGrid/>
        </w:rPr>
        <w:t>(二十六)行政院主計總處日前公布，111年上半年</w:t>
      </w:r>
      <w:r>
        <w:rPr>
          <w:rFonts w:hAnsi="標楷體" w:hint="eastAsia"/>
          <w:snapToGrid/>
        </w:rPr>
        <w:t>(</w:t>
      </w:r>
      <w:r w:rsidRPr="00820BD3">
        <w:rPr>
          <w:rFonts w:hAnsi="標楷體" w:hint="eastAsia"/>
          <w:snapToGrid/>
        </w:rPr>
        <w:t>1至6月</w:t>
      </w:r>
      <w:r>
        <w:rPr>
          <w:rFonts w:hAnsi="標楷體" w:hint="eastAsia"/>
          <w:snapToGrid/>
        </w:rPr>
        <w:t>)</w:t>
      </w:r>
      <w:r w:rsidRPr="00820BD3">
        <w:rPr>
          <w:rFonts w:hAnsi="標楷體" w:hint="eastAsia"/>
          <w:snapToGrid/>
        </w:rPr>
        <w:t>全體受雇員工經常性薪資平均為4萬4,262元、年增3.02%；然自111年3月以來，物價上漲幅度都超過3%，通膨抵銷薪資成長，實質經常性薪資4萬1,452元、年減0.11%，</w:t>
      </w:r>
      <w:r w:rsidRPr="00A160F9">
        <w:rPr>
          <w:rFonts w:hAnsi="標楷體" w:hint="eastAsia"/>
          <w:snapToGrid/>
        </w:rPr>
        <w:t>…</w:t>
      </w:r>
      <w:r w:rsidRPr="00820BD3">
        <w:rPr>
          <w:rFonts w:hAnsi="標楷體" w:hint="eastAsia"/>
          <w:snapToGrid/>
        </w:rPr>
        <w:t>，公平交易委員會應密切注意整體市場狀況，配合行政院穩定物價小組進行物價監控，並嚴防聯合漲價行為，</w:t>
      </w:r>
      <w:r w:rsidRPr="00A160F9">
        <w:rPr>
          <w:rFonts w:hAnsi="標楷體" w:hint="eastAsia"/>
          <w:snapToGrid/>
        </w:rPr>
        <w:t>…</w:t>
      </w:r>
      <w:r w:rsidRPr="00820BD3">
        <w:rPr>
          <w:rFonts w:hAnsi="標楷體" w:hint="eastAsia"/>
          <w:snapToGrid/>
        </w:rPr>
        <w:t>。</w:t>
      </w:r>
    </w:p>
    <w:p w:rsidR="00B12961" w:rsidRPr="00C6723D" w:rsidRDefault="00B12961" w:rsidP="00F92E29">
      <w:pPr>
        <w:pStyle w:val="21"/>
        <w:ind w:left="850" w:firstLine="566"/>
        <w:rPr>
          <w:rFonts w:hint="eastAsia"/>
        </w:rPr>
      </w:pPr>
      <w:r>
        <w:rPr>
          <w:rFonts w:hAnsi="標楷體" w:hint="eastAsia"/>
        </w:rPr>
        <w:t>據公平會說明略以，</w:t>
      </w:r>
      <w:r w:rsidRPr="009F243A">
        <w:rPr>
          <w:rFonts w:hAnsi="標楷體" w:hint="eastAsia"/>
        </w:rPr>
        <w:t>物價波動原因多重，</w:t>
      </w:r>
      <w:r>
        <w:rPr>
          <w:rFonts w:hAnsi="標楷體" w:hint="eastAsia"/>
        </w:rPr>
        <w:t>該會已持續運作</w:t>
      </w:r>
      <w:r w:rsidRPr="00287296">
        <w:rPr>
          <w:rFonts w:hAnsi="標楷體" w:hint="eastAsia"/>
        </w:rPr>
        <w:t>「防制人為操縱物價專案小組」</w:t>
      </w:r>
      <w:r>
        <w:rPr>
          <w:rFonts w:hAnsi="標楷體" w:hint="eastAsia"/>
        </w:rPr>
        <w:t>，運用產業主管機關所發布民生物資價格公示資料，關注市場價格變化情形，定期召開會議掌握民生物資價格市況，並就涉有違法行為進行裁罰</w:t>
      </w:r>
      <w:r w:rsidRPr="00F34C6A">
        <w:rPr>
          <w:rFonts w:hAnsi="標楷體" w:hint="eastAsia"/>
        </w:rPr>
        <w:t>。</w:t>
      </w:r>
      <w:r>
        <w:rPr>
          <w:rFonts w:hAnsi="標楷體" w:hint="eastAsia"/>
        </w:rPr>
        <w:t>惟112年度公平會已就6件聯合行為案件進行裁罰，占當年度完成查處件數(8件)比率約75%，另比較調查處分期間，已進行裁處案件中，1件屬109年度立案調查，有4件屬111年度立案調查案件，計有3件立案時間至處分日已逾1年，鑑於近年物價異常波動頻繁，且民生物資價格波動影響民眾生活甚鉅，允宜持續精進物價異常波動調查分析及監測機制，改善縮短調查期間，俾確保消費者權益及維護市場競爭秩序。</w:t>
      </w:r>
    </w:p>
    <w:p w:rsidR="00B12961" w:rsidRDefault="00B12961" w:rsidP="00872276">
      <w:pPr>
        <w:ind w:left="566" w:firstLine="566"/>
        <w:rPr>
          <w:rFonts w:hAnsi="標楷體"/>
        </w:rPr>
      </w:pPr>
      <w:r w:rsidRPr="00B3027E">
        <w:rPr>
          <w:rFonts w:hint="eastAsia"/>
        </w:rPr>
        <w:t>綜上，</w:t>
      </w:r>
      <w:r w:rsidRPr="00A945A1">
        <w:rPr>
          <w:rFonts w:hint="eastAsia"/>
        </w:rPr>
        <w:t>鑑於近年民生物價頻繁異常波動，</w:t>
      </w:r>
      <w:r>
        <w:rPr>
          <w:rFonts w:hint="eastAsia"/>
        </w:rPr>
        <w:t>影響民眾生活甚鉅</w:t>
      </w:r>
      <w:r w:rsidRPr="00A945A1">
        <w:rPr>
          <w:rFonts w:hint="eastAsia"/>
        </w:rPr>
        <w:t>，</w:t>
      </w:r>
      <w:r>
        <w:rPr>
          <w:rFonts w:hint="eastAsia"/>
        </w:rPr>
        <w:t>為</w:t>
      </w:r>
      <w:r w:rsidRPr="00A945A1">
        <w:rPr>
          <w:rFonts w:hint="eastAsia"/>
        </w:rPr>
        <w:t>維市場競爭秩序及消費者權益</w:t>
      </w:r>
      <w:r>
        <w:rPr>
          <w:rFonts w:hint="eastAsia"/>
        </w:rPr>
        <w:t>，</w:t>
      </w:r>
      <w:r w:rsidRPr="00A945A1">
        <w:rPr>
          <w:rFonts w:hint="eastAsia"/>
        </w:rPr>
        <w:t>允宜妥善運用內部研究資源，並</w:t>
      </w:r>
      <w:r>
        <w:rPr>
          <w:rFonts w:hint="eastAsia"/>
        </w:rPr>
        <w:t>持續</w:t>
      </w:r>
      <w:r w:rsidRPr="00A945A1">
        <w:rPr>
          <w:rFonts w:hint="eastAsia"/>
        </w:rPr>
        <w:t>精進調查分析及</w:t>
      </w:r>
      <w:r>
        <w:rPr>
          <w:rFonts w:hint="eastAsia"/>
        </w:rPr>
        <w:t>監測</w:t>
      </w:r>
      <w:r w:rsidRPr="00A945A1">
        <w:rPr>
          <w:rFonts w:hint="eastAsia"/>
        </w:rPr>
        <w:t>機制。</w:t>
      </w:r>
    </w:p>
    <w:p w:rsidR="00B12961" w:rsidRPr="003C4756" w:rsidRDefault="00B12961" w:rsidP="00872276">
      <w:pPr>
        <w:ind w:left="566" w:firstLine="566"/>
        <w:rPr>
          <w:rFonts w:hint="eastAsia"/>
          <w:snapToGrid/>
          <w:color w:val="0000FF"/>
        </w:rPr>
      </w:pPr>
    </w:p>
    <w:p w:rsidR="00B12961" w:rsidRPr="00AB78AB" w:rsidRDefault="00B12961" w:rsidP="00FD046B">
      <w:pPr>
        <w:pStyle w:val="14"/>
        <w:ind w:left="567" w:hanging="567"/>
        <w:rPr>
          <w:rFonts w:hAnsi="標楷體" w:hint="eastAsia"/>
        </w:rPr>
      </w:pPr>
      <w:bookmarkStart w:id="20" w:name="_Toc240777103"/>
      <w:bookmarkStart w:id="21" w:name="_Toc513535863"/>
      <w:bookmarkStart w:id="22" w:name="_Toc493669736"/>
      <w:bookmarkStart w:id="23" w:name="_Toc527539947"/>
      <w:bookmarkStart w:id="24" w:name="_Toc185254262"/>
      <w:bookmarkEnd w:id="17"/>
      <w:r>
        <w:rPr>
          <w:rFonts w:hAnsi="標楷體" w:hint="eastAsia"/>
        </w:rPr>
        <w:t>肆</w:t>
      </w:r>
      <w:r w:rsidRPr="00AB78AB">
        <w:rPr>
          <w:rFonts w:hAnsi="標楷體" w:hint="eastAsia"/>
        </w:rPr>
        <w:t>、反托拉斯基金</w:t>
      </w:r>
      <w:bookmarkEnd w:id="23"/>
      <w:bookmarkEnd w:id="24"/>
    </w:p>
    <w:p w:rsidR="00B12961" w:rsidRPr="00552EA4" w:rsidRDefault="00B12961" w:rsidP="00BE4E11">
      <w:pPr>
        <w:pStyle w:val="a8"/>
        <w:ind w:firstLine="566"/>
        <w:rPr>
          <w:rFonts w:hAnsi="標楷體" w:hint="eastAsia"/>
        </w:rPr>
      </w:pPr>
      <w:r w:rsidRPr="00AB78AB">
        <w:rPr>
          <w:rFonts w:hAnsi="標楷體" w:hint="eastAsia"/>
        </w:rPr>
        <w:t>公平會依公平交易法第47條之</w:t>
      </w:r>
      <w:r>
        <w:rPr>
          <w:rFonts w:hAnsi="標楷體" w:hint="eastAsia"/>
        </w:rPr>
        <w:t>1</w:t>
      </w:r>
      <w:r w:rsidRPr="00AB78AB">
        <w:rPr>
          <w:rFonts w:hAnsi="標楷體" w:hint="eastAsia"/>
        </w:rPr>
        <w:t>規定於105年度設置「反托拉斯基金」，該基金主要財源</w:t>
      </w:r>
      <w:r>
        <w:rPr>
          <w:rFonts w:hAnsi="標楷體" w:hint="eastAsia"/>
        </w:rPr>
        <w:t>為</w:t>
      </w:r>
      <w:r w:rsidRPr="00AB78AB">
        <w:rPr>
          <w:rFonts w:hAnsi="標楷體" w:hint="eastAsia"/>
        </w:rPr>
        <w:t>提撥違反公平交易法罰鍰之30%；基金用途則</w:t>
      </w:r>
      <w:r>
        <w:rPr>
          <w:rFonts w:hAnsi="標楷體" w:hint="eastAsia"/>
        </w:rPr>
        <w:t>主要包括「</w:t>
      </w:r>
      <w:r w:rsidRPr="00AB78AB">
        <w:rPr>
          <w:rFonts w:hAnsi="標楷體" w:hint="eastAsia"/>
        </w:rPr>
        <w:t>強化反托拉斯執法計畫</w:t>
      </w:r>
      <w:r>
        <w:rPr>
          <w:rFonts w:hAnsi="標楷體" w:hint="eastAsia"/>
        </w:rPr>
        <w:t>」</w:t>
      </w:r>
      <w:r w:rsidRPr="00C13952">
        <w:rPr>
          <w:rFonts w:hAnsi="標楷體" w:hint="eastAsia"/>
        </w:rPr>
        <w:t>辦理違法聯合行為獎金之支出、推動國際競爭法執法機關之合作交流等業務</w:t>
      </w:r>
      <w:r>
        <w:rPr>
          <w:rFonts w:hAnsi="標楷體" w:hint="eastAsia"/>
        </w:rPr>
        <w:t>，以及「</w:t>
      </w:r>
      <w:r w:rsidRPr="00C13952">
        <w:rPr>
          <w:rFonts w:hAnsi="標楷體" w:hint="eastAsia"/>
        </w:rPr>
        <w:t>數位經濟競爭政策研究及倡議計畫</w:t>
      </w:r>
      <w:r>
        <w:rPr>
          <w:rFonts w:hAnsi="標楷體" w:hint="eastAsia"/>
        </w:rPr>
        <w:t>」</w:t>
      </w:r>
      <w:r w:rsidRPr="00AB78AB">
        <w:rPr>
          <w:rFonts w:hAnsi="標楷體" w:hint="eastAsia"/>
        </w:rPr>
        <w:t>辦</w:t>
      </w:r>
      <w:r w:rsidRPr="00C13952">
        <w:rPr>
          <w:rFonts w:hAnsi="標楷體" w:hint="eastAsia"/>
        </w:rPr>
        <w:t>理研究數位經濟產業競爭議題與違法態樣、辦理不實廣告監控與查察業務等</w:t>
      </w:r>
      <w:r w:rsidRPr="00AB78AB">
        <w:rPr>
          <w:rFonts w:hAnsi="標楷體" w:hint="eastAsia"/>
        </w:rPr>
        <w:t>。</w:t>
      </w:r>
      <w:r w:rsidRPr="00351A33">
        <w:rPr>
          <w:rFonts w:hAnsi="標楷體" w:hint="eastAsia"/>
        </w:rPr>
        <w:t>該基金</w:t>
      </w:r>
      <w:r>
        <w:rPr>
          <w:rFonts w:hAnsi="標楷體" w:hint="eastAsia"/>
        </w:rPr>
        <w:t>11</w:t>
      </w:r>
      <w:r>
        <w:rPr>
          <w:rFonts w:hAnsi="標楷體"/>
        </w:rPr>
        <w:t>2</w:t>
      </w:r>
      <w:r w:rsidRPr="00351A33">
        <w:rPr>
          <w:rFonts w:hAnsi="標楷體" w:hint="eastAsia"/>
        </w:rPr>
        <w:t>年度預算</w:t>
      </w:r>
      <w:r w:rsidRPr="0064171E">
        <w:rPr>
          <w:rFonts w:hAnsi="標楷體" w:hint="eastAsia"/>
        </w:rPr>
        <w:t>基金來源預算數4,8</w:t>
      </w:r>
      <w:r>
        <w:rPr>
          <w:rFonts w:hAnsi="標楷體"/>
        </w:rPr>
        <w:t>31</w:t>
      </w:r>
      <w:r w:rsidRPr="0064171E">
        <w:rPr>
          <w:rFonts w:hAnsi="標楷體" w:hint="eastAsia"/>
        </w:rPr>
        <w:t>萬</w:t>
      </w:r>
      <w:r>
        <w:rPr>
          <w:rFonts w:hAnsi="標楷體"/>
        </w:rPr>
        <w:t>1</w:t>
      </w:r>
      <w:r w:rsidRPr="0064171E">
        <w:rPr>
          <w:rFonts w:hAnsi="標楷體" w:hint="eastAsia"/>
        </w:rPr>
        <w:t>千元，決算數</w:t>
      </w:r>
      <w:r>
        <w:rPr>
          <w:rFonts w:hAnsi="標楷體" w:hint="eastAsia"/>
        </w:rPr>
        <w:t>1,</w:t>
      </w:r>
      <w:r>
        <w:rPr>
          <w:rFonts w:hAnsi="標楷體"/>
        </w:rPr>
        <w:t>620</w:t>
      </w:r>
      <w:r w:rsidRPr="0064171E">
        <w:rPr>
          <w:rFonts w:hAnsi="標楷體" w:hint="eastAsia"/>
        </w:rPr>
        <w:t>萬</w:t>
      </w:r>
      <w:r>
        <w:rPr>
          <w:rFonts w:hAnsi="標楷體"/>
        </w:rPr>
        <w:t>1</w:t>
      </w:r>
      <w:r>
        <w:rPr>
          <w:rFonts w:hAnsi="標楷體" w:hint="eastAsia"/>
        </w:rPr>
        <w:t>千</w:t>
      </w:r>
      <w:r w:rsidRPr="0064171E">
        <w:rPr>
          <w:rFonts w:hAnsi="標楷體" w:hint="eastAsia"/>
        </w:rPr>
        <w:t>元，較預算數減少</w:t>
      </w:r>
      <w:r>
        <w:rPr>
          <w:rFonts w:hAnsi="標楷體"/>
        </w:rPr>
        <w:t>3,</w:t>
      </w:r>
      <w:r>
        <w:rPr>
          <w:rFonts w:hAnsi="標楷體" w:hint="eastAsia"/>
        </w:rPr>
        <w:t>211</w:t>
      </w:r>
      <w:r w:rsidRPr="0064171E">
        <w:rPr>
          <w:rFonts w:hAnsi="標楷體" w:hint="eastAsia"/>
        </w:rPr>
        <w:t>萬元(達成率</w:t>
      </w:r>
      <w:r>
        <w:rPr>
          <w:rFonts w:hAnsi="標楷體" w:hint="eastAsia"/>
        </w:rPr>
        <w:t>33.53</w:t>
      </w:r>
      <w:r w:rsidRPr="0064171E">
        <w:rPr>
          <w:rFonts w:hAnsi="標楷體" w:hint="eastAsia"/>
        </w:rPr>
        <w:t>%)，主要依公平交易法規定應提撥該基金之30%罰鍰收入</w:t>
      </w:r>
      <w:r>
        <w:rPr>
          <w:rFonts w:hAnsi="標楷體" w:hint="eastAsia"/>
        </w:rPr>
        <w:t>-</w:t>
      </w:r>
      <w:r w:rsidRPr="0064171E">
        <w:rPr>
          <w:rFonts w:hAnsi="標楷體" w:hint="eastAsia"/>
        </w:rPr>
        <w:t>「徵收及依法分配收入」決算數</w:t>
      </w:r>
      <w:r>
        <w:rPr>
          <w:rFonts w:hAnsi="標楷體" w:hint="eastAsia"/>
        </w:rPr>
        <w:t>910</w:t>
      </w:r>
      <w:r w:rsidRPr="0064171E">
        <w:rPr>
          <w:rFonts w:hAnsi="標楷體" w:hint="eastAsia"/>
        </w:rPr>
        <w:t>萬</w:t>
      </w:r>
      <w:r>
        <w:rPr>
          <w:rFonts w:hAnsi="標楷體" w:hint="eastAsia"/>
        </w:rPr>
        <w:t>9千</w:t>
      </w:r>
      <w:r w:rsidRPr="0064171E">
        <w:rPr>
          <w:rFonts w:hAnsi="標楷體" w:hint="eastAsia"/>
        </w:rPr>
        <w:t>元，較預</w:t>
      </w:r>
      <w:r w:rsidRPr="00BE4E11">
        <w:rPr>
          <w:rFonts w:hAnsi="標楷體" w:hint="eastAsia"/>
        </w:rPr>
        <w:t>算數減少</w:t>
      </w:r>
      <w:r>
        <w:rPr>
          <w:rFonts w:hAnsi="標楷體" w:hint="eastAsia"/>
        </w:rPr>
        <w:t>3</w:t>
      </w:r>
      <w:r>
        <w:rPr>
          <w:rFonts w:hAnsi="標楷體"/>
        </w:rPr>
        <w:t>,</w:t>
      </w:r>
      <w:r>
        <w:rPr>
          <w:rFonts w:hAnsi="標楷體" w:hint="eastAsia"/>
        </w:rPr>
        <w:t>758</w:t>
      </w:r>
      <w:r w:rsidRPr="00BE4E11">
        <w:rPr>
          <w:rFonts w:hAnsi="標楷體" w:hint="eastAsia"/>
        </w:rPr>
        <w:t>萬</w:t>
      </w:r>
      <w:r>
        <w:rPr>
          <w:rFonts w:hAnsi="標楷體" w:hint="eastAsia"/>
        </w:rPr>
        <w:t>5</w:t>
      </w:r>
      <w:r w:rsidRPr="00BE4E11">
        <w:rPr>
          <w:rFonts w:hAnsi="標楷體" w:hint="eastAsia"/>
        </w:rPr>
        <w:t>千元所致。基金用途預算數</w:t>
      </w:r>
      <w:r>
        <w:rPr>
          <w:rFonts w:hAnsi="標楷體" w:hint="eastAsia"/>
        </w:rPr>
        <w:t>7,674</w:t>
      </w:r>
      <w:r w:rsidRPr="00BE4E11">
        <w:rPr>
          <w:rFonts w:hAnsi="標楷體" w:hint="eastAsia"/>
        </w:rPr>
        <w:t>萬</w:t>
      </w:r>
      <w:r>
        <w:rPr>
          <w:rFonts w:hAnsi="標楷體" w:hint="eastAsia"/>
        </w:rPr>
        <w:t>4</w:t>
      </w:r>
      <w:r w:rsidRPr="00BE4E11">
        <w:rPr>
          <w:rFonts w:hAnsi="標楷體" w:hint="eastAsia"/>
        </w:rPr>
        <w:t>千元，決算數</w:t>
      </w:r>
      <w:r>
        <w:rPr>
          <w:rFonts w:hAnsi="標楷體" w:hint="eastAsia"/>
        </w:rPr>
        <w:t>7</w:t>
      </w:r>
      <w:r>
        <w:rPr>
          <w:rFonts w:hAnsi="標楷體"/>
        </w:rPr>
        <w:t>,</w:t>
      </w:r>
      <w:r>
        <w:rPr>
          <w:rFonts w:hAnsi="標楷體" w:hint="eastAsia"/>
        </w:rPr>
        <w:t>217</w:t>
      </w:r>
      <w:r w:rsidRPr="00BE4E11">
        <w:rPr>
          <w:rFonts w:hAnsi="標楷體" w:hint="eastAsia"/>
        </w:rPr>
        <w:t>萬元(執行率</w:t>
      </w:r>
      <w:r>
        <w:rPr>
          <w:rFonts w:hAnsi="標楷體" w:hint="eastAsia"/>
        </w:rPr>
        <w:t>94.04</w:t>
      </w:r>
      <w:r w:rsidRPr="00BE4E11">
        <w:rPr>
          <w:rFonts w:hAnsi="標楷體" w:hint="eastAsia"/>
        </w:rPr>
        <w:t>%)，主要係</w:t>
      </w:r>
      <w:r w:rsidRPr="00902B61">
        <w:rPr>
          <w:rFonts w:hAnsi="標楷體" w:hint="eastAsia"/>
        </w:rPr>
        <w:t>數位經濟競爭政策研究及倡議計畫</w:t>
      </w:r>
      <w:r w:rsidRPr="00BE4E11">
        <w:rPr>
          <w:rFonts w:hAnsi="標楷體" w:hint="eastAsia"/>
        </w:rPr>
        <w:t>經執行較預算數減少</w:t>
      </w:r>
      <w:r>
        <w:rPr>
          <w:rFonts w:hAnsi="標楷體" w:hint="eastAsia"/>
        </w:rPr>
        <w:t>597</w:t>
      </w:r>
      <w:r w:rsidRPr="00BE4E11">
        <w:rPr>
          <w:rFonts w:hAnsi="標楷體" w:hint="eastAsia"/>
        </w:rPr>
        <w:t>萬元所致。</w:t>
      </w:r>
      <w:r w:rsidRPr="001E6375">
        <w:rPr>
          <w:rFonts w:hAnsi="標楷體" w:hint="eastAsia"/>
        </w:rPr>
        <w:t>1</w:t>
      </w:r>
      <w:r>
        <w:rPr>
          <w:rFonts w:hAnsi="標楷體" w:hint="eastAsia"/>
        </w:rPr>
        <w:t>12</w:t>
      </w:r>
      <w:r w:rsidRPr="001E6375">
        <w:rPr>
          <w:rFonts w:hAnsi="標楷體" w:hint="eastAsia"/>
        </w:rPr>
        <w:t>年度決算</w:t>
      </w:r>
      <w:r>
        <w:rPr>
          <w:rFonts w:hAnsi="標楷體" w:hint="eastAsia"/>
        </w:rPr>
        <w:t>本期短絀</w:t>
      </w:r>
      <w:r w:rsidRPr="001E6375">
        <w:rPr>
          <w:rFonts w:hAnsi="標楷體" w:hint="eastAsia"/>
        </w:rPr>
        <w:t>數</w:t>
      </w:r>
      <w:r>
        <w:rPr>
          <w:rFonts w:hAnsi="標楷體" w:hint="eastAsia"/>
        </w:rPr>
        <w:t>5</w:t>
      </w:r>
      <w:r>
        <w:rPr>
          <w:rFonts w:hAnsi="標楷體"/>
        </w:rPr>
        <w:t>,</w:t>
      </w:r>
      <w:r>
        <w:rPr>
          <w:rFonts w:hAnsi="標楷體" w:hint="eastAsia"/>
        </w:rPr>
        <w:t>596</w:t>
      </w:r>
      <w:r w:rsidRPr="001E6375">
        <w:rPr>
          <w:rFonts w:hAnsi="標楷體" w:hint="eastAsia"/>
        </w:rPr>
        <w:t>萬</w:t>
      </w:r>
      <w:r>
        <w:rPr>
          <w:rFonts w:hAnsi="標楷體" w:hint="eastAsia"/>
        </w:rPr>
        <w:t>9千</w:t>
      </w:r>
      <w:r w:rsidRPr="001E6375">
        <w:rPr>
          <w:rFonts w:hAnsi="標楷體" w:hint="eastAsia"/>
        </w:rPr>
        <w:t>元，期末基金累積餘額為</w:t>
      </w:r>
      <w:r>
        <w:rPr>
          <w:rFonts w:hAnsi="標楷體" w:hint="eastAsia"/>
        </w:rPr>
        <w:t>8</w:t>
      </w:r>
      <w:r w:rsidRPr="001E6375">
        <w:rPr>
          <w:rFonts w:hAnsi="標楷體" w:hint="eastAsia"/>
        </w:rPr>
        <w:t>億</w:t>
      </w:r>
      <w:r>
        <w:rPr>
          <w:rFonts w:hAnsi="標楷體" w:hint="eastAsia"/>
        </w:rPr>
        <w:t>8</w:t>
      </w:r>
      <w:r>
        <w:rPr>
          <w:rFonts w:hAnsi="標楷體"/>
        </w:rPr>
        <w:t>,</w:t>
      </w:r>
      <w:r>
        <w:rPr>
          <w:rFonts w:hAnsi="標楷體" w:hint="eastAsia"/>
        </w:rPr>
        <w:t>713</w:t>
      </w:r>
      <w:r w:rsidRPr="001E6375">
        <w:rPr>
          <w:rFonts w:hAnsi="標楷體" w:hint="eastAsia"/>
        </w:rPr>
        <w:t>萬</w:t>
      </w:r>
      <w:r>
        <w:rPr>
          <w:rFonts w:hAnsi="標楷體" w:hint="eastAsia"/>
        </w:rPr>
        <w:t>2</w:t>
      </w:r>
      <w:r w:rsidRPr="001E6375">
        <w:rPr>
          <w:rFonts w:hAnsi="標楷體" w:hint="eastAsia"/>
        </w:rPr>
        <w:t>千元。謹</w:t>
      </w:r>
      <w:r w:rsidRPr="00552EA4">
        <w:rPr>
          <w:rFonts w:hAnsi="標楷體" w:hint="eastAsia"/>
        </w:rPr>
        <w:t>就反托拉斯基金1</w:t>
      </w:r>
      <w:r>
        <w:rPr>
          <w:rFonts w:hAnsi="標楷體" w:hint="eastAsia"/>
        </w:rPr>
        <w:t>12</w:t>
      </w:r>
      <w:r w:rsidRPr="00552EA4">
        <w:rPr>
          <w:rFonts w:hAnsi="標楷體" w:hint="eastAsia"/>
        </w:rPr>
        <w:t>年度決算評析如下：</w:t>
      </w:r>
    </w:p>
    <w:p w:rsidR="00B12961" w:rsidRPr="0003682C" w:rsidRDefault="00B12961" w:rsidP="009C35DC">
      <w:pPr>
        <w:pStyle w:val="14"/>
        <w:ind w:left="567" w:hanging="567"/>
      </w:pPr>
      <w:bookmarkStart w:id="25" w:name="_Toc527539949"/>
      <w:bookmarkStart w:id="26" w:name="_Toc185254263"/>
      <w:r>
        <w:rPr>
          <w:rFonts w:hint="eastAsia"/>
        </w:rPr>
        <w:t>五</w:t>
      </w:r>
      <w:r w:rsidRPr="00CF04F7">
        <w:rPr>
          <w:rFonts w:hint="eastAsia"/>
        </w:rPr>
        <w:t>、</w:t>
      </w:r>
      <w:r>
        <w:rPr>
          <w:rFonts w:hint="eastAsia"/>
        </w:rPr>
        <w:t>112年度短絀達</w:t>
      </w:r>
      <w:r w:rsidRPr="001E3CC3">
        <w:rPr>
          <w:rFonts w:hint="eastAsia"/>
        </w:rPr>
        <w:t>5,596萬9千元</w:t>
      </w:r>
      <w:r>
        <w:rPr>
          <w:rFonts w:hint="eastAsia"/>
        </w:rPr>
        <w:t>，為近5年最高，允宜</w:t>
      </w:r>
      <w:r w:rsidRPr="00254C0E">
        <w:rPr>
          <w:rFonts w:hint="eastAsia"/>
        </w:rPr>
        <w:t>於兼顧風險控管下</w:t>
      </w:r>
      <w:r>
        <w:rPr>
          <w:rFonts w:hint="eastAsia"/>
        </w:rPr>
        <w:t>，</w:t>
      </w:r>
      <w:r w:rsidRPr="00254C0E">
        <w:rPr>
          <w:rFonts w:hint="eastAsia"/>
        </w:rPr>
        <w:t>妥適規劃配置餘裕資金，俾提升收益</w:t>
      </w:r>
      <w:bookmarkEnd w:id="26"/>
    </w:p>
    <w:p w:rsidR="00B12961" w:rsidRDefault="00B12961" w:rsidP="001E6375">
      <w:pPr>
        <w:ind w:leftChars="216" w:left="612" w:firstLine="566"/>
        <w:rPr>
          <w:rFonts w:hAnsi="標楷體" w:cs="Tahoma"/>
        </w:rPr>
      </w:pPr>
      <w:r w:rsidRPr="0075444D">
        <w:rPr>
          <w:rFonts w:hAnsi="標楷體" w:hint="eastAsia"/>
        </w:rPr>
        <w:t>反托拉斯基金1</w:t>
      </w:r>
      <w:r>
        <w:rPr>
          <w:rFonts w:hAnsi="標楷體"/>
        </w:rPr>
        <w:t>12</w:t>
      </w:r>
      <w:r>
        <w:rPr>
          <w:rFonts w:hAnsi="標楷體" w:hint="eastAsia"/>
        </w:rPr>
        <w:t>年</w:t>
      </w:r>
      <w:r w:rsidRPr="0075444D">
        <w:rPr>
          <w:rFonts w:hAnsi="標楷體" w:hint="eastAsia"/>
        </w:rPr>
        <w:t>度</w:t>
      </w:r>
      <w:r>
        <w:rPr>
          <w:rFonts w:hAnsi="標楷體" w:hint="eastAsia"/>
        </w:rPr>
        <w:t>決算基金來源</w:t>
      </w:r>
      <w:r w:rsidRPr="001E3CC3">
        <w:rPr>
          <w:rFonts w:hAnsi="標楷體" w:hint="eastAsia"/>
        </w:rPr>
        <w:t>910萬9千元、</w:t>
      </w:r>
      <w:r>
        <w:rPr>
          <w:rFonts w:hAnsi="標楷體" w:hint="eastAsia"/>
        </w:rPr>
        <w:t>基金用途</w:t>
      </w:r>
      <w:r w:rsidRPr="001E3CC3">
        <w:rPr>
          <w:rFonts w:hAnsi="標楷體" w:hint="eastAsia"/>
        </w:rPr>
        <w:t>7,217萬元，</w:t>
      </w:r>
      <w:r>
        <w:rPr>
          <w:rFonts w:hAnsi="標楷體" w:hint="eastAsia"/>
        </w:rPr>
        <w:t>來源用途經抵後，本期短絀</w:t>
      </w:r>
      <w:r w:rsidRPr="001E3CC3">
        <w:rPr>
          <w:rFonts w:hAnsi="標楷體" w:hint="eastAsia"/>
        </w:rPr>
        <w:t>5,596萬9</w:t>
      </w:r>
      <w:r>
        <w:rPr>
          <w:rFonts w:hAnsi="標楷體" w:hint="eastAsia"/>
        </w:rPr>
        <w:t>千元</w:t>
      </w:r>
      <w:r w:rsidRPr="001E3CC3">
        <w:rPr>
          <w:rFonts w:hAnsi="標楷體" w:hint="eastAsia"/>
        </w:rPr>
        <w:t>，較預算短絀數</w:t>
      </w:r>
      <w:r>
        <w:rPr>
          <w:rFonts w:hAnsi="標楷體" w:hint="eastAsia"/>
        </w:rPr>
        <w:t>2</w:t>
      </w:r>
      <w:r>
        <w:rPr>
          <w:rFonts w:hAnsi="標楷體"/>
        </w:rPr>
        <w:t>,</w:t>
      </w:r>
      <w:r>
        <w:rPr>
          <w:rFonts w:hAnsi="標楷體" w:hint="eastAsia"/>
        </w:rPr>
        <w:t>843</w:t>
      </w:r>
      <w:r w:rsidRPr="001E3CC3">
        <w:rPr>
          <w:rFonts w:hAnsi="標楷體" w:hint="eastAsia"/>
        </w:rPr>
        <w:t>萬</w:t>
      </w:r>
      <w:r>
        <w:rPr>
          <w:rFonts w:hAnsi="標楷體" w:hint="eastAsia"/>
        </w:rPr>
        <w:t>3</w:t>
      </w:r>
      <w:r w:rsidRPr="001E3CC3">
        <w:rPr>
          <w:rFonts w:hAnsi="標楷體" w:hint="eastAsia"/>
        </w:rPr>
        <w:t>千元，短絀增加2,7</w:t>
      </w:r>
      <w:r>
        <w:rPr>
          <w:rFonts w:hAnsi="標楷體" w:hint="eastAsia"/>
        </w:rPr>
        <w:t>53</w:t>
      </w:r>
      <w:r w:rsidRPr="001E3CC3">
        <w:rPr>
          <w:rFonts w:hAnsi="標楷體" w:hint="eastAsia"/>
        </w:rPr>
        <w:t>萬</w:t>
      </w:r>
      <w:r>
        <w:rPr>
          <w:rFonts w:hAnsi="標楷體" w:hint="eastAsia"/>
        </w:rPr>
        <w:t>6</w:t>
      </w:r>
      <w:r w:rsidRPr="001E3CC3">
        <w:rPr>
          <w:rFonts w:hAnsi="標楷體" w:hint="eastAsia"/>
        </w:rPr>
        <w:t>千元</w:t>
      </w:r>
      <w:r>
        <w:rPr>
          <w:rFonts w:hAnsi="標楷體" w:hint="eastAsia"/>
        </w:rPr>
        <w:t>。</w:t>
      </w:r>
      <w:r>
        <w:rPr>
          <w:rFonts w:hAnsi="標楷體" w:cs="Tahoma" w:hint="eastAsia"/>
        </w:rPr>
        <w:t>經查：</w:t>
      </w:r>
    </w:p>
    <w:p w:rsidR="00B12961" w:rsidRPr="000F5240" w:rsidRDefault="00B12961" w:rsidP="00C65DDF">
      <w:pPr>
        <w:pStyle w:val="a4"/>
        <w:ind w:left="849" w:hanging="283"/>
        <w:rPr>
          <w:rFonts w:hAnsi="標楷體"/>
          <w:b/>
        </w:rPr>
      </w:pPr>
      <w:r w:rsidRPr="000F5240">
        <w:rPr>
          <w:rFonts w:hint="eastAsia"/>
          <w:b/>
        </w:rPr>
        <w:t>(一)</w:t>
      </w:r>
      <w:r w:rsidRPr="00785E6E">
        <w:rPr>
          <w:rFonts w:hAnsi="標楷體" w:hint="eastAsia"/>
          <w:b/>
        </w:rPr>
        <w:t>112年度短絀</w:t>
      </w:r>
      <w:r>
        <w:rPr>
          <w:rFonts w:hAnsi="標楷體" w:hint="eastAsia"/>
          <w:b/>
        </w:rPr>
        <w:t>數</w:t>
      </w:r>
      <w:r w:rsidRPr="00785E6E">
        <w:rPr>
          <w:rFonts w:hAnsi="標楷體" w:hint="eastAsia"/>
          <w:b/>
        </w:rPr>
        <w:t>達5,596萬9千元，</w:t>
      </w:r>
      <w:r>
        <w:rPr>
          <w:rFonts w:hAnsi="標楷體" w:hint="eastAsia"/>
          <w:b/>
        </w:rPr>
        <w:t>為近5年最高</w:t>
      </w:r>
    </w:p>
    <w:p w:rsidR="00B12961" w:rsidRDefault="00B12961" w:rsidP="00C65DDF">
      <w:pPr>
        <w:pStyle w:val="21"/>
        <w:ind w:left="850" w:firstLine="566"/>
      </w:pPr>
      <w:r w:rsidRPr="00254C0E">
        <w:rPr>
          <w:rFonts w:hint="eastAsia"/>
        </w:rPr>
        <w:t>彙整反托拉斯基金</w:t>
      </w:r>
      <w:r>
        <w:rPr>
          <w:rFonts w:hint="eastAsia"/>
        </w:rPr>
        <w:t>近5年(108</w:t>
      </w:r>
      <w:r w:rsidRPr="00254C0E">
        <w:rPr>
          <w:rFonts w:hint="eastAsia"/>
        </w:rPr>
        <w:t>至11</w:t>
      </w:r>
      <w:r>
        <w:rPr>
          <w:rFonts w:hint="eastAsia"/>
        </w:rPr>
        <w:t>2</w:t>
      </w:r>
      <w:r w:rsidRPr="00254C0E">
        <w:rPr>
          <w:rFonts w:hint="eastAsia"/>
        </w:rPr>
        <w:t>年度</w:t>
      </w:r>
      <w:r>
        <w:rPr>
          <w:rFonts w:hint="eastAsia"/>
        </w:rPr>
        <w:t>)</w:t>
      </w:r>
      <w:r w:rsidRPr="00254C0E">
        <w:rPr>
          <w:rFonts w:hint="eastAsia"/>
        </w:rPr>
        <w:t>基金來源、用途及本期餘絀</w:t>
      </w:r>
      <w:r>
        <w:rPr>
          <w:rFonts w:hint="eastAsia"/>
        </w:rPr>
        <w:t>決算</w:t>
      </w:r>
      <w:r w:rsidRPr="00254C0E">
        <w:rPr>
          <w:rFonts w:hint="eastAsia"/>
        </w:rPr>
        <w:t>概況(詳表1)，並說明如下：</w:t>
      </w:r>
    </w:p>
    <w:p w:rsidR="00B12961" w:rsidRDefault="00B12961" w:rsidP="00C65DDF">
      <w:pPr>
        <w:pStyle w:val="123"/>
        <w:ind w:left="1133" w:hanging="283"/>
      </w:pPr>
      <w:r>
        <w:rPr>
          <w:rFonts w:hint="eastAsia"/>
        </w:rPr>
        <w:t>1.反托拉斯基金之基金來源決算數自110年起明顯增加，其中110及111年度主要係</w:t>
      </w:r>
      <w:r w:rsidRPr="00FB4F58">
        <w:rPr>
          <w:rFonts w:hint="eastAsia"/>
        </w:rPr>
        <w:t>「</w:t>
      </w:r>
      <w:r>
        <w:rPr>
          <w:rFonts w:hint="eastAsia"/>
        </w:rPr>
        <w:t>徵收及依法分配收入</w:t>
      </w:r>
      <w:r w:rsidRPr="00177098">
        <w:rPr>
          <w:rFonts w:hint="eastAsia"/>
        </w:rPr>
        <w:t>」</w:t>
      </w:r>
      <w:r>
        <w:rPr>
          <w:rFonts w:hint="eastAsia"/>
        </w:rPr>
        <w:t>較以前年度提升，112年度則因財產收入分別較110及111年度增加562萬5千元及456萬1千元(增幅分別達3.84倍及1.8倍)</w:t>
      </w:r>
      <w:r w:rsidRPr="00872C09">
        <w:rPr>
          <w:rFonts w:hint="eastAsia"/>
        </w:rPr>
        <w:t>。</w:t>
      </w:r>
    </w:p>
    <w:p w:rsidR="00B12961" w:rsidRDefault="00B12961" w:rsidP="00C65DDF">
      <w:pPr>
        <w:pStyle w:val="123"/>
        <w:ind w:left="1133" w:hanging="283"/>
      </w:pPr>
      <w:r>
        <w:rPr>
          <w:rFonts w:hint="eastAsia"/>
        </w:rPr>
        <w:t>2.近5年基金用途呈上升趨勢，112年度基金用途決算數達7</w:t>
      </w:r>
      <w:r>
        <w:t>,</w:t>
      </w:r>
      <w:r>
        <w:rPr>
          <w:rFonts w:hint="eastAsia"/>
        </w:rPr>
        <w:t>217萬元，較111年度增加2</w:t>
      </w:r>
      <w:r>
        <w:t>,</w:t>
      </w:r>
      <w:r>
        <w:rPr>
          <w:rFonts w:hint="eastAsia"/>
        </w:rPr>
        <w:t>257萬5千元(增幅45.52%)，包含</w:t>
      </w:r>
      <w:r w:rsidRPr="00FB4F58">
        <w:rPr>
          <w:rFonts w:hint="eastAsia"/>
        </w:rPr>
        <w:t>「</w:t>
      </w:r>
      <w:r w:rsidRPr="00177098">
        <w:rPr>
          <w:rFonts w:hint="eastAsia"/>
        </w:rPr>
        <w:t>強化反托拉斯執法計畫」</w:t>
      </w:r>
      <w:r>
        <w:rPr>
          <w:rFonts w:hint="eastAsia"/>
        </w:rPr>
        <w:t>及</w:t>
      </w:r>
      <w:r w:rsidRPr="00177098">
        <w:rPr>
          <w:rFonts w:hint="eastAsia"/>
        </w:rPr>
        <w:t>「數位經濟政策研究及倡議計畫」</w:t>
      </w:r>
      <w:r>
        <w:rPr>
          <w:rFonts w:hint="eastAsia"/>
        </w:rPr>
        <w:t>決算數均增加，並以後者增幅達1.04倍為主</w:t>
      </w:r>
      <w:r w:rsidRPr="00B630A5">
        <w:rPr>
          <w:rFonts w:hint="eastAsia"/>
        </w:rPr>
        <w:t>。</w:t>
      </w:r>
    </w:p>
    <w:p w:rsidR="00B12961" w:rsidRDefault="00B12961" w:rsidP="00C65DDF">
      <w:pPr>
        <w:pStyle w:val="123"/>
        <w:ind w:left="1133" w:hanging="283"/>
      </w:pPr>
      <w:r>
        <w:rPr>
          <w:rFonts w:hint="eastAsia"/>
        </w:rPr>
        <w:t>3.鑑於反托拉斯基金近5年基金來源並未顯著提升，隨基金用途逐年攀升，致112年度短絀達</w:t>
      </w:r>
      <w:r w:rsidRPr="00785E6E">
        <w:rPr>
          <w:rFonts w:hint="eastAsia"/>
        </w:rPr>
        <w:t>5,596萬9千元，</w:t>
      </w:r>
      <w:r w:rsidRPr="000768DE">
        <w:rPr>
          <w:rFonts w:hint="eastAsia"/>
        </w:rPr>
        <w:t>較111年度短絀</w:t>
      </w:r>
      <w:r>
        <w:rPr>
          <w:rFonts w:hint="eastAsia"/>
        </w:rPr>
        <w:t>數2</w:t>
      </w:r>
      <w:r>
        <w:t>,</w:t>
      </w:r>
      <w:r>
        <w:rPr>
          <w:rFonts w:hint="eastAsia"/>
        </w:rPr>
        <w:t>790萬7千元，</w:t>
      </w:r>
      <w:r w:rsidRPr="000768DE">
        <w:rPr>
          <w:rFonts w:hint="eastAsia"/>
        </w:rPr>
        <w:t>增加1.01倍，</w:t>
      </w:r>
      <w:r>
        <w:rPr>
          <w:rFonts w:hint="eastAsia"/>
        </w:rPr>
        <w:t>並</w:t>
      </w:r>
      <w:r w:rsidRPr="00785E6E">
        <w:rPr>
          <w:rFonts w:hint="eastAsia"/>
        </w:rPr>
        <w:t>為近5年最高</w:t>
      </w:r>
      <w:r w:rsidRPr="00872C09">
        <w:rPr>
          <w:rFonts w:hint="eastAsia"/>
        </w:rPr>
        <w:t>。</w:t>
      </w:r>
    </w:p>
    <w:p w:rsidR="00B12961" w:rsidRPr="002D0C40" w:rsidRDefault="00B12961" w:rsidP="00785E6E">
      <w:pPr>
        <w:adjustRightInd w:val="0"/>
        <w:ind w:leftChars="0" w:left="709" w:hangingChars="250" w:hanging="709"/>
        <w:jc w:val="left"/>
        <w:rPr>
          <w:rFonts w:hAnsi="標楷體"/>
          <w:sz w:val="24"/>
          <w:szCs w:val="24"/>
        </w:rPr>
      </w:pPr>
      <w:r w:rsidRPr="002D0C40">
        <w:rPr>
          <w:rFonts w:hAnsi="標楷體" w:hint="eastAsia"/>
          <w:b/>
        </w:rPr>
        <w:t>表</w:t>
      </w:r>
      <w:r>
        <w:rPr>
          <w:rFonts w:hAnsi="標楷體" w:hint="eastAsia"/>
          <w:b/>
        </w:rPr>
        <w:t>1</w:t>
      </w:r>
      <w:r w:rsidRPr="002D0C40">
        <w:rPr>
          <w:rFonts w:hAnsi="標楷體" w:hint="eastAsia"/>
          <w:b/>
        </w:rPr>
        <w:t xml:space="preserve"> </w:t>
      </w:r>
      <w:r w:rsidRPr="002D0C40">
        <w:rPr>
          <w:rFonts w:hAnsi="標楷體" w:hint="eastAsia"/>
          <w:b/>
          <w:sz w:val="20"/>
          <w:szCs w:val="20"/>
        </w:rPr>
        <w:t xml:space="preserve"> </w:t>
      </w:r>
      <w:r w:rsidRPr="002D0C40">
        <w:rPr>
          <w:rFonts w:hAnsi="標楷體" w:hint="eastAsia"/>
          <w:b/>
        </w:rPr>
        <w:t>反托拉斯基</w:t>
      </w:r>
      <w:r w:rsidRPr="00A2773C">
        <w:rPr>
          <w:rFonts w:hAnsi="標楷體" w:hint="eastAsia"/>
          <w:b/>
        </w:rPr>
        <w:t>金1</w:t>
      </w:r>
      <w:r>
        <w:rPr>
          <w:rFonts w:hAnsi="標楷體" w:hint="eastAsia"/>
          <w:b/>
        </w:rPr>
        <w:t>08</w:t>
      </w:r>
      <w:r w:rsidRPr="00A2773C">
        <w:rPr>
          <w:rFonts w:hAnsi="標楷體" w:hint="eastAsia"/>
          <w:b/>
        </w:rPr>
        <w:t>至1</w:t>
      </w:r>
      <w:r w:rsidRPr="00A2773C">
        <w:rPr>
          <w:rFonts w:hAnsi="標楷體"/>
          <w:b/>
        </w:rPr>
        <w:t>1</w:t>
      </w:r>
      <w:r>
        <w:rPr>
          <w:rFonts w:hAnsi="標楷體" w:hint="eastAsia"/>
          <w:b/>
        </w:rPr>
        <w:t>2</w:t>
      </w:r>
      <w:r w:rsidRPr="00A2773C">
        <w:rPr>
          <w:rFonts w:hAnsi="標楷體" w:hint="eastAsia"/>
          <w:b/>
        </w:rPr>
        <w:t>年度</w:t>
      </w:r>
      <w:r>
        <w:rPr>
          <w:rFonts w:hAnsi="標楷體" w:hint="eastAsia"/>
          <w:b/>
        </w:rPr>
        <w:t xml:space="preserve">基金來源、用途及本期賸餘決算概況表                                     </w:t>
      </w:r>
      <w:r w:rsidRPr="002D0C40">
        <w:rPr>
          <w:rFonts w:hAnsi="標楷體" w:hint="eastAsia"/>
          <w:sz w:val="24"/>
          <w:szCs w:val="24"/>
        </w:rPr>
        <w:t xml:space="preserve"> 單位：新臺幣</w:t>
      </w:r>
      <w:r>
        <w:rPr>
          <w:rFonts w:hAnsi="標楷體" w:hint="eastAsia"/>
          <w:sz w:val="24"/>
          <w:szCs w:val="24"/>
        </w:rPr>
        <w:t>千</w:t>
      </w:r>
      <w:r w:rsidRPr="002D0C40">
        <w:rPr>
          <w:rFonts w:hAnsi="標楷體"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189"/>
        <w:gridCol w:w="1189"/>
        <w:gridCol w:w="1189"/>
        <w:gridCol w:w="1189"/>
        <w:gridCol w:w="1189"/>
      </w:tblGrid>
      <w:tr w:rsidR="00B12961" w:rsidRPr="000C3DFE" w:rsidTr="00180964">
        <w:trPr>
          <w:tblHeader/>
        </w:trPr>
        <w:tc>
          <w:tcPr>
            <w:tcW w:w="2552" w:type="dxa"/>
            <w:shd w:val="clear" w:color="auto" w:fill="auto"/>
            <w:vAlign w:val="center"/>
          </w:tcPr>
          <w:p w:rsidR="00B12961" w:rsidRPr="000C3DFE" w:rsidRDefault="00B12961" w:rsidP="003965D5">
            <w:pPr>
              <w:pStyle w:val="123"/>
              <w:spacing w:line="280" w:lineRule="exact"/>
              <w:ind w:leftChars="0" w:left="0" w:firstLineChars="0" w:firstLine="0"/>
              <w:jc w:val="center"/>
              <w:rPr>
                <w:rFonts w:hAnsi="標楷體"/>
                <w:b/>
                <w:spacing w:val="-20"/>
                <w:sz w:val="24"/>
                <w:szCs w:val="24"/>
              </w:rPr>
            </w:pPr>
            <w:r w:rsidRPr="000C3DFE">
              <w:rPr>
                <w:rFonts w:hAnsi="標楷體" w:hint="eastAsia"/>
                <w:b/>
                <w:spacing w:val="-20"/>
                <w:sz w:val="24"/>
                <w:szCs w:val="24"/>
              </w:rPr>
              <w:t>項目</w:t>
            </w:r>
            <w:r w:rsidRPr="000C3DFE">
              <w:rPr>
                <w:rFonts w:hAnsi="標楷體"/>
                <w:b/>
                <w:spacing w:val="-20"/>
                <w:sz w:val="24"/>
                <w:szCs w:val="24"/>
              </w:rPr>
              <w:t xml:space="preserve"> </w:t>
            </w:r>
          </w:p>
        </w:tc>
        <w:tc>
          <w:tcPr>
            <w:tcW w:w="1189" w:type="dxa"/>
          </w:tcPr>
          <w:p w:rsidR="00B12961" w:rsidRPr="000C3DFE" w:rsidRDefault="00B12961" w:rsidP="003965D5">
            <w:pPr>
              <w:pStyle w:val="123"/>
              <w:spacing w:line="280" w:lineRule="exact"/>
              <w:ind w:leftChars="0" w:left="0" w:firstLineChars="0" w:firstLine="0"/>
              <w:jc w:val="center"/>
              <w:rPr>
                <w:rFonts w:hAnsi="標楷體" w:hint="eastAsia"/>
                <w:b/>
                <w:spacing w:val="-20"/>
                <w:sz w:val="24"/>
                <w:szCs w:val="24"/>
              </w:rPr>
            </w:pPr>
            <w:r>
              <w:rPr>
                <w:rFonts w:hAnsi="標楷體" w:hint="eastAsia"/>
                <w:b/>
                <w:spacing w:val="-20"/>
                <w:sz w:val="24"/>
                <w:szCs w:val="24"/>
              </w:rPr>
              <w:t>108年度</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center"/>
              <w:rPr>
                <w:rFonts w:hAnsi="標楷體"/>
                <w:b/>
                <w:spacing w:val="-20"/>
                <w:sz w:val="24"/>
                <w:szCs w:val="24"/>
              </w:rPr>
            </w:pPr>
            <w:r w:rsidRPr="000C3DFE">
              <w:rPr>
                <w:rFonts w:hAnsi="標楷體" w:hint="eastAsia"/>
                <w:b/>
                <w:spacing w:val="-20"/>
                <w:sz w:val="24"/>
                <w:szCs w:val="24"/>
              </w:rPr>
              <w:t>109年度</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center"/>
              <w:rPr>
                <w:rFonts w:hAnsi="標楷體"/>
                <w:b/>
                <w:spacing w:val="-20"/>
                <w:sz w:val="24"/>
                <w:szCs w:val="24"/>
              </w:rPr>
            </w:pPr>
            <w:r w:rsidRPr="000C3DFE">
              <w:rPr>
                <w:rFonts w:hAnsi="標楷體" w:hint="eastAsia"/>
                <w:b/>
                <w:spacing w:val="-20"/>
                <w:sz w:val="24"/>
                <w:szCs w:val="24"/>
              </w:rPr>
              <w:t>110年度</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center"/>
              <w:rPr>
                <w:rFonts w:hAnsi="標楷體"/>
                <w:b/>
                <w:spacing w:val="-20"/>
                <w:sz w:val="24"/>
                <w:szCs w:val="24"/>
              </w:rPr>
            </w:pPr>
            <w:r w:rsidRPr="000C3DFE">
              <w:rPr>
                <w:rFonts w:hAnsi="標楷體" w:hint="eastAsia"/>
                <w:b/>
                <w:spacing w:val="-20"/>
                <w:sz w:val="24"/>
                <w:szCs w:val="24"/>
              </w:rPr>
              <w:t>111年度</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center"/>
              <w:rPr>
                <w:rFonts w:hAnsi="標楷體"/>
                <w:b/>
                <w:spacing w:val="-20"/>
                <w:sz w:val="24"/>
                <w:szCs w:val="24"/>
              </w:rPr>
            </w:pPr>
            <w:r w:rsidRPr="000C3DFE">
              <w:rPr>
                <w:rFonts w:hAnsi="標楷體" w:hint="eastAsia"/>
                <w:b/>
                <w:spacing w:val="-20"/>
                <w:sz w:val="24"/>
                <w:szCs w:val="24"/>
              </w:rPr>
              <w:t>112年度</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0" w:firstLineChars="0" w:firstLine="0"/>
              <w:rPr>
                <w:rFonts w:hAnsi="標楷體"/>
                <w:b/>
                <w:spacing w:val="-20"/>
                <w:sz w:val="24"/>
                <w:szCs w:val="24"/>
              </w:rPr>
            </w:pPr>
            <w:r w:rsidRPr="000C3DFE">
              <w:rPr>
                <w:rFonts w:hAnsi="標楷體" w:hint="eastAsia"/>
                <w:b/>
                <w:spacing w:val="-20"/>
                <w:sz w:val="24"/>
                <w:szCs w:val="24"/>
              </w:rPr>
              <w:t>基金來源</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hint="eastAsia"/>
                <w:b/>
                <w:spacing w:val="-20"/>
                <w:sz w:val="24"/>
                <w:szCs w:val="24"/>
              </w:rPr>
            </w:pPr>
            <w:r w:rsidRPr="000C3DFE">
              <w:rPr>
                <w:rFonts w:hAnsi="標楷體" w:hint="eastAsia"/>
                <w:b/>
                <w:spacing w:val="-20"/>
                <w:sz w:val="24"/>
                <w:szCs w:val="24"/>
              </w:rPr>
              <w:t>8,</w:t>
            </w:r>
            <w:r w:rsidRPr="000C3DFE">
              <w:rPr>
                <w:rFonts w:hAnsi="標楷體"/>
                <w:b/>
                <w:spacing w:val="-20"/>
                <w:sz w:val="24"/>
                <w:szCs w:val="24"/>
              </w:rPr>
              <w:t>167</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6</w:t>
            </w:r>
            <w:r w:rsidRPr="000C3DFE">
              <w:rPr>
                <w:rFonts w:hAnsi="標楷體"/>
                <w:b/>
                <w:spacing w:val="-20"/>
                <w:sz w:val="24"/>
                <w:szCs w:val="24"/>
              </w:rPr>
              <w:t>,310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1</w:t>
            </w:r>
            <w:r w:rsidRPr="000C3DFE">
              <w:rPr>
                <w:rFonts w:hAnsi="標楷體"/>
                <w:b/>
                <w:spacing w:val="-20"/>
                <w:sz w:val="24"/>
                <w:szCs w:val="24"/>
              </w:rPr>
              <w:t>2,834</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Pr>
                <w:rFonts w:hAnsi="標楷體" w:hint="eastAsia"/>
                <w:b/>
                <w:spacing w:val="-20"/>
                <w:sz w:val="24"/>
                <w:szCs w:val="24"/>
              </w:rPr>
              <w:t>18,</w:t>
            </w:r>
            <w:r>
              <w:rPr>
                <w:rFonts w:hAnsi="標楷體"/>
                <w:b/>
                <w:spacing w:val="-20"/>
                <w:sz w:val="24"/>
                <w:szCs w:val="24"/>
              </w:rPr>
              <w:t>688</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b/>
                <w:spacing w:val="-20"/>
                <w:sz w:val="24"/>
                <w:szCs w:val="24"/>
              </w:rPr>
            </w:pPr>
            <w:r w:rsidRPr="00254C0E">
              <w:rPr>
                <w:rFonts w:hAnsi="標楷體" w:hint="eastAsia"/>
                <w:b/>
                <w:spacing w:val="-20"/>
                <w:sz w:val="24"/>
                <w:szCs w:val="24"/>
              </w:rPr>
              <w:t>1</w:t>
            </w:r>
            <w:r w:rsidRPr="00254C0E">
              <w:rPr>
                <w:rFonts w:hAnsi="標楷體"/>
                <w:b/>
                <w:spacing w:val="-20"/>
                <w:sz w:val="24"/>
                <w:szCs w:val="24"/>
              </w:rPr>
              <w:t>6,201</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hint="eastAsia"/>
                <w:spacing w:val="-20"/>
                <w:sz w:val="24"/>
                <w:szCs w:val="24"/>
              </w:rPr>
            </w:pPr>
            <w:r w:rsidRPr="000C3DFE">
              <w:rPr>
                <w:rFonts w:hAnsi="標楷體" w:hint="eastAsia"/>
                <w:spacing w:val="-20"/>
                <w:sz w:val="24"/>
                <w:szCs w:val="24"/>
              </w:rPr>
              <w:t xml:space="preserve">　徵收及依法分配收入</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6</w:t>
            </w:r>
            <w:r w:rsidRPr="000C3DFE">
              <w:rPr>
                <w:rFonts w:hAnsi="標楷體"/>
                <w:spacing w:val="-20"/>
                <w:sz w:val="24"/>
                <w:szCs w:val="24"/>
              </w:rPr>
              <w:t>,667</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4</w:t>
            </w:r>
            <w:r w:rsidRPr="000C3DFE">
              <w:rPr>
                <w:rFonts w:hAnsi="標楷體"/>
                <w:spacing w:val="-20"/>
                <w:sz w:val="24"/>
                <w:szCs w:val="24"/>
              </w:rPr>
              <w:t>,910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r w:rsidRPr="000C3DFE">
              <w:rPr>
                <w:rFonts w:hAnsi="標楷體"/>
                <w:spacing w:val="-20"/>
                <w:sz w:val="24"/>
                <w:szCs w:val="24"/>
              </w:rPr>
              <w:t>1,367</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Pr>
                <w:rFonts w:hAnsi="標楷體" w:hint="eastAsia"/>
                <w:spacing w:val="-20"/>
                <w:sz w:val="24"/>
                <w:szCs w:val="24"/>
              </w:rPr>
              <w:t>1</w:t>
            </w:r>
            <w:r>
              <w:rPr>
                <w:rFonts w:hAnsi="標楷體"/>
                <w:spacing w:val="-20"/>
                <w:sz w:val="24"/>
                <w:szCs w:val="24"/>
              </w:rPr>
              <w:t>6,158</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spacing w:val="-20"/>
                <w:sz w:val="24"/>
                <w:szCs w:val="24"/>
              </w:rPr>
            </w:pPr>
            <w:r w:rsidRPr="00254C0E">
              <w:rPr>
                <w:rFonts w:hAnsi="標楷體" w:hint="eastAsia"/>
                <w:spacing w:val="-20"/>
                <w:sz w:val="24"/>
                <w:szCs w:val="24"/>
              </w:rPr>
              <w:t>9</w:t>
            </w:r>
            <w:r w:rsidRPr="00254C0E">
              <w:rPr>
                <w:rFonts w:hAnsi="標楷體"/>
                <w:spacing w:val="-20"/>
                <w:sz w:val="24"/>
                <w:szCs w:val="24"/>
              </w:rPr>
              <w:t>,109</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spacing w:val="-20"/>
                <w:sz w:val="24"/>
                <w:szCs w:val="24"/>
              </w:rPr>
            </w:pPr>
            <w:r w:rsidRPr="000C3DFE">
              <w:rPr>
                <w:rFonts w:hAnsi="標楷體" w:hint="eastAsia"/>
                <w:spacing w:val="-20"/>
                <w:sz w:val="24"/>
                <w:szCs w:val="24"/>
              </w:rPr>
              <w:t xml:space="preserve">　財產收入</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r w:rsidRPr="000C3DFE">
              <w:rPr>
                <w:rFonts w:hAnsi="標楷體"/>
                <w:spacing w:val="-20"/>
                <w:sz w:val="24"/>
                <w:szCs w:val="24"/>
              </w:rPr>
              <w:t>,500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r w:rsidRPr="000C3DFE">
              <w:rPr>
                <w:rFonts w:hAnsi="標楷體"/>
                <w:spacing w:val="-20"/>
                <w:sz w:val="24"/>
                <w:szCs w:val="24"/>
              </w:rPr>
              <w:t>,400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spacing w:val="-20"/>
                <w:sz w:val="24"/>
                <w:szCs w:val="24"/>
              </w:rPr>
              <w:t>1,466</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Pr>
                <w:rFonts w:hAnsi="標楷體" w:hint="eastAsia"/>
                <w:spacing w:val="-20"/>
                <w:sz w:val="24"/>
                <w:szCs w:val="24"/>
              </w:rPr>
              <w:t>2</w:t>
            </w:r>
            <w:r>
              <w:rPr>
                <w:rFonts w:hAnsi="標楷體"/>
                <w:spacing w:val="-20"/>
                <w:sz w:val="24"/>
                <w:szCs w:val="24"/>
              </w:rPr>
              <w:t>,530</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spacing w:val="-20"/>
                <w:sz w:val="24"/>
                <w:szCs w:val="24"/>
              </w:rPr>
            </w:pPr>
            <w:r w:rsidRPr="00254C0E">
              <w:rPr>
                <w:rFonts w:hAnsi="標楷體" w:hint="eastAsia"/>
                <w:spacing w:val="-20"/>
                <w:sz w:val="24"/>
                <w:szCs w:val="24"/>
              </w:rPr>
              <w:t>7</w:t>
            </w:r>
            <w:r w:rsidRPr="00254C0E">
              <w:rPr>
                <w:rFonts w:hAnsi="標楷體"/>
                <w:spacing w:val="-20"/>
                <w:sz w:val="24"/>
                <w:szCs w:val="24"/>
              </w:rPr>
              <w:t>,091</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hint="eastAsia"/>
                <w:spacing w:val="-20"/>
                <w:sz w:val="24"/>
                <w:szCs w:val="24"/>
              </w:rPr>
            </w:pPr>
            <w:r w:rsidRPr="000C3DFE">
              <w:rPr>
                <w:rFonts w:hAnsi="標楷體" w:hint="eastAsia"/>
                <w:spacing w:val="-20"/>
                <w:sz w:val="24"/>
                <w:szCs w:val="24"/>
              </w:rPr>
              <w:t xml:space="preserve">　其他收入</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hint="eastAsia"/>
                <w:spacing w:val="-20"/>
                <w:sz w:val="24"/>
                <w:szCs w:val="24"/>
              </w:rPr>
            </w:pPr>
            <w:r>
              <w:rPr>
                <w:rFonts w:hAnsi="標楷體" w:hint="eastAsia"/>
                <w:spacing w:val="-20"/>
                <w:sz w:val="24"/>
                <w:szCs w:val="24"/>
              </w:rPr>
              <w:t>-</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hint="eastAsia"/>
                <w:spacing w:val="-20"/>
                <w:sz w:val="24"/>
                <w:szCs w:val="24"/>
              </w:rPr>
            </w:pPr>
            <w:r w:rsidRPr="000C3DFE">
              <w:rPr>
                <w:rFonts w:hAnsi="標楷體" w:hint="eastAsia"/>
                <w:spacing w:val="-20"/>
                <w:sz w:val="24"/>
                <w:szCs w:val="24"/>
              </w:rPr>
              <w:t>-</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b/>
                <w:spacing w:val="-20"/>
                <w:sz w:val="24"/>
                <w:szCs w:val="24"/>
              </w:rPr>
            </w:pPr>
            <w:r w:rsidRPr="000C3DFE">
              <w:rPr>
                <w:rFonts w:hAnsi="標楷體" w:hint="eastAsia"/>
                <w:b/>
                <w:spacing w:val="-20"/>
                <w:sz w:val="24"/>
                <w:szCs w:val="24"/>
              </w:rPr>
              <w:t>基金用途</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1</w:t>
            </w:r>
            <w:r w:rsidRPr="000C3DFE">
              <w:rPr>
                <w:rFonts w:hAnsi="標楷體"/>
                <w:b/>
                <w:spacing w:val="-20"/>
                <w:sz w:val="24"/>
                <w:szCs w:val="24"/>
              </w:rPr>
              <w:t>4,848</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3</w:t>
            </w:r>
            <w:r w:rsidRPr="000C3DFE">
              <w:rPr>
                <w:rFonts w:hAnsi="標楷體"/>
                <w:b/>
                <w:spacing w:val="-20"/>
                <w:sz w:val="24"/>
                <w:szCs w:val="24"/>
              </w:rPr>
              <w:t>6,080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b/>
                <w:spacing w:val="-20"/>
                <w:sz w:val="24"/>
                <w:szCs w:val="24"/>
              </w:rPr>
              <w:t>40,926</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Pr>
                <w:rFonts w:hAnsi="標楷體"/>
                <w:b/>
                <w:spacing w:val="-20"/>
                <w:sz w:val="24"/>
                <w:szCs w:val="24"/>
              </w:rPr>
              <w:t>49,595</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b/>
                <w:spacing w:val="-20"/>
                <w:sz w:val="24"/>
                <w:szCs w:val="24"/>
              </w:rPr>
            </w:pPr>
            <w:r w:rsidRPr="00254C0E">
              <w:rPr>
                <w:rFonts w:hAnsi="標楷體" w:hint="eastAsia"/>
                <w:b/>
                <w:spacing w:val="-20"/>
                <w:sz w:val="24"/>
                <w:szCs w:val="24"/>
              </w:rPr>
              <w:t>7</w:t>
            </w:r>
            <w:r w:rsidRPr="00254C0E">
              <w:rPr>
                <w:rFonts w:hAnsi="標楷體"/>
                <w:b/>
                <w:spacing w:val="-20"/>
                <w:sz w:val="24"/>
                <w:szCs w:val="24"/>
              </w:rPr>
              <w:t>2,170</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spacing w:val="-20"/>
                <w:sz w:val="24"/>
                <w:szCs w:val="24"/>
              </w:rPr>
            </w:pPr>
            <w:r w:rsidRPr="000C3DFE">
              <w:rPr>
                <w:rFonts w:hAnsi="標楷體" w:hint="eastAsia"/>
                <w:spacing w:val="-20"/>
                <w:sz w:val="24"/>
                <w:szCs w:val="24"/>
              </w:rPr>
              <w:t xml:space="preserve">　強化反托拉斯執法計畫</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r w:rsidRPr="000C3DFE">
              <w:rPr>
                <w:rFonts w:hAnsi="標楷體"/>
                <w:spacing w:val="-20"/>
                <w:sz w:val="24"/>
                <w:szCs w:val="24"/>
              </w:rPr>
              <w:t>4,848</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2</w:t>
            </w:r>
            <w:r w:rsidRPr="000C3DFE">
              <w:rPr>
                <w:rFonts w:hAnsi="標楷體"/>
                <w:spacing w:val="-20"/>
                <w:sz w:val="24"/>
                <w:szCs w:val="24"/>
              </w:rPr>
              <w:t>6,197</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spacing w:val="-20"/>
                <w:sz w:val="24"/>
                <w:szCs w:val="24"/>
              </w:rPr>
              <w:t>30,000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Pr>
                <w:rFonts w:hAnsi="標楷體" w:hint="eastAsia"/>
                <w:spacing w:val="-20"/>
                <w:sz w:val="24"/>
                <w:szCs w:val="24"/>
              </w:rPr>
              <w:t>2</w:t>
            </w:r>
            <w:r>
              <w:rPr>
                <w:rFonts w:hAnsi="標楷體"/>
                <w:spacing w:val="-20"/>
                <w:sz w:val="24"/>
                <w:szCs w:val="24"/>
              </w:rPr>
              <w:t>9,412</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spacing w:val="-20"/>
                <w:sz w:val="24"/>
                <w:szCs w:val="24"/>
              </w:rPr>
            </w:pPr>
            <w:r w:rsidRPr="00254C0E">
              <w:rPr>
                <w:rFonts w:hAnsi="標楷體" w:hint="eastAsia"/>
                <w:spacing w:val="-20"/>
                <w:sz w:val="24"/>
                <w:szCs w:val="24"/>
              </w:rPr>
              <w:t>3</w:t>
            </w:r>
            <w:r w:rsidRPr="00254C0E">
              <w:rPr>
                <w:rFonts w:hAnsi="標楷體"/>
                <w:spacing w:val="-20"/>
                <w:sz w:val="24"/>
                <w:szCs w:val="24"/>
              </w:rPr>
              <w:t>7,119</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203" w:hanging="203"/>
              <w:rPr>
                <w:rFonts w:hAnsi="標楷體"/>
                <w:spacing w:val="-20"/>
                <w:sz w:val="24"/>
                <w:szCs w:val="24"/>
              </w:rPr>
            </w:pPr>
            <w:r w:rsidRPr="000C3DFE">
              <w:rPr>
                <w:rFonts w:hAnsi="標楷體" w:hint="eastAsia"/>
                <w:spacing w:val="-20"/>
                <w:sz w:val="24"/>
                <w:szCs w:val="24"/>
              </w:rPr>
              <w:t xml:space="preserve">　數位經濟政策研究及倡議計畫</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9</w:t>
            </w:r>
            <w:r w:rsidRPr="000C3DFE">
              <w:rPr>
                <w:rFonts w:hAnsi="標楷體"/>
                <w:spacing w:val="-20"/>
                <w:sz w:val="24"/>
                <w:szCs w:val="24"/>
              </w:rPr>
              <w:t>,883</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sidRPr="000C3DFE">
              <w:rPr>
                <w:rFonts w:hAnsi="標楷體" w:hint="eastAsia"/>
                <w:spacing w:val="-20"/>
                <w:sz w:val="24"/>
                <w:szCs w:val="24"/>
              </w:rPr>
              <w:t>1</w:t>
            </w:r>
            <w:r w:rsidRPr="000C3DFE">
              <w:rPr>
                <w:rFonts w:hAnsi="標楷體"/>
                <w:spacing w:val="-20"/>
                <w:sz w:val="24"/>
                <w:szCs w:val="24"/>
              </w:rPr>
              <w:t>0,926</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spacing w:val="-20"/>
                <w:sz w:val="24"/>
                <w:szCs w:val="24"/>
              </w:rPr>
            </w:pPr>
            <w:r>
              <w:rPr>
                <w:rFonts w:hAnsi="標楷體" w:hint="eastAsia"/>
                <w:spacing w:val="-20"/>
                <w:sz w:val="24"/>
                <w:szCs w:val="24"/>
              </w:rPr>
              <w:t>1</w:t>
            </w:r>
            <w:r>
              <w:rPr>
                <w:rFonts w:hAnsi="標楷體"/>
                <w:spacing w:val="-20"/>
                <w:sz w:val="24"/>
                <w:szCs w:val="24"/>
              </w:rPr>
              <w:t>7,183</w:t>
            </w:r>
          </w:p>
        </w:tc>
        <w:tc>
          <w:tcPr>
            <w:tcW w:w="1189" w:type="dxa"/>
            <w:shd w:val="clear" w:color="auto" w:fill="auto"/>
            <w:vAlign w:val="center"/>
          </w:tcPr>
          <w:p w:rsidR="00B12961" w:rsidRPr="00254C0E" w:rsidRDefault="00B12961" w:rsidP="003965D5">
            <w:pPr>
              <w:pStyle w:val="123"/>
              <w:spacing w:line="280" w:lineRule="exact"/>
              <w:ind w:leftChars="0" w:left="0" w:firstLineChars="0" w:firstLine="0"/>
              <w:jc w:val="right"/>
              <w:rPr>
                <w:rFonts w:hAnsi="標楷體"/>
                <w:spacing w:val="-20"/>
                <w:sz w:val="24"/>
                <w:szCs w:val="24"/>
              </w:rPr>
            </w:pPr>
            <w:r w:rsidRPr="00254C0E">
              <w:rPr>
                <w:rFonts w:hAnsi="標楷體" w:hint="eastAsia"/>
                <w:spacing w:val="-20"/>
                <w:sz w:val="24"/>
                <w:szCs w:val="24"/>
              </w:rPr>
              <w:t>3</w:t>
            </w:r>
            <w:r w:rsidRPr="00254C0E">
              <w:rPr>
                <w:rFonts w:hAnsi="標楷體"/>
                <w:spacing w:val="-20"/>
                <w:sz w:val="24"/>
                <w:szCs w:val="24"/>
              </w:rPr>
              <w:t>5,050</w:t>
            </w:r>
          </w:p>
        </w:tc>
      </w:tr>
      <w:tr w:rsidR="00B12961" w:rsidRPr="000C3DFE" w:rsidTr="00180964">
        <w:tc>
          <w:tcPr>
            <w:tcW w:w="2552" w:type="dxa"/>
            <w:shd w:val="clear" w:color="auto" w:fill="auto"/>
          </w:tcPr>
          <w:p w:rsidR="00B12961" w:rsidRPr="000C3DFE" w:rsidRDefault="00B12961" w:rsidP="003965D5">
            <w:pPr>
              <w:pStyle w:val="123"/>
              <w:spacing w:line="280" w:lineRule="exact"/>
              <w:ind w:leftChars="0" w:left="0" w:firstLineChars="0" w:firstLine="0"/>
              <w:rPr>
                <w:rFonts w:hAnsi="標楷體"/>
                <w:b/>
                <w:spacing w:val="-20"/>
                <w:sz w:val="24"/>
                <w:szCs w:val="24"/>
              </w:rPr>
            </w:pPr>
            <w:r w:rsidRPr="000C3DFE">
              <w:rPr>
                <w:rFonts w:hAnsi="標楷體" w:hint="eastAsia"/>
                <w:b/>
                <w:spacing w:val="-20"/>
                <w:sz w:val="24"/>
                <w:szCs w:val="24"/>
              </w:rPr>
              <w:t>本期賸餘(短絀)</w:t>
            </w:r>
          </w:p>
        </w:tc>
        <w:tc>
          <w:tcPr>
            <w:tcW w:w="1189" w:type="dxa"/>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w:t>
            </w:r>
            <w:r w:rsidRPr="000C3DFE">
              <w:rPr>
                <w:rFonts w:hAnsi="標楷體"/>
                <w:b/>
                <w:spacing w:val="-20"/>
                <w:sz w:val="24"/>
                <w:szCs w:val="24"/>
              </w:rPr>
              <w:t>6,681)</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w:t>
            </w:r>
            <w:r w:rsidRPr="000C3DFE">
              <w:rPr>
                <w:rFonts w:hAnsi="標楷體"/>
                <w:b/>
                <w:spacing w:val="-20"/>
                <w:sz w:val="24"/>
                <w:szCs w:val="24"/>
              </w:rPr>
              <w:t>29,770)</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sidRPr="000C3DFE">
              <w:rPr>
                <w:rFonts w:hAnsi="標楷體" w:hint="eastAsia"/>
                <w:b/>
                <w:spacing w:val="-20"/>
                <w:sz w:val="24"/>
                <w:szCs w:val="24"/>
              </w:rPr>
              <w:t>(</w:t>
            </w:r>
            <w:r w:rsidRPr="000C3DFE">
              <w:rPr>
                <w:rFonts w:hAnsi="標楷體"/>
                <w:b/>
                <w:spacing w:val="-20"/>
                <w:sz w:val="24"/>
                <w:szCs w:val="24"/>
              </w:rPr>
              <w:t>28,092)</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Pr>
                <w:rFonts w:hAnsi="標楷體" w:hint="eastAsia"/>
                <w:b/>
                <w:spacing w:val="-20"/>
                <w:sz w:val="24"/>
                <w:szCs w:val="24"/>
              </w:rPr>
              <w:t>(</w:t>
            </w:r>
            <w:r>
              <w:rPr>
                <w:rFonts w:hAnsi="標楷體"/>
                <w:b/>
                <w:spacing w:val="-20"/>
                <w:sz w:val="24"/>
                <w:szCs w:val="24"/>
              </w:rPr>
              <w:t>27,907)</w:t>
            </w:r>
          </w:p>
        </w:tc>
        <w:tc>
          <w:tcPr>
            <w:tcW w:w="1189" w:type="dxa"/>
            <w:shd w:val="clear" w:color="auto" w:fill="auto"/>
            <w:vAlign w:val="center"/>
          </w:tcPr>
          <w:p w:rsidR="00B12961" w:rsidRPr="000C3DFE" w:rsidRDefault="00B12961" w:rsidP="003965D5">
            <w:pPr>
              <w:pStyle w:val="123"/>
              <w:spacing w:line="280" w:lineRule="exact"/>
              <w:ind w:leftChars="0" w:left="0" w:firstLineChars="0" w:firstLine="0"/>
              <w:jc w:val="right"/>
              <w:rPr>
                <w:rFonts w:hAnsi="標楷體"/>
                <w:b/>
                <w:spacing w:val="-20"/>
                <w:sz w:val="24"/>
                <w:szCs w:val="24"/>
              </w:rPr>
            </w:pPr>
            <w:r>
              <w:rPr>
                <w:rFonts w:hAnsi="標楷體" w:hint="eastAsia"/>
                <w:b/>
                <w:spacing w:val="-20"/>
                <w:sz w:val="24"/>
                <w:szCs w:val="24"/>
              </w:rPr>
              <w:t>(</w:t>
            </w:r>
            <w:r w:rsidRPr="00254C0E">
              <w:rPr>
                <w:rFonts w:hAnsi="標楷體"/>
                <w:b/>
                <w:spacing w:val="-20"/>
                <w:sz w:val="24"/>
                <w:szCs w:val="24"/>
              </w:rPr>
              <w:t>55,969</w:t>
            </w:r>
            <w:r>
              <w:rPr>
                <w:rFonts w:hAnsi="標楷體"/>
                <w:b/>
                <w:spacing w:val="-20"/>
                <w:sz w:val="24"/>
                <w:szCs w:val="24"/>
              </w:rPr>
              <w:t>)</w:t>
            </w:r>
          </w:p>
        </w:tc>
      </w:tr>
    </w:tbl>
    <w:p w:rsidR="00B12961" w:rsidRPr="00B917B4" w:rsidRDefault="00B12961" w:rsidP="00254C0E">
      <w:pPr>
        <w:pStyle w:val="142"/>
        <w:ind w:left="1216" w:hangingChars="500" w:hanging="1216"/>
        <w:rPr>
          <w:rFonts w:hint="eastAsia"/>
        </w:rPr>
      </w:pPr>
      <w:r w:rsidRPr="00CD6158">
        <w:rPr>
          <w:rFonts w:hint="eastAsia"/>
        </w:rPr>
        <w:t>資料來源</w:t>
      </w:r>
      <w:r>
        <w:rPr>
          <w:rFonts w:hAnsi="標楷體" w:hint="eastAsia"/>
        </w:rPr>
        <w:t>：反托拉斯基金108至112年度審定決算書。</w:t>
      </w:r>
    </w:p>
    <w:p w:rsidR="00B12961" w:rsidRDefault="00B12961" w:rsidP="00254C0E">
      <w:pPr>
        <w:pStyle w:val="a4"/>
        <w:ind w:left="849" w:hanging="283"/>
        <w:rPr>
          <w:rFonts w:hint="eastAsia"/>
          <w:b/>
        </w:rPr>
      </w:pPr>
      <w:r w:rsidRPr="00DF004E">
        <w:rPr>
          <w:rFonts w:hint="eastAsia"/>
          <w:b/>
        </w:rPr>
        <w:t>(</w:t>
      </w:r>
      <w:r>
        <w:rPr>
          <w:rFonts w:hint="eastAsia"/>
          <w:b/>
        </w:rPr>
        <w:t>二</w:t>
      </w:r>
      <w:r w:rsidRPr="00DF004E">
        <w:rPr>
          <w:rFonts w:hint="eastAsia"/>
          <w:b/>
        </w:rPr>
        <w:t>)</w:t>
      </w:r>
      <w:r>
        <w:rPr>
          <w:rFonts w:hint="eastAsia"/>
          <w:b/>
        </w:rPr>
        <w:t>為</w:t>
      </w:r>
      <w:r w:rsidRPr="00785E6E">
        <w:rPr>
          <w:rFonts w:hint="eastAsia"/>
          <w:b/>
        </w:rPr>
        <w:t>提升運用效益，允宜</w:t>
      </w:r>
      <w:r>
        <w:rPr>
          <w:rFonts w:hint="eastAsia"/>
          <w:b/>
        </w:rPr>
        <w:t>於</w:t>
      </w:r>
      <w:r w:rsidRPr="00A95E0C">
        <w:rPr>
          <w:rFonts w:hint="eastAsia"/>
          <w:b/>
        </w:rPr>
        <w:t>兼顧收益性及安全性</w:t>
      </w:r>
      <w:r>
        <w:rPr>
          <w:rFonts w:hint="eastAsia"/>
          <w:b/>
        </w:rPr>
        <w:t>情形下，</w:t>
      </w:r>
      <w:r w:rsidRPr="00785E6E">
        <w:rPr>
          <w:rFonts w:hint="eastAsia"/>
          <w:b/>
        </w:rPr>
        <w:t>妥適規劃餘裕資金之配置</w:t>
      </w:r>
    </w:p>
    <w:p w:rsidR="00B12961" w:rsidRDefault="00B12961" w:rsidP="00785E6E">
      <w:pPr>
        <w:pStyle w:val="21"/>
        <w:ind w:left="850" w:firstLine="566"/>
      </w:pPr>
      <w:r>
        <w:rPr>
          <w:rFonts w:hint="eastAsia"/>
        </w:rPr>
        <w:t>依</w:t>
      </w:r>
      <w:r w:rsidRPr="00AB78AB">
        <w:rPr>
          <w:rFonts w:hint="eastAsia"/>
        </w:rPr>
        <w:t>反托拉斯基金收支保管及運用辦法第3條規定：「本基金之來源如下：一、提撥違反本法罰鍰之</w:t>
      </w:r>
      <w:r>
        <w:rPr>
          <w:rFonts w:hint="eastAsia"/>
        </w:rPr>
        <w:t>30%</w:t>
      </w:r>
      <w:r w:rsidRPr="00AB78AB">
        <w:rPr>
          <w:rFonts w:hint="eastAsia"/>
        </w:rPr>
        <w:t>。二、</w:t>
      </w:r>
      <w:r w:rsidRPr="00C934B2">
        <w:rPr>
          <w:rFonts w:hint="eastAsia"/>
          <w:u w:val="single"/>
        </w:rPr>
        <w:t>基金孳息收入</w:t>
      </w:r>
      <w:r w:rsidRPr="00AB78AB">
        <w:rPr>
          <w:rFonts w:hint="eastAsia"/>
        </w:rPr>
        <w:t>。</w:t>
      </w:r>
      <w:r w:rsidRPr="00311F74">
        <w:rPr>
          <w:rFonts w:hAnsi="標楷體"/>
        </w:rPr>
        <w:t>…</w:t>
      </w:r>
      <w:r w:rsidRPr="00311F74">
        <w:rPr>
          <w:rFonts w:hAnsi="標楷體" w:hint="eastAsia"/>
        </w:rPr>
        <w:t>。</w:t>
      </w:r>
      <w:r w:rsidRPr="00AB78AB">
        <w:rPr>
          <w:rFonts w:hint="eastAsia"/>
        </w:rPr>
        <w:t>」</w:t>
      </w:r>
      <w:r>
        <w:rPr>
          <w:rFonts w:hint="eastAsia"/>
        </w:rPr>
        <w:t>檢視反托拉斯基金近5年</w:t>
      </w:r>
      <w:r w:rsidRPr="00D21112">
        <w:rPr>
          <w:rFonts w:hAnsi="標楷體" w:hint="eastAsia"/>
        </w:rPr>
        <w:t>餘裕資金運用配置及其孳息收入概況</w:t>
      </w:r>
      <w:r>
        <w:rPr>
          <w:rFonts w:hint="eastAsia"/>
        </w:rPr>
        <w:t>(詳表2)，該基金每年度餘裕資金概呈下降趨勢，112年度已低於9億元，其配置方式為4億9,000萬元固定作為定期存款，其餘金額均為活期存款</w:t>
      </w:r>
      <w:r w:rsidRPr="009C13AF">
        <w:rPr>
          <w:rFonts w:hint="eastAsia"/>
        </w:rPr>
        <w:t>。</w:t>
      </w:r>
      <w:r>
        <w:rPr>
          <w:rFonts w:hint="eastAsia"/>
        </w:rPr>
        <w:t>復依前述</w:t>
      </w:r>
      <w:r w:rsidRPr="00AB78AB">
        <w:rPr>
          <w:rFonts w:hint="eastAsia"/>
        </w:rPr>
        <w:t>辦法第5、6</w:t>
      </w:r>
      <w:r>
        <w:rPr>
          <w:rFonts w:hint="eastAsia"/>
        </w:rPr>
        <w:t>條</w:t>
      </w:r>
      <w:r w:rsidRPr="00AB78AB">
        <w:rPr>
          <w:rFonts w:hint="eastAsia"/>
        </w:rPr>
        <w:t>規定：「本基金之</w:t>
      </w:r>
      <w:r w:rsidRPr="00E00960">
        <w:rPr>
          <w:rFonts w:hint="eastAsia"/>
          <w:u w:val="single"/>
        </w:rPr>
        <w:t>保管及運用應注重收益性及安全性</w:t>
      </w:r>
      <w:r w:rsidRPr="00AB78AB">
        <w:rPr>
          <w:rFonts w:hint="eastAsia"/>
        </w:rPr>
        <w:t>，其存儲並應依公庫法及其相關法令規定辦理。」、「本基金</w:t>
      </w:r>
      <w:r w:rsidRPr="00E00960">
        <w:rPr>
          <w:rFonts w:hint="eastAsia"/>
          <w:u w:val="single"/>
        </w:rPr>
        <w:t>為應業務需要，得購買政府公債、國庫券或其他短期票券</w:t>
      </w:r>
      <w:r w:rsidRPr="00AB78AB">
        <w:rPr>
          <w:rFonts w:hint="eastAsia"/>
        </w:rPr>
        <w:t>。</w:t>
      </w:r>
      <w:r>
        <w:rPr>
          <w:rFonts w:hAnsi="標楷體" w:hint="eastAsia"/>
        </w:rPr>
        <w:t>」</w:t>
      </w:r>
      <w:r w:rsidRPr="0074416E">
        <w:rPr>
          <w:rFonts w:hAnsi="標楷體" w:hint="eastAsia"/>
        </w:rPr>
        <w:t>是以，</w:t>
      </w:r>
      <w:r w:rsidRPr="00D22109">
        <w:rPr>
          <w:rFonts w:hint="eastAsia"/>
        </w:rPr>
        <w:t>反托拉斯基金對餘裕基金之保管及運用，允應兼顧收益性及安全性，</w:t>
      </w:r>
      <w:r>
        <w:rPr>
          <w:rFonts w:hint="eastAsia"/>
        </w:rPr>
        <w:t>研議</w:t>
      </w:r>
      <w:r w:rsidRPr="00D22109">
        <w:rPr>
          <w:rFonts w:hint="eastAsia"/>
        </w:rPr>
        <w:t>將部分基金投資於政府公債、國庫券或其他短期票券，以分散風險並提升基金運用效益。</w:t>
      </w:r>
    </w:p>
    <w:p w:rsidR="00B12961" w:rsidRDefault="00B12961" w:rsidP="00C65DDF">
      <w:pPr>
        <w:ind w:left="566" w:firstLine="566"/>
        <w:rPr>
          <w:rFonts w:hAnsi="標楷體"/>
        </w:rPr>
      </w:pPr>
      <w:r>
        <w:rPr>
          <w:rFonts w:hint="eastAsia"/>
        </w:rPr>
        <w:t>綜上</w:t>
      </w:r>
      <w:r>
        <w:rPr>
          <w:rFonts w:hAnsi="標楷體" w:hint="eastAsia"/>
        </w:rPr>
        <w:t>，反托拉斯基金近5年基金來源未明顯提升，且基金用途逐年攀升，致112年度短絀達</w:t>
      </w:r>
      <w:r w:rsidRPr="00A95E0C">
        <w:rPr>
          <w:rFonts w:hAnsi="標楷體" w:hint="eastAsia"/>
        </w:rPr>
        <w:t>5,596萬9千元，</w:t>
      </w:r>
      <w:r>
        <w:rPr>
          <w:rFonts w:hAnsi="標楷體" w:hint="eastAsia"/>
        </w:rPr>
        <w:t>較111年度短絀增加1.01倍，</w:t>
      </w:r>
      <w:r w:rsidRPr="003965D5">
        <w:rPr>
          <w:rFonts w:hAnsi="標楷體" w:hint="eastAsia"/>
        </w:rPr>
        <w:t>允宜於兼顧風險控管下，妥適規劃配置餘裕資金，俾提</w:t>
      </w:r>
      <w:r>
        <w:rPr>
          <w:rFonts w:hAnsi="標楷體" w:hint="eastAsia"/>
        </w:rPr>
        <w:t>高</w:t>
      </w:r>
      <w:r w:rsidRPr="003965D5">
        <w:rPr>
          <w:rFonts w:hAnsi="標楷體" w:hint="eastAsia"/>
        </w:rPr>
        <w:t>收益</w:t>
      </w:r>
      <w:r>
        <w:rPr>
          <w:rFonts w:hAnsi="標楷體" w:hint="eastAsia"/>
        </w:rPr>
        <w:t>。</w:t>
      </w:r>
    </w:p>
    <w:bookmarkEnd w:id="25"/>
    <w:p w:rsidR="00B12961" w:rsidRDefault="00B12961" w:rsidP="00A95E0C">
      <w:pPr>
        <w:adjustRightInd w:val="0"/>
        <w:ind w:leftChars="0" w:left="709" w:hangingChars="250" w:hanging="709"/>
        <w:jc w:val="left"/>
        <w:rPr>
          <w:rFonts w:hAnsi="標楷體"/>
          <w:sz w:val="24"/>
        </w:rPr>
      </w:pPr>
      <w:r>
        <w:rPr>
          <w:rFonts w:hAnsi="標楷體" w:hint="eastAsia"/>
          <w:b/>
        </w:rPr>
        <w:t xml:space="preserve">表2  </w:t>
      </w:r>
      <w:r w:rsidRPr="00D21112">
        <w:rPr>
          <w:rFonts w:hAnsi="標楷體" w:hint="eastAsia"/>
          <w:b/>
        </w:rPr>
        <w:t>10</w:t>
      </w:r>
      <w:r>
        <w:rPr>
          <w:rFonts w:hAnsi="標楷體" w:hint="eastAsia"/>
          <w:b/>
        </w:rPr>
        <w:t>8</w:t>
      </w:r>
      <w:r w:rsidRPr="00D21112">
        <w:rPr>
          <w:rFonts w:hAnsi="標楷體" w:hint="eastAsia"/>
          <w:b/>
        </w:rPr>
        <w:t>至1</w:t>
      </w:r>
      <w:r>
        <w:rPr>
          <w:rFonts w:hAnsi="標楷體" w:hint="eastAsia"/>
          <w:b/>
        </w:rPr>
        <w:t xml:space="preserve">12年度反托拉斯基金之餘裕資金運用配置及其孳息收入概況                                    </w:t>
      </w:r>
      <w:r w:rsidRPr="00D21112">
        <w:rPr>
          <w:rFonts w:hAnsi="標楷體" w:hint="eastAsia"/>
          <w:sz w:val="24"/>
        </w:rPr>
        <w:t>單位：新臺幣千元；%</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1"/>
        <w:gridCol w:w="1285"/>
        <w:gridCol w:w="1251"/>
        <w:gridCol w:w="1253"/>
        <w:gridCol w:w="1251"/>
        <w:gridCol w:w="1253"/>
        <w:gridCol w:w="1246"/>
      </w:tblGrid>
      <w:tr w:rsidR="00B12961" w:rsidRPr="00A74B8D" w:rsidTr="00A95E0C">
        <w:trPr>
          <w:trHeight w:val="20"/>
          <w:tblHeader/>
        </w:trPr>
        <w:tc>
          <w:tcPr>
            <w:tcW w:w="1346" w:type="pct"/>
            <w:gridSpan w:val="2"/>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cs="新細明體"/>
                <w:b/>
                <w:snapToGrid/>
                <w:color w:val="000000"/>
                <w:spacing w:val="-20"/>
                <w:kern w:val="0"/>
                <w:sz w:val="24"/>
                <w:szCs w:val="24"/>
              </w:rPr>
            </w:pPr>
            <w:r w:rsidRPr="00A74B8D">
              <w:rPr>
                <w:rFonts w:hAnsi="標楷體" w:cs="新細明體" w:hint="eastAsia"/>
                <w:b/>
                <w:snapToGrid/>
                <w:color w:val="000000"/>
                <w:spacing w:val="-20"/>
                <w:kern w:val="0"/>
                <w:sz w:val="24"/>
                <w:szCs w:val="24"/>
                <w:lang w:eastAsia="zh-HK"/>
              </w:rPr>
              <w:t>項目</w:t>
            </w:r>
          </w:p>
        </w:tc>
        <w:tc>
          <w:tcPr>
            <w:tcW w:w="731" w:type="pct"/>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hint="eastAsia"/>
                <w:b/>
                <w:snapToGrid/>
                <w:color w:val="000000"/>
                <w:spacing w:val="-20"/>
                <w:kern w:val="0"/>
                <w:sz w:val="24"/>
                <w:szCs w:val="24"/>
              </w:rPr>
            </w:pPr>
            <w:r w:rsidRPr="00A74B8D">
              <w:rPr>
                <w:rFonts w:hAnsi="標楷體"/>
                <w:b/>
                <w:snapToGrid/>
                <w:color w:val="000000"/>
                <w:spacing w:val="-20"/>
                <w:kern w:val="0"/>
                <w:sz w:val="24"/>
                <w:szCs w:val="24"/>
              </w:rPr>
              <w:t>108年度</w:t>
            </w:r>
          </w:p>
        </w:tc>
        <w:tc>
          <w:tcPr>
            <w:tcW w:w="732" w:type="pct"/>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b/>
                <w:snapToGrid/>
                <w:color w:val="000000"/>
                <w:spacing w:val="-20"/>
                <w:kern w:val="0"/>
                <w:sz w:val="24"/>
                <w:szCs w:val="24"/>
              </w:rPr>
            </w:pPr>
            <w:r w:rsidRPr="00A74B8D">
              <w:rPr>
                <w:rFonts w:hAnsi="標楷體"/>
                <w:b/>
                <w:snapToGrid/>
                <w:color w:val="000000"/>
                <w:spacing w:val="-20"/>
                <w:kern w:val="0"/>
                <w:sz w:val="24"/>
                <w:szCs w:val="24"/>
              </w:rPr>
              <w:t>109</w:t>
            </w:r>
            <w:r w:rsidRPr="00A74B8D">
              <w:rPr>
                <w:rFonts w:hAnsi="標楷體" w:hint="eastAsia"/>
                <w:b/>
                <w:snapToGrid/>
                <w:color w:val="000000"/>
                <w:spacing w:val="-20"/>
                <w:kern w:val="0"/>
                <w:sz w:val="24"/>
                <w:szCs w:val="24"/>
              </w:rPr>
              <w:t>年度</w:t>
            </w:r>
          </w:p>
        </w:tc>
        <w:tc>
          <w:tcPr>
            <w:tcW w:w="731" w:type="pct"/>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b/>
                <w:snapToGrid/>
                <w:color w:val="000000"/>
                <w:spacing w:val="-20"/>
                <w:kern w:val="0"/>
                <w:sz w:val="24"/>
                <w:szCs w:val="24"/>
              </w:rPr>
            </w:pPr>
            <w:r w:rsidRPr="00A74B8D">
              <w:rPr>
                <w:rFonts w:hAnsi="標楷體"/>
                <w:b/>
                <w:snapToGrid/>
                <w:color w:val="000000"/>
                <w:spacing w:val="-20"/>
                <w:kern w:val="0"/>
                <w:sz w:val="24"/>
                <w:szCs w:val="24"/>
              </w:rPr>
              <w:t>110</w:t>
            </w:r>
            <w:r w:rsidRPr="00A74B8D">
              <w:rPr>
                <w:rFonts w:hAnsi="標楷體" w:hint="eastAsia"/>
                <w:b/>
                <w:snapToGrid/>
                <w:color w:val="000000"/>
                <w:spacing w:val="-20"/>
                <w:kern w:val="0"/>
                <w:sz w:val="24"/>
                <w:szCs w:val="24"/>
              </w:rPr>
              <w:t>年度</w:t>
            </w:r>
          </w:p>
        </w:tc>
        <w:tc>
          <w:tcPr>
            <w:tcW w:w="732" w:type="pct"/>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b/>
                <w:snapToGrid/>
                <w:color w:val="000000"/>
                <w:spacing w:val="-20"/>
                <w:kern w:val="0"/>
                <w:sz w:val="24"/>
                <w:szCs w:val="24"/>
              </w:rPr>
            </w:pPr>
            <w:r w:rsidRPr="00A74B8D">
              <w:rPr>
                <w:rFonts w:hAnsi="標楷體"/>
                <w:b/>
                <w:snapToGrid/>
                <w:color w:val="000000"/>
                <w:spacing w:val="-20"/>
                <w:kern w:val="0"/>
                <w:sz w:val="24"/>
                <w:szCs w:val="24"/>
              </w:rPr>
              <w:t>111</w:t>
            </w:r>
            <w:r w:rsidRPr="00A74B8D">
              <w:rPr>
                <w:rFonts w:hAnsi="標楷體" w:hint="eastAsia"/>
                <w:b/>
                <w:snapToGrid/>
                <w:color w:val="000000"/>
                <w:spacing w:val="-20"/>
                <w:kern w:val="0"/>
                <w:sz w:val="24"/>
                <w:szCs w:val="24"/>
              </w:rPr>
              <w:t>年度</w:t>
            </w:r>
          </w:p>
        </w:tc>
        <w:tc>
          <w:tcPr>
            <w:tcW w:w="729" w:type="pct"/>
            <w:shd w:val="clear" w:color="auto" w:fill="auto"/>
            <w:vAlign w:val="center"/>
            <w:hideMark/>
          </w:tcPr>
          <w:p w:rsidR="00B12961" w:rsidRPr="00A74B8D" w:rsidRDefault="00B12961" w:rsidP="00180964">
            <w:pPr>
              <w:widowControl/>
              <w:spacing w:line="260" w:lineRule="exact"/>
              <w:ind w:leftChars="0" w:left="0" w:firstLineChars="0" w:firstLine="0"/>
              <w:jc w:val="center"/>
              <w:rPr>
                <w:rFonts w:hAnsi="標楷體"/>
                <w:b/>
                <w:snapToGrid/>
                <w:color w:val="000000"/>
                <w:spacing w:val="-20"/>
                <w:kern w:val="0"/>
                <w:sz w:val="24"/>
                <w:szCs w:val="24"/>
              </w:rPr>
            </w:pPr>
            <w:r w:rsidRPr="00A74B8D">
              <w:rPr>
                <w:rFonts w:hAnsi="標楷體"/>
                <w:b/>
                <w:snapToGrid/>
                <w:color w:val="000000"/>
                <w:spacing w:val="-20"/>
                <w:kern w:val="0"/>
                <w:sz w:val="24"/>
                <w:szCs w:val="24"/>
              </w:rPr>
              <w:t>112</w:t>
            </w:r>
            <w:r w:rsidRPr="00A74B8D">
              <w:rPr>
                <w:rFonts w:hAnsi="標楷體" w:hint="eastAsia"/>
                <w:b/>
                <w:snapToGrid/>
                <w:color w:val="000000"/>
                <w:spacing w:val="-20"/>
                <w:kern w:val="0"/>
                <w:sz w:val="24"/>
                <w:szCs w:val="24"/>
              </w:rPr>
              <w:t>年度</w:t>
            </w:r>
          </w:p>
        </w:tc>
      </w:tr>
      <w:tr w:rsidR="00B12961" w:rsidRPr="00A74B8D" w:rsidTr="00A95E0C">
        <w:trPr>
          <w:trHeight w:val="20"/>
        </w:trPr>
        <w:tc>
          <w:tcPr>
            <w:tcW w:w="596" w:type="pct"/>
            <w:vMerge w:val="restar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活期存款</w:t>
            </w: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配置金額</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497,214</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504,264</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478,275</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452,754</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392,59</w:t>
            </w:r>
            <w:r w:rsidRPr="00A95E0C">
              <w:rPr>
                <w:rFonts w:hAnsi="標楷體" w:cs="新細明體" w:hint="eastAsia"/>
                <w:snapToGrid/>
                <w:color w:val="000000"/>
                <w:spacing w:val="-20"/>
                <w:kern w:val="0"/>
                <w:sz w:val="24"/>
                <w:szCs w:val="24"/>
              </w:rPr>
              <w:t>2</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孳息收入</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419</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253</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199</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76</w:t>
            </w:r>
            <w:r w:rsidRPr="00A95E0C">
              <w:rPr>
                <w:rFonts w:hAnsi="標楷體" w:cs="新細明體" w:hint="eastAsia"/>
                <w:snapToGrid/>
                <w:color w:val="000000"/>
                <w:spacing w:val="-20"/>
                <w:kern w:val="0"/>
                <w:sz w:val="24"/>
                <w:szCs w:val="24"/>
              </w:rPr>
              <w:t>9</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2,359</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利率</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0.08</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0.04</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0.04</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0.170</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0.</w:t>
            </w:r>
            <w:r w:rsidRPr="00A95E0C">
              <w:rPr>
                <w:rFonts w:hAnsi="標楷體" w:cs="新細明體" w:hint="eastAsia"/>
                <w:snapToGrid/>
                <w:color w:val="000000"/>
                <w:spacing w:val="-20"/>
                <w:kern w:val="0"/>
                <w:sz w:val="24"/>
                <w:szCs w:val="24"/>
              </w:rPr>
              <w:t>601</w:t>
            </w:r>
          </w:p>
        </w:tc>
      </w:tr>
      <w:tr w:rsidR="00B12961" w:rsidRPr="00A74B8D" w:rsidTr="00A95E0C">
        <w:trPr>
          <w:trHeight w:val="20"/>
        </w:trPr>
        <w:tc>
          <w:tcPr>
            <w:tcW w:w="596" w:type="pct"/>
            <w:vMerge w:val="restar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定期存款</w:t>
            </w: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配置金額</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490,000</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490,000</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490,000</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490,000</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490,000</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孳息收入</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1,081</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1,147</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1,267</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1,76</w:t>
            </w:r>
            <w:r w:rsidRPr="00A95E0C">
              <w:rPr>
                <w:rFonts w:hAnsi="標楷體" w:cs="新細明體" w:hint="eastAsia"/>
                <w:snapToGrid/>
                <w:color w:val="000000"/>
                <w:spacing w:val="-20"/>
                <w:kern w:val="0"/>
                <w:sz w:val="24"/>
                <w:szCs w:val="24"/>
              </w:rPr>
              <w:t>1</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4,73</w:t>
            </w:r>
            <w:r w:rsidRPr="00A95E0C">
              <w:rPr>
                <w:rFonts w:hAnsi="標楷體" w:cs="新細明體" w:hint="eastAsia"/>
                <w:snapToGrid/>
                <w:color w:val="000000"/>
                <w:spacing w:val="-20"/>
                <w:kern w:val="0"/>
                <w:sz w:val="24"/>
                <w:szCs w:val="24"/>
              </w:rPr>
              <w:t>2</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利率</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0.23</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0.23</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0.26</w:t>
            </w:r>
          </w:p>
        </w:tc>
        <w:tc>
          <w:tcPr>
            <w:tcW w:w="732"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hint="eastAsia"/>
                <w:snapToGrid/>
                <w:color w:val="000000"/>
                <w:spacing w:val="-20"/>
                <w:kern w:val="0"/>
                <w:sz w:val="24"/>
                <w:szCs w:val="24"/>
              </w:rPr>
            </w:pPr>
            <w:r w:rsidRPr="00A95E0C">
              <w:rPr>
                <w:rFonts w:hAnsi="標楷體" w:cs="新細明體"/>
                <w:snapToGrid/>
                <w:color w:val="000000"/>
                <w:spacing w:val="-20"/>
                <w:kern w:val="0"/>
                <w:sz w:val="24"/>
                <w:szCs w:val="24"/>
              </w:rPr>
              <w:t>0.359</w:t>
            </w:r>
          </w:p>
        </w:tc>
        <w:tc>
          <w:tcPr>
            <w:tcW w:w="729" w:type="pct"/>
            <w:shd w:val="clear" w:color="auto" w:fill="auto"/>
            <w:vAlign w:val="center"/>
            <w:hideMark/>
          </w:tcPr>
          <w:p w:rsidR="00B12961" w:rsidRPr="00A95E0C" w:rsidRDefault="00B12961" w:rsidP="00A95E0C">
            <w:pPr>
              <w:widowControl/>
              <w:spacing w:line="260" w:lineRule="exact"/>
              <w:ind w:leftChars="0" w:left="0" w:firstLineChars="0" w:firstLine="0"/>
              <w:jc w:val="right"/>
              <w:rPr>
                <w:rFonts w:hAnsi="標楷體" w:cs="新細明體"/>
                <w:snapToGrid/>
                <w:color w:val="000000"/>
                <w:spacing w:val="-20"/>
                <w:kern w:val="0"/>
                <w:sz w:val="24"/>
                <w:szCs w:val="24"/>
              </w:rPr>
            </w:pPr>
            <w:r w:rsidRPr="00A95E0C">
              <w:rPr>
                <w:rFonts w:hAnsi="標楷體" w:cs="新細明體"/>
                <w:snapToGrid/>
                <w:color w:val="000000"/>
                <w:spacing w:val="-20"/>
                <w:kern w:val="0"/>
                <w:sz w:val="24"/>
                <w:szCs w:val="24"/>
              </w:rPr>
              <w:t>0.</w:t>
            </w:r>
            <w:r w:rsidRPr="00A95E0C">
              <w:rPr>
                <w:rFonts w:hAnsi="標楷體" w:cs="新細明體" w:hint="eastAsia"/>
                <w:snapToGrid/>
                <w:color w:val="000000"/>
                <w:spacing w:val="-20"/>
                <w:kern w:val="0"/>
                <w:sz w:val="24"/>
                <w:szCs w:val="24"/>
              </w:rPr>
              <w:t>966</w:t>
            </w:r>
          </w:p>
        </w:tc>
      </w:tr>
      <w:tr w:rsidR="00B12961" w:rsidRPr="00A74B8D" w:rsidTr="00A95E0C">
        <w:trPr>
          <w:trHeight w:val="20"/>
        </w:trPr>
        <w:tc>
          <w:tcPr>
            <w:tcW w:w="596" w:type="pct"/>
            <w:vMerge w:val="restar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snapToGrid/>
                <w:color w:val="000000"/>
                <w:spacing w:val="-20"/>
                <w:kern w:val="0"/>
                <w:sz w:val="24"/>
                <w:szCs w:val="24"/>
              </w:rPr>
            </w:pPr>
            <w:r w:rsidRPr="00A74B8D">
              <w:rPr>
                <w:rFonts w:hAnsi="標楷體" w:cs="新細明體" w:hint="eastAsia"/>
                <w:snapToGrid/>
                <w:color w:val="000000"/>
                <w:spacing w:val="-20"/>
                <w:kern w:val="0"/>
                <w:sz w:val="24"/>
                <w:szCs w:val="24"/>
              </w:rPr>
              <w:t>政府公債或國庫券</w:t>
            </w: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配置金額</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29"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left"/>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孳息收入</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c>
          <w:tcPr>
            <w:tcW w:w="729" w:type="pct"/>
            <w:shd w:val="clear" w:color="auto" w:fill="auto"/>
            <w:vAlign w:val="center"/>
            <w:hideMark/>
          </w:tcPr>
          <w:p w:rsidR="00B12961" w:rsidRPr="00A74B8D" w:rsidRDefault="00B12961" w:rsidP="00A95E0C">
            <w:pPr>
              <w:widowControl/>
              <w:spacing w:line="260" w:lineRule="exact"/>
              <w:ind w:leftChars="0" w:left="0" w:firstLineChars="0" w:firstLine="0"/>
              <w:jc w:val="center"/>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無</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left"/>
              <w:rPr>
                <w:rFonts w:hAnsi="標楷體" w:cs="新細明體"/>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rPr>
                <w:rFonts w:hAnsi="標楷體" w:cs="新細明體" w:hint="eastAsia"/>
                <w:snapToGrid/>
                <w:color w:val="000000"/>
                <w:spacing w:val="-20"/>
                <w:kern w:val="0"/>
                <w:sz w:val="24"/>
                <w:szCs w:val="24"/>
              </w:rPr>
            </w:pPr>
            <w:r w:rsidRPr="00A74B8D">
              <w:rPr>
                <w:rFonts w:hAnsi="標楷體" w:cs="新細明體" w:hint="eastAsia"/>
                <w:snapToGrid/>
                <w:color w:val="000000"/>
                <w:spacing w:val="-20"/>
                <w:kern w:val="0"/>
                <w:sz w:val="24"/>
                <w:szCs w:val="24"/>
              </w:rPr>
              <w:t>利率</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hint="eastAsia"/>
                <w:snapToGrid/>
                <w:color w:val="000000"/>
                <w:spacing w:val="-20"/>
                <w:kern w:val="0"/>
                <w:sz w:val="24"/>
                <w:szCs w:val="24"/>
              </w:rPr>
            </w:pPr>
            <w:r w:rsidRPr="00A74B8D">
              <w:rPr>
                <w:rFonts w:hAnsi="標楷體"/>
                <w:snapToGrid/>
                <w:color w:val="000000"/>
                <w:spacing w:val="-20"/>
                <w:kern w:val="0"/>
                <w:sz w:val="24"/>
                <w:szCs w:val="24"/>
              </w:rPr>
              <w:t>-</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sidRPr="00A74B8D">
              <w:rPr>
                <w:rFonts w:hAnsi="標楷體"/>
                <w:snapToGrid/>
                <w:color w:val="000000"/>
                <w:spacing w:val="-20"/>
                <w:kern w:val="0"/>
                <w:sz w:val="24"/>
                <w:szCs w:val="24"/>
              </w:rPr>
              <w:t>-</w:t>
            </w:r>
          </w:p>
        </w:tc>
        <w:tc>
          <w:tcPr>
            <w:tcW w:w="731"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w:t>
            </w:r>
          </w:p>
        </w:tc>
        <w:tc>
          <w:tcPr>
            <w:tcW w:w="732"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w:t>
            </w:r>
          </w:p>
        </w:tc>
        <w:tc>
          <w:tcPr>
            <w:tcW w:w="729" w:type="pct"/>
            <w:shd w:val="clear" w:color="auto" w:fill="auto"/>
            <w:vAlign w:val="center"/>
            <w:hideMark/>
          </w:tcPr>
          <w:p w:rsidR="00B12961" w:rsidRPr="00A74B8D" w:rsidRDefault="00B12961" w:rsidP="00A95E0C">
            <w:pPr>
              <w:widowControl/>
              <w:spacing w:line="260" w:lineRule="exact"/>
              <w:ind w:leftChars="0" w:left="0"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w:t>
            </w:r>
          </w:p>
        </w:tc>
      </w:tr>
      <w:tr w:rsidR="00B12961" w:rsidRPr="00A74B8D" w:rsidTr="00A95E0C">
        <w:trPr>
          <w:trHeight w:val="20"/>
        </w:trPr>
        <w:tc>
          <w:tcPr>
            <w:tcW w:w="596" w:type="pct"/>
            <w:vMerge w:val="restart"/>
            <w:shd w:val="clear" w:color="auto" w:fill="auto"/>
            <w:noWrap/>
            <w:vAlign w:val="center"/>
            <w:hideMark/>
          </w:tcPr>
          <w:p w:rsidR="00B12961" w:rsidRPr="00A74B8D" w:rsidRDefault="00B12961" w:rsidP="00A95E0C">
            <w:pPr>
              <w:widowControl/>
              <w:spacing w:line="260" w:lineRule="exact"/>
              <w:ind w:leftChars="0" w:left="0" w:firstLineChars="0" w:firstLine="0"/>
              <w:jc w:val="center"/>
              <w:rPr>
                <w:rFonts w:hAnsi="標楷體" w:cs="新細明體"/>
                <w:b/>
                <w:snapToGrid/>
                <w:color w:val="000000"/>
                <w:spacing w:val="-20"/>
                <w:kern w:val="0"/>
                <w:sz w:val="24"/>
                <w:szCs w:val="24"/>
              </w:rPr>
            </w:pPr>
            <w:r w:rsidRPr="00A74B8D">
              <w:rPr>
                <w:rFonts w:hAnsi="標楷體" w:cs="新細明體" w:hint="eastAsia"/>
                <w:b/>
                <w:snapToGrid/>
                <w:color w:val="000000"/>
                <w:spacing w:val="-20"/>
                <w:kern w:val="0"/>
                <w:sz w:val="24"/>
                <w:szCs w:val="24"/>
              </w:rPr>
              <w:t>合計</w:t>
            </w: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配置金額</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987,214</w:t>
            </w:r>
          </w:p>
        </w:tc>
        <w:tc>
          <w:tcPr>
            <w:tcW w:w="732"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994,264</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968,275</w:t>
            </w:r>
          </w:p>
        </w:tc>
        <w:tc>
          <w:tcPr>
            <w:tcW w:w="732"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942</w:t>
            </w:r>
            <w:r>
              <w:rPr>
                <w:rFonts w:hAnsi="標楷體" w:cs="新細明體"/>
                <w:b/>
                <w:snapToGrid/>
                <w:color w:val="000000"/>
                <w:spacing w:val="-20"/>
                <w:kern w:val="0"/>
                <w:sz w:val="24"/>
                <w:szCs w:val="24"/>
              </w:rPr>
              <w:t>,</w:t>
            </w:r>
            <w:r>
              <w:rPr>
                <w:rFonts w:hAnsi="標楷體" w:cs="新細明體" w:hint="eastAsia"/>
                <w:b/>
                <w:snapToGrid/>
                <w:color w:val="000000"/>
                <w:spacing w:val="-20"/>
                <w:kern w:val="0"/>
                <w:sz w:val="24"/>
                <w:szCs w:val="24"/>
              </w:rPr>
              <w:t>754</w:t>
            </w:r>
          </w:p>
        </w:tc>
        <w:tc>
          <w:tcPr>
            <w:tcW w:w="729"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882</w:t>
            </w:r>
            <w:r>
              <w:rPr>
                <w:rFonts w:hAnsi="標楷體" w:cs="新細明體"/>
                <w:b/>
                <w:snapToGrid/>
                <w:color w:val="000000"/>
                <w:spacing w:val="-20"/>
                <w:kern w:val="0"/>
                <w:sz w:val="24"/>
                <w:szCs w:val="24"/>
              </w:rPr>
              <w:t>,</w:t>
            </w:r>
            <w:r>
              <w:rPr>
                <w:rFonts w:hAnsi="標楷體" w:cs="新細明體" w:hint="eastAsia"/>
                <w:b/>
                <w:snapToGrid/>
                <w:color w:val="000000"/>
                <w:spacing w:val="-20"/>
                <w:kern w:val="0"/>
                <w:sz w:val="24"/>
                <w:szCs w:val="24"/>
              </w:rPr>
              <w:t>529</w:t>
            </w:r>
          </w:p>
        </w:tc>
      </w:tr>
      <w:tr w:rsidR="00B12961" w:rsidRPr="00A74B8D" w:rsidTr="00A95E0C">
        <w:trPr>
          <w:trHeight w:val="20"/>
        </w:trPr>
        <w:tc>
          <w:tcPr>
            <w:tcW w:w="596" w:type="pct"/>
            <w:vMerge/>
            <w:vAlign w:val="center"/>
            <w:hideMark/>
          </w:tcPr>
          <w:p w:rsidR="00B12961" w:rsidRPr="00A74B8D" w:rsidRDefault="00B12961" w:rsidP="00A95E0C">
            <w:pPr>
              <w:widowControl/>
              <w:spacing w:line="260" w:lineRule="exact"/>
              <w:ind w:leftChars="0" w:left="0" w:firstLineChars="0" w:firstLine="0"/>
              <w:jc w:val="left"/>
              <w:rPr>
                <w:rFonts w:hAnsi="標楷體" w:cs="新細明體"/>
                <w:b/>
                <w:snapToGrid/>
                <w:color w:val="000000"/>
                <w:spacing w:val="-20"/>
                <w:kern w:val="0"/>
                <w:sz w:val="24"/>
                <w:szCs w:val="24"/>
              </w:rPr>
            </w:pPr>
          </w:p>
        </w:tc>
        <w:tc>
          <w:tcPr>
            <w:tcW w:w="749" w:type="pct"/>
            <w:shd w:val="clear" w:color="auto" w:fill="auto"/>
            <w:vAlign w:val="center"/>
            <w:hideMark/>
          </w:tcPr>
          <w:p w:rsidR="00B12961" w:rsidRPr="00A74B8D" w:rsidRDefault="00B12961" w:rsidP="00A95E0C">
            <w:pPr>
              <w:widowControl/>
              <w:spacing w:line="260" w:lineRule="exact"/>
              <w:ind w:leftChars="0" w:left="0" w:firstLineChars="0" w:firstLine="0"/>
              <w:jc w:val="lef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孳息收入</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1,500</w:t>
            </w:r>
          </w:p>
        </w:tc>
        <w:tc>
          <w:tcPr>
            <w:tcW w:w="732"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1,400</w:t>
            </w:r>
          </w:p>
        </w:tc>
        <w:tc>
          <w:tcPr>
            <w:tcW w:w="731"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sidRPr="00A74B8D">
              <w:rPr>
                <w:rFonts w:hAnsi="標楷體" w:cs="新細明體" w:hint="eastAsia"/>
                <w:b/>
                <w:snapToGrid/>
                <w:color w:val="000000"/>
                <w:spacing w:val="-20"/>
                <w:kern w:val="0"/>
                <w:sz w:val="24"/>
                <w:szCs w:val="24"/>
              </w:rPr>
              <w:t>1,466</w:t>
            </w:r>
          </w:p>
        </w:tc>
        <w:tc>
          <w:tcPr>
            <w:tcW w:w="732"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2</w:t>
            </w:r>
            <w:r>
              <w:rPr>
                <w:rFonts w:hAnsi="標楷體" w:cs="新細明體"/>
                <w:b/>
                <w:snapToGrid/>
                <w:color w:val="000000"/>
                <w:spacing w:val="-20"/>
                <w:kern w:val="0"/>
                <w:sz w:val="24"/>
                <w:szCs w:val="24"/>
              </w:rPr>
              <w:t>,</w:t>
            </w:r>
            <w:r>
              <w:rPr>
                <w:rFonts w:hAnsi="標楷體" w:cs="新細明體" w:hint="eastAsia"/>
                <w:b/>
                <w:snapToGrid/>
                <w:color w:val="000000"/>
                <w:spacing w:val="-20"/>
                <w:kern w:val="0"/>
                <w:sz w:val="24"/>
                <w:szCs w:val="24"/>
              </w:rPr>
              <w:t>530</w:t>
            </w:r>
          </w:p>
        </w:tc>
        <w:tc>
          <w:tcPr>
            <w:tcW w:w="729" w:type="pct"/>
            <w:shd w:val="clear" w:color="auto" w:fill="auto"/>
            <w:noWrap/>
            <w:vAlign w:val="center"/>
            <w:hideMark/>
          </w:tcPr>
          <w:p w:rsidR="00B12961" w:rsidRPr="00A74B8D" w:rsidRDefault="00B12961" w:rsidP="00A95E0C">
            <w:pPr>
              <w:widowControl/>
              <w:spacing w:line="26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7</w:t>
            </w:r>
            <w:r>
              <w:rPr>
                <w:rFonts w:hAnsi="標楷體" w:cs="新細明體"/>
                <w:b/>
                <w:snapToGrid/>
                <w:color w:val="000000"/>
                <w:spacing w:val="-20"/>
                <w:kern w:val="0"/>
                <w:sz w:val="24"/>
                <w:szCs w:val="24"/>
              </w:rPr>
              <w:t>,</w:t>
            </w:r>
            <w:r>
              <w:rPr>
                <w:rFonts w:hAnsi="標楷體" w:cs="新細明體" w:hint="eastAsia"/>
                <w:b/>
                <w:snapToGrid/>
                <w:color w:val="000000"/>
                <w:spacing w:val="-20"/>
                <w:kern w:val="0"/>
                <w:sz w:val="24"/>
                <w:szCs w:val="24"/>
              </w:rPr>
              <w:t>091</w:t>
            </w:r>
          </w:p>
        </w:tc>
      </w:tr>
    </w:tbl>
    <w:p w:rsidR="00B12961" w:rsidRDefault="00B12961" w:rsidP="00A95E0C">
      <w:pPr>
        <w:pStyle w:val="142"/>
        <w:ind w:left="1094" w:hangingChars="450" w:hanging="1094"/>
      </w:pPr>
      <w:r>
        <w:rPr>
          <w:rFonts w:hint="eastAsia"/>
        </w:rPr>
        <w:t>說    明：108至112年度為審定決算數</w:t>
      </w:r>
      <w:r>
        <w:rPr>
          <w:rFonts w:hAnsi="標楷體" w:hint="eastAsia"/>
        </w:rPr>
        <w:t>。</w:t>
      </w:r>
    </w:p>
    <w:p w:rsidR="00B12961" w:rsidRPr="00B917B4" w:rsidRDefault="00B12961" w:rsidP="00A95E0C">
      <w:pPr>
        <w:pStyle w:val="142"/>
        <w:ind w:left="1094" w:hangingChars="450" w:hanging="1094"/>
        <w:rPr>
          <w:rFonts w:hint="eastAsia"/>
        </w:rPr>
      </w:pPr>
      <w:r w:rsidRPr="00CD6158">
        <w:rPr>
          <w:rFonts w:hint="eastAsia"/>
        </w:rPr>
        <w:t>資料來源</w:t>
      </w:r>
      <w:r>
        <w:rPr>
          <w:rFonts w:hAnsi="標楷體" w:hint="eastAsia"/>
        </w:rPr>
        <w:t>：公平會提供。</w:t>
      </w:r>
    </w:p>
    <w:p w:rsidR="00D27205" w:rsidRDefault="00B12961" w:rsidP="00F21417">
      <w:pPr>
        <w:pStyle w:val="ac"/>
        <w:rPr>
          <w:rFonts w:hAnsi="標楷體"/>
        </w:rPr>
      </w:pPr>
      <w:r w:rsidRPr="00963945">
        <w:rPr>
          <w:rStyle w:val="ad"/>
          <w:rFonts w:hint="eastAsia"/>
        </w:rPr>
        <w:t>（分機：1922  羅玉姍）</w:t>
      </w:r>
      <w:bookmarkEnd w:id="0"/>
      <w:bookmarkEnd w:id="20"/>
      <w:bookmarkEnd w:id="21"/>
      <w:bookmarkEnd w:id="22"/>
    </w:p>
    <w:sectPr w:rsidR="00D27205" w:rsidSect="003145FD">
      <w:footerReference w:type="default" r:id="rId9"/>
      <w:pgSz w:w="11906" w:h="16838" w:code="9"/>
      <w:pgMar w:top="1701" w:right="1701"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43" w:rsidRDefault="008E3D43" w:rsidP="00F6734B">
      <w:pPr>
        <w:spacing w:line="240" w:lineRule="auto"/>
        <w:ind w:left="560" w:firstLine="560"/>
      </w:pPr>
      <w:r>
        <w:separator/>
      </w:r>
    </w:p>
  </w:endnote>
  <w:endnote w:type="continuationSeparator" w:id="0">
    <w:p w:rsidR="008E3D43" w:rsidRDefault="008E3D43" w:rsidP="00F6734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961" w:rsidRDefault="00B12961" w:rsidP="00D900F9">
    <w:pPr>
      <w:pStyle w:val="af1"/>
      <w:ind w:leftChars="0" w:left="0" w:firstLineChars="0" w:firstLine="0"/>
      <w:jc w:val="center"/>
    </w:pPr>
    <w:r>
      <w:fldChar w:fldCharType="begin"/>
    </w:r>
    <w:r>
      <w:instrText>PAGE   \* MERGEFORMAT</w:instrText>
    </w:r>
    <w:r>
      <w:fldChar w:fldCharType="separate"/>
    </w:r>
    <w:r w:rsidR="006C4BBB" w:rsidRPr="006C4BBB">
      <w:rPr>
        <w:noProof/>
        <w:lang w:val="zh-TW"/>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16" w:rsidRPr="003145FD" w:rsidRDefault="00F86C16" w:rsidP="00F86C16">
    <w:pPr>
      <w:pStyle w:val="af1"/>
      <w:ind w:leftChars="0" w:left="0" w:firstLineChars="0" w:firstLine="0"/>
      <w:jc w:val="center"/>
      <w:rPr>
        <w:noProof/>
        <w:lang w:val="zh-TW"/>
      </w:rPr>
    </w:pPr>
    <w:r w:rsidRPr="003145FD">
      <w:rPr>
        <w:noProof/>
        <w:lang w:val="zh-TW"/>
      </w:rPr>
      <w:fldChar w:fldCharType="begin"/>
    </w:r>
    <w:r w:rsidRPr="003145FD">
      <w:rPr>
        <w:noProof/>
        <w:lang w:val="zh-TW"/>
      </w:rPr>
      <w:instrText>PAGE   \* MERGEFORMAT</w:instrText>
    </w:r>
    <w:r w:rsidRPr="003145FD">
      <w:rPr>
        <w:noProof/>
        <w:lang w:val="zh-TW"/>
      </w:rPr>
      <w:fldChar w:fldCharType="separate"/>
    </w:r>
    <w:r w:rsidR="006C4BBB">
      <w:rPr>
        <w:noProof/>
        <w:lang w:val="zh-TW"/>
      </w:rPr>
      <w:t>1</w:t>
    </w:r>
    <w:r w:rsidRPr="003145FD">
      <w:rPr>
        <w:noProof/>
        <w:lang w:val="zh-TW"/>
      </w:rPr>
      <w:fldChar w:fldCharType="end"/>
    </w:r>
  </w:p>
  <w:p w:rsidR="00F86C16" w:rsidRDefault="00F86C1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43" w:rsidRDefault="008E3D43" w:rsidP="00B67D8D">
      <w:pPr>
        <w:spacing w:line="240" w:lineRule="auto"/>
        <w:ind w:leftChars="202" w:left="566" w:firstLine="560"/>
      </w:pPr>
      <w:r>
        <w:separator/>
      </w:r>
    </w:p>
  </w:footnote>
  <w:footnote w:type="continuationSeparator" w:id="0">
    <w:p w:rsidR="008E3D43" w:rsidRDefault="008E3D43" w:rsidP="00F6734B">
      <w:pPr>
        <w:spacing w:line="240" w:lineRule="auto"/>
        <w:ind w:left="560" w:firstLine="560"/>
      </w:pPr>
      <w:r>
        <w:continuationSeparator/>
      </w:r>
    </w:p>
  </w:footnote>
  <w:footnote w:id="1">
    <w:p w:rsidR="00B12961" w:rsidRPr="00FF2E76" w:rsidRDefault="00B12961" w:rsidP="00622298">
      <w:pPr>
        <w:pStyle w:val="142"/>
        <w:ind w:left="122" w:hangingChars="50" w:hanging="122"/>
        <w:rPr>
          <w:rFonts w:hAnsi="標楷體"/>
        </w:rPr>
      </w:pPr>
      <w:r w:rsidRPr="00FF2E76">
        <w:rPr>
          <w:rStyle w:val="af9"/>
          <w:rFonts w:hAnsi="標楷體"/>
        </w:rPr>
        <w:footnoteRef/>
      </w:r>
      <w:r w:rsidRPr="00B100D8">
        <w:rPr>
          <w:rFonts w:hAnsi="標楷體" w:cs="微軟正黑體" w:hint="eastAsia"/>
        </w:rPr>
        <w:t>「中興新村整體規劃案」</w:t>
      </w:r>
      <w:r>
        <w:rPr>
          <w:rFonts w:hAnsi="標楷體" w:cs="微軟正黑體" w:hint="eastAsia"/>
        </w:rPr>
        <w:t>由國發會研擬，經行政院於</w:t>
      </w:r>
      <w:r w:rsidRPr="00B100D8">
        <w:rPr>
          <w:rFonts w:hAnsi="標楷體" w:cs="微軟正黑體" w:hint="eastAsia"/>
        </w:rPr>
        <w:t>111年4月核定，將各分區發展定位為歷史文化區(北核心)、休閒生活區(中核心)及大學城(南核心)</w:t>
      </w:r>
      <w:r>
        <w:rPr>
          <w:rFonts w:hAnsi="標楷體" w:cs="微軟正黑體" w:hint="eastAsia"/>
        </w:rPr>
        <w:t>。</w:t>
      </w:r>
    </w:p>
  </w:footnote>
  <w:footnote w:id="2">
    <w:p w:rsidR="00B12961" w:rsidRPr="00FF2E76" w:rsidRDefault="00B12961" w:rsidP="00622298">
      <w:pPr>
        <w:pStyle w:val="142"/>
        <w:ind w:left="122" w:hangingChars="50" w:hanging="122"/>
        <w:rPr>
          <w:rFonts w:hAnsi="標楷體"/>
        </w:rPr>
      </w:pPr>
      <w:r w:rsidRPr="00FF2E76">
        <w:rPr>
          <w:rStyle w:val="af9"/>
          <w:rFonts w:hAnsi="標楷體"/>
        </w:rPr>
        <w:footnoteRef/>
      </w:r>
      <w:r w:rsidRPr="003D1F2A">
        <w:rPr>
          <w:rFonts w:hAnsi="標楷體" w:cs="微軟正黑體" w:hint="eastAsia"/>
        </w:rPr>
        <w:t>「中興新村北、中核心公有資產活化建設計畫」</w:t>
      </w:r>
      <w:r>
        <w:rPr>
          <w:rFonts w:hAnsi="標楷體" w:cs="微軟正黑體" w:hint="eastAsia"/>
        </w:rPr>
        <w:t>修正重點：1.</w:t>
      </w:r>
      <w:r w:rsidRPr="003D1F2A">
        <w:rPr>
          <w:rFonts w:hAnsi="標楷體" w:cs="微軟正黑體" w:hint="eastAsia"/>
        </w:rPr>
        <w:t>增列臺灣省政資料館優化工程</w:t>
      </w:r>
      <w:r>
        <w:rPr>
          <w:rFonts w:hAnsi="標楷體" w:cs="微軟正黑體" w:hint="eastAsia"/>
        </w:rPr>
        <w:t>(檔管局辦理)</w:t>
      </w:r>
      <w:r w:rsidRPr="00FF2E76">
        <w:rPr>
          <w:rFonts w:hAnsi="標楷體" w:cs="微軟正黑體" w:hint="eastAsia"/>
        </w:rPr>
        <w:t>。</w:t>
      </w:r>
      <w:r>
        <w:rPr>
          <w:rFonts w:hAnsi="標楷體" w:cs="微軟正黑體" w:hint="eastAsia"/>
        </w:rPr>
        <w:t>2.</w:t>
      </w:r>
      <w:r w:rsidRPr="003D1F2A">
        <w:rPr>
          <w:rFonts w:hAnsi="標楷體" w:cs="微軟正黑體" w:hint="eastAsia"/>
        </w:rPr>
        <w:t>配合新增工程調整計畫期程</w:t>
      </w:r>
      <w:r>
        <w:rPr>
          <w:rFonts w:hAnsi="標楷體" w:cs="微軟正黑體" w:hint="eastAsia"/>
        </w:rPr>
        <w:t>。3.</w:t>
      </w:r>
      <w:r w:rsidRPr="003D1F2A">
        <w:rPr>
          <w:rFonts w:hAnsi="標楷體" w:cs="微軟正黑體" w:hint="eastAsia"/>
        </w:rPr>
        <w:t>配合物價波動及實際執行情形與進程調增各年度經費</w:t>
      </w:r>
      <w:r>
        <w:rPr>
          <w:rFonts w:hAnsi="標楷體" w:cs="微軟正黑體" w:hint="eastAsia"/>
        </w:rPr>
        <w:t>。4.</w:t>
      </w:r>
      <w:r w:rsidRPr="003D1F2A">
        <w:rPr>
          <w:rFonts w:hAnsi="標楷體" w:cs="微軟正黑體" w:hint="eastAsia"/>
        </w:rPr>
        <w:t>配合整體規劃與均衡發展，多房間職務宿舍整修範圍擴及至北、中核心</w:t>
      </w:r>
      <w:r>
        <w:rPr>
          <w:rFonts w:hAnsi="標楷體" w:cs="微軟正黑體" w:hint="eastAsia"/>
        </w:rPr>
        <w:t>。</w:t>
      </w:r>
    </w:p>
  </w:footnote>
  <w:footnote w:id="3">
    <w:p w:rsidR="00B12961" w:rsidRPr="00AD5362" w:rsidRDefault="00B12961" w:rsidP="00622298">
      <w:pPr>
        <w:pStyle w:val="142"/>
        <w:ind w:left="120" w:hanging="120"/>
        <w:jc w:val="both"/>
      </w:pPr>
      <w:r w:rsidRPr="00AD5362">
        <w:rPr>
          <w:rStyle w:val="af9"/>
        </w:rPr>
        <w:footnoteRef/>
      </w:r>
      <w:r w:rsidRPr="00AD5362">
        <w:rPr>
          <w:rFonts w:hint="eastAsia"/>
        </w:rPr>
        <w:t>行政院分別於108年1月及109年10月陸續核定「地方創生國家戰略計畫」及「加速推動地方創生計畫」，並於前瞻基礎建設計畫第3期(110至111年度)、第4期特別預算(112至113年度)各編列23.93億元及19.69億元，合計43.62億元，截至112年底執行數29.59億元</w:t>
      </w:r>
      <w:r w:rsidRPr="00AD5362">
        <w:rPr>
          <w:rFonts w:hAnsi="標楷體" w:hint="eastAsia"/>
        </w:rPr>
        <w:t>。</w:t>
      </w:r>
    </w:p>
  </w:footnote>
  <w:footnote w:id="4">
    <w:p w:rsidR="00B12961" w:rsidRPr="00AD5362" w:rsidRDefault="00B12961" w:rsidP="00622298">
      <w:pPr>
        <w:pStyle w:val="142"/>
        <w:ind w:left="120" w:hanging="120"/>
        <w:jc w:val="both"/>
      </w:pPr>
      <w:r w:rsidRPr="00AD5362">
        <w:rPr>
          <w:rStyle w:val="af9"/>
        </w:rPr>
        <w:footnoteRef/>
      </w:r>
      <w:r w:rsidRPr="00B50FCB">
        <w:rPr>
          <w:rFonts w:hint="eastAsia"/>
        </w:rPr>
        <w:t>多元徵案流程為青年培力工作站、地方團體可向分區輔導中心提出事業提案(包含盤點地方DNA、地方共識、地方願景等)、分區輔導中心可向鄉(鎮市區)公所、縣市政府提出事業提案；向專案辦公室(由地方具共識之團體彙整代表)提出提案。</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15:restartNumberingAfterBreak="0">
    <w:nsid w:val="3EE10457"/>
    <w:multiLevelType w:val="hybridMultilevel"/>
    <w:tmpl w:val="A5342A4A"/>
    <w:lvl w:ilvl="0" w:tplc="E61EC014">
      <w:start w:val="1"/>
      <w:numFmt w:val="decimal"/>
      <w:lvlText w:val="%1."/>
      <w:lvlJc w:val="left"/>
      <w:pPr>
        <w:ind w:left="5605"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6"/>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2"/>
  </w:num>
  <w:num w:numId="9">
    <w:abstractNumId w:val="0"/>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94D"/>
    <w:rsid w:val="00001C51"/>
    <w:rsid w:val="00001F3C"/>
    <w:rsid w:val="00002110"/>
    <w:rsid w:val="00003573"/>
    <w:rsid w:val="00004F1D"/>
    <w:rsid w:val="0000569D"/>
    <w:rsid w:val="0000588D"/>
    <w:rsid w:val="000064D0"/>
    <w:rsid w:val="00006664"/>
    <w:rsid w:val="000068DE"/>
    <w:rsid w:val="00007CA6"/>
    <w:rsid w:val="00010892"/>
    <w:rsid w:val="00011252"/>
    <w:rsid w:val="00012C3F"/>
    <w:rsid w:val="000135DF"/>
    <w:rsid w:val="00015F99"/>
    <w:rsid w:val="00016B34"/>
    <w:rsid w:val="00017307"/>
    <w:rsid w:val="000201F1"/>
    <w:rsid w:val="00020F14"/>
    <w:rsid w:val="00020F8E"/>
    <w:rsid w:val="00022533"/>
    <w:rsid w:val="0002428F"/>
    <w:rsid w:val="0002445F"/>
    <w:rsid w:val="0002479F"/>
    <w:rsid w:val="00024CE2"/>
    <w:rsid w:val="0002564C"/>
    <w:rsid w:val="0002571B"/>
    <w:rsid w:val="00025CE0"/>
    <w:rsid w:val="00026475"/>
    <w:rsid w:val="000278EE"/>
    <w:rsid w:val="00030FCE"/>
    <w:rsid w:val="000322E9"/>
    <w:rsid w:val="00032E8E"/>
    <w:rsid w:val="000354E6"/>
    <w:rsid w:val="00035E39"/>
    <w:rsid w:val="000365E5"/>
    <w:rsid w:val="00036B95"/>
    <w:rsid w:val="00036DEF"/>
    <w:rsid w:val="000378BC"/>
    <w:rsid w:val="00040079"/>
    <w:rsid w:val="00040609"/>
    <w:rsid w:val="00045F9C"/>
    <w:rsid w:val="000460C7"/>
    <w:rsid w:val="000466E8"/>
    <w:rsid w:val="00046AA6"/>
    <w:rsid w:val="00046C1B"/>
    <w:rsid w:val="000474DB"/>
    <w:rsid w:val="00051E3B"/>
    <w:rsid w:val="00053018"/>
    <w:rsid w:val="0005307F"/>
    <w:rsid w:val="00053960"/>
    <w:rsid w:val="000550E6"/>
    <w:rsid w:val="00055AC2"/>
    <w:rsid w:val="0005696D"/>
    <w:rsid w:val="00056C6E"/>
    <w:rsid w:val="00057491"/>
    <w:rsid w:val="000616F2"/>
    <w:rsid w:val="00061D16"/>
    <w:rsid w:val="00063A55"/>
    <w:rsid w:val="00063B89"/>
    <w:rsid w:val="00064B42"/>
    <w:rsid w:val="000652C2"/>
    <w:rsid w:val="0006569C"/>
    <w:rsid w:val="0006651C"/>
    <w:rsid w:val="00066CF8"/>
    <w:rsid w:val="000677F7"/>
    <w:rsid w:val="00073673"/>
    <w:rsid w:val="000768DE"/>
    <w:rsid w:val="00076AE4"/>
    <w:rsid w:val="00076CEE"/>
    <w:rsid w:val="0007765F"/>
    <w:rsid w:val="000779E5"/>
    <w:rsid w:val="000815DE"/>
    <w:rsid w:val="0008234E"/>
    <w:rsid w:val="00082513"/>
    <w:rsid w:val="00083623"/>
    <w:rsid w:val="00084DEC"/>
    <w:rsid w:val="00084F05"/>
    <w:rsid w:val="00085323"/>
    <w:rsid w:val="000858F6"/>
    <w:rsid w:val="00086183"/>
    <w:rsid w:val="00086A83"/>
    <w:rsid w:val="00087417"/>
    <w:rsid w:val="00091B15"/>
    <w:rsid w:val="00092541"/>
    <w:rsid w:val="00092A2A"/>
    <w:rsid w:val="00093EBA"/>
    <w:rsid w:val="00096A2F"/>
    <w:rsid w:val="00097443"/>
    <w:rsid w:val="00097BF4"/>
    <w:rsid w:val="00097EDB"/>
    <w:rsid w:val="000A0AE0"/>
    <w:rsid w:val="000A0D53"/>
    <w:rsid w:val="000A2D58"/>
    <w:rsid w:val="000A3E38"/>
    <w:rsid w:val="000A51C5"/>
    <w:rsid w:val="000A6298"/>
    <w:rsid w:val="000A6D65"/>
    <w:rsid w:val="000A6E4D"/>
    <w:rsid w:val="000A7344"/>
    <w:rsid w:val="000A7802"/>
    <w:rsid w:val="000B0331"/>
    <w:rsid w:val="000B1086"/>
    <w:rsid w:val="000B1C6B"/>
    <w:rsid w:val="000B1CB0"/>
    <w:rsid w:val="000B4282"/>
    <w:rsid w:val="000B444A"/>
    <w:rsid w:val="000B4D9B"/>
    <w:rsid w:val="000B608C"/>
    <w:rsid w:val="000B62C9"/>
    <w:rsid w:val="000B64B0"/>
    <w:rsid w:val="000C0395"/>
    <w:rsid w:val="000C05E7"/>
    <w:rsid w:val="000C0FFF"/>
    <w:rsid w:val="000C1087"/>
    <w:rsid w:val="000C39B2"/>
    <w:rsid w:val="000C3C99"/>
    <w:rsid w:val="000C62A3"/>
    <w:rsid w:val="000C702F"/>
    <w:rsid w:val="000D08AD"/>
    <w:rsid w:val="000D1A59"/>
    <w:rsid w:val="000D1DCC"/>
    <w:rsid w:val="000D1E79"/>
    <w:rsid w:val="000D25A0"/>
    <w:rsid w:val="000D3E00"/>
    <w:rsid w:val="000D48E3"/>
    <w:rsid w:val="000D4AF9"/>
    <w:rsid w:val="000D5189"/>
    <w:rsid w:val="000D6939"/>
    <w:rsid w:val="000D6C70"/>
    <w:rsid w:val="000D71FC"/>
    <w:rsid w:val="000D7400"/>
    <w:rsid w:val="000D7AD8"/>
    <w:rsid w:val="000D7B18"/>
    <w:rsid w:val="000E17B9"/>
    <w:rsid w:val="000E2249"/>
    <w:rsid w:val="000E338B"/>
    <w:rsid w:val="000E3954"/>
    <w:rsid w:val="000E43A6"/>
    <w:rsid w:val="000E4C20"/>
    <w:rsid w:val="000E5E52"/>
    <w:rsid w:val="000E706E"/>
    <w:rsid w:val="000E79E3"/>
    <w:rsid w:val="000F11AD"/>
    <w:rsid w:val="000F1DC7"/>
    <w:rsid w:val="000F261C"/>
    <w:rsid w:val="000F3427"/>
    <w:rsid w:val="000F495F"/>
    <w:rsid w:val="000F4AB2"/>
    <w:rsid w:val="000F4E85"/>
    <w:rsid w:val="000F5240"/>
    <w:rsid w:val="000F5735"/>
    <w:rsid w:val="000F596F"/>
    <w:rsid w:val="000F5D52"/>
    <w:rsid w:val="000F6853"/>
    <w:rsid w:val="000F6986"/>
    <w:rsid w:val="000F7501"/>
    <w:rsid w:val="000F7C3C"/>
    <w:rsid w:val="00102BA0"/>
    <w:rsid w:val="00102DAC"/>
    <w:rsid w:val="001035FA"/>
    <w:rsid w:val="001036BE"/>
    <w:rsid w:val="001047E0"/>
    <w:rsid w:val="00104C1F"/>
    <w:rsid w:val="00104CAA"/>
    <w:rsid w:val="0010533E"/>
    <w:rsid w:val="00105660"/>
    <w:rsid w:val="00105E33"/>
    <w:rsid w:val="00106145"/>
    <w:rsid w:val="00107786"/>
    <w:rsid w:val="0011154D"/>
    <w:rsid w:val="00111C05"/>
    <w:rsid w:val="00111F7F"/>
    <w:rsid w:val="00112477"/>
    <w:rsid w:val="00113D4A"/>
    <w:rsid w:val="00114042"/>
    <w:rsid w:val="001146A5"/>
    <w:rsid w:val="00115FC5"/>
    <w:rsid w:val="00116BF8"/>
    <w:rsid w:val="00117AC5"/>
    <w:rsid w:val="00117E5E"/>
    <w:rsid w:val="001201D7"/>
    <w:rsid w:val="00120E79"/>
    <w:rsid w:val="001211FF"/>
    <w:rsid w:val="0012170E"/>
    <w:rsid w:val="00121893"/>
    <w:rsid w:val="00122655"/>
    <w:rsid w:val="0012290E"/>
    <w:rsid w:val="00123DD9"/>
    <w:rsid w:val="00125501"/>
    <w:rsid w:val="00125618"/>
    <w:rsid w:val="00125A9A"/>
    <w:rsid w:val="001263D5"/>
    <w:rsid w:val="00126880"/>
    <w:rsid w:val="00126FC2"/>
    <w:rsid w:val="00127014"/>
    <w:rsid w:val="001271DC"/>
    <w:rsid w:val="0012793D"/>
    <w:rsid w:val="001303EA"/>
    <w:rsid w:val="00130AD0"/>
    <w:rsid w:val="00130D1E"/>
    <w:rsid w:val="00131EC0"/>
    <w:rsid w:val="00132857"/>
    <w:rsid w:val="00132FD4"/>
    <w:rsid w:val="001335E6"/>
    <w:rsid w:val="00133A34"/>
    <w:rsid w:val="00134A9C"/>
    <w:rsid w:val="00135D34"/>
    <w:rsid w:val="0013639A"/>
    <w:rsid w:val="001367A0"/>
    <w:rsid w:val="0013710A"/>
    <w:rsid w:val="00137328"/>
    <w:rsid w:val="00137C2C"/>
    <w:rsid w:val="001407BE"/>
    <w:rsid w:val="001413DD"/>
    <w:rsid w:val="00142DC4"/>
    <w:rsid w:val="00143060"/>
    <w:rsid w:val="00144EDB"/>
    <w:rsid w:val="00145441"/>
    <w:rsid w:val="00146B68"/>
    <w:rsid w:val="00146F14"/>
    <w:rsid w:val="00146F5E"/>
    <w:rsid w:val="001503EC"/>
    <w:rsid w:val="00150AED"/>
    <w:rsid w:val="00150E30"/>
    <w:rsid w:val="001618A5"/>
    <w:rsid w:val="001619E2"/>
    <w:rsid w:val="00161A7A"/>
    <w:rsid w:val="00161C21"/>
    <w:rsid w:val="0016207B"/>
    <w:rsid w:val="001631C8"/>
    <w:rsid w:val="001637A5"/>
    <w:rsid w:val="001637AE"/>
    <w:rsid w:val="00164296"/>
    <w:rsid w:val="0016577B"/>
    <w:rsid w:val="00165E23"/>
    <w:rsid w:val="00165E5D"/>
    <w:rsid w:val="00170CB1"/>
    <w:rsid w:val="00171006"/>
    <w:rsid w:val="001716DC"/>
    <w:rsid w:val="00171EB1"/>
    <w:rsid w:val="00172C21"/>
    <w:rsid w:val="001732BA"/>
    <w:rsid w:val="0017472E"/>
    <w:rsid w:val="00175DEC"/>
    <w:rsid w:val="0017639C"/>
    <w:rsid w:val="00176B7F"/>
    <w:rsid w:val="00177098"/>
    <w:rsid w:val="00180964"/>
    <w:rsid w:val="00181239"/>
    <w:rsid w:val="00181DCE"/>
    <w:rsid w:val="001828C7"/>
    <w:rsid w:val="00183F46"/>
    <w:rsid w:val="00185091"/>
    <w:rsid w:val="00185CA9"/>
    <w:rsid w:val="001867F4"/>
    <w:rsid w:val="00190E30"/>
    <w:rsid w:val="00191277"/>
    <w:rsid w:val="00192011"/>
    <w:rsid w:val="001920CB"/>
    <w:rsid w:val="00192948"/>
    <w:rsid w:val="00193708"/>
    <w:rsid w:val="00194223"/>
    <w:rsid w:val="00194DF0"/>
    <w:rsid w:val="00195053"/>
    <w:rsid w:val="00195194"/>
    <w:rsid w:val="00195B59"/>
    <w:rsid w:val="00196BA4"/>
    <w:rsid w:val="00196D22"/>
    <w:rsid w:val="001974E2"/>
    <w:rsid w:val="0019776E"/>
    <w:rsid w:val="001A056F"/>
    <w:rsid w:val="001A0CDC"/>
    <w:rsid w:val="001A0D2E"/>
    <w:rsid w:val="001A1E02"/>
    <w:rsid w:val="001A2335"/>
    <w:rsid w:val="001A268E"/>
    <w:rsid w:val="001A313D"/>
    <w:rsid w:val="001A3717"/>
    <w:rsid w:val="001A6A75"/>
    <w:rsid w:val="001A6D51"/>
    <w:rsid w:val="001A7F8D"/>
    <w:rsid w:val="001B113B"/>
    <w:rsid w:val="001B2195"/>
    <w:rsid w:val="001B4333"/>
    <w:rsid w:val="001B5524"/>
    <w:rsid w:val="001B6CEA"/>
    <w:rsid w:val="001B767B"/>
    <w:rsid w:val="001C0A76"/>
    <w:rsid w:val="001C1138"/>
    <w:rsid w:val="001C338A"/>
    <w:rsid w:val="001C45CE"/>
    <w:rsid w:val="001C47FE"/>
    <w:rsid w:val="001C4966"/>
    <w:rsid w:val="001C65C6"/>
    <w:rsid w:val="001D029A"/>
    <w:rsid w:val="001D0337"/>
    <w:rsid w:val="001D2BD1"/>
    <w:rsid w:val="001D2D84"/>
    <w:rsid w:val="001D34CA"/>
    <w:rsid w:val="001D386A"/>
    <w:rsid w:val="001D75F0"/>
    <w:rsid w:val="001E1199"/>
    <w:rsid w:val="001E215A"/>
    <w:rsid w:val="001E2CBE"/>
    <w:rsid w:val="001E34C0"/>
    <w:rsid w:val="001E3718"/>
    <w:rsid w:val="001E3895"/>
    <w:rsid w:val="001E3CC3"/>
    <w:rsid w:val="001E3D50"/>
    <w:rsid w:val="001E6375"/>
    <w:rsid w:val="001E6B15"/>
    <w:rsid w:val="001E7209"/>
    <w:rsid w:val="001E7FF5"/>
    <w:rsid w:val="001F005C"/>
    <w:rsid w:val="001F18AB"/>
    <w:rsid w:val="001F1D22"/>
    <w:rsid w:val="001F2712"/>
    <w:rsid w:val="001F34BB"/>
    <w:rsid w:val="001F6C4E"/>
    <w:rsid w:val="002011A4"/>
    <w:rsid w:val="00201318"/>
    <w:rsid w:val="00201557"/>
    <w:rsid w:val="00202088"/>
    <w:rsid w:val="00203829"/>
    <w:rsid w:val="0020392D"/>
    <w:rsid w:val="00204ED4"/>
    <w:rsid w:val="00205BBB"/>
    <w:rsid w:val="0020724C"/>
    <w:rsid w:val="0020726F"/>
    <w:rsid w:val="00210D5D"/>
    <w:rsid w:val="00211310"/>
    <w:rsid w:val="0021317A"/>
    <w:rsid w:val="002141C3"/>
    <w:rsid w:val="0021469D"/>
    <w:rsid w:val="002151A7"/>
    <w:rsid w:val="002200BB"/>
    <w:rsid w:val="002206BB"/>
    <w:rsid w:val="00224304"/>
    <w:rsid w:val="00224F6E"/>
    <w:rsid w:val="00225AF2"/>
    <w:rsid w:val="00226279"/>
    <w:rsid w:val="00226F4E"/>
    <w:rsid w:val="002273D4"/>
    <w:rsid w:val="0023064A"/>
    <w:rsid w:val="00230D3D"/>
    <w:rsid w:val="00231DE6"/>
    <w:rsid w:val="002327B0"/>
    <w:rsid w:val="00233436"/>
    <w:rsid w:val="00233C06"/>
    <w:rsid w:val="00233D86"/>
    <w:rsid w:val="0023527E"/>
    <w:rsid w:val="00236A34"/>
    <w:rsid w:val="00236B5A"/>
    <w:rsid w:val="00236B95"/>
    <w:rsid w:val="00236E27"/>
    <w:rsid w:val="00237231"/>
    <w:rsid w:val="00237876"/>
    <w:rsid w:val="002437CC"/>
    <w:rsid w:val="002439EF"/>
    <w:rsid w:val="00243C6F"/>
    <w:rsid w:val="0024456C"/>
    <w:rsid w:val="0024584C"/>
    <w:rsid w:val="00247B34"/>
    <w:rsid w:val="00247DC9"/>
    <w:rsid w:val="00250230"/>
    <w:rsid w:val="00250BD6"/>
    <w:rsid w:val="002511B1"/>
    <w:rsid w:val="002512BE"/>
    <w:rsid w:val="00253B04"/>
    <w:rsid w:val="00254C0E"/>
    <w:rsid w:val="00256ABA"/>
    <w:rsid w:val="00257667"/>
    <w:rsid w:val="00257FE2"/>
    <w:rsid w:val="00257FF4"/>
    <w:rsid w:val="00260BD4"/>
    <w:rsid w:val="00261768"/>
    <w:rsid w:val="00262034"/>
    <w:rsid w:val="002623C5"/>
    <w:rsid w:val="00262A9E"/>
    <w:rsid w:val="0026317D"/>
    <w:rsid w:val="00263950"/>
    <w:rsid w:val="002640BC"/>
    <w:rsid w:val="00265AC6"/>
    <w:rsid w:val="002672B3"/>
    <w:rsid w:val="00270703"/>
    <w:rsid w:val="00271177"/>
    <w:rsid w:val="00271CE3"/>
    <w:rsid w:val="00272568"/>
    <w:rsid w:val="002728FD"/>
    <w:rsid w:val="00272A23"/>
    <w:rsid w:val="002734BF"/>
    <w:rsid w:val="00273AC1"/>
    <w:rsid w:val="00273B6E"/>
    <w:rsid w:val="002744F9"/>
    <w:rsid w:val="00274F94"/>
    <w:rsid w:val="00276E63"/>
    <w:rsid w:val="00276E68"/>
    <w:rsid w:val="00277922"/>
    <w:rsid w:val="002806CE"/>
    <w:rsid w:val="00280EC6"/>
    <w:rsid w:val="00282A90"/>
    <w:rsid w:val="00282F8D"/>
    <w:rsid w:val="002839FA"/>
    <w:rsid w:val="0028502B"/>
    <w:rsid w:val="00285159"/>
    <w:rsid w:val="00285877"/>
    <w:rsid w:val="00287296"/>
    <w:rsid w:val="002877DB"/>
    <w:rsid w:val="00287C47"/>
    <w:rsid w:val="0029100D"/>
    <w:rsid w:val="00291EEE"/>
    <w:rsid w:val="002938C1"/>
    <w:rsid w:val="00295AC7"/>
    <w:rsid w:val="002965AF"/>
    <w:rsid w:val="0029753C"/>
    <w:rsid w:val="002A2DA4"/>
    <w:rsid w:val="002A404E"/>
    <w:rsid w:val="002A560F"/>
    <w:rsid w:val="002A5E42"/>
    <w:rsid w:val="002A65AB"/>
    <w:rsid w:val="002B1FA3"/>
    <w:rsid w:val="002B2ABA"/>
    <w:rsid w:val="002B2F43"/>
    <w:rsid w:val="002B398D"/>
    <w:rsid w:val="002B458C"/>
    <w:rsid w:val="002B4812"/>
    <w:rsid w:val="002B5040"/>
    <w:rsid w:val="002B5C18"/>
    <w:rsid w:val="002B5EA7"/>
    <w:rsid w:val="002B76C9"/>
    <w:rsid w:val="002B7916"/>
    <w:rsid w:val="002C0069"/>
    <w:rsid w:val="002C0F7E"/>
    <w:rsid w:val="002C104C"/>
    <w:rsid w:val="002C1827"/>
    <w:rsid w:val="002C26AC"/>
    <w:rsid w:val="002C4BC5"/>
    <w:rsid w:val="002C6231"/>
    <w:rsid w:val="002C68BA"/>
    <w:rsid w:val="002C7E44"/>
    <w:rsid w:val="002D0B03"/>
    <w:rsid w:val="002D2E41"/>
    <w:rsid w:val="002D320A"/>
    <w:rsid w:val="002D3617"/>
    <w:rsid w:val="002D49E1"/>
    <w:rsid w:val="002D5329"/>
    <w:rsid w:val="002D553F"/>
    <w:rsid w:val="002D5EE0"/>
    <w:rsid w:val="002D6698"/>
    <w:rsid w:val="002D681C"/>
    <w:rsid w:val="002D7383"/>
    <w:rsid w:val="002E0771"/>
    <w:rsid w:val="002E0D7C"/>
    <w:rsid w:val="002E2D62"/>
    <w:rsid w:val="002E332E"/>
    <w:rsid w:val="002E4692"/>
    <w:rsid w:val="002E4F70"/>
    <w:rsid w:val="002E64EB"/>
    <w:rsid w:val="002E6EC2"/>
    <w:rsid w:val="002E7AE9"/>
    <w:rsid w:val="002F004E"/>
    <w:rsid w:val="002F0A61"/>
    <w:rsid w:val="002F3891"/>
    <w:rsid w:val="002F3DF7"/>
    <w:rsid w:val="002F50E8"/>
    <w:rsid w:val="002F5600"/>
    <w:rsid w:val="002F57EE"/>
    <w:rsid w:val="002F6509"/>
    <w:rsid w:val="002F6AD3"/>
    <w:rsid w:val="002F735B"/>
    <w:rsid w:val="002F7942"/>
    <w:rsid w:val="00300030"/>
    <w:rsid w:val="00300D8F"/>
    <w:rsid w:val="00301309"/>
    <w:rsid w:val="0030143F"/>
    <w:rsid w:val="0030208B"/>
    <w:rsid w:val="003020E8"/>
    <w:rsid w:val="00302746"/>
    <w:rsid w:val="003028D8"/>
    <w:rsid w:val="0030462A"/>
    <w:rsid w:val="00304E04"/>
    <w:rsid w:val="00306FD9"/>
    <w:rsid w:val="003102F6"/>
    <w:rsid w:val="003109C4"/>
    <w:rsid w:val="00311854"/>
    <w:rsid w:val="00312A99"/>
    <w:rsid w:val="00313923"/>
    <w:rsid w:val="00314391"/>
    <w:rsid w:val="003145FD"/>
    <w:rsid w:val="0031488F"/>
    <w:rsid w:val="00315256"/>
    <w:rsid w:val="003176E5"/>
    <w:rsid w:val="00320E84"/>
    <w:rsid w:val="00321F7E"/>
    <w:rsid w:val="00321F9A"/>
    <w:rsid w:val="0032264E"/>
    <w:rsid w:val="00322798"/>
    <w:rsid w:val="003231BB"/>
    <w:rsid w:val="003233CD"/>
    <w:rsid w:val="00323787"/>
    <w:rsid w:val="00323E1A"/>
    <w:rsid w:val="00324AA3"/>
    <w:rsid w:val="00324E20"/>
    <w:rsid w:val="00324E84"/>
    <w:rsid w:val="003253C2"/>
    <w:rsid w:val="0032579C"/>
    <w:rsid w:val="00325E13"/>
    <w:rsid w:val="003261DC"/>
    <w:rsid w:val="00330B7B"/>
    <w:rsid w:val="00330CBC"/>
    <w:rsid w:val="00330D62"/>
    <w:rsid w:val="003320E8"/>
    <w:rsid w:val="00332590"/>
    <w:rsid w:val="00332C38"/>
    <w:rsid w:val="003342FC"/>
    <w:rsid w:val="0033456D"/>
    <w:rsid w:val="0033626B"/>
    <w:rsid w:val="00336C7B"/>
    <w:rsid w:val="00337C2E"/>
    <w:rsid w:val="003401A8"/>
    <w:rsid w:val="003406B7"/>
    <w:rsid w:val="00341F08"/>
    <w:rsid w:val="00342CE0"/>
    <w:rsid w:val="003432D1"/>
    <w:rsid w:val="0034330F"/>
    <w:rsid w:val="0034335B"/>
    <w:rsid w:val="00344459"/>
    <w:rsid w:val="0034544C"/>
    <w:rsid w:val="00345AC6"/>
    <w:rsid w:val="003461EB"/>
    <w:rsid w:val="00346424"/>
    <w:rsid w:val="003515EC"/>
    <w:rsid w:val="00351A33"/>
    <w:rsid w:val="0035304C"/>
    <w:rsid w:val="00353DAD"/>
    <w:rsid w:val="00353FE7"/>
    <w:rsid w:val="00354CC6"/>
    <w:rsid w:val="00355A6A"/>
    <w:rsid w:val="00356967"/>
    <w:rsid w:val="00357340"/>
    <w:rsid w:val="0035749D"/>
    <w:rsid w:val="003602B4"/>
    <w:rsid w:val="00360AB3"/>
    <w:rsid w:val="00361710"/>
    <w:rsid w:val="00362613"/>
    <w:rsid w:val="00362FE7"/>
    <w:rsid w:val="00363428"/>
    <w:rsid w:val="00363576"/>
    <w:rsid w:val="00363674"/>
    <w:rsid w:val="0036525D"/>
    <w:rsid w:val="003704AE"/>
    <w:rsid w:val="003710ED"/>
    <w:rsid w:val="003713B8"/>
    <w:rsid w:val="00371670"/>
    <w:rsid w:val="00372372"/>
    <w:rsid w:val="00373CD0"/>
    <w:rsid w:val="003742B3"/>
    <w:rsid w:val="00374479"/>
    <w:rsid w:val="00374C8C"/>
    <w:rsid w:val="003768C3"/>
    <w:rsid w:val="00377A1B"/>
    <w:rsid w:val="00377FF0"/>
    <w:rsid w:val="00380D58"/>
    <w:rsid w:val="00383677"/>
    <w:rsid w:val="003836B6"/>
    <w:rsid w:val="003849E9"/>
    <w:rsid w:val="00384EBE"/>
    <w:rsid w:val="00386C14"/>
    <w:rsid w:val="0038756F"/>
    <w:rsid w:val="00391696"/>
    <w:rsid w:val="003918A5"/>
    <w:rsid w:val="0039329A"/>
    <w:rsid w:val="00393BF5"/>
    <w:rsid w:val="00393D83"/>
    <w:rsid w:val="00394D5A"/>
    <w:rsid w:val="003954BD"/>
    <w:rsid w:val="00396134"/>
    <w:rsid w:val="003965D5"/>
    <w:rsid w:val="00396D74"/>
    <w:rsid w:val="003A22D1"/>
    <w:rsid w:val="003A4D28"/>
    <w:rsid w:val="003A50CA"/>
    <w:rsid w:val="003A673B"/>
    <w:rsid w:val="003A6A84"/>
    <w:rsid w:val="003A6B20"/>
    <w:rsid w:val="003A7DF7"/>
    <w:rsid w:val="003A7E6A"/>
    <w:rsid w:val="003B100D"/>
    <w:rsid w:val="003B1361"/>
    <w:rsid w:val="003B2A01"/>
    <w:rsid w:val="003B3F9E"/>
    <w:rsid w:val="003B44AA"/>
    <w:rsid w:val="003B79DC"/>
    <w:rsid w:val="003B7DFD"/>
    <w:rsid w:val="003C0F6F"/>
    <w:rsid w:val="003C1DF3"/>
    <w:rsid w:val="003C31DF"/>
    <w:rsid w:val="003C37B1"/>
    <w:rsid w:val="003C4756"/>
    <w:rsid w:val="003C52D4"/>
    <w:rsid w:val="003C53E3"/>
    <w:rsid w:val="003C68AC"/>
    <w:rsid w:val="003C7597"/>
    <w:rsid w:val="003D0446"/>
    <w:rsid w:val="003D0DC9"/>
    <w:rsid w:val="003D119B"/>
    <w:rsid w:val="003D1AEB"/>
    <w:rsid w:val="003D2230"/>
    <w:rsid w:val="003D2B4D"/>
    <w:rsid w:val="003D419D"/>
    <w:rsid w:val="003D4CE5"/>
    <w:rsid w:val="003D5C62"/>
    <w:rsid w:val="003D6FDE"/>
    <w:rsid w:val="003E1166"/>
    <w:rsid w:val="003E4067"/>
    <w:rsid w:val="003E5589"/>
    <w:rsid w:val="003E5973"/>
    <w:rsid w:val="003E6485"/>
    <w:rsid w:val="003E7C2D"/>
    <w:rsid w:val="003E7F3D"/>
    <w:rsid w:val="003F2FDC"/>
    <w:rsid w:val="003F354E"/>
    <w:rsid w:val="003F505E"/>
    <w:rsid w:val="003F5B41"/>
    <w:rsid w:val="003F6237"/>
    <w:rsid w:val="003F6C2D"/>
    <w:rsid w:val="003F6D67"/>
    <w:rsid w:val="003F7EE1"/>
    <w:rsid w:val="00400E7D"/>
    <w:rsid w:val="00400F05"/>
    <w:rsid w:val="00403E31"/>
    <w:rsid w:val="0040441B"/>
    <w:rsid w:val="004045A0"/>
    <w:rsid w:val="00404B43"/>
    <w:rsid w:val="00404B4E"/>
    <w:rsid w:val="00406222"/>
    <w:rsid w:val="004068B0"/>
    <w:rsid w:val="00406B15"/>
    <w:rsid w:val="00406B9C"/>
    <w:rsid w:val="00406ED1"/>
    <w:rsid w:val="00410453"/>
    <w:rsid w:val="0041192D"/>
    <w:rsid w:val="00411D9F"/>
    <w:rsid w:val="004135BD"/>
    <w:rsid w:val="00414309"/>
    <w:rsid w:val="004149F9"/>
    <w:rsid w:val="00414C95"/>
    <w:rsid w:val="00414FA7"/>
    <w:rsid w:val="00415964"/>
    <w:rsid w:val="004160DD"/>
    <w:rsid w:val="004167CB"/>
    <w:rsid w:val="00416D0A"/>
    <w:rsid w:val="00416E3C"/>
    <w:rsid w:val="0041716D"/>
    <w:rsid w:val="004224E3"/>
    <w:rsid w:val="00422CF1"/>
    <w:rsid w:val="00423780"/>
    <w:rsid w:val="00423FE6"/>
    <w:rsid w:val="004267BA"/>
    <w:rsid w:val="00426F76"/>
    <w:rsid w:val="00427614"/>
    <w:rsid w:val="00430314"/>
    <w:rsid w:val="004310A6"/>
    <w:rsid w:val="00431C24"/>
    <w:rsid w:val="0043284A"/>
    <w:rsid w:val="0043347A"/>
    <w:rsid w:val="004335DF"/>
    <w:rsid w:val="004339DD"/>
    <w:rsid w:val="00433E9A"/>
    <w:rsid w:val="00433EC7"/>
    <w:rsid w:val="00434B39"/>
    <w:rsid w:val="00435A13"/>
    <w:rsid w:val="004369CF"/>
    <w:rsid w:val="00436FA3"/>
    <w:rsid w:val="00437115"/>
    <w:rsid w:val="00437354"/>
    <w:rsid w:val="00441478"/>
    <w:rsid w:val="00441A01"/>
    <w:rsid w:val="00441A87"/>
    <w:rsid w:val="00442172"/>
    <w:rsid w:val="00442C7D"/>
    <w:rsid w:val="00444AEF"/>
    <w:rsid w:val="00444EDD"/>
    <w:rsid w:val="0044748A"/>
    <w:rsid w:val="00450075"/>
    <w:rsid w:val="004507B6"/>
    <w:rsid w:val="00450F4B"/>
    <w:rsid w:val="004516EE"/>
    <w:rsid w:val="00451958"/>
    <w:rsid w:val="00451CB6"/>
    <w:rsid w:val="0045312A"/>
    <w:rsid w:val="00453E43"/>
    <w:rsid w:val="0045441B"/>
    <w:rsid w:val="00456B1D"/>
    <w:rsid w:val="004577B2"/>
    <w:rsid w:val="00457B96"/>
    <w:rsid w:val="00460D52"/>
    <w:rsid w:val="00460DE2"/>
    <w:rsid w:val="00461004"/>
    <w:rsid w:val="00461B0F"/>
    <w:rsid w:val="004626CB"/>
    <w:rsid w:val="004633F2"/>
    <w:rsid w:val="004636C2"/>
    <w:rsid w:val="00464E12"/>
    <w:rsid w:val="00464F3A"/>
    <w:rsid w:val="004705BB"/>
    <w:rsid w:val="0047143B"/>
    <w:rsid w:val="00471B82"/>
    <w:rsid w:val="00471F80"/>
    <w:rsid w:val="00472A39"/>
    <w:rsid w:val="00472F41"/>
    <w:rsid w:val="0047334C"/>
    <w:rsid w:val="00473579"/>
    <w:rsid w:val="004743E1"/>
    <w:rsid w:val="00474588"/>
    <w:rsid w:val="004765D3"/>
    <w:rsid w:val="00480103"/>
    <w:rsid w:val="00480E0F"/>
    <w:rsid w:val="00481BF1"/>
    <w:rsid w:val="00483F66"/>
    <w:rsid w:val="00485792"/>
    <w:rsid w:val="00486F8A"/>
    <w:rsid w:val="00487BEA"/>
    <w:rsid w:val="0049093D"/>
    <w:rsid w:val="0049202C"/>
    <w:rsid w:val="004939AE"/>
    <w:rsid w:val="00493E18"/>
    <w:rsid w:val="00495456"/>
    <w:rsid w:val="004968F3"/>
    <w:rsid w:val="0049696E"/>
    <w:rsid w:val="004979F5"/>
    <w:rsid w:val="004A0AEB"/>
    <w:rsid w:val="004A13C5"/>
    <w:rsid w:val="004A1A1A"/>
    <w:rsid w:val="004A1EED"/>
    <w:rsid w:val="004A2C24"/>
    <w:rsid w:val="004A3B18"/>
    <w:rsid w:val="004A4B1D"/>
    <w:rsid w:val="004A4ECA"/>
    <w:rsid w:val="004A558E"/>
    <w:rsid w:val="004A57C5"/>
    <w:rsid w:val="004A5D7A"/>
    <w:rsid w:val="004A6268"/>
    <w:rsid w:val="004A7A53"/>
    <w:rsid w:val="004B1185"/>
    <w:rsid w:val="004B289E"/>
    <w:rsid w:val="004B34B7"/>
    <w:rsid w:val="004B3F63"/>
    <w:rsid w:val="004B462F"/>
    <w:rsid w:val="004B5C8B"/>
    <w:rsid w:val="004B5EDA"/>
    <w:rsid w:val="004B63F6"/>
    <w:rsid w:val="004B66BE"/>
    <w:rsid w:val="004B6E60"/>
    <w:rsid w:val="004B77C9"/>
    <w:rsid w:val="004C0A8D"/>
    <w:rsid w:val="004C6BF6"/>
    <w:rsid w:val="004C76F3"/>
    <w:rsid w:val="004C77BA"/>
    <w:rsid w:val="004C7B41"/>
    <w:rsid w:val="004C7BD2"/>
    <w:rsid w:val="004C7FB5"/>
    <w:rsid w:val="004C7FE2"/>
    <w:rsid w:val="004D033E"/>
    <w:rsid w:val="004D03FD"/>
    <w:rsid w:val="004D0623"/>
    <w:rsid w:val="004D1C03"/>
    <w:rsid w:val="004D2CAE"/>
    <w:rsid w:val="004D3DEE"/>
    <w:rsid w:val="004D6689"/>
    <w:rsid w:val="004D7079"/>
    <w:rsid w:val="004D7706"/>
    <w:rsid w:val="004D788D"/>
    <w:rsid w:val="004D7A89"/>
    <w:rsid w:val="004E01D1"/>
    <w:rsid w:val="004E042B"/>
    <w:rsid w:val="004E07E6"/>
    <w:rsid w:val="004E093A"/>
    <w:rsid w:val="004E2012"/>
    <w:rsid w:val="004E24A4"/>
    <w:rsid w:val="004E3178"/>
    <w:rsid w:val="004E31D7"/>
    <w:rsid w:val="004E40A8"/>
    <w:rsid w:val="004E49CE"/>
    <w:rsid w:val="004E5ADD"/>
    <w:rsid w:val="004E5D40"/>
    <w:rsid w:val="004E609B"/>
    <w:rsid w:val="004E62B9"/>
    <w:rsid w:val="004E709D"/>
    <w:rsid w:val="004F1B36"/>
    <w:rsid w:val="004F2385"/>
    <w:rsid w:val="004F43B8"/>
    <w:rsid w:val="004F47F4"/>
    <w:rsid w:val="004F5B34"/>
    <w:rsid w:val="004F6C87"/>
    <w:rsid w:val="004F6D88"/>
    <w:rsid w:val="004F7F4A"/>
    <w:rsid w:val="00500045"/>
    <w:rsid w:val="00500921"/>
    <w:rsid w:val="005009A9"/>
    <w:rsid w:val="00501038"/>
    <w:rsid w:val="0050469C"/>
    <w:rsid w:val="005052BB"/>
    <w:rsid w:val="00505380"/>
    <w:rsid w:val="005063BD"/>
    <w:rsid w:val="00506AE7"/>
    <w:rsid w:val="005075EF"/>
    <w:rsid w:val="00507BF2"/>
    <w:rsid w:val="00510FBE"/>
    <w:rsid w:val="00511074"/>
    <w:rsid w:val="005115C0"/>
    <w:rsid w:val="00512006"/>
    <w:rsid w:val="00512125"/>
    <w:rsid w:val="0051276F"/>
    <w:rsid w:val="00512FE8"/>
    <w:rsid w:val="00513365"/>
    <w:rsid w:val="00513A8A"/>
    <w:rsid w:val="00513CEB"/>
    <w:rsid w:val="00514B26"/>
    <w:rsid w:val="0051511C"/>
    <w:rsid w:val="005155ED"/>
    <w:rsid w:val="00516928"/>
    <w:rsid w:val="005176F7"/>
    <w:rsid w:val="005203DC"/>
    <w:rsid w:val="0052102B"/>
    <w:rsid w:val="005212AE"/>
    <w:rsid w:val="00522731"/>
    <w:rsid w:val="005228BB"/>
    <w:rsid w:val="00524DEE"/>
    <w:rsid w:val="00525774"/>
    <w:rsid w:val="005257CE"/>
    <w:rsid w:val="005258C0"/>
    <w:rsid w:val="00525D37"/>
    <w:rsid w:val="00527893"/>
    <w:rsid w:val="00527B23"/>
    <w:rsid w:val="00527B35"/>
    <w:rsid w:val="00530832"/>
    <w:rsid w:val="00530BD5"/>
    <w:rsid w:val="00531315"/>
    <w:rsid w:val="00531662"/>
    <w:rsid w:val="00532453"/>
    <w:rsid w:val="00532783"/>
    <w:rsid w:val="00533A2E"/>
    <w:rsid w:val="00535917"/>
    <w:rsid w:val="00536CAA"/>
    <w:rsid w:val="00537DE5"/>
    <w:rsid w:val="005409E7"/>
    <w:rsid w:val="005410D0"/>
    <w:rsid w:val="00542422"/>
    <w:rsid w:val="00542A1F"/>
    <w:rsid w:val="00546B52"/>
    <w:rsid w:val="0054762B"/>
    <w:rsid w:val="00550320"/>
    <w:rsid w:val="0055037F"/>
    <w:rsid w:val="005506CC"/>
    <w:rsid w:val="00550EFA"/>
    <w:rsid w:val="00552EA4"/>
    <w:rsid w:val="00553A72"/>
    <w:rsid w:val="00553DC7"/>
    <w:rsid w:val="00556EE5"/>
    <w:rsid w:val="005573C2"/>
    <w:rsid w:val="00557E1F"/>
    <w:rsid w:val="005601E9"/>
    <w:rsid w:val="0056107E"/>
    <w:rsid w:val="00561354"/>
    <w:rsid w:val="00561B5D"/>
    <w:rsid w:val="00562987"/>
    <w:rsid w:val="00563D9A"/>
    <w:rsid w:val="005647FF"/>
    <w:rsid w:val="00564C79"/>
    <w:rsid w:val="0056575A"/>
    <w:rsid w:val="005673C2"/>
    <w:rsid w:val="0057073B"/>
    <w:rsid w:val="005710D6"/>
    <w:rsid w:val="00571C99"/>
    <w:rsid w:val="005726D8"/>
    <w:rsid w:val="00573CE0"/>
    <w:rsid w:val="00575834"/>
    <w:rsid w:val="0057595F"/>
    <w:rsid w:val="005813A3"/>
    <w:rsid w:val="005816A7"/>
    <w:rsid w:val="005825F7"/>
    <w:rsid w:val="00583317"/>
    <w:rsid w:val="005839A4"/>
    <w:rsid w:val="00584390"/>
    <w:rsid w:val="00584D52"/>
    <w:rsid w:val="005859A4"/>
    <w:rsid w:val="00586073"/>
    <w:rsid w:val="00587A70"/>
    <w:rsid w:val="005915F0"/>
    <w:rsid w:val="005918DB"/>
    <w:rsid w:val="0059316C"/>
    <w:rsid w:val="00595096"/>
    <w:rsid w:val="00596A34"/>
    <w:rsid w:val="00597CAE"/>
    <w:rsid w:val="005A00B0"/>
    <w:rsid w:val="005A19E5"/>
    <w:rsid w:val="005A34AA"/>
    <w:rsid w:val="005A583A"/>
    <w:rsid w:val="005A58A5"/>
    <w:rsid w:val="005A5A63"/>
    <w:rsid w:val="005A5E49"/>
    <w:rsid w:val="005A69BD"/>
    <w:rsid w:val="005A6B52"/>
    <w:rsid w:val="005A7CF9"/>
    <w:rsid w:val="005B0692"/>
    <w:rsid w:val="005B0927"/>
    <w:rsid w:val="005B1246"/>
    <w:rsid w:val="005B1DD2"/>
    <w:rsid w:val="005B2B86"/>
    <w:rsid w:val="005B33B5"/>
    <w:rsid w:val="005B3D23"/>
    <w:rsid w:val="005B769D"/>
    <w:rsid w:val="005B79EF"/>
    <w:rsid w:val="005C05BC"/>
    <w:rsid w:val="005C135F"/>
    <w:rsid w:val="005C436F"/>
    <w:rsid w:val="005C4DAA"/>
    <w:rsid w:val="005C5224"/>
    <w:rsid w:val="005C5BC6"/>
    <w:rsid w:val="005C5C4A"/>
    <w:rsid w:val="005C6767"/>
    <w:rsid w:val="005C6A2B"/>
    <w:rsid w:val="005C720B"/>
    <w:rsid w:val="005D1CEC"/>
    <w:rsid w:val="005D22E6"/>
    <w:rsid w:val="005D57A3"/>
    <w:rsid w:val="005D5C1E"/>
    <w:rsid w:val="005D6400"/>
    <w:rsid w:val="005E0330"/>
    <w:rsid w:val="005E194D"/>
    <w:rsid w:val="005E2F29"/>
    <w:rsid w:val="005E419F"/>
    <w:rsid w:val="005E59EC"/>
    <w:rsid w:val="005E6CB8"/>
    <w:rsid w:val="005E6FA0"/>
    <w:rsid w:val="005F1041"/>
    <w:rsid w:val="005F1B49"/>
    <w:rsid w:val="005F1C5E"/>
    <w:rsid w:val="005F21D5"/>
    <w:rsid w:val="006001C8"/>
    <w:rsid w:val="00601333"/>
    <w:rsid w:val="00601A4F"/>
    <w:rsid w:val="00602A4A"/>
    <w:rsid w:val="0060522B"/>
    <w:rsid w:val="0060528B"/>
    <w:rsid w:val="00605A27"/>
    <w:rsid w:val="00605A7D"/>
    <w:rsid w:val="00606A42"/>
    <w:rsid w:val="00607AAA"/>
    <w:rsid w:val="00610B3F"/>
    <w:rsid w:val="0061340B"/>
    <w:rsid w:val="006135D5"/>
    <w:rsid w:val="00613E95"/>
    <w:rsid w:val="006144EF"/>
    <w:rsid w:val="00615415"/>
    <w:rsid w:val="00615C9F"/>
    <w:rsid w:val="00615DE6"/>
    <w:rsid w:val="006202A4"/>
    <w:rsid w:val="00620413"/>
    <w:rsid w:val="006221E7"/>
    <w:rsid w:val="00622298"/>
    <w:rsid w:val="00622DD2"/>
    <w:rsid w:val="0062345A"/>
    <w:rsid w:val="00623E8B"/>
    <w:rsid w:val="0062414D"/>
    <w:rsid w:val="00624B77"/>
    <w:rsid w:val="00625AE4"/>
    <w:rsid w:val="006261AE"/>
    <w:rsid w:val="0062654D"/>
    <w:rsid w:val="006272CD"/>
    <w:rsid w:val="00630484"/>
    <w:rsid w:val="0063112D"/>
    <w:rsid w:val="006317E6"/>
    <w:rsid w:val="0063266A"/>
    <w:rsid w:val="00632790"/>
    <w:rsid w:val="006334FD"/>
    <w:rsid w:val="00633504"/>
    <w:rsid w:val="00634258"/>
    <w:rsid w:val="00634A65"/>
    <w:rsid w:val="0063546F"/>
    <w:rsid w:val="00636407"/>
    <w:rsid w:val="0063670B"/>
    <w:rsid w:val="006376AC"/>
    <w:rsid w:val="00640B4E"/>
    <w:rsid w:val="00640CC8"/>
    <w:rsid w:val="0064171E"/>
    <w:rsid w:val="00641941"/>
    <w:rsid w:val="00642971"/>
    <w:rsid w:val="006438A6"/>
    <w:rsid w:val="0064462A"/>
    <w:rsid w:val="00644ECD"/>
    <w:rsid w:val="00645BA9"/>
    <w:rsid w:val="0064642A"/>
    <w:rsid w:val="0064710A"/>
    <w:rsid w:val="00651AE8"/>
    <w:rsid w:val="00651D17"/>
    <w:rsid w:val="00651EDA"/>
    <w:rsid w:val="00652CEF"/>
    <w:rsid w:val="00652DE5"/>
    <w:rsid w:val="00653098"/>
    <w:rsid w:val="00653F52"/>
    <w:rsid w:val="00654059"/>
    <w:rsid w:val="0065430A"/>
    <w:rsid w:val="00654FE2"/>
    <w:rsid w:val="00656A2F"/>
    <w:rsid w:val="00656CF8"/>
    <w:rsid w:val="00656D8C"/>
    <w:rsid w:val="006579A8"/>
    <w:rsid w:val="006601E6"/>
    <w:rsid w:val="006607BA"/>
    <w:rsid w:val="00660999"/>
    <w:rsid w:val="00661B40"/>
    <w:rsid w:val="00662232"/>
    <w:rsid w:val="00662AAF"/>
    <w:rsid w:val="0066464C"/>
    <w:rsid w:val="00665800"/>
    <w:rsid w:val="00665B1E"/>
    <w:rsid w:val="00665C43"/>
    <w:rsid w:val="00665D2B"/>
    <w:rsid w:val="00666878"/>
    <w:rsid w:val="00667254"/>
    <w:rsid w:val="00667ECE"/>
    <w:rsid w:val="006704E6"/>
    <w:rsid w:val="006716AE"/>
    <w:rsid w:val="006718AF"/>
    <w:rsid w:val="00671A1B"/>
    <w:rsid w:val="00672134"/>
    <w:rsid w:val="0067245E"/>
    <w:rsid w:val="00672BFE"/>
    <w:rsid w:val="00673C3F"/>
    <w:rsid w:val="00673DD5"/>
    <w:rsid w:val="006746F5"/>
    <w:rsid w:val="00674BAF"/>
    <w:rsid w:val="00675368"/>
    <w:rsid w:val="006756E2"/>
    <w:rsid w:val="006765D3"/>
    <w:rsid w:val="006771E9"/>
    <w:rsid w:val="006807DC"/>
    <w:rsid w:val="006809D1"/>
    <w:rsid w:val="00681263"/>
    <w:rsid w:val="00681846"/>
    <w:rsid w:val="00682467"/>
    <w:rsid w:val="00682855"/>
    <w:rsid w:val="006836FC"/>
    <w:rsid w:val="0068418A"/>
    <w:rsid w:val="006846B7"/>
    <w:rsid w:val="00685C47"/>
    <w:rsid w:val="0068630E"/>
    <w:rsid w:val="0068657A"/>
    <w:rsid w:val="006866C3"/>
    <w:rsid w:val="00686B7A"/>
    <w:rsid w:val="00686BF9"/>
    <w:rsid w:val="006875F3"/>
    <w:rsid w:val="00687CEB"/>
    <w:rsid w:val="00690783"/>
    <w:rsid w:val="0069118F"/>
    <w:rsid w:val="0069145B"/>
    <w:rsid w:val="00694DA7"/>
    <w:rsid w:val="0069595A"/>
    <w:rsid w:val="0069636C"/>
    <w:rsid w:val="00696BF4"/>
    <w:rsid w:val="006A002D"/>
    <w:rsid w:val="006A0455"/>
    <w:rsid w:val="006A1674"/>
    <w:rsid w:val="006A2185"/>
    <w:rsid w:val="006A28A5"/>
    <w:rsid w:val="006A3007"/>
    <w:rsid w:val="006A370E"/>
    <w:rsid w:val="006A3F23"/>
    <w:rsid w:val="006A4FB3"/>
    <w:rsid w:val="006A5698"/>
    <w:rsid w:val="006A5F1D"/>
    <w:rsid w:val="006B07E3"/>
    <w:rsid w:val="006B0CE3"/>
    <w:rsid w:val="006B1374"/>
    <w:rsid w:val="006B1976"/>
    <w:rsid w:val="006B1F8B"/>
    <w:rsid w:val="006B313A"/>
    <w:rsid w:val="006B380B"/>
    <w:rsid w:val="006B3C3E"/>
    <w:rsid w:val="006B4EC6"/>
    <w:rsid w:val="006B5EDF"/>
    <w:rsid w:val="006B6A31"/>
    <w:rsid w:val="006B6A49"/>
    <w:rsid w:val="006B7A2D"/>
    <w:rsid w:val="006C124B"/>
    <w:rsid w:val="006C13A6"/>
    <w:rsid w:val="006C4BBB"/>
    <w:rsid w:val="006C7880"/>
    <w:rsid w:val="006D10B8"/>
    <w:rsid w:val="006D210B"/>
    <w:rsid w:val="006D2521"/>
    <w:rsid w:val="006D2C5D"/>
    <w:rsid w:val="006D50BE"/>
    <w:rsid w:val="006D66A6"/>
    <w:rsid w:val="006D7D76"/>
    <w:rsid w:val="006E03E8"/>
    <w:rsid w:val="006E0C93"/>
    <w:rsid w:val="006E15EB"/>
    <w:rsid w:val="006E1C45"/>
    <w:rsid w:val="006E2973"/>
    <w:rsid w:val="006E46FE"/>
    <w:rsid w:val="006E61A4"/>
    <w:rsid w:val="006E7629"/>
    <w:rsid w:val="006E79A5"/>
    <w:rsid w:val="006E7F06"/>
    <w:rsid w:val="006F0739"/>
    <w:rsid w:val="006F1671"/>
    <w:rsid w:val="006F400B"/>
    <w:rsid w:val="006F42F7"/>
    <w:rsid w:val="006F5CAB"/>
    <w:rsid w:val="006F68FE"/>
    <w:rsid w:val="006F693A"/>
    <w:rsid w:val="00700574"/>
    <w:rsid w:val="007015A1"/>
    <w:rsid w:val="00701B8D"/>
    <w:rsid w:val="0070224F"/>
    <w:rsid w:val="00704550"/>
    <w:rsid w:val="0070520C"/>
    <w:rsid w:val="00706600"/>
    <w:rsid w:val="007066D7"/>
    <w:rsid w:val="00706A58"/>
    <w:rsid w:val="00707F0F"/>
    <w:rsid w:val="0071074D"/>
    <w:rsid w:val="00710835"/>
    <w:rsid w:val="00710E4B"/>
    <w:rsid w:val="00711EF7"/>
    <w:rsid w:val="0071307F"/>
    <w:rsid w:val="00713854"/>
    <w:rsid w:val="00713F44"/>
    <w:rsid w:val="00714891"/>
    <w:rsid w:val="00714DF7"/>
    <w:rsid w:val="00716386"/>
    <w:rsid w:val="00716B1A"/>
    <w:rsid w:val="00716DC6"/>
    <w:rsid w:val="007179F2"/>
    <w:rsid w:val="00721169"/>
    <w:rsid w:val="00721BE2"/>
    <w:rsid w:val="00721DBD"/>
    <w:rsid w:val="00722569"/>
    <w:rsid w:val="0072347D"/>
    <w:rsid w:val="00724BB5"/>
    <w:rsid w:val="00724E35"/>
    <w:rsid w:val="0072537B"/>
    <w:rsid w:val="007255E1"/>
    <w:rsid w:val="00725601"/>
    <w:rsid w:val="0072596C"/>
    <w:rsid w:val="007307DA"/>
    <w:rsid w:val="00730B6C"/>
    <w:rsid w:val="00733192"/>
    <w:rsid w:val="00733D9D"/>
    <w:rsid w:val="0073589E"/>
    <w:rsid w:val="00736EA9"/>
    <w:rsid w:val="00737870"/>
    <w:rsid w:val="00740B06"/>
    <w:rsid w:val="00740B97"/>
    <w:rsid w:val="00740CCD"/>
    <w:rsid w:val="007416CB"/>
    <w:rsid w:val="00742ABD"/>
    <w:rsid w:val="0074365D"/>
    <w:rsid w:val="007436D6"/>
    <w:rsid w:val="00743C16"/>
    <w:rsid w:val="00743EE6"/>
    <w:rsid w:val="00744408"/>
    <w:rsid w:val="00746DF8"/>
    <w:rsid w:val="007473F5"/>
    <w:rsid w:val="00747D45"/>
    <w:rsid w:val="00750329"/>
    <w:rsid w:val="00750346"/>
    <w:rsid w:val="00751A8D"/>
    <w:rsid w:val="007524E2"/>
    <w:rsid w:val="007536B4"/>
    <w:rsid w:val="00753C2B"/>
    <w:rsid w:val="007543F3"/>
    <w:rsid w:val="00754A15"/>
    <w:rsid w:val="00754D6E"/>
    <w:rsid w:val="00755B68"/>
    <w:rsid w:val="007571F8"/>
    <w:rsid w:val="00761029"/>
    <w:rsid w:val="007617D7"/>
    <w:rsid w:val="00762ABC"/>
    <w:rsid w:val="00763260"/>
    <w:rsid w:val="007637D9"/>
    <w:rsid w:val="00764D86"/>
    <w:rsid w:val="00764DC9"/>
    <w:rsid w:val="0076506A"/>
    <w:rsid w:val="00765B8A"/>
    <w:rsid w:val="007661A2"/>
    <w:rsid w:val="00766467"/>
    <w:rsid w:val="007668C0"/>
    <w:rsid w:val="00767170"/>
    <w:rsid w:val="00770D60"/>
    <w:rsid w:val="0077249D"/>
    <w:rsid w:val="00774328"/>
    <w:rsid w:val="007747D6"/>
    <w:rsid w:val="00774FD8"/>
    <w:rsid w:val="00777DA6"/>
    <w:rsid w:val="007805E3"/>
    <w:rsid w:val="00780794"/>
    <w:rsid w:val="00780A0D"/>
    <w:rsid w:val="00780C33"/>
    <w:rsid w:val="007822B5"/>
    <w:rsid w:val="007839D3"/>
    <w:rsid w:val="00783B00"/>
    <w:rsid w:val="00785E6E"/>
    <w:rsid w:val="007865FF"/>
    <w:rsid w:val="00787B0C"/>
    <w:rsid w:val="00790630"/>
    <w:rsid w:val="00791710"/>
    <w:rsid w:val="0079372C"/>
    <w:rsid w:val="00795730"/>
    <w:rsid w:val="007960B3"/>
    <w:rsid w:val="00796302"/>
    <w:rsid w:val="00796BE4"/>
    <w:rsid w:val="00796C55"/>
    <w:rsid w:val="007A0601"/>
    <w:rsid w:val="007A17F7"/>
    <w:rsid w:val="007A22E1"/>
    <w:rsid w:val="007A30B5"/>
    <w:rsid w:val="007A39DE"/>
    <w:rsid w:val="007A4285"/>
    <w:rsid w:val="007A53CE"/>
    <w:rsid w:val="007A5B3C"/>
    <w:rsid w:val="007B123D"/>
    <w:rsid w:val="007B2BA2"/>
    <w:rsid w:val="007B3C68"/>
    <w:rsid w:val="007B4E56"/>
    <w:rsid w:val="007B5953"/>
    <w:rsid w:val="007B5D89"/>
    <w:rsid w:val="007B5FA3"/>
    <w:rsid w:val="007B6326"/>
    <w:rsid w:val="007B7A78"/>
    <w:rsid w:val="007C0CF3"/>
    <w:rsid w:val="007C15A3"/>
    <w:rsid w:val="007C3524"/>
    <w:rsid w:val="007C3E04"/>
    <w:rsid w:val="007C4CB6"/>
    <w:rsid w:val="007C6E6C"/>
    <w:rsid w:val="007C7B48"/>
    <w:rsid w:val="007D11DA"/>
    <w:rsid w:val="007D3ED3"/>
    <w:rsid w:val="007D45E2"/>
    <w:rsid w:val="007D4DC1"/>
    <w:rsid w:val="007D52AC"/>
    <w:rsid w:val="007D6D54"/>
    <w:rsid w:val="007D78FA"/>
    <w:rsid w:val="007D7C19"/>
    <w:rsid w:val="007E0363"/>
    <w:rsid w:val="007E0D5E"/>
    <w:rsid w:val="007E0E82"/>
    <w:rsid w:val="007E1C8A"/>
    <w:rsid w:val="007E20BC"/>
    <w:rsid w:val="007E2112"/>
    <w:rsid w:val="007E2579"/>
    <w:rsid w:val="007E31FA"/>
    <w:rsid w:val="007E3A3F"/>
    <w:rsid w:val="007E3D23"/>
    <w:rsid w:val="007E41BC"/>
    <w:rsid w:val="007E5238"/>
    <w:rsid w:val="007E5670"/>
    <w:rsid w:val="007E63A7"/>
    <w:rsid w:val="007E772B"/>
    <w:rsid w:val="007E7E12"/>
    <w:rsid w:val="007F01F1"/>
    <w:rsid w:val="007F036A"/>
    <w:rsid w:val="007F0780"/>
    <w:rsid w:val="007F10F9"/>
    <w:rsid w:val="007F1510"/>
    <w:rsid w:val="007F188A"/>
    <w:rsid w:val="007F1F06"/>
    <w:rsid w:val="007F2A8C"/>
    <w:rsid w:val="007F3764"/>
    <w:rsid w:val="007F481A"/>
    <w:rsid w:val="007F4BC2"/>
    <w:rsid w:val="007F4DCB"/>
    <w:rsid w:val="007F5F35"/>
    <w:rsid w:val="007F6661"/>
    <w:rsid w:val="0080001D"/>
    <w:rsid w:val="0080059C"/>
    <w:rsid w:val="008005FF"/>
    <w:rsid w:val="008029FE"/>
    <w:rsid w:val="008040A8"/>
    <w:rsid w:val="00804796"/>
    <w:rsid w:val="00805508"/>
    <w:rsid w:val="00807BD9"/>
    <w:rsid w:val="0081269B"/>
    <w:rsid w:val="008129FE"/>
    <w:rsid w:val="00815836"/>
    <w:rsid w:val="00815B24"/>
    <w:rsid w:val="00816587"/>
    <w:rsid w:val="00816DA1"/>
    <w:rsid w:val="00817ED4"/>
    <w:rsid w:val="00820088"/>
    <w:rsid w:val="00820BD3"/>
    <w:rsid w:val="00823AC0"/>
    <w:rsid w:val="00824B35"/>
    <w:rsid w:val="00826A8D"/>
    <w:rsid w:val="00827CC9"/>
    <w:rsid w:val="00830091"/>
    <w:rsid w:val="0083115E"/>
    <w:rsid w:val="008339FF"/>
    <w:rsid w:val="008340A9"/>
    <w:rsid w:val="008346F8"/>
    <w:rsid w:val="00834FB5"/>
    <w:rsid w:val="0083594D"/>
    <w:rsid w:val="008407D6"/>
    <w:rsid w:val="00840C41"/>
    <w:rsid w:val="008417F9"/>
    <w:rsid w:val="0084361C"/>
    <w:rsid w:val="00843690"/>
    <w:rsid w:val="00845918"/>
    <w:rsid w:val="00845BC8"/>
    <w:rsid w:val="00845E56"/>
    <w:rsid w:val="008461CC"/>
    <w:rsid w:val="00846602"/>
    <w:rsid w:val="00846B1F"/>
    <w:rsid w:val="0085099F"/>
    <w:rsid w:val="0085180B"/>
    <w:rsid w:val="00851F30"/>
    <w:rsid w:val="00852C2C"/>
    <w:rsid w:val="00853ADE"/>
    <w:rsid w:val="00853E4A"/>
    <w:rsid w:val="00854F28"/>
    <w:rsid w:val="0085573A"/>
    <w:rsid w:val="00855DD8"/>
    <w:rsid w:val="00856781"/>
    <w:rsid w:val="00856CA2"/>
    <w:rsid w:val="00857660"/>
    <w:rsid w:val="00857C92"/>
    <w:rsid w:val="008601CB"/>
    <w:rsid w:val="008603CD"/>
    <w:rsid w:val="008629C9"/>
    <w:rsid w:val="00862B0B"/>
    <w:rsid w:val="00862CAE"/>
    <w:rsid w:val="008633C9"/>
    <w:rsid w:val="00863402"/>
    <w:rsid w:val="0086360D"/>
    <w:rsid w:val="008642DF"/>
    <w:rsid w:val="008644C8"/>
    <w:rsid w:val="008665C0"/>
    <w:rsid w:val="00866945"/>
    <w:rsid w:val="00866B05"/>
    <w:rsid w:val="00870FD8"/>
    <w:rsid w:val="00871726"/>
    <w:rsid w:val="00871E9C"/>
    <w:rsid w:val="00872276"/>
    <w:rsid w:val="0087234D"/>
    <w:rsid w:val="00872C09"/>
    <w:rsid w:val="008746CB"/>
    <w:rsid w:val="00874AFD"/>
    <w:rsid w:val="008765D0"/>
    <w:rsid w:val="00876B2A"/>
    <w:rsid w:val="00876EEB"/>
    <w:rsid w:val="00877208"/>
    <w:rsid w:val="0088080E"/>
    <w:rsid w:val="0088273C"/>
    <w:rsid w:val="00883905"/>
    <w:rsid w:val="008844C3"/>
    <w:rsid w:val="00884690"/>
    <w:rsid w:val="00885E7F"/>
    <w:rsid w:val="008878E4"/>
    <w:rsid w:val="00887A4C"/>
    <w:rsid w:val="00887D07"/>
    <w:rsid w:val="00890710"/>
    <w:rsid w:val="00891582"/>
    <w:rsid w:val="00891E7F"/>
    <w:rsid w:val="00891FD2"/>
    <w:rsid w:val="00892B39"/>
    <w:rsid w:val="00893CBE"/>
    <w:rsid w:val="0089483C"/>
    <w:rsid w:val="00896CF0"/>
    <w:rsid w:val="00896D71"/>
    <w:rsid w:val="00896EEE"/>
    <w:rsid w:val="00897390"/>
    <w:rsid w:val="00897786"/>
    <w:rsid w:val="00897C87"/>
    <w:rsid w:val="008A0341"/>
    <w:rsid w:val="008A2142"/>
    <w:rsid w:val="008A2829"/>
    <w:rsid w:val="008A47CB"/>
    <w:rsid w:val="008A613F"/>
    <w:rsid w:val="008A63B0"/>
    <w:rsid w:val="008A64AF"/>
    <w:rsid w:val="008A6B4E"/>
    <w:rsid w:val="008A6F1C"/>
    <w:rsid w:val="008A6F73"/>
    <w:rsid w:val="008A779C"/>
    <w:rsid w:val="008A7B01"/>
    <w:rsid w:val="008B0034"/>
    <w:rsid w:val="008B0B64"/>
    <w:rsid w:val="008B0CF4"/>
    <w:rsid w:val="008B0D71"/>
    <w:rsid w:val="008B2001"/>
    <w:rsid w:val="008B45A7"/>
    <w:rsid w:val="008B57E2"/>
    <w:rsid w:val="008B6142"/>
    <w:rsid w:val="008B6364"/>
    <w:rsid w:val="008B63FB"/>
    <w:rsid w:val="008B6E9D"/>
    <w:rsid w:val="008C0412"/>
    <w:rsid w:val="008C0882"/>
    <w:rsid w:val="008C2AD3"/>
    <w:rsid w:val="008C438F"/>
    <w:rsid w:val="008C5706"/>
    <w:rsid w:val="008C5967"/>
    <w:rsid w:val="008C5DDF"/>
    <w:rsid w:val="008C6AD0"/>
    <w:rsid w:val="008C7564"/>
    <w:rsid w:val="008C76FC"/>
    <w:rsid w:val="008C7A59"/>
    <w:rsid w:val="008C7E1D"/>
    <w:rsid w:val="008D0ED4"/>
    <w:rsid w:val="008D19A4"/>
    <w:rsid w:val="008D3E18"/>
    <w:rsid w:val="008D4584"/>
    <w:rsid w:val="008D77C4"/>
    <w:rsid w:val="008E0714"/>
    <w:rsid w:val="008E21E1"/>
    <w:rsid w:val="008E2369"/>
    <w:rsid w:val="008E2A71"/>
    <w:rsid w:val="008E3AF6"/>
    <w:rsid w:val="008E3D43"/>
    <w:rsid w:val="008E4D57"/>
    <w:rsid w:val="008E5E96"/>
    <w:rsid w:val="008E7D0D"/>
    <w:rsid w:val="008F01F6"/>
    <w:rsid w:val="008F1587"/>
    <w:rsid w:val="008F2F17"/>
    <w:rsid w:val="008F3512"/>
    <w:rsid w:val="008F3E41"/>
    <w:rsid w:val="008F6FF8"/>
    <w:rsid w:val="008F70ED"/>
    <w:rsid w:val="009007F5"/>
    <w:rsid w:val="00900824"/>
    <w:rsid w:val="009009BE"/>
    <w:rsid w:val="00900A2E"/>
    <w:rsid w:val="00901A17"/>
    <w:rsid w:val="00901D69"/>
    <w:rsid w:val="00901D6B"/>
    <w:rsid w:val="00902B61"/>
    <w:rsid w:val="00904DDC"/>
    <w:rsid w:val="0090543C"/>
    <w:rsid w:val="00905B6D"/>
    <w:rsid w:val="0090636E"/>
    <w:rsid w:val="00906B2D"/>
    <w:rsid w:val="00906DAF"/>
    <w:rsid w:val="00906F70"/>
    <w:rsid w:val="0090704D"/>
    <w:rsid w:val="009075AE"/>
    <w:rsid w:val="009076C8"/>
    <w:rsid w:val="009101D0"/>
    <w:rsid w:val="009117FE"/>
    <w:rsid w:val="00911927"/>
    <w:rsid w:val="00911C27"/>
    <w:rsid w:val="00911C63"/>
    <w:rsid w:val="00911DCE"/>
    <w:rsid w:val="00912374"/>
    <w:rsid w:val="009138C7"/>
    <w:rsid w:val="00914646"/>
    <w:rsid w:val="009149FE"/>
    <w:rsid w:val="0091710B"/>
    <w:rsid w:val="00917C13"/>
    <w:rsid w:val="00920241"/>
    <w:rsid w:val="009215A0"/>
    <w:rsid w:val="00924761"/>
    <w:rsid w:val="0092740B"/>
    <w:rsid w:val="00932CC5"/>
    <w:rsid w:val="00933A63"/>
    <w:rsid w:val="00933BEC"/>
    <w:rsid w:val="009342F2"/>
    <w:rsid w:val="00934F89"/>
    <w:rsid w:val="009352D3"/>
    <w:rsid w:val="009354E0"/>
    <w:rsid w:val="00935AF2"/>
    <w:rsid w:val="00935F20"/>
    <w:rsid w:val="00937E09"/>
    <w:rsid w:val="00937F1A"/>
    <w:rsid w:val="00937FE6"/>
    <w:rsid w:val="00940215"/>
    <w:rsid w:val="00941596"/>
    <w:rsid w:val="009419C2"/>
    <w:rsid w:val="00942556"/>
    <w:rsid w:val="00944A8F"/>
    <w:rsid w:val="00944E85"/>
    <w:rsid w:val="00945B94"/>
    <w:rsid w:val="00946500"/>
    <w:rsid w:val="00947CF4"/>
    <w:rsid w:val="009504AD"/>
    <w:rsid w:val="00950A73"/>
    <w:rsid w:val="00953392"/>
    <w:rsid w:val="00954016"/>
    <w:rsid w:val="00954B28"/>
    <w:rsid w:val="00956407"/>
    <w:rsid w:val="00960388"/>
    <w:rsid w:val="009603CF"/>
    <w:rsid w:val="00963657"/>
    <w:rsid w:val="00963945"/>
    <w:rsid w:val="00964889"/>
    <w:rsid w:val="0096666A"/>
    <w:rsid w:val="00966684"/>
    <w:rsid w:val="00966726"/>
    <w:rsid w:val="00967258"/>
    <w:rsid w:val="00967CAA"/>
    <w:rsid w:val="00970C08"/>
    <w:rsid w:val="0097393C"/>
    <w:rsid w:val="00973DA3"/>
    <w:rsid w:val="0097425E"/>
    <w:rsid w:val="0097472A"/>
    <w:rsid w:val="00974769"/>
    <w:rsid w:val="00976B6E"/>
    <w:rsid w:val="00981F8B"/>
    <w:rsid w:val="00982A9F"/>
    <w:rsid w:val="00983484"/>
    <w:rsid w:val="00983AF3"/>
    <w:rsid w:val="0098416E"/>
    <w:rsid w:val="00985185"/>
    <w:rsid w:val="00987E50"/>
    <w:rsid w:val="009900E2"/>
    <w:rsid w:val="00991AA4"/>
    <w:rsid w:val="00993229"/>
    <w:rsid w:val="00994B96"/>
    <w:rsid w:val="00996154"/>
    <w:rsid w:val="00996242"/>
    <w:rsid w:val="009968C4"/>
    <w:rsid w:val="00996CD3"/>
    <w:rsid w:val="00996D19"/>
    <w:rsid w:val="009A1038"/>
    <w:rsid w:val="009A11E2"/>
    <w:rsid w:val="009A173F"/>
    <w:rsid w:val="009A17C9"/>
    <w:rsid w:val="009A197B"/>
    <w:rsid w:val="009A1A57"/>
    <w:rsid w:val="009A30DC"/>
    <w:rsid w:val="009A3238"/>
    <w:rsid w:val="009A48F0"/>
    <w:rsid w:val="009A49E5"/>
    <w:rsid w:val="009A5342"/>
    <w:rsid w:val="009A56B7"/>
    <w:rsid w:val="009A6366"/>
    <w:rsid w:val="009B1094"/>
    <w:rsid w:val="009B12E2"/>
    <w:rsid w:val="009B12EC"/>
    <w:rsid w:val="009B1751"/>
    <w:rsid w:val="009B3100"/>
    <w:rsid w:val="009B35AE"/>
    <w:rsid w:val="009B3E96"/>
    <w:rsid w:val="009B4079"/>
    <w:rsid w:val="009B490E"/>
    <w:rsid w:val="009B508F"/>
    <w:rsid w:val="009B6C9C"/>
    <w:rsid w:val="009C0FAE"/>
    <w:rsid w:val="009C2801"/>
    <w:rsid w:val="009C35DC"/>
    <w:rsid w:val="009C5030"/>
    <w:rsid w:val="009C53F1"/>
    <w:rsid w:val="009C55D1"/>
    <w:rsid w:val="009C584A"/>
    <w:rsid w:val="009C5B39"/>
    <w:rsid w:val="009C6D35"/>
    <w:rsid w:val="009D09DD"/>
    <w:rsid w:val="009D0B0F"/>
    <w:rsid w:val="009D0C5B"/>
    <w:rsid w:val="009D1058"/>
    <w:rsid w:val="009D1550"/>
    <w:rsid w:val="009D345B"/>
    <w:rsid w:val="009D454E"/>
    <w:rsid w:val="009D5C5C"/>
    <w:rsid w:val="009D6CC0"/>
    <w:rsid w:val="009D6FDB"/>
    <w:rsid w:val="009E14F0"/>
    <w:rsid w:val="009E26CF"/>
    <w:rsid w:val="009E2A5D"/>
    <w:rsid w:val="009E3BB1"/>
    <w:rsid w:val="009E48EF"/>
    <w:rsid w:val="009E4F5D"/>
    <w:rsid w:val="009E5497"/>
    <w:rsid w:val="009E5C58"/>
    <w:rsid w:val="009E6619"/>
    <w:rsid w:val="009E6D33"/>
    <w:rsid w:val="009E6FA7"/>
    <w:rsid w:val="009E7629"/>
    <w:rsid w:val="009E7E2A"/>
    <w:rsid w:val="009F043B"/>
    <w:rsid w:val="009F1A99"/>
    <w:rsid w:val="009F1DAB"/>
    <w:rsid w:val="009F243A"/>
    <w:rsid w:val="009F26A8"/>
    <w:rsid w:val="009F2D54"/>
    <w:rsid w:val="009F3227"/>
    <w:rsid w:val="009F35A6"/>
    <w:rsid w:val="009F367F"/>
    <w:rsid w:val="009F650D"/>
    <w:rsid w:val="009F7195"/>
    <w:rsid w:val="009F7A53"/>
    <w:rsid w:val="009F7C8E"/>
    <w:rsid w:val="00A01C67"/>
    <w:rsid w:val="00A02DA9"/>
    <w:rsid w:val="00A03220"/>
    <w:rsid w:val="00A05229"/>
    <w:rsid w:val="00A11BDC"/>
    <w:rsid w:val="00A129F4"/>
    <w:rsid w:val="00A12DD0"/>
    <w:rsid w:val="00A14A42"/>
    <w:rsid w:val="00A14D04"/>
    <w:rsid w:val="00A15D11"/>
    <w:rsid w:val="00A160F9"/>
    <w:rsid w:val="00A1633B"/>
    <w:rsid w:val="00A16514"/>
    <w:rsid w:val="00A16693"/>
    <w:rsid w:val="00A16A36"/>
    <w:rsid w:val="00A16C17"/>
    <w:rsid w:val="00A16CD7"/>
    <w:rsid w:val="00A17332"/>
    <w:rsid w:val="00A176FC"/>
    <w:rsid w:val="00A179BA"/>
    <w:rsid w:val="00A179C9"/>
    <w:rsid w:val="00A20967"/>
    <w:rsid w:val="00A222E7"/>
    <w:rsid w:val="00A228D4"/>
    <w:rsid w:val="00A23474"/>
    <w:rsid w:val="00A237C8"/>
    <w:rsid w:val="00A242B1"/>
    <w:rsid w:val="00A24E89"/>
    <w:rsid w:val="00A25C0D"/>
    <w:rsid w:val="00A272E5"/>
    <w:rsid w:val="00A30B8A"/>
    <w:rsid w:val="00A31631"/>
    <w:rsid w:val="00A319B7"/>
    <w:rsid w:val="00A320E5"/>
    <w:rsid w:val="00A330EA"/>
    <w:rsid w:val="00A33525"/>
    <w:rsid w:val="00A363EB"/>
    <w:rsid w:val="00A40A3B"/>
    <w:rsid w:val="00A40A93"/>
    <w:rsid w:val="00A40E3F"/>
    <w:rsid w:val="00A428DA"/>
    <w:rsid w:val="00A434A5"/>
    <w:rsid w:val="00A4655A"/>
    <w:rsid w:val="00A46D53"/>
    <w:rsid w:val="00A47153"/>
    <w:rsid w:val="00A4757B"/>
    <w:rsid w:val="00A47808"/>
    <w:rsid w:val="00A50B4A"/>
    <w:rsid w:val="00A518F8"/>
    <w:rsid w:val="00A525D5"/>
    <w:rsid w:val="00A52C5D"/>
    <w:rsid w:val="00A52D64"/>
    <w:rsid w:val="00A54735"/>
    <w:rsid w:val="00A54D1C"/>
    <w:rsid w:val="00A557F8"/>
    <w:rsid w:val="00A55A06"/>
    <w:rsid w:val="00A56351"/>
    <w:rsid w:val="00A6014B"/>
    <w:rsid w:val="00A60433"/>
    <w:rsid w:val="00A610EC"/>
    <w:rsid w:val="00A61F90"/>
    <w:rsid w:val="00A61FA4"/>
    <w:rsid w:val="00A62206"/>
    <w:rsid w:val="00A62D1D"/>
    <w:rsid w:val="00A63317"/>
    <w:rsid w:val="00A634D0"/>
    <w:rsid w:val="00A641B0"/>
    <w:rsid w:val="00A6493A"/>
    <w:rsid w:val="00A65352"/>
    <w:rsid w:val="00A65E5C"/>
    <w:rsid w:val="00A65F3C"/>
    <w:rsid w:val="00A6616E"/>
    <w:rsid w:val="00A666E3"/>
    <w:rsid w:val="00A66A5D"/>
    <w:rsid w:val="00A66CED"/>
    <w:rsid w:val="00A670CF"/>
    <w:rsid w:val="00A70363"/>
    <w:rsid w:val="00A71336"/>
    <w:rsid w:val="00A71C0D"/>
    <w:rsid w:val="00A7216D"/>
    <w:rsid w:val="00A72E96"/>
    <w:rsid w:val="00A73563"/>
    <w:rsid w:val="00A73E09"/>
    <w:rsid w:val="00A76D7E"/>
    <w:rsid w:val="00A76EA6"/>
    <w:rsid w:val="00A77518"/>
    <w:rsid w:val="00A77E3C"/>
    <w:rsid w:val="00A77FCA"/>
    <w:rsid w:val="00A80FB6"/>
    <w:rsid w:val="00A818F0"/>
    <w:rsid w:val="00A81DAA"/>
    <w:rsid w:val="00A8229C"/>
    <w:rsid w:val="00A82AC0"/>
    <w:rsid w:val="00A82C3D"/>
    <w:rsid w:val="00A82EE2"/>
    <w:rsid w:val="00A85B40"/>
    <w:rsid w:val="00A85F18"/>
    <w:rsid w:val="00A875AA"/>
    <w:rsid w:val="00A909EB"/>
    <w:rsid w:val="00A912B8"/>
    <w:rsid w:val="00A91372"/>
    <w:rsid w:val="00A91572"/>
    <w:rsid w:val="00A91F70"/>
    <w:rsid w:val="00A92626"/>
    <w:rsid w:val="00A945A1"/>
    <w:rsid w:val="00A95E0C"/>
    <w:rsid w:val="00A96FEA"/>
    <w:rsid w:val="00A97F5C"/>
    <w:rsid w:val="00AA0BD8"/>
    <w:rsid w:val="00AA2373"/>
    <w:rsid w:val="00AA23A1"/>
    <w:rsid w:val="00AA3206"/>
    <w:rsid w:val="00AA4A05"/>
    <w:rsid w:val="00AA53BF"/>
    <w:rsid w:val="00AA5EFD"/>
    <w:rsid w:val="00AA6036"/>
    <w:rsid w:val="00AA63D5"/>
    <w:rsid w:val="00AA650C"/>
    <w:rsid w:val="00AA741C"/>
    <w:rsid w:val="00AA7569"/>
    <w:rsid w:val="00AB02D0"/>
    <w:rsid w:val="00AB1DE2"/>
    <w:rsid w:val="00AB2F60"/>
    <w:rsid w:val="00AB308B"/>
    <w:rsid w:val="00AB3549"/>
    <w:rsid w:val="00AB3B8A"/>
    <w:rsid w:val="00AB4458"/>
    <w:rsid w:val="00AB5AC6"/>
    <w:rsid w:val="00AB5DC1"/>
    <w:rsid w:val="00AB6E38"/>
    <w:rsid w:val="00AC1191"/>
    <w:rsid w:val="00AC1663"/>
    <w:rsid w:val="00AC194D"/>
    <w:rsid w:val="00AC3E17"/>
    <w:rsid w:val="00AC4F49"/>
    <w:rsid w:val="00AC7DC2"/>
    <w:rsid w:val="00AD02BA"/>
    <w:rsid w:val="00AD0B5D"/>
    <w:rsid w:val="00AD0F15"/>
    <w:rsid w:val="00AD576C"/>
    <w:rsid w:val="00AD6316"/>
    <w:rsid w:val="00AD6AD5"/>
    <w:rsid w:val="00AD6EF7"/>
    <w:rsid w:val="00AD7B06"/>
    <w:rsid w:val="00AE1B63"/>
    <w:rsid w:val="00AE2303"/>
    <w:rsid w:val="00AE3871"/>
    <w:rsid w:val="00AE5435"/>
    <w:rsid w:val="00AE5C6C"/>
    <w:rsid w:val="00AE6C60"/>
    <w:rsid w:val="00AE7410"/>
    <w:rsid w:val="00AE7583"/>
    <w:rsid w:val="00AE7664"/>
    <w:rsid w:val="00AF007D"/>
    <w:rsid w:val="00AF025A"/>
    <w:rsid w:val="00AF09D6"/>
    <w:rsid w:val="00AF21D5"/>
    <w:rsid w:val="00AF28D0"/>
    <w:rsid w:val="00AF330C"/>
    <w:rsid w:val="00AF3638"/>
    <w:rsid w:val="00AF3E00"/>
    <w:rsid w:val="00AF4A45"/>
    <w:rsid w:val="00AF4EF7"/>
    <w:rsid w:val="00AF6AE1"/>
    <w:rsid w:val="00AF6BC5"/>
    <w:rsid w:val="00B00A14"/>
    <w:rsid w:val="00B01FA6"/>
    <w:rsid w:val="00B0217E"/>
    <w:rsid w:val="00B02213"/>
    <w:rsid w:val="00B02237"/>
    <w:rsid w:val="00B03206"/>
    <w:rsid w:val="00B048C1"/>
    <w:rsid w:val="00B0744A"/>
    <w:rsid w:val="00B07860"/>
    <w:rsid w:val="00B07879"/>
    <w:rsid w:val="00B07DF5"/>
    <w:rsid w:val="00B122A0"/>
    <w:rsid w:val="00B1249F"/>
    <w:rsid w:val="00B12961"/>
    <w:rsid w:val="00B12DEE"/>
    <w:rsid w:val="00B14201"/>
    <w:rsid w:val="00B16379"/>
    <w:rsid w:val="00B222E1"/>
    <w:rsid w:val="00B22C14"/>
    <w:rsid w:val="00B22ED2"/>
    <w:rsid w:val="00B246CB"/>
    <w:rsid w:val="00B26457"/>
    <w:rsid w:val="00B267DB"/>
    <w:rsid w:val="00B26FA9"/>
    <w:rsid w:val="00B30597"/>
    <w:rsid w:val="00B31168"/>
    <w:rsid w:val="00B31B79"/>
    <w:rsid w:val="00B34700"/>
    <w:rsid w:val="00B357B6"/>
    <w:rsid w:val="00B35917"/>
    <w:rsid w:val="00B3594F"/>
    <w:rsid w:val="00B378BF"/>
    <w:rsid w:val="00B37DA7"/>
    <w:rsid w:val="00B4279E"/>
    <w:rsid w:val="00B429E7"/>
    <w:rsid w:val="00B42B1F"/>
    <w:rsid w:val="00B44317"/>
    <w:rsid w:val="00B45C53"/>
    <w:rsid w:val="00B46FE9"/>
    <w:rsid w:val="00B47824"/>
    <w:rsid w:val="00B51581"/>
    <w:rsid w:val="00B5276E"/>
    <w:rsid w:val="00B5451D"/>
    <w:rsid w:val="00B54DE7"/>
    <w:rsid w:val="00B57885"/>
    <w:rsid w:val="00B604F3"/>
    <w:rsid w:val="00B611F5"/>
    <w:rsid w:val="00B630A5"/>
    <w:rsid w:val="00B64BF5"/>
    <w:rsid w:val="00B64D59"/>
    <w:rsid w:val="00B655D6"/>
    <w:rsid w:val="00B656C7"/>
    <w:rsid w:val="00B67D2B"/>
    <w:rsid w:val="00B67D8D"/>
    <w:rsid w:val="00B67EE6"/>
    <w:rsid w:val="00B70132"/>
    <w:rsid w:val="00B712D4"/>
    <w:rsid w:val="00B728A4"/>
    <w:rsid w:val="00B72900"/>
    <w:rsid w:val="00B72B76"/>
    <w:rsid w:val="00B7332C"/>
    <w:rsid w:val="00B73437"/>
    <w:rsid w:val="00B74BB8"/>
    <w:rsid w:val="00B756A4"/>
    <w:rsid w:val="00B75B0D"/>
    <w:rsid w:val="00B75D54"/>
    <w:rsid w:val="00B813A9"/>
    <w:rsid w:val="00B81E84"/>
    <w:rsid w:val="00B8341A"/>
    <w:rsid w:val="00B836CE"/>
    <w:rsid w:val="00B83DAE"/>
    <w:rsid w:val="00B85EF4"/>
    <w:rsid w:val="00B86BDA"/>
    <w:rsid w:val="00B87DD1"/>
    <w:rsid w:val="00B909D4"/>
    <w:rsid w:val="00B91647"/>
    <w:rsid w:val="00B92E25"/>
    <w:rsid w:val="00B9316A"/>
    <w:rsid w:val="00B9445E"/>
    <w:rsid w:val="00B963C8"/>
    <w:rsid w:val="00B97A9A"/>
    <w:rsid w:val="00BA01BE"/>
    <w:rsid w:val="00BA06A5"/>
    <w:rsid w:val="00BA0FAB"/>
    <w:rsid w:val="00BA1072"/>
    <w:rsid w:val="00BA1570"/>
    <w:rsid w:val="00BA3EC3"/>
    <w:rsid w:val="00BA44FF"/>
    <w:rsid w:val="00BA4E1B"/>
    <w:rsid w:val="00BA6A28"/>
    <w:rsid w:val="00BA7167"/>
    <w:rsid w:val="00BA73A1"/>
    <w:rsid w:val="00BA7784"/>
    <w:rsid w:val="00BA790C"/>
    <w:rsid w:val="00BB178A"/>
    <w:rsid w:val="00BB2A06"/>
    <w:rsid w:val="00BB2D00"/>
    <w:rsid w:val="00BB30D1"/>
    <w:rsid w:val="00BB3A6B"/>
    <w:rsid w:val="00BB41C8"/>
    <w:rsid w:val="00BB5586"/>
    <w:rsid w:val="00BB5BBD"/>
    <w:rsid w:val="00BB6169"/>
    <w:rsid w:val="00BB6255"/>
    <w:rsid w:val="00BB7106"/>
    <w:rsid w:val="00BB71CE"/>
    <w:rsid w:val="00BB72DE"/>
    <w:rsid w:val="00BC0570"/>
    <w:rsid w:val="00BC1927"/>
    <w:rsid w:val="00BC1AC5"/>
    <w:rsid w:val="00BC4862"/>
    <w:rsid w:val="00BC5F71"/>
    <w:rsid w:val="00BC6D7F"/>
    <w:rsid w:val="00BD35DF"/>
    <w:rsid w:val="00BD49DE"/>
    <w:rsid w:val="00BD595A"/>
    <w:rsid w:val="00BD7382"/>
    <w:rsid w:val="00BE0509"/>
    <w:rsid w:val="00BE0A63"/>
    <w:rsid w:val="00BE10A2"/>
    <w:rsid w:val="00BE2512"/>
    <w:rsid w:val="00BE2669"/>
    <w:rsid w:val="00BE2A63"/>
    <w:rsid w:val="00BE3694"/>
    <w:rsid w:val="00BE4E11"/>
    <w:rsid w:val="00BE5F0F"/>
    <w:rsid w:val="00BE7A42"/>
    <w:rsid w:val="00BF071D"/>
    <w:rsid w:val="00BF302E"/>
    <w:rsid w:val="00BF3220"/>
    <w:rsid w:val="00BF3BD3"/>
    <w:rsid w:val="00BF4348"/>
    <w:rsid w:val="00BF50F5"/>
    <w:rsid w:val="00BF59A7"/>
    <w:rsid w:val="00BF6B2F"/>
    <w:rsid w:val="00BF6B30"/>
    <w:rsid w:val="00BF751D"/>
    <w:rsid w:val="00C00432"/>
    <w:rsid w:val="00C004DC"/>
    <w:rsid w:val="00C009F5"/>
    <w:rsid w:val="00C0100D"/>
    <w:rsid w:val="00C01F12"/>
    <w:rsid w:val="00C10846"/>
    <w:rsid w:val="00C111B2"/>
    <w:rsid w:val="00C11547"/>
    <w:rsid w:val="00C11836"/>
    <w:rsid w:val="00C11E93"/>
    <w:rsid w:val="00C13952"/>
    <w:rsid w:val="00C15869"/>
    <w:rsid w:val="00C17385"/>
    <w:rsid w:val="00C176C7"/>
    <w:rsid w:val="00C20054"/>
    <w:rsid w:val="00C20247"/>
    <w:rsid w:val="00C20E71"/>
    <w:rsid w:val="00C216DE"/>
    <w:rsid w:val="00C22315"/>
    <w:rsid w:val="00C22449"/>
    <w:rsid w:val="00C23A22"/>
    <w:rsid w:val="00C23F9A"/>
    <w:rsid w:val="00C24095"/>
    <w:rsid w:val="00C2479F"/>
    <w:rsid w:val="00C24B5B"/>
    <w:rsid w:val="00C26761"/>
    <w:rsid w:val="00C27AC8"/>
    <w:rsid w:val="00C318E2"/>
    <w:rsid w:val="00C32201"/>
    <w:rsid w:val="00C33D6E"/>
    <w:rsid w:val="00C344F1"/>
    <w:rsid w:val="00C348CB"/>
    <w:rsid w:val="00C3599C"/>
    <w:rsid w:val="00C35A84"/>
    <w:rsid w:val="00C368CD"/>
    <w:rsid w:val="00C3721C"/>
    <w:rsid w:val="00C402F6"/>
    <w:rsid w:val="00C40630"/>
    <w:rsid w:val="00C40B3A"/>
    <w:rsid w:val="00C40C0A"/>
    <w:rsid w:val="00C40CFF"/>
    <w:rsid w:val="00C40D09"/>
    <w:rsid w:val="00C40D68"/>
    <w:rsid w:val="00C40E30"/>
    <w:rsid w:val="00C411DE"/>
    <w:rsid w:val="00C4183A"/>
    <w:rsid w:val="00C42058"/>
    <w:rsid w:val="00C425BF"/>
    <w:rsid w:val="00C42F1E"/>
    <w:rsid w:val="00C43770"/>
    <w:rsid w:val="00C45E53"/>
    <w:rsid w:val="00C45E6B"/>
    <w:rsid w:val="00C46B37"/>
    <w:rsid w:val="00C5120C"/>
    <w:rsid w:val="00C52267"/>
    <w:rsid w:val="00C53E14"/>
    <w:rsid w:val="00C5527C"/>
    <w:rsid w:val="00C55934"/>
    <w:rsid w:val="00C55FA2"/>
    <w:rsid w:val="00C566D0"/>
    <w:rsid w:val="00C56E6C"/>
    <w:rsid w:val="00C5711D"/>
    <w:rsid w:val="00C6024B"/>
    <w:rsid w:val="00C60505"/>
    <w:rsid w:val="00C60CBA"/>
    <w:rsid w:val="00C613CC"/>
    <w:rsid w:val="00C62139"/>
    <w:rsid w:val="00C62A3C"/>
    <w:rsid w:val="00C632DD"/>
    <w:rsid w:val="00C6334B"/>
    <w:rsid w:val="00C6458E"/>
    <w:rsid w:val="00C65DDF"/>
    <w:rsid w:val="00C66850"/>
    <w:rsid w:val="00C67085"/>
    <w:rsid w:val="00C700DB"/>
    <w:rsid w:val="00C7011A"/>
    <w:rsid w:val="00C7175D"/>
    <w:rsid w:val="00C71AEF"/>
    <w:rsid w:val="00C71C3E"/>
    <w:rsid w:val="00C72BA9"/>
    <w:rsid w:val="00C747B5"/>
    <w:rsid w:val="00C75581"/>
    <w:rsid w:val="00C76496"/>
    <w:rsid w:val="00C7669B"/>
    <w:rsid w:val="00C76F47"/>
    <w:rsid w:val="00C77279"/>
    <w:rsid w:val="00C81CFA"/>
    <w:rsid w:val="00C82113"/>
    <w:rsid w:val="00C82F5E"/>
    <w:rsid w:val="00C84D31"/>
    <w:rsid w:val="00C84EFC"/>
    <w:rsid w:val="00C879DC"/>
    <w:rsid w:val="00C91464"/>
    <w:rsid w:val="00C91D24"/>
    <w:rsid w:val="00C91EB3"/>
    <w:rsid w:val="00C9253F"/>
    <w:rsid w:val="00C931ED"/>
    <w:rsid w:val="00C94069"/>
    <w:rsid w:val="00C950F0"/>
    <w:rsid w:val="00C969E0"/>
    <w:rsid w:val="00C97891"/>
    <w:rsid w:val="00C97B36"/>
    <w:rsid w:val="00C97B97"/>
    <w:rsid w:val="00CA192B"/>
    <w:rsid w:val="00CA1C3D"/>
    <w:rsid w:val="00CA2606"/>
    <w:rsid w:val="00CA3616"/>
    <w:rsid w:val="00CA4365"/>
    <w:rsid w:val="00CA6F3B"/>
    <w:rsid w:val="00CA75F1"/>
    <w:rsid w:val="00CB1517"/>
    <w:rsid w:val="00CB1841"/>
    <w:rsid w:val="00CB25DB"/>
    <w:rsid w:val="00CB30AB"/>
    <w:rsid w:val="00CB47C1"/>
    <w:rsid w:val="00CB4FB4"/>
    <w:rsid w:val="00CB527E"/>
    <w:rsid w:val="00CB65C8"/>
    <w:rsid w:val="00CB73CA"/>
    <w:rsid w:val="00CC1167"/>
    <w:rsid w:val="00CC1471"/>
    <w:rsid w:val="00CC33A4"/>
    <w:rsid w:val="00CC3A1F"/>
    <w:rsid w:val="00CC477C"/>
    <w:rsid w:val="00CC4DAF"/>
    <w:rsid w:val="00CC5C27"/>
    <w:rsid w:val="00CC6653"/>
    <w:rsid w:val="00CC67F4"/>
    <w:rsid w:val="00CC7886"/>
    <w:rsid w:val="00CC7D09"/>
    <w:rsid w:val="00CD054A"/>
    <w:rsid w:val="00CD099B"/>
    <w:rsid w:val="00CD52E3"/>
    <w:rsid w:val="00CE13D1"/>
    <w:rsid w:val="00CE163C"/>
    <w:rsid w:val="00CE3CEA"/>
    <w:rsid w:val="00CE5D08"/>
    <w:rsid w:val="00CE5ED9"/>
    <w:rsid w:val="00CE6280"/>
    <w:rsid w:val="00CE6A61"/>
    <w:rsid w:val="00CE6AC3"/>
    <w:rsid w:val="00CE6F6D"/>
    <w:rsid w:val="00CE73AE"/>
    <w:rsid w:val="00CF04F7"/>
    <w:rsid w:val="00CF0AB5"/>
    <w:rsid w:val="00CF0C23"/>
    <w:rsid w:val="00CF17B8"/>
    <w:rsid w:val="00CF1A08"/>
    <w:rsid w:val="00CF1B46"/>
    <w:rsid w:val="00CF23F3"/>
    <w:rsid w:val="00CF2C3D"/>
    <w:rsid w:val="00CF2F73"/>
    <w:rsid w:val="00CF3A69"/>
    <w:rsid w:val="00CF560E"/>
    <w:rsid w:val="00CF5CF8"/>
    <w:rsid w:val="00CF63EB"/>
    <w:rsid w:val="00CF69DE"/>
    <w:rsid w:val="00CF69F5"/>
    <w:rsid w:val="00D000A5"/>
    <w:rsid w:val="00D00F9D"/>
    <w:rsid w:val="00D0178D"/>
    <w:rsid w:val="00D01A57"/>
    <w:rsid w:val="00D033B6"/>
    <w:rsid w:val="00D04C79"/>
    <w:rsid w:val="00D05784"/>
    <w:rsid w:val="00D05D6B"/>
    <w:rsid w:val="00D06254"/>
    <w:rsid w:val="00D065F3"/>
    <w:rsid w:val="00D0690E"/>
    <w:rsid w:val="00D0763F"/>
    <w:rsid w:val="00D1091A"/>
    <w:rsid w:val="00D11448"/>
    <w:rsid w:val="00D119BE"/>
    <w:rsid w:val="00D11D14"/>
    <w:rsid w:val="00D11F66"/>
    <w:rsid w:val="00D12CAC"/>
    <w:rsid w:val="00D13A30"/>
    <w:rsid w:val="00D14AD9"/>
    <w:rsid w:val="00D15141"/>
    <w:rsid w:val="00D16DF7"/>
    <w:rsid w:val="00D177AA"/>
    <w:rsid w:val="00D20427"/>
    <w:rsid w:val="00D2099B"/>
    <w:rsid w:val="00D216FA"/>
    <w:rsid w:val="00D226E8"/>
    <w:rsid w:val="00D24984"/>
    <w:rsid w:val="00D24A0A"/>
    <w:rsid w:val="00D24A8D"/>
    <w:rsid w:val="00D24B1C"/>
    <w:rsid w:val="00D27205"/>
    <w:rsid w:val="00D27507"/>
    <w:rsid w:val="00D27D6A"/>
    <w:rsid w:val="00D326FC"/>
    <w:rsid w:val="00D333EF"/>
    <w:rsid w:val="00D33A48"/>
    <w:rsid w:val="00D35380"/>
    <w:rsid w:val="00D36B73"/>
    <w:rsid w:val="00D36FCD"/>
    <w:rsid w:val="00D37799"/>
    <w:rsid w:val="00D37929"/>
    <w:rsid w:val="00D37F0E"/>
    <w:rsid w:val="00D40B76"/>
    <w:rsid w:val="00D4203F"/>
    <w:rsid w:val="00D43A4B"/>
    <w:rsid w:val="00D44F7D"/>
    <w:rsid w:val="00D4619A"/>
    <w:rsid w:val="00D46622"/>
    <w:rsid w:val="00D5050A"/>
    <w:rsid w:val="00D51E13"/>
    <w:rsid w:val="00D5203B"/>
    <w:rsid w:val="00D52A6D"/>
    <w:rsid w:val="00D5378D"/>
    <w:rsid w:val="00D53F8C"/>
    <w:rsid w:val="00D54308"/>
    <w:rsid w:val="00D5437A"/>
    <w:rsid w:val="00D54AD1"/>
    <w:rsid w:val="00D56344"/>
    <w:rsid w:val="00D60979"/>
    <w:rsid w:val="00D6159C"/>
    <w:rsid w:val="00D62712"/>
    <w:rsid w:val="00D62FA9"/>
    <w:rsid w:val="00D63696"/>
    <w:rsid w:val="00D66D56"/>
    <w:rsid w:val="00D6736E"/>
    <w:rsid w:val="00D67380"/>
    <w:rsid w:val="00D67BE3"/>
    <w:rsid w:val="00D701B5"/>
    <w:rsid w:val="00D71409"/>
    <w:rsid w:val="00D72A77"/>
    <w:rsid w:val="00D72B89"/>
    <w:rsid w:val="00D73000"/>
    <w:rsid w:val="00D73632"/>
    <w:rsid w:val="00D736F2"/>
    <w:rsid w:val="00D73E07"/>
    <w:rsid w:val="00D73E14"/>
    <w:rsid w:val="00D740CD"/>
    <w:rsid w:val="00D74908"/>
    <w:rsid w:val="00D7596A"/>
    <w:rsid w:val="00D777C5"/>
    <w:rsid w:val="00D8078C"/>
    <w:rsid w:val="00D8157E"/>
    <w:rsid w:val="00D81AF8"/>
    <w:rsid w:val="00D81F73"/>
    <w:rsid w:val="00D831DE"/>
    <w:rsid w:val="00D835E5"/>
    <w:rsid w:val="00D83CCA"/>
    <w:rsid w:val="00D842AD"/>
    <w:rsid w:val="00D8552A"/>
    <w:rsid w:val="00D8618A"/>
    <w:rsid w:val="00D86D63"/>
    <w:rsid w:val="00D872AF"/>
    <w:rsid w:val="00D900F9"/>
    <w:rsid w:val="00D90292"/>
    <w:rsid w:val="00D949AF"/>
    <w:rsid w:val="00D94F8A"/>
    <w:rsid w:val="00D95AF5"/>
    <w:rsid w:val="00D97ABA"/>
    <w:rsid w:val="00DA0A8C"/>
    <w:rsid w:val="00DA24F3"/>
    <w:rsid w:val="00DA3661"/>
    <w:rsid w:val="00DA3F3F"/>
    <w:rsid w:val="00DA5D9D"/>
    <w:rsid w:val="00DA6F4F"/>
    <w:rsid w:val="00DB1260"/>
    <w:rsid w:val="00DB197A"/>
    <w:rsid w:val="00DB1E0C"/>
    <w:rsid w:val="00DB1F2F"/>
    <w:rsid w:val="00DB27EC"/>
    <w:rsid w:val="00DB3A55"/>
    <w:rsid w:val="00DB4865"/>
    <w:rsid w:val="00DB49F3"/>
    <w:rsid w:val="00DB548F"/>
    <w:rsid w:val="00DB74D4"/>
    <w:rsid w:val="00DB7B3B"/>
    <w:rsid w:val="00DC01DD"/>
    <w:rsid w:val="00DC1222"/>
    <w:rsid w:val="00DC19A3"/>
    <w:rsid w:val="00DC1A99"/>
    <w:rsid w:val="00DC3DAB"/>
    <w:rsid w:val="00DC4704"/>
    <w:rsid w:val="00DC48B2"/>
    <w:rsid w:val="00DC593E"/>
    <w:rsid w:val="00DC5EBB"/>
    <w:rsid w:val="00DC650C"/>
    <w:rsid w:val="00DC7928"/>
    <w:rsid w:val="00DD5E59"/>
    <w:rsid w:val="00DD7785"/>
    <w:rsid w:val="00DD7E6F"/>
    <w:rsid w:val="00DE1B4C"/>
    <w:rsid w:val="00DE26AA"/>
    <w:rsid w:val="00DE37F4"/>
    <w:rsid w:val="00DE4833"/>
    <w:rsid w:val="00DE4967"/>
    <w:rsid w:val="00DE49E9"/>
    <w:rsid w:val="00DE7191"/>
    <w:rsid w:val="00DF09BF"/>
    <w:rsid w:val="00DF1363"/>
    <w:rsid w:val="00DF2901"/>
    <w:rsid w:val="00DF2C73"/>
    <w:rsid w:val="00DF4360"/>
    <w:rsid w:val="00DF5C76"/>
    <w:rsid w:val="00DF7E86"/>
    <w:rsid w:val="00E00A98"/>
    <w:rsid w:val="00E021A1"/>
    <w:rsid w:val="00E02826"/>
    <w:rsid w:val="00E029E1"/>
    <w:rsid w:val="00E03465"/>
    <w:rsid w:val="00E039EE"/>
    <w:rsid w:val="00E06846"/>
    <w:rsid w:val="00E06A84"/>
    <w:rsid w:val="00E1147C"/>
    <w:rsid w:val="00E12F7D"/>
    <w:rsid w:val="00E136F6"/>
    <w:rsid w:val="00E138AD"/>
    <w:rsid w:val="00E1411D"/>
    <w:rsid w:val="00E16BEA"/>
    <w:rsid w:val="00E17E16"/>
    <w:rsid w:val="00E218BC"/>
    <w:rsid w:val="00E22916"/>
    <w:rsid w:val="00E24448"/>
    <w:rsid w:val="00E24473"/>
    <w:rsid w:val="00E2478A"/>
    <w:rsid w:val="00E24880"/>
    <w:rsid w:val="00E24DD3"/>
    <w:rsid w:val="00E25611"/>
    <w:rsid w:val="00E2706D"/>
    <w:rsid w:val="00E27C58"/>
    <w:rsid w:val="00E27CF2"/>
    <w:rsid w:val="00E27D06"/>
    <w:rsid w:val="00E31FC1"/>
    <w:rsid w:val="00E329BE"/>
    <w:rsid w:val="00E33355"/>
    <w:rsid w:val="00E335C8"/>
    <w:rsid w:val="00E35748"/>
    <w:rsid w:val="00E41D1A"/>
    <w:rsid w:val="00E43E8B"/>
    <w:rsid w:val="00E44241"/>
    <w:rsid w:val="00E44BA1"/>
    <w:rsid w:val="00E453D6"/>
    <w:rsid w:val="00E459E7"/>
    <w:rsid w:val="00E465BF"/>
    <w:rsid w:val="00E4794E"/>
    <w:rsid w:val="00E52CB8"/>
    <w:rsid w:val="00E52D46"/>
    <w:rsid w:val="00E54F27"/>
    <w:rsid w:val="00E552A4"/>
    <w:rsid w:val="00E56085"/>
    <w:rsid w:val="00E5608F"/>
    <w:rsid w:val="00E56427"/>
    <w:rsid w:val="00E57713"/>
    <w:rsid w:val="00E57FF4"/>
    <w:rsid w:val="00E6128F"/>
    <w:rsid w:val="00E6145A"/>
    <w:rsid w:val="00E62251"/>
    <w:rsid w:val="00E63084"/>
    <w:rsid w:val="00E64459"/>
    <w:rsid w:val="00E6459C"/>
    <w:rsid w:val="00E64A56"/>
    <w:rsid w:val="00E660D7"/>
    <w:rsid w:val="00E66A71"/>
    <w:rsid w:val="00E67379"/>
    <w:rsid w:val="00E710F7"/>
    <w:rsid w:val="00E71193"/>
    <w:rsid w:val="00E73BFB"/>
    <w:rsid w:val="00E76947"/>
    <w:rsid w:val="00E77CC7"/>
    <w:rsid w:val="00E77EAF"/>
    <w:rsid w:val="00E8230E"/>
    <w:rsid w:val="00E82871"/>
    <w:rsid w:val="00E82AD9"/>
    <w:rsid w:val="00E84D7D"/>
    <w:rsid w:val="00E853E1"/>
    <w:rsid w:val="00E86129"/>
    <w:rsid w:val="00E869FF"/>
    <w:rsid w:val="00E90B46"/>
    <w:rsid w:val="00E90DA4"/>
    <w:rsid w:val="00E91A8D"/>
    <w:rsid w:val="00E91EE6"/>
    <w:rsid w:val="00E92CDD"/>
    <w:rsid w:val="00E93774"/>
    <w:rsid w:val="00E9410E"/>
    <w:rsid w:val="00E949F5"/>
    <w:rsid w:val="00E94D7D"/>
    <w:rsid w:val="00E951AA"/>
    <w:rsid w:val="00E95813"/>
    <w:rsid w:val="00E95C3D"/>
    <w:rsid w:val="00E9636D"/>
    <w:rsid w:val="00EA03B9"/>
    <w:rsid w:val="00EA1664"/>
    <w:rsid w:val="00EA1CC8"/>
    <w:rsid w:val="00EA2BC3"/>
    <w:rsid w:val="00EA3030"/>
    <w:rsid w:val="00EA33FA"/>
    <w:rsid w:val="00EA5E13"/>
    <w:rsid w:val="00EA5FB6"/>
    <w:rsid w:val="00EA6A30"/>
    <w:rsid w:val="00EB2752"/>
    <w:rsid w:val="00EB375F"/>
    <w:rsid w:val="00EB4846"/>
    <w:rsid w:val="00EB4851"/>
    <w:rsid w:val="00EB5123"/>
    <w:rsid w:val="00EB5EA6"/>
    <w:rsid w:val="00EB62A5"/>
    <w:rsid w:val="00EB6986"/>
    <w:rsid w:val="00EB6CCB"/>
    <w:rsid w:val="00EB7AEF"/>
    <w:rsid w:val="00EC03A2"/>
    <w:rsid w:val="00EC07F6"/>
    <w:rsid w:val="00EC414B"/>
    <w:rsid w:val="00EC49EB"/>
    <w:rsid w:val="00EC4F63"/>
    <w:rsid w:val="00EC5B91"/>
    <w:rsid w:val="00EC5DF5"/>
    <w:rsid w:val="00EC6271"/>
    <w:rsid w:val="00EC663E"/>
    <w:rsid w:val="00ED041E"/>
    <w:rsid w:val="00ED0A9D"/>
    <w:rsid w:val="00ED0EBD"/>
    <w:rsid w:val="00ED15C7"/>
    <w:rsid w:val="00ED1711"/>
    <w:rsid w:val="00ED2275"/>
    <w:rsid w:val="00ED319D"/>
    <w:rsid w:val="00ED3600"/>
    <w:rsid w:val="00ED3909"/>
    <w:rsid w:val="00ED3B96"/>
    <w:rsid w:val="00ED4E40"/>
    <w:rsid w:val="00ED6316"/>
    <w:rsid w:val="00ED66E2"/>
    <w:rsid w:val="00EE2604"/>
    <w:rsid w:val="00EE271A"/>
    <w:rsid w:val="00EE2A93"/>
    <w:rsid w:val="00EE2B5C"/>
    <w:rsid w:val="00EE3D59"/>
    <w:rsid w:val="00EE59FB"/>
    <w:rsid w:val="00EE6057"/>
    <w:rsid w:val="00EF04ED"/>
    <w:rsid w:val="00EF1251"/>
    <w:rsid w:val="00EF13A4"/>
    <w:rsid w:val="00EF1A2B"/>
    <w:rsid w:val="00EF1BDC"/>
    <w:rsid w:val="00EF1D4F"/>
    <w:rsid w:val="00EF25EB"/>
    <w:rsid w:val="00EF27BC"/>
    <w:rsid w:val="00EF2F5B"/>
    <w:rsid w:val="00EF3C39"/>
    <w:rsid w:val="00EF4D66"/>
    <w:rsid w:val="00EF59E8"/>
    <w:rsid w:val="00EF64C4"/>
    <w:rsid w:val="00EF6B50"/>
    <w:rsid w:val="00F00620"/>
    <w:rsid w:val="00F01277"/>
    <w:rsid w:val="00F01783"/>
    <w:rsid w:val="00F02190"/>
    <w:rsid w:val="00F025AA"/>
    <w:rsid w:val="00F032C2"/>
    <w:rsid w:val="00F04BD5"/>
    <w:rsid w:val="00F0736E"/>
    <w:rsid w:val="00F07B0B"/>
    <w:rsid w:val="00F07E53"/>
    <w:rsid w:val="00F11AA9"/>
    <w:rsid w:val="00F1379F"/>
    <w:rsid w:val="00F168C2"/>
    <w:rsid w:val="00F174D0"/>
    <w:rsid w:val="00F1758E"/>
    <w:rsid w:val="00F209F9"/>
    <w:rsid w:val="00F20F2D"/>
    <w:rsid w:val="00F21417"/>
    <w:rsid w:val="00F22574"/>
    <w:rsid w:val="00F232E0"/>
    <w:rsid w:val="00F234FD"/>
    <w:rsid w:val="00F23B84"/>
    <w:rsid w:val="00F26AD2"/>
    <w:rsid w:val="00F3066D"/>
    <w:rsid w:val="00F30D97"/>
    <w:rsid w:val="00F31697"/>
    <w:rsid w:val="00F325BA"/>
    <w:rsid w:val="00F32DEA"/>
    <w:rsid w:val="00F33B1A"/>
    <w:rsid w:val="00F348A2"/>
    <w:rsid w:val="00F34C6A"/>
    <w:rsid w:val="00F34D97"/>
    <w:rsid w:val="00F35031"/>
    <w:rsid w:val="00F355E3"/>
    <w:rsid w:val="00F3600D"/>
    <w:rsid w:val="00F361C8"/>
    <w:rsid w:val="00F377E5"/>
    <w:rsid w:val="00F37ED6"/>
    <w:rsid w:val="00F37FA1"/>
    <w:rsid w:val="00F40DBF"/>
    <w:rsid w:val="00F41CEA"/>
    <w:rsid w:val="00F41EAD"/>
    <w:rsid w:val="00F4203E"/>
    <w:rsid w:val="00F42AAD"/>
    <w:rsid w:val="00F42DD3"/>
    <w:rsid w:val="00F4440B"/>
    <w:rsid w:val="00F46DF3"/>
    <w:rsid w:val="00F47B17"/>
    <w:rsid w:val="00F50106"/>
    <w:rsid w:val="00F50EC3"/>
    <w:rsid w:val="00F5100A"/>
    <w:rsid w:val="00F5114A"/>
    <w:rsid w:val="00F51883"/>
    <w:rsid w:val="00F51B67"/>
    <w:rsid w:val="00F53479"/>
    <w:rsid w:val="00F546DD"/>
    <w:rsid w:val="00F5580E"/>
    <w:rsid w:val="00F6262A"/>
    <w:rsid w:val="00F62EE6"/>
    <w:rsid w:val="00F63AC6"/>
    <w:rsid w:val="00F64C87"/>
    <w:rsid w:val="00F64D28"/>
    <w:rsid w:val="00F666C9"/>
    <w:rsid w:val="00F667A2"/>
    <w:rsid w:val="00F6734B"/>
    <w:rsid w:val="00F67B71"/>
    <w:rsid w:val="00F70743"/>
    <w:rsid w:val="00F70826"/>
    <w:rsid w:val="00F7154F"/>
    <w:rsid w:val="00F72EA1"/>
    <w:rsid w:val="00F74ABA"/>
    <w:rsid w:val="00F752BE"/>
    <w:rsid w:val="00F77116"/>
    <w:rsid w:val="00F818D7"/>
    <w:rsid w:val="00F83015"/>
    <w:rsid w:val="00F83AC9"/>
    <w:rsid w:val="00F83B4E"/>
    <w:rsid w:val="00F83C5F"/>
    <w:rsid w:val="00F8486D"/>
    <w:rsid w:val="00F84A30"/>
    <w:rsid w:val="00F84A3F"/>
    <w:rsid w:val="00F84E68"/>
    <w:rsid w:val="00F85CC7"/>
    <w:rsid w:val="00F86418"/>
    <w:rsid w:val="00F86C16"/>
    <w:rsid w:val="00F871AA"/>
    <w:rsid w:val="00F87E01"/>
    <w:rsid w:val="00F91CE4"/>
    <w:rsid w:val="00F92504"/>
    <w:rsid w:val="00F92E18"/>
    <w:rsid w:val="00F92E29"/>
    <w:rsid w:val="00F933EB"/>
    <w:rsid w:val="00F93DA9"/>
    <w:rsid w:val="00F9476F"/>
    <w:rsid w:val="00F951A0"/>
    <w:rsid w:val="00F978E0"/>
    <w:rsid w:val="00FA117C"/>
    <w:rsid w:val="00FA117F"/>
    <w:rsid w:val="00FA19AC"/>
    <w:rsid w:val="00FA1FB3"/>
    <w:rsid w:val="00FA20FC"/>
    <w:rsid w:val="00FA3423"/>
    <w:rsid w:val="00FA3754"/>
    <w:rsid w:val="00FA4B1E"/>
    <w:rsid w:val="00FA50FD"/>
    <w:rsid w:val="00FA6079"/>
    <w:rsid w:val="00FB2751"/>
    <w:rsid w:val="00FB436F"/>
    <w:rsid w:val="00FB488E"/>
    <w:rsid w:val="00FB4F58"/>
    <w:rsid w:val="00FB52F0"/>
    <w:rsid w:val="00FB5F0C"/>
    <w:rsid w:val="00FB6982"/>
    <w:rsid w:val="00FC08E0"/>
    <w:rsid w:val="00FC1020"/>
    <w:rsid w:val="00FC1AEE"/>
    <w:rsid w:val="00FC205B"/>
    <w:rsid w:val="00FC2C92"/>
    <w:rsid w:val="00FC4245"/>
    <w:rsid w:val="00FC439D"/>
    <w:rsid w:val="00FC5280"/>
    <w:rsid w:val="00FD046B"/>
    <w:rsid w:val="00FD0CEE"/>
    <w:rsid w:val="00FD2019"/>
    <w:rsid w:val="00FD609A"/>
    <w:rsid w:val="00FD663D"/>
    <w:rsid w:val="00FD68F1"/>
    <w:rsid w:val="00FD78B8"/>
    <w:rsid w:val="00FE02FD"/>
    <w:rsid w:val="00FE0BF0"/>
    <w:rsid w:val="00FE18E9"/>
    <w:rsid w:val="00FE2E99"/>
    <w:rsid w:val="00FE39B0"/>
    <w:rsid w:val="00FE411C"/>
    <w:rsid w:val="00FE4419"/>
    <w:rsid w:val="00FE450B"/>
    <w:rsid w:val="00FE467B"/>
    <w:rsid w:val="00FE57D5"/>
    <w:rsid w:val="00FE5C61"/>
    <w:rsid w:val="00FE7A83"/>
    <w:rsid w:val="00FE7CB2"/>
    <w:rsid w:val="00FF2A80"/>
    <w:rsid w:val="00FF347B"/>
    <w:rsid w:val="00FF5890"/>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22225F-4AC2-4134-89B1-53E382A5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E49C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f">
    <w:name w:val="header"/>
    <w:basedOn w:val="a"/>
    <w:link w:val="af0"/>
    <w:uiPriority w:val="99"/>
    <w:unhideWhenUsed/>
    <w:rsid w:val="005C676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0A0AE0"/>
    <w:pPr>
      <w:tabs>
        <w:tab w:val="right" w:leader="hyphen" w:pos="8490"/>
      </w:tabs>
      <w:ind w:leftChars="0" w:left="487" w:rightChars="149" w:right="422" w:hangingChars="200" w:hanging="487"/>
    </w:pPr>
    <w:rPr>
      <w:rFonts w:hAnsi="標楷體"/>
      <w:b/>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5C6767"/>
    <w:rPr>
      <w:rFonts w:ascii="標楷體" w:eastAsia="標楷體"/>
      <w:snapToGrid w:val="0"/>
      <w:kern w:val="2"/>
    </w:rPr>
  </w:style>
  <w:style w:type="paragraph" w:styleId="af1">
    <w:name w:val="footer"/>
    <w:basedOn w:val="a"/>
    <w:link w:val="af2"/>
    <w:uiPriority w:val="99"/>
    <w:unhideWhenUsed/>
    <w:rsid w:val="005C6767"/>
    <w:pPr>
      <w:tabs>
        <w:tab w:val="center" w:pos="4153"/>
        <w:tab w:val="right" w:pos="8306"/>
      </w:tabs>
      <w:snapToGrid w:val="0"/>
    </w:pPr>
    <w:rPr>
      <w:sz w:val="20"/>
      <w:szCs w:val="20"/>
    </w:rPr>
  </w:style>
  <w:style w:type="character" w:customStyle="1" w:styleId="af2">
    <w:name w:val="頁尾 字元"/>
    <w:link w:val="af1"/>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qFormat/>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af3">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4">
    <w:name w:val="Table Grid"/>
    <w:basedOn w:val="a1"/>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0">
    <w:name w:val="1.2.3. 字元"/>
    <w:link w:val="123"/>
    <w:rsid w:val="0035749D"/>
    <w:rPr>
      <w:rFonts w:ascii="標楷體" w:eastAsia="標楷體"/>
      <w:snapToGrid w:val="0"/>
      <w:kern w:val="2"/>
      <w:sz w:val="28"/>
      <w:szCs w:val="28"/>
    </w:rPr>
  </w:style>
  <w:style w:type="character" w:styleId="af5">
    <w:name w:val="Hyperlink"/>
    <w:uiPriority w:val="99"/>
    <w:rsid w:val="0035749D"/>
    <w:rPr>
      <w:color w:val="0000FF"/>
      <w:u w:val="single"/>
    </w:rPr>
  </w:style>
  <w:style w:type="character" w:styleId="af6">
    <w:name w:val="page number"/>
    <w:rsid w:val="0035749D"/>
  </w:style>
  <w:style w:type="paragraph" w:styleId="af7">
    <w:name w:val="footnote text"/>
    <w:basedOn w:val="a"/>
    <w:link w:val="af8"/>
    <w:uiPriority w:val="99"/>
    <w:rsid w:val="0035749D"/>
    <w:pPr>
      <w:snapToGrid w:val="0"/>
      <w:jc w:val="left"/>
    </w:pPr>
    <w:rPr>
      <w:sz w:val="20"/>
      <w:szCs w:val="20"/>
    </w:rPr>
  </w:style>
  <w:style w:type="character" w:customStyle="1" w:styleId="af8">
    <w:name w:val="註腳文字 字元"/>
    <w:link w:val="af7"/>
    <w:uiPriority w:val="99"/>
    <w:rsid w:val="0035749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qFormat/>
    <w:rsid w:val="0035749D"/>
    <w:rPr>
      <w:vertAlign w:val="superscript"/>
    </w:rPr>
  </w:style>
  <w:style w:type="paragraph" w:styleId="afa">
    <w:name w:val="Balloon Text"/>
    <w:basedOn w:val="a"/>
    <w:link w:val="afb"/>
    <w:semiHidden/>
    <w:rsid w:val="0035749D"/>
    <w:rPr>
      <w:rFonts w:ascii="Arial" w:eastAsia="新細明體" w:hAnsi="Arial"/>
      <w:sz w:val="18"/>
      <w:szCs w:val="18"/>
    </w:rPr>
  </w:style>
  <w:style w:type="character" w:customStyle="1" w:styleId="afb">
    <w:name w:val="註解方塊文字 字元"/>
    <w:link w:val="afa"/>
    <w:semiHidden/>
    <w:rsid w:val="0035749D"/>
    <w:rPr>
      <w:rFonts w:ascii="Arial" w:hAnsi="Arial"/>
      <w:snapToGrid w:val="0"/>
      <w:kern w:val="2"/>
      <w:sz w:val="18"/>
      <w:szCs w:val="18"/>
    </w:rPr>
  </w:style>
  <w:style w:type="paragraph" w:customStyle="1" w:styleId="146">
    <w:name w:val="表格內文(14行高) 字元 字元"/>
    <w:basedOn w:val="aa"/>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c">
    <w:name w:val="Body Text Indent"/>
    <w:basedOn w:val="a"/>
    <w:link w:val="afd"/>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d">
    <w:name w:val="本文縮排 字元"/>
    <w:link w:val="afc"/>
    <w:uiPriority w:val="99"/>
    <w:rsid w:val="0035749D"/>
    <w:rPr>
      <w:spacing w:val="-5"/>
      <w:sz w:val="18"/>
    </w:rPr>
  </w:style>
  <w:style w:type="paragraph" w:customStyle="1" w:styleId="afe">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3574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5749D"/>
    <w:rPr>
      <w:rFonts w:ascii="細明體" w:eastAsia="細明體" w:hAnsi="細明體" w:cs="細明體"/>
      <w:color w:val="000000"/>
      <w:sz w:val="24"/>
      <w:szCs w:val="24"/>
    </w:rPr>
  </w:style>
  <w:style w:type="character" w:customStyle="1" w:styleId="1232">
    <w:name w:val="1.2.3. 字元 字元"/>
    <w:rsid w:val="0035749D"/>
    <w:rPr>
      <w:rFonts w:ascii="標楷體" w:eastAsia="標楷體"/>
      <w:snapToGrid w:val="0"/>
      <w:kern w:val="2"/>
      <w:sz w:val="28"/>
      <w:szCs w:val="28"/>
      <w:lang w:val="en-US" w:eastAsia="zh-TW" w:bidi="ar-SA"/>
    </w:rPr>
  </w:style>
  <w:style w:type="character" w:customStyle="1" w:styleId="ad">
    <w:name w:val="姓名及分機 字元"/>
    <w:link w:val="ac"/>
    <w:rsid w:val="0035749D"/>
    <w:rPr>
      <w:rFonts w:ascii="標楷體" w:eastAsia="標楷體"/>
      <w:snapToGrid w:val="0"/>
      <w:kern w:val="2"/>
      <w:sz w:val="24"/>
      <w:szCs w:val="28"/>
    </w:rPr>
  </w:style>
  <w:style w:type="paragraph" w:styleId="aff">
    <w:name w:val="Body Text"/>
    <w:basedOn w:val="a"/>
    <w:link w:val="aff0"/>
    <w:unhideWhenUsed/>
    <w:rsid w:val="0035749D"/>
    <w:pPr>
      <w:spacing w:after="120"/>
    </w:pPr>
  </w:style>
  <w:style w:type="character" w:customStyle="1" w:styleId="aff0">
    <w:name w:val="本文 字元"/>
    <w:link w:val="aff"/>
    <w:rsid w:val="0035749D"/>
    <w:rPr>
      <w:rFonts w:ascii="標楷體" w:eastAsia="標楷體"/>
      <w:snapToGrid w:val="0"/>
      <w:kern w:val="2"/>
      <w:sz w:val="28"/>
      <w:szCs w:val="28"/>
    </w:rPr>
  </w:style>
  <w:style w:type="paragraph" w:styleId="aff1">
    <w:name w:val="Note Heading"/>
    <w:basedOn w:val="a"/>
    <w:next w:val="a"/>
    <w:link w:val="aff2"/>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2">
    <w:name w:val="註釋標題 字元"/>
    <w:link w:val="aff1"/>
    <w:semiHidden/>
    <w:rsid w:val="0035749D"/>
    <w:rPr>
      <w:rFonts w:ascii="標楷體" w:eastAsia="標楷體" w:hAnsi="標楷體"/>
      <w:spacing w:val="-5"/>
      <w:sz w:val="24"/>
      <w:szCs w:val="24"/>
    </w:rPr>
  </w:style>
  <w:style w:type="paragraph" w:styleId="Web">
    <w:name w:val="Normal (Web)"/>
    <w:basedOn w:val="a"/>
    <w:semiHidden/>
    <w:rsid w:val="0035749D"/>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paragraph" w:styleId="aff3">
    <w:name w:val="Plain Text"/>
    <w:basedOn w:val="a"/>
    <w:link w:val="aff4"/>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4">
    <w:name w:val="純文字 字元"/>
    <w:link w:val="aff3"/>
    <w:semiHidden/>
    <w:rsid w:val="0035749D"/>
    <w:rPr>
      <w:rFonts w:ascii="細明體" w:eastAsia="細明體" w:hAnsi="Courier New" w:cs="Courier New"/>
      <w:kern w:val="2"/>
      <w:sz w:val="24"/>
      <w:szCs w:val="24"/>
    </w:rPr>
  </w:style>
  <w:style w:type="character" w:customStyle="1" w:styleId="aff5">
    <w:name w:val="(一)(二)(三) 字元 字元"/>
    <w:rsid w:val="0035749D"/>
    <w:rPr>
      <w:rFonts w:ascii="標楷體" w:eastAsia="標楷體"/>
      <w:snapToGrid w:val="0"/>
      <w:kern w:val="2"/>
      <w:sz w:val="28"/>
      <w:szCs w:val="28"/>
      <w:lang w:val="en-US" w:eastAsia="zh-TW" w:bidi="ar-SA"/>
    </w:rPr>
  </w:style>
  <w:style w:type="paragraph" w:customStyle="1" w:styleId="aff6">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7">
    <w:name w:val="FollowedHyperlink"/>
    <w:uiPriority w:val="99"/>
    <w:semiHidden/>
    <w:unhideWhenUsed/>
    <w:rsid w:val="004E3178"/>
    <w:rPr>
      <w:color w:val="800080"/>
      <w:u w:val="single"/>
    </w:rPr>
  </w:style>
  <w:style w:type="paragraph" w:styleId="aff8">
    <w:name w:val="Date"/>
    <w:basedOn w:val="a"/>
    <w:next w:val="a"/>
    <w:link w:val="aff9"/>
    <w:rsid w:val="004A57C5"/>
    <w:pPr>
      <w:spacing w:line="240" w:lineRule="auto"/>
      <w:ind w:leftChars="0" w:left="0" w:firstLineChars="0" w:firstLine="0"/>
      <w:jc w:val="right"/>
    </w:pPr>
    <w:rPr>
      <w:rFonts w:ascii="Times New Roman"/>
      <w:b/>
      <w:bCs/>
      <w:snapToGrid/>
      <w:sz w:val="36"/>
      <w:szCs w:val="24"/>
    </w:rPr>
  </w:style>
  <w:style w:type="paragraph" w:customStyle="1" w:styleId="CompanyName">
    <w:name w:val="Company Name"/>
    <w:basedOn w:val="a"/>
    <w:rsid w:val="00BF75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Emphasis"/>
    <w:uiPriority w:val="20"/>
    <w:qFormat/>
    <w:rsid w:val="00457B96"/>
    <w:rPr>
      <w:b w:val="0"/>
      <w:bCs w:val="0"/>
      <w:i w:val="0"/>
      <w:iCs w:val="0"/>
      <w:color w:val="DD4B39"/>
    </w:rPr>
  </w:style>
  <w:style w:type="character" w:customStyle="1" w:styleId="aff9">
    <w:name w:val="日期 字元"/>
    <w:link w:val="aff8"/>
    <w:rsid w:val="004A57C5"/>
    <w:rPr>
      <w:rFonts w:eastAsia="標楷體"/>
      <w:b/>
      <w:bCs/>
      <w:kern w:val="2"/>
      <w:sz w:val="36"/>
      <w:szCs w:val="24"/>
    </w:rPr>
  </w:style>
  <w:style w:type="paragraph" w:styleId="affb">
    <w:name w:val="List Paragraph"/>
    <w:basedOn w:val="a"/>
    <w:uiPriority w:val="34"/>
    <w:qFormat/>
    <w:rsid w:val="00EB2752"/>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pple-style-span">
    <w:name w:val="apple-style-span"/>
    <w:rsid w:val="008601CB"/>
  </w:style>
  <w:style w:type="character" w:customStyle="1" w:styleId="a9">
    <w:name w:val="前言內文 字元"/>
    <w:link w:val="a8"/>
    <w:rsid w:val="0025766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575550467">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782041388">
      <w:bodyDiv w:val="1"/>
      <w:marLeft w:val="0"/>
      <w:marRight w:val="0"/>
      <w:marTop w:val="0"/>
      <w:marBottom w:val="0"/>
      <w:divBdr>
        <w:top w:val="none" w:sz="0" w:space="0" w:color="auto"/>
        <w:left w:val="none" w:sz="0" w:space="0" w:color="auto"/>
        <w:bottom w:val="none" w:sz="0" w:space="0" w:color="auto"/>
        <w:right w:val="none" w:sz="0" w:space="0" w:color="auto"/>
      </w:divBdr>
    </w:div>
    <w:div w:id="817575520">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671202">
      <w:bodyDiv w:val="1"/>
      <w:marLeft w:val="0"/>
      <w:marRight w:val="0"/>
      <w:marTop w:val="0"/>
      <w:marBottom w:val="0"/>
      <w:divBdr>
        <w:top w:val="none" w:sz="0" w:space="0" w:color="auto"/>
        <w:left w:val="none" w:sz="0" w:space="0" w:color="auto"/>
        <w:bottom w:val="none" w:sz="0" w:space="0" w:color="auto"/>
        <w:right w:val="none" w:sz="0" w:space="0" w:color="auto"/>
      </w:divBdr>
    </w:div>
    <w:div w:id="1148980746">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19992146">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94723236">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6D050-14EA-4987-B679-6BCD492BB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1581</Words>
  <Characters>9017</Characters>
  <Application>Microsoft Office Word</Application>
  <DocSecurity>0</DocSecurity>
  <Lines>75</Lines>
  <Paragraphs>21</Paragraphs>
  <ScaleCrop>false</ScaleCrop>
  <Company/>
  <LinksUpToDate>false</LinksUpToDate>
  <CharactersWithSpaces>10577</CharactersWithSpaces>
  <SharedDoc>false</SharedDoc>
  <HLinks>
    <vt:vector size="54" baseType="variant">
      <vt:variant>
        <vt:i4>2031667</vt:i4>
      </vt:variant>
      <vt:variant>
        <vt:i4>50</vt:i4>
      </vt:variant>
      <vt:variant>
        <vt:i4>0</vt:i4>
      </vt:variant>
      <vt:variant>
        <vt:i4>5</vt:i4>
      </vt:variant>
      <vt:variant>
        <vt:lpwstr/>
      </vt:variant>
      <vt:variant>
        <vt:lpwstr>_Toc185254263</vt:lpwstr>
      </vt:variant>
      <vt:variant>
        <vt:i4>2031667</vt:i4>
      </vt:variant>
      <vt:variant>
        <vt:i4>44</vt:i4>
      </vt:variant>
      <vt:variant>
        <vt:i4>0</vt:i4>
      </vt:variant>
      <vt:variant>
        <vt:i4>5</vt:i4>
      </vt:variant>
      <vt:variant>
        <vt:lpwstr/>
      </vt:variant>
      <vt:variant>
        <vt:lpwstr>_Toc185254262</vt:lpwstr>
      </vt:variant>
      <vt:variant>
        <vt:i4>2031667</vt:i4>
      </vt:variant>
      <vt:variant>
        <vt:i4>38</vt:i4>
      </vt:variant>
      <vt:variant>
        <vt:i4>0</vt:i4>
      </vt:variant>
      <vt:variant>
        <vt:i4>5</vt:i4>
      </vt:variant>
      <vt:variant>
        <vt:lpwstr/>
      </vt:variant>
      <vt:variant>
        <vt:lpwstr>_Toc185254261</vt:lpwstr>
      </vt:variant>
      <vt:variant>
        <vt:i4>2031667</vt:i4>
      </vt:variant>
      <vt:variant>
        <vt:i4>32</vt:i4>
      </vt:variant>
      <vt:variant>
        <vt:i4>0</vt:i4>
      </vt:variant>
      <vt:variant>
        <vt:i4>5</vt:i4>
      </vt:variant>
      <vt:variant>
        <vt:lpwstr/>
      </vt:variant>
      <vt:variant>
        <vt:lpwstr>_Toc185254260</vt:lpwstr>
      </vt:variant>
      <vt:variant>
        <vt:i4>1835059</vt:i4>
      </vt:variant>
      <vt:variant>
        <vt:i4>26</vt:i4>
      </vt:variant>
      <vt:variant>
        <vt:i4>0</vt:i4>
      </vt:variant>
      <vt:variant>
        <vt:i4>5</vt:i4>
      </vt:variant>
      <vt:variant>
        <vt:lpwstr/>
      </vt:variant>
      <vt:variant>
        <vt:lpwstr>_Toc185254259</vt:lpwstr>
      </vt:variant>
      <vt:variant>
        <vt:i4>1835059</vt:i4>
      </vt:variant>
      <vt:variant>
        <vt:i4>20</vt:i4>
      </vt:variant>
      <vt:variant>
        <vt:i4>0</vt:i4>
      </vt:variant>
      <vt:variant>
        <vt:i4>5</vt:i4>
      </vt:variant>
      <vt:variant>
        <vt:lpwstr/>
      </vt:variant>
      <vt:variant>
        <vt:lpwstr>_Toc185254258</vt:lpwstr>
      </vt:variant>
      <vt:variant>
        <vt:i4>1835059</vt:i4>
      </vt:variant>
      <vt:variant>
        <vt:i4>14</vt:i4>
      </vt:variant>
      <vt:variant>
        <vt:i4>0</vt:i4>
      </vt:variant>
      <vt:variant>
        <vt:i4>5</vt:i4>
      </vt:variant>
      <vt:variant>
        <vt:lpwstr/>
      </vt:variant>
      <vt:variant>
        <vt:lpwstr>_Toc185254257</vt:lpwstr>
      </vt:variant>
      <vt:variant>
        <vt:i4>1835059</vt:i4>
      </vt:variant>
      <vt:variant>
        <vt:i4>8</vt:i4>
      </vt:variant>
      <vt:variant>
        <vt:i4>0</vt:i4>
      </vt:variant>
      <vt:variant>
        <vt:i4>5</vt:i4>
      </vt:variant>
      <vt:variant>
        <vt:lpwstr/>
      </vt:variant>
      <vt:variant>
        <vt:lpwstr>_Toc185254256</vt:lpwstr>
      </vt:variant>
      <vt:variant>
        <vt:i4>1835059</vt:i4>
      </vt:variant>
      <vt:variant>
        <vt:i4>2</vt:i4>
      </vt:variant>
      <vt:variant>
        <vt:i4>0</vt:i4>
      </vt:variant>
      <vt:variant>
        <vt:i4>5</vt:i4>
      </vt:variant>
      <vt:variant>
        <vt:lpwstr/>
      </vt:variant>
      <vt:variant>
        <vt:lpwstr>_Toc185254255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2024-12-16T07:22:00Z</cp:lastPrinted>
  <dcterms:created xsi:type="dcterms:W3CDTF">2024-12-19T03:29:00Z</dcterms:created>
  <dcterms:modified xsi:type="dcterms:W3CDTF">2024-12-19T03:29:00Z</dcterms:modified>
</cp:coreProperties>
</file>