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C1F" w:rsidRPr="000E04C4" w:rsidRDefault="00166C1F" w:rsidP="00166C1F">
      <w:pPr>
        <w:pStyle w:val="aa"/>
        <w:ind w:left="567" w:hanging="567"/>
        <w:rPr>
          <w:rFonts w:hAnsi="標楷體" w:hint="eastAsia"/>
          <w:snapToGrid/>
        </w:rPr>
      </w:pPr>
      <w:bookmarkStart w:id="0" w:name="_GoBack"/>
      <w:bookmarkEnd w:id="0"/>
      <w:r w:rsidRPr="000E04C4">
        <w:rPr>
          <w:rFonts w:hAnsi="標楷體" w:hint="eastAsia"/>
          <w:snapToGrid/>
        </w:rPr>
        <w:t>司法院主管</w:t>
      </w:r>
      <w:r w:rsidR="009F3BE2" w:rsidRPr="000E04C4">
        <w:rPr>
          <w:rFonts w:hAnsi="標楷體" w:hint="eastAsia"/>
          <w:snapToGrid/>
        </w:rPr>
        <w:t>1</w:t>
      </w:r>
      <w:r w:rsidR="004D007E">
        <w:rPr>
          <w:rFonts w:hAnsi="標楷體"/>
          <w:snapToGrid/>
        </w:rPr>
        <w:t>1</w:t>
      </w:r>
      <w:r w:rsidR="00ED614B">
        <w:rPr>
          <w:rFonts w:hAnsi="標楷體"/>
          <w:snapToGrid/>
        </w:rPr>
        <w:t>2</w:t>
      </w:r>
      <w:r w:rsidRPr="000E04C4">
        <w:rPr>
          <w:rFonts w:hAnsi="標楷體" w:hint="eastAsia"/>
          <w:snapToGrid/>
        </w:rPr>
        <w:t>年度單位</w:t>
      </w:r>
      <w:r w:rsidR="009F3BE2" w:rsidRPr="000E04C4">
        <w:rPr>
          <w:rFonts w:hAnsi="標楷體" w:hint="eastAsia"/>
          <w:snapToGrid/>
        </w:rPr>
        <w:t>決</w:t>
      </w:r>
      <w:r w:rsidRPr="000E04C4">
        <w:rPr>
          <w:rFonts w:hAnsi="標楷體" w:hint="eastAsia"/>
          <w:snapToGrid/>
        </w:rPr>
        <w:t>算評估報告</w:t>
      </w:r>
    </w:p>
    <w:p w:rsidR="00E57FE1" w:rsidRDefault="00AD337F" w:rsidP="00932ECE">
      <w:pPr>
        <w:pStyle w:val="14"/>
        <w:ind w:left="567" w:hanging="567"/>
      </w:pPr>
      <w:bookmarkStart w:id="1" w:name="_Toc304366075"/>
      <w:bookmarkStart w:id="2" w:name="_Toc305431280"/>
      <w:bookmarkStart w:id="3" w:name="_Toc368996454"/>
      <w:bookmarkStart w:id="4" w:name="_Toc14698468"/>
      <w:bookmarkStart w:id="5" w:name="_Toc14698466"/>
      <w:bookmarkStart w:id="6" w:name="_Toc530735115"/>
      <w:bookmarkStart w:id="7" w:name="_Toc20510260"/>
      <w:bookmarkStart w:id="8" w:name="_Toc146718251"/>
      <w:bookmarkStart w:id="9" w:name="_Toc143849158"/>
      <w:bookmarkStart w:id="10" w:name="_Toc143849159"/>
      <w:bookmarkStart w:id="11" w:name="_Toc178927472"/>
      <w:bookmarkStart w:id="12" w:name="_Toc185325374"/>
      <w:r>
        <w:rPr>
          <w:rFonts w:hint="eastAsia"/>
        </w:rPr>
        <w:t>二</w:t>
      </w:r>
      <w:r w:rsidR="00932ECE" w:rsidRPr="00C02870">
        <w:rPr>
          <w:rFonts w:hint="eastAsia"/>
        </w:rPr>
        <w:t>、法官法施行後，</w:t>
      </w:r>
      <w:r w:rsidR="00932ECE" w:rsidRPr="00296AE1">
        <w:rPr>
          <w:rFonts w:hint="eastAsia"/>
        </w:rPr>
        <w:t>101至112年度</w:t>
      </w:r>
      <w:r w:rsidR="00932ECE">
        <w:rPr>
          <w:rFonts w:hint="eastAsia"/>
        </w:rPr>
        <w:t>法官</w:t>
      </w:r>
      <w:r w:rsidR="00932ECE" w:rsidRPr="00C02870">
        <w:rPr>
          <w:rFonts w:hint="eastAsia"/>
        </w:rPr>
        <w:t>經職務評定為良好者達9</w:t>
      </w:r>
      <w:r w:rsidR="00AC519B">
        <w:rPr>
          <w:rFonts w:hint="eastAsia"/>
        </w:rPr>
        <w:t>成</w:t>
      </w:r>
      <w:r w:rsidR="00932ECE" w:rsidRPr="00C02870">
        <w:rPr>
          <w:rFonts w:hint="eastAsia"/>
        </w:rPr>
        <w:t>7以上</w:t>
      </w:r>
      <w:r w:rsidR="00932ECE" w:rsidRPr="00296AE1">
        <w:rPr>
          <w:rFonts w:hint="eastAsia"/>
        </w:rPr>
        <w:t>，</w:t>
      </w:r>
      <w:r w:rsidR="0015065A">
        <w:rPr>
          <w:rFonts w:hint="eastAsia"/>
        </w:rPr>
        <w:t>恐</w:t>
      </w:r>
      <w:r w:rsidR="00DD522A">
        <w:rPr>
          <w:rFonts w:hint="eastAsia"/>
        </w:rPr>
        <w:t>無法確實反映工作績效</w:t>
      </w:r>
      <w:r w:rsidR="008A200B">
        <w:rPr>
          <w:rFonts w:hint="eastAsia"/>
        </w:rPr>
        <w:t>，且</w:t>
      </w:r>
      <w:r w:rsidR="0069334E" w:rsidRPr="00DD522A">
        <w:rPr>
          <w:rFonts w:hint="eastAsia"/>
        </w:rPr>
        <w:t>不適任法官汰除機制</w:t>
      </w:r>
      <w:r w:rsidR="008A200B">
        <w:rPr>
          <w:rFonts w:hint="eastAsia"/>
        </w:rPr>
        <w:t>亦</w:t>
      </w:r>
      <w:r w:rsidR="00BE0099">
        <w:rPr>
          <w:rFonts w:hint="eastAsia"/>
        </w:rPr>
        <w:t>未臻周延，</w:t>
      </w:r>
      <w:r w:rsidR="008A200B">
        <w:rPr>
          <w:rFonts w:hint="eastAsia"/>
        </w:rPr>
        <w:t>亟</w:t>
      </w:r>
      <w:r w:rsidR="00BE0099">
        <w:rPr>
          <w:rFonts w:hint="eastAsia"/>
        </w:rPr>
        <w:t>待</w:t>
      </w:r>
      <w:r w:rsidR="008A200B">
        <w:rPr>
          <w:rFonts w:hint="eastAsia"/>
        </w:rPr>
        <w:t>通盤</w:t>
      </w:r>
      <w:r w:rsidR="00BE0099">
        <w:rPr>
          <w:rFonts w:hint="eastAsia"/>
        </w:rPr>
        <w:t>檢討改</w:t>
      </w:r>
      <w:r w:rsidR="008A200B">
        <w:rPr>
          <w:rFonts w:hint="eastAsia"/>
        </w:rPr>
        <w:t>善</w:t>
      </w:r>
      <w:r w:rsidR="00AC519B">
        <w:rPr>
          <w:rFonts w:hint="eastAsia"/>
        </w:rPr>
        <w:t>，</w:t>
      </w:r>
      <w:r w:rsidR="00DD522A">
        <w:rPr>
          <w:rFonts w:hint="eastAsia"/>
        </w:rPr>
        <w:t>以發揮</w:t>
      </w:r>
      <w:r w:rsidR="00DD522A" w:rsidRPr="00DD522A">
        <w:rPr>
          <w:rFonts w:hint="eastAsia"/>
        </w:rPr>
        <w:t>奬優汰劣之</w:t>
      </w:r>
      <w:r w:rsidR="00DD522A">
        <w:rPr>
          <w:rFonts w:hint="eastAsia"/>
        </w:rPr>
        <w:t>功能</w:t>
      </w:r>
      <w:bookmarkEnd w:id="12"/>
    </w:p>
    <w:p w:rsidR="00932ECE" w:rsidRPr="00C02870" w:rsidRDefault="00932ECE" w:rsidP="00932ECE">
      <w:pPr>
        <w:ind w:left="566" w:firstLine="566"/>
        <w:rPr>
          <w:rFonts w:hAnsi="標楷體"/>
        </w:rPr>
      </w:pPr>
      <w:r w:rsidRPr="00C02870">
        <w:rPr>
          <w:rFonts w:hAnsi="標楷體" w:hint="eastAsia"/>
          <w:snapToGrid/>
        </w:rPr>
        <w:t>1</w:t>
      </w:r>
      <w:r>
        <w:rPr>
          <w:rFonts w:hAnsi="標楷體"/>
          <w:snapToGrid/>
        </w:rPr>
        <w:t>12</w:t>
      </w:r>
      <w:r w:rsidRPr="00C02870">
        <w:rPr>
          <w:rFonts w:hAnsi="標楷體" w:hint="eastAsia"/>
          <w:snapToGrid/>
        </w:rPr>
        <w:t>年度司法院及所屬機關實際員額數共</w:t>
      </w:r>
      <w:r w:rsidRPr="00C02870">
        <w:rPr>
          <w:rFonts w:hAnsi="標楷體"/>
          <w:snapToGrid/>
        </w:rPr>
        <w:t>1</w:t>
      </w:r>
      <w:r w:rsidRPr="00C02870">
        <w:rPr>
          <w:rFonts w:hAnsi="標楷體" w:hint="eastAsia"/>
          <w:snapToGrid/>
        </w:rPr>
        <w:t>萬</w:t>
      </w:r>
      <w:r w:rsidRPr="001A21FC">
        <w:rPr>
          <w:rFonts w:hAnsi="標楷體"/>
          <w:snapToGrid/>
        </w:rPr>
        <w:t>3</w:t>
      </w:r>
      <w:r>
        <w:rPr>
          <w:rFonts w:hAnsi="標楷體"/>
          <w:snapToGrid/>
        </w:rPr>
        <w:t>,</w:t>
      </w:r>
      <w:r w:rsidRPr="001A21FC">
        <w:rPr>
          <w:rFonts w:hAnsi="標楷體"/>
          <w:snapToGrid/>
        </w:rPr>
        <w:t>517</w:t>
      </w:r>
      <w:r w:rsidRPr="00C02870">
        <w:rPr>
          <w:rFonts w:hAnsi="標楷體" w:hint="eastAsia"/>
          <w:snapToGrid/>
        </w:rPr>
        <w:t>人(其中法官</w:t>
      </w:r>
      <w:r w:rsidRPr="009254F1">
        <w:rPr>
          <w:rFonts w:hAnsi="標楷體"/>
          <w:snapToGrid/>
        </w:rPr>
        <w:t>2</w:t>
      </w:r>
      <w:r>
        <w:rPr>
          <w:rFonts w:hAnsi="標楷體"/>
          <w:snapToGrid/>
        </w:rPr>
        <w:t>,</w:t>
      </w:r>
      <w:r w:rsidRPr="009254F1">
        <w:rPr>
          <w:rFonts w:hAnsi="標楷體"/>
          <w:snapToGrid/>
        </w:rPr>
        <w:t>180</w:t>
      </w:r>
      <w:r w:rsidRPr="00C02870">
        <w:rPr>
          <w:rFonts w:hAnsi="標楷體" w:hint="eastAsia"/>
          <w:snapToGrid/>
        </w:rPr>
        <w:t>人)，司法院主管人事費</w:t>
      </w:r>
      <w:r w:rsidRPr="00C02870">
        <w:rPr>
          <w:rFonts w:hint="eastAsia"/>
          <w:snapToGrid/>
        </w:rPr>
        <w:t>決算數為</w:t>
      </w:r>
      <w:r>
        <w:rPr>
          <w:snapToGrid/>
        </w:rPr>
        <w:t>189</w:t>
      </w:r>
      <w:r w:rsidRPr="00C02870">
        <w:rPr>
          <w:rFonts w:hint="eastAsia"/>
          <w:snapToGrid/>
        </w:rPr>
        <w:t>億</w:t>
      </w:r>
      <w:r>
        <w:rPr>
          <w:snapToGrid/>
        </w:rPr>
        <w:t>3,166</w:t>
      </w:r>
      <w:r w:rsidRPr="00C02870">
        <w:rPr>
          <w:rFonts w:hint="eastAsia"/>
          <w:snapToGrid/>
        </w:rPr>
        <w:t>萬</w:t>
      </w:r>
      <w:r>
        <w:rPr>
          <w:snapToGrid/>
        </w:rPr>
        <w:t>7</w:t>
      </w:r>
      <w:r w:rsidRPr="00C02870">
        <w:rPr>
          <w:rFonts w:hint="eastAsia"/>
          <w:snapToGrid/>
        </w:rPr>
        <w:t>千元，</w:t>
      </w:r>
      <w:r w:rsidRPr="00C02870">
        <w:rPr>
          <w:rFonts w:hAnsi="標楷體" w:hint="eastAsia"/>
          <w:snapToGrid/>
        </w:rPr>
        <w:t>占司法院主管歲出決算總額之7</w:t>
      </w:r>
      <w:r>
        <w:rPr>
          <w:rFonts w:hAnsi="標楷體"/>
          <w:snapToGrid/>
        </w:rPr>
        <w:t>5</w:t>
      </w:r>
      <w:r w:rsidRPr="00C02870">
        <w:rPr>
          <w:rFonts w:hAnsi="標楷體" w:hint="eastAsia"/>
          <w:snapToGrid/>
        </w:rPr>
        <w:t>.</w:t>
      </w:r>
      <w:r>
        <w:rPr>
          <w:rFonts w:hAnsi="標楷體"/>
          <w:snapToGrid/>
        </w:rPr>
        <w:t>87</w:t>
      </w:r>
      <w:r w:rsidRPr="00C02870">
        <w:rPr>
          <w:rFonts w:hAnsi="標楷體" w:hint="eastAsia"/>
          <w:snapToGrid/>
        </w:rPr>
        <w:t>%。</w:t>
      </w:r>
      <w:r w:rsidRPr="00C02870">
        <w:rPr>
          <w:rFonts w:hAnsi="標楷體" w:hint="eastAsia"/>
        </w:rPr>
        <w:t>經查：</w:t>
      </w:r>
    </w:p>
    <w:p w:rsidR="00932ECE" w:rsidRPr="00C02870" w:rsidRDefault="00932ECE" w:rsidP="00932ECE">
      <w:pPr>
        <w:ind w:left="849" w:hangingChars="100" w:hanging="283"/>
        <w:rPr>
          <w:b/>
        </w:rPr>
      </w:pPr>
      <w:r w:rsidRPr="00C02870">
        <w:rPr>
          <w:rFonts w:hAnsi="標楷體" w:hint="eastAsia"/>
          <w:b/>
        </w:rPr>
        <w:t>(一)</w:t>
      </w:r>
      <w:r w:rsidRPr="00C02870">
        <w:rPr>
          <w:rFonts w:hint="eastAsia"/>
          <w:b/>
        </w:rPr>
        <w:t>法官法明定法官職務評定制度，期</w:t>
      </w:r>
      <w:r w:rsidR="00F62870">
        <w:rPr>
          <w:rFonts w:hint="eastAsia"/>
          <w:b/>
        </w:rPr>
        <w:t>獎勵表現良好法官，並</w:t>
      </w:r>
      <w:r w:rsidRPr="00AD7523">
        <w:rPr>
          <w:rFonts w:hint="eastAsia"/>
          <w:b/>
        </w:rPr>
        <w:t>汰除不適任法官</w:t>
      </w:r>
      <w:r>
        <w:rPr>
          <w:rFonts w:hint="eastAsia"/>
          <w:b/>
        </w:rPr>
        <w:t>，</w:t>
      </w:r>
      <w:r w:rsidR="00F62870">
        <w:rPr>
          <w:rFonts w:hint="eastAsia"/>
          <w:b/>
        </w:rPr>
        <w:t>以</w:t>
      </w:r>
      <w:r w:rsidRPr="00C02870">
        <w:rPr>
          <w:rFonts w:hint="eastAsia"/>
          <w:b/>
        </w:rPr>
        <w:t>確保司法品質之提升</w:t>
      </w:r>
    </w:p>
    <w:p w:rsidR="00932ECE" w:rsidRDefault="00932ECE" w:rsidP="00932ECE">
      <w:pPr>
        <w:adjustRightInd w:val="0"/>
        <w:ind w:leftChars="300" w:left="850" w:firstLine="566"/>
      </w:pPr>
      <w:r w:rsidRPr="00C02870">
        <w:rPr>
          <w:rFonts w:hint="eastAsia"/>
        </w:rPr>
        <w:t>為建立健全之法官制度</w:t>
      </w:r>
      <w:r>
        <w:rPr>
          <w:rFonts w:hint="eastAsia"/>
        </w:rPr>
        <w:t>與</w:t>
      </w:r>
      <w:r w:rsidRPr="00C02870">
        <w:rPr>
          <w:rFonts w:hint="eastAsia"/>
        </w:rPr>
        <w:t>法官評鑑機制，</w:t>
      </w:r>
      <w:r>
        <w:rPr>
          <w:rFonts w:hint="eastAsia"/>
        </w:rPr>
        <w:t>並</w:t>
      </w:r>
      <w:r w:rsidRPr="00C02870">
        <w:rPr>
          <w:rFonts w:hint="eastAsia"/>
        </w:rPr>
        <w:t>汰</w:t>
      </w:r>
      <w:r>
        <w:rPr>
          <w:rFonts w:hint="eastAsia"/>
        </w:rPr>
        <w:t>除</w:t>
      </w:r>
      <w:r w:rsidRPr="00C02870">
        <w:rPr>
          <w:rFonts w:hint="eastAsia"/>
        </w:rPr>
        <w:t>不適任法官，以確保人民接受公正審判之權利，法官法於100年7月6日制定公布全文103條</w:t>
      </w:r>
      <w:r>
        <w:rPr>
          <w:rFonts w:hint="eastAsia"/>
        </w:rPr>
        <w:t>，為</w:t>
      </w:r>
      <w:r w:rsidRPr="00C02870">
        <w:rPr>
          <w:rFonts w:hint="eastAsia"/>
        </w:rPr>
        <w:t>法官有關事項之專法。又法官執行審判業務攸關人民權利及社會公平正義，</w:t>
      </w:r>
      <w:r w:rsidRPr="00C02870">
        <w:rPr>
          <w:rFonts w:hAnsi="標楷體" w:hint="eastAsia"/>
        </w:rPr>
        <w:t>基於</w:t>
      </w:r>
      <w:r w:rsidRPr="00C02870">
        <w:rPr>
          <w:rFonts w:hint="eastAsia"/>
        </w:rPr>
        <w:t>確保司法品質之</w:t>
      </w:r>
      <w:r w:rsidRPr="00C02870">
        <w:rPr>
          <w:rFonts w:hint="eastAsia"/>
        </w:rPr>
        <w:lastRenderedPageBreak/>
        <w:t>提升與人民接受公正審判之權利，法官法爰明定法官職務評定制度</w:t>
      </w:r>
      <w:r w:rsidRPr="00C02870">
        <w:rPr>
          <w:vertAlign w:val="superscript"/>
        </w:rPr>
        <w:footnoteReference w:id="1"/>
      </w:r>
      <w:r w:rsidRPr="00C02870">
        <w:rPr>
          <w:rFonts w:hint="eastAsia"/>
        </w:rPr>
        <w:t>，期藉由監督機制之運作，維護良好司法風氣，進而提高司法公信力。</w:t>
      </w:r>
    </w:p>
    <w:p w:rsidR="00932ECE" w:rsidRDefault="00932ECE" w:rsidP="00932ECE">
      <w:pPr>
        <w:adjustRightInd w:val="0"/>
        <w:ind w:leftChars="300" w:left="850" w:firstLine="566"/>
        <w:rPr>
          <w:rFonts w:hint="eastAsia"/>
        </w:rPr>
      </w:pPr>
      <w:r>
        <w:rPr>
          <w:rFonts w:hint="eastAsia"/>
        </w:rPr>
        <w:t>依法官法第74條、</w:t>
      </w:r>
      <w:r w:rsidR="006F7A98" w:rsidRPr="00C86B2D">
        <w:rPr>
          <w:rFonts w:hint="eastAsia"/>
        </w:rPr>
        <w:t>法官職務評定辦法</w:t>
      </w:r>
      <w:r>
        <w:rPr>
          <w:rFonts w:hint="eastAsia"/>
        </w:rPr>
        <w:t>第6條第1項規定</w:t>
      </w:r>
      <w:r w:rsidR="0015065A">
        <w:rPr>
          <w:rFonts w:hint="eastAsia"/>
        </w:rPr>
        <w:t>略以</w:t>
      </w:r>
      <w:r>
        <w:rPr>
          <w:rFonts w:hint="eastAsia"/>
        </w:rPr>
        <w:t>，評定結果分為「良好」及「未達良好」，</w:t>
      </w:r>
      <w:r w:rsidRPr="00D312F7">
        <w:rPr>
          <w:rFonts w:hint="eastAsia"/>
        </w:rPr>
        <w:t>其中評定「良好」與公務人員考績甲等相近(均晉級及給與1個月獎金)，「未達良好」則約相當於考績丙等(不晉級且無獎金)</w:t>
      </w:r>
      <w:r>
        <w:rPr>
          <w:rFonts w:hint="eastAsia"/>
        </w:rPr>
        <w:t>，評定內容分述如下：</w:t>
      </w:r>
    </w:p>
    <w:p w:rsidR="00932ECE" w:rsidRDefault="00932ECE" w:rsidP="00932ECE">
      <w:pPr>
        <w:pStyle w:val="123"/>
        <w:rPr>
          <w:rFonts w:hint="eastAsia"/>
        </w:rPr>
      </w:pPr>
      <w:r>
        <w:t>1.</w:t>
      </w:r>
      <w:r>
        <w:rPr>
          <w:rFonts w:hint="eastAsia"/>
        </w:rPr>
        <w:t>年終評定為良好，且未受有刑事處罰、懲戒處分者，晉1級，</w:t>
      </w:r>
      <w:r>
        <w:rPr>
          <w:rFonts w:hint="eastAsia"/>
        </w:rPr>
        <w:lastRenderedPageBreak/>
        <w:t>並給與1個月俸給總額之獎金；已達所敘職務最高俸級者，給與2個月俸給總額之獎金。連續4年年終評定為良好，且未受有刑事處罰、懲戒處分者，除依規定給與獎金外，</w:t>
      </w:r>
      <w:r w:rsidR="002344A8">
        <w:rPr>
          <w:rFonts w:hint="eastAsia"/>
        </w:rPr>
        <w:t>晉二級</w:t>
      </w:r>
      <w:r>
        <w:rPr>
          <w:rFonts w:hint="eastAsia"/>
        </w:rPr>
        <w:t>。</w:t>
      </w:r>
    </w:p>
    <w:p w:rsidR="00932ECE" w:rsidRDefault="00932ECE" w:rsidP="00932ECE">
      <w:pPr>
        <w:pStyle w:val="123"/>
        <w:rPr>
          <w:rFonts w:hint="eastAsia"/>
        </w:rPr>
      </w:pPr>
      <w:r>
        <w:t>2.</w:t>
      </w:r>
      <w:r>
        <w:rPr>
          <w:rFonts w:hint="eastAsia"/>
        </w:rPr>
        <w:t>另予評定為良好，且未受有刑事處罰、懲戒處分者，不晉級，給與0.5個月俸給總額之獎金；已達所敘職務最高俸級者，給與1個月俸給總額之獎金。</w:t>
      </w:r>
    </w:p>
    <w:p w:rsidR="00932ECE" w:rsidRPr="00C02870" w:rsidRDefault="00932ECE" w:rsidP="00932ECE">
      <w:pPr>
        <w:pStyle w:val="123"/>
        <w:rPr>
          <w:rFonts w:hint="eastAsia"/>
        </w:rPr>
      </w:pPr>
      <w:r>
        <w:t>3.</w:t>
      </w:r>
      <w:r>
        <w:rPr>
          <w:rFonts w:hint="eastAsia"/>
        </w:rPr>
        <w:t>年終</w:t>
      </w:r>
      <w:r w:rsidR="002344A8">
        <w:rPr>
          <w:rFonts w:hint="eastAsia"/>
        </w:rPr>
        <w:t>(</w:t>
      </w:r>
      <w:r>
        <w:rPr>
          <w:rFonts w:hint="eastAsia"/>
        </w:rPr>
        <w:t>另予</w:t>
      </w:r>
      <w:r w:rsidR="002344A8">
        <w:rPr>
          <w:rFonts w:hint="eastAsia"/>
        </w:rPr>
        <w:t>)</w:t>
      </w:r>
      <w:r>
        <w:rPr>
          <w:rFonts w:hint="eastAsia"/>
        </w:rPr>
        <w:t>評定為未達良好，不晉級，不給與獎金。</w:t>
      </w:r>
    </w:p>
    <w:p w:rsidR="00932ECE" w:rsidRPr="00C02870" w:rsidRDefault="00932ECE" w:rsidP="00932ECE">
      <w:pPr>
        <w:ind w:left="849" w:hangingChars="100" w:hanging="283"/>
        <w:rPr>
          <w:b/>
        </w:rPr>
      </w:pPr>
      <w:r w:rsidRPr="00C02870">
        <w:rPr>
          <w:rFonts w:hAnsi="標楷體" w:hint="eastAsia"/>
          <w:b/>
        </w:rPr>
        <w:t>(二)法官法施行後，各年度法官經職務評定為良好者，平均比率高達</w:t>
      </w:r>
      <w:r w:rsidRPr="00D312F7">
        <w:rPr>
          <w:rFonts w:hAnsi="標楷體"/>
          <w:b/>
        </w:rPr>
        <w:t>97.98</w:t>
      </w:r>
      <w:r w:rsidRPr="00C02870">
        <w:rPr>
          <w:rFonts w:hAnsi="標楷體" w:hint="eastAsia"/>
          <w:b/>
        </w:rPr>
        <w:t>%，</w:t>
      </w:r>
      <w:r>
        <w:rPr>
          <w:rFonts w:hAnsi="標楷體" w:hint="eastAsia"/>
          <w:b/>
        </w:rPr>
        <w:t>恐</w:t>
      </w:r>
      <w:r w:rsidR="0015065A" w:rsidRPr="0015065A">
        <w:rPr>
          <w:rFonts w:hAnsi="標楷體" w:hint="eastAsia"/>
          <w:b/>
        </w:rPr>
        <w:t>缺乏鑑別度及差異化管理</w:t>
      </w:r>
    </w:p>
    <w:p w:rsidR="00932ECE" w:rsidRPr="00C02870" w:rsidRDefault="00932ECE" w:rsidP="00932ECE">
      <w:pPr>
        <w:adjustRightInd w:val="0"/>
        <w:ind w:leftChars="300" w:left="850" w:firstLine="566"/>
      </w:pPr>
      <w:r>
        <w:rPr>
          <w:rFonts w:hint="eastAsia"/>
        </w:rPr>
        <w:t>法官法施行前，法官平時考核是透過公務人員考績法規定辦理，</w:t>
      </w:r>
      <w:r w:rsidRPr="00B34CB3">
        <w:rPr>
          <w:rFonts w:hint="eastAsia"/>
        </w:rPr>
        <w:t>考列甲等人數比率以不超過90%之上限為</w:t>
      </w:r>
      <w:r>
        <w:rPr>
          <w:rFonts w:hint="eastAsia"/>
        </w:rPr>
        <w:t>原則</w:t>
      </w:r>
      <w:r w:rsidRPr="00C02870">
        <w:rPr>
          <w:vertAlign w:val="superscript"/>
        </w:rPr>
        <w:footnoteReference w:id="2"/>
      </w:r>
      <w:r>
        <w:rPr>
          <w:rFonts w:hint="eastAsia"/>
        </w:rPr>
        <w:t>，</w:t>
      </w:r>
      <w:r w:rsidRPr="00C02870">
        <w:rPr>
          <w:rFonts w:hint="eastAsia"/>
        </w:rPr>
        <w:t>98至100年度法官考績考列甲等比率介於89.83%至89.99%間、乙等比率</w:t>
      </w:r>
      <w:r w:rsidRPr="00C02870">
        <w:rPr>
          <w:rFonts w:hint="eastAsia"/>
        </w:rPr>
        <w:lastRenderedPageBreak/>
        <w:t>介於9.90%至10.11%間、丙等比率均低於1%且無考列丁等者(詳表1)；</w:t>
      </w:r>
      <w:r>
        <w:rPr>
          <w:rFonts w:hint="eastAsia"/>
        </w:rPr>
        <w:t>然</w:t>
      </w:r>
      <w:r w:rsidRPr="00C02870">
        <w:rPr>
          <w:rFonts w:hint="eastAsia"/>
        </w:rPr>
        <w:t>法官法施行後，101至</w:t>
      </w:r>
      <w:r w:rsidRPr="00867360">
        <w:rPr>
          <w:rFonts w:hint="eastAsia"/>
        </w:rPr>
        <w:t>1</w:t>
      </w:r>
      <w:r w:rsidRPr="00867360">
        <w:t>12</w:t>
      </w:r>
      <w:r w:rsidRPr="00C02870">
        <w:rPr>
          <w:rFonts w:hint="eastAsia"/>
        </w:rPr>
        <w:t>年度法官職務評定良好比率均在97%以上、未達良好比率僅介於1.</w:t>
      </w:r>
      <w:r w:rsidR="003B46D8">
        <w:t>41</w:t>
      </w:r>
      <w:r w:rsidRPr="00C02870">
        <w:rPr>
          <w:rFonts w:hint="eastAsia"/>
        </w:rPr>
        <w:t>%至2.6</w:t>
      </w:r>
      <w:r w:rsidR="003B46D8">
        <w:t>5</w:t>
      </w:r>
      <w:r w:rsidRPr="00C02870">
        <w:rPr>
          <w:rFonts w:hint="eastAsia"/>
        </w:rPr>
        <w:t>%間</w:t>
      </w:r>
      <w:r w:rsidRPr="00D34911">
        <w:rPr>
          <w:rFonts w:hint="eastAsia"/>
        </w:rPr>
        <w:t>(詳表</w:t>
      </w:r>
      <w:r>
        <w:rPr>
          <w:rFonts w:hint="eastAsia"/>
        </w:rPr>
        <w:t>2</w:t>
      </w:r>
      <w:r w:rsidRPr="00D34911">
        <w:rPr>
          <w:rFonts w:hint="eastAsia"/>
        </w:rPr>
        <w:t>)</w:t>
      </w:r>
      <w:r>
        <w:rPr>
          <w:rFonts w:hint="eastAsia"/>
        </w:rPr>
        <w:t>，</w:t>
      </w:r>
      <w:r w:rsidRPr="00C02870">
        <w:rPr>
          <w:rFonts w:hint="eastAsia"/>
        </w:rPr>
        <w:t>遠高於施行前之甲等平均比率89.90%，顯示法官法施行後，</w:t>
      </w:r>
      <w:r>
        <w:rPr>
          <w:rFonts w:hint="eastAsia"/>
        </w:rPr>
        <w:t>多</w:t>
      </w:r>
      <w:r w:rsidRPr="00C02870">
        <w:rPr>
          <w:rFonts w:hint="eastAsia"/>
        </w:rPr>
        <w:t>數法官</w:t>
      </w:r>
      <w:r>
        <w:rPr>
          <w:rFonts w:hint="eastAsia"/>
        </w:rPr>
        <w:t>皆</w:t>
      </w:r>
      <w:r w:rsidRPr="00C02870">
        <w:rPr>
          <w:rFonts w:hint="eastAsia"/>
        </w:rPr>
        <w:t>能</w:t>
      </w:r>
      <w:r w:rsidRPr="00D526DC">
        <w:rPr>
          <w:rFonts w:hint="eastAsia"/>
        </w:rPr>
        <w:t>評定</w:t>
      </w:r>
      <w:r>
        <w:rPr>
          <w:rFonts w:hint="eastAsia"/>
        </w:rPr>
        <w:t>為</w:t>
      </w:r>
      <w:r>
        <w:rPr>
          <w:rFonts w:ascii="新細明體" w:eastAsia="新細明體" w:hAnsi="新細明體" w:hint="eastAsia"/>
        </w:rPr>
        <w:t>「</w:t>
      </w:r>
      <w:r w:rsidRPr="00D526DC">
        <w:rPr>
          <w:rFonts w:hint="eastAsia"/>
        </w:rPr>
        <w:t>良好</w:t>
      </w:r>
      <w:r>
        <w:rPr>
          <w:rFonts w:ascii="新細明體" w:eastAsia="新細明體" w:hAnsi="新細明體" w:hint="eastAsia"/>
        </w:rPr>
        <w:t>」</w:t>
      </w:r>
      <w:r w:rsidRPr="00C02870">
        <w:rPr>
          <w:rFonts w:hint="eastAsia"/>
        </w:rPr>
        <w:t>逐年晉級，</w:t>
      </w:r>
      <w:r>
        <w:rPr>
          <w:rFonts w:hint="eastAsia"/>
        </w:rPr>
        <w:t>且</w:t>
      </w:r>
      <w:r w:rsidRPr="00C02870">
        <w:rPr>
          <w:rFonts w:hint="eastAsia"/>
        </w:rPr>
        <w:t>無比率上限</w:t>
      </w:r>
      <w:r>
        <w:rPr>
          <w:rFonts w:hint="eastAsia"/>
        </w:rPr>
        <w:t>之限制，倘若與</w:t>
      </w:r>
      <w:r w:rsidRPr="00C02870">
        <w:rPr>
          <w:rFonts w:hint="eastAsia"/>
        </w:rPr>
        <w:t>公務人員考績考列甲等比率呈下降趨勢(上限已由90%降低至75%)</w:t>
      </w:r>
      <w:r>
        <w:rPr>
          <w:rFonts w:hint="eastAsia"/>
        </w:rPr>
        <w:t>相較</w:t>
      </w:r>
      <w:r w:rsidRPr="00C02870">
        <w:rPr>
          <w:rFonts w:hint="eastAsia"/>
        </w:rPr>
        <w:t>，</w:t>
      </w:r>
      <w:r>
        <w:rPr>
          <w:rFonts w:hint="eastAsia"/>
        </w:rPr>
        <w:t>現行</w:t>
      </w:r>
      <w:r w:rsidRPr="00476531">
        <w:rPr>
          <w:rFonts w:hint="eastAsia"/>
        </w:rPr>
        <w:t>法官職務評定</w:t>
      </w:r>
      <w:r>
        <w:rPr>
          <w:rFonts w:hint="eastAsia"/>
        </w:rPr>
        <w:t>之方式</w:t>
      </w:r>
      <w:r w:rsidR="0015065A">
        <w:rPr>
          <w:rFonts w:hint="eastAsia"/>
        </w:rPr>
        <w:t>恐</w:t>
      </w:r>
      <w:r>
        <w:rPr>
          <w:rFonts w:hint="eastAsia"/>
        </w:rPr>
        <w:t>缺乏</w:t>
      </w:r>
      <w:r w:rsidRPr="00D526DC">
        <w:rPr>
          <w:rFonts w:hint="eastAsia"/>
        </w:rPr>
        <w:t>鑑別度</w:t>
      </w:r>
      <w:r w:rsidR="00627942">
        <w:rPr>
          <w:rFonts w:hint="eastAsia"/>
        </w:rPr>
        <w:t>及差異化管理</w:t>
      </w:r>
      <w:r>
        <w:rPr>
          <w:rStyle w:val="af3"/>
        </w:rPr>
        <w:footnoteReference w:id="3"/>
      </w:r>
      <w:r w:rsidRPr="00C02870">
        <w:rPr>
          <w:rFonts w:hint="eastAsia"/>
        </w:rPr>
        <w:t>。</w:t>
      </w:r>
    </w:p>
    <w:p w:rsidR="0070097E" w:rsidRDefault="0070097E" w:rsidP="0070097E">
      <w:pPr>
        <w:pStyle w:val="a4"/>
        <w:spacing w:line="400" w:lineRule="exact"/>
        <w:ind w:left="1275" w:hangingChars="250" w:hanging="709"/>
        <w:rPr>
          <w:rFonts w:hAnsi="標楷體"/>
          <w:b/>
          <w:snapToGrid/>
        </w:rPr>
      </w:pPr>
      <w:r w:rsidRPr="000F6182">
        <w:rPr>
          <w:rFonts w:hAnsi="標楷體" w:hint="eastAsia"/>
          <w:b/>
          <w:snapToGrid/>
        </w:rPr>
        <w:t>表1</w:t>
      </w:r>
      <w:r>
        <w:rPr>
          <w:rFonts w:hAnsi="標楷體"/>
          <w:b/>
          <w:snapToGrid/>
        </w:rPr>
        <w:t xml:space="preserve">  </w:t>
      </w:r>
      <w:r>
        <w:rPr>
          <w:rFonts w:hAnsi="標楷體" w:hint="eastAsia"/>
          <w:b/>
          <w:snapToGrid/>
        </w:rPr>
        <w:t>司法院主管</w:t>
      </w:r>
      <w:r w:rsidRPr="00C02870">
        <w:rPr>
          <w:rFonts w:hAnsi="標楷體" w:hint="eastAsia"/>
          <w:b/>
          <w:snapToGrid/>
        </w:rPr>
        <w:t>98至100年度法官考績銓敘審定</w:t>
      </w:r>
      <w:r>
        <w:rPr>
          <w:rFonts w:hAnsi="標楷體" w:hint="eastAsia"/>
          <w:b/>
          <w:snapToGrid/>
        </w:rPr>
        <w:t>情形</w:t>
      </w:r>
      <w:r w:rsidRPr="00C02870">
        <w:rPr>
          <w:rFonts w:hAnsi="標楷體" w:hint="eastAsia"/>
          <w:b/>
          <w:snapToGrid/>
        </w:rPr>
        <w:t>一覽表</w:t>
      </w:r>
    </w:p>
    <w:p w:rsidR="0070097E" w:rsidRPr="00C02870" w:rsidRDefault="0070097E" w:rsidP="0070097E">
      <w:pPr>
        <w:pStyle w:val="a4"/>
        <w:spacing w:line="400" w:lineRule="exact"/>
        <w:ind w:left="1174" w:hangingChars="250" w:hanging="608"/>
        <w:jc w:val="right"/>
        <w:rPr>
          <w:rFonts w:hAnsi="標楷體"/>
          <w:snapToGrid/>
          <w:sz w:val="24"/>
          <w:szCs w:val="24"/>
        </w:rPr>
      </w:pPr>
      <w:r w:rsidRPr="00C02870">
        <w:rPr>
          <w:rFonts w:hAnsi="標楷體" w:hint="eastAsia"/>
          <w:snapToGrid/>
          <w:sz w:val="24"/>
          <w:szCs w:val="24"/>
        </w:rPr>
        <w:t>單位：人</w:t>
      </w:r>
    </w:p>
    <w:tbl>
      <w:tblPr>
        <w:tblW w:w="7931" w:type="dxa"/>
        <w:tblInd w:w="6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812"/>
        <w:gridCol w:w="1042"/>
        <w:gridCol w:w="9"/>
        <w:gridCol w:w="832"/>
        <w:gridCol w:w="1015"/>
        <w:gridCol w:w="770"/>
        <w:gridCol w:w="1085"/>
        <w:gridCol w:w="6"/>
        <w:gridCol w:w="813"/>
        <w:gridCol w:w="988"/>
      </w:tblGrid>
      <w:tr w:rsidR="0070097E" w:rsidRPr="00C02870" w:rsidTr="009A044C">
        <w:trPr>
          <w:trHeight w:val="407"/>
          <w:tblHeader/>
        </w:trPr>
        <w:tc>
          <w:tcPr>
            <w:tcW w:w="559" w:type="dxa"/>
            <w:vMerge w:val="restart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280" w:lineRule="exact"/>
              <w:ind w:leftChars="-13" w:left="-37" w:rightChars="-23" w:right="-65" w:firstLineChars="0" w:firstLine="0"/>
              <w:jc w:val="center"/>
              <w:rPr>
                <w:sz w:val="24"/>
              </w:rPr>
            </w:pPr>
            <w:r w:rsidRPr="00C02870">
              <w:rPr>
                <w:sz w:val="24"/>
              </w:rPr>
              <w:lastRenderedPageBreak/>
              <w:t>年度</w:t>
            </w:r>
          </w:p>
        </w:tc>
        <w:tc>
          <w:tcPr>
            <w:tcW w:w="1863" w:type="dxa"/>
            <w:gridSpan w:val="3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13" w:left="-37" w:rightChars="-23" w:right="-65" w:firstLineChars="0" w:firstLine="0"/>
              <w:jc w:val="center"/>
              <w:rPr>
                <w:b/>
                <w:sz w:val="24"/>
              </w:rPr>
            </w:pPr>
            <w:r w:rsidRPr="00C02870">
              <w:rPr>
                <w:rFonts w:hint="eastAsia"/>
                <w:b/>
                <w:sz w:val="24"/>
              </w:rPr>
              <w:t>考績</w:t>
            </w:r>
            <w:r w:rsidRPr="00C02870">
              <w:rPr>
                <w:b/>
                <w:sz w:val="24"/>
              </w:rPr>
              <w:t>甲</w:t>
            </w:r>
            <w:r w:rsidRPr="00C02870">
              <w:rPr>
                <w:rFonts w:hint="eastAsia"/>
                <w:b/>
                <w:sz w:val="24"/>
              </w:rPr>
              <w:t>等</w:t>
            </w:r>
          </w:p>
        </w:tc>
        <w:tc>
          <w:tcPr>
            <w:tcW w:w="1847" w:type="dxa"/>
            <w:gridSpan w:val="2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13" w:left="-37" w:rightChars="-23" w:right="-65" w:firstLineChars="0" w:firstLine="0"/>
              <w:jc w:val="center"/>
              <w:rPr>
                <w:b/>
                <w:sz w:val="24"/>
              </w:rPr>
            </w:pPr>
            <w:r w:rsidRPr="00C02870">
              <w:rPr>
                <w:rFonts w:hint="eastAsia"/>
                <w:b/>
                <w:sz w:val="24"/>
              </w:rPr>
              <w:t>考績</w:t>
            </w:r>
            <w:r w:rsidRPr="00C02870">
              <w:rPr>
                <w:b/>
                <w:sz w:val="24"/>
              </w:rPr>
              <w:t>乙</w:t>
            </w:r>
            <w:r w:rsidRPr="00C02870">
              <w:rPr>
                <w:rFonts w:hint="eastAsia"/>
                <w:b/>
                <w:sz w:val="24"/>
              </w:rPr>
              <w:t>等</w:t>
            </w:r>
          </w:p>
        </w:tc>
        <w:tc>
          <w:tcPr>
            <w:tcW w:w="1861" w:type="dxa"/>
            <w:gridSpan w:val="3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13" w:left="-37" w:rightChars="-23" w:right="-65" w:firstLineChars="0" w:firstLine="0"/>
              <w:jc w:val="center"/>
              <w:rPr>
                <w:b/>
                <w:sz w:val="24"/>
              </w:rPr>
            </w:pPr>
            <w:r w:rsidRPr="00C02870">
              <w:rPr>
                <w:rFonts w:hint="eastAsia"/>
                <w:b/>
                <w:sz w:val="24"/>
              </w:rPr>
              <w:t>考績</w:t>
            </w:r>
            <w:r w:rsidRPr="00C02870">
              <w:rPr>
                <w:b/>
                <w:sz w:val="24"/>
              </w:rPr>
              <w:t>丙</w:t>
            </w:r>
            <w:r w:rsidRPr="00C02870">
              <w:rPr>
                <w:rFonts w:hint="eastAsia"/>
                <w:b/>
                <w:sz w:val="24"/>
              </w:rPr>
              <w:t>等</w:t>
            </w:r>
          </w:p>
        </w:tc>
        <w:tc>
          <w:tcPr>
            <w:tcW w:w="1801" w:type="dxa"/>
            <w:gridSpan w:val="2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13" w:left="-37" w:rightChars="-23" w:right="-65" w:firstLineChars="0" w:firstLine="0"/>
              <w:jc w:val="center"/>
              <w:rPr>
                <w:b/>
                <w:sz w:val="24"/>
              </w:rPr>
            </w:pPr>
            <w:r w:rsidRPr="00C02870">
              <w:rPr>
                <w:rFonts w:hint="eastAsia"/>
                <w:b/>
                <w:sz w:val="24"/>
              </w:rPr>
              <w:t>考績</w:t>
            </w:r>
            <w:r w:rsidRPr="00C02870">
              <w:rPr>
                <w:b/>
                <w:sz w:val="24"/>
              </w:rPr>
              <w:t>丁</w:t>
            </w:r>
            <w:r w:rsidRPr="00C02870">
              <w:rPr>
                <w:rFonts w:hint="eastAsia"/>
                <w:b/>
                <w:sz w:val="24"/>
              </w:rPr>
              <w:t>等</w:t>
            </w:r>
          </w:p>
        </w:tc>
      </w:tr>
      <w:tr w:rsidR="0070097E" w:rsidRPr="00C02870" w:rsidTr="009A044C">
        <w:trPr>
          <w:trHeight w:val="408"/>
          <w:tblHeader/>
        </w:trPr>
        <w:tc>
          <w:tcPr>
            <w:tcW w:w="559" w:type="dxa"/>
            <w:vMerge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280" w:lineRule="exact"/>
              <w:ind w:leftChars="-13" w:left="-37" w:rightChars="-23" w:right="-65" w:firstLineChars="0" w:firstLine="0"/>
              <w:jc w:val="center"/>
              <w:rPr>
                <w:sz w:val="24"/>
              </w:rPr>
            </w:pPr>
          </w:p>
        </w:tc>
        <w:tc>
          <w:tcPr>
            <w:tcW w:w="812" w:type="dxa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13" w:left="-37" w:rightChars="-23" w:right="-65" w:firstLineChars="0" w:firstLine="0"/>
              <w:jc w:val="center"/>
              <w:rPr>
                <w:sz w:val="24"/>
              </w:rPr>
            </w:pPr>
            <w:r w:rsidRPr="00C02870">
              <w:rPr>
                <w:sz w:val="24"/>
              </w:rPr>
              <w:t>人數</w:t>
            </w:r>
          </w:p>
        </w:tc>
        <w:tc>
          <w:tcPr>
            <w:tcW w:w="1051" w:type="dxa"/>
            <w:gridSpan w:val="2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13" w:left="-37" w:rightChars="-23" w:right="-65" w:firstLineChars="0" w:firstLine="0"/>
              <w:jc w:val="center"/>
              <w:rPr>
                <w:sz w:val="24"/>
              </w:rPr>
            </w:pPr>
            <w:r w:rsidRPr="00C02870">
              <w:rPr>
                <w:sz w:val="24"/>
              </w:rPr>
              <w:t>比率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13" w:left="-37" w:rightChars="-23" w:right="-65" w:firstLineChars="0" w:firstLine="0"/>
              <w:jc w:val="center"/>
              <w:rPr>
                <w:sz w:val="24"/>
              </w:rPr>
            </w:pPr>
            <w:r w:rsidRPr="00C02870">
              <w:rPr>
                <w:sz w:val="24"/>
              </w:rPr>
              <w:t>人數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13" w:left="-37" w:rightChars="-23" w:right="-65" w:firstLineChars="0" w:firstLine="0"/>
              <w:jc w:val="center"/>
              <w:rPr>
                <w:sz w:val="24"/>
              </w:rPr>
            </w:pPr>
            <w:r w:rsidRPr="00C02870">
              <w:rPr>
                <w:sz w:val="24"/>
              </w:rPr>
              <w:t>比率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30" w:left="-85" w:rightChars="-36" w:right="-102" w:firstLineChars="0" w:firstLine="0"/>
              <w:jc w:val="center"/>
              <w:rPr>
                <w:sz w:val="24"/>
              </w:rPr>
            </w:pPr>
            <w:r w:rsidRPr="00C02870">
              <w:rPr>
                <w:sz w:val="24"/>
              </w:rPr>
              <w:t>人數</w:t>
            </w:r>
          </w:p>
        </w:tc>
        <w:tc>
          <w:tcPr>
            <w:tcW w:w="1091" w:type="dxa"/>
            <w:gridSpan w:val="2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13" w:left="-37" w:rightChars="-23" w:right="-65" w:firstLineChars="0" w:firstLine="0"/>
              <w:jc w:val="center"/>
              <w:rPr>
                <w:sz w:val="24"/>
              </w:rPr>
            </w:pPr>
            <w:r w:rsidRPr="00C02870">
              <w:rPr>
                <w:sz w:val="24"/>
              </w:rPr>
              <w:t>比率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30" w:left="-85" w:rightChars="-36" w:right="-102" w:firstLineChars="0" w:firstLine="0"/>
              <w:jc w:val="center"/>
              <w:rPr>
                <w:sz w:val="24"/>
              </w:rPr>
            </w:pPr>
            <w:r w:rsidRPr="00C02870">
              <w:rPr>
                <w:sz w:val="24"/>
              </w:rPr>
              <w:t>人數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30" w:left="-85" w:rightChars="-36" w:right="-102" w:firstLineChars="0" w:firstLine="0"/>
              <w:jc w:val="center"/>
              <w:rPr>
                <w:sz w:val="24"/>
              </w:rPr>
            </w:pPr>
            <w:r w:rsidRPr="00C02870">
              <w:rPr>
                <w:sz w:val="24"/>
              </w:rPr>
              <w:t>比率</w:t>
            </w:r>
          </w:p>
        </w:tc>
      </w:tr>
      <w:tr w:rsidR="0070097E" w:rsidRPr="00C02870" w:rsidTr="009A044C">
        <w:trPr>
          <w:trHeight w:val="460"/>
        </w:trPr>
        <w:tc>
          <w:tcPr>
            <w:tcW w:w="559" w:type="dxa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280" w:lineRule="exact"/>
              <w:ind w:leftChars="-13" w:left="-37" w:rightChars="-23" w:right="-65" w:firstLineChars="0" w:firstLine="0"/>
              <w:jc w:val="center"/>
              <w:rPr>
                <w:sz w:val="24"/>
              </w:rPr>
            </w:pPr>
            <w:r w:rsidRPr="00C02870">
              <w:rPr>
                <w:sz w:val="24"/>
              </w:rPr>
              <w:t>98</w:t>
            </w:r>
          </w:p>
        </w:tc>
        <w:tc>
          <w:tcPr>
            <w:tcW w:w="812" w:type="dxa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30" w:left="-85" w:rightChars="6" w:right="17" w:firstLineChars="0" w:firstLine="0"/>
              <w:jc w:val="right"/>
              <w:rPr>
                <w:sz w:val="24"/>
              </w:rPr>
            </w:pPr>
            <w:r w:rsidRPr="00C02870">
              <w:rPr>
                <w:sz w:val="24"/>
              </w:rPr>
              <w:t>1,493</w:t>
            </w:r>
          </w:p>
        </w:tc>
        <w:tc>
          <w:tcPr>
            <w:tcW w:w="1051" w:type="dxa"/>
            <w:gridSpan w:val="2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30" w:left="-85" w:rightChars="6" w:right="17" w:firstLineChars="0" w:firstLine="0"/>
              <w:jc w:val="right"/>
              <w:rPr>
                <w:sz w:val="24"/>
              </w:rPr>
            </w:pPr>
            <w:r w:rsidRPr="00C02870">
              <w:rPr>
                <w:sz w:val="24"/>
              </w:rPr>
              <w:t>89.99%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30" w:left="-85" w:rightChars="6" w:right="17" w:firstLineChars="0" w:firstLine="0"/>
              <w:jc w:val="right"/>
              <w:rPr>
                <w:sz w:val="24"/>
              </w:rPr>
            </w:pPr>
            <w:r w:rsidRPr="00C02870">
              <w:rPr>
                <w:sz w:val="24"/>
              </w:rPr>
              <w:t>165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30" w:left="-85" w:rightChars="6" w:right="17" w:firstLineChars="0" w:firstLine="0"/>
              <w:jc w:val="right"/>
              <w:rPr>
                <w:sz w:val="24"/>
              </w:rPr>
            </w:pPr>
            <w:r w:rsidRPr="00C02870">
              <w:rPr>
                <w:sz w:val="24"/>
              </w:rPr>
              <w:t>9.95%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30" w:left="-85" w:rightChars="6" w:right="17" w:firstLineChars="0" w:firstLine="0"/>
              <w:jc w:val="right"/>
              <w:rPr>
                <w:sz w:val="24"/>
              </w:rPr>
            </w:pPr>
            <w:r w:rsidRPr="00C02870">
              <w:rPr>
                <w:sz w:val="24"/>
              </w:rPr>
              <w:t>1</w:t>
            </w:r>
          </w:p>
        </w:tc>
        <w:tc>
          <w:tcPr>
            <w:tcW w:w="1091" w:type="dxa"/>
            <w:gridSpan w:val="2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30" w:left="-85" w:rightChars="6" w:right="17" w:firstLineChars="0" w:firstLine="0"/>
              <w:jc w:val="right"/>
              <w:rPr>
                <w:sz w:val="24"/>
              </w:rPr>
            </w:pPr>
            <w:r w:rsidRPr="00C02870">
              <w:rPr>
                <w:sz w:val="24"/>
              </w:rPr>
              <w:t>0.06%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30" w:left="-85" w:rightChars="6" w:right="17" w:firstLineChars="0" w:firstLine="0"/>
              <w:jc w:val="right"/>
              <w:rPr>
                <w:sz w:val="24"/>
              </w:rPr>
            </w:pPr>
            <w:r w:rsidRPr="00C02870">
              <w:rPr>
                <w:sz w:val="24"/>
              </w:rPr>
              <w:t>0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30" w:left="-85" w:rightChars="6" w:right="17" w:firstLineChars="0" w:firstLine="0"/>
              <w:jc w:val="right"/>
              <w:rPr>
                <w:sz w:val="24"/>
              </w:rPr>
            </w:pPr>
            <w:r w:rsidRPr="00C02870">
              <w:rPr>
                <w:sz w:val="24"/>
              </w:rPr>
              <w:t>0%</w:t>
            </w:r>
          </w:p>
        </w:tc>
      </w:tr>
      <w:tr w:rsidR="0070097E" w:rsidRPr="00C02870" w:rsidTr="009A044C">
        <w:trPr>
          <w:trHeight w:val="503"/>
        </w:trPr>
        <w:tc>
          <w:tcPr>
            <w:tcW w:w="559" w:type="dxa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280" w:lineRule="exact"/>
              <w:ind w:leftChars="-13" w:left="-37" w:rightChars="-23" w:right="-65" w:firstLineChars="0" w:firstLine="0"/>
              <w:jc w:val="center"/>
              <w:rPr>
                <w:sz w:val="24"/>
              </w:rPr>
            </w:pPr>
            <w:r w:rsidRPr="00C02870">
              <w:rPr>
                <w:sz w:val="24"/>
              </w:rPr>
              <w:t>99</w:t>
            </w:r>
          </w:p>
        </w:tc>
        <w:tc>
          <w:tcPr>
            <w:tcW w:w="812" w:type="dxa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30" w:left="-85" w:rightChars="6" w:right="17" w:firstLineChars="0" w:firstLine="0"/>
              <w:jc w:val="right"/>
              <w:rPr>
                <w:sz w:val="24"/>
              </w:rPr>
            </w:pPr>
            <w:r w:rsidRPr="00C02870">
              <w:rPr>
                <w:sz w:val="24"/>
              </w:rPr>
              <w:t>1,520</w:t>
            </w:r>
          </w:p>
        </w:tc>
        <w:tc>
          <w:tcPr>
            <w:tcW w:w="1051" w:type="dxa"/>
            <w:gridSpan w:val="2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30" w:left="-85" w:rightChars="6" w:right="17" w:firstLineChars="0" w:firstLine="0"/>
              <w:jc w:val="right"/>
              <w:rPr>
                <w:sz w:val="24"/>
              </w:rPr>
            </w:pPr>
            <w:r w:rsidRPr="00C02870">
              <w:rPr>
                <w:sz w:val="24"/>
              </w:rPr>
              <w:t>89.83%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30" w:left="-85" w:rightChars="6" w:right="17" w:firstLineChars="0" w:firstLine="0"/>
              <w:jc w:val="right"/>
              <w:rPr>
                <w:sz w:val="24"/>
              </w:rPr>
            </w:pPr>
            <w:r w:rsidRPr="00C02870">
              <w:rPr>
                <w:sz w:val="24"/>
              </w:rPr>
              <w:t>171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30" w:left="-85" w:rightChars="6" w:right="17" w:firstLineChars="0" w:firstLine="0"/>
              <w:jc w:val="right"/>
              <w:rPr>
                <w:sz w:val="24"/>
              </w:rPr>
            </w:pPr>
            <w:r w:rsidRPr="00C02870">
              <w:rPr>
                <w:sz w:val="24"/>
              </w:rPr>
              <w:t>10.11%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30" w:left="-85" w:rightChars="6" w:right="17" w:firstLineChars="0" w:firstLine="0"/>
              <w:jc w:val="right"/>
              <w:rPr>
                <w:sz w:val="24"/>
              </w:rPr>
            </w:pPr>
            <w:r w:rsidRPr="00C02870">
              <w:rPr>
                <w:sz w:val="24"/>
              </w:rPr>
              <w:t>1</w:t>
            </w:r>
          </w:p>
        </w:tc>
        <w:tc>
          <w:tcPr>
            <w:tcW w:w="1091" w:type="dxa"/>
            <w:gridSpan w:val="2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30" w:left="-85" w:rightChars="6" w:right="17" w:firstLineChars="0" w:firstLine="0"/>
              <w:jc w:val="right"/>
              <w:rPr>
                <w:sz w:val="24"/>
              </w:rPr>
            </w:pPr>
            <w:r w:rsidRPr="00C02870">
              <w:rPr>
                <w:sz w:val="24"/>
              </w:rPr>
              <w:t>0.06%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30" w:left="-85" w:rightChars="6" w:right="17" w:firstLineChars="0" w:firstLine="0"/>
              <w:jc w:val="right"/>
              <w:rPr>
                <w:sz w:val="24"/>
              </w:rPr>
            </w:pPr>
            <w:r w:rsidRPr="00C02870">
              <w:rPr>
                <w:sz w:val="24"/>
              </w:rPr>
              <w:t>0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30" w:left="-85" w:rightChars="6" w:right="17" w:firstLineChars="0" w:firstLine="0"/>
              <w:jc w:val="right"/>
              <w:rPr>
                <w:sz w:val="24"/>
              </w:rPr>
            </w:pPr>
            <w:r w:rsidRPr="00C02870">
              <w:rPr>
                <w:sz w:val="24"/>
              </w:rPr>
              <w:t>0%</w:t>
            </w:r>
          </w:p>
        </w:tc>
      </w:tr>
      <w:tr w:rsidR="0070097E" w:rsidRPr="00C02870" w:rsidTr="009A044C">
        <w:trPr>
          <w:trHeight w:val="502"/>
        </w:trPr>
        <w:tc>
          <w:tcPr>
            <w:tcW w:w="55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0097E" w:rsidRPr="00C02870" w:rsidRDefault="0070097E" w:rsidP="009A044C">
            <w:pPr>
              <w:spacing w:line="280" w:lineRule="exact"/>
              <w:ind w:leftChars="-13" w:left="-37" w:rightChars="-23" w:right="-65" w:firstLineChars="0" w:firstLine="0"/>
              <w:jc w:val="center"/>
              <w:rPr>
                <w:sz w:val="24"/>
              </w:rPr>
            </w:pPr>
            <w:r w:rsidRPr="00C02870">
              <w:rPr>
                <w:sz w:val="24"/>
              </w:rPr>
              <w:t>100</w:t>
            </w:r>
          </w:p>
        </w:tc>
        <w:tc>
          <w:tcPr>
            <w:tcW w:w="81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30" w:left="-85" w:rightChars="6" w:right="17" w:firstLineChars="0" w:firstLine="0"/>
              <w:jc w:val="right"/>
              <w:rPr>
                <w:sz w:val="24"/>
              </w:rPr>
            </w:pPr>
            <w:r w:rsidRPr="00C02870">
              <w:rPr>
                <w:sz w:val="24"/>
              </w:rPr>
              <w:t>1,579</w:t>
            </w:r>
          </w:p>
        </w:tc>
        <w:tc>
          <w:tcPr>
            <w:tcW w:w="1051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30" w:left="-85" w:rightChars="6" w:right="17" w:firstLineChars="0" w:firstLine="0"/>
              <w:jc w:val="right"/>
              <w:rPr>
                <w:sz w:val="24"/>
              </w:rPr>
            </w:pPr>
            <w:r w:rsidRPr="00C02870">
              <w:rPr>
                <w:sz w:val="24"/>
              </w:rPr>
              <w:t>89.87%</w:t>
            </w:r>
          </w:p>
        </w:tc>
        <w:tc>
          <w:tcPr>
            <w:tcW w:w="83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30" w:left="-85" w:rightChars="6" w:right="17" w:firstLineChars="0" w:firstLine="0"/>
              <w:jc w:val="right"/>
              <w:rPr>
                <w:sz w:val="24"/>
              </w:rPr>
            </w:pPr>
            <w:r w:rsidRPr="00C02870">
              <w:rPr>
                <w:sz w:val="24"/>
              </w:rPr>
              <w:t>174</w:t>
            </w:r>
          </w:p>
        </w:tc>
        <w:tc>
          <w:tcPr>
            <w:tcW w:w="101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30" w:left="-85" w:rightChars="6" w:right="17" w:firstLineChars="0" w:firstLine="0"/>
              <w:jc w:val="right"/>
              <w:rPr>
                <w:sz w:val="24"/>
              </w:rPr>
            </w:pPr>
            <w:r w:rsidRPr="00C02870">
              <w:rPr>
                <w:sz w:val="24"/>
              </w:rPr>
              <w:t>9.90%</w:t>
            </w:r>
          </w:p>
        </w:tc>
        <w:tc>
          <w:tcPr>
            <w:tcW w:w="77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30" w:left="-85" w:rightChars="6" w:right="17" w:firstLineChars="0" w:firstLine="0"/>
              <w:jc w:val="right"/>
              <w:rPr>
                <w:sz w:val="24"/>
              </w:rPr>
            </w:pPr>
            <w:r w:rsidRPr="00C02870">
              <w:rPr>
                <w:sz w:val="24"/>
              </w:rPr>
              <w:t>4</w:t>
            </w:r>
          </w:p>
        </w:tc>
        <w:tc>
          <w:tcPr>
            <w:tcW w:w="1091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30" w:left="-85" w:rightChars="6" w:right="17" w:firstLineChars="0" w:firstLine="0"/>
              <w:jc w:val="right"/>
              <w:rPr>
                <w:sz w:val="24"/>
              </w:rPr>
            </w:pPr>
            <w:r w:rsidRPr="00C02870">
              <w:rPr>
                <w:sz w:val="24"/>
              </w:rPr>
              <w:t>0.23%</w:t>
            </w:r>
          </w:p>
        </w:tc>
        <w:tc>
          <w:tcPr>
            <w:tcW w:w="81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30" w:left="-85" w:rightChars="6" w:right="17" w:firstLineChars="0" w:firstLine="0"/>
              <w:jc w:val="right"/>
              <w:rPr>
                <w:sz w:val="24"/>
              </w:rPr>
            </w:pPr>
            <w:r w:rsidRPr="00C02870">
              <w:rPr>
                <w:sz w:val="24"/>
              </w:rPr>
              <w:t>0</w:t>
            </w:r>
          </w:p>
        </w:tc>
        <w:tc>
          <w:tcPr>
            <w:tcW w:w="98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0097E" w:rsidRPr="00C02870" w:rsidRDefault="0070097E" w:rsidP="009A044C">
            <w:pPr>
              <w:spacing w:line="360" w:lineRule="exact"/>
              <w:ind w:leftChars="-30" w:left="-85" w:rightChars="6" w:right="17" w:firstLineChars="0" w:firstLine="0"/>
              <w:jc w:val="right"/>
              <w:rPr>
                <w:sz w:val="24"/>
              </w:rPr>
            </w:pPr>
            <w:r w:rsidRPr="00C02870">
              <w:rPr>
                <w:sz w:val="24"/>
              </w:rPr>
              <w:t>0%</w:t>
            </w:r>
          </w:p>
        </w:tc>
      </w:tr>
      <w:tr w:rsidR="0070097E" w:rsidRPr="00C02870" w:rsidTr="009A044C">
        <w:trPr>
          <w:trHeight w:val="502"/>
        </w:trPr>
        <w:tc>
          <w:tcPr>
            <w:tcW w:w="559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0097E" w:rsidRPr="00C02870" w:rsidRDefault="0070097E" w:rsidP="009A044C">
            <w:pPr>
              <w:spacing w:line="260" w:lineRule="exact"/>
              <w:ind w:leftChars="-13" w:left="-37" w:rightChars="-23" w:right="-65" w:firstLineChars="0" w:firstLine="0"/>
              <w:jc w:val="center"/>
              <w:rPr>
                <w:spacing w:val="-10"/>
                <w:sz w:val="24"/>
              </w:rPr>
            </w:pPr>
            <w:r w:rsidRPr="00C02870">
              <w:rPr>
                <w:rFonts w:hint="eastAsia"/>
                <w:spacing w:val="-10"/>
                <w:sz w:val="24"/>
              </w:rPr>
              <w:t>平均比率</w:t>
            </w:r>
          </w:p>
        </w:tc>
        <w:tc>
          <w:tcPr>
            <w:tcW w:w="1854" w:type="dxa"/>
            <w:gridSpan w:val="2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0097E" w:rsidRPr="00C02870" w:rsidRDefault="0070097E" w:rsidP="009A044C">
            <w:pPr>
              <w:spacing w:line="280" w:lineRule="exact"/>
              <w:ind w:leftChars="-30" w:left="-85" w:rightChars="-16" w:right="-45" w:firstLineChars="0" w:firstLine="0"/>
              <w:jc w:val="center"/>
              <w:rPr>
                <w:sz w:val="24"/>
              </w:rPr>
            </w:pPr>
            <w:r w:rsidRPr="00C02870">
              <w:rPr>
                <w:sz w:val="24"/>
                <w:szCs w:val="24"/>
              </w:rPr>
              <w:t>89.</w:t>
            </w:r>
            <w:r w:rsidRPr="00C02870">
              <w:rPr>
                <w:rFonts w:hint="eastAsia"/>
                <w:sz w:val="24"/>
                <w:szCs w:val="24"/>
              </w:rPr>
              <w:t>90</w:t>
            </w:r>
            <w:r w:rsidRPr="00C02870">
              <w:rPr>
                <w:sz w:val="24"/>
                <w:szCs w:val="24"/>
              </w:rPr>
              <w:t>%</w:t>
            </w:r>
          </w:p>
        </w:tc>
        <w:tc>
          <w:tcPr>
            <w:tcW w:w="1856" w:type="dxa"/>
            <w:gridSpan w:val="3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0097E" w:rsidRPr="00C02870" w:rsidRDefault="0070097E" w:rsidP="009A044C">
            <w:pPr>
              <w:spacing w:line="280" w:lineRule="exact"/>
              <w:ind w:leftChars="-30" w:left="-85" w:rightChars="-16" w:right="-45" w:firstLineChars="0" w:firstLine="0"/>
              <w:jc w:val="center"/>
              <w:rPr>
                <w:sz w:val="24"/>
              </w:rPr>
            </w:pPr>
            <w:r w:rsidRPr="00C02870">
              <w:rPr>
                <w:rFonts w:hint="eastAsia"/>
                <w:sz w:val="24"/>
                <w:szCs w:val="24"/>
              </w:rPr>
              <w:t>9.99</w:t>
            </w:r>
            <w:r w:rsidRPr="00C02870">
              <w:rPr>
                <w:sz w:val="24"/>
                <w:szCs w:val="24"/>
              </w:rPr>
              <w:t>%</w:t>
            </w:r>
          </w:p>
        </w:tc>
        <w:tc>
          <w:tcPr>
            <w:tcW w:w="1855" w:type="dxa"/>
            <w:gridSpan w:val="2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0097E" w:rsidRPr="00C02870" w:rsidRDefault="0070097E" w:rsidP="009A044C">
            <w:pPr>
              <w:spacing w:line="280" w:lineRule="exact"/>
              <w:ind w:leftChars="-30" w:left="-85" w:rightChars="-16" w:right="-45" w:firstLineChars="0" w:firstLine="0"/>
              <w:jc w:val="center"/>
              <w:rPr>
                <w:sz w:val="24"/>
              </w:rPr>
            </w:pPr>
            <w:r w:rsidRPr="00C02870">
              <w:rPr>
                <w:rFonts w:hint="eastAsia"/>
                <w:sz w:val="24"/>
                <w:szCs w:val="24"/>
              </w:rPr>
              <w:t>0.12</w:t>
            </w:r>
            <w:r w:rsidRPr="00C02870">
              <w:rPr>
                <w:sz w:val="24"/>
                <w:szCs w:val="24"/>
              </w:rPr>
              <w:t>%</w:t>
            </w:r>
          </w:p>
        </w:tc>
        <w:tc>
          <w:tcPr>
            <w:tcW w:w="1807" w:type="dxa"/>
            <w:gridSpan w:val="3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0097E" w:rsidRPr="00C02870" w:rsidRDefault="0070097E" w:rsidP="009A044C">
            <w:pPr>
              <w:spacing w:line="280" w:lineRule="exact"/>
              <w:ind w:leftChars="-30" w:left="-85" w:rightChars="-16" w:right="-45" w:firstLineChars="0" w:firstLine="0"/>
              <w:jc w:val="center"/>
              <w:rPr>
                <w:sz w:val="24"/>
              </w:rPr>
            </w:pPr>
            <w:r w:rsidRPr="00C02870">
              <w:rPr>
                <w:rFonts w:hint="eastAsia"/>
                <w:sz w:val="24"/>
                <w:szCs w:val="24"/>
              </w:rPr>
              <w:t>0</w:t>
            </w:r>
            <w:r w:rsidRPr="00C02870">
              <w:rPr>
                <w:sz w:val="24"/>
                <w:szCs w:val="24"/>
              </w:rPr>
              <w:t>%</w:t>
            </w:r>
          </w:p>
        </w:tc>
      </w:tr>
    </w:tbl>
    <w:p w:rsidR="0070097E" w:rsidRDefault="0070097E" w:rsidP="0070097E">
      <w:pPr>
        <w:spacing w:line="320" w:lineRule="exact"/>
        <w:ind w:leftChars="203" w:left="1791" w:hangingChars="500" w:hanging="1216"/>
        <w:rPr>
          <w:rFonts w:hAnsi="標楷體"/>
          <w:snapToGrid/>
          <w:sz w:val="24"/>
        </w:rPr>
      </w:pPr>
      <w:r>
        <w:rPr>
          <w:rFonts w:hAnsi="標楷體" w:hint="eastAsia"/>
          <w:snapToGrid/>
          <w:sz w:val="24"/>
        </w:rPr>
        <w:t xml:space="preserve">說 </w:t>
      </w:r>
      <w:r>
        <w:rPr>
          <w:rFonts w:hAnsi="標楷體"/>
          <w:snapToGrid/>
          <w:sz w:val="24"/>
        </w:rPr>
        <w:t xml:space="preserve">   </w:t>
      </w:r>
      <w:r>
        <w:rPr>
          <w:rFonts w:hAnsi="標楷體" w:hint="eastAsia"/>
          <w:snapToGrid/>
          <w:sz w:val="24"/>
        </w:rPr>
        <w:t>明</w:t>
      </w:r>
      <w:r w:rsidRPr="0070097E">
        <w:rPr>
          <w:rFonts w:hAnsi="標楷體" w:hint="eastAsia"/>
          <w:snapToGrid/>
          <w:sz w:val="24"/>
        </w:rPr>
        <w:t>：</w:t>
      </w:r>
      <w:r>
        <w:rPr>
          <w:rFonts w:hAnsi="標楷體" w:hint="eastAsia"/>
          <w:snapToGrid/>
          <w:sz w:val="24"/>
        </w:rPr>
        <w:t>本表係統計</w:t>
      </w:r>
      <w:r w:rsidRPr="0070097E">
        <w:rPr>
          <w:rFonts w:hAnsi="標楷體" w:hint="eastAsia"/>
          <w:snapToGrid/>
          <w:sz w:val="24"/>
        </w:rPr>
        <w:t>法官法施行前3年</w:t>
      </w:r>
      <w:r>
        <w:rPr>
          <w:rFonts w:hAnsi="標楷體" w:hint="eastAsia"/>
          <w:snapToGrid/>
          <w:sz w:val="24"/>
        </w:rPr>
        <w:t>資料</w:t>
      </w:r>
      <w:r w:rsidRPr="0070097E">
        <w:rPr>
          <w:rFonts w:hAnsi="標楷體" w:hint="eastAsia"/>
          <w:snapToGrid/>
          <w:sz w:val="24"/>
        </w:rPr>
        <w:t>。</w:t>
      </w:r>
    </w:p>
    <w:p w:rsidR="0070097E" w:rsidRDefault="0070097E" w:rsidP="0070097E">
      <w:pPr>
        <w:spacing w:line="320" w:lineRule="exact"/>
        <w:ind w:leftChars="203" w:left="1791" w:hangingChars="500" w:hanging="1216"/>
        <w:rPr>
          <w:rFonts w:hAnsi="標楷體"/>
          <w:snapToGrid/>
          <w:sz w:val="24"/>
        </w:rPr>
      </w:pPr>
      <w:r w:rsidRPr="00512A48">
        <w:rPr>
          <w:rFonts w:hAnsi="標楷體" w:hint="eastAsia"/>
          <w:snapToGrid/>
          <w:sz w:val="24"/>
        </w:rPr>
        <w:t>資料來源</w:t>
      </w:r>
      <w:r>
        <w:rPr>
          <w:rFonts w:hAnsi="標楷體" w:hint="eastAsia"/>
          <w:snapToGrid/>
          <w:sz w:val="24"/>
        </w:rPr>
        <w:t>：</w:t>
      </w:r>
      <w:r w:rsidRPr="00512A48">
        <w:rPr>
          <w:rFonts w:hAnsi="標楷體" w:hint="eastAsia"/>
          <w:snapToGrid/>
          <w:sz w:val="24"/>
        </w:rPr>
        <w:t>監察院109年度通案性案件調查研究報告，法官、檢察官職務評定方式之檢討，111年1月</w:t>
      </w:r>
      <w:r>
        <w:rPr>
          <w:rFonts w:hAnsi="標楷體" w:hint="eastAsia"/>
          <w:snapToGrid/>
          <w:sz w:val="24"/>
        </w:rPr>
        <w:t>；</w:t>
      </w:r>
      <w:r w:rsidRPr="0070097E">
        <w:rPr>
          <w:rFonts w:hAnsi="標楷體" w:hint="eastAsia"/>
          <w:snapToGrid/>
          <w:sz w:val="24"/>
        </w:rPr>
        <w:t>黃惠雯，從當前法官之任用、給與及職務評定制度探討法官法施行成效，國會月刊44卷9期，105年9月。</w:t>
      </w:r>
    </w:p>
    <w:p w:rsidR="001E2537" w:rsidRDefault="001E2537" w:rsidP="001E2537">
      <w:pPr>
        <w:spacing w:line="320" w:lineRule="exact"/>
        <w:ind w:leftChars="0" w:left="0" w:firstLineChars="0" w:firstLine="0"/>
        <w:rPr>
          <w:rFonts w:hAnsi="標楷體"/>
          <w:b/>
          <w:snapToGrid/>
        </w:rPr>
      </w:pPr>
      <w:r w:rsidRPr="00F60BBB">
        <w:rPr>
          <w:rFonts w:hAnsi="標楷體" w:hint="eastAsia"/>
          <w:b/>
          <w:snapToGrid/>
        </w:rPr>
        <w:t>表2</w:t>
      </w:r>
      <w:r>
        <w:rPr>
          <w:rFonts w:hAnsi="標楷體" w:hint="eastAsia"/>
          <w:b/>
          <w:snapToGrid/>
        </w:rPr>
        <w:t xml:space="preserve"> </w:t>
      </w:r>
      <w:r>
        <w:rPr>
          <w:rFonts w:hAnsi="標楷體"/>
          <w:b/>
          <w:snapToGrid/>
        </w:rPr>
        <w:t xml:space="preserve"> </w:t>
      </w:r>
      <w:r w:rsidRPr="0070097E">
        <w:rPr>
          <w:rFonts w:hAnsi="標楷體" w:hint="eastAsia"/>
          <w:b/>
          <w:snapToGrid/>
        </w:rPr>
        <w:t>司法院主管10</w:t>
      </w:r>
      <w:r>
        <w:rPr>
          <w:rFonts w:hAnsi="標楷體"/>
          <w:b/>
          <w:snapToGrid/>
        </w:rPr>
        <w:t>1</w:t>
      </w:r>
      <w:r w:rsidRPr="0070097E">
        <w:rPr>
          <w:rFonts w:hAnsi="標楷體" w:hint="eastAsia"/>
          <w:b/>
          <w:snapToGrid/>
        </w:rPr>
        <w:t>至112年度</w:t>
      </w:r>
      <w:r w:rsidRPr="00C02870">
        <w:rPr>
          <w:rFonts w:hAnsi="標楷體" w:hint="eastAsia"/>
          <w:b/>
          <w:snapToGrid/>
        </w:rPr>
        <w:t>法官職務評定銓敘審定</w:t>
      </w:r>
      <w:r>
        <w:rPr>
          <w:rFonts w:hAnsi="標楷體" w:hint="eastAsia"/>
          <w:b/>
          <w:snapToGrid/>
        </w:rPr>
        <w:t>情形</w:t>
      </w:r>
      <w:r w:rsidRPr="00C02870">
        <w:rPr>
          <w:rFonts w:hAnsi="標楷體" w:hint="eastAsia"/>
          <w:b/>
          <w:snapToGrid/>
        </w:rPr>
        <w:t>一覽表</w:t>
      </w:r>
    </w:p>
    <w:p w:rsidR="001E2537" w:rsidRPr="00C02870" w:rsidRDefault="001E2537" w:rsidP="001E2537">
      <w:pPr>
        <w:spacing w:line="320" w:lineRule="exact"/>
        <w:ind w:leftChars="0" w:left="0" w:firstLineChars="0" w:firstLine="0"/>
        <w:jc w:val="right"/>
        <w:rPr>
          <w:b/>
        </w:rPr>
      </w:pPr>
      <w:r w:rsidRPr="00C02870">
        <w:rPr>
          <w:rFonts w:hAnsi="標楷體" w:hint="eastAsia"/>
          <w:snapToGrid/>
          <w:sz w:val="24"/>
          <w:szCs w:val="24"/>
        </w:rPr>
        <w:t>單位：人</w:t>
      </w:r>
    </w:p>
    <w:tbl>
      <w:tblPr>
        <w:tblW w:w="8500" w:type="dxa"/>
        <w:tblInd w:w="3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1"/>
        <w:gridCol w:w="1418"/>
        <w:gridCol w:w="1275"/>
        <w:gridCol w:w="1134"/>
        <w:gridCol w:w="1134"/>
        <w:gridCol w:w="1276"/>
        <w:gridCol w:w="992"/>
      </w:tblGrid>
      <w:tr w:rsidR="001E2537" w:rsidRPr="00F117C3" w:rsidTr="003B46D8">
        <w:trPr>
          <w:cantSplit/>
          <w:tblHeader/>
        </w:trPr>
        <w:tc>
          <w:tcPr>
            <w:tcW w:w="127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shd w:val="clear" w:color="auto" w:fill="auto"/>
            <w:vAlign w:val="center"/>
            <w:hideMark/>
          </w:tcPr>
          <w:p w:rsidR="001E2537" w:rsidRPr="00507F9A" w:rsidRDefault="001E2537" w:rsidP="009A044C">
            <w:pPr>
              <w:pStyle w:val="142"/>
              <w:jc w:val="right"/>
              <w:rPr>
                <w:b/>
                <w:sz w:val="22"/>
                <w:szCs w:val="22"/>
              </w:rPr>
            </w:pPr>
            <w:r w:rsidRPr="00507F9A">
              <w:rPr>
                <w:rFonts w:hint="eastAsia"/>
                <w:b/>
                <w:sz w:val="22"/>
                <w:szCs w:val="22"/>
              </w:rPr>
              <w:t>項目</w:t>
            </w:r>
          </w:p>
          <w:p w:rsidR="001E2537" w:rsidRPr="00507F9A" w:rsidRDefault="001E2537" w:rsidP="009A044C">
            <w:pPr>
              <w:pStyle w:val="142"/>
              <w:rPr>
                <w:b/>
                <w:sz w:val="22"/>
                <w:szCs w:val="22"/>
              </w:rPr>
            </w:pPr>
            <w:r w:rsidRPr="00507F9A">
              <w:rPr>
                <w:rFonts w:hint="eastAsia"/>
                <w:b/>
                <w:sz w:val="22"/>
                <w:szCs w:val="22"/>
              </w:rPr>
              <w:t>年度</w:t>
            </w:r>
          </w:p>
        </w:tc>
        <w:tc>
          <w:tcPr>
            <w:tcW w:w="269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507F9A" w:rsidRDefault="001E2537" w:rsidP="009A044C">
            <w:pPr>
              <w:pStyle w:val="142"/>
              <w:jc w:val="center"/>
              <w:rPr>
                <w:rFonts w:hint="eastAsia"/>
                <w:b/>
              </w:rPr>
            </w:pPr>
            <w:r w:rsidRPr="00507F9A">
              <w:rPr>
                <w:rFonts w:hint="eastAsia"/>
                <w:b/>
              </w:rPr>
              <w:t>職務評定良好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507F9A" w:rsidRDefault="001E2537" w:rsidP="009A044C">
            <w:pPr>
              <w:pStyle w:val="142"/>
              <w:jc w:val="center"/>
              <w:rPr>
                <w:rFonts w:hint="eastAsia"/>
                <w:b/>
              </w:rPr>
            </w:pPr>
            <w:r w:rsidRPr="00507F9A">
              <w:rPr>
                <w:rFonts w:hint="eastAsia"/>
                <w:b/>
              </w:rPr>
              <w:t>職務評定未達良好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2537" w:rsidRPr="00507F9A" w:rsidRDefault="001E2537" w:rsidP="009A044C">
            <w:pPr>
              <w:pStyle w:val="142"/>
              <w:jc w:val="center"/>
              <w:rPr>
                <w:rFonts w:hint="eastAsia"/>
                <w:b/>
              </w:rPr>
            </w:pPr>
            <w:r w:rsidRPr="00507F9A">
              <w:rPr>
                <w:rFonts w:hint="eastAsia"/>
                <w:b/>
              </w:rPr>
              <w:t>總計</w:t>
            </w:r>
          </w:p>
        </w:tc>
      </w:tr>
      <w:tr w:rsidR="001E2537" w:rsidRPr="00F117C3" w:rsidTr="003B46D8">
        <w:trPr>
          <w:cantSplit/>
          <w:tblHeader/>
        </w:trPr>
        <w:tc>
          <w:tcPr>
            <w:tcW w:w="127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537" w:rsidRPr="00507F9A" w:rsidRDefault="001E2537" w:rsidP="009A044C">
            <w:pPr>
              <w:pStyle w:val="142"/>
              <w:rPr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507F9A" w:rsidRDefault="001E2537" w:rsidP="009A044C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507F9A">
              <w:rPr>
                <w:rFonts w:hint="eastAsia"/>
                <w:b/>
                <w:sz w:val="22"/>
                <w:szCs w:val="22"/>
              </w:rPr>
              <w:t>人數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507F9A" w:rsidRDefault="001E2537" w:rsidP="009A044C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507F9A">
              <w:rPr>
                <w:rFonts w:hint="eastAsia"/>
                <w:b/>
                <w:sz w:val="22"/>
                <w:szCs w:val="22"/>
              </w:rPr>
              <w:t>比率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507F9A" w:rsidRDefault="001E2537" w:rsidP="009A044C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507F9A">
              <w:rPr>
                <w:rFonts w:hint="eastAsia"/>
                <w:b/>
                <w:sz w:val="22"/>
                <w:szCs w:val="22"/>
              </w:rPr>
              <w:t>人數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507F9A" w:rsidRDefault="001E2537" w:rsidP="009A044C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507F9A">
              <w:rPr>
                <w:rFonts w:hint="eastAsia"/>
                <w:b/>
                <w:sz w:val="22"/>
                <w:szCs w:val="22"/>
              </w:rPr>
              <w:t>比率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507F9A" w:rsidRDefault="001E2537" w:rsidP="009A044C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507F9A">
              <w:rPr>
                <w:rFonts w:hint="eastAsia"/>
                <w:b/>
                <w:sz w:val="22"/>
                <w:szCs w:val="22"/>
              </w:rPr>
              <w:t>人數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2537" w:rsidRPr="00507F9A" w:rsidRDefault="001E2537" w:rsidP="009A044C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507F9A">
              <w:rPr>
                <w:rFonts w:hint="eastAsia"/>
                <w:b/>
                <w:sz w:val="22"/>
                <w:szCs w:val="22"/>
              </w:rPr>
              <w:t>比率</w:t>
            </w:r>
          </w:p>
        </w:tc>
      </w:tr>
      <w:tr w:rsidR="001E2537" w:rsidRPr="00F117C3" w:rsidTr="003B46D8">
        <w:trPr>
          <w:cantSplit/>
        </w:trPr>
        <w:tc>
          <w:tcPr>
            <w:tcW w:w="12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center"/>
              <w:rPr>
                <w:rFonts w:hAnsi="標楷體" w:cs="新細明體" w:hint="eastAsia"/>
                <w:snapToGrid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kern w:val="0"/>
                <w:szCs w:val="24"/>
              </w:rPr>
              <w:t>101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1,789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97.71%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2.29%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1,831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100%</w:t>
            </w:r>
          </w:p>
        </w:tc>
      </w:tr>
      <w:tr w:rsidR="001E2537" w:rsidRPr="00F117C3" w:rsidTr="003B46D8">
        <w:trPr>
          <w:cantSplit/>
        </w:trPr>
        <w:tc>
          <w:tcPr>
            <w:tcW w:w="12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center"/>
              <w:rPr>
                <w:rFonts w:hAnsi="標楷體" w:cs="新細明體" w:hint="eastAsia"/>
                <w:snapToGrid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kern w:val="0"/>
                <w:szCs w:val="24"/>
              </w:rPr>
              <w:t>102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1,870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97.35%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51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2.65%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1,921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100%</w:t>
            </w:r>
          </w:p>
        </w:tc>
      </w:tr>
      <w:tr w:rsidR="001E2537" w:rsidRPr="00F117C3" w:rsidTr="003B46D8">
        <w:trPr>
          <w:cantSplit/>
        </w:trPr>
        <w:tc>
          <w:tcPr>
            <w:tcW w:w="12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center"/>
              <w:rPr>
                <w:rFonts w:hAnsi="標楷體" w:cs="新細明體" w:hint="eastAsia"/>
                <w:snapToGrid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kern w:val="0"/>
                <w:szCs w:val="24"/>
              </w:rPr>
              <w:t>103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1,907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97.45%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2.55%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1,957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100%</w:t>
            </w:r>
          </w:p>
        </w:tc>
      </w:tr>
      <w:tr w:rsidR="001E2537" w:rsidRPr="00F117C3" w:rsidTr="003B46D8">
        <w:trPr>
          <w:cantSplit/>
        </w:trPr>
        <w:tc>
          <w:tcPr>
            <w:tcW w:w="12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center"/>
              <w:rPr>
                <w:rFonts w:hAnsi="標楷體" w:cs="新細明體" w:hint="eastAsia"/>
                <w:snapToGrid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kern w:val="0"/>
                <w:szCs w:val="24"/>
              </w:rPr>
              <w:t>104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1,954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98.14%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37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1.86%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1,991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100%</w:t>
            </w:r>
          </w:p>
        </w:tc>
      </w:tr>
      <w:tr w:rsidR="001E2537" w:rsidRPr="00F117C3" w:rsidTr="003B46D8">
        <w:trPr>
          <w:cantSplit/>
        </w:trPr>
        <w:tc>
          <w:tcPr>
            <w:tcW w:w="12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center"/>
              <w:rPr>
                <w:rFonts w:hAnsi="標楷體" w:cs="新細明體" w:hint="eastAsia"/>
                <w:snapToGrid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kern w:val="0"/>
                <w:szCs w:val="24"/>
              </w:rPr>
              <w:lastRenderedPageBreak/>
              <w:t>105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1,933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97.97%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40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2.03%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1,973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100%</w:t>
            </w:r>
          </w:p>
        </w:tc>
      </w:tr>
      <w:tr w:rsidR="001E2537" w:rsidRPr="00F117C3" w:rsidTr="003B46D8">
        <w:trPr>
          <w:cantSplit/>
        </w:trPr>
        <w:tc>
          <w:tcPr>
            <w:tcW w:w="12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center"/>
              <w:rPr>
                <w:rFonts w:hAnsi="標楷體" w:cs="新細明體" w:hint="eastAsia"/>
                <w:snapToGrid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kern w:val="0"/>
                <w:szCs w:val="24"/>
              </w:rPr>
              <w:t>106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1,951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97.65%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47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2.35%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1,998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100%</w:t>
            </w:r>
          </w:p>
        </w:tc>
      </w:tr>
      <w:tr w:rsidR="001E2537" w:rsidRPr="00F117C3" w:rsidTr="003B46D8">
        <w:trPr>
          <w:cantSplit/>
        </w:trPr>
        <w:tc>
          <w:tcPr>
            <w:tcW w:w="12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center"/>
              <w:rPr>
                <w:rFonts w:hAnsi="標楷體" w:cs="新細明體" w:hint="eastAsia"/>
                <w:snapToGrid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kern w:val="0"/>
                <w:szCs w:val="24"/>
              </w:rPr>
              <w:t>107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1,962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97.86%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43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2.14%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2,005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100%</w:t>
            </w:r>
          </w:p>
        </w:tc>
      </w:tr>
      <w:tr w:rsidR="001E2537" w:rsidRPr="00F117C3" w:rsidTr="003B46D8">
        <w:trPr>
          <w:cantSplit/>
        </w:trPr>
        <w:tc>
          <w:tcPr>
            <w:tcW w:w="12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center"/>
              <w:rPr>
                <w:rFonts w:hAnsi="標楷體" w:cs="新細明體" w:hint="eastAsia"/>
                <w:snapToGrid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kern w:val="0"/>
                <w:szCs w:val="24"/>
              </w:rPr>
              <w:t>108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1,981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97.73%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46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2.27%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2,027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100%</w:t>
            </w:r>
          </w:p>
        </w:tc>
      </w:tr>
      <w:tr w:rsidR="001E2537" w:rsidRPr="00F117C3" w:rsidTr="003B46D8">
        <w:trPr>
          <w:cantSplit/>
        </w:trPr>
        <w:tc>
          <w:tcPr>
            <w:tcW w:w="12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center"/>
              <w:rPr>
                <w:rFonts w:hAnsi="標楷體" w:cs="新細明體" w:hint="eastAsia"/>
                <w:snapToGrid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kern w:val="0"/>
                <w:szCs w:val="24"/>
              </w:rPr>
              <w:t>109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2,018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98.49%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1.51%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2,049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100%</w:t>
            </w:r>
          </w:p>
        </w:tc>
      </w:tr>
      <w:tr w:rsidR="001E2537" w:rsidRPr="00F117C3" w:rsidTr="003B46D8">
        <w:trPr>
          <w:cantSplit/>
        </w:trPr>
        <w:tc>
          <w:tcPr>
            <w:tcW w:w="12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center"/>
              <w:rPr>
                <w:rFonts w:hAnsi="標楷體" w:cs="新細明體" w:hint="eastAsia"/>
                <w:snapToGrid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kern w:val="0"/>
                <w:szCs w:val="24"/>
              </w:rPr>
              <w:t>110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2,027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98.49%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1.51%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2,058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100%</w:t>
            </w:r>
          </w:p>
        </w:tc>
      </w:tr>
      <w:tr w:rsidR="001E2537" w:rsidRPr="00F117C3" w:rsidTr="003B46D8">
        <w:trPr>
          <w:cantSplit/>
        </w:trPr>
        <w:tc>
          <w:tcPr>
            <w:tcW w:w="12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center"/>
              <w:rPr>
                <w:rFonts w:hAnsi="標楷體" w:cs="新細明體" w:hint="eastAsia"/>
                <w:snapToGrid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kern w:val="0"/>
                <w:szCs w:val="24"/>
              </w:rPr>
              <w:t>111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2,029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98.59%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29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1.41%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2,058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100%</w:t>
            </w:r>
          </w:p>
        </w:tc>
      </w:tr>
      <w:tr w:rsidR="001E2537" w:rsidRPr="00F117C3" w:rsidTr="003B46D8">
        <w:trPr>
          <w:cantSplit/>
        </w:trPr>
        <w:tc>
          <w:tcPr>
            <w:tcW w:w="12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center"/>
              <w:rPr>
                <w:rFonts w:hAnsi="標楷體" w:cs="新細明體" w:hint="eastAsia"/>
                <w:snapToGrid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kern w:val="0"/>
                <w:szCs w:val="24"/>
              </w:rPr>
              <w:t>112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2,024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98.40%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1.60%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2,057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100%</w:t>
            </w:r>
          </w:p>
        </w:tc>
      </w:tr>
      <w:tr w:rsidR="001E2537" w:rsidRPr="00F117C3" w:rsidTr="003B46D8">
        <w:trPr>
          <w:cantSplit/>
        </w:trPr>
        <w:tc>
          <w:tcPr>
            <w:tcW w:w="12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0C5D4D" w:rsidRDefault="001E2537" w:rsidP="009A044C">
            <w:pPr>
              <w:pStyle w:val="142"/>
              <w:jc w:val="center"/>
              <w:rPr>
                <w:rFonts w:hAnsi="標楷體" w:cs="新細明體" w:hint="eastAsia"/>
                <w:snapToGrid/>
                <w:color w:val="000000"/>
                <w:kern w:val="0"/>
                <w:sz w:val="22"/>
                <w:szCs w:val="22"/>
              </w:rPr>
            </w:pPr>
            <w:r w:rsidRPr="000C5D4D">
              <w:rPr>
                <w:rFonts w:hAnsi="標楷體" w:cs="新細明體" w:hint="eastAsia"/>
                <w:snapToGrid/>
                <w:color w:val="000000"/>
                <w:kern w:val="0"/>
                <w:sz w:val="22"/>
                <w:szCs w:val="22"/>
              </w:rPr>
              <w:t>平均比率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center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97.98%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center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2.02%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2537" w:rsidRPr="00F117C3" w:rsidRDefault="001E2537" w:rsidP="009A044C">
            <w:pPr>
              <w:pStyle w:val="142"/>
              <w:jc w:val="center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F117C3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100.00%</w:t>
            </w:r>
          </w:p>
        </w:tc>
      </w:tr>
    </w:tbl>
    <w:p w:rsidR="001E2537" w:rsidRPr="00CE7D4C" w:rsidRDefault="001E2537" w:rsidP="001E2537">
      <w:pPr>
        <w:adjustRightInd w:val="0"/>
        <w:spacing w:line="300" w:lineRule="exact"/>
        <w:ind w:leftChars="0" w:left="1216" w:hangingChars="500" w:hanging="1216"/>
        <w:rPr>
          <w:sz w:val="24"/>
          <w:szCs w:val="24"/>
        </w:rPr>
      </w:pPr>
      <w:r w:rsidRPr="00CE7D4C">
        <w:rPr>
          <w:rFonts w:hint="eastAsia"/>
          <w:sz w:val="24"/>
          <w:szCs w:val="24"/>
        </w:rPr>
        <w:t xml:space="preserve">說 </w:t>
      </w:r>
      <w:r w:rsidRPr="00CE7D4C">
        <w:rPr>
          <w:sz w:val="24"/>
          <w:szCs w:val="24"/>
        </w:rPr>
        <w:t xml:space="preserve">   </w:t>
      </w:r>
      <w:r w:rsidRPr="00CE7D4C">
        <w:rPr>
          <w:rFonts w:hint="eastAsia"/>
          <w:sz w:val="24"/>
          <w:szCs w:val="24"/>
        </w:rPr>
        <w:t>明：</w:t>
      </w:r>
      <w:r w:rsidR="001C0364" w:rsidRPr="0070097E">
        <w:rPr>
          <w:rFonts w:hint="eastAsia"/>
          <w:sz w:val="24"/>
          <w:szCs w:val="24"/>
        </w:rPr>
        <w:t>本表係統計法官法施行</w:t>
      </w:r>
      <w:r w:rsidR="001C0364">
        <w:rPr>
          <w:rFonts w:hint="eastAsia"/>
          <w:sz w:val="24"/>
          <w:szCs w:val="24"/>
        </w:rPr>
        <w:t>後之</w:t>
      </w:r>
      <w:r w:rsidR="001C0364" w:rsidRPr="0070097E">
        <w:rPr>
          <w:rFonts w:hint="eastAsia"/>
          <w:sz w:val="24"/>
          <w:szCs w:val="24"/>
        </w:rPr>
        <w:t>資料。</w:t>
      </w:r>
      <w:r w:rsidRPr="00507F9A">
        <w:rPr>
          <w:rFonts w:hint="eastAsia"/>
          <w:sz w:val="24"/>
          <w:szCs w:val="24"/>
        </w:rPr>
        <w:t>本表均不含娩假人數</w:t>
      </w:r>
      <w:r>
        <w:rPr>
          <w:rFonts w:hint="eastAsia"/>
          <w:sz w:val="24"/>
          <w:szCs w:val="24"/>
        </w:rPr>
        <w:t>。</w:t>
      </w:r>
    </w:p>
    <w:p w:rsidR="001E2537" w:rsidRDefault="001E2537" w:rsidP="001E2537">
      <w:pPr>
        <w:adjustRightInd w:val="0"/>
        <w:spacing w:line="300" w:lineRule="exact"/>
        <w:ind w:leftChars="0" w:left="973" w:hangingChars="400" w:hanging="973"/>
        <w:rPr>
          <w:snapToGrid/>
          <w:sz w:val="24"/>
        </w:rPr>
      </w:pPr>
      <w:r w:rsidRPr="00CE7D4C">
        <w:rPr>
          <w:rFonts w:hint="eastAsia"/>
          <w:sz w:val="24"/>
          <w:szCs w:val="24"/>
        </w:rPr>
        <w:t>資料來源：司法院提供</w:t>
      </w:r>
      <w:r w:rsidRPr="00CE7D4C">
        <w:rPr>
          <w:rFonts w:hint="eastAsia"/>
          <w:snapToGrid/>
          <w:sz w:val="24"/>
        </w:rPr>
        <w:t>。</w:t>
      </w:r>
    </w:p>
    <w:p w:rsidR="00932ECE" w:rsidRPr="004C543E" w:rsidRDefault="00932ECE" w:rsidP="00932ECE">
      <w:pPr>
        <w:pStyle w:val="a4"/>
        <w:rPr>
          <w:b/>
          <w:color w:val="0070C0"/>
        </w:rPr>
      </w:pPr>
      <w:r>
        <w:rPr>
          <w:rFonts w:hint="eastAsia"/>
          <w:b/>
        </w:rPr>
        <w:t>(三</w:t>
      </w:r>
      <w:r>
        <w:rPr>
          <w:b/>
        </w:rPr>
        <w:t>)</w:t>
      </w:r>
      <w:r w:rsidRPr="00EE410A">
        <w:rPr>
          <w:rFonts w:hint="eastAsia"/>
          <w:b/>
        </w:rPr>
        <w:t>112年度</w:t>
      </w:r>
      <w:r>
        <w:rPr>
          <w:rFonts w:hint="eastAsia"/>
          <w:b/>
        </w:rPr>
        <w:t>法官</w:t>
      </w:r>
      <w:r w:rsidRPr="00EE410A">
        <w:rPr>
          <w:rFonts w:hint="eastAsia"/>
          <w:b/>
        </w:rPr>
        <w:t>連續4年</w:t>
      </w:r>
      <w:r>
        <w:rPr>
          <w:rFonts w:hint="eastAsia"/>
          <w:b/>
        </w:rPr>
        <w:t>職務</w:t>
      </w:r>
      <w:r w:rsidRPr="00EE410A">
        <w:rPr>
          <w:rFonts w:hint="eastAsia"/>
          <w:b/>
        </w:rPr>
        <w:t>評定良好</w:t>
      </w:r>
      <w:r w:rsidR="002344A8">
        <w:rPr>
          <w:rFonts w:hint="eastAsia"/>
          <w:b/>
        </w:rPr>
        <w:t>晉二級</w:t>
      </w:r>
      <w:r w:rsidRPr="00EE410A">
        <w:rPr>
          <w:rFonts w:hint="eastAsia"/>
          <w:b/>
        </w:rPr>
        <w:t>之人數及比率</w:t>
      </w:r>
      <w:r w:rsidR="002479CA">
        <w:rPr>
          <w:rFonts w:hint="eastAsia"/>
          <w:b/>
        </w:rPr>
        <w:t>，</w:t>
      </w:r>
      <w:r w:rsidR="0015065A">
        <w:rPr>
          <w:rFonts w:hint="eastAsia"/>
          <w:b/>
        </w:rPr>
        <w:t>概因已無級可晉而</w:t>
      </w:r>
      <w:r w:rsidR="002479CA">
        <w:rPr>
          <w:rFonts w:hint="eastAsia"/>
          <w:b/>
        </w:rPr>
        <w:t>較1</w:t>
      </w:r>
      <w:r w:rsidR="002479CA">
        <w:rPr>
          <w:b/>
        </w:rPr>
        <w:t>04</w:t>
      </w:r>
      <w:r w:rsidR="002479CA">
        <w:rPr>
          <w:rFonts w:hint="eastAsia"/>
          <w:b/>
        </w:rPr>
        <w:t>及1</w:t>
      </w:r>
      <w:r w:rsidR="002479CA">
        <w:rPr>
          <w:b/>
        </w:rPr>
        <w:t>08</w:t>
      </w:r>
      <w:r w:rsidR="002479CA">
        <w:rPr>
          <w:rFonts w:hint="eastAsia"/>
          <w:b/>
        </w:rPr>
        <w:t>年度大幅</w:t>
      </w:r>
      <w:r w:rsidR="002361EB">
        <w:rPr>
          <w:rFonts w:hint="eastAsia"/>
          <w:b/>
        </w:rPr>
        <w:t>減少</w:t>
      </w:r>
      <w:r w:rsidR="00F62870">
        <w:rPr>
          <w:rFonts w:hint="eastAsia"/>
          <w:b/>
        </w:rPr>
        <w:t>，</w:t>
      </w:r>
      <w:r w:rsidR="003114D7">
        <w:rPr>
          <w:rFonts w:hint="eastAsia"/>
          <w:b/>
        </w:rPr>
        <w:t>允宜適時</w:t>
      </w:r>
      <w:r w:rsidR="003114D7" w:rsidRPr="003114D7">
        <w:rPr>
          <w:rFonts w:hint="eastAsia"/>
          <w:b/>
        </w:rPr>
        <w:t>檢討</w:t>
      </w:r>
      <w:r w:rsidR="003114D7">
        <w:rPr>
          <w:rFonts w:hint="eastAsia"/>
          <w:b/>
        </w:rPr>
        <w:t>並研議修正相關</w:t>
      </w:r>
      <w:r w:rsidR="003114D7" w:rsidRPr="003114D7">
        <w:rPr>
          <w:rFonts w:hint="eastAsia"/>
          <w:b/>
        </w:rPr>
        <w:t>考核</w:t>
      </w:r>
      <w:r w:rsidR="003114D7">
        <w:rPr>
          <w:rFonts w:hint="eastAsia"/>
          <w:b/>
        </w:rPr>
        <w:t>制度，俾發揮應有之激勵功能</w:t>
      </w:r>
    </w:p>
    <w:p w:rsidR="00932ECE" w:rsidRPr="00BA022E" w:rsidRDefault="00932ECE" w:rsidP="00932ECE">
      <w:pPr>
        <w:adjustRightInd w:val="0"/>
        <w:ind w:leftChars="300" w:left="850" w:firstLine="566"/>
        <w:rPr>
          <w:rFonts w:hint="eastAsia"/>
        </w:rPr>
      </w:pPr>
      <w:r>
        <w:rPr>
          <w:rFonts w:hint="eastAsia"/>
        </w:rPr>
        <w:t>法官法第74條第2項規定</w:t>
      </w:r>
      <w:r w:rsidR="0015065A">
        <w:rPr>
          <w:rFonts w:hint="eastAsia"/>
        </w:rPr>
        <w:t>：</w:t>
      </w:r>
      <w:r w:rsidR="0015065A">
        <w:rPr>
          <w:rFonts w:ascii="新細明體" w:eastAsia="新細明體" w:hAnsi="新細明體" w:hint="eastAsia"/>
        </w:rPr>
        <w:t>「</w:t>
      </w:r>
      <w:r>
        <w:rPr>
          <w:rFonts w:hint="eastAsia"/>
        </w:rPr>
        <w:t>法官連續4年職務評定為良好，且未受有刑事處罰、懲戒處分者，除給與獎金外</w:t>
      </w:r>
      <w:r w:rsidR="00D03EDE">
        <w:rPr>
          <w:rFonts w:hint="eastAsia"/>
        </w:rPr>
        <w:t>，</w:t>
      </w:r>
      <w:r>
        <w:rPr>
          <w:rFonts w:hint="eastAsia"/>
        </w:rPr>
        <w:t>晉</w:t>
      </w:r>
      <w:r w:rsidR="002344A8">
        <w:rPr>
          <w:rFonts w:hint="eastAsia"/>
        </w:rPr>
        <w:t>二</w:t>
      </w:r>
      <w:r>
        <w:rPr>
          <w:rFonts w:hint="eastAsia"/>
        </w:rPr>
        <w:t>級</w:t>
      </w:r>
      <w:r w:rsidR="0015065A">
        <w:rPr>
          <w:rFonts w:hint="eastAsia"/>
        </w:rPr>
        <w:t>。</w:t>
      </w:r>
      <w:r w:rsidR="0015065A">
        <w:rPr>
          <w:rFonts w:ascii="新細明體" w:eastAsia="新細明體" w:hAnsi="新細明體" w:hint="eastAsia"/>
        </w:rPr>
        <w:t>」</w:t>
      </w:r>
      <w:r w:rsidR="002344A8">
        <w:rPr>
          <w:rFonts w:hint="eastAsia"/>
        </w:rPr>
        <w:t>以</w:t>
      </w:r>
      <w:r w:rsidR="002344A8" w:rsidRPr="002344A8">
        <w:rPr>
          <w:rFonts w:hint="eastAsia"/>
        </w:rPr>
        <w:t>鼓勵表現良好之法官</w:t>
      </w:r>
      <w:r>
        <w:rPr>
          <w:rFonts w:hint="eastAsia"/>
        </w:rPr>
        <w:t>。是以，法官法於101年7月6日施行</w:t>
      </w:r>
      <w:r>
        <w:rPr>
          <w:rFonts w:hint="eastAsia"/>
        </w:rPr>
        <w:lastRenderedPageBreak/>
        <w:t>後，法官如連續4年(如101、102、103及104年</w:t>
      </w:r>
      <w:r w:rsidR="002479CA">
        <w:rPr>
          <w:rFonts w:hint="eastAsia"/>
        </w:rPr>
        <w:t>度</w:t>
      </w:r>
      <w:r>
        <w:rPr>
          <w:rFonts w:hint="eastAsia"/>
        </w:rPr>
        <w:t>)參加年終評定並評定為良好，且未受有刑事處罰、懲戒處分者，自104年度年終評定起，即有</w:t>
      </w:r>
      <w:r w:rsidR="002344A8">
        <w:rPr>
          <w:rFonts w:hint="eastAsia"/>
        </w:rPr>
        <w:t>晉二級</w:t>
      </w:r>
      <w:r>
        <w:rPr>
          <w:rFonts w:hint="eastAsia"/>
        </w:rPr>
        <w:t>之情形。次查法官法施行迄今，104至1</w:t>
      </w:r>
      <w:r>
        <w:t>12</w:t>
      </w:r>
      <w:r>
        <w:rPr>
          <w:rFonts w:hint="eastAsia"/>
        </w:rPr>
        <w:t>年度連續4年年終評定良好晉</w:t>
      </w:r>
      <w:r w:rsidR="002344A8">
        <w:rPr>
          <w:rFonts w:hint="eastAsia"/>
        </w:rPr>
        <w:t>二</w:t>
      </w:r>
      <w:r>
        <w:rPr>
          <w:rFonts w:hint="eastAsia"/>
        </w:rPr>
        <w:t>級之情形，其中104、108及1</w:t>
      </w:r>
      <w:r>
        <w:t>12</w:t>
      </w:r>
      <w:r>
        <w:rPr>
          <w:rFonts w:hint="eastAsia"/>
        </w:rPr>
        <w:t>年度</w:t>
      </w:r>
      <w:r w:rsidRPr="0082504A">
        <w:rPr>
          <w:rFonts w:hint="eastAsia"/>
        </w:rPr>
        <w:t>晉二級</w:t>
      </w:r>
      <w:r>
        <w:rPr>
          <w:rFonts w:hint="eastAsia"/>
        </w:rPr>
        <w:t>之人數及比率，較其餘年度為高，惟11</w:t>
      </w:r>
      <w:r>
        <w:t>2</w:t>
      </w:r>
      <w:r>
        <w:rPr>
          <w:rFonts w:hint="eastAsia"/>
        </w:rPr>
        <w:t>年度</w:t>
      </w:r>
      <w:r w:rsidR="002344A8">
        <w:rPr>
          <w:rFonts w:hint="eastAsia"/>
        </w:rPr>
        <w:t>晉二級</w:t>
      </w:r>
      <w:r>
        <w:rPr>
          <w:rFonts w:hint="eastAsia"/>
        </w:rPr>
        <w:t>之人數為</w:t>
      </w:r>
      <w:r w:rsidRPr="00EF61A0">
        <w:t>555</w:t>
      </w:r>
      <w:r>
        <w:rPr>
          <w:rFonts w:hint="eastAsia"/>
        </w:rPr>
        <w:t>人，占</w:t>
      </w:r>
      <w:r w:rsidRPr="00EF61A0">
        <w:rPr>
          <w:rFonts w:hint="eastAsia"/>
        </w:rPr>
        <w:t>評定總人數</w:t>
      </w:r>
      <w:r>
        <w:rPr>
          <w:rFonts w:hint="eastAsia"/>
        </w:rPr>
        <w:t>之</w:t>
      </w:r>
      <w:r w:rsidRPr="00EF61A0">
        <w:t>26.98</w:t>
      </w:r>
      <w:r w:rsidRPr="000F38B5">
        <w:t>%</w:t>
      </w:r>
      <w:r>
        <w:rPr>
          <w:rFonts w:hint="eastAsia"/>
        </w:rPr>
        <w:t>，較1</w:t>
      </w:r>
      <w:r>
        <w:t>04</w:t>
      </w:r>
      <w:r>
        <w:rPr>
          <w:rFonts w:hint="eastAsia"/>
        </w:rPr>
        <w:t>年度、1</w:t>
      </w:r>
      <w:r>
        <w:t>08</w:t>
      </w:r>
      <w:r>
        <w:rPr>
          <w:rFonts w:hint="eastAsia"/>
        </w:rPr>
        <w:t>年度</w:t>
      </w:r>
      <w:r w:rsidR="002344A8">
        <w:rPr>
          <w:rFonts w:hint="eastAsia"/>
        </w:rPr>
        <w:t>晉二級</w:t>
      </w:r>
      <w:r>
        <w:rPr>
          <w:rFonts w:hint="eastAsia"/>
        </w:rPr>
        <w:t>人數及比率，分別減少5</w:t>
      </w:r>
      <w:r>
        <w:t>81</w:t>
      </w:r>
      <w:r>
        <w:rPr>
          <w:rFonts w:hint="eastAsia"/>
        </w:rPr>
        <w:t>人(或減</w:t>
      </w:r>
      <w:r w:rsidRPr="00313B6B">
        <w:rPr>
          <w:rFonts w:hint="eastAsia"/>
        </w:rPr>
        <w:t>3</w:t>
      </w:r>
      <w:r>
        <w:t>0</w:t>
      </w:r>
      <w:r w:rsidR="003B46D8">
        <w:t>.08</w:t>
      </w:r>
      <w:r w:rsidRPr="00313B6B">
        <w:rPr>
          <w:rFonts w:hint="eastAsia"/>
        </w:rPr>
        <w:t>個百分點</w:t>
      </w:r>
      <w:r>
        <w:t>)</w:t>
      </w:r>
      <w:r>
        <w:rPr>
          <w:rFonts w:hint="eastAsia"/>
        </w:rPr>
        <w:t>及3</w:t>
      </w:r>
      <w:r>
        <w:t>06</w:t>
      </w:r>
      <w:r>
        <w:rPr>
          <w:rFonts w:hint="eastAsia"/>
        </w:rPr>
        <w:t>人(或減</w:t>
      </w:r>
      <w:r>
        <w:t>15.50</w:t>
      </w:r>
      <w:r w:rsidRPr="00313B6B">
        <w:rPr>
          <w:rFonts w:hint="eastAsia"/>
        </w:rPr>
        <w:t>個百分點</w:t>
      </w:r>
      <w:r>
        <w:t>)(</w:t>
      </w:r>
      <w:r>
        <w:rPr>
          <w:rFonts w:hint="eastAsia"/>
        </w:rPr>
        <w:t>詳表</w:t>
      </w:r>
      <w:r w:rsidR="00ED49C3">
        <w:rPr>
          <w:rFonts w:hint="eastAsia"/>
        </w:rPr>
        <w:t>3</w:t>
      </w:r>
      <w:r>
        <w:t>)</w:t>
      </w:r>
      <w:r>
        <w:rPr>
          <w:rFonts w:hint="eastAsia"/>
        </w:rPr>
        <w:t>，概呈下降趨勢；詢據司法院表示，</w:t>
      </w:r>
      <w:r w:rsidRPr="00BA022E">
        <w:rPr>
          <w:rFonts w:hint="eastAsia"/>
        </w:rPr>
        <w:t>主要係每年法官職務評定良好比率雖逾9成7，然因多數法官已晉</w:t>
      </w:r>
      <w:r w:rsidR="001C0364">
        <w:rPr>
          <w:rFonts w:hint="eastAsia"/>
        </w:rPr>
        <w:t>敘</w:t>
      </w:r>
      <w:r w:rsidRPr="00BA022E">
        <w:rPr>
          <w:rFonts w:hint="eastAsia"/>
        </w:rPr>
        <w:t>至法官俸表最高俸級</w:t>
      </w:r>
      <w:r w:rsidR="001C0364">
        <w:rPr>
          <w:rFonts w:hint="eastAsia"/>
        </w:rPr>
        <w:t>(</w:t>
      </w:r>
      <w:r w:rsidRPr="00163EC1">
        <w:rPr>
          <w:rFonts w:hint="eastAsia"/>
        </w:rPr>
        <w:t>本俸一級800俸點</w:t>
      </w:r>
      <w:r w:rsidR="001C0364">
        <w:rPr>
          <w:rFonts w:hint="eastAsia"/>
        </w:rPr>
        <w:t>)</w:t>
      </w:r>
      <w:r w:rsidRPr="00BA022E">
        <w:rPr>
          <w:rFonts w:hint="eastAsia"/>
        </w:rPr>
        <w:t>，日後</w:t>
      </w:r>
      <w:r w:rsidR="002344A8">
        <w:rPr>
          <w:rFonts w:hint="eastAsia"/>
        </w:rPr>
        <w:t>已</w:t>
      </w:r>
      <w:r w:rsidRPr="00BA022E">
        <w:rPr>
          <w:rFonts w:hint="eastAsia"/>
        </w:rPr>
        <w:t>無級可晉，自無從產生獎勵表現良好法官之</w:t>
      </w:r>
      <w:r w:rsidRPr="00BA022E">
        <w:rPr>
          <w:rFonts w:hint="eastAsia"/>
        </w:rPr>
        <w:lastRenderedPageBreak/>
        <w:t>效果，</w:t>
      </w:r>
      <w:r w:rsidR="0015065A">
        <w:rPr>
          <w:rFonts w:hint="eastAsia"/>
        </w:rPr>
        <w:t>爰恐</w:t>
      </w:r>
      <w:r>
        <w:rPr>
          <w:rFonts w:hint="eastAsia"/>
        </w:rPr>
        <w:t>無法有效發揮</w:t>
      </w:r>
      <w:r w:rsidRPr="00BA022E">
        <w:rPr>
          <w:rFonts w:hint="eastAsia"/>
        </w:rPr>
        <w:t>職務評定之激勵功能</w:t>
      </w:r>
      <w:r>
        <w:rPr>
          <w:rStyle w:val="af3"/>
        </w:rPr>
        <w:footnoteReference w:id="4"/>
      </w:r>
      <w:r w:rsidRPr="00BA022E">
        <w:rPr>
          <w:rFonts w:hint="eastAsia"/>
        </w:rPr>
        <w:t>。</w:t>
      </w:r>
    </w:p>
    <w:p w:rsidR="001E2537" w:rsidRPr="00CE7D4C" w:rsidRDefault="001E2537" w:rsidP="001E2537">
      <w:pPr>
        <w:adjustRightInd w:val="0"/>
        <w:spacing w:line="400" w:lineRule="exact"/>
        <w:ind w:leftChars="0" w:left="709" w:hangingChars="250" w:hanging="709"/>
        <w:rPr>
          <w:rFonts w:hAnsi="標楷體" w:cs="新細明體"/>
          <w:snapToGrid/>
          <w:kern w:val="0"/>
          <w:sz w:val="24"/>
          <w:szCs w:val="24"/>
        </w:rPr>
      </w:pPr>
      <w:r w:rsidRPr="00CE7D4C">
        <w:rPr>
          <w:rFonts w:ascii="Times New Roman" w:hint="eastAsia"/>
          <w:b/>
          <w:smallCaps/>
          <w:snapToGrid/>
        </w:rPr>
        <w:t>表</w:t>
      </w:r>
      <w:r>
        <w:rPr>
          <w:rFonts w:hAnsi="標楷體"/>
          <w:b/>
          <w:smallCaps/>
          <w:snapToGrid/>
        </w:rPr>
        <w:t>3</w:t>
      </w:r>
      <w:r w:rsidRPr="00CE7D4C">
        <w:rPr>
          <w:rFonts w:hAnsi="標楷體"/>
          <w:b/>
          <w:smallCaps/>
          <w:snapToGrid/>
        </w:rPr>
        <w:t xml:space="preserve">  </w:t>
      </w:r>
      <w:r w:rsidRPr="00CE7D4C">
        <w:rPr>
          <w:rFonts w:hAnsi="標楷體" w:hint="eastAsia"/>
          <w:b/>
          <w:smallCaps/>
          <w:snapToGrid/>
        </w:rPr>
        <w:t>司法</w:t>
      </w:r>
      <w:r w:rsidRPr="00CE7D4C">
        <w:rPr>
          <w:rFonts w:ascii="Times New Roman" w:hint="eastAsia"/>
          <w:b/>
          <w:smallCaps/>
          <w:snapToGrid/>
        </w:rPr>
        <w:t>院</w:t>
      </w:r>
      <w:r>
        <w:rPr>
          <w:rFonts w:ascii="Times New Roman" w:hint="eastAsia"/>
          <w:b/>
          <w:smallCaps/>
          <w:snapToGrid/>
        </w:rPr>
        <w:t>主管</w:t>
      </w:r>
      <w:r w:rsidRPr="00E1280A">
        <w:rPr>
          <w:rFonts w:hAnsi="標楷體" w:hint="eastAsia"/>
          <w:b/>
          <w:smallCaps/>
          <w:snapToGrid/>
        </w:rPr>
        <w:t>104至112年度法官連續4年職務評定良好</w:t>
      </w:r>
      <w:r>
        <w:rPr>
          <w:rFonts w:hAnsi="標楷體" w:hint="eastAsia"/>
          <w:b/>
          <w:smallCaps/>
          <w:snapToGrid/>
        </w:rPr>
        <w:t>晉二級</w:t>
      </w:r>
      <w:r w:rsidRPr="00E1280A">
        <w:rPr>
          <w:rFonts w:hAnsi="標楷體" w:hint="eastAsia"/>
          <w:b/>
          <w:smallCaps/>
          <w:snapToGrid/>
        </w:rPr>
        <w:t>情形一覽表</w:t>
      </w:r>
      <w:r>
        <w:rPr>
          <w:rFonts w:hAnsi="標楷體" w:hint="eastAsia"/>
          <w:b/>
          <w:smallCaps/>
          <w:snapToGrid/>
        </w:rPr>
        <w:t xml:space="preserve"> </w:t>
      </w:r>
      <w:r>
        <w:rPr>
          <w:rFonts w:hAnsi="標楷體"/>
          <w:b/>
          <w:smallCaps/>
          <w:snapToGrid/>
        </w:rPr>
        <w:t xml:space="preserve">                                          </w:t>
      </w:r>
      <w:r w:rsidR="00E324D2">
        <w:rPr>
          <w:rFonts w:hAnsi="標楷體"/>
          <w:b/>
          <w:smallCaps/>
          <w:snapToGrid/>
        </w:rPr>
        <w:t xml:space="preserve">  </w:t>
      </w:r>
      <w:r w:rsidRPr="00CE7D4C">
        <w:rPr>
          <w:rFonts w:hAnsi="標楷體" w:cs="新細明體" w:hint="eastAsia"/>
          <w:snapToGrid/>
          <w:kern w:val="0"/>
          <w:sz w:val="24"/>
          <w:szCs w:val="24"/>
        </w:rPr>
        <w:t>單位：人</w:t>
      </w:r>
      <w:r>
        <w:rPr>
          <w:rFonts w:hAnsi="標楷體" w:cs="新細明體" w:hint="eastAsia"/>
          <w:snapToGrid/>
          <w:kern w:val="0"/>
          <w:sz w:val="24"/>
          <w:szCs w:val="24"/>
        </w:rPr>
        <w:t>；%</w:t>
      </w:r>
    </w:p>
    <w:tbl>
      <w:tblPr>
        <w:tblW w:w="0" w:type="auto"/>
        <w:tblInd w:w="3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6"/>
        <w:gridCol w:w="2268"/>
        <w:gridCol w:w="2268"/>
        <w:gridCol w:w="2268"/>
      </w:tblGrid>
      <w:tr w:rsidR="001E2537" w:rsidRPr="00BD7624" w:rsidTr="009A044C">
        <w:tc>
          <w:tcPr>
            <w:tcW w:w="169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4" w:space="0" w:color="auto"/>
            </w:tcBorders>
            <w:shd w:val="clear" w:color="auto" w:fill="auto"/>
            <w:hideMark/>
          </w:tcPr>
          <w:p w:rsidR="001E2537" w:rsidRPr="00BD7624" w:rsidRDefault="001E2537" w:rsidP="009A044C">
            <w:pPr>
              <w:pStyle w:val="142"/>
              <w:spacing w:line="240" w:lineRule="exact"/>
              <w:jc w:val="right"/>
              <w:rPr>
                <w:b/>
                <w:snapToGrid/>
                <w:sz w:val="22"/>
                <w:szCs w:val="22"/>
              </w:rPr>
            </w:pPr>
            <w:r w:rsidRPr="00BD7624">
              <w:rPr>
                <w:rFonts w:hint="eastAsia"/>
                <w:b/>
                <w:snapToGrid/>
                <w:sz w:val="22"/>
                <w:szCs w:val="22"/>
              </w:rPr>
              <w:t>項目</w:t>
            </w:r>
          </w:p>
          <w:p w:rsidR="001E2537" w:rsidRPr="00BD7624" w:rsidRDefault="001E2537" w:rsidP="009A044C">
            <w:pPr>
              <w:pStyle w:val="142"/>
              <w:spacing w:line="240" w:lineRule="exact"/>
              <w:rPr>
                <w:b/>
                <w:snapToGrid/>
                <w:sz w:val="22"/>
                <w:szCs w:val="22"/>
              </w:rPr>
            </w:pPr>
          </w:p>
          <w:p w:rsidR="001E2537" w:rsidRPr="00BD7624" w:rsidRDefault="001E2537" w:rsidP="009A044C">
            <w:pPr>
              <w:pStyle w:val="142"/>
              <w:spacing w:line="240" w:lineRule="exact"/>
              <w:rPr>
                <w:b/>
                <w:snapToGrid/>
              </w:rPr>
            </w:pPr>
            <w:r w:rsidRPr="00BD7624">
              <w:rPr>
                <w:rFonts w:hint="eastAsia"/>
                <w:b/>
                <w:snapToGrid/>
                <w:sz w:val="22"/>
                <w:szCs w:val="22"/>
              </w:rPr>
              <w:t>年度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BD7624" w:rsidRDefault="001E2537" w:rsidP="009A044C">
            <w:pPr>
              <w:pStyle w:val="142"/>
              <w:spacing w:line="240" w:lineRule="exact"/>
              <w:jc w:val="center"/>
              <w:rPr>
                <w:b/>
                <w:snapToGrid/>
              </w:rPr>
            </w:pPr>
            <w:r w:rsidRPr="00BD7624">
              <w:rPr>
                <w:rFonts w:hint="eastAsia"/>
                <w:b/>
                <w:snapToGrid/>
              </w:rPr>
              <w:t xml:space="preserve">評 </w:t>
            </w:r>
            <w:r w:rsidRPr="00BD7624">
              <w:rPr>
                <w:b/>
                <w:snapToGrid/>
              </w:rPr>
              <w:t xml:space="preserve"> </w:t>
            </w:r>
            <w:r w:rsidRPr="00BD7624">
              <w:rPr>
                <w:rFonts w:hint="eastAsia"/>
                <w:b/>
                <w:snapToGrid/>
              </w:rPr>
              <w:t>定</w:t>
            </w:r>
          </w:p>
          <w:p w:rsidR="001E2537" w:rsidRPr="00BD7624" w:rsidRDefault="001E2537" w:rsidP="009A044C">
            <w:pPr>
              <w:pStyle w:val="142"/>
              <w:spacing w:line="240" w:lineRule="exact"/>
              <w:jc w:val="center"/>
              <w:rPr>
                <w:b/>
                <w:snapToGrid/>
              </w:rPr>
            </w:pPr>
            <w:r w:rsidRPr="00BD7624">
              <w:rPr>
                <w:rFonts w:hint="eastAsia"/>
                <w:b/>
                <w:snapToGrid/>
              </w:rPr>
              <w:t>總人數</w:t>
            </w:r>
          </w:p>
          <w:p w:rsidR="001E2537" w:rsidRPr="001C0364" w:rsidRDefault="001E2537" w:rsidP="009A044C">
            <w:pPr>
              <w:pStyle w:val="142"/>
              <w:spacing w:line="240" w:lineRule="exact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1C0364">
              <w:rPr>
                <w:rFonts w:hint="eastAsia"/>
                <w:b/>
                <w:snapToGrid/>
                <w:sz w:val="22"/>
                <w:szCs w:val="22"/>
              </w:rPr>
              <w:t>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BD7624" w:rsidRDefault="001E2537" w:rsidP="009A044C">
            <w:pPr>
              <w:pStyle w:val="142"/>
              <w:spacing w:line="240" w:lineRule="exact"/>
              <w:jc w:val="center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晉二級</w:t>
            </w:r>
          </w:p>
          <w:p w:rsidR="001E2537" w:rsidRPr="00BD7624" w:rsidRDefault="001E2537" w:rsidP="009A044C">
            <w:pPr>
              <w:pStyle w:val="142"/>
              <w:spacing w:line="240" w:lineRule="exact"/>
              <w:jc w:val="center"/>
              <w:rPr>
                <w:b/>
                <w:snapToGrid/>
              </w:rPr>
            </w:pPr>
            <w:r w:rsidRPr="00BD7624">
              <w:rPr>
                <w:rFonts w:hint="eastAsia"/>
                <w:b/>
                <w:snapToGrid/>
              </w:rPr>
              <w:t xml:space="preserve">人 </w:t>
            </w:r>
            <w:r w:rsidRPr="00BD7624">
              <w:rPr>
                <w:b/>
                <w:snapToGrid/>
              </w:rPr>
              <w:t xml:space="preserve"> </w:t>
            </w:r>
            <w:r w:rsidRPr="00BD7624">
              <w:rPr>
                <w:rFonts w:hint="eastAsia"/>
                <w:b/>
                <w:snapToGrid/>
              </w:rPr>
              <w:t>數</w:t>
            </w:r>
          </w:p>
          <w:p w:rsidR="001E2537" w:rsidRPr="001C0364" w:rsidRDefault="001E2537" w:rsidP="009A044C">
            <w:pPr>
              <w:pStyle w:val="142"/>
              <w:spacing w:line="240" w:lineRule="exact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1C0364">
              <w:rPr>
                <w:rFonts w:hint="eastAsia"/>
                <w:b/>
                <w:snapToGrid/>
                <w:sz w:val="22"/>
                <w:szCs w:val="22"/>
              </w:rPr>
              <w:t>B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2537" w:rsidRPr="00BD7624" w:rsidRDefault="001E2537" w:rsidP="009A044C">
            <w:pPr>
              <w:pStyle w:val="142"/>
              <w:spacing w:line="240" w:lineRule="exact"/>
              <w:jc w:val="center"/>
              <w:rPr>
                <w:b/>
                <w:snapToGrid/>
              </w:rPr>
            </w:pPr>
            <w:r w:rsidRPr="00BD7624">
              <w:rPr>
                <w:rFonts w:hint="eastAsia"/>
                <w:b/>
                <w:snapToGrid/>
              </w:rPr>
              <w:t>比率</w:t>
            </w:r>
          </w:p>
          <w:p w:rsidR="001E2537" w:rsidRPr="00BD7624" w:rsidRDefault="001E2537" w:rsidP="009A044C">
            <w:pPr>
              <w:pStyle w:val="142"/>
              <w:spacing w:line="240" w:lineRule="exact"/>
              <w:jc w:val="center"/>
              <w:rPr>
                <w:b/>
                <w:snapToGrid/>
              </w:rPr>
            </w:pPr>
            <w:r>
              <w:rPr>
                <w:b/>
                <w:snapToGrid/>
              </w:rPr>
              <w:t>(</w:t>
            </w:r>
            <w:r w:rsidRPr="00BD7624">
              <w:rPr>
                <w:rFonts w:hint="eastAsia"/>
                <w:b/>
                <w:snapToGrid/>
              </w:rPr>
              <w:t>%</w:t>
            </w:r>
            <w:r>
              <w:rPr>
                <w:rFonts w:hint="eastAsia"/>
                <w:b/>
                <w:snapToGrid/>
              </w:rPr>
              <w:t>)</w:t>
            </w:r>
          </w:p>
          <w:p w:rsidR="001E2537" w:rsidRPr="001C0364" w:rsidRDefault="001E2537" w:rsidP="009A044C">
            <w:pPr>
              <w:pStyle w:val="142"/>
              <w:spacing w:line="240" w:lineRule="exact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1C0364">
              <w:rPr>
                <w:rFonts w:hint="eastAsia"/>
                <w:b/>
                <w:snapToGrid/>
                <w:sz w:val="22"/>
                <w:szCs w:val="22"/>
              </w:rPr>
              <w:t>C</w:t>
            </w:r>
            <w:r w:rsidRPr="001C0364">
              <w:rPr>
                <w:b/>
                <w:snapToGrid/>
                <w:sz w:val="22"/>
                <w:szCs w:val="22"/>
              </w:rPr>
              <w:t>=B/A</w:t>
            </w:r>
          </w:p>
        </w:tc>
      </w:tr>
      <w:tr w:rsidR="001E2537" w:rsidRPr="00D312F7" w:rsidTr="009A044C">
        <w:tc>
          <w:tcPr>
            <w:tcW w:w="16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E2537" w:rsidRPr="00B84581" w:rsidRDefault="001E2537" w:rsidP="009A044C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B84581">
              <w:rPr>
                <w:rFonts w:hint="eastAsia"/>
                <w:b/>
                <w:snapToGrid/>
              </w:rPr>
              <w:t>104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B84581" w:rsidRDefault="001E2537" w:rsidP="009A044C">
            <w:pPr>
              <w:pStyle w:val="142"/>
              <w:ind w:left="560" w:firstLine="561"/>
              <w:jc w:val="right"/>
              <w:rPr>
                <w:rFonts w:hint="eastAsia"/>
                <w:b/>
                <w:snapToGrid/>
              </w:rPr>
            </w:pPr>
            <w:r w:rsidRPr="00B84581">
              <w:rPr>
                <w:rFonts w:hint="eastAsia"/>
                <w:b/>
                <w:snapToGrid/>
              </w:rPr>
              <w:t>1,991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B84581" w:rsidRDefault="001E2537" w:rsidP="009A044C">
            <w:pPr>
              <w:pStyle w:val="142"/>
              <w:ind w:left="560" w:firstLine="561"/>
              <w:jc w:val="right"/>
              <w:rPr>
                <w:rFonts w:hint="eastAsia"/>
                <w:b/>
                <w:snapToGrid/>
              </w:rPr>
            </w:pPr>
            <w:r w:rsidRPr="00B84581">
              <w:rPr>
                <w:rFonts w:hint="eastAsia"/>
                <w:b/>
                <w:snapToGrid/>
              </w:rPr>
              <w:t>1,136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2537" w:rsidRPr="00B84581" w:rsidRDefault="001E2537" w:rsidP="009A044C">
            <w:pPr>
              <w:pStyle w:val="142"/>
              <w:ind w:left="560" w:firstLine="561"/>
              <w:jc w:val="right"/>
              <w:rPr>
                <w:rFonts w:hint="eastAsia"/>
                <w:b/>
                <w:snapToGrid/>
              </w:rPr>
            </w:pPr>
            <w:r w:rsidRPr="00B84581">
              <w:rPr>
                <w:rFonts w:hint="eastAsia"/>
                <w:b/>
                <w:snapToGrid/>
              </w:rPr>
              <w:t>57.06%</w:t>
            </w:r>
          </w:p>
        </w:tc>
      </w:tr>
      <w:tr w:rsidR="001E2537" w:rsidRPr="00D312F7" w:rsidTr="009A044C">
        <w:tc>
          <w:tcPr>
            <w:tcW w:w="16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E2537" w:rsidRPr="00D312F7" w:rsidRDefault="001E2537" w:rsidP="009A044C">
            <w:pPr>
              <w:pStyle w:val="142"/>
              <w:jc w:val="center"/>
              <w:rPr>
                <w:rFonts w:hint="eastAsia"/>
                <w:snapToGrid/>
              </w:rPr>
            </w:pPr>
            <w:r w:rsidRPr="00D312F7">
              <w:rPr>
                <w:rFonts w:hint="eastAsia"/>
                <w:snapToGrid/>
              </w:rPr>
              <w:t>105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D312F7" w:rsidRDefault="001E2537" w:rsidP="009A044C">
            <w:pPr>
              <w:pStyle w:val="142"/>
              <w:ind w:left="560" w:firstLine="560"/>
              <w:jc w:val="right"/>
              <w:rPr>
                <w:rFonts w:hint="eastAsia"/>
                <w:snapToGrid/>
              </w:rPr>
            </w:pPr>
            <w:r w:rsidRPr="00D312F7">
              <w:rPr>
                <w:rFonts w:hint="eastAsia"/>
                <w:snapToGrid/>
              </w:rPr>
              <w:t>1,973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D312F7" w:rsidRDefault="001E2537" w:rsidP="009A044C">
            <w:pPr>
              <w:pStyle w:val="142"/>
              <w:ind w:left="560" w:firstLine="560"/>
              <w:jc w:val="right"/>
              <w:rPr>
                <w:rFonts w:hint="eastAsia"/>
                <w:snapToGrid/>
              </w:rPr>
            </w:pPr>
            <w:r w:rsidRPr="00D312F7">
              <w:rPr>
                <w:rFonts w:hint="eastAsia"/>
                <w:snapToGrid/>
              </w:rPr>
              <w:t>134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2537" w:rsidRPr="00D312F7" w:rsidRDefault="001E2537" w:rsidP="009A044C">
            <w:pPr>
              <w:pStyle w:val="142"/>
              <w:ind w:left="560" w:firstLine="560"/>
              <w:jc w:val="right"/>
              <w:rPr>
                <w:rFonts w:hint="eastAsia"/>
                <w:snapToGrid/>
              </w:rPr>
            </w:pPr>
            <w:r w:rsidRPr="00D312F7">
              <w:rPr>
                <w:rFonts w:hint="eastAsia"/>
                <w:snapToGrid/>
              </w:rPr>
              <w:t>6.79%</w:t>
            </w:r>
          </w:p>
        </w:tc>
      </w:tr>
      <w:tr w:rsidR="001E2537" w:rsidRPr="00D312F7" w:rsidTr="009A044C">
        <w:tc>
          <w:tcPr>
            <w:tcW w:w="16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E2537" w:rsidRPr="00D312F7" w:rsidRDefault="001E2537" w:rsidP="009A044C">
            <w:pPr>
              <w:pStyle w:val="142"/>
              <w:jc w:val="center"/>
              <w:rPr>
                <w:rFonts w:hint="eastAsia"/>
                <w:snapToGrid/>
              </w:rPr>
            </w:pPr>
            <w:r w:rsidRPr="00D312F7">
              <w:rPr>
                <w:rFonts w:hint="eastAsia"/>
                <w:snapToGrid/>
              </w:rPr>
              <w:t>106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D312F7" w:rsidRDefault="001E2537" w:rsidP="009A044C">
            <w:pPr>
              <w:pStyle w:val="142"/>
              <w:jc w:val="right"/>
              <w:rPr>
                <w:rFonts w:hint="eastAsia"/>
                <w:snapToGrid/>
              </w:rPr>
            </w:pPr>
            <w:r w:rsidRPr="00D312F7">
              <w:rPr>
                <w:rFonts w:hint="eastAsia"/>
                <w:snapToGrid/>
              </w:rPr>
              <w:t>1,998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D312F7" w:rsidRDefault="001E2537" w:rsidP="009A044C">
            <w:pPr>
              <w:pStyle w:val="142"/>
              <w:jc w:val="right"/>
              <w:rPr>
                <w:rFonts w:hint="eastAsia"/>
                <w:snapToGrid/>
              </w:rPr>
            </w:pPr>
            <w:r w:rsidRPr="00D312F7">
              <w:rPr>
                <w:rFonts w:hint="eastAsia"/>
                <w:snapToGrid/>
              </w:rPr>
              <w:t>92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2537" w:rsidRPr="00D312F7" w:rsidRDefault="001E2537" w:rsidP="009A044C">
            <w:pPr>
              <w:pStyle w:val="142"/>
              <w:jc w:val="right"/>
              <w:rPr>
                <w:rFonts w:hint="eastAsia"/>
                <w:snapToGrid/>
              </w:rPr>
            </w:pPr>
            <w:r w:rsidRPr="00D312F7">
              <w:rPr>
                <w:rFonts w:hint="eastAsia"/>
                <w:snapToGrid/>
              </w:rPr>
              <w:t>4.60%</w:t>
            </w:r>
          </w:p>
        </w:tc>
      </w:tr>
      <w:tr w:rsidR="001E2537" w:rsidRPr="00D312F7" w:rsidTr="009A044C">
        <w:tc>
          <w:tcPr>
            <w:tcW w:w="16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E2537" w:rsidRPr="00D312F7" w:rsidRDefault="001E2537" w:rsidP="009A044C">
            <w:pPr>
              <w:pStyle w:val="142"/>
              <w:jc w:val="center"/>
              <w:rPr>
                <w:rFonts w:hint="eastAsia"/>
                <w:snapToGrid/>
              </w:rPr>
            </w:pPr>
            <w:r w:rsidRPr="00D312F7">
              <w:rPr>
                <w:rFonts w:hint="eastAsia"/>
                <w:snapToGrid/>
              </w:rPr>
              <w:t>107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D312F7" w:rsidRDefault="001E2537" w:rsidP="009A044C">
            <w:pPr>
              <w:pStyle w:val="142"/>
              <w:jc w:val="right"/>
              <w:rPr>
                <w:rFonts w:hint="eastAsia"/>
                <w:snapToGrid/>
              </w:rPr>
            </w:pPr>
            <w:r w:rsidRPr="00D312F7">
              <w:rPr>
                <w:rFonts w:hint="eastAsia"/>
                <w:snapToGrid/>
              </w:rPr>
              <w:t>2,005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D312F7" w:rsidRDefault="001E2537" w:rsidP="009A044C">
            <w:pPr>
              <w:pStyle w:val="142"/>
              <w:jc w:val="right"/>
              <w:rPr>
                <w:rFonts w:hint="eastAsia"/>
                <w:snapToGrid/>
              </w:rPr>
            </w:pPr>
            <w:r w:rsidRPr="00D312F7">
              <w:rPr>
                <w:rFonts w:hint="eastAsia"/>
                <w:snapToGrid/>
              </w:rPr>
              <w:t>85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2537" w:rsidRPr="00D312F7" w:rsidRDefault="001E2537" w:rsidP="009A044C">
            <w:pPr>
              <w:pStyle w:val="142"/>
              <w:jc w:val="right"/>
              <w:rPr>
                <w:rFonts w:hint="eastAsia"/>
                <w:snapToGrid/>
              </w:rPr>
            </w:pPr>
            <w:r w:rsidRPr="00D312F7">
              <w:rPr>
                <w:rFonts w:hint="eastAsia"/>
                <w:snapToGrid/>
              </w:rPr>
              <w:t>4.24%</w:t>
            </w:r>
          </w:p>
        </w:tc>
      </w:tr>
      <w:tr w:rsidR="001E2537" w:rsidRPr="00D312F7" w:rsidTr="009A044C">
        <w:tc>
          <w:tcPr>
            <w:tcW w:w="16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E2537" w:rsidRPr="00B84581" w:rsidRDefault="001E2537" w:rsidP="009A044C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B84581">
              <w:rPr>
                <w:rFonts w:hint="eastAsia"/>
                <w:b/>
                <w:snapToGrid/>
              </w:rPr>
              <w:t>108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B84581" w:rsidRDefault="001E2537" w:rsidP="009A044C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B84581">
              <w:rPr>
                <w:rFonts w:hint="eastAsia"/>
                <w:b/>
                <w:snapToGrid/>
              </w:rPr>
              <w:t>2,027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B84581" w:rsidRDefault="001E2537" w:rsidP="009A044C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B84581">
              <w:rPr>
                <w:rFonts w:hint="eastAsia"/>
                <w:b/>
                <w:snapToGrid/>
              </w:rPr>
              <w:t>861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2537" w:rsidRPr="00B84581" w:rsidRDefault="001E2537" w:rsidP="009A044C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B84581">
              <w:rPr>
                <w:rFonts w:hint="eastAsia"/>
                <w:b/>
                <w:snapToGrid/>
              </w:rPr>
              <w:t>42.48%</w:t>
            </w:r>
          </w:p>
        </w:tc>
      </w:tr>
      <w:tr w:rsidR="001E2537" w:rsidRPr="00D312F7" w:rsidTr="009A044C">
        <w:tc>
          <w:tcPr>
            <w:tcW w:w="16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E2537" w:rsidRPr="00D312F7" w:rsidRDefault="001E2537" w:rsidP="009A044C">
            <w:pPr>
              <w:pStyle w:val="142"/>
              <w:jc w:val="center"/>
              <w:rPr>
                <w:rFonts w:hint="eastAsia"/>
                <w:snapToGrid/>
              </w:rPr>
            </w:pPr>
            <w:r w:rsidRPr="00D312F7">
              <w:rPr>
                <w:rFonts w:hint="eastAsia"/>
                <w:snapToGrid/>
              </w:rPr>
              <w:t>109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D312F7" w:rsidRDefault="001E2537" w:rsidP="009A044C">
            <w:pPr>
              <w:pStyle w:val="142"/>
              <w:jc w:val="right"/>
              <w:rPr>
                <w:rFonts w:hint="eastAsia"/>
                <w:snapToGrid/>
              </w:rPr>
            </w:pPr>
            <w:r w:rsidRPr="00D312F7">
              <w:rPr>
                <w:rFonts w:hint="eastAsia"/>
                <w:snapToGrid/>
              </w:rPr>
              <w:t>2,049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D312F7" w:rsidRDefault="001E2537" w:rsidP="009A044C">
            <w:pPr>
              <w:pStyle w:val="142"/>
              <w:jc w:val="right"/>
              <w:rPr>
                <w:rFonts w:hint="eastAsia"/>
                <w:snapToGrid/>
              </w:rPr>
            </w:pPr>
            <w:r w:rsidRPr="00D312F7">
              <w:rPr>
                <w:rFonts w:hint="eastAsia"/>
                <w:snapToGrid/>
              </w:rPr>
              <w:t>187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2537" w:rsidRPr="00D312F7" w:rsidRDefault="001E2537" w:rsidP="009A044C">
            <w:pPr>
              <w:pStyle w:val="142"/>
              <w:jc w:val="right"/>
              <w:rPr>
                <w:rFonts w:hint="eastAsia"/>
                <w:snapToGrid/>
              </w:rPr>
            </w:pPr>
            <w:r w:rsidRPr="00D312F7">
              <w:rPr>
                <w:rFonts w:hint="eastAsia"/>
                <w:snapToGrid/>
              </w:rPr>
              <w:t>9.13%</w:t>
            </w:r>
          </w:p>
        </w:tc>
      </w:tr>
      <w:tr w:rsidR="001E2537" w:rsidRPr="00D312F7" w:rsidTr="009A044C">
        <w:tc>
          <w:tcPr>
            <w:tcW w:w="16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E2537" w:rsidRPr="00D312F7" w:rsidRDefault="001E2537" w:rsidP="009A044C">
            <w:pPr>
              <w:pStyle w:val="142"/>
              <w:jc w:val="center"/>
              <w:rPr>
                <w:rFonts w:hint="eastAsia"/>
                <w:snapToGrid/>
              </w:rPr>
            </w:pPr>
            <w:r w:rsidRPr="00D312F7">
              <w:rPr>
                <w:rFonts w:hint="eastAsia"/>
                <w:snapToGrid/>
              </w:rPr>
              <w:t>110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D312F7" w:rsidRDefault="001E2537" w:rsidP="009A044C">
            <w:pPr>
              <w:pStyle w:val="142"/>
              <w:jc w:val="right"/>
              <w:rPr>
                <w:rFonts w:hint="eastAsia"/>
                <w:snapToGrid/>
              </w:rPr>
            </w:pPr>
            <w:r w:rsidRPr="00D312F7">
              <w:rPr>
                <w:rFonts w:hint="eastAsia"/>
                <w:snapToGrid/>
              </w:rPr>
              <w:t>2,058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D312F7" w:rsidRDefault="001E2537" w:rsidP="009A044C">
            <w:pPr>
              <w:pStyle w:val="142"/>
              <w:jc w:val="right"/>
              <w:rPr>
                <w:rFonts w:hint="eastAsia"/>
                <w:snapToGrid/>
              </w:rPr>
            </w:pPr>
            <w:r w:rsidRPr="00D312F7">
              <w:rPr>
                <w:rFonts w:hint="eastAsia"/>
                <w:snapToGrid/>
              </w:rPr>
              <w:t>141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2537" w:rsidRPr="00D312F7" w:rsidRDefault="001E2537" w:rsidP="009A044C">
            <w:pPr>
              <w:pStyle w:val="142"/>
              <w:jc w:val="right"/>
              <w:rPr>
                <w:rFonts w:hint="eastAsia"/>
                <w:snapToGrid/>
              </w:rPr>
            </w:pPr>
            <w:r w:rsidRPr="00D312F7">
              <w:rPr>
                <w:rFonts w:hint="eastAsia"/>
                <w:snapToGrid/>
              </w:rPr>
              <w:t>6.85%</w:t>
            </w:r>
          </w:p>
        </w:tc>
      </w:tr>
      <w:tr w:rsidR="001E2537" w:rsidRPr="00D312F7" w:rsidTr="009A044C">
        <w:tc>
          <w:tcPr>
            <w:tcW w:w="16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E2537" w:rsidRPr="00D312F7" w:rsidRDefault="001E2537" w:rsidP="009A044C">
            <w:pPr>
              <w:pStyle w:val="142"/>
              <w:jc w:val="center"/>
              <w:rPr>
                <w:rFonts w:hint="eastAsia"/>
                <w:snapToGrid/>
              </w:rPr>
            </w:pPr>
            <w:r w:rsidRPr="00D312F7">
              <w:rPr>
                <w:rFonts w:hint="eastAsia"/>
                <w:snapToGrid/>
              </w:rPr>
              <w:t>111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D312F7" w:rsidRDefault="001E2537" w:rsidP="009A044C">
            <w:pPr>
              <w:pStyle w:val="142"/>
              <w:jc w:val="right"/>
              <w:rPr>
                <w:rFonts w:hint="eastAsia"/>
                <w:snapToGrid/>
              </w:rPr>
            </w:pPr>
            <w:r w:rsidRPr="00D312F7">
              <w:rPr>
                <w:rFonts w:hint="eastAsia"/>
                <w:snapToGrid/>
              </w:rPr>
              <w:t>2,058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D312F7" w:rsidRDefault="001E2537" w:rsidP="009A044C">
            <w:pPr>
              <w:pStyle w:val="142"/>
              <w:jc w:val="right"/>
              <w:rPr>
                <w:rFonts w:hint="eastAsia"/>
                <w:snapToGrid/>
              </w:rPr>
            </w:pPr>
            <w:r w:rsidRPr="00D312F7">
              <w:rPr>
                <w:rFonts w:hint="eastAsia"/>
                <w:snapToGrid/>
              </w:rPr>
              <w:t>136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2537" w:rsidRPr="00D312F7" w:rsidRDefault="001E2537" w:rsidP="009A044C">
            <w:pPr>
              <w:pStyle w:val="142"/>
              <w:jc w:val="right"/>
              <w:rPr>
                <w:rFonts w:hint="eastAsia"/>
                <w:snapToGrid/>
              </w:rPr>
            </w:pPr>
            <w:r w:rsidRPr="00D312F7">
              <w:rPr>
                <w:rFonts w:hint="eastAsia"/>
                <w:snapToGrid/>
              </w:rPr>
              <w:t>6.61%</w:t>
            </w:r>
          </w:p>
        </w:tc>
      </w:tr>
      <w:tr w:rsidR="001E2537" w:rsidRPr="00D312F7" w:rsidTr="009A044C">
        <w:tc>
          <w:tcPr>
            <w:tcW w:w="169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1E2537" w:rsidRPr="00B84581" w:rsidRDefault="001E2537" w:rsidP="009A044C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B84581">
              <w:rPr>
                <w:rFonts w:hint="eastAsia"/>
                <w:b/>
                <w:snapToGrid/>
              </w:rPr>
              <w:t>112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B84581" w:rsidRDefault="001E2537" w:rsidP="009A044C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B84581">
              <w:rPr>
                <w:rFonts w:hint="eastAsia"/>
                <w:b/>
                <w:snapToGrid/>
              </w:rPr>
              <w:t>2,057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E2537" w:rsidRPr="00B84581" w:rsidRDefault="001E2537" w:rsidP="009A044C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B84581">
              <w:rPr>
                <w:rFonts w:hint="eastAsia"/>
                <w:b/>
                <w:snapToGrid/>
              </w:rPr>
              <w:t>555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2537" w:rsidRPr="00B84581" w:rsidRDefault="001E2537" w:rsidP="009A044C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B84581">
              <w:rPr>
                <w:rFonts w:hint="eastAsia"/>
                <w:b/>
                <w:snapToGrid/>
              </w:rPr>
              <w:t>26.98%</w:t>
            </w:r>
          </w:p>
        </w:tc>
      </w:tr>
    </w:tbl>
    <w:p w:rsidR="001E2537" w:rsidRPr="00CE7D4C" w:rsidRDefault="001E2537" w:rsidP="001E2537">
      <w:pPr>
        <w:adjustRightInd w:val="0"/>
        <w:spacing w:line="300" w:lineRule="exact"/>
        <w:ind w:leftChars="0" w:left="1216" w:hangingChars="500" w:hanging="1216"/>
        <w:rPr>
          <w:sz w:val="24"/>
          <w:szCs w:val="24"/>
        </w:rPr>
      </w:pPr>
      <w:r w:rsidRPr="00CE7D4C">
        <w:rPr>
          <w:rFonts w:hint="eastAsia"/>
          <w:sz w:val="24"/>
          <w:szCs w:val="24"/>
        </w:rPr>
        <w:t xml:space="preserve">說 </w:t>
      </w:r>
      <w:r w:rsidRPr="00CE7D4C">
        <w:rPr>
          <w:sz w:val="24"/>
          <w:szCs w:val="24"/>
        </w:rPr>
        <w:t xml:space="preserve">   </w:t>
      </w:r>
      <w:r w:rsidRPr="00CE7D4C">
        <w:rPr>
          <w:rFonts w:hint="eastAsia"/>
          <w:sz w:val="24"/>
          <w:szCs w:val="24"/>
        </w:rPr>
        <w:t>明：</w:t>
      </w:r>
      <w:r w:rsidRPr="00507F9A">
        <w:rPr>
          <w:rFonts w:hint="eastAsia"/>
          <w:sz w:val="24"/>
          <w:szCs w:val="24"/>
        </w:rPr>
        <w:t>本表均不含娩假人數</w:t>
      </w:r>
      <w:r>
        <w:rPr>
          <w:rFonts w:hint="eastAsia"/>
          <w:sz w:val="24"/>
          <w:szCs w:val="24"/>
        </w:rPr>
        <w:t>。</w:t>
      </w:r>
      <w:r w:rsidRPr="00BD7624">
        <w:rPr>
          <w:rFonts w:hint="eastAsia"/>
          <w:sz w:val="24"/>
          <w:szCs w:val="24"/>
        </w:rPr>
        <w:t>104至112年度</w:t>
      </w:r>
      <w:r>
        <w:rPr>
          <w:rFonts w:hint="eastAsia"/>
          <w:sz w:val="24"/>
          <w:szCs w:val="24"/>
        </w:rPr>
        <w:t>晉二級</w:t>
      </w:r>
      <w:r w:rsidRPr="005B1A2B">
        <w:rPr>
          <w:rFonts w:hint="eastAsia"/>
          <w:sz w:val="24"/>
          <w:szCs w:val="24"/>
        </w:rPr>
        <w:t>人數</w:t>
      </w:r>
      <w:r w:rsidRPr="00E1280A">
        <w:rPr>
          <w:rFonts w:hint="eastAsia"/>
          <w:sz w:val="24"/>
          <w:szCs w:val="24"/>
        </w:rPr>
        <w:t>平均比率為18.3%。</w:t>
      </w:r>
    </w:p>
    <w:p w:rsidR="001E2537" w:rsidRDefault="001E2537" w:rsidP="001E2537">
      <w:pPr>
        <w:adjustRightInd w:val="0"/>
        <w:spacing w:line="300" w:lineRule="exact"/>
        <w:ind w:leftChars="0" w:left="973" w:hangingChars="400" w:hanging="973"/>
        <w:rPr>
          <w:snapToGrid/>
          <w:sz w:val="24"/>
        </w:rPr>
      </w:pPr>
      <w:r w:rsidRPr="00CE7D4C">
        <w:rPr>
          <w:rFonts w:hint="eastAsia"/>
          <w:sz w:val="24"/>
          <w:szCs w:val="24"/>
        </w:rPr>
        <w:t>資料來源：司法院提供</w:t>
      </w:r>
      <w:r w:rsidRPr="00CE7D4C">
        <w:rPr>
          <w:rFonts w:hint="eastAsia"/>
          <w:snapToGrid/>
          <w:sz w:val="24"/>
        </w:rPr>
        <w:t>。</w:t>
      </w:r>
    </w:p>
    <w:p w:rsidR="00932ECE" w:rsidRPr="007B4995" w:rsidRDefault="00932ECE" w:rsidP="00932ECE">
      <w:pPr>
        <w:pStyle w:val="a4"/>
        <w:rPr>
          <w:b/>
        </w:rPr>
      </w:pPr>
      <w:r>
        <w:rPr>
          <w:rFonts w:hint="eastAsia"/>
          <w:b/>
        </w:rPr>
        <w:t>(四</w:t>
      </w:r>
      <w:r>
        <w:rPr>
          <w:b/>
        </w:rPr>
        <w:t>)</w:t>
      </w:r>
      <w:r w:rsidRPr="008122C8">
        <w:rPr>
          <w:rFonts w:hint="eastAsia"/>
          <w:b/>
        </w:rPr>
        <w:t>監察院1</w:t>
      </w:r>
      <w:r w:rsidRPr="008122C8">
        <w:rPr>
          <w:b/>
        </w:rPr>
        <w:t>0</w:t>
      </w:r>
      <w:r>
        <w:rPr>
          <w:b/>
        </w:rPr>
        <w:t>9</w:t>
      </w:r>
      <w:r w:rsidRPr="008122C8">
        <w:rPr>
          <w:rFonts w:hint="eastAsia"/>
          <w:b/>
        </w:rPr>
        <w:t>年度調查發現，</w:t>
      </w:r>
      <w:r w:rsidRPr="007B4995">
        <w:rPr>
          <w:rFonts w:hint="eastAsia"/>
          <w:b/>
        </w:rPr>
        <w:t>法官職務評定等第</w:t>
      </w:r>
      <w:r>
        <w:rPr>
          <w:rFonts w:hint="eastAsia"/>
          <w:b/>
        </w:rPr>
        <w:t>僅</w:t>
      </w:r>
      <w:r w:rsidRPr="007B4995">
        <w:rPr>
          <w:rFonts w:hint="eastAsia"/>
          <w:b/>
        </w:rPr>
        <w:t>分成「良好」、「未達良好」</w:t>
      </w:r>
      <w:r>
        <w:rPr>
          <w:rFonts w:hint="eastAsia"/>
          <w:b/>
        </w:rPr>
        <w:t>2類</w:t>
      </w:r>
      <w:r w:rsidRPr="007B4995">
        <w:rPr>
          <w:rFonts w:hint="eastAsia"/>
          <w:b/>
        </w:rPr>
        <w:t>，</w:t>
      </w:r>
      <w:r>
        <w:rPr>
          <w:rFonts w:hint="eastAsia"/>
          <w:b/>
        </w:rPr>
        <w:t>且</w:t>
      </w:r>
      <w:r w:rsidRPr="00527C2E">
        <w:rPr>
          <w:rFonts w:hint="eastAsia"/>
          <w:b/>
        </w:rPr>
        <w:t>未建置淘汰機制</w:t>
      </w:r>
      <w:r>
        <w:rPr>
          <w:rFonts w:hint="eastAsia"/>
          <w:b/>
        </w:rPr>
        <w:t>，恐</w:t>
      </w:r>
      <w:r w:rsidR="00DF286C">
        <w:rPr>
          <w:rFonts w:hint="eastAsia"/>
          <w:b/>
        </w:rPr>
        <w:t>不具</w:t>
      </w:r>
      <w:r w:rsidRPr="00F23AF8">
        <w:rPr>
          <w:rFonts w:hint="eastAsia"/>
          <w:b/>
        </w:rPr>
        <w:t>奬優</w:t>
      </w:r>
      <w:r w:rsidR="00ED49C3">
        <w:rPr>
          <w:rFonts w:hint="eastAsia"/>
          <w:b/>
        </w:rPr>
        <w:t>懲</w:t>
      </w:r>
      <w:r w:rsidRPr="00F23AF8">
        <w:rPr>
          <w:rFonts w:hint="eastAsia"/>
          <w:b/>
        </w:rPr>
        <w:t>劣之</w:t>
      </w:r>
      <w:r w:rsidR="00DF286C">
        <w:rPr>
          <w:rFonts w:hint="eastAsia"/>
          <w:b/>
        </w:rPr>
        <w:t>功效</w:t>
      </w:r>
    </w:p>
    <w:p w:rsidR="00360A6C" w:rsidRDefault="00932ECE" w:rsidP="00932ECE">
      <w:pPr>
        <w:pStyle w:val="21"/>
        <w:ind w:left="850" w:firstLine="566"/>
      </w:pPr>
      <w:r w:rsidRPr="008122C8">
        <w:rPr>
          <w:rFonts w:hint="eastAsia"/>
        </w:rPr>
        <w:t>監察院1</w:t>
      </w:r>
      <w:r w:rsidRPr="008122C8">
        <w:t>0</w:t>
      </w:r>
      <w:r>
        <w:t>9</w:t>
      </w:r>
      <w:r w:rsidRPr="008122C8">
        <w:rPr>
          <w:rFonts w:hint="eastAsia"/>
        </w:rPr>
        <w:t>年度調查發現</w:t>
      </w:r>
      <w:r w:rsidRPr="008122C8">
        <w:rPr>
          <w:vertAlign w:val="superscript"/>
        </w:rPr>
        <w:footnoteReference w:id="5"/>
      </w:r>
      <w:r w:rsidRPr="008122C8">
        <w:rPr>
          <w:rFonts w:hint="eastAsia"/>
        </w:rPr>
        <w:t>，</w:t>
      </w:r>
      <w:r>
        <w:rPr>
          <w:rFonts w:hint="eastAsia"/>
        </w:rPr>
        <w:t>法官職務評定等第分成「良好」、「未達良好」</w:t>
      </w:r>
      <w:r w:rsidR="00360A6C">
        <w:rPr>
          <w:rFonts w:hint="eastAsia"/>
        </w:rPr>
        <w:t>2</w:t>
      </w:r>
      <w:r>
        <w:rPr>
          <w:rFonts w:hint="eastAsia"/>
        </w:rPr>
        <w:t>類，以職務評定銓敘審定情形而論，法官101至108年度受評定良好比率平均為97.71%，未達良好比率平均僅2.29%；</w:t>
      </w:r>
      <w:r w:rsidRPr="003373D9">
        <w:rPr>
          <w:rFonts w:hAnsi="標楷體"/>
        </w:rPr>
        <w:t>…</w:t>
      </w:r>
      <w:r>
        <w:rPr>
          <w:rFonts w:hint="eastAsia"/>
        </w:rPr>
        <w:t>，已喪失職務評定之篩選功能，</w:t>
      </w:r>
      <w:r w:rsidRPr="003373D9">
        <w:rPr>
          <w:rFonts w:hAnsi="標楷體"/>
        </w:rPr>
        <w:t>…</w:t>
      </w:r>
      <w:r>
        <w:rPr>
          <w:rFonts w:hint="eastAsia"/>
        </w:rPr>
        <w:t>。為符合國人對於司法改革殷切之期待，允宜檢討職務評定項目標準是否符合明確性、可操作性及鑑別性，</w:t>
      </w:r>
      <w:r w:rsidRPr="003373D9">
        <w:rPr>
          <w:rFonts w:hAnsi="標楷體"/>
        </w:rPr>
        <w:t>…</w:t>
      </w:r>
      <w:r>
        <w:rPr>
          <w:rFonts w:hint="eastAsia"/>
        </w:rPr>
        <w:t>。另針對尚未具有違法失職之懲戒事由但數次評定為未達良好之法官，目前對此情形未建置淘汰機制，恐影響人民司法受益權。爰此，</w:t>
      </w:r>
      <w:r w:rsidRPr="00614409">
        <w:rPr>
          <w:rFonts w:hAnsi="標楷體"/>
        </w:rPr>
        <w:t>…</w:t>
      </w:r>
      <w:r>
        <w:rPr>
          <w:rFonts w:hint="eastAsia"/>
        </w:rPr>
        <w:t>，職務評定制度應檢討對於不適任司法官者設置淘汰發動機制，以發揮職務評定制度人事考核意旨，而具有獎優汰劣功效。</w:t>
      </w:r>
    </w:p>
    <w:p w:rsidR="00932ECE" w:rsidRDefault="00932ECE" w:rsidP="00932ECE">
      <w:pPr>
        <w:pStyle w:val="21"/>
        <w:ind w:left="850" w:firstLine="566"/>
      </w:pPr>
      <w:r>
        <w:rPr>
          <w:rFonts w:hint="eastAsia"/>
        </w:rPr>
        <w:lastRenderedPageBreak/>
        <w:t>考量</w:t>
      </w:r>
      <w:r w:rsidR="00E00628">
        <w:rPr>
          <w:rFonts w:hint="eastAsia"/>
        </w:rPr>
        <w:t>近</w:t>
      </w:r>
      <w:r w:rsidRPr="00846DDC">
        <w:rPr>
          <w:rFonts w:hint="eastAsia"/>
        </w:rPr>
        <w:t>年法官職務評定良好比率均逾</w:t>
      </w:r>
      <w:r>
        <w:t>9</w:t>
      </w:r>
      <w:r>
        <w:rPr>
          <w:rFonts w:hint="eastAsia"/>
        </w:rPr>
        <w:t>成7以上</w:t>
      </w:r>
      <w:r w:rsidRPr="00846DDC">
        <w:rPr>
          <w:rFonts w:hint="eastAsia"/>
        </w:rPr>
        <w:t>，</w:t>
      </w:r>
      <w:r>
        <w:rPr>
          <w:rFonts w:hint="eastAsia"/>
        </w:rPr>
        <w:t>且</w:t>
      </w:r>
      <w:r w:rsidRPr="00846DDC">
        <w:rPr>
          <w:rFonts w:hint="eastAsia"/>
        </w:rPr>
        <w:t>法官連續4年職務評定良好</w:t>
      </w:r>
      <w:r w:rsidR="002344A8">
        <w:rPr>
          <w:rFonts w:hint="eastAsia"/>
        </w:rPr>
        <w:t>晉二級</w:t>
      </w:r>
      <w:r w:rsidRPr="00846DDC">
        <w:rPr>
          <w:rFonts w:hint="eastAsia"/>
        </w:rPr>
        <w:t>之</w:t>
      </w:r>
      <w:r>
        <w:rPr>
          <w:rFonts w:hint="eastAsia"/>
        </w:rPr>
        <w:t>規定</w:t>
      </w:r>
      <w:r w:rsidRPr="00846DDC">
        <w:rPr>
          <w:rFonts w:hint="eastAsia"/>
        </w:rPr>
        <w:t>，</w:t>
      </w:r>
      <w:r w:rsidR="00400C9D">
        <w:rPr>
          <w:rFonts w:hint="eastAsia"/>
        </w:rPr>
        <w:t>似</w:t>
      </w:r>
      <w:r>
        <w:rPr>
          <w:rFonts w:hint="eastAsia"/>
        </w:rPr>
        <w:t>較公務人員</w:t>
      </w:r>
      <w:r w:rsidRPr="00D62754">
        <w:rPr>
          <w:rFonts w:hint="eastAsia"/>
        </w:rPr>
        <w:t>考績制度</w:t>
      </w:r>
      <w:r w:rsidRPr="00846DDC">
        <w:rPr>
          <w:rFonts w:hint="eastAsia"/>
        </w:rPr>
        <w:t>優厚</w:t>
      </w:r>
      <w:r>
        <w:rPr>
          <w:rStyle w:val="af3"/>
        </w:rPr>
        <w:footnoteReference w:id="6"/>
      </w:r>
      <w:r w:rsidRPr="00846DDC">
        <w:rPr>
          <w:rFonts w:hint="eastAsia"/>
        </w:rPr>
        <w:t>，其適切性</w:t>
      </w:r>
      <w:r>
        <w:rPr>
          <w:rFonts w:hint="eastAsia"/>
        </w:rPr>
        <w:t>確</w:t>
      </w:r>
      <w:r w:rsidRPr="00846DDC">
        <w:rPr>
          <w:rFonts w:hint="eastAsia"/>
        </w:rPr>
        <w:t>有</w:t>
      </w:r>
      <w:r w:rsidR="00627942">
        <w:rPr>
          <w:rFonts w:hint="eastAsia"/>
        </w:rPr>
        <w:t>檢討</w:t>
      </w:r>
      <w:r w:rsidR="00E00628">
        <w:rPr>
          <w:rFonts w:hint="eastAsia"/>
        </w:rPr>
        <w:t>之必要</w:t>
      </w:r>
      <w:r w:rsidR="00BB0BE7">
        <w:rPr>
          <w:rFonts w:hint="eastAsia"/>
        </w:rPr>
        <w:t>，</w:t>
      </w:r>
      <w:r w:rsidR="00BB0BE7" w:rsidRPr="00BB0BE7">
        <w:rPr>
          <w:rFonts w:hint="eastAsia"/>
        </w:rPr>
        <w:t>爰司法院</w:t>
      </w:r>
      <w:r w:rsidR="004727CF">
        <w:rPr>
          <w:rFonts w:hint="eastAsia"/>
        </w:rPr>
        <w:t>應</w:t>
      </w:r>
      <w:r w:rsidR="00457D42">
        <w:rPr>
          <w:rFonts w:hint="eastAsia"/>
        </w:rPr>
        <w:t>審酌監察院調查意見，</w:t>
      </w:r>
      <w:r w:rsidR="00564895" w:rsidRPr="00564895">
        <w:rPr>
          <w:rFonts w:hint="eastAsia"/>
        </w:rPr>
        <w:t>依實務運作情形</w:t>
      </w:r>
      <w:r w:rsidR="00564895">
        <w:rPr>
          <w:rFonts w:hint="eastAsia"/>
        </w:rPr>
        <w:t>，</w:t>
      </w:r>
      <w:r w:rsidR="009E52CB" w:rsidRPr="00315E3A">
        <w:rPr>
          <w:rFonts w:hint="eastAsia"/>
        </w:rPr>
        <w:t>動態檢視相關法規並適時研議修正</w:t>
      </w:r>
      <w:r w:rsidR="009E52CB">
        <w:rPr>
          <w:rFonts w:hint="eastAsia"/>
        </w:rPr>
        <w:t>，</w:t>
      </w:r>
      <w:r w:rsidR="007E17DA" w:rsidRPr="007E17DA">
        <w:rPr>
          <w:rFonts w:hint="eastAsia"/>
        </w:rPr>
        <w:t>加強</w:t>
      </w:r>
      <w:r w:rsidR="00400C9D">
        <w:rPr>
          <w:rFonts w:hint="eastAsia"/>
        </w:rPr>
        <w:t>檢討</w:t>
      </w:r>
      <w:r w:rsidR="007E17DA" w:rsidRPr="007E17DA">
        <w:rPr>
          <w:rFonts w:hint="eastAsia"/>
        </w:rPr>
        <w:t>淘汰不適任司法人員</w:t>
      </w:r>
      <w:r w:rsidR="00BB0BE7">
        <w:rPr>
          <w:rFonts w:hint="eastAsia"/>
        </w:rPr>
        <w:t>，俾有</w:t>
      </w:r>
      <w:r w:rsidR="007E17DA">
        <w:rPr>
          <w:rFonts w:hint="eastAsia"/>
        </w:rPr>
        <w:t>助於</w:t>
      </w:r>
      <w:r w:rsidR="00BB0BE7" w:rsidRPr="00BB0BE7">
        <w:rPr>
          <w:rFonts w:hint="eastAsia"/>
        </w:rPr>
        <w:t>達成</w:t>
      </w:r>
      <w:r w:rsidR="007E17DA">
        <w:rPr>
          <w:rFonts w:hint="eastAsia"/>
        </w:rPr>
        <w:t>法官法</w:t>
      </w:r>
      <w:r w:rsidR="00BB0BE7">
        <w:rPr>
          <w:rFonts w:ascii="新細明體" w:eastAsia="新細明體" w:hAnsi="新細明體" w:hint="eastAsia"/>
        </w:rPr>
        <w:t>「</w:t>
      </w:r>
      <w:r w:rsidR="00BB0BE7" w:rsidRPr="00BB0BE7">
        <w:rPr>
          <w:rFonts w:hint="eastAsia"/>
        </w:rPr>
        <w:t>奬優汰劣</w:t>
      </w:r>
      <w:r w:rsidR="00BB0BE7">
        <w:rPr>
          <w:rFonts w:ascii="新細明體" w:eastAsia="新細明體" w:hAnsi="新細明體" w:hint="eastAsia"/>
        </w:rPr>
        <w:t>」</w:t>
      </w:r>
      <w:r w:rsidR="00BB0BE7" w:rsidRPr="00BB0BE7">
        <w:rPr>
          <w:rFonts w:hint="eastAsia"/>
        </w:rPr>
        <w:t>之立法目的</w:t>
      </w:r>
      <w:r w:rsidRPr="00846DDC">
        <w:rPr>
          <w:rFonts w:hint="eastAsia"/>
        </w:rPr>
        <w:t>。</w:t>
      </w:r>
    </w:p>
    <w:p w:rsidR="00932ECE" w:rsidRDefault="00932ECE" w:rsidP="00932ECE">
      <w:pPr>
        <w:ind w:left="566" w:firstLine="566"/>
      </w:pPr>
      <w:r w:rsidRPr="00C02870">
        <w:rPr>
          <w:rFonts w:hint="eastAsia"/>
        </w:rPr>
        <w:t>綜上，法官法施行後，</w:t>
      </w:r>
      <w:r w:rsidRPr="008454EE">
        <w:rPr>
          <w:rFonts w:hint="eastAsia"/>
        </w:rPr>
        <w:t>101至112年度法官職務評定良好比率均在9</w:t>
      </w:r>
      <w:r>
        <w:rPr>
          <w:rFonts w:hint="eastAsia"/>
        </w:rPr>
        <w:t>成</w:t>
      </w:r>
      <w:r w:rsidRPr="008454EE">
        <w:rPr>
          <w:rFonts w:hint="eastAsia"/>
        </w:rPr>
        <w:t>7以上</w:t>
      </w:r>
      <w:r>
        <w:rPr>
          <w:rFonts w:hint="eastAsia"/>
        </w:rPr>
        <w:t>，</w:t>
      </w:r>
      <w:r w:rsidRPr="008454EE">
        <w:rPr>
          <w:rFonts w:hint="eastAsia"/>
        </w:rPr>
        <w:t>且無比率上限之限制</w:t>
      </w:r>
      <w:r w:rsidR="00400C9D">
        <w:rPr>
          <w:rFonts w:hint="eastAsia"/>
        </w:rPr>
        <w:t>；另</w:t>
      </w:r>
      <w:r w:rsidR="00564895" w:rsidRPr="00564895">
        <w:rPr>
          <w:rFonts w:hint="eastAsia"/>
        </w:rPr>
        <w:t>112年度法官連續4年職務評定良好晉二級之人數及比率</w:t>
      </w:r>
      <w:r w:rsidR="00400C9D" w:rsidRPr="00400C9D">
        <w:rPr>
          <w:rFonts w:hint="eastAsia"/>
        </w:rPr>
        <w:t>概因已無級可晉而</w:t>
      </w:r>
      <w:r w:rsidR="00564895" w:rsidRPr="00564895">
        <w:rPr>
          <w:rFonts w:hint="eastAsia"/>
        </w:rPr>
        <w:t>呈下滑趨勢</w:t>
      </w:r>
      <w:r w:rsidR="00564895">
        <w:rPr>
          <w:rFonts w:hint="eastAsia"/>
        </w:rPr>
        <w:t>，</w:t>
      </w:r>
      <w:r w:rsidR="00400C9D" w:rsidRPr="00564895">
        <w:rPr>
          <w:rFonts w:hint="eastAsia"/>
        </w:rPr>
        <w:t>弱化</w:t>
      </w:r>
      <w:r w:rsidR="00FA749E" w:rsidRPr="00FA749E">
        <w:rPr>
          <w:rFonts w:hint="eastAsia"/>
        </w:rPr>
        <w:t>表現良好法官之</w:t>
      </w:r>
      <w:r w:rsidR="00FA749E">
        <w:rPr>
          <w:rFonts w:hint="eastAsia"/>
        </w:rPr>
        <w:t>激勵</w:t>
      </w:r>
      <w:r w:rsidR="001C0364">
        <w:rPr>
          <w:rFonts w:hint="eastAsia"/>
        </w:rPr>
        <w:t>效果</w:t>
      </w:r>
      <w:r>
        <w:rPr>
          <w:rFonts w:hint="eastAsia"/>
        </w:rPr>
        <w:t>，</w:t>
      </w:r>
      <w:r w:rsidRPr="00E668EB">
        <w:rPr>
          <w:rFonts w:hint="eastAsia"/>
        </w:rPr>
        <w:t>恐</w:t>
      </w:r>
      <w:r w:rsidRPr="008D36E9">
        <w:rPr>
          <w:rFonts w:hint="eastAsia"/>
        </w:rPr>
        <w:t>無法</w:t>
      </w:r>
      <w:r w:rsidR="00564895">
        <w:rPr>
          <w:rFonts w:hint="eastAsia"/>
        </w:rPr>
        <w:t>真</w:t>
      </w:r>
      <w:r w:rsidRPr="008D36E9">
        <w:rPr>
          <w:rFonts w:hint="eastAsia"/>
        </w:rPr>
        <w:t>實反映受評</w:t>
      </w:r>
      <w:r w:rsidR="00564895">
        <w:rPr>
          <w:rFonts w:hint="eastAsia"/>
        </w:rPr>
        <w:t>法官</w:t>
      </w:r>
      <w:r w:rsidRPr="008D36E9">
        <w:rPr>
          <w:rFonts w:hint="eastAsia"/>
        </w:rPr>
        <w:t>之工作表現，</w:t>
      </w:r>
      <w:r>
        <w:rPr>
          <w:rFonts w:hint="eastAsia"/>
        </w:rPr>
        <w:t>爰司</w:t>
      </w:r>
      <w:r w:rsidR="00564895">
        <w:rPr>
          <w:rFonts w:hint="eastAsia"/>
        </w:rPr>
        <w:t>法</w:t>
      </w:r>
      <w:r>
        <w:rPr>
          <w:rFonts w:hint="eastAsia"/>
        </w:rPr>
        <w:t>院</w:t>
      </w:r>
      <w:r w:rsidR="00FA749E">
        <w:rPr>
          <w:rFonts w:hint="eastAsia"/>
        </w:rPr>
        <w:t>仍</w:t>
      </w:r>
      <w:r w:rsidRPr="00E668EB">
        <w:rPr>
          <w:rFonts w:hint="eastAsia"/>
        </w:rPr>
        <w:t>宜</w:t>
      </w:r>
      <w:r w:rsidR="009E52CB" w:rsidRPr="009E52CB">
        <w:rPr>
          <w:rFonts w:hint="eastAsia"/>
        </w:rPr>
        <w:t>依</w:t>
      </w:r>
      <w:r w:rsidR="009E52CB" w:rsidRPr="00E668EB">
        <w:rPr>
          <w:rFonts w:hint="eastAsia"/>
        </w:rPr>
        <w:t>法官職務評定之</w:t>
      </w:r>
      <w:r w:rsidR="009E52CB" w:rsidRPr="009E52CB">
        <w:rPr>
          <w:rFonts w:hint="eastAsia"/>
        </w:rPr>
        <w:t>實務運作情形，動態檢視相關法規並適時研議修正</w:t>
      </w:r>
      <w:r w:rsidRPr="00E668EB">
        <w:rPr>
          <w:rFonts w:hint="eastAsia"/>
        </w:rPr>
        <w:t>，</w:t>
      </w:r>
      <w:r w:rsidR="007E17DA" w:rsidRPr="007E17DA">
        <w:rPr>
          <w:rFonts w:hint="eastAsia"/>
        </w:rPr>
        <w:t>加強</w:t>
      </w:r>
      <w:r w:rsidR="00400C9D">
        <w:rPr>
          <w:rFonts w:hint="eastAsia"/>
        </w:rPr>
        <w:t>檢討</w:t>
      </w:r>
      <w:r w:rsidR="007E17DA" w:rsidRPr="007E17DA">
        <w:rPr>
          <w:rFonts w:hint="eastAsia"/>
        </w:rPr>
        <w:t>淘汰不適任司法人員</w:t>
      </w:r>
      <w:r w:rsidR="00457D42" w:rsidRPr="00457D42">
        <w:rPr>
          <w:rFonts w:hint="eastAsia"/>
        </w:rPr>
        <w:t>，</w:t>
      </w:r>
      <w:r w:rsidRPr="00E668EB">
        <w:rPr>
          <w:rFonts w:hint="eastAsia"/>
        </w:rPr>
        <w:t>俾以</w:t>
      </w:r>
      <w:r w:rsidR="00400C9D">
        <w:rPr>
          <w:rFonts w:hint="eastAsia"/>
        </w:rPr>
        <w:t>健全職務評定</w:t>
      </w:r>
      <w:r w:rsidRPr="00E668EB">
        <w:rPr>
          <w:rFonts w:hint="eastAsia"/>
        </w:rPr>
        <w:t>機制</w:t>
      </w:r>
      <w:r w:rsidR="00400C9D">
        <w:rPr>
          <w:rFonts w:hint="eastAsia"/>
        </w:rPr>
        <w:t>，</w:t>
      </w:r>
      <w:r w:rsidRPr="00E668EB">
        <w:rPr>
          <w:rFonts w:hint="eastAsia"/>
        </w:rPr>
        <w:t>維護良好司法風氣，達成提升整體司法品質之立法目的。</w:t>
      </w:r>
    </w:p>
    <w:bookmarkEnd w:id="10"/>
    <w:bookmarkEnd w:id="11"/>
    <w:bookmarkEnd w:id="7"/>
    <w:bookmarkEnd w:id="8"/>
    <w:bookmarkEnd w:id="9"/>
    <w:bookmarkEnd w:id="1"/>
    <w:bookmarkEnd w:id="2"/>
    <w:bookmarkEnd w:id="3"/>
    <w:bookmarkEnd w:id="4"/>
    <w:bookmarkEnd w:id="5"/>
    <w:bookmarkEnd w:id="6"/>
    <w:sectPr w:rsidR="00932ECE" w:rsidSect="00964A3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01E3" w:rsidRDefault="00A401E3" w:rsidP="00CA153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401E3" w:rsidRDefault="00A401E3" w:rsidP="00CA153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384" w:rsidRDefault="006D3384" w:rsidP="00B737C2">
    <w:pPr>
      <w:pStyle w:val="af"/>
      <w:tabs>
        <w:tab w:val="clear" w:pos="4153"/>
        <w:tab w:val="clear" w:pos="8306"/>
        <w:tab w:val="right" w:pos="8505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D87210" w:rsidRPr="00D87210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01E3" w:rsidRDefault="00A401E3" w:rsidP="00CD2314">
      <w:pPr>
        <w:spacing w:line="240" w:lineRule="auto"/>
        <w:ind w:leftChars="204" w:left="571" w:firstLine="560"/>
      </w:pPr>
      <w:r>
        <w:separator/>
      </w:r>
    </w:p>
  </w:footnote>
  <w:footnote w:type="continuationSeparator" w:id="0">
    <w:p w:rsidR="00A401E3" w:rsidRDefault="00A401E3" w:rsidP="00CA1535">
      <w:pPr>
        <w:spacing w:line="240" w:lineRule="auto"/>
        <w:ind w:left="560" w:firstLine="560"/>
      </w:pPr>
      <w:r>
        <w:continuationSeparator/>
      </w:r>
    </w:p>
  </w:footnote>
  <w:footnote w:id="1">
    <w:p w:rsidR="00932ECE" w:rsidRPr="00704952" w:rsidRDefault="00932ECE" w:rsidP="00932ECE">
      <w:pPr>
        <w:pStyle w:val="142"/>
        <w:spacing w:line="320" w:lineRule="exact"/>
        <w:ind w:left="83" w:hangingChars="34" w:hanging="83"/>
        <w:jc w:val="both"/>
        <w:rPr>
          <w:szCs w:val="24"/>
        </w:rPr>
      </w:pPr>
      <w:r w:rsidRPr="00E535B3">
        <w:rPr>
          <w:rStyle w:val="af3"/>
        </w:rPr>
        <w:footnoteRef/>
      </w:r>
      <w:r w:rsidRPr="00704952">
        <w:rPr>
          <w:rFonts w:hint="eastAsia"/>
          <w:szCs w:val="24"/>
        </w:rPr>
        <w:t>法官法第73條第1項規定：「法官現辦事務所在之法院院長或機關首長應於每年年終，辦理法官之職務評定，報送司法院核定。法院院長評定時，應先徵詢該法院相關庭長、法官之意見。」</w:t>
      </w:r>
      <w:r w:rsidR="0015065A">
        <w:rPr>
          <w:rFonts w:hint="eastAsia"/>
          <w:szCs w:val="24"/>
        </w:rPr>
        <w:t>同條</w:t>
      </w:r>
      <w:r w:rsidR="00DF286C">
        <w:rPr>
          <w:rFonts w:hint="eastAsia"/>
          <w:szCs w:val="24"/>
        </w:rPr>
        <w:t>第</w:t>
      </w:r>
      <w:r w:rsidR="00DF286C" w:rsidRPr="00DF286C">
        <w:rPr>
          <w:rFonts w:hint="eastAsia"/>
          <w:szCs w:val="24"/>
        </w:rPr>
        <w:t>2項規定</w:t>
      </w:r>
      <w:r w:rsidR="00DF286C">
        <w:rPr>
          <w:rFonts w:hint="eastAsia"/>
          <w:szCs w:val="24"/>
        </w:rPr>
        <w:t>：</w:t>
      </w:r>
      <w:r w:rsidRPr="00704952">
        <w:rPr>
          <w:rFonts w:hint="eastAsia"/>
          <w:szCs w:val="24"/>
        </w:rPr>
        <w:t>「法官職務評定項目包括學識能力、品德操守、敬業精神及裁判品質；其評定及救濟程序等有關事項之辦法，由司法院定之。」</w:t>
      </w:r>
    </w:p>
  </w:footnote>
  <w:footnote w:id="2">
    <w:p w:rsidR="00932ECE" w:rsidRPr="003E00F7" w:rsidRDefault="00932ECE" w:rsidP="00932ECE">
      <w:pPr>
        <w:pStyle w:val="142"/>
        <w:spacing w:line="320" w:lineRule="exact"/>
        <w:ind w:left="83" w:hangingChars="34" w:hanging="83"/>
        <w:jc w:val="both"/>
        <w:rPr>
          <w:szCs w:val="24"/>
        </w:rPr>
      </w:pPr>
      <w:r w:rsidRPr="003E00F7">
        <w:rPr>
          <w:rStyle w:val="af3"/>
          <w:szCs w:val="24"/>
        </w:rPr>
        <w:footnoteRef/>
      </w:r>
      <w:r w:rsidRPr="003E00F7">
        <w:rPr>
          <w:rFonts w:hint="eastAsia"/>
          <w:szCs w:val="24"/>
        </w:rPr>
        <w:t>參據銓敘部提供之說明資料。</w:t>
      </w:r>
    </w:p>
  </w:footnote>
  <w:footnote w:id="3">
    <w:p w:rsidR="00932ECE" w:rsidRPr="005E4CE5" w:rsidRDefault="00932ECE" w:rsidP="00932ECE">
      <w:pPr>
        <w:pStyle w:val="142"/>
        <w:spacing w:line="320" w:lineRule="exact"/>
        <w:ind w:left="83" w:hangingChars="34" w:hanging="83"/>
        <w:jc w:val="both"/>
        <w:rPr>
          <w:rFonts w:hint="eastAsia"/>
        </w:rPr>
      </w:pPr>
      <w:r>
        <w:rPr>
          <w:rStyle w:val="af3"/>
        </w:rPr>
        <w:footnoteRef/>
      </w:r>
      <w:r w:rsidRPr="005E4CE5">
        <w:rPr>
          <w:rFonts w:hint="eastAsia"/>
        </w:rPr>
        <w:t>監察院109年度通案性案件調查研究報告，法官、檢察官職務評定方式之檢討，111年1月，其內容略以，法官法101年施行後，每年度司法官職務評定結果為良好比率均逾97%，似喪失篩選良莠功能，爰建議檢討職務評定項目標準是否符合明確性、可操作性及鑑別性，…。</w:t>
      </w:r>
    </w:p>
  </w:footnote>
  <w:footnote w:id="4">
    <w:p w:rsidR="00932ECE" w:rsidRPr="00B95C5E" w:rsidRDefault="00932ECE" w:rsidP="00932ECE">
      <w:pPr>
        <w:pStyle w:val="142"/>
        <w:ind w:leftChars="-5" w:left="69" w:hangingChars="34" w:hanging="83"/>
        <w:jc w:val="both"/>
        <w:rPr>
          <w:rFonts w:hint="eastAsia"/>
        </w:rPr>
      </w:pPr>
      <w:r>
        <w:rPr>
          <w:rStyle w:val="af3"/>
        </w:rPr>
        <w:footnoteRef/>
      </w:r>
      <w:r w:rsidRPr="00B95C5E">
        <w:rPr>
          <w:rFonts w:hint="eastAsia"/>
        </w:rPr>
        <w:t>其立法意旨，主要係考量法官法施行後，法官已不列官等職等，亦不適用考績法，無法依該法辦理考績升等，</w:t>
      </w:r>
      <w:r w:rsidRPr="002344A8">
        <w:rPr>
          <w:rFonts w:hint="eastAsia"/>
          <w:b/>
          <w:u w:val="single"/>
        </w:rPr>
        <w:t>為鼓勵表現良好之法官</w:t>
      </w:r>
      <w:r w:rsidRPr="00B95C5E">
        <w:rPr>
          <w:rFonts w:hint="eastAsia"/>
        </w:rPr>
        <w:t>，爰參照考績法之精神，明定法官連續4年職務評定為良好，且未受有刑事處罰、懲戒處分者，除給與獎金外，並晉</w:t>
      </w:r>
      <w:r w:rsidR="002344A8">
        <w:rPr>
          <w:rFonts w:hint="eastAsia"/>
        </w:rPr>
        <w:t>二</w:t>
      </w:r>
      <w:r w:rsidRPr="00B95C5E">
        <w:rPr>
          <w:rFonts w:hint="eastAsia"/>
        </w:rPr>
        <w:t>級。</w:t>
      </w:r>
    </w:p>
  </w:footnote>
  <w:footnote w:id="5">
    <w:p w:rsidR="00932ECE" w:rsidRPr="005E6F2F" w:rsidRDefault="00932ECE" w:rsidP="00932ECE">
      <w:pPr>
        <w:pStyle w:val="142"/>
        <w:ind w:left="78" w:hangingChars="32" w:hanging="78"/>
        <w:jc w:val="both"/>
        <w:rPr>
          <w:rFonts w:hint="eastAsia"/>
        </w:rPr>
      </w:pPr>
      <w:r>
        <w:rPr>
          <w:rStyle w:val="af3"/>
        </w:rPr>
        <w:footnoteRef/>
      </w:r>
      <w:r w:rsidRPr="00D62754">
        <w:rPr>
          <w:rFonts w:hint="eastAsia"/>
        </w:rPr>
        <w:t>監察院109年度通案性案件調查研究報告，法官、檢察官職務評定方式之檢討，111年1月</w:t>
      </w:r>
      <w:r w:rsidRPr="005E6F2F">
        <w:rPr>
          <w:rFonts w:hint="eastAsia"/>
        </w:rPr>
        <w:t>。</w:t>
      </w:r>
    </w:p>
  </w:footnote>
  <w:footnote w:id="6">
    <w:p w:rsidR="00932ECE" w:rsidRPr="00D62754" w:rsidRDefault="00932ECE" w:rsidP="00932ECE">
      <w:pPr>
        <w:pStyle w:val="142"/>
        <w:ind w:leftChars="-5" w:left="69" w:hangingChars="34" w:hanging="83"/>
        <w:jc w:val="both"/>
        <w:rPr>
          <w:rFonts w:hint="eastAsia"/>
        </w:rPr>
      </w:pPr>
      <w:r>
        <w:rPr>
          <w:rStyle w:val="af3"/>
        </w:rPr>
        <w:footnoteRef/>
      </w:r>
      <w:r w:rsidRPr="00D62754">
        <w:rPr>
          <w:rFonts w:hint="eastAsia"/>
        </w:rPr>
        <w:t>監察院109年度通案性案件調查研究報告，法官、檢察官職務評定方式之檢討，111年1月，其內容略以，銓敘部說明，…至公務人員考績制度部分，並無類似前開法官、檢察官連續4年職務評定良好晉</w:t>
      </w:r>
      <w:r w:rsidR="00FB4A80">
        <w:rPr>
          <w:rFonts w:hint="eastAsia"/>
        </w:rPr>
        <w:t>二</w:t>
      </w:r>
      <w:r w:rsidRPr="00D62754">
        <w:rPr>
          <w:rFonts w:hint="eastAsia"/>
        </w:rPr>
        <w:t>級之規定；惟依考績法第3條規定辦理一次記二大功專案考績者，其當年度如同時依考績法或各該特種法規規定辦理年終考績(成)及一次記二大功專案考績(成)，且獎懲結果均為晉本(年功)俸(薪)級1級者，則有類似前開於同一年度晉2級之獎懲效果；…，銓敘部前提供之101年至108年中央及地方機關公務人員晉2級情形(101至108年度</w:t>
      </w:r>
      <w:r w:rsidR="006E69EB">
        <w:rPr>
          <w:rFonts w:hint="eastAsia"/>
        </w:rPr>
        <w:t>僅</w:t>
      </w:r>
      <w:r w:rsidRPr="00D62754">
        <w:rPr>
          <w:rFonts w:hint="eastAsia"/>
        </w:rPr>
        <w:t>分別為121人、60人、19人、24人、11人、25人、15人、2人)</w:t>
      </w:r>
      <w:r w:rsidR="006E69EB">
        <w:rPr>
          <w:rFonts w:hint="eastAsia"/>
        </w:rPr>
        <w:t>。由上可知，</w:t>
      </w:r>
      <w:r w:rsidR="006E69EB" w:rsidRPr="006E69EB">
        <w:rPr>
          <w:rFonts w:hint="eastAsia"/>
        </w:rPr>
        <w:t>法官連續4年職務評定良好晉二級之規定，</w:t>
      </w:r>
      <w:r w:rsidR="006E69EB">
        <w:rPr>
          <w:rFonts w:hint="eastAsia"/>
        </w:rPr>
        <w:t>似</w:t>
      </w:r>
      <w:r w:rsidR="006E69EB" w:rsidRPr="006E69EB">
        <w:rPr>
          <w:rFonts w:hint="eastAsia"/>
        </w:rPr>
        <w:t>較公務人員考績制度優厚</w:t>
      </w:r>
      <w:r w:rsidRPr="00D62754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384" w:rsidRDefault="006D3384" w:rsidP="00CA1535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C52F6"/>
    <w:multiLevelType w:val="hybridMultilevel"/>
    <w:tmpl w:val="30E4F96E"/>
    <w:lvl w:ilvl="0" w:tplc="CA42F276">
      <w:start w:val="2"/>
      <w:numFmt w:val="bullet"/>
      <w:lvlText w:val="小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B9A2AA3"/>
    <w:multiLevelType w:val="hybridMultilevel"/>
    <w:tmpl w:val="313C5A1C"/>
    <w:lvl w:ilvl="0" w:tplc="A83A41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6AC31603"/>
    <w:multiLevelType w:val="hybridMultilevel"/>
    <w:tmpl w:val="ACB29B82"/>
    <w:lvl w:ilvl="0" w:tplc="C7B603A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66C1F"/>
    <w:rsid w:val="00000017"/>
    <w:rsid w:val="000022A3"/>
    <w:rsid w:val="00002840"/>
    <w:rsid w:val="00002E1B"/>
    <w:rsid w:val="00002F13"/>
    <w:rsid w:val="00003CCF"/>
    <w:rsid w:val="00004457"/>
    <w:rsid w:val="00004DBE"/>
    <w:rsid w:val="00006E0E"/>
    <w:rsid w:val="0001157C"/>
    <w:rsid w:val="00011B4A"/>
    <w:rsid w:val="00011EDE"/>
    <w:rsid w:val="00012236"/>
    <w:rsid w:val="00012446"/>
    <w:rsid w:val="000128A0"/>
    <w:rsid w:val="00013C6B"/>
    <w:rsid w:val="00015075"/>
    <w:rsid w:val="00015081"/>
    <w:rsid w:val="0001656C"/>
    <w:rsid w:val="00016A05"/>
    <w:rsid w:val="00017D2E"/>
    <w:rsid w:val="00020155"/>
    <w:rsid w:val="0002194B"/>
    <w:rsid w:val="00022082"/>
    <w:rsid w:val="000221F5"/>
    <w:rsid w:val="00022BC7"/>
    <w:rsid w:val="00022DA7"/>
    <w:rsid w:val="00023BE7"/>
    <w:rsid w:val="00024676"/>
    <w:rsid w:val="00024A1C"/>
    <w:rsid w:val="00026B53"/>
    <w:rsid w:val="00027880"/>
    <w:rsid w:val="00030B9E"/>
    <w:rsid w:val="000310B2"/>
    <w:rsid w:val="00031166"/>
    <w:rsid w:val="00031679"/>
    <w:rsid w:val="00031E10"/>
    <w:rsid w:val="00031FB2"/>
    <w:rsid w:val="000326A5"/>
    <w:rsid w:val="0003358B"/>
    <w:rsid w:val="000344F7"/>
    <w:rsid w:val="00034886"/>
    <w:rsid w:val="000348F7"/>
    <w:rsid w:val="000352B9"/>
    <w:rsid w:val="00035F5C"/>
    <w:rsid w:val="00036FF3"/>
    <w:rsid w:val="000371CB"/>
    <w:rsid w:val="00040D42"/>
    <w:rsid w:val="000413B6"/>
    <w:rsid w:val="000413F8"/>
    <w:rsid w:val="000425F0"/>
    <w:rsid w:val="00042841"/>
    <w:rsid w:val="00043648"/>
    <w:rsid w:val="00044790"/>
    <w:rsid w:val="0004483A"/>
    <w:rsid w:val="00044899"/>
    <w:rsid w:val="00044C5C"/>
    <w:rsid w:val="0004614C"/>
    <w:rsid w:val="00046AA5"/>
    <w:rsid w:val="00047564"/>
    <w:rsid w:val="0005097C"/>
    <w:rsid w:val="00051157"/>
    <w:rsid w:val="00052F60"/>
    <w:rsid w:val="0005377F"/>
    <w:rsid w:val="00053E6A"/>
    <w:rsid w:val="00053EAE"/>
    <w:rsid w:val="00054B7E"/>
    <w:rsid w:val="00054D60"/>
    <w:rsid w:val="00054FDB"/>
    <w:rsid w:val="0005593D"/>
    <w:rsid w:val="0005598C"/>
    <w:rsid w:val="00055BE0"/>
    <w:rsid w:val="00055E38"/>
    <w:rsid w:val="000563F8"/>
    <w:rsid w:val="00056F9C"/>
    <w:rsid w:val="00057478"/>
    <w:rsid w:val="0006029E"/>
    <w:rsid w:val="00060E8D"/>
    <w:rsid w:val="00060FB7"/>
    <w:rsid w:val="00062B8C"/>
    <w:rsid w:val="00063EDB"/>
    <w:rsid w:val="000656E0"/>
    <w:rsid w:val="00065788"/>
    <w:rsid w:val="0006656B"/>
    <w:rsid w:val="00070293"/>
    <w:rsid w:val="00071CCC"/>
    <w:rsid w:val="000720EB"/>
    <w:rsid w:val="00075E52"/>
    <w:rsid w:val="00076C38"/>
    <w:rsid w:val="00076C42"/>
    <w:rsid w:val="0007755A"/>
    <w:rsid w:val="0008089F"/>
    <w:rsid w:val="00080921"/>
    <w:rsid w:val="00080D3A"/>
    <w:rsid w:val="0008171C"/>
    <w:rsid w:val="00081D57"/>
    <w:rsid w:val="00082017"/>
    <w:rsid w:val="000835A4"/>
    <w:rsid w:val="00084369"/>
    <w:rsid w:val="0008501A"/>
    <w:rsid w:val="0008574C"/>
    <w:rsid w:val="0008705C"/>
    <w:rsid w:val="00087138"/>
    <w:rsid w:val="000873D8"/>
    <w:rsid w:val="00090F61"/>
    <w:rsid w:val="000918FE"/>
    <w:rsid w:val="00091CE8"/>
    <w:rsid w:val="00093ADB"/>
    <w:rsid w:val="00095424"/>
    <w:rsid w:val="00095776"/>
    <w:rsid w:val="000A04B9"/>
    <w:rsid w:val="000A2A69"/>
    <w:rsid w:val="000A2B29"/>
    <w:rsid w:val="000A3FC3"/>
    <w:rsid w:val="000A4881"/>
    <w:rsid w:val="000A4C60"/>
    <w:rsid w:val="000A5CFD"/>
    <w:rsid w:val="000A61AF"/>
    <w:rsid w:val="000A66CA"/>
    <w:rsid w:val="000A6B3B"/>
    <w:rsid w:val="000A796A"/>
    <w:rsid w:val="000B03F8"/>
    <w:rsid w:val="000B15F9"/>
    <w:rsid w:val="000B1752"/>
    <w:rsid w:val="000B29D8"/>
    <w:rsid w:val="000B5771"/>
    <w:rsid w:val="000B5CF5"/>
    <w:rsid w:val="000C002E"/>
    <w:rsid w:val="000C0FB1"/>
    <w:rsid w:val="000C1F46"/>
    <w:rsid w:val="000C219B"/>
    <w:rsid w:val="000C2412"/>
    <w:rsid w:val="000C4EC4"/>
    <w:rsid w:val="000C5BE8"/>
    <w:rsid w:val="000C5D4D"/>
    <w:rsid w:val="000C5F91"/>
    <w:rsid w:val="000C605E"/>
    <w:rsid w:val="000D21EA"/>
    <w:rsid w:val="000D4308"/>
    <w:rsid w:val="000D47D5"/>
    <w:rsid w:val="000D49EB"/>
    <w:rsid w:val="000D4DA7"/>
    <w:rsid w:val="000D76EC"/>
    <w:rsid w:val="000D7CEB"/>
    <w:rsid w:val="000D7F60"/>
    <w:rsid w:val="000E010D"/>
    <w:rsid w:val="000E04C4"/>
    <w:rsid w:val="000E10BC"/>
    <w:rsid w:val="000E1F87"/>
    <w:rsid w:val="000E3442"/>
    <w:rsid w:val="000E55EF"/>
    <w:rsid w:val="000E595E"/>
    <w:rsid w:val="000E5C7F"/>
    <w:rsid w:val="000E6795"/>
    <w:rsid w:val="000E6D99"/>
    <w:rsid w:val="000E739D"/>
    <w:rsid w:val="000E7417"/>
    <w:rsid w:val="000E78C6"/>
    <w:rsid w:val="000E79F3"/>
    <w:rsid w:val="000E7C8D"/>
    <w:rsid w:val="000F0647"/>
    <w:rsid w:val="000F0B5D"/>
    <w:rsid w:val="000F38B5"/>
    <w:rsid w:val="000F3D2D"/>
    <w:rsid w:val="000F4CD6"/>
    <w:rsid w:val="000F6182"/>
    <w:rsid w:val="000F7570"/>
    <w:rsid w:val="00102663"/>
    <w:rsid w:val="00102C6B"/>
    <w:rsid w:val="00104866"/>
    <w:rsid w:val="00104AE6"/>
    <w:rsid w:val="0010528A"/>
    <w:rsid w:val="001057CF"/>
    <w:rsid w:val="00106BE1"/>
    <w:rsid w:val="00107CEC"/>
    <w:rsid w:val="0011167A"/>
    <w:rsid w:val="001117A2"/>
    <w:rsid w:val="00112D26"/>
    <w:rsid w:val="00113FC8"/>
    <w:rsid w:val="001144B6"/>
    <w:rsid w:val="00114FCA"/>
    <w:rsid w:val="0011547C"/>
    <w:rsid w:val="001154E5"/>
    <w:rsid w:val="001159F2"/>
    <w:rsid w:val="00121DE8"/>
    <w:rsid w:val="001228DA"/>
    <w:rsid w:val="00122AD0"/>
    <w:rsid w:val="00122B1B"/>
    <w:rsid w:val="00122EC7"/>
    <w:rsid w:val="00122FF3"/>
    <w:rsid w:val="001231AC"/>
    <w:rsid w:val="001237D8"/>
    <w:rsid w:val="00124CDB"/>
    <w:rsid w:val="00124F9D"/>
    <w:rsid w:val="0012530B"/>
    <w:rsid w:val="001253E6"/>
    <w:rsid w:val="00125BAB"/>
    <w:rsid w:val="00125C03"/>
    <w:rsid w:val="00126168"/>
    <w:rsid w:val="00127E15"/>
    <w:rsid w:val="001306E1"/>
    <w:rsid w:val="0013106C"/>
    <w:rsid w:val="00131947"/>
    <w:rsid w:val="001337B4"/>
    <w:rsid w:val="001339B8"/>
    <w:rsid w:val="00133CEA"/>
    <w:rsid w:val="00134110"/>
    <w:rsid w:val="00136F80"/>
    <w:rsid w:val="00141669"/>
    <w:rsid w:val="0014201A"/>
    <w:rsid w:val="0014202C"/>
    <w:rsid w:val="001429C7"/>
    <w:rsid w:val="00143021"/>
    <w:rsid w:val="001439D2"/>
    <w:rsid w:val="00144925"/>
    <w:rsid w:val="00145647"/>
    <w:rsid w:val="001467D4"/>
    <w:rsid w:val="0014706C"/>
    <w:rsid w:val="001470C3"/>
    <w:rsid w:val="00147297"/>
    <w:rsid w:val="001500AF"/>
    <w:rsid w:val="001504D5"/>
    <w:rsid w:val="0015065A"/>
    <w:rsid w:val="00150AC7"/>
    <w:rsid w:val="00150EFC"/>
    <w:rsid w:val="001512EE"/>
    <w:rsid w:val="00151471"/>
    <w:rsid w:val="00151A8B"/>
    <w:rsid w:val="0015239F"/>
    <w:rsid w:val="0015314B"/>
    <w:rsid w:val="00153D8F"/>
    <w:rsid w:val="00153FAA"/>
    <w:rsid w:val="00154A70"/>
    <w:rsid w:val="001564BD"/>
    <w:rsid w:val="0015656E"/>
    <w:rsid w:val="0015673C"/>
    <w:rsid w:val="00156DEB"/>
    <w:rsid w:val="00156E41"/>
    <w:rsid w:val="0015752B"/>
    <w:rsid w:val="00157BBC"/>
    <w:rsid w:val="00157DBD"/>
    <w:rsid w:val="00161E3F"/>
    <w:rsid w:val="001626C6"/>
    <w:rsid w:val="00162762"/>
    <w:rsid w:val="001629CC"/>
    <w:rsid w:val="00163928"/>
    <w:rsid w:val="00163D74"/>
    <w:rsid w:val="00163E1B"/>
    <w:rsid w:val="00163EC1"/>
    <w:rsid w:val="00164648"/>
    <w:rsid w:val="00165A69"/>
    <w:rsid w:val="00165F72"/>
    <w:rsid w:val="00166079"/>
    <w:rsid w:val="00166C1F"/>
    <w:rsid w:val="00166D5C"/>
    <w:rsid w:val="00166E4E"/>
    <w:rsid w:val="001671E1"/>
    <w:rsid w:val="00167C04"/>
    <w:rsid w:val="00171CFD"/>
    <w:rsid w:val="001720F0"/>
    <w:rsid w:val="00172B87"/>
    <w:rsid w:val="00172CBE"/>
    <w:rsid w:val="00175337"/>
    <w:rsid w:val="0017612E"/>
    <w:rsid w:val="00177D8D"/>
    <w:rsid w:val="00180B4D"/>
    <w:rsid w:val="001811CD"/>
    <w:rsid w:val="00181441"/>
    <w:rsid w:val="001815EA"/>
    <w:rsid w:val="00181978"/>
    <w:rsid w:val="00182712"/>
    <w:rsid w:val="00185BF2"/>
    <w:rsid w:val="00186269"/>
    <w:rsid w:val="00186662"/>
    <w:rsid w:val="0018733C"/>
    <w:rsid w:val="00187E97"/>
    <w:rsid w:val="001907B4"/>
    <w:rsid w:val="001911B8"/>
    <w:rsid w:val="00192C42"/>
    <w:rsid w:val="00193B83"/>
    <w:rsid w:val="00193E50"/>
    <w:rsid w:val="00194567"/>
    <w:rsid w:val="001957ED"/>
    <w:rsid w:val="0019692D"/>
    <w:rsid w:val="0019693B"/>
    <w:rsid w:val="001A1175"/>
    <w:rsid w:val="001A17AA"/>
    <w:rsid w:val="001A21FC"/>
    <w:rsid w:val="001A2C90"/>
    <w:rsid w:val="001A3032"/>
    <w:rsid w:val="001A321C"/>
    <w:rsid w:val="001A40B8"/>
    <w:rsid w:val="001A6456"/>
    <w:rsid w:val="001A6905"/>
    <w:rsid w:val="001A74DC"/>
    <w:rsid w:val="001B0D51"/>
    <w:rsid w:val="001B16BA"/>
    <w:rsid w:val="001B205F"/>
    <w:rsid w:val="001B2440"/>
    <w:rsid w:val="001B2813"/>
    <w:rsid w:val="001B3A35"/>
    <w:rsid w:val="001B41A8"/>
    <w:rsid w:val="001B41F3"/>
    <w:rsid w:val="001B511C"/>
    <w:rsid w:val="001B719A"/>
    <w:rsid w:val="001C0364"/>
    <w:rsid w:val="001C1C75"/>
    <w:rsid w:val="001C1D50"/>
    <w:rsid w:val="001C2949"/>
    <w:rsid w:val="001C2BC6"/>
    <w:rsid w:val="001C37C4"/>
    <w:rsid w:val="001C3CA8"/>
    <w:rsid w:val="001C4337"/>
    <w:rsid w:val="001C4A48"/>
    <w:rsid w:val="001C7077"/>
    <w:rsid w:val="001D229A"/>
    <w:rsid w:val="001D29D8"/>
    <w:rsid w:val="001D3AFF"/>
    <w:rsid w:val="001D4D9B"/>
    <w:rsid w:val="001D5A0C"/>
    <w:rsid w:val="001D73D5"/>
    <w:rsid w:val="001D7512"/>
    <w:rsid w:val="001D7B9C"/>
    <w:rsid w:val="001E0F53"/>
    <w:rsid w:val="001E23B9"/>
    <w:rsid w:val="001E2537"/>
    <w:rsid w:val="001E28AB"/>
    <w:rsid w:val="001E2BA5"/>
    <w:rsid w:val="001E3262"/>
    <w:rsid w:val="001E3B53"/>
    <w:rsid w:val="001E483F"/>
    <w:rsid w:val="001E4C15"/>
    <w:rsid w:val="001E4CB6"/>
    <w:rsid w:val="001E4F70"/>
    <w:rsid w:val="001E6143"/>
    <w:rsid w:val="001F4C23"/>
    <w:rsid w:val="001F4FF3"/>
    <w:rsid w:val="001F6808"/>
    <w:rsid w:val="00200514"/>
    <w:rsid w:val="0020070B"/>
    <w:rsid w:val="00200C1D"/>
    <w:rsid w:val="00201C16"/>
    <w:rsid w:val="00201F2B"/>
    <w:rsid w:val="00201F56"/>
    <w:rsid w:val="002022AF"/>
    <w:rsid w:val="00203276"/>
    <w:rsid w:val="00204725"/>
    <w:rsid w:val="0020567C"/>
    <w:rsid w:val="00205AE9"/>
    <w:rsid w:val="0020683A"/>
    <w:rsid w:val="00206BFA"/>
    <w:rsid w:val="00207F50"/>
    <w:rsid w:val="002105B3"/>
    <w:rsid w:val="002105C5"/>
    <w:rsid w:val="002119AC"/>
    <w:rsid w:val="00211C91"/>
    <w:rsid w:val="002123AA"/>
    <w:rsid w:val="00212DE8"/>
    <w:rsid w:val="00213452"/>
    <w:rsid w:val="00213B3D"/>
    <w:rsid w:val="0021436C"/>
    <w:rsid w:val="00214898"/>
    <w:rsid w:val="002153F5"/>
    <w:rsid w:val="00215971"/>
    <w:rsid w:val="00216555"/>
    <w:rsid w:val="0021680B"/>
    <w:rsid w:val="00216BFA"/>
    <w:rsid w:val="00217C83"/>
    <w:rsid w:val="00220045"/>
    <w:rsid w:val="00221BA5"/>
    <w:rsid w:val="00221F4A"/>
    <w:rsid w:val="002228FA"/>
    <w:rsid w:val="00223EA3"/>
    <w:rsid w:val="00224EEB"/>
    <w:rsid w:val="0022532B"/>
    <w:rsid w:val="00226C30"/>
    <w:rsid w:val="00230BB5"/>
    <w:rsid w:val="002319A4"/>
    <w:rsid w:val="00232766"/>
    <w:rsid w:val="00232BEB"/>
    <w:rsid w:val="002330DB"/>
    <w:rsid w:val="0023337A"/>
    <w:rsid w:val="00233481"/>
    <w:rsid w:val="002344A8"/>
    <w:rsid w:val="0023569C"/>
    <w:rsid w:val="00235794"/>
    <w:rsid w:val="00235EDC"/>
    <w:rsid w:val="002361EB"/>
    <w:rsid w:val="00240339"/>
    <w:rsid w:val="00241E54"/>
    <w:rsid w:val="00242D40"/>
    <w:rsid w:val="00245282"/>
    <w:rsid w:val="002461B0"/>
    <w:rsid w:val="00246AC2"/>
    <w:rsid w:val="00247659"/>
    <w:rsid w:val="002479CA"/>
    <w:rsid w:val="00247BF0"/>
    <w:rsid w:val="002502C3"/>
    <w:rsid w:val="002508F5"/>
    <w:rsid w:val="00250BF7"/>
    <w:rsid w:val="00250EFC"/>
    <w:rsid w:val="00251B5D"/>
    <w:rsid w:val="00251DB8"/>
    <w:rsid w:val="00253742"/>
    <w:rsid w:val="00253A1A"/>
    <w:rsid w:val="002546D4"/>
    <w:rsid w:val="00255385"/>
    <w:rsid w:val="002558B5"/>
    <w:rsid w:val="002579E7"/>
    <w:rsid w:val="00257A3C"/>
    <w:rsid w:val="002610DA"/>
    <w:rsid w:val="00261972"/>
    <w:rsid w:val="00261F68"/>
    <w:rsid w:val="002626E3"/>
    <w:rsid w:val="002631C8"/>
    <w:rsid w:val="0026371C"/>
    <w:rsid w:val="00263A52"/>
    <w:rsid w:val="00264268"/>
    <w:rsid w:val="00264286"/>
    <w:rsid w:val="00265236"/>
    <w:rsid w:val="002653D7"/>
    <w:rsid w:val="002653FD"/>
    <w:rsid w:val="0026608D"/>
    <w:rsid w:val="00266EC8"/>
    <w:rsid w:val="00267256"/>
    <w:rsid w:val="002673C6"/>
    <w:rsid w:val="0027159C"/>
    <w:rsid w:val="00271F9E"/>
    <w:rsid w:val="00272257"/>
    <w:rsid w:val="00272610"/>
    <w:rsid w:val="0027261F"/>
    <w:rsid w:val="00272690"/>
    <w:rsid w:val="00272A1C"/>
    <w:rsid w:val="002741EF"/>
    <w:rsid w:val="00275845"/>
    <w:rsid w:val="00275EAC"/>
    <w:rsid w:val="0027628E"/>
    <w:rsid w:val="002765BB"/>
    <w:rsid w:val="00281A78"/>
    <w:rsid w:val="002826C2"/>
    <w:rsid w:val="00282777"/>
    <w:rsid w:val="00282EAC"/>
    <w:rsid w:val="002832EA"/>
    <w:rsid w:val="00283799"/>
    <w:rsid w:val="00283C45"/>
    <w:rsid w:val="00284929"/>
    <w:rsid w:val="002858F4"/>
    <w:rsid w:val="0028698C"/>
    <w:rsid w:val="002869C8"/>
    <w:rsid w:val="00287B4B"/>
    <w:rsid w:val="002900D6"/>
    <w:rsid w:val="00290326"/>
    <w:rsid w:val="00290A06"/>
    <w:rsid w:val="00291767"/>
    <w:rsid w:val="00292140"/>
    <w:rsid w:val="00292E75"/>
    <w:rsid w:val="00296AA7"/>
    <w:rsid w:val="00296AE1"/>
    <w:rsid w:val="00296F08"/>
    <w:rsid w:val="00297284"/>
    <w:rsid w:val="002975E9"/>
    <w:rsid w:val="002977D0"/>
    <w:rsid w:val="002A0457"/>
    <w:rsid w:val="002A10A6"/>
    <w:rsid w:val="002A39D7"/>
    <w:rsid w:val="002A4C0E"/>
    <w:rsid w:val="002A61B1"/>
    <w:rsid w:val="002A6C6B"/>
    <w:rsid w:val="002B3FE8"/>
    <w:rsid w:val="002B4589"/>
    <w:rsid w:val="002B46A9"/>
    <w:rsid w:val="002B4BAA"/>
    <w:rsid w:val="002B55AC"/>
    <w:rsid w:val="002B6B44"/>
    <w:rsid w:val="002B7FE7"/>
    <w:rsid w:val="002C0018"/>
    <w:rsid w:val="002C0B34"/>
    <w:rsid w:val="002C117C"/>
    <w:rsid w:val="002C1694"/>
    <w:rsid w:val="002C2DAD"/>
    <w:rsid w:val="002C2EED"/>
    <w:rsid w:val="002C346C"/>
    <w:rsid w:val="002C359B"/>
    <w:rsid w:val="002C47E5"/>
    <w:rsid w:val="002C5335"/>
    <w:rsid w:val="002C56B0"/>
    <w:rsid w:val="002C603B"/>
    <w:rsid w:val="002C7888"/>
    <w:rsid w:val="002D1D40"/>
    <w:rsid w:val="002D437A"/>
    <w:rsid w:val="002D45FC"/>
    <w:rsid w:val="002D4CE3"/>
    <w:rsid w:val="002D50F0"/>
    <w:rsid w:val="002D5892"/>
    <w:rsid w:val="002D593E"/>
    <w:rsid w:val="002D5A7E"/>
    <w:rsid w:val="002D6713"/>
    <w:rsid w:val="002D6DD3"/>
    <w:rsid w:val="002D77D3"/>
    <w:rsid w:val="002D78C7"/>
    <w:rsid w:val="002D7C84"/>
    <w:rsid w:val="002D7F74"/>
    <w:rsid w:val="002E3525"/>
    <w:rsid w:val="002E41E1"/>
    <w:rsid w:val="002E43FB"/>
    <w:rsid w:val="002E4863"/>
    <w:rsid w:val="002E4D07"/>
    <w:rsid w:val="002E57EF"/>
    <w:rsid w:val="002E59C8"/>
    <w:rsid w:val="002E770E"/>
    <w:rsid w:val="002E7B13"/>
    <w:rsid w:val="002F0A83"/>
    <w:rsid w:val="002F16CF"/>
    <w:rsid w:val="002F2CED"/>
    <w:rsid w:val="002F2F03"/>
    <w:rsid w:val="002F3537"/>
    <w:rsid w:val="002F4F4A"/>
    <w:rsid w:val="002F5763"/>
    <w:rsid w:val="002F5C37"/>
    <w:rsid w:val="002F67BA"/>
    <w:rsid w:val="003048C4"/>
    <w:rsid w:val="00304C67"/>
    <w:rsid w:val="00305B6E"/>
    <w:rsid w:val="00305D95"/>
    <w:rsid w:val="0030682D"/>
    <w:rsid w:val="00306A29"/>
    <w:rsid w:val="00310A28"/>
    <w:rsid w:val="00310ECC"/>
    <w:rsid w:val="003114D7"/>
    <w:rsid w:val="00312B4D"/>
    <w:rsid w:val="00312BDA"/>
    <w:rsid w:val="00312F17"/>
    <w:rsid w:val="00313B6B"/>
    <w:rsid w:val="00313E50"/>
    <w:rsid w:val="003147C0"/>
    <w:rsid w:val="00315677"/>
    <w:rsid w:val="00315E3A"/>
    <w:rsid w:val="003172BE"/>
    <w:rsid w:val="003177F4"/>
    <w:rsid w:val="003205E9"/>
    <w:rsid w:val="00320A3C"/>
    <w:rsid w:val="00320FEC"/>
    <w:rsid w:val="00321BB3"/>
    <w:rsid w:val="00322912"/>
    <w:rsid w:val="00323C6D"/>
    <w:rsid w:val="0032514B"/>
    <w:rsid w:val="00325176"/>
    <w:rsid w:val="00325523"/>
    <w:rsid w:val="00325907"/>
    <w:rsid w:val="00325CD0"/>
    <w:rsid w:val="003263D7"/>
    <w:rsid w:val="00326ABC"/>
    <w:rsid w:val="00326BD8"/>
    <w:rsid w:val="003278C3"/>
    <w:rsid w:val="00327B5E"/>
    <w:rsid w:val="00327C54"/>
    <w:rsid w:val="003303FF"/>
    <w:rsid w:val="00330F7D"/>
    <w:rsid w:val="00331B7A"/>
    <w:rsid w:val="00331E6D"/>
    <w:rsid w:val="00332229"/>
    <w:rsid w:val="00332666"/>
    <w:rsid w:val="00333544"/>
    <w:rsid w:val="00334668"/>
    <w:rsid w:val="00334F33"/>
    <w:rsid w:val="00335724"/>
    <w:rsid w:val="003368B3"/>
    <w:rsid w:val="003373D9"/>
    <w:rsid w:val="00341B84"/>
    <w:rsid w:val="003437E0"/>
    <w:rsid w:val="00344256"/>
    <w:rsid w:val="00344C16"/>
    <w:rsid w:val="00345011"/>
    <w:rsid w:val="003450FD"/>
    <w:rsid w:val="00345DAD"/>
    <w:rsid w:val="00345F88"/>
    <w:rsid w:val="003460A7"/>
    <w:rsid w:val="00346AE1"/>
    <w:rsid w:val="00350B7E"/>
    <w:rsid w:val="003519B3"/>
    <w:rsid w:val="00351BAE"/>
    <w:rsid w:val="00351BB7"/>
    <w:rsid w:val="00351D27"/>
    <w:rsid w:val="0035297A"/>
    <w:rsid w:val="003539ED"/>
    <w:rsid w:val="00353D10"/>
    <w:rsid w:val="003549DD"/>
    <w:rsid w:val="00355082"/>
    <w:rsid w:val="00355564"/>
    <w:rsid w:val="00355707"/>
    <w:rsid w:val="00355EB4"/>
    <w:rsid w:val="003562C5"/>
    <w:rsid w:val="00356524"/>
    <w:rsid w:val="00356DB0"/>
    <w:rsid w:val="00360A6C"/>
    <w:rsid w:val="00361571"/>
    <w:rsid w:val="00361F49"/>
    <w:rsid w:val="003627FF"/>
    <w:rsid w:val="00363C63"/>
    <w:rsid w:val="00364EE5"/>
    <w:rsid w:val="0036507B"/>
    <w:rsid w:val="0036530B"/>
    <w:rsid w:val="003653C4"/>
    <w:rsid w:val="003657B2"/>
    <w:rsid w:val="0037019E"/>
    <w:rsid w:val="003703A2"/>
    <w:rsid w:val="00370F64"/>
    <w:rsid w:val="00371C5F"/>
    <w:rsid w:val="00371C6E"/>
    <w:rsid w:val="003727E4"/>
    <w:rsid w:val="0037294E"/>
    <w:rsid w:val="003741B6"/>
    <w:rsid w:val="003751F5"/>
    <w:rsid w:val="003756FE"/>
    <w:rsid w:val="00375B9B"/>
    <w:rsid w:val="00376756"/>
    <w:rsid w:val="0037695D"/>
    <w:rsid w:val="00377F6E"/>
    <w:rsid w:val="00380FAA"/>
    <w:rsid w:val="00381F01"/>
    <w:rsid w:val="00382889"/>
    <w:rsid w:val="003829F8"/>
    <w:rsid w:val="00384903"/>
    <w:rsid w:val="00384F53"/>
    <w:rsid w:val="003868F1"/>
    <w:rsid w:val="0038697C"/>
    <w:rsid w:val="00386EBA"/>
    <w:rsid w:val="00386FF7"/>
    <w:rsid w:val="003872AA"/>
    <w:rsid w:val="0038766E"/>
    <w:rsid w:val="00387732"/>
    <w:rsid w:val="00387F06"/>
    <w:rsid w:val="00390016"/>
    <w:rsid w:val="003903E4"/>
    <w:rsid w:val="00390D20"/>
    <w:rsid w:val="003913BB"/>
    <w:rsid w:val="00391585"/>
    <w:rsid w:val="0039185A"/>
    <w:rsid w:val="00392EF6"/>
    <w:rsid w:val="0039391A"/>
    <w:rsid w:val="003943E0"/>
    <w:rsid w:val="003960AA"/>
    <w:rsid w:val="003964B1"/>
    <w:rsid w:val="0039675B"/>
    <w:rsid w:val="00397DDD"/>
    <w:rsid w:val="003A063B"/>
    <w:rsid w:val="003A1E2D"/>
    <w:rsid w:val="003A282E"/>
    <w:rsid w:val="003A30D3"/>
    <w:rsid w:val="003A5619"/>
    <w:rsid w:val="003A5A50"/>
    <w:rsid w:val="003A5C0F"/>
    <w:rsid w:val="003A6EAF"/>
    <w:rsid w:val="003B1293"/>
    <w:rsid w:val="003B2F30"/>
    <w:rsid w:val="003B3076"/>
    <w:rsid w:val="003B3146"/>
    <w:rsid w:val="003B39D4"/>
    <w:rsid w:val="003B44F3"/>
    <w:rsid w:val="003B46D8"/>
    <w:rsid w:val="003B4C04"/>
    <w:rsid w:val="003B5118"/>
    <w:rsid w:val="003B5DCA"/>
    <w:rsid w:val="003B675F"/>
    <w:rsid w:val="003B77BB"/>
    <w:rsid w:val="003B77D9"/>
    <w:rsid w:val="003C1BF2"/>
    <w:rsid w:val="003C2D05"/>
    <w:rsid w:val="003C3A7D"/>
    <w:rsid w:val="003C3DFD"/>
    <w:rsid w:val="003C476F"/>
    <w:rsid w:val="003C4C10"/>
    <w:rsid w:val="003C526E"/>
    <w:rsid w:val="003C6EF4"/>
    <w:rsid w:val="003D0196"/>
    <w:rsid w:val="003D0742"/>
    <w:rsid w:val="003D1287"/>
    <w:rsid w:val="003D15EB"/>
    <w:rsid w:val="003D1E90"/>
    <w:rsid w:val="003D271B"/>
    <w:rsid w:val="003D278D"/>
    <w:rsid w:val="003D2A92"/>
    <w:rsid w:val="003D36BA"/>
    <w:rsid w:val="003D3B19"/>
    <w:rsid w:val="003D4050"/>
    <w:rsid w:val="003D4FDB"/>
    <w:rsid w:val="003D622C"/>
    <w:rsid w:val="003D7429"/>
    <w:rsid w:val="003E0A57"/>
    <w:rsid w:val="003E0C18"/>
    <w:rsid w:val="003E223B"/>
    <w:rsid w:val="003E38B8"/>
    <w:rsid w:val="003E411D"/>
    <w:rsid w:val="003E45B1"/>
    <w:rsid w:val="003E6237"/>
    <w:rsid w:val="003E68D0"/>
    <w:rsid w:val="003E6911"/>
    <w:rsid w:val="003E6FE9"/>
    <w:rsid w:val="003E6FF5"/>
    <w:rsid w:val="003E775D"/>
    <w:rsid w:val="003E7B1A"/>
    <w:rsid w:val="003F00E7"/>
    <w:rsid w:val="003F05CF"/>
    <w:rsid w:val="003F1820"/>
    <w:rsid w:val="003F1FB9"/>
    <w:rsid w:val="003F208E"/>
    <w:rsid w:val="003F2D65"/>
    <w:rsid w:val="003F3602"/>
    <w:rsid w:val="003F49BC"/>
    <w:rsid w:val="003F5094"/>
    <w:rsid w:val="003F6260"/>
    <w:rsid w:val="003F64CD"/>
    <w:rsid w:val="003F7E13"/>
    <w:rsid w:val="004006AF"/>
    <w:rsid w:val="00400B4A"/>
    <w:rsid w:val="00400C9D"/>
    <w:rsid w:val="00400E9E"/>
    <w:rsid w:val="00402178"/>
    <w:rsid w:val="00402C01"/>
    <w:rsid w:val="00403A9F"/>
    <w:rsid w:val="00405401"/>
    <w:rsid w:val="00406661"/>
    <w:rsid w:val="00406A54"/>
    <w:rsid w:val="00406A7E"/>
    <w:rsid w:val="00411A42"/>
    <w:rsid w:val="0041298C"/>
    <w:rsid w:val="00413BB3"/>
    <w:rsid w:val="00414746"/>
    <w:rsid w:val="00415902"/>
    <w:rsid w:val="00415FBD"/>
    <w:rsid w:val="004164E4"/>
    <w:rsid w:val="00417C09"/>
    <w:rsid w:val="00417C0D"/>
    <w:rsid w:val="00417D8B"/>
    <w:rsid w:val="00420E0E"/>
    <w:rsid w:val="00421203"/>
    <w:rsid w:val="004218F3"/>
    <w:rsid w:val="00422A4F"/>
    <w:rsid w:val="0042346A"/>
    <w:rsid w:val="00423D8B"/>
    <w:rsid w:val="00423F55"/>
    <w:rsid w:val="004246EF"/>
    <w:rsid w:val="00425C02"/>
    <w:rsid w:val="00425F1C"/>
    <w:rsid w:val="00425F8F"/>
    <w:rsid w:val="00426265"/>
    <w:rsid w:val="0042661B"/>
    <w:rsid w:val="0043016E"/>
    <w:rsid w:val="00430295"/>
    <w:rsid w:val="00430FB5"/>
    <w:rsid w:val="00431099"/>
    <w:rsid w:val="00431504"/>
    <w:rsid w:val="00432458"/>
    <w:rsid w:val="00432BFE"/>
    <w:rsid w:val="00432D2D"/>
    <w:rsid w:val="00433322"/>
    <w:rsid w:val="0043355A"/>
    <w:rsid w:val="00433978"/>
    <w:rsid w:val="0043414D"/>
    <w:rsid w:val="00434287"/>
    <w:rsid w:val="00435D0A"/>
    <w:rsid w:val="00436D8F"/>
    <w:rsid w:val="00436F6D"/>
    <w:rsid w:val="004374D6"/>
    <w:rsid w:val="004405BB"/>
    <w:rsid w:val="00440F63"/>
    <w:rsid w:val="00441F18"/>
    <w:rsid w:val="00442589"/>
    <w:rsid w:val="00443223"/>
    <w:rsid w:val="004439EF"/>
    <w:rsid w:val="00443D5D"/>
    <w:rsid w:val="004450DC"/>
    <w:rsid w:val="00445148"/>
    <w:rsid w:val="00445220"/>
    <w:rsid w:val="0044548B"/>
    <w:rsid w:val="00445A37"/>
    <w:rsid w:val="004479B1"/>
    <w:rsid w:val="00447F7B"/>
    <w:rsid w:val="00450128"/>
    <w:rsid w:val="00450259"/>
    <w:rsid w:val="004507B8"/>
    <w:rsid w:val="0045127E"/>
    <w:rsid w:val="00451622"/>
    <w:rsid w:val="00451C65"/>
    <w:rsid w:val="004530A8"/>
    <w:rsid w:val="004532D0"/>
    <w:rsid w:val="00453E75"/>
    <w:rsid w:val="004555F1"/>
    <w:rsid w:val="00455B57"/>
    <w:rsid w:val="004561B0"/>
    <w:rsid w:val="00456BBE"/>
    <w:rsid w:val="00456BE3"/>
    <w:rsid w:val="00457030"/>
    <w:rsid w:val="00457235"/>
    <w:rsid w:val="00457AA2"/>
    <w:rsid w:val="00457D42"/>
    <w:rsid w:val="0046072E"/>
    <w:rsid w:val="00460ADD"/>
    <w:rsid w:val="004611BB"/>
    <w:rsid w:val="004615AD"/>
    <w:rsid w:val="004619A3"/>
    <w:rsid w:val="00461D2B"/>
    <w:rsid w:val="00462523"/>
    <w:rsid w:val="00462694"/>
    <w:rsid w:val="00462BC2"/>
    <w:rsid w:val="00462EA9"/>
    <w:rsid w:val="00463816"/>
    <w:rsid w:val="00463BFD"/>
    <w:rsid w:val="0046434C"/>
    <w:rsid w:val="004657E7"/>
    <w:rsid w:val="0046667D"/>
    <w:rsid w:val="00466B76"/>
    <w:rsid w:val="00467434"/>
    <w:rsid w:val="0046767F"/>
    <w:rsid w:val="004678E9"/>
    <w:rsid w:val="004709D9"/>
    <w:rsid w:val="00470B68"/>
    <w:rsid w:val="004714C2"/>
    <w:rsid w:val="00471A06"/>
    <w:rsid w:val="00472379"/>
    <w:rsid w:val="004727CF"/>
    <w:rsid w:val="00472AB7"/>
    <w:rsid w:val="00474334"/>
    <w:rsid w:val="004744F5"/>
    <w:rsid w:val="0047574E"/>
    <w:rsid w:val="00476531"/>
    <w:rsid w:val="00477029"/>
    <w:rsid w:val="0047734A"/>
    <w:rsid w:val="00477F7D"/>
    <w:rsid w:val="0048072B"/>
    <w:rsid w:val="00480F3C"/>
    <w:rsid w:val="004816D4"/>
    <w:rsid w:val="00481D61"/>
    <w:rsid w:val="004822E1"/>
    <w:rsid w:val="00483DB1"/>
    <w:rsid w:val="00484C95"/>
    <w:rsid w:val="00485362"/>
    <w:rsid w:val="0048594C"/>
    <w:rsid w:val="00485F74"/>
    <w:rsid w:val="0048789C"/>
    <w:rsid w:val="00490DA3"/>
    <w:rsid w:val="00492572"/>
    <w:rsid w:val="0049291D"/>
    <w:rsid w:val="00492D5E"/>
    <w:rsid w:val="00493340"/>
    <w:rsid w:val="004934D8"/>
    <w:rsid w:val="00494A0D"/>
    <w:rsid w:val="00494D9A"/>
    <w:rsid w:val="004978A3"/>
    <w:rsid w:val="004A1555"/>
    <w:rsid w:val="004A1A1D"/>
    <w:rsid w:val="004A2D2C"/>
    <w:rsid w:val="004A3151"/>
    <w:rsid w:val="004A5051"/>
    <w:rsid w:val="004A54F9"/>
    <w:rsid w:val="004A6AFA"/>
    <w:rsid w:val="004A6BD8"/>
    <w:rsid w:val="004A6CB9"/>
    <w:rsid w:val="004A6EC4"/>
    <w:rsid w:val="004A7F49"/>
    <w:rsid w:val="004B0AD7"/>
    <w:rsid w:val="004B0F60"/>
    <w:rsid w:val="004B4DAE"/>
    <w:rsid w:val="004B5832"/>
    <w:rsid w:val="004B5933"/>
    <w:rsid w:val="004B5A58"/>
    <w:rsid w:val="004B6413"/>
    <w:rsid w:val="004C16F8"/>
    <w:rsid w:val="004C2303"/>
    <w:rsid w:val="004C24EB"/>
    <w:rsid w:val="004C3337"/>
    <w:rsid w:val="004C3831"/>
    <w:rsid w:val="004C39F1"/>
    <w:rsid w:val="004C4874"/>
    <w:rsid w:val="004C543E"/>
    <w:rsid w:val="004C60CD"/>
    <w:rsid w:val="004C6E8D"/>
    <w:rsid w:val="004C777F"/>
    <w:rsid w:val="004D007E"/>
    <w:rsid w:val="004D0F71"/>
    <w:rsid w:val="004D2DEC"/>
    <w:rsid w:val="004D3001"/>
    <w:rsid w:val="004D3264"/>
    <w:rsid w:val="004D35A0"/>
    <w:rsid w:val="004D39BD"/>
    <w:rsid w:val="004D4169"/>
    <w:rsid w:val="004D4AF0"/>
    <w:rsid w:val="004D5797"/>
    <w:rsid w:val="004D669B"/>
    <w:rsid w:val="004D6ED3"/>
    <w:rsid w:val="004D7745"/>
    <w:rsid w:val="004E0390"/>
    <w:rsid w:val="004E0758"/>
    <w:rsid w:val="004E0C7E"/>
    <w:rsid w:val="004E1FDA"/>
    <w:rsid w:val="004E2254"/>
    <w:rsid w:val="004E292D"/>
    <w:rsid w:val="004E3888"/>
    <w:rsid w:val="004E51DD"/>
    <w:rsid w:val="004E610E"/>
    <w:rsid w:val="004E6B4D"/>
    <w:rsid w:val="004E6C67"/>
    <w:rsid w:val="004E6E7E"/>
    <w:rsid w:val="004F0613"/>
    <w:rsid w:val="004F064F"/>
    <w:rsid w:val="004F1D03"/>
    <w:rsid w:val="004F3317"/>
    <w:rsid w:val="004F474D"/>
    <w:rsid w:val="004F5849"/>
    <w:rsid w:val="004F59CB"/>
    <w:rsid w:val="004F60B0"/>
    <w:rsid w:val="004F6C96"/>
    <w:rsid w:val="004F6CDD"/>
    <w:rsid w:val="005022AF"/>
    <w:rsid w:val="00502772"/>
    <w:rsid w:val="005027C7"/>
    <w:rsid w:val="00502D8A"/>
    <w:rsid w:val="0050384E"/>
    <w:rsid w:val="00503A33"/>
    <w:rsid w:val="00504144"/>
    <w:rsid w:val="0050587F"/>
    <w:rsid w:val="00505A2C"/>
    <w:rsid w:val="00505EB9"/>
    <w:rsid w:val="00507F9A"/>
    <w:rsid w:val="00510AA3"/>
    <w:rsid w:val="00512A48"/>
    <w:rsid w:val="00512E40"/>
    <w:rsid w:val="00513C27"/>
    <w:rsid w:val="00513FD8"/>
    <w:rsid w:val="0051442C"/>
    <w:rsid w:val="00514785"/>
    <w:rsid w:val="0051539F"/>
    <w:rsid w:val="0051619B"/>
    <w:rsid w:val="005171A5"/>
    <w:rsid w:val="00517E30"/>
    <w:rsid w:val="00521574"/>
    <w:rsid w:val="0052187B"/>
    <w:rsid w:val="00521A61"/>
    <w:rsid w:val="0052218F"/>
    <w:rsid w:val="005247F6"/>
    <w:rsid w:val="0052594F"/>
    <w:rsid w:val="0052642A"/>
    <w:rsid w:val="00526C4A"/>
    <w:rsid w:val="00527B5B"/>
    <w:rsid w:val="00527C2E"/>
    <w:rsid w:val="00527DA2"/>
    <w:rsid w:val="00530FCD"/>
    <w:rsid w:val="0053152C"/>
    <w:rsid w:val="005316CF"/>
    <w:rsid w:val="00531C2A"/>
    <w:rsid w:val="00532D45"/>
    <w:rsid w:val="00533294"/>
    <w:rsid w:val="00533634"/>
    <w:rsid w:val="005337CC"/>
    <w:rsid w:val="005340C6"/>
    <w:rsid w:val="00534144"/>
    <w:rsid w:val="0053462B"/>
    <w:rsid w:val="00534841"/>
    <w:rsid w:val="005349A3"/>
    <w:rsid w:val="00534EBC"/>
    <w:rsid w:val="00536002"/>
    <w:rsid w:val="005364EC"/>
    <w:rsid w:val="005368F3"/>
    <w:rsid w:val="00536A09"/>
    <w:rsid w:val="0053701C"/>
    <w:rsid w:val="00537681"/>
    <w:rsid w:val="00540E79"/>
    <w:rsid w:val="00540EF3"/>
    <w:rsid w:val="00541736"/>
    <w:rsid w:val="0054194B"/>
    <w:rsid w:val="00543394"/>
    <w:rsid w:val="0054556E"/>
    <w:rsid w:val="00545E71"/>
    <w:rsid w:val="0054610D"/>
    <w:rsid w:val="00546C1E"/>
    <w:rsid w:val="005508D6"/>
    <w:rsid w:val="0055315F"/>
    <w:rsid w:val="0055474B"/>
    <w:rsid w:val="00555242"/>
    <w:rsid w:val="00556CC2"/>
    <w:rsid w:val="00557998"/>
    <w:rsid w:val="005600C0"/>
    <w:rsid w:val="005611A6"/>
    <w:rsid w:val="00561925"/>
    <w:rsid w:val="00561CF1"/>
    <w:rsid w:val="005623A3"/>
    <w:rsid w:val="00562866"/>
    <w:rsid w:val="005629DF"/>
    <w:rsid w:val="0056311A"/>
    <w:rsid w:val="0056319A"/>
    <w:rsid w:val="00564895"/>
    <w:rsid w:val="00564D69"/>
    <w:rsid w:val="005654CC"/>
    <w:rsid w:val="00565726"/>
    <w:rsid w:val="00566249"/>
    <w:rsid w:val="005664A8"/>
    <w:rsid w:val="00566848"/>
    <w:rsid w:val="00566928"/>
    <w:rsid w:val="005669C0"/>
    <w:rsid w:val="00566B7A"/>
    <w:rsid w:val="00566E88"/>
    <w:rsid w:val="00566FF9"/>
    <w:rsid w:val="005672E6"/>
    <w:rsid w:val="00570672"/>
    <w:rsid w:val="00570BCC"/>
    <w:rsid w:val="005714CB"/>
    <w:rsid w:val="00571975"/>
    <w:rsid w:val="005719CA"/>
    <w:rsid w:val="00571A29"/>
    <w:rsid w:val="005723F6"/>
    <w:rsid w:val="00575654"/>
    <w:rsid w:val="0057663A"/>
    <w:rsid w:val="00577551"/>
    <w:rsid w:val="00580E3A"/>
    <w:rsid w:val="00581216"/>
    <w:rsid w:val="00581DC4"/>
    <w:rsid w:val="005828AE"/>
    <w:rsid w:val="005831A3"/>
    <w:rsid w:val="00583DFA"/>
    <w:rsid w:val="005843EC"/>
    <w:rsid w:val="00584972"/>
    <w:rsid w:val="0058537E"/>
    <w:rsid w:val="00585713"/>
    <w:rsid w:val="0058579A"/>
    <w:rsid w:val="00585942"/>
    <w:rsid w:val="00585E38"/>
    <w:rsid w:val="005862BE"/>
    <w:rsid w:val="005874C0"/>
    <w:rsid w:val="00587D65"/>
    <w:rsid w:val="00590780"/>
    <w:rsid w:val="00591E34"/>
    <w:rsid w:val="00591F68"/>
    <w:rsid w:val="00592071"/>
    <w:rsid w:val="005931F0"/>
    <w:rsid w:val="005935CA"/>
    <w:rsid w:val="00593807"/>
    <w:rsid w:val="00593BFC"/>
    <w:rsid w:val="0059448C"/>
    <w:rsid w:val="00595A8B"/>
    <w:rsid w:val="005962CE"/>
    <w:rsid w:val="00597A74"/>
    <w:rsid w:val="00597AED"/>
    <w:rsid w:val="005A2726"/>
    <w:rsid w:val="005A2E23"/>
    <w:rsid w:val="005A36D5"/>
    <w:rsid w:val="005A52A7"/>
    <w:rsid w:val="005A5353"/>
    <w:rsid w:val="005A58A4"/>
    <w:rsid w:val="005A5980"/>
    <w:rsid w:val="005A5EBA"/>
    <w:rsid w:val="005A7441"/>
    <w:rsid w:val="005B0C59"/>
    <w:rsid w:val="005B0C9D"/>
    <w:rsid w:val="005B1A2B"/>
    <w:rsid w:val="005B3560"/>
    <w:rsid w:val="005B3563"/>
    <w:rsid w:val="005B370B"/>
    <w:rsid w:val="005B49EB"/>
    <w:rsid w:val="005B4B5D"/>
    <w:rsid w:val="005B50A0"/>
    <w:rsid w:val="005B5403"/>
    <w:rsid w:val="005B5C75"/>
    <w:rsid w:val="005B5D82"/>
    <w:rsid w:val="005B74BC"/>
    <w:rsid w:val="005B7667"/>
    <w:rsid w:val="005C21BD"/>
    <w:rsid w:val="005C282F"/>
    <w:rsid w:val="005C290A"/>
    <w:rsid w:val="005C3C0B"/>
    <w:rsid w:val="005C3FED"/>
    <w:rsid w:val="005C467F"/>
    <w:rsid w:val="005C4DDC"/>
    <w:rsid w:val="005C50BB"/>
    <w:rsid w:val="005C5431"/>
    <w:rsid w:val="005C5455"/>
    <w:rsid w:val="005C633F"/>
    <w:rsid w:val="005C6D76"/>
    <w:rsid w:val="005C6F1A"/>
    <w:rsid w:val="005D031F"/>
    <w:rsid w:val="005D1666"/>
    <w:rsid w:val="005D2AE2"/>
    <w:rsid w:val="005D2F88"/>
    <w:rsid w:val="005D41C1"/>
    <w:rsid w:val="005D581C"/>
    <w:rsid w:val="005D6055"/>
    <w:rsid w:val="005D6AAA"/>
    <w:rsid w:val="005D7CC3"/>
    <w:rsid w:val="005D7FFB"/>
    <w:rsid w:val="005E036E"/>
    <w:rsid w:val="005E0597"/>
    <w:rsid w:val="005E0A5A"/>
    <w:rsid w:val="005E0DCB"/>
    <w:rsid w:val="005E317E"/>
    <w:rsid w:val="005E3E7A"/>
    <w:rsid w:val="005E4CE5"/>
    <w:rsid w:val="005E51A9"/>
    <w:rsid w:val="005E63DE"/>
    <w:rsid w:val="005E662E"/>
    <w:rsid w:val="005E6A75"/>
    <w:rsid w:val="005E6C50"/>
    <w:rsid w:val="005E77DD"/>
    <w:rsid w:val="005E7832"/>
    <w:rsid w:val="005F094E"/>
    <w:rsid w:val="005F1D0E"/>
    <w:rsid w:val="005F3FF8"/>
    <w:rsid w:val="005F4B68"/>
    <w:rsid w:val="005F5034"/>
    <w:rsid w:val="005F6C6F"/>
    <w:rsid w:val="005F6FEF"/>
    <w:rsid w:val="005F7994"/>
    <w:rsid w:val="005F7D79"/>
    <w:rsid w:val="00601522"/>
    <w:rsid w:val="00602BDD"/>
    <w:rsid w:val="00603083"/>
    <w:rsid w:val="006036A2"/>
    <w:rsid w:val="00604453"/>
    <w:rsid w:val="00605685"/>
    <w:rsid w:val="00605818"/>
    <w:rsid w:val="00606763"/>
    <w:rsid w:val="00606F9C"/>
    <w:rsid w:val="0060712B"/>
    <w:rsid w:val="00610F9D"/>
    <w:rsid w:val="00611A7E"/>
    <w:rsid w:val="00612787"/>
    <w:rsid w:val="00613FF5"/>
    <w:rsid w:val="00614409"/>
    <w:rsid w:val="00616138"/>
    <w:rsid w:val="0061659F"/>
    <w:rsid w:val="006165DD"/>
    <w:rsid w:val="00616B2D"/>
    <w:rsid w:val="00616C26"/>
    <w:rsid w:val="00616D86"/>
    <w:rsid w:val="00617923"/>
    <w:rsid w:val="00617DAA"/>
    <w:rsid w:val="006206B5"/>
    <w:rsid w:val="006227AC"/>
    <w:rsid w:val="0062285E"/>
    <w:rsid w:val="00623E83"/>
    <w:rsid w:val="00624398"/>
    <w:rsid w:val="006245C0"/>
    <w:rsid w:val="00625E20"/>
    <w:rsid w:val="00625FB3"/>
    <w:rsid w:val="00626272"/>
    <w:rsid w:val="006278E2"/>
    <w:rsid w:val="00627942"/>
    <w:rsid w:val="00627AF0"/>
    <w:rsid w:val="00627DB5"/>
    <w:rsid w:val="00627E3D"/>
    <w:rsid w:val="006302C0"/>
    <w:rsid w:val="00630361"/>
    <w:rsid w:val="0063048C"/>
    <w:rsid w:val="00632061"/>
    <w:rsid w:val="00633233"/>
    <w:rsid w:val="00633869"/>
    <w:rsid w:val="00634748"/>
    <w:rsid w:val="0063680A"/>
    <w:rsid w:val="00637370"/>
    <w:rsid w:val="006373DF"/>
    <w:rsid w:val="00637DB6"/>
    <w:rsid w:val="00640A4D"/>
    <w:rsid w:val="00640AB3"/>
    <w:rsid w:val="00640BAE"/>
    <w:rsid w:val="006419EB"/>
    <w:rsid w:val="00641B56"/>
    <w:rsid w:val="006430CB"/>
    <w:rsid w:val="00644BCC"/>
    <w:rsid w:val="0064565D"/>
    <w:rsid w:val="00645877"/>
    <w:rsid w:val="00645C38"/>
    <w:rsid w:val="00645EC5"/>
    <w:rsid w:val="00646D59"/>
    <w:rsid w:val="0065059A"/>
    <w:rsid w:val="00651294"/>
    <w:rsid w:val="0065265C"/>
    <w:rsid w:val="00652F39"/>
    <w:rsid w:val="00653138"/>
    <w:rsid w:val="006531B6"/>
    <w:rsid w:val="006531EE"/>
    <w:rsid w:val="00653FE7"/>
    <w:rsid w:val="00656271"/>
    <w:rsid w:val="00656FE0"/>
    <w:rsid w:val="00657742"/>
    <w:rsid w:val="00660DB9"/>
    <w:rsid w:val="00662D08"/>
    <w:rsid w:val="0066341B"/>
    <w:rsid w:val="00666ABF"/>
    <w:rsid w:val="00666B35"/>
    <w:rsid w:val="006673BF"/>
    <w:rsid w:val="00671CA9"/>
    <w:rsid w:val="00671EDC"/>
    <w:rsid w:val="006730CA"/>
    <w:rsid w:val="00673C45"/>
    <w:rsid w:val="006752D3"/>
    <w:rsid w:val="006758F9"/>
    <w:rsid w:val="00675AF3"/>
    <w:rsid w:val="00676BAB"/>
    <w:rsid w:val="00677D9E"/>
    <w:rsid w:val="00677DDB"/>
    <w:rsid w:val="00677EDE"/>
    <w:rsid w:val="00677FAC"/>
    <w:rsid w:val="00680997"/>
    <w:rsid w:val="00680FF5"/>
    <w:rsid w:val="00681611"/>
    <w:rsid w:val="0068326C"/>
    <w:rsid w:val="0068362D"/>
    <w:rsid w:val="006840F7"/>
    <w:rsid w:val="0068501E"/>
    <w:rsid w:val="00685D83"/>
    <w:rsid w:val="006862B0"/>
    <w:rsid w:val="0068643F"/>
    <w:rsid w:val="00686E82"/>
    <w:rsid w:val="0069096A"/>
    <w:rsid w:val="006918AA"/>
    <w:rsid w:val="006922AA"/>
    <w:rsid w:val="00692B50"/>
    <w:rsid w:val="00692CFB"/>
    <w:rsid w:val="0069334E"/>
    <w:rsid w:val="00694B58"/>
    <w:rsid w:val="00694BFB"/>
    <w:rsid w:val="00694CE4"/>
    <w:rsid w:val="00694DC1"/>
    <w:rsid w:val="00696D18"/>
    <w:rsid w:val="006974D9"/>
    <w:rsid w:val="006A04A9"/>
    <w:rsid w:val="006A2002"/>
    <w:rsid w:val="006A4354"/>
    <w:rsid w:val="006A5987"/>
    <w:rsid w:val="006A6E9C"/>
    <w:rsid w:val="006B0EE4"/>
    <w:rsid w:val="006B1930"/>
    <w:rsid w:val="006B338D"/>
    <w:rsid w:val="006B37E6"/>
    <w:rsid w:val="006B5B22"/>
    <w:rsid w:val="006B5E8C"/>
    <w:rsid w:val="006B610B"/>
    <w:rsid w:val="006B615F"/>
    <w:rsid w:val="006C06C9"/>
    <w:rsid w:val="006C1259"/>
    <w:rsid w:val="006C18C5"/>
    <w:rsid w:val="006C1F0E"/>
    <w:rsid w:val="006C2E27"/>
    <w:rsid w:val="006C3CD5"/>
    <w:rsid w:val="006C3DBB"/>
    <w:rsid w:val="006C5700"/>
    <w:rsid w:val="006C6319"/>
    <w:rsid w:val="006C698F"/>
    <w:rsid w:val="006C7C9F"/>
    <w:rsid w:val="006D0CB9"/>
    <w:rsid w:val="006D0DC3"/>
    <w:rsid w:val="006D0F55"/>
    <w:rsid w:val="006D1F27"/>
    <w:rsid w:val="006D3384"/>
    <w:rsid w:val="006D3A3E"/>
    <w:rsid w:val="006D562E"/>
    <w:rsid w:val="006D74DA"/>
    <w:rsid w:val="006D7F9D"/>
    <w:rsid w:val="006E0136"/>
    <w:rsid w:val="006E0795"/>
    <w:rsid w:val="006E12B3"/>
    <w:rsid w:val="006E1798"/>
    <w:rsid w:val="006E32AB"/>
    <w:rsid w:val="006E3385"/>
    <w:rsid w:val="006E3AC0"/>
    <w:rsid w:val="006E3B42"/>
    <w:rsid w:val="006E3E12"/>
    <w:rsid w:val="006E43F3"/>
    <w:rsid w:val="006E4E64"/>
    <w:rsid w:val="006E544E"/>
    <w:rsid w:val="006E5F77"/>
    <w:rsid w:val="006E5FC4"/>
    <w:rsid w:val="006E69EB"/>
    <w:rsid w:val="006E6F91"/>
    <w:rsid w:val="006F0981"/>
    <w:rsid w:val="006F23E8"/>
    <w:rsid w:val="006F27BE"/>
    <w:rsid w:val="006F39E0"/>
    <w:rsid w:val="006F4BC7"/>
    <w:rsid w:val="006F519F"/>
    <w:rsid w:val="006F56D0"/>
    <w:rsid w:val="006F6E27"/>
    <w:rsid w:val="006F7294"/>
    <w:rsid w:val="006F7A98"/>
    <w:rsid w:val="0070097E"/>
    <w:rsid w:val="00700A30"/>
    <w:rsid w:val="007015A1"/>
    <w:rsid w:val="00701D7B"/>
    <w:rsid w:val="007023F8"/>
    <w:rsid w:val="007048B1"/>
    <w:rsid w:val="00704952"/>
    <w:rsid w:val="007049CD"/>
    <w:rsid w:val="00705BD3"/>
    <w:rsid w:val="007060B2"/>
    <w:rsid w:val="00706223"/>
    <w:rsid w:val="007066EB"/>
    <w:rsid w:val="007069C2"/>
    <w:rsid w:val="00707291"/>
    <w:rsid w:val="00710479"/>
    <w:rsid w:val="00710BBF"/>
    <w:rsid w:val="00710CF0"/>
    <w:rsid w:val="00711196"/>
    <w:rsid w:val="007120C1"/>
    <w:rsid w:val="0071314B"/>
    <w:rsid w:val="0071525A"/>
    <w:rsid w:val="00715CB9"/>
    <w:rsid w:val="007160EC"/>
    <w:rsid w:val="007167D2"/>
    <w:rsid w:val="00716862"/>
    <w:rsid w:val="007201D9"/>
    <w:rsid w:val="0072055C"/>
    <w:rsid w:val="0072124F"/>
    <w:rsid w:val="00721C83"/>
    <w:rsid w:val="00721FEC"/>
    <w:rsid w:val="00722B7C"/>
    <w:rsid w:val="0072383D"/>
    <w:rsid w:val="00723A2E"/>
    <w:rsid w:val="00724111"/>
    <w:rsid w:val="007246D8"/>
    <w:rsid w:val="00724926"/>
    <w:rsid w:val="00724FAB"/>
    <w:rsid w:val="00725079"/>
    <w:rsid w:val="00725397"/>
    <w:rsid w:val="007255D9"/>
    <w:rsid w:val="00725A69"/>
    <w:rsid w:val="00725E0C"/>
    <w:rsid w:val="00726263"/>
    <w:rsid w:val="00726C71"/>
    <w:rsid w:val="007277CA"/>
    <w:rsid w:val="00727B8A"/>
    <w:rsid w:val="00730EDE"/>
    <w:rsid w:val="00731389"/>
    <w:rsid w:val="00731A44"/>
    <w:rsid w:val="0073214E"/>
    <w:rsid w:val="00732E78"/>
    <w:rsid w:val="0073737B"/>
    <w:rsid w:val="00737991"/>
    <w:rsid w:val="0074002E"/>
    <w:rsid w:val="00740546"/>
    <w:rsid w:val="00740EA8"/>
    <w:rsid w:val="007421D8"/>
    <w:rsid w:val="00742C59"/>
    <w:rsid w:val="00744408"/>
    <w:rsid w:val="007447A8"/>
    <w:rsid w:val="0075027F"/>
    <w:rsid w:val="00750478"/>
    <w:rsid w:val="00750876"/>
    <w:rsid w:val="0075204B"/>
    <w:rsid w:val="007539D2"/>
    <w:rsid w:val="00754153"/>
    <w:rsid w:val="0075747F"/>
    <w:rsid w:val="00757949"/>
    <w:rsid w:val="00760144"/>
    <w:rsid w:val="00760186"/>
    <w:rsid w:val="00762862"/>
    <w:rsid w:val="00762D09"/>
    <w:rsid w:val="007650DA"/>
    <w:rsid w:val="0076510C"/>
    <w:rsid w:val="00766B73"/>
    <w:rsid w:val="00766EA4"/>
    <w:rsid w:val="00766EE4"/>
    <w:rsid w:val="00770795"/>
    <w:rsid w:val="007717CD"/>
    <w:rsid w:val="0077192B"/>
    <w:rsid w:val="00771B38"/>
    <w:rsid w:val="007732E2"/>
    <w:rsid w:val="00773307"/>
    <w:rsid w:val="0077354D"/>
    <w:rsid w:val="00773698"/>
    <w:rsid w:val="00773A29"/>
    <w:rsid w:val="00774111"/>
    <w:rsid w:val="0077468C"/>
    <w:rsid w:val="007748E2"/>
    <w:rsid w:val="00774B54"/>
    <w:rsid w:val="00777BEF"/>
    <w:rsid w:val="00781C80"/>
    <w:rsid w:val="00781CE5"/>
    <w:rsid w:val="00782F86"/>
    <w:rsid w:val="00782F99"/>
    <w:rsid w:val="007840A2"/>
    <w:rsid w:val="00785670"/>
    <w:rsid w:val="0078596E"/>
    <w:rsid w:val="00785FC8"/>
    <w:rsid w:val="00790AD5"/>
    <w:rsid w:val="00793182"/>
    <w:rsid w:val="00793517"/>
    <w:rsid w:val="00794CB7"/>
    <w:rsid w:val="00794EEA"/>
    <w:rsid w:val="007959C0"/>
    <w:rsid w:val="007960D0"/>
    <w:rsid w:val="007978A6"/>
    <w:rsid w:val="00797C3B"/>
    <w:rsid w:val="007A03BA"/>
    <w:rsid w:val="007A07EB"/>
    <w:rsid w:val="007A1462"/>
    <w:rsid w:val="007A4A84"/>
    <w:rsid w:val="007A5730"/>
    <w:rsid w:val="007A6190"/>
    <w:rsid w:val="007A66C6"/>
    <w:rsid w:val="007A780D"/>
    <w:rsid w:val="007A7F3B"/>
    <w:rsid w:val="007A7FE0"/>
    <w:rsid w:val="007B0488"/>
    <w:rsid w:val="007B1CBE"/>
    <w:rsid w:val="007B2A38"/>
    <w:rsid w:val="007B2FF4"/>
    <w:rsid w:val="007B3852"/>
    <w:rsid w:val="007B3B11"/>
    <w:rsid w:val="007B4995"/>
    <w:rsid w:val="007B4A67"/>
    <w:rsid w:val="007B5001"/>
    <w:rsid w:val="007B512C"/>
    <w:rsid w:val="007B657C"/>
    <w:rsid w:val="007C180D"/>
    <w:rsid w:val="007C2BFA"/>
    <w:rsid w:val="007C3F99"/>
    <w:rsid w:val="007C40CB"/>
    <w:rsid w:val="007C70AA"/>
    <w:rsid w:val="007C7BBA"/>
    <w:rsid w:val="007C7E69"/>
    <w:rsid w:val="007D071A"/>
    <w:rsid w:val="007D2999"/>
    <w:rsid w:val="007D5837"/>
    <w:rsid w:val="007D672D"/>
    <w:rsid w:val="007D739A"/>
    <w:rsid w:val="007D7721"/>
    <w:rsid w:val="007E0187"/>
    <w:rsid w:val="007E04FC"/>
    <w:rsid w:val="007E05BD"/>
    <w:rsid w:val="007E0A13"/>
    <w:rsid w:val="007E17DA"/>
    <w:rsid w:val="007E1C70"/>
    <w:rsid w:val="007E1D50"/>
    <w:rsid w:val="007E261D"/>
    <w:rsid w:val="007E2EFE"/>
    <w:rsid w:val="007E3343"/>
    <w:rsid w:val="007E3FDC"/>
    <w:rsid w:val="007E46FB"/>
    <w:rsid w:val="007E5F24"/>
    <w:rsid w:val="007E671B"/>
    <w:rsid w:val="007E68F0"/>
    <w:rsid w:val="007E6C75"/>
    <w:rsid w:val="007F01B9"/>
    <w:rsid w:val="007F02D6"/>
    <w:rsid w:val="007F0B70"/>
    <w:rsid w:val="007F0F43"/>
    <w:rsid w:val="007F11F0"/>
    <w:rsid w:val="007F1531"/>
    <w:rsid w:val="007F3C28"/>
    <w:rsid w:val="007F4483"/>
    <w:rsid w:val="007F4AB7"/>
    <w:rsid w:val="007F4C65"/>
    <w:rsid w:val="007F6335"/>
    <w:rsid w:val="007F7422"/>
    <w:rsid w:val="007F78BD"/>
    <w:rsid w:val="00801034"/>
    <w:rsid w:val="0080121E"/>
    <w:rsid w:val="00801676"/>
    <w:rsid w:val="00801EDB"/>
    <w:rsid w:val="00802352"/>
    <w:rsid w:val="00803313"/>
    <w:rsid w:val="00803854"/>
    <w:rsid w:val="008043C3"/>
    <w:rsid w:val="008046E1"/>
    <w:rsid w:val="00806F32"/>
    <w:rsid w:val="008073A1"/>
    <w:rsid w:val="00807BE0"/>
    <w:rsid w:val="008100A4"/>
    <w:rsid w:val="008108D9"/>
    <w:rsid w:val="00810C1C"/>
    <w:rsid w:val="0081217E"/>
    <w:rsid w:val="008122C8"/>
    <w:rsid w:val="008137BA"/>
    <w:rsid w:val="008140BF"/>
    <w:rsid w:val="00814424"/>
    <w:rsid w:val="008157D1"/>
    <w:rsid w:val="00815BF6"/>
    <w:rsid w:val="008168E3"/>
    <w:rsid w:val="00820DF0"/>
    <w:rsid w:val="008221C9"/>
    <w:rsid w:val="008229C3"/>
    <w:rsid w:val="00823951"/>
    <w:rsid w:val="008246D4"/>
    <w:rsid w:val="0082504A"/>
    <w:rsid w:val="008261F1"/>
    <w:rsid w:val="00826840"/>
    <w:rsid w:val="0082796D"/>
    <w:rsid w:val="008279C5"/>
    <w:rsid w:val="008302F0"/>
    <w:rsid w:val="00830E02"/>
    <w:rsid w:val="008318A0"/>
    <w:rsid w:val="00831E63"/>
    <w:rsid w:val="00831FE5"/>
    <w:rsid w:val="00833179"/>
    <w:rsid w:val="00833503"/>
    <w:rsid w:val="008338F0"/>
    <w:rsid w:val="00833B84"/>
    <w:rsid w:val="00834872"/>
    <w:rsid w:val="00834ADD"/>
    <w:rsid w:val="00834DBE"/>
    <w:rsid w:val="00834E0E"/>
    <w:rsid w:val="00836B3C"/>
    <w:rsid w:val="00836E70"/>
    <w:rsid w:val="00837869"/>
    <w:rsid w:val="00840542"/>
    <w:rsid w:val="00840B1A"/>
    <w:rsid w:val="00840D3D"/>
    <w:rsid w:val="00841AF4"/>
    <w:rsid w:val="00841BB8"/>
    <w:rsid w:val="00841EDE"/>
    <w:rsid w:val="00841FDA"/>
    <w:rsid w:val="0084360F"/>
    <w:rsid w:val="00843A7F"/>
    <w:rsid w:val="00844625"/>
    <w:rsid w:val="00844A6A"/>
    <w:rsid w:val="00845010"/>
    <w:rsid w:val="0084517C"/>
    <w:rsid w:val="008454EE"/>
    <w:rsid w:val="00845BBF"/>
    <w:rsid w:val="00846DDC"/>
    <w:rsid w:val="00850113"/>
    <w:rsid w:val="008510CE"/>
    <w:rsid w:val="0085159D"/>
    <w:rsid w:val="00851A38"/>
    <w:rsid w:val="00851BAA"/>
    <w:rsid w:val="00852EAC"/>
    <w:rsid w:val="00852EBD"/>
    <w:rsid w:val="008534B0"/>
    <w:rsid w:val="008541AF"/>
    <w:rsid w:val="0085531A"/>
    <w:rsid w:val="0085542B"/>
    <w:rsid w:val="00855D02"/>
    <w:rsid w:val="00856151"/>
    <w:rsid w:val="00856F9E"/>
    <w:rsid w:val="00856FDD"/>
    <w:rsid w:val="00857A23"/>
    <w:rsid w:val="00857D4A"/>
    <w:rsid w:val="00860CF9"/>
    <w:rsid w:val="00861901"/>
    <w:rsid w:val="00861F95"/>
    <w:rsid w:val="008639C5"/>
    <w:rsid w:val="00864953"/>
    <w:rsid w:val="00864E3E"/>
    <w:rsid w:val="00866016"/>
    <w:rsid w:val="00867360"/>
    <w:rsid w:val="00872391"/>
    <w:rsid w:val="00872D76"/>
    <w:rsid w:val="008744BF"/>
    <w:rsid w:val="0087645C"/>
    <w:rsid w:val="008766CB"/>
    <w:rsid w:val="0087702D"/>
    <w:rsid w:val="00877D14"/>
    <w:rsid w:val="00877D24"/>
    <w:rsid w:val="008803C4"/>
    <w:rsid w:val="00880683"/>
    <w:rsid w:val="00881AFF"/>
    <w:rsid w:val="00881ED9"/>
    <w:rsid w:val="00882CE1"/>
    <w:rsid w:val="00884075"/>
    <w:rsid w:val="008870AF"/>
    <w:rsid w:val="00890741"/>
    <w:rsid w:val="0089181A"/>
    <w:rsid w:val="00892A80"/>
    <w:rsid w:val="00892D6B"/>
    <w:rsid w:val="008930D5"/>
    <w:rsid w:val="008932B3"/>
    <w:rsid w:val="008938A1"/>
    <w:rsid w:val="00893CEC"/>
    <w:rsid w:val="0089487B"/>
    <w:rsid w:val="0089493E"/>
    <w:rsid w:val="00895004"/>
    <w:rsid w:val="00897674"/>
    <w:rsid w:val="0089792F"/>
    <w:rsid w:val="00897CF4"/>
    <w:rsid w:val="008A1130"/>
    <w:rsid w:val="008A200B"/>
    <w:rsid w:val="008A20DB"/>
    <w:rsid w:val="008A3924"/>
    <w:rsid w:val="008A45A7"/>
    <w:rsid w:val="008A487A"/>
    <w:rsid w:val="008A5E0B"/>
    <w:rsid w:val="008A6999"/>
    <w:rsid w:val="008A6CD8"/>
    <w:rsid w:val="008A6EAB"/>
    <w:rsid w:val="008A70C0"/>
    <w:rsid w:val="008B0990"/>
    <w:rsid w:val="008B0A81"/>
    <w:rsid w:val="008B2912"/>
    <w:rsid w:val="008B3378"/>
    <w:rsid w:val="008C017F"/>
    <w:rsid w:val="008C07E0"/>
    <w:rsid w:val="008C0E2C"/>
    <w:rsid w:val="008C1D56"/>
    <w:rsid w:val="008C20B3"/>
    <w:rsid w:val="008C3C74"/>
    <w:rsid w:val="008C42DB"/>
    <w:rsid w:val="008C5A57"/>
    <w:rsid w:val="008C5DFB"/>
    <w:rsid w:val="008C5FC6"/>
    <w:rsid w:val="008C67AB"/>
    <w:rsid w:val="008C6839"/>
    <w:rsid w:val="008C6AED"/>
    <w:rsid w:val="008C6FE6"/>
    <w:rsid w:val="008C7D68"/>
    <w:rsid w:val="008D0258"/>
    <w:rsid w:val="008D0413"/>
    <w:rsid w:val="008D0B24"/>
    <w:rsid w:val="008D0EA5"/>
    <w:rsid w:val="008D111A"/>
    <w:rsid w:val="008D1449"/>
    <w:rsid w:val="008D1A8F"/>
    <w:rsid w:val="008D2C0C"/>
    <w:rsid w:val="008D31B9"/>
    <w:rsid w:val="008D36E9"/>
    <w:rsid w:val="008D4ED8"/>
    <w:rsid w:val="008D5D55"/>
    <w:rsid w:val="008D60E8"/>
    <w:rsid w:val="008D6500"/>
    <w:rsid w:val="008D78E5"/>
    <w:rsid w:val="008E0B3D"/>
    <w:rsid w:val="008E1D81"/>
    <w:rsid w:val="008E35BC"/>
    <w:rsid w:val="008E3D2F"/>
    <w:rsid w:val="008E40AF"/>
    <w:rsid w:val="008E43D6"/>
    <w:rsid w:val="008E48BE"/>
    <w:rsid w:val="008E4A7D"/>
    <w:rsid w:val="008E4F92"/>
    <w:rsid w:val="008E4F9A"/>
    <w:rsid w:val="008E55F6"/>
    <w:rsid w:val="008E5762"/>
    <w:rsid w:val="008E5E57"/>
    <w:rsid w:val="008E69F5"/>
    <w:rsid w:val="008E6A9B"/>
    <w:rsid w:val="008E7328"/>
    <w:rsid w:val="008F1CC1"/>
    <w:rsid w:val="008F1E46"/>
    <w:rsid w:val="008F3E98"/>
    <w:rsid w:val="008F41C1"/>
    <w:rsid w:val="008F4C3D"/>
    <w:rsid w:val="008F4CB4"/>
    <w:rsid w:val="008F6181"/>
    <w:rsid w:val="008F6417"/>
    <w:rsid w:val="008F691A"/>
    <w:rsid w:val="008F736B"/>
    <w:rsid w:val="00900F31"/>
    <w:rsid w:val="00901C2E"/>
    <w:rsid w:val="00902BBF"/>
    <w:rsid w:val="009040CB"/>
    <w:rsid w:val="0090438F"/>
    <w:rsid w:val="00904599"/>
    <w:rsid w:val="00905588"/>
    <w:rsid w:val="009059AA"/>
    <w:rsid w:val="00906354"/>
    <w:rsid w:val="009102F6"/>
    <w:rsid w:val="00910AF9"/>
    <w:rsid w:val="00911E78"/>
    <w:rsid w:val="00911EA1"/>
    <w:rsid w:val="009125E0"/>
    <w:rsid w:val="00913098"/>
    <w:rsid w:val="00914B77"/>
    <w:rsid w:val="00914E7B"/>
    <w:rsid w:val="00915EF2"/>
    <w:rsid w:val="00916274"/>
    <w:rsid w:val="00916633"/>
    <w:rsid w:val="0091670F"/>
    <w:rsid w:val="009174BF"/>
    <w:rsid w:val="00917BA5"/>
    <w:rsid w:val="009200ED"/>
    <w:rsid w:val="00920207"/>
    <w:rsid w:val="0092087B"/>
    <w:rsid w:val="00920904"/>
    <w:rsid w:val="00921ED2"/>
    <w:rsid w:val="00922154"/>
    <w:rsid w:val="00922420"/>
    <w:rsid w:val="00923256"/>
    <w:rsid w:val="00924057"/>
    <w:rsid w:val="009249A9"/>
    <w:rsid w:val="00924BDC"/>
    <w:rsid w:val="009254F1"/>
    <w:rsid w:val="00925596"/>
    <w:rsid w:val="00925B03"/>
    <w:rsid w:val="00926199"/>
    <w:rsid w:val="00926A1B"/>
    <w:rsid w:val="00926FAF"/>
    <w:rsid w:val="00930277"/>
    <w:rsid w:val="009308B8"/>
    <w:rsid w:val="00930A48"/>
    <w:rsid w:val="009319F2"/>
    <w:rsid w:val="00932CF0"/>
    <w:rsid w:val="00932ECE"/>
    <w:rsid w:val="009344A5"/>
    <w:rsid w:val="00936063"/>
    <w:rsid w:val="009371AB"/>
    <w:rsid w:val="0094255D"/>
    <w:rsid w:val="009427C7"/>
    <w:rsid w:val="00943547"/>
    <w:rsid w:val="00943B59"/>
    <w:rsid w:val="00946138"/>
    <w:rsid w:val="00946CE3"/>
    <w:rsid w:val="00946F31"/>
    <w:rsid w:val="0094703D"/>
    <w:rsid w:val="009478B8"/>
    <w:rsid w:val="00950050"/>
    <w:rsid w:val="00951614"/>
    <w:rsid w:val="00952649"/>
    <w:rsid w:val="00953363"/>
    <w:rsid w:val="00953C21"/>
    <w:rsid w:val="00954038"/>
    <w:rsid w:val="009546A6"/>
    <w:rsid w:val="00954B4A"/>
    <w:rsid w:val="0095567A"/>
    <w:rsid w:val="00956B7B"/>
    <w:rsid w:val="00956D3F"/>
    <w:rsid w:val="009578D0"/>
    <w:rsid w:val="00961216"/>
    <w:rsid w:val="00961B4F"/>
    <w:rsid w:val="00961E3A"/>
    <w:rsid w:val="009643F0"/>
    <w:rsid w:val="00964627"/>
    <w:rsid w:val="00964A36"/>
    <w:rsid w:val="009657E3"/>
    <w:rsid w:val="00965959"/>
    <w:rsid w:val="00965BB3"/>
    <w:rsid w:val="00966D4C"/>
    <w:rsid w:val="009672E9"/>
    <w:rsid w:val="009679C8"/>
    <w:rsid w:val="00972F52"/>
    <w:rsid w:val="009751F1"/>
    <w:rsid w:val="0097564E"/>
    <w:rsid w:val="009756D3"/>
    <w:rsid w:val="00975DAE"/>
    <w:rsid w:val="00976514"/>
    <w:rsid w:val="00977976"/>
    <w:rsid w:val="00980279"/>
    <w:rsid w:val="009805CC"/>
    <w:rsid w:val="00980DCF"/>
    <w:rsid w:val="00981244"/>
    <w:rsid w:val="009814BE"/>
    <w:rsid w:val="0098222D"/>
    <w:rsid w:val="00983F37"/>
    <w:rsid w:val="0098422F"/>
    <w:rsid w:val="00985EB0"/>
    <w:rsid w:val="00986169"/>
    <w:rsid w:val="009868CE"/>
    <w:rsid w:val="0098722F"/>
    <w:rsid w:val="00987610"/>
    <w:rsid w:val="009876B0"/>
    <w:rsid w:val="0099101B"/>
    <w:rsid w:val="009934BB"/>
    <w:rsid w:val="00993A3A"/>
    <w:rsid w:val="00994ADE"/>
    <w:rsid w:val="00994C84"/>
    <w:rsid w:val="0099561C"/>
    <w:rsid w:val="00995A7C"/>
    <w:rsid w:val="009968DF"/>
    <w:rsid w:val="00996B9B"/>
    <w:rsid w:val="00996D09"/>
    <w:rsid w:val="00996DF8"/>
    <w:rsid w:val="009A008E"/>
    <w:rsid w:val="009A0368"/>
    <w:rsid w:val="009A044C"/>
    <w:rsid w:val="009A0B27"/>
    <w:rsid w:val="009A0F03"/>
    <w:rsid w:val="009A2389"/>
    <w:rsid w:val="009A275B"/>
    <w:rsid w:val="009A2D20"/>
    <w:rsid w:val="009A56AD"/>
    <w:rsid w:val="009A726B"/>
    <w:rsid w:val="009B0C7F"/>
    <w:rsid w:val="009B1A76"/>
    <w:rsid w:val="009B223A"/>
    <w:rsid w:val="009B2EFC"/>
    <w:rsid w:val="009B3B1E"/>
    <w:rsid w:val="009B3C31"/>
    <w:rsid w:val="009B4759"/>
    <w:rsid w:val="009B4997"/>
    <w:rsid w:val="009B4ACC"/>
    <w:rsid w:val="009B50F0"/>
    <w:rsid w:val="009B60B8"/>
    <w:rsid w:val="009B6179"/>
    <w:rsid w:val="009B7954"/>
    <w:rsid w:val="009B7985"/>
    <w:rsid w:val="009B7A62"/>
    <w:rsid w:val="009B7C12"/>
    <w:rsid w:val="009C09BC"/>
    <w:rsid w:val="009C0F52"/>
    <w:rsid w:val="009C20CD"/>
    <w:rsid w:val="009C26C9"/>
    <w:rsid w:val="009C278F"/>
    <w:rsid w:val="009C3E78"/>
    <w:rsid w:val="009C4C6A"/>
    <w:rsid w:val="009C57BC"/>
    <w:rsid w:val="009C5CDE"/>
    <w:rsid w:val="009C5DFD"/>
    <w:rsid w:val="009C62EE"/>
    <w:rsid w:val="009C68D3"/>
    <w:rsid w:val="009C733D"/>
    <w:rsid w:val="009D0D12"/>
    <w:rsid w:val="009D1212"/>
    <w:rsid w:val="009D1626"/>
    <w:rsid w:val="009D1B60"/>
    <w:rsid w:val="009D3353"/>
    <w:rsid w:val="009D37F9"/>
    <w:rsid w:val="009D3FDB"/>
    <w:rsid w:val="009D4272"/>
    <w:rsid w:val="009D43C6"/>
    <w:rsid w:val="009D56DB"/>
    <w:rsid w:val="009D62AC"/>
    <w:rsid w:val="009D6D29"/>
    <w:rsid w:val="009D6DF9"/>
    <w:rsid w:val="009D70F6"/>
    <w:rsid w:val="009D7780"/>
    <w:rsid w:val="009E0826"/>
    <w:rsid w:val="009E0A60"/>
    <w:rsid w:val="009E0FD5"/>
    <w:rsid w:val="009E3A8C"/>
    <w:rsid w:val="009E3CC8"/>
    <w:rsid w:val="009E4611"/>
    <w:rsid w:val="009E4C6A"/>
    <w:rsid w:val="009E52AE"/>
    <w:rsid w:val="009E52CB"/>
    <w:rsid w:val="009E57CD"/>
    <w:rsid w:val="009E5F41"/>
    <w:rsid w:val="009E629B"/>
    <w:rsid w:val="009E6AE5"/>
    <w:rsid w:val="009E6EFF"/>
    <w:rsid w:val="009E7979"/>
    <w:rsid w:val="009E7B5D"/>
    <w:rsid w:val="009F1C63"/>
    <w:rsid w:val="009F1E22"/>
    <w:rsid w:val="009F2B2A"/>
    <w:rsid w:val="009F3A64"/>
    <w:rsid w:val="009F3BE2"/>
    <w:rsid w:val="009F3CD4"/>
    <w:rsid w:val="009F4DB9"/>
    <w:rsid w:val="009F5A13"/>
    <w:rsid w:val="009F63C8"/>
    <w:rsid w:val="009F71C1"/>
    <w:rsid w:val="009F793F"/>
    <w:rsid w:val="00A00102"/>
    <w:rsid w:val="00A00529"/>
    <w:rsid w:val="00A00593"/>
    <w:rsid w:val="00A010DC"/>
    <w:rsid w:val="00A01360"/>
    <w:rsid w:val="00A01A89"/>
    <w:rsid w:val="00A01C32"/>
    <w:rsid w:val="00A02906"/>
    <w:rsid w:val="00A033F8"/>
    <w:rsid w:val="00A04C4C"/>
    <w:rsid w:val="00A050E0"/>
    <w:rsid w:val="00A0553E"/>
    <w:rsid w:val="00A0655A"/>
    <w:rsid w:val="00A075FA"/>
    <w:rsid w:val="00A07B8E"/>
    <w:rsid w:val="00A1027E"/>
    <w:rsid w:val="00A1081C"/>
    <w:rsid w:val="00A1266A"/>
    <w:rsid w:val="00A12C2E"/>
    <w:rsid w:val="00A13843"/>
    <w:rsid w:val="00A15673"/>
    <w:rsid w:val="00A16290"/>
    <w:rsid w:val="00A20647"/>
    <w:rsid w:val="00A215AB"/>
    <w:rsid w:val="00A226C4"/>
    <w:rsid w:val="00A22E9B"/>
    <w:rsid w:val="00A235FC"/>
    <w:rsid w:val="00A239D5"/>
    <w:rsid w:val="00A23C7C"/>
    <w:rsid w:val="00A23EB3"/>
    <w:rsid w:val="00A244D1"/>
    <w:rsid w:val="00A25C17"/>
    <w:rsid w:val="00A262B0"/>
    <w:rsid w:val="00A26524"/>
    <w:rsid w:val="00A2729E"/>
    <w:rsid w:val="00A31361"/>
    <w:rsid w:val="00A31D1E"/>
    <w:rsid w:val="00A31D88"/>
    <w:rsid w:val="00A32BC2"/>
    <w:rsid w:val="00A33003"/>
    <w:rsid w:val="00A33A9A"/>
    <w:rsid w:val="00A33FF0"/>
    <w:rsid w:val="00A347D2"/>
    <w:rsid w:val="00A34A7B"/>
    <w:rsid w:val="00A356DA"/>
    <w:rsid w:val="00A358FE"/>
    <w:rsid w:val="00A359C7"/>
    <w:rsid w:val="00A401E3"/>
    <w:rsid w:val="00A40931"/>
    <w:rsid w:val="00A40EDA"/>
    <w:rsid w:val="00A40FA1"/>
    <w:rsid w:val="00A4139E"/>
    <w:rsid w:val="00A42765"/>
    <w:rsid w:val="00A4288F"/>
    <w:rsid w:val="00A44691"/>
    <w:rsid w:val="00A45610"/>
    <w:rsid w:val="00A4679D"/>
    <w:rsid w:val="00A469CD"/>
    <w:rsid w:val="00A5191A"/>
    <w:rsid w:val="00A52BA0"/>
    <w:rsid w:val="00A52D62"/>
    <w:rsid w:val="00A542C6"/>
    <w:rsid w:val="00A551EA"/>
    <w:rsid w:val="00A557A2"/>
    <w:rsid w:val="00A5602C"/>
    <w:rsid w:val="00A569FF"/>
    <w:rsid w:val="00A6010C"/>
    <w:rsid w:val="00A6047B"/>
    <w:rsid w:val="00A61186"/>
    <w:rsid w:val="00A61D0A"/>
    <w:rsid w:val="00A62535"/>
    <w:rsid w:val="00A64C38"/>
    <w:rsid w:val="00A660C0"/>
    <w:rsid w:val="00A67459"/>
    <w:rsid w:val="00A6787B"/>
    <w:rsid w:val="00A67D93"/>
    <w:rsid w:val="00A71984"/>
    <w:rsid w:val="00A7200B"/>
    <w:rsid w:val="00A721E9"/>
    <w:rsid w:val="00A726B9"/>
    <w:rsid w:val="00A7304A"/>
    <w:rsid w:val="00A7349D"/>
    <w:rsid w:val="00A761A2"/>
    <w:rsid w:val="00A77E0B"/>
    <w:rsid w:val="00A81BB5"/>
    <w:rsid w:val="00A823E7"/>
    <w:rsid w:val="00A82628"/>
    <w:rsid w:val="00A82900"/>
    <w:rsid w:val="00A842ED"/>
    <w:rsid w:val="00A8521B"/>
    <w:rsid w:val="00A85AB2"/>
    <w:rsid w:val="00A85B71"/>
    <w:rsid w:val="00A85B72"/>
    <w:rsid w:val="00A86A74"/>
    <w:rsid w:val="00A9039A"/>
    <w:rsid w:val="00A93EA4"/>
    <w:rsid w:val="00A951BF"/>
    <w:rsid w:val="00A954AD"/>
    <w:rsid w:val="00A95738"/>
    <w:rsid w:val="00A9592D"/>
    <w:rsid w:val="00A9669A"/>
    <w:rsid w:val="00AA12D7"/>
    <w:rsid w:val="00AA24DB"/>
    <w:rsid w:val="00AA3945"/>
    <w:rsid w:val="00AA3D9C"/>
    <w:rsid w:val="00AA4191"/>
    <w:rsid w:val="00AA42FA"/>
    <w:rsid w:val="00AA43ED"/>
    <w:rsid w:val="00AA4643"/>
    <w:rsid w:val="00AA51EF"/>
    <w:rsid w:val="00AA5A22"/>
    <w:rsid w:val="00AA683F"/>
    <w:rsid w:val="00AA703F"/>
    <w:rsid w:val="00AA7A82"/>
    <w:rsid w:val="00AB07BB"/>
    <w:rsid w:val="00AB1286"/>
    <w:rsid w:val="00AB1F4E"/>
    <w:rsid w:val="00AB2445"/>
    <w:rsid w:val="00AB2BDE"/>
    <w:rsid w:val="00AB2F89"/>
    <w:rsid w:val="00AB3C1D"/>
    <w:rsid w:val="00AB5102"/>
    <w:rsid w:val="00AB5887"/>
    <w:rsid w:val="00AB669A"/>
    <w:rsid w:val="00AB7F34"/>
    <w:rsid w:val="00AC0178"/>
    <w:rsid w:val="00AC0D2F"/>
    <w:rsid w:val="00AC0E88"/>
    <w:rsid w:val="00AC1F85"/>
    <w:rsid w:val="00AC1FC9"/>
    <w:rsid w:val="00AC4098"/>
    <w:rsid w:val="00AC4747"/>
    <w:rsid w:val="00AC4821"/>
    <w:rsid w:val="00AC519B"/>
    <w:rsid w:val="00AC5391"/>
    <w:rsid w:val="00AC5685"/>
    <w:rsid w:val="00AC6B36"/>
    <w:rsid w:val="00AC6F9C"/>
    <w:rsid w:val="00AC6FE2"/>
    <w:rsid w:val="00AC7021"/>
    <w:rsid w:val="00AC7DB2"/>
    <w:rsid w:val="00AD1B4F"/>
    <w:rsid w:val="00AD297E"/>
    <w:rsid w:val="00AD32B9"/>
    <w:rsid w:val="00AD337F"/>
    <w:rsid w:val="00AD4295"/>
    <w:rsid w:val="00AD6D08"/>
    <w:rsid w:val="00AD7523"/>
    <w:rsid w:val="00AD797D"/>
    <w:rsid w:val="00AE0049"/>
    <w:rsid w:val="00AE07C1"/>
    <w:rsid w:val="00AE0B56"/>
    <w:rsid w:val="00AE13CD"/>
    <w:rsid w:val="00AE189E"/>
    <w:rsid w:val="00AE18D2"/>
    <w:rsid w:val="00AE30EF"/>
    <w:rsid w:val="00AE34B2"/>
    <w:rsid w:val="00AE4225"/>
    <w:rsid w:val="00AE5170"/>
    <w:rsid w:val="00AE555C"/>
    <w:rsid w:val="00AF0B1D"/>
    <w:rsid w:val="00AF1BED"/>
    <w:rsid w:val="00AF2463"/>
    <w:rsid w:val="00AF336B"/>
    <w:rsid w:val="00AF4B0A"/>
    <w:rsid w:val="00AF4E33"/>
    <w:rsid w:val="00AF5659"/>
    <w:rsid w:val="00AF62CE"/>
    <w:rsid w:val="00B01AB3"/>
    <w:rsid w:val="00B0246A"/>
    <w:rsid w:val="00B02612"/>
    <w:rsid w:val="00B02C4C"/>
    <w:rsid w:val="00B0390C"/>
    <w:rsid w:val="00B03C24"/>
    <w:rsid w:val="00B04459"/>
    <w:rsid w:val="00B04BD2"/>
    <w:rsid w:val="00B0572C"/>
    <w:rsid w:val="00B05818"/>
    <w:rsid w:val="00B06818"/>
    <w:rsid w:val="00B06B66"/>
    <w:rsid w:val="00B06EED"/>
    <w:rsid w:val="00B07019"/>
    <w:rsid w:val="00B071AE"/>
    <w:rsid w:val="00B07C6B"/>
    <w:rsid w:val="00B07EE4"/>
    <w:rsid w:val="00B11609"/>
    <w:rsid w:val="00B1344E"/>
    <w:rsid w:val="00B13D75"/>
    <w:rsid w:val="00B150E1"/>
    <w:rsid w:val="00B156F7"/>
    <w:rsid w:val="00B1591B"/>
    <w:rsid w:val="00B15D22"/>
    <w:rsid w:val="00B16616"/>
    <w:rsid w:val="00B17BA7"/>
    <w:rsid w:val="00B17ED0"/>
    <w:rsid w:val="00B20510"/>
    <w:rsid w:val="00B20CCB"/>
    <w:rsid w:val="00B21033"/>
    <w:rsid w:val="00B21722"/>
    <w:rsid w:val="00B2231D"/>
    <w:rsid w:val="00B22690"/>
    <w:rsid w:val="00B2333F"/>
    <w:rsid w:val="00B24E57"/>
    <w:rsid w:val="00B2544E"/>
    <w:rsid w:val="00B2570A"/>
    <w:rsid w:val="00B26B6D"/>
    <w:rsid w:val="00B271DE"/>
    <w:rsid w:val="00B27500"/>
    <w:rsid w:val="00B278F8"/>
    <w:rsid w:val="00B30002"/>
    <w:rsid w:val="00B31B36"/>
    <w:rsid w:val="00B323C9"/>
    <w:rsid w:val="00B3365D"/>
    <w:rsid w:val="00B33A9A"/>
    <w:rsid w:val="00B33F17"/>
    <w:rsid w:val="00B34CB3"/>
    <w:rsid w:val="00B350B8"/>
    <w:rsid w:val="00B356F4"/>
    <w:rsid w:val="00B359A5"/>
    <w:rsid w:val="00B36760"/>
    <w:rsid w:val="00B36AFB"/>
    <w:rsid w:val="00B37FB0"/>
    <w:rsid w:val="00B40E4A"/>
    <w:rsid w:val="00B435F7"/>
    <w:rsid w:val="00B44196"/>
    <w:rsid w:val="00B452D8"/>
    <w:rsid w:val="00B476F6"/>
    <w:rsid w:val="00B4793B"/>
    <w:rsid w:val="00B479C9"/>
    <w:rsid w:val="00B5143B"/>
    <w:rsid w:val="00B52F5E"/>
    <w:rsid w:val="00B5316F"/>
    <w:rsid w:val="00B53388"/>
    <w:rsid w:val="00B53B39"/>
    <w:rsid w:val="00B53E7A"/>
    <w:rsid w:val="00B53FC5"/>
    <w:rsid w:val="00B54E95"/>
    <w:rsid w:val="00B553B8"/>
    <w:rsid w:val="00B556D3"/>
    <w:rsid w:val="00B55D00"/>
    <w:rsid w:val="00B5624B"/>
    <w:rsid w:val="00B56ED1"/>
    <w:rsid w:val="00B602EA"/>
    <w:rsid w:val="00B608ED"/>
    <w:rsid w:val="00B60FFF"/>
    <w:rsid w:val="00B61539"/>
    <w:rsid w:val="00B619C0"/>
    <w:rsid w:val="00B61EB5"/>
    <w:rsid w:val="00B625D4"/>
    <w:rsid w:val="00B63CEA"/>
    <w:rsid w:val="00B6414D"/>
    <w:rsid w:val="00B64980"/>
    <w:rsid w:val="00B65051"/>
    <w:rsid w:val="00B654C3"/>
    <w:rsid w:val="00B66452"/>
    <w:rsid w:val="00B67A77"/>
    <w:rsid w:val="00B7029F"/>
    <w:rsid w:val="00B70A64"/>
    <w:rsid w:val="00B70FBB"/>
    <w:rsid w:val="00B71CB4"/>
    <w:rsid w:val="00B725F7"/>
    <w:rsid w:val="00B72980"/>
    <w:rsid w:val="00B7298E"/>
    <w:rsid w:val="00B737C2"/>
    <w:rsid w:val="00B749AD"/>
    <w:rsid w:val="00B74B4F"/>
    <w:rsid w:val="00B74E49"/>
    <w:rsid w:val="00B75564"/>
    <w:rsid w:val="00B7682B"/>
    <w:rsid w:val="00B77CA2"/>
    <w:rsid w:val="00B80162"/>
    <w:rsid w:val="00B809F5"/>
    <w:rsid w:val="00B823B9"/>
    <w:rsid w:val="00B8283F"/>
    <w:rsid w:val="00B830FB"/>
    <w:rsid w:val="00B83CB2"/>
    <w:rsid w:val="00B84581"/>
    <w:rsid w:val="00B84AA8"/>
    <w:rsid w:val="00B857D5"/>
    <w:rsid w:val="00B85C85"/>
    <w:rsid w:val="00B86097"/>
    <w:rsid w:val="00B871D9"/>
    <w:rsid w:val="00B901FE"/>
    <w:rsid w:val="00B914AC"/>
    <w:rsid w:val="00B91865"/>
    <w:rsid w:val="00B91AF2"/>
    <w:rsid w:val="00B92A30"/>
    <w:rsid w:val="00B93340"/>
    <w:rsid w:val="00B93C0C"/>
    <w:rsid w:val="00B94137"/>
    <w:rsid w:val="00B941E9"/>
    <w:rsid w:val="00B9445B"/>
    <w:rsid w:val="00B947A5"/>
    <w:rsid w:val="00B94B57"/>
    <w:rsid w:val="00B95C5E"/>
    <w:rsid w:val="00B965C9"/>
    <w:rsid w:val="00B96633"/>
    <w:rsid w:val="00B966B7"/>
    <w:rsid w:val="00BA0144"/>
    <w:rsid w:val="00BA022E"/>
    <w:rsid w:val="00BA5B4B"/>
    <w:rsid w:val="00BA627D"/>
    <w:rsid w:val="00BA712D"/>
    <w:rsid w:val="00BA7A80"/>
    <w:rsid w:val="00BA7AEF"/>
    <w:rsid w:val="00BB0BE7"/>
    <w:rsid w:val="00BB1989"/>
    <w:rsid w:val="00BB1EB2"/>
    <w:rsid w:val="00BB304A"/>
    <w:rsid w:val="00BB308F"/>
    <w:rsid w:val="00BB3210"/>
    <w:rsid w:val="00BB74D2"/>
    <w:rsid w:val="00BB77A7"/>
    <w:rsid w:val="00BB7A3E"/>
    <w:rsid w:val="00BC1183"/>
    <w:rsid w:val="00BC146A"/>
    <w:rsid w:val="00BC15C3"/>
    <w:rsid w:val="00BC1B4F"/>
    <w:rsid w:val="00BC251F"/>
    <w:rsid w:val="00BC2ACC"/>
    <w:rsid w:val="00BC2E1D"/>
    <w:rsid w:val="00BC4524"/>
    <w:rsid w:val="00BC4788"/>
    <w:rsid w:val="00BC4BFD"/>
    <w:rsid w:val="00BC5111"/>
    <w:rsid w:val="00BC56AD"/>
    <w:rsid w:val="00BC60C3"/>
    <w:rsid w:val="00BC74CD"/>
    <w:rsid w:val="00BD0537"/>
    <w:rsid w:val="00BD0586"/>
    <w:rsid w:val="00BD1F24"/>
    <w:rsid w:val="00BD24AA"/>
    <w:rsid w:val="00BD2F17"/>
    <w:rsid w:val="00BD3DE8"/>
    <w:rsid w:val="00BD449D"/>
    <w:rsid w:val="00BD541D"/>
    <w:rsid w:val="00BD6828"/>
    <w:rsid w:val="00BD7624"/>
    <w:rsid w:val="00BD7D73"/>
    <w:rsid w:val="00BE0099"/>
    <w:rsid w:val="00BE0F26"/>
    <w:rsid w:val="00BE46FF"/>
    <w:rsid w:val="00BF093E"/>
    <w:rsid w:val="00BF0BB5"/>
    <w:rsid w:val="00BF0D60"/>
    <w:rsid w:val="00BF121B"/>
    <w:rsid w:val="00BF150D"/>
    <w:rsid w:val="00BF25B9"/>
    <w:rsid w:val="00BF2A8B"/>
    <w:rsid w:val="00BF2B41"/>
    <w:rsid w:val="00BF315C"/>
    <w:rsid w:val="00BF3BF5"/>
    <w:rsid w:val="00BF4576"/>
    <w:rsid w:val="00BF48EA"/>
    <w:rsid w:val="00BF5D24"/>
    <w:rsid w:val="00BF7339"/>
    <w:rsid w:val="00BF766F"/>
    <w:rsid w:val="00BF799D"/>
    <w:rsid w:val="00BF7CF9"/>
    <w:rsid w:val="00C025B9"/>
    <w:rsid w:val="00C0334F"/>
    <w:rsid w:val="00C04C35"/>
    <w:rsid w:val="00C073DE"/>
    <w:rsid w:val="00C10774"/>
    <w:rsid w:val="00C107F4"/>
    <w:rsid w:val="00C10ACC"/>
    <w:rsid w:val="00C11094"/>
    <w:rsid w:val="00C113EC"/>
    <w:rsid w:val="00C12058"/>
    <w:rsid w:val="00C12E08"/>
    <w:rsid w:val="00C1309D"/>
    <w:rsid w:val="00C1334D"/>
    <w:rsid w:val="00C14DD2"/>
    <w:rsid w:val="00C15B02"/>
    <w:rsid w:val="00C15BAD"/>
    <w:rsid w:val="00C163F1"/>
    <w:rsid w:val="00C17C60"/>
    <w:rsid w:val="00C20909"/>
    <w:rsid w:val="00C20F3A"/>
    <w:rsid w:val="00C21AC2"/>
    <w:rsid w:val="00C21CB5"/>
    <w:rsid w:val="00C21D48"/>
    <w:rsid w:val="00C22028"/>
    <w:rsid w:val="00C22808"/>
    <w:rsid w:val="00C22BC0"/>
    <w:rsid w:val="00C232DD"/>
    <w:rsid w:val="00C23EC8"/>
    <w:rsid w:val="00C24B5E"/>
    <w:rsid w:val="00C255A7"/>
    <w:rsid w:val="00C26796"/>
    <w:rsid w:val="00C26FD4"/>
    <w:rsid w:val="00C272B1"/>
    <w:rsid w:val="00C2785A"/>
    <w:rsid w:val="00C27F09"/>
    <w:rsid w:val="00C301E0"/>
    <w:rsid w:val="00C3066F"/>
    <w:rsid w:val="00C30E7C"/>
    <w:rsid w:val="00C31462"/>
    <w:rsid w:val="00C31664"/>
    <w:rsid w:val="00C323D3"/>
    <w:rsid w:val="00C34415"/>
    <w:rsid w:val="00C34923"/>
    <w:rsid w:val="00C34A52"/>
    <w:rsid w:val="00C34A88"/>
    <w:rsid w:val="00C35876"/>
    <w:rsid w:val="00C35A1B"/>
    <w:rsid w:val="00C36F1C"/>
    <w:rsid w:val="00C405C8"/>
    <w:rsid w:val="00C4129A"/>
    <w:rsid w:val="00C41836"/>
    <w:rsid w:val="00C41E57"/>
    <w:rsid w:val="00C424D7"/>
    <w:rsid w:val="00C42C13"/>
    <w:rsid w:val="00C43489"/>
    <w:rsid w:val="00C43C35"/>
    <w:rsid w:val="00C453CB"/>
    <w:rsid w:val="00C45E7F"/>
    <w:rsid w:val="00C46602"/>
    <w:rsid w:val="00C471ED"/>
    <w:rsid w:val="00C474B0"/>
    <w:rsid w:val="00C47E0A"/>
    <w:rsid w:val="00C51220"/>
    <w:rsid w:val="00C51BCE"/>
    <w:rsid w:val="00C522B5"/>
    <w:rsid w:val="00C527B5"/>
    <w:rsid w:val="00C52C41"/>
    <w:rsid w:val="00C54E0B"/>
    <w:rsid w:val="00C5646C"/>
    <w:rsid w:val="00C57FD1"/>
    <w:rsid w:val="00C613DD"/>
    <w:rsid w:val="00C61C02"/>
    <w:rsid w:val="00C6248B"/>
    <w:rsid w:val="00C62FAB"/>
    <w:rsid w:val="00C634C1"/>
    <w:rsid w:val="00C63B8A"/>
    <w:rsid w:val="00C63E14"/>
    <w:rsid w:val="00C641F1"/>
    <w:rsid w:val="00C645EF"/>
    <w:rsid w:val="00C64A37"/>
    <w:rsid w:val="00C64C23"/>
    <w:rsid w:val="00C65EDE"/>
    <w:rsid w:val="00C71E61"/>
    <w:rsid w:val="00C71F08"/>
    <w:rsid w:val="00C7228B"/>
    <w:rsid w:val="00C73852"/>
    <w:rsid w:val="00C74011"/>
    <w:rsid w:val="00C74495"/>
    <w:rsid w:val="00C74A04"/>
    <w:rsid w:val="00C74BE2"/>
    <w:rsid w:val="00C7615C"/>
    <w:rsid w:val="00C77932"/>
    <w:rsid w:val="00C80AF9"/>
    <w:rsid w:val="00C810F8"/>
    <w:rsid w:val="00C81B10"/>
    <w:rsid w:val="00C82129"/>
    <w:rsid w:val="00C835E8"/>
    <w:rsid w:val="00C836C2"/>
    <w:rsid w:val="00C83ABE"/>
    <w:rsid w:val="00C846CA"/>
    <w:rsid w:val="00C85144"/>
    <w:rsid w:val="00C85895"/>
    <w:rsid w:val="00C85E66"/>
    <w:rsid w:val="00C8606F"/>
    <w:rsid w:val="00C86AAB"/>
    <w:rsid w:val="00C876F6"/>
    <w:rsid w:val="00C87866"/>
    <w:rsid w:val="00C91592"/>
    <w:rsid w:val="00C91716"/>
    <w:rsid w:val="00C922B7"/>
    <w:rsid w:val="00C9332F"/>
    <w:rsid w:val="00C9397B"/>
    <w:rsid w:val="00C945B2"/>
    <w:rsid w:val="00C94FC7"/>
    <w:rsid w:val="00C95FB2"/>
    <w:rsid w:val="00C97253"/>
    <w:rsid w:val="00CA1535"/>
    <w:rsid w:val="00CA2C63"/>
    <w:rsid w:val="00CA3931"/>
    <w:rsid w:val="00CA39AE"/>
    <w:rsid w:val="00CA3E63"/>
    <w:rsid w:val="00CA4A96"/>
    <w:rsid w:val="00CA67CA"/>
    <w:rsid w:val="00CA68F5"/>
    <w:rsid w:val="00CA6903"/>
    <w:rsid w:val="00CA7826"/>
    <w:rsid w:val="00CA7830"/>
    <w:rsid w:val="00CB04E4"/>
    <w:rsid w:val="00CB32CC"/>
    <w:rsid w:val="00CB409C"/>
    <w:rsid w:val="00CB4F3A"/>
    <w:rsid w:val="00CB4F72"/>
    <w:rsid w:val="00CB5348"/>
    <w:rsid w:val="00CB5C78"/>
    <w:rsid w:val="00CB63E1"/>
    <w:rsid w:val="00CB745A"/>
    <w:rsid w:val="00CC0B5C"/>
    <w:rsid w:val="00CC1117"/>
    <w:rsid w:val="00CC1F93"/>
    <w:rsid w:val="00CC231E"/>
    <w:rsid w:val="00CC3746"/>
    <w:rsid w:val="00CC3B5B"/>
    <w:rsid w:val="00CC62D4"/>
    <w:rsid w:val="00CC66FD"/>
    <w:rsid w:val="00CC6D70"/>
    <w:rsid w:val="00CC75B3"/>
    <w:rsid w:val="00CD1204"/>
    <w:rsid w:val="00CD157F"/>
    <w:rsid w:val="00CD1BB9"/>
    <w:rsid w:val="00CD2314"/>
    <w:rsid w:val="00CD2884"/>
    <w:rsid w:val="00CD3034"/>
    <w:rsid w:val="00CD4008"/>
    <w:rsid w:val="00CD45AD"/>
    <w:rsid w:val="00CD51DC"/>
    <w:rsid w:val="00CD53A0"/>
    <w:rsid w:val="00CD55E8"/>
    <w:rsid w:val="00CD5B30"/>
    <w:rsid w:val="00CD6186"/>
    <w:rsid w:val="00CD6427"/>
    <w:rsid w:val="00CE009C"/>
    <w:rsid w:val="00CE20B7"/>
    <w:rsid w:val="00CE2320"/>
    <w:rsid w:val="00CE23D3"/>
    <w:rsid w:val="00CE243E"/>
    <w:rsid w:val="00CE2934"/>
    <w:rsid w:val="00CF01C1"/>
    <w:rsid w:val="00CF0AC4"/>
    <w:rsid w:val="00CF10F8"/>
    <w:rsid w:val="00CF23C3"/>
    <w:rsid w:val="00CF3261"/>
    <w:rsid w:val="00CF3634"/>
    <w:rsid w:val="00CF47D8"/>
    <w:rsid w:val="00CF5F7B"/>
    <w:rsid w:val="00CF602C"/>
    <w:rsid w:val="00CF6528"/>
    <w:rsid w:val="00CF65A1"/>
    <w:rsid w:val="00CF7477"/>
    <w:rsid w:val="00CF74E3"/>
    <w:rsid w:val="00D003C3"/>
    <w:rsid w:val="00D009C2"/>
    <w:rsid w:val="00D01217"/>
    <w:rsid w:val="00D020CD"/>
    <w:rsid w:val="00D0215E"/>
    <w:rsid w:val="00D02794"/>
    <w:rsid w:val="00D02E22"/>
    <w:rsid w:val="00D0344F"/>
    <w:rsid w:val="00D03EDE"/>
    <w:rsid w:val="00D05BA5"/>
    <w:rsid w:val="00D05CB3"/>
    <w:rsid w:val="00D062AB"/>
    <w:rsid w:val="00D0726F"/>
    <w:rsid w:val="00D07BDA"/>
    <w:rsid w:val="00D10A64"/>
    <w:rsid w:val="00D1125D"/>
    <w:rsid w:val="00D11B5E"/>
    <w:rsid w:val="00D13625"/>
    <w:rsid w:val="00D13A23"/>
    <w:rsid w:val="00D13FA9"/>
    <w:rsid w:val="00D15AE0"/>
    <w:rsid w:val="00D1636A"/>
    <w:rsid w:val="00D17D12"/>
    <w:rsid w:val="00D202D9"/>
    <w:rsid w:val="00D20985"/>
    <w:rsid w:val="00D20999"/>
    <w:rsid w:val="00D21757"/>
    <w:rsid w:val="00D21773"/>
    <w:rsid w:val="00D21D1E"/>
    <w:rsid w:val="00D21F59"/>
    <w:rsid w:val="00D244A0"/>
    <w:rsid w:val="00D24F3F"/>
    <w:rsid w:val="00D25B4C"/>
    <w:rsid w:val="00D27A2B"/>
    <w:rsid w:val="00D312F7"/>
    <w:rsid w:val="00D31F32"/>
    <w:rsid w:val="00D325AA"/>
    <w:rsid w:val="00D32BD6"/>
    <w:rsid w:val="00D33C4B"/>
    <w:rsid w:val="00D33F26"/>
    <w:rsid w:val="00D342C7"/>
    <w:rsid w:val="00D34911"/>
    <w:rsid w:val="00D34A6B"/>
    <w:rsid w:val="00D34A99"/>
    <w:rsid w:val="00D34DCE"/>
    <w:rsid w:val="00D353BD"/>
    <w:rsid w:val="00D35C5C"/>
    <w:rsid w:val="00D36067"/>
    <w:rsid w:val="00D369A0"/>
    <w:rsid w:val="00D37706"/>
    <w:rsid w:val="00D37812"/>
    <w:rsid w:val="00D4003F"/>
    <w:rsid w:val="00D40136"/>
    <w:rsid w:val="00D4048B"/>
    <w:rsid w:val="00D4412D"/>
    <w:rsid w:val="00D4570E"/>
    <w:rsid w:val="00D460A5"/>
    <w:rsid w:val="00D4710D"/>
    <w:rsid w:val="00D526DC"/>
    <w:rsid w:val="00D52954"/>
    <w:rsid w:val="00D52ED4"/>
    <w:rsid w:val="00D53EF5"/>
    <w:rsid w:val="00D54BFC"/>
    <w:rsid w:val="00D55A9A"/>
    <w:rsid w:val="00D56267"/>
    <w:rsid w:val="00D60375"/>
    <w:rsid w:val="00D612D1"/>
    <w:rsid w:val="00D613D7"/>
    <w:rsid w:val="00D61985"/>
    <w:rsid w:val="00D62754"/>
    <w:rsid w:val="00D640A1"/>
    <w:rsid w:val="00D6454A"/>
    <w:rsid w:val="00D64898"/>
    <w:rsid w:val="00D648FF"/>
    <w:rsid w:val="00D64EA8"/>
    <w:rsid w:val="00D64EFE"/>
    <w:rsid w:val="00D65B93"/>
    <w:rsid w:val="00D678E6"/>
    <w:rsid w:val="00D7179F"/>
    <w:rsid w:val="00D7192D"/>
    <w:rsid w:val="00D72375"/>
    <w:rsid w:val="00D72C20"/>
    <w:rsid w:val="00D744CD"/>
    <w:rsid w:val="00D744E9"/>
    <w:rsid w:val="00D76727"/>
    <w:rsid w:val="00D77760"/>
    <w:rsid w:val="00D81AE6"/>
    <w:rsid w:val="00D81F29"/>
    <w:rsid w:val="00D82C28"/>
    <w:rsid w:val="00D82D6A"/>
    <w:rsid w:val="00D84495"/>
    <w:rsid w:val="00D845E9"/>
    <w:rsid w:val="00D87196"/>
    <w:rsid w:val="00D87210"/>
    <w:rsid w:val="00D87646"/>
    <w:rsid w:val="00D87771"/>
    <w:rsid w:val="00D90522"/>
    <w:rsid w:val="00D90737"/>
    <w:rsid w:val="00D90A96"/>
    <w:rsid w:val="00D9136F"/>
    <w:rsid w:val="00D923F3"/>
    <w:rsid w:val="00D92AC9"/>
    <w:rsid w:val="00D93014"/>
    <w:rsid w:val="00D93572"/>
    <w:rsid w:val="00D935B8"/>
    <w:rsid w:val="00D94EC8"/>
    <w:rsid w:val="00DA00C9"/>
    <w:rsid w:val="00DA021F"/>
    <w:rsid w:val="00DA0808"/>
    <w:rsid w:val="00DA0C55"/>
    <w:rsid w:val="00DA2E9A"/>
    <w:rsid w:val="00DA31CF"/>
    <w:rsid w:val="00DA3AB2"/>
    <w:rsid w:val="00DA4CBE"/>
    <w:rsid w:val="00DA6D39"/>
    <w:rsid w:val="00DA6E73"/>
    <w:rsid w:val="00DA7282"/>
    <w:rsid w:val="00DB1145"/>
    <w:rsid w:val="00DB192D"/>
    <w:rsid w:val="00DB47E1"/>
    <w:rsid w:val="00DB6699"/>
    <w:rsid w:val="00DB7346"/>
    <w:rsid w:val="00DC074E"/>
    <w:rsid w:val="00DC0893"/>
    <w:rsid w:val="00DC2008"/>
    <w:rsid w:val="00DC239E"/>
    <w:rsid w:val="00DC45DB"/>
    <w:rsid w:val="00DC6C03"/>
    <w:rsid w:val="00DC6EBD"/>
    <w:rsid w:val="00DC74FA"/>
    <w:rsid w:val="00DC7E3D"/>
    <w:rsid w:val="00DD06C0"/>
    <w:rsid w:val="00DD07B3"/>
    <w:rsid w:val="00DD0998"/>
    <w:rsid w:val="00DD1BFA"/>
    <w:rsid w:val="00DD3DD5"/>
    <w:rsid w:val="00DD433D"/>
    <w:rsid w:val="00DD522A"/>
    <w:rsid w:val="00DD621E"/>
    <w:rsid w:val="00DD6690"/>
    <w:rsid w:val="00DD788E"/>
    <w:rsid w:val="00DD7B9E"/>
    <w:rsid w:val="00DD7ECA"/>
    <w:rsid w:val="00DE041F"/>
    <w:rsid w:val="00DE0803"/>
    <w:rsid w:val="00DE2330"/>
    <w:rsid w:val="00DE2E87"/>
    <w:rsid w:val="00DE3562"/>
    <w:rsid w:val="00DE36FD"/>
    <w:rsid w:val="00DE3B64"/>
    <w:rsid w:val="00DE3CAB"/>
    <w:rsid w:val="00DE4268"/>
    <w:rsid w:val="00DE5914"/>
    <w:rsid w:val="00DE5BE6"/>
    <w:rsid w:val="00DE6735"/>
    <w:rsid w:val="00DE6E83"/>
    <w:rsid w:val="00DE70C1"/>
    <w:rsid w:val="00DE775A"/>
    <w:rsid w:val="00DE7AEF"/>
    <w:rsid w:val="00DE7C1A"/>
    <w:rsid w:val="00DE7F15"/>
    <w:rsid w:val="00DF0001"/>
    <w:rsid w:val="00DF0D4D"/>
    <w:rsid w:val="00DF1D90"/>
    <w:rsid w:val="00DF1E0F"/>
    <w:rsid w:val="00DF1F9E"/>
    <w:rsid w:val="00DF286C"/>
    <w:rsid w:val="00DF2C80"/>
    <w:rsid w:val="00DF32B1"/>
    <w:rsid w:val="00DF3BFE"/>
    <w:rsid w:val="00DF423A"/>
    <w:rsid w:val="00DF48E7"/>
    <w:rsid w:val="00DF4AEA"/>
    <w:rsid w:val="00DF4F5A"/>
    <w:rsid w:val="00DF53A8"/>
    <w:rsid w:val="00DF625B"/>
    <w:rsid w:val="00DF7A49"/>
    <w:rsid w:val="00E00628"/>
    <w:rsid w:val="00E0232D"/>
    <w:rsid w:val="00E02961"/>
    <w:rsid w:val="00E037A0"/>
    <w:rsid w:val="00E04F6F"/>
    <w:rsid w:val="00E05989"/>
    <w:rsid w:val="00E0699D"/>
    <w:rsid w:val="00E06E06"/>
    <w:rsid w:val="00E10E86"/>
    <w:rsid w:val="00E1280A"/>
    <w:rsid w:val="00E13FAA"/>
    <w:rsid w:val="00E1499C"/>
    <w:rsid w:val="00E1508C"/>
    <w:rsid w:val="00E15E7A"/>
    <w:rsid w:val="00E1668C"/>
    <w:rsid w:val="00E1682D"/>
    <w:rsid w:val="00E16B5A"/>
    <w:rsid w:val="00E16B61"/>
    <w:rsid w:val="00E16BCF"/>
    <w:rsid w:val="00E17072"/>
    <w:rsid w:val="00E17915"/>
    <w:rsid w:val="00E17F44"/>
    <w:rsid w:val="00E2031D"/>
    <w:rsid w:val="00E2061B"/>
    <w:rsid w:val="00E2164E"/>
    <w:rsid w:val="00E21877"/>
    <w:rsid w:val="00E21E44"/>
    <w:rsid w:val="00E22989"/>
    <w:rsid w:val="00E23817"/>
    <w:rsid w:val="00E245FE"/>
    <w:rsid w:val="00E247AB"/>
    <w:rsid w:val="00E25BA9"/>
    <w:rsid w:val="00E26B65"/>
    <w:rsid w:val="00E27065"/>
    <w:rsid w:val="00E279BB"/>
    <w:rsid w:val="00E3010B"/>
    <w:rsid w:val="00E304F9"/>
    <w:rsid w:val="00E30594"/>
    <w:rsid w:val="00E3118B"/>
    <w:rsid w:val="00E3232B"/>
    <w:rsid w:val="00E324D2"/>
    <w:rsid w:val="00E3335F"/>
    <w:rsid w:val="00E337B7"/>
    <w:rsid w:val="00E361F0"/>
    <w:rsid w:val="00E363BF"/>
    <w:rsid w:val="00E421F1"/>
    <w:rsid w:val="00E4276C"/>
    <w:rsid w:val="00E42AED"/>
    <w:rsid w:val="00E431D9"/>
    <w:rsid w:val="00E438F3"/>
    <w:rsid w:val="00E43BF5"/>
    <w:rsid w:val="00E43D42"/>
    <w:rsid w:val="00E444B4"/>
    <w:rsid w:val="00E44816"/>
    <w:rsid w:val="00E450A9"/>
    <w:rsid w:val="00E45361"/>
    <w:rsid w:val="00E456B9"/>
    <w:rsid w:val="00E45740"/>
    <w:rsid w:val="00E46264"/>
    <w:rsid w:val="00E47756"/>
    <w:rsid w:val="00E51A73"/>
    <w:rsid w:val="00E52835"/>
    <w:rsid w:val="00E5553A"/>
    <w:rsid w:val="00E555AE"/>
    <w:rsid w:val="00E55F41"/>
    <w:rsid w:val="00E5640A"/>
    <w:rsid w:val="00E57A76"/>
    <w:rsid w:val="00E57FE1"/>
    <w:rsid w:val="00E60285"/>
    <w:rsid w:val="00E6048B"/>
    <w:rsid w:val="00E604C5"/>
    <w:rsid w:val="00E60A57"/>
    <w:rsid w:val="00E62057"/>
    <w:rsid w:val="00E644C1"/>
    <w:rsid w:val="00E648DE"/>
    <w:rsid w:val="00E651E9"/>
    <w:rsid w:val="00E6633F"/>
    <w:rsid w:val="00E668EB"/>
    <w:rsid w:val="00E676C7"/>
    <w:rsid w:val="00E67D39"/>
    <w:rsid w:val="00E725A9"/>
    <w:rsid w:val="00E74729"/>
    <w:rsid w:val="00E74A70"/>
    <w:rsid w:val="00E76569"/>
    <w:rsid w:val="00E77B7A"/>
    <w:rsid w:val="00E80BC6"/>
    <w:rsid w:val="00E80E72"/>
    <w:rsid w:val="00E817D9"/>
    <w:rsid w:val="00E81D0D"/>
    <w:rsid w:val="00E825B9"/>
    <w:rsid w:val="00E83779"/>
    <w:rsid w:val="00E84ADB"/>
    <w:rsid w:val="00E84E4E"/>
    <w:rsid w:val="00E86BA9"/>
    <w:rsid w:val="00E91743"/>
    <w:rsid w:val="00E919BA"/>
    <w:rsid w:val="00E91BB8"/>
    <w:rsid w:val="00E91C5C"/>
    <w:rsid w:val="00E91E6F"/>
    <w:rsid w:val="00E91F79"/>
    <w:rsid w:val="00E9223C"/>
    <w:rsid w:val="00E92309"/>
    <w:rsid w:val="00E941C4"/>
    <w:rsid w:val="00E94663"/>
    <w:rsid w:val="00E94CC4"/>
    <w:rsid w:val="00E969B4"/>
    <w:rsid w:val="00EA1D4A"/>
    <w:rsid w:val="00EA2AD2"/>
    <w:rsid w:val="00EA3468"/>
    <w:rsid w:val="00EA4743"/>
    <w:rsid w:val="00EA51CD"/>
    <w:rsid w:val="00EA600D"/>
    <w:rsid w:val="00EA718D"/>
    <w:rsid w:val="00EA7957"/>
    <w:rsid w:val="00EA7DD5"/>
    <w:rsid w:val="00EB02D3"/>
    <w:rsid w:val="00EB170E"/>
    <w:rsid w:val="00EB1CE7"/>
    <w:rsid w:val="00EB2C97"/>
    <w:rsid w:val="00EB2EC9"/>
    <w:rsid w:val="00EB4343"/>
    <w:rsid w:val="00EB46D5"/>
    <w:rsid w:val="00EB5567"/>
    <w:rsid w:val="00EB5BA0"/>
    <w:rsid w:val="00EB6830"/>
    <w:rsid w:val="00EB6A22"/>
    <w:rsid w:val="00EB6D34"/>
    <w:rsid w:val="00EB741C"/>
    <w:rsid w:val="00EC073A"/>
    <w:rsid w:val="00EC0B88"/>
    <w:rsid w:val="00EC1479"/>
    <w:rsid w:val="00EC28A2"/>
    <w:rsid w:val="00EC3553"/>
    <w:rsid w:val="00EC3A7D"/>
    <w:rsid w:val="00EC498B"/>
    <w:rsid w:val="00EC5DB7"/>
    <w:rsid w:val="00EC78DF"/>
    <w:rsid w:val="00ED0E7B"/>
    <w:rsid w:val="00ED16EB"/>
    <w:rsid w:val="00ED1A0A"/>
    <w:rsid w:val="00ED292F"/>
    <w:rsid w:val="00ED2A90"/>
    <w:rsid w:val="00ED3651"/>
    <w:rsid w:val="00ED3C9A"/>
    <w:rsid w:val="00ED49C3"/>
    <w:rsid w:val="00ED4C98"/>
    <w:rsid w:val="00ED5FA6"/>
    <w:rsid w:val="00ED614B"/>
    <w:rsid w:val="00ED71B7"/>
    <w:rsid w:val="00ED76A7"/>
    <w:rsid w:val="00ED7752"/>
    <w:rsid w:val="00ED7F48"/>
    <w:rsid w:val="00EE002A"/>
    <w:rsid w:val="00EE0EB0"/>
    <w:rsid w:val="00EE1979"/>
    <w:rsid w:val="00EE1CD0"/>
    <w:rsid w:val="00EE2750"/>
    <w:rsid w:val="00EE359D"/>
    <w:rsid w:val="00EE410A"/>
    <w:rsid w:val="00EE443F"/>
    <w:rsid w:val="00EE451F"/>
    <w:rsid w:val="00EE47B2"/>
    <w:rsid w:val="00EE4D7E"/>
    <w:rsid w:val="00EE534F"/>
    <w:rsid w:val="00EE5414"/>
    <w:rsid w:val="00EE63D6"/>
    <w:rsid w:val="00EE6708"/>
    <w:rsid w:val="00EE6C42"/>
    <w:rsid w:val="00EE77E7"/>
    <w:rsid w:val="00EF01CE"/>
    <w:rsid w:val="00EF0D6E"/>
    <w:rsid w:val="00EF0E1B"/>
    <w:rsid w:val="00EF150E"/>
    <w:rsid w:val="00EF1D6E"/>
    <w:rsid w:val="00EF2E7F"/>
    <w:rsid w:val="00EF4D3B"/>
    <w:rsid w:val="00EF5A78"/>
    <w:rsid w:val="00EF61A0"/>
    <w:rsid w:val="00EF6543"/>
    <w:rsid w:val="00EF7528"/>
    <w:rsid w:val="00F00C8C"/>
    <w:rsid w:val="00F0157D"/>
    <w:rsid w:val="00F01F77"/>
    <w:rsid w:val="00F024C2"/>
    <w:rsid w:val="00F03021"/>
    <w:rsid w:val="00F0385C"/>
    <w:rsid w:val="00F03903"/>
    <w:rsid w:val="00F041D5"/>
    <w:rsid w:val="00F04252"/>
    <w:rsid w:val="00F048A4"/>
    <w:rsid w:val="00F06C88"/>
    <w:rsid w:val="00F06D67"/>
    <w:rsid w:val="00F07348"/>
    <w:rsid w:val="00F07F62"/>
    <w:rsid w:val="00F10438"/>
    <w:rsid w:val="00F10954"/>
    <w:rsid w:val="00F113AC"/>
    <w:rsid w:val="00F117C3"/>
    <w:rsid w:val="00F11CDD"/>
    <w:rsid w:val="00F12704"/>
    <w:rsid w:val="00F12EBB"/>
    <w:rsid w:val="00F132B9"/>
    <w:rsid w:val="00F137EC"/>
    <w:rsid w:val="00F13B8E"/>
    <w:rsid w:val="00F15A05"/>
    <w:rsid w:val="00F162AE"/>
    <w:rsid w:val="00F16C60"/>
    <w:rsid w:val="00F17ABD"/>
    <w:rsid w:val="00F17B27"/>
    <w:rsid w:val="00F17DE1"/>
    <w:rsid w:val="00F20081"/>
    <w:rsid w:val="00F21502"/>
    <w:rsid w:val="00F22CD2"/>
    <w:rsid w:val="00F23AF8"/>
    <w:rsid w:val="00F23F41"/>
    <w:rsid w:val="00F24263"/>
    <w:rsid w:val="00F24BCE"/>
    <w:rsid w:val="00F252E1"/>
    <w:rsid w:val="00F25621"/>
    <w:rsid w:val="00F256AE"/>
    <w:rsid w:val="00F25EA2"/>
    <w:rsid w:val="00F27D46"/>
    <w:rsid w:val="00F3076D"/>
    <w:rsid w:val="00F30A46"/>
    <w:rsid w:val="00F3186B"/>
    <w:rsid w:val="00F3249E"/>
    <w:rsid w:val="00F32D1E"/>
    <w:rsid w:val="00F33730"/>
    <w:rsid w:val="00F341EF"/>
    <w:rsid w:val="00F34344"/>
    <w:rsid w:val="00F350C1"/>
    <w:rsid w:val="00F350C6"/>
    <w:rsid w:val="00F356DA"/>
    <w:rsid w:val="00F35FCC"/>
    <w:rsid w:val="00F373DD"/>
    <w:rsid w:val="00F4036B"/>
    <w:rsid w:val="00F408D7"/>
    <w:rsid w:val="00F414DC"/>
    <w:rsid w:val="00F42A24"/>
    <w:rsid w:val="00F42E37"/>
    <w:rsid w:val="00F43063"/>
    <w:rsid w:val="00F43271"/>
    <w:rsid w:val="00F432E4"/>
    <w:rsid w:val="00F470AC"/>
    <w:rsid w:val="00F50732"/>
    <w:rsid w:val="00F50824"/>
    <w:rsid w:val="00F50DA2"/>
    <w:rsid w:val="00F51252"/>
    <w:rsid w:val="00F5229B"/>
    <w:rsid w:val="00F549AE"/>
    <w:rsid w:val="00F55910"/>
    <w:rsid w:val="00F5639B"/>
    <w:rsid w:val="00F5654C"/>
    <w:rsid w:val="00F574C8"/>
    <w:rsid w:val="00F5786E"/>
    <w:rsid w:val="00F60BBB"/>
    <w:rsid w:val="00F60E27"/>
    <w:rsid w:val="00F61681"/>
    <w:rsid w:val="00F6183E"/>
    <w:rsid w:val="00F62870"/>
    <w:rsid w:val="00F63C9D"/>
    <w:rsid w:val="00F63D45"/>
    <w:rsid w:val="00F64CCA"/>
    <w:rsid w:val="00F65330"/>
    <w:rsid w:val="00F65538"/>
    <w:rsid w:val="00F65875"/>
    <w:rsid w:val="00F65E83"/>
    <w:rsid w:val="00F71A46"/>
    <w:rsid w:val="00F73684"/>
    <w:rsid w:val="00F7372E"/>
    <w:rsid w:val="00F73D84"/>
    <w:rsid w:val="00F74EEE"/>
    <w:rsid w:val="00F75612"/>
    <w:rsid w:val="00F7594A"/>
    <w:rsid w:val="00F75D16"/>
    <w:rsid w:val="00F76FBE"/>
    <w:rsid w:val="00F77AB0"/>
    <w:rsid w:val="00F77E1C"/>
    <w:rsid w:val="00F77E23"/>
    <w:rsid w:val="00F816AB"/>
    <w:rsid w:val="00F819EC"/>
    <w:rsid w:val="00F82704"/>
    <w:rsid w:val="00F83169"/>
    <w:rsid w:val="00F83553"/>
    <w:rsid w:val="00F850C4"/>
    <w:rsid w:val="00F85641"/>
    <w:rsid w:val="00F877BE"/>
    <w:rsid w:val="00F90177"/>
    <w:rsid w:val="00F9232B"/>
    <w:rsid w:val="00F93195"/>
    <w:rsid w:val="00F9472F"/>
    <w:rsid w:val="00F94972"/>
    <w:rsid w:val="00F95FD2"/>
    <w:rsid w:val="00F9658E"/>
    <w:rsid w:val="00FA222D"/>
    <w:rsid w:val="00FA3570"/>
    <w:rsid w:val="00FA3589"/>
    <w:rsid w:val="00FA3EE3"/>
    <w:rsid w:val="00FA5772"/>
    <w:rsid w:val="00FA58B3"/>
    <w:rsid w:val="00FA5AED"/>
    <w:rsid w:val="00FA71FC"/>
    <w:rsid w:val="00FA749E"/>
    <w:rsid w:val="00FA7630"/>
    <w:rsid w:val="00FB004E"/>
    <w:rsid w:val="00FB0202"/>
    <w:rsid w:val="00FB0775"/>
    <w:rsid w:val="00FB11A3"/>
    <w:rsid w:val="00FB182F"/>
    <w:rsid w:val="00FB1F80"/>
    <w:rsid w:val="00FB2B3D"/>
    <w:rsid w:val="00FB3270"/>
    <w:rsid w:val="00FB3E14"/>
    <w:rsid w:val="00FB4234"/>
    <w:rsid w:val="00FB4A80"/>
    <w:rsid w:val="00FB5E5D"/>
    <w:rsid w:val="00FB672D"/>
    <w:rsid w:val="00FB69C7"/>
    <w:rsid w:val="00FB7441"/>
    <w:rsid w:val="00FB76B4"/>
    <w:rsid w:val="00FB7C05"/>
    <w:rsid w:val="00FC039E"/>
    <w:rsid w:val="00FC0C53"/>
    <w:rsid w:val="00FC2356"/>
    <w:rsid w:val="00FC27F3"/>
    <w:rsid w:val="00FC2EC8"/>
    <w:rsid w:val="00FC4222"/>
    <w:rsid w:val="00FC45CD"/>
    <w:rsid w:val="00FC5823"/>
    <w:rsid w:val="00FC656D"/>
    <w:rsid w:val="00FC6DBA"/>
    <w:rsid w:val="00FC7B56"/>
    <w:rsid w:val="00FD178B"/>
    <w:rsid w:val="00FD2031"/>
    <w:rsid w:val="00FD2778"/>
    <w:rsid w:val="00FD2E57"/>
    <w:rsid w:val="00FD4314"/>
    <w:rsid w:val="00FD5C05"/>
    <w:rsid w:val="00FD5DBA"/>
    <w:rsid w:val="00FD643C"/>
    <w:rsid w:val="00FD6B8E"/>
    <w:rsid w:val="00FD7B6B"/>
    <w:rsid w:val="00FE1357"/>
    <w:rsid w:val="00FE1C23"/>
    <w:rsid w:val="00FE1FC6"/>
    <w:rsid w:val="00FE2D64"/>
    <w:rsid w:val="00FE386D"/>
    <w:rsid w:val="00FE41A4"/>
    <w:rsid w:val="00FE5577"/>
    <w:rsid w:val="00FE5662"/>
    <w:rsid w:val="00FE7930"/>
    <w:rsid w:val="00FE7DFC"/>
    <w:rsid w:val="00FF00F6"/>
    <w:rsid w:val="00FF0BF2"/>
    <w:rsid w:val="00FF0F90"/>
    <w:rsid w:val="00FF2B88"/>
    <w:rsid w:val="00FF382B"/>
    <w:rsid w:val="00FF40A8"/>
    <w:rsid w:val="00FF6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9A6CB06-AF5A-4A87-98B7-97BCA14FA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4561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545E71"/>
    <w:pPr>
      <w:keepNext/>
      <w:snapToGrid w:val="0"/>
      <w:spacing w:before="180" w:after="180" w:line="720" w:lineRule="atLeast"/>
      <w:outlineLvl w:val="0"/>
    </w:pPr>
    <w:rPr>
      <w:rFonts w:ascii="Cambria" w:eastAsia="新細明體" w:hAnsi="Cambria" w:cs="新細明體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link w:val="20"/>
    <w:unhideWhenUsed/>
    <w:qFormat/>
    <w:rsid w:val="00545E71"/>
    <w:pPr>
      <w:keepNext/>
      <w:snapToGrid w:val="0"/>
      <w:spacing w:line="720" w:lineRule="atLeast"/>
      <w:outlineLvl w:val="1"/>
    </w:pPr>
    <w:rPr>
      <w:rFonts w:ascii="Cambria" w:eastAsia="新細明體" w:hAnsi="Cambria" w:cs="新細明體"/>
      <w:b/>
      <w:bCs/>
      <w:snapToGrid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5E71"/>
    <w:pPr>
      <w:keepNext/>
      <w:snapToGrid w:val="0"/>
      <w:spacing w:line="720" w:lineRule="atLeast"/>
      <w:outlineLvl w:val="2"/>
    </w:pPr>
    <w:rPr>
      <w:rFonts w:ascii="Cambria" w:eastAsia="新細明體" w:hAnsi="Cambria" w:cs="新細明體"/>
      <w:b/>
      <w:bCs/>
      <w:snapToGrid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9F3CD4"/>
    <w:pPr>
      <w:ind w:left="849" w:hangingChars="100" w:hanging="283"/>
      <w:jc w:val="left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rsid w:val="00956B7B"/>
    <w:pPr>
      <w:adjustRightInd/>
      <w:ind w:left="1133" w:hangingChars="100" w:hanging="283"/>
      <w:jc w:val="both"/>
    </w:pPr>
    <w:rPr>
      <w:rFonts w:hAnsi="標楷體"/>
      <w:snapToGrid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774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pPr>
      <w:tabs>
        <w:tab w:val="right" w:leader="hyphen" w:pos="8490"/>
      </w:tabs>
      <w:ind w:leftChars="0" w:hangingChars="200" w:hanging="200"/>
    </w:pPr>
  </w:style>
  <w:style w:type="paragraph" w:styleId="23">
    <w:name w:val="toc 2"/>
    <w:basedOn w:val="a"/>
    <w:next w:val="a"/>
    <w:autoRedefine/>
    <w:uiPriority w:val="39"/>
    <w:rsid w:val="00AA683F"/>
    <w:pPr>
      <w:tabs>
        <w:tab w:val="right" w:leader="hyphen" w:pos="8222"/>
      </w:tabs>
      <w:ind w:leftChars="0" w:left="486" w:rightChars="100" w:right="283" w:hangingChars="200" w:hanging="486"/>
    </w:pPr>
    <w:rPr>
      <w:sz w:val="24"/>
    </w:rPr>
  </w:style>
  <w:style w:type="character" w:customStyle="1" w:styleId="ae">
    <w:name w:val="頁首 字元"/>
    <w:link w:val="ad"/>
    <w:uiPriority w:val="99"/>
    <w:rsid w:val="007748E2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774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7748E2"/>
    <w:rPr>
      <w:rFonts w:ascii="標楷體" w:eastAsia="標楷體"/>
      <w:snapToGrid w:val="0"/>
      <w:kern w:val="2"/>
    </w:rPr>
  </w:style>
  <w:style w:type="character" w:customStyle="1" w:styleId="a5">
    <w:name w:val="(一)(二)(三) 字元"/>
    <w:link w:val="a4"/>
    <w:locked/>
    <w:rsid w:val="009F3CD4"/>
    <w:rPr>
      <w:rFonts w:ascii="標楷體" w:eastAsia="標楷體"/>
      <w:snapToGrid w:val="0"/>
      <w:kern w:val="2"/>
      <w:sz w:val="28"/>
      <w:szCs w:val="28"/>
    </w:rPr>
  </w:style>
  <w:style w:type="paragraph" w:styleId="af1">
    <w:name w:val="footnote text"/>
    <w:basedOn w:val="a"/>
    <w:link w:val="af2"/>
    <w:uiPriority w:val="99"/>
    <w:unhideWhenUsed/>
    <w:rsid w:val="00166C1F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uiPriority w:val="99"/>
    <w:rsid w:val="00166C1F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"/>
    <w:unhideWhenUsed/>
    <w:rsid w:val="00166C1F"/>
    <w:rPr>
      <w:vertAlign w:val="superscript"/>
    </w:rPr>
  </w:style>
  <w:style w:type="paragraph" w:customStyle="1" w:styleId="5">
    <w:name w:val="字元 字元5 字元"/>
    <w:basedOn w:val="a"/>
    <w:semiHidden/>
    <w:rsid w:val="00166C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rsid w:val="00545E71"/>
    <w:rPr>
      <w:rFonts w:ascii="Cambria" w:hAnsi="Cambria" w:cs="新細明體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545E71"/>
    <w:rPr>
      <w:rFonts w:ascii="Cambria" w:hAnsi="Cambria" w:cs="新細明體"/>
      <w:b/>
      <w:bC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45E71"/>
    <w:rPr>
      <w:rFonts w:ascii="Cambria" w:hAnsi="Cambria" w:cs="新細明體"/>
      <w:b/>
      <w:bCs/>
      <w:kern w:val="2"/>
      <w:sz w:val="36"/>
      <w:szCs w:val="36"/>
    </w:rPr>
  </w:style>
  <w:style w:type="character" w:styleId="af4">
    <w:name w:val="Hyperlink"/>
    <w:uiPriority w:val="99"/>
    <w:unhideWhenUsed/>
    <w:rsid w:val="00545E71"/>
    <w:rPr>
      <w:color w:val="0000FF"/>
      <w:u w:val="single"/>
    </w:rPr>
  </w:style>
  <w:style w:type="numbering" w:customStyle="1" w:styleId="12">
    <w:name w:val="無清單1"/>
    <w:next w:val="a2"/>
    <w:uiPriority w:val="99"/>
    <w:semiHidden/>
    <w:unhideWhenUsed/>
    <w:rsid w:val="00545E71"/>
  </w:style>
  <w:style w:type="character" w:styleId="af5">
    <w:name w:val="FollowedHyperlink"/>
    <w:uiPriority w:val="99"/>
    <w:unhideWhenUsed/>
    <w:rsid w:val="00545E71"/>
    <w:rPr>
      <w:color w:val="800080"/>
      <w:u w:val="single"/>
    </w:rPr>
  </w:style>
  <w:style w:type="paragraph" w:styleId="af6">
    <w:name w:val="Balloon Text"/>
    <w:basedOn w:val="a"/>
    <w:link w:val="af7"/>
    <w:unhideWhenUsed/>
    <w:rsid w:val="00545E71"/>
    <w:pPr>
      <w:snapToGrid w:val="0"/>
      <w:spacing w:line="240" w:lineRule="auto"/>
    </w:pPr>
    <w:rPr>
      <w:rFonts w:ascii="Cambria" w:eastAsia="新細明體" w:hAnsi="Cambria"/>
      <w:snapToGrid/>
      <w:sz w:val="18"/>
      <w:szCs w:val="18"/>
    </w:rPr>
  </w:style>
  <w:style w:type="character" w:customStyle="1" w:styleId="af7">
    <w:name w:val="註解方塊文字 字元"/>
    <w:link w:val="af6"/>
    <w:rsid w:val="00545E71"/>
    <w:rPr>
      <w:rFonts w:ascii="Cambria" w:hAnsi="Cambria"/>
      <w:kern w:val="2"/>
      <w:sz w:val="18"/>
      <w:szCs w:val="18"/>
    </w:rPr>
  </w:style>
  <w:style w:type="character" w:customStyle="1" w:styleId="143">
    <w:name w:val="表格內文(14行高) 字元"/>
    <w:link w:val="142"/>
    <w:qFormat/>
    <w:locked/>
    <w:rsid w:val="00545E71"/>
    <w:rPr>
      <w:rFonts w:ascii="標楷體" w:eastAsia="標楷體"/>
      <w:snapToGrid w:val="0"/>
      <w:kern w:val="2"/>
      <w:sz w:val="24"/>
      <w:szCs w:val="28"/>
    </w:rPr>
  </w:style>
  <w:style w:type="table" w:styleId="af8">
    <w:name w:val="Table Grid"/>
    <w:basedOn w:val="a1"/>
    <w:rsid w:val="00545E7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0">
    <w:name w:val="第二層(14號字) 字元"/>
    <w:link w:val="14"/>
    <w:rsid w:val="00235794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locked/>
    <w:rsid w:val="00956B7B"/>
    <w:rPr>
      <w:rFonts w:ascii="標楷體" w:eastAsia="標楷體" w:hAnsi="標楷體"/>
      <w:kern w:val="2"/>
      <w:sz w:val="28"/>
      <w:szCs w:val="28"/>
    </w:rPr>
  </w:style>
  <w:style w:type="character" w:styleId="af9">
    <w:name w:val="Emphasis"/>
    <w:uiPriority w:val="20"/>
    <w:qFormat/>
    <w:rsid w:val="00332229"/>
    <w:rPr>
      <w:b w:val="0"/>
      <w:bCs w:val="0"/>
      <w:i w:val="0"/>
      <w:iCs w:val="0"/>
      <w:color w:val="DD4B39"/>
    </w:rPr>
  </w:style>
  <w:style w:type="paragraph" w:customStyle="1" w:styleId="afa">
    <w:name w:val="註腳"/>
    <w:basedOn w:val="a"/>
    <w:rsid w:val="00884075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paragraph" w:styleId="Web">
    <w:name w:val="Normal (Web)"/>
    <w:basedOn w:val="a"/>
    <w:uiPriority w:val="99"/>
    <w:unhideWhenUsed/>
    <w:rsid w:val="0033222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4D579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4D5797"/>
    <w:rPr>
      <w:rFonts w:ascii="細明體" w:eastAsia="細明體" w:hAnsi="細明體" w:cs="細明體"/>
      <w:sz w:val="24"/>
      <w:szCs w:val="24"/>
    </w:rPr>
  </w:style>
  <w:style w:type="paragraph" w:customStyle="1" w:styleId="50">
    <w:name w:val=" 字元 字元5 字元"/>
    <w:basedOn w:val="a"/>
    <w:semiHidden/>
    <w:rsid w:val="0098124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3B1293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750478"/>
    <w:rPr>
      <w:rFonts w:ascii="標楷體" w:eastAsia="標楷體"/>
      <w:snapToGrid w:val="0"/>
      <w:kern w:val="2"/>
      <w:sz w:val="28"/>
      <w:szCs w:val="28"/>
    </w:rPr>
  </w:style>
  <w:style w:type="paragraph" w:styleId="afb">
    <w:name w:val="Body Text"/>
    <w:basedOn w:val="a"/>
    <w:link w:val="afc"/>
    <w:rsid w:val="00726C71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paragraph" w:customStyle="1" w:styleId="24">
    <w:name w:val=" 字元 字元2 字元 字元 字元"/>
    <w:basedOn w:val="a"/>
    <w:semiHidden/>
    <w:rsid w:val="0014564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c">
    <w:name w:val="本文 字元"/>
    <w:link w:val="afb"/>
    <w:rsid w:val="00726C71"/>
    <w:rPr>
      <w:rFonts w:eastAsia="標楷體"/>
      <w:kern w:val="2"/>
      <w:sz w:val="32"/>
      <w:szCs w:val="24"/>
    </w:rPr>
  </w:style>
  <w:style w:type="paragraph" w:styleId="afd">
    <w:name w:val="Date"/>
    <w:basedOn w:val="a"/>
    <w:next w:val="a"/>
    <w:link w:val="afe"/>
    <w:rsid w:val="00726C7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e">
    <w:name w:val="日期 字元"/>
    <w:link w:val="afd"/>
    <w:rsid w:val="00726C7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3460A7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character" w:styleId="aff">
    <w:name w:val="annotation reference"/>
    <w:uiPriority w:val="99"/>
    <w:semiHidden/>
    <w:unhideWhenUsed/>
    <w:rsid w:val="00E1280A"/>
    <w:rPr>
      <w:sz w:val="18"/>
      <w:szCs w:val="18"/>
    </w:rPr>
  </w:style>
  <w:style w:type="paragraph" w:styleId="aff0">
    <w:name w:val="annotation text"/>
    <w:basedOn w:val="a"/>
    <w:link w:val="aff1"/>
    <w:uiPriority w:val="99"/>
    <w:semiHidden/>
    <w:unhideWhenUsed/>
    <w:rsid w:val="00E1280A"/>
    <w:pPr>
      <w:jc w:val="left"/>
    </w:pPr>
  </w:style>
  <w:style w:type="character" w:customStyle="1" w:styleId="aff1">
    <w:name w:val="註解文字 字元"/>
    <w:link w:val="aff0"/>
    <w:uiPriority w:val="99"/>
    <w:semiHidden/>
    <w:rsid w:val="00E1280A"/>
    <w:rPr>
      <w:rFonts w:ascii="標楷體" w:eastAsia="標楷體"/>
      <w:snapToGrid w:val="0"/>
      <w:kern w:val="2"/>
      <w:sz w:val="28"/>
      <w:szCs w:val="28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rsid w:val="00E1280A"/>
    <w:rPr>
      <w:b/>
      <w:bCs/>
    </w:rPr>
  </w:style>
  <w:style w:type="character" w:customStyle="1" w:styleId="aff3">
    <w:name w:val="註解主旨 字元"/>
    <w:link w:val="aff2"/>
    <w:uiPriority w:val="99"/>
    <w:semiHidden/>
    <w:rsid w:val="00E1280A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3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&#22577;&#21578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6FA3C-A9E0-4E1C-B89F-974153EAF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報告範本.dot</Template>
  <TotalTime>0</TotalTime>
  <Pages>9</Pages>
  <Words>544</Words>
  <Characters>3106</Characters>
  <Application>Microsoft Office Word</Application>
  <DocSecurity>0</DocSecurity>
  <Lines>25</Lines>
  <Paragraphs>7</Paragraphs>
  <ScaleCrop>false</ScaleCrop>
  <Company/>
  <LinksUpToDate>false</LinksUpToDate>
  <CharactersWithSpaces>3643</CharactersWithSpaces>
  <SharedDoc>false</SharedDoc>
  <HLinks>
    <vt:vector size="18" baseType="variant"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_Toc185325375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_Toc185325374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_Toc185325373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2024-12-19T01:38:00Z</cp:lastPrinted>
  <dcterms:created xsi:type="dcterms:W3CDTF">2024-12-19T03:31:00Z</dcterms:created>
  <dcterms:modified xsi:type="dcterms:W3CDTF">2024-12-19T03:31:00Z</dcterms:modified>
</cp:coreProperties>
</file>