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613" w:rsidRPr="000E04C4" w:rsidRDefault="004F0613" w:rsidP="0075747F">
      <w:pPr>
        <w:pStyle w:val="aa"/>
        <w:ind w:rightChars="-100" w:right="-283"/>
        <w:rPr>
          <w:rFonts w:hAnsi="標楷體" w:hint="eastAsia"/>
          <w:snapToGrid/>
        </w:rPr>
      </w:pPr>
      <w:bookmarkStart w:id="0" w:name="_GoBack"/>
      <w:bookmarkEnd w:id="0"/>
      <w:r w:rsidRPr="000E04C4">
        <w:rPr>
          <w:rFonts w:hAnsi="標楷體" w:hint="eastAsia"/>
          <w:snapToGrid/>
        </w:rPr>
        <w:t>司法院主管1</w:t>
      </w:r>
      <w:r w:rsidR="004D007E">
        <w:rPr>
          <w:rFonts w:hAnsi="標楷體"/>
          <w:snapToGrid/>
        </w:rPr>
        <w:t>1</w:t>
      </w:r>
      <w:r w:rsidR="00ED614B">
        <w:rPr>
          <w:rFonts w:hAnsi="標楷體"/>
          <w:snapToGrid/>
        </w:rPr>
        <w:t>2</w:t>
      </w:r>
      <w:r w:rsidRPr="000E04C4">
        <w:rPr>
          <w:rFonts w:hAnsi="標楷體" w:hint="eastAsia"/>
          <w:snapToGrid/>
        </w:rPr>
        <w:t>年度單位</w:t>
      </w:r>
      <w:r w:rsidR="00540EF3" w:rsidRPr="000E04C4">
        <w:rPr>
          <w:rFonts w:hAnsi="標楷體" w:hint="eastAsia"/>
          <w:snapToGrid/>
        </w:rPr>
        <w:t>決</w:t>
      </w:r>
      <w:r w:rsidRPr="000E04C4">
        <w:rPr>
          <w:rFonts w:hAnsi="標楷體" w:hint="eastAsia"/>
          <w:snapToGrid/>
        </w:rPr>
        <w:t>算評估報告目錄</w:t>
      </w:r>
      <w:r w:rsidR="008C1D56" w:rsidRPr="000E04C4">
        <w:rPr>
          <w:rFonts w:hAnsi="標楷體" w:hint="eastAsia"/>
          <w:snapToGrid/>
        </w:rPr>
        <w:t xml:space="preserve">   </w:t>
      </w:r>
      <w:r w:rsidR="0075747F">
        <w:rPr>
          <w:rFonts w:hAnsi="標楷體" w:hint="eastAsia"/>
          <w:snapToGrid/>
        </w:rPr>
        <w:t xml:space="preserve"> </w:t>
      </w:r>
      <w:r w:rsidR="008C1D56" w:rsidRPr="000E04C4">
        <w:rPr>
          <w:rFonts w:hAnsi="標楷體" w:hint="eastAsia"/>
          <w:snapToGrid/>
        </w:rPr>
        <w:t xml:space="preserve"> </w:t>
      </w:r>
      <w:r w:rsidR="008C1D56" w:rsidRPr="0075747F">
        <w:rPr>
          <w:rFonts w:hAnsi="標楷體" w:hint="eastAsia"/>
          <w:snapToGrid/>
          <w:sz w:val="22"/>
          <w:szCs w:val="22"/>
        </w:rPr>
        <w:t xml:space="preserve"> </w:t>
      </w:r>
      <w:r w:rsidR="000B5771" w:rsidRPr="000E04C4">
        <w:rPr>
          <w:rFonts w:hAnsi="標楷體" w:hint="eastAsia"/>
          <w:snapToGrid/>
          <w:sz w:val="24"/>
          <w:szCs w:val="24"/>
        </w:rPr>
        <w:t>頁</w:t>
      </w:r>
      <w:r w:rsidR="008C1D56" w:rsidRPr="000E04C4">
        <w:rPr>
          <w:rFonts w:hAnsi="標楷體" w:hint="eastAsia"/>
          <w:snapToGrid/>
          <w:sz w:val="24"/>
          <w:szCs w:val="24"/>
        </w:rPr>
        <w:t>次</w:t>
      </w:r>
    </w:p>
    <w:p w:rsidR="00AA24DB" w:rsidRPr="00C5646C" w:rsidRDefault="004F0613">
      <w:pPr>
        <w:pStyle w:val="23"/>
        <w:rPr>
          <w:rFonts w:ascii="Calibri" w:eastAsia="新細明體" w:hAnsi="Calibri"/>
          <w:noProof/>
          <w:snapToGrid/>
          <w:szCs w:val="22"/>
        </w:rPr>
      </w:pPr>
      <w:r w:rsidRPr="000E04C4">
        <w:rPr>
          <w:rFonts w:hAnsi="標楷體"/>
          <w:snapToGrid/>
          <w:szCs w:val="24"/>
        </w:rPr>
        <w:fldChar w:fldCharType="begin"/>
      </w:r>
      <w:r w:rsidRPr="000E04C4">
        <w:rPr>
          <w:rFonts w:hAnsi="標楷體"/>
          <w:snapToGrid/>
          <w:szCs w:val="24"/>
        </w:rPr>
        <w:instrText xml:space="preserve"> TOC \h \z \t "第二層(14號字),2,第一層(14號字),1" </w:instrText>
      </w:r>
      <w:r w:rsidRPr="000E04C4">
        <w:rPr>
          <w:rFonts w:hAnsi="標楷體"/>
          <w:snapToGrid/>
          <w:szCs w:val="24"/>
        </w:rPr>
        <w:fldChar w:fldCharType="separate"/>
      </w:r>
      <w:hyperlink w:anchor="_Toc185325373" w:history="1">
        <w:r w:rsidR="00AA24DB" w:rsidRPr="00DF38EE">
          <w:rPr>
            <w:rStyle w:val="af4"/>
            <w:rFonts w:hint="eastAsia"/>
            <w:noProof/>
          </w:rPr>
          <w:t>一、近年司法院主管重大資本支出計畫間有執行情形未臻理想情事，亟待賡續督促相關機關依計畫期程加速辦理</w:t>
        </w:r>
        <w:r w:rsidR="00AA24DB">
          <w:rPr>
            <w:noProof/>
            <w:webHidden/>
          </w:rPr>
          <w:tab/>
        </w:r>
        <w:r w:rsidR="00AA24DB">
          <w:rPr>
            <w:noProof/>
            <w:webHidden/>
          </w:rPr>
          <w:fldChar w:fldCharType="begin"/>
        </w:r>
        <w:r w:rsidR="00AA24DB">
          <w:rPr>
            <w:noProof/>
            <w:webHidden/>
          </w:rPr>
          <w:instrText xml:space="preserve"> PAGEREF _Toc185325373 \h </w:instrText>
        </w:r>
        <w:r w:rsidR="00AA24DB">
          <w:rPr>
            <w:noProof/>
            <w:webHidden/>
          </w:rPr>
        </w:r>
        <w:r w:rsidR="00AA24DB">
          <w:rPr>
            <w:noProof/>
            <w:webHidden/>
          </w:rPr>
          <w:fldChar w:fldCharType="separate"/>
        </w:r>
        <w:r w:rsidR="00E941C4">
          <w:rPr>
            <w:noProof/>
            <w:webHidden/>
          </w:rPr>
          <w:t>1</w:t>
        </w:r>
        <w:r w:rsidR="00AA24DB">
          <w:rPr>
            <w:noProof/>
            <w:webHidden/>
          </w:rPr>
          <w:fldChar w:fldCharType="end"/>
        </w:r>
      </w:hyperlink>
    </w:p>
    <w:p w:rsidR="00AA24DB" w:rsidRPr="00C5646C" w:rsidRDefault="00AA24DB">
      <w:pPr>
        <w:pStyle w:val="23"/>
        <w:rPr>
          <w:rFonts w:ascii="Calibri" w:eastAsia="新細明體" w:hAnsi="Calibri"/>
          <w:noProof/>
          <w:snapToGrid/>
          <w:szCs w:val="22"/>
        </w:rPr>
      </w:pPr>
      <w:hyperlink w:anchor="_Toc185325374" w:history="1">
        <w:r w:rsidRPr="00DF38EE">
          <w:rPr>
            <w:rStyle w:val="af4"/>
            <w:rFonts w:hint="eastAsia"/>
            <w:noProof/>
          </w:rPr>
          <w:t>二、法官法施行後，</w:t>
        </w:r>
        <w:r w:rsidRPr="00DF38EE">
          <w:rPr>
            <w:rStyle w:val="af4"/>
            <w:noProof/>
          </w:rPr>
          <w:t>101</w:t>
        </w:r>
        <w:r w:rsidRPr="00DF38EE">
          <w:rPr>
            <w:rStyle w:val="af4"/>
            <w:rFonts w:hint="eastAsia"/>
            <w:noProof/>
          </w:rPr>
          <w:t>至</w:t>
        </w:r>
        <w:r w:rsidRPr="00DF38EE">
          <w:rPr>
            <w:rStyle w:val="af4"/>
            <w:noProof/>
          </w:rPr>
          <w:t>112</w:t>
        </w:r>
        <w:r w:rsidRPr="00DF38EE">
          <w:rPr>
            <w:rStyle w:val="af4"/>
            <w:rFonts w:hint="eastAsia"/>
            <w:noProof/>
          </w:rPr>
          <w:t>年度法官經職務評定為良好者達</w:t>
        </w:r>
        <w:r w:rsidRPr="00DF38EE">
          <w:rPr>
            <w:rStyle w:val="af4"/>
            <w:noProof/>
          </w:rPr>
          <w:t>9</w:t>
        </w:r>
        <w:r w:rsidRPr="00DF38EE">
          <w:rPr>
            <w:rStyle w:val="af4"/>
            <w:rFonts w:hint="eastAsia"/>
            <w:noProof/>
          </w:rPr>
          <w:t>成</w:t>
        </w:r>
        <w:r w:rsidRPr="00DF38EE">
          <w:rPr>
            <w:rStyle w:val="af4"/>
            <w:noProof/>
          </w:rPr>
          <w:t>7</w:t>
        </w:r>
        <w:r w:rsidRPr="00DF38EE">
          <w:rPr>
            <w:rStyle w:val="af4"/>
            <w:rFonts w:hint="eastAsia"/>
            <w:noProof/>
          </w:rPr>
          <w:t>以上，恐無法確實反映工作績效，且不適任法官汰除機制亦未臻周延，亟待通盤檢討改善，以發揮奬優汰劣之功能</w:t>
        </w:r>
        <w:r>
          <w:rPr>
            <w:noProof/>
            <w:webHidden/>
          </w:rPr>
          <w:tab/>
        </w:r>
        <w:r>
          <w:rPr>
            <w:noProof/>
            <w:webHidden/>
          </w:rPr>
          <w:fldChar w:fldCharType="begin"/>
        </w:r>
        <w:r>
          <w:rPr>
            <w:noProof/>
            <w:webHidden/>
          </w:rPr>
          <w:instrText xml:space="preserve"> PAGEREF _Toc185325374 \h </w:instrText>
        </w:r>
        <w:r>
          <w:rPr>
            <w:noProof/>
            <w:webHidden/>
          </w:rPr>
        </w:r>
        <w:r>
          <w:rPr>
            <w:noProof/>
            <w:webHidden/>
          </w:rPr>
          <w:fldChar w:fldCharType="separate"/>
        </w:r>
        <w:r w:rsidR="00E941C4">
          <w:rPr>
            <w:noProof/>
            <w:webHidden/>
          </w:rPr>
          <w:t>3</w:t>
        </w:r>
        <w:r>
          <w:rPr>
            <w:noProof/>
            <w:webHidden/>
          </w:rPr>
          <w:fldChar w:fldCharType="end"/>
        </w:r>
      </w:hyperlink>
    </w:p>
    <w:p w:rsidR="00AA24DB" w:rsidRPr="00C5646C" w:rsidRDefault="00AA24DB">
      <w:pPr>
        <w:pStyle w:val="23"/>
        <w:rPr>
          <w:rFonts w:ascii="Calibri" w:eastAsia="新細明體" w:hAnsi="Calibri"/>
          <w:noProof/>
          <w:snapToGrid/>
          <w:szCs w:val="22"/>
        </w:rPr>
      </w:pPr>
      <w:hyperlink w:anchor="_Toc185325375" w:history="1">
        <w:r w:rsidRPr="00DF38EE">
          <w:rPr>
            <w:rStyle w:val="af4"/>
            <w:rFonts w:hint="eastAsia"/>
            <w:noProof/>
          </w:rPr>
          <w:t>三、司法院</w:t>
        </w:r>
        <w:r w:rsidRPr="00DF38EE">
          <w:rPr>
            <w:rStyle w:val="af4"/>
            <w:noProof/>
          </w:rPr>
          <w:t>110</w:t>
        </w:r>
        <w:r w:rsidRPr="00DF38EE">
          <w:rPr>
            <w:rStyle w:val="af4"/>
            <w:rFonts w:hint="eastAsia"/>
            <w:noProof/>
          </w:rPr>
          <w:t>至</w:t>
        </w:r>
        <w:r w:rsidRPr="00DF38EE">
          <w:rPr>
            <w:rStyle w:val="af4"/>
            <w:noProof/>
          </w:rPr>
          <w:t>112</w:t>
        </w:r>
        <w:r w:rsidRPr="00DF38EE">
          <w:rPr>
            <w:rStyle w:val="af4"/>
            <w:rFonts w:hint="eastAsia"/>
            <w:noProof/>
          </w:rPr>
          <w:t>年度</w:t>
        </w:r>
        <w:r w:rsidRPr="00DF38EE">
          <w:rPr>
            <w:rStyle w:val="af4"/>
            <w:rFonts w:ascii="新細明體" w:eastAsia="新細明體" w:hAnsi="新細明體" w:hint="eastAsia"/>
            <w:noProof/>
          </w:rPr>
          <w:t>「</w:t>
        </w:r>
        <w:r w:rsidRPr="00DF38EE">
          <w:rPr>
            <w:rStyle w:val="af4"/>
            <w:rFonts w:hint="eastAsia"/>
            <w:noProof/>
          </w:rPr>
          <w:t>審判行政</w:t>
        </w:r>
        <w:r w:rsidRPr="00DF38EE">
          <w:rPr>
            <w:rStyle w:val="af4"/>
            <w:rFonts w:ascii="新細明體" w:eastAsia="新細明體" w:hAnsi="新細明體" w:hint="eastAsia"/>
            <w:noProof/>
          </w:rPr>
          <w:t>」</w:t>
        </w:r>
        <w:r w:rsidRPr="00DF38EE">
          <w:rPr>
            <w:rStyle w:val="af4"/>
            <w:rFonts w:hint="eastAsia"/>
            <w:noProof/>
          </w:rPr>
          <w:t>工作計畫實現率已連續</w:t>
        </w:r>
        <w:r w:rsidRPr="00DF38EE">
          <w:rPr>
            <w:rStyle w:val="af4"/>
            <w:noProof/>
          </w:rPr>
          <w:t>3</w:t>
        </w:r>
        <w:r w:rsidRPr="00DF38EE">
          <w:rPr>
            <w:rStyle w:val="af4"/>
            <w:rFonts w:hint="eastAsia"/>
            <w:noProof/>
          </w:rPr>
          <w:t>年未達</w:t>
        </w:r>
        <w:r w:rsidRPr="00DF38EE">
          <w:rPr>
            <w:rStyle w:val="af4"/>
            <w:noProof/>
          </w:rPr>
          <w:t>6</w:t>
        </w:r>
        <w:r w:rsidRPr="00DF38EE">
          <w:rPr>
            <w:rStyle w:val="af4"/>
            <w:rFonts w:hint="eastAsia"/>
            <w:noProof/>
          </w:rPr>
          <w:t>成，亟待強化計畫審議及管考，以增進審判資源運用效能</w:t>
        </w:r>
        <w:r>
          <w:rPr>
            <w:noProof/>
            <w:webHidden/>
          </w:rPr>
          <w:tab/>
        </w:r>
        <w:r>
          <w:rPr>
            <w:noProof/>
            <w:webHidden/>
          </w:rPr>
          <w:fldChar w:fldCharType="begin"/>
        </w:r>
        <w:r>
          <w:rPr>
            <w:noProof/>
            <w:webHidden/>
          </w:rPr>
          <w:instrText xml:space="preserve"> PAGEREF _Toc185325375 \h </w:instrText>
        </w:r>
        <w:r>
          <w:rPr>
            <w:noProof/>
            <w:webHidden/>
          </w:rPr>
        </w:r>
        <w:r>
          <w:rPr>
            <w:noProof/>
            <w:webHidden/>
          </w:rPr>
          <w:fldChar w:fldCharType="separate"/>
        </w:r>
        <w:r w:rsidR="00E941C4">
          <w:rPr>
            <w:noProof/>
            <w:webHidden/>
          </w:rPr>
          <w:t>8</w:t>
        </w:r>
        <w:r>
          <w:rPr>
            <w:noProof/>
            <w:webHidden/>
          </w:rPr>
          <w:fldChar w:fldCharType="end"/>
        </w:r>
      </w:hyperlink>
    </w:p>
    <w:p w:rsidR="004F0613" w:rsidRPr="000E04C4" w:rsidRDefault="004F0613" w:rsidP="006C1F0E">
      <w:pPr>
        <w:pStyle w:val="aa"/>
        <w:tabs>
          <w:tab w:val="right" w:leader="hyphen" w:pos="8222"/>
        </w:tabs>
        <w:ind w:left="567" w:rightChars="100" w:right="283" w:hanging="567"/>
        <w:rPr>
          <w:rFonts w:hAnsi="標楷體"/>
          <w:snapToGrid/>
        </w:rPr>
        <w:sectPr w:rsidR="004F0613" w:rsidRPr="000E04C4" w:rsidSect="00964A36">
          <w:headerReference w:type="even" r:id="rId8"/>
          <w:headerReference w:type="default" r:id="rId9"/>
          <w:footerReference w:type="even" r:id="rId10"/>
          <w:footerReference w:type="default" r:id="rId11"/>
          <w:headerReference w:type="first" r:id="rId12"/>
          <w:footerReference w:type="first" r:id="rId13"/>
          <w:pgSz w:w="11906" w:h="16838" w:code="9"/>
          <w:pgMar w:top="1701" w:right="1983" w:bottom="1701" w:left="1701" w:header="0" w:footer="1134" w:gutter="0"/>
          <w:pgNumType w:start="1"/>
          <w:cols w:space="425"/>
          <w:docGrid w:type="linesAndChars" w:linePitch="500" w:charSpace="658"/>
        </w:sectPr>
      </w:pPr>
      <w:r w:rsidRPr="000E04C4">
        <w:rPr>
          <w:rFonts w:hAnsi="標楷體"/>
          <w:snapToGrid/>
          <w:sz w:val="24"/>
          <w:szCs w:val="24"/>
        </w:rPr>
        <w:fldChar w:fldCharType="end"/>
      </w:r>
    </w:p>
    <w:p w:rsidR="00166C1F" w:rsidRPr="000E04C4" w:rsidRDefault="00166C1F" w:rsidP="00166C1F">
      <w:pPr>
        <w:pStyle w:val="aa"/>
        <w:ind w:left="567" w:hanging="567"/>
        <w:rPr>
          <w:rFonts w:hAnsi="標楷體" w:hint="eastAsia"/>
          <w:snapToGrid/>
        </w:rPr>
      </w:pPr>
      <w:r w:rsidRPr="000E04C4">
        <w:rPr>
          <w:rFonts w:hAnsi="標楷體" w:hint="eastAsia"/>
          <w:snapToGrid/>
        </w:rPr>
        <w:lastRenderedPageBreak/>
        <w:t>司法院主管</w:t>
      </w:r>
      <w:r w:rsidR="009F3BE2" w:rsidRPr="000E04C4">
        <w:rPr>
          <w:rFonts w:hAnsi="標楷體" w:hint="eastAsia"/>
          <w:snapToGrid/>
        </w:rPr>
        <w:t>1</w:t>
      </w:r>
      <w:r w:rsidR="004D007E">
        <w:rPr>
          <w:rFonts w:hAnsi="標楷體"/>
          <w:snapToGrid/>
        </w:rPr>
        <w:t>1</w:t>
      </w:r>
      <w:r w:rsidR="00ED614B">
        <w:rPr>
          <w:rFonts w:hAnsi="標楷體"/>
          <w:snapToGrid/>
        </w:rPr>
        <w:t>2</w:t>
      </w:r>
      <w:r w:rsidRPr="000E04C4">
        <w:rPr>
          <w:rFonts w:hAnsi="標楷體" w:hint="eastAsia"/>
          <w:snapToGrid/>
        </w:rPr>
        <w:t>年度單位</w:t>
      </w:r>
      <w:r w:rsidR="009F3BE2" w:rsidRPr="000E04C4">
        <w:rPr>
          <w:rFonts w:hAnsi="標楷體" w:hint="eastAsia"/>
          <w:snapToGrid/>
        </w:rPr>
        <w:t>決</w:t>
      </w:r>
      <w:r w:rsidRPr="000E04C4">
        <w:rPr>
          <w:rFonts w:hAnsi="標楷體" w:hint="eastAsia"/>
          <w:snapToGrid/>
        </w:rPr>
        <w:t>算評估報告</w:t>
      </w:r>
    </w:p>
    <w:p w:rsidR="00AD337F" w:rsidRPr="006C3CD5" w:rsidRDefault="00AD337F" w:rsidP="00AD337F">
      <w:pPr>
        <w:pStyle w:val="14"/>
        <w:ind w:left="567" w:hanging="567"/>
        <w:rPr>
          <w:rFonts w:hint="eastAsia"/>
        </w:rPr>
      </w:pPr>
      <w:bookmarkStart w:id="1" w:name="_Toc304366075"/>
      <w:bookmarkStart w:id="2" w:name="_Toc305431280"/>
      <w:bookmarkStart w:id="3" w:name="_Toc368996454"/>
      <w:bookmarkStart w:id="4" w:name="_Toc14698468"/>
      <w:bookmarkStart w:id="5" w:name="_Toc14698466"/>
      <w:bookmarkStart w:id="6" w:name="_Toc530735115"/>
      <w:bookmarkStart w:id="7" w:name="_Toc20510260"/>
      <w:bookmarkStart w:id="8" w:name="_Toc146718251"/>
      <w:bookmarkStart w:id="9" w:name="_Toc143849158"/>
      <w:bookmarkStart w:id="10" w:name="_Toc143849159"/>
      <w:bookmarkStart w:id="11" w:name="_Toc178927472"/>
      <w:bookmarkStart w:id="12" w:name="_Toc185325373"/>
      <w:r>
        <w:rPr>
          <w:rFonts w:hint="eastAsia"/>
        </w:rPr>
        <w:t>一</w:t>
      </w:r>
      <w:r w:rsidRPr="006C3CD5">
        <w:rPr>
          <w:rFonts w:hint="eastAsia"/>
        </w:rPr>
        <w:t>、</w:t>
      </w:r>
      <w:r>
        <w:rPr>
          <w:rFonts w:hint="eastAsia"/>
        </w:rPr>
        <w:t>近年</w:t>
      </w:r>
      <w:r w:rsidRPr="001C7077">
        <w:rPr>
          <w:rFonts w:hint="eastAsia"/>
        </w:rPr>
        <w:t>司法院主管重大資本支出計畫間有執行情形未臻理想情事，亟待賡續督促相關機關依計畫期程加速辦理</w:t>
      </w:r>
      <w:bookmarkEnd w:id="12"/>
    </w:p>
    <w:p w:rsidR="00AD337F" w:rsidRPr="006C3CD5" w:rsidRDefault="00AD337F" w:rsidP="00AD337F">
      <w:pPr>
        <w:ind w:left="566" w:firstLine="566"/>
        <w:rPr>
          <w:rFonts w:hint="eastAsia"/>
        </w:rPr>
      </w:pPr>
      <w:r w:rsidRPr="00DC239E">
        <w:rPr>
          <w:rFonts w:hint="eastAsia"/>
        </w:rPr>
        <w:t>司法院主管</w:t>
      </w:r>
      <w:r>
        <w:rPr>
          <w:rFonts w:hint="eastAsia"/>
        </w:rPr>
        <w:t>1</w:t>
      </w:r>
      <w:r>
        <w:t>12</w:t>
      </w:r>
      <w:r>
        <w:rPr>
          <w:rFonts w:hint="eastAsia"/>
        </w:rPr>
        <w:t>年度</w:t>
      </w:r>
      <w:r w:rsidRPr="00DC239E">
        <w:rPr>
          <w:rFonts w:hint="eastAsia"/>
        </w:rPr>
        <w:t>重大資本支出計畫計有</w:t>
      </w:r>
      <w:r w:rsidR="00C95FB2" w:rsidRPr="00C95FB2">
        <w:rPr>
          <w:rFonts w:hint="eastAsia"/>
        </w:rPr>
        <w:t>遷建華山司法園區新興房屋建築計畫</w:t>
      </w:r>
      <w:r w:rsidRPr="00DC239E">
        <w:rPr>
          <w:rFonts w:hint="eastAsia"/>
        </w:rPr>
        <w:t>等</w:t>
      </w:r>
      <w:r>
        <w:t>4</w:t>
      </w:r>
      <w:r w:rsidRPr="00DC239E">
        <w:rPr>
          <w:rFonts w:hint="eastAsia"/>
        </w:rPr>
        <w:t>項，可支用預算數</w:t>
      </w:r>
      <w:r w:rsidRPr="00F17DE1">
        <w:rPr>
          <w:rFonts w:hint="eastAsia"/>
        </w:rPr>
        <w:t>7億2,888萬9千元</w:t>
      </w:r>
      <w:r w:rsidRPr="00DC239E">
        <w:rPr>
          <w:rFonts w:hint="eastAsia"/>
        </w:rPr>
        <w:t>，執行結果，實</w:t>
      </w:r>
      <w:r>
        <w:rPr>
          <w:rFonts w:hint="eastAsia"/>
        </w:rPr>
        <w:t>現</w:t>
      </w:r>
      <w:r w:rsidRPr="00DC239E">
        <w:rPr>
          <w:rFonts w:hint="eastAsia"/>
        </w:rPr>
        <w:t>數</w:t>
      </w:r>
      <w:r w:rsidRPr="00F17DE1">
        <w:rPr>
          <w:rFonts w:hint="eastAsia"/>
        </w:rPr>
        <w:t>3億1,464萬元</w:t>
      </w:r>
      <w:r w:rsidRPr="00DC239E">
        <w:rPr>
          <w:rFonts w:hint="eastAsia"/>
        </w:rPr>
        <w:t>，</w:t>
      </w:r>
      <w:r w:rsidRPr="00856FDD">
        <w:rPr>
          <w:rFonts w:hint="eastAsia"/>
        </w:rPr>
        <w:t>實現數占預算數</w:t>
      </w:r>
      <w:r w:rsidRPr="00F17DE1">
        <w:t>43.17%</w:t>
      </w:r>
      <w:r w:rsidRPr="006C3CD5">
        <w:rPr>
          <w:rFonts w:hAnsi="標楷體" w:hint="eastAsia"/>
          <w:snapToGrid/>
        </w:rPr>
        <w:t>。</w:t>
      </w:r>
      <w:r w:rsidRPr="006C3CD5">
        <w:rPr>
          <w:rFonts w:hint="eastAsia"/>
          <w:lang w:eastAsia="zh-HK"/>
        </w:rPr>
        <w:t>近年</w:t>
      </w:r>
      <w:r w:rsidRPr="006C3CD5">
        <w:rPr>
          <w:rFonts w:hint="eastAsia"/>
        </w:rPr>
        <w:t>司法院主管重大資本支出計畫間有執行率偏低情事，</w:t>
      </w:r>
      <w:r>
        <w:rPr>
          <w:rFonts w:hint="eastAsia"/>
        </w:rPr>
        <w:t>且</w:t>
      </w:r>
      <w:r w:rsidRPr="001C4A48">
        <w:rPr>
          <w:rFonts w:hint="eastAsia"/>
        </w:rPr>
        <w:t>11</w:t>
      </w:r>
      <w:r>
        <w:t>2</w:t>
      </w:r>
      <w:r w:rsidRPr="001C4A48">
        <w:rPr>
          <w:rFonts w:hint="eastAsia"/>
        </w:rPr>
        <w:t>年度</w:t>
      </w:r>
      <w:r w:rsidRPr="00F17DE1">
        <w:rPr>
          <w:rFonts w:hint="eastAsia"/>
        </w:rPr>
        <w:t>部分計畫預算執行亦欠佳</w:t>
      </w:r>
      <w:r w:rsidRPr="006C3CD5">
        <w:rPr>
          <w:rFonts w:hint="eastAsia"/>
        </w:rPr>
        <w:t>，</w:t>
      </w:r>
      <w:r>
        <w:rPr>
          <w:rFonts w:hint="eastAsia"/>
        </w:rPr>
        <w:t>允待檢討改進，謹</w:t>
      </w:r>
      <w:r w:rsidRPr="006C3CD5">
        <w:rPr>
          <w:rFonts w:hint="eastAsia"/>
        </w:rPr>
        <w:t>說明如下：</w:t>
      </w:r>
    </w:p>
    <w:p w:rsidR="00AD337F" w:rsidRPr="00257A3C" w:rsidRDefault="00AD337F" w:rsidP="00AD337F">
      <w:pPr>
        <w:pStyle w:val="a4"/>
        <w:rPr>
          <w:b/>
        </w:rPr>
      </w:pPr>
      <w:r w:rsidRPr="00257A3C">
        <w:rPr>
          <w:rFonts w:hint="eastAsia"/>
          <w:b/>
        </w:rPr>
        <w:t>(一)近年司法院主</w:t>
      </w:r>
      <w:r w:rsidRPr="00257A3C">
        <w:rPr>
          <w:rFonts w:hint="eastAsia"/>
          <w:b/>
          <w:lang w:eastAsia="zh-HK"/>
        </w:rPr>
        <w:t>管重大資本支出計畫</w:t>
      </w:r>
      <w:r w:rsidRPr="00257A3C">
        <w:rPr>
          <w:rFonts w:hint="eastAsia"/>
          <w:b/>
        </w:rPr>
        <w:t>執行情形多未臻理想，尚待賡續依計畫期程加速辦理</w:t>
      </w:r>
    </w:p>
    <w:p w:rsidR="00AD337F" w:rsidRPr="006C3CD5" w:rsidRDefault="00AD337F" w:rsidP="00AD337F">
      <w:pPr>
        <w:pStyle w:val="21"/>
        <w:ind w:left="850" w:firstLine="566"/>
        <w:rPr>
          <w:lang w:eastAsia="zh-HK"/>
        </w:rPr>
      </w:pPr>
      <w:r w:rsidRPr="006C3CD5">
        <w:rPr>
          <w:rFonts w:hint="eastAsia"/>
        </w:rPr>
        <w:t>為營造友善</w:t>
      </w:r>
      <w:r w:rsidRPr="006C3CD5">
        <w:rPr>
          <w:rFonts w:hint="eastAsia"/>
          <w:lang w:eastAsia="zh-HK"/>
        </w:rPr>
        <w:t>司法</w:t>
      </w:r>
      <w:r w:rsidRPr="006C3CD5">
        <w:rPr>
          <w:rFonts w:hint="eastAsia"/>
        </w:rPr>
        <w:t>環境，</w:t>
      </w:r>
      <w:r w:rsidRPr="006C3CD5">
        <w:rPr>
          <w:rFonts w:hint="eastAsia"/>
          <w:lang w:eastAsia="zh-HK"/>
        </w:rPr>
        <w:t>司法</w:t>
      </w:r>
      <w:r w:rsidRPr="006C3CD5">
        <w:rPr>
          <w:rFonts w:hint="eastAsia"/>
        </w:rPr>
        <w:t>院</w:t>
      </w:r>
      <w:r w:rsidRPr="006C3CD5">
        <w:rPr>
          <w:rFonts w:hint="eastAsia"/>
          <w:lang w:eastAsia="zh-HK"/>
        </w:rPr>
        <w:t>及所屬</w:t>
      </w:r>
      <w:r>
        <w:rPr>
          <w:rFonts w:hint="eastAsia"/>
        </w:rPr>
        <w:t>各機關</w:t>
      </w:r>
      <w:r w:rsidRPr="006C3CD5">
        <w:rPr>
          <w:rFonts w:hint="eastAsia"/>
        </w:rPr>
        <w:t>近年賡續辦理各項重大資本支出計畫，</w:t>
      </w:r>
      <w:r>
        <w:t>102</w:t>
      </w:r>
      <w:r w:rsidRPr="006C3CD5">
        <w:rPr>
          <w:rFonts w:hint="eastAsia"/>
        </w:rPr>
        <w:t>至</w:t>
      </w:r>
      <w:r w:rsidRPr="006C3CD5">
        <w:t>11</w:t>
      </w:r>
      <w:r>
        <w:rPr>
          <w:rFonts w:hint="eastAsia"/>
        </w:rPr>
        <w:t>2</w:t>
      </w:r>
      <w:r w:rsidRPr="006C3CD5">
        <w:rPr>
          <w:rFonts w:hint="eastAsia"/>
        </w:rPr>
        <w:t>年度</w:t>
      </w:r>
      <w:r w:rsidR="0015065A">
        <w:rPr>
          <w:rFonts w:hint="eastAsia"/>
        </w:rPr>
        <w:t>可支用預算數</w:t>
      </w:r>
      <w:r w:rsidRPr="006C3CD5">
        <w:rPr>
          <w:rFonts w:hint="eastAsia"/>
        </w:rPr>
        <w:t>介於</w:t>
      </w:r>
      <w:r w:rsidRPr="006C3CD5">
        <w:t>4</w:t>
      </w:r>
      <w:r w:rsidRPr="006C3CD5">
        <w:rPr>
          <w:rFonts w:hint="eastAsia"/>
        </w:rPr>
        <w:t>億</w:t>
      </w:r>
      <w:r w:rsidRPr="006C3CD5">
        <w:t>4,653</w:t>
      </w:r>
      <w:r w:rsidRPr="006C3CD5">
        <w:rPr>
          <w:rFonts w:hint="eastAsia"/>
        </w:rPr>
        <w:t>萬</w:t>
      </w:r>
      <w:r w:rsidRPr="006C3CD5">
        <w:t>2</w:t>
      </w:r>
      <w:r w:rsidRPr="006C3CD5">
        <w:rPr>
          <w:rFonts w:hint="eastAsia"/>
        </w:rPr>
        <w:t>千元至</w:t>
      </w:r>
      <w:r w:rsidRPr="006C3CD5">
        <w:t>54</w:t>
      </w:r>
      <w:r w:rsidRPr="006C3CD5">
        <w:rPr>
          <w:rFonts w:hint="eastAsia"/>
          <w:lang w:eastAsia="zh-HK"/>
        </w:rPr>
        <w:t>億</w:t>
      </w:r>
      <w:r w:rsidRPr="006C3CD5">
        <w:t>8</w:t>
      </w:r>
      <w:r w:rsidRPr="006C3CD5">
        <w:rPr>
          <w:rFonts w:hint="eastAsia"/>
        </w:rPr>
        <w:t>,</w:t>
      </w:r>
      <w:r w:rsidRPr="006C3CD5">
        <w:t>479</w:t>
      </w:r>
      <w:r w:rsidRPr="006C3CD5">
        <w:rPr>
          <w:rFonts w:hint="eastAsia"/>
          <w:lang w:eastAsia="zh-HK"/>
        </w:rPr>
        <w:t>萬</w:t>
      </w:r>
      <w:r w:rsidRPr="006C3CD5">
        <w:t>5</w:t>
      </w:r>
      <w:r w:rsidRPr="006C3CD5">
        <w:rPr>
          <w:rFonts w:hint="eastAsia"/>
        </w:rPr>
        <w:t>千元之間，執行結果，</w:t>
      </w:r>
      <w:r w:rsidRPr="006C3CD5">
        <w:rPr>
          <w:rFonts w:hint="eastAsia"/>
          <w:lang w:eastAsia="zh-HK"/>
        </w:rPr>
        <w:t>實現</w:t>
      </w:r>
      <w:r w:rsidRPr="006C3CD5">
        <w:rPr>
          <w:rFonts w:hint="eastAsia"/>
        </w:rPr>
        <w:t>數(不含保留</w:t>
      </w:r>
      <w:r w:rsidRPr="006C3CD5">
        <w:rPr>
          <w:rFonts w:hint="eastAsia"/>
          <w:lang w:eastAsia="zh-HK"/>
        </w:rPr>
        <w:t>數及</w:t>
      </w:r>
      <w:r w:rsidRPr="006C3CD5">
        <w:rPr>
          <w:rFonts w:hint="eastAsia"/>
        </w:rPr>
        <w:t>賸餘</w:t>
      </w:r>
      <w:r w:rsidRPr="006C3CD5">
        <w:rPr>
          <w:rFonts w:hint="eastAsia"/>
          <w:lang w:eastAsia="zh-HK"/>
        </w:rPr>
        <w:t>數</w:t>
      </w:r>
      <w:r w:rsidRPr="006C3CD5">
        <w:rPr>
          <w:rFonts w:hint="eastAsia"/>
        </w:rPr>
        <w:t>，以下同</w:t>
      </w:r>
      <w:r>
        <w:rPr>
          <w:rFonts w:hint="eastAsia"/>
        </w:rPr>
        <w:t>)</w:t>
      </w:r>
      <w:r w:rsidRPr="006C3CD5">
        <w:rPr>
          <w:rFonts w:hint="eastAsia"/>
        </w:rPr>
        <w:t>介於</w:t>
      </w:r>
      <w:r w:rsidRPr="006C3CD5">
        <w:t>1</w:t>
      </w:r>
      <w:r w:rsidRPr="006C3CD5">
        <w:rPr>
          <w:rFonts w:hint="eastAsia"/>
          <w:lang w:eastAsia="zh-HK"/>
        </w:rPr>
        <w:t>億</w:t>
      </w:r>
      <w:r w:rsidRPr="00B04BD2">
        <w:t>7,953</w:t>
      </w:r>
      <w:r w:rsidRPr="006C3CD5">
        <w:rPr>
          <w:rFonts w:hint="eastAsia"/>
        </w:rPr>
        <w:t>萬</w:t>
      </w:r>
      <w:r w:rsidRPr="00B04BD2">
        <w:t>7</w:t>
      </w:r>
      <w:r w:rsidRPr="006C3CD5">
        <w:rPr>
          <w:rFonts w:hint="eastAsia"/>
          <w:lang w:eastAsia="zh-HK"/>
        </w:rPr>
        <w:t>千</w:t>
      </w:r>
      <w:r w:rsidRPr="006C3CD5">
        <w:rPr>
          <w:rFonts w:hint="eastAsia"/>
        </w:rPr>
        <w:t>元至</w:t>
      </w:r>
      <w:r w:rsidRPr="006C3CD5">
        <w:t>26</w:t>
      </w:r>
      <w:r w:rsidRPr="006C3CD5">
        <w:rPr>
          <w:rFonts w:hint="eastAsia"/>
          <w:lang w:eastAsia="zh-HK"/>
        </w:rPr>
        <w:t>億</w:t>
      </w:r>
      <w:r w:rsidRPr="006C3CD5">
        <w:t>6</w:t>
      </w:r>
      <w:r w:rsidRPr="006C3CD5">
        <w:rPr>
          <w:rFonts w:hint="eastAsia"/>
        </w:rPr>
        <w:t>,</w:t>
      </w:r>
      <w:r w:rsidRPr="006C3CD5">
        <w:t>132</w:t>
      </w:r>
      <w:r w:rsidRPr="006C3CD5">
        <w:rPr>
          <w:rFonts w:hint="eastAsia"/>
          <w:lang w:eastAsia="zh-HK"/>
        </w:rPr>
        <w:t>萬</w:t>
      </w:r>
      <w:r w:rsidRPr="006C3CD5">
        <w:t>7</w:t>
      </w:r>
      <w:r w:rsidRPr="006C3CD5">
        <w:rPr>
          <w:rFonts w:hint="eastAsia"/>
        </w:rPr>
        <w:t>千元、</w:t>
      </w:r>
      <w:r w:rsidRPr="006C3CD5">
        <w:rPr>
          <w:rFonts w:hint="eastAsia"/>
          <w:lang w:eastAsia="zh-HK"/>
        </w:rPr>
        <w:t>實現</w:t>
      </w:r>
      <w:r w:rsidRPr="006C3CD5">
        <w:rPr>
          <w:rFonts w:hint="eastAsia"/>
        </w:rPr>
        <w:t>率則介於</w:t>
      </w:r>
      <w:r>
        <w:t>28.51</w:t>
      </w:r>
      <w:r w:rsidRPr="006C3CD5">
        <w:rPr>
          <w:rFonts w:hint="eastAsia"/>
        </w:rPr>
        <w:t>%至</w:t>
      </w:r>
      <w:r w:rsidRPr="006C3CD5">
        <w:t>78.43</w:t>
      </w:r>
      <w:r w:rsidRPr="006C3CD5">
        <w:rPr>
          <w:rFonts w:hint="eastAsia"/>
        </w:rPr>
        <w:t>%之間，均低於8成，執行情況欠佳(詳表1)。</w:t>
      </w:r>
    </w:p>
    <w:p w:rsidR="00AD337F" w:rsidRPr="00257A3C" w:rsidRDefault="00AD337F" w:rsidP="00AD337F">
      <w:pPr>
        <w:pStyle w:val="a4"/>
        <w:ind w:left="841" w:hanging="275"/>
        <w:rPr>
          <w:rFonts w:hint="eastAsia"/>
          <w:b/>
        </w:rPr>
      </w:pPr>
      <w:r w:rsidRPr="00257A3C">
        <w:rPr>
          <w:rFonts w:hint="eastAsia"/>
          <w:b/>
          <w:spacing w:val="-4"/>
        </w:rPr>
        <w:t>(二)</w:t>
      </w:r>
      <w:r w:rsidRPr="00257A3C">
        <w:rPr>
          <w:rFonts w:hint="eastAsia"/>
          <w:b/>
        </w:rPr>
        <w:t>未妥適衡量預算執行能力，致各年度保留經費</w:t>
      </w:r>
      <w:r w:rsidRPr="00257A3C">
        <w:rPr>
          <w:rFonts w:hint="eastAsia"/>
          <w:b/>
          <w:lang w:eastAsia="zh-HK"/>
        </w:rPr>
        <w:t>及</w:t>
      </w:r>
      <w:r w:rsidRPr="00257A3C">
        <w:rPr>
          <w:rFonts w:hint="eastAsia"/>
          <w:b/>
        </w:rPr>
        <w:t>比率</w:t>
      </w:r>
      <w:r w:rsidRPr="00257A3C">
        <w:rPr>
          <w:rFonts w:hint="eastAsia"/>
          <w:b/>
          <w:lang w:eastAsia="zh-HK"/>
        </w:rPr>
        <w:t>均</w:t>
      </w:r>
      <w:r w:rsidRPr="00257A3C">
        <w:rPr>
          <w:rFonts w:hint="eastAsia"/>
          <w:b/>
        </w:rPr>
        <w:t>偏高</w:t>
      </w:r>
    </w:p>
    <w:p w:rsidR="00AD337F" w:rsidRDefault="00AD337F" w:rsidP="00AD337F">
      <w:pPr>
        <w:pStyle w:val="21"/>
        <w:ind w:left="850" w:firstLine="566"/>
      </w:pPr>
      <w:r>
        <w:rPr>
          <w:rFonts w:hint="eastAsia"/>
        </w:rPr>
        <w:t>鑒於國家資源有限，司法院及所屬各機關</w:t>
      </w:r>
      <w:r w:rsidRPr="004D39BD">
        <w:rPr>
          <w:rFonts w:hint="eastAsia"/>
          <w:lang w:eastAsia="zh-HK"/>
        </w:rPr>
        <w:t>應</w:t>
      </w:r>
      <w:r w:rsidRPr="004D39BD">
        <w:rPr>
          <w:rFonts w:hint="eastAsia"/>
        </w:rPr>
        <w:t>依工程實際進度及預算執行能力核實編列預算，</w:t>
      </w:r>
      <w:r w:rsidRPr="004D39BD">
        <w:rPr>
          <w:rFonts w:hint="eastAsia"/>
          <w:lang w:eastAsia="zh-HK"/>
        </w:rPr>
        <w:t>並加強經費控管</w:t>
      </w:r>
      <w:r w:rsidRPr="004D39BD">
        <w:rPr>
          <w:rFonts w:hint="eastAsia"/>
        </w:rPr>
        <w:t>，</w:t>
      </w:r>
      <w:r w:rsidRPr="004D39BD">
        <w:rPr>
          <w:rFonts w:hint="eastAsia"/>
          <w:lang w:eastAsia="zh-HK"/>
        </w:rPr>
        <w:t>以利整體資源妥善規劃運用</w:t>
      </w:r>
      <w:r w:rsidRPr="004D39BD">
        <w:rPr>
          <w:rFonts w:hint="eastAsia"/>
        </w:rPr>
        <w:t>；惟由表1所示，</w:t>
      </w:r>
      <w:r>
        <w:rPr>
          <w:rFonts w:hint="eastAsia"/>
        </w:rPr>
        <w:t>司法院主管</w:t>
      </w:r>
      <w:r w:rsidRPr="00B52F5E">
        <w:rPr>
          <w:rFonts w:hint="eastAsia"/>
        </w:rPr>
        <w:t>重大資本支出計畫</w:t>
      </w:r>
      <w:r>
        <w:t>102</w:t>
      </w:r>
      <w:r w:rsidRPr="00B52F5E">
        <w:rPr>
          <w:rFonts w:hint="eastAsia"/>
        </w:rPr>
        <w:t>至11</w:t>
      </w:r>
      <w:r>
        <w:t>2</w:t>
      </w:r>
      <w:r w:rsidRPr="00B52F5E">
        <w:rPr>
          <w:rFonts w:hint="eastAsia"/>
        </w:rPr>
        <w:t>年度保留金額介於2億2,315萬7千元至</w:t>
      </w:r>
      <w:r w:rsidRPr="00B479C9">
        <w:t>10</w:t>
      </w:r>
      <w:r w:rsidRPr="00B52F5E">
        <w:rPr>
          <w:rFonts w:hint="eastAsia"/>
        </w:rPr>
        <w:t>億</w:t>
      </w:r>
      <w:r w:rsidRPr="00B479C9">
        <w:t>1,945</w:t>
      </w:r>
      <w:r w:rsidRPr="00B52F5E">
        <w:rPr>
          <w:rFonts w:hint="eastAsia"/>
        </w:rPr>
        <w:t>萬</w:t>
      </w:r>
      <w:r w:rsidRPr="00B479C9">
        <w:t>2</w:t>
      </w:r>
      <w:r w:rsidRPr="00B52F5E">
        <w:rPr>
          <w:rFonts w:hint="eastAsia"/>
        </w:rPr>
        <w:t>千元、保留比率則介於15.95%至</w:t>
      </w:r>
      <w:r>
        <w:t>6</w:t>
      </w:r>
      <w:r w:rsidRPr="00B52F5E">
        <w:rPr>
          <w:rFonts w:hint="eastAsia"/>
        </w:rPr>
        <w:t>7.</w:t>
      </w:r>
      <w:r>
        <w:t>32</w:t>
      </w:r>
      <w:r w:rsidRPr="00B52F5E">
        <w:rPr>
          <w:rFonts w:hint="eastAsia"/>
        </w:rPr>
        <w:t>%之間，</w:t>
      </w:r>
      <w:r w:rsidRPr="004D39BD">
        <w:rPr>
          <w:rFonts w:hint="eastAsia"/>
          <w:lang w:eastAsia="zh-HK"/>
        </w:rPr>
        <w:t>且其中</w:t>
      </w:r>
      <w:r w:rsidRPr="004D39BD">
        <w:rPr>
          <w:rFonts w:hint="eastAsia"/>
        </w:rPr>
        <w:t>除10</w:t>
      </w:r>
      <w:r>
        <w:rPr>
          <w:rFonts w:hint="eastAsia"/>
        </w:rPr>
        <w:t>5</w:t>
      </w:r>
      <w:r w:rsidRPr="004D39BD">
        <w:rPr>
          <w:rFonts w:hint="eastAsia"/>
        </w:rPr>
        <w:t>、10</w:t>
      </w:r>
      <w:r>
        <w:t>6</w:t>
      </w:r>
      <w:r w:rsidRPr="004D39BD">
        <w:rPr>
          <w:rFonts w:hint="eastAsia"/>
          <w:lang w:eastAsia="zh-HK"/>
        </w:rPr>
        <w:t>年度</w:t>
      </w:r>
      <w:r w:rsidRPr="004D39BD">
        <w:rPr>
          <w:rFonts w:hint="eastAsia"/>
        </w:rPr>
        <w:t>外，各年度保留比率均</w:t>
      </w:r>
      <w:r w:rsidRPr="004D39BD">
        <w:rPr>
          <w:rFonts w:hint="eastAsia"/>
          <w:lang w:eastAsia="zh-HK"/>
        </w:rPr>
        <w:t>逾</w:t>
      </w:r>
      <w:r>
        <w:t>2</w:t>
      </w:r>
      <w:r w:rsidRPr="004D39BD">
        <w:rPr>
          <w:rFonts w:hint="eastAsia"/>
        </w:rPr>
        <w:t>成以上，</w:t>
      </w:r>
      <w:r>
        <w:rPr>
          <w:rFonts w:hint="eastAsia"/>
        </w:rPr>
        <w:t>其</w:t>
      </w:r>
      <w:r w:rsidRPr="00B52F5E">
        <w:rPr>
          <w:rFonts w:hint="eastAsia"/>
        </w:rPr>
        <w:t>保留金額頗鉅，保留比率亦多有偏高，影響計畫推展。</w:t>
      </w:r>
    </w:p>
    <w:p w:rsidR="00AD337F" w:rsidRPr="0015239F" w:rsidRDefault="00AD337F" w:rsidP="00AD337F">
      <w:pPr>
        <w:ind w:left="849" w:hangingChars="100" w:hanging="283"/>
        <w:rPr>
          <w:b/>
        </w:rPr>
      </w:pPr>
      <w:r w:rsidRPr="0015239F">
        <w:rPr>
          <w:rFonts w:hint="eastAsia"/>
          <w:b/>
        </w:rPr>
        <w:t>(</w:t>
      </w:r>
      <w:r w:rsidRPr="0015239F">
        <w:rPr>
          <w:rFonts w:hint="eastAsia"/>
          <w:b/>
          <w:lang w:eastAsia="zh-HK"/>
        </w:rPr>
        <w:t>三</w:t>
      </w:r>
      <w:r w:rsidRPr="0015239F">
        <w:rPr>
          <w:rFonts w:hint="eastAsia"/>
          <w:b/>
        </w:rPr>
        <w:t>)1</w:t>
      </w:r>
      <w:r w:rsidRPr="0015239F">
        <w:rPr>
          <w:b/>
        </w:rPr>
        <w:t>12</w:t>
      </w:r>
      <w:r w:rsidRPr="0015239F">
        <w:rPr>
          <w:rFonts w:hint="eastAsia"/>
          <w:b/>
        </w:rPr>
        <w:t>年度司法院主管重大資本支出計畫預算執行間有未臻理想情事，</w:t>
      </w:r>
      <w:r w:rsidR="00527B5B">
        <w:rPr>
          <w:rFonts w:hint="eastAsia"/>
          <w:b/>
        </w:rPr>
        <w:t>延宕</w:t>
      </w:r>
      <w:r w:rsidRPr="0015239F">
        <w:rPr>
          <w:rFonts w:hint="eastAsia"/>
          <w:b/>
        </w:rPr>
        <w:t>計畫</w:t>
      </w:r>
      <w:r w:rsidR="00527B5B">
        <w:rPr>
          <w:rFonts w:hint="eastAsia"/>
          <w:b/>
        </w:rPr>
        <w:t>執行進度</w:t>
      </w:r>
    </w:p>
    <w:p w:rsidR="00AD337F" w:rsidRPr="0015239F" w:rsidRDefault="00AD337F" w:rsidP="00AD337F">
      <w:pPr>
        <w:adjustRightInd w:val="0"/>
        <w:ind w:leftChars="300" w:left="850" w:firstLine="566"/>
        <w:rPr>
          <w:rFonts w:hint="eastAsia"/>
          <w:snapToGrid/>
        </w:rPr>
      </w:pPr>
      <w:r w:rsidRPr="0015239F">
        <w:rPr>
          <w:rFonts w:hint="eastAsia"/>
          <w:snapToGrid/>
        </w:rPr>
        <w:lastRenderedPageBreak/>
        <w:t>司法院主管11</w:t>
      </w:r>
      <w:r w:rsidRPr="0015239F">
        <w:rPr>
          <w:snapToGrid/>
        </w:rPr>
        <w:t>2</w:t>
      </w:r>
      <w:r w:rsidRPr="0015239F">
        <w:rPr>
          <w:rFonts w:hint="eastAsia"/>
          <w:snapToGrid/>
        </w:rPr>
        <w:t>年度重大資本支出計畫</w:t>
      </w:r>
      <w:r w:rsidR="0015065A">
        <w:rPr>
          <w:rFonts w:hint="eastAsia"/>
          <w:snapToGrid/>
        </w:rPr>
        <w:t>可支用預算數</w:t>
      </w:r>
      <w:r w:rsidRPr="0015239F">
        <w:rPr>
          <w:snapToGrid/>
        </w:rPr>
        <w:t>7</w:t>
      </w:r>
      <w:r w:rsidRPr="0015239F">
        <w:rPr>
          <w:rFonts w:hint="eastAsia"/>
          <w:snapToGrid/>
        </w:rPr>
        <w:t>億</w:t>
      </w:r>
      <w:r w:rsidRPr="0015239F">
        <w:rPr>
          <w:snapToGrid/>
        </w:rPr>
        <w:t>2,888</w:t>
      </w:r>
      <w:r w:rsidRPr="0015239F">
        <w:rPr>
          <w:rFonts w:hint="eastAsia"/>
          <w:snapToGrid/>
        </w:rPr>
        <w:t>萬9千元，</w:t>
      </w:r>
      <w:r>
        <w:rPr>
          <w:rFonts w:hint="eastAsia"/>
          <w:snapToGrid/>
        </w:rPr>
        <w:t>實現</w:t>
      </w:r>
      <w:r w:rsidRPr="0015239F">
        <w:rPr>
          <w:rFonts w:hint="eastAsia"/>
          <w:snapToGrid/>
        </w:rPr>
        <w:t>數</w:t>
      </w:r>
      <w:r w:rsidRPr="0015239F">
        <w:rPr>
          <w:snapToGrid/>
        </w:rPr>
        <w:t>3</w:t>
      </w:r>
      <w:r w:rsidRPr="0015239F">
        <w:rPr>
          <w:rFonts w:hint="eastAsia"/>
          <w:snapToGrid/>
        </w:rPr>
        <w:t>億</w:t>
      </w:r>
      <w:r w:rsidRPr="0015239F">
        <w:rPr>
          <w:snapToGrid/>
        </w:rPr>
        <w:t>1,464</w:t>
      </w:r>
      <w:r w:rsidRPr="0015239F">
        <w:rPr>
          <w:rFonts w:hint="eastAsia"/>
          <w:snapToGrid/>
        </w:rPr>
        <w:t>萬元，</w:t>
      </w:r>
      <w:r>
        <w:rPr>
          <w:rFonts w:hint="eastAsia"/>
          <w:snapToGrid/>
        </w:rPr>
        <w:t>實現</w:t>
      </w:r>
      <w:r w:rsidRPr="0015239F">
        <w:rPr>
          <w:rFonts w:hint="eastAsia"/>
          <w:snapToGrid/>
        </w:rPr>
        <w:t>率</w:t>
      </w:r>
      <w:r w:rsidRPr="0015239F">
        <w:rPr>
          <w:snapToGrid/>
        </w:rPr>
        <w:t>43.17</w:t>
      </w:r>
      <w:r w:rsidRPr="0015239F">
        <w:rPr>
          <w:rFonts w:hint="eastAsia"/>
          <w:snapToGrid/>
        </w:rPr>
        <w:t>%，未支用預算</w:t>
      </w:r>
      <w:r w:rsidRPr="0015239F">
        <w:rPr>
          <w:snapToGrid/>
        </w:rPr>
        <w:t>4</w:t>
      </w:r>
      <w:r w:rsidRPr="0015239F">
        <w:rPr>
          <w:rFonts w:hint="eastAsia"/>
          <w:snapToGrid/>
        </w:rPr>
        <w:t>億</w:t>
      </w:r>
      <w:r w:rsidRPr="0015239F">
        <w:rPr>
          <w:snapToGrid/>
        </w:rPr>
        <w:t>1,424</w:t>
      </w:r>
      <w:r w:rsidRPr="0015239F">
        <w:rPr>
          <w:rFonts w:hint="eastAsia"/>
          <w:snapToGrid/>
        </w:rPr>
        <w:t>萬</w:t>
      </w:r>
      <w:r w:rsidRPr="0015239F">
        <w:rPr>
          <w:snapToGrid/>
        </w:rPr>
        <w:t>9</w:t>
      </w:r>
      <w:r w:rsidRPr="0015239F">
        <w:rPr>
          <w:rFonts w:hint="eastAsia"/>
          <w:snapToGrid/>
        </w:rPr>
        <w:t>千元全數辦理保留。茲就部分保留金額及比率較高計畫之原因，分述如下：</w:t>
      </w:r>
    </w:p>
    <w:p w:rsidR="00AD337F" w:rsidRPr="0015239F" w:rsidRDefault="00AD337F" w:rsidP="00AD337F">
      <w:pPr>
        <w:ind w:leftChars="300" w:left="1133" w:hangingChars="100" w:hanging="283"/>
        <w:rPr>
          <w:rFonts w:hAnsi="標楷體"/>
          <w:snapToGrid/>
        </w:rPr>
      </w:pPr>
      <w:r w:rsidRPr="0015239F">
        <w:rPr>
          <w:rFonts w:hAnsi="標楷體" w:hint="eastAsia"/>
          <w:b/>
          <w:snapToGrid/>
        </w:rPr>
        <w:t>1.臺灣高等法院臺南分院-遷建辦公廳室新興房屋建築計畫：</w:t>
      </w:r>
      <w:r w:rsidRPr="0015239F">
        <w:rPr>
          <w:rFonts w:hAnsi="標楷體" w:hint="eastAsia"/>
          <w:snapToGrid/>
        </w:rPr>
        <w:t>11</w:t>
      </w:r>
      <w:r w:rsidRPr="0015239F">
        <w:rPr>
          <w:rFonts w:hAnsi="標楷體"/>
          <w:snapToGrid/>
        </w:rPr>
        <w:t>2</w:t>
      </w:r>
      <w:r w:rsidRPr="0015239F">
        <w:rPr>
          <w:rFonts w:hAnsi="標楷體" w:hint="eastAsia"/>
          <w:snapToGrid/>
        </w:rPr>
        <w:t>年度</w:t>
      </w:r>
      <w:r w:rsidR="0015065A">
        <w:rPr>
          <w:rFonts w:hAnsi="標楷體" w:hint="eastAsia"/>
          <w:snapToGrid/>
        </w:rPr>
        <w:t>可支用預算數</w:t>
      </w:r>
      <w:r w:rsidRPr="0015239F">
        <w:rPr>
          <w:rFonts w:hAnsi="標楷體"/>
          <w:snapToGrid/>
        </w:rPr>
        <w:t>1,156</w:t>
      </w:r>
      <w:r w:rsidRPr="0015239F">
        <w:rPr>
          <w:rFonts w:hAnsi="標楷體" w:hint="eastAsia"/>
          <w:snapToGrid/>
        </w:rPr>
        <w:t>萬</w:t>
      </w:r>
      <w:r w:rsidRPr="0015239F">
        <w:rPr>
          <w:rFonts w:hAnsi="標楷體"/>
          <w:snapToGrid/>
        </w:rPr>
        <w:t>8</w:t>
      </w:r>
      <w:r w:rsidRPr="0015239F">
        <w:rPr>
          <w:rFonts w:hAnsi="標楷體" w:hint="eastAsia"/>
          <w:snapToGrid/>
        </w:rPr>
        <w:t>千元(均為本年度預算數)，</w:t>
      </w:r>
      <w:r>
        <w:rPr>
          <w:rFonts w:hAnsi="標楷體" w:hint="eastAsia"/>
          <w:snapToGrid/>
        </w:rPr>
        <w:t>實現</w:t>
      </w:r>
      <w:r w:rsidRPr="0015239F">
        <w:rPr>
          <w:rFonts w:hAnsi="標楷體" w:hint="eastAsia"/>
          <w:snapToGrid/>
        </w:rPr>
        <w:t>數</w:t>
      </w:r>
      <w:r w:rsidRPr="0015239F">
        <w:rPr>
          <w:rFonts w:hAnsi="標楷體"/>
          <w:snapToGrid/>
        </w:rPr>
        <w:t>276</w:t>
      </w:r>
      <w:r w:rsidRPr="0015239F">
        <w:rPr>
          <w:rFonts w:hAnsi="標楷體" w:hint="eastAsia"/>
          <w:snapToGrid/>
        </w:rPr>
        <w:t>萬</w:t>
      </w:r>
      <w:r w:rsidRPr="0015239F">
        <w:rPr>
          <w:rFonts w:hAnsi="標楷體"/>
          <w:snapToGrid/>
        </w:rPr>
        <w:t>9</w:t>
      </w:r>
      <w:r w:rsidRPr="0015239F">
        <w:rPr>
          <w:rFonts w:hAnsi="標楷體" w:hint="eastAsia"/>
          <w:snapToGrid/>
        </w:rPr>
        <w:t>千元，</w:t>
      </w:r>
      <w:r>
        <w:rPr>
          <w:rFonts w:hAnsi="標楷體" w:hint="eastAsia"/>
          <w:snapToGrid/>
        </w:rPr>
        <w:t>實現</w:t>
      </w:r>
      <w:r w:rsidRPr="0015239F">
        <w:rPr>
          <w:rFonts w:hAnsi="標楷體" w:hint="eastAsia"/>
          <w:snapToGrid/>
        </w:rPr>
        <w:t>率</w:t>
      </w:r>
      <w:r w:rsidRPr="0015239F">
        <w:rPr>
          <w:rFonts w:hAnsi="標楷體"/>
          <w:snapToGrid/>
        </w:rPr>
        <w:t>23.94%</w:t>
      </w:r>
      <w:r w:rsidRPr="0015239F">
        <w:rPr>
          <w:rFonts w:hAnsi="標楷體" w:hint="eastAsia"/>
          <w:snapToGrid/>
        </w:rPr>
        <w:t>，保留數</w:t>
      </w:r>
      <w:r w:rsidRPr="0015239F">
        <w:rPr>
          <w:rFonts w:hAnsi="標楷體"/>
          <w:snapToGrid/>
        </w:rPr>
        <w:t>879</w:t>
      </w:r>
      <w:r w:rsidRPr="0015239F">
        <w:rPr>
          <w:rFonts w:hAnsi="標楷體" w:hint="eastAsia"/>
          <w:snapToGrid/>
        </w:rPr>
        <w:t>萬</w:t>
      </w:r>
      <w:r w:rsidRPr="0015239F">
        <w:rPr>
          <w:rFonts w:hAnsi="標楷體"/>
          <w:snapToGrid/>
        </w:rPr>
        <w:t>9</w:t>
      </w:r>
      <w:r w:rsidRPr="0015239F">
        <w:rPr>
          <w:rFonts w:hAnsi="標楷體" w:hint="eastAsia"/>
          <w:snapToGrid/>
        </w:rPr>
        <w:t>千元，主要係承攬商就期中規劃報告審查委員及臺南高分院意見之修正要求或建議回應遲延，致於112年8月23日、113年1月29日始分別完成期中規劃報告審查及期末規劃報告核定，計畫執行進度落後。</w:t>
      </w:r>
    </w:p>
    <w:p w:rsidR="00AD337F" w:rsidRPr="0015239F" w:rsidRDefault="00AD337F" w:rsidP="00AD337F">
      <w:pPr>
        <w:ind w:leftChars="300" w:left="1133" w:hangingChars="100" w:hanging="283"/>
        <w:rPr>
          <w:rFonts w:hAnsi="標楷體"/>
          <w:snapToGrid/>
        </w:rPr>
      </w:pPr>
      <w:r w:rsidRPr="0015239F">
        <w:rPr>
          <w:rFonts w:hAnsi="標楷體" w:hint="eastAsia"/>
          <w:b/>
          <w:snapToGrid/>
        </w:rPr>
        <w:t>2.臺灣</w:t>
      </w:r>
      <w:r w:rsidRPr="0015239F">
        <w:rPr>
          <w:rFonts w:hAnsi="標楷體" w:hint="eastAsia"/>
          <w:b/>
          <w:snapToGrid/>
          <w:lang w:eastAsia="zh-HK"/>
        </w:rPr>
        <w:t>臺北地方</w:t>
      </w:r>
      <w:r w:rsidRPr="0015239F">
        <w:rPr>
          <w:rFonts w:hAnsi="標楷體" w:hint="eastAsia"/>
          <w:b/>
          <w:snapToGrid/>
        </w:rPr>
        <w:t>法院-</w:t>
      </w:r>
      <w:r w:rsidRPr="0015239F">
        <w:rPr>
          <w:rFonts w:hAnsi="標楷體" w:hint="eastAsia"/>
          <w:b/>
          <w:snapToGrid/>
          <w:lang w:eastAsia="zh-HK"/>
        </w:rPr>
        <w:t>司法院所屬機關遷建</w:t>
      </w:r>
      <w:r w:rsidRPr="0015239F">
        <w:rPr>
          <w:rFonts w:hAnsi="標楷體" w:hint="eastAsia"/>
          <w:b/>
          <w:snapToGrid/>
        </w:rPr>
        <w:t>華山司法園區</w:t>
      </w:r>
      <w:r w:rsidRPr="0015239F">
        <w:rPr>
          <w:rFonts w:hAnsi="標楷體" w:hint="eastAsia"/>
          <w:b/>
          <w:snapToGrid/>
          <w:lang w:eastAsia="zh-HK"/>
        </w:rPr>
        <w:t>新興房屋建築</w:t>
      </w:r>
      <w:r w:rsidRPr="0015239F">
        <w:rPr>
          <w:rFonts w:hAnsi="標楷體" w:hint="eastAsia"/>
          <w:b/>
          <w:snapToGrid/>
        </w:rPr>
        <w:t>計畫：</w:t>
      </w:r>
      <w:r w:rsidRPr="0015239F">
        <w:rPr>
          <w:rFonts w:hAnsi="標楷體" w:hint="eastAsia"/>
          <w:snapToGrid/>
        </w:rPr>
        <w:t>112年度</w:t>
      </w:r>
      <w:r w:rsidR="0015065A">
        <w:rPr>
          <w:rFonts w:hAnsi="標楷體" w:hint="eastAsia"/>
          <w:snapToGrid/>
        </w:rPr>
        <w:t>可支用預算數</w:t>
      </w:r>
      <w:r w:rsidRPr="0015239F">
        <w:rPr>
          <w:rFonts w:hAnsi="標楷體"/>
          <w:snapToGrid/>
        </w:rPr>
        <w:t>5</w:t>
      </w:r>
      <w:r w:rsidRPr="0015239F">
        <w:rPr>
          <w:rFonts w:hAnsi="標楷體" w:hint="eastAsia"/>
          <w:snapToGrid/>
        </w:rPr>
        <w:t>億</w:t>
      </w:r>
      <w:r w:rsidRPr="0015239F">
        <w:rPr>
          <w:rFonts w:hAnsi="標楷體"/>
          <w:snapToGrid/>
        </w:rPr>
        <w:t>1,674</w:t>
      </w:r>
      <w:r w:rsidRPr="0015239F">
        <w:rPr>
          <w:rFonts w:hAnsi="標楷體" w:hint="eastAsia"/>
          <w:snapToGrid/>
        </w:rPr>
        <w:t>萬</w:t>
      </w:r>
      <w:r w:rsidRPr="0015239F">
        <w:rPr>
          <w:rFonts w:hAnsi="標楷體"/>
          <w:snapToGrid/>
        </w:rPr>
        <w:t>3</w:t>
      </w:r>
      <w:r w:rsidRPr="0015239F">
        <w:rPr>
          <w:rFonts w:hAnsi="標楷體" w:hint="eastAsia"/>
          <w:snapToGrid/>
        </w:rPr>
        <w:t>千元(11</w:t>
      </w:r>
      <w:r w:rsidRPr="0015239F">
        <w:rPr>
          <w:rFonts w:hAnsi="標楷體"/>
          <w:snapToGrid/>
        </w:rPr>
        <w:t>2</w:t>
      </w:r>
      <w:r w:rsidRPr="0015239F">
        <w:rPr>
          <w:rFonts w:hAnsi="標楷體" w:hint="eastAsia"/>
          <w:snapToGrid/>
        </w:rPr>
        <w:t>年度預算數</w:t>
      </w:r>
      <w:r w:rsidRPr="0015239F">
        <w:rPr>
          <w:rFonts w:hAnsi="標楷體"/>
          <w:snapToGrid/>
        </w:rPr>
        <w:t>1</w:t>
      </w:r>
      <w:r w:rsidRPr="0015239F">
        <w:rPr>
          <w:rFonts w:hAnsi="標楷體" w:hint="eastAsia"/>
          <w:snapToGrid/>
        </w:rPr>
        <w:t>億</w:t>
      </w:r>
      <w:r w:rsidRPr="0015239F">
        <w:rPr>
          <w:rFonts w:hAnsi="標楷體"/>
          <w:snapToGrid/>
        </w:rPr>
        <w:t>4,100</w:t>
      </w:r>
      <w:r w:rsidRPr="0015239F">
        <w:rPr>
          <w:rFonts w:hAnsi="標楷體" w:hint="eastAsia"/>
          <w:snapToGrid/>
        </w:rPr>
        <w:t>萬元、以前年度保留數</w:t>
      </w:r>
      <w:r w:rsidRPr="0015239F">
        <w:rPr>
          <w:rFonts w:hAnsi="標楷體"/>
          <w:snapToGrid/>
        </w:rPr>
        <w:t>3</w:t>
      </w:r>
      <w:r w:rsidRPr="0015239F">
        <w:rPr>
          <w:rFonts w:hAnsi="標楷體" w:hint="eastAsia"/>
          <w:snapToGrid/>
        </w:rPr>
        <w:t>億</w:t>
      </w:r>
      <w:r w:rsidRPr="0015239F">
        <w:rPr>
          <w:rFonts w:hAnsi="標楷體"/>
          <w:snapToGrid/>
        </w:rPr>
        <w:t>7,574</w:t>
      </w:r>
      <w:r w:rsidRPr="0015239F">
        <w:rPr>
          <w:rFonts w:hAnsi="標楷體" w:hint="eastAsia"/>
          <w:snapToGrid/>
        </w:rPr>
        <w:t>萬</w:t>
      </w:r>
      <w:r w:rsidRPr="0015239F">
        <w:rPr>
          <w:rFonts w:hAnsi="標楷體"/>
          <w:snapToGrid/>
        </w:rPr>
        <w:t>3</w:t>
      </w:r>
      <w:r w:rsidRPr="0015239F">
        <w:rPr>
          <w:rFonts w:hAnsi="標楷體" w:hint="eastAsia"/>
          <w:snapToGrid/>
        </w:rPr>
        <w:t>千元)，</w:t>
      </w:r>
      <w:r>
        <w:rPr>
          <w:rFonts w:hAnsi="標楷體" w:hint="eastAsia"/>
          <w:snapToGrid/>
        </w:rPr>
        <w:t>實現</w:t>
      </w:r>
      <w:r w:rsidRPr="0015239F">
        <w:rPr>
          <w:rFonts w:hAnsi="標楷體" w:hint="eastAsia"/>
          <w:snapToGrid/>
        </w:rPr>
        <w:t>數</w:t>
      </w:r>
      <w:r w:rsidRPr="0015239F">
        <w:rPr>
          <w:rFonts w:hAnsi="標楷體"/>
          <w:snapToGrid/>
        </w:rPr>
        <w:t>1</w:t>
      </w:r>
      <w:r w:rsidRPr="0015239F">
        <w:rPr>
          <w:rFonts w:hAnsi="標楷體" w:hint="eastAsia"/>
          <w:snapToGrid/>
        </w:rPr>
        <w:t>億</w:t>
      </w:r>
      <w:r w:rsidRPr="0015239F">
        <w:rPr>
          <w:rFonts w:hAnsi="標楷體"/>
          <w:snapToGrid/>
        </w:rPr>
        <w:t>2,084</w:t>
      </w:r>
      <w:r w:rsidRPr="0015239F">
        <w:rPr>
          <w:rFonts w:hAnsi="標楷體" w:hint="eastAsia"/>
          <w:snapToGrid/>
        </w:rPr>
        <w:t>萬7千元，</w:t>
      </w:r>
      <w:r>
        <w:rPr>
          <w:rFonts w:hAnsi="標楷體" w:hint="eastAsia"/>
          <w:snapToGrid/>
        </w:rPr>
        <w:t>實現</w:t>
      </w:r>
      <w:r w:rsidRPr="0015239F">
        <w:rPr>
          <w:rFonts w:hAnsi="標楷體" w:hint="eastAsia"/>
          <w:snapToGrid/>
        </w:rPr>
        <w:t>率</w:t>
      </w:r>
      <w:r w:rsidRPr="0015239F">
        <w:rPr>
          <w:rFonts w:hAnsi="標楷體"/>
          <w:snapToGrid/>
        </w:rPr>
        <w:t>23</w:t>
      </w:r>
      <w:r w:rsidRPr="0015239F">
        <w:rPr>
          <w:rFonts w:hAnsi="標楷體" w:hint="eastAsia"/>
          <w:snapToGrid/>
        </w:rPr>
        <w:t>.</w:t>
      </w:r>
      <w:r w:rsidRPr="0015239F">
        <w:rPr>
          <w:rFonts w:hAnsi="標楷體"/>
          <w:snapToGrid/>
        </w:rPr>
        <w:t>39</w:t>
      </w:r>
      <w:r w:rsidRPr="0015239F">
        <w:rPr>
          <w:rFonts w:hAnsi="標楷體" w:hint="eastAsia"/>
          <w:snapToGrid/>
        </w:rPr>
        <w:t>%，保留數</w:t>
      </w:r>
      <w:r w:rsidRPr="0015239F">
        <w:rPr>
          <w:rFonts w:hAnsi="標楷體"/>
          <w:snapToGrid/>
        </w:rPr>
        <w:t>3</w:t>
      </w:r>
      <w:r w:rsidRPr="0015239F">
        <w:rPr>
          <w:rFonts w:hAnsi="標楷體" w:hint="eastAsia"/>
          <w:snapToGrid/>
        </w:rPr>
        <w:t>億</w:t>
      </w:r>
      <w:r w:rsidRPr="0015239F">
        <w:rPr>
          <w:rFonts w:hAnsi="標楷體"/>
          <w:snapToGrid/>
        </w:rPr>
        <w:t>9,589</w:t>
      </w:r>
      <w:r w:rsidRPr="0015239F">
        <w:rPr>
          <w:rFonts w:hAnsi="標楷體" w:hint="eastAsia"/>
          <w:snapToGrid/>
        </w:rPr>
        <w:t>萬</w:t>
      </w:r>
      <w:r w:rsidRPr="0015239F">
        <w:rPr>
          <w:rFonts w:hAnsi="標楷體"/>
          <w:snapToGrid/>
        </w:rPr>
        <w:t>6</w:t>
      </w:r>
      <w:r w:rsidRPr="0015239F">
        <w:rPr>
          <w:rFonts w:hAnsi="標楷體" w:hint="eastAsia"/>
          <w:snapToGrid/>
        </w:rPr>
        <w:t>千元，主要係本案於112年5月及6月辦理公開招標，惟因COVID-19疫情影響，加上國際間因戰爭情勢緊張、物價驟漲，營建市場持續嚴重缺工等因素，2次流標；另因基地於開挖過程中發現地下遺構(舊軌道基礎地下構造物</w:t>
      </w:r>
      <w:r w:rsidRPr="0015239F">
        <w:rPr>
          <w:rFonts w:hAnsi="標楷體"/>
          <w:snapToGrid/>
        </w:rPr>
        <w:t>)</w:t>
      </w:r>
      <w:r w:rsidRPr="0015239F">
        <w:rPr>
          <w:rFonts w:hAnsi="標楷體" w:hint="eastAsia"/>
          <w:snapToGrid/>
        </w:rPr>
        <w:t>，臺北市政府文化局於112年4月10日發函通知</w:t>
      </w:r>
      <w:r w:rsidRPr="0015239F">
        <w:rPr>
          <w:rFonts w:hAnsi="標楷體"/>
          <w:snapToGrid/>
          <w:sz w:val="24"/>
          <w:vertAlign w:val="superscript"/>
        </w:rPr>
        <w:footnoteReference w:id="1"/>
      </w:r>
      <w:r w:rsidRPr="0015239F">
        <w:rPr>
          <w:rFonts w:hAnsi="標楷體" w:hint="eastAsia"/>
          <w:snapToGrid/>
        </w:rPr>
        <w:t>須俟文資審議程序完成後，始得解除本基地開發限制，爰本案暫停開發及現場施工，致預算執行未如預期。</w:t>
      </w:r>
    </w:p>
    <w:p w:rsidR="00AD337F" w:rsidRPr="006C3CD5" w:rsidRDefault="00AD337F" w:rsidP="00AD337F">
      <w:pPr>
        <w:ind w:left="566" w:firstLine="566"/>
        <w:rPr>
          <w:rFonts w:hint="eastAsia"/>
          <w:lang w:eastAsia="zh-HK"/>
        </w:rPr>
      </w:pPr>
      <w:r w:rsidRPr="006C3CD5">
        <w:rPr>
          <w:rFonts w:hint="eastAsia"/>
          <w:lang w:eastAsia="zh-HK"/>
        </w:rPr>
        <w:t>綜上，</w:t>
      </w:r>
      <w:r w:rsidRPr="00994ADE">
        <w:rPr>
          <w:rFonts w:hint="eastAsia"/>
          <w:lang w:eastAsia="zh-HK"/>
        </w:rPr>
        <w:t>司法院主管重大資本支出計畫</w:t>
      </w:r>
      <w:r w:rsidRPr="006C3CD5">
        <w:rPr>
          <w:rFonts w:hint="eastAsia"/>
          <w:lang w:eastAsia="zh-HK"/>
        </w:rPr>
        <w:t>所需經費龐鉅，宜妥作事前規劃，以免未能依原預定進度執行，影響計畫時程與效益；惟近年</w:t>
      </w:r>
      <w:r w:rsidRPr="005368F3">
        <w:rPr>
          <w:rFonts w:hint="eastAsia"/>
          <w:lang w:eastAsia="zh-HK"/>
        </w:rPr>
        <w:t>司法院主管重大資本支出計畫</w:t>
      </w:r>
      <w:r w:rsidRPr="006C3CD5">
        <w:rPr>
          <w:rFonts w:hint="eastAsia"/>
          <w:lang w:eastAsia="zh-HK"/>
        </w:rPr>
        <w:t>執行情形多未臻理想，</w:t>
      </w:r>
      <w:r w:rsidRPr="0015239F">
        <w:rPr>
          <w:rFonts w:hint="eastAsia"/>
          <w:lang w:eastAsia="zh-HK"/>
        </w:rPr>
        <w:t>且112年度部分計畫預算執行</w:t>
      </w:r>
      <w:r>
        <w:rPr>
          <w:rFonts w:hint="eastAsia"/>
        </w:rPr>
        <w:t>情形</w:t>
      </w:r>
      <w:r w:rsidRPr="0015239F">
        <w:rPr>
          <w:rFonts w:hint="eastAsia"/>
          <w:lang w:eastAsia="zh-HK"/>
        </w:rPr>
        <w:t>亦欠佳，</w:t>
      </w:r>
      <w:r>
        <w:rPr>
          <w:rFonts w:hint="eastAsia"/>
        </w:rPr>
        <w:t>司法院</w:t>
      </w:r>
      <w:r w:rsidRPr="006C3CD5">
        <w:rPr>
          <w:rFonts w:hint="eastAsia"/>
          <w:lang w:eastAsia="zh-HK"/>
        </w:rPr>
        <w:t>允</w:t>
      </w:r>
      <w:r>
        <w:rPr>
          <w:rFonts w:hint="eastAsia"/>
        </w:rPr>
        <w:t>宜</w:t>
      </w:r>
      <w:r w:rsidRPr="006C3CD5">
        <w:rPr>
          <w:rFonts w:hint="eastAsia"/>
          <w:lang w:eastAsia="zh-HK"/>
        </w:rPr>
        <w:t>賡續督促相關機關檢討問題癥結，加強管控施工進度及依計畫期程加速辦理，以提升計畫效能。</w:t>
      </w:r>
    </w:p>
    <w:p w:rsidR="00AD337F" w:rsidRPr="006C3CD5" w:rsidRDefault="00AD337F" w:rsidP="00AD337F">
      <w:pPr>
        <w:spacing w:beforeLines="20" w:before="100" w:line="400" w:lineRule="exact"/>
        <w:ind w:leftChars="-300" w:left="142" w:rightChars="-350" w:right="-991" w:hangingChars="350" w:hanging="992"/>
        <w:rPr>
          <w:rFonts w:hAnsi="標楷體"/>
          <w:b/>
          <w:smallCaps/>
          <w:snapToGrid/>
          <w:color w:val="000000"/>
        </w:rPr>
      </w:pPr>
      <w:r w:rsidRPr="006C3CD5">
        <w:rPr>
          <w:rFonts w:hAnsi="標楷體" w:hint="eastAsia"/>
          <w:b/>
          <w:smallCaps/>
          <w:snapToGrid/>
          <w:color w:val="000000"/>
          <w:lang w:eastAsia="zh-HK"/>
        </w:rPr>
        <w:t>表</w:t>
      </w:r>
      <w:r w:rsidRPr="006C3CD5">
        <w:rPr>
          <w:rFonts w:hAnsi="標楷體" w:hint="eastAsia"/>
          <w:b/>
          <w:smallCaps/>
          <w:snapToGrid/>
          <w:color w:val="000000"/>
        </w:rPr>
        <w:t>1</w:t>
      </w:r>
      <w:r w:rsidRPr="006C3CD5">
        <w:rPr>
          <w:rFonts w:hAnsi="標楷體"/>
          <w:b/>
          <w:smallCaps/>
          <w:snapToGrid/>
          <w:color w:val="000000"/>
        </w:rPr>
        <w:t xml:space="preserve">  </w:t>
      </w:r>
      <w:r w:rsidRPr="00B52F5E">
        <w:rPr>
          <w:rFonts w:hAnsi="標楷體" w:hint="eastAsia"/>
          <w:b/>
          <w:smallCaps/>
          <w:snapToGrid/>
          <w:color w:val="000000"/>
          <w:lang w:eastAsia="zh-HK"/>
        </w:rPr>
        <w:t>司法院主管</w:t>
      </w:r>
      <w:r>
        <w:rPr>
          <w:rFonts w:hAnsi="標楷體"/>
          <w:b/>
          <w:smallCaps/>
          <w:snapToGrid/>
          <w:color w:val="000000"/>
        </w:rPr>
        <w:t>102</w:t>
      </w:r>
      <w:r w:rsidRPr="006C3CD5">
        <w:rPr>
          <w:rFonts w:hAnsi="標楷體" w:hint="eastAsia"/>
          <w:b/>
          <w:smallCaps/>
          <w:snapToGrid/>
          <w:color w:val="000000"/>
        </w:rPr>
        <w:t>至11</w:t>
      </w:r>
      <w:r>
        <w:rPr>
          <w:rFonts w:hAnsi="標楷體"/>
          <w:b/>
          <w:smallCaps/>
          <w:snapToGrid/>
          <w:color w:val="000000"/>
        </w:rPr>
        <w:t>2</w:t>
      </w:r>
      <w:r w:rsidRPr="006C3CD5">
        <w:rPr>
          <w:rFonts w:hAnsi="標楷體" w:hint="eastAsia"/>
          <w:b/>
          <w:smallCaps/>
          <w:snapToGrid/>
          <w:color w:val="000000"/>
        </w:rPr>
        <w:t>年度</w:t>
      </w:r>
      <w:r w:rsidRPr="00B52F5E">
        <w:rPr>
          <w:rFonts w:hAnsi="標楷體" w:hint="eastAsia"/>
          <w:b/>
          <w:smallCaps/>
          <w:snapToGrid/>
          <w:color w:val="000000"/>
        </w:rPr>
        <w:t>重大資本支出計畫</w:t>
      </w:r>
      <w:r w:rsidRPr="006C3CD5">
        <w:rPr>
          <w:rFonts w:hAnsi="標楷體" w:hint="eastAsia"/>
          <w:b/>
          <w:smallCaps/>
          <w:snapToGrid/>
          <w:color w:val="000000"/>
          <w:lang w:eastAsia="zh-HK"/>
        </w:rPr>
        <w:t>之</w:t>
      </w:r>
      <w:r w:rsidRPr="006C3CD5">
        <w:rPr>
          <w:rFonts w:hAnsi="標楷體" w:hint="eastAsia"/>
          <w:b/>
          <w:smallCaps/>
          <w:snapToGrid/>
          <w:color w:val="000000"/>
        </w:rPr>
        <w:t>預、決算</w:t>
      </w:r>
      <w:r w:rsidRPr="006C3CD5">
        <w:rPr>
          <w:rFonts w:hAnsi="標楷體" w:hint="eastAsia"/>
          <w:b/>
          <w:smallCaps/>
          <w:snapToGrid/>
          <w:color w:val="000000"/>
          <w:lang w:eastAsia="zh-HK"/>
        </w:rPr>
        <w:t>概況</w:t>
      </w:r>
      <w:r w:rsidRPr="006C3CD5">
        <w:rPr>
          <w:rFonts w:hAnsi="標楷體" w:hint="eastAsia"/>
          <w:b/>
          <w:smallCaps/>
          <w:snapToGrid/>
          <w:color w:val="000000"/>
        </w:rPr>
        <w:t>表</w:t>
      </w:r>
    </w:p>
    <w:p w:rsidR="00AD337F" w:rsidRPr="006C3CD5" w:rsidRDefault="00AD337F" w:rsidP="00D07BDA">
      <w:pPr>
        <w:spacing w:line="300" w:lineRule="exact"/>
        <w:ind w:leftChars="-300" w:left="1" w:hangingChars="350" w:hanging="851"/>
        <w:jc w:val="right"/>
        <w:rPr>
          <w:sz w:val="24"/>
          <w:szCs w:val="24"/>
        </w:rPr>
      </w:pPr>
      <w:r w:rsidRPr="006C3CD5">
        <w:rPr>
          <w:rFonts w:hint="eastAsia"/>
          <w:sz w:val="24"/>
        </w:rPr>
        <w:t>單位：新臺幣千元；%</w:t>
      </w:r>
    </w:p>
    <w:tbl>
      <w:tblPr>
        <w:tblW w:w="9356" w:type="dxa"/>
        <w:tblInd w:w="-823" w:type="dxa"/>
        <w:tblCellMar>
          <w:left w:w="28" w:type="dxa"/>
          <w:right w:w="28" w:type="dxa"/>
        </w:tblCellMar>
        <w:tblLook w:val="04A0" w:firstRow="1" w:lastRow="0" w:firstColumn="1" w:lastColumn="0" w:noHBand="0" w:noVBand="1"/>
      </w:tblPr>
      <w:tblGrid>
        <w:gridCol w:w="700"/>
        <w:gridCol w:w="994"/>
        <w:gridCol w:w="992"/>
        <w:gridCol w:w="1132"/>
        <w:gridCol w:w="992"/>
        <w:gridCol w:w="871"/>
        <w:gridCol w:w="982"/>
        <w:gridCol w:w="709"/>
        <w:gridCol w:w="1134"/>
        <w:gridCol w:w="850"/>
      </w:tblGrid>
      <w:tr w:rsidR="00D07BDA" w:rsidRPr="006C3CD5" w:rsidTr="00D07BDA">
        <w:trPr>
          <w:tblHeader/>
        </w:trPr>
        <w:tc>
          <w:tcPr>
            <w:tcW w:w="700"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r w:rsidRPr="006C3CD5">
              <w:rPr>
                <w:rFonts w:hAnsi="標楷體" w:hint="eastAsia"/>
                <w:b/>
                <w:snapToGrid/>
                <w:sz w:val="22"/>
                <w:szCs w:val="22"/>
              </w:rPr>
              <w:t>年度</w:t>
            </w:r>
          </w:p>
        </w:tc>
        <w:tc>
          <w:tcPr>
            <w:tcW w:w="3118"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447"/>
              <w:jc w:val="left"/>
              <w:rPr>
                <w:rFonts w:hAnsi="標楷體" w:hint="eastAsia"/>
                <w:b/>
                <w:snapToGrid/>
                <w:sz w:val="22"/>
                <w:szCs w:val="22"/>
              </w:rPr>
            </w:pPr>
            <w:r w:rsidRPr="006C3CD5">
              <w:rPr>
                <w:rFonts w:hAnsi="標楷體" w:hint="eastAsia"/>
                <w:b/>
                <w:snapToGrid/>
                <w:sz w:val="22"/>
                <w:szCs w:val="22"/>
              </w:rPr>
              <w:t>可支用預算數(A)</w:t>
            </w:r>
          </w:p>
        </w:tc>
        <w:tc>
          <w:tcPr>
            <w:tcW w:w="992"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Default="00AD337F" w:rsidP="004B4DAE">
            <w:pPr>
              <w:spacing w:line="280" w:lineRule="exact"/>
              <w:ind w:leftChars="0" w:left="0" w:firstLineChars="0" w:firstLine="0"/>
              <w:jc w:val="center"/>
              <w:rPr>
                <w:rFonts w:hAnsi="標楷體"/>
                <w:b/>
                <w:snapToGrid/>
                <w:sz w:val="22"/>
                <w:szCs w:val="22"/>
              </w:rPr>
            </w:pPr>
            <w:r w:rsidRPr="006C3CD5">
              <w:rPr>
                <w:rFonts w:hAnsi="標楷體" w:hint="eastAsia"/>
                <w:b/>
                <w:snapToGrid/>
                <w:sz w:val="22"/>
                <w:szCs w:val="22"/>
              </w:rPr>
              <w:t>實現數</w:t>
            </w:r>
          </w:p>
          <w:p w:rsidR="00AD337F" w:rsidRPr="00D07BDA" w:rsidRDefault="00AD337F" w:rsidP="004B4DAE">
            <w:pPr>
              <w:spacing w:line="280" w:lineRule="exact"/>
              <w:ind w:leftChars="0" w:left="0" w:firstLineChars="0" w:firstLine="0"/>
              <w:jc w:val="center"/>
              <w:rPr>
                <w:rFonts w:hAnsi="標楷體" w:hint="eastAsia"/>
                <w:b/>
                <w:snapToGrid/>
                <w:sz w:val="20"/>
                <w:szCs w:val="20"/>
              </w:rPr>
            </w:pPr>
            <w:r w:rsidRPr="00D07BDA">
              <w:rPr>
                <w:rFonts w:hAnsi="標楷體" w:hint="eastAsia"/>
                <w:b/>
                <w:snapToGrid/>
                <w:sz w:val="20"/>
                <w:szCs w:val="20"/>
              </w:rPr>
              <w:t>(B)</w:t>
            </w:r>
          </w:p>
        </w:tc>
        <w:tc>
          <w:tcPr>
            <w:tcW w:w="871"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實現率</w:t>
            </w:r>
            <w:r w:rsidRPr="006C3CD5">
              <w:rPr>
                <w:rFonts w:hAnsi="標楷體" w:hint="eastAsia"/>
                <w:b/>
                <w:snapToGrid/>
                <w:sz w:val="20"/>
                <w:szCs w:val="20"/>
              </w:rPr>
              <w:t>=(B)/(A)</w:t>
            </w:r>
          </w:p>
        </w:tc>
        <w:tc>
          <w:tcPr>
            <w:tcW w:w="1691"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賸餘數</w:t>
            </w:r>
          </w:p>
        </w:tc>
        <w:tc>
          <w:tcPr>
            <w:tcW w:w="1984"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保留數</w:t>
            </w:r>
          </w:p>
        </w:tc>
      </w:tr>
      <w:tr w:rsidR="00D07BDA" w:rsidRPr="006C3CD5" w:rsidTr="00D07BDA">
        <w:trPr>
          <w:tblHeader/>
        </w:trPr>
        <w:tc>
          <w:tcPr>
            <w:tcW w:w="700" w:type="dxa"/>
            <w:vMerge/>
            <w:tcBorders>
              <w:top w:val="single" w:sz="6" w:space="0" w:color="auto"/>
              <w:left w:val="single" w:sz="12" w:space="0" w:color="auto"/>
              <w:bottom w:val="single" w:sz="6" w:space="0" w:color="auto"/>
              <w:right w:val="single" w:sz="6" w:space="0" w:color="auto"/>
            </w:tcBorders>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合計</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以前年度</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本年度</w:t>
            </w:r>
          </w:p>
        </w:tc>
        <w:tc>
          <w:tcPr>
            <w:tcW w:w="992" w:type="dxa"/>
            <w:vMerge/>
            <w:tcBorders>
              <w:top w:val="single" w:sz="6" w:space="0" w:color="auto"/>
              <w:left w:val="single" w:sz="6" w:space="0" w:color="auto"/>
              <w:bottom w:val="single" w:sz="6" w:space="0" w:color="auto"/>
              <w:right w:val="single" w:sz="6" w:space="0" w:color="auto"/>
            </w:tcBorders>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p>
        </w:tc>
        <w:tc>
          <w:tcPr>
            <w:tcW w:w="871" w:type="dxa"/>
            <w:vMerge/>
            <w:tcBorders>
              <w:top w:val="single" w:sz="6" w:space="0" w:color="auto"/>
              <w:left w:val="single" w:sz="6" w:space="0" w:color="auto"/>
              <w:bottom w:val="single" w:sz="6" w:space="0" w:color="auto"/>
              <w:right w:val="single" w:sz="6" w:space="0" w:color="auto"/>
            </w:tcBorders>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金額</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占</w:t>
            </w:r>
            <w:r w:rsidRPr="006C3CD5">
              <w:rPr>
                <w:rFonts w:hAnsi="標楷體" w:hint="eastAsia"/>
                <w:b/>
                <w:snapToGrid/>
                <w:sz w:val="20"/>
                <w:szCs w:val="20"/>
                <w:lang w:eastAsia="zh-HK"/>
              </w:rPr>
              <w:t>比</w:t>
            </w:r>
            <w:r w:rsidRPr="006C3CD5">
              <w:rPr>
                <w:rFonts w:hAnsi="標楷體" w:hint="eastAsia"/>
                <w:snapToGrid/>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金額</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占</w:t>
            </w:r>
            <w:r w:rsidRPr="006C3CD5">
              <w:rPr>
                <w:rFonts w:hAnsi="標楷體" w:hint="eastAsia"/>
                <w:b/>
                <w:snapToGrid/>
                <w:sz w:val="20"/>
                <w:szCs w:val="20"/>
                <w:lang w:eastAsia="zh-HK"/>
              </w:rPr>
              <w:t>比</w:t>
            </w:r>
            <w:r w:rsidRPr="006C3CD5">
              <w:rPr>
                <w:rFonts w:hAnsi="標楷體" w:hint="eastAsia"/>
                <w:snapToGrid/>
                <w:sz w:val="22"/>
                <w:szCs w:val="22"/>
              </w:rPr>
              <w:t>%</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102</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3,106,428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1,030,100</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2,076,328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2,248,445</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72.38</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67,148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2.16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790,835</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25.46</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103</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3,594,675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790,835</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2,803,840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2,661,327</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74.04</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205,987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5.73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727,361</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20.23</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104</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2,161,951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727,361</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1,434,590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1,133,291</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52.42</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9,208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0.43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1,019,452</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47.15</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105</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5,484,795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1,019,451</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4,465,344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1,563,863</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28.51</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3,046,289</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55.54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874,643</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15.95</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106</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1,724,315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874,643</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849,672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1,352,388</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78.43</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93,176</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5.40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278,751</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16.17</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107</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741,417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278,754</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462,663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348,755</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47.04</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69,558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9.38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323,104</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43.58</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108</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850,875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323,104</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527,771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346,224</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40.69</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50</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0.01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504,601</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59.30</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109</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snapToGrid/>
                <w:sz w:val="22"/>
                <w:szCs w:val="22"/>
              </w:rPr>
            </w:pPr>
            <w:r w:rsidRPr="000D4DA7">
              <w:rPr>
                <w:rFonts w:hAnsi="標楷體" w:hint="eastAsia"/>
                <w:snapToGrid/>
                <w:sz w:val="22"/>
                <w:szCs w:val="22"/>
              </w:rPr>
              <w:t>860,958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504,601</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356,357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538,630</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62.56</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F62870" w:rsidP="004B4DAE">
            <w:pPr>
              <w:spacing w:line="280" w:lineRule="exact"/>
              <w:ind w:leftChars="0" w:left="0" w:firstLineChars="0" w:firstLine="0"/>
              <w:jc w:val="right"/>
              <w:rPr>
                <w:rFonts w:hAnsi="標楷體" w:hint="eastAsia"/>
                <w:snapToGrid/>
                <w:sz w:val="22"/>
                <w:szCs w:val="22"/>
              </w:rPr>
            </w:pPr>
            <w:r>
              <w:rPr>
                <w:rFonts w:hAnsi="標楷體"/>
                <w:snapToGrid/>
                <w:sz w:val="22"/>
                <w:szCs w:val="22"/>
              </w:rPr>
              <w:t>0</w:t>
            </w:r>
            <w:r w:rsidR="00AD337F" w:rsidRPr="000D4DA7">
              <w:rPr>
                <w:rFonts w:hAnsi="標楷體" w:hint="eastAsia"/>
                <w:snapToGrid/>
                <w:sz w:val="22"/>
                <w:szCs w:val="22"/>
              </w:rPr>
              <w:t xml:space="preserve">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0.00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322,328</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37.44</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110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446,532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322,329</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124,203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212,257</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47.53</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11,118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2.49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223,157</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49.98</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ED49C3">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111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558,166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223,157</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335,009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179,537</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32.17</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2,886</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0.52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375,743</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67.32</w:t>
            </w:r>
          </w:p>
        </w:tc>
      </w:tr>
      <w:tr w:rsidR="00D07BDA" w:rsidRPr="006C3CD5" w:rsidTr="00D07BDA">
        <w:tc>
          <w:tcPr>
            <w:tcW w:w="700" w:type="dxa"/>
            <w:tcBorders>
              <w:top w:val="single" w:sz="6" w:space="0" w:color="auto"/>
              <w:left w:val="single" w:sz="12" w:space="0" w:color="auto"/>
              <w:bottom w:val="single" w:sz="12" w:space="0" w:color="auto"/>
              <w:right w:val="single" w:sz="6" w:space="0" w:color="auto"/>
            </w:tcBorders>
            <w:shd w:val="clear" w:color="auto" w:fill="auto"/>
            <w:vAlign w:val="center"/>
          </w:tcPr>
          <w:p w:rsidR="00AD337F" w:rsidRPr="006C3CD5" w:rsidRDefault="00AD337F" w:rsidP="004B4DAE">
            <w:pPr>
              <w:spacing w:line="280" w:lineRule="exact"/>
              <w:ind w:leftChars="0" w:left="0" w:firstLineChars="0" w:firstLine="0"/>
              <w:jc w:val="center"/>
              <w:rPr>
                <w:rFonts w:hAnsi="標楷體" w:hint="eastAsia"/>
                <w:snapToGrid/>
                <w:sz w:val="22"/>
                <w:szCs w:val="22"/>
              </w:rPr>
            </w:pPr>
            <w:r>
              <w:rPr>
                <w:rFonts w:hAnsi="標楷體" w:hint="eastAsia"/>
                <w:snapToGrid/>
                <w:sz w:val="22"/>
                <w:szCs w:val="22"/>
              </w:rPr>
              <w:t>1</w:t>
            </w:r>
            <w:r>
              <w:rPr>
                <w:rFonts w:hAnsi="標楷體"/>
                <w:snapToGrid/>
                <w:sz w:val="22"/>
                <w:szCs w:val="22"/>
              </w:rPr>
              <w:t>12</w:t>
            </w:r>
          </w:p>
        </w:tc>
        <w:tc>
          <w:tcPr>
            <w:tcW w:w="994"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7</w:t>
            </w:r>
            <w:r>
              <w:rPr>
                <w:rFonts w:hAnsi="標楷體"/>
                <w:snapToGrid/>
                <w:sz w:val="22"/>
                <w:szCs w:val="22"/>
              </w:rPr>
              <w:t>28,889</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3</w:t>
            </w:r>
            <w:r>
              <w:rPr>
                <w:rFonts w:hAnsi="標楷體"/>
                <w:snapToGrid/>
                <w:sz w:val="22"/>
                <w:szCs w:val="22"/>
              </w:rPr>
              <w:t>75,743</w:t>
            </w:r>
          </w:p>
        </w:tc>
        <w:tc>
          <w:tcPr>
            <w:tcW w:w="1132"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3</w:t>
            </w:r>
            <w:r>
              <w:rPr>
                <w:rFonts w:hAnsi="標楷體"/>
                <w:snapToGrid/>
                <w:sz w:val="22"/>
                <w:szCs w:val="22"/>
              </w:rPr>
              <w:t>53,146</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3</w:t>
            </w:r>
            <w:r>
              <w:rPr>
                <w:rFonts w:hAnsi="標楷體"/>
                <w:snapToGrid/>
                <w:sz w:val="22"/>
                <w:szCs w:val="22"/>
              </w:rPr>
              <w:t>14,640</w:t>
            </w:r>
          </w:p>
        </w:tc>
        <w:tc>
          <w:tcPr>
            <w:tcW w:w="871"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4</w:t>
            </w:r>
            <w:r>
              <w:rPr>
                <w:rFonts w:hAnsi="標楷體"/>
                <w:snapToGrid/>
                <w:sz w:val="22"/>
                <w:szCs w:val="22"/>
              </w:rPr>
              <w:t>3.17</w:t>
            </w:r>
          </w:p>
        </w:tc>
        <w:tc>
          <w:tcPr>
            <w:tcW w:w="982"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0</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0</w:t>
            </w:r>
            <w:r>
              <w:rPr>
                <w:rFonts w:hAnsi="標楷體"/>
                <w:snapToGrid/>
                <w:sz w:val="22"/>
                <w:szCs w:val="22"/>
              </w:rPr>
              <w:t>.00</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161E3F">
              <w:rPr>
                <w:rFonts w:hAnsi="標楷體"/>
                <w:snapToGrid/>
                <w:sz w:val="22"/>
                <w:szCs w:val="22"/>
              </w:rPr>
              <w:t>414,249</w:t>
            </w:r>
          </w:p>
        </w:tc>
        <w:tc>
          <w:tcPr>
            <w:tcW w:w="850" w:type="dxa"/>
            <w:tcBorders>
              <w:top w:val="single" w:sz="6" w:space="0" w:color="auto"/>
              <w:left w:val="single" w:sz="6" w:space="0" w:color="auto"/>
              <w:bottom w:val="single" w:sz="12" w:space="0" w:color="auto"/>
              <w:right w:val="single" w:sz="12"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5</w:t>
            </w:r>
            <w:r>
              <w:rPr>
                <w:rFonts w:hAnsi="標楷體"/>
                <w:snapToGrid/>
                <w:sz w:val="22"/>
                <w:szCs w:val="22"/>
              </w:rPr>
              <w:t>6.83</w:t>
            </w:r>
          </w:p>
        </w:tc>
      </w:tr>
    </w:tbl>
    <w:p w:rsidR="00AD337F" w:rsidRPr="006C3CD5" w:rsidRDefault="00AD337F" w:rsidP="00AD337F">
      <w:pPr>
        <w:adjustRightInd w:val="0"/>
        <w:spacing w:line="300" w:lineRule="exact"/>
        <w:ind w:leftChars="-300" w:left="609" w:rightChars="-350" w:right="-991" w:hangingChars="600" w:hanging="1459"/>
        <w:rPr>
          <w:rFonts w:hint="eastAsia"/>
          <w:sz w:val="24"/>
          <w:szCs w:val="24"/>
        </w:rPr>
      </w:pPr>
      <w:r w:rsidRPr="006C3CD5">
        <w:rPr>
          <w:rFonts w:hint="eastAsia"/>
          <w:sz w:val="24"/>
          <w:szCs w:val="24"/>
        </w:rPr>
        <w:t>說    明：</w:t>
      </w:r>
      <w:r w:rsidRPr="001F6808">
        <w:rPr>
          <w:rFonts w:hint="eastAsia"/>
          <w:sz w:val="24"/>
          <w:szCs w:val="24"/>
        </w:rPr>
        <w:t>本表實現率＝(年度實現數/可支用預算數)。本表占比係占</w:t>
      </w:r>
      <w:r w:rsidR="0015065A">
        <w:rPr>
          <w:rFonts w:hint="eastAsia"/>
          <w:sz w:val="24"/>
          <w:szCs w:val="24"/>
        </w:rPr>
        <w:t>可支用</w:t>
      </w:r>
      <w:r w:rsidRPr="001F6808">
        <w:rPr>
          <w:rFonts w:hint="eastAsia"/>
          <w:sz w:val="24"/>
          <w:szCs w:val="24"/>
        </w:rPr>
        <w:t>預算數。</w:t>
      </w:r>
    </w:p>
    <w:p w:rsidR="00AD337F" w:rsidRPr="006C3CD5" w:rsidRDefault="00AD337F" w:rsidP="00AD337F">
      <w:pPr>
        <w:adjustRightInd w:val="0"/>
        <w:spacing w:line="300" w:lineRule="exact"/>
        <w:ind w:leftChars="-300" w:left="609" w:rightChars="-350" w:right="-991" w:hangingChars="600" w:hanging="1459"/>
        <w:rPr>
          <w:rFonts w:hint="eastAsia"/>
          <w:sz w:val="24"/>
          <w:szCs w:val="24"/>
        </w:rPr>
      </w:pPr>
      <w:r w:rsidRPr="006C3CD5">
        <w:rPr>
          <w:rFonts w:hint="eastAsia"/>
          <w:sz w:val="24"/>
          <w:szCs w:val="24"/>
        </w:rPr>
        <w:t>資料來源：司法院提供。</w:t>
      </w:r>
    </w:p>
    <w:p w:rsidR="00AD337F" w:rsidRDefault="00AD337F" w:rsidP="00D07BDA">
      <w:pPr>
        <w:ind w:left="566" w:firstLine="566"/>
      </w:pPr>
    </w:p>
    <w:p w:rsidR="00E57FE1" w:rsidRDefault="00AD337F" w:rsidP="00932ECE">
      <w:pPr>
        <w:pStyle w:val="14"/>
        <w:ind w:left="567" w:hanging="567"/>
      </w:pPr>
      <w:bookmarkStart w:id="13" w:name="_Toc185325374"/>
      <w:r>
        <w:rPr>
          <w:rFonts w:hint="eastAsia"/>
        </w:rPr>
        <w:t>二</w:t>
      </w:r>
      <w:r w:rsidR="00932ECE" w:rsidRPr="00C02870">
        <w:rPr>
          <w:rFonts w:hint="eastAsia"/>
        </w:rPr>
        <w:t>、法官法施行後，</w:t>
      </w:r>
      <w:r w:rsidR="00932ECE" w:rsidRPr="00296AE1">
        <w:rPr>
          <w:rFonts w:hint="eastAsia"/>
        </w:rPr>
        <w:t>101至112年度</w:t>
      </w:r>
      <w:r w:rsidR="00932ECE">
        <w:rPr>
          <w:rFonts w:hint="eastAsia"/>
        </w:rPr>
        <w:t>法官</w:t>
      </w:r>
      <w:r w:rsidR="00932ECE" w:rsidRPr="00C02870">
        <w:rPr>
          <w:rFonts w:hint="eastAsia"/>
        </w:rPr>
        <w:t>經職務評定為良好者達9</w:t>
      </w:r>
      <w:r w:rsidR="00AC519B">
        <w:rPr>
          <w:rFonts w:hint="eastAsia"/>
        </w:rPr>
        <w:t>成</w:t>
      </w:r>
      <w:r w:rsidR="00932ECE" w:rsidRPr="00C02870">
        <w:rPr>
          <w:rFonts w:hint="eastAsia"/>
        </w:rPr>
        <w:t>7以上</w:t>
      </w:r>
      <w:r w:rsidR="00932ECE" w:rsidRPr="00296AE1">
        <w:rPr>
          <w:rFonts w:hint="eastAsia"/>
        </w:rPr>
        <w:t>，</w:t>
      </w:r>
      <w:r w:rsidR="0015065A">
        <w:rPr>
          <w:rFonts w:hint="eastAsia"/>
        </w:rPr>
        <w:t>恐</w:t>
      </w:r>
      <w:r w:rsidR="00DD522A">
        <w:rPr>
          <w:rFonts w:hint="eastAsia"/>
        </w:rPr>
        <w:t>無法確實反映工作績效</w:t>
      </w:r>
      <w:r w:rsidR="008A200B">
        <w:rPr>
          <w:rFonts w:hint="eastAsia"/>
        </w:rPr>
        <w:t>，且</w:t>
      </w:r>
      <w:r w:rsidR="0069334E" w:rsidRPr="00DD522A">
        <w:rPr>
          <w:rFonts w:hint="eastAsia"/>
        </w:rPr>
        <w:t>不適任法官汰除機制</w:t>
      </w:r>
      <w:r w:rsidR="008A200B">
        <w:rPr>
          <w:rFonts w:hint="eastAsia"/>
        </w:rPr>
        <w:t>亦</w:t>
      </w:r>
      <w:r w:rsidR="00BE0099">
        <w:rPr>
          <w:rFonts w:hint="eastAsia"/>
        </w:rPr>
        <w:t>未臻周延，</w:t>
      </w:r>
      <w:r w:rsidR="008A200B">
        <w:rPr>
          <w:rFonts w:hint="eastAsia"/>
        </w:rPr>
        <w:t>亟</w:t>
      </w:r>
      <w:r w:rsidR="00BE0099">
        <w:rPr>
          <w:rFonts w:hint="eastAsia"/>
        </w:rPr>
        <w:t>待</w:t>
      </w:r>
      <w:r w:rsidR="008A200B">
        <w:rPr>
          <w:rFonts w:hint="eastAsia"/>
        </w:rPr>
        <w:t>通盤</w:t>
      </w:r>
      <w:r w:rsidR="00BE0099">
        <w:rPr>
          <w:rFonts w:hint="eastAsia"/>
        </w:rPr>
        <w:t>檢討改</w:t>
      </w:r>
      <w:r w:rsidR="008A200B">
        <w:rPr>
          <w:rFonts w:hint="eastAsia"/>
        </w:rPr>
        <w:t>善</w:t>
      </w:r>
      <w:r w:rsidR="00AC519B">
        <w:rPr>
          <w:rFonts w:hint="eastAsia"/>
        </w:rPr>
        <w:t>，</w:t>
      </w:r>
      <w:r w:rsidR="00DD522A">
        <w:rPr>
          <w:rFonts w:hint="eastAsia"/>
        </w:rPr>
        <w:t>以發揮</w:t>
      </w:r>
      <w:r w:rsidR="00DD522A" w:rsidRPr="00DD522A">
        <w:rPr>
          <w:rFonts w:hint="eastAsia"/>
        </w:rPr>
        <w:t>奬優汰劣之</w:t>
      </w:r>
      <w:r w:rsidR="00DD522A">
        <w:rPr>
          <w:rFonts w:hint="eastAsia"/>
        </w:rPr>
        <w:t>功能</w:t>
      </w:r>
      <w:bookmarkEnd w:id="13"/>
    </w:p>
    <w:p w:rsidR="00932ECE" w:rsidRPr="00C02870" w:rsidRDefault="00932ECE" w:rsidP="00932ECE">
      <w:pPr>
        <w:ind w:left="566" w:firstLine="566"/>
        <w:rPr>
          <w:rFonts w:hAnsi="標楷體"/>
        </w:rPr>
      </w:pPr>
      <w:r w:rsidRPr="00C02870">
        <w:rPr>
          <w:rFonts w:hAnsi="標楷體" w:hint="eastAsia"/>
          <w:snapToGrid/>
        </w:rPr>
        <w:t>1</w:t>
      </w:r>
      <w:r>
        <w:rPr>
          <w:rFonts w:hAnsi="標楷體"/>
          <w:snapToGrid/>
        </w:rPr>
        <w:t>12</w:t>
      </w:r>
      <w:r w:rsidRPr="00C02870">
        <w:rPr>
          <w:rFonts w:hAnsi="標楷體" w:hint="eastAsia"/>
          <w:snapToGrid/>
        </w:rPr>
        <w:t>年度司法院及所屬機關實際員額數共</w:t>
      </w:r>
      <w:r w:rsidRPr="00C02870">
        <w:rPr>
          <w:rFonts w:hAnsi="標楷體"/>
          <w:snapToGrid/>
        </w:rPr>
        <w:t>1</w:t>
      </w:r>
      <w:r w:rsidRPr="00C02870">
        <w:rPr>
          <w:rFonts w:hAnsi="標楷體" w:hint="eastAsia"/>
          <w:snapToGrid/>
        </w:rPr>
        <w:t>萬</w:t>
      </w:r>
      <w:r w:rsidRPr="001A21FC">
        <w:rPr>
          <w:rFonts w:hAnsi="標楷體"/>
          <w:snapToGrid/>
        </w:rPr>
        <w:t>3</w:t>
      </w:r>
      <w:r>
        <w:rPr>
          <w:rFonts w:hAnsi="標楷體"/>
          <w:snapToGrid/>
        </w:rPr>
        <w:t>,</w:t>
      </w:r>
      <w:r w:rsidRPr="001A21FC">
        <w:rPr>
          <w:rFonts w:hAnsi="標楷體"/>
          <w:snapToGrid/>
        </w:rPr>
        <w:t>517</w:t>
      </w:r>
      <w:r w:rsidRPr="00C02870">
        <w:rPr>
          <w:rFonts w:hAnsi="標楷體" w:hint="eastAsia"/>
          <w:snapToGrid/>
        </w:rPr>
        <w:t>人(其中法官</w:t>
      </w:r>
      <w:r w:rsidRPr="009254F1">
        <w:rPr>
          <w:rFonts w:hAnsi="標楷體"/>
          <w:snapToGrid/>
        </w:rPr>
        <w:t>2</w:t>
      </w:r>
      <w:r>
        <w:rPr>
          <w:rFonts w:hAnsi="標楷體"/>
          <w:snapToGrid/>
        </w:rPr>
        <w:t>,</w:t>
      </w:r>
      <w:r w:rsidRPr="009254F1">
        <w:rPr>
          <w:rFonts w:hAnsi="標楷體"/>
          <w:snapToGrid/>
        </w:rPr>
        <w:t>180</w:t>
      </w:r>
      <w:r w:rsidRPr="00C02870">
        <w:rPr>
          <w:rFonts w:hAnsi="標楷體" w:hint="eastAsia"/>
          <w:snapToGrid/>
        </w:rPr>
        <w:t>人)，司法院主管人事費</w:t>
      </w:r>
      <w:r w:rsidRPr="00C02870">
        <w:rPr>
          <w:rFonts w:hint="eastAsia"/>
          <w:snapToGrid/>
        </w:rPr>
        <w:t>決算數為</w:t>
      </w:r>
      <w:r>
        <w:rPr>
          <w:snapToGrid/>
        </w:rPr>
        <w:t>189</w:t>
      </w:r>
      <w:r w:rsidRPr="00C02870">
        <w:rPr>
          <w:rFonts w:hint="eastAsia"/>
          <w:snapToGrid/>
        </w:rPr>
        <w:t>億</w:t>
      </w:r>
      <w:r>
        <w:rPr>
          <w:snapToGrid/>
        </w:rPr>
        <w:t>3,166</w:t>
      </w:r>
      <w:r w:rsidRPr="00C02870">
        <w:rPr>
          <w:rFonts w:hint="eastAsia"/>
          <w:snapToGrid/>
        </w:rPr>
        <w:t>萬</w:t>
      </w:r>
      <w:r>
        <w:rPr>
          <w:snapToGrid/>
        </w:rPr>
        <w:t>7</w:t>
      </w:r>
      <w:r w:rsidRPr="00C02870">
        <w:rPr>
          <w:rFonts w:hint="eastAsia"/>
          <w:snapToGrid/>
        </w:rPr>
        <w:t>千元，</w:t>
      </w:r>
      <w:r w:rsidRPr="00C02870">
        <w:rPr>
          <w:rFonts w:hAnsi="標楷體" w:hint="eastAsia"/>
          <w:snapToGrid/>
        </w:rPr>
        <w:t>占司法院主管歲出決算總額之7</w:t>
      </w:r>
      <w:r>
        <w:rPr>
          <w:rFonts w:hAnsi="標楷體"/>
          <w:snapToGrid/>
        </w:rPr>
        <w:t>5</w:t>
      </w:r>
      <w:r w:rsidRPr="00C02870">
        <w:rPr>
          <w:rFonts w:hAnsi="標楷體" w:hint="eastAsia"/>
          <w:snapToGrid/>
        </w:rPr>
        <w:t>.</w:t>
      </w:r>
      <w:r>
        <w:rPr>
          <w:rFonts w:hAnsi="標楷體"/>
          <w:snapToGrid/>
        </w:rPr>
        <w:t>87</w:t>
      </w:r>
      <w:r w:rsidRPr="00C02870">
        <w:rPr>
          <w:rFonts w:hAnsi="標楷體" w:hint="eastAsia"/>
          <w:snapToGrid/>
        </w:rPr>
        <w:t>%。</w:t>
      </w:r>
      <w:r w:rsidRPr="00C02870">
        <w:rPr>
          <w:rFonts w:hAnsi="標楷體" w:hint="eastAsia"/>
        </w:rPr>
        <w:t>經查：</w:t>
      </w:r>
    </w:p>
    <w:p w:rsidR="00932ECE" w:rsidRPr="00C02870" w:rsidRDefault="00932ECE" w:rsidP="00932ECE">
      <w:pPr>
        <w:ind w:left="849" w:hangingChars="100" w:hanging="283"/>
        <w:rPr>
          <w:b/>
        </w:rPr>
      </w:pPr>
      <w:r w:rsidRPr="00C02870">
        <w:rPr>
          <w:rFonts w:hAnsi="標楷體" w:hint="eastAsia"/>
          <w:b/>
        </w:rPr>
        <w:t>(一)</w:t>
      </w:r>
      <w:r w:rsidRPr="00C02870">
        <w:rPr>
          <w:rFonts w:hint="eastAsia"/>
          <w:b/>
        </w:rPr>
        <w:t>法官法明定法官職務評定制度，期</w:t>
      </w:r>
      <w:r w:rsidR="00F62870">
        <w:rPr>
          <w:rFonts w:hint="eastAsia"/>
          <w:b/>
        </w:rPr>
        <w:t>獎勵表現良好法官，並</w:t>
      </w:r>
      <w:r w:rsidRPr="00AD7523">
        <w:rPr>
          <w:rFonts w:hint="eastAsia"/>
          <w:b/>
        </w:rPr>
        <w:t>汰除不適任法官</w:t>
      </w:r>
      <w:r>
        <w:rPr>
          <w:rFonts w:hint="eastAsia"/>
          <w:b/>
        </w:rPr>
        <w:t>，</w:t>
      </w:r>
      <w:r w:rsidR="00F62870">
        <w:rPr>
          <w:rFonts w:hint="eastAsia"/>
          <w:b/>
        </w:rPr>
        <w:t>以</w:t>
      </w:r>
      <w:r w:rsidRPr="00C02870">
        <w:rPr>
          <w:rFonts w:hint="eastAsia"/>
          <w:b/>
        </w:rPr>
        <w:t>確保司法品質之提升</w:t>
      </w:r>
    </w:p>
    <w:p w:rsidR="00932ECE" w:rsidRDefault="00932ECE" w:rsidP="00932ECE">
      <w:pPr>
        <w:adjustRightInd w:val="0"/>
        <w:ind w:leftChars="300" w:left="850" w:firstLine="566"/>
      </w:pPr>
      <w:r w:rsidRPr="00C02870">
        <w:rPr>
          <w:rFonts w:hint="eastAsia"/>
        </w:rPr>
        <w:t>為建立健全之法官制度</w:t>
      </w:r>
      <w:r>
        <w:rPr>
          <w:rFonts w:hint="eastAsia"/>
        </w:rPr>
        <w:t>與</w:t>
      </w:r>
      <w:r w:rsidRPr="00C02870">
        <w:rPr>
          <w:rFonts w:hint="eastAsia"/>
        </w:rPr>
        <w:t>法官評鑑機制，</w:t>
      </w:r>
      <w:r>
        <w:rPr>
          <w:rFonts w:hint="eastAsia"/>
        </w:rPr>
        <w:t>並</w:t>
      </w:r>
      <w:r w:rsidRPr="00C02870">
        <w:rPr>
          <w:rFonts w:hint="eastAsia"/>
        </w:rPr>
        <w:t>汰</w:t>
      </w:r>
      <w:r>
        <w:rPr>
          <w:rFonts w:hint="eastAsia"/>
        </w:rPr>
        <w:t>除</w:t>
      </w:r>
      <w:r w:rsidRPr="00C02870">
        <w:rPr>
          <w:rFonts w:hint="eastAsia"/>
        </w:rPr>
        <w:t>不適任法官，以確保人民接受公正審判之權利，法官法於100年7月6日制定公布全文103條</w:t>
      </w:r>
      <w:r>
        <w:rPr>
          <w:rFonts w:hint="eastAsia"/>
        </w:rPr>
        <w:t>，為</w:t>
      </w:r>
      <w:r w:rsidRPr="00C02870">
        <w:rPr>
          <w:rFonts w:hint="eastAsia"/>
        </w:rPr>
        <w:t>法官有關事項之專法。又法官執行審判業務攸關人民權利及社會公平正義，</w:t>
      </w:r>
      <w:r w:rsidRPr="00C02870">
        <w:rPr>
          <w:rFonts w:hAnsi="標楷體" w:hint="eastAsia"/>
        </w:rPr>
        <w:t>基於</w:t>
      </w:r>
      <w:r w:rsidRPr="00C02870">
        <w:rPr>
          <w:rFonts w:hint="eastAsia"/>
        </w:rPr>
        <w:t>確保司法品質之提升與人民接受公正審判之權利，法官法爰明定法官職務評定制度</w:t>
      </w:r>
      <w:r w:rsidRPr="00C02870">
        <w:rPr>
          <w:vertAlign w:val="superscript"/>
        </w:rPr>
        <w:footnoteReference w:id="2"/>
      </w:r>
      <w:r w:rsidRPr="00C02870">
        <w:rPr>
          <w:rFonts w:hint="eastAsia"/>
        </w:rPr>
        <w:t>，期藉由監督機制之運作，維護良好司法風氣，進而提高司法公信力。</w:t>
      </w:r>
    </w:p>
    <w:p w:rsidR="00932ECE" w:rsidRDefault="00932ECE" w:rsidP="00932ECE">
      <w:pPr>
        <w:adjustRightInd w:val="0"/>
        <w:ind w:leftChars="300" w:left="850" w:firstLine="566"/>
        <w:rPr>
          <w:rFonts w:hint="eastAsia"/>
        </w:rPr>
      </w:pPr>
      <w:r>
        <w:rPr>
          <w:rFonts w:hint="eastAsia"/>
        </w:rPr>
        <w:t>依法官法第74條、</w:t>
      </w:r>
      <w:r w:rsidR="006F7A98" w:rsidRPr="00C86B2D">
        <w:rPr>
          <w:rFonts w:hint="eastAsia"/>
        </w:rPr>
        <w:t>法官職務評定辦法</w:t>
      </w:r>
      <w:r>
        <w:rPr>
          <w:rFonts w:hint="eastAsia"/>
        </w:rPr>
        <w:t>第6條第1項規定</w:t>
      </w:r>
      <w:r w:rsidR="0015065A">
        <w:rPr>
          <w:rFonts w:hint="eastAsia"/>
        </w:rPr>
        <w:t>略以</w:t>
      </w:r>
      <w:r>
        <w:rPr>
          <w:rFonts w:hint="eastAsia"/>
        </w:rPr>
        <w:t>，評定結果分為「良好」及「未達良好」，</w:t>
      </w:r>
      <w:r w:rsidRPr="00D312F7">
        <w:rPr>
          <w:rFonts w:hint="eastAsia"/>
        </w:rPr>
        <w:t>其中評定「良好」與公務人員考績甲等相近(均晉級及給與1個月獎金)，「未達良好」則約相當於考績丙等(不晉級且無獎金)</w:t>
      </w:r>
      <w:r>
        <w:rPr>
          <w:rFonts w:hint="eastAsia"/>
        </w:rPr>
        <w:t>，評定內容分述如下：</w:t>
      </w:r>
    </w:p>
    <w:p w:rsidR="00932ECE" w:rsidRDefault="00932ECE" w:rsidP="00932ECE">
      <w:pPr>
        <w:pStyle w:val="123"/>
        <w:rPr>
          <w:rFonts w:hint="eastAsia"/>
        </w:rPr>
      </w:pPr>
      <w:r>
        <w:t>1.</w:t>
      </w:r>
      <w:r>
        <w:rPr>
          <w:rFonts w:hint="eastAsia"/>
        </w:rPr>
        <w:t>年終評定為良好，且未受有刑事處罰、懲戒處分者，晉1級，並給與1個月俸給總額之獎金；已達所敘職務最高俸級者，給與2個月俸給總額之獎金。連續4年年終評定為良好，且未受有刑事處罰、懲戒處分者，除依規定給與獎金外，</w:t>
      </w:r>
      <w:r w:rsidR="002344A8">
        <w:rPr>
          <w:rFonts w:hint="eastAsia"/>
        </w:rPr>
        <w:t>晉二級</w:t>
      </w:r>
      <w:r>
        <w:rPr>
          <w:rFonts w:hint="eastAsia"/>
        </w:rPr>
        <w:t>。</w:t>
      </w:r>
    </w:p>
    <w:p w:rsidR="00932ECE" w:rsidRDefault="00932ECE" w:rsidP="00932ECE">
      <w:pPr>
        <w:pStyle w:val="123"/>
        <w:rPr>
          <w:rFonts w:hint="eastAsia"/>
        </w:rPr>
      </w:pPr>
      <w:r>
        <w:t>2.</w:t>
      </w:r>
      <w:r>
        <w:rPr>
          <w:rFonts w:hint="eastAsia"/>
        </w:rPr>
        <w:t>另予評定為良好，且未受有刑事處罰、懲戒處分者，不晉級，給與0.5個月俸給總額之獎金；已達所敘職務最高俸級者，給與1個月俸給總額之獎金。</w:t>
      </w:r>
    </w:p>
    <w:p w:rsidR="00932ECE" w:rsidRPr="00C02870" w:rsidRDefault="00932ECE" w:rsidP="00932ECE">
      <w:pPr>
        <w:pStyle w:val="123"/>
        <w:rPr>
          <w:rFonts w:hint="eastAsia"/>
        </w:rPr>
      </w:pPr>
      <w:r>
        <w:t>3.</w:t>
      </w:r>
      <w:r>
        <w:rPr>
          <w:rFonts w:hint="eastAsia"/>
        </w:rPr>
        <w:t>年終</w:t>
      </w:r>
      <w:r w:rsidR="002344A8">
        <w:rPr>
          <w:rFonts w:hint="eastAsia"/>
        </w:rPr>
        <w:t>(</w:t>
      </w:r>
      <w:r>
        <w:rPr>
          <w:rFonts w:hint="eastAsia"/>
        </w:rPr>
        <w:t>另予</w:t>
      </w:r>
      <w:r w:rsidR="002344A8">
        <w:rPr>
          <w:rFonts w:hint="eastAsia"/>
        </w:rPr>
        <w:t>)</w:t>
      </w:r>
      <w:r>
        <w:rPr>
          <w:rFonts w:hint="eastAsia"/>
        </w:rPr>
        <w:t>評定為未達良好，不晉級，不給與獎金。</w:t>
      </w:r>
    </w:p>
    <w:p w:rsidR="00932ECE" w:rsidRPr="00C02870" w:rsidRDefault="00932ECE" w:rsidP="00932ECE">
      <w:pPr>
        <w:ind w:left="849" w:hangingChars="100" w:hanging="283"/>
        <w:rPr>
          <w:b/>
        </w:rPr>
      </w:pPr>
      <w:r w:rsidRPr="00C02870">
        <w:rPr>
          <w:rFonts w:hAnsi="標楷體" w:hint="eastAsia"/>
          <w:b/>
        </w:rPr>
        <w:t>(二)法官法施行後，各年度法官經職務評定為良好者，平均比率高達</w:t>
      </w:r>
      <w:r w:rsidRPr="00D312F7">
        <w:rPr>
          <w:rFonts w:hAnsi="標楷體"/>
          <w:b/>
        </w:rPr>
        <w:t>97.98</w:t>
      </w:r>
      <w:r w:rsidRPr="00C02870">
        <w:rPr>
          <w:rFonts w:hAnsi="標楷體" w:hint="eastAsia"/>
          <w:b/>
        </w:rPr>
        <w:t>%，</w:t>
      </w:r>
      <w:r>
        <w:rPr>
          <w:rFonts w:hAnsi="標楷體" w:hint="eastAsia"/>
          <w:b/>
        </w:rPr>
        <w:t>恐</w:t>
      </w:r>
      <w:r w:rsidR="0015065A" w:rsidRPr="0015065A">
        <w:rPr>
          <w:rFonts w:hAnsi="標楷體" w:hint="eastAsia"/>
          <w:b/>
        </w:rPr>
        <w:t>缺乏鑑別度及差異化管理</w:t>
      </w:r>
    </w:p>
    <w:p w:rsidR="00932ECE" w:rsidRPr="00C02870" w:rsidRDefault="00932ECE" w:rsidP="00932ECE">
      <w:pPr>
        <w:adjustRightInd w:val="0"/>
        <w:ind w:leftChars="300" w:left="850" w:firstLine="566"/>
      </w:pPr>
      <w:r>
        <w:rPr>
          <w:rFonts w:hint="eastAsia"/>
        </w:rPr>
        <w:t>法官法施行前，法官平時考核是透過公務人員考績法規定辦理，</w:t>
      </w:r>
      <w:r w:rsidRPr="00B34CB3">
        <w:rPr>
          <w:rFonts w:hint="eastAsia"/>
        </w:rPr>
        <w:t>考列甲等人數比率以不超過90%之上限為</w:t>
      </w:r>
      <w:r>
        <w:rPr>
          <w:rFonts w:hint="eastAsia"/>
        </w:rPr>
        <w:t>原則</w:t>
      </w:r>
      <w:r w:rsidRPr="00C02870">
        <w:rPr>
          <w:vertAlign w:val="superscript"/>
        </w:rPr>
        <w:footnoteReference w:id="3"/>
      </w:r>
      <w:r>
        <w:rPr>
          <w:rFonts w:hint="eastAsia"/>
        </w:rPr>
        <w:t>，</w:t>
      </w:r>
      <w:r w:rsidRPr="00C02870">
        <w:rPr>
          <w:rFonts w:hint="eastAsia"/>
        </w:rPr>
        <w:t>98至100年度法官考績考列甲等比率介於89.83%至89.99%間、乙等比率介於9.90%至10.11%間、丙等比率均低於1%且無考列丁等者(詳表1)；</w:t>
      </w:r>
      <w:r>
        <w:rPr>
          <w:rFonts w:hint="eastAsia"/>
        </w:rPr>
        <w:t>然</w:t>
      </w:r>
      <w:r w:rsidRPr="00C02870">
        <w:rPr>
          <w:rFonts w:hint="eastAsia"/>
        </w:rPr>
        <w:t>法官法施行後，101至</w:t>
      </w:r>
      <w:r w:rsidRPr="00867360">
        <w:rPr>
          <w:rFonts w:hint="eastAsia"/>
        </w:rPr>
        <w:t>1</w:t>
      </w:r>
      <w:r w:rsidRPr="00867360">
        <w:t>12</w:t>
      </w:r>
      <w:r w:rsidRPr="00C02870">
        <w:rPr>
          <w:rFonts w:hint="eastAsia"/>
        </w:rPr>
        <w:t>年度法官職務評定良好比率均在97%以上、未達良好比率僅介於1.</w:t>
      </w:r>
      <w:r w:rsidR="003B46D8">
        <w:t>41</w:t>
      </w:r>
      <w:r w:rsidRPr="00C02870">
        <w:rPr>
          <w:rFonts w:hint="eastAsia"/>
        </w:rPr>
        <w:t>%至2.6</w:t>
      </w:r>
      <w:r w:rsidR="003B46D8">
        <w:t>5</w:t>
      </w:r>
      <w:r w:rsidRPr="00C02870">
        <w:rPr>
          <w:rFonts w:hint="eastAsia"/>
        </w:rPr>
        <w:t>%間</w:t>
      </w:r>
      <w:r w:rsidRPr="00D34911">
        <w:rPr>
          <w:rFonts w:hint="eastAsia"/>
        </w:rPr>
        <w:t>(詳表</w:t>
      </w:r>
      <w:r>
        <w:rPr>
          <w:rFonts w:hint="eastAsia"/>
        </w:rPr>
        <w:t>2</w:t>
      </w:r>
      <w:r w:rsidRPr="00D34911">
        <w:rPr>
          <w:rFonts w:hint="eastAsia"/>
        </w:rPr>
        <w:t>)</w:t>
      </w:r>
      <w:r>
        <w:rPr>
          <w:rFonts w:hint="eastAsia"/>
        </w:rPr>
        <w:t>，</w:t>
      </w:r>
      <w:r w:rsidRPr="00C02870">
        <w:rPr>
          <w:rFonts w:hint="eastAsia"/>
        </w:rPr>
        <w:t>遠高於施行前之甲等平均比率89.90%，顯示法官法施行後，</w:t>
      </w:r>
      <w:r>
        <w:rPr>
          <w:rFonts w:hint="eastAsia"/>
        </w:rPr>
        <w:t>多</w:t>
      </w:r>
      <w:r w:rsidRPr="00C02870">
        <w:rPr>
          <w:rFonts w:hint="eastAsia"/>
        </w:rPr>
        <w:t>數法官</w:t>
      </w:r>
      <w:r>
        <w:rPr>
          <w:rFonts w:hint="eastAsia"/>
        </w:rPr>
        <w:t>皆</w:t>
      </w:r>
      <w:r w:rsidRPr="00C02870">
        <w:rPr>
          <w:rFonts w:hint="eastAsia"/>
        </w:rPr>
        <w:t>能</w:t>
      </w:r>
      <w:r w:rsidRPr="00D526DC">
        <w:rPr>
          <w:rFonts w:hint="eastAsia"/>
        </w:rPr>
        <w:t>評定</w:t>
      </w:r>
      <w:r>
        <w:rPr>
          <w:rFonts w:hint="eastAsia"/>
        </w:rPr>
        <w:t>為</w:t>
      </w:r>
      <w:r>
        <w:rPr>
          <w:rFonts w:ascii="新細明體" w:eastAsia="新細明體" w:hAnsi="新細明體" w:hint="eastAsia"/>
        </w:rPr>
        <w:t>「</w:t>
      </w:r>
      <w:r w:rsidRPr="00D526DC">
        <w:rPr>
          <w:rFonts w:hint="eastAsia"/>
        </w:rPr>
        <w:t>良好</w:t>
      </w:r>
      <w:r>
        <w:rPr>
          <w:rFonts w:ascii="新細明體" w:eastAsia="新細明體" w:hAnsi="新細明體" w:hint="eastAsia"/>
        </w:rPr>
        <w:t>」</w:t>
      </w:r>
      <w:r w:rsidRPr="00C02870">
        <w:rPr>
          <w:rFonts w:hint="eastAsia"/>
        </w:rPr>
        <w:t>逐年晉級，</w:t>
      </w:r>
      <w:r>
        <w:rPr>
          <w:rFonts w:hint="eastAsia"/>
        </w:rPr>
        <w:t>且</w:t>
      </w:r>
      <w:r w:rsidRPr="00C02870">
        <w:rPr>
          <w:rFonts w:hint="eastAsia"/>
        </w:rPr>
        <w:t>無比率上限</w:t>
      </w:r>
      <w:r>
        <w:rPr>
          <w:rFonts w:hint="eastAsia"/>
        </w:rPr>
        <w:t>之限制，倘若與</w:t>
      </w:r>
      <w:r w:rsidRPr="00C02870">
        <w:rPr>
          <w:rFonts w:hint="eastAsia"/>
        </w:rPr>
        <w:t>公務人員考績考列甲等比率呈下降趨勢(上限已由90%降低至75%)</w:t>
      </w:r>
      <w:r>
        <w:rPr>
          <w:rFonts w:hint="eastAsia"/>
        </w:rPr>
        <w:t>相較</w:t>
      </w:r>
      <w:r w:rsidRPr="00C02870">
        <w:rPr>
          <w:rFonts w:hint="eastAsia"/>
        </w:rPr>
        <w:t>，</w:t>
      </w:r>
      <w:r>
        <w:rPr>
          <w:rFonts w:hint="eastAsia"/>
        </w:rPr>
        <w:t>現行</w:t>
      </w:r>
      <w:r w:rsidRPr="00476531">
        <w:rPr>
          <w:rFonts w:hint="eastAsia"/>
        </w:rPr>
        <w:t>法官職務評定</w:t>
      </w:r>
      <w:r>
        <w:rPr>
          <w:rFonts w:hint="eastAsia"/>
        </w:rPr>
        <w:t>之方式</w:t>
      </w:r>
      <w:r w:rsidR="0015065A">
        <w:rPr>
          <w:rFonts w:hint="eastAsia"/>
        </w:rPr>
        <w:t>恐</w:t>
      </w:r>
      <w:r>
        <w:rPr>
          <w:rFonts w:hint="eastAsia"/>
        </w:rPr>
        <w:t>缺乏</w:t>
      </w:r>
      <w:r w:rsidRPr="00D526DC">
        <w:rPr>
          <w:rFonts w:hint="eastAsia"/>
        </w:rPr>
        <w:t>鑑別度</w:t>
      </w:r>
      <w:r w:rsidR="00627942">
        <w:rPr>
          <w:rFonts w:hint="eastAsia"/>
        </w:rPr>
        <w:t>及差異化管理</w:t>
      </w:r>
      <w:r>
        <w:rPr>
          <w:rStyle w:val="af3"/>
        </w:rPr>
        <w:footnoteReference w:id="4"/>
      </w:r>
      <w:r w:rsidRPr="00C02870">
        <w:rPr>
          <w:rFonts w:hint="eastAsia"/>
        </w:rPr>
        <w:t>。</w:t>
      </w:r>
    </w:p>
    <w:p w:rsidR="0070097E" w:rsidRDefault="0070097E" w:rsidP="0070097E">
      <w:pPr>
        <w:pStyle w:val="a4"/>
        <w:spacing w:line="400" w:lineRule="exact"/>
        <w:ind w:left="1275" w:hangingChars="250" w:hanging="709"/>
        <w:rPr>
          <w:rFonts w:hAnsi="標楷體"/>
          <w:b/>
          <w:snapToGrid/>
        </w:rPr>
      </w:pPr>
      <w:r w:rsidRPr="000F6182">
        <w:rPr>
          <w:rFonts w:hAnsi="標楷體" w:hint="eastAsia"/>
          <w:b/>
          <w:snapToGrid/>
        </w:rPr>
        <w:t>表1</w:t>
      </w:r>
      <w:r>
        <w:rPr>
          <w:rFonts w:hAnsi="標楷體"/>
          <w:b/>
          <w:snapToGrid/>
        </w:rPr>
        <w:t xml:space="preserve">  </w:t>
      </w:r>
      <w:r>
        <w:rPr>
          <w:rFonts w:hAnsi="標楷體" w:hint="eastAsia"/>
          <w:b/>
          <w:snapToGrid/>
        </w:rPr>
        <w:t>司法院主管</w:t>
      </w:r>
      <w:r w:rsidRPr="00C02870">
        <w:rPr>
          <w:rFonts w:hAnsi="標楷體" w:hint="eastAsia"/>
          <w:b/>
          <w:snapToGrid/>
        </w:rPr>
        <w:t>98至100年度法官考績銓敘審定</w:t>
      </w:r>
      <w:r>
        <w:rPr>
          <w:rFonts w:hAnsi="標楷體" w:hint="eastAsia"/>
          <w:b/>
          <w:snapToGrid/>
        </w:rPr>
        <w:t>情形</w:t>
      </w:r>
      <w:r w:rsidRPr="00C02870">
        <w:rPr>
          <w:rFonts w:hAnsi="標楷體" w:hint="eastAsia"/>
          <w:b/>
          <w:snapToGrid/>
        </w:rPr>
        <w:t>一覽表</w:t>
      </w:r>
    </w:p>
    <w:p w:rsidR="0070097E" w:rsidRPr="00C02870" w:rsidRDefault="0070097E" w:rsidP="0070097E">
      <w:pPr>
        <w:pStyle w:val="a4"/>
        <w:spacing w:line="400" w:lineRule="exact"/>
        <w:ind w:left="1174" w:hangingChars="250" w:hanging="608"/>
        <w:jc w:val="right"/>
        <w:rPr>
          <w:rFonts w:hAnsi="標楷體"/>
          <w:snapToGrid/>
          <w:sz w:val="24"/>
          <w:szCs w:val="24"/>
        </w:rPr>
      </w:pPr>
      <w:r w:rsidRPr="00C02870">
        <w:rPr>
          <w:rFonts w:hAnsi="標楷體" w:hint="eastAsia"/>
          <w:snapToGrid/>
          <w:sz w:val="24"/>
          <w:szCs w:val="24"/>
        </w:rPr>
        <w:t>單位：人</w:t>
      </w:r>
    </w:p>
    <w:tbl>
      <w:tblPr>
        <w:tblW w:w="7931"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9"/>
        <w:gridCol w:w="812"/>
        <w:gridCol w:w="1042"/>
        <w:gridCol w:w="9"/>
        <w:gridCol w:w="832"/>
        <w:gridCol w:w="1015"/>
        <w:gridCol w:w="770"/>
        <w:gridCol w:w="1085"/>
        <w:gridCol w:w="6"/>
        <w:gridCol w:w="813"/>
        <w:gridCol w:w="988"/>
      </w:tblGrid>
      <w:tr w:rsidR="0070097E" w:rsidRPr="00C02870" w:rsidTr="009A044C">
        <w:trPr>
          <w:trHeight w:val="407"/>
          <w:tblHeader/>
        </w:trPr>
        <w:tc>
          <w:tcPr>
            <w:tcW w:w="559" w:type="dxa"/>
            <w:vMerge w:val="restart"/>
            <w:shd w:val="clear" w:color="auto" w:fill="auto"/>
            <w:vAlign w:val="center"/>
          </w:tcPr>
          <w:p w:rsidR="0070097E" w:rsidRPr="00C02870" w:rsidRDefault="0070097E" w:rsidP="009A044C">
            <w:pPr>
              <w:spacing w:line="280" w:lineRule="exact"/>
              <w:ind w:leftChars="-13" w:left="-37" w:rightChars="-23" w:right="-65" w:firstLineChars="0" w:firstLine="0"/>
              <w:jc w:val="center"/>
              <w:rPr>
                <w:sz w:val="24"/>
              </w:rPr>
            </w:pPr>
            <w:r w:rsidRPr="00C02870">
              <w:rPr>
                <w:sz w:val="24"/>
              </w:rPr>
              <w:t>年度</w:t>
            </w:r>
          </w:p>
        </w:tc>
        <w:tc>
          <w:tcPr>
            <w:tcW w:w="1863" w:type="dxa"/>
            <w:gridSpan w:val="3"/>
            <w:shd w:val="clear" w:color="auto" w:fill="auto"/>
            <w:vAlign w:val="center"/>
          </w:tcPr>
          <w:p w:rsidR="0070097E" w:rsidRPr="00C02870" w:rsidRDefault="0070097E" w:rsidP="009A044C">
            <w:pPr>
              <w:spacing w:line="360" w:lineRule="exact"/>
              <w:ind w:leftChars="-13" w:left="-37" w:rightChars="-23" w:right="-65" w:firstLineChars="0" w:firstLine="0"/>
              <w:jc w:val="center"/>
              <w:rPr>
                <w:b/>
                <w:sz w:val="24"/>
              </w:rPr>
            </w:pPr>
            <w:r w:rsidRPr="00C02870">
              <w:rPr>
                <w:rFonts w:hint="eastAsia"/>
                <w:b/>
                <w:sz w:val="24"/>
              </w:rPr>
              <w:t>考績</w:t>
            </w:r>
            <w:r w:rsidRPr="00C02870">
              <w:rPr>
                <w:b/>
                <w:sz w:val="24"/>
              </w:rPr>
              <w:t>甲</w:t>
            </w:r>
            <w:r w:rsidRPr="00C02870">
              <w:rPr>
                <w:rFonts w:hint="eastAsia"/>
                <w:b/>
                <w:sz w:val="24"/>
              </w:rPr>
              <w:t>等</w:t>
            </w:r>
          </w:p>
        </w:tc>
        <w:tc>
          <w:tcPr>
            <w:tcW w:w="1847" w:type="dxa"/>
            <w:gridSpan w:val="2"/>
            <w:shd w:val="clear" w:color="auto" w:fill="auto"/>
            <w:vAlign w:val="center"/>
          </w:tcPr>
          <w:p w:rsidR="0070097E" w:rsidRPr="00C02870" w:rsidRDefault="0070097E" w:rsidP="009A044C">
            <w:pPr>
              <w:spacing w:line="360" w:lineRule="exact"/>
              <w:ind w:leftChars="-13" w:left="-37" w:rightChars="-23" w:right="-65" w:firstLineChars="0" w:firstLine="0"/>
              <w:jc w:val="center"/>
              <w:rPr>
                <w:b/>
                <w:sz w:val="24"/>
              </w:rPr>
            </w:pPr>
            <w:r w:rsidRPr="00C02870">
              <w:rPr>
                <w:rFonts w:hint="eastAsia"/>
                <w:b/>
                <w:sz w:val="24"/>
              </w:rPr>
              <w:t>考績</w:t>
            </w:r>
            <w:r w:rsidRPr="00C02870">
              <w:rPr>
                <w:b/>
                <w:sz w:val="24"/>
              </w:rPr>
              <w:t>乙</w:t>
            </w:r>
            <w:r w:rsidRPr="00C02870">
              <w:rPr>
                <w:rFonts w:hint="eastAsia"/>
                <w:b/>
                <w:sz w:val="24"/>
              </w:rPr>
              <w:t>等</w:t>
            </w:r>
          </w:p>
        </w:tc>
        <w:tc>
          <w:tcPr>
            <w:tcW w:w="1861" w:type="dxa"/>
            <w:gridSpan w:val="3"/>
            <w:shd w:val="clear" w:color="auto" w:fill="auto"/>
            <w:vAlign w:val="center"/>
          </w:tcPr>
          <w:p w:rsidR="0070097E" w:rsidRPr="00C02870" w:rsidRDefault="0070097E" w:rsidP="009A044C">
            <w:pPr>
              <w:spacing w:line="360" w:lineRule="exact"/>
              <w:ind w:leftChars="-13" w:left="-37" w:rightChars="-23" w:right="-65" w:firstLineChars="0" w:firstLine="0"/>
              <w:jc w:val="center"/>
              <w:rPr>
                <w:b/>
                <w:sz w:val="24"/>
              </w:rPr>
            </w:pPr>
            <w:r w:rsidRPr="00C02870">
              <w:rPr>
                <w:rFonts w:hint="eastAsia"/>
                <w:b/>
                <w:sz w:val="24"/>
              </w:rPr>
              <w:t>考績</w:t>
            </w:r>
            <w:r w:rsidRPr="00C02870">
              <w:rPr>
                <w:b/>
                <w:sz w:val="24"/>
              </w:rPr>
              <w:t>丙</w:t>
            </w:r>
            <w:r w:rsidRPr="00C02870">
              <w:rPr>
                <w:rFonts w:hint="eastAsia"/>
                <w:b/>
                <w:sz w:val="24"/>
              </w:rPr>
              <w:t>等</w:t>
            </w:r>
          </w:p>
        </w:tc>
        <w:tc>
          <w:tcPr>
            <w:tcW w:w="1801" w:type="dxa"/>
            <w:gridSpan w:val="2"/>
            <w:shd w:val="clear" w:color="auto" w:fill="auto"/>
            <w:vAlign w:val="center"/>
          </w:tcPr>
          <w:p w:rsidR="0070097E" w:rsidRPr="00C02870" w:rsidRDefault="0070097E" w:rsidP="009A044C">
            <w:pPr>
              <w:spacing w:line="360" w:lineRule="exact"/>
              <w:ind w:leftChars="-13" w:left="-37" w:rightChars="-23" w:right="-65" w:firstLineChars="0" w:firstLine="0"/>
              <w:jc w:val="center"/>
              <w:rPr>
                <w:b/>
                <w:sz w:val="24"/>
              </w:rPr>
            </w:pPr>
            <w:r w:rsidRPr="00C02870">
              <w:rPr>
                <w:rFonts w:hint="eastAsia"/>
                <w:b/>
                <w:sz w:val="24"/>
              </w:rPr>
              <w:t>考績</w:t>
            </w:r>
            <w:r w:rsidRPr="00C02870">
              <w:rPr>
                <w:b/>
                <w:sz w:val="24"/>
              </w:rPr>
              <w:t>丁</w:t>
            </w:r>
            <w:r w:rsidRPr="00C02870">
              <w:rPr>
                <w:rFonts w:hint="eastAsia"/>
                <w:b/>
                <w:sz w:val="24"/>
              </w:rPr>
              <w:t>等</w:t>
            </w:r>
          </w:p>
        </w:tc>
      </w:tr>
      <w:tr w:rsidR="0070097E" w:rsidRPr="00C02870" w:rsidTr="009A044C">
        <w:trPr>
          <w:trHeight w:val="408"/>
          <w:tblHeader/>
        </w:trPr>
        <w:tc>
          <w:tcPr>
            <w:tcW w:w="559" w:type="dxa"/>
            <w:vMerge/>
            <w:shd w:val="clear" w:color="auto" w:fill="auto"/>
            <w:vAlign w:val="center"/>
          </w:tcPr>
          <w:p w:rsidR="0070097E" w:rsidRPr="00C02870" w:rsidRDefault="0070097E" w:rsidP="009A044C">
            <w:pPr>
              <w:spacing w:line="280" w:lineRule="exact"/>
              <w:ind w:leftChars="-13" w:left="-37" w:rightChars="-23" w:right="-65" w:firstLineChars="0" w:firstLine="0"/>
              <w:jc w:val="center"/>
              <w:rPr>
                <w:sz w:val="24"/>
              </w:rPr>
            </w:pPr>
          </w:p>
        </w:tc>
        <w:tc>
          <w:tcPr>
            <w:tcW w:w="812" w:type="dxa"/>
            <w:shd w:val="clear" w:color="auto" w:fill="auto"/>
            <w:vAlign w:val="center"/>
          </w:tcPr>
          <w:p w:rsidR="0070097E" w:rsidRPr="00C02870" w:rsidRDefault="0070097E" w:rsidP="009A044C">
            <w:pPr>
              <w:spacing w:line="360" w:lineRule="exact"/>
              <w:ind w:leftChars="-13" w:left="-37" w:rightChars="-23" w:right="-65" w:firstLineChars="0" w:firstLine="0"/>
              <w:jc w:val="center"/>
              <w:rPr>
                <w:sz w:val="24"/>
              </w:rPr>
            </w:pPr>
            <w:r w:rsidRPr="00C02870">
              <w:rPr>
                <w:sz w:val="24"/>
              </w:rPr>
              <w:t>人數</w:t>
            </w:r>
          </w:p>
        </w:tc>
        <w:tc>
          <w:tcPr>
            <w:tcW w:w="1051" w:type="dxa"/>
            <w:gridSpan w:val="2"/>
            <w:shd w:val="clear" w:color="auto" w:fill="auto"/>
            <w:vAlign w:val="center"/>
          </w:tcPr>
          <w:p w:rsidR="0070097E" w:rsidRPr="00C02870" w:rsidRDefault="0070097E" w:rsidP="009A044C">
            <w:pPr>
              <w:spacing w:line="360" w:lineRule="exact"/>
              <w:ind w:leftChars="-13" w:left="-37" w:rightChars="-23" w:right="-65" w:firstLineChars="0" w:firstLine="0"/>
              <w:jc w:val="center"/>
              <w:rPr>
                <w:sz w:val="24"/>
              </w:rPr>
            </w:pPr>
            <w:r w:rsidRPr="00C02870">
              <w:rPr>
                <w:sz w:val="24"/>
              </w:rPr>
              <w:t>比率</w:t>
            </w:r>
          </w:p>
        </w:tc>
        <w:tc>
          <w:tcPr>
            <w:tcW w:w="832" w:type="dxa"/>
            <w:shd w:val="clear" w:color="auto" w:fill="auto"/>
            <w:vAlign w:val="center"/>
          </w:tcPr>
          <w:p w:rsidR="0070097E" w:rsidRPr="00C02870" w:rsidRDefault="0070097E" w:rsidP="009A044C">
            <w:pPr>
              <w:spacing w:line="360" w:lineRule="exact"/>
              <w:ind w:leftChars="-13" w:left="-37" w:rightChars="-23" w:right="-65" w:firstLineChars="0" w:firstLine="0"/>
              <w:jc w:val="center"/>
              <w:rPr>
                <w:sz w:val="24"/>
              </w:rPr>
            </w:pPr>
            <w:r w:rsidRPr="00C02870">
              <w:rPr>
                <w:sz w:val="24"/>
              </w:rPr>
              <w:t>人數</w:t>
            </w:r>
          </w:p>
        </w:tc>
        <w:tc>
          <w:tcPr>
            <w:tcW w:w="1015" w:type="dxa"/>
            <w:shd w:val="clear" w:color="auto" w:fill="auto"/>
            <w:vAlign w:val="center"/>
          </w:tcPr>
          <w:p w:rsidR="0070097E" w:rsidRPr="00C02870" w:rsidRDefault="0070097E" w:rsidP="009A044C">
            <w:pPr>
              <w:spacing w:line="360" w:lineRule="exact"/>
              <w:ind w:leftChars="-13" w:left="-37" w:rightChars="-23" w:right="-65" w:firstLineChars="0" w:firstLine="0"/>
              <w:jc w:val="center"/>
              <w:rPr>
                <w:sz w:val="24"/>
              </w:rPr>
            </w:pPr>
            <w:r w:rsidRPr="00C02870">
              <w:rPr>
                <w:sz w:val="24"/>
              </w:rPr>
              <w:t>比率</w:t>
            </w:r>
          </w:p>
        </w:tc>
        <w:tc>
          <w:tcPr>
            <w:tcW w:w="770" w:type="dxa"/>
            <w:shd w:val="clear" w:color="auto" w:fill="auto"/>
            <w:vAlign w:val="center"/>
          </w:tcPr>
          <w:p w:rsidR="0070097E" w:rsidRPr="00C02870" w:rsidRDefault="0070097E" w:rsidP="009A044C">
            <w:pPr>
              <w:spacing w:line="360" w:lineRule="exact"/>
              <w:ind w:leftChars="-30" w:left="-85" w:rightChars="-36" w:right="-102" w:firstLineChars="0" w:firstLine="0"/>
              <w:jc w:val="center"/>
              <w:rPr>
                <w:sz w:val="24"/>
              </w:rPr>
            </w:pPr>
            <w:r w:rsidRPr="00C02870">
              <w:rPr>
                <w:sz w:val="24"/>
              </w:rPr>
              <w:t>人數</w:t>
            </w:r>
          </w:p>
        </w:tc>
        <w:tc>
          <w:tcPr>
            <w:tcW w:w="1091" w:type="dxa"/>
            <w:gridSpan w:val="2"/>
            <w:shd w:val="clear" w:color="auto" w:fill="auto"/>
            <w:vAlign w:val="center"/>
          </w:tcPr>
          <w:p w:rsidR="0070097E" w:rsidRPr="00C02870" w:rsidRDefault="0070097E" w:rsidP="009A044C">
            <w:pPr>
              <w:spacing w:line="360" w:lineRule="exact"/>
              <w:ind w:leftChars="-13" w:left="-37" w:rightChars="-23" w:right="-65" w:firstLineChars="0" w:firstLine="0"/>
              <w:jc w:val="center"/>
              <w:rPr>
                <w:sz w:val="24"/>
              </w:rPr>
            </w:pPr>
            <w:r w:rsidRPr="00C02870">
              <w:rPr>
                <w:sz w:val="24"/>
              </w:rPr>
              <w:t>比率</w:t>
            </w:r>
          </w:p>
        </w:tc>
        <w:tc>
          <w:tcPr>
            <w:tcW w:w="813" w:type="dxa"/>
            <w:shd w:val="clear" w:color="auto" w:fill="auto"/>
            <w:vAlign w:val="center"/>
          </w:tcPr>
          <w:p w:rsidR="0070097E" w:rsidRPr="00C02870" w:rsidRDefault="0070097E" w:rsidP="009A044C">
            <w:pPr>
              <w:spacing w:line="360" w:lineRule="exact"/>
              <w:ind w:leftChars="-30" w:left="-85" w:rightChars="-36" w:right="-102" w:firstLineChars="0" w:firstLine="0"/>
              <w:jc w:val="center"/>
              <w:rPr>
                <w:sz w:val="24"/>
              </w:rPr>
            </w:pPr>
            <w:r w:rsidRPr="00C02870">
              <w:rPr>
                <w:sz w:val="24"/>
              </w:rPr>
              <w:t>人數</w:t>
            </w:r>
          </w:p>
        </w:tc>
        <w:tc>
          <w:tcPr>
            <w:tcW w:w="988" w:type="dxa"/>
            <w:shd w:val="clear" w:color="auto" w:fill="auto"/>
            <w:vAlign w:val="center"/>
          </w:tcPr>
          <w:p w:rsidR="0070097E" w:rsidRPr="00C02870" w:rsidRDefault="0070097E" w:rsidP="009A044C">
            <w:pPr>
              <w:spacing w:line="360" w:lineRule="exact"/>
              <w:ind w:leftChars="-30" w:left="-85" w:rightChars="-36" w:right="-102" w:firstLineChars="0" w:firstLine="0"/>
              <w:jc w:val="center"/>
              <w:rPr>
                <w:sz w:val="24"/>
              </w:rPr>
            </w:pPr>
            <w:r w:rsidRPr="00C02870">
              <w:rPr>
                <w:sz w:val="24"/>
              </w:rPr>
              <w:t>比率</w:t>
            </w:r>
          </w:p>
        </w:tc>
      </w:tr>
      <w:tr w:rsidR="0070097E" w:rsidRPr="00C02870" w:rsidTr="009A044C">
        <w:trPr>
          <w:trHeight w:val="460"/>
        </w:trPr>
        <w:tc>
          <w:tcPr>
            <w:tcW w:w="559" w:type="dxa"/>
            <w:shd w:val="clear" w:color="auto" w:fill="auto"/>
            <w:vAlign w:val="center"/>
          </w:tcPr>
          <w:p w:rsidR="0070097E" w:rsidRPr="00C02870" w:rsidRDefault="0070097E" w:rsidP="009A044C">
            <w:pPr>
              <w:spacing w:line="280" w:lineRule="exact"/>
              <w:ind w:leftChars="-13" w:left="-37" w:rightChars="-23" w:right="-65" w:firstLineChars="0" w:firstLine="0"/>
              <w:jc w:val="center"/>
              <w:rPr>
                <w:sz w:val="24"/>
              </w:rPr>
            </w:pPr>
            <w:r w:rsidRPr="00C02870">
              <w:rPr>
                <w:sz w:val="24"/>
              </w:rPr>
              <w:t>98</w:t>
            </w:r>
          </w:p>
        </w:tc>
        <w:tc>
          <w:tcPr>
            <w:tcW w:w="812"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1,493</w:t>
            </w:r>
          </w:p>
        </w:tc>
        <w:tc>
          <w:tcPr>
            <w:tcW w:w="1051" w:type="dxa"/>
            <w:gridSpan w:val="2"/>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89.99%</w:t>
            </w:r>
          </w:p>
        </w:tc>
        <w:tc>
          <w:tcPr>
            <w:tcW w:w="832"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165</w:t>
            </w:r>
          </w:p>
        </w:tc>
        <w:tc>
          <w:tcPr>
            <w:tcW w:w="1015"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9.95%</w:t>
            </w:r>
          </w:p>
        </w:tc>
        <w:tc>
          <w:tcPr>
            <w:tcW w:w="770"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1</w:t>
            </w:r>
          </w:p>
        </w:tc>
        <w:tc>
          <w:tcPr>
            <w:tcW w:w="1091" w:type="dxa"/>
            <w:gridSpan w:val="2"/>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0.06%</w:t>
            </w:r>
          </w:p>
        </w:tc>
        <w:tc>
          <w:tcPr>
            <w:tcW w:w="813"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0</w:t>
            </w:r>
          </w:p>
        </w:tc>
        <w:tc>
          <w:tcPr>
            <w:tcW w:w="988"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0%</w:t>
            </w:r>
          </w:p>
        </w:tc>
      </w:tr>
      <w:tr w:rsidR="0070097E" w:rsidRPr="00C02870" w:rsidTr="009A044C">
        <w:trPr>
          <w:trHeight w:val="503"/>
        </w:trPr>
        <w:tc>
          <w:tcPr>
            <w:tcW w:w="559" w:type="dxa"/>
            <w:shd w:val="clear" w:color="auto" w:fill="auto"/>
            <w:vAlign w:val="center"/>
          </w:tcPr>
          <w:p w:rsidR="0070097E" w:rsidRPr="00C02870" w:rsidRDefault="0070097E" w:rsidP="009A044C">
            <w:pPr>
              <w:spacing w:line="280" w:lineRule="exact"/>
              <w:ind w:leftChars="-13" w:left="-37" w:rightChars="-23" w:right="-65" w:firstLineChars="0" w:firstLine="0"/>
              <w:jc w:val="center"/>
              <w:rPr>
                <w:sz w:val="24"/>
              </w:rPr>
            </w:pPr>
            <w:r w:rsidRPr="00C02870">
              <w:rPr>
                <w:sz w:val="24"/>
              </w:rPr>
              <w:t>99</w:t>
            </w:r>
          </w:p>
        </w:tc>
        <w:tc>
          <w:tcPr>
            <w:tcW w:w="812"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1,520</w:t>
            </w:r>
          </w:p>
        </w:tc>
        <w:tc>
          <w:tcPr>
            <w:tcW w:w="1051" w:type="dxa"/>
            <w:gridSpan w:val="2"/>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89.83%</w:t>
            </w:r>
          </w:p>
        </w:tc>
        <w:tc>
          <w:tcPr>
            <w:tcW w:w="832"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171</w:t>
            </w:r>
          </w:p>
        </w:tc>
        <w:tc>
          <w:tcPr>
            <w:tcW w:w="1015"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10.11%</w:t>
            </w:r>
          </w:p>
        </w:tc>
        <w:tc>
          <w:tcPr>
            <w:tcW w:w="770"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1</w:t>
            </w:r>
          </w:p>
        </w:tc>
        <w:tc>
          <w:tcPr>
            <w:tcW w:w="1091" w:type="dxa"/>
            <w:gridSpan w:val="2"/>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0.06%</w:t>
            </w:r>
          </w:p>
        </w:tc>
        <w:tc>
          <w:tcPr>
            <w:tcW w:w="813"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0</w:t>
            </w:r>
          </w:p>
        </w:tc>
        <w:tc>
          <w:tcPr>
            <w:tcW w:w="988" w:type="dxa"/>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0%</w:t>
            </w:r>
          </w:p>
        </w:tc>
      </w:tr>
      <w:tr w:rsidR="0070097E" w:rsidRPr="00C02870" w:rsidTr="009A044C">
        <w:trPr>
          <w:trHeight w:val="502"/>
        </w:trPr>
        <w:tc>
          <w:tcPr>
            <w:tcW w:w="559" w:type="dxa"/>
            <w:tcBorders>
              <w:bottom w:val="double" w:sz="4" w:space="0" w:color="auto"/>
            </w:tcBorders>
            <w:shd w:val="clear" w:color="auto" w:fill="auto"/>
            <w:vAlign w:val="center"/>
          </w:tcPr>
          <w:p w:rsidR="0070097E" w:rsidRPr="00C02870" w:rsidRDefault="0070097E" w:rsidP="009A044C">
            <w:pPr>
              <w:spacing w:line="280" w:lineRule="exact"/>
              <w:ind w:leftChars="-13" w:left="-37" w:rightChars="-23" w:right="-65" w:firstLineChars="0" w:firstLine="0"/>
              <w:jc w:val="center"/>
              <w:rPr>
                <w:sz w:val="24"/>
              </w:rPr>
            </w:pPr>
            <w:r w:rsidRPr="00C02870">
              <w:rPr>
                <w:sz w:val="24"/>
              </w:rPr>
              <w:t>100</w:t>
            </w:r>
          </w:p>
        </w:tc>
        <w:tc>
          <w:tcPr>
            <w:tcW w:w="812" w:type="dxa"/>
            <w:tcBorders>
              <w:bottom w:val="double" w:sz="4" w:space="0" w:color="auto"/>
            </w:tcBorders>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1,579</w:t>
            </w:r>
          </w:p>
        </w:tc>
        <w:tc>
          <w:tcPr>
            <w:tcW w:w="1051" w:type="dxa"/>
            <w:gridSpan w:val="2"/>
            <w:tcBorders>
              <w:bottom w:val="double" w:sz="4" w:space="0" w:color="auto"/>
            </w:tcBorders>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89.87%</w:t>
            </w:r>
          </w:p>
        </w:tc>
        <w:tc>
          <w:tcPr>
            <w:tcW w:w="832" w:type="dxa"/>
            <w:tcBorders>
              <w:bottom w:val="double" w:sz="4" w:space="0" w:color="auto"/>
            </w:tcBorders>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174</w:t>
            </w:r>
          </w:p>
        </w:tc>
        <w:tc>
          <w:tcPr>
            <w:tcW w:w="1015" w:type="dxa"/>
            <w:tcBorders>
              <w:bottom w:val="double" w:sz="4" w:space="0" w:color="auto"/>
            </w:tcBorders>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9.90%</w:t>
            </w:r>
          </w:p>
        </w:tc>
        <w:tc>
          <w:tcPr>
            <w:tcW w:w="770" w:type="dxa"/>
            <w:tcBorders>
              <w:bottom w:val="double" w:sz="4" w:space="0" w:color="auto"/>
            </w:tcBorders>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4</w:t>
            </w:r>
          </w:p>
        </w:tc>
        <w:tc>
          <w:tcPr>
            <w:tcW w:w="1091" w:type="dxa"/>
            <w:gridSpan w:val="2"/>
            <w:tcBorders>
              <w:bottom w:val="double" w:sz="4" w:space="0" w:color="auto"/>
            </w:tcBorders>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0.23%</w:t>
            </w:r>
          </w:p>
        </w:tc>
        <w:tc>
          <w:tcPr>
            <w:tcW w:w="813" w:type="dxa"/>
            <w:tcBorders>
              <w:bottom w:val="double" w:sz="4" w:space="0" w:color="auto"/>
            </w:tcBorders>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0</w:t>
            </w:r>
          </w:p>
        </w:tc>
        <w:tc>
          <w:tcPr>
            <w:tcW w:w="988" w:type="dxa"/>
            <w:tcBorders>
              <w:bottom w:val="double" w:sz="4" w:space="0" w:color="auto"/>
            </w:tcBorders>
            <w:shd w:val="clear" w:color="auto" w:fill="auto"/>
            <w:vAlign w:val="center"/>
          </w:tcPr>
          <w:p w:rsidR="0070097E" w:rsidRPr="00C02870" w:rsidRDefault="0070097E" w:rsidP="009A044C">
            <w:pPr>
              <w:spacing w:line="360" w:lineRule="exact"/>
              <w:ind w:leftChars="-30" w:left="-85" w:rightChars="6" w:right="17" w:firstLineChars="0" w:firstLine="0"/>
              <w:jc w:val="right"/>
              <w:rPr>
                <w:sz w:val="24"/>
              </w:rPr>
            </w:pPr>
            <w:r w:rsidRPr="00C02870">
              <w:rPr>
                <w:sz w:val="24"/>
              </w:rPr>
              <w:t>0%</w:t>
            </w:r>
          </w:p>
        </w:tc>
      </w:tr>
      <w:tr w:rsidR="0070097E" w:rsidRPr="00C02870" w:rsidTr="009A044C">
        <w:trPr>
          <w:trHeight w:val="502"/>
        </w:trPr>
        <w:tc>
          <w:tcPr>
            <w:tcW w:w="559" w:type="dxa"/>
            <w:tcBorders>
              <w:top w:val="double" w:sz="4" w:space="0" w:color="auto"/>
              <w:bottom w:val="single" w:sz="12" w:space="0" w:color="auto"/>
            </w:tcBorders>
            <w:shd w:val="clear" w:color="auto" w:fill="auto"/>
            <w:vAlign w:val="center"/>
          </w:tcPr>
          <w:p w:rsidR="0070097E" w:rsidRPr="00C02870" w:rsidRDefault="0070097E" w:rsidP="009A044C">
            <w:pPr>
              <w:spacing w:line="260" w:lineRule="exact"/>
              <w:ind w:leftChars="-13" w:left="-37" w:rightChars="-23" w:right="-65" w:firstLineChars="0" w:firstLine="0"/>
              <w:jc w:val="center"/>
              <w:rPr>
                <w:spacing w:val="-10"/>
                <w:sz w:val="24"/>
              </w:rPr>
            </w:pPr>
            <w:r w:rsidRPr="00C02870">
              <w:rPr>
                <w:rFonts w:hint="eastAsia"/>
                <w:spacing w:val="-10"/>
                <w:sz w:val="24"/>
              </w:rPr>
              <w:t>平均比率</w:t>
            </w:r>
          </w:p>
        </w:tc>
        <w:tc>
          <w:tcPr>
            <w:tcW w:w="1854" w:type="dxa"/>
            <w:gridSpan w:val="2"/>
            <w:tcBorders>
              <w:top w:val="double" w:sz="4" w:space="0" w:color="auto"/>
              <w:bottom w:val="single" w:sz="12" w:space="0" w:color="auto"/>
            </w:tcBorders>
            <w:shd w:val="clear" w:color="auto" w:fill="auto"/>
            <w:vAlign w:val="center"/>
          </w:tcPr>
          <w:p w:rsidR="0070097E" w:rsidRPr="00C02870" w:rsidRDefault="0070097E" w:rsidP="009A044C">
            <w:pPr>
              <w:spacing w:line="280" w:lineRule="exact"/>
              <w:ind w:leftChars="-30" w:left="-85" w:rightChars="-16" w:right="-45" w:firstLineChars="0" w:firstLine="0"/>
              <w:jc w:val="center"/>
              <w:rPr>
                <w:sz w:val="24"/>
              </w:rPr>
            </w:pPr>
            <w:r w:rsidRPr="00C02870">
              <w:rPr>
                <w:sz w:val="24"/>
                <w:szCs w:val="24"/>
              </w:rPr>
              <w:t>89.</w:t>
            </w:r>
            <w:r w:rsidRPr="00C02870">
              <w:rPr>
                <w:rFonts w:hint="eastAsia"/>
                <w:sz w:val="24"/>
                <w:szCs w:val="24"/>
              </w:rPr>
              <w:t>90</w:t>
            </w:r>
            <w:r w:rsidRPr="00C02870">
              <w:rPr>
                <w:sz w:val="24"/>
                <w:szCs w:val="24"/>
              </w:rPr>
              <w:t>%</w:t>
            </w:r>
          </w:p>
        </w:tc>
        <w:tc>
          <w:tcPr>
            <w:tcW w:w="1856" w:type="dxa"/>
            <w:gridSpan w:val="3"/>
            <w:tcBorders>
              <w:top w:val="double" w:sz="4" w:space="0" w:color="auto"/>
              <w:bottom w:val="single" w:sz="12" w:space="0" w:color="auto"/>
            </w:tcBorders>
            <w:shd w:val="clear" w:color="auto" w:fill="auto"/>
            <w:vAlign w:val="center"/>
          </w:tcPr>
          <w:p w:rsidR="0070097E" w:rsidRPr="00C02870" w:rsidRDefault="0070097E" w:rsidP="009A044C">
            <w:pPr>
              <w:spacing w:line="280" w:lineRule="exact"/>
              <w:ind w:leftChars="-30" w:left="-85" w:rightChars="-16" w:right="-45" w:firstLineChars="0" w:firstLine="0"/>
              <w:jc w:val="center"/>
              <w:rPr>
                <w:sz w:val="24"/>
              </w:rPr>
            </w:pPr>
            <w:r w:rsidRPr="00C02870">
              <w:rPr>
                <w:rFonts w:hint="eastAsia"/>
                <w:sz w:val="24"/>
                <w:szCs w:val="24"/>
              </w:rPr>
              <w:t>9.99</w:t>
            </w:r>
            <w:r w:rsidRPr="00C02870">
              <w:rPr>
                <w:sz w:val="24"/>
                <w:szCs w:val="24"/>
              </w:rPr>
              <w:t>%</w:t>
            </w:r>
          </w:p>
        </w:tc>
        <w:tc>
          <w:tcPr>
            <w:tcW w:w="1855" w:type="dxa"/>
            <w:gridSpan w:val="2"/>
            <w:tcBorders>
              <w:top w:val="double" w:sz="4" w:space="0" w:color="auto"/>
              <w:bottom w:val="single" w:sz="12" w:space="0" w:color="auto"/>
            </w:tcBorders>
            <w:shd w:val="clear" w:color="auto" w:fill="auto"/>
            <w:vAlign w:val="center"/>
          </w:tcPr>
          <w:p w:rsidR="0070097E" w:rsidRPr="00C02870" w:rsidRDefault="0070097E" w:rsidP="009A044C">
            <w:pPr>
              <w:spacing w:line="280" w:lineRule="exact"/>
              <w:ind w:leftChars="-30" w:left="-85" w:rightChars="-16" w:right="-45" w:firstLineChars="0" w:firstLine="0"/>
              <w:jc w:val="center"/>
              <w:rPr>
                <w:sz w:val="24"/>
              </w:rPr>
            </w:pPr>
            <w:r w:rsidRPr="00C02870">
              <w:rPr>
                <w:rFonts w:hint="eastAsia"/>
                <w:sz w:val="24"/>
                <w:szCs w:val="24"/>
              </w:rPr>
              <w:t>0.12</w:t>
            </w:r>
            <w:r w:rsidRPr="00C02870">
              <w:rPr>
                <w:sz w:val="24"/>
                <w:szCs w:val="24"/>
              </w:rPr>
              <w:t>%</w:t>
            </w:r>
          </w:p>
        </w:tc>
        <w:tc>
          <w:tcPr>
            <w:tcW w:w="1807" w:type="dxa"/>
            <w:gridSpan w:val="3"/>
            <w:tcBorders>
              <w:top w:val="double" w:sz="4" w:space="0" w:color="auto"/>
              <w:bottom w:val="single" w:sz="12" w:space="0" w:color="auto"/>
            </w:tcBorders>
            <w:shd w:val="clear" w:color="auto" w:fill="auto"/>
            <w:vAlign w:val="center"/>
          </w:tcPr>
          <w:p w:rsidR="0070097E" w:rsidRPr="00C02870" w:rsidRDefault="0070097E" w:rsidP="009A044C">
            <w:pPr>
              <w:spacing w:line="280" w:lineRule="exact"/>
              <w:ind w:leftChars="-30" w:left="-85" w:rightChars="-16" w:right="-45" w:firstLineChars="0" w:firstLine="0"/>
              <w:jc w:val="center"/>
              <w:rPr>
                <w:sz w:val="24"/>
              </w:rPr>
            </w:pPr>
            <w:r w:rsidRPr="00C02870">
              <w:rPr>
                <w:rFonts w:hint="eastAsia"/>
                <w:sz w:val="24"/>
                <w:szCs w:val="24"/>
              </w:rPr>
              <w:t>0</w:t>
            </w:r>
            <w:r w:rsidRPr="00C02870">
              <w:rPr>
                <w:sz w:val="24"/>
                <w:szCs w:val="24"/>
              </w:rPr>
              <w:t>%</w:t>
            </w:r>
          </w:p>
        </w:tc>
      </w:tr>
    </w:tbl>
    <w:p w:rsidR="0070097E" w:rsidRDefault="0070097E" w:rsidP="0070097E">
      <w:pPr>
        <w:spacing w:line="320" w:lineRule="exact"/>
        <w:ind w:leftChars="203" w:left="1791" w:hangingChars="500" w:hanging="1216"/>
        <w:rPr>
          <w:rFonts w:hAnsi="標楷體"/>
          <w:snapToGrid/>
          <w:sz w:val="24"/>
        </w:rPr>
      </w:pPr>
      <w:r>
        <w:rPr>
          <w:rFonts w:hAnsi="標楷體" w:hint="eastAsia"/>
          <w:snapToGrid/>
          <w:sz w:val="24"/>
        </w:rPr>
        <w:t xml:space="preserve">說 </w:t>
      </w:r>
      <w:r>
        <w:rPr>
          <w:rFonts w:hAnsi="標楷體"/>
          <w:snapToGrid/>
          <w:sz w:val="24"/>
        </w:rPr>
        <w:t xml:space="preserve">   </w:t>
      </w:r>
      <w:r>
        <w:rPr>
          <w:rFonts w:hAnsi="標楷體" w:hint="eastAsia"/>
          <w:snapToGrid/>
          <w:sz w:val="24"/>
        </w:rPr>
        <w:t>明</w:t>
      </w:r>
      <w:r w:rsidRPr="0070097E">
        <w:rPr>
          <w:rFonts w:hAnsi="標楷體" w:hint="eastAsia"/>
          <w:snapToGrid/>
          <w:sz w:val="24"/>
        </w:rPr>
        <w:t>：</w:t>
      </w:r>
      <w:r>
        <w:rPr>
          <w:rFonts w:hAnsi="標楷體" w:hint="eastAsia"/>
          <w:snapToGrid/>
          <w:sz w:val="24"/>
        </w:rPr>
        <w:t>本表係統計</w:t>
      </w:r>
      <w:r w:rsidRPr="0070097E">
        <w:rPr>
          <w:rFonts w:hAnsi="標楷體" w:hint="eastAsia"/>
          <w:snapToGrid/>
          <w:sz w:val="24"/>
        </w:rPr>
        <w:t>法官法施行前3年</w:t>
      </w:r>
      <w:r>
        <w:rPr>
          <w:rFonts w:hAnsi="標楷體" w:hint="eastAsia"/>
          <w:snapToGrid/>
          <w:sz w:val="24"/>
        </w:rPr>
        <w:t>資料</w:t>
      </w:r>
      <w:r w:rsidRPr="0070097E">
        <w:rPr>
          <w:rFonts w:hAnsi="標楷體" w:hint="eastAsia"/>
          <w:snapToGrid/>
          <w:sz w:val="24"/>
        </w:rPr>
        <w:t>。</w:t>
      </w:r>
    </w:p>
    <w:p w:rsidR="0070097E" w:rsidRDefault="0070097E" w:rsidP="0070097E">
      <w:pPr>
        <w:spacing w:line="320" w:lineRule="exact"/>
        <w:ind w:leftChars="203" w:left="1791" w:hangingChars="500" w:hanging="1216"/>
        <w:rPr>
          <w:rFonts w:hAnsi="標楷體"/>
          <w:snapToGrid/>
          <w:sz w:val="24"/>
        </w:rPr>
      </w:pPr>
      <w:r w:rsidRPr="00512A48">
        <w:rPr>
          <w:rFonts w:hAnsi="標楷體" w:hint="eastAsia"/>
          <w:snapToGrid/>
          <w:sz w:val="24"/>
        </w:rPr>
        <w:t>資料來源</w:t>
      </w:r>
      <w:r>
        <w:rPr>
          <w:rFonts w:hAnsi="標楷體" w:hint="eastAsia"/>
          <w:snapToGrid/>
          <w:sz w:val="24"/>
        </w:rPr>
        <w:t>：</w:t>
      </w:r>
      <w:r w:rsidRPr="00512A48">
        <w:rPr>
          <w:rFonts w:hAnsi="標楷體" w:hint="eastAsia"/>
          <w:snapToGrid/>
          <w:sz w:val="24"/>
        </w:rPr>
        <w:t>監察院109年度通案性案件調查研究報告，法官、檢察官職務評定方式之檢討，111年1月</w:t>
      </w:r>
      <w:r>
        <w:rPr>
          <w:rFonts w:hAnsi="標楷體" w:hint="eastAsia"/>
          <w:snapToGrid/>
          <w:sz w:val="24"/>
        </w:rPr>
        <w:t>；</w:t>
      </w:r>
      <w:r w:rsidRPr="0070097E">
        <w:rPr>
          <w:rFonts w:hAnsi="標楷體" w:hint="eastAsia"/>
          <w:snapToGrid/>
          <w:sz w:val="24"/>
        </w:rPr>
        <w:t>黃惠雯，從當前法官之任用、給與及職務評定制度探討法官法施行成效，國會月刊44卷9期，105年9月。</w:t>
      </w:r>
    </w:p>
    <w:p w:rsidR="001E2537" w:rsidRDefault="001E2537" w:rsidP="001E2537">
      <w:pPr>
        <w:spacing w:line="320" w:lineRule="exact"/>
        <w:ind w:leftChars="0" w:left="0" w:firstLineChars="0" w:firstLine="0"/>
        <w:rPr>
          <w:rFonts w:hAnsi="標楷體"/>
          <w:b/>
          <w:snapToGrid/>
        </w:rPr>
      </w:pPr>
      <w:r w:rsidRPr="00F60BBB">
        <w:rPr>
          <w:rFonts w:hAnsi="標楷體" w:hint="eastAsia"/>
          <w:b/>
          <w:snapToGrid/>
        </w:rPr>
        <w:t>表2</w:t>
      </w:r>
      <w:r>
        <w:rPr>
          <w:rFonts w:hAnsi="標楷體" w:hint="eastAsia"/>
          <w:b/>
          <w:snapToGrid/>
        </w:rPr>
        <w:t xml:space="preserve"> </w:t>
      </w:r>
      <w:r>
        <w:rPr>
          <w:rFonts w:hAnsi="標楷體"/>
          <w:b/>
          <w:snapToGrid/>
        </w:rPr>
        <w:t xml:space="preserve"> </w:t>
      </w:r>
      <w:r w:rsidRPr="0070097E">
        <w:rPr>
          <w:rFonts w:hAnsi="標楷體" w:hint="eastAsia"/>
          <w:b/>
          <w:snapToGrid/>
        </w:rPr>
        <w:t>司法院主管10</w:t>
      </w:r>
      <w:r>
        <w:rPr>
          <w:rFonts w:hAnsi="標楷體"/>
          <w:b/>
          <w:snapToGrid/>
        </w:rPr>
        <w:t>1</w:t>
      </w:r>
      <w:r w:rsidRPr="0070097E">
        <w:rPr>
          <w:rFonts w:hAnsi="標楷體" w:hint="eastAsia"/>
          <w:b/>
          <w:snapToGrid/>
        </w:rPr>
        <w:t>至112年度</w:t>
      </w:r>
      <w:r w:rsidRPr="00C02870">
        <w:rPr>
          <w:rFonts w:hAnsi="標楷體" w:hint="eastAsia"/>
          <w:b/>
          <w:snapToGrid/>
        </w:rPr>
        <w:t>法官職務評定銓敘審定</w:t>
      </w:r>
      <w:r>
        <w:rPr>
          <w:rFonts w:hAnsi="標楷體" w:hint="eastAsia"/>
          <w:b/>
          <w:snapToGrid/>
        </w:rPr>
        <w:t>情形</w:t>
      </w:r>
      <w:r w:rsidRPr="00C02870">
        <w:rPr>
          <w:rFonts w:hAnsi="標楷體" w:hint="eastAsia"/>
          <w:b/>
          <w:snapToGrid/>
        </w:rPr>
        <w:t>一覽表</w:t>
      </w:r>
    </w:p>
    <w:p w:rsidR="001E2537" w:rsidRPr="00C02870" w:rsidRDefault="001E2537" w:rsidP="001E2537">
      <w:pPr>
        <w:spacing w:line="320" w:lineRule="exact"/>
        <w:ind w:leftChars="0" w:left="0" w:firstLineChars="0" w:firstLine="0"/>
        <w:jc w:val="right"/>
        <w:rPr>
          <w:b/>
        </w:rPr>
      </w:pPr>
      <w:r w:rsidRPr="00C02870">
        <w:rPr>
          <w:rFonts w:hAnsi="標楷體" w:hint="eastAsia"/>
          <w:snapToGrid/>
          <w:sz w:val="24"/>
          <w:szCs w:val="24"/>
        </w:rPr>
        <w:t>單位：人</w:t>
      </w:r>
    </w:p>
    <w:tbl>
      <w:tblPr>
        <w:tblW w:w="8500" w:type="dxa"/>
        <w:tblInd w:w="33" w:type="dxa"/>
        <w:tblCellMar>
          <w:left w:w="28" w:type="dxa"/>
          <w:right w:w="28" w:type="dxa"/>
        </w:tblCellMar>
        <w:tblLook w:val="04A0" w:firstRow="1" w:lastRow="0" w:firstColumn="1" w:lastColumn="0" w:noHBand="0" w:noVBand="1"/>
      </w:tblPr>
      <w:tblGrid>
        <w:gridCol w:w="1271"/>
        <w:gridCol w:w="1418"/>
        <w:gridCol w:w="1275"/>
        <w:gridCol w:w="1134"/>
        <w:gridCol w:w="1134"/>
        <w:gridCol w:w="1276"/>
        <w:gridCol w:w="992"/>
      </w:tblGrid>
      <w:tr w:rsidR="001E2537" w:rsidRPr="00F117C3" w:rsidTr="003B46D8">
        <w:trPr>
          <w:cantSplit/>
          <w:tblHeader/>
        </w:trPr>
        <w:tc>
          <w:tcPr>
            <w:tcW w:w="1271" w:type="dxa"/>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vAlign w:val="center"/>
            <w:hideMark/>
          </w:tcPr>
          <w:p w:rsidR="001E2537" w:rsidRPr="00507F9A" w:rsidRDefault="001E2537" w:rsidP="009A044C">
            <w:pPr>
              <w:pStyle w:val="142"/>
              <w:jc w:val="right"/>
              <w:rPr>
                <w:b/>
                <w:sz w:val="22"/>
                <w:szCs w:val="22"/>
              </w:rPr>
            </w:pPr>
            <w:r w:rsidRPr="00507F9A">
              <w:rPr>
                <w:rFonts w:hint="eastAsia"/>
                <w:b/>
                <w:sz w:val="22"/>
                <w:szCs w:val="22"/>
              </w:rPr>
              <w:t>項目</w:t>
            </w:r>
          </w:p>
          <w:p w:rsidR="001E2537" w:rsidRPr="00507F9A" w:rsidRDefault="001E2537" w:rsidP="009A044C">
            <w:pPr>
              <w:pStyle w:val="142"/>
              <w:rPr>
                <w:b/>
                <w:sz w:val="22"/>
                <w:szCs w:val="22"/>
              </w:rPr>
            </w:pPr>
            <w:r w:rsidRPr="00507F9A">
              <w:rPr>
                <w:rFonts w:hint="eastAsia"/>
                <w:b/>
                <w:sz w:val="22"/>
                <w:szCs w:val="22"/>
              </w:rPr>
              <w:t>年度</w:t>
            </w:r>
          </w:p>
        </w:tc>
        <w:tc>
          <w:tcPr>
            <w:tcW w:w="2693"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1E2537" w:rsidRPr="00507F9A" w:rsidRDefault="001E2537" w:rsidP="009A044C">
            <w:pPr>
              <w:pStyle w:val="142"/>
              <w:jc w:val="center"/>
              <w:rPr>
                <w:rFonts w:hint="eastAsia"/>
                <w:b/>
              </w:rPr>
            </w:pPr>
            <w:r w:rsidRPr="00507F9A">
              <w:rPr>
                <w:rFonts w:hint="eastAsia"/>
                <w:b/>
              </w:rPr>
              <w:t>職務評定良好</w:t>
            </w:r>
          </w:p>
        </w:tc>
        <w:tc>
          <w:tcPr>
            <w:tcW w:w="2268"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1E2537" w:rsidRPr="00507F9A" w:rsidRDefault="001E2537" w:rsidP="009A044C">
            <w:pPr>
              <w:pStyle w:val="142"/>
              <w:jc w:val="center"/>
              <w:rPr>
                <w:rFonts w:hint="eastAsia"/>
                <w:b/>
              </w:rPr>
            </w:pPr>
            <w:r w:rsidRPr="00507F9A">
              <w:rPr>
                <w:rFonts w:hint="eastAsia"/>
                <w:b/>
              </w:rPr>
              <w:t>職務評定未達良好</w:t>
            </w:r>
          </w:p>
        </w:tc>
        <w:tc>
          <w:tcPr>
            <w:tcW w:w="2268"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1E2537" w:rsidRPr="00507F9A" w:rsidRDefault="001E2537" w:rsidP="009A044C">
            <w:pPr>
              <w:pStyle w:val="142"/>
              <w:jc w:val="center"/>
              <w:rPr>
                <w:rFonts w:hint="eastAsia"/>
                <w:b/>
              </w:rPr>
            </w:pPr>
            <w:r w:rsidRPr="00507F9A">
              <w:rPr>
                <w:rFonts w:hint="eastAsia"/>
                <w:b/>
              </w:rPr>
              <w:t>總計</w:t>
            </w:r>
          </w:p>
        </w:tc>
      </w:tr>
      <w:tr w:rsidR="001E2537" w:rsidRPr="00F117C3" w:rsidTr="003B46D8">
        <w:trPr>
          <w:cantSplit/>
          <w:tblHeader/>
        </w:trPr>
        <w:tc>
          <w:tcPr>
            <w:tcW w:w="1271" w:type="dxa"/>
            <w:vMerge/>
            <w:tcBorders>
              <w:top w:val="single" w:sz="6" w:space="0" w:color="auto"/>
              <w:left w:val="single" w:sz="12" w:space="0" w:color="auto"/>
              <w:bottom w:val="single" w:sz="6" w:space="0" w:color="auto"/>
              <w:right w:val="single" w:sz="6" w:space="0" w:color="auto"/>
            </w:tcBorders>
            <w:vAlign w:val="center"/>
            <w:hideMark/>
          </w:tcPr>
          <w:p w:rsidR="001E2537" w:rsidRPr="00507F9A" w:rsidRDefault="001E2537" w:rsidP="009A044C">
            <w:pPr>
              <w:pStyle w:val="142"/>
              <w:rPr>
                <w:b/>
              </w:rPr>
            </w:pP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507F9A" w:rsidRDefault="001E2537" w:rsidP="009A044C">
            <w:pPr>
              <w:pStyle w:val="142"/>
              <w:jc w:val="center"/>
              <w:rPr>
                <w:rFonts w:hint="eastAsia"/>
                <w:b/>
                <w:sz w:val="22"/>
                <w:szCs w:val="22"/>
              </w:rPr>
            </w:pPr>
            <w:r w:rsidRPr="00507F9A">
              <w:rPr>
                <w:rFonts w:hint="eastAsia"/>
                <w:b/>
                <w:sz w:val="22"/>
                <w:szCs w:val="22"/>
              </w:rPr>
              <w:t>人數</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507F9A" w:rsidRDefault="001E2537" w:rsidP="009A044C">
            <w:pPr>
              <w:pStyle w:val="142"/>
              <w:jc w:val="center"/>
              <w:rPr>
                <w:rFonts w:hint="eastAsia"/>
                <w:b/>
                <w:sz w:val="22"/>
                <w:szCs w:val="22"/>
              </w:rPr>
            </w:pPr>
            <w:r w:rsidRPr="00507F9A">
              <w:rPr>
                <w:rFonts w:hint="eastAsia"/>
                <w:b/>
                <w:sz w:val="22"/>
                <w:szCs w:val="22"/>
              </w:rPr>
              <w:t>比率</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507F9A" w:rsidRDefault="001E2537" w:rsidP="009A044C">
            <w:pPr>
              <w:pStyle w:val="142"/>
              <w:jc w:val="center"/>
              <w:rPr>
                <w:rFonts w:hint="eastAsia"/>
                <w:b/>
                <w:sz w:val="22"/>
                <w:szCs w:val="22"/>
              </w:rPr>
            </w:pPr>
            <w:r w:rsidRPr="00507F9A">
              <w:rPr>
                <w:rFonts w:hint="eastAsia"/>
                <w:b/>
                <w:sz w:val="22"/>
                <w:szCs w:val="22"/>
              </w:rPr>
              <w:t>人數</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507F9A" w:rsidRDefault="001E2537" w:rsidP="009A044C">
            <w:pPr>
              <w:pStyle w:val="142"/>
              <w:jc w:val="center"/>
              <w:rPr>
                <w:rFonts w:hint="eastAsia"/>
                <w:b/>
                <w:sz w:val="22"/>
                <w:szCs w:val="22"/>
              </w:rPr>
            </w:pPr>
            <w:r w:rsidRPr="00507F9A">
              <w:rPr>
                <w:rFonts w:hint="eastAsia"/>
                <w:b/>
                <w:sz w:val="22"/>
                <w:szCs w:val="22"/>
              </w:rPr>
              <w:t>比率</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507F9A" w:rsidRDefault="001E2537" w:rsidP="009A044C">
            <w:pPr>
              <w:pStyle w:val="142"/>
              <w:jc w:val="center"/>
              <w:rPr>
                <w:rFonts w:hint="eastAsia"/>
                <w:b/>
                <w:sz w:val="22"/>
                <w:szCs w:val="22"/>
              </w:rPr>
            </w:pPr>
            <w:r w:rsidRPr="00507F9A">
              <w:rPr>
                <w:rFonts w:hint="eastAsia"/>
                <w:b/>
                <w:sz w:val="22"/>
                <w:szCs w:val="22"/>
              </w:rPr>
              <w:t>人數</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507F9A" w:rsidRDefault="001E2537" w:rsidP="009A044C">
            <w:pPr>
              <w:pStyle w:val="142"/>
              <w:jc w:val="center"/>
              <w:rPr>
                <w:rFonts w:hint="eastAsia"/>
                <w:b/>
                <w:sz w:val="22"/>
                <w:szCs w:val="22"/>
              </w:rPr>
            </w:pPr>
            <w:r w:rsidRPr="00507F9A">
              <w:rPr>
                <w:rFonts w:hint="eastAsia"/>
                <w:b/>
                <w:sz w:val="22"/>
                <w:szCs w:val="22"/>
              </w:rPr>
              <w:t>比率</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101</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1,789</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97.71%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42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2.29%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1,831</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102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1,870</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97.35%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51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2.65%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1,921</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103</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1,907</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97.45%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50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2.55%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1,957</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104</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1,954</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98.14%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37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1.86%</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1,991</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105</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1,933</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97.97%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40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1,973</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106</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1,951</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97.65%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47</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2.35%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1,998</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107</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1,962</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97.86%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43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2.14%</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2,005</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108</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1,981</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97.73%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46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2.27%</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2,027</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109</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2,018</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98.49%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31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1.51%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2,049</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110</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2,027</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98.49%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31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1.51%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2,058</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111</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2,029</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98.59%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1.41%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2,058</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kern w:val="0"/>
                <w:szCs w:val="24"/>
              </w:rPr>
            </w:pPr>
            <w:r w:rsidRPr="00F117C3">
              <w:rPr>
                <w:rFonts w:hAnsi="標楷體" w:cs="新細明體" w:hint="eastAsia"/>
                <w:snapToGrid/>
                <w:kern w:val="0"/>
                <w:szCs w:val="24"/>
              </w:rPr>
              <w:t>112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2,024</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98.40%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33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1.60%</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2,057</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F117C3" w:rsidRDefault="001E2537" w:rsidP="009A044C">
            <w:pPr>
              <w:pStyle w:val="142"/>
              <w:jc w:val="right"/>
              <w:rPr>
                <w:rFonts w:hAnsi="標楷體" w:cs="新細明體" w:hint="eastAsia"/>
                <w:snapToGrid/>
                <w:color w:val="000000"/>
                <w:kern w:val="0"/>
                <w:szCs w:val="24"/>
              </w:rPr>
            </w:pPr>
            <w:r w:rsidRPr="00F117C3">
              <w:rPr>
                <w:rFonts w:hAnsi="標楷體" w:cs="新細明體" w:hint="eastAsia"/>
                <w:snapToGrid/>
                <w:color w:val="000000"/>
                <w:kern w:val="0"/>
                <w:szCs w:val="24"/>
              </w:rPr>
              <w:t>100%</w:t>
            </w:r>
          </w:p>
        </w:tc>
      </w:tr>
      <w:tr w:rsidR="001E2537" w:rsidRPr="00F117C3" w:rsidTr="003B46D8">
        <w:trPr>
          <w:cantSplit/>
        </w:trPr>
        <w:tc>
          <w:tcPr>
            <w:tcW w:w="1271" w:type="dxa"/>
            <w:tcBorders>
              <w:top w:val="single" w:sz="6" w:space="0" w:color="auto"/>
              <w:left w:val="single" w:sz="12" w:space="0" w:color="auto"/>
              <w:bottom w:val="single" w:sz="12" w:space="0" w:color="auto"/>
              <w:right w:val="single" w:sz="6" w:space="0" w:color="auto"/>
            </w:tcBorders>
            <w:shd w:val="clear" w:color="auto" w:fill="auto"/>
            <w:vAlign w:val="center"/>
            <w:hideMark/>
          </w:tcPr>
          <w:p w:rsidR="001E2537" w:rsidRPr="000C5D4D" w:rsidRDefault="001E2537" w:rsidP="009A044C">
            <w:pPr>
              <w:pStyle w:val="142"/>
              <w:jc w:val="center"/>
              <w:rPr>
                <w:rFonts w:hAnsi="標楷體" w:cs="新細明體" w:hint="eastAsia"/>
                <w:snapToGrid/>
                <w:color w:val="000000"/>
                <w:kern w:val="0"/>
                <w:sz w:val="22"/>
                <w:szCs w:val="22"/>
              </w:rPr>
            </w:pPr>
            <w:r w:rsidRPr="000C5D4D">
              <w:rPr>
                <w:rFonts w:hAnsi="標楷體" w:cs="新細明體" w:hint="eastAsia"/>
                <w:snapToGrid/>
                <w:color w:val="000000"/>
                <w:kern w:val="0"/>
                <w:sz w:val="22"/>
                <w:szCs w:val="22"/>
              </w:rPr>
              <w:t>平均比率</w:t>
            </w:r>
          </w:p>
        </w:tc>
        <w:tc>
          <w:tcPr>
            <w:tcW w:w="2693" w:type="dxa"/>
            <w:gridSpan w:val="2"/>
            <w:tcBorders>
              <w:top w:val="single" w:sz="6" w:space="0" w:color="auto"/>
              <w:left w:val="single" w:sz="6" w:space="0" w:color="auto"/>
              <w:bottom w:val="single" w:sz="12"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color w:val="000000"/>
                <w:kern w:val="0"/>
                <w:szCs w:val="24"/>
              </w:rPr>
            </w:pPr>
            <w:r w:rsidRPr="00F117C3">
              <w:rPr>
                <w:rFonts w:hAnsi="標楷體" w:cs="新細明體" w:hint="eastAsia"/>
                <w:snapToGrid/>
                <w:color w:val="000000"/>
                <w:kern w:val="0"/>
                <w:szCs w:val="24"/>
              </w:rPr>
              <w:t>97.98%</w:t>
            </w:r>
          </w:p>
        </w:tc>
        <w:tc>
          <w:tcPr>
            <w:tcW w:w="2268" w:type="dxa"/>
            <w:gridSpan w:val="2"/>
            <w:tcBorders>
              <w:top w:val="single" w:sz="6" w:space="0" w:color="auto"/>
              <w:left w:val="single" w:sz="6" w:space="0" w:color="auto"/>
              <w:bottom w:val="single" w:sz="12" w:space="0" w:color="auto"/>
              <w:right w:val="single" w:sz="6"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color w:val="000000"/>
                <w:kern w:val="0"/>
                <w:szCs w:val="24"/>
              </w:rPr>
            </w:pPr>
            <w:r w:rsidRPr="00F117C3">
              <w:rPr>
                <w:rFonts w:hAnsi="標楷體" w:cs="新細明體" w:hint="eastAsia"/>
                <w:snapToGrid/>
                <w:color w:val="000000"/>
                <w:kern w:val="0"/>
                <w:szCs w:val="24"/>
              </w:rPr>
              <w:t>2.02%</w:t>
            </w:r>
          </w:p>
        </w:tc>
        <w:tc>
          <w:tcPr>
            <w:tcW w:w="2268" w:type="dxa"/>
            <w:gridSpan w:val="2"/>
            <w:tcBorders>
              <w:top w:val="single" w:sz="6" w:space="0" w:color="auto"/>
              <w:left w:val="single" w:sz="6" w:space="0" w:color="auto"/>
              <w:bottom w:val="single" w:sz="12" w:space="0" w:color="auto"/>
              <w:right w:val="single" w:sz="12" w:space="0" w:color="auto"/>
            </w:tcBorders>
            <w:shd w:val="clear" w:color="auto" w:fill="auto"/>
            <w:vAlign w:val="center"/>
            <w:hideMark/>
          </w:tcPr>
          <w:p w:rsidR="001E2537" w:rsidRPr="00F117C3" w:rsidRDefault="001E2537" w:rsidP="009A044C">
            <w:pPr>
              <w:pStyle w:val="142"/>
              <w:jc w:val="center"/>
              <w:rPr>
                <w:rFonts w:hAnsi="標楷體" w:cs="新細明體" w:hint="eastAsia"/>
                <w:snapToGrid/>
                <w:color w:val="000000"/>
                <w:kern w:val="0"/>
                <w:szCs w:val="24"/>
              </w:rPr>
            </w:pPr>
            <w:r w:rsidRPr="00F117C3">
              <w:rPr>
                <w:rFonts w:hAnsi="標楷體" w:cs="新細明體" w:hint="eastAsia"/>
                <w:snapToGrid/>
                <w:color w:val="000000"/>
                <w:kern w:val="0"/>
                <w:szCs w:val="24"/>
              </w:rPr>
              <w:t>100.00%</w:t>
            </w:r>
          </w:p>
        </w:tc>
      </w:tr>
    </w:tbl>
    <w:p w:rsidR="001E2537" w:rsidRPr="00CE7D4C" w:rsidRDefault="001E2537" w:rsidP="001E2537">
      <w:pPr>
        <w:adjustRightInd w:val="0"/>
        <w:spacing w:line="300" w:lineRule="exact"/>
        <w:ind w:leftChars="0" w:left="1216" w:hangingChars="500" w:hanging="1216"/>
        <w:rPr>
          <w:sz w:val="24"/>
          <w:szCs w:val="24"/>
        </w:rPr>
      </w:pPr>
      <w:r w:rsidRPr="00CE7D4C">
        <w:rPr>
          <w:rFonts w:hint="eastAsia"/>
          <w:sz w:val="24"/>
          <w:szCs w:val="24"/>
        </w:rPr>
        <w:t xml:space="preserve">說 </w:t>
      </w:r>
      <w:r w:rsidRPr="00CE7D4C">
        <w:rPr>
          <w:sz w:val="24"/>
          <w:szCs w:val="24"/>
        </w:rPr>
        <w:t xml:space="preserve">   </w:t>
      </w:r>
      <w:r w:rsidRPr="00CE7D4C">
        <w:rPr>
          <w:rFonts w:hint="eastAsia"/>
          <w:sz w:val="24"/>
          <w:szCs w:val="24"/>
        </w:rPr>
        <w:t>明：</w:t>
      </w:r>
      <w:r w:rsidR="001C0364" w:rsidRPr="0070097E">
        <w:rPr>
          <w:rFonts w:hint="eastAsia"/>
          <w:sz w:val="24"/>
          <w:szCs w:val="24"/>
        </w:rPr>
        <w:t>本表係統計法官法施行</w:t>
      </w:r>
      <w:r w:rsidR="001C0364">
        <w:rPr>
          <w:rFonts w:hint="eastAsia"/>
          <w:sz w:val="24"/>
          <w:szCs w:val="24"/>
        </w:rPr>
        <w:t>後之</w:t>
      </w:r>
      <w:r w:rsidR="001C0364" w:rsidRPr="0070097E">
        <w:rPr>
          <w:rFonts w:hint="eastAsia"/>
          <w:sz w:val="24"/>
          <w:szCs w:val="24"/>
        </w:rPr>
        <w:t>資料。</w:t>
      </w:r>
      <w:r w:rsidRPr="00507F9A">
        <w:rPr>
          <w:rFonts w:hint="eastAsia"/>
          <w:sz w:val="24"/>
          <w:szCs w:val="24"/>
        </w:rPr>
        <w:t>本表均不含娩假人數</w:t>
      </w:r>
      <w:r>
        <w:rPr>
          <w:rFonts w:hint="eastAsia"/>
          <w:sz w:val="24"/>
          <w:szCs w:val="24"/>
        </w:rPr>
        <w:t>。</w:t>
      </w:r>
    </w:p>
    <w:p w:rsidR="001E2537" w:rsidRDefault="001E2537" w:rsidP="001E2537">
      <w:pPr>
        <w:adjustRightInd w:val="0"/>
        <w:spacing w:line="300" w:lineRule="exact"/>
        <w:ind w:leftChars="0" w:left="973" w:hangingChars="400" w:hanging="973"/>
        <w:rPr>
          <w:snapToGrid/>
          <w:sz w:val="24"/>
        </w:rPr>
      </w:pPr>
      <w:r w:rsidRPr="00CE7D4C">
        <w:rPr>
          <w:rFonts w:hint="eastAsia"/>
          <w:sz w:val="24"/>
          <w:szCs w:val="24"/>
        </w:rPr>
        <w:t>資料來源：司法院提供</w:t>
      </w:r>
      <w:r w:rsidRPr="00CE7D4C">
        <w:rPr>
          <w:rFonts w:hint="eastAsia"/>
          <w:snapToGrid/>
          <w:sz w:val="24"/>
        </w:rPr>
        <w:t>。</w:t>
      </w:r>
    </w:p>
    <w:p w:rsidR="00932ECE" w:rsidRPr="004C543E" w:rsidRDefault="00932ECE" w:rsidP="00932ECE">
      <w:pPr>
        <w:pStyle w:val="a4"/>
        <w:rPr>
          <w:b/>
          <w:color w:val="0070C0"/>
        </w:rPr>
      </w:pPr>
      <w:r>
        <w:rPr>
          <w:rFonts w:hint="eastAsia"/>
          <w:b/>
        </w:rPr>
        <w:t>(三</w:t>
      </w:r>
      <w:r>
        <w:rPr>
          <w:b/>
        </w:rPr>
        <w:t>)</w:t>
      </w:r>
      <w:r w:rsidRPr="00EE410A">
        <w:rPr>
          <w:rFonts w:hint="eastAsia"/>
          <w:b/>
        </w:rPr>
        <w:t>112年度</w:t>
      </w:r>
      <w:r>
        <w:rPr>
          <w:rFonts w:hint="eastAsia"/>
          <w:b/>
        </w:rPr>
        <w:t>法官</w:t>
      </w:r>
      <w:r w:rsidRPr="00EE410A">
        <w:rPr>
          <w:rFonts w:hint="eastAsia"/>
          <w:b/>
        </w:rPr>
        <w:t>連續4年</w:t>
      </w:r>
      <w:r>
        <w:rPr>
          <w:rFonts w:hint="eastAsia"/>
          <w:b/>
        </w:rPr>
        <w:t>職務</w:t>
      </w:r>
      <w:r w:rsidRPr="00EE410A">
        <w:rPr>
          <w:rFonts w:hint="eastAsia"/>
          <w:b/>
        </w:rPr>
        <w:t>評定良好</w:t>
      </w:r>
      <w:r w:rsidR="002344A8">
        <w:rPr>
          <w:rFonts w:hint="eastAsia"/>
          <w:b/>
        </w:rPr>
        <w:t>晉二級</w:t>
      </w:r>
      <w:r w:rsidRPr="00EE410A">
        <w:rPr>
          <w:rFonts w:hint="eastAsia"/>
          <w:b/>
        </w:rPr>
        <w:t>之人數及比率</w:t>
      </w:r>
      <w:r w:rsidR="002479CA">
        <w:rPr>
          <w:rFonts w:hint="eastAsia"/>
          <w:b/>
        </w:rPr>
        <w:t>，</w:t>
      </w:r>
      <w:r w:rsidR="0015065A">
        <w:rPr>
          <w:rFonts w:hint="eastAsia"/>
          <w:b/>
        </w:rPr>
        <w:t>概因已無級可晉而</w:t>
      </w:r>
      <w:r w:rsidR="002479CA">
        <w:rPr>
          <w:rFonts w:hint="eastAsia"/>
          <w:b/>
        </w:rPr>
        <w:t>較1</w:t>
      </w:r>
      <w:r w:rsidR="002479CA">
        <w:rPr>
          <w:b/>
        </w:rPr>
        <w:t>04</w:t>
      </w:r>
      <w:r w:rsidR="002479CA">
        <w:rPr>
          <w:rFonts w:hint="eastAsia"/>
          <w:b/>
        </w:rPr>
        <w:t>及1</w:t>
      </w:r>
      <w:r w:rsidR="002479CA">
        <w:rPr>
          <w:b/>
        </w:rPr>
        <w:t>08</w:t>
      </w:r>
      <w:r w:rsidR="002479CA">
        <w:rPr>
          <w:rFonts w:hint="eastAsia"/>
          <w:b/>
        </w:rPr>
        <w:t>年度大幅</w:t>
      </w:r>
      <w:r w:rsidR="002361EB">
        <w:rPr>
          <w:rFonts w:hint="eastAsia"/>
          <w:b/>
        </w:rPr>
        <w:t>減少</w:t>
      </w:r>
      <w:r w:rsidR="00F62870">
        <w:rPr>
          <w:rFonts w:hint="eastAsia"/>
          <w:b/>
        </w:rPr>
        <w:t>，</w:t>
      </w:r>
      <w:r w:rsidR="003114D7">
        <w:rPr>
          <w:rFonts w:hint="eastAsia"/>
          <w:b/>
        </w:rPr>
        <w:t>允宜適時</w:t>
      </w:r>
      <w:r w:rsidR="003114D7" w:rsidRPr="003114D7">
        <w:rPr>
          <w:rFonts w:hint="eastAsia"/>
          <w:b/>
        </w:rPr>
        <w:t>檢討</w:t>
      </w:r>
      <w:r w:rsidR="003114D7">
        <w:rPr>
          <w:rFonts w:hint="eastAsia"/>
          <w:b/>
        </w:rPr>
        <w:t>並研議修正相關</w:t>
      </w:r>
      <w:r w:rsidR="003114D7" w:rsidRPr="003114D7">
        <w:rPr>
          <w:rFonts w:hint="eastAsia"/>
          <w:b/>
        </w:rPr>
        <w:t>考核</w:t>
      </w:r>
      <w:r w:rsidR="003114D7">
        <w:rPr>
          <w:rFonts w:hint="eastAsia"/>
          <w:b/>
        </w:rPr>
        <w:t>制度，俾發揮應有之激勵功能</w:t>
      </w:r>
    </w:p>
    <w:p w:rsidR="00932ECE" w:rsidRPr="00BA022E" w:rsidRDefault="00932ECE" w:rsidP="00932ECE">
      <w:pPr>
        <w:adjustRightInd w:val="0"/>
        <w:ind w:leftChars="300" w:left="850" w:firstLine="566"/>
        <w:rPr>
          <w:rFonts w:hint="eastAsia"/>
        </w:rPr>
      </w:pPr>
      <w:r>
        <w:rPr>
          <w:rFonts w:hint="eastAsia"/>
        </w:rPr>
        <w:t>法官法第74條第2項規定</w:t>
      </w:r>
      <w:r w:rsidR="0015065A">
        <w:rPr>
          <w:rFonts w:hint="eastAsia"/>
        </w:rPr>
        <w:t>：</w:t>
      </w:r>
      <w:r w:rsidR="0015065A">
        <w:rPr>
          <w:rFonts w:ascii="新細明體" w:eastAsia="新細明體" w:hAnsi="新細明體" w:hint="eastAsia"/>
        </w:rPr>
        <w:t>「</w:t>
      </w:r>
      <w:r>
        <w:rPr>
          <w:rFonts w:hint="eastAsia"/>
        </w:rPr>
        <w:t>法官連續4年職務評定為良好，且未受有刑事處罰、懲戒處分者，除給與獎金外</w:t>
      </w:r>
      <w:r w:rsidR="00D03EDE">
        <w:rPr>
          <w:rFonts w:hint="eastAsia"/>
        </w:rPr>
        <w:t>，</w:t>
      </w:r>
      <w:r>
        <w:rPr>
          <w:rFonts w:hint="eastAsia"/>
        </w:rPr>
        <w:t>晉</w:t>
      </w:r>
      <w:r w:rsidR="002344A8">
        <w:rPr>
          <w:rFonts w:hint="eastAsia"/>
        </w:rPr>
        <w:t>二</w:t>
      </w:r>
      <w:r>
        <w:rPr>
          <w:rFonts w:hint="eastAsia"/>
        </w:rPr>
        <w:t>級</w:t>
      </w:r>
      <w:r w:rsidR="0015065A">
        <w:rPr>
          <w:rFonts w:hint="eastAsia"/>
        </w:rPr>
        <w:t>。</w:t>
      </w:r>
      <w:r w:rsidR="0015065A">
        <w:rPr>
          <w:rFonts w:ascii="新細明體" w:eastAsia="新細明體" w:hAnsi="新細明體" w:hint="eastAsia"/>
        </w:rPr>
        <w:t>」</w:t>
      </w:r>
      <w:r w:rsidR="002344A8">
        <w:rPr>
          <w:rFonts w:hint="eastAsia"/>
        </w:rPr>
        <w:t>以</w:t>
      </w:r>
      <w:r w:rsidR="002344A8" w:rsidRPr="002344A8">
        <w:rPr>
          <w:rFonts w:hint="eastAsia"/>
        </w:rPr>
        <w:t>鼓勵表現良好之法官</w:t>
      </w:r>
      <w:r>
        <w:rPr>
          <w:rFonts w:hint="eastAsia"/>
        </w:rPr>
        <w:t>。是以，法官法於101年7月6日施行後，法官如連續4年(如101、102、103及104年</w:t>
      </w:r>
      <w:r w:rsidR="002479CA">
        <w:rPr>
          <w:rFonts w:hint="eastAsia"/>
        </w:rPr>
        <w:t>度</w:t>
      </w:r>
      <w:r>
        <w:rPr>
          <w:rFonts w:hint="eastAsia"/>
        </w:rPr>
        <w:t>)參加年終評定並評定為良好，且未受有刑事處罰、懲戒處分者，自104年度年終評定起，即有</w:t>
      </w:r>
      <w:r w:rsidR="002344A8">
        <w:rPr>
          <w:rFonts w:hint="eastAsia"/>
        </w:rPr>
        <w:t>晉二級</w:t>
      </w:r>
      <w:r>
        <w:rPr>
          <w:rFonts w:hint="eastAsia"/>
        </w:rPr>
        <w:t>之情形。次查法官法施行迄今，104至1</w:t>
      </w:r>
      <w:r>
        <w:t>12</w:t>
      </w:r>
      <w:r>
        <w:rPr>
          <w:rFonts w:hint="eastAsia"/>
        </w:rPr>
        <w:t>年度連續4年年終評定良好晉</w:t>
      </w:r>
      <w:r w:rsidR="002344A8">
        <w:rPr>
          <w:rFonts w:hint="eastAsia"/>
        </w:rPr>
        <w:t>二</w:t>
      </w:r>
      <w:r>
        <w:rPr>
          <w:rFonts w:hint="eastAsia"/>
        </w:rPr>
        <w:t>級之情形，其中104、108及1</w:t>
      </w:r>
      <w:r>
        <w:t>12</w:t>
      </w:r>
      <w:r>
        <w:rPr>
          <w:rFonts w:hint="eastAsia"/>
        </w:rPr>
        <w:t>年度</w:t>
      </w:r>
      <w:r w:rsidRPr="0082504A">
        <w:rPr>
          <w:rFonts w:hint="eastAsia"/>
        </w:rPr>
        <w:t>晉二級</w:t>
      </w:r>
      <w:r>
        <w:rPr>
          <w:rFonts w:hint="eastAsia"/>
        </w:rPr>
        <w:t>之人數及比率，較其餘年度為高，惟11</w:t>
      </w:r>
      <w:r>
        <w:t>2</w:t>
      </w:r>
      <w:r>
        <w:rPr>
          <w:rFonts w:hint="eastAsia"/>
        </w:rPr>
        <w:t>年度</w:t>
      </w:r>
      <w:r w:rsidR="002344A8">
        <w:rPr>
          <w:rFonts w:hint="eastAsia"/>
        </w:rPr>
        <w:t>晉二級</w:t>
      </w:r>
      <w:r>
        <w:rPr>
          <w:rFonts w:hint="eastAsia"/>
        </w:rPr>
        <w:t>之人數為</w:t>
      </w:r>
      <w:r w:rsidRPr="00EF61A0">
        <w:t>555</w:t>
      </w:r>
      <w:r>
        <w:rPr>
          <w:rFonts w:hint="eastAsia"/>
        </w:rPr>
        <w:t>人，占</w:t>
      </w:r>
      <w:r w:rsidRPr="00EF61A0">
        <w:rPr>
          <w:rFonts w:hint="eastAsia"/>
        </w:rPr>
        <w:t>評定總人數</w:t>
      </w:r>
      <w:r>
        <w:rPr>
          <w:rFonts w:hint="eastAsia"/>
        </w:rPr>
        <w:t>之</w:t>
      </w:r>
      <w:r w:rsidRPr="00EF61A0">
        <w:t>26.98</w:t>
      </w:r>
      <w:r w:rsidRPr="000F38B5">
        <w:t>%</w:t>
      </w:r>
      <w:r>
        <w:rPr>
          <w:rFonts w:hint="eastAsia"/>
        </w:rPr>
        <w:t>，較1</w:t>
      </w:r>
      <w:r>
        <w:t>04</w:t>
      </w:r>
      <w:r>
        <w:rPr>
          <w:rFonts w:hint="eastAsia"/>
        </w:rPr>
        <w:t>年度、1</w:t>
      </w:r>
      <w:r>
        <w:t>08</w:t>
      </w:r>
      <w:r>
        <w:rPr>
          <w:rFonts w:hint="eastAsia"/>
        </w:rPr>
        <w:t>年度</w:t>
      </w:r>
      <w:r w:rsidR="002344A8">
        <w:rPr>
          <w:rFonts w:hint="eastAsia"/>
        </w:rPr>
        <w:t>晉二級</w:t>
      </w:r>
      <w:r>
        <w:rPr>
          <w:rFonts w:hint="eastAsia"/>
        </w:rPr>
        <w:t>人數及比率，分別減少5</w:t>
      </w:r>
      <w:r>
        <w:t>81</w:t>
      </w:r>
      <w:r>
        <w:rPr>
          <w:rFonts w:hint="eastAsia"/>
        </w:rPr>
        <w:t>人(或減</w:t>
      </w:r>
      <w:r w:rsidRPr="00313B6B">
        <w:rPr>
          <w:rFonts w:hint="eastAsia"/>
        </w:rPr>
        <w:t>3</w:t>
      </w:r>
      <w:r>
        <w:t>0</w:t>
      </w:r>
      <w:r w:rsidR="003B46D8">
        <w:t>.08</w:t>
      </w:r>
      <w:r w:rsidRPr="00313B6B">
        <w:rPr>
          <w:rFonts w:hint="eastAsia"/>
        </w:rPr>
        <w:t>個百分點</w:t>
      </w:r>
      <w:r>
        <w:t>)</w:t>
      </w:r>
      <w:r>
        <w:rPr>
          <w:rFonts w:hint="eastAsia"/>
        </w:rPr>
        <w:t>及3</w:t>
      </w:r>
      <w:r>
        <w:t>06</w:t>
      </w:r>
      <w:r>
        <w:rPr>
          <w:rFonts w:hint="eastAsia"/>
        </w:rPr>
        <w:t>人(或減</w:t>
      </w:r>
      <w:r>
        <w:t>15.50</w:t>
      </w:r>
      <w:r w:rsidRPr="00313B6B">
        <w:rPr>
          <w:rFonts w:hint="eastAsia"/>
        </w:rPr>
        <w:t>個百分點</w:t>
      </w:r>
      <w:r>
        <w:t>)(</w:t>
      </w:r>
      <w:r>
        <w:rPr>
          <w:rFonts w:hint="eastAsia"/>
        </w:rPr>
        <w:t>詳表</w:t>
      </w:r>
      <w:r w:rsidR="00ED49C3">
        <w:rPr>
          <w:rFonts w:hint="eastAsia"/>
        </w:rPr>
        <w:t>3</w:t>
      </w:r>
      <w:r>
        <w:t>)</w:t>
      </w:r>
      <w:r>
        <w:rPr>
          <w:rFonts w:hint="eastAsia"/>
        </w:rPr>
        <w:t>，概呈下降趨勢；詢據司法院表示，</w:t>
      </w:r>
      <w:r w:rsidRPr="00BA022E">
        <w:rPr>
          <w:rFonts w:hint="eastAsia"/>
        </w:rPr>
        <w:t>主要係每年法官職務評定良好比率雖逾9成7，然因多數法官已晉</w:t>
      </w:r>
      <w:r w:rsidR="001C0364">
        <w:rPr>
          <w:rFonts w:hint="eastAsia"/>
        </w:rPr>
        <w:t>敘</w:t>
      </w:r>
      <w:r w:rsidRPr="00BA022E">
        <w:rPr>
          <w:rFonts w:hint="eastAsia"/>
        </w:rPr>
        <w:t>至法官俸表最高俸級</w:t>
      </w:r>
      <w:r w:rsidR="001C0364">
        <w:rPr>
          <w:rFonts w:hint="eastAsia"/>
        </w:rPr>
        <w:t>(</w:t>
      </w:r>
      <w:r w:rsidRPr="00163EC1">
        <w:rPr>
          <w:rFonts w:hint="eastAsia"/>
        </w:rPr>
        <w:t>本俸一級800俸點</w:t>
      </w:r>
      <w:r w:rsidR="001C0364">
        <w:rPr>
          <w:rFonts w:hint="eastAsia"/>
        </w:rPr>
        <w:t>)</w:t>
      </w:r>
      <w:r w:rsidRPr="00BA022E">
        <w:rPr>
          <w:rFonts w:hint="eastAsia"/>
        </w:rPr>
        <w:t>，日後</w:t>
      </w:r>
      <w:r w:rsidR="002344A8">
        <w:rPr>
          <w:rFonts w:hint="eastAsia"/>
        </w:rPr>
        <w:t>已</w:t>
      </w:r>
      <w:r w:rsidRPr="00BA022E">
        <w:rPr>
          <w:rFonts w:hint="eastAsia"/>
        </w:rPr>
        <w:t>無級可晉，自無從產生獎勵表現良好法官之效果，</w:t>
      </w:r>
      <w:r w:rsidR="0015065A">
        <w:rPr>
          <w:rFonts w:hint="eastAsia"/>
        </w:rPr>
        <w:t>爰恐</w:t>
      </w:r>
      <w:r>
        <w:rPr>
          <w:rFonts w:hint="eastAsia"/>
        </w:rPr>
        <w:t>無法有效發揮</w:t>
      </w:r>
      <w:r w:rsidRPr="00BA022E">
        <w:rPr>
          <w:rFonts w:hint="eastAsia"/>
        </w:rPr>
        <w:t>職務評定之激勵功能</w:t>
      </w:r>
      <w:r>
        <w:rPr>
          <w:rStyle w:val="af3"/>
        </w:rPr>
        <w:footnoteReference w:id="5"/>
      </w:r>
      <w:r w:rsidRPr="00BA022E">
        <w:rPr>
          <w:rFonts w:hint="eastAsia"/>
        </w:rPr>
        <w:t>。</w:t>
      </w:r>
    </w:p>
    <w:p w:rsidR="001E2537" w:rsidRPr="00CE7D4C" w:rsidRDefault="001E2537" w:rsidP="001E2537">
      <w:pPr>
        <w:adjustRightInd w:val="0"/>
        <w:spacing w:line="400" w:lineRule="exact"/>
        <w:ind w:leftChars="0" w:left="709" w:hangingChars="250" w:hanging="709"/>
        <w:rPr>
          <w:rFonts w:hAnsi="標楷體" w:cs="新細明體"/>
          <w:snapToGrid/>
          <w:kern w:val="0"/>
          <w:sz w:val="24"/>
          <w:szCs w:val="24"/>
        </w:rPr>
      </w:pPr>
      <w:r w:rsidRPr="00CE7D4C">
        <w:rPr>
          <w:rFonts w:ascii="Times New Roman" w:hint="eastAsia"/>
          <w:b/>
          <w:smallCaps/>
          <w:snapToGrid/>
        </w:rPr>
        <w:t>表</w:t>
      </w:r>
      <w:r>
        <w:rPr>
          <w:rFonts w:hAnsi="標楷體"/>
          <w:b/>
          <w:smallCaps/>
          <w:snapToGrid/>
        </w:rPr>
        <w:t>3</w:t>
      </w:r>
      <w:r w:rsidRPr="00CE7D4C">
        <w:rPr>
          <w:rFonts w:hAnsi="標楷體"/>
          <w:b/>
          <w:smallCaps/>
          <w:snapToGrid/>
        </w:rPr>
        <w:t xml:space="preserve">  </w:t>
      </w:r>
      <w:r w:rsidRPr="00CE7D4C">
        <w:rPr>
          <w:rFonts w:hAnsi="標楷體" w:hint="eastAsia"/>
          <w:b/>
          <w:smallCaps/>
          <w:snapToGrid/>
        </w:rPr>
        <w:t>司法</w:t>
      </w:r>
      <w:r w:rsidRPr="00CE7D4C">
        <w:rPr>
          <w:rFonts w:ascii="Times New Roman" w:hint="eastAsia"/>
          <w:b/>
          <w:smallCaps/>
          <w:snapToGrid/>
        </w:rPr>
        <w:t>院</w:t>
      </w:r>
      <w:r>
        <w:rPr>
          <w:rFonts w:ascii="Times New Roman" w:hint="eastAsia"/>
          <w:b/>
          <w:smallCaps/>
          <w:snapToGrid/>
        </w:rPr>
        <w:t>主管</w:t>
      </w:r>
      <w:r w:rsidRPr="00E1280A">
        <w:rPr>
          <w:rFonts w:hAnsi="標楷體" w:hint="eastAsia"/>
          <w:b/>
          <w:smallCaps/>
          <w:snapToGrid/>
        </w:rPr>
        <w:t>104至112年度法官連續4年職務評定良好</w:t>
      </w:r>
      <w:r>
        <w:rPr>
          <w:rFonts w:hAnsi="標楷體" w:hint="eastAsia"/>
          <w:b/>
          <w:smallCaps/>
          <w:snapToGrid/>
        </w:rPr>
        <w:t>晉二級</w:t>
      </w:r>
      <w:r w:rsidRPr="00E1280A">
        <w:rPr>
          <w:rFonts w:hAnsi="標楷體" w:hint="eastAsia"/>
          <w:b/>
          <w:smallCaps/>
          <w:snapToGrid/>
        </w:rPr>
        <w:t>情形一覽表</w:t>
      </w:r>
      <w:r>
        <w:rPr>
          <w:rFonts w:hAnsi="標楷體" w:hint="eastAsia"/>
          <w:b/>
          <w:smallCaps/>
          <w:snapToGrid/>
        </w:rPr>
        <w:t xml:space="preserve"> </w:t>
      </w:r>
      <w:r>
        <w:rPr>
          <w:rFonts w:hAnsi="標楷體"/>
          <w:b/>
          <w:smallCaps/>
          <w:snapToGrid/>
        </w:rPr>
        <w:t xml:space="preserve">                                          </w:t>
      </w:r>
      <w:r w:rsidR="00E324D2">
        <w:rPr>
          <w:rFonts w:hAnsi="標楷體"/>
          <w:b/>
          <w:smallCaps/>
          <w:snapToGrid/>
        </w:rPr>
        <w:t xml:space="preserve">  </w:t>
      </w:r>
      <w:r w:rsidRPr="00CE7D4C">
        <w:rPr>
          <w:rFonts w:hAnsi="標楷體" w:cs="新細明體" w:hint="eastAsia"/>
          <w:snapToGrid/>
          <w:kern w:val="0"/>
          <w:sz w:val="24"/>
          <w:szCs w:val="24"/>
        </w:rPr>
        <w:t>單位：人</w:t>
      </w:r>
      <w:r>
        <w:rPr>
          <w:rFonts w:hAnsi="標楷體" w:cs="新細明體" w:hint="eastAsia"/>
          <w:snapToGrid/>
          <w:kern w:val="0"/>
          <w:sz w:val="24"/>
          <w:szCs w:val="24"/>
        </w:rPr>
        <w:t>；%</w:t>
      </w:r>
    </w:p>
    <w:tbl>
      <w:tblPr>
        <w:tblW w:w="0" w:type="auto"/>
        <w:tblInd w:w="33" w:type="dxa"/>
        <w:tblCellMar>
          <w:left w:w="28" w:type="dxa"/>
          <w:right w:w="28" w:type="dxa"/>
        </w:tblCellMar>
        <w:tblLook w:val="04A0" w:firstRow="1" w:lastRow="0" w:firstColumn="1" w:lastColumn="0" w:noHBand="0" w:noVBand="1"/>
      </w:tblPr>
      <w:tblGrid>
        <w:gridCol w:w="1696"/>
        <w:gridCol w:w="2268"/>
        <w:gridCol w:w="2268"/>
        <w:gridCol w:w="2268"/>
      </w:tblGrid>
      <w:tr w:rsidR="001E2537" w:rsidRPr="00BD7624" w:rsidTr="009A044C">
        <w:tc>
          <w:tcPr>
            <w:tcW w:w="1696" w:type="dxa"/>
            <w:tcBorders>
              <w:top w:val="single" w:sz="12" w:space="0" w:color="auto"/>
              <w:left w:val="single" w:sz="12" w:space="0" w:color="auto"/>
              <w:bottom w:val="single" w:sz="6" w:space="0" w:color="auto"/>
              <w:right w:val="single" w:sz="6" w:space="0" w:color="auto"/>
              <w:tl2br w:val="single" w:sz="4" w:space="0" w:color="auto"/>
            </w:tcBorders>
            <w:shd w:val="clear" w:color="auto" w:fill="auto"/>
            <w:hideMark/>
          </w:tcPr>
          <w:p w:rsidR="001E2537" w:rsidRPr="00BD7624" w:rsidRDefault="001E2537" w:rsidP="009A044C">
            <w:pPr>
              <w:pStyle w:val="142"/>
              <w:spacing w:line="240" w:lineRule="exact"/>
              <w:jc w:val="right"/>
              <w:rPr>
                <w:b/>
                <w:snapToGrid/>
                <w:sz w:val="22"/>
                <w:szCs w:val="22"/>
              </w:rPr>
            </w:pPr>
            <w:r w:rsidRPr="00BD7624">
              <w:rPr>
                <w:rFonts w:hint="eastAsia"/>
                <w:b/>
                <w:snapToGrid/>
                <w:sz w:val="22"/>
                <w:szCs w:val="22"/>
              </w:rPr>
              <w:t>項目</w:t>
            </w:r>
          </w:p>
          <w:p w:rsidR="001E2537" w:rsidRPr="00BD7624" w:rsidRDefault="001E2537" w:rsidP="009A044C">
            <w:pPr>
              <w:pStyle w:val="142"/>
              <w:spacing w:line="240" w:lineRule="exact"/>
              <w:rPr>
                <w:b/>
                <w:snapToGrid/>
                <w:sz w:val="22"/>
                <w:szCs w:val="22"/>
              </w:rPr>
            </w:pPr>
          </w:p>
          <w:p w:rsidR="001E2537" w:rsidRPr="00BD7624" w:rsidRDefault="001E2537" w:rsidP="009A044C">
            <w:pPr>
              <w:pStyle w:val="142"/>
              <w:spacing w:line="240" w:lineRule="exact"/>
              <w:rPr>
                <w:b/>
                <w:snapToGrid/>
              </w:rPr>
            </w:pPr>
            <w:r w:rsidRPr="00BD7624">
              <w:rPr>
                <w:rFonts w:hint="eastAsia"/>
                <w:b/>
                <w:snapToGrid/>
                <w:sz w:val="22"/>
                <w:szCs w:val="22"/>
              </w:rPr>
              <w:t>年度</w:t>
            </w:r>
          </w:p>
        </w:tc>
        <w:tc>
          <w:tcPr>
            <w:tcW w:w="2268"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1E2537" w:rsidRPr="00BD7624" w:rsidRDefault="001E2537" w:rsidP="009A044C">
            <w:pPr>
              <w:pStyle w:val="142"/>
              <w:spacing w:line="240" w:lineRule="exact"/>
              <w:jc w:val="center"/>
              <w:rPr>
                <w:b/>
                <w:snapToGrid/>
              </w:rPr>
            </w:pPr>
            <w:r w:rsidRPr="00BD7624">
              <w:rPr>
                <w:rFonts w:hint="eastAsia"/>
                <w:b/>
                <w:snapToGrid/>
              </w:rPr>
              <w:t xml:space="preserve">評 </w:t>
            </w:r>
            <w:r w:rsidRPr="00BD7624">
              <w:rPr>
                <w:b/>
                <w:snapToGrid/>
              </w:rPr>
              <w:t xml:space="preserve"> </w:t>
            </w:r>
            <w:r w:rsidRPr="00BD7624">
              <w:rPr>
                <w:rFonts w:hint="eastAsia"/>
                <w:b/>
                <w:snapToGrid/>
              </w:rPr>
              <w:t>定</w:t>
            </w:r>
          </w:p>
          <w:p w:rsidR="001E2537" w:rsidRPr="00BD7624" w:rsidRDefault="001E2537" w:rsidP="009A044C">
            <w:pPr>
              <w:pStyle w:val="142"/>
              <w:spacing w:line="240" w:lineRule="exact"/>
              <w:jc w:val="center"/>
              <w:rPr>
                <w:b/>
                <w:snapToGrid/>
              </w:rPr>
            </w:pPr>
            <w:r w:rsidRPr="00BD7624">
              <w:rPr>
                <w:rFonts w:hint="eastAsia"/>
                <w:b/>
                <w:snapToGrid/>
              </w:rPr>
              <w:t>總人數</w:t>
            </w:r>
          </w:p>
          <w:p w:rsidR="001E2537" w:rsidRPr="001C0364" w:rsidRDefault="001E2537" w:rsidP="009A044C">
            <w:pPr>
              <w:pStyle w:val="142"/>
              <w:spacing w:line="240" w:lineRule="exact"/>
              <w:jc w:val="center"/>
              <w:rPr>
                <w:rFonts w:hint="eastAsia"/>
                <w:b/>
                <w:snapToGrid/>
                <w:sz w:val="22"/>
                <w:szCs w:val="22"/>
              </w:rPr>
            </w:pPr>
            <w:r w:rsidRPr="001C0364">
              <w:rPr>
                <w:rFonts w:hint="eastAsia"/>
                <w:b/>
                <w:snapToGrid/>
                <w:sz w:val="22"/>
                <w:szCs w:val="22"/>
              </w:rPr>
              <w:t>A</w:t>
            </w:r>
          </w:p>
        </w:tc>
        <w:tc>
          <w:tcPr>
            <w:tcW w:w="2268"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1E2537" w:rsidRPr="00BD7624" w:rsidRDefault="001E2537" w:rsidP="009A044C">
            <w:pPr>
              <w:pStyle w:val="142"/>
              <w:spacing w:line="240" w:lineRule="exact"/>
              <w:jc w:val="center"/>
              <w:rPr>
                <w:b/>
                <w:snapToGrid/>
              </w:rPr>
            </w:pPr>
            <w:r>
              <w:rPr>
                <w:rFonts w:hint="eastAsia"/>
                <w:b/>
                <w:snapToGrid/>
              </w:rPr>
              <w:t>晉二級</w:t>
            </w:r>
          </w:p>
          <w:p w:rsidR="001E2537" w:rsidRPr="00BD7624" w:rsidRDefault="001E2537" w:rsidP="009A044C">
            <w:pPr>
              <w:pStyle w:val="142"/>
              <w:spacing w:line="240" w:lineRule="exact"/>
              <w:jc w:val="center"/>
              <w:rPr>
                <w:b/>
                <w:snapToGrid/>
              </w:rPr>
            </w:pPr>
            <w:r w:rsidRPr="00BD7624">
              <w:rPr>
                <w:rFonts w:hint="eastAsia"/>
                <w:b/>
                <w:snapToGrid/>
              </w:rPr>
              <w:t xml:space="preserve">人 </w:t>
            </w:r>
            <w:r w:rsidRPr="00BD7624">
              <w:rPr>
                <w:b/>
                <w:snapToGrid/>
              </w:rPr>
              <w:t xml:space="preserve"> </w:t>
            </w:r>
            <w:r w:rsidRPr="00BD7624">
              <w:rPr>
                <w:rFonts w:hint="eastAsia"/>
                <w:b/>
                <w:snapToGrid/>
              </w:rPr>
              <w:t>數</w:t>
            </w:r>
          </w:p>
          <w:p w:rsidR="001E2537" w:rsidRPr="001C0364" w:rsidRDefault="001E2537" w:rsidP="009A044C">
            <w:pPr>
              <w:pStyle w:val="142"/>
              <w:spacing w:line="240" w:lineRule="exact"/>
              <w:jc w:val="center"/>
              <w:rPr>
                <w:rFonts w:hint="eastAsia"/>
                <w:b/>
                <w:snapToGrid/>
                <w:sz w:val="22"/>
                <w:szCs w:val="22"/>
              </w:rPr>
            </w:pPr>
            <w:r w:rsidRPr="001C0364">
              <w:rPr>
                <w:rFonts w:hint="eastAsia"/>
                <w:b/>
                <w:snapToGrid/>
                <w:sz w:val="22"/>
                <w:szCs w:val="22"/>
              </w:rPr>
              <w:t>B</w:t>
            </w:r>
          </w:p>
        </w:tc>
        <w:tc>
          <w:tcPr>
            <w:tcW w:w="2268"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1E2537" w:rsidRPr="00BD7624" w:rsidRDefault="001E2537" w:rsidP="009A044C">
            <w:pPr>
              <w:pStyle w:val="142"/>
              <w:spacing w:line="240" w:lineRule="exact"/>
              <w:jc w:val="center"/>
              <w:rPr>
                <w:b/>
                <w:snapToGrid/>
              </w:rPr>
            </w:pPr>
            <w:r w:rsidRPr="00BD7624">
              <w:rPr>
                <w:rFonts w:hint="eastAsia"/>
                <w:b/>
                <w:snapToGrid/>
              </w:rPr>
              <w:t>比率</w:t>
            </w:r>
          </w:p>
          <w:p w:rsidR="001E2537" w:rsidRPr="00BD7624" w:rsidRDefault="001E2537" w:rsidP="009A044C">
            <w:pPr>
              <w:pStyle w:val="142"/>
              <w:spacing w:line="240" w:lineRule="exact"/>
              <w:jc w:val="center"/>
              <w:rPr>
                <w:b/>
                <w:snapToGrid/>
              </w:rPr>
            </w:pPr>
            <w:r>
              <w:rPr>
                <w:b/>
                <w:snapToGrid/>
              </w:rPr>
              <w:t>(</w:t>
            </w:r>
            <w:r w:rsidRPr="00BD7624">
              <w:rPr>
                <w:rFonts w:hint="eastAsia"/>
                <w:b/>
                <w:snapToGrid/>
              </w:rPr>
              <w:t>%</w:t>
            </w:r>
            <w:r>
              <w:rPr>
                <w:rFonts w:hint="eastAsia"/>
                <w:b/>
                <w:snapToGrid/>
              </w:rPr>
              <w:t>)</w:t>
            </w:r>
          </w:p>
          <w:p w:rsidR="001E2537" w:rsidRPr="001C0364" w:rsidRDefault="001E2537" w:rsidP="009A044C">
            <w:pPr>
              <w:pStyle w:val="142"/>
              <w:spacing w:line="240" w:lineRule="exact"/>
              <w:jc w:val="center"/>
              <w:rPr>
                <w:rFonts w:hint="eastAsia"/>
                <w:b/>
                <w:snapToGrid/>
                <w:sz w:val="22"/>
                <w:szCs w:val="22"/>
              </w:rPr>
            </w:pPr>
            <w:r w:rsidRPr="001C0364">
              <w:rPr>
                <w:rFonts w:hint="eastAsia"/>
                <w:b/>
                <w:snapToGrid/>
                <w:sz w:val="22"/>
                <w:szCs w:val="22"/>
              </w:rPr>
              <w:t>C</w:t>
            </w:r>
            <w:r w:rsidRPr="001C0364">
              <w:rPr>
                <w:b/>
                <w:snapToGrid/>
                <w:sz w:val="22"/>
                <w:szCs w:val="22"/>
              </w:rPr>
              <w:t>=B/A</w:t>
            </w:r>
          </w:p>
        </w:tc>
      </w:tr>
      <w:tr w:rsidR="001E2537" w:rsidRPr="00D312F7" w:rsidTr="009A044C">
        <w:tc>
          <w:tcPr>
            <w:tcW w:w="1696" w:type="dxa"/>
            <w:tcBorders>
              <w:top w:val="single" w:sz="6" w:space="0" w:color="auto"/>
              <w:left w:val="single" w:sz="12" w:space="0" w:color="auto"/>
              <w:bottom w:val="single" w:sz="6" w:space="0" w:color="auto"/>
              <w:right w:val="single" w:sz="6" w:space="0" w:color="auto"/>
            </w:tcBorders>
            <w:shd w:val="clear" w:color="auto" w:fill="auto"/>
            <w:hideMark/>
          </w:tcPr>
          <w:p w:rsidR="001E2537" w:rsidRPr="00B84581" w:rsidRDefault="001E2537" w:rsidP="009A044C">
            <w:pPr>
              <w:pStyle w:val="142"/>
              <w:jc w:val="center"/>
              <w:rPr>
                <w:rFonts w:hint="eastAsia"/>
                <w:b/>
                <w:snapToGrid/>
              </w:rPr>
            </w:pPr>
            <w:r w:rsidRPr="00B84581">
              <w:rPr>
                <w:rFonts w:hint="eastAsia"/>
                <w:b/>
                <w:snapToGrid/>
              </w:rPr>
              <w:t>104</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B84581" w:rsidRDefault="001E2537" w:rsidP="009A044C">
            <w:pPr>
              <w:pStyle w:val="142"/>
              <w:ind w:left="560" w:firstLine="561"/>
              <w:jc w:val="right"/>
              <w:rPr>
                <w:rFonts w:hint="eastAsia"/>
                <w:b/>
                <w:snapToGrid/>
              </w:rPr>
            </w:pPr>
            <w:r w:rsidRPr="00B84581">
              <w:rPr>
                <w:rFonts w:hint="eastAsia"/>
                <w:b/>
                <w:snapToGrid/>
              </w:rPr>
              <w:t>1,991</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B84581" w:rsidRDefault="001E2537" w:rsidP="009A044C">
            <w:pPr>
              <w:pStyle w:val="142"/>
              <w:ind w:left="560" w:firstLine="561"/>
              <w:jc w:val="right"/>
              <w:rPr>
                <w:rFonts w:hint="eastAsia"/>
                <w:b/>
                <w:snapToGrid/>
              </w:rPr>
            </w:pPr>
            <w:r w:rsidRPr="00B84581">
              <w:rPr>
                <w:rFonts w:hint="eastAsia"/>
                <w:b/>
                <w:snapToGrid/>
              </w:rPr>
              <w:t>1,136</w:t>
            </w:r>
          </w:p>
        </w:tc>
        <w:tc>
          <w:tcPr>
            <w:tcW w:w="226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B84581" w:rsidRDefault="001E2537" w:rsidP="009A044C">
            <w:pPr>
              <w:pStyle w:val="142"/>
              <w:ind w:left="560" w:firstLine="561"/>
              <w:jc w:val="right"/>
              <w:rPr>
                <w:rFonts w:hint="eastAsia"/>
                <w:b/>
                <w:snapToGrid/>
              </w:rPr>
            </w:pPr>
            <w:r w:rsidRPr="00B84581">
              <w:rPr>
                <w:rFonts w:hint="eastAsia"/>
                <w:b/>
                <w:snapToGrid/>
              </w:rPr>
              <w:t>57.06%</w:t>
            </w:r>
          </w:p>
        </w:tc>
      </w:tr>
      <w:tr w:rsidR="001E2537" w:rsidRPr="00D312F7" w:rsidTr="009A044C">
        <w:tc>
          <w:tcPr>
            <w:tcW w:w="1696" w:type="dxa"/>
            <w:tcBorders>
              <w:top w:val="single" w:sz="6" w:space="0" w:color="auto"/>
              <w:left w:val="single" w:sz="12" w:space="0" w:color="auto"/>
              <w:bottom w:val="single" w:sz="6" w:space="0" w:color="auto"/>
              <w:right w:val="single" w:sz="6" w:space="0" w:color="auto"/>
            </w:tcBorders>
            <w:shd w:val="clear" w:color="auto" w:fill="auto"/>
            <w:hideMark/>
          </w:tcPr>
          <w:p w:rsidR="001E2537" w:rsidRPr="00D312F7" w:rsidRDefault="001E2537" w:rsidP="009A044C">
            <w:pPr>
              <w:pStyle w:val="142"/>
              <w:jc w:val="center"/>
              <w:rPr>
                <w:rFonts w:hint="eastAsia"/>
                <w:snapToGrid/>
              </w:rPr>
            </w:pPr>
            <w:r w:rsidRPr="00D312F7">
              <w:rPr>
                <w:rFonts w:hint="eastAsia"/>
                <w:snapToGrid/>
              </w:rPr>
              <w:t>105</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ind w:left="560" w:firstLine="560"/>
              <w:jc w:val="right"/>
              <w:rPr>
                <w:rFonts w:hint="eastAsia"/>
                <w:snapToGrid/>
              </w:rPr>
            </w:pPr>
            <w:r w:rsidRPr="00D312F7">
              <w:rPr>
                <w:rFonts w:hint="eastAsia"/>
                <w:snapToGrid/>
              </w:rPr>
              <w:t>1,973</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ind w:left="560" w:firstLine="560"/>
              <w:jc w:val="right"/>
              <w:rPr>
                <w:rFonts w:hint="eastAsia"/>
                <w:snapToGrid/>
              </w:rPr>
            </w:pPr>
            <w:r w:rsidRPr="00D312F7">
              <w:rPr>
                <w:rFonts w:hint="eastAsia"/>
                <w:snapToGrid/>
              </w:rPr>
              <w:t>134</w:t>
            </w:r>
          </w:p>
        </w:tc>
        <w:tc>
          <w:tcPr>
            <w:tcW w:w="226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D312F7" w:rsidRDefault="001E2537" w:rsidP="009A044C">
            <w:pPr>
              <w:pStyle w:val="142"/>
              <w:ind w:left="560" w:firstLine="560"/>
              <w:jc w:val="right"/>
              <w:rPr>
                <w:rFonts w:hint="eastAsia"/>
                <w:snapToGrid/>
              </w:rPr>
            </w:pPr>
            <w:r w:rsidRPr="00D312F7">
              <w:rPr>
                <w:rFonts w:hint="eastAsia"/>
                <w:snapToGrid/>
              </w:rPr>
              <w:t>6.79%</w:t>
            </w:r>
          </w:p>
        </w:tc>
      </w:tr>
      <w:tr w:rsidR="001E2537" w:rsidRPr="00D312F7" w:rsidTr="009A044C">
        <w:tc>
          <w:tcPr>
            <w:tcW w:w="1696" w:type="dxa"/>
            <w:tcBorders>
              <w:top w:val="single" w:sz="6" w:space="0" w:color="auto"/>
              <w:left w:val="single" w:sz="12" w:space="0" w:color="auto"/>
              <w:bottom w:val="single" w:sz="6" w:space="0" w:color="auto"/>
              <w:right w:val="single" w:sz="6" w:space="0" w:color="auto"/>
            </w:tcBorders>
            <w:shd w:val="clear" w:color="auto" w:fill="auto"/>
            <w:hideMark/>
          </w:tcPr>
          <w:p w:rsidR="001E2537" w:rsidRPr="00D312F7" w:rsidRDefault="001E2537" w:rsidP="009A044C">
            <w:pPr>
              <w:pStyle w:val="142"/>
              <w:jc w:val="center"/>
              <w:rPr>
                <w:rFonts w:hint="eastAsia"/>
                <w:snapToGrid/>
              </w:rPr>
            </w:pPr>
            <w:r w:rsidRPr="00D312F7">
              <w:rPr>
                <w:rFonts w:hint="eastAsia"/>
                <w:snapToGrid/>
              </w:rPr>
              <w:t>106</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1,998</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92</w:t>
            </w:r>
          </w:p>
        </w:tc>
        <w:tc>
          <w:tcPr>
            <w:tcW w:w="226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4.60%</w:t>
            </w:r>
          </w:p>
        </w:tc>
      </w:tr>
      <w:tr w:rsidR="001E2537" w:rsidRPr="00D312F7" w:rsidTr="009A044C">
        <w:tc>
          <w:tcPr>
            <w:tcW w:w="1696" w:type="dxa"/>
            <w:tcBorders>
              <w:top w:val="single" w:sz="6" w:space="0" w:color="auto"/>
              <w:left w:val="single" w:sz="12" w:space="0" w:color="auto"/>
              <w:bottom w:val="single" w:sz="6" w:space="0" w:color="auto"/>
              <w:right w:val="single" w:sz="6" w:space="0" w:color="auto"/>
            </w:tcBorders>
            <w:shd w:val="clear" w:color="auto" w:fill="auto"/>
            <w:hideMark/>
          </w:tcPr>
          <w:p w:rsidR="001E2537" w:rsidRPr="00D312F7" w:rsidRDefault="001E2537" w:rsidP="009A044C">
            <w:pPr>
              <w:pStyle w:val="142"/>
              <w:jc w:val="center"/>
              <w:rPr>
                <w:rFonts w:hint="eastAsia"/>
                <w:snapToGrid/>
              </w:rPr>
            </w:pPr>
            <w:r w:rsidRPr="00D312F7">
              <w:rPr>
                <w:rFonts w:hint="eastAsia"/>
                <w:snapToGrid/>
              </w:rPr>
              <w:t>107</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2,005</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85</w:t>
            </w:r>
          </w:p>
        </w:tc>
        <w:tc>
          <w:tcPr>
            <w:tcW w:w="226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4.24%</w:t>
            </w:r>
          </w:p>
        </w:tc>
      </w:tr>
      <w:tr w:rsidR="001E2537" w:rsidRPr="00D312F7" w:rsidTr="009A044C">
        <w:tc>
          <w:tcPr>
            <w:tcW w:w="1696" w:type="dxa"/>
            <w:tcBorders>
              <w:top w:val="single" w:sz="6" w:space="0" w:color="auto"/>
              <w:left w:val="single" w:sz="12" w:space="0" w:color="auto"/>
              <w:bottom w:val="single" w:sz="6" w:space="0" w:color="auto"/>
              <w:right w:val="single" w:sz="6" w:space="0" w:color="auto"/>
            </w:tcBorders>
            <w:shd w:val="clear" w:color="auto" w:fill="auto"/>
            <w:hideMark/>
          </w:tcPr>
          <w:p w:rsidR="001E2537" w:rsidRPr="00B84581" w:rsidRDefault="001E2537" w:rsidP="009A044C">
            <w:pPr>
              <w:pStyle w:val="142"/>
              <w:jc w:val="center"/>
              <w:rPr>
                <w:rFonts w:hint="eastAsia"/>
                <w:b/>
                <w:snapToGrid/>
              </w:rPr>
            </w:pPr>
            <w:r w:rsidRPr="00B84581">
              <w:rPr>
                <w:rFonts w:hint="eastAsia"/>
                <w:b/>
                <w:snapToGrid/>
              </w:rPr>
              <w:t>108</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B84581" w:rsidRDefault="001E2537" w:rsidP="009A044C">
            <w:pPr>
              <w:pStyle w:val="142"/>
              <w:jc w:val="right"/>
              <w:rPr>
                <w:rFonts w:hint="eastAsia"/>
                <w:b/>
                <w:snapToGrid/>
              </w:rPr>
            </w:pPr>
            <w:r w:rsidRPr="00B84581">
              <w:rPr>
                <w:rFonts w:hint="eastAsia"/>
                <w:b/>
                <w:snapToGrid/>
              </w:rPr>
              <w:t>2,027</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B84581" w:rsidRDefault="001E2537" w:rsidP="009A044C">
            <w:pPr>
              <w:pStyle w:val="142"/>
              <w:jc w:val="right"/>
              <w:rPr>
                <w:rFonts w:hint="eastAsia"/>
                <w:b/>
                <w:snapToGrid/>
              </w:rPr>
            </w:pPr>
            <w:r w:rsidRPr="00B84581">
              <w:rPr>
                <w:rFonts w:hint="eastAsia"/>
                <w:b/>
                <w:snapToGrid/>
              </w:rPr>
              <w:t>861</w:t>
            </w:r>
          </w:p>
        </w:tc>
        <w:tc>
          <w:tcPr>
            <w:tcW w:w="226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B84581" w:rsidRDefault="001E2537" w:rsidP="009A044C">
            <w:pPr>
              <w:pStyle w:val="142"/>
              <w:jc w:val="right"/>
              <w:rPr>
                <w:rFonts w:hint="eastAsia"/>
                <w:b/>
                <w:snapToGrid/>
              </w:rPr>
            </w:pPr>
            <w:r w:rsidRPr="00B84581">
              <w:rPr>
                <w:rFonts w:hint="eastAsia"/>
                <w:b/>
                <w:snapToGrid/>
              </w:rPr>
              <w:t>42.48%</w:t>
            </w:r>
          </w:p>
        </w:tc>
      </w:tr>
      <w:tr w:rsidR="001E2537" w:rsidRPr="00D312F7" w:rsidTr="009A044C">
        <w:tc>
          <w:tcPr>
            <w:tcW w:w="1696" w:type="dxa"/>
            <w:tcBorders>
              <w:top w:val="single" w:sz="6" w:space="0" w:color="auto"/>
              <w:left w:val="single" w:sz="12" w:space="0" w:color="auto"/>
              <w:bottom w:val="single" w:sz="6" w:space="0" w:color="auto"/>
              <w:right w:val="single" w:sz="6" w:space="0" w:color="auto"/>
            </w:tcBorders>
            <w:shd w:val="clear" w:color="auto" w:fill="auto"/>
            <w:hideMark/>
          </w:tcPr>
          <w:p w:rsidR="001E2537" w:rsidRPr="00D312F7" w:rsidRDefault="001E2537" w:rsidP="009A044C">
            <w:pPr>
              <w:pStyle w:val="142"/>
              <w:jc w:val="center"/>
              <w:rPr>
                <w:rFonts w:hint="eastAsia"/>
                <w:snapToGrid/>
              </w:rPr>
            </w:pPr>
            <w:r w:rsidRPr="00D312F7">
              <w:rPr>
                <w:rFonts w:hint="eastAsia"/>
                <w:snapToGrid/>
              </w:rPr>
              <w:t>109</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2,049</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187</w:t>
            </w:r>
          </w:p>
        </w:tc>
        <w:tc>
          <w:tcPr>
            <w:tcW w:w="226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9.13%</w:t>
            </w:r>
          </w:p>
        </w:tc>
      </w:tr>
      <w:tr w:rsidR="001E2537" w:rsidRPr="00D312F7" w:rsidTr="009A044C">
        <w:tc>
          <w:tcPr>
            <w:tcW w:w="1696" w:type="dxa"/>
            <w:tcBorders>
              <w:top w:val="single" w:sz="6" w:space="0" w:color="auto"/>
              <w:left w:val="single" w:sz="12" w:space="0" w:color="auto"/>
              <w:bottom w:val="single" w:sz="6" w:space="0" w:color="auto"/>
              <w:right w:val="single" w:sz="6" w:space="0" w:color="auto"/>
            </w:tcBorders>
            <w:shd w:val="clear" w:color="auto" w:fill="auto"/>
            <w:hideMark/>
          </w:tcPr>
          <w:p w:rsidR="001E2537" w:rsidRPr="00D312F7" w:rsidRDefault="001E2537" w:rsidP="009A044C">
            <w:pPr>
              <w:pStyle w:val="142"/>
              <w:jc w:val="center"/>
              <w:rPr>
                <w:rFonts w:hint="eastAsia"/>
                <w:snapToGrid/>
              </w:rPr>
            </w:pPr>
            <w:r w:rsidRPr="00D312F7">
              <w:rPr>
                <w:rFonts w:hint="eastAsia"/>
                <w:snapToGrid/>
              </w:rPr>
              <w:t>110</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2,058</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141</w:t>
            </w:r>
          </w:p>
        </w:tc>
        <w:tc>
          <w:tcPr>
            <w:tcW w:w="226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6.85%</w:t>
            </w:r>
          </w:p>
        </w:tc>
      </w:tr>
      <w:tr w:rsidR="001E2537" w:rsidRPr="00D312F7" w:rsidTr="009A044C">
        <w:tc>
          <w:tcPr>
            <w:tcW w:w="1696" w:type="dxa"/>
            <w:tcBorders>
              <w:top w:val="single" w:sz="6" w:space="0" w:color="auto"/>
              <w:left w:val="single" w:sz="12" w:space="0" w:color="auto"/>
              <w:bottom w:val="single" w:sz="6" w:space="0" w:color="auto"/>
              <w:right w:val="single" w:sz="6" w:space="0" w:color="auto"/>
            </w:tcBorders>
            <w:shd w:val="clear" w:color="auto" w:fill="auto"/>
            <w:hideMark/>
          </w:tcPr>
          <w:p w:rsidR="001E2537" w:rsidRPr="00D312F7" w:rsidRDefault="001E2537" w:rsidP="009A044C">
            <w:pPr>
              <w:pStyle w:val="142"/>
              <w:jc w:val="center"/>
              <w:rPr>
                <w:rFonts w:hint="eastAsia"/>
                <w:snapToGrid/>
              </w:rPr>
            </w:pPr>
            <w:r w:rsidRPr="00D312F7">
              <w:rPr>
                <w:rFonts w:hint="eastAsia"/>
                <w:snapToGrid/>
              </w:rPr>
              <w:t>111</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2,058</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136</w:t>
            </w:r>
          </w:p>
        </w:tc>
        <w:tc>
          <w:tcPr>
            <w:tcW w:w="226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1E2537" w:rsidRPr="00D312F7" w:rsidRDefault="001E2537" w:rsidP="009A044C">
            <w:pPr>
              <w:pStyle w:val="142"/>
              <w:jc w:val="right"/>
              <w:rPr>
                <w:rFonts w:hint="eastAsia"/>
                <w:snapToGrid/>
              </w:rPr>
            </w:pPr>
            <w:r w:rsidRPr="00D312F7">
              <w:rPr>
                <w:rFonts w:hint="eastAsia"/>
                <w:snapToGrid/>
              </w:rPr>
              <w:t>6.61%</w:t>
            </w:r>
          </w:p>
        </w:tc>
      </w:tr>
      <w:tr w:rsidR="001E2537" w:rsidRPr="00D312F7" w:rsidTr="009A044C">
        <w:tc>
          <w:tcPr>
            <w:tcW w:w="1696" w:type="dxa"/>
            <w:tcBorders>
              <w:top w:val="single" w:sz="6" w:space="0" w:color="auto"/>
              <w:left w:val="single" w:sz="12" w:space="0" w:color="auto"/>
              <w:bottom w:val="single" w:sz="12" w:space="0" w:color="auto"/>
              <w:right w:val="single" w:sz="6" w:space="0" w:color="auto"/>
            </w:tcBorders>
            <w:shd w:val="clear" w:color="auto" w:fill="auto"/>
            <w:hideMark/>
          </w:tcPr>
          <w:p w:rsidR="001E2537" w:rsidRPr="00B84581" w:rsidRDefault="001E2537" w:rsidP="009A044C">
            <w:pPr>
              <w:pStyle w:val="142"/>
              <w:jc w:val="center"/>
              <w:rPr>
                <w:rFonts w:hint="eastAsia"/>
                <w:b/>
                <w:snapToGrid/>
              </w:rPr>
            </w:pPr>
            <w:r w:rsidRPr="00B84581">
              <w:rPr>
                <w:rFonts w:hint="eastAsia"/>
                <w:b/>
                <w:snapToGrid/>
              </w:rPr>
              <w:t>112</w:t>
            </w:r>
          </w:p>
        </w:tc>
        <w:tc>
          <w:tcPr>
            <w:tcW w:w="226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1E2537" w:rsidRPr="00B84581" w:rsidRDefault="001E2537" w:rsidP="009A044C">
            <w:pPr>
              <w:pStyle w:val="142"/>
              <w:jc w:val="right"/>
              <w:rPr>
                <w:rFonts w:hint="eastAsia"/>
                <w:b/>
                <w:snapToGrid/>
              </w:rPr>
            </w:pPr>
            <w:r w:rsidRPr="00B84581">
              <w:rPr>
                <w:rFonts w:hint="eastAsia"/>
                <w:b/>
                <w:snapToGrid/>
              </w:rPr>
              <w:t>2,057</w:t>
            </w:r>
          </w:p>
        </w:tc>
        <w:tc>
          <w:tcPr>
            <w:tcW w:w="2268"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1E2537" w:rsidRPr="00B84581" w:rsidRDefault="001E2537" w:rsidP="009A044C">
            <w:pPr>
              <w:pStyle w:val="142"/>
              <w:jc w:val="right"/>
              <w:rPr>
                <w:rFonts w:hint="eastAsia"/>
                <w:b/>
                <w:snapToGrid/>
              </w:rPr>
            </w:pPr>
            <w:r w:rsidRPr="00B84581">
              <w:rPr>
                <w:rFonts w:hint="eastAsia"/>
                <w:b/>
                <w:snapToGrid/>
              </w:rPr>
              <w:t>555</w:t>
            </w:r>
          </w:p>
        </w:tc>
        <w:tc>
          <w:tcPr>
            <w:tcW w:w="2268" w:type="dxa"/>
            <w:tcBorders>
              <w:top w:val="single" w:sz="6" w:space="0" w:color="auto"/>
              <w:left w:val="single" w:sz="6" w:space="0" w:color="auto"/>
              <w:bottom w:val="single" w:sz="12" w:space="0" w:color="auto"/>
              <w:right w:val="single" w:sz="12" w:space="0" w:color="auto"/>
            </w:tcBorders>
            <w:shd w:val="clear" w:color="auto" w:fill="auto"/>
            <w:vAlign w:val="center"/>
            <w:hideMark/>
          </w:tcPr>
          <w:p w:rsidR="001E2537" w:rsidRPr="00B84581" w:rsidRDefault="001E2537" w:rsidP="009A044C">
            <w:pPr>
              <w:pStyle w:val="142"/>
              <w:jc w:val="right"/>
              <w:rPr>
                <w:rFonts w:hint="eastAsia"/>
                <w:b/>
                <w:snapToGrid/>
              </w:rPr>
            </w:pPr>
            <w:r w:rsidRPr="00B84581">
              <w:rPr>
                <w:rFonts w:hint="eastAsia"/>
                <w:b/>
                <w:snapToGrid/>
              </w:rPr>
              <w:t>26.98%</w:t>
            </w:r>
          </w:p>
        </w:tc>
      </w:tr>
    </w:tbl>
    <w:p w:rsidR="001E2537" w:rsidRPr="00CE7D4C" w:rsidRDefault="001E2537" w:rsidP="001E2537">
      <w:pPr>
        <w:adjustRightInd w:val="0"/>
        <w:spacing w:line="300" w:lineRule="exact"/>
        <w:ind w:leftChars="0" w:left="1216" w:hangingChars="500" w:hanging="1216"/>
        <w:rPr>
          <w:sz w:val="24"/>
          <w:szCs w:val="24"/>
        </w:rPr>
      </w:pPr>
      <w:r w:rsidRPr="00CE7D4C">
        <w:rPr>
          <w:rFonts w:hint="eastAsia"/>
          <w:sz w:val="24"/>
          <w:szCs w:val="24"/>
        </w:rPr>
        <w:t xml:space="preserve">說 </w:t>
      </w:r>
      <w:r w:rsidRPr="00CE7D4C">
        <w:rPr>
          <w:sz w:val="24"/>
          <w:szCs w:val="24"/>
        </w:rPr>
        <w:t xml:space="preserve">   </w:t>
      </w:r>
      <w:r w:rsidRPr="00CE7D4C">
        <w:rPr>
          <w:rFonts w:hint="eastAsia"/>
          <w:sz w:val="24"/>
          <w:szCs w:val="24"/>
        </w:rPr>
        <w:t>明：</w:t>
      </w:r>
      <w:r w:rsidRPr="00507F9A">
        <w:rPr>
          <w:rFonts w:hint="eastAsia"/>
          <w:sz w:val="24"/>
          <w:szCs w:val="24"/>
        </w:rPr>
        <w:t>本表均不含娩假人數</w:t>
      </w:r>
      <w:r>
        <w:rPr>
          <w:rFonts w:hint="eastAsia"/>
          <w:sz w:val="24"/>
          <w:szCs w:val="24"/>
        </w:rPr>
        <w:t>。</w:t>
      </w:r>
      <w:r w:rsidRPr="00BD7624">
        <w:rPr>
          <w:rFonts w:hint="eastAsia"/>
          <w:sz w:val="24"/>
          <w:szCs w:val="24"/>
        </w:rPr>
        <w:t>104至112年度</w:t>
      </w:r>
      <w:r>
        <w:rPr>
          <w:rFonts w:hint="eastAsia"/>
          <w:sz w:val="24"/>
          <w:szCs w:val="24"/>
        </w:rPr>
        <w:t>晉二級</w:t>
      </w:r>
      <w:r w:rsidRPr="005B1A2B">
        <w:rPr>
          <w:rFonts w:hint="eastAsia"/>
          <w:sz w:val="24"/>
          <w:szCs w:val="24"/>
        </w:rPr>
        <w:t>人數</w:t>
      </w:r>
      <w:r w:rsidRPr="00E1280A">
        <w:rPr>
          <w:rFonts w:hint="eastAsia"/>
          <w:sz w:val="24"/>
          <w:szCs w:val="24"/>
        </w:rPr>
        <w:t>平均比率為18.3%。</w:t>
      </w:r>
    </w:p>
    <w:p w:rsidR="001E2537" w:rsidRDefault="001E2537" w:rsidP="001E2537">
      <w:pPr>
        <w:adjustRightInd w:val="0"/>
        <w:spacing w:line="300" w:lineRule="exact"/>
        <w:ind w:leftChars="0" w:left="973" w:hangingChars="400" w:hanging="973"/>
        <w:rPr>
          <w:snapToGrid/>
          <w:sz w:val="24"/>
        </w:rPr>
      </w:pPr>
      <w:r w:rsidRPr="00CE7D4C">
        <w:rPr>
          <w:rFonts w:hint="eastAsia"/>
          <w:sz w:val="24"/>
          <w:szCs w:val="24"/>
        </w:rPr>
        <w:t>資料來源：司法院提供</w:t>
      </w:r>
      <w:r w:rsidRPr="00CE7D4C">
        <w:rPr>
          <w:rFonts w:hint="eastAsia"/>
          <w:snapToGrid/>
          <w:sz w:val="24"/>
        </w:rPr>
        <w:t>。</w:t>
      </w:r>
    </w:p>
    <w:p w:rsidR="00932ECE" w:rsidRPr="007B4995" w:rsidRDefault="00932ECE" w:rsidP="00932ECE">
      <w:pPr>
        <w:pStyle w:val="a4"/>
        <w:rPr>
          <w:b/>
        </w:rPr>
      </w:pPr>
      <w:r>
        <w:rPr>
          <w:rFonts w:hint="eastAsia"/>
          <w:b/>
        </w:rPr>
        <w:t>(四</w:t>
      </w:r>
      <w:r>
        <w:rPr>
          <w:b/>
        </w:rPr>
        <w:t>)</w:t>
      </w:r>
      <w:r w:rsidRPr="008122C8">
        <w:rPr>
          <w:rFonts w:hint="eastAsia"/>
          <w:b/>
        </w:rPr>
        <w:t>監察院1</w:t>
      </w:r>
      <w:r w:rsidRPr="008122C8">
        <w:rPr>
          <w:b/>
        </w:rPr>
        <w:t>0</w:t>
      </w:r>
      <w:r>
        <w:rPr>
          <w:b/>
        </w:rPr>
        <w:t>9</w:t>
      </w:r>
      <w:r w:rsidRPr="008122C8">
        <w:rPr>
          <w:rFonts w:hint="eastAsia"/>
          <w:b/>
        </w:rPr>
        <w:t>年度調查發現，</w:t>
      </w:r>
      <w:r w:rsidRPr="007B4995">
        <w:rPr>
          <w:rFonts w:hint="eastAsia"/>
          <w:b/>
        </w:rPr>
        <w:t>法官職務評定等第</w:t>
      </w:r>
      <w:r>
        <w:rPr>
          <w:rFonts w:hint="eastAsia"/>
          <w:b/>
        </w:rPr>
        <w:t>僅</w:t>
      </w:r>
      <w:r w:rsidRPr="007B4995">
        <w:rPr>
          <w:rFonts w:hint="eastAsia"/>
          <w:b/>
        </w:rPr>
        <w:t>分成「良好」、「未達良好」</w:t>
      </w:r>
      <w:r>
        <w:rPr>
          <w:rFonts w:hint="eastAsia"/>
          <w:b/>
        </w:rPr>
        <w:t>2類</w:t>
      </w:r>
      <w:r w:rsidRPr="007B4995">
        <w:rPr>
          <w:rFonts w:hint="eastAsia"/>
          <w:b/>
        </w:rPr>
        <w:t>，</w:t>
      </w:r>
      <w:r>
        <w:rPr>
          <w:rFonts w:hint="eastAsia"/>
          <w:b/>
        </w:rPr>
        <w:t>且</w:t>
      </w:r>
      <w:r w:rsidRPr="00527C2E">
        <w:rPr>
          <w:rFonts w:hint="eastAsia"/>
          <w:b/>
        </w:rPr>
        <w:t>未建置淘汰機制</w:t>
      </w:r>
      <w:r>
        <w:rPr>
          <w:rFonts w:hint="eastAsia"/>
          <w:b/>
        </w:rPr>
        <w:t>，恐</w:t>
      </w:r>
      <w:r w:rsidR="00DF286C">
        <w:rPr>
          <w:rFonts w:hint="eastAsia"/>
          <w:b/>
        </w:rPr>
        <w:t>不具</w:t>
      </w:r>
      <w:r w:rsidRPr="00F23AF8">
        <w:rPr>
          <w:rFonts w:hint="eastAsia"/>
          <w:b/>
        </w:rPr>
        <w:t>奬優</w:t>
      </w:r>
      <w:r w:rsidR="00ED49C3">
        <w:rPr>
          <w:rFonts w:hint="eastAsia"/>
          <w:b/>
        </w:rPr>
        <w:t>懲</w:t>
      </w:r>
      <w:r w:rsidRPr="00F23AF8">
        <w:rPr>
          <w:rFonts w:hint="eastAsia"/>
          <w:b/>
        </w:rPr>
        <w:t>劣之</w:t>
      </w:r>
      <w:r w:rsidR="00DF286C">
        <w:rPr>
          <w:rFonts w:hint="eastAsia"/>
          <w:b/>
        </w:rPr>
        <w:t>功效</w:t>
      </w:r>
    </w:p>
    <w:p w:rsidR="00360A6C" w:rsidRDefault="00932ECE" w:rsidP="00932ECE">
      <w:pPr>
        <w:pStyle w:val="21"/>
        <w:ind w:left="850" w:firstLine="566"/>
      </w:pPr>
      <w:r w:rsidRPr="008122C8">
        <w:rPr>
          <w:rFonts w:hint="eastAsia"/>
        </w:rPr>
        <w:t>監察院1</w:t>
      </w:r>
      <w:r w:rsidRPr="008122C8">
        <w:t>0</w:t>
      </w:r>
      <w:r>
        <w:t>9</w:t>
      </w:r>
      <w:r w:rsidRPr="008122C8">
        <w:rPr>
          <w:rFonts w:hint="eastAsia"/>
        </w:rPr>
        <w:t>年度調查發現</w:t>
      </w:r>
      <w:r w:rsidRPr="008122C8">
        <w:rPr>
          <w:vertAlign w:val="superscript"/>
        </w:rPr>
        <w:footnoteReference w:id="6"/>
      </w:r>
      <w:r w:rsidRPr="008122C8">
        <w:rPr>
          <w:rFonts w:hint="eastAsia"/>
        </w:rPr>
        <w:t>，</w:t>
      </w:r>
      <w:r>
        <w:rPr>
          <w:rFonts w:hint="eastAsia"/>
        </w:rPr>
        <w:t>法官職務評定等第分成「良好」、「未達良好」</w:t>
      </w:r>
      <w:r w:rsidR="00360A6C">
        <w:rPr>
          <w:rFonts w:hint="eastAsia"/>
        </w:rPr>
        <w:t>2</w:t>
      </w:r>
      <w:r>
        <w:rPr>
          <w:rFonts w:hint="eastAsia"/>
        </w:rPr>
        <w:t>類，以職務評定銓敘審定情形而論，法官101至108年度受評定良好比率平均為97.71%，未達良好比率平均僅2.29%；</w:t>
      </w:r>
      <w:r w:rsidRPr="003373D9">
        <w:rPr>
          <w:rFonts w:hAnsi="標楷體"/>
        </w:rPr>
        <w:t>…</w:t>
      </w:r>
      <w:r>
        <w:rPr>
          <w:rFonts w:hint="eastAsia"/>
        </w:rPr>
        <w:t>，已喪失職務評定之篩選功能，</w:t>
      </w:r>
      <w:r w:rsidRPr="003373D9">
        <w:rPr>
          <w:rFonts w:hAnsi="標楷體"/>
        </w:rPr>
        <w:t>…</w:t>
      </w:r>
      <w:r>
        <w:rPr>
          <w:rFonts w:hint="eastAsia"/>
        </w:rPr>
        <w:t>。為符合國人對於司法改革殷切之期待，允宜檢討職務評定項目標準是否符合明確性、可操作性及鑑別性，</w:t>
      </w:r>
      <w:r w:rsidRPr="003373D9">
        <w:rPr>
          <w:rFonts w:hAnsi="標楷體"/>
        </w:rPr>
        <w:t>…</w:t>
      </w:r>
      <w:r>
        <w:rPr>
          <w:rFonts w:hint="eastAsia"/>
        </w:rPr>
        <w:t>。另針對尚未具有違法失職之懲戒事由但數次評定為未達良好之法官，目前對此情形未建置淘汰機制，恐影響人民司法受益權。爰此，</w:t>
      </w:r>
      <w:r w:rsidRPr="00614409">
        <w:rPr>
          <w:rFonts w:hAnsi="標楷體"/>
        </w:rPr>
        <w:t>…</w:t>
      </w:r>
      <w:r>
        <w:rPr>
          <w:rFonts w:hint="eastAsia"/>
        </w:rPr>
        <w:t>，職務評定制度應檢討對於不適任司法官者設置淘汰發動機制，以發揮職務評定制度人事考核意旨，而具有獎優汰劣功效。</w:t>
      </w:r>
    </w:p>
    <w:p w:rsidR="00932ECE" w:rsidRDefault="00932ECE" w:rsidP="00932ECE">
      <w:pPr>
        <w:pStyle w:val="21"/>
        <w:ind w:left="850" w:firstLine="566"/>
      </w:pPr>
      <w:r>
        <w:rPr>
          <w:rFonts w:hint="eastAsia"/>
        </w:rPr>
        <w:t>考量</w:t>
      </w:r>
      <w:r w:rsidR="00E00628">
        <w:rPr>
          <w:rFonts w:hint="eastAsia"/>
        </w:rPr>
        <w:t>近</w:t>
      </w:r>
      <w:r w:rsidRPr="00846DDC">
        <w:rPr>
          <w:rFonts w:hint="eastAsia"/>
        </w:rPr>
        <w:t>年法官職務評定良好比率均逾</w:t>
      </w:r>
      <w:r>
        <w:t>9</w:t>
      </w:r>
      <w:r>
        <w:rPr>
          <w:rFonts w:hint="eastAsia"/>
        </w:rPr>
        <w:t>成7以上</w:t>
      </w:r>
      <w:r w:rsidRPr="00846DDC">
        <w:rPr>
          <w:rFonts w:hint="eastAsia"/>
        </w:rPr>
        <w:t>，</w:t>
      </w:r>
      <w:r>
        <w:rPr>
          <w:rFonts w:hint="eastAsia"/>
        </w:rPr>
        <w:t>且</w:t>
      </w:r>
      <w:r w:rsidRPr="00846DDC">
        <w:rPr>
          <w:rFonts w:hint="eastAsia"/>
        </w:rPr>
        <w:t>法官連續4年職務評定良好</w:t>
      </w:r>
      <w:r w:rsidR="002344A8">
        <w:rPr>
          <w:rFonts w:hint="eastAsia"/>
        </w:rPr>
        <w:t>晉二級</w:t>
      </w:r>
      <w:r w:rsidRPr="00846DDC">
        <w:rPr>
          <w:rFonts w:hint="eastAsia"/>
        </w:rPr>
        <w:t>之</w:t>
      </w:r>
      <w:r>
        <w:rPr>
          <w:rFonts w:hint="eastAsia"/>
        </w:rPr>
        <w:t>規定</w:t>
      </w:r>
      <w:r w:rsidRPr="00846DDC">
        <w:rPr>
          <w:rFonts w:hint="eastAsia"/>
        </w:rPr>
        <w:t>，</w:t>
      </w:r>
      <w:r w:rsidR="00400C9D">
        <w:rPr>
          <w:rFonts w:hint="eastAsia"/>
        </w:rPr>
        <w:t>似</w:t>
      </w:r>
      <w:r>
        <w:rPr>
          <w:rFonts w:hint="eastAsia"/>
        </w:rPr>
        <w:t>較公務人員</w:t>
      </w:r>
      <w:r w:rsidRPr="00D62754">
        <w:rPr>
          <w:rFonts w:hint="eastAsia"/>
        </w:rPr>
        <w:t>考績制度</w:t>
      </w:r>
      <w:r w:rsidRPr="00846DDC">
        <w:rPr>
          <w:rFonts w:hint="eastAsia"/>
        </w:rPr>
        <w:t>優厚</w:t>
      </w:r>
      <w:r>
        <w:rPr>
          <w:rStyle w:val="af3"/>
        </w:rPr>
        <w:footnoteReference w:id="7"/>
      </w:r>
      <w:r w:rsidRPr="00846DDC">
        <w:rPr>
          <w:rFonts w:hint="eastAsia"/>
        </w:rPr>
        <w:t>，其適切性</w:t>
      </w:r>
      <w:r>
        <w:rPr>
          <w:rFonts w:hint="eastAsia"/>
        </w:rPr>
        <w:t>確</w:t>
      </w:r>
      <w:r w:rsidRPr="00846DDC">
        <w:rPr>
          <w:rFonts w:hint="eastAsia"/>
        </w:rPr>
        <w:t>有</w:t>
      </w:r>
      <w:r w:rsidR="00627942">
        <w:rPr>
          <w:rFonts w:hint="eastAsia"/>
        </w:rPr>
        <w:t>檢討</w:t>
      </w:r>
      <w:r w:rsidR="00E00628">
        <w:rPr>
          <w:rFonts w:hint="eastAsia"/>
        </w:rPr>
        <w:t>之必要</w:t>
      </w:r>
      <w:r w:rsidR="00BB0BE7">
        <w:rPr>
          <w:rFonts w:hint="eastAsia"/>
        </w:rPr>
        <w:t>，</w:t>
      </w:r>
      <w:r w:rsidR="00BB0BE7" w:rsidRPr="00BB0BE7">
        <w:rPr>
          <w:rFonts w:hint="eastAsia"/>
        </w:rPr>
        <w:t>爰司法院</w:t>
      </w:r>
      <w:r w:rsidR="004727CF">
        <w:rPr>
          <w:rFonts w:hint="eastAsia"/>
        </w:rPr>
        <w:t>應</w:t>
      </w:r>
      <w:r w:rsidR="00457D42">
        <w:rPr>
          <w:rFonts w:hint="eastAsia"/>
        </w:rPr>
        <w:t>審酌監察院調查意見，</w:t>
      </w:r>
      <w:r w:rsidR="00564895" w:rsidRPr="00564895">
        <w:rPr>
          <w:rFonts w:hint="eastAsia"/>
        </w:rPr>
        <w:t>依實務運作情形</w:t>
      </w:r>
      <w:r w:rsidR="00564895">
        <w:rPr>
          <w:rFonts w:hint="eastAsia"/>
        </w:rPr>
        <w:t>，</w:t>
      </w:r>
      <w:r w:rsidR="009E52CB" w:rsidRPr="00315E3A">
        <w:rPr>
          <w:rFonts w:hint="eastAsia"/>
        </w:rPr>
        <w:t>動態檢視相關法規並適時研議修正</w:t>
      </w:r>
      <w:r w:rsidR="009E52CB">
        <w:rPr>
          <w:rFonts w:hint="eastAsia"/>
        </w:rPr>
        <w:t>，</w:t>
      </w:r>
      <w:r w:rsidR="007E17DA" w:rsidRPr="007E17DA">
        <w:rPr>
          <w:rFonts w:hint="eastAsia"/>
        </w:rPr>
        <w:t>加強</w:t>
      </w:r>
      <w:r w:rsidR="00400C9D">
        <w:rPr>
          <w:rFonts w:hint="eastAsia"/>
        </w:rPr>
        <w:t>檢討</w:t>
      </w:r>
      <w:r w:rsidR="007E17DA" w:rsidRPr="007E17DA">
        <w:rPr>
          <w:rFonts w:hint="eastAsia"/>
        </w:rPr>
        <w:t>淘汰不適任司法人員</w:t>
      </w:r>
      <w:r w:rsidR="00BB0BE7">
        <w:rPr>
          <w:rFonts w:hint="eastAsia"/>
        </w:rPr>
        <w:t>，俾有</w:t>
      </w:r>
      <w:r w:rsidR="007E17DA">
        <w:rPr>
          <w:rFonts w:hint="eastAsia"/>
        </w:rPr>
        <w:t>助於</w:t>
      </w:r>
      <w:r w:rsidR="00BB0BE7" w:rsidRPr="00BB0BE7">
        <w:rPr>
          <w:rFonts w:hint="eastAsia"/>
        </w:rPr>
        <w:t>達成</w:t>
      </w:r>
      <w:r w:rsidR="007E17DA">
        <w:rPr>
          <w:rFonts w:hint="eastAsia"/>
        </w:rPr>
        <w:t>法官法</w:t>
      </w:r>
      <w:r w:rsidR="00BB0BE7">
        <w:rPr>
          <w:rFonts w:ascii="新細明體" w:eastAsia="新細明體" w:hAnsi="新細明體" w:hint="eastAsia"/>
        </w:rPr>
        <w:t>「</w:t>
      </w:r>
      <w:r w:rsidR="00BB0BE7" w:rsidRPr="00BB0BE7">
        <w:rPr>
          <w:rFonts w:hint="eastAsia"/>
        </w:rPr>
        <w:t>奬優汰劣</w:t>
      </w:r>
      <w:r w:rsidR="00BB0BE7">
        <w:rPr>
          <w:rFonts w:ascii="新細明體" w:eastAsia="新細明體" w:hAnsi="新細明體" w:hint="eastAsia"/>
        </w:rPr>
        <w:t>」</w:t>
      </w:r>
      <w:r w:rsidR="00BB0BE7" w:rsidRPr="00BB0BE7">
        <w:rPr>
          <w:rFonts w:hint="eastAsia"/>
        </w:rPr>
        <w:t>之立法目的</w:t>
      </w:r>
      <w:r w:rsidRPr="00846DDC">
        <w:rPr>
          <w:rFonts w:hint="eastAsia"/>
        </w:rPr>
        <w:t>。</w:t>
      </w:r>
    </w:p>
    <w:p w:rsidR="00932ECE" w:rsidRDefault="00932ECE" w:rsidP="00932ECE">
      <w:pPr>
        <w:ind w:left="566" w:firstLine="566"/>
      </w:pPr>
      <w:r w:rsidRPr="00C02870">
        <w:rPr>
          <w:rFonts w:hint="eastAsia"/>
        </w:rPr>
        <w:t>綜上，法官法施行後，</w:t>
      </w:r>
      <w:r w:rsidRPr="008454EE">
        <w:rPr>
          <w:rFonts w:hint="eastAsia"/>
        </w:rPr>
        <w:t>101至112年度法官職務評定良好比率均在9</w:t>
      </w:r>
      <w:r>
        <w:rPr>
          <w:rFonts w:hint="eastAsia"/>
        </w:rPr>
        <w:t>成</w:t>
      </w:r>
      <w:r w:rsidRPr="008454EE">
        <w:rPr>
          <w:rFonts w:hint="eastAsia"/>
        </w:rPr>
        <w:t>7以上</w:t>
      </w:r>
      <w:r>
        <w:rPr>
          <w:rFonts w:hint="eastAsia"/>
        </w:rPr>
        <w:t>，</w:t>
      </w:r>
      <w:r w:rsidRPr="008454EE">
        <w:rPr>
          <w:rFonts w:hint="eastAsia"/>
        </w:rPr>
        <w:t>且無比率上限之限制</w:t>
      </w:r>
      <w:r w:rsidR="00400C9D">
        <w:rPr>
          <w:rFonts w:hint="eastAsia"/>
        </w:rPr>
        <w:t>；另</w:t>
      </w:r>
      <w:r w:rsidR="00564895" w:rsidRPr="00564895">
        <w:rPr>
          <w:rFonts w:hint="eastAsia"/>
        </w:rPr>
        <w:t>112年度法官連續4年職務評定良好晉二級之人數及比率</w:t>
      </w:r>
      <w:r w:rsidR="00400C9D" w:rsidRPr="00400C9D">
        <w:rPr>
          <w:rFonts w:hint="eastAsia"/>
        </w:rPr>
        <w:t>概因已無級可晉而</w:t>
      </w:r>
      <w:r w:rsidR="00564895" w:rsidRPr="00564895">
        <w:rPr>
          <w:rFonts w:hint="eastAsia"/>
        </w:rPr>
        <w:t>呈下滑趨勢</w:t>
      </w:r>
      <w:r w:rsidR="00564895">
        <w:rPr>
          <w:rFonts w:hint="eastAsia"/>
        </w:rPr>
        <w:t>，</w:t>
      </w:r>
      <w:r w:rsidR="00400C9D" w:rsidRPr="00564895">
        <w:rPr>
          <w:rFonts w:hint="eastAsia"/>
        </w:rPr>
        <w:t>弱化</w:t>
      </w:r>
      <w:r w:rsidR="00FA749E" w:rsidRPr="00FA749E">
        <w:rPr>
          <w:rFonts w:hint="eastAsia"/>
        </w:rPr>
        <w:t>表現良好法官之</w:t>
      </w:r>
      <w:r w:rsidR="00FA749E">
        <w:rPr>
          <w:rFonts w:hint="eastAsia"/>
        </w:rPr>
        <w:t>激勵</w:t>
      </w:r>
      <w:r w:rsidR="001C0364">
        <w:rPr>
          <w:rFonts w:hint="eastAsia"/>
        </w:rPr>
        <w:t>效果</w:t>
      </w:r>
      <w:r>
        <w:rPr>
          <w:rFonts w:hint="eastAsia"/>
        </w:rPr>
        <w:t>，</w:t>
      </w:r>
      <w:r w:rsidRPr="00E668EB">
        <w:rPr>
          <w:rFonts w:hint="eastAsia"/>
        </w:rPr>
        <w:t>恐</w:t>
      </w:r>
      <w:r w:rsidRPr="008D36E9">
        <w:rPr>
          <w:rFonts w:hint="eastAsia"/>
        </w:rPr>
        <w:t>無法</w:t>
      </w:r>
      <w:r w:rsidR="00564895">
        <w:rPr>
          <w:rFonts w:hint="eastAsia"/>
        </w:rPr>
        <w:t>真</w:t>
      </w:r>
      <w:r w:rsidRPr="008D36E9">
        <w:rPr>
          <w:rFonts w:hint="eastAsia"/>
        </w:rPr>
        <w:t>實反映受評</w:t>
      </w:r>
      <w:r w:rsidR="00564895">
        <w:rPr>
          <w:rFonts w:hint="eastAsia"/>
        </w:rPr>
        <w:t>法官</w:t>
      </w:r>
      <w:r w:rsidRPr="008D36E9">
        <w:rPr>
          <w:rFonts w:hint="eastAsia"/>
        </w:rPr>
        <w:t>之工作表現，</w:t>
      </w:r>
      <w:r>
        <w:rPr>
          <w:rFonts w:hint="eastAsia"/>
        </w:rPr>
        <w:t>爰司</w:t>
      </w:r>
      <w:r w:rsidR="00564895">
        <w:rPr>
          <w:rFonts w:hint="eastAsia"/>
        </w:rPr>
        <w:t>法</w:t>
      </w:r>
      <w:r>
        <w:rPr>
          <w:rFonts w:hint="eastAsia"/>
        </w:rPr>
        <w:t>院</w:t>
      </w:r>
      <w:r w:rsidR="00FA749E">
        <w:rPr>
          <w:rFonts w:hint="eastAsia"/>
        </w:rPr>
        <w:t>仍</w:t>
      </w:r>
      <w:r w:rsidRPr="00E668EB">
        <w:rPr>
          <w:rFonts w:hint="eastAsia"/>
        </w:rPr>
        <w:t>宜</w:t>
      </w:r>
      <w:r w:rsidR="009E52CB" w:rsidRPr="009E52CB">
        <w:rPr>
          <w:rFonts w:hint="eastAsia"/>
        </w:rPr>
        <w:t>依</w:t>
      </w:r>
      <w:r w:rsidR="009E52CB" w:rsidRPr="00E668EB">
        <w:rPr>
          <w:rFonts w:hint="eastAsia"/>
        </w:rPr>
        <w:t>法官職務評定之</w:t>
      </w:r>
      <w:r w:rsidR="009E52CB" w:rsidRPr="009E52CB">
        <w:rPr>
          <w:rFonts w:hint="eastAsia"/>
        </w:rPr>
        <w:t>實務運作情形，動態檢視相關法規並適時研議修正</w:t>
      </w:r>
      <w:r w:rsidRPr="00E668EB">
        <w:rPr>
          <w:rFonts w:hint="eastAsia"/>
        </w:rPr>
        <w:t>，</w:t>
      </w:r>
      <w:r w:rsidR="007E17DA" w:rsidRPr="007E17DA">
        <w:rPr>
          <w:rFonts w:hint="eastAsia"/>
        </w:rPr>
        <w:t>加強</w:t>
      </w:r>
      <w:r w:rsidR="00400C9D">
        <w:rPr>
          <w:rFonts w:hint="eastAsia"/>
        </w:rPr>
        <w:t>檢討</w:t>
      </w:r>
      <w:r w:rsidR="007E17DA" w:rsidRPr="007E17DA">
        <w:rPr>
          <w:rFonts w:hint="eastAsia"/>
        </w:rPr>
        <w:t>淘汰不適任司法人員</w:t>
      </w:r>
      <w:r w:rsidR="00457D42" w:rsidRPr="00457D42">
        <w:rPr>
          <w:rFonts w:hint="eastAsia"/>
        </w:rPr>
        <w:t>，</w:t>
      </w:r>
      <w:r w:rsidRPr="00E668EB">
        <w:rPr>
          <w:rFonts w:hint="eastAsia"/>
        </w:rPr>
        <w:t>俾以</w:t>
      </w:r>
      <w:r w:rsidR="00400C9D">
        <w:rPr>
          <w:rFonts w:hint="eastAsia"/>
        </w:rPr>
        <w:t>健全職務評定</w:t>
      </w:r>
      <w:r w:rsidRPr="00E668EB">
        <w:rPr>
          <w:rFonts w:hint="eastAsia"/>
        </w:rPr>
        <w:t>機制</w:t>
      </w:r>
      <w:r w:rsidR="00400C9D">
        <w:rPr>
          <w:rFonts w:hint="eastAsia"/>
        </w:rPr>
        <w:t>，</w:t>
      </w:r>
      <w:r w:rsidRPr="00E668EB">
        <w:rPr>
          <w:rFonts w:hint="eastAsia"/>
        </w:rPr>
        <w:t>維護良好司法風氣，達成提升整體司法品質之立法目的。</w:t>
      </w:r>
    </w:p>
    <w:p w:rsidR="00932ECE" w:rsidRDefault="00932ECE" w:rsidP="008510CE">
      <w:pPr>
        <w:ind w:left="566" w:firstLine="566"/>
      </w:pPr>
    </w:p>
    <w:p w:rsidR="00ED614B" w:rsidRPr="00ED614B" w:rsidRDefault="00AD337F" w:rsidP="00AD337F">
      <w:pPr>
        <w:pStyle w:val="14"/>
        <w:ind w:left="567" w:hanging="567"/>
      </w:pPr>
      <w:bookmarkStart w:id="14" w:name="_Toc185325375"/>
      <w:r>
        <w:rPr>
          <w:rFonts w:hint="eastAsia"/>
        </w:rPr>
        <w:t>三</w:t>
      </w:r>
      <w:r w:rsidR="00ED614B" w:rsidRPr="00ED614B">
        <w:rPr>
          <w:rFonts w:hint="eastAsia"/>
        </w:rPr>
        <w:t>、司法</w:t>
      </w:r>
      <w:r w:rsidR="00FD2778">
        <w:rPr>
          <w:rFonts w:hint="eastAsia"/>
        </w:rPr>
        <w:t>院1</w:t>
      </w:r>
      <w:r w:rsidR="00FD2778">
        <w:t>10</w:t>
      </w:r>
      <w:r w:rsidR="00FD2778">
        <w:rPr>
          <w:rFonts w:hint="eastAsia"/>
        </w:rPr>
        <w:t>至1</w:t>
      </w:r>
      <w:r w:rsidR="00FD2778">
        <w:t>12</w:t>
      </w:r>
      <w:r w:rsidR="00FD2778">
        <w:rPr>
          <w:rFonts w:hint="eastAsia"/>
        </w:rPr>
        <w:t>年度</w:t>
      </w:r>
      <w:r w:rsidR="00566928">
        <w:rPr>
          <w:rFonts w:ascii="新細明體" w:eastAsia="新細明體" w:hAnsi="新細明體" w:hint="eastAsia"/>
        </w:rPr>
        <w:t>「</w:t>
      </w:r>
      <w:r w:rsidR="00ED614B" w:rsidRPr="00ED614B">
        <w:rPr>
          <w:rFonts w:hint="eastAsia"/>
        </w:rPr>
        <w:t>審判行政</w:t>
      </w:r>
      <w:r w:rsidR="00566928">
        <w:rPr>
          <w:rFonts w:ascii="新細明體" w:eastAsia="新細明體" w:hAnsi="新細明體" w:hint="eastAsia"/>
        </w:rPr>
        <w:t>」</w:t>
      </w:r>
      <w:r w:rsidR="00566928" w:rsidRPr="00566928">
        <w:rPr>
          <w:rFonts w:hint="eastAsia"/>
        </w:rPr>
        <w:t>工作計畫</w:t>
      </w:r>
      <w:r w:rsidR="00ED614B" w:rsidRPr="00ED614B">
        <w:rPr>
          <w:rFonts w:hint="eastAsia"/>
        </w:rPr>
        <w:t>實現率</w:t>
      </w:r>
      <w:r w:rsidR="0008501A">
        <w:rPr>
          <w:rFonts w:hint="eastAsia"/>
        </w:rPr>
        <w:t>已</w:t>
      </w:r>
      <w:r w:rsidR="00ED614B" w:rsidRPr="00ED614B">
        <w:rPr>
          <w:rFonts w:hint="eastAsia"/>
        </w:rPr>
        <w:t>連續</w:t>
      </w:r>
      <w:r w:rsidR="0008501A">
        <w:t>3</w:t>
      </w:r>
      <w:r w:rsidR="00ED614B" w:rsidRPr="00ED614B">
        <w:rPr>
          <w:rFonts w:hint="eastAsia"/>
        </w:rPr>
        <w:t>年未達</w:t>
      </w:r>
      <w:r w:rsidR="00ED614B" w:rsidRPr="00ED614B">
        <w:t>6</w:t>
      </w:r>
      <w:r w:rsidR="00ED614B" w:rsidRPr="00ED614B">
        <w:rPr>
          <w:rFonts w:hint="eastAsia"/>
        </w:rPr>
        <w:t>成，亟待強化計畫審議及管考，以增進審判資源運用效能</w:t>
      </w:r>
      <w:bookmarkEnd w:id="10"/>
      <w:bookmarkEnd w:id="11"/>
      <w:bookmarkEnd w:id="14"/>
    </w:p>
    <w:p w:rsidR="00ED614B" w:rsidRPr="00ED614B" w:rsidRDefault="00ED614B" w:rsidP="00ED614B">
      <w:pPr>
        <w:ind w:left="566" w:firstLine="566"/>
      </w:pPr>
      <w:r w:rsidRPr="00ED614B">
        <w:rPr>
          <w:rFonts w:hint="eastAsia"/>
        </w:rPr>
        <w:t>司法院11</w:t>
      </w:r>
      <w:r w:rsidR="0008501A">
        <w:t>2</w:t>
      </w:r>
      <w:r w:rsidRPr="00ED614B">
        <w:rPr>
          <w:rFonts w:hint="eastAsia"/>
        </w:rPr>
        <w:t>年度</w:t>
      </w:r>
      <w:r w:rsidR="0008501A" w:rsidRPr="00ED614B">
        <w:rPr>
          <w:rFonts w:hint="eastAsia"/>
        </w:rPr>
        <w:t>「審判行政」</w:t>
      </w:r>
      <w:r w:rsidR="00566928" w:rsidRPr="00566928">
        <w:rPr>
          <w:rFonts w:hint="eastAsia"/>
        </w:rPr>
        <w:t>工作計畫</w:t>
      </w:r>
      <w:r w:rsidRPr="00ED614B">
        <w:rPr>
          <w:rFonts w:hint="eastAsia"/>
        </w:rPr>
        <w:t>預算</w:t>
      </w:r>
      <w:r w:rsidR="0008501A">
        <w:rPr>
          <w:rFonts w:hint="eastAsia"/>
        </w:rPr>
        <w:t>數1億</w:t>
      </w:r>
      <w:r w:rsidR="0008501A">
        <w:t>2,077</w:t>
      </w:r>
      <w:r w:rsidR="0008501A">
        <w:rPr>
          <w:rFonts w:hint="eastAsia"/>
        </w:rPr>
        <w:t>萬</w:t>
      </w:r>
      <w:r w:rsidR="0008501A">
        <w:t>3</w:t>
      </w:r>
      <w:r w:rsidR="0008501A">
        <w:rPr>
          <w:rFonts w:hint="eastAsia"/>
        </w:rPr>
        <w:t>千元，執行結果，</w:t>
      </w:r>
      <w:r w:rsidR="0008501A" w:rsidRPr="0008501A">
        <w:rPr>
          <w:rFonts w:hint="eastAsia"/>
        </w:rPr>
        <w:t>實現數</w:t>
      </w:r>
      <w:r w:rsidR="0008501A">
        <w:rPr>
          <w:rFonts w:hint="eastAsia"/>
        </w:rPr>
        <w:t>5</w:t>
      </w:r>
      <w:r w:rsidR="0008501A">
        <w:t>,578</w:t>
      </w:r>
      <w:r w:rsidR="0008501A" w:rsidRPr="0008501A">
        <w:rPr>
          <w:rFonts w:hint="eastAsia"/>
        </w:rPr>
        <w:t>萬</w:t>
      </w:r>
      <w:r w:rsidR="0008501A">
        <w:t>2</w:t>
      </w:r>
      <w:r w:rsidR="0008501A" w:rsidRPr="0008501A">
        <w:rPr>
          <w:rFonts w:hint="eastAsia"/>
        </w:rPr>
        <w:t>千元，實現比率4</w:t>
      </w:r>
      <w:r w:rsidR="00345DAD">
        <w:t>6</w:t>
      </w:r>
      <w:r w:rsidR="0008501A" w:rsidRPr="0008501A">
        <w:rPr>
          <w:rFonts w:hint="eastAsia"/>
        </w:rPr>
        <w:t>.</w:t>
      </w:r>
      <w:r w:rsidR="00345DAD">
        <w:t>1</w:t>
      </w:r>
      <w:r w:rsidR="0073214E">
        <w:t>9</w:t>
      </w:r>
      <w:r w:rsidR="0008501A" w:rsidRPr="0008501A">
        <w:rPr>
          <w:rFonts w:hint="eastAsia"/>
        </w:rPr>
        <w:t>%，保留數與賸餘數分別為1</w:t>
      </w:r>
      <w:r w:rsidR="00345DAD">
        <w:t>,</w:t>
      </w:r>
      <w:r w:rsidR="00345DAD">
        <w:rPr>
          <w:rFonts w:hint="eastAsia"/>
        </w:rPr>
        <w:t>4</w:t>
      </w:r>
      <w:r w:rsidR="00345DAD">
        <w:t>21</w:t>
      </w:r>
      <w:r w:rsidR="00345DAD" w:rsidRPr="0008501A">
        <w:rPr>
          <w:rFonts w:hint="eastAsia"/>
        </w:rPr>
        <w:t>萬</w:t>
      </w:r>
      <w:r w:rsidR="00345DAD">
        <w:t>2</w:t>
      </w:r>
      <w:r w:rsidR="0008501A" w:rsidRPr="0008501A">
        <w:rPr>
          <w:rFonts w:hint="eastAsia"/>
        </w:rPr>
        <w:t>千元及</w:t>
      </w:r>
      <w:r w:rsidR="00345DAD">
        <w:t>5,077</w:t>
      </w:r>
      <w:r w:rsidR="0008501A" w:rsidRPr="0008501A">
        <w:rPr>
          <w:rFonts w:hint="eastAsia"/>
        </w:rPr>
        <w:t>萬</w:t>
      </w:r>
      <w:r w:rsidR="00345DAD">
        <w:rPr>
          <w:rFonts w:hint="eastAsia"/>
        </w:rPr>
        <w:t>9</w:t>
      </w:r>
      <w:r w:rsidR="0008501A" w:rsidRPr="0008501A">
        <w:rPr>
          <w:rFonts w:hint="eastAsia"/>
        </w:rPr>
        <w:t>千元</w:t>
      </w:r>
      <w:r w:rsidR="00566928">
        <w:rPr>
          <w:rFonts w:hint="eastAsia"/>
        </w:rPr>
        <w:t>。</w:t>
      </w:r>
      <w:r w:rsidR="00566928" w:rsidRPr="00566928">
        <w:rPr>
          <w:rFonts w:hint="eastAsia"/>
        </w:rPr>
        <w:t>近年司法院「審判行政」科目</w:t>
      </w:r>
      <w:r w:rsidR="00566928">
        <w:rPr>
          <w:rFonts w:hint="eastAsia"/>
        </w:rPr>
        <w:t>預算</w:t>
      </w:r>
      <w:r w:rsidRPr="00ED614B">
        <w:rPr>
          <w:rFonts w:hint="eastAsia"/>
        </w:rPr>
        <w:t>執行情形未臻理想，允宜檢討改進</w:t>
      </w:r>
      <w:r w:rsidR="00566928">
        <w:rPr>
          <w:rFonts w:hint="eastAsia"/>
        </w:rPr>
        <w:t>，以達計畫目標，謹說明如下</w:t>
      </w:r>
      <w:r w:rsidRPr="00ED614B">
        <w:rPr>
          <w:rFonts w:hint="eastAsia"/>
        </w:rPr>
        <w:t>：</w:t>
      </w:r>
    </w:p>
    <w:p w:rsidR="00ED614B" w:rsidRPr="00ED614B" w:rsidRDefault="00ED614B" w:rsidP="00ED614B">
      <w:pPr>
        <w:ind w:left="849" w:hangingChars="100" w:hanging="283"/>
        <w:jc w:val="left"/>
        <w:rPr>
          <w:b/>
        </w:rPr>
      </w:pPr>
      <w:r w:rsidRPr="00ED614B">
        <w:rPr>
          <w:rFonts w:hint="eastAsia"/>
          <w:b/>
        </w:rPr>
        <w:t>(一</w:t>
      </w:r>
      <w:r w:rsidRPr="00ED614B">
        <w:rPr>
          <w:b/>
        </w:rPr>
        <w:t>)</w:t>
      </w:r>
      <w:r w:rsidRPr="00ED614B">
        <w:rPr>
          <w:rFonts w:hint="eastAsia"/>
          <w:b/>
        </w:rPr>
        <w:t>司法院宜</w:t>
      </w:r>
      <w:r w:rsidR="00566928" w:rsidRPr="00257A3C">
        <w:rPr>
          <w:rFonts w:hint="eastAsia"/>
          <w:b/>
        </w:rPr>
        <w:t>妥適衡</w:t>
      </w:r>
      <w:r w:rsidR="00566928">
        <w:rPr>
          <w:rFonts w:hint="eastAsia"/>
          <w:b/>
        </w:rPr>
        <w:t>酌</w:t>
      </w:r>
      <w:r w:rsidR="00566928" w:rsidRPr="00566928">
        <w:rPr>
          <w:rFonts w:hint="eastAsia"/>
          <w:b/>
        </w:rPr>
        <w:t>「審判行政」</w:t>
      </w:r>
      <w:r w:rsidR="00DF53A8" w:rsidRPr="00DF53A8">
        <w:rPr>
          <w:rFonts w:hint="eastAsia"/>
          <w:b/>
        </w:rPr>
        <w:t>工作計畫</w:t>
      </w:r>
      <w:r w:rsidR="00566928" w:rsidRPr="00566928">
        <w:rPr>
          <w:rFonts w:hint="eastAsia"/>
          <w:b/>
        </w:rPr>
        <w:t>預算執行能力核實編列預算，並加強經費控管，以利資源妥善規劃運用</w:t>
      </w:r>
    </w:p>
    <w:p w:rsidR="00ED614B" w:rsidRPr="00ED614B" w:rsidRDefault="00ED614B" w:rsidP="00ED614B">
      <w:pPr>
        <w:adjustRightInd w:val="0"/>
        <w:ind w:leftChars="300" w:left="850" w:firstLine="566"/>
      </w:pPr>
      <w:r w:rsidRPr="00ED614B">
        <w:rPr>
          <w:rFonts w:hint="eastAsia"/>
        </w:rPr>
        <w:t>司法院掌理與民事、刑事、行政訴訟審判與公務員懲戒等有關之行政事項，爰依據中程施政計畫，並針對當前社經情勢變化及未來發展需要，編定</w:t>
      </w:r>
      <w:r w:rsidR="00566928">
        <w:rPr>
          <w:rFonts w:hint="eastAsia"/>
        </w:rPr>
        <w:t>各</w:t>
      </w:r>
      <w:r w:rsidRPr="00ED614B">
        <w:rPr>
          <w:rFonts w:hint="eastAsia"/>
        </w:rPr>
        <w:t>年度施政計畫綱要，其中</w:t>
      </w:r>
      <w:r w:rsidRPr="00ED614B">
        <w:rPr>
          <w:rFonts w:ascii="新細明體" w:eastAsia="新細明體" w:hAnsi="新細明體" w:hint="eastAsia"/>
        </w:rPr>
        <w:t>「</w:t>
      </w:r>
      <w:r w:rsidRPr="00ED614B">
        <w:rPr>
          <w:rFonts w:hint="eastAsia"/>
        </w:rPr>
        <w:t>審判行政</w:t>
      </w:r>
      <w:r w:rsidRPr="00ED614B">
        <w:rPr>
          <w:rFonts w:ascii="新細明體" w:eastAsia="新細明體" w:hAnsi="新細明體" w:hint="eastAsia"/>
        </w:rPr>
        <w:t>」</w:t>
      </w:r>
      <w:r w:rsidRPr="00ED614B">
        <w:rPr>
          <w:rFonts w:hAnsi="標楷體" w:hint="eastAsia"/>
        </w:rPr>
        <w:t>工作計畫之</w:t>
      </w:r>
      <w:r w:rsidR="00EC3553">
        <w:rPr>
          <w:rFonts w:hAnsi="標楷體" w:hint="eastAsia"/>
        </w:rPr>
        <w:t>業務項目</w:t>
      </w:r>
      <w:r w:rsidR="00566928">
        <w:rPr>
          <w:rFonts w:hint="eastAsia"/>
        </w:rPr>
        <w:t>包括</w:t>
      </w:r>
      <w:r w:rsidRPr="00ED614B">
        <w:rPr>
          <w:rFonts w:hint="eastAsia"/>
        </w:rPr>
        <w:t>：</w:t>
      </w:r>
      <w:r w:rsidRPr="00ED614B">
        <w:rPr>
          <w:rFonts w:hAnsi="標楷體" w:hint="eastAsia"/>
          <w:snapToGrid/>
        </w:rPr>
        <w:t>1</w:t>
      </w:r>
      <w:r w:rsidRPr="00ED614B">
        <w:rPr>
          <w:rFonts w:hAnsi="標楷體"/>
          <w:snapToGrid/>
        </w:rPr>
        <w:t>.</w:t>
      </w:r>
      <w:r w:rsidRPr="00ED614B">
        <w:rPr>
          <w:rFonts w:hAnsi="標楷體" w:hint="eastAsia"/>
          <w:snapToGrid/>
        </w:rPr>
        <w:t>辦理民事審判行政業務</w:t>
      </w:r>
      <w:r w:rsidR="00EC3553">
        <w:rPr>
          <w:rFonts w:hAnsi="標楷體" w:hint="eastAsia"/>
          <w:snapToGrid/>
        </w:rPr>
        <w:t>；</w:t>
      </w:r>
      <w:r w:rsidRPr="00ED614B">
        <w:rPr>
          <w:rFonts w:hAnsi="標楷體" w:hint="eastAsia"/>
          <w:snapToGrid/>
        </w:rPr>
        <w:t>2</w:t>
      </w:r>
      <w:r w:rsidRPr="00ED614B">
        <w:rPr>
          <w:rFonts w:hAnsi="標楷體"/>
          <w:snapToGrid/>
        </w:rPr>
        <w:t>.</w:t>
      </w:r>
      <w:r w:rsidRPr="00ED614B">
        <w:rPr>
          <w:rFonts w:hAnsi="標楷體" w:hint="eastAsia"/>
          <w:snapToGrid/>
        </w:rPr>
        <w:t>辦理刑事審判行政業務經費</w:t>
      </w:r>
      <w:r w:rsidR="00EC3553">
        <w:rPr>
          <w:rFonts w:hAnsi="標楷體" w:hint="eastAsia"/>
          <w:snapToGrid/>
        </w:rPr>
        <w:t>；</w:t>
      </w:r>
      <w:r w:rsidRPr="00ED614B">
        <w:rPr>
          <w:rFonts w:hAnsi="標楷體" w:hint="eastAsia"/>
          <w:snapToGrid/>
        </w:rPr>
        <w:t>3</w:t>
      </w:r>
      <w:r w:rsidRPr="00ED614B">
        <w:rPr>
          <w:rFonts w:hAnsi="標楷體"/>
          <w:snapToGrid/>
        </w:rPr>
        <w:t>.</w:t>
      </w:r>
      <w:r w:rsidRPr="00ED614B">
        <w:rPr>
          <w:rFonts w:hAnsi="標楷體" w:hint="eastAsia"/>
          <w:snapToGrid/>
        </w:rPr>
        <w:t>辦理行政訴訟及懲戒行政業務</w:t>
      </w:r>
      <w:r w:rsidR="00EC3553">
        <w:rPr>
          <w:rFonts w:hAnsi="標楷體" w:hint="eastAsia"/>
          <w:snapToGrid/>
        </w:rPr>
        <w:t>；以及</w:t>
      </w:r>
      <w:r w:rsidRPr="00ED614B">
        <w:rPr>
          <w:rFonts w:hAnsi="標楷體"/>
          <w:snapToGrid/>
        </w:rPr>
        <w:t>4.</w:t>
      </w:r>
      <w:r w:rsidRPr="00ED614B">
        <w:rPr>
          <w:rFonts w:hAnsi="標楷體" w:hint="eastAsia"/>
          <w:snapToGrid/>
        </w:rPr>
        <w:t>辦理少年及家事審判行政業務</w:t>
      </w:r>
      <w:r w:rsidR="00EC3553">
        <w:rPr>
          <w:rFonts w:hAnsi="標楷體" w:hint="eastAsia"/>
          <w:snapToGrid/>
        </w:rPr>
        <w:t>等</w:t>
      </w:r>
      <w:r w:rsidRPr="00ED614B">
        <w:rPr>
          <w:rFonts w:hAnsi="標楷體" w:hint="eastAsia"/>
          <w:snapToGrid/>
        </w:rPr>
        <w:t>，主要係督促各級法院妥速辦理各類案件及業務，以保障人民權益等工作所需</w:t>
      </w:r>
      <w:r w:rsidRPr="00ED614B">
        <w:rPr>
          <w:rFonts w:hint="eastAsia"/>
        </w:rPr>
        <w:t>；爰司法院宜衡量可用資源訂定具體計畫，並確實依個案計畫執行現況及進度</w:t>
      </w:r>
      <w:r w:rsidR="00400C9D">
        <w:rPr>
          <w:rFonts w:hint="eastAsia"/>
        </w:rPr>
        <w:t>，</w:t>
      </w:r>
      <w:r w:rsidRPr="00ED614B">
        <w:rPr>
          <w:rFonts w:hint="eastAsia"/>
        </w:rPr>
        <w:t>檢討歷年預算保留及節餘情形，詳實提報年度經費需求</w:t>
      </w:r>
      <w:r w:rsidRPr="00ED614B">
        <w:rPr>
          <w:vertAlign w:val="superscript"/>
        </w:rPr>
        <w:footnoteReference w:id="8"/>
      </w:r>
      <w:r w:rsidRPr="00ED614B">
        <w:rPr>
          <w:rFonts w:hint="eastAsia"/>
        </w:rPr>
        <w:t>，以提升資源運用效能。</w:t>
      </w:r>
    </w:p>
    <w:p w:rsidR="00ED614B" w:rsidRPr="00ED614B" w:rsidRDefault="00ED614B" w:rsidP="00ED614B">
      <w:pPr>
        <w:ind w:left="849" w:hangingChars="100" w:hanging="283"/>
        <w:jc w:val="left"/>
        <w:rPr>
          <w:b/>
        </w:rPr>
      </w:pPr>
      <w:r w:rsidRPr="00ED614B">
        <w:rPr>
          <w:rFonts w:hint="eastAsia"/>
          <w:b/>
        </w:rPr>
        <w:t>(二</w:t>
      </w:r>
      <w:r w:rsidRPr="00ED614B">
        <w:rPr>
          <w:b/>
        </w:rPr>
        <w:t>)</w:t>
      </w:r>
      <w:r w:rsidR="00494D9A">
        <w:rPr>
          <w:rFonts w:hint="eastAsia"/>
          <w:b/>
        </w:rPr>
        <w:t>司法院</w:t>
      </w:r>
      <w:r w:rsidR="00DF53A8" w:rsidRPr="00ED614B">
        <w:rPr>
          <w:rFonts w:hint="eastAsia"/>
          <w:b/>
        </w:rPr>
        <w:t>1</w:t>
      </w:r>
      <w:r w:rsidR="00DF53A8" w:rsidRPr="00ED614B">
        <w:rPr>
          <w:b/>
        </w:rPr>
        <w:t>10</w:t>
      </w:r>
      <w:r w:rsidR="00DF53A8">
        <w:rPr>
          <w:rFonts w:hint="eastAsia"/>
          <w:b/>
        </w:rPr>
        <w:t>至</w:t>
      </w:r>
      <w:r w:rsidR="00DF53A8" w:rsidRPr="00ED614B">
        <w:rPr>
          <w:rFonts w:hint="eastAsia"/>
          <w:b/>
        </w:rPr>
        <w:t>1</w:t>
      </w:r>
      <w:r w:rsidR="00DF53A8" w:rsidRPr="00ED614B">
        <w:rPr>
          <w:b/>
        </w:rPr>
        <w:t>1</w:t>
      </w:r>
      <w:r w:rsidR="00DF53A8">
        <w:rPr>
          <w:rFonts w:hint="eastAsia"/>
          <w:b/>
        </w:rPr>
        <w:t>2</w:t>
      </w:r>
      <w:r w:rsidR="00DF53A8" w:rsidRPr="00ED614B">
        <w:rPr>
          <w:rFonts w:hint="eastAsia"/>
          <w:b/>
        </w:rPr>
        <w:t>年度</w:t>
      </w:r>
      <w:r w:rsidR="00494D9A" w:rsidRPr="00494D9A">
        <w:rPr>
          <w:rFonts w:hint="eastAsia"/>
          <w:b/>
        </w:rPr>
        <w:t>「審判行政」</w:t>
      </w:r>
      <w:r w:rsidR="00494D9A">
        <w:rPr>
          <w:rFonts w:hint="eastAsia"/>
          <w:b/>
        </w:rPr>
        <w:t>工作計畫</w:t>
      </w:r>
      <w:r w:rsidRPr="00ED614B">
        <w:rPr>
          <w:rFonts w:hint="eastAsia"/>
          <w:b/>
        </w:rPr>
        <w:t>實現率</w:t>
      </w:r>
      <w:r w:rsidR="00DF53A8">
        <w:rPr>
          <w:rFonts w:hint="eastAsia"/>
          <w:b/>
        </w:rPr>
        <w:t>皆</w:t>
      </w:r>
      <w:r w:rsidRPr="00ED614B">
        <w:rPr>
          <w:rFonts w:hint="eastAsia"/>
          <w:b/>
        </w:rPr>
        <w:t>未</w:t>
      </w:r>
      <w:r w:rsidR="00DF53A8">
        <w:rPr>
          <w:rFonts w:hint="eastAsia"/>
          <w:b/>
        </w:rPr>
        <w:t>達</w:t>
      </w:r>
      <w:r w:rsidRPr="00ED614B">
        <w:rPr>
          <w:rFonts w:hint="eastAsia"/>
          <w:b/>
        </w:rPr>
        <w:t>6成，亟待研謀改善</w:t>
      </w:r>
    </w:p>
    <w:p w:rsidR="00ED614B" w:rsidRPr="00ED614B" w:rsidRDefault="00494D9A" w:rsidP="00ED614B">
      <w:pPr>
        <w:adjustRightInd w:val="0"/>
        <w:ind w:leftChars="300" w:left="850" w:firstLine="566"/>
      </w:pPr>
      <w:r>
        <w:rPr>
          <w:rFonts w:hint="eastAsia"/>
        </w:rPr>
        <w:t>司法院</w:t>
      </w:r>
      <w:r>
        <w:rPr>
          <w:rFonts w:ascii="新細明體" w:eastAsia="新細明體" w:hAnsi="新細明體" w:hint="eastAsia"/>
        </w:rPr>
        <w:t>「</w:t>
      </w:r>
      <w:r w:rsidR="00ED614B" w:rsidRPr="00ED614B">
        <w:rPr>
          <w:rFonts w:hint="eastAsia"/>
        </w:rPr>
        <w:t>審判行政</w:t>
      </w:r>
      <w:r>
        <w:rPr>
          <w:rFonts w:ascii="新細明體" w:eastAsia="新細明體" w:hAnsi="新細明體" w:hint="eastAsia"/>
        </w:rPr>
        <w:t>」</w:t>
      </w:r>
      <w:r w:rsidRPr="00494D9A">
        <w:rPr>
          <w:rFonts w:hint="eastAsia"/>
        </w:rPr>
        <w:t>工作計畫</w:t>
      </w:r>
      <w:r w:rsidR="00ED614B" w:rsidRPr="00ED614B">
        <w:rPr>
          <w:rFonts w:hint="eastAsia"/>
        </w:rPr>
        <w:t>實現率已連續</w:t>
      </w:r>
      <w:r w:rsidR="00DF53A8">
        <w:rPr>
          <w:rFonts w:hint="eastAsia"/>
        </w:rPr>
        <w:t>3</w:t>
      </w:r>
      <w:r w:rsidR="00ED614B" w:rsidRPr="00ED614B">
        <w:rPr>
          <w:rFonts w:hint="eastAsia"/>
        </w:rPr>
        <w:t>年未及6成，茲分述如下：</w:t>
      </w:r>
    </w:p>
    <w:p w:rsidR="00ED614B" w:rsidRPr="00ED614B" w:rsidRDefault="00ED614B" w:rsidP="00ED614B">
      <w:pPr>
        <w:ind w:leftChars="300" w:left="1133" w:hangingChars="100" w:hanging="283"/>
        <w:rPr>
          <w:rFonts w:hAnsi="標楷體"/>
          <w:snapToGrid/>
        </w:rPr>
      </w:pPr>
      <w:r w:rsidRPr="00ED614B">
        <w:rPr>
          <w:rFonts w:hAnsi="標楷體" w:hint="eastAsia"/>
          <w:snapToGrid/>
        </w:rPr>
        <w:t>1</w:t>
      </w:r>
      <w:r w:rsidRPr="00ED614B">
        <w:rPr>
          <w:rFonts w:hAnsi="標楷體"/>
          <w:snapToGrid/>
        </w:rPr>
        <w:t>.</w:t>
      </w:r>
      <w:r w:rsidRPr="00ED614B">
        <w:rPr>
          <w:rFonts w:hAnsi="標楷體" w:hint="eastAsia"/>
          <w:snapToGrid/>
        </w:rPr>
        <w:t>司法院110年度</w:t>
      </w:r>
      <w:r w:rsidR="00DF53A8">
        <w:rPr>
          <w:rFonts w:ascii="新細明體" w:eastAsia="新細明體" w:hAnsi="新細明體" w:hint="eastAsia"/>
          <w:snapToGrid/>
        </w:rPr>
        <w:t>「</w:t>
      </w:r>
      <w:r w:rsidRPr="00ED614B">
        <w:rPr>
          <w:rFonts w:hAnsi="標楷體" w:hint="eastAsia"/>
          <w:snapToGrid/>
        </w:rPr>
        <w:t>審判行政</w:t>
      </w:r>
      <w:r w:rsidR="00DF53A8">
        <w:rPr>
          <w:rFonts w:ascii="新細明體" w:eastAsia="新細明體" w:hAnsi="新細明體" w:hint="eastAsia"/>
          <w:snapToGrid/>
        </w:rPr>
        <w:t>」</w:t>
      </w:r>
      <w:r w:rsidRPr="00ED614B">
        <w:rPr>
          <w:rFonts w:hAnsi="標楷體" w:hint="eastAsia"/>
          <w:snapToGrid/>
        </w:rPr>
        <w:t>預算數4億5,501萬5千元，實現數2億2,604萬1千元，實現比率49.68%，保留數與賸餘數分別為1億8,576萬9千元及4,320萬5千元，執行情形欠佳，主要係部分計畫辦理變更及流標等因素所致。</w:t>
      </w:r>
    </w:p>
    <w:p w:rsidR="00ED614B" w:rsidRDefault="00ED614B" w:rsidP="00ED614B">
      <w:pPr>
        <w:ind w:leftChars="300" w:left="1133" w:hangingChars="100" w:hanging="283"/>
        <w:rPr>
          <w:rFonts w:hAnsi="標楷體"/>
          <w:snapToGrid/>
        </w:rPr>
      </w:pPr>
      <w:r w:rsidRPr="00ED614B">
        <w:rPr>
          <w:rFonts w:hAnsi="標楷體"/>
          <w:snapToGrid/>
        </w:rPr>
        <w:t>2</w:t>
      </w:r>
      <w:r w:rsidRPr="00ED614B">
        <w:rPr>
          <w:rFonts w:hAnsi="標楷體" w:hint="eastAsia"/>
          <w:snapToGrid/>
        </w:rPr>
        <w:t>.司法院1</w:t>
      </w:r>
      <w:r w:rsidRPr="00ED614B">
        <w:rPr>
          <w:rFonts w:hAnsi="標楷體"/>
          <w:snapToGrid/>
        </w:rPr>
        <w:t>11</w:t>
      </w:r>
      <w:r w:rsidRPr="00ED614B">
        <w:rPr>
          <w:rFonts w:hAnsi="標楷體" w:hint="eastAsia"/>
          <w:snapToGrid/>
        </w:rPr>
        <w:t>年度</w:t>
      </w:r>
      <w:r w:rsidR="00DF53A8" w:rsidRPr="00DF53A8">
        <w:rPr>
          <w:rFonts w:hAnsi="標楷體" w:hint="eastAsia"/>
          <w:snapToGrid/>
        </w:rPr>
        <w:t>「審判行政」</w:t>
      </w:r>
      <w:r w:rsidRPr="00ED614B">
        <w:rPr>
          <w:rFonts w:hAnsi="標楷體" w:hint="eastAsia"/>
          <w:snapToGrid/>
        </w:rPr>
        <w:t>預算數1億3</w:t>
      </w:r>
      <w:r w:rsidRPr="00ED614B">
        <w:rPr>
          <w:rFonts w:hAnsi="標楷體"/>
          <w:snapToGrid/>
        </w:rPr>
        <w:t>,</w:t>
      </w:r>
      <w:r w:rsidRPr="00ED614B">
        <w:rPr>
          <w:rFonts w:hAnsi="標楷體" w:hint="eastAsia"/>
          <w:snapToGrid/>
        </w:rPr>
        <w:t>295萬元，實現數7</w:t>
      </w:r>
      <w:r w:rsidRPr="00ED614B">
        <w:rPr>
          <w:rFonts w:hAnsi="標楷體"/>
          <w:snapToGrid/>
        </w:rPr>
        <w:t>,</w:t>
      </w:r>
      <w:r w:rsidRPr="00ED614B">
        <w:rPr>
          <w:rFonts w:hAnsi="標楷體" w:hint="eastAsia"/>
          <w:snapToGrid/>
        </w:rPr>
        <w:t>015萬9千元，實現比率</w:t>
      </w:r>
      <w:r w:rsidRPr="00ED614B">
        <w:rPr>
          <w:rFonts w:hAnsi="標楷體"/>
          <w:snapToGrid/>
        </w:rPr>
        <w:t>52.77</w:t>
      </w:r>
      <w:r w:rsidRPr="00ED614B">
        <w:rPr>
          <w:rFonts w:hAnsi="標楷體" w:hint="eastAsia"/>
          <w:snapToGrid/>
        </w:rPr>
        <w:t>%，保留數與賸餘數分別為504萬9千元及</w:t>
      </w:r>
      <w:r w:rsidRPr="00ED614B">
        <w:rPr>
          <w:rFonts w:hAnsi="標楷體"/>
          <w:snapToGrid/>
        </w:rPr>
        <w:t>5,774</w:t>
      </w:r>
      <w:r w:rsidRPr="00ED614B">
        <w:rPr>
          <w:rFonts w:hAnsi="標楷體" w:hint="eastAsia"/>
          <w:snapToGrid/>
        </w:rPr>
        <w:t>萬2千元，執行情形欠佳，主要係推動國民法官制度、補(捐)助駐法院家事服務中心民間團體及全國公證人公會等經費執行未如預期所致。</w:t>
      </w:r>
    </w:p>
    <w:p w:rsidR="003F3602" w:rsidRPr="003F3602" w:rsidRDefault="00DF53A8" w:rsidP="003F3602">
      <w:pPr>
        <w:ind w:leftChars="300" w:left="1133" w:hangingChars="100" w:hanging="283"/>
        <w:rPr>
          <w:rFonts w:hAnsi="標楷體" w:hint="eastAsia"/>
          <w:snapToGrid/>
        </w:rPr>
      </w:pPr>
      <w:r>
        <w:rPr>
          <w:rFonts w:hAnsi="標楷體" w:hint="eastAsia"/>
          <w:snapToGrid/>
        </w:rPr>
        <w:t>3</w:t>
      </w:r>
      <w:r>
        <w:rPr>
          <w:rFonts w:hAnsi="標楷體"/>
          <w:snapToGrid/>
        </w:rPr>
        <w:t>.</w:t>
      </w:r>
      <w:r w:rsidRPr="00DF53A8">
        <w:rPr>
          <w:rFonts w:hAnsi="標楷體" w:hint="eastAsia"/>
          <w:snapToGrid/>
        </w:rPr>
        <w:t>司法院11</w:t>
      </w:r>
      <w:r w:rsidR="0073214E">
        <w:rPr>
          <w:rFonts w:hAnsi="標楷體"/>
          <w:snapToGrid/>
        </w:rPr>
        <w:t>2</w:t>
      </w:r>
      <w:r w:rsidRPr="00DF53A8">
        <w:rPr>
          <w:rFonts w:hAnsi="標楷體" w:hint="eastAsia"/>
          <w:snapToGrid/>
        </w:rPr>
        <w:t>年度</w:t>
      </w:r>
      <w:r w:rsidR="00C51220" w:rsidRPr="00C51220">
        <w:rPr>
          <w:rFonts w:hAnsi="標楷體" w:hint="eastAsia"/>
          <w:snapToGrid/>
        </w:rPr>
        <w:t>「審判行政」</w:t>
      </w:r>
      <w:r w:rsidRPr="00DF53A8">
        <w:rPr>
          <w:rFonts w:hAnsi="標楷體" w:hint="eastAsia"/>
          <w:snapToGrid/>
        </w:rPr>
        <w:t>預算數</w:t>
      </w:r>
      <w:r w:rsidR="00C10ACC" w:rsidRPr="00C10ACC">
        <w:rPr>
          <w:rFonts w:hAnsi="標楷體" w:hint="eastAsia"/>
          <w:snapToGrid/>
        </w:rPr>
        <w:t>1億2,077萬3千元</w:t>
      </w:r>
      <w:r w:rsidRPr="00DF53A8">
        <w:rPr>
          <w:rFonts w:hAnsi="標楷體" w:hint="eastAsia"/>
          <w:snapToGrid/>
        </w:rPr>
        <w:t>，實現數</w:t>
      </w:r>
      <w:r w:rsidR="00C10ACC" w:rsidRPr="00C10ACC">
        <w:rPr>
          <w:rFonts w:hAnsi="標楷體" w:hint="eastAsia"/>
          <w:snapToGrid/>
        </w:rPr>
        <w:t>5,578萬2千元</w:t>
      </w:r>
      <w:r w:rsidRPr="00DF53A8">
        <w:rPr>
          <w:rFonts w:hAnsi="標楷體" w:hint="eastAsia"/>
          <w:snapToGrid/>
        </w:rPr>
        <w:t>，實現比率</w:t>
      </w:r>
      <w:r w:rsidR="00C10ACC" w:rsidRPr="00C10ACC">
        <w:rPr>
          <w:rFonts w:hAnsi="標楷體"/>
          <w:snapToGrid/>
        </w:rPr>
        <w:t>46.1</w:t>
      </w:r>
      <w:r w:rsidR="0073214E">
        <w:rPr>
          <w:rFonts w:hAnsi="標楷體"/>
          <w:snapToGrid/>
        </w:rPr>
        <w:t>9</w:t>
      </w:r>
      <w:r w:rsidR="00C10ACC" w:rsidRPr="00C10ACC">
        <w:rPr>
          <w:rFonts w:hAnsi="標楷體"/>
          <w:snapToGrid/>
        </w:rPr>
        <w:t>%</w:t>
      </w:r>
      <w:r w:rsidRPr="00DF53A8">
        <w:rPr>
          <w:rFonts w:hAnsi="標楷體" w:hint="eastAsia"/>
          <w:snapToGrid/>
        </w:rPr>
        <w:t>，保留數與賸餘數分別為</w:t>
      </w:r>
      <w:r w:rsidR="00C10ACC" w:rsidRPr="00C10ACC">
        <w:rPr>
          <w:rFonts w:hAnsi="標楷體" w:hint="eastAsia"/>
          <w:snapToGrid/>
        </w:rPr>
        <w:t>1,421萬2千元及5,077萬9千元</w:t>
      </w:r>
      <w:r w:rsidRPr="00DF53A8">
        <w:rPr>
          <w:rFonts w:hAnsi="標楷體" w:hint="eastAsia"/>
          <w:snapToGrid/>
        </w:rPr>
        <w:t>，執行情形欠佳，主要係</w:t>
      </w:r>
      <w:r w:rsidR="003F3602" w:rsidRPr="003F3602">
        <w:rPr>
          <w:rFonts w:hAnsi="標楷體" w:hint="eastAsia"/>
          <w:snapToGrid/>
        </w:rPr>
        <w:t>推動國民法官制度等經費執行</w:t>
      </w:r>
      <w:r w:rsidR="003F3602">
        <w:rPr>
          <w:rFonts w:hAnsi="標楷體" w:hint="eastAsia"/>
          <w:snapToGrid/>
        </w:rPr>
        <w:t>情形</w:t>
      </w:r>
      <w:r w:rsidR="003F3602" w:rsidRPr="003F3602">
        <w:rPr>
          <w:rFonts w:hAnsi="標楷體" w:hint="eastAsia"/>
          <w:snapToGrid/>
        </w:rPr>
        <w:t>未如預期所致。</w:t>
      </w:r>
    </w:p>
    <w:p w:rsidR="00ED614B" w:rsidRPr="00ED614B" w:rsidRDefault="00ED614B" w:rsidP="00ED614B">
      <w:pPr>
        <w:ind w:left="566" w:firstLine="566"/>
      </w:pPr>
      <w:r w:rsidRPr="00ED614B">
        <w:rPr>
          <w:rFonts w:hint="eastAsia"/>
        </w:rPr>
        <w:t>綜上，</w:t>
      </w:r>
      <w:r w:rsidR="003F3602">
        <w:rPr>
          <w:rFonts w:hint="eastAsia"/>
        </w:rPr>
        <w:t>近年(</w:t>
      </w:r>
      <w:r w:rsidR="003F3602" w:rsidRPr="00ED614B">
        <w:rPr>
          <w:rFonts w:hint="eastAsia"/>
        </w:rPr>
        <w:t>110</w:t>
      </w:r>
      <w:r w:rsidR="003F3602">
        <w:rPr>
          <w:rFonts w:hint="eastAsia"/>
        </w:rPr>
        <w:t>至</w:t>
      </w:r>
      <w:r w:rsidR="003F3602" w:rsidRPr="00ED614B">
        <w:rPr>
          <w:rFonts w:hint="eastAsia"/>
        </w:rPr>
        <w:t>1</w:t>
      </w:r>
      <w:r w:rsidR="003F3602" w:rsidRPr="00ED614B">
        <w:t>1</w:t>
      </w:r>
      <w:r w:rsidR="003F3602">
        <w:t>2</w:t>
      </w:r>
      <w:r w:rsidR="003F3602" w:rsidRPr="00ED614B">
        <w:rPr>
          <w:rFonts w:hint="eastAsia"/>
        </w:rPr>
        <w:t>年度</w:t>
      </w:r>
      <w:r w:rsidR="003F3602">
        <w:t>)</w:t>
      </w:r>
      <w:r w:rsidRPr="00ED614B">
        <w:rPr>
          <w:rFonts w:hint="eastAsia"/>
        </w:rPr>
        <w:t>司法院</w:t>
      </w:r>
      <w:r w:rsidR="003F3602">
        <w:rPr>
          <w:rFonts w:ascii="新細明體" w:eastAsia="新細明體" w:hAnsi="新細明體" w:hint="eastAsia"/>
        </w:rPr>
        <w:t>「</w:t>
      </w:r>
      <w:r w:rsidRPr="00ED614B">
        <w:rPr>
          <w:rFonts w:hint="eastAsia"/>
        </w:rPr>
        <w:t>審判行政</w:t>
      </w:r>
      <w:r w:rsidR="003F3602" w:rsidRPr="003F3602">
        <w:rPr>
          <w:rFonts w:hAnsi="標楷體" w:hint="eastAsia"/>
        </w:rPr>
        <w:t>」工作</w:t>
      </w:r>
      <w:r w:rsidRPr="00ED614B">
        <w:rPr>
          <w:rFonts w:hint="eastAsia"/>
        </w:rPr>
        <w:t>計畫預算執行情形未臻理想，致其經費頗多需辦理保留</w:t>
      </w:r>
      <w:r w:rsidR="003F3602">
        <w:rPr>
          <w:rFonts w:hint="eastAsia"/>
        </w:rPr>
        <w:t>或繳回國庫</w:t>
      </w:r>
      <w:r w:rsidRPr="00ED614B">
        <w:rPr>
          <w:rFonts w:hint="eastAsia"/>
        </w:rPr>
        <w:t>，允宜就預算執行進度落後之原因，確實檢討其計畫執行能力，避免預算編列與計畫之執行</w:t>
      </w:r>
      <w:r w:rsidR="00400C9D">
        <w:rPr>
          <w:rFonts w:hint="eastAsia"/>
        </w:rPr>
        <w:t>進度不一</w:t>
      </w:r>
      <w:r w:rsidRPr="00ED614B">
        <w:rPr>
          <w:rFonts w:hint="eastAsia"/>
        </w:rPr>
        <w:t>，</w:t>
      </w:r>
      <w:r w:rsidR="00CD5B30">
        <w:rPr>
          <w:rFonts w:hint="eastAsia"/>
        </w:rPr>
        <w:t>影響</w:t>
      </w:r>
      <w:r w:rsidRPr="00ED614B">
        <w:rPr>
          <w:rFonts w:hint="eastAsia"/>
        </w:rPr>
        <w:t>預算執行效率。</w:t>
      </w:r>
    </w:p>
    <w:bookmarkEnd w:id="7"/>
    <w:bookmarkEnd w:id="8"/>
    <w:bookmarkEnd w:id="9"/>
    <w:p w:rsidR="008766CB" w:rsidRPr="0089085E" w:rsidRDefault="008766CB" w:rsidP="000E6D99">
      <w:pPr>
        <w:ind w:left="566" w:firstLine="486"/>
        <w:jc w:val="right"/>
        <w:rPr>
          <w:rFonts w:hint="eastAsia"/>
        </w:rPr>
      </w:pPr>
      <w:r w:rsidRPr="000E04C4">
        <w:rPr>
          <w:rFonts w:hAnsi="標楷體" w:hint="eastAsia"/>
          <w:snapToGrid/>
          <w:sz w:val="24"/>
        </w:rPr>
        <w:t>（分機：866</w:t>
      </w:r>
      <w:r>
        <w:rPr>
          <w:rFonts w:hAnsi="標楷體" w:hint="eastAsia"/>
          <w:snapToGrid/>
          <w:sz w:val="24"/>
        </w:rPr>
        <w:t>5鍾俊華</w:t>
      </w:r>
      <w:r w:rsidRPr="000E04C4">
        <w:rPr>
          <w:rFonts w:hAnsi="標楷體" w:hint="eastAsia"/>
          <w:snapToGrid/>
          <w:sz w:val="24"/>
        </w:rPr>
        <w:t>）</w:t>
      </w:r>
      <w:bookmarkEnd w:id="1"/>
      <w:bookmarkEnd w:id="2"/>
      <w:bookmarkEnd w:id="3"/>
      <w:bookmarkEnd w:id="4"/>
      <w:bookmarkEnd w:id="5"/>
      <w:bookmarkEnd w:id="6"/>
    </w:p>
    <w:sectPr w:rsidR="008766CB" w:rsidRPr="0089085E" w:rsidSect="00964A3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1E3" w:rsidRDefault="00A401E3" w:rsidP="00CA1535">
      <w:pPr>
        <w:spacing w:line="240" w:lineRule="auto"/>
        <w:ind w:left="560" w:firstLine="560"/>
      </w:pPr>
      <w:r>
        <w:separator/>
      </w:r>
    </w:p>
  </w:endnote>
  <w:endnote w:type="continuationSeparator" w:id="0">
    <w:p w:rsidR="00A401E3" w:rsidRDefault="00A401E3" w:rsidP="00CA153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3CC" w:rsidRDefault="00A323CC">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BCC" w:rsidRDefault="00644BCC" w:rsidP="00826840">
    <w:pPr>
      <w:pStyle w:val="af"/>
      <w:tabs>
        <w:tab w:val="clear" w:pos="4153"/>
        <w:tab w:val="clear" w:pos="8306"/>
        <w:tab w:val="center" w:pos="0"/>
        <w:tab w:val="right" w:pos="8505"/>
      </w:tabs>
      <w:ind w:leftChars="0" w:left="0" w:firstLineChars="0" w:firstLine="0"/>
      <w:jc w:val="center"/>
    </w:pPr>
    <w:r>
      <w:fldChar w:fldCharType="begin"/>
    </w:r>
    <w:r>
      <w:instrText>PAGE   \* MERGEFORMAT</w:instrText>
    </w:r>
    <w:r>
      <w:fldChar w:fldCharType="separate"/>
    </w:r>
    <w:r w:rsidR="00A323CC" w:rsidRPr="00A323C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3CC" w:rsidRDefault="00A323CC">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B737C2">
    <w:pPr>
      <w:pStyle w:val="af"/>
      <w:tabs>
        <w:tab w:val="clear" w:pos="4153"/>
        <w:tab w:val="clear" w:pos="8306"/>
        <w:tab w:val="right" w:pos="8505"/>
      </w:tabs>
      <w:ind w:leftChars="0" w:left="0" w:firstLineChars="0" w:firstLine="0"/>
      <w:jc w:val="center"/>
    </w:pPr>
    <w:r>
      <w:fldChar w:fldCharType="begin"/>
    </w:r>
    <w:r>
      <w:instrText>PAGE   \* MERGEFORMAT</w:instrText>
    </w:r>
    <w:r>
      <w:fldChar w:fldCharType="separate"/>
    </w:r>
    <w:r w:rsidR="00A323CC" w:rsidRPr="00A323CC">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1E3" w:rsidRDefault="00A401E3" w:rsidP="00CD2314">
      <w:pPr>
        <w:spacing w:line="240" w:lineRule="auto"/>
        <w:ind w:leftChars="204" w:left="571" w:firstLine="560"/>
      </w:pPr>
      <w:r>
        <w:separator/>
      </w:r>
    </w:p>
  </w:footnote>
  <w:footnote w:type="continuationSeparator" w:id="0">
    <w:p w:rsidR="00A401E3" w:rsidRDefault="00A401E3" w:rsidP="00CA1535">
      <w:pPr>
        <w:spacing w:line="240" w:lineRule="auto"/>
        <w:ind w:left="560" w:firstLine="560"/>
      </w:pPr>
      <w:r>
        <w:continuationSeparator/>
      </w:r>
    </w:p>
  </w:footnote>
  <w:footnote w:id="1">
    <w:p w:rsidR="00AD337F" w:rsidRPr="00254A6B" w:rsidRDefault="00AD337F" w:rsidP="00AD337F">
      <w:pPr>
        <w:pStyle w:val="142"/>
        <w:ind w:left="78" w:hangingChars="32" w:hanging="78"/>
        <w:jc w:val="both"/>
        <w:rPr>
          <w:rFonts w:hint="eastAsia"/>
        </w:rPr>
      </w:pPr>
      <w:r>
        <w:rPr>
          <w:rStyle w:val="af3"/>
        </w:rPr>
        <w:footnoteRef/>
      </w:r>
      <w:r w:rsidRPr="00254A6B">
        <w:rPr>
          <w:rFonts w:hint="eastAsia"/>
        </w:rPr>
        <w:t>臺北市政府文化局112年4月10日北市文化文資字第1123011972號函。</w:t>
      </w:r>
    </w:p>
  </w:footnote>
  <w:footnote w:id="2">
    <w:p w:rsidR="00932ECE" w:rsidRPr="00704952" w:rsidRDefault="00932ECE" w:rsidP="00932ECE">
      <w:pPr>
        <w:pStyle w:val="142"/>
        <w:spacing w:line="320" w:lineRule="exact"/>
        <w:ind w:left="83" w:hangingChars="34" w:hanging="83"/>
        <w:jc w:val="both"/>
        <w:rPr>
          <w:szCs w:val="24"/>
        </w:rPr>
      </w:pPr>
      <w:r w:rsidRPr="00E535B3">
        <w:rPr>
          <w:rStyle w:val="af3"/>
        </w:rPr>
        <w:footnoteRef/>
      </w:r>
      <w:r w:rsidRPr="00704952">
        <w:rPr>
          <w:rFonts w:hint="eastAsia"/>
          <w:szCs w:val="24"/>
        </w:rPr>
        <w:t>法官法第73條第1項規定：「法官現辦事務所在之法院院長或機關首長應於每年年終，辦理法官之職務評定，報送司法院核定。法院院長評定時，應先徵詢該法院相關庭長、法官之意見。」</w:t>
      </w:r>
      <w:r w:rsidR="0015065A">
        <w:rPr>
          <w:rFonts w:hint="eastAsia"/>
          <w:szCs w:val="24"/>
        </w:rPr>
        <w:t>同條</w:t>
      </w:r>
      <w:r w:rsidR="00DF286C">
        <w:rPr>
          <w:rFonts w:hint="eastAsia"/>
          <w:szCs w:val="24"/>
        </w:rPr>
        <w:t>第</w:t>
      </w:r>
      <w:r w:rsidR="00DF286C" w:rsidRPr="00DF286C">
        <w:rPr>
          <w:rFonts w:hint="eastAsia"/>
          <w:szCs w:val="24"/>
        </w:rPr>
        <w:t>2項規定</w:t>
      </w:r>
      <w:r w:rsidR="00DF286C">
        <w:rPr>
          <w:rFonts w:hint="eastAsia"/>
          <w:szCs w:val="24"/>
        </w:rPr>
        <w:t>：</w:t>
      </w:r>
      <w:r w:rsidRPr="00704952">
        <w:rPr>
          <w:rFonts w:hint="eastAsia"/>
          <w:szCs w:val="24"/>
        </w:rPr>
        <w:t>「法官職務評定項目包括學識能力、品德操守、敬業精神及裁判品質；其評定及救濟程序等有關事項之辦法，由司法院定之。」</w:t>
      </w:r>
    </w:p>
  </w:footnote>
  <w:footnote w:id="3">
    <w:p w:rsidR="00932ECE" w:rsidRPr="003E00F7" w:rsidRDefault="00932ECE" w:rsidP="00932ECE">
      <w:pPr>
        <w:pStyle w:val="142"/>
        <w:spacing w:line="320" w:lineRule="exact"/>
        <w:ind w:left="83" w:hangingChars="34" w:hanging="83"/>
        <w:jc w:val="both"/>
        <w:rPr>
          <w:szCs w:val="24"/>
        </w:rPr>
      </w:pPr>
      <w:r w:rsidRPr="003E00F7">
        <w:rPr>
          <w:rStyle w:val="af3"/>
          <w:szCs w:val="24"/>
        </w:rPr>
        <w:footnoteRef/>
      </w:r>
      <w:r w:rsidRPr="003E00F7">
        <w:rPr>
          <w:rFonts w:hint="eastAsia"/>
          <w:szCs w:val="24"/>
        </w:rPr>
        <w:t>參據銓敘部提供之說明資料。</w:t>
      </w:r>
    </w:p>
  </w:footnote>
  <w:footnote w:id="4">
    <w:p w:rsidR="00932ECE" w:rsidRPr="005E4CE5" w:rsidRDefault="00932ECE" w:rsidP="00932ECE">
      <w:pPr>
        <w:pStyle w:val="142"/>
        <w:spacing w:line="320" w:lineRule="exact"/>
        <w:ind w:left="83" w:hangingChars="34" w:hanging="83"/>
        <w:jc w:val="both"/>
        <w:rPr>
          <w:rFonts w:hint="eastAsia"/>
        </w:rPr>
      </w:pPr>
      <w:r>
        <w:rPr>
          <w:rStyle w:val="af3"/>
        </w:rPr>
        <w:footnoteRef/>
      </w:r>
      <w:r w:rsidRPr="005E4CE5">
        <w:rPr>
          <w:rFonts w:hint="eastAsia"/>
        </w:rPr>
        <w:t>監察院109年度通案性案件調查研究報告，法官、檢察官職務評定方式之檢討，111年1月，其內容略以，法官法101年施行後，每年度司法官職務評定結果為良好比率均逾97%，似喪失篩選良莠功能，爰建議檢討職務評定項目標準是否符合明確性、可操作性及鑑別性，…。</w:t>
      </w:r>
    </w:p>
  </w:footnote>
  <w:footnote w:id="5">
    <w:p w:rsidR="00932ECE" w:rsidRPr="00B95C5E" w:rsidRDefault="00932ECE" w:rsidP="00932ECE">
      <w:pPr>
        <w:pStyle w:val="142"/>
        <w:ind w:leftChars="-5" w:left="69" w:hangingChars="34" w:hanging="83"/>
        <w:jc w:val="both"/>
        <w:rPr>
          <w:rFonts w:hint="eastAsia"/>
        </w:rPr>
      </w:pPr>
      <w:r>
        <w:rPr>
          <w:rStyle w:val="af3"/>
        </w:rPr>
        <w:footnoteRef/>
      </w:r>
      <w:r w:rsidRPr="00B95C5E">
        <w:rPr>
          <w:rFonts w:hint="eastAsia"/>
        </w:rPr>
        <w:t>其立法意旨，主要係考量法官法施行後，法官已不列官等職等，亦不適用考績法，無法依該法辦理考績升等，</w:t>
      </w:r>
      <w:r w:rsidRPr="002344A8">
        <w:rPr>
          <w:rFonts w:hint="eastAsia"/>
          <w:b/>
          <w:u w:val="single"/>
        </w:rPr>
        <w:t>為鼓勵表現良好之法官</w:t>
      </w:r>
      <w:r w:rsidRPr="00B95C5E">
        <w:rPr>
          <w:rFonts w:hint="eastAsia"/>
        </w:rPr>
        <w:t>，爰參照考績法之精神，明定法官連續4年職務評定為良好，且未受有刑事處罰、懲戒處分者，除給與獎金外，並晉</w:t>
      </w:r>
      <w:r w:rsidR="002344A8">
        <w:rPr>
          <w:rFonts w:hint="eastAsia"/>
        </w:rPr>
        <w:t>二</w:t>
      </w:r>
      <w:r w:rsidRPr="00B95C5E">
        <w:rPr>
          <w:rFonts w:hint="eastAsia"/>
        </w:rPr>
        <w:t>級。</w:t>
      </w:r>
    </w:p>
  </w:footnote>
  <w:footnote w:id="6">
    <w:p w:rsidR="00932ECE" w:rsidRPr="005E6F2F" w:rsidRDefault="00932ECE" w:rsidP="00932ECE">
      <w:pPr>
        <w:pStyle w:val="142"/>
        <w:ind w:left="78" w:hangingChars="32" w:hanging="78"/>
        <w:jc w:val="both"/>
        <w:rPr>
          <w:rFonts w:hint="eastAsia"/>
        </w:rPr>
      </w:pPr>
      <w:r>
        <w:rPr>
          <w:rStyle w:val="af3"/>
        </w:rPr>
        <w:footnoteRef/>
      </w:r>
      <w:r w:rsidRPr="00D62754">
        <w:rPr>
          <w:rFonts w:hint="eastAsia"/>
        </w:rPr>
        <w:t>監察院109年度通案性案件調查研究報告，法官、檢察官職務評定方式之檢討，111年1月</w:t>
      </w:r>
      <w:r w:rsidRPr="005E6F2F">
        <w:rPr>
          <w:rFonts w:hint="eastAsia"/>
        </w:rPr>
        <w:t>。</w:t>
      </w:r>
    </w:p>
  </w:footnote>
  <w:footnote w:id="7">
    <w:p w:rsidR="00932ECE" w:rsidRPr="00D62754" w:rsidRDefault="00932ECE" w:rsidP="00932ECE">
      <w:pPr>
        <w:pStyle w:val="142"/>
        <w:ind w:leftChars="-5" w:left="69" w:hangingChars="34" w:hanging="83"/>
        <w:jc w:val="both"/>
        <w:rPr>
          <w:rFonts w:hint="eastAsia"/>
        </w:rPr>
      </w:pPr>
      <w:r>
        <w:rPr>
          <w:rStyle w:val="af3"/>
        </w:rPr>
        <w:footnoteRef/>
      </w:r>
      <w:r w:rsidRPr="00D62754">
        <w:rPr>
          <w:rFonts w:hint="eastAsia"/>
        </w:rPr>
        <w:t>監察院109年度通案性案件調查研究報告，法官、檢察官職務評定方式之檢討，111年1月，其內容略以，銓敘部說明，…至公務人員考績制度部分，並無類似前開法官、檢察官連續4年職務評定良好晉</w:t>
      </w:r>
      <w:r w:rsidR="00FB4A80">
        <w:rPr>
          <w:rFonts w:hint="eastAsia"/>
        </w:rPr>
        <w:t>二</w:t>
      </w:r>
      <w:r w:rsidRPr="00D62754">
        <w:rPr>
          <w:rFonts w:hint="eastAsia"/>
        </w:rPr>
        <w:t>級之規定；惟依考績法第3條規定辦理一次記二大功專案考績者，其當年度如同時依考績法或各該特種法規規定辦理年終考績(成)及一次記二大功專案考績(成)，且獎懲結果均為晉本(年功)俸(薪)級1級者，則有類似前開於同一年度晉2級之獎懲效果；…，銓敘部前提供之101年至108年中央及地方機關公務人員晉2級情形(101至108年度</w:t>
      </w:r>
      <w:r w:rsidR="006E69EB">
        <w:rPr>
          <w:rFonts w:hint="eastAsia"/>
        </w:rPr>
        <w:t>僅</w:t>
      </w:r>
      <w:r w:rsidRPr="00D62754">
        <w:rPr>
          <w:rFonts w:hint="eastAsia"/>
        </w:rPr>
        <w:t>分別為121人、60人、19人、24人、11人、25人、15人、2人)</w:t>
      </w:r>
      <w:r w:rsidR="006E69EB">
        <w:rPr>
          <w:rFonts w:hint="eastAsia"/>
        </w:rPr>
        <w:t>。由上可知，</w:t>
      </w:r>
      <w:r w:rsidR="006E69EB" w:rsidRPr="006E69EB">
        <w:rPr>
          <w:rFonts w:hint="eastAsia"/>
        </w:rPr>
        <w:t>法官連續4年職務評定良好晉二級之規定，</w:t>
      </w:r>
      <w:r w:rsidR="006E69EB">
        <w:rPr>
          <w:rFonts w:hint="eastAsia"/>
        </w:rPr>
        <w:t>似</w:t>
      </w:r>
      <w:r w:rsidR="006E69EB" w:rsidRPr="006E69EB">
        <w:rPr>
          <w:rFonts w:hint="eastAsia"/>
        </w:rPr>
        <w:t>較公務人員考績制度優厚</w:t>
      </w:r>
      <w:r w:rsidRPr="00D62754">
        <w:rPr>
          <w:rFonts w:hint="eastAsia"/>
        </w:rPr>
        <w:t>。</w:t>
      </w:r>
    </w:p>
  </w:footnote>
  <w:footnote w:id="8">
    <w:p w:rsidR="00ED614B" w:rsidRPr="00C74996" w:rsidRDefault="00ED614B" w:rsidP="00ED614B">
      <w:pPr>
        <w:pStyle w:val="142"/>
        <w:ind w:left="83" w:hangingChars="34" w:hanging="83"/>
        <w:jc w:val="both"/>
      </w:pPr>
      <w:r>
        <w:rPr>
          <w:rStyle w:val="af3"/>
        </w:rPr>
        <w:footnoteRef/>
      </w:r>
      <w:r w:rsidRPr="00C74996">
        <w:rPr>
          <w:rFonts w:hint="eastAsia"/>
        </w:rPr>
        <w:t>參據行政院主計總處，行政院111年4月18日院授主預字第1110101170號函，一百十</w:t>
      </w:r>
      <w:r w:rsidR="00400C9D">
        <w:rPr>
          <w:rFonts w:hint="eastAsia"/>
        </w:rPr>
        <w:t>二</w:t>
      </w:r>
      <w:r w:rsidRPr="00C74996">
        <w:rPr>
          <w:rFonts w:hint="eastAsia"/>
        </w:rPr>
        <w:t>年度中央及地方政府預算籌編原則。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3CC" w:rsidRDefault="00A323CC">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3CC" w:rsidRDefault="00A323CC">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3CC" w:rsidRDefault="00A323CC">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CA1535">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2F6"/>
    <w:multiLevelType w:val="hybridMultilevel"/>
    <w:tmpl w:val="30E4F96E"/>
    <w:lvl w:ilvl="0" w:tplc="CA42F276">
      <w:start w:val="2"/>
      <w:numFmt w:val="bullet"/>
      <w:lvlText w:val="小"/>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6AC31603"/>
    <w:multiLevelType w:val="hybridMultilevel"/>
    <w:tmpl w:val="ACB29B82"/>
    <w:lvl w:ilvl="0" w:tplc="C7B603A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22A3"/>
    <w:rsid w:val="00002840"/>
    <w:rsid w:val="00002E1B"/>
    <w:rsid w:val="00002F13"/>
    <w:rsid w:val="00003CCF"/>
    <w:rsid w:val="00004457"/>
    <w:rsid w:val="00004DBE"/>
    <w:rsid w:val="00006E0E"/>
    <w:rsid w:val="0001157C"/>
    <w:rsid w:val="00011B4A"/>
    <w:rsid w:val="00011EDE"/>
    <w:rsid w:val="00012236"/>
    <w:rsid w:val="00012446"/>
    <w:rsid w:val="000128A0"/>
    <w:rsid w:val="00013C6B"/>
    <w:rsid w:val="00015075"/>
    <w:rsid w:val="00015081"/>
    <w:rsid w:val="0001656C"/>
    <w:rsid w:val="00016A05"/>
    <w:rsid w:val="00017D2E"/>
    <w:rsid w:val="00020155"/>
    <w:rsid w:val="0002194B"/>
    <w:rsid w:val="00022082"/>
    <w:rsid w:val="000221F5"/>
    <w:rsid w:val="00022BC7"/>
    <w:rsid w:val="00022DA7"/>
    <w:rsid w:val="00023BE7"/>
    <w:rsid w:val="00024676"/>
    <w:rsid w:val="00024A1C"/>
    <w:rsid w:val="00026B53"/>
    <w:rsid w:val="00027880"/>
    <w:rsid w:val="00030B9E"/>
    <w:rsid w:val="000310B2"/>
    <w:rsid w:val="00031166"/>
    <w:rsid w:val="00031679"/>
    <w:rsid w:val="00031E10"/>
    <w:rsid w:val="00031FB2"/>
    <w:rsid w:val="000326A5"/>
    <w:rsid w:val="0003358B"/>
    <w:rsid w:val="000344F7"/>
    <w:rsid w:val="00034886"/>
    <w:rsid w:val="000348F7"/>
    <w:rsid w:val="000352B9"/>
    <w:rsid w:val="00035F5C"/>
    <w:rsid w:val="00036FF3"/>
    <w:rsid w:val="000371CB"/>
    <w:rsid w:val="00040D42"/>
    <w:rsid w:val="000413B6"/>
    <w:rsid w:val="000413F8"/>
    <w:rsid w:val="000425F0"/>
    <w:rsid w:val="00042841"/>
    <w:rsid w:val="00043648"/>
    <w:rsid w:val="00044790"/>
    <w:rsid w:val="0004483A"/>
    <w:rsid w:val="00044899"/>
    <w:rsid w:val="00044C5C"/>
    <w:rsid w:val="0004614C"/>
    <w:rsid w:val="00046AA5"/>
    <w:rsid w:val="00047564"/>
    <w:rsid w:val="0005097C"/>
    <w:rsid w:val="00051157"/>
    <w:rsid w:val="00052F60"/>
    <w:rsid w:val="0005377F"/>
    <w:rsid w:val="00053E6A"/>
    <w:rsid w:val="00053EAE"/>
    <w:rsid w:val="00054B7E"/>
    <w:rsid w:val="00054D60"/>
    <w:rsid w:val="00054FDB"/>
    <w:rsid w:val="0005593D"/>
    <w:rsid w:val="0005598C"/>
    <w:rsid w:val="00055BE0"/>
    <w:rsid w:val="00055E38"/>
    <w:rsid w:val="000563F8"/>
    <w:rsid w:val="00056F9C"/>
    <w:rsid w:val="00057478"/>
    <w:rsid w:val="0006029E"/>
    <w:rsid w:val="00060E8D"/>
    <w:rsid w:val="00060FB7"/>
    <w:rsid w:val="00062B8C"/>
    <w:rsid w:val="00063EDB"/>
    <w:rsid w:val="000656E0"/>
    <w:rsid w:val="00065788"/>
    <w:rsid w:val="0006656B"/>
    <w:rsid w:val="00070293"/>
    <w:rsid w:val="00071CCC"/>
    <w:rsid w:val="000720EB"/>
    <w:rsid w:val="00075E52"/>
    <w:rsid w:val="00076C38"/>
    <w:rsid w:val="00076C42"/>
    <w:rsid w:val="0007755A"/>
    <w:rsid w:val="0008089F"/>
    <w:rsid w:val="00080921"/>
    <w:rsid w:val="00080D3A"/>
    <w:rsid w:val="0008171C"/>
    <w:rsid w:val="00081D57"/>
    <w:rsid w:val="00082017"/>
    <w:rsid w:val="000835A4"/>
    <w:rsid w:val="00084369"/>
    <w:rsid w:val="0008501A"/>
    <w:rsid w:val="0008574C"/>
    <w:rsid w:val="0008705C"/>
    <w:rsid w:val="00087138"/>
    <w:rsid w:val="000873D8"/>
    <w:rsid w:val="00090F61"/>
    <w:rsid w:val="000918FE"/>
    <w:rsid w:val="00091CE8"/>
    <w:rsid w:val="00093ADB"/>
    <w:rsid w:val="00095424"/>
    <w:rsid w:val="00095776"/>
    <w:rsid w:val="000A04B9"/>
    <w:rsid w:val="000A2A69"/>
    <w:rsid w:val="000A2B29"/>
    <w:rsid w:val="000A3FC3"/>
    <w:rsid w:val="000A4881"/>
    <w:rsid w:val="000A4C60"/>
    <w:rsid w:val="000A5CFD"/>
    <w:rsid w:val="000A61AF"/>
    <w:rsid w:val="000A66CA"/>
    <w:rsid w:val="000A6B3B"/>
    <w:rsid w:val="000A796A"/>
    <w:rsid w:val="000B03F8"/>
    <w:rsid w:val="000B15F9"/>
    <w:rsid w:val="000B1752"/>
    <w:rsid w:val="000B29D8"/>
    <w:rsid w:val="000B5771"/>
    <w:rsid w:val="000B5CF5"/>
    <w:rsid w:val="000C002E"/>
    <w:rsid w:val="000C0FB1"/>
    <w:rsid w:val="000C1F46"/>
    <w:rsid w:val="000C219B"/>
    <w:rsid w:val="000C2412"/>
    <w:rsid w:val="000C4EC4"/>
    <w:rsid w:val="000C5BE8"/>
    <w:rsid w:val="000C5D4D"/>
    <w:rsid w:val="000C5F91"/>
    <w:rsid w:val="000C605E"/>
    <w:rsid w:val="000D21EA"/>
    <w:rsid w:val="000D4308"/>
    <w:rsid w:val="000D47D5"/>
    <w:rsid w:val="000D49EB"/>
    <w:rsid w:val="000D4DA7"/>
    <w:rsid w:val="000D76EC"/>
    <w:rsid w:val="000D7CEB"/>
    <w:rsid w:val="000D7F60"/>
    <w:rsid w:val="000E010D"/>
    <w:rsid w:val="000E04C4"/>
    <w:rsid w:val="000E10BC"/>
    <w:rsid w:val="000E1F87"/>
    <w:rsid w:val="000E3442"/>
    <w:rsid w:val="000E55EF"/>
    <w:rsid w:val="000E595E"/>
    <w:rsid w:val="000E5C7F"/>
    <w:rsid w:val="000E6795"/>
    <w:rsid w:val="000E6D99"/>
    <w:rsid w:val="000E739D"/>
    <w:rsid w:val="000E7417"/>
    <w:rsid w:val="000E78C6"/>
    <w:rsid w:val="000E79F3"/>
    <w:rsid w:val="000E7C8D"/>
    <w:rsid w:val="000F0647"/>
    <w:rsid w:val="000F0B5D"/>
    <w:rsid w:val="000F38B5"/>
    <w:rsid w:val="000F3D2D"/>
    <w:rsid w:val="000F4CD6"/>
    <w:rsid w:val="000F6182"/>
    <w:rsid w:val="000F7570"/>
    <w:rsid w:val="00102663"/>
    <w:rsid w:val="00102C6B"/>
    <w:rsid w:val="00104866"/>
    <w:rsid w:val="00104AE6"/>
    <w:rsid w:val="0010528A"/>
    <w:rsid w:val="001057CF"/>
    <w:rsid w:val="00106BE1"/>
    <w:rsid w:val="00107CEC"/>
    <w:rsid w:val="0011167A"/>
    <w:rsid w:val="001117A2"/>
    <w:rsid w:val="00112D26"/>
    <w:rsid w:val="00113FC8"/>
    <w:rsid w:val="001144B6"/>
    <w:rsid w:val="00114FCA"/>
    <w:rsid w:val="0011547C"/>
    <w:rsid w:val="001154E5"/>
    <w:rsid w:val="001159F2"/>
    <w:rsid w:val="00121DE8"/>
    <w:rsid w:val="001228DA"/>
    <w:rsid w:val="00122AD0"/>
    <w:rsid w:val="00122B1B"/>
    <w:rsid w:val="00122EC7"/>
    <w:rsid w:val="00122FF3"/>
    <w:rsid w:val="001231AC"/>
    <w:rsid w:val="001237D8"/>
    <w:rsid w:val="00124CDB"/>
    <w:rsid w:val="00124F9D"/>
    <w:rsid w:val="0012530B"/>
    <w:rsid w:val="001253E6"/>
    <w:rsid w:val="00125BAB"/>
    <w:rsid w:val="00125C03"/>
    <w:rsid w:val="00126168"/>
    <w:rsid w:val="00127E15"/>
    <w:rsid w:val="001306E1"/>
    <w:rsid w:val="0013106C"/>
    <w:rsid w:val="00131947"/>
    <w:rsid w:val="001337B4"/>
    <w:rsid w:val="001339B8"/>
    <w:rsid w:val="00133CEA"/>
    <w:rsid w:val="00134110"/>
    <w:rsid w:val="00136F80"/>
    <w:rsid w:val="00141669"/>
    <w:rsid w:val="0014201A"/>
    <w:rsid w:val="0014202C"/>
    <w:rsid w:val="001429C7"/>
    <w:rsid w:val="00143021"/>
    <w:rsid w:val="001439D2"/>
    <w:rsid w:val="00144925"/>
    <w:rsid w:val="00145647"/>
    <w:rsid w:val="001467D4"/>
    <w:rsid w:val="0014706C"/>
    <w:rsid w:val="001470C3"/>
    <w:rsid w:val="00147297"/>
    <w:rsid w:val="001500AF"/>
    <w:rsid w:val="001504D5"/>
    <w:rsid w:val="0015065A"/>
    <w:rsid w:val="00150AC7"/>
    <w:rsid w:val="00150EFC"/>
    <w:rsid w:val="001512EE"/>
    <w:rsid w:val="00151471"/>
    <w:rsid w:val="00151A8B"/>
    <w:rsid w:val="0015239F"/>
    <w:rsid w:val="0015314B"/>
    <w:rsid w:val="00153D8F"/>
    <w:rsid w:val="00153FAA"/>
    <w:rsid w:val="00154A70"/>
    <w:rsid w:val="001564BD"/>
    <w:rsid w:val="0015656E"/>
    <w:rsid w:val="0015673C"/>
    <w:rsid w:val="00156DEB"/>
    <w:rsid w:val="00156E41"/>
    <w:rsid w:val="0015752B"/>
    <w:rsid w:val="00157BBC"/>
    <w:rsid w:val="00157DBD"/>
    <w:rsid w:val="00161E3F"/>
    <w:rsid w:val="001626C6"/>
    <w:rsid w:val="00162762"/>
    <w:rsid w:val="001629CC"/>
    <w:rsid w:val="00163928"/>
    <w:rsid w:val="00163D74"/>
    <w:rsid w:val="00163E1B"/>
    <w:rsid w:val="00163EC1"/>
    <w:rsid w:val="00164648"/>
    <w:rsid w:val="00165A69"/>
    <w:rsid w:val="00165F72"/>
    <w:rsid w:val="00166079"/>
    <w:rsid w:val="00166C1F"/>
    <w:rsid w:val="00166D5C"/>
    <w:rsid w:val="00166E4E"/>
    <w:rsid w:val="001671E1"/>
    <w:rsid w:val="00167C04"/>
    <w:rsid w:val="00171CFD"/>
    <w:rsid w:val="001720F0"/>
    <w:rsid w:val="00172B87"/>
    <w:rsid w:val="00172CBE"/>
    <w:rsid w:val="00175337"/>
    <w:rsid w:val="0017612E"/>
    <w:rsid w:val="00177D8D"/>
    <w:rsid w:val="00180B4D"/>
    <w:rsid w:val="001811CD"/>
    <w:rsid w:val="00181441"/>
    <w:rsid w:val="001815EA"/>
    <w:rsid w:val="00181978"/>
    <w:rsid w:val="00182712"/>
    <w:rsid w:val="00185BF2"/>
    <w:rsid w:val="00186269"/>
    <w:rsid w:val="00186662"/>
    <w:rsid w:val="0018733C"/>
    <w:rsid w:val="00187E97"/>
    <w:rsid w:val="001907B4"/>
    <w:rsid w:val="001911B8"/>
    <w:rsid w:val="00192C42"/>
    <w:rsid w:val="00193B83"/>
    <w:rsid w:val="00193E50"/>
    <w:rsid w:val="00194567"/>
    <w:rsid w:val="001957ED"/>
    <w:rsid w:val="0019692D"/>
    <w:rsid w:val="0019693B"/>
    <w:rsid w:val="001A1175"/>
    <w:rsid w:val="001A17AA"/>
    <w:rsid w:val="001A21FC"/>
    <w:rsid w:val="001A2C90"/>
    <w:rsid w:val="001A3032"/>
    <w:rsid w:val="001A321C"/>
    <w:rsid w:val="001A40B8"/>
    <w:rsid w:val="001A6456"/>
    <w:rsid w:val="001A6905"/>
    <w:rsid w:val="001A74DC"/>
    <w:rsid w:val="001B0D51"/>
    <w:rsid w:val="001B16BA"/>
    <w:rsid w:val="001B205F"/>
    <w:rsid w:val="001B2440"/>
    <w:rsid w:val="001B2813"/>
    <w:rsid w:val="001B3A35"/>
    <w:rsid w:val="001B41A8"/>
    <w:rsid w:val="001B41F3"/>
    <w:rsid w:val="001B511C"/>
    <w:rsid w:val="001B719A"/>
    <w:rsid w:val="001C0364"/>
    <w:rsid w:val="001C1C75"/>
    <w:rsid w:val="001C1D50"/>
    <w:rsid w:val="001C2949"/>
    <w:rsid w:val="001C2BC6"/>
    <w:rsid w:val="001C37C4"/>
    <w:rsid w:val="001C3CA8"/>
    <w:rsid w:val="001C4337"/>
    <w:rsid w:val="001C4A48"/>
    <w:rsid w:val="001C7077"/>
    <w:rsid w:val="001D229A"/>
    <w:rsid w:val="001D29D8"/>
    <w:rsid w:val="001D3AFF"/>
    <w:rsid w:val="001D4D9B"/>
    <w:rsid w:val="001D5A0C"/>
    <w:rsid w:val="001D73D5"/>
    <w:rsid w:val="001D7512"/>
    <w:rsid w:val="001D7B9C"/>
    <w:rsid w:val="001E0F53"/>
    <w:rsid w:val="001E23B9"/>
    <w:rsid w:val="001E2537"/>
    <w:rsid w:val="001E28AB"/>
    <w:rsid w:val="001E2BA5"/>
    <w:rsid w:val="001E3262"/>
    <w:rsid w:val="001E3B53"/>
    <w:rsid w:val="001E483F"/>
    <w:rsid w:val="001E4C15"/>
    <w:rsid w:val="001E4CB6"/>
    <w:rsid w:val="001E4F70"/>
    <w:rsid w:val="001E6143"/>
    <w:rsid w:val="001F4C23"/>
    <w:rsid w:val="001F4FF3"/>
    <w:rsid w:val="001F6808"/>
    <w:rsid w:val="00200514"/>
    <w:rsid w:val="0020070B"/>
    <w:rsid w:val="00200C1D"/>
    <w:rsid w:val="00201C16"/>
    <w:rsid w:val="00201F2B"/>
    <w:rsid w:val="00201F56"/>
    <w:rsid w:val="002022AF"/>
    <w:rsid w:val="00203276"/>
    <w:rsid w:val="00204725"/>
    <w:rsid w:val="0020567C"/>
    <w:rsid w:val="00205AE9"/>
    <w:rsid w:val="0020683A"/>
    <w:rsid w:val="00206BFA"/>
    <w:rsid w:val="00207F50"/>
    <w:rsid w:val="002105B3"/>
    <w:rsid w:val="002105C5"/>
    <w:rsid w:val="002119AC"/>
    <w:rsid w:val="00211C91"/>
    <w:rsid w:val="002123AA"/>
    <w:rsid w:val="00212DE8"/>
    <w:rsid w:val="00213452"/>
    <w:rsid w:val="00213B3D"/>
    <w:rsid w:val="0021436C"/>
    <w:rsid w:val="00214898"/>
    <w:rsid w:val="002153F5"/>
    <w:rsid w:val="00215971"/>
    <w:rsid w:val="00216555"/>
    <w:rsid w:val="0021680B"/>
    <w:rsid w:val="00216BFA"/>
    <w:rsid w:val="00217C83"/>
    <w:rsid w:val="00220045"/>
    <w:rsid w:val="00221BA5"/>
    <w:rsid w:val="00221F4A"/>
    <w:rsid w:val="002228FA"/>
    <w:rsid w:val="00223EA3"/>
    <w:rsid w:val="00224EEB"/>
    <w:rsid w:val="0022532B"/>
    <w:rsid w:val="00226C30"/>
    <w:rsid w:val="00230BB5"/>
    <w:rsid w:val="002319A4"/>
    <w:rsid w:val="00232766"/>
    <w:rsid w:val="00232BEB"/>
    <w:rsid w:val="002330DB"/>
    <w:rsid w:val="0023337A"/>
    <w:rsid w:val="00233481"/>
    <w:rsid w:val="002344A8"/>
    <w:rsid w:val="0023569C"/>
    <w:rsid w:val="00235794"/>
    <w:rsid w:val="00235EDC"/>
    <w:rsid w:val="002361EB"/>
    <w:rsid w:val="00240339"/>
    <w:rsid w:val="00241E54"/>
    <w:rsid w:val="00242D40"/>
    <w:rsid w:val="00245282"/>
    <w:rsid w:val="002461B0"/>
    <w:rsid w:val="00246AC2"/>
    <w:rsid w:val="00247659"/>
    <w:rsid w:val="002479CA"/>
    <w:rsid w:val="00247BF0"/>
    <w:rsid w:val="002502C3"/>
    <w:rsid w:val="002508F5"/>
    <w:rsid w:val="00250BF7"/>
    <w:rsid w:val="00250EFC"/>
    <w:rsid w:val="00251B5D"/>
    <w:rsid w:val="00251DB8"/>
    <w:rsid w:val="00253742"/>
    <w:rsid w:val="00253A1A"/>
    <w:rsid w:val="002546D4"/>
    <w:rsid w:val="00255385"/>
    <w:rsid w:val="002558B5"/>
    <w:rsid w:val="002579E7"/>
    <w:rsid w:val="00257A3C"/>
    <w:rsid w:val="002610DA"/>
    <w:rsid w:val="00261972"/>
    <w:rsid w:val="00261F68"/>
    <w:rsid w:val="002626E3"/>
    <w:rsid w:val="002631C8"/>
    <w:rsid w:val="0026371C"/>
    <w:rsid w:val="00263A52"/>
    <w:rsid w:val="00264268"/>
    <w:rsid w:val="00264286"/>
    <w:rsid w:val="00265236"/>
    <w:rsid w:val="002653D7"/>
    <w:rsid w:val="002653FD"/>
    <w:rsid w:val="0026608D"/>
    <w:rsid w:val="00266EC8"/>
    <w:rsid w:val="00267256"/>
    <w:rsid w:val="002673C6"/>
    <w:rsid w:val="0027159C"/>
    <w:rsid w:val="00271F9E"/>
    <w:rsid w:val="00272257"/>
    <w:rsid w:val="00272610"/>
    <w:rsid w:val="0027261F"/>
    <w:rsid w:val="00272690"/>
    <w:rsid w:val="00272A1C"/>
    <w:rsid w:val="002741EF"/>
    <w:rsid w:val="00275845"/>
    <w:rsid w:val="00275EAC"/>
    <w:rsid w:val="0027628E"/>
    <w:rsid w:val="002765BB"/>
    <w:rsid w:val="00281A78"/>
    <w:rsid w:val="002826C2"/>
    <w:rsid w:val="00282777"/>
    <w:rsid w:val="00282EAC"/>
    <w:rsid w:val="002832EA"/>
    <w:rsid w:val="00283799"/>
    <w:rsid w:val="00283C45"/>
    <w:rsid w:val="00284929"/>
    <w:rsid w:val="002858F4"/>
    <w:rsid w:val="0028698C"/>
    <w:rsid w:val="002869C8"/>
    <w:rsid w:val="00287B4B"/>
    <w:rsid w:val="002900D6"/>
    <w:rsid w:val="00290326"/>
    <w:rsid w:val="00290A06"/>
    <w:rsid w:val="00291767"/>
    <w:rsid w:val="00292140"/>
    <w:rsid w:val="00292E75"/>
    <w:rsid w:val="00296AA7"/>
    <w:rsid w:val="00296AE1"/>
    <w:rsid w:val="00296F08"/>
    <w:rsid w:val="00297284"/>
    <w:rsid w:val="002975E9"/>
    <w:rsid w:val="002977D0"/>
    <w:rsid w:val="002A0457"/>
    <w:rsid w:val="002A10A6"/>
    <w:rsid w:val="002A39D7"/>
    <w:rsid w:val="002A4C0E"/>
    <w:rsid w:val="002A61B1"/>
    <w:rsid w:val="002A6C6B"/>
    <w:rsid w:val="002B3FE8"/>
    <w:rsid w:val="002B4589"/>
    <w:rsid w:val="002B46A9"/>
    <w:rsid w:val="002B4BAA"/>
    <w:rsid w:val="002B55AC"/>
    <w:rsid w:val="002B6B44"/>
    <w:rsid w:val="002B7FE7"/>
    <w:rsid w:val="002C0018"/>
    <w:rsid w:val="002C0B34"/>
    <w:rsid w:val="002C117C"/>
    <w:rsid w:val="002C1694"/>
    <w:rsid w:val="002C2DAD"/>
    <w:rsid w:val="002C2EED"/>
    <w:rsid w:val="002C346C"/>
    <w:rsid w:val="002C359B"/>
    <w:rsid w:val="002C47E5"/>
    <w:rsid w:val="002C5335"/>
    <w:rsid w:val="002C56B0"/>
    <w:rsid w:val="002C603B"/>
    <w:rsid w:val="002C7888"/>
    <w:rsid w:val="002D1D40"/>
    <w:rsid w:val="002D437A"/>
    <w:rsid w:val="002D45FC"/>
    <w:rsid w:val="002D4CE3"/>
    <w:rsid w:val="002D50F0"/>
    <w:rsid w:val="002D5892"/>
    <w:rsid w:val="002D593E"/>
    <w:rsid w:val="002D5A7E"/>
    <w:rsid w:val="002D6713"/>
    <w:rsid w:val="002D6DD3"/>
    <w:rsid w:val="002D77D3"/>
    <w:rsid w:val="002D78C7"/>
    <w:rsid w:val="002D7C84"/>
    <w:rsid w:val="002D7F74"/>
    <w:rsid w:val="002E3525"/>
    <w:rsid w:val="002E41E1"/>
    <w:rsid w:val="002E43FB"/>
    <w:rsid w:val="002E4863"/>
    <w:rsid w:val="002E4D07"/>
    <w:rsid w:val="002E57EF"/>
    <w:rsid w:val="002E59C8"/>
    <w:rsid w:val="002E770E"/>
    <w:rsid w:val="002E7B13"/>
    <w:rsid w:val="002F0A83"/>
    <w:rsid w:val="002F16CF"/>
    <w:rsid w:val="002F2CED"/>
    <w:rsid w:val="002F2F03"/>
    <w:rsid w:val="002F3537"/>
    <w:rsid w:val="002F4F4A"/>
    <w:rsid w:val="002F5763"/>
    <w:rsid w:val="002F5C37"/>
    <w:rsid w:val="002F67BA"/>
    <w:rsid w:val="003048C4"/>
    <w:rsid w:val="00304C67"/>
    <w:rsid w:val="00305B6E"/>
    <w:rsid w:val="00305D95"/>
    <w:rsid w:val="0030682D"/>
    <w:rsid w:val="00306A29"/>
    <w:rsid w:val="00310A28"/>
    <w:rsid w:val="00310ECC"/>
    <w:rsid w:val="003114D7"/>
    <w:rsid w:val="00312B4D"/>
    <w:rsid w:val="00312BDA"/>
    <w:rsid w:val="00312F17"/>
    <w:rsid w:val="00313B6B"/>
    <w:rsid w:val="00313E50"/>
    <w:rsid w:val="003147C0"/>
    <w:rsid w:val="00315677"/>
    <w:rsid w:val="00315E3A"/>
    <w:rsid w:val="003172BE"/>
    <w:rsid w:val="003177F4"/>
    <w:rsid w:val="003205E9"/>
    <w:rsid w:val="00320A3C"/>
    <w:rsid w:val="00320FEC"/>
    <w:rsid w:val="00321BB3"/>
    <w:rsid w:val="00322912"/>
    <w:rsid w:val="00323C6D"/>
    <w:rsid w:val="0032514B"/>
    <w:rsid w:val="00325176"/>
    <w:rsid w:val="00325523"/>
    <w:rsid w:val="00325907"/>
    <w:rsid w:val="00325CD0"/>
    <w:rsid w:val="003263D7"/>
    <w:rsid w:val="00326ABC"/>
    <w:rsid w:val="00326BD8"/>
    <w:rsid w:val="003278C3"/>
    <w:rsid w:val="00327B5E"/>
    <w:rsid w:val="00327C54"/>
    <w:rsid w:val="003303FF"/>
    <w:rsid w:val="00330F7D"/>
    <w:rsid w:val="00331B7A"/>
    <w:rsid w:val="00331E6D"/>
    <w:rsid w:val="00332229"/>
    <w:rsid w:val="00332666"/>
    <w:rsid w:val="00333544"/>
    <w:rsid w:val="00334668"/>
    <w:rsid w:val="00334F33"/>
    <w:rsid w:val="00335724"/>
    <w:rsid w:val="003368B3"/>
    <w:rsid w:val="003373D9"/>
    <w:rsid w:val="00341B84"/>
    <w:rsid w:val="003437E0"/>
    <w:rsid w:val="00344256"/>
    <w:rsid w:val="00344C16"/>
    <w:rsid w:val="00345011"/>
    <w:rsid w:val="003450FD"/>
    <w:rsid w:val="00345DAD"/>
    <w:rsid w:val="00345F88"/>
    <w:rsid w:val="003460A7"/>
    <w:rsid w:val="00346AE1"/>
    <w:rsid w:val="00350B7E"/>
    <w:rsid w:val="003519B3"/>
    <w:rsid w:val="00351BAE"/>
    <w:rsid w:val="00351BB7"/>
    <w:rsid w:val="00351D27"/>
    <w:rsid w:val="0035297A"/>
    <w:rsid w:val="003539ED"/>
    <w:rsid w:val="00353D10"/>
    <w:rsid w:val="003549DD"/>
    <w:rsid w:val="00355082"/>
    <w:rsid w:val="00355564"/>
    <w:rsid w:val="00355707"/>
    <w:rsid w:val="00355EB4"/>
    <w:rsid w:val="003562C5"/>
    <w:rsid w:val="00356524"/>
    <w:rsid w:val="00356DB0"/>
    <w:rsid w:val="00360A6C"/>
    <w:rsid w:val="00361571"/>
    <w:rsid w:val="00361F49"/>
    <w:rsid w:val="003627FF"/>
    <w:rsid w:val="00363C63"/>
    <w:rsid w:val="00364EE5"/>
    <w:rsid w:val="0036507B"/>
    <w:rsid w:val="0036530B"/>
    <w:rsid w:val="003653C4"/>
    <w:rsid w:val="003657B2"/>
    <w:rsid w:val="0037019E"/>
    <w:rsid w:val="003703A2"/>
    <w:rsid w:val="00370F64"/>
    <w:rsid w:val="00371C5F"/>
    <w:rsid w:val="00371C6E"/>
    <w:rsid w:val="003727E4"/>
    <w:rsid w:val="0037294E"/>
    <w:rsid w:val="003741B6"/>
    <w:rsid w:val="003751F5"/>
    <w:rsid w:val="003756FE"/>
    <w:rsid w:val="00375B9B"/>
    <w:rsid w:val="00376756"/>
    <w:rsid w:val="0037695D"/>
    <w:rsid w:val="00377F6E"/>
    <w:rsid w:val="00380FAA"/>
    <w:rsid w:val="00381F01"/>
    <w:rsid w:val="00382889"/>
    <w:rsid w:val="003829F8"/>
    <w:rsid w:val="00384903"/>
    <w:rsid w:val="00384F53"/>
    <w:rsid w:val="003868F1"/>
    <w:rsid w:val="0038697C"/>
    <w:rsid w:val="00386EBA"/>
    <w:rsid w:val="00386FF7"/>
    <w:rsid w:val="003872AA"/>
    <w:rsid w:val="0038766E"/>
    <w:rsid w:val="00387732"/>
    <w:rsid w:val="00387F06"/>
    <w:rsid w:val="00390016"/>
    <w:rsid w:val="003903E4"/>
    <w:rsid w:val="00390D20"/>
    <w:rsid w:val="003913BB"/>
    <w:rsid w:val="00391585"/>
    <w:rsid w:val="0039185A"/>
    <w:rsid w:val="00392EF6"/>
    <w:rsid w:val="0039391A"/>
    <w:rsid w:val="003943E0"/>
    <w:rsid w:val="003960AA"/>
    <w:rsid w:val="003964B1"/>
    <w:rsid w:val="0039675B"/>
    <w:rsid w:val="00397DDD"/>
    <w:rsid w:val="003A063B"/>
    <w:rsid w:val="003A1E2D"/>
    <w:rsid w:val="003A282E"/>
    <w:rsid w:val="003A30D3"/>
    <w:rsid w:val="003A5619"/>
    <w:rsid w:val="003A5A50"/>
    <w:rsid w:val="003A5C0F"/>
    <w:rsid w:val="003A6EAF"/>
    <w:rsid w:val="003B1293"/>
    <w:rsid w:val="003B2F30"/>
    <w:rsid w:val="003B3076"/>
    <w:rsid w:val="003B3146"/>
    <w:rsid w:val="003B39D4"/>
    <w:rsid w:val="003B44F3"/>
    <w:rsid w:val="003B46D8"/>
    <w:rsid w:val="003B4C04"/>
    <w:rsid w:val="003B5118"/>
    <w:rsid w:val="003B5DCA"/>
    <w:rsid w:val="003B675F"/>
    <w:rsid w:val="003B77BB"/>
    <w:rsid w:val="003B77D9"/>
    <w:rsid w:val="003C1BF2"/>
    <w:rsid w:val="003C2D05"/>
    <w:rsid w:val="003C3A7D"/>
    <w:rsid w:val="003C3DFD"/>
    <w:rsid w:val="003C476F"/>
    <w:rsid w:val="003C4C10"/>
    <w:rsid w:val="003C526E"/>
    <w:rsid w:val="003C6EF4"/>
    <w:rsid w:val="003D0196"/>
    <w:rsid w:val="003D0742"/>
    <w:rsid w:val="003D1287"/>
    <w:rsid w:val="003D15EB"/>
    <w:rsid w:val="003D1E90"/>
    <w:rsid w:val="003D271B"/>
    <w:rsid w:val="003D278D"/>
    <w:rsid w:val="003D2A92"/>
    <w:rsid w:val="003D36BA"/>
    <w:rsid w:val="003D3B19"/>
    <w:rsid w:val="003D4050"/>
    <w:rsid w:val="003D4FDB"/>
    <w:rsid w:val="003D622C"/>
    <w:rsid w:val="003D7429"/>
    <w:rsid w:val="003E0A57"/>
    <w:rsid w:val="003E0C18"/>
    <w:rsid w:val="003E223B"/>
    <w:rsid w:val="003E38B8"/>
    <w:rsid w:val="003E411D"/>
    <w:rsid w:val="003E45B1"/>
    <w:rsid w:val="003E6237"/>
    <w:rsid w:val="003E68D0"/>
    <w:rsid w:val="003E6911"/>
    <w:rsid w:val="003E6FE9"/>
    <w:rsid w:val="003E6FF5"/>
    <w:rsid w:val="003E775D"/>
    <w:rsid w:val="003E7B1A"/>
    <w:rsid w:val="003F00E7"/>
    <w:rsid w:val="003F05CF"/>
    <w:rsid w:val="003F1820"/>
    <w:rsid w:val="003F1FB9"/>
    <w:rsid w:val="003F208E"/>
    <w:rsid w:val="003F2D65"/>
    <w:rsid w:val="003F3602"/>
    <w:rsid w:val="003F49BC"/>
    <w:rsid w:val="003F5094"/>
    <w:rsid w:val="003F6260"/>
    <w:rsid w:val="003F64CD"/>
    <w:rsid w:val="003F7E13"/>
    <w:rsid w:val="004006AF"/>
    <w:rsid w:val="00400B4A"/>
    <w:rsid w:val="00400C9D"/>
    <w:rsid w:val="00400E9E"/>
    <w:rsid w:val="00402178"/>
    <w:rsid w:val="00402C01"/>
    <w:rsid w:val="00403A9F"/>
    <w:rsid w:val="00405401"/>
    <w:rsid w:val="00406661"/>
    <w:rsid w:val="00406A54"/>
    <w:rsid w:val="00406A7E"/>
    <w:rsid w:val="00411A42"/>
    <w:rsid w:val="0041298C"/>
    <w:rsid w:val="00413BB3"/>
    <w:rsid w:val="00414746"/>
    <w:rsid w:val="00415902"/>
    <w:rsid w:val="00415FBD"/>
    <w:rsid w:val="004164E4"/>
    <w:rsid w:val="00417C09"/>
    <w:rsid w:val="00417C0D"/>
    <w:rsid w:val="00417D8B"/>
    <w:rsid w:val="00420E0E"/>
    <w:rsid w:val="00421203"/>
    <w:rsid w:val="004218F3"/>
    <w:rsid w:val="00422A4F"/>
    <w:rsid w:val="0042346A"/>
    <w:rsid w:val="00423D8B"/>
    <w:rsid w:val="00423F55"/>
    <w:rsid w:val="004246EF"/>
    <w:rsid w:val="00425C02"/>
    <w:rsid w:val="00425F1C"/>
    <w:rsid w:val="00425F8F"/>
    <w:rsid w:val="00426265"/>
    <w:rsid w:val="0042661B"/>
    <w:rsid w:val="0043016E"/>
    <w:rsid w:val="00430295"/>
    <w:rsid w:val="00430FB5"/>
    <w:rsid w:val="00431099"/>
    <w:rsid w:val="00431504"/>
    <w:rsid w:val="00432458"/>
    <w:rsid w:val="00432BFE"/>
    <w:rsid w:val="00432D2D"/>
    <w:rsid w:val="00433322"/>
    <w:rsid w:val="0043355A"/>
    <w:rsid w:val="00433978"/>
    <w:rsid w:val="0043414D"/>
    <w:rsid w:val="00434287"/>
    <w:rsid w:val="00435D0A"/>
    <w:rsid w:val="00436D8F"/>
    <w:rsid w:val="00436F6D"/>
    <w:rsid w:val="004374D6"/>
    <w:rsid w:val="004405BB"/>
    <w:rsid w:val="00440F63"/>
    <w:rsid w:val="00441F18"/>
    <w:rsid w:val="00442589"/>
    <w:rsid w:val="00443223"/>
    <w:rsid w:val="004439EF"/>
    <w:rsid w:val="00443D5D"/>
    <w:rsid w:val="004450DC"/>
    <w:rsid w:val="00445148"/>
    <w:rsid w:val="00445220"/>
    <w:rsid w:val="0044548B"/>
    <w:rsid w:val="00445A37"/>
    <w:rsid w:val="004479B1"/>
    <w:rsid w:val="00447F7B"/>
    <w:rsid w:val="00450128"/>
    <w:rsid w:val="00450259"/>
    <w:rsid w:val="004507B8"/>
    <w:rsid w:val="0045127E"/>
    <w:rsid w:val="00451622"/>
    <w:rsid w:val="00451C65"/>
    <w:rsid w:val="004530A8"/>
    <w:rsid w:val="004532D0"/>
    <w:rsid w:val="00453E75"/>
    <w:rsid w:val="004555F1"/>
    <w:rsid w:val="00455B57"/>
    <w:rsid w:val="004561B0"/>
    <w:rsid w:val="00456BBE"/>
    <w:rsid w:val="00456BE3"/>
    <w:rsid w:val="00457030"/>
    <w:rsid w:val="00457235"/>
    <w:rsid w:val="00457AA2"/>
    <w:rsid w:val="00457D42"/>
    <w:rsid w:val="0046072E"/>
    <w:rsid w:val="00460ADD"/>
    <w:rsid w:val="004611BB"/>
    <w:rsid w:val="004615AD"/>
    <w:rsid w:val="004619A3"/>
    <w:rsid w:val="00461D2B"/>
    <w:rsid w:val="00462523"/>
    <w:rsid w:val="00462694"/>
    <w:rsid w:val="00462BC2"/>
    <w:rsid w:val="00462EA9"/>
    <w:rsid w:val="00463816"/>
    <w:rsid w:val="00463BFD"/>
    <w:rsid w:val="0046434C"/>
    <w:rsid w:val="004657E7"/>
    <w:rsid w:val="0046667D"/>
    <w:rsid w:val="00466B76"/>
    <w:rsid w:val="00467434"/>
    <w:rsid w:val="0046767F"/>
    <w:rsid w:val="004678E9"/>
    <w:rsid w:val="004709D9"/>
    <w:rsid w:val="00470B68"/>
    <w:rsid w:val="004714C2"/>
    <w:rsid w:val="00471A06"/>
    <w:rsid w:val="00472379"/>
    <w:rsid w:val="004727CF"/>
    <w:rsid w:val="00472AB7"/>
    <w:rsid w:val="00474334"/>
    <w:rsid w:val="004744F5"/>
    <w:rsid w:val="0047574E"/>
    <w:rsid w:val="00476531"/>
    <w:rsid w:val="00477029"/>
    <w:rsid w:val="0047734A"/>
    <w:rsid w:val="00477F7D"/>
    <w:rsid w:val="0048072B"/>
    <w:rsid w:val="00480F3C"/>
    <w:rsid w:val="004816D4"/>
    <w:rsid w:val="00481D61"/>
    <w:rsid w:val="004822E1"/>
    <w:rsid w:val="00483DB1"/>
    <w:rsid w:val="00484C95"/>
    <w:rsid w:val="00485362"/>
    <w:rsid w:val="0048594C"/>
    <w:rsid w:val="00485F74"/>
    <w:rsid w:val="0048789C"/>
    <w:rsid w:val="00490DA3"/>
    <w:rsid w:val="00492572"/>
    <w:rsid w:val="0049291D"/>
    <w:rsid w:val="00492D5E"/>
    <w:rsid w:val="00493340"/>
    <w:rsid w:val="004934D8"/>
    <w:rsid w:val="00494A0D"/>
    <w:rsid w:val="00494D9A"/>
    <w:rsid w:val="004978A3"/>
    <w:rsid w:val="004A1555"/>
    <w:rsid w:val="004A1A1D"/>
    <w:rsid w:val="004A2D2C"/>
    <w:rsid w:val="004A3151"/>
    <w:rsid w:val="004A5051"/>
    <w:rsid w:val="004A54F9"/>
    <w:rsid w:val="004A6AFA"/>
    <w:rsid w:val="004A6BD8"/>
    <w:rsid w:val="004A6CB9"/>
    <w:rsid w:val="004A6EC4"/>
    <w:rsid w:val="004A7F49"/>
    <w:rsid w:val="004B0AD7"/>
    <w:rsid w:val="004B0F60"/>
    <w:rsid w:val="004B4DAE"/>
    <w:rsid w:val="004B5832"/>
    <w:rsid w:val="004B5933"/>
    <w:rsid w:val="004B5A58"/>
    <w:rsid w:val="004B6413"/>
    <w:rsid w:val="004C16F8"/>
    <w:rsid w:val="004C2303"/>
    <w:rsid w:val="004C24EB"/>
    <w:rsid w:val="004C3337"/>
    <w:rsid w:val="004C3831"/>
    <w:rsid w:val="004C39F1"/>
    <w:rsid w:val="004C4874"/>
    <w:rsid w:val="004C543E"/>
    <w:rsid w:val="004C60CD"/>
    <w:rsid w:val="004C6E8D"/>
    <w:rsid w:val="004C777F"/>
    <w:rsid w:val="004D007E"/>
    <w:rsid w:val="004D0F71"/>
    <w:rsid w:val="004D2DEC"/>
    <w:rsid w:val="004D3001"/>
    <w:rsid w:val="004D3264"/>
    <w:rsid w:val="004D35A0"/>
    <w:rsid w:val="004D39BD"/>
    <w:rsid w:val="004D4169"/>
    <w:rsid w:val="004D4AF0"/>
    <w:rsid w:val="004D5797"/>
    <w:rsid w:val="004D669B"/>
    <w:rsid w:val="004D6ED3"/>
    <w:rsid w:val="004D7745"/>
    <w:rsid w:val="004E0390"/>
    <w:rsid w:val="004E0758"/>
    <w:rsid w:val="004E0C7E"/>
    <w:rsid w:val="004E1FDA"/>
    <w:rsid w:val="004E2254"/>
    <w:rsid w:val="004E292D"/>
    <w:rsid w:val="004E3888"/>
    <w:rsid w:val="004E51DD"/>
    <w:rsid w:val="004E610E"/>
    <w:rsid w:val="004E6B4D"/>
    <w:rsid w:val="004E6C67"/>
    <w:rsid w:val="004E6E7E"/>
    <w:rsid w:val="004F0613"/>
    <w:rsid w:val="004F064F"/>
    <w:rsid w:val="004F1D03"/>
    <w:rsid w:val="004F3317"/>
    <w:rsid w:val="004F474D"/>
    <w:rsid w:val="004F5849"/>
    <w:rsid w:val="004F59CB"/>
    <w:rsid w:val="004F60B0"/>
    <w:rsid w:val="004F6C96"/>
    <w:rsid w:val="004F6CDD"/>
    <w:rsid w:val="005022AF"/>
    <w:rsid w:val="00502772"/>
    <w:rsid w:val="005027C7"/>
    <w:rsid w:val="00502D8A"/>
    <w:rsid w:val="0050384E"/>
    <w:rsid w:val="00503A33"/>
    <w:rsid w:val="00504144"/>
    <w:rsid w:val="0050587F"/>
    <w:rsid w:val="00505A2C"/>
    <w:rsid w:val="00505EB9"/>
    <w:rsid w:val="00507F9A"/>
    <w:rsid w:val="00510AA3"/>
    <w:rsid w:val="00512A48"/>
    <w:rsid w:val="00512E40"/>
    <w:rsid w:val="00513C27"/>
    <w:rsid w:val="00513FD8"/>
    <w:rsid w:val="0051442C"/>
    <w:rsid w:val="00514785"/>
    <w:rsid w:val="0051539F"/>
    <w:rsid w:val="0051619B"/>
    <w:rsid w:val="005171A5"/>
    <w:rsid w:val="00517E30"/>
    <w:rsid w:val="00521574"/>
    <w:rsid w:val="0052187B"/>
    <w:rsid w:val="00521A61"/>
    <w:rsid w:val="0052218F"/>
    <w:rsid w:val="005247F6"/>
    <w:rsid w:val="0052594F"/>
    <w:rsid w:val="0052642A"/>
    <w:rsid w:val="00526C4A"/>
    <w:rsid w:val="00527B5B"/>
    <w:rsid w:val="00527C2E"/>
    <w:rsid w:val="00527DA2"/>
    <w:rsid w:val="00530FCD"/>
    <w:rsid w:val="0053152C"/>
    <w:rsid w:val="005316CF"/>
    <w:rsid w:val="00531C2A"/>
    <w:rsid w:val="00532D45"/>
    <w:rsid w:val="00533294"/>
    <w:rsid w:val="00533634"/>
    <w:rsid w:val="005337CC"/>
    <w:rsid w:val="005340C6"/>
    <w:rsid w:val="00534144"/>
    <w:rsid w:val="0053462B"/>
    <w:rsid w:val="00534841"/>
    <w:rsid w:val="005349A3"/>
    <w:rsid w:val="00534EBC"/>
    <w:rsid w:val="00536002"/>
    <w:rsid w:val="005364EC"/>
    <w:rsid w:val="005368F3"/>
    <w:rsid w:val="00536A09"/>
    <w:rsid w:val="0053701C"/>
    <w:rsid w:val="00537681"/>
    <w:rsid w:val="00540E79"/>
    <w:rsid w:val="00540EF3"/>
    <w:rsid w:val="00541736"/>
    <w:rsid w:val="0054194B"/>
    <w:rsid w:val="00543394"/>
    <w:rsid w:val="0054556E"/>
    <w:rsid w:val="00545E71"/>
    <w:rsid w:val="0054610D"/>
    <w:rsid w:val="00546C1E"/>
    <w:rsid w:val="005508D6"/>
    <w:rsid w:val="0055315F"/>
    <w:rsid w:val="0055474B"/>
    <w:rsid w:val="00555242"/>
    <w:rsid w:val="00556CC2"/>
    <w:rsid w:val="00557998"/>
    <w:rsid w:val="005600C0"/>
    <w:rsid w:val="005611A6"/>
    <w:rsid w:val="00561925"/>
    <w:rsid w:val="00561CF1"/>
    <w:rsid w:val="005623A3"/>
    <w:rsid w:val="00562866"/>
    <w:rsid w:val="005629DF"/>
    <w:rsid w:val="0056311A"/>
    <w:rsid w:val="0056319A"/>
    <w:rsid w:val="00564895"/>
    <w:rsid w:val="00564D69"/>
    <w:rsid w:val="005654CC"/>
    <w:rsid w:val="00565726"/>
    <w:rsid w:val="00566249"/>
    <w:rsid w:val="005664A8"/>
    <w:rsid w:val="00566848"/>
    <w:rsid w:val="00566928"/>
    <w:rsid w:val="005669C0"/>
    <w:rsid w:val="00566B7A"/>
    <w:rsid w:val="00566E88"/>
    <w:rsid w:val="00566FF9"/>
    <w:rsid w:val="005672E6"/>
    <w:rsid w:val="00570672"/>
    <w:rsid w:val="00570BCC"/>
    <w:rsid w:val="005714CB"/>
    <w:rsid w:val="00571975"/>
    <w:rsid w:val="005719CA"/>
    <w:rsid w:val="00571A29"/>
    <w:rsid w:val="005723F6"/>
    <w:rsid w:val="00575654"/>
    <w:rsid w:val="0057663A"/>
    <w:rsid w:val="00577551"/>
    <w:rsid w:val="00580E3A"/>
    <w:rsid w:val="00581216"/>
    <w:rsid w:val="00581DC4"/>
    <w:rsid w:val="005828AE"/>
    <w:rsid w:val="005831A3"/>
    <w:rsid w:val="00583DFA"/>
    <w:rsid w:val="005843EC"/>
    <w:rsid w:val="00584972"/>
    <w:rsid w:val="0058537E"/>
    <w:rsid w:val="00585713"/>
    <w:rsid w:val="0058579A"/>
    <w:rsid w:val="00585942"/>
    <w:rsid w:val="00585E38"/>
    <w:rsid w:val="005862BE"/>
    <w:rsid w:val="005874C0"/>
    <w:rsid w:val="00587D65"/>
    <w:rsid w:val="00590780"/>
    <w:rsid w:val="00591E34"/>
    <w:rsid w:val="00591F68"/>
    <w:rsid w:val="00592071"/>
    <w:rsid w:val="005931F0"/>
    <w:rsid w:val="005935CA"/>
    <w:rsid w:val="00593807"/>
    <w:rsid w:val="00593BFC"/>
    <w:rsid w:val="0059448C"/>
    <w:rsid w:val="00595A8B"/>
    <w:rsid w:val="005962CE"/>
    <w:rsid w:val="00597A74"/>
    <w:rsid w:val="00597AED"/>
    <w:rsid w:val="005A2726"/>
    <w:rsid w:val="005A2E23"/>
    <w:rsid w:val="005A36D5"/>
    <w:rsid w:val="005A52A7"/>
    <w:rsid w:val="005A5353"/>
    <w:rsid w:val="005A58A4"/>
    <w:rsid w:val="005A5980"/>
    <w:rsid w:val="005A5EBA"/>
    <w:rsid w:val="005A7441"/>
    <w:rsid w:val="005B0C59"/>
    <w:rsid w:val="005B0C9D"/>
    <w:rsid w:val="005B1A2B"/>
    <w:rsid w:val="005B3560"/>
    <w:rsid w:val="005B3563"/>
    <w:rsid w:val="005B370B"/>
    <w:rsid w:val="005B49EB"/>
    <w:rsid w:val="005B4B5D"/>
    <w:rsid w:val="005B50A0"/>
    <w:rsid w:val="005B5403"/>
    <w:rsid w:val="005B5C75"/>
    <w:rsid w:val="005B5D82"/>
    <w:rsid w:val="005B74BC"/>
    <w:rsid w:val="005B7667"/>
    <w:rsid w:val="005C21BD"/>
    <w:rsid w:val="005C282F"/>
    <w:rsid w:val="005C290A"/>
    <w:rsid w:val="005C3C0B"/>
    <w:rsid w:val="005C3FED"/>
    <w:rsid w:val="005C467F"/>
    <w:rsid w:val="005C4DDC"/>
    <w:rsid w:val="005C50BB"/>
    <w:rsid w:val="005C5431"/>
    <w:rsid w:val="005C5455"/>
    <w:rsid w:val="005C633F"/>
    <w:rsid w:val="005C6D76"/>
    <w:rsid w:val="005C6F1A"/>
    <w:rsid w:val="005D031F"/>
    <w:rsid w:val="005D1666"/>
    <w:rsid w:val="005D2AE2"/>
    <w:rsid w:val="005D2F88"/>
    <w:rsid w:val="005D41C1"/>
    <w:rsid w:val="005D581C"/>
    <w:rsid w:val="005D6055"/>
    <w:rsid w:val="005D6AAA"/>
    <w:rsid w:val="005D7CC3"/>
    <w:rsid w:val="005D7FFB"/>
    <w:rsid w:val="005E036E"/>
    <w:rsid w:val="005E0597"/>
    <w:rsid w:val="005E0A5A"/>
    <w:rsid w:val="005E0DCB"/>
    <w:rsid w:val="005E317E"/>
    <w:rsid w:val="005E3E7A"/>
    <w:rsid w:val="005E4CE5"/>
    <w:rsid w:val="005E51A9"/>
    <w:rsid w:val="005E63DE"/>
    <w:rsid w:val="005E662E"/>
    <w:rsid w:val="005E6A75"/>
    <w:rsid w:val="005E6C50"/>
    <w:rsid w:val="005E77DD"/>
    <w:rsid w:val="005E7832"/>
    <w:rsid w:val="005F094E"/>
    <w:rsid w:val="005F1D0E"/>
    <w:rsid w:val="005F3FF8"/>
    <w:rsid w:val="005F4B68"/>
    <w:rsid w:val="005F5034"/>
    <w:rsid w:val="005F6C6F"/>
    <w:rsid w:val="005F6FEF"/>
    <w:rsid w:val="005F7994"/>
    <w:rsid w:val="005F7D79"/>
    <w:rsid w:val="00601522"/>
    <w:rsid w:val="00602BDD"/>
    <w:rsid w:val="00603083"/>
    <w:rsid w:val="006036A2"/>
    <w:rsid w:val="00604453"/>
    <w:rsid w:val="00605685"/>
    <w:rsid w:val="00605818"/>
    <w:rsid w:val="00606763"/>
    <w:rsid w:val="00606F9C"/>
    <w:rsid w:val="0060712B"/>
    <w:rsid w:val="00610F9D"/>
    <w:rsid w:val="00611A7E"/>
    <w:rsid w:val="00612787"/>
    <w:rsid w:val="00613FF5"/>
    <w:rsid w:val="00614409"/>
    <w:rsid w:val="00616138"/>
    <w:rsid w:val="0061659F"/>
    <w:rsid w:val="006165DD"/>
    <w:rsid w:val="00616B2D"/>
    <w:rsid w:val="00616C26"/>
    <w:rsid w:val="00616D86"/>
    <w:rsid w:val="00617923"/>
    <w:rsid w:val="00617DAA"/>
    <w:rsid w:val="006206B5"/>
    <w:rsid w:val="006227AC"/>
    <w:rsid w:val="0062285E"/>
    <w:rsid w:val="00623E83"/>
    <w:rsid w:val="00624398"/>
    <w:rsid w:val="006245C0"/>
    <w:rsid w:val="00625E20"/>
    <w:rsid w:val="00625FB3"/>
    <w:rsid w:val="00626272"/>
    <w:rsid w:val="006278E2"/>
    <w:rsid w:val="00627942"/>
    <w:rsid w:val="00627AF0"/>
    <w:rsid w:val="00627DB5"/>
    <w:rsid w:val="00627E3D"/>
    <w:rsid w:val="006302C0"/>
    <w:rsid w:val="00630361"/>
    <w:rsid w:val="0063048C"/>
    <w:rsid w:val="00632061"/>
    <w:rsid w:val="00633233"/>
    <w:rsid w:val="00633869"/>
    <w:rsid w:val="00634748"/>
    <w:rsid w:val="0063680A"/>
    <w:rsid w:val="00637370"/>
    <w:rsid w:val="006373DF"/>
    <w:rsid w:val="00637DB6"/>
    <w:rsid w:val="00640A4D"/>
    <w:rsid w:val="00640AB3"/>
    <w:rsid w:val="00640BAE"/>
    <w:rsid w:val="006419EB"/>
    <w:rsid w:val="00641B56"/>
    <w:rsid w:val="006430CB"/>
    <w:rsid w:val="00644BCC"/>
    <w:rsid w:val="0064565D"/>
    <w:rsid w:val="00645877"/>
    <w:rsid w:val="00645C38"/>
    <w:rsid w:val="00645EC5"/>
    <w:rsid w:val="00646D59"/>
    <w:rsid w:val="0065059A"/>
    <w:rsid w:val="00651294"/>
    <w:rsid w:val="0065265C"/>
    <w:rsid w:val="00652F39"/>
    <w:rsid w:val="00653138"/>
    <w:rsid w:val="006531B6"/>
    <w:rsid w:val="006531EE"/>
    <w:rsid w:val="00653FE7"/>
    <w:rsid w:val="00656271"/>
    <w:rsid w:val="00656FE0"/>
    <w:rsid w:val="00657742"/>
    <w:rsid w:val="00660DB9"/>
    <w:rsid w:val="00662D08"/>
    <w:rsid w:val="0066341B"/>
    <w:rsid w:val="00666ABF"/>
    <w:rsid w:val="00666B35"/>
    <w:rsid w:val="006673BF"/>
    <w:rsid w:val="00671CA9"/>
    <w:rsid w:val="00671EDC"/>
    <w:rsid w:val="006730CA"/>
    <w:rsid w:val="00673C45"/>
    <w:rsid w:val="006752D3"/>
    <w:rsid w:val="006758F9"/>
    <w:rsid w:val="00675AF3"/>
    <w:rsid w:val="00676BAB"/>
    <w:rsid w:val="00677D9E"/>
    <w:rsid w:val="00677DDB"/>
    <w:rsid w:val="00677EDE"/>
    <w:rsid w:val="00677FAC"/>
    <w:rsid w:val="00680997"/>
    <w:rsid w:val="00680FF5"/>
    <w:rsid w:val="00681611"/>
    <w:rsid w:val="0068326C"/>
    <w:rsid w:val="0068362D"/>
    <w:rsid w:val="006840F7"/>
    <w:rsid w:val="0068501E"/>
    <w:rsid w:val="00685D83"/>
    <w:rsid w:val="006862B0"/>
    <w:rsid w:val="0068643F"/>
    <w:rsid w:val="00686E82"/>
    <w:rsid w:val="0069096A"/>
    <w:rsid w:val="006918AA"/>
    <w:rsid w:val="006922AA"/>
    <w:rsid w:val="00692B50"/>
    <w:rsid w:val="00692CFB"/>
    <w:rsid w:val="0069334E"/>
    <w:rsid w:val="00694B58"/>
    <w:rsid w:val="00694BFB"/>
    <w:rsid w:val="00694CE4"/>
    <w:rsid w:val="00694DC1"/>
    <w:rsid w:val="00696D18"/>
    <w:rsid w:val="006974D9"/>
    <w:rsid w:val="006A04A9"/>
    <w:rsid w:val="006A2002"/>
    <w:rsid w:val="006A4354"/>
    <w:rsid w:val="006A5987"/>
    <w:rsid w:val="006A6E9C"/>
    <w:rsid w:val="006B0EE4"/>
    <w:rsid w:val="006B1930"/>
    <w:rsid w:val="006B338D"/>
    <w:rsid w:val="006B37E6"/>
    <w:rsid w:val="006B5B22"/>
    <w:rsid w:val="006B5E8C"/>
    <w:rsid w:val="006B610B"/>
    <w:rsid w:val="006B615F"/>
    <w:rsid w:val="006C06C9"/>
    <w:rsid w:val="006C1259"/>
    <w:rsid w:val="006C18C5"/>
    <w:rsid w:val="006C1F0E"/>
    <w:rsid w:val="006C2E27"/>
    <w:rsid w:val="006C3CD5"/>
    <w:rsid w:val="006C3DBB"/>
    <w:rsid w:val="006C5700"/>
    <w:rsid w:val="006C6319"/>
    <w:rsid w:val="006C698F"/>
    <w:rsid w:val="006C7C9F"/>
    <w:rsid w:val="006D0CB9"/>
    <w:rsid w:val="006D0DC3"/>
    <w:rsid w:val="006D0F55"/>
    <w:rsid w:val="006D1F27"/>
    <w:rsid w:val="006D3384"/>
    <w:rsid w:val="006D3A3E"/>
    <w:rsid w:val="006D562E"/>
    <w:rsid w:val="006D74DA"/>
    <w:rsid w:val="006D7F9D"/>
    <w:rsid w:val="006E0136"/>
    <w:rsid w:val="006E0795"/>
    <w:rsid w:val="006E12B3"/>
    <w:rsid w:val="006E1798"/>
    <w:rsid w:val="006E32AB"/>
    <w:rsid w:val="006E3385"/>
    <w:rsid w:val="006E3AC0"/>
    <w:rsid w:val="006E3B42"/>
    <w:rsid w:val="006E3E12"/>
    <w:rsid w:val="006E43F3"/>
    <w:rsid w:val="006E4E64"/>
    <w:rsid w:val="006E544E"/>
    <w:rsid w:val="006E5F77"/>
    <w:rsid w:val="006E5FC4"/>
    <w:rsid w:val="006E69EB"/>
    <w:rsid w:val="006E6F91"/>
    <w:rsid w:val="006F0981"/>
    <w:rsid w:val="006F23E8"/>
    <w:rsid w:val="006F27BE"/>
    <w:rsid w:val="006F39E0"/>
    <w:rsid w:val="006F4BC7"/>
    <w:rsid w:val="006F519F"/>
    <w:rsid w:val="006F56D0"/>
    <w:rsid w:val="006F6E27"/>
    <w:rsid w:val="006F7294"/>
    <w:rsid w:val="006F7A98"/>
    <w:rsid w:val="0070097E"/>
    <w:rsid w:val="00700A30"/>
    <w:rsid w:val="007015A1"/>
    <w:rsid w:val="00701D7B"/>
    <w:rsid w:val="007023F8"/>
    <w:rsid w:val="007048B1"/>
    <w:rsid w:val="00704952"/>
    <w:rsid w:val="007049CD"/>
    <w:rsid w:val="00705BD3"/>
    <w:rsid w:val="007060B2"/>
    <w:rsid w:val="00706223"/>
    <w:rsid w:val="007066EB"/>
    <w:rsid w:val="007069C2"/>
    <w:rsid w:val="00707291"/>
    <w:rsid w:val="00710479"/>
    <w:rsid w:val="00710BBF"/>
    <w:rsid w:val="00710CF0"/>
    <w:rsid w:val="00711196"/>
    <w:rsid w:val="007120C1"/>
    <w:rsid w:val="0071314B"/>
    <w:rsid w:val="0071525A"/>
    <w:rsid w:val="00715CB9"/>
    <w:rsid w:val="007160EC"/>
    <w:rsid w:val="007167D2"/>
    <w:rsid w:val="00716862"/>
    <w:rsid w:val="007201D9"/>
    <w:rsid w:val="0072055C"/>
    <w:rsid w:val="0072124F"/>
    <w:rsid w:val="00721C83"/>
    <w:rsid w:val="00721FEC"/>
    <w:rsid w:val="00722B7C"/>
    <w:rsid w:val="0072383D"/>
    <w:rsid w:val="00723A2E"/>
    <w:rsid w:val="00724111"/>
    <w:rsid w:val="007246D8"/>
    <w:rsid w:val="00724926"/>
    <w:rsid w:val="00724FAB"/>
    <w:rsid w:val="00725079"/>
    <w:rsid w:val="00725397"/>
    <w:rsid w:val="007255D9"/>
    <w:rsid w:val="00725A69"/>
    <w:rsid w:val="00725E0C"/>
    <w:rsid w:val="00726263"/>
    <w:rsid w:val="00726C71"/>
    <w:rsid w:val="007277CA"/>
    <w:rsid w:val="00727B8A"/>
    <w:rsid w:val="00730EDE"/>
    <w:rsid w:val="00731389"/>
    <w:rsid w:val="00731A44"/>
    <w:rsid w:val="0073214E"/>
    <w:rsid w:val="00732E78"/>
    <w:rsid w:val="0073737B"/>
    <w:rsid w:val="00737991"/>
    <w:rsid w:val="0074002E"/>
    <w:rsid w:val="00740546"/>
    <w:rsid w:val="00740EA8"/>
    <w:rsid w:val="007421D8"/>
    <w:rsid w:val="00742C59"/>
    <w:rsid w:val="00744408"/>
    <w:rsid w:val="007447A8"/>
    <w:rsid w:val="0075027F"/>
    <w:rsid w:val="00750478"/>
    <w:rsid w:val="00750876"/>
    <w:rsid w:val="0075204B"/>
    <w:rsid w:val="007539D2"/>
    <w:rsid w:val="00754153"/>
    <w:rsid w:val="0075747F"/>
    <w:rsid w:val="00757949"/>
    <w:rsid w:val="00760144"/>
    <w:rsid w:val="00760186"/>
    <w:rsid w:val="00762862"/>
    <w:rsid w:val="00762D09"/>
    <w:rsid w:val="007650DA"/>
    <w:rsid w:val="0076510C"/>
    <w:rsid w:val="00766B73"/>
    <w:rsid w:val="00766EA4"/>
    <w:rsid w:val="00766EE4"/>
    <w:rsid w:val="00770795"/>
    <w:rsid w:val="007717CD"/>
    <w:rsid w:val="0077192B"/>
    <w:rsid w:val="00771B38"/>
    <w:rsid w:val="007732E2"/>
    <w:rsid w:val="00773307"/>
    <w:rsid w:val="0077354D"/>
    <w:rsid w:val="00773698"/>
    <w:rsid w:val="00773A29"/>
    <w:rsid w:val="00774111"/>
    <w:rsid w:val="0077468C"/>
    <w:rsid w:val="007748E2"/>
    <w:rsid w:val="00774B54"/>
    <w:rsid w:val="00777BEF"/>
    <w:rsid w:val="00781C80"/>
    <w:rsid w:val="00781CE5"/>
    <w:rsid w:val="00782F86"/>
    <w:rsid w:val="00782F99"/>
    <w:rsid w:val="007840A2"/>
    <w:rsid w:val="00785670"/>
    <w:rsid w:val="0078596E"/>
    <w:rsid w:val="00785FC8"/>
    <w:rsid w:val="00790AD5"/>
    <w:rsid w:val="00793182"/>
    <w:rsid w:val="00793517"/>
    <w:rsid w:val="00794CB7"/>
    <w:rsid w:val="00794EEA"/>
    <w:rsid w:val="007959C0"/>
    <w:rsid w:val="007960D0"/>
    <w:rsid w:val="007978A6"/>
    <w:rsid w:val="00797C3B"/>
    <w:rsid w:val="007A03BA"/>
    <w:rsid w:val="007A07EB"/>
    <w:rsid w:val="007A1462"/>
    <w:rsid w:val="007A4A84"/>
    <w:rsid w:val="007A5730"/>
    <w:rsid w:val="007A6190"/>
    <w:rsid w:val="007A66C6"/>
    <w:rsid w:val="007A780D"/>
    <w:rsid w:val="007A7F3B"/>
    <w:rsid w:val="007A7FE0"/>
    <w:rsid w:val="007B0488"/>
    <w:rsid w:val="007B1CBE"/>
    <w:rsid w:val="007B2A38"/>
    <w:rsid w:val="007B2FF4"/>
    <w:rsid w:val="007B3852"/>
    <w:rsid w:val="007B3B11"/>
    <w:rsid w:val="007B4995"/>
    <w:rsid w:val="007B4A67"/>
    <w:rsid w:val="007B5001"/>
    <w:rsid w:val="007B512C"/>
    <w:rsid w:val="007B657C"/>
    <w:rsid w:val="007C180D"/>
    <w:rsid w:val="007C2BFA"/>
    <w:rsid w:val="007C3F99"/>
    <w:rsid w:val="007C40CB"/>
    <w:rsid w:val="007C70AA"/>
    <w:rsid w:val="007C7BBA"/>
    <w:rsid w:val="007C7E69"/>
    <w:rsid w:val="007D071A"/>
    <w:rsid w:val="007D2999"/>
    <w:rsid w:val="007D5837"/>
    <w:rsid w:val="007D672D"/>
    <w:rsid w:val="007D739A"/>
    <w:rsid w:val="007D7721"/>
    <w:rsid w:val="007E0187"/>
    <w:rsid w:val="007E04FC"/>
    <w:rsid w:val="007E05BD"/>
    <w:rsid w:val="007E0A13"/>
    <w:rsid w:val="007E17DA"/>
    <w:rsid w:val="007E1C70"/>
    <w:rsid w:val="007E1D50"/>
    <w:rsid w:val="007E261D"/>
    <w:rsid w:val="007E2EFE"/>
    <w:rsid w:val="007E3343"/>
    <w:rsid w:val="007E3FDC"/>
    <w:rsid w:val="007E46FB"/>
    <w:rsid w:val="007E5F24"/>
    <w:rsid w:val="007E671B"/>
    <w:rsid w:val="007E68F0"/>
    <w:rsid w:val="007E6C75"/>
    <w:rsid w:val="007F01B9"/>
    <w:rsid w:val="007F02D6"/>
    <w:rsid w:val="007F0B70"/>
    <w:rsid w:val="007F0F43"/>
    <w:rsid w:val="007F11F0"/>
    <w:rsid w:val="007F1531"/>
    <w:rsid w:val="007F3C28"/>
    <w:rsid w:val="007F4483"/>
    <w:rsid w:val="007F4AB7"/>
    <w:rsid w:val="007F4C65"/>
    <w:rsid w:val="007F6335"/>
    <w:rsid w:val="007F7422"/>
    <w:rsid w:val="007F78BD"/>
    <w:rsid w:val="00801034"/>
    <w:rsid w:val="0080121E"/>
    <w:rsid w:val="00801676"/>
    <w:rsid w:val="00801EDB"/>
    <w:rsid w:val="00802352"/>
    <w:rsid w:val="00803313"/>
    <w:rsid w:val="00803854"/>
    <w:rsid w:val="008043C3"/>
    <w:rsid w:val="008046E1"/>
    <w:rsid w:val="00806F32"/>
    <w:rsid w:val="008073A1"/>
    <w:rsid w:val="00807BE0"/>
    <w:rsid w:val="008100A4"/>
    <w:rsid w:val="008108D9"/>
    <w:rsid w:val="00810C1C"/>
    <w:rsid w:val="0081217E"/>
    <w:rsid w:val="008122C8"/>
    <w:rsid w:val="008137BA"/>
    <w:rsid w:val="008140BF"/>
    <w:rsid w:val="00814424"/>
    <w:rsid w:val="008157D1"/>
    <w:rsid w:val="00815BF6"/>
    <w:rsid w:val="008168E3"/>
    <w:rsid w:val="00820DF0"/>
    <w:rsid w:val="008221C9"/>
    <w:rsid w:val="008229C3"/>
    <w:rsid w:val="00823951"/>
    <w:rsid w:val="008246D4"/>
    <w:rsid w:val="0082504A"/>
    <w:rsid w:val="008261F1"/>
    <w:rsid w:val="00826840"/>
    <w:rsid w:val="0082796D"/>
    <w:rsid w:val="008279C5"/>
    <w:rsid w:val="008302F0"/>
    <w:rsid w:val="00830E02"/>
    <w:rsid w:val="008318A0"/>
    <w:rsid w:val="00831E63"/>
    <w:rsid w:val="00831FE5"/>
    <w:rsid w:val="00833179"/>
    <w:rsid w:val="00833503"/>
    <w:rsid w:val="008338F0"/>
    <w:rsid w:val="00833B84"/>
    <w:rsid w:val="00834872"/>
    <w:rsid w:val="00834ADD"/>
    <w:rsid w:val="00834DBE"/>
    <w:rsid w:val="00834E0E"/>
    <w:rsid w:val="00836B3C"/>
    <w:rsid w:val="00836E70"/>
    <w:rsid w:val="00837869"/>
    <w:rsid w:val="00840542"/>
    <w:rsid w:val="00840B1A"/>
    <w:rsid w:val="00840D3D"/>
    <w:rsid w:val="00841AF4"/>
    <w:rsid w:val="00841BB8"/>
    <w:rsid w:val="00841EDE"/>
    <w:rsid w:val="00841FDA"/>
    <w:rsid w:val="0084360F"/>
    <w:rsid w:val="00843A7F"/>
    <w:rsid w:val="00844625"/>
    <w:rsid w:val="00844A6A"/>
    <w:rsid w:val="00845010"/>
    <w:rsid w:val="0084517C"/>
    <w:rsid w:val="008454EE"/>
    <w:rsid w:val="00845BBF"/>
    <w:rsid w:val="00846DDC"/>
    <w:rsid w:val="00850113"/>
    <w:rsid w:val="008510CE"/>
    <w:rsid w:val="0085159D"/>
    <w:rsid w:val="00851A38"/>
    <w:rsid w:val="00851BAA"/>
    <w:rsid w:val="00852EAC"/>
    <w:rsid w:val="00852EBD"/>
    <w:rsid w:val="008534B0"/>
    <w:rsid w:val="008541AF"/>
    <w:rsid w:val="0085531A"/>
    <w:rsid w:val="0085542B"/>
    <w:rsid w:val="00855D02"/>
    <w:rsid w:val="00856151"/>
    <w:rsid w:val="00856F9E"/>
    <w:rsid w:val="00856FDD"/>
    <w:rsid w:val="00857A23"/>
    <w:rsid w:val="00857D4A"/>
    <w:rsid w:val="00860CF9"/>
    <w:rsid w:val="00861901"/>
    <w:rsid w:val="00861F95"/>
    <w:rsid w:val="008639C5"/>
    <w:rsid w:val="00864953"/>
    <w:rsid w:val="00864E3E"/>
    <w:rsid w:val="00866016"/>
    <w:rsid w:val="00867360"/>
    <w:rsid w:val="00872391"/>
    <w:rsid w:val="00872D76"/>
    <w:rsid w:val="008744BF"/>
    <w:rsid w:val="0087645C"/>
    <w:rsid w:val="008766CB"/>
    <w:rsid w:val="0087702D"/>
    <w:rsid w:val="00877D14"/>
    <w:rsid w:val="00877D24"/>
    <w:rsid w:val="008803C4"/>
    <w:rsid w:val="00880683"/>
    <w:rsid w:val="00881AFF"/>
    <w:rsid w:val="00881ED9"/>
    <w:rsid w:val="00882CE1"/>
    <w:rsid w:val="00884075"/>
    <w:rsid w:val="008870AF"/>
    <w:rsid w:val="00890741"/>
    <w:rsid w:val="0089181A"/>
    <w:rsid w:val="00892A80"/>
    <w:rsid w:val="00892D6B"/>
    <w:rsid w:val="008930D5"/>
    <w:rsid w:val="008932B3"/>
    <w:rsid w:val="008938A1"/>
    <w:rsid w:val="00893CEC"/>
    <w:rsid w:val="0089487B"/>
    <w:rsid w:val="0089493E"/>
    <w:rsid w:val="00895004"/>
    <w:rsid w:val="00897674"/>
    <w:rsid w:val="0089792F"/>
    <w:rsid w:val="00897CF4"/>
    <w:rsid w:val="008A1130"/>
    <w:rsid w:val="008A200B"/>
    <w:rsid w:val="008A20DB"/>
    <w:rsid w:val="008A3924"/>
    <w:rsid w:val="008A45A7"/>
    <w:rsid w:val="008A487A"/>
    <w:rsid w:val="008A5E0B"/>
    <w:rsid w:val="008A6999"/>
    <w:rsid w:val="008A6CD8"/>
    <w:rsid w:val="008A6EAB"/>
    <w:rsid w:val="008A70C0"/>
    <w:rsid w:val="008B0990"/>
    <w:rsid w:val="008B0A81"/>
    <w:rsid w:val="008B2912"/>
    <w:rsid w:val="008B3378"/>
    <w:rsid w:val="008C017F"/>
    <w:rsid w:val="008C07E0"/>
    <w:rsid w:val="008C0E2C"/>
    <w:rsid w:val="008C1D56"/>
    <w:rsid w:val="008C20B3"/>
    <w:rsid w:val="008C3C74"/>
    <w:rsid w:val="008C42DB"/>
    <w:rsid w:val="008C5A57"/>
    <w:rsid w:val="008C5DFB"/>
    <w:rsid w:val="008C5FC6"/>
    <w:rsid w:val="008C67AB"/>
    <w:rsid w:val="008C6839"/>
    <w:rsid w:val="008C6AED"/>
    <w:rsid w:val="008C6FE6"/>
    <w:rsid w:val="008C7D68"/>
    <w:rsid w:val="008D0258"/>
    <w:rsid w:val="008D0413"/>
    <w:rsid w:val="008D0B24"/>
    <w:rsid w:val="008D0EA5"/>
    <w:rsid w:val="008D111A"/>
    <w:rsid w:val="008D1449"/>
    <w:rsid w:val="008D1A8F"/>
    <w:rsid w:val="008D2C0C"/>
    <w:rsid w:val="008D31B9"/>
    <w:rsid w:val="008D36E9"/>
    <w:rsid w:val="008D4ED8"/>
    <w:rsid w:val="008D5D55"/>
    <w:rsid w:val="008D60E8"/>
    <w:rsid w:val="008D6500"/>
    <w:rsid w:val="008D78E5"/>
    <w:rsid w:val="008E0B3D"/>
    <w:rsid w:val="008E1D81"/>
    <w:rsid w:val="008E35BC"/>
    <w:rsid w:val="008E3D2F"/>
    <w:rsid w:val="008E40AF"/>
    <w:rsid w:val="008E43D6"/>
    <w:rsid w:val="008E48BE"/>
    <w:rsid w:val="008E4A7D"/>
    <w:rsid w:val="008E4F92"/>
    <w:rsid w:val="008E4F9A"/>
    <w:rsid w:val="008E55F6"/>
    <w:rsid w:val="008E5762"/>
    <w:rsid w:val="008E5E57"/>
    <w:rsid w:val="008E69F5"/>
    <w:rsid w:val="008E6A9B"/>
    <w:rsid w:val="008E7328"/>
    <w:rsid w:val="008F1CC1"/>
    <w:rsid w:val="008F1E46"/>
    <w:rsid w:val="008F3E98"/>
    <w:rsid w:val="008F41C1"/>
    <w:rsid w:val="008F4C3D"/>
    <w:rsid w:val="008F4CB4"/>
    <w:rsid w:val="008F6181"/>
    <w:rsid w:val="008F6417"/>
    <w:rsid w:val="008F691A"/>
    <w:rsid w:val="008F736B"/>
    <w:rsid w:val="00900F31"/>
    <w:rsid w:val="00901C2E"/>
    <w:rsid w:val="00902BBF"/>
    <w:rsid w:val="009040CB"/>
    <w:rsid w:val="0090438F"/>
    <w:rsid w:val="00904599"/>
    <w:rsid w:val="00905588"/>
    <w:rsid w:val="009059AA"/>
    <w:rsid w:val="00906354"/>
    <w:rsid w:val="009102F6"/>
    <w:rsid w:val="00910AF9"/>
    <w:rsid w:val="00911E78"/>
    <w:rsid w:val="00911EA1"/>
    <w:rsid w:val="009125E0"/>
    <w:rsid w:val="00913098"/>
    <w:rsid w:val="00914B77"/>
    <w:rsid w:val="00914E7B"/>
    <w:rsid w:val="00915EF2"/>
    <w:rsid w:val="00916274"/>
    <w:rsid w:val="00916633"/>
    <w:rsid w:val="0091670F"/>
    <w:rsid w:val="009174BF"/>
    <w:rsid w:val="00917BA5"/>
    <w:rsid w:val="009200ED"/>
    <w:rsid w:val="00920207"/>
    <w:rsid w:val="0092087B"/>
    <w:rsid w:val="00920904"/>
    <w:rsid w:val="00921ED2"/>
    <w:rsid w:val="00922154"/>
    <w:rsid w:val="00922420"/>
    <w:rsid w:val="00923256"/>
    <w:rsid w:val="00924057"/>
    <w:rsid w:val="009249A9"/>
    <w:rsid w:val="00924BDC"/>
    <w:rsid w:val="009254F1"/>
    <w:rsid w:val="00925596"/>
    <w:rsid w:val="00925B03"/>
    <w:rsid w:val="00926199"/>
    <w:rsid w:val="00926A1B"/>
    <w:rsid w:val="00926FAF"/>
    <w:rsid w:val="00930277"/>
    <w:rsid w:val="009308B8"/>
    <w:rsid w:val="00930A48"/>
    <w:rsid w:val="009319F2"/>
    <w:rsid w:val="00932CF0"/>
    <w:rsid w:val="00932ECE"/>
    <w:rsid w:val="009344A5"/>
    <w:rsid w:val="00936063"/>
    <w:rsid w:val="009371AB"/>
    <w:rsid w:val="0094255D"/>
    <w:rsid w:val="009427C7"/>
    <w:rsid w:val="00943547"/>
    <w:rsid w:val="00943B59"/>
    <w:rsid w:val="00946138"/>
    <w:rsid w:val="00946CE3"/>
    <w:rsid w:val="00946F31"/>
    <w:rsid w:val="0094703D"/>
    <w:rsid w:val="009478B8"/>
    <w:rsid w:val="00950050"/>
    <w:rsid w:val="00951614"/>
    <w:rsid w:val="00952649"/>
    <w:rsid w:val="00953363"/>
    <w:rsid w:val="00953C21"/>
    <w:rsid w:val="00954038"/>
    <w:rsid w:val="009546A6"/>
    <w:rsid w:val="00954B4A"/>
    <w:rsid w:val="0095567A"/>
    <w:rsid w:val="00956B7B"/>
    <w:rsid w:val="00956D3F"/>
    <w:rsid w:val="009578D0"/>
    <w:rsid w:val="00961216"/>
    <w:rsid w:val="00961B4F"/>
    <w:rsid w:val="00961E3A"/>
    <w:rsid w:val="009643F0"/>
    <w:rsid w:val="00964627"/>
    <w:rsid w:val="00964A36"/>
    <w:rsid w:val="009657E3"/>
    <w:rsid w:val="00965959"/>
    <w:rsid w:val="00965BB3"/>
    <w:rsid w:val="00966D4C"/>
    <w:rsid w:val="009672E9"/>
    <w:rsid w:val="009679C8"/>
    <w:rsid w:val="00972F52"/>
    <w:rsid w:val="009751F1"/>
    <w:rsid w:val="0097564E"/>
    <w:rsid w:val="009756D3"/>
    <w:rsid w:val="00975DAE"/>
    <w:rsid w:val="00976514"/>
    <w:rsid w:val="00977976"/>
    <w:rsid w:val="00980279"/>
    <w:rsid w:val="009805CC"/>
    <w:rsid w:val="00980DCF"/>
    <w:rsid w:val="00981244"/>
    <w:rsid w:val="009814BE"/>
    <w:rsid w:val="0098222D"/>
    <w:rsid w:val="00983F37"/>
    <w:rsid w:val="0098422F"/>
    <w:rsid w:val="00985EB0"/>
    <w:rsid w:val="00986169"/>
    <w:rsid w:val="009868CE"/>
    <w:rsid w:val="0098722F"/>
    <w:rsid w:val="00987610"/>
    <w:rsid w:val="009876B0"/>
    <w:rsid w:val="0099101B"/>
    <w:rsid w:val="009934BB"/>
    <w:rsid w:val="00993A3A"/>
    <w:rsid w:val="00994ADE"/>
    <w:rsid w:val="00994C84"/>
    <w:rsid w:val="0099561C"/>
    <w:rsid w:val="00995A7C"/>
    <w:rsid w:val="009968DF"/>
    <w:rsid w:val="00996B9B"/>
    <w:rsid w:val="00996D09"/>
    <w:rsid w:val="00996DF8"/>
    <w:rsid w:val="009A008E"/>
    <w:rsid w:val="009A0368"/>
    <w:rsid w:val="009A044C"/>
    <w:rsid w:val="009A0B27"/>
    <w:rsid w:val="009A0F03"/>
    <w:rsid w:val="009A2389"/>
    <w:rsid w:val="009A275B"/>
    <w:rsid w:val="009A2D20"/>
    <w:rsid w:val="009A56AD"/>
    <w:rsid w:val="009A726B"/>
    <w:rsid w:val="009B0C7F"/>
    <w:rsid w:val="009B1A76"/>
    <w:rsid w:val="009B223A"/>
    <w:rsid w:val="009B2EFC"/>
    <w:rsid w:val="009B3B1E"/>
    <w:rsid w:val="009B3C31"/>
    <w:rsid w:val="009B4759"/>
    <w:rsid w:val="009B4997"/>
    <w:rsid w:val="009B4ACC"/>
    <w:rsid w:val="009B50F0"/>
    <w:rsid w:val="009B60B8"/>
    <w:rsid w:val="009B6179"/>
    <w:rsid w:val="009B7954"/>
    <w:rsid w:val="009B7985"/>
    <w:rsid w:val="009B7A62"/>
    <w:rsid w:val="009B7C12"/>
    <w:rsid w:val="009C09BC"/>
    <w:rsid w:val="009C0F52"/>
    <w:rsid w:val="009C20CD"/>
    <w:rsid w:val="009C26C9"/>
    <w:rsid w:val="009C278F"/>
    <w:rsid w:val="009C3E78"/>
    <w:rsid w:val="009C4C6A"/>
    <w:rsid w:val="009C57BC"/>
    <w:rsid w:val="009C5CDE"/>
    <w:rsid w:val="009C5DFD"/>
    <w:rsid w:val="009C62EE"/>
    <w:rsid w:val="009C68D3"/>
    <w:rsid w:val="009C733D"/>
    <w:rsid w:val="009D0D12"/>
    <w:rsid w:val="009D1212"/>
    <w:rsid w:val="009D1626"/>
    <w:rsid w:val="009D1B60"/>
    <w:rsid w:val="009D3353"/>
    <w:rsid w:val="009D37F9"/>
    <w:rsid w:val="009D3FDB"/>
    <w:rsid w:val="009D4272"/>
    <w:rsid w:val="009D43C6"/>
    <w:rsid w:val="009D56DB"/>
    <w:rsid w:val="009D62AC"/>
    <w:rsid w:val="009D6D29"/>
    <w:rsid w:val="009D6DF9"/>
    <w:rsid w:val="009D70F6"/>
    <w:rsid w:val="009D7780"/>
    <w:rsid w:val="009E0826"/>
    <w:rsid w:val="009E0A60"/>
    <w:rsid w:val="009E0FD5"/>
    <w:rsid w:val="009E3A8C"/>
    <w:rsid w:val="009E3CC8"/>
    <w:rsid w:val="009E4611"/>
    <w:rsid w:val="009E4C6A"/>
    <w:rsid w:val="009E52AE"/>
    <w:rsid w:val="009E52CB"/>
    <w:rsid w:val="009E57CD"/>
    <w:rsid w:val="009E5F41"/>
    <w:rsid w:val="009E629B"/>
    <w:rsid w:val="009E6AE5"/>
    <w:rsid w:val="009E6EFF"/>
    <w:rsid w:val="009E7979"/>
    <w:rsid w:val="009E7B5D"/>
    <w:rsid w:val="009F1C63"/>
    <w:rsid w:val="009F1E22"/>
    <w:rsid w:val="009F2B2A"/>
    <w:rsid w:val="009F3A64"/>
    <w:rsid w:val="009F3BE2"/>
    <w:rsid w:val="009F3CD4"/>
    <w:rsid w:val="009F4DB9"/>
    <w:rsid w:val="009F5A13"/>
    <w:rsid w:val="009F63C8"/>
    <w:rsid w:val="009F71C1"/>
    <w:rsid w:val="009F793F"/>
    <w:rsid w:val="00A00102"/>
    <w:rsid w:val="00A00529"/>
    <w:rsid w:val="00A00593"/>
    <w:rsid w:val="00A010DC"/>
    <w:rsid w:val="00A01360"/>
    <w:rsid w:val="00A01A89"/>
    <w:rsid w:val="00A01C32"/>
    <w:rsid w:val="00A02906"/>
    <w:rsid w:val="00A033F8"/>
    <w:rsid w:val="00A04C4C"/>
    <w:rsid w:val="00A050E0"/>
    <w:rsid w:val="00A0553E"/>
    <w:rsid w:val="00A0655A"/>
    <w:rsid w:val="00A075FA"/>
    <w:rsid w:val="00A07B8E"/>
    <w:rsid w:val="00A1027E"/>
    <w:rsid w:val="00A1081C"/>
    <w:rsid w:val="00A1266A"/>
    <w:rsid w:val="00A12C2E"/>
    <w:rsid w:val="00A13843"/>
    <w:rsid w:val="00A15673"/>
    <w:rsid w:val="00A16290"/>
    <w:rsid w:val="00A20647"/>
    <w:rsid w:val="00A215AB"/>
    <w:rsid w:val="00A226C4"/>
    <w:rsid w:val="00A22E9B"/>
    <w:rsid w:val="00A235FC"/>
    <w:rsid w:val="00A239D5"/>
    <w:rsid w:val="00A23C7C"/>
    <w:rsid w:val="00A23EB3"/>
    <w:rsid w:val="00A244D1"/>
    <w:rsid w:val="00A25C17"/>
    <w:rsid w:val="00A262B0"/>
    <w:rsid w:val="00A26524"/>
    <w:rsid w:val="00A2729E"/>
    <w:rsid w:val="00A31361"/>
    <w:rsid w:val="00A31D1E"/>
    <w:rsid w:val="00A31D88"/>
    <w:rsid w:val="00A323CC"/>
    <w:rsid w:val="00A32BC2"/>
    <w:rsid w:val="00A33003"/>
    <w:rsid w:val="00A33A9A"/>
    <w:rsid w:val="00A33FF0"/>
    <w:rsid w:val="00A347D2"/>
    <w:rsid w:val="00A34A7B"/>
    <w:rsid w:val="00A356DA"/>
    <w:rsid w:val="00A358FE"/>
    <w:rsid w:val="00A359C7"/>
    <w:rsid w:val="00A401E3"/>
    <w:rsid w:val="00A40931"/>
    <w:rsid w:val="00A40EDA"/>
    <w:rsid w:val="00A40FA1"/>
    <w:rsid w:val="00A4139E"/>
    <w:rsid w:val="00A42765"/>
    <w:rsid w:val="00A4288F"/>
    <w:rsid w:val="00A44691"/>
    <w:rsid w:val="00A45610"/>
    <w:rsid w:val="00A4679D"/>
    <w:rsid w:val="00A469CD"/>
    <w:rsid w:val="00A5191A"/>
    <w:rsid w:val="00A52BA0"/>
    <w:rsid w:val="00A52D62"/>
    <w:rsid w:val="00A542C6"/>
    <w:rsid w:val="00A551EA"/>
    <w:rsid w:val="00A557A2"/>
    <w:rsid w:val="00A5602C"/>
    <w:rsid w:val="00A569FF"/>
    <w:rsid w:val="00A6010C"/>
    <w:rsid w:val="00A6047B"/>
    <w:rsid w:val="00A61186"/>
    <w:rsid w:val="00A61D0A"/>
    <w:rsid w:val="00A62535"/>
    <w:rsid w:val="00A64C38"/>
    <w:rsid w:val="00A660C0"/>
    <w:rsid w:val="00A67459"/>
    <w:rsid w:val="00A6787B"/>
    <w:rsid w:val="00A67D93"/>
    <w:rsid w:val="00A71984"/>
    <w:rsid w:val="00A7200B"/>
    <w:rsid w:val="00A721E9"/>
    <w:rsid w:val="00A726B9"/>
    <w:rsid w:val="00A7304A"/>
    <w:rsid w:val="00A7349D"/>
    <w:rsid w:val="00A761A2"/>
    <w:rsid w:val="00A77E0B"/>
    <w:rsid w:val="00A81BB5"/>
    <w:rsid w:val="00A823E7"/>
    <w:rsid w:val="00A82628"/>
    <w:rsid w:val="00A82900"/>
    <w:rsid w:val="00A842ED"/>
    <w:rsid w:val="00A8521B"/>
    <w:rsid w:val="00A85AB2"/>
    <w:rsid w:val="00A85B71"/>
    <w:rsid w:val="00A85B72"/>
    <w:rsid w:val="00A86A74"/>
    <w:rsid w:val="00A9039A"/>
    <w:rsid w:val="00A93EA4"/>
    <w:rsid w:val="00A951BF"/>
    <w:rsid w:val="00A954AD"/>
    <w:rsid w:val="00A95738"/>
    <w:rsid w:val="00A9592D"/>
    <w:rsid w:val="00A9669A"/>
    <w:rsid w:val="00AA12D7"/>
    <w:rsid w:val="00AA24DB"/>
    <w:rsid w:val="00AA3945"/>
    <w:rsid w:val="00AA3D9C"/>
    <w:rsid w:val="00AA4191"/>
    <w:rsid w:val="00AA42FA"/>
    <w:rsid w:val="00AA43ED"/>
    <w:rsid w:val="00AA4643"/>
    <w:rsid w:val="00AA51EF"/>
    <w:rsid w:val="00AA5A22"/>
    <w:rsid w:val="00AA683F"/>
    <w:rsid w:val="00AA703F"/>
    <w:rsid w:val="00AA7A82"/>
    <w:rsid w:val="00AB07BB"/>
    <w:rsid w:val="00AB1286"/>
    <w:rsid w:val="00AB1F4E"/>
    <w:rsid w:val="00AB2445"/>
    <w:rsid w:val="00AB2BDE"/>
    <w:rsid w:val="00AB2F89"/>
    <w:rsid w:val="00AB3C1D"/>
    <w:rsid w:val="00AB5102"/>
    <w:rsid w:val="00AB5887"/>
    <w:rsid w:val="00AB669A"/>
    <w:rsid w:val="00AB7F34"/>
    <w:rsid w:val="00AC0178"/>
    <w:rsid w:val="00AC0D2F"/>
    <w:rsid w:val="00AC0E88"/>
    <w:rsid w:val="00AC1F85"/>
    <w:rsid w:val="00AC1FC9"/>
    <w:rsid w:val="00AC4098"/>
    <w:rsid w:val="00AC4747"/>
    <w:rsid w:val="00AC4821"/>
    <w:rsid w:val="00AC519B"/>
    <w:rsid w:val="00AC5391"/>
    <w:rsid w:val="00AC5685"/>
    <w:rsid w:val="00AC6B36"/>
    <w:rsid w:val="00AC6F9C"/>
    <w:rsid w:val="00AC6FE2"/>
    <w:rsid w:val="00AC7021"/>
    <w:rsid w:val="00AC7DB2"/>
    <w:rsid w:val="00AD1B4F"/>
    <w:rsid w:val="00AD297E"/>
    <w:rsid w:val="00AD32B9"/>
    <w:rsid w:val="00AD337F"/>
    <w:rsid w:val="00AD4295"/>
    <w:rsid w:val="00AD6D08"/>
    <w:rsid w:val="00AD7523"/>
    <w:rsid w:val="00AD797D"/>
    <w:rsid w:val="00AE0049"/>
    <w:rsid w:val="00AE07C1"/>
    <w:rsid w:val="00AE0B56"/>
    <w:rsid w:val="00AE13CD"/>
    <w:rsid w:val="00AE189E"/>
    <w:rsid w:val="00AE18D2"/>
    <w:rsid w:val="00AE30EF"/>
    <w:rsid w:val="00AE34B2"/>
    <w:rsid w:val="00AE4225"/>
    <w:rsid w:val="00AE5170"/>
    <w:rsid w:val="00AE555C"/>
    <w:rsid w:val="00AF0B1D"/>
    <w:rsid w:val="00AF1BED"/>
    <w:rsid w:val="00AF2463"/>
    <w:rsid w:val="00AF336B"/>
    <w:rsid w:val="00AF4B0A"/>
    <w:rsid w:val="00AF4E33"/>
    <w:rsid w:val="00AF5659"/>
    <w:rsid w:val="00AF62CE"/>
    <w:rsid w:val="00B01AB3"/>
    <w:rsid w:val="00B0246A"/>
    <w:rsid w:val="00B02612"/>
    <w:rsid w:val="00B02C4C"/>
    <w:rsid w:val="00B0390C"/>
    <w:rsid w:val="00B03C24"/>
    <w:rsid w:val="00B04459"/>
    <w:rsid w:val="00B04BD2"/>
    <w:rsid w:val="00B0572C"/>
    <w:rsid w:val="00B05818"/>
    <w:rsid w:val="00B06818"/>
    <w:rsid w:val="00B06B66"/>
    <w:rsid w:val="00B06EED"/>
    <w:rsid w:val="00B07019"/>
    <w:rsid w:val="00B071AE"/>
    <w:rsid w:val="00B07C6B"/>
    <w:rsid w:val="00B07EE4"/>
    <w:rsid w:val="00B11609"/>
    <w:rsid w:val="00B1344E"/>
    <w:rsid w:val="00B13D75"/>
    <w:rsid w:val="00B150E1"/>
    <w:rsid w:val="00B156F7"/>
    <w:rsid w:val="00B1591B"/>
    <w:rsid w:val="00B15D22"/>
    <w:rsid w:val="00B16616"/>
    <w:rsid w:val="00B17BA7"/>
    <w:rsid w:val="00B17ED0"/>
    <w:rsid w:val="00B20510"/>
    <w:rsid w:val="00B20CCB"/>
    <w:rsid w:val="00B21033"/>
    <w:rsid w:val="00B21722"/>
    <w:rsid w:val="00B2231D"/>
    <w:rsid w:val="00B22690"/>
    <w:rsid w:val="00B2333F"/>
    <w:rsid w:val="00B24E57"/>
    <w:rsid w:val="00B2544E"/>
    <w:rsid w:val="00B2570A"/>
    <w:rsid w:val="00B26B6D"/>
    <w:rsid w:val="00B271DE"/>
    <w:rsid w:val="00B27500"/>
    <w:rsid w:val="00B278F8"/>
    <w:rsid w:val="00B30002"/>
    <w:rsid w:val="00B31B36"/>
    <w:rsid w:val="00B323C9"/>
    <w:rsid w:val="00B3365D"/>
    <w:rsid w:val="00B33A9A"/>
    <w:rsid w:val="00B33F17"/>
    <w:rsid w:val="00B34CB3"/>
    <w:rsid w:val="00B350B8"/>
    <w:rsid w:val="00B356F4"/>
    <w:rsid w:val="00B359A5"/>
    <w:rsid w:val="00B36760"/>
    <w:rsid w:val="00B36AFB"/>
    <w:rsid w:val="00B37FB0"/>
    <w:rsid w:val="00B40E4A"/>
    <w:rsid w:val="00B435F7"/>
    <w:rsid w:val="00B44196"/>
    <w:rsid w:val="00B452D8"/>
    <w:rsid w:val="00B476F6"/>
    <w:rsid w:val="00B4793B"/>
    <w:rsid w:val="00B479C9"/>
    <w:rsid w:val="00B5143B"/>
    <w:rsid w:val="00B52F5E"/>
    <w:rsid w:val="00B5316F"/>
    <w:rsid w:val="00B53388"/>
    <w:rsid w:val="00B53B39"/>
    <w:rsid w:val="00B53E7A"/>
    <w:rsid w:val="00B53FC5"/>
    <w:rsid w:val="00B54E95"/>
    <w:rsid w:val="00B553B8"/>
    <w:rsid w:val="00B556D3"/>
    <w:rsid w:val="00B55D00"/>
    <w:rsid w:val="00B5624B"/>
    <w:rsid w:val="00B56ED1"/>
    <w:rsid w:val="00B602EA"/>
    <w:rsid w:val="00B608ED"/>
    <w:rsid w:val="00B60FFF"/>
    <w:rsid w:val="00B61539"/>
    <w:rsid w:val="00B619C0"/>
    <w:rsid w:val="00B61EB5"/>
    <w:rsid w:val="00B625D4"/>
    <w:rsid w:val="00B63CEA"/>
    <w:rsid w:val="00B6414D"/>
    <w:rsid w:val="00B64980"/>
    <w:rsid w:val="00B65051"/>
    <w:rsid w:val="00B654C3"/>
    <w:rsid w:val="00B66452"/>
    <w:rsid w:val="00B67A77"/>
    <w:rsid w:val="00B7029F"/>
    <w:rsid w:val="00B70A64"/>
    <w:rsid w:val="00B70FBB"/>
    <w:rsid w:val="00B71CB4"/>
    <w:rsid w:val="00B725F7"/>
    <w:rsid w:val="00B72980"/>
    <w:rsid w:val="00B7298E"/>
    <w:rsid w:val="00B737C2"/>
    <w:rsid w:val="00B749AD"/>
    <w:rsid w:val="00B74B4F"/>
    <w:rsid w:val="00B74E49"/>
    <w:rsid w:val="00B75564"/>
    <w:rsid w:val="00B7682B"/>
    <w:rsid w:val="00B77CA2"/>
    <w:rsid w:val="00B80162"/>
    <w:rsid w:val="00B809F5"/>
    <w:rsid w:val="00B823B9"/>
    <w:rsid w:val="00B8283F"/>
    <w:rsid w:val="00B830FB"/>
    <w:rsid w:val="00B83CB2"/>
    <w:rsid w:val="00B84581"/>
    <w:rsid w:val="00B84AA8"/>
    <w:rsid w:val="00B857D5"/>
    <w:rsid w:val="00B85C85"/>
    <w:rsid w:val="00B86097"/>
    <w:rsid w:val="00B871D9"/>
    <w:rsid w:val="00B901FE"/>
    <w:rsid w:val="00B914AC"/>
    <w:rsid w:val="00B91865"/>
    <w:rsid w:val="00B91AF2"/>
    <w:rsid w:val="00B92A30"/>
    <w:rsid w:val="00B93340"/>
    <w:rsid w:val="00B93C0C"/>
    <w:rsid w:val="00B94137"/>
    <w:rsid w:val="00B941E9"/>
    <w:rsid w:val="00B9445B"/>
    <w:rsid w:val="00B947A5"/>
    <w:rsid w:val="00B94B57"/>
    <w:rsid w:val="00B95C5E"/>
    <w:rsid w:val="00B965C9"/>
    <w:rsid w:val="00B96633"/>
    <w:rsid w:val="00B966B7"/>
    <w:rsid w:val="00BA0144"/>
    <w:rsid w:val="00BA022E"/>
    <w:rsid w:val="00BA5B4B"/>
    <w:rsid w:val="00BA627D"/>
    <w:rsid w:val="00BA712D"/>
    <w:rsid w:val="00BA7A80"/>
    <w:rsid w:val="00BA7AEF"/>
    <w:rsid w:val="00BB0BE7"/>
    <w:rsid w:val="00BB1989"/>
    <w:rsid w:val="00BB1EB2"/>
    <w:rsid w:val="00BB304A"/>
    <w:rsid w:val="00BB308F"/>
    <w:rsid w:val="00BB3210"/>
    <w:rsid w:val="00BB74D2"/>
    <w:rsid w:val="00BB77A7"/>
    <w:rsid w:val="00BB7A3E"/>
    <w:rsid w:val="00BC1183"/>
    <w:rsid w:val="00BC146A"/>
    <w:rsid w:val="00BC15C3"/>
    <w:rsid w:val="00BC1B4F"/>
    <w:rsid w:val="00BC251F"/>
    <w:rsid w:val="00BC2ACC"/>
    <w:rsid w:val="00BC2E1D"/>
    <w:rsid w:val="00BC4524"/>
    <w:rsid w:val="00BC4788"/>
    <w:rsid w:val="00BC4BFD"/>
    <w:rsid w:val="00BC5111"/>
    <w:rsid w:val="00BC56AD"/>
    <w:rsid w:val="00BC60C3"/>
    <w:rsid w:val="00BC74CD"/>
    <w:rsid w:val="00BD0537"/>
    <w:rsid w:val="00BD0586"/>
    <w:rsid w:val="00BD1F24"/>
    <w:rsid w:val="00BD24AA"/>
    <w:rsid w:val="00BD2F17"/>
    <w:rsid w:val="00BD3DE8"/>
    <w:rsid w:val="00BD449D"/>
    <w:rsid w:val="00BD541D"/>
    <w:rsid w:val="00BD6828"/>
    <w:rsid w:val="00BD7624"/>
    <w:rsid w:val="00BD7D73"/>
    <w:rsid w:val="00BE0099"/>
    <w:rsid w:val="00BE0F26"/>
    <w:rsid w:val="00BE46FF"/>
    <w:rsid w:val="00BF093E"/>
    <w:rsid w:val="00BF0BB5"/>
    <w:rsid w:val="00BF0D60"/>
    <w:rsid w:val="00BF121B"/>
    <w:rsid w:val="00BF150D"/>
    <w:rsid w:val="00BF25B9"/>
    <w:rsid w:val="00BF2A8B"/>
    <w:rsid w:val="00BF2B41"/>
    <w:rsid w:val="00BF315C"/>
    <w:rsid w:val="00BF3BF5"/>
    <w:rsid w:val="00BF4576"/>
    <w:rsid w:val="00BF48EA"/>
    <w:rsid w:val="00BF5D24"/>
    <w:rsid w:val="00BF7339"/>
    <w:rsid w:val="00BF766F"/>
    <w:rsid w:val="00BF799D"/>
    <w:rsid w:val="00BF7CF9"/>
    <w:rsid w:val="00C025B9"/>
    <w:rsid w:val="00C0334F"/>
    <w:rsid w:val="00C04C35"/>
    <w:rsid w:val="00C073DE"/>
    <w:rsid w:val="00C10774"/>
    <w:rsid w:val="00C107F4"/>
    <w:rsid w:val="00C10ACC"/>
    <w:rsid w:val="00C11094"/>
    <w:rsid w:val="00C113EC"/>
    <w:rsid w:val="00C12058"/>
    <w:rsid w:val="00C12E08"/>
    <w:rsid w:val="00C1309D"/>
    <w:rsid w:val="00C1334D"/>
    <w:rsid w:val="00C14DD2"/>
    <w:rsid w:val="00C15B02"/>
    <w:rsid w:val="00C15BAD"/>
    <w:rsid w:val="00C163F1"/>
    <w:rsid w:val="00C17C60"/>
    <w:rsid w:val="00C20909"/>
    <w:rsid w:val="00C20F3A"/>
    <w:rsid w:val="00C21AC2"/>
    <w:rsid w:val="00C21CB5"/>
    <w:rsid w:val="00C21D48"/>
    <w:rsid w:val="00C22028"/>
    <w:rsid w:val="00C22808"/>
    <w:rsid w:val="00C22BC0"/>
    <w:rsid w:val="00C232DD"/>
    <w:rsid w:val="00C23EC8"/>
    <w:rsid w:val="00C24B5E"/>
    <w:rsid w:val="00C255A7"/>
    <w:rsid w:val="00C26796"/>
    <w:rsid w:val="00C26FD4"/>
    <w:rsid w:val="00C272B1"/>
    <w:rsid w:val="00C2785A"/>
    <w:rsid w:val="00C27F09"/>
    <w:rsid w:val="00C301E0"/>
    <w:rsid w:val="00C3066F"/>
    <w:rsid w:val="00C30E7C"/>
    <w:rsid w:val="00C31462"/>
    <w:rsid w:val="00C31664"/>
    <w:rsid w:val="00C323D3"/>
    <w:rsid w:val="00C34415"/>
    <w:rsid w:val="00C34923"/>
    <w:rsid w:val="00C34A52"/>
    <w:rsid w:val="00C34A88"/>
    <w:rsid w:val="00C35876"/>
    <w:rsid w:val="00C35A1B"/>
    <w:rsid w:val="00C36F1C"/>
    <w:rsid w:val="00C405C8"/>
    <w:rsid w:val="00C4129A"/>
    <w:rsid w:val="00C41836"/>
    <w:rsid w:val="00C41E57"/>
    <w:rsid w:val="00C424D7"/>
    <w:rsid w:val="00C42C13"/>
    <w:rsid w:val="00C43489"/>
    <w:rsid w:val="00C43C35"/>
    <w:rsid w:val="00C453CB"/>
    <w:rsid w:val="00C45E7F"/>
    <w:rsid w:val="00C46602"/>
    <w:rsid w:val="00C471ED"/>
    <w:rsid w:val="00C474B0"/>
    <w:rsid w:val="00C47E0A"/>
    <w:rsid w:val="00C51220"/>
    <w:rsid w:val="00C51BCE"/>
    <w:rsid w:val="00C522B5"/>
    <w:rsid w:val="00C527B5"/>
    <w:rsid w:val="00C52C41"/>
    <w:rsid w:val="00C54E0B"/>
    <w:rsid w:val="00C5646C"/>
    <w:rsid w:val="00C57FD1"/>
    <w:rsid w:val="00C613DD"/>
    <w:rsid w:val="00C61C02"/>
    <w:rsid w:val="00C6248B"/>
    <w:rsid w:val="00C62FAB"/>
    <w:rsid w:val="00C634C1"/>
    <w:rsid w:val="00C63B8A"/>
    <w:rsid w:val="00C63E14"/>
    <w:rsid w:val="00C641F1"/>
    <w:rsid w:val="00C645EF"/>
    <w:rsid w:val="00C64A37"/>
    <w:rsid w:val="00C64C23"/>
    <w:rsid w:val="00C65EDE"/>
    <w:rsid w:val="00C71E61"/>
    <w:rsid w:val="00C71F08"/>
    <w:rsid w:val="00C7228B"/>
    <w:rsid w:val="00C73852"/>
    <w:rsid w:val="00C74011"/>
    <w:rsid w:val="00C74495"/>
    <w:rsid w:val="00C74A04"/>
    <w:rsid w:val="00C74BE2"/>
    <w:rsid w:val="00C7615C"/>
    <w:rsid w:val="00C77932"/>
    <w:rsid w:val="00C80AF9"/>
    <w:rsid w:val="00C810F8"/>
    <w:rsid w:val="00C81B10"/>
    <w:rsid w:val="00C82129"/>
    <w:rsid w:val="00C835E8"/>
    <w:rsid w:val="00C836C2"/>
    <w:rsid w:val="00C83ABE"/>
    <w:rsid w:val="00C846CA"/>
    <w:rsid w:val="00C85144"/>
    <w:rsid w:val="00C85895"/>
    <w:rsid w:val="00C85E66"/>
    <w:rsid w:val="00C8606F"/>
    <w:rsid w:val="00C86AAB"/>
    <w:rsid w:val="00C876F6"/>
    <w:rsid w:val="00C87866"/>
    <w:rsid w:val="00C91592"/>
    <w:rsid w:val="00C91716"/>
    <w:rsid w:val="00C922B7"/>
    <w:rsid w:val="00C9332F"/>
    <w:rsid w:val="00C9397B"/>
    <w:rsid w:val="00C945B2"/>
    <w:rsid w:val="00C94FC7"/>
    <w:rsid w:val="00C95FB2"/>
    <w:rsid w:val="00C97253"/>
    <w:rsid w:val="00CA1535"/>
    <w:rsid w:val="00CA2C63"/>
    <w:rsid w:val="00CA3931"/>
    <w:rsid w:val="00CA39AE"/>
    <w:rsid w:val="00CA3E63"/>
    <w:rsid w:val="00CA4A96"/>
    <w:rsid w:val="00CA67CA"/>
    <w:rsid w:val="00CA68F5"/>
    <w:rsid w:val="00CA6903"/>
    <w:rsid w:val="00CA7826"/>
    <w:rsid w:val="00CA7830"/>
    <w:rsid w:val="00CB04E4"/>
    <w:rsid w:val="00CB32CC"/>
    <w:rsid w:val="00CB409C"/>
    <w:rsid w:val="00CB4F3A"/>
    <w:rsid w:val="00CB4F72"/>
    <w:rsid w:val="00CB5348"/>
    <w:rsid w:val="00CB5C78"/>
    <w:rsid w:val="00CB63E1"/>
    <w:rsid w:val="00CB745A"/>
    <w:rsid w:val="00CC0B5C"/>
    <w:rsid w:val="00CC1117"/>
    <w:rsid w:val="00CC1F93"/>
    <w:rsid w:val="00CC231E"/>
    <w:rsid w:val="00CC3746"/>
    <w:rsid w:val="00CC3B5B"/>
    <w:rsid w:val="00CC62D4"/>
    <w:rsid w:val="00CC66FD"/>
    <w:rsid w:val="00CC6D70"/>
    <w:rsid w:val="00CC75B3"/>
    <w:rsid w:val="00CD1204"/>
    <w:rsid w:val="00CD157F"/>
    <w:rsid w:val="00CD1BB9"/>
    <w:rsid w:val="00CD2314"/>
    <w:rsid w:val="00CD2884"/>
    <w:rsid w:val="00CD3034"/>
    <w:rsid w:val="00CD4008"/>
    <w:rsid w:val="00CD45AD"/>
    <w:rsid w:val="00CD51DC"/>
    <w:rsid w:val="00CD53A0"/>
    <w:rsid w:val="00CD55E8"/>
    <w:rsid w:val="00CD5B30"/>
    <w:rsid w:val="00CD6186"/>
    <w:rsid w:val="00CD6427"/>
    <w:rsid w:val="00CE009C"/>
    <w:rsid w:val="00CE20B7"/>
    <w:rsid w:val="00CE2320"/>
    <w:rsid w:val="00CE23D3"/>
    <w:rsid w:val="00CE243E"/>
    <w:rsid w:val="00CE2934"/>
    <w:rsid w:val="00CF01C1"/>
    <w:rsid w:val="00CF0AC4"/>
    <w:rsid w:val="00CF10F8"/>
    <w:rsid w:val="00CF23C3"/>
    <w:rsid w:val="00CF3261"/>
    <w:rsid w:val="00CF3634"/>
    <w:rsid w:val="00CF47D8"/>
    <w:rsid w:val="00CF5F7B"/>
    <w:rsid w:val="00CF602C"/>
    <w:rsid w:val="00CF6528"/>
    <w:rsid w:val="00CF65A1"/>
    <w:rsid w:val="00CF7477"/>
    <w:rsid w:val="00CF74E3"/>
    <w:rsid w:val="00D003C3"/>
    <w:rsid w:val="00D009C2"/>
    <w:rsid w:val="00D01217"/>
    <w:rsid w:val="00D020CD"/>
    <w:rsid w:val="00D0215E"/>
    <w:rsid w:val="00D02794"/>
    <w:rsid w:val="00D02E22"/>
    <w:rsid w:val="00D0344F"/>
    <w:rsid w:val="00D03EDE"/>
    <w:rsid w:val="00D05BA5"/>
    <w:rsid w:val="00D05CB3"/>
    <w:rsid w:val="00D062AB"/>
    <w:rsid w:val="00D0726F"/>
    <w:rsid w:val="00D07BDA"/>
    <w:rsid w:val="00D10A64"/>
    <w:rsid w:val="00D1125D"/>
    <w:rsid w:val="00D11B5E"/>
    <w:rsid w:val="00D13625"/>
    <w:rsid w:val="00D13A23"/>
    <w:rsid w:val="00D13FA9"/>
    <w:rsid w:val="00D15AE0"/>
    <w:rsid w:val="00D1636A"/>
    <w:rsid w:val="00D17D12"/>
    <w:rsid w:val="00D202D9"/>
    <w:rsid w:val="00D20985"/>
    <w:rsid w:val="00D20999"/>
    <w:rsid w:val="00D21757"/>
    <w:rsid w:val="00D21773"/>
    <w:rsid w:val="00D21D1E"/>
    <w:rsid w:val="00D21F59"/>
    <w:rsid w:val="00D244A0"/>
    <w:rsid w:val="00D24F3F"/>
    <w:rsid w:val="00D25B4C"/>
    <w:rsid w:val="00D27A2B"/>
    <w:rsid w:val="00D312F7"/>
    <w:rsid w:val="00D31F32"/>
    <w:rsid w:val="00D325AA"/>
    <w:rsid w:val="00D32BD6"/>
    <w:rsid w:val="00D33C4B"/>
    <w:rsid w:val="00D33F26"/>
    <w:rsid w:val="00D342C7"/>
    <w:rsid w:val="00D34911"/>
    <w:rsid w:val="00D34A6B"/>
    <w:rsid w:val="00D34A99"/>
    <w:rsid w:val="00D34DCE"/>
    <w:rsid w:val="00D353BD"/>
    <w:rsid w:val="00D35C5C"/>
    <w:rsid w:val="00D36067"/>
    <w:rsid w:val="00D369A0"/>
    <w:rsid w:val="00D37706"/>
    <w:rsid w:val="00D37812"/>
    <w:rsid w:val="00D4003F"/>
    <w:rsid w:val="00D40136"/>
    <w:rsid w:val="00D4048B"/>
    <w:rsid w:val="00D4412D"/>
    <w:rsid w:val="00D4570E"/>
    <w:rsid w:val="00D460A5"/>
    <w:rsid w:val="00D4710D"/>
    <w:rsid w:val="00D526DC"/>
    <w:rsid w:val="00D52954"/>
    <w:rsid w:val="00D52ED4"/>
    <w:rsid w:val="00D53EF5"/>
    <w:rsid w:val="00D54BFC"/>
    <w:rsid w:val="00D55A9A"/>
    <w:rsid w:val="00D56267"/>
    <w:rsid w:val="00D60375"/>
    <w:rsid w:val="00D612D1"/>
    <w:rsid w:val="00D613D7"/>
    <w:rsid w:val="00D61985"/>
    <w:rsid w:val="00D62754"/>
    <w:rsid w:val="00D640A1"/>
    <w:rsid w:val="00D6454A"/>
    <w:rsid w:val="00D64898"/>
    <w:rsid w:val="00D648FF"/>
    <w:rsid w:val="00D64EA8"/>
    <w:rsid w:val="00D64EFE"/>
    <w:rsid w:val="00D65B93"/>
    <w:rsid w:val="00D678E6"/>
    <w:rsid w:val="00D7179F"/>
    <w:rsid w:val="00D7192D"/>
    <w:rsid w:val="00D72375"/>
    <w:rsid w:val="00D72C20"/>
    <w:rsid w:val="00D744CD"/>
    <w:rsid w:val="00D744E9"/>
    <w:rsid w:val="00D76727"/>
    <w:rsid w:val="00D77760"/>
    <w:rsid w:val="00D81AE6"/>
    <w:rsid w:val="00D81F29"/>
    <w:rsid w:val="00D82C28"/>
    <w:rsid w:val="00D82D6A"/>
    <w:rsid w:val="00D84495"/>
    <w:rsid w:val="00D845E9"/>
    <w:rsid w:val="00D87196"/>
    <w:rsid w:val="00D87646"/>
    <w:rsid w:val="00D87771"/>
    <w:rsid w:val="00D90522"/>
    <w:rsid w:val="00D90737"/>
    <w:rsid w:val="00D90A96"/>
    <w:rsid w:val="00D9136F"/>
    <w:rsid w:val="00D923F3"/>
    <w:rsid w:val="00D92AC9"/>
    <w:rsid w:val="00D93014"/>
    <w:rsid w:val="00D93572"/>
    <w:rsid w:val="00D935B8"/>
    <w:rsid w:val="00D94EC8"/>
    <w:rsid w:val="00DA00C9"/>
    <w:rsid w:val="00DA021F"/>
    <w:rsid w:val="00DA0808"/>
    <w:rsid w:val="00DA0C55"/>
    <w:rsid w:val="00DA2E9A"/>
    <w:rsid w:val="00DA31CF"/>
    <w:rsid w:val="00DA3AB2"/>
    <w:rsid w:val="00DA4CBE"/>
    <w:rsid w:val="00DA6D39"/>
    <w:rsid w:val="00DA6E73"/>
    <w:rsid w:val="00DA7282"/>
    <w:rsid w:val="00DB1145"/>
    <w:rsid w:val="00DB192D"/>
    <w:rsid w:val="00DB47E1"/>
    <w:rsid w:val="00DB6699"/>
    <w:rsid w:val="00DB7346"/>
    <w:rsid w:val="00DC074E"/>
    <w:rsid w:val="00DC0893"/>
    <w:rsid w:val="00DC2008"/>
    <w:rsid w:val="00DC239E"/>
    <w:rsid w:val="00DC45DB"/>
    <w:rsid w:val="00DC6C03"/>
    <w:rsid w:val="00DC6EBD"/>
    <w:rsid w:val="00DC74FA"/>
    <w:rsid w:val="00DC7E3D"/>
    <w:rsid w:val="00DD06C0"/>
    <w:rsid w:val="00DD07B3"/>
    <w:rsid w:val="00DD0998"/>
    <w:rsid w:val="00DD1BFA"/>
    <w:rsid w:val="00DD3DD5"/>
    <w:rsid w:val="00DD433D"/>
    <w:rsid w:val="00DD522A"/>
    <w:rsid w:val="00DD621E"/>
    <w:rsid w:val="00DD6690"/>
    <w:rsid w:val="00DD788E"/>
    <w:rsid w:val="00DD7B9E"/>
    <w:rsid w:val="00DD7ECA"/>
    <w:rsid w:val="00DE041F"/>
    <w:rsid w:val="00DE0803"/>
    <w:rsid w:val="00DE2330"/>
    <w:rsid w:val="00DE2E87"/>
    <w:rsid w:val="00DE3562"/>
    <w:rsid w:val="00DE36FD"/>
    <w:rsid w:val="00DE3B64"/>
    <w:rsid w:val="00DE3CAB"/>
    <w:rsid w:val="00DE4268"/>
    <w:rsid w:val="00DE5914"/>
    <w:rsid w:val="00DE5BE6"/>
    <w:rsid w:val="00DE6735"/>
    <w:rsid w:val="00DE6E83"/>
    <w:rsid w:val="00DE70C1"/>
    <w:rsid w:val="00DE775A"/>
    <w:rsid w:val="00DE7AEF"/>
    <w:rsid w:val="00DE7C1A"/>
    <w:rsid w:val="00DE7F15"/>
    <w:rsid w:val="00DF0001"/>
    <w:rsid w:val="00DF0D4D"/>
    <w:rsid w:val="00DF1D90"/>
    <w:rsid w:val="00DF1E0F"/>
    <w:rsid w:val="00DF1F9E"/>
    <w:rsid w:val="00DF286C"/>
    <w:rsid w:val="00DF2C80"/>
    <w:rsid w:val="00DF32B1"/>
    <w:rsid w:val="00DF3BFE"/>
    <w:rsid w:val="00DF423A"/>
    <w:rsid w:val="00DF48E7"/>
    <w:rsid w:val="00DF4AEA"/>
    <w:rsid w:val="00DF4F5A"/>
    <w:rsid w:val="00DF53A8"/>
    <w:rsid w:val="00DF625B"/>
    <w:rsid w:val="00DF7A49"/>
    <w:rsid w:val="00E00628"/>
    <w:rsid w:val="00E0232D"/>
    <w:rsid w:val="00E02961"/>
    <w:rsid w:val="00E037A0"/>
    <w:rsid w:val="00E04F6F"/>
    <w:rsid w:val="00E05989"/>
    <w:rsid w:val="00E0699D"/>
    <w:rsid w:val="00E06E06"/>
    <w:rsid w:val="00E10E86"/>
    <w:rsid w:val="00E1280A"/>
    <w:rsid w:val="00E13FAA"/>
    <w:rsid w:val="00E1499C"/>
    <w:rsid w:val="00E1508C"/>
    <w:rsid w:val="00E15E7A"/>
    <w:rsid w:val="00E1668C"/>
    <w:rsid w:val="00E1682D"/>
    <w:rsid w:val="00E16B5A"/>
    <w:rsid w:val="00E16B61"/>
    <w:rsid w:val="00E16BCF"/>
    <w:rsid w:val="00E17072"/>
    <w:rsid w:val="00E17915"/>
    <w:rsid w:val="00E17F44"/>
    <w:rsid w:val="00E2031D"/>
    <w:rsid w:val="00E2061B"/>
    <w:rsid w:val="00E2164E"/>
    <w:rsid w:val="00E21877"/>
    <w:rsid w:val="00E21E44"/>
    <w:rsid w:val="00E22989"/>
    <w:rsid w:val="00E23817"/>
    <w:rsid w:val="00E245FE"/>
    <w:rsid w:val="00E247AB"/>
    <w:rsid w:val="00E25BA9"/>
    <w:rsid w:val="00E26B65"/>
    <w:rsid w:val="00E27065"/>
    <w:rsid w:val="00E279BB"/>
    <w:rsid w:val="00E3010B"/>
    <w:rsid w:val="00E304F9"/>
    <w:rsid w:val="00E30594"/>
    <w:rsid w:val="00E3118B"/>
    <w:rsid w:val="00E3232B"/>
    <w:rsid w:val="00E324D2"/>
    <w:rsid w:val="00E3335F"/>
    <w:rsid w:val="00E337B7"/>
    <w:rsid w:val="00E361F0"/>
    <w:rsid w:val="00E363BF"/>
    <w:rsid w:val="00E421F1"/>
    <w:rsid w:val="00E4276C"/>
    <w:rsid w:val="00E42AED"/>
    <w:rsid w:val="00E431D9"/>
    <w:rsid w:val="00E438F3"/>
    <w:rsid w:val="00E43BF5"/>
    <w:rsid w:val="00E43D42"/>
    <w:rsid w:val="00E444B4"/>
    <w:rsid w:val="00E44816"/>
    <w:rsid w:val="00E450A9"/>
    <w:rsid w:val="00E45361"/>
    <w:rsid w:val="00E456B9"/>
    <w:rsid w:val="00E45740"/>
    <w:rsid w:val="00E46264"/>
    <w:rsid w:val="00E47756"/>
    <w:rsid w:val="00E51A73"/>
    <w:rsid w:val="00E52835"/>
    <w:rsid w:val="00E5553A"/>
    <w:rsid w:val="00E555AE"/>
    <w:rsid w:val="00E55F41"/>
    <w:rsid w:val="00E5640A"/>
    <w:rsid w:val="00E57A76"/>
    <w:rsid w:val="00E57FE1"/>
    <w:rsid w:val="00E60285"/>
    <w:rsid w:val="00E6048B"/>
    <w:rsid w:val="00E604C5"/>
    <w:rsid w:val="00E60A57"/>
    <w:rsid w:val="00E62057"/>
    <w:rsid w:val="00E644C1"/>
    <w:rsid w:val="00E648DE"/>
    <w:rsid w:val="00E651E9"/>
    <w:rsid w:val="00E6633F"/>
    <w:rsid w:val="00E668EB"/>
    <w:rsid w:val="00E676C7"/>
    <w:rsid w:val="00E67D39"/>
    <w:rsid w:val="00E725A9"/>
    <w:rsid w:val="00E74729"/>
    <w:rsid w:val="00E74A70"/>
    <w:rsid w:val="00E76569"/>
    <w:rsid w:val="00E77B7A"/>
    <w:rsid w:val="00E80BC6"/>
    <w:rsid w:val="00E80E72"/>
    <w:rsid w:val="00E817D9"/>
    <w:rsid w:val="00E81D0D"/>
    <w:rsid w:val="00E825B9"/>
    <w:rsid w:val="00E83779"/>
    <w:rsid w:val="00E84ADB"/>
    <w:rsid w:val="00E84E4E"/>
    <w:rsid w:val="00E86BA9"/>
    <w:rsid w:val="00E91743"/>
    <w:rsid w:val="00E919BA"/>
    <w:rsid w:val="00E91BB8"/>
    <w:rsid w:val="00E91C5C"/>
    <w:rsid w:val="00E91E6F"/>
    <w:rsid w:val="00E91F79"/>
    <w:rsid w:val="00E9223C"/>
    <w:rsid w:val="00E92309"/>
    <w:rsid w:val="00E941C4"/>
    <w:rsid w:val="00E94663"/>
    <w:rsid w:val="00E94CC4"/>
    <w:rsid w:val="00E969B4"/>
    <w:rsid w:val="00EA1D4A"/>
    <w:rsid w:val="00EA2AD2"/>
    <w:rsid w:val="00EA3468"/>
    <w:rsid w:val="00EA4743"/>
    <w:rsid w:val="00EA51CD"/>
    <w:rsid w:val="00EA600D"/>
    <w:rsid w:val="00EA718D"/>
    <w:rsid w:val="00EA7957"/>
    <w:rsid w:val="00EA7DD5"/>
    <w:rsid w:val="00EB02D3"/>
    <w:rsid w:val="00EB170E"/>
    <w:rsid w:val="00EB1CE7"/>
    <w:rsid w:val="00EB2C97"/>
    <w:rsid w:val="00EB2EC9"/>
    <w:rsid w:val="00EB4343"/>
    <w:rsid w:val="00EB46D5"/>
    <w:rsid w:val="00EB5567"/>
    <w:rsid w:val="00EB5BA0"/>
    <w:rsid w:val="00EB6830"/>
    <w:rsid w:val="00EB6A22"/>
    <w:rsid w:val="00EB6D34"/>
    <w:rsid w:val="00EB741C"/>
    <w:rsid w:val="00EC073A"/>
    <w:rsid w:val="00EC0B88"/>
    <w:rsid w:val="00EC1479"/>
    <w:rsid w:val="00EC28A2"/>
    <w:rsid w:val="00EC3553"/>
    <w:rsid w:val="00EC3A7D"/>
    <w:rsid w:val="00EC498B"/>
    <w:rsid w:val="00EC5DB7"/>
    <w:rsid w:val="00EC78DF"/>
    <w:rsid w:val="00ED0E7B"/>
    <w:rsid w:val="00ED16EB"/>
    <w:rsid w:val="00ED1A0A"/>
    <w:rsid w:val="00ED292F"/>
    <w:rsid w:val="00ED2A90"/>
    <w:rsid w:val="00ED3651"/>
    <w:rsid w:val="00ED3C9A"/>
    <w:rsid w:val="00ED49C3"/>
    <w:rsid w:val="00ED4C98"/>
    <w:rsid w:val="00ED5FA6"/>
    <w:rsid w:val="00ED614B"/>
    <w:rsid w:val="00ED71B7"/>
    <w:rsid w:val="00ED76A7"/>
    <w:rsid w:val="00ED7752"/>
    <w:rsid w:val="00ED7F48"/>
    <w:rsid w:val="00EE002A"/>
    <w:rsid w:val="00EE0EB0"/>
    <w:rsid w:val="00EE1979"/>
    <w:rsid w:val="00EE1CD0"/>
    <w:rsid w:val="00EE2750"/>
    <w:rsid w:val="00EE359D"/>
    <w:rsid w:val="00EE410A"/>
    <w:rsid w:val="00EE443F"/>
    <w:rsid w:val="00EE451F"/>
    <w:rsid w:val="00EE47B2"/>
    <w:rsid w:val="00EE4D7E"/>
    <w:rsid w:val="00EE534F"/>
    <w:rsid w:val="00EE5414"/>
    <w:rsid w:val="00EE63D6"/>
    <w:rsid w:val="00EE6708"/>
    <w:rsid w:val="00EE6C42"/>
    <w:rsid w:val="00EE77E7"/>
    <w:rsid w:val="00EF01CE"/>
    <w:rsid w:val="00EF0D6E"/>
    <w:rsid w:val="00EF0E1B"/>
    <w:rsid w:val="00EF150E"/>
    <w:rsid w:val="00EF1D6E"/>
    <w:rsid w:val="00EF2E7F"/>
    <w:rsid w:val="00EF4D3B"/>
    <w:rsid w:val="00EF5A78"/>
    <w:rsid w:val="00EF61A0"/>
    <w:rsid w:val="00EF6543"/>
    <w:rsid w:val="00EF7528"/>
    <w:rsid w:val="00F00C8C"/>
    <w:rsid w:val="00F0157D"/>
    <w:rsid w:val="00F01F77"/>
    <w:rsid w:val="00F024C2"/>
    <w:rsid w:val="00F03021"/>
    <w:rsid w:val="00F0385C"/>
    <w:rsid w:val="00F03903"/>
    <w:rsid w:val="00F041D5"/>
    <w:rsid w:val="00F04252"/>
    <w:rsid w:val="00F048A4"/>
    <w:rsid w:val="00F06C88"/>
    <w:rsid w:val="00F06D67"/>
    <w:rsid w:val="00F07348"/>
    <w:rsid w:val="00F07F62"/>
    <w:rsid w:val="00F10438"/>
    <w:rsid w:val="00F10954"/>
    <w:rsid w:val="00F113AC"/>
    <w:rsid w:val="00F117C3"/>
    <w:rsid w:val="00F11CDD"/>
    <w:rsid w:val="00F12704"/>
    <w:rsid w:val="00F12EBB"/>
    <w:rsid w:val="00F132B9"/>
    <w:rsid w:val="00F137EC"/>
    <w:rsid w:val="00F13B8E"/>
    <w:rsid w:val="00F15A05"/>
    <w:rsid w:val="00F162AE"/>
    <w:rsid w:val="00F16C60"/>
    <w:rsid w:val="00F17ABD"/>
    <w:rsid w:val="00F17B27"/>
    <w:rsid w:val="00F17DE1"/>
    <w:rsid w:val="00F20081"/>
    <w:rsid w:val="00F21502"/>
    <w:rsid w:val="00F22CD2"/>
    <w:rsid w:val="00F23AF8"/>
    <w:rsid w:val="00F23F41"/>
    <w:rsid w:val="00F24263"/>
    <w:rsid w:val="00F24BCE"/>
    <w:rsid w:val="00F252E1"/>
    <w:rsid w:val="00F25621"/>
    <w:rsid w:val="00F256AE"/>
    <w:rsid w:val="00F25EA2"/>
    <w:rsid w:val="00F27D46"/>
    <w:rsid w:val="00F3076D"/>
    <w:rsid w:val="00F30A46"/>
    <w:rsid w:val="00F3186B"/>
    <w:rsid w:val="00F3249E"/>
    <w:rsid w:val="00F32D1E"/>
    <w:rsid w:val="00F33730"/>
    <w:rsid w:val="00F341EF"/>
    <w:rsid w:val="00F34344"/>
    <w:rsid w:val="00F350C1"/>
    <w:rsid w:val="00F350C6"/>
    <w:rsid w:val="00F356DA"/>
    <w:rsid w:val="00F35FCC"/>
    <w:rsid w:val="00F373DD"/>
    <w:rsid w:val="00F4036B"/>
    <w:rsid w:val="00F408D7"/>
    <w:rsid w:val="00F414DC"/>
    <w:rsid w:val="00F42A24"/>
    <w:rsid w:val="00F42E37"/>
    <w:rsid w:val="00F43063"/>
    <w:rsid w:val="00F43271"/>
    <w:rsid w:val="00F432E4"/>
    <w:rsid w:val="00F470AC"/>
    <w:rsid w:val="00F50732"/>
    <w:rsid w:val="00F50824"/>
    <w:rsid w:val="00F50DA2"/>
    <w:rsid w:val="00F51252"/>
    <w:rsid w:val="00F5229B"/>
    <w:rsid w:val="00F549AE"/>
    <w:rsid w:val="00F55910"/>
    <w:rsid w:val="00F5639B"/>
    <w:rsid w:val="00F5654C"/>
    <w:rsid w:val="00F574C8"/>
    <w:rsid w:val="00F5786E"/>
    <w:rsid w:val="00F60BBB"/>
    <w:rsid w:val="00F60E27"/>
    <w:rsid w:val="00F61681"/>
    <w:rsid w:val="00F6183E"/>
    <w:rsid w:val="00F62870"/>
    <w:rsid w:val="00F63C9D"/>
    <w:rsid w:val="00F63D45"/>
    <w:rsid w:val="00F64CCA"/>
    <w:rsid w:val="00F65330"/>
    <w:rsid w:val="00F65538"/>
    <w:rsid w:val="00F65875"/>
    <w:rsid w:val="00F65E83"/>
    <w:rsid w:val="00F71A46"/>
    <w:rsid w:val="00F73684"/>
    <w:rsid w:val="00F7372E"/>
    <w:rsid w:val="00F73D84"/>
    <w:rsid w:val="00F74EEE"/>
    <w:rsid w:val="00F75612"/>
    <w:rsid w:val="00F7594A"/>
    <w:rsid w:val="00F75D16"/>
    <w:rsid w:val="00F76FBE"/>
    <w:rsid w:val="00F77AB0"/>
    <w:rsid w:val="00F77E1C"/>
    <w:rsid w:val="00F77E23"/>
    <w:rsid w:val="00F816AB"/>
    <w:rsid w:val="00F819EC"/>
    <w:rsid w:val="00F82704"/>
    <w:rsid w:val="00F83169"/>
    <w:rsid w:val="00F83553"/>
    <w:rsid w:val="00F850C4"/>
    <w:rsid w:val="00F85641"/>
    <w:rsid w:val="00F877BE"/>
    <w:rsid w:val="00F90177"/>
    <w:rsid w:val="00F9232B"/>
    <w:rsid w:val="00F93195"/>
    <w:rsid w:val="00F9472F"/>
    <w:rsid w:val="00F94972"/>
    <w:rsid w:val="00F95FD2"/>
    <w:rsid w:val="00F9658E"/>
    <w:rsid w:val="00FA222D"/>
    <w:rsid w:val="00FA3570"/>
    <w:rsid w:val="00FA3589"/>
    <w:rsid w:val="00FA3EE3"/>
    <w:rsid w:val="00FA5772"/>
    <w:rsid w:val="00FA58B3"/>
    <w:rsid w:val="00FA5AED"/>
    <w:rsid w:val="00FA71FC"/>
    <w:rsid w:val="00FA749E"/>
    <w:rsid w:val="00FA7630"/>
    <w:rsid w:val="00FB004E"/>
    <w:rsid w:val="00FB0202"/>
    <w:rsid w:val="00FB0775"/>
    <w:rsid w:val="00FB11A3"/>
    <w:rsid w:val="00FB182F"/>
    <w:rsid w:val="00FB1F80"/>
    <w:rsid w:val="00FB2B3D"/>
    <w:rsid w:val="00FB3270"/>
    <w:rsid w:val="00FB3E14"/>
    <w:rsid w:val="00FB4234"/>
    <w:rsid w:val="00FB4A80"/>
    <w:rsid w:val="00FB5E5D"/>
    <w:rsid w:val="00FB672D"/>
    <w:rsid w:val="00FB69C7"/>
    <w:rsid w:val="00FB7441"/>
    <w:rsid w:val="00FB76B4"/>
    <w:rsid w:val="00FB7C05"/>
    <w:rsid w:val="00FC039E"/>
    <w:rsid w:val="00FC0C53"/>
    <w:rsid w:val="00FC2356"/>
    <w:rsid w:val="00FC27F3"/>
    <w:rsid w:val="00FC2EC8"/>
    <w:rsid w:val="00FC4222"/>
    <w:rsid w:val="00FC45CD"/>
    <w:rsid w:val="00FC5823"/>
    <w:rsid w:val="00FC656D"/>
    <w:rsid w:val="00FC6DBA"/>
    <w:rsid w:val="00FC7B56"/>
    <w:rsid w:val="00FD178B"/>
    <w:rsid w:val="00FD2031"/>
    <w:rsid w:val="00FD2778"/>
    <w:rsid w:val="00FD2E57"/>
    <w:rsid w:val="00FD4314"/>
    <w:rsid w:val="00FD5C05"/>
    <w:rsid w:val="00FD5DBA"/>
    <w:rsid w:val="00FD643C"/>
    <w:rsid w:val="00FD6B8E"/>
    <w:rsid w:val="00FD7B6B"/>
    <w:rsid w:val="00FE1357"/>
    <w:rsid w:val="00FE1C23"/>
    <w:rsid w:val="00FE1FC6"/>
    <w:rsid w:val="00FE2D64"/>
    <w:rsid w:val="00FE386D"/>
    <w:rsid w:val="00FE41A4"/>
    <w:rsid w:val="00FE5577"/>
    <w:rsid w:val="00FE5662"/>
    <w:rsid w:val="00FE7930"/>
    <w:rsid w:val="00FE7DFC"/>
    <w:rsid w:val="00FF00F6"/>
    <w:rsid w:val="00FF0BF2"/>
    <w:rsid w:val="00FF0F90"/>
    <w:rsid w:val="00FF2B88"/>
    <w:rsid w:val="00FF382B"/>
    <w:rsid w:val="00FF40A8"/>
    <w:rsid w:val="00FF69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FEA25A7-1A93-4830-AA33-C616DA73A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45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7748E2"/>
    <w:pPr>
      <w:tabs>
        <w:tab w:val="center" w:pos="4153"/>
        <w:tab w:val="right" w:pos="8306"/>
      </w:tabs>
      <w:snapToGrid w:val="0"/>
    </w:pPr>
    <w:rPr>
      <w:sz w:val="20"/>
      <w:szCs w:val="20"/>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hangingChars="200" w:hanging="200"/>
    </w:pPr>
  </w:style>
  <w:style w:type="paragraph" w:styleId="23">
    <w:name w:val="toc 2"/>
    <w:basedOn w:val="a"/>
    <w:next w:val="a"/>
    <w:autoRedefine/>
    <w:uiPriority w:val="39"/>
    <w:rsid w:val="00AA683F"/>
    <w:pPr>
      <w:tabs>
        <w:tab w:val="right" w:leader="hyphen" w:pos="8222"/>
      </w:tabs>
      <w:ind w:leftChars="0" w:left="486" w:rightChars="100" w:right="283" w:hangingChars="200" w:hanging="486"/>
    </w:pPr>
    <w:rPr>
      <w:sz w:val="24"/>
    </w:rPr>
  </w:style>
  <w:style w:type="character" w:customStyle="1" w:styleId="ae">
    <w:name w:val="頁首 字元"/>
    <w:link w:val="ad"/>
    <w:uiPriority w:val="99"/>
    <w:rsid w:val="007748E2"/>
    <w:rPr>
      <w:rFonts w:ascii="標楷體" w:eastAsia="標楷體"/>
      <w:snapToGrid w:val="0"/>
      <w:kern w:val="2"/>
    </w:rPr>
  </w:style>
  <w:style w:type="paragraph" w:styleId="af">
    <w:name w:val="footer"/>
    <w:basedOn w:val="a"/>
    <w:link w:val="af0"/>
    <w:uiPriority w:val="99"/>
    <w:unhideWhenUsed/>
    <w:rsid w:val="007748E2"/>
    <w:pPr>
      <w:tabs>
        <w:tab w:val="center" w:pos="4153"/>
        <w:tab w:val="right" w:pos="8306"/>
      </w:tabs>
      <w:snapToGrid w:val="0"/>
    </w:pPr>
    <w:rPr>
      <w:sz w:val="20"/>
      <w:szCs w:val="20"/>
    </w:rPr>
  </w:style>
  <w:style w:type="character" w:customStyle="1" w:styleId="af0">
    <w:name w:val="頁尾 字元"/>
    <w:link w:val="af"/>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1">
    <w:name w:val="footnote text"/>
    <w:basedOn w:val="a"/>
    <w:link w:val="af2"/>
    <w:uiPriority w:val="99"/>
    <w:unhideWhenUsed/>
    <w:rsid w:val="00166C1F"/>
    <w:pPr>
      <w:snapToGrid w:val="0"/>
      <w:jc w:val="left"/>
    </w:pPr>
    <w:rPr>
      <w:sz w:val="20"/>
      <w:szCs w:val="20"/>
    </w:rPr>
  </w:style>
  <w:style w:type="character" w:customStyle="1" w:styleId="af2">
    <w:name w:val="註腳文字 字元"/>
    <w:link w:val="af1"/>
    <w:uiPriority w:val="99"/>
    <w:rsid w:val="00166C1F"/>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rsid w:val="00166C1F"/>
    <w:rPr>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4">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5">
    <w:name w:val="FollowedHyperlink"/>
    <w:uiPriority w:val="99"/>
    <w:unhideWhenUsed/>
    <w:rsid w:val="00545E71"/>
    <w:rPr>
      <w:color w:val="800080"/>
      <w:u w:val="single"/>
    </w:rPr>
  </w:style>
  <w:style w:type="paragraph" w:styleId="af6">
    <w:name w:val="Balloon Text"/>
    <w:basedOn w:val="a"/>
    <w:link w:val="af7"/>
    <w:unhideWhenUsed/>
    <w:rsid w:val="00545E71"/>
    <w:pPr>
      <w:snapToGrid w:val="0"/>
      <w:spacing w:line="240" w:lineRule="auto"/>
    </w:pPr>
    <w:rPr>
      <w:rFonts w:ascii="Cambria" w:eastAsia="新細明體" w:hAnsi="Cambria"/>
      <w:snapToGrid/>
      <w:sz w:val="18"/>
      <w:szCs w:val="18"/>
    </w:rPr>
  </w:style>
  <w:style w:type="character" w:customStyle="1" w:styleId="af7">
    <w:name w:val="註解方塊文字 字元"/>
    <w:link w:val="af6"/>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8">
    <w:name w:val="Table Grid"/>
    <w:basedOn w:val="a1"/>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9">
    <w:name w:val="Emphasis"/>
    <w:uiPriority w:val="20"/>
    <w:qFormat/>
    <w:rsid w:val="00332229"/>
    <w:rPr>
      <w:b w:val="0"/>
      <w:bCs w:val="0"/>
      <w:i w:val="0"/>
      <w:iCs w:val="0"/>
      <w:color w:val="DD4B39"/>
    </w:rPr>
  </w:style>
  <w:style w:type="paragraph" w:customStyle="1" w:styleId="afa">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paragraph" w:customStyle="1" w:styleId="50">
    <w:name w:val=" 字元 字元5 字元"/>
    <w:basedOn w:val="a"/>
    <w:semiHidden/>
    <w:rsid w:val="0098124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750478"/>
    <w:rPr>
      <w:rFonts w:ascii="標楷體" w:eastAsia="標楷體"/>
      <w:snapToGrid w:val="0"/>
      <w:kern w:val="2"/>
      <w:sz w:val="28"/>
      <w:szCs w:val="28"/>
    </w:rPr>
  </w:style>
  <w:style w:type="paragraph" w:styleId="afb">
    <w:name w:val="Body Text"/>
    <w:basedOn w:val="a"/>
    <w:link w:val="afc"/>
    <w:rsid w:val="00726C71"/>
    <w:pPr>
      <w:spacing w:line="240" w:lineRule="auto"/>
      <w:ind w:leftChars="0" w:left="0" w:firstLineChars="0" w:firstLine="0"/>
    </w:pPr>
    <w:rPr>
      <w:rFonts w:ascii="Times New Roman"/>
      <w:snapToGrid/>
      <w:sz w:val="32"/>
      <w:szCs w:val="24"/>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本文 字元"/>
    <w:link w:val="afb"/>
    <w:rsid w:val="00726C71"/>
    <w:rPr>
      <w:rFonts w:eastAsia="標楷體"/>
      <w:kern w:val="2"/>
      <w:sz w:val="32"/>
      <w:szCs w:val="24"/>
    </w:rPr>
  </w:style>
  <w:style w:type="paragraph" w:styleId="afd">
    <w:name w:val="Date"/>
    <w:basedOn w:val="a"/>
    <w:next w:val="a"/>
    <w:link w:val="afe"/>
    <w:rsid w:val="00726C71"/>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726C71"/>
    <w:rPr>
      <w:rFonts w:eastAsia="標楷體"/>
      <w:b/>
      <w:bCs/>
      <w:kern w:val="2"/>
      <w:sz w:val="36"/>
      <w:szCs w:val="24"/>
    </w:rPr>
  </w:style>
  <w:style w:type="paragraph" w:customStyle="1" w:styleId="Default">
    <w:name w:val="Default"/>
    <w:rsid w:val="003460A7"/>
    <w:pPr>
      <w:widowControl w:val="0"/>
      <w:autoSpaceDE w:val="0"/>
      <w:autoSpaceDN w:val="0"/>
      <w:adjustRightInd w:val="0"/>
    </w:pPr>
    <w:rPr>
      <w:rFonts w:ascii="新細明體" w:cs="新細明體"/>
      <w:color w:val="000000"/>
      <w:sz w:val="24"/>
      <w:szCs w:val="24"/>
    </w:rPr>
  </w:style>
  <w:style w:type="character" w:styleId="aff">
    <w:name w:val="annotation reference"/>
    <w:uiPriority w:val="99"/>
    <w:semiHidden/>
    <w:unhideWhenUsed/>
    <w:rsid w:val="00E1280A"/>
    <w:rPr>
      <w:sz w:val="18"/>
      <w:szCs w:val="18"/>
    </w:rPr>
  </w:style>
  <w:style w:type="paragraph" w:styleId="aff0">
    <w:name w:val="annotation text"/>
    <w:basedOn w:val="a"/>
    <w:link w:val="aff1"/>
    <w:uiPriority w:val="99"/>
    <w:semiHidden/>
    <w:unhideWhenUsed/>
    <w:rsid w:val="00E1280A"/>
    <w:pPr>
      <w:jc w:val="left"/>
    </w:pPr>
  </w:style>
  <w:style w:type="character" w:customStyle="1" w:styleId="aff1">
    <w:name w:val="註解文字 字元"/>
    <w:link w:val="aff0"/>
    <w:uiPriority w:val="99"/>
    <w:semiHidden/>
    <w:rsid w:val="00E1280A"/>
    <w:rPr>
      <w:rFonts w:ascii="標楷體" w:eastAsia="標楷體"/>
      <w:snapToGrid w:val="0"/>
      <w:kern w:val="2"/>
      <w:sz w:val="28"/>
      <w:szCs w:val="28"/>
    </w:rPr>
  </w:style>
  <w:style w:type="paragraph" w:styleId="aff2">
    <w:name w:val="annotation subject"/>
    <w:basedOn w:val="aff0"/>
    <w:next w:val="aff0"/>
    <w:link w:val="aff3"/>
    <w:uiPriority w:val="99"/>
    <w:semiHidden/>
    <w:unhideWhenUsed/>
    <w:rsid w:val="00E1280A"/>
    <w:rPr>
      <w:b/>
      <w:bCs/>
    </w:rPr>
  </w:style>
  <w:style w:type="character" w:customStyle="1" w:styleId="aff3">
    <w:name w:val="註解主旨 字元"/>
    <w:link w:val="aff2"/>
    <w:uiPriority w:val="99"/>
    <w:semiHidden/>
    <w:rsid w:val="00E1280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82488241">
      <w:bodyDiv w:val="1"/>
      <w:marLeft w:val="0"/>
      <w:marRight w:val="0"/>
      <w:marTop w:val="0"/>
      <w:marBottom w:val="0"/>
      <w:divBdr>
        <w:top w:val="none" w:sz="0" w:space="0" w:color="auto"/>
        <w:left w:val="none" w:sz="0" w:space="0" w:color="auto"/>
        <w:bottom w:val="none" w:sz="0" w:space="0" w:color="auto"/>
        <w:right w:val="none" w:sz="0" w:space="0" w:color="auto"/>
      </w:divBdr>
    </w:div>
    <w:div w:id="451172359">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71872337">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4698693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825166504">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293748715">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511288531">
      <w:bodyDiv w:val="1"/>
      <w:marLeft w:val="0"/>
      <w:marRight w:val="0"/>
      <w:marTop w:val="0"/>
      <w:marBottom w:val="0"/>
      <w:divBdr>
        <w:top w:val="none" w:sz="0" w:space="0" w:color="auto"/>
        <w:left w:val="none" w:sz="0" w:space="0" w:color="auto"/>
        <w:bottom w:val="none" w:sz="0" w:space="0" w:color="auto"/>
        <w:right w:val="none" w:sz="0" w:space="0" w:color="auto"/>
      </w:divBdr>
    </w:div>
    <w:div w:id="1537113412">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7762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0B76C-8162-44FD-B394-E08BF6411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3</Pages>
  <Words>1132</Words>
  <Characters>6456</Characters>
  <Application>Microsoft Office Word</Application>
  <DocSecurity>0</DocSecurity>
  <Lines>53</Lines>
  <Paragraphs>15</Paragraphs>
  <ScaleCrop>false</ScaleCrop>
  <Company/>
  <LinksUpToDate>false</LinksUpToDate>
  <CharactersWithSpaces>7573</CharactersWithSpaces>
  <SharedDoc>false</SharedDoc>
  <HLinks>
    <vt:vector size="18" baseType="variant">
      <vt:variant>
        <vt:i4>1966133</vt:i4>
      </vt:variant>
      <vt:variant>
        <vt:i4>14</vt:i4>
      </vt:variant>
      <vt:variant>
        <vt:i4>0</vt:i4>
      </vt:variant>
      <vt:variant>
        <vt:i4>5</vt:i4>
      </vt:variant>
      <vt:variant>
        <vt:lpwstr/>
      </vt:variant>
      <vt:variant>
        <vt:lpwstr>_Toc185325375</vt:lpwstr>
      </vt:variant>
      <vt:variant>
        <vt:i4>1966133</vt:i4>
      </vt:variant>
      <vt:variant>
        <vt:i4>8</vt:i4>
      </vt:variant>
      <vt:variant>
        <vt:i4>0</vt:i4>
      </vt:variant>
      <vt:variant>
        <vt:i4>5</vt:i4>
      </vt:variant>
      <vt:variant>
        <vt:lpwstr/>
      </vt:variant>
      <vt:variant>
        <vt:lpwstr>_Toc185325374</vt:lpwstr>
      </vt:variant>
      <vt:variant>
        <vt:i4>1966133</vt:i4>
      </vt:variant>
      <vt:variant>
        <vt:i4>2</vt:i4>
      </vt:variant>
      <vt:variant>
        <vt:i4>0</vt:i4>
      </vt:variant>
      <vt:variant>
        <vt:i4>5</vt:i4>
      </vt:variant>
      <vt:variant>
        <vt:lpwstr/>
      </vt:variant>
      <vt:variant>
        <vt:lpwstr>_Toc185325373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2024-12-19T01:38:00Z</cp:lastPrinted>
  <dcterms:created xsi:type="dcterms:W3CDTF">2024-12-19T03:32:00Z</dcterms:created>
  <dcterms:modified xsi:type="dcterms:W3CDTF">2024-12-19T03:32:00Z</dcterms:modified>
</cp:coreProperties>
</file>