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CAA" w:rsidRPr="00C42A8E" w:rsidRDefault="00A17CAA" w:rsidP="00A17CAA">
      <w:pPr>
        <w:adjustRightInd w:val="0"/>
        <w:ind w:leftChars="0" w:left="0" w:firstLineChars="0" w:firstLine="0"/>
        <w:rPr>
          <w:rFonts w:hAnsi="標楷體"/>
          <w:b/>
          <w:sz w:val="36"/>
        </w:rPr>
      </w:pPr>
      <w:bookmarkStart w:id="0" w:name="_GoBack"/>
      <w:bookmarkEnd w:id="0"/>
      <w:r w:rsidRPr="00C42A8E">
        <w:rPr>
          <w:rFonts w:hAnsi="標楷體" w:hint="eastAsia"/>
          <w:b/>
          <w:sz w:val="36"/>
        </w:rPr>
        <w:t>外交部主管1</w:t>
      </w:r>
      <w:r>
        <w:rPr>
          <w:rFonts w:hAnsi="標楷體" w:hint="eastAsia"/>
          <w:b/>
          <w:sz w:val="36"/>
        </w:rPr>
        <w:t>1</w:t>
      </w:r>
      <w:r w:rsidR="007E7C2E">
        <w:rPr>
          <w:rFonts w:hAnsi="標楷體"/>
          <w:b/>
          <w:sz w:val="36"/>
        </w:rPr>
        <w:t>2</w:t>
      </w:r>
      <w:r w:rsidRPr="00C42A8E">
        <w:rPr>
          <w:rFonts w:hAnsi="標楷體" w:hint="eastAsia"/>
          <w:b/>
          <w:sz w:val="36"/>
        </w:rPr>
        <w:t>年度單位</w:t>
      </w:r>
      <w:r>
        <w:rPr>
          <w:rFonts w:hAnsi="標楷體" w:hint="eastAsia"/>
          <w:b/>
          <w:sz w:val="36"/>
        </w:rPr>
        <w:t>決</w:t>
      </w:r>
      <w:r w:rsidRPr="00C42A8E">
        <w:rPr>
          <w:rFonts w:hAnsi="標楷體" w:hint="eastAsia"/>
          <w:b/>
          <w:sz w:val="36"/>
        </w:rPr>
        <w:t>算評估報告</w:t>
      </w:r>
    </w:p>
    <w:p w:rsidR="007015A1" w:rsidRPr="00882DC3" w:rsidRDefault="00A17CAA" w:rsidP="00882DC3">
      <w:pPr>
        <w:pStyle w:val="14"/>
        <w:ind w:left="567" w:hanging="567"/>
      </w:pPr>
      <w:bookmarkStart w:id="1" w:name="_Toc185412116"/>
      <w:r w:rsidRPr="00882DC3">
        <w:rPr>
          <w:rFonts w:hint="eastAsia"/>
        </w:rPr>
        <w:t>一、</w:t>
      </w:r>
      <w:r w:rsidR="00727AD5" w:rsidRPr="00882DC3">
        <w:rPr>
          <w:rFonts w:hint="eastAsia"/>
        </w:rPr>
        <w:t>外交部</w:t>
      </w:r>
      <w:r w:rsidR="00C736C9" w:rsidRPr="00882DC3">
        <w:rPr>
          <w:rFonts w:hint="eastAsia"/>
        </w:rPr>
        <w:t>近年度預撥駐外</w:t>
      </w:r>
      <w:r w:rsidR="00045E62">
        <w:rPr>
          <w:rFonts w:hint="eastAsia"/>
        </w:rPr>
        <w:t>機構</w:t>
      </w:r>
      <w:r w:rsidR="00C736C9" w:rsidRPr="00882DC3">
        <w:rPr>
          <w:rFonts w:hint="eastAsia"/>
        </w:rPr>
        <w:t>經常性經費</w:t>
      </w:r>
      <w:r w:rsidR="000A1C40">
        <w:rPr>
          <w:rFonts w:hint="eastAsia"/>
        </w:rPr>
        <w:t>之</w:t>
      </w:r>
      <w:r w:rsidR="00BE793B">
        <w:rPr>
          <w:rFonts w:hint="eastAsia"/>
        </w:rPr>
        <w:t>賸餘款期後</w:t>
      </w:r>
      <w:r w:rsidR="00C736C9" w:rsidRPr="00882DC3">
        <w:rPr>
          <w:rFonts w:hint="eastAsia"/>
        </w:rPr>
        <w:t>收回情形</w:t>
      </w:r>
      <w:r w:rsidR="000A1C40">
        <w:rPr>
          <w:rFonts w:hint="eastAsia"/>
        </w:rPr>
        <w:t>頗鉅，且未見明顯</w:t>
      </w:r>
      <w:r w:rsidR="00C736C9" w:rsidRPr="00882DC3">
        <w:rPr>
          <w:rFonts w:hint="eastAsia"/>
        </w:rPr>
        <w:t>改善，</w:t>
      </w:r>
      <w:r w:rsidR="00E80BF0">
        <w:rPr>
          <w:rFonts w:hint="eastAsia"/>
        </w:rPr>
        <w:t>經費估列精準性</w:t>
      </w:r>
      <w:r w:rsidR="00C736C9" w:rsidRPr="00882DC3">
        <w:rPr>
          <w:rFonts w:hint="eastAsia"/>
        </w:rPr>
        <w:t>及結報時效</w:t>
      </w:r>
      <w:r w:rsidR="000A1C40">
        <w:rPr>
          <w:rFonts w:hint="eastAsia"/>
        </w:rPr>
        <w:t>性容待</w:t>
      </w:r>
      <w:r w:rsidR="00C736C9" w:rsidRPr="00882DC3">
        <w:rPr>
          <w:rFonts w:hint="eastAsia"/>
        </w:rPr>
        <w:t>加強</w:t>
      </w:r>
      <w:bookmarkEnd w:id="1"/>
    </w:p>
    <w:p w:rsidR="00A17CAA" w:rsidRDefault="00A17CAA" w:rsidP="009323B0">
      <w:pPr>
        <w:ind w:left="566" w:firstLine="566"/>
      </w:pPr>
      <w:r w:rsidRPr="00CC77D0">
        <w:rPr>
          <w:rFonts w:hint="eastAsia"/>
        </w:rPr>
        <w:t>外交部</w:t>
      </w:r>
      <w:r w:rsidR="007606EF">
        <w:t>112</w:t>
      </w:r>
      <w:r w:rsidRPr="00CC77D0">
        <w:rPr>
          <w:rFonts w:hint="eastAsia"/>
        </w:rPr>
        <w:t>年度</w:t>
      </w:r>
      <w:r w:rsidR="002622D6">
        <w:rPr>
          <w:rFonts w:hint="eastAsia"/>
        </w:rPr>
        <w:t>「</w:t>
      </w:r>
      <w:r w:rsidR="009323B0">
        <w:rPr>
          <w:rFonts w:hint="eastAsia"/>
        </w:rPr>
        <w:t>收回以前年度歲出</w:t>
      </w:r>
      <w:r w:rsidR="002622D6">
        <w:rPr>
          <w:rFonts w:hint="eastAsia"/>
        </w:rPr>
        <w:t>」</w:t>
      </w:r>
      <w:r w:rsidR="00AC7C41">
        <w:rPr>
          <w:rFonts w:hint="eastAsia"/>
        </w:rPr>
        <w:t>預算數</w:t>
      </w:r>
      <w:r w:rsidR="009323B0">
        <w:rPr>
          <w:rFonts w:hint="eastAsia"/>
        </w:rPr>
        <w:t>2億6</w:t>
      </w:r>
      <w:r w:rsidR="009323B0">
        <w:t>,</w:t>
      </w:r>
      <w:r w:rsidR="009323B0">
        <w:rPr>
          <w:rFonts w:hint="eastAsia"/>
        </w:rPr>
        <w:t>620萬元，決算數2億9</w:t>
      </w:r>
      <w:r w:rsidR="009323B0">
        <w:t>,</w:t>
      </w:r>
      <w:r w:rsidR="009323B0">
        <w:rPr>
          <w:rFonts w:hint="eastAsia"/>
        </w:rPr>
        <w:t>518萬3</w:t>
      </w:r>
      <w:r w:rsidR="00CB24F3">
        <w:rPr>
          <w:rFonts w:hint="eastAsia"/>
        </w:rPr>
        <w:t>千元，</w:t>
      </w:r>
      <w:r w:rsidR="009323B0">
        <w:rPr>
          <w:rFonts w:hint="eastAsia"/>
        </w:rPr>
        <w:t>達成率110.89%。</w:t>
      </w:r>
      <w:r w:rsidR="00AC7C41">
        <w:rPr>
          <w:rFonts w:hint="eastAsia"/>
        </w:rPr>
        <w:t>經查</w:t>
      </w:r>
      <w:r w:rsidRPr="00CC77D0">
        <w:rPr>
          <w:rFonts w:hint="eastAsia"/>
        </w:rPr>
        <w:t>：</w:t>
      </w:r>
    </w:p>
    <w:p w:rsidR="007C79A0" w:rsidRPr="00FF2412" w:rsidRDefault="007C79A0" w:rsidP="007C79A0">
      <w:pPr>
        <w:pStyle w:val="a4"/>
        <w:ind w:left="849" w:hanging="283"/>
        <w:rPr>
          <w:rFonts w:hint="eastAsia"/>
          <w:b/>
          <w:bCs/>
        </w:rPr>
      </w:pPr>
      <w:r w:rsidRPr="00FF2412">
        <w:rPr>
          <w:rFonts w:hint="eastAsia"/>
          <w:b/>
          <w:bCs/>
        </w:rPr>
        <w:t>(一)</w:t>
      </w:r>
      <w:r w:rsidR="00041922">
        <w:rPr>
          <w:rFonts w:hint="eastAsia"/>
          <w:b/>
          <w:bCs/>
        </w:rPr>
        <w:t>近年度</w:t>
      </w:r>
      <w:r w:rsidR="00727AD5">
        <w:rPr>
          <w:rFonts w:hint="eastAsia"/>
          <w:b/>
          <w:bCs/>
        </w:rPr>
        <w:t>匯</w:t>
      </w:r>
      <w:r w:rsidR="00C736C9" w:rsidRPr="00FF2412">
        <w:rPr>
          <w:rFonts w:hint="eastAsia"/>
          <w:b/>
          <w:bCs/>
        </w:rPr>
        <w:t>撥</w:t>
      </w:r>
      <w:r w:rsidR="00045E62">
        <w:rPr>
          <w:rFonts w:hint="eastAsia"/>
          <w:b/>
          <w:bCs/>
        </w:rPr>
        <w:t>駐外機構</w:t>
      </w:r>
      <w:r w:rsidRPr="00FF2412">
        <w:rPr>
          <w:rFonts w:hint="eastAsia"/>
          <w:b/>
          <w:bCs/>
        </w:rPr>
        <w:t>經常性經費</w:t>
      </w:r>
      <w:r w:rsidR="002C5472">
        <w:rPr>
          <w:rFonts w:hint="eastAsia"/>
          <w:b/>
          <w:bCs/>
        </w:rPr>
        <w:t>介於</w:t>
      </w:r>
      <w:r w:rsidR="002C5472" w:rsidRPr="002C5472">
        <w:rPr>
          <w:rFonts w:hint="eastAsia"/>
          <w:b/>
          <w:bCs/>
        </w:rPr>
        <w:t>29億7,391萬6千元至32億4,668萬3千元</w:t>
      </w:r>
    </w:p>
    <w:p w:rsidR="002C5472" w:rsidRPr="00727AD5" w:rsidRDefault="00045E62" w:rsidP="007C79A0">
      <w:pPr>
        <w:pStyle w:val="2"/>
        <w:ind w:left="850" w:firstLine="566"/>
      </w:pPr>
      <w:r>
        <w:rPr>
          <w:rFonts w:hint="eastAsia"/>
        </w:rPr>
        <w:t>按外交部</w:t>
      </w:r>
      <w:r w:rsidR="00906E56">
        <w:rPr>
          <w:rFonts w:hint="eastAsia"/>
        </w:rPr>
        <w:t>駐外機構</w:t>
      </w:r>
      <w:r>
        <w:rPr>
          <w:rFonts w:hint="eastAsia"/>
        </w:rPr>
        <w:t>經費分為經常性經費及</w:t>
      </w:r>
      <w:r w:rsidR="00E94BDE">
        <w:rPr>
          <w:rFonts w:hint="eastAsia"/>
        </w:rPr>
        <w:t>專案經費，</w:t>
      </w:r>
      <w:r w:rsidR="00906E56">
        <w:rPr>
          <w:rFonts w:hint="eastAsia"/>
        </w:rPr>
        <w:t>前者為業務運作經費曁該部或各主管機關規定併入指定月份報銷經費，後者為執行特定計畫之專案核撥報銷經費；</w:t>
      </w:r>
      <w:r w:rsidR="00E94BDE">
        <w:rPr>
          <w:rFonts w:hint="eastAsia"/>
        </w:rPr>
        <w:t>其中</w:t>
      </w:r>
      <w:r w:rsidR="00B33EF2" w:rsidRPr="00B33EF2">
        <w:rPr>
          <w:rFonts w:hint="eastAsia"/>
        </w:rPr>
        <w:t>外交部按月匯撥</w:t>
      </w:r>
      <w:r w:rsidR="002B1682">
        <w:rPr>
          <w:rFonts w:hint="eastAsia"/>
        </w:rPr>
        <w:t>之</w:t>
      </w:r>
      <w:r w:rsidR="000A1C40">
        <w:rPr>
          <w:rFonts w:hint="eastAsia"/>
        </w:rPr>
        <w:t>經常性經費，包括</w:t>
      </w:r>
      <w:r w:rsidR="00B33EF2" w:rsidRPr="00B33EF2">
        <w:rPr>
          <w:rFonts w:hint="eastAsia"/>
        </w:rPr>
        <w:t>人事費、租金、辦公費、交際費、獎補助費及其他機關駐外機構併報銷之業務費</w:t>
      </w:r>
      <w:r w:rsidR="002C5472">
        <w:rPr>
          <w:rFonts w:hint="eastAsia"/>
        </w:rPr>
        <w:t>等</w:t>
      </w:r>
      <w:r w:rsidR="00B33EF2" w:rsidRPr="00B33EF2">
        <w:rPr>
          <w:rFonts w:hint="eastAsia"/>
        </w:rPr>
        <w:t>，</w:t>
      </w:r>
      <w:r w:rsidR="002C5472">
        <w:rPr>
          <w:rFonts w:hint="eastAsia"/>
        </w:rPr>
        <w:t>108至112年度數額介於</w:t>
      </w:r>
      <w:r w:rsidR="002C5472">
        <w:t>29</w:t>
      </w:r>
      <w:r w:rsidR="002C5472">
        <w:rPr>
          <w:rFonts w:hint="eastAsia"/>
        </w:rPr>
        <w:t>億</w:t>
      </w:r>
      <w:r w:rsidR="002C5472">
        <w:t>7,3</w:t>
      </w:r>
      <w:r w:rsidR="002C5472" w:rsidRPr="002C5472">
        <w:t>91</w:t>
      </w:r>
      <w:r w:rsidR="002C5472">
        <w:rPr>
          <w:rFonts w:hint="eastAsia"/>
        </w:rPr>
        <w:t>萬</w:t>
      </w:r>
      <w:r w:rsidR="002C5472" w:rsidRPr="002C5472">
        <w:t>6</w:t>
      </w:r>
      <w:r w:rsidR="002C5472">
        <w:rPr>
          <w:rFonts w:hint="eastAsia"/>
        </w:rPr>
        <w:t>千元至</w:t>
      </w:r>
      <w:r w:rsidR="002C5472">
        <w:t>32</w:t>
      </w:r>
      <w:r w:rsidR="002C5472">
        <w:rPr>
          <w:rFonts w:hint="eastAsia"/>
        </w:rPr>
        <w:t>億</w:t>
      </w:r>
      <w:r w:rsidR="002C5472">
        <w:t>4,6</w:t>
      </w:r>
      <w:r w:rsidR="002C5472" w:rsidRPr="002C5472">
        <w:t>68</w:t>
      </w:r>
      <w:r w:rsidR="002C5472">
        <w:rPr>
          <w:rFonts w:hint="eastAsia"/>
        </w:rPr>
        <w:t>萬</w:t>
      </w:r>
      <w:r w:rsidR="002C5472" w:rsidRPr="002C5472">
        <w:t>3</w:t>
      </w:r>
      <w:r w:rsidR="002C5472">
        <w:rPr>
          <w:rFonts w:hint="eastAsia"/>
        </w:rPr>
        <w:t>千元間(詳表1)。</w:t>
      </w:r>
    </w:p>
    <w:p w:rsidR="00BB79E9" w:rsidRPr="00FF2412" w:rsidRDefault="00BB79E9" w:rsidP="00E62E9E">
      <w:pPr>
        <w:pStyle w:val="a4"/>
        <w:ind w:left="1133" w:hangingChars="200" w:hanging="567"/>
        <w:rPr>
          <w:snapToGrid/>
          <w:spacing w:val="-5"/>
          <w:kern w:val="0"/>
          <w:sz w:val="18"/>
          <w:szCs w:val="20"/>
        </w:rPr>
      </w:pPr>
      <w:r w:rsidRPr="00E62E9E">
        <w:rPr>
          <w:rFonts w:hint="eastAsia"/>
          <w:b/>
          <w:snapToGrid/>
          <w:lang w:eastAsia="zh-HK"/>
        </w:rPr>
        <w:t>表</w:t>
      </w:r>
      <w:r w:rsidRPr="00E62E9E">
        <w:rPr>
          <w:rFonts w:hint="eastAsia"/>
          <w:b/>
          <w:snapToGrid/>
        </w:rPr>
        <w:t>1</w:t>
      </w:r>
      <w:r w:rsidRPr="00E62E9E">
        <w:rPr>
          <w:b/>
          <w:snapToGrid/>
        </w:rPr>
        <w:t xml:space="preserve"> 10</w:t>
      </w:r>
      <w:r w:rsidR="00727AD5" w:rsidRPr="00E62E9E">
        <w:rPr>
          <w:b/>
          <w:snapToGrid/>
        </w:rPr>
        <w:t>8</w:t>
      </w:r>
      <w:r w:rsidRPr="00E62E9E">
        <w:rPr>
          <w:rFonts w:hint="eastAsia"/>
          <w:b/>
          <w:snapToGrid/>
        </w:rPr>
        <w:t>至1</w:t>
      </w:r>
      <w:r w:rsidRPr="00E62E9E">
        <w:rPr>
          <w:b/>
          <w:snapToGrid/>
        </w:rPr>
        <w:t>1</w:t>
      </w:r>
      <w:r w:rsidR="00727AD5" w:rsidRPr="00E62E9E">
        <w:rPr>
          <w:b/>
          <w:snapToGrid/>
        </w:rPr>
        <w:t>2</w:t>
      </w:r>
      <w:r w:rsidRPr="00E62E9E">
        <w:rPr>
          <w:b/>
          <w:snapToGrid/>
        </w:rPr>
        <w:t>年度</w:t>
      </w:r>
      <w:r w:rsidRPr="00E62E9E">
        <w:rPr>
          <w:rFonts w:hint="eastAsia"/>
          <w:b/>
          <w:snapToGrid/>
        </w:rPr>
        <w:t>外交部</w:t>
      </w:r>
      <w:r w:rsidR="00727AD5" w:rsidRPr="00E62E9E">
        <w:rPr>
          <w:rFonts w:hint="eastAsia"/>
          <w:b/>
          <w:snapToGrid/>
        </w:rPr>
        <w:t>匯</w:t>
      </w:r>
      <w:r w:rsidR="00045E62">
        <w:rPr>
          <w:rFonts w:hint="eastAsia"/>
          <w:b/>
          <w:snapToGrid/>
        </w:rPr>
        <w:t>撥駐外機構</w:t>
      </w:r>
      <w:r w:rsidRPr="00E62E9E">
        <w:rPr>
          <w:rFonts w:hint="eastAsia"/>
          <w:b/>
          <w:snapToGrid/>
        </w:rPr>
        <w:t>經常性經費</w:t>
      </w:r>
      <w:r w:rsidR="00727AD5" w:rsidRPr="00E62E9E">
        <w:rPr>
          <w:rFonts w:hint="eastAsia"/>
          <w:b/>
          <w:snapToGrid/>
        </w:rPr>
        <w:t>及</w:t>
      </w:r>
      <w:r w:rsidR="00BE793B">
        <w:rPr>
          <w:rFonts w:hint="eastAsia"/>
          <w:b/>
          <w:snapToGrid/>
        </w:rPr>
        <w:t>賸餘款期後</w:t>
      </w:r>
      <w:r w:rsidR="00727AD5" w:rsidRPr="00E62E9E">
        <w:rPr>
          <w:rFonts w:hint="eastAsia"/>
          <w:b/>
          <w:snapToGrid/>
        </w:rPr>
        <w:t>收回情形對照</w:t>
      </w:r>
      <w:r w:rsidRPr="00E62E9E">
        <w:rPr>
          <w:rFonts w:hint="eastAsia"/>
          <w:b/>
          <w:snapToGrid/>
        </w:rPr>
        <w:t>表</w:t>
      </w:r>
      <w:r w:rsidR="00727AD5" w:rsidRPr="00E62E9E">
        <w:rPr>
          <w:rFonts w:hint="eastAsia"/>
          <w:b/>
          <w:snapToGrid/>
        </w:rPr>
        <w:t xml:space="preserve"> </w:t>
      </w:r>
      <w:r w:rsidRPr="00FF2412">
        <w:rPr>
          <w:snapToGrid/>
        </w:rPr>
        <w:t xml:space="preserve"> </w:t>
      </w:r>
      <w:r w:rsidR="00BE793B">
        <w:rPr>
          <w:rFonts w:hint="eastAsia"/>
          <w:snapToGrid/>
        </w:rPr>
        <w:t xml:space="preserve"> </w:t>
      </w:r>
      <w:r>
        <w:rPr>
          <w:snapToGrid/>
        </w:rPr>
        <w:t xml:space="preserve"> </w:t>
      </w:r>
      <w:r w:rsidRPr="00FF2412">
        <w:rPr>
          <w:snapToGrid/>
        </w:rPr>
        <w:t xml:space="preserve">  </w:t>
      </w:r>
      <w:r>
        <w:rPr>
          <w:snapToGrid/>
        </w:rPr>
        <w:t xml:space="preserve">    </w:t>
      </w:r>
      <w:r w:rsidRPr="00FF2412">
        <w:rPr>
          <w:snapToGrid/>
        </w:rPr>
        <w:t xml:space="preserve"> </w:t>
      </w:r>
      <w:r w:rsidR="00E62E9E">
        <w:rPr>
          <w:snapToGrid/>
        </w:rPr>
        <w:t xml:space="preserve"> </w:t>
      </w:r>
      <w:r w:rsidRPr="00FF2412">
        <w:rPr>
          <w:snapToGrid/>
        </w:rPr>
        <w:t xml:space="preserve">      </w:t>
      </w:r>
      <w:r w:rsidR="00727AD5">
        <w:rPr>
          <w:rFonts w:hint="eastAsia"/>
          <w:snapToGrid/>
        </w:rPr>
        <w:t xml:space="preserve"> </w:t>
      </w:r>
      <w:r>
        <w:rPr>
          <w:snapToGrid/>
        </w:rPr>
        <w:t xml:space="preserve">  </w:t>
      </w:r>
      <w:r w:rsidR="00BE793B">
        <w:rPr>
          <w:rFonts w:hint="eastAsia"/>
          <w:snapToGrid/>
        </w:rPr>
        <w:t xml:space="preserve"> </w:t>
      </w:r>
      <w:r w:rsidRPr="00FF2412">
        <w:rPr>
          <w:rFonts w:hint="eastAsia"/>
          <w:snapToGrid/>
          <w:sz w:val="24"/>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53"/>
        <w:gridCol w:w="3225"/>
        <w:gridCol w:w="3260"/>
      </w:tblGrid>
      <w:tr w:rsidR="002F648B" w:rsidRPr="00560932" w:rsidTr="002F648B">
        <w:trPr>
          <w:trHeight w:val="20"/>
        </w:trPr>
        <w:tc>
          <w:tcPr>
            <w:tcW w:w="1453" w:type="dxa"/>
            <w:shd w:val="clear" w:color="auto" w:fill="auto"/>
            <w:noWrap/>
            <w:vAlign w:val="center"/>
            <w:hideMark/>
          </w:tcPr>
          <w:p w:rsidR="002F648B" w:rsidRPr="00E62E9E" w:rsidRDefault="002F648B" w:rsidP="00E62E9E">
            <w:pPr>
              <w:pStyle w:val="142"/>
              <w:ind w:left="647" w:hanging="647"/>
              <w:jc w:val="center"/>
              <w:rPr>
                <w:rFonts w:hAnsi="標楷體"/>
                <w:b/>
                <w:snapToGrid/>
              </w:rPr>
            </w:pPr>
            <w:r w:rsidRPr="00E62E9E">
              <w:rPr>
                <w:rFonts w:hAnsi="標楷體" w:hint="eastAsia"/>
                <w:b/>
                <w:snapToGrid/>
              </w:rPr>
              <w:t>年度</w:t>
            </w:r>
          </w:p>
        </w:tc>
        <w:tc>
          <w:tcPr>
            <w:tcW w:w="3225" w:type="dxa"/>
            <w:shd w:val="clear" w:color="auto" w:fill="auto"/>
            <w:vAlign w:val="center"/>
            <w:hideMark/>
          </w:tcPr>
          <w:p w:rsidR="002F648B" w:rsidRPr="00E62E9E" w:rsidRDefault="002F648B" w:rsidP="00E62E9E">
            <w:pPr>
              <w:pStyle w:val="142"/>
              <w:ind w:left="647" w:hanging="647"/>
              <w:jc w:val="center"/>
              <w:rPr>
                <w:rFonts w:hAnsi="標楷體" w:hint="eastAsia"/>
                <w:b/>
                <w:snapToGrid/>
              </w:rPr>
            </w:pPr>
            <w:r w:rsidRPr="00E62E9E">
              <w:rPr>
                <w:rFonts w:hAnsi="標楷體" w:hint="eastAsia"/>
                <w:b/>
                <w:snapToGrid/>
              </w:rPr>
              <w:t>年度匯撥駐外館處經常性經費</w:t>
            </w:r>
          </w:p>
        </w:tc>
        <w:tc>
          <w:tcPr>
            <w:tcW w:w="3260" w:type="dxa"/>
            <w:shd w:val="clear" w:color="auto" w:fill="auto"/>
            <w:vAlign w:val="center"/>
            <w:hideMark/>
          </w:tcPr>
          <w:p w:rsidR="002F648B" w:rsidRPr="00E62E9E" w:rsidRDefault="002F648B" w:rsidP="00E62E9E">
            <w:pPr>
              <w:pStyle w:val="142"/>
              <w:ind w:left="647" w:hanging="647"/>
              <w:jc w:val="center"/>
              <w:rPr>
                <w:rFonts w:hAnsi="標楷體" w:hint="eastAsia"/>
                <w:b/>
                <w:snapToGrid/>
              </w:rPr>
            </w:pPr>
            <w:r w:rsidRPr="00E62E9E">
              <w:rPr>
                <w:rFonts w:hAnsi="標楷體" w:hint="eastAsia"/>
                <w:b/>
                <w:snapToGrid/>
              </w:rPr>
              <w:t>收回以前年度歲出</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108</w:t>
            </w:r>
          </w:p>
        </w:tc>
        <w:tc>
          <w:tcPr>
            <w:tcW w:w="3225" w:type="dxa"/>
            <w:shd w:val="clear" w:color="auto" w:fill="auto"/>
            <w:noWrap/>
            <w:vAlign w:val="center"/>
            <w:hideMark/>
          </w:tcPr>
          <w:p w:rsidR="002F648B" w:rsidRPr="002C5472" w:rsidRDefault="002F648B" w:rsidP="00E62E9E">
            <w:pPr>
              <w:pStyle w:val="142"/>
              <w:ind w:left="647" w:hanging="647"/>
              <w:jc w:val="right"/>
              <w:rPr>
                <w:rFonts w:hAnsi="標楷體"/>
                <w:b/>
                <w:snapToGrid/>
              </w:rPr>
            </w:pPr>
            <w:r w:rsidRPr="002C5472">
              <w:rPr>
                <w:rFonts w:hAnsi="標楷體"/>
                <w:b/>
                <w:snapToGrid/>
              </w:rPr>
              <w:t>3,246,683</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100,777</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109</w:t>
            </w:r>
          </w:p>
        </w:tc>
        <w:tc>
          <w:tcPr>
            <w:tcW w:w="3225"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3,107,163</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85,762</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110</w:t>
            </w:r>
          </w:p>
        </w:tc>
        <w:tc>
          <w:tcPr>
            <w:tcW w:w="3225" w:type="dxa"/>
            <w:shd w:val="clear" w:color="auto" w:fill="auto"/>
            <w:noWrap/>
            <w:vAlign w:val="center"/>
            <w:hideMark/>
          </w:tcPr>
          <w:p w:rsidR="002F648B" w:rsidRPr="002C5472" w:rsidRDefault="002F648B" w:rsidP="00E62E9E">
            <w:pPr>
              <w:pStyle w:val="142"/>
              <w:ind w:left="647" w:hanging="647"/>
              <w:jc w:val="right"/>
              <w:rPr>
                <w:rFonts w:hAnsi="標楷體"/>
                <w:b/>
                <w:snapToGrid/>
              </w:rPr>
            </w:pPr>
            <w:r w:rsidRPr="002C5472">
              <w:rPr>
                <w:rFonts w:hAnsi="標楷體"/>
                <w:b/>
                <w:snapToGrid/>
              </w:rPr>
              <w:t>2,973,916</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180,052</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ind w:left="647" w:hanging="647"/>
              <w:jc w:val="center"/>
              <w:rPr>
                <w:rFonts w:hAnsi="標楷體"/>
                <w:snapToGrid/>
              </w:rPr>
            </w:pPr>
            <w:r w:rsidRPr="00560932">
              <w:rPr>
                <w:rFonts w:hAnsi="標楷體"/>
                <w:snapToGrid/>
              </w:rPr>
              <w:t>111</w:t>
            </w:r>
          </w:p>
        </w:tc>
        <w:tc>
          <w:tcPr>
            <w:tcW w:w="3225"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3,133,659</w:t>
            </w:r>
          </w:p>
        </w:tc>
        <w:tc>
          <w:tcPr>
            <w:tcW w:w="3260" w:type="dxa"/>
            <w:shd w:val="clear" w:color="auto" w:fill="auto"/>
            <w:noWrap/>
            <w:vAlign w:val="center"/>
            <w:hideMark/>
          </w:tcPr>
          <w:p w:rsidR="002F648B" w:rsidRPr="00560932" w:rsidRDefault="002F648B" w:rsidP="00E62E9E">
            <w:pPr>
              <w:pStyle w:val="142"/>
              <w:ind w:left="647" w:hanging="647"/>
              <w:jc w:val="right"/>
              <w:rPr>
                <w:rFonts w:hAnsi="標楷體"/>
                <w:snapToGrid/>
              </w:rPr>
            </w:pPr>
            <w:r w:rsidRPr="00560932">
              <w:rPr>
                <w:rFonts w:hAnsi="標楷體"/>
                <w:snapToGrid/>
              </w:rPr>
              <w:t>139,288</w:t>
            </w:r>
          </w:p>
        </w:tc>
      </w:tr>
      <w:tr w:rsidR="002F648B" w:rsidRPr="00560932" w:rsidTr="002F648B">
        <w:trPr>
          <w:trHeight w:val="20"/>
        </w:trPr>
        <w:tc>
          <w:tcPr>
            <w:tcW w:w="1453" w:type="dxa"/>
            <w:shd w:val="clear" w:color="auto" w:fill="auto"/>
            <w:noWrap/>
            <w:vAlign w:val="center"/>
            <w:hideMark/>
          </w:tcPr>
          <w:p w:rsidR="002F648B" w:rsidRPr="00560932" w:rsidRDefault="002F648B" w:rsidP="008E7F91">
            <w:pPr>
              <w:pStyle w:val="142"/>
              <w:jc w:val="center"/>
              <w:rPr>
                <w:rFonts w:hAnsi="標楷體"/>
                <w:snapToGrid/>
              </w:rPr>
            </w:pPr>
            <w:r w:rsidRPr="00560932">
              <w:rPr>
                <w:rFonts w:hAnsi="標楷體"/>
                <w:snapToGrid/>
              </w:rPr>
              <w:t>112</w:t>
            </w:r>
          </w:p>
        </w:tc>
        <w:tc>
          <w:tcPr>
            <w:tcW w:w="3225" w:type="dxa"/>
            <w:shd w:val="clear" w:color="auto" w:fill="auto"/>
            <w:noWrap/>
            <w:vAlign w:val="center"/>
            <w:hideMark/>
          </w:tcPr>
          <w:p w:rsidR="002F648B" w:rsidRPr="00560932" w:rsidRDefault="002F648B" w:rsidP="008E7F91">
            <w:pPr>
              <w:pStyle w:val="142"/>
              <w:ind w:leftChars="200" w:left="1213" w:hanging="647"/>
              <w:jc w:val="right"/>
              <w:rPr>
                <w:rFonts w:hAnsi="標楷體"/>
                <w:snapToGrid/>
              </w:rPr>
            </w:pPr>
            <w:r w:rsidRPr="00560932">
              <w:rPr>
                <w:rFonts w:hAnsi="標楷體"/>
                <w:snapToGrid/>
              </w:rPr>
              <w:t>3,222,704</w:t>
            </w:r>
          </w:p>
        </w:tc>
        <w:tc>
          <w:tcPr>
            <w:tcW w:w="3260" w:type="dxa"/>
            <w:shd w:val="clear" w:color="auto" w:fill="auto"/>
            <w:noWrap/>
            <w:vAlign w:val="center"/>
            <w:hideMark/>
          </w:tcPr>
          <w:p w:rsidR="002F648B" w:rsidRPr="00560932" w:rsidRDefault="002F648B" w:rsidP="008E7F91">
            <w:pPr>
              <w:pStyle w:val="142"/>
              <w:ind w:leftChars="200" w:left="1213" w:hanging="647"/>
              <w:jc w:val="right"/>
              <w:rPr>
                <w:rFonts w:hAnsi="標楷體"/>
                <w:snapToGrid/>
              </w:rPr>
            </w:pPr>
            <w:r w:rsidRPr="00560932">
              <w:rPr>
                <w:rFonts w:hAnsi="標楷體"/>
                <w:snapToGrid/>
              </w:rPr>
              <w:t>146,370</w:t>
            </w:r>
          </w:p>
        </w:tc>
      </w:tr>
    </w:tbl>
    <w:p w:rsidR="00BB79E9" w:rsidRDefault="00BB79E9" w:rsidP="008E7F91">
      <w:pPr>
        <w:pStyle w:val="142"/>
        <w:ind w:leftChars="200" w:left="566"/>
        <w:rPr>
          <w:snapToGrid/>
        </w:rPr>
      </w:pPr>
      <w:r>
        <w:rPr>
          <w:snapToGrid/>
        </w:rPr>
        <w:t>說</w:t>
      </w:r>
      <w:r>
        <w:rPr>
          <w:rFonts w:hint="eastAsia"/>
          <w:snapToGrid/>
        </w:rPr>
        <w:t xml:space="preserve"> </w:t>
      </w:r>
      <w:r>
        <w:rPr>
          <w:snapToGrid/>
        </w:rPr>
        <w:t xml:space="preserve">   明</w:t>
      </w:r>
      <w:r>
        <w:rPr>
          <w:rFonts w:hint="eastAsia"/>
          <w:snapToGrid/>
        </w:rPr>
        <w:t>：</w:t>
      </w:r>
      <w:r w:rsidR="00925098" w:rsidRPr="00925098">
        <w:rPr>
          <w:rFonts w:hint="eastAsia"/>
          <w:snapToGrid/>
        </w:rPr>
        <w:t>含駐外單位基本行政工作維持之人員及業務運作經費。</w:t>
      </w:r>
    </w:p>
    <w:p w:rsidR="00BB79E9" w:rsidRPr="00FF2412" w:rsidRDefault="00BB79E9" w:rsidP="008E7F91">
      <w:pPr>
        <w:pStyle w:val="142"/>
        <w:ind w:leftChars="200" w:left="566"/>
        <w:rPr>
          <w:snapToGrid/>
        </w:rPr>
      </w:pPr>
      <w:r w:rsidRPr="00FF2412">
        <w:rPr>
          <w:rFonts w:hint="eastAsia"/>
          <w:snapToGrid/>
        </w:rPr>
        <w:t>資料來源：</w:t>
      </w:r>
      <w:r w:rsidR="00882DC3">
        <w:rPr>
          <w:rFonts w:hint="eastAsia"/>
          <w:snapToGrid/>
        </w:rPr>
        <w:t>外交部</w:t>
      </w:r>
      <w:r w:rsidRPr="00FF2412">
        <w:rPr>
          <w:rFonts w:hint="eastAsia"/>
          <w:snapToGrid/>
        </w:rPr>
        <w:t>。</w:t>
      </w:r>
    </w:p>
    <w:p w:rsidR="00BB79E9" w:rsidRPr="008E7F91" w:rsidRDefault="008E7F91" w:rsidP="00C916F4">
      <w:pPr>
        <w:pStyle w:val="a4"/>
        <w:ind w:left="849" w:hanging="283"/>
        <w:rPr>
          <w:b/>
        </w:rPr>
      </w:pPr>
      <w:r w:rsidRPr="008E7F91">
        <w:rPr>
          <w:rFonts w:hint="eastAsia"/>
          <w:b/>
        </w:rPr>
        <w:t>(二)</w:t>
      </w:r>
      <w:r w:rsidR="002C5472" w:rsidRPr="008E7F91">
        <w:rPr>
          <w:rFonts w:hint="eastAsia"/>
          <w:b/>
        </w:rPr>
        <w:t>匯撥款項</w:t>
      </w:r>
      <w:r w:rsidR="00BE793B">
        <w:rPr>
          <w:rFonts w:hint="eastAsia"/>
          <w:b/>
        </w:rPr>
        <w:t>期後</w:t>
      </w:r>
      <w:r w:rsidR="002C5472" w:rsidRPr="008E7F91">
        <w:rPr>
          <w:rFonts w:hint="eastAsia"/>
          <w:b/>
        </w:rPr>
        <w:t>收回情形改善後復又增加，</w:t>
      </w:r>
      <w:r w:rsidR="00E80BF0">
        <w:rPr>
          <w:rFonts w:hint="eastAsia"/>
          <w:b/>
        </w:rPr>
        <w:t>經費估列精準</w:t>
      </w:r>
      <w:r w:rsidR="002C5472" w:rsidRPr="008E7F91">
        <w:rPr>
          <w:rFonts w:hint="eastAsia"/>
          <w:b/>
        </w:rPr>
        <w:t>性及結報時效</w:t>
      </w:r>
      <w:r w:rsidR="000A1C40">
        <w:rPr>
          <w:rFonts w:hint="eastAsia"/>
          <w:b/>
        </w:rPr>
        <w:t>性容待</w:t>
      </w:r>
      <w:r w:rsidR="002C5472" w:rsidRPr="008E7F91">
        <w:rPr>
          <w:rFonts w:hint="eastAsia"/>
          <w:b/>
        </w:rPr>
        <w:t>加強</w:t>
      </w:r>
    </w:p>
    <w:p w:rsidR="00C916F4" w:rsidRDefault="00906E56" w:rsidP="007C79A0">
      <w:pPr>
        <w:pStyle w:val="2"/>
        <w:ind w:left="850" w:firstLine="566"/>
      </w:pPr>
      <w:r>
        <w:rPr>
          <w:rFonts w:hint="eastAsia"/>
        </w:rPr>
        <w:t>依</w:t>
      </w:r>
      <w:r w:rsidR="002F648B">
        <w:rPr>
          <w:rFonts w:hint="eastAsia"/>
        </w:rPr>
        <w:t>各機關駐外機構會計作業注意事項第9點規定</w:t>
      </w:r>
      <w:r w:rsidR="0033585B">
        <w:rPr>
          <w:rFonts w:hint="eastAsia"/>
        </w:rPr>
        <w:t>經常性經費結報時限</w:t>
      </w:r>
      <w:r w:rsidR="002F648B">
        <w:rPr>
          <w:rFonts w:hint="eastAsia"/>
        </w:rPr>
        <w:t>略以，</w:t>
      </w:r>
      <w:r w:rsidR="0033585B" w:rsidRPr="0033585B">
        <w:rPr>
          <w:rFonts w:hint="eastAsia"/>
        </w:rPr>
        <w:t>經常性經費</w:t>
      </w:r>
      <w:r w:rsidR="005B1AB5">
        <w:rPr>
          <w:rFonts w:hint="eastAsia"/>
        </w:rPr>
        <w:t>應</w:t>
      </w:r>
      <w:r w:rsidR="0033585B" w:rsidRPr="0033585B">
        <w:rPr>
          <w:rFonts w:hint="eastAsia"/>
        </w:rPr>
        <w:t>於次月</w:t>
      </w:r>
      <w:r w:rsidR="0033585B">
        <w:rPr>
          <w:rFonts w:hint="eastAsia"/>
        </w:rPr>
        <w:t>2</w:t>
      </w:r>
      <w:r w:rsidR="0033585B">
        <w:t>0</w:t>
      </w:r>
      <w:r w:rsidR="0033585B" w:rsidRPr="0033585B">
        <w:rPr>
          <w:rFonts w:hint="eastAsia"/>
        </w:rPr>
        <w:t>日前</w:t>
      </w:r>
      <w:r w:rsidR="005B1AB5">
        <w:rPr>
          <w:rFonts w:hint="eastAsia"/>
        </w:rPr>
        <w:t>結報，</w:t>
      </w:r>
      <w:r w:rsidR="0033585B" w:rsidRPr="0033585B">
        <w:rPr>
          <w:rFonts w:hint="eastAsia"/>
        </w:rPr>
        <w:t>每年</w:t>
      </w:r>
      <w:r w:rsidR="00846260">
        <w:rPr>
          <w:rFonts w:hint="eastAsia"/>
        </w:rPr>
        <w:t>1</w:t>
      </w:r>
      <w:r w:rsidR="00846260">
        <w:t>2</w:t>
      </w:r>
      <w:r w:rsidR="0033585B" w:rsidRPr="0033585B">
        <w:rPr>
          <w:rFonts w:hint="eastAsia"/>
        </w:rPr>
        <w:t>月份</w:t>
      </w:r>
      <w:r w:rsidR="002B51D2">
        <w:rPr>
          <w:rFonts w:hint="eastAsia"/>
        </w:rPr>
        <w:t>經常性</w:t>
      </w:r>
      <w:r w:rsidR="0033585B" w:rsidRPr="0033585B">
        <w:rPr>
          <w:rFonts w:hint="eastAsia"/>
        </w:rPr>
        <w:t>經費得展延至次年</w:t>
      </w:r>
      <w:r w:rsidR="002B51D2">
        <w:rPr>
          <w:rFonts w:hint="eastAsia"/>
        </w:rPr>
        <w:t>3</w:t>
      </w:r>
      <w:r w:rsidR="0033585B" w:rsidRPr="0033585B">
        <w:rPr>
          <w:rFonts w:hint="eastAsia"/>
        </w:rPr>
        <w:t>月</w:t>
      </w:r>
      <w:r w:rsidR="002B51D2">
        <w:rPr>
          <w:rFonts w:hint="eastAsia"/>
        </w:rPr>
        <w:t>2</w:t>
      </w:r>
      <w:r w:rsidR="002B51D2">
        <w:t>0</w:t>
      </w:r>
      <w:r w:rsidR="0033585B" w:rsidRPr="0033585B">
        <w:rPr>
          <w:rFonts w:hint="eastAsia"/>
        </w:rPr>
        <w:t>日前結報</w:t>
      </w:r>
      <w:r w:rsidR="002B51D2">
        <w:rPr>
          <w:rFonts w:hint="eastAsia"/>
        </w:rPr>
        <w:t>，</w:t>
      </w:r>
      <w:r w:rsidR="00AF1AAA">
        <w:rPr>
          <w:rFonts w:hint="eastAsia"/>
        </w:rPr>
        <w:t>原則</w:t>
      </w:r>
      <w:r w:rsidR="0033585B" w:rsidRPr="0033585B">
        <w:rPr>
          <w:rFonts w:hint="eastAsia"/>
        </w:rPr>
        <w:t>應於次年</w:t>
      </w:r>
      <w:r w:rsidR="002B51D2">
        <w:rPr>
          <w:rFonts w:hint="eastAsia"/>
        </w:rPr>
        <w:t>6</w:t>
      </w:r>
      <w:r w:rsidR="0033585B" w:rsidRPr="0033585B">
        <w:rPr>
          <w:rFonts w:hint="eastAsia"/>
        </w:rPr>
        <w:t>月</w:t>
      </w:r>
      <w:r w:rsidR="002B51D2">
        <w:rPr>
          <w:rFonts w:hint="eastAsia"/>
        </w:rPr>
        <w:t>2</w:t>
      </w:r>
      <w:r w:rsidR="002B51D2">
        <w:t>0</w:t>
      </w:r>
      <w:r w:rsidR="0033585B" w:rsidRPr="0033585B">
        <w:rPr>
          <w:rFonts w:hint="eastAsia"/>
        </w:rPr>
        <w:t>日前完成當年度駐外機構經費</w:t>
      </w:r>
      <w:r w:rsidR="00AF1AAA">
        <w:rPr>
          <w:rFonts w:hint="eastAsia"/>
        </w:rPr>
        <w:t>之</w:t>
      </w:r>
      <w:r w:rsidR="0033585B" w:rsidRPr="0033585B">
        <w:rPr>
          <w:rFonts w:hint="eastAsia"/>
        </w:rPr>
        <w:t>核結及賸餘經費繳庫</w:t>
      </w:r>
      <w:r w:rsidR="00AF1AAA">
        <w:rPr>
          <w:rFonts w:hint="eastAsia"/>
        </w:rPr>
        <w:t>，</w:t>
      </w:r>
      <w:r w:rsidR="0033585B" w:rsidRPr="0033585B">
        <w:rPr>
          <w:rFonts w:hint="eastAsia"/>
        </w:rPr>
        <w:lastRenderedPageBreak/>
        <w:t>至次年</w:t>
      </w:r>
      <w:r w:rsidR="00AF1AAA">
        <w:rPr>
          <w:rFonts w:hint="eastAsia"/>
        </w:rPr>
        <w:t>1</w:t>
      </w:r>
      <w:r w:rsidR="0033585B" w:rsidRPr="0033585B">
        <w:rPr>
          <w:rFonts w:hint="eastAsia"/>
        </w:rPr>
        <w:t>月份經常性經費亦得順延至</w:t>
      </w:r>
      <w:r w:rsidR="00AF1AAA">
        <w:rPr>
          <w:rFonts w:hint="eastAsia"/>
        </w:rPr>
        <w:t>3月20</w:t>
      </w:r>
      <w:r w:rsidR="0033585B" w:rsidRPr="0033585B">
        <w:rPr>
          <w:rFonts w:hint="eastAsia"/>
        </w:rPr>
        <w:t>日前結報。</w:t>
      </w:r>
      <w:r w:rsidR="00AF1AAA">
        <w:rPr>
          <w:rFonts w:hint="eastAsia"/>
        </w:rPr>
        <w:t>揆諸</w:t>
      </w:r>
      <w:r w:rsidR="00BE793B">
        <w:rPr>
          <w:rFonts w:hint="eastAsia"/>
        </w:rPr>
        <w:t>108至112年度駐外機構經常性經費賸餘</w:t>
      </w:r>
      <w:r w:rsidR="009323B0">
        <w:rPr>
          <w:rFonts w:hint="eastAsia"/>
        </w:rPr>
        <w:t>款</w:t>
      </w:r>
      <w:r w:rsidR="000A1C40">
        <w:rPr>
          <w:rFonts w:hint="eastAsia"/>
        </w:rPr>
        <w:t>之</w:t>
      </w:r>
      <w:r w:rsidR="00BE793B">
        <w:rPr>
          <w:rFonts w:hint="eastAsia"/>
        </w:rPr>
        <w:t>期後收回情形(詳表1)，除109年度外，均逾億元，最高於110年度達1億8</w:t>
      </w:r>
      <w:r w:rsidR="00BE793B">
        <w:t>,</w:t>
      </w:r>
      <w:r w:rsidR="00BE793B">
        <w:rPr>
          <w:rFonts w:hint="eastAsia"/>
        </w:rPr>
        <w:t>005萬2千元，111年度下降為</w:t>
      </w:r>
      <w:r w:rsidR="00BE793B">
        <w:t>1</w:t>
      </w:r>
      <w:r w:rsidR="00BE793B">
        <w:rPr>
          <w:rFonts w:hint="eastAsia"/>
        </w:rPr>
        <w:t>億</w:t>
      </w:r>
      <w:r w:rsidR="00BE793B">
        <w:t>3,9</w:t>
      </w:r>
      <w:r w:rsidR="00BE793B" w:rsidRPr="00BE793B">
        <w:t>28</w:t>
      </w:r>
      <w:r w:rsidR="00BE793B">
        <w:rPr>
          <w:rFonts w:hint="eastAsia"/>
        </w:rPr>
        <w:t>萬</w:t>
      </w:r>
      <w:r w:rsidR="00BE793B" w:rsidRPr="00BE793B">
        <w:t>8</w:t>
      </w:r>
      <w:r w:rsidR="00BE793B">
        <w:rPr>
          <w:rFonts w:hint="eastAsia"/>
        </w:rPr>
        <w:t>千元，112</w:t>
      </w:r>
      <w:r w:rsidR="009323B0">
        <w:rPr>
          <w:rFonts w:hint="eastAsia"/>
        </w:rPr>
        <w:t>年度</w:t>
      </w:r>
      <w:r w:rsidR="00BE793B">
        <w:rPr>
          <w:rFonts w:hint="eastAsia"/>
        </w:rPr>
        <w:t>復增加為</w:t>
      </w:r>
      <w:r w:rsidR="00BE793B">
        <w:t>1</w:t>
      </w:r>
      <w:r w:rsidR="00BE793B">
        <w:rPr>
          <w:rFonts w:hint="eastAsia"/>
        </w:rPr>
        <w:t>億</w:t>
      </w:r>
      <w:r w:rsidR="00BE793B">
        <w:t>4,637</w:t>
      </w:r>
      <w:r w:rsidR="00BE793B">
        <w:rPr>
          <w:rFonts w:hint="eastAsia"/>
        </w:rPr>
        <w:t>萬元，</w:t>
      </w:r>
      <w:r w:rsidR="00693C13">
        <w:rPr>
          <w:rFonts w:hint="eastAsia"/>
        </w:rPr>
        <w:t>未能有效改善</w:t>
      </w:r>
      <w:r w:rsidR="0052534D">
        <w:rPr>
          <w:rFonts w:hint="eastAsia"/>
        </w:rPr>
        <w:t>，顯示</w:t>
      </w:r>
      <w:r w:rsidR="0052534D" w:rsidRPr="0052534D">
        <w:rPr>
          <w:rFonts w:hint="eastAsia"/>
        </w:rPr>
        <w:t>審核過程</w:t>
      </w:r>
      <w:r w:rsidR="0052534D">
        <w:rPr>
          <w:rFonts w:hint="eastAsia"/>
        </w:rPr>
        <w:t>容未</w:t>
      </w:r>
      <w:r w:rsidR="000A1C40">
        <w:rPr>
          <w:rFonts w:hint="eastAsia"/>
        </w:rPr>
        <w:t>盡妥適</w:t>
      </w:r>
      <w:r w:rsidR="0052534D" w:rsidRPr="0052534D">
        <w:rPr>
          <w:rFonts w:hint="eastAsia"/>
        </w:rPr>
        <w:t>，</w:t>
      </w:r>
      <w:r w:rsidR="0052534D">
        <w:rPr>
          <w:rFonts w:hint="eastAsia"/>
        </w:rPr>
        <w:t>匯撥款項超逾</w:t>
      </w:r>
      <w:r w:rsidR="0052534D" w:rsidRPr="0052534D">
        <w:rPr>
          <w:rFonts w:hint="eastAsia"/>
        </w:rPr>
        <w:t>實際需求</w:t>
      </w:r>
      <w:r w:rsidR="0052534D">
        <w:rPr>
          <w:rFonts w:hint="eastAsia"/>
        </w:rPr>
        <w:t>，為利年度終了時確實結清當年度款項，</w:t>
      </w:r>
      <w:r w:rsidR="000A1C40">
        <w:rPr>
          <w:rFonts w:hint="eastAsia"/>
        </w:rPr>
        <w:t>以提高經費使用效率</w:t>
      </w:r>
      <w:r w:rsidR="0052534D">
        <w:rPr>
          <w:rFonts w:hint="eastAsia"/>
        </w:rPr>
        <w:t>，允宜加強經費估列精準性及結報時效。</w:t>
      </w:r>
    </w:p>
    <w:p w:rsidR="007C79A0" w:rsidRPr="00FF2412" w:rsidRDefault="007C79A0" w:rsidP="007C79A0">
      <w:pPr>
        <w:ind w:left="566" w:firstLine="566"/>
        <w:outlineLvl w:val="0"/>
        <w:rPr>
          <w:rFonts w:hint="eastAsia"/>
          <w:snapToGrid/>
        </w:rPr>
      </w:pPr>
      <w:r w:rsidRPr="00FF2412">
        <w:rPr>
          <w:rFonts w:hint="eastAsia"/>
          <w:snapToGrid/>
        </w:rPr>
        <w:t>綜上，</w:t>
      </w:r>
      <w:r w:rsidR="000F460F">
        <w:rPr>
          <w:rFonts w:hint="eastAsia"/>
          <w:snapToGrid/>
        </w:rPr>
        <w:t>外交部</w:t>
      </w:r>
      <w:r w:rsidRPr="00B64C8F">
        <w:rPr>
          <w:rFonts w:hint="eastAsia"/>
          <w:snapToGrid/>
        </w:rPr>
        <w:t>近年</w:t>
      </w:r>
      <w:r w:rsidR="000F460F">
        <w:rPr>
          <w:rFonts w:hint="eastAsia"/>
          <w:snapToGrid/>
        </w:rPr>
        <w:t>度駐外機構</w:t>
      </w:r>
      <w:r w:rsidRPr="00B64C8F">
        <w:rPr>
          <w:rFonts w:hint="eastAsia"/>
          <w:snapToGrid/>
        </w:rPr>
        <w:t>經常性經費賸餘</w:t>
      </w:r>
      <w:r>
        <w:rPr>
          <w:rFonts w:hint="eastAsia"/>
          <w:snapToGrid/>
        </w:rPr>
        <w:t>數</w:t>
      </w:r>
      <w:r w:rsidR="000F460F">
        <w:rPr>
          <w:rFonts w:hint="eastAsia"/>
          <w:snapToGrid/>
        </w:rPr>
        <w:t>期後收回情形改善後復</w:t>
      </w:r>
      <w:r w:rsidR="00C005A0">
        <w:rPr>
          <w:rFonts w:hint="eastAsia"/>
          <w:snapToGrid/>
        </w:rPr>
        <w:t>又</w:t>
      </w:r>
      <w:r w:rsidR="000F460F">
        <w:rPr>
          <w:rFonts w:hint="eastAsia"/>
          <w:snapToGrid/>
        </w:rPr>
        <w:t>增加</w:t>
      </w:r>
      <w:r w:rsidRPr="00B64C8F">
        <w:rPr>
          <w:rFonts w:hint="eastAsia"/>
          <w:snapToGrid/>
        </w:rPr>
        <w:t>，</w:t>
      </w:r>
      <w:r w:rsidRPr="00FF2412">
        <w:rPr>
          <w:rFonts w:hint="eastAsia"/>
          <w:snapToGrid/>
        </w:rPr>
        <w:t>為避免鉅額賸餘經費長期滯留駐外館處，</w:t>
      </w:r>
      <w:r w:rsidR="000F460F">
        <w:rPr>
          <w:rFonts w:hint="eastAsia"/>
          <w:snapToGrid/>
        </w:rPr>
        <w:t>及時結清當年度款項，允宜加強經費估列精準性及結報時效</w:t>
      </w:r>
      <w:r w:rsidR="000A1C40">
        <w:rPr>
          <w:rFonts w:hint="eastAsia"/>
          <w:snapToGrid/>
        </w:rPr>
        <w:t>性</w:t>
      </w:r>
      <w:r w:rsidR="000F460F">
        <w:rPr>
          <w:rFonts w:hint="eastAsia"/>
          <w:snapToGrid/>
        </w:rPr>
        <w:t>，俾提</w:t>
      </w:r>
      <w:r w:rsidR="000A1C40">
        <w:rPr>
          <w:rFonts w:hint="eastAsia"/>
          <w:snapToGrid/>
        </w:rPr>
        <w:t>高經費使用效率</w:t>
      </w:r>
      <w:r w:rsidR="000F460F">
        <w:rPr>
          <w:rFonts w:hint="eastAsia"/>
          <w:snapToGrid/>
        </w:rPr>
        <w:t>。</w:t>
      </w:r>
    </w:p>
    <w:sectPr w:rsidR="007C79A0" w:rsidRPr="00FF2412" w:rsidSect="00D5655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12"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A24" w:rsidRDefault="00EF2A24" w:rsidP="009325EC">
      <w:pPr>
        <w:spacing w:line="240" w:lineRule="auto"/>
        <w:ind w:left="560" w:firstLine="560"/>
      </w:pPr>
      <w:r>
        <w:separator/>
      </w:r>
    </w:p>
  </w:endnote>
  <w:endnote w:type="continuationSeparator" w:id="0">
    <w:p w:rsidR="00EF2A24" w:rsidRDefault="00EF2A24" w:rsidP="009325E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554" w:rsidRDefault="00D56554" w:rsidP="006A6022">
    <w:pPr>
      <w:pStyle w:val="af"/>
      <w:ind w:leftChars="0" w:left="0" w:firstLineChars="0" w:firstLine="0"/>
      <w:jc w:val="center"/>
    </w:pPr>
    <w:r>
      <w:fldChar w:fldCharType="begin"/>
    </w:r>
    <w:r>
      <w:instrText>PAGE   \* MERGEFORMAT</w:instrText>
    </w:r>
    <w:r>
      <w:fldChar w:fldCharType="separate"/>
    </w:r>
    <w:r w:rsidR="00A9165B" w:rsidRPr="00A9165B">
      <w:rPr>
        <w:noProof/>
        <w:lang w:val="zh-TW"/>
      </w:rPr>
      <w:t>2</w:t>
    </w:r>
    <w:r>
      <w:fldChar w:fldCharType="end"/>
    </w:r>
  </w:p>
  <w:p w:rsidR="00687A3B" w:rsidRDefault="00687A3B" w:rsidP="00687A3B">
    <w:pPr>
      <w:pStyle w:val="af"/>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A24" w:rsidRDefault="00EF2A24" w:rsidP="009325EC">
      <w:pPr>
        <w:spacing w:line="240" w:lineRule="auto"/>
        <w:ind w:left="560" w:firstLine="560"/>
      </w:pPr>
      <w:r>
        <w:separator/>
      </w:r>
    </w:p>
  </w:footnote>
  <w:footnote w:type="continuationSeparator" w:id="0">
    <w:p w:rsidR="00EF2A24" w:rsidRDefault="00EF2A24" w:rsidP="009325E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A3B" w:rsidRDefault="00687A3B" w:rsidP="00687A3B">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723FB4"/>
    <w:multiLevelType w:val="hybridMultilevel"/>
    <w:tmpl w:val="00B684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17CAA"/>
    <w:rsid w:val="000053AD"/>
    <w:rsid w:val="00006F03"/>
    <w:rsid w:val="00021270"/>
    <w:rsid w:val="00026202"/>
    <w:rsid w:val="00041922"/>
    <w:rsid w:val="00045947"/>
    <w:rsid w:val="00045E62"/>
    <w:rsid w:val="0004720B"/>
    <w:rsid w:val="00054CE2"/>
    <w:rsid w:val="000A1C40"/>
    <w:rsid w:val="000B4F3E"/>
    <w:rsid w:val="000C2319"/>
    <w:rsid w:val="000E4DFD"/>
    <w:rsid w:val="000E50AB"/>
    <w:rsid w:val="000F31E3"/>
    <w:rsid w:val="000F460F"/>
    <w:rsid w:val="00107F1E"/>
    <w:rsid w:val="00113681"/>
    <w:rsid w:val="0011625B"/>
    <w:rsid w:val="00132262"/>
    <w:rsid w:val="001343CF"/>
    <w:rsid w:val="00135C13"/>
    <w:rsid w:val="00144D1F"/>
    <w:rsid w:val="0015619D"/>
    <w:rsid w:val="00184B1E"/>
    <w:rsid w:val="00185438"/>
    <w:rsid w:val="00186AA2"/>
    <w:rsid w:val="0019251B"/>
    <w:rsid w:val="001B2ED7"/>
    <w:rsid w:val="001D1DE0"/>
    <w:rsid w:val="001F474D"/>
    <w:rsid w:val="00216399"/>
    <w:rsid w:val="00223BF4"/>
    <w:rsid w:val="00223CFB"/>
    <w:rsid w:val="0022643A"/>
    <w:rsid w:val="00260720"/>
    <w:rsid w:val="002622D6"/>
    <w:rsid w:val="00264221"/>
    <w:rsid w:val="00292773"/>
    <w:rsid w:val="002A39E1"/>
    <w:rsid w:val="002B1682"/>
    <w:rsid w:val="002B51D2"/>
    <w:rsid w:val="002C5472"/>
    <w:rsid w:val="002D3074"/>
    <w:rsid w:val="002F1B6B"/>
    <w:rsid w:val="002F648B"/>
    <w:rsid w:val="003065B7"/>
    <w:rsid w:val="00307D59"/>
    <w:rsid w:val="00313FCA"/>
    <w:rsid w:val="0033585B"/>
    <w:rsid w:val="00335E47"/>
    <w:rsid w:val="00336D55"/>
    <w:rsid w:val="00340AF4"/>
    <w:rsid w:val="00380C6D"/>
    <w:rsid w:val="00382E76"/>
    <w:rsid w:val="00396AC3"/>
    <w:rsid w:val="003A32A7"/>
    <w:rsid w:val="003A418E"/>
    <w:rsid w:val="003C0209"/>
    <w:rsid w:val="003C7DDD"/>
    <w:rsid w:val="003D014B"/>
    <w:rsid w:val="003E0065"/>
    <w:rsid w:val="003E544B"/>
    <w:rsid w:val="00404779"/>
    <w:rsid w:val="0041001C"/>
    <w:rsid w:val="00417A2D"/>
    <w:rsid w:val="0042122A"/>
    <w:rsid w:val="004514DA"/>
    <w:rsid w:val="00456CA4"/>
    <w:rsid w:val="004617DA"/>
    <w:rsid w:val="004726DB"/>
    <w:rsid w:val="00484CB3"/>
    <w:rsid w:val="004A3E3F"/>
    <w:rsid w:val="004B0308"/>
    <w:rsid w:val="004B4203"/>
    <w:rsid w:val="004B5BD5"/>
    <w:rsid w:val="004E6351"/>
    <w:rsid w:val="004F0507"/>
    <w:rsid w:val="005016DB"/>
    <w:rsid w:val="005039F6"/>
    <w:rsid w:val="0052534D"/>
    <w:rsid w:val="0058200D"/>
    <w:rsid w:val="00583B52"/>
    <w:rsid w:val="00584517"/>
    <w:rsid w:val="0059148D"/>
    <w:rsid w:val="00597009"/>
    <w:rsid w:val="005A5799"/>
    <w:rsid w:val="005B13A1"/>
    <w:rsid w:val="005B1AB5"/>
    <w:rsid w:val="005B50A2"/>
    <w:rsid w:val="005B7154"/>
    <w:rsid w:val="005C0E2A"/>
    <w:rsid w:val="005C4AE7"/>
    <w:rsid w:val="005D36AB"/>
    <w:rsid w:val="005D7F6B"/>
    <w:rsid w:val="005E15E5"/>
    <w:rsid w:val="00601794"/>
    <w:rsid w:val="00607416"/>
    <w:rsid w:val="00621EF4"/>
    <w:rsid w:val="00623CDA"/>
    <w:rsid w:val="00630F44"/>
    <w:rsid w:val="00650276"/>
    <w:rsid w:val="006623B0"/>
    <w:rsid w:val="00674912"/>
    <w:rsid w:val="00687A3B"/>
    <w:rsid w:val="00693C13"/>
    <w:rsid w:val="00697EDB"/>
    <w:rsid w:val="006A15D6"/>
    <w:rsid w:val="006A6022"/>
    <w:rsid w:val="006D4329"/>
    <w:rsid w:val="006E2158"/>
    <w:rsid w:val="006E37BF"/>
    <w:rsid w:val="006F16C0"/>
    <w:rsid w:val="00701064"/>
    <w:rsid w:val="007015A1"/>
    <w:rsid w:val="00703329"/>
    <w:rsid w:val="00713513"/>
    <w:rsid w:val="00716907"/>
    <w:rsid w:val="007243A5"/>
    <w:rsid w:val="00725164"/>
    <w:rsid w:val="00727AD5"/>
    <w:rsid w:val="00736E6A"/>
    <w:rsid w:val="007442A9"/>
    <w:rsid w:val="00744408"/>
    <w:rsid w:val="007606EF"/>
    <w:rsid w:val="00777424"/>
    <w:rsid w:val="0078350E"/>
    <w:rsid w:val="007A32C7"/>
    <w:rsid w:val="007C79A0"/>
    <w:rsid w:val="007D3C6A"/>
    <w:rsid w:val="007D4416"/>
    <w:rsid w:val="007D63F8"/>
    <w:rsid w:val="007E6814"/>
    <w:rsid w:val="007E7C2E"/>
    <w:rsid w:val="007F24C5"/>
    <w:rsid w:val="007F74E0"/>
    <w:rsid w:val="00803469"/>
    <w:rsid w:val="008057B2"/>
    <w:rsid w:val="00806FA9"/>
    <w:rsid w:val="00815ACE"/>
    <w:rsid w:val="0082211F"/>
    <w:rsid w:val="008271C1"/>
    <w:rsid w:val="00831FEB"/>
    <w:rsid w:val="00846260"/>
    <w:rsid w:val="008662DB"/>
    <w:rsid w:val="00871C32"/>
    <w:rsid w:val="00880B3E"/>
    <w:rsid w:val="008816FE"/>
    <w:rsid w:val="00882DC3"/>
    <w:rsid w:val="00883309"/>
    <w:rsid w:val="0088796A"/>
    <w:rsid w:val="00890E9D"/>
    <w:rsid w:val="008B0F45"/>
    <w:rsid w:val="008B209A"/>
    <w:rsid w:val="008B2904"/>
    <w:rsid w:val="008D59F1"/>
    <w:rsid w:val="008E7F91"/>
    <w:rsid w:val="008F3489"/>
    <w:rsid w:val="00906E56"/>
    <w:rsid w:val="009113F8"/>
    <w:rsid w:val="00917EC4"/>
    <w:rsid w:val="00920D35"/>
    <w:rsid w:val="00922B78"/>
    <w:rsid w:val="00925098"/>
    <w:rsid w:val="009323B0"/>
    <w:rsid w:val="009325EC"/>
    <w:rsid w:val="00970BD5"/>
    <w:rsid w:val="00977B2B"/>
    <w:rsid w:val="00981480"/>
    <w:rsid w:val="009852C1"/>
    <w:rsid w:val="009879EA"/>
    <w:rsid w:val="009C266C"/>
    <w:rsid w:val="009C4A50"/>
    <w:rsid w:val="009C51BE"/>
    <w:rsid w:val="009E1B7C"/>
    <w:rsid w:val="009E1C09"/>
    <w:rsid w:val="009E4817"/>
    <w:rsid w:val="009F7606"/>
    <w:rsid w:val="00A12E4E"/>
    <w:rsid w:val="00A15318"/>
    <w:rsid w:val="00A16A4E"/>
    <w:rsid w:val="00A17CAA"/>
    <w:rsid w:val="00A21594"/>
    <w:rsid w:val="00A3695E"/>
    <w:rsid w:val="00A67C61"/>
    <w:rsid w:val="00A719EC"/>
    <w:rsid w:val="00A7539A"/>
    <w:rsid w:val="00A81C7C"/>
    <w:rsid w:val="00A82FC9"/>
    <w:rsid w:val="00A9165B"/>
    <w:rsid w:val="00A93F04"/>
    <w:rsid w:val="00A96DAC"/>
    <w:rsid w:val="00AC7C41"/>
    <w:rsid w:val="00AD3533"/>
    <w:rsid w:val="00AE4245"/>
    <w:rsid w:val="00AF1AAA"/>
    <w:rsid w:val="00AF62E7"/>
    <w:rsid w:val="00B064D5"/>
    <w:rsid w:val="00B07C8F"/>
    <w:rsid w:val="00B30FA4"/>
    <w:rsid w:val="00B33EF2"/>
    <w:rsid w:val="00B44224"/>
    <w:rsid w:val="00B51A12"/>
    <w:rsid w:val="00B56351"/>
    <w:rsid w:val="00B57F9F"/>
    <w:rsid w:val="00B62550"/>
    <w:rsid w:val="00B77C2C"/>
    <w:rsid w:val="00B8774D"/>
    <w:rsid w:val="00B94D05"/>
    <w:rsid w:val="00B953D2"/>
    <w:rsid w:val="00BA1C53"/>
    <w:rsid w:val="00BB2814"/>
    <w:rsid w:val="00BB447A"/>
    <w:rsid w:val="00BB79E9"/>
    <w:rsid w:val="00BC0294"/>
    <w:rsid w:val="00BC71BC"/>
    <w:rsid w:val="00BE1E40"/>
    <w:rsid w:val="00BE793B"/>
    <w:rsid w:val="00C005A0"/>
    <w:rsid w:val="00C04DFB"/>
    <w:rsid w:val="00C10E38"/>
    <w:rsid w:val="00C15D04"/>
    <w:rsid w:val="00C546A5"/>
    <w:rsid w:val="00C55146"/>
    <w:rsid w:val="00C60452"/>
    <w:rsid w:val="00C66183"/>
    <w:rsid w:val="00C70F06"/>
    <w:rsid w:val="00C736C9"/>
    <w:rsid w:val="00C85EBC"/>
    <w:rsid w:val="00C916F4"/>
    <w:rsid w:val="00C92E73"/>
    <w:rsid w:val="00CB24F3"/>
    <w:rsid w:val="00CD0CB6"/>
    <w:rsid w:val="00CD1CE4"/>
    <w:rsid w:val="00CD3A8D"/>
    <w:rsid w:val="00CD7015"/>
    <w:rsid w:val="00D0294A"/>
    <w:rsid w:val="00D10D5E"/>
    <w:rsid w:val="00D14BDC"/>
    <w:rsid w:val="00D457A5"/>
    <w:rsid w:val="00D56554"/>
    <w:rsid w:val="00D5767F"/>
    <w:rsid w:val="00D70E66"/>
    <w:rsid w:val="00D80B8C"/>
    <w:rsid w:val="00D8245D"/>
    <w:rsid w:val="00D92D81"/>
    <w:rsid w:val="00D9791A"/>
    <w:rsid w:val="00DA78D7"/>
    <w:rsid w:val="00DB326F"/>
    <w:rsid w:val="00DC1FAC"/>
    <w:rsid w:val="00DE53F6"/>
    <w:rsid w:val="00DE5537"/>
    <w:rsid w:val="00E022FA"/>
    <w:rsid w:val="00E0772C"/>
    <w:rsid w:val="00E13745"/>
    <w:rsid w:val="00E26DC6"/>
    <w:rsid w:val="00E329C5"/>
    <w:rsid w:val="00E47A59"/>
    <w:rsid w:val="00E62E9E"/>
    <w:rsid w:val="00E741AE"/>
    <w:rsid w:val="00E80BF0"/>
    <w:rsid w:val="00E94BDE"/>
    <w:rsid w:val="00EA67AF"/>
    <w:rsid w:val="00EC05F9"/>
    <w:rsid w:val="00EC231D"/>
    <w:rsid w:val="00EC48B0"/>
    <w:rsid w:val="00EC6AF6"/>
    <w:rsid w:val="00ED56D6"/>
    <w:rsid w:val="00EE0225"/>
    <w:rsid w:val="00EE1901"/>
    <w:rsid w:val="00EF2A24"/>
    <w:rsid w:val="00EF644B"/>
    <w:rsid w:val="00F03FD5"/>
    <w:rsid w:val="00F07C77"/>
    <w:rsid w:val="00F10133"/>
    <w:rsid w:val="00F14E7C"/>
    <w:rsid w:val="00F1688F"/>
    <w:rsid w:val="00F27FDC"/>
    <w:rsid w:val="00F32277"/>
    <w:rsid w:val="00F66F1A"/>
    <w:rsid w:val="00F80826"/>
    <w:rsid w:val="00FA7992"/>
    <w:rsid w:val="00FB0873"/>
    <w:rsid w:val="00FB1D02"/>
    <w:rsid w:val="00FB72EF"/>
    <w:rsid w:val="00FC3EC5"/>
    <w:rsid w:val="00FC7E87"/>
    <w:rsid w:val="00FD2FBF"/>
    <w:rsid w:val="00FD7B94"/>
    <w:rsid w:val="00FE5E20"/>
    <w:rsid w:val="00FF40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0490EF-EE71-4F44-8A8C-6905DEFDC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17C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d">
    <w:name w:val="header"/>
    <w:basedOn w:val="a"/>
    <w:link w:val="ae"/>
    <w:uiPriority w:val="99"/>
    <w:unhideWhenUsed/>
    <w:rsid w:val="00687A3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hangingChars="200" w:hanging="200"/>
    </w:pPr>
  </w:style>
  <w:style w:type="paragraph" w:styleId="22">
    <w:name w:val="toc 2"/>
    <w:basedOn w:val="a"/>
    <w:next w:val="a"/>
    <w:autoRedefine/>
    <w:uiPriority w:val="39"/>
    <w:qFormat/>
    <w:rsid w:val="00A17CAA"/>
    <w:pPr>
      <w:tabs>
        <w:tab w:val="right" w:leader="hyphen" w:pos="8490"/>
      </w:tabs>
      <w:ind w:leftChars="0" w:rightChars="100" w:right="100" w:hangingChars="200" w:hanging="200"/>
    </w:pPr>
    <w:rPr>
      <w:sz w:val="24"/>
    </w:rPr>
  </w:style>
  <w:style w:type="character" w:customStyle="1" w:styleId="ae">
    <w:name w:val="頁首 字元"/>
    <w:link w:val="ad"/>
    <w:uiPriority w:val="99"/>
    <w:rsid w:val="00687A3B"/>
    <w:rPr>
      <w:rFonts w:ascii="標楷體" w:eastAsia="標楷體"/>
      <w:snapToGrid w:val="0"/>
      <w:kern w:val="2"/>
    </w:rPr>
  </w:style>
  <w:style w:type="paragraph" w:styleId="af">
    <w:name w:val="footer"/>
    <w:basedOn w:val="a"/>
    <w:link w:val="af0"/>
    <w:uiPriority w:val="99"/>
    <w:unhideWhenUsed/>
    <w:rsid w:val="00687A3B"/>
    <w:pPr>
      <w:tabs>
        <w:tab w:val="center" w:pos="4153"/>
        <w:tab w:val="right" w:pos="8306"/>
      </w:tabs>
      <w:snapToGrid w:val="0"/>
    </w:pPr>
    <w:rPr>
      <w:sz w:val="20"/>
      <w:szCs w:val="20"/>
    </w:rPr>
  </w:style>
  <w:style w:type="character" w:customStyle="1" w:styleId="af0">
    <w:name w:val="頁尾 字元"/>
    <w:link w:val="af"/>
    <w:uiPriority w:val="99"/>
    <w:rsid w:val="00687A3B"/>
    <w:rPr>
      <w:rFonts w:ascii="標楷體" w:eastAsia="標楷體"/>
      <w:snapToGrid w:val="0"/>
      <w:kern w:val="2"/>
    </w:rPr>
  </w:style>
  <w:style w:type="character" w:styleId="af1">
    <w:name w:val="Hyperlink"/>
    <w:uiPriority w:val="99"/>
    <w:rsid w:val="00A17CAA"/>
    <w:rPr>
      <w:b/>
      <w:color w:val="0000FF"/>
      <w:u w:val="single"/>
    </w:rPr>
  </w:style>
  <w:style w:type="character" w:customStyle="1" w:styleId="a5">
    <w:name w:val="(一)(二)(三) 字元"/>
    <w:link w:val="a4"/>
    <w:rsid w:val="00A17CAA"/>
    <w:rPr>
      <w:rFonts w:ascii="標楷體" w:eastAsia="標楷體"/>
      <w:snapToGrid w:val="0"/>
      <w:kern w:val="2"/>
      <w:sz w:val="28"/>
      <w:szCs w:val="28"/>
    </w:rPr>
  </w:style>
  <w:style w:type="character" w:customStyle="1" w:styleId="143">
    <w:name w:val="表格內文(14行高) 字元"/>
    <w:link w:val="142"/>
    <w:rsid w:val="00A17CAA"/>
    <w:rPr>
      <w:rFonts w:ascii="標楷體" w:eastAsia="標楷體"/>
      <w:snapToGrid w:val="0"/>
      <w:kern w:val="2"/>
      <w:sz w:val="24"/>
      <w:szCs w:val="28"/>
    </w:rPr>
  </w:style>
  <w:style w:type="character" w:customStyle="1" w:styleId="140">
    <w:name w:val="第二層(14號字) 字元"/>
    <w:link w:val="14"/>
    <w:rsid w:val="00A17CAA"/>
    <w:rPr>
      <w:rFonts w:ascii="標楷體" w:eastAsia="標楷體"/>
      <w:b/>
      <w:snapToGrid w:val="0"/>
      <w:kern w:val="2"/>
      <w:sz w:val="28"/>
    </w:rPr>
  </w:style>
  <w:style w:type="character" w:customStyle="1" w:styleId="21">
    <w:name w:val="(一)下內文縮2 字元"/>
    <w:link w:val="2"/>
    <w:rsid w:val="00D9791A"/>
    <w:rPr>
      <w:rFonts w:ascii="標楷體" w:eastAsia="標楷體"/>
      <w:snapToGrid w:val="0"/>
      <w:kern w:val="2"/>
      <w:sz w:val="28"/>
      <w:szCs w:val="28"/>
    </w:rPr>
  </w:style>
  <w:style w:type="character" w:styleId="af2">
    <w:name w:val="footnote reference"/>
    <w:aliases w:val="FR,Ref,de nota al pie,註腳內容,Error-Fußnotenzeichen5,Error-Fußnotenzeichen6,Error-Fußnotenzeichen3"/>
    <w:unhideWhenUsed/>
    <w:rsid w:val="007C79A0"/>
    <w:rPr>
      <w:vertAlign w:val="superscript"/>
    </w:rPr>
  </w:style>
  <w:style w:type="paragraph" w:styleId="af3">
    <w:name w:val="footnote text"/>
    <w:basedOn w:val="a"/>
    <w:link w:val="af4"/>
    <w:uiPriority w:val="99"/>
    <w:semiHidden/>
    <w:unhideWhenUsed/>
    <w:rsid w:val="00882DC3"/>
    <w:pPr>
      <w:snapToGrid w:val="0"/>
      <w:jc w:val="left"/>
    </w:pPr>
    <w:rPr>
      <w:sz w:val="20"/>
      <w:szCs w:val="20"/>
    </w:rPr>
  </w:style>
  <w:style w:type="character" w:customStyle="1" w:styleId="af4">
    <w:name w:val="註腳文字 字元"/>
    <w:link w:val="af3"/>
    <w:uiPriority w:val="99"/>
    <w:semiHidden/>
    <w:rsid w:val="00882DC3"/>
    <w:rPr>
      <w:rFonts w:ascii="標楷體" w:eastAsia="標楷體"/>
      <w:snapToGrid w:val="0"/>
      <w:kern w:val="2"/>
    </w:rPr>
  </w:style>
  <w:style w:type="paragraph" w:styleId="af5">
    <w:name w:val="Balloon Text"/>
    <w:basedOn w:val="a"/>
    <w:link w:val="af6"/>
    <w:uiPriority w:val="99"/>
    <w:semiHidden/>
    <w:unhideWhenUsed/>
    <w:rsid w:val="00736E6A"/>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736E6A"/>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2026">
      <w:bodyDiv w:val="1"/>
      <w:marLeft w:val="0"/>
      <w:marRight w:val="0"/>
      <w:marTop w:val="0"/>
      <w:marBottom w:val="0"/>
      <w:divBdr>
        <w:top w:val="none" w:sz="0" w:space="0" w:color="auto"/>
        <w:left w:val="none" w:sz="0" w:space="0" w:color="auto"/>
        <w:bottom w:val="none" w:sz="0" w:space="0" w:color="auto"/>
        <w:right w:val="none" w:sz="0" w:space="0" w:color="auto"/>
      </w:divBdr>
    </w:div>
    <w:div w:id="1393695017">
      <w:bodyDiv w:val="1"/>
      <w:marLeft w:val="0"/>
      <w:marRight w:val="0"/>
      <w:marTop w:val="0"/>
      <w:marBottom w:val="0"/>
      <w:divBdr>
        <w:top w:val="none" w:sz="0" w:space="0" w:color="auto"/>
        <w:left w:val="none" w:sz="0" w:space="0" w:color="auto"/>
        <w:bottom w:val="none" w:sz="0" w:space="0" w:color="auto"/>
        <w:right w:val="none" w:sz="0" w:space="0" w:color="auto"/>
      </w:divBdr>
    </w:div>
    <w:div w:id="170859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test.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76511-AD94-4ED6-9A0D-7B2B53D5E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test.dot</Template>
  <TotalTime>0</TotalTime>
  <Pages>2</Pages>
  <Words>158</Words>
  <Characters>901</Characters>
  <Application>Microsoft Office Word</Application>
  <DocSecurity>0</DocSecurity>
  <Lines>7</Lines>
  <Paragraphs>2</Paragraphs>
  <ScaleCrop>false</ScaleCrop>
  <Company>HOME</Company>
  <LinksUpToDate>false</LinksUpToDate>
  <CharactersWithSpaces>1057</CharactersWithSpaces>
  <SharedDoc>false</SharedDoc>
  <HLinks>
    <vt:vector size="18" baseType="variant">
      <vt:variant>
        <vt:i4>1572916</vt:i4>
      </vt:variant>
      <vt:variant>
        <vt:i4>14</vt:i4>
      </vt:variant>
      <vt:variant>
        <vt:i4>0</vt:i4>
      </vt:variant>
      <vt:variant>
        <vt:i4>5</vt:i4>
      </vt:variant>
      <vt:variant>
        <vt:lpwstr/>
      </vt:variant>
      <vt:variant>
        <vt:lpwstr>_Toc185412118</vt:lpwstr>
      </vt:variant>
      <vt:variant>
        <vt:i4>1572916</vt:i4>
      </vt:variant>
      <vt:variant>
        <vt:i4>8</vt:i4>
      </vt:variant>
      <vt:variant>
        <vt:i4>0</vt:i4>
      </vt:variant>
      <vt:variant>
        <vt:i4>5</vt:i4>
      </vt:variant>
      <vt:variant>
        <vt:lpwstr/>
      </vt:variant>
      <vt:variant>
        <vt:lpwstr>_Toc185412117</vt:lpwstr>
      </vt:variant>
      <vt:variant>
        <vt:i4>1572916</vt:i4>
      </vt:variant>
      <vt:variant>
        <vt:i4>2</vt:i4>
      </vt:variant>
      <vt:variant>
        <vt:i4>0</vt:i4>
      </vt:variant>
      <vt:variant>
        <vt:i4>5</vt:i4>
      </vt:variant>
      <vt:variant>
        <vt:lpwstr/>
      </vt:variant>
      <vt:variant>
        <vt:lpwstr>_Toc185412116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2024-12-18T02:50:00Z</cp:lastPrinted>
  <dcterms:created xsi:type="dcterms:W3CDTF">2024-12-24T06:42:00Z</dcterms:created>
  <dcterms:modified xsi:type="dcterms:W3CDTF">2024-12-24T06:42:00Z</dcterms:modified>
</cp:coreProperties>
</file>