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156226">
        <w:rPr>
          <w:rFonts w:hint="eastAsia"/>
        </w:rPr>
        <w:t>2</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156226">
        <w:rPr>
          <w:rFonts w:hint="eastAsia"/>
          <w:color w:val="000000"/>
        </w:rPr>
        <w:t>2</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2D4EEF" w:rsidRPr="00471701">
        <w:rPr>
          <w:rFonts w:hint="eastAsia"/>
        </w:rPr>
        <w:t>2</w:t>
      </w:r>
      <w:r w:rsidR="008C4B3A" w:rsidRPr="00471701">
        <w:rPr>
          <w:rFonts w:hint="eastAsia"/>
        </w:rPr>
        <w:t>年度歲入決算審定數</w:t>
      </w:r>
      <w:r w:rsidR="00837000">
        <w:rPr>
          <w:rFonts w:hint="eastAsia"/>
        </w:rPr>
        <w:t>4.1</w:t>
      </w:r>
      <w:r w:rsidR="008C4B3A" w:rsidRPr="00471701">
        <w:rPr>
          <w:rFonts w:hint="eastAsia"/>
        </w:rPr>
        <w:t>億元，較法定預算數</w:t>
      </w:r>
      <w:r w:rsidR="00120F1A" w:rsidRPr="00471701">
        <w:rPr>
          <w:rFonts w:hint="eastAsia"/>
        </w:rPr>
        <w:t>2.36</w:t>
      </w:r>
      <w:r w:rsidR="008C4B3A" w:rsidRPr="00471701">
        <w:rPr>
          <w:rFonts w:hint="eastAsia"/>
        </w:rPr>
        <w:t>億元增加</w:t>
      </w:r>
      <w:r w:rsidR="00120F1A" w:rsidRPr="00471701">
        <w:rPr>
          <w:rFonts w:hint="eastAsia"/>
        </w:rPr>
        <w:t>1.</w:t>
      </w:r>
      <w:r w:rsidR="00837000">
        <w:rPr>
          <w:rFonts w:hint="eastAsia"/>
        </w:rPr>
        <w:t>74</w:t>
      </w:r>
      <w:r w:rsidR="008C4B3A" w:rsidRPr="00471701">
        <w:rPr>
          <w:rFonts w:hint="eastAsia"/>
        </w:rPr>
        <w:t>億元，達成率1</w:t>
      </w:r>
      <w:r w:rsidR="00837000">
        <w:rPr>
          <w:rFonts w:hint="eastAsia"/>
        </w:rPr>
        <w:t>73.58</w:t>
      </w:r>
      <w:r w:rsidR="008C4B3A" w:rsidRPr="00471701">
        <w:rPr>
          <w:rFonts w:hint="eastAsia"/>
        </w:rPr>
        <w:t>%；歲出預算數</w:t>
      </w:r>
      <w:r w:rsidRPr="00471701">
        <w:rPr>
          <w:rFonts w:hint="eastAsia"/>
        </w:rPr>
        <w:t>210.21</w:t>
      </w:r>
      <w:r w:rsidR="008C4B3A" w:rsidRPr="00471701">
        <w:rPr>
          <w:rFonts w:hint="eastAsia"/>
        </w:rPr>
        <w:t>億元，決算審定數</w:t>
      </w:r>
      <w:r w:rsidRPr="00471701">
        <w:rPr>
          <w:rFonts w:hint="eastAsia"/>
        </w:rPr>
        <w:t>207.18</w:t>
      </w:r>
      <w:r w:rsidR="008C4B3A" w:rsidRPr="00471701">
        <w:rPr>
          <w:rFonts w:hint="eastAsia"/>
        </w:rPr>
        <w:t>億元，執行率</w:t>
      </w:r>
      <w:r w:rsidR="00B458BF" w:rsidRPr="00471701">
        <w:rPr>
          <w:rFonts w:hint="eastAsia"/>
        </w:rPr>
        <w:t>98.56</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(二)附屬單位決算部分：國立文化機構作業基金11</w:t>
      </w:r>
      <w:r w:rsidR="00B458BF" w:rsidRPr="00471701">
        <w:rPr>
          <w:rFonts w:hint="eastAsia"/>
        </w:rPr>
        <w:t>2</w:t>
      </w:r>
      <w:r w:rsidRPr="00471701">
        <w:rPr>
          <w:rFonts w:hint="eastAsia"/>
        </w:rPr>
        <w:t>年度收入決算數</w:t>
      </w:r>
      <w:r w:rsidR="00300BC5" w:rsidRPr="00471701">
        <w:rPr>
          <w:rFonts w:hint="eastAsia"/>
        </w:rPr>
        <w:t>8.84</w:t>
      </w:r>
      <w:r w:rsidRPr="00471701">
        <w:rPr>
          <w:rFonts w:hint="eastAsia"/>
        </w:rPr>
        <w:t>億元，較預算數</w:t>
      </w:r>
      <w:r w:rsidR="00300BC5" w:rsidRPr="00471701">
        <w:rPr>
          <w:rFonts w:hint="eastAsia"/>
        </w:rPr>
        <w:t>8.06</w:t>
      </w:r>
      <w:r w:rsidRPr="00471701">
        <w:rPr>
          <w:rFonts w:hint="eastAsia"/>
        </w:rPr>
        <w:t>億元增加0.</w:t>
      </w:r>
      <w:r w:rsidR="00300BC5" w:rsidRPr="00471701">
        <w:rPr>
          <w:rFonts w:hint="eastAsia"/>
        </w:rPr>
        <w:t>78</w:t>
      </w:r>
      <w:r w:rsidRPr="00471701">
        <w:rPr>
          <w:rFonts w:hint="eastAsia"/>
        </w:rPr>
        <w:t>億元</w:t>
      </w:r>
      <w:r w:rsidR="009142A8">
        <w:rPr>
          <w:rFonts w:hint="eastAsia"/>
        </w:rPr>
        <w:t>，</w:t>
      </w:r>
      <w:r w:rsidR="00B82C38" w:rsidRPr="00471701">
        <w:rPr>
          <w:rFonts w:hint="eastAsia"/>
        </w:rPr>
        <w:t>達成率</w:t>
      </w:r>
      <w:r w:rsidR="00300BC5" w:rsidRPr="00471701">
        <w:rPr>
          <w:rFonts w:hint="eastAsia"/>
        </w:rPr>
        <w:t>109.68</w:t>
      </w:r>
      <w:r w:rsidRPr="00471701">
        <w:rPr>
          <w:rFonts w:hint="eastAsia"/>
        </w:rPr>
        <w:t>%；支出決算數</w:t>
      </w:r>
      <w:r w:rsidR="00300BC5" w:rsidRPr="00471701">
        <w:rPr>
          <w:rFonts w:hint="eastAsia"/>
        </w:rPr>
        <w:t>7.56</w:t>
      </w:r>
      <w:r w:rsidRPr="00471701">
        <w:rPr>
          <w:rFonts w:hint="eastAsia"/>
        </w:rPr>
        <w:t>億元，較預算數</w:t>
      </w:r>
      <w:r w:rsidR="00300BC5" w:rsidRPr="00471701">
        <w:rPr>
          <w:rFonts w:hint="eastAsia"/>
        </w:rPr>
        <w:t>9.52</w:t>
      </w:r>
      <w:r w:rsidRPr="00471701">
        <w:rPr>
          <w:rFonts w:hint="eastAsia"/>
        </w:rPr>
        <w:t>億元減少</w:t>
      </w:r>
      <w:r w:rsidR="00300BC5" w:rsidRPr="00471701">
        <w:rPr>
          <w:rFonts w:hint="eastAsia"/>
        </w:rPr>
        <w:t>1.96</w:t>
      </w:r>
      <w:r w:rsidRPr="00471701">
        <w:rPr>
          <w:rFonts w:hint="eastAsia"/>
        </w:rPr>
        <w:t>億元</w:t>
      </w:r>
      <w:r w:rsidR="009142A8">
        <w:rPr>
          <w:rFonts w:hint="eastAsia"/>
        </w:rPr>
        <w:t>，</w:t>
      </w:r>
      <w:r w:rsidR="00B82C38" w:rsidRPr="00471701">
        <w:rPr>
          <w:rFonts w:hint="eastAsia"/>
        </w:rPr>
        <w:t>執行率</w:t>
      </w:r>
      <w:r w:rsidR="00300BC5" w:rsidRPr="00471701">
        <w:rPr>
          <w:rFonts w:hint="eastAsia"/>
        </w:rPr>
        <w:t>79.41</w:t>
      </w:r>
      <w:r w:rsidRPr="00471701">
        <w:rPr>
          <w:rFonts w:hint="eastAsia"/>
        </w:rPr>
        <w:t>%</w:t>
      </w:r>
      <w:r w:rsidR="009142A8">
        <w:rPr>
          <w:rFonts w:hint="eastAsia"/>
        </w:rPr>
        <w:t>。</w:t>
      </w:r>
      <w:r w:rsidR="008B3AB7">
        <w:t>文化發展基金</w:t>
      </w:r>
      <w:r w:rsidR="008B3AB7" w:rsidRPr="002A34E8">
        <w:rPr>
          <w:rFonts w:hint="eastAsia"/>
          <w:color w:val="000000"/>
        </w:rPr>
        <w:t>112年度基金來源決算數1.45億元，較預算數2.5億元減少1.05億元，</w:t>
      </w:r>
      <w:r w:rsidR="009142A8">
        <w:rPr>
          <w:rFonts w:hint="eastAsia"/>
          <w:color w:val="000000"/>
        </w:rPr>
        <w:t>達成率58</w:t>
      </w:r>
      <w:r w:rsidR="008B3AB7" w:rsidRPr="002A34E8">
        <w:rPr>
          <w:rFonts w:hint="eastAsia"/>
          <w:color w:val="000000"/>
        </w:rPr>
        <w:t>%；基金用途</w:t>
      </w:r>
      <w:r w:rsidR="008B3AB7" w:rsidRPr="008B3AB7">
        <w:rPr>
          <w:rFonts w:hint="eastAsia"/>
          <w:color w:val="000000"/>
        </w:rPr>
        <w:t>決算數</w:t>
      </w:r>
      <w:r w:rsidR="008B3AB7">
        <w:rPr>
          <w:rFonts w:hint="eastAsia"/>
          <w:color w:val="000000"/>
        </w:rPr>
        <w:t>0.36億元</w:t>
      </w:r>
      <w:r w:rsidR="008B3AB7" w:rsidRPr="008B3AB7">
        <w:rPr>
          <w:rFonts w:hint="eastAsia"/>
          <w:color w:val="000000"/>
        </w:rPr>
        <w:t>，較預算數</w:t>
      </w:r>
      <w:r w:rsidR="008B3AB7">
        <w:rPr>
          <w:rFonts w:hint="eastAsia"/>
          <w:color w:val="000000"/>
        </w:rPr>
        <w:t>2.29億元</w:t>
      </w:r>
      <w:r w:rsidR="008B3AB7" w:rsidRPr="008B3AB7">
        <w:rPr>
          <w:rFonts w:hint="eastAsia"/>
          <w:color w:val="000000"/>
        </w:rPr>
        <w:t>減少</w:t>
      </w:r>
      <w:r w:rsidR="008B3AB7">
        <w:rPr>
          <w:rFonts w:hint="eastAsia"/>
          <w:color w:val="000000"/>
        </w:rPr>
        <w:t>1.93</w:t>
      </w:r>
      <w:r w:rsidR="008B3AB7" w:rsidRPr="008B3AB7">
        <w:rPr>
          <w:rFonts w:hint="eastAsia"/>
          <w:color w:val="000000"/>
        </w:rPr>
        <w:t>億元，</w:t>
      </w:r>
      <w:r w:rsidR="00B013C5">
        <w:rPr>
          <w:rFonts w:hint="eastAsia"/>
          <w:color w:val="000000"/>
        </w:rPr>
        <w:t>執行率15.72</w:t>
      </w:r>
      <w:r w:rsidR="008B3AB7" w:rsidRPr="008B3AB7">
        <w:rPr>
          <w:rFonts w:hint="eastAsia"/>
          <w:color w:val="000000"/>
        </w:rPr>
        <w:t>%</w:t>
      </w:r>
      <w:r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B013C5" w:rsidRDefault="008C4B3A" w:rsidP="00B013C5">
      <w:pPr>
        <w:pStyle w:val="123"/>
        <w:ind w:leftChars="198" w:left="878" w:hangingChars="112" w:hanging="317"/>
      </w:pPr>
      <w:r w:rsidRPr="00471701">
        <w:rPr>
          <w:rFonts w:hint="eastAsia"/>
        </w:rPr>
        <w:t>1.國家文化藝術基金會11</w:t>
      </w:r>
      <w:r w:rsidR="001953E7" w:rsidRPr="00471701">
        <w:rPr>
          <w:rFonts w:hint="eastAsia"/>
        </w:rPr>
        <w:t>2</w:t>
      </w:r>
      <w:r w:rsidRPr="00471701">
        <w:rPr>
          <w:rFonts w:hint="eastAsia"/>
        </w:rPr>
        <w:t>年度決算收入總額5.</w:t>
      </w:r>
      <w:r w:rsidR="001953E7" w:rsidRPr="00471701">
        <w:rPr>
          <w:rFonts w:hint="eastAsia"/>
        </w:rPr>
        <w:t>81</w:t>
      </w:r>
      <w:r w:rsidRPr="00471701">
        <w:rPr>
          <w:rFonts w:hint="eastAsia"/>
        </w:rPr>
        <w:t>億元</w:t>
      </w:r>
      <w:r w:rsidR="00635030">
        <w:rPr>
          <w:rFonts w:hint="eastAsia"/>
        </w:rPr>
        <w:t>，</w:t>
      </w:r>
      <w:r w:rsidRPr="00471701">
        <w:rPr>
          <w:rFonts w:hint="eastAsia"/>
        </w:rPr>
        <w:t>支出總額</w:t>
      </w:r>
      <w:r w:rsidR="001953E7" w:rsidRPr="00471701">
        <w:rPr>
          <w:rFonts w:hint="eastAsia"/>
        </w:rPr>
        <w:t>5.13</w:t>
      </w:r>
      <w:r w:rsidRPr="00471701">
        <w:rPr>
          <w:rFonts w:hint="eastAsia"/>
        </w:rPr>
        <w:t>億元，總收支相抵後本期</w:t>
      </w:r>
      <w:r w:rsidR="001953E7" w:rsidRPr="00471701">
        <w:rPr>
          <w:rFonts w:hint="eastAsia"/>
        </w:rPr>
        <w:t>賸餘0.68</w:t>
      </w:r>
      <w:r w:rsidRPr="00471701">
        <w:rPr>
          <w:rFonts w:hint="eastAsia"/>
        </w:rPr>
        <w:t>億元。</w:t>
      </w:r>
    </w:p>
    <w:p w:rsidR="00B013C5" w:rsidRDefault="008C4B3A" w:rsidP="00B013C5">
      <w:pPr>
        <w:pStyle w:val="123"/>
        <w:ind w:leftChars="198" w:left="878" w:hangingChars="112" w:hanging="317"/>
      </w:pPr>
      <w:r w:rsidRPr="00471701">
        <w:rPr>
          <w:rFonts w:hint="eastAsia"/>
        </w:rPr>
        <w:t>2.中央通訊社11</w:t>
      </w:r>
      <w:r w:rsidR="001953E7" w:rsidRPr="00471701">
        <w:rPr>
          <w:rFonts w:hint="eastAsia"/>
        </w:rPr>
        <w:t>2</w:t>
      </w:r>
      <w:r w:rsidRPr="00471701">
        <w:rPr>
          <w:rFonts w:hint="eastAsia"/>
        </w:rPr>
        <w:t>年度決算收入總額</w:t>
      </w:r>
      <w:r w:rsidR="001953E7" w:rsidRPr="00471701">
        <w:rPr>
          <w:rFonts w:hint="eastAsia"/>
        </w:rPr>
        <w:t>5.39</w:t>
      </w:r>
      <w:r w:rsidRPr="00471701">
        <w:rPr>
          <w:rFonts w:hint="eastAsia"/>
        </w:rPr>
        <w:t>億元</w:t>
      </w:r>
      <w:r w:rsidR="00635030">
        <w:rPr>
          <w:rFonts w:hint="eastAsia"/>
        </w:rPr>
        <w:t>，</w:t>
      </w:r>
      <w:r w:rsidRPr="00471701">
        <w:rPr>
          <w:rFonts w:hint="eastAsia"/>
        </w:rPr>
        <w:t>支出總額</w:t>
      </w:r>
      <w:r w:rsidR="001953E7" w:rsidRPr="00471701">
        <w:rPr>
          <w:rFonts w:hint="eastAsia"/>
        </w:rPr>
        <w:t>5.38</w:t>
      </w:r>
      <w:r w:rsidRPr="00471701">
        <w:rPr>
          <w:rFonts w:hint="eastAsia"/>
        </w:rPr>
        <w:t>億元，總收支相抵後本期賸餘</w:t>
      </w:r>
      <w:r w:rsidR="001953E7" w:rsidRPr="00471701">
        <w:rPr>
          <w:rFonts w:hint="eastAsia"/>
        </w:rPr>
        <w:t>0.01</w:t>
      </w:r>
      <w:r w:rsidRPr="00471701">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04045E" w:rsidRPr="00471701">
        <w:rPr>
          <w:rFonts w:hint="eastAsia"/>
        </w:rPr>
        <w:t>2</w:t>
      </w:r>
      <w:r w:rsidRPr="00471701">
        <w:rPr>
          <w:rFonts w:hint="eastAsia"/>
        </w:rPr>
        <w:t>年度決算收入總額</w:t>
      </w:r>
      <w:r w:rsidR="0004045E" w:rsidRPr="00471701">
        <w:rPr>
          <w:rFonts w:hint="eastAsia"/>
        </w:rPr>
        <w:t>5.41</w:t>
      </w:r>
      <w:r w:rsidRPr="00471701">
        <w:rPr>
          <w:rFonts w:hint="eastAsia"/>
        </w:rPr>
        <w:t>億元</w:t>
      </w:r>
      <w:r w:rsidR="00635030">
        <w:rPr>
          <w:rFonts w:hint="eastAsia"/>
        </w:rPr>
        <w:t>，</w:t>
      </w:r>
      <w:r w:rsidRPr="00471701">
        <w:rPr>
          <w:rFonts w:hint="eastAsia"/>
        </w:rPr>
        <w:t>支出總額</w:t>
      </w:r>
      <w:r w:rsidR="0004045E" w:rsidRPr="00471701">
        <w:rPr>
          <w:rFonts w:hint="eastAsia"/>
        </w:rPr>
        <w:t>5.81</w:t>
      </w:r>
      <w:r w:rsidRPr="00471701">
        <w:rPr>
          <w:rFonts w:hint="eastAsia"/>
        </w:rPr>
        <w:t>億元，總收支相抵後本期短絀</w:t>
      </w:r>
      <w:r w:rsidR="0004045E" w:rsidRPr="00471701">
        <w:rPr>
          <w:rFonts w:hint="eastAsia"/>
        </w:rPr>
        <w:t>0.4</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04045E" w:rsidRPr="00471701">
        <w:rPr>
          <w:rFonts w:hint="eastAsia"/>
        </w:rPr>
        <w:t>2</w:t>
      </w:r>
      <w:r w:rsidRPr="00471701">
        <w:rPr>
          <w:rFonts w:hint="eastAsia"/>
        </w:rPr>
        <w:t>年度決算收入總額</w:t>
      </w:r>
      <w:r w:rsidR="0004045E" w:rsidRPr="00471701">
        <w:rPr>
          <w:rFonts w:hint="eastAsia"/>
        </w:rPr>
        <w:t>34.6</w:t>
      </w:r>
      <w:r w:rsidRPr="00471701">
        <w:rPr>
          <w:rFonts w:hint="eastAsia"/>
        </w:rPr>
        <w:t>億元</w:t>
      </w:r>
      <w:r w:rsidR="00635030">
        <w:rPr>
          <w:rFonts w:hint="eastAsia"/>
        </w:rPr>
        <w:t>，</w:t>
      </w:r>
      <w:r w:rsidRPr="00471701">
        <w:rPr>
          <w:rFonts w:hint="eastAsia"/>
        </w:rPr>
        <w:t>支出總額</w:t>
      </w:r>
      <w:r w:rsidR="0004045E" w:rsidRPr="00471701">
        <w:rPr>
          <w:rFonts w:hint="eastAsia"/>
        </w:rPr>
        <w:t>36.09</w:t>
      </w:r>
      <w:r w:rsidRPr="00471701">
        <w:rPr>
          <w:rFonts w:hint="eastAsia"/>
        </w:rPr>
        <w:t>億元，總收支相抵後本期短絀</w:t>
      </w:r>
      <w:r w:rsidR="0004045E" w:rsidRPr="00471701">
        <w:rPr>
          <w:rFonts w:hint="eastAsia"/>
        </w:rPr>
        <w:t>1.49</w:t>
      </w:r>
      <w:r w:rsidRPr="00471701">
        <w:rPr>
          <w:rFonts w:hint="eastAsia"/>
        </w:rPr>
        <w:t>億元。</w:t>
      </w:r>
    </w:p>
    <w:p w:rsidR="008C4B3A" w:rsidRDefault="00B013C5" w:rsidP="00B013C5">
      <w:pPr>
        <w:pStyle w:val="a9"/>
        <w:ind w:firstLine="566"/>
      </w:pPr>
      <w:r>
        <w:rPr>
          <w:rFonts w:hint="eastAsia"/>
        </w:rPr>
        <w:t>以上文化部主管112年度決算</w:t>
      </w:r>
      <w:r w:rsidR="008C4B3A" w:rsidRPr="00471701">
        <w:rPr>
          <w:rFonts w:hint="eastAsia"/>
        </w:rPr>
        <w:t>謹評估如下：</w:t>
      </w:r>
    </w:p>
    <w:p w:rsidR="008B3AB7" w:rsidRDefault="008B3AB7" w:rsidP="008B3AB7">
      <w:pPr>
        <w:pStyle w:val="af"/>
        <w:ind w:left="600" w:hangingChars="212" w:hanging="600"/>
      </w:pPr>
    </w:p>
    <w:p w:rsidR="00A52B8B" w:rsidRPr="00EF6B0E" w:rsidRDefault="00A52B8B" w:rsidP="00A52B8B">
      <w:pPr>
        <w:pStyle w:val="14"/>
        <w:spacing w:beforeLines="100" w:before="500"/>
        <w:ind w:left="567" w:hanging="567"/>
      </w:pPr>
      <w:bookmarkStart w:id="1" w:name="_Toc145774724"/>
      <w:bookmarkStart w:id="2" w:name="_Toc146900694"/>
      <w:bookmarkStart w:id="3" w:name="_Toc146905583"/>
      <w:bookmarkStart w:id="4" w:name="_Toc185835757"/>
      <w:r>
        <w:rPr>
          <w:rFonts w:hint="eastAsia"/>
        </w:rPr>
        <w:lastRenderedPageBreak/>
        <w:t>三</w:t>
      </w:r>
      <w:r w:rsidRPr="00EF6B0E">
        <w:rPr>
          <w:rFonts w:hint="eastAsia"/>
        </w:rPr>
        <w:t>、</w:t>
      </w:r>
      <w:r>
        <w:rPr>
          <w:rFonts w:hint="eastAsia"/>
        </w:rPr>
        <w:t>文化部</w:t>
      </w:r>
      <w:r w:rsidRPr="00DF37DB">
        <w:rPr>
          <w:rFonts w:hint="eastAsia"/>
        </w:rPr>
        <w:t>辦理「設計驅動跨域整合創新計畫」</w:t>
      </w:r>
      <w:r>
        <w:rPr>
          <w:rFonts w:hint="eastAsia"/>
        </w:rPr>
        <w:t>規劃評估未盡周妥，數位平臺內容與媒合及計畫評核指標</w:t>
      </w:r>
      <w:r w:rsidR="004251E5">
        <w:rPr>
          <w:rFonts w:hint="eastAsia"/>
        </w:rPr>
        <w:t>亦仍</w:t>
      </w:r>
      <w:r>
        <w:rPr>
          <w:rFonts w:hint="eastAsia"/>
        </w:rPr>
        <w:t>待強化，允宜檢討改進</w:t>
      </w:r>
      <w:bookmarkEnd w:id="4"/>
    </w:p>
    <w:p w:rsidR="00A52B8B" w:rsidRPr="0002356A" w:rsidRDefault="00A52B8B" w:rsidP="00A52B8B">
      <w:pPr>
        <w:ind w:left="566" w:firstLine="566"/>
      </w:pPr>
      <w:r>
        <w:rPr>
          <w:rFonts w:hint="eastAsia"/>
        </w:rPr>
        <w:t>文化部112年度辦理「設計驅動跨域整合創新計畫」編列5</w:t>
      </w:r>
      <w:r>
        <w:t>,1</w:t>
      </w:r>
      <w:r>
        <w:rPr>
          <w:rFonts w:hint="eastAsia"/>
        </w:rPr>
        <w:t>00萬元，決算數3億1,182萬5千元。茲說明如下：</w:t>
      </w:r>
    </w:p>
    <w:p w:rsidR="00A52B8B" w:rsidRPr="00DC26BB" w:rsidRDefault="00A52B8B" w:rsidP="00A52B8B">
      <w:pPr>
        <w:pStyle w:val="a5"/>
        <w:ind w:left="849" w:hanging="283"/>
        <w:rPr>
          <w:b/>
        </w:rPr>
      </w:pPr>
      <w:r w:rsidRPr="00DC26BB">
        <w:rPr>
          <w:rFonts w:hint="eastAsia"/>
          <w:b/>
        </w:rPr>
        <w:t>(一)</w:t>
      </w:r>
      <w:r>
        <w:rPr>
          <w:rFonts w:hint="eastAsia"/>
          <w:b/>
        </w:rPr>
        <w:t>計畫概要</w:t>
      </w:r>
    </w:p>
    <w:p w:rsidR="00A52B8B" w:rsidRPr="00D120A8" w:rsidRDefault="00A52B8B" w:rsidP="00873CA8">
      <w:pPr>
        <w:pStyle w:val="22"/>
        <w:ind w:left="850" w:firstLine="566"/>
      </w:pPr>
      <w:r w:rsidRPr="00D120A8">
        <w:rPr>
          <w:rFonts w:hint="eastAsia"/>
        </w:rPr>
        <w:t>「設計驅動跨域整合創新計畫」</w:t>
      </w:r>
      <w:r>
        <w:rPr>
          <w:rFonts w:hint="eastAsia"/>
        </w:rPr>
        <w:t>旨在</w:t>
      </w:r>
      <w:r w:rsidR="004251E5">
        <w:rPr>
          <w:rFonts w:hint="eastAsia"/>
        </w:rPr>
        <w:t>運用設計力創造台灣文化新貌，並</w:t>
      </w:r>
      <w:r>
        <w:rPr>
          <w:rFonts w:hint="eastAsia"/>
        </w:rPr>
        <w:t>使設計成為國家核心競爭能力，</w:t>
      </w:r>
      <w:r w:rsidR="004251E5">
        <w:rPr>
          <w:rFonts w:hint="eastAsia"/>
        </w:rPr>
        <w:t>及建構</w:t>
      </w:r>
      <w:r>
        <w:rPr>
          <w:rFonts w:hint="eastAsia"/>
        </w:rPr>
        <w:t>亞洲設計創新核心基地，計畫</w:t>
      </w:r>
      <w:r w:rsidRPr="00D120A8">
        <w:rPr>
          <w:rFonts w:hint="eastAsia"/>
        </w:rPr>
        <w:t>執行機關為文化部與經濟部</w:t>
      </w:r>
      <w:r w:rsidR="00A66023">
        <w:rPr>
          <w:rFonts w:hint="eastAsia"/>
        </w:rPr>
        <w:t>。</w:t>
      </w:r>
      <w:r w:rsidRPr="00D120A8">
        <w:rPr>
          <w:rFonts w:hint="eastAsia"/>
        </w:rPr>
        <w:t>文化部主責「設計力推動公共與社會創新」分項計畫下之</w:t>
      </w:r>
      <w:r>
        <w:rPr>
          <w:rFonts w:hint="eastAsia"/>
        </w:rPr>
        <w:t>「</w:t>
      </w:r>
      <w:r w:rsidRPr="00D120A8">
        <w:rPr>
          <w:rFonts w:hint="eastAsia"/>
        </w:rPr>
        <w:t>文化場域體驗創新</w:t>
      </w:r>
      <w:r>
        <w:rPr>
          <w:rFonts w:hint="eastAsia"/>
        </w:rPr>
        <w:t>計畫」</w:t>
      </w:r>
      <w:r w:rsidRPr="00D120A8">
        <w:rPr>
          <w:rFonts w:hint="eastAsia"/>
        </w:rPr>
        <w:t>與</w:t>
      </w:r>
      <w:r>
        <w:rPr>
          <w:rFonts w:hint="eastAsia"/>
        </w:rPr>
        <w:t>「</w:t>
      </w:r>
      <w:r w:rsidRPr="00D120A8">
        <w:rPr>
          <w:rFonts w:hint="eastAsia"/>
        </w:rPr>
        <w:t>工藝驅動傳統產業探測研發計畫</w:t>
      </w:r>
      <w:r>
        <w:rPr>
          <w:rFonts w:hint="eastAsia"/>
        </w:rPr>
        <w:t>」</w:t>
      </w:r>
      <w:r w:rsidRPr="00D120A8">
        <w:rPr>
          <w:rFonts w:hint="eastAsia"/>
        </w:rPr>
        <w:t>，</w:t>
      </w:r>
      <w:r w:rsidR="004251E5">
        <w:rPr>
          <w:rFonts w:hint="eastAsia"/>
        </w:rPr>
        <w:t>辦理</w:t>
      </w:r>
      <w:r w:rsidR="00784454">
        <w:rPr>
          <w:rFonts w:hint="eastAsia"/>
        </w:rPr>
        <w:t>內容主要包括：</w:t>
      </w:r>
      <w:r w:rsidRPr="00D120A8">
        <w:rPr>
          <w:rFonts w:hint="eastAsia"/>
        </w:rPr>
        <w:t>協助公共場域轉型或提升整體服務品質，</w:t>
      </w:r>
      <w:r w:rsidR="004251E5">
        <w:rPr>
          <w:rFonts w:hint="eastAsia"/>
        </w:rPr>
        <w:t>並</w:t>
      </w:r>
      <w:r w:rsidRPr="00D120A8">
        <w:rPr>
          <w:rFonts w:hint="eastAsia"/>
        </w:rPr>
        <w:t>以地方社群參與協力模式，</w:t>
      </w:r>
      <w:r w:rsidR="004251E5">
        <w:rPr>
          <w:rFonts w:hint="eastAsia"/>
        </w:rPr>
        <w:t>俾</w:t>
      </w:r>
      <w:r w:rsidRPr="00D120A8">
        <w:rPr>
          <w:rFonts w:hint="eastAsia"/>
        </w:rPr>
        <w:t>社會創新帶動地方價值翻轉；</w:t>
      </w:r>
      <w:r w:rsidRPr="002A34E8">
        <w:rPr>
          <w:rFonts w:hint="eastAsia"/>
          <w:color w:val="000000"/>
        </w:rPr>
        <w:t>補助</w:t>
      </w:r>
      <w:r w:rsidR="00873CA8" w:rsidRPr="00873CA8">
        <w:rPr>
          <w:rFonts w:hint="eastAsia"/>
          <w:color w:val="000000"/>
        </w:rPr>
        <w:t>國立臺灣工藝研究發展中心</w:t>
      </w:r>
      <w:r w:rsidRPr="002A34E8">
        <w:rPr>
          <w:rFonts w:hint="eastAsia"/>
          <w:color w:val="000000"/>
        </w:rPr>
        <w:t>運用臺灣文化媒材</w:t>
      </w:r>
      <w:r w:rsidR="004251E5">
        <w:rPr>
          <w:rFonts w:hint="eastAsia"/>
          <w:color w:val="000000"/>
        </w:rPr>
        <w:t>及</w:t>
      </w:r>
      <w:r w:rsidRPr="002A34E8">
        <w:rPr>
          <w:rFonts w:hint="eastAsia"/>
          <w:color w:val="000000"/>
        </w:rPr>
        <w:t>技術</w:t>
      </w:r>
      <w:r w:rsidR="004251E5">
        <w:rPr>
          <w:rFonts w:hint="eastAsia"/>
          <w:color w:val="000000"/>
        </w:rPr>
        <w:t>以</w:t>
      </w:r>
      <w:r w:rsidRPr="00D120A8">
        <w:rPr>
          <w:rFonts w:hint="eastAsia"/>
        </w:rPr>
        <w:t>研發創新材料，並建立材質知識庫。</w:t>
      </w:r>
    </w:p>
    <w:p w:rsidR="00A52B8B" w:rsidRPr="00DC26BB" w:rsidRDefault="00A52B8B" w:rsidP="00A52B8B">
      <w:pPr>
        <w:pStyle w:val="a5"/>
        <w:ind w:left="849" w:hanging="283"/>
        <w:rPr>
          <w:b/>
        </w:rPr>
      </w:pPr>
      <w:r w:rsidRPr="00DC26BB">
        <w:rPr>
          <w:rFonts w:hint="eastAsia"/>
          <w:b/>
        </w:rPr>
        <w:t>(</w:t>
      </w:r>
      <w:r>
        <w:rPr>
          <w:rFonts w:hint="eastAsia"/>
          <w:b/>
        </w:rPr>
        <w:t>二</w:t>
      </w:r>
      <w:r w:rsidRPr="00DC26BB">
        <w:rPr>
          <w:rFonts w:hint="eastAsia"/>
          <w:b/>
        </w:rPr>
        <w:t>)</w:t>
      </w:r>
      <w:r>
        <w:rPr>
          <w:rFonts w:hint="eastAsia"/>
          <w:b/>
        </w:rPr>
        <w:t>審計部審核意見指出，規</w:t>
      </w:r>
      <w:r w:rsidR="007E4AFA">
        <w:rPr>
          <w:rFonts w:hint="eastAsia"/>
          <w:b/>
        </w:rPr>
        <w:t>劃階段未審慎評估合作對象及場域，致</w:t>
      </w:r>
      <w:r w:rsidR="004251E5">
        <w:rPr>
          <w:rFonts w:hint="eastAsia"/>
          <w:b/>
        </w:rPr>
        <w:t>計畫期程</w:t>
      </w:r>
      <w:r w:rsidR="007E4AFA">
        <w:rPr>
          <w:rFonts w:hint="eastAsia"/>
          <w:b/>
        </w:rPr>
        <w:t>延宕並徒增經費支出，另</w:t>
      </w:r>
      <w:r>
        <w:rPr>
          <w:rFonts w:hint="eastAsia"/>
          <w:b/>
        </w:rPr>
        <w:t>工藝數位平台內容與媒合情形尚待加強</w:t>
      </w:r>
    </w:p>
    <w:p w:rsidR="00A52B8B" w:rsidRDefault="00A52B8B" w:rsidP="00A52B8B">
      <w:pPr>
        <w:pStyle w:val="123"/>
        <w:ind w:left="1133" w:hanging="283"/>
      </w:pPr>
      <w:r>
        <w:rPr>
          <w:rFonts w:hint="eastAsia"/>
        </w:rPr>
        <w:t>1.該計畫108至111年度</w:t>
      </w:r>
      <w:r w:rsidR="004251E5">
        <w:rPr>
          <w:rFonts w:hint="eastAsia"/>
        </w:rPr>
        <w:t>已</w:t>
      </w:r>
      <w:r>
        <w:rPr>
          <w:rFonts w:hint="eastAsia"/>
        </w:rPr>
        <w:t>編列1億7</w:t>
      </w:r>
      <w:r>
        <w:t>,850</w:t>
      </w:r>
      <w:r>
        <w:rPr>
          <w:rFonts w:hint="eastAsia"/>
        </w:rPr>
        <w:t>萬6千元，112年度編列5</w:t>
      </w:r>
      <w:r>
        <w:t>,100</w:t>
      </w:r>
      <w:r>
        <w:rPr>
          <w:rFonts w:hint="eastAsia"/>
        </w:rPr>
        <w:t>萬元，決算數5</w:t>
      </w:r>
      <w:r>
        <w:t>,078</w:t>
      </w:r>
      <w:r>
        <w:rPr>
          <w:rFonts w:hint="eastAsia"/>
        </w:rPr>
        <w:t>萬3千元，其中保留數1</w:t>
      </w:r>
      <w:r>
        <w:t>,</w:t>
      </w:r>
      <w:r>
        <w:rPr>
          <w:rFonts w:hint="eastAsia"/>
        </w:rPr>
        <w:t>206萬元(詳表1)，占預算數之23.65%。</w:t>
      </w:r>
    </w:p>
    <w:p w:rsidR="00A52B8B" w:rsidRPr="00D120A8" w:rsidRDefault="00A52B8B" w:rsidP="00A52B8B">
      <w:pPr>
        <w:pStyle w:val="123"/>
        <w:ind w:left="1133" w:hanging="283"/>
        <w:rPr>
          <w:rFonts w:hint="eastAsia"/>
        </w:rPr>
      </w:pPr>
      <w:r>
        <w:rPr>
          <w:rFonts w:hint="eastAsia"/>
        </w:rPr>
        <w:t>2.</w:t>
      </w:r>
      <w:r w:rsidRPr="00735D70">
        <w:rPr>
          <w:rFonts w:hint="eastAsia"/>
        </w:rPr>
        <w:t>審計部112年度</w:t>
      </w:r>
      <w:r w:rsidR="00F55009">
        <w:rPr>
          <w:rFonts w:hint="eastAsia"/>
        </w:rPr>
        <w:t>中央政府總決算</w:t>
      </w:r>
      <w:r w:rsidRPr="00735D70">
        <w:rPr>
          <w:rFonts w:hint="eastAsia"/>
        </w:rPr>
        <w:t>審核報告審核意見略以，文化部辦理該計畫，未取得地方場域管理單位之合作意見即公告招標，肇致部分管理單位婉拒合作，延宕計畫期程及徒增經費支出；</w:t>
      </w:r>
      <w:r w:rsidR="004251E5">
        <w:rPr>
          <w:rFonts w:hint="eastAsia"/>
        </w:rPr>
        <w:t>另</w:t>
      </w:r>
      <w:r w:rsidRPr="00735D70">
        <w:rPr>
          <w:rFonts w:hint="eastAsia"/>
        </w:rPr>
        <w:t>為保存工藝技術並提供工藝作品交流媒合，建置工藝數位平臺，惟截至112年底止，系統建置完成已逾2年，預計建置21種材質類型作品資料，僅建立其中9類材質，</w:t>
      </w:r>
      <w:r w:rsidRPr="00735D70">
        <w:rPr>
          <w:rFonts w:hint="eastAsia"/>
        </w:rPr>
        <w:lastRenderedPageBreak/>
        <w:t>尚有12類材質作品</w:t>
      </w:r>
      <w:r w:rsidR="008A3661">
        <w:rPr>
          <w:rFonts w:hint="eastAsia"/>
        </w:rPr>
        <w:t>仍</w:t>
      </w:r>
      <w:r w:rsidRPr="00735D70">
        <w:rPr>
          <w:rFonts w:hint="eastAsia"/>
        </w:rPr>
        <w:t>未建置，且系統雖已建置科普資料功能，惟未能提供查詢閱覽</w:t>
      </w:r>
      <w:r>
        <w:rPr>
          <w:rFonts w:hint="eastAsia"/>
        </w:rPr>
        <w:t>各作品材質、技法及文化意涵等詳細資料，</w:t>
      </w:r>
      <w:r w:rsidR="004251E5">
        <w:rPr>
          <w:rFonts w:hint="eastAsia"/>
        </w:rPr>
        <w:t>此外，</w:t>
      </w:r>
      <w:r>
        <w:rPr>
          <w:rFonts w:hint="eastAsia"/>
        </w:rPr>
        <w:t>會員人數計277位，然合作需求僅15件，亟待加強材質知識庫內容及平臺媒合情形</w:t>
      </w:r>
      <w:r w:rsidR="00F55009">
        <w:rPr>
          <w:rStyle w:val="af7"/>
        </w:rPr>
        <w:footnoteReference w:id="1"/>
      </w:r>
      <w:r>
        <w:rPr>
          <w:rFonts w:hint="eastAsia"/>
        </w:rPr>
        <w:t>。</w:t>
      </w:r>
    </w:p>
    <w:p w:rsidR="00A52B8B" w:rsidRPr="00A34F1E" w:rsidRDefault="00A52B8B" w:rsidP="00A779BB">
      <w:pPr>
        <w:spacing w:beforeLines="30" w:before="150" w:line="360" w:lineRule="exact"/>
        <w:ind w:leftChars="0" w:left="0" w:firstLineChars="0" w:firstLine="0"/>
        <w:rPr>
          <w:b/>
        </w:rPr>
      </w:pPr>
      <w:r w:rsidRPr="00A34F1E">
        <w:rPr>
          <w:rFonts w:hint="eastAsia"/>
          <w:b/>
        </w:rPr>
        <w:t xml:space="preserve">表1  </w:t>
      </w:r>
      <w:r w:rsidR="004251E5">
        <w:rPr>
          <w:rFonts w:hint="eastAsia"/>
          <w:b/>
        </w:rPr>
        <w:t>文化部「設計驅動跨域整合創新計畫」預、決算數概況</w:t>
      </w:r>
      <w:r w:rsidRPr="00A34F1E">
        <w:rPr>
          <w:rFonts w:hint="eastAsia"/>
          <w:b/>
        </w:rPr>
        <w:t>表</w:t>
      </w:r>
    </w:p>
    <w:p w:rsidR="00A52B8B" w:rsidRPr="00A34F1E" w:rsidRDefault="00A52B8B" w:rsidP="00E6371C">
      <w:pPr>
        <w:spacing w:line="360" w:lineRule="exact"/>
        <w:ind w:left="566" w:firstLine="566"/>
        <w:rPr>
          <w:rFonts w:hint="eastAsia"/>
          <w:sz w:val="24"/>
          <w:szCs w:val="24"/>
        </w:rPr>
      </w:pPr>
      <w:r w:rsidRPr="00A34F1E">
        <w:rPr>
          <w:rFonts w:hint="eastAsia"/>
        </w:rPr>
        <w:t xml:space="preserve">                                      </w:t>
      </w:r>
      <w:r w:rsidR="00A34F1E">
        <w:rPr>
          <w:rFonts w:hint="eastAsia"/>
        </w:rPr>
        <w:t xml:space="preserve"> </w:t>
      </w:r>
      <w:r w:rsidR="00A34F1E" w:rsidRPr="00A34F1E">
        <w:rPr>
          <w:rFonts w:hint="eastAsia"/>
          <w:sz w:val="24"/>
          <w:szCs w:val="24"/>
        </w:rPr>
        <w:t>單位：新臺幣千元</w:t>
      </w:r>
    </w:p>
    <w:tbl>
      <w:tblPr>
        <w:tblW w:w="8553" w:type="dxa"/>
        <w:tblInd w:w="28" w:type="dxa"/>
        <w:tblCellMar>
          <w:left w:w="28" w:type="dxa"/>
          <w:right w:w="28" w:type="dxa"/>
        </w:tblCellMar>
        <w:tblLook w:val="04A0" w:firstRow="1" w:lastRow="0" w:firstColumn="1" w:lastColumn="0" w:noHBand="0" w:noVBand="1"/>
      </w:tblPr>
      <w:tblGrid>
        <w:gridCol w:w="1047"/>
        <w:gridCol w:w="1803"/>
        <w:gridCol w:w="1803"/>
        <w:gridCol w:w="1803"/>
        <w:gridCol w:w="2097"/>
      </w:tblGrid>
      <w:tr w:rsidR="00A52B8B" w:rsidRPr="002D57DD" w:rsidTr="00784454">
        <w:trPr>
          <w:tblHeader/>
        </w:trPr>
        <w:tc>
          <w:tcPr>
            <w:tcW w:w="1047" w:type="dxa"/>
            <w:vMerge w:val="restart"/>
            <w:tcBorders>
              <w:top w:val="single" w:sz="12" w:space="0" w:color="auto"/>
              <w:left w:val="single" w:sz="12" w:space="0" w:color="auto"/>
              <w:bottom w:val="single" w:sz="4" w:space="0" w:color="auto"/>
              <w:right w:val="single" w:sz="4" w:space="0" w:color="auto"/>
            </w:tcBorders>
            <w:shd w:val="clear" w:color="000000" w:fill="FFFFFF"/>
            <w:vAlign w:val="center"/>
            <w:hideMark/>
          </w:tcPr>
          <w:p w:rsidR="00A52B8B" w:rsidRPr="007E4AFA" w:rsidRDefault="00A52B8B" w:rsidP="00350084">
            <w:pPr>
              <w:pStyle w:val="142"/>
              <w:jc w:val="center"/>
              <w:rPr>
                <w:rFonts w:hAnsi="標楷體"/>
                <w:snapToGrid/>
                <w:szCs w:val="24"/>
              </w:rPr>
            </w:pPr>
            <w:r w:rsidRPr="007E4AFA">
              <w:rPr>
                <w:rFonts w:hAnsi="標楷體" w:hint="eastAsia"/>
                <w:snapToGrid/>
                <w:szCs w:val="24"/>
              </w:rPr>
              <w:t>年度</w:t>
            </w:r>
          </w:p>
        </w:tc>
        <w:tc>
          <w:tcPr>
            <w:tcW w:w="1803" w:type="dxa"/>
            <w:vMerge w:val="restart"/>
            <w:tcBorders>
              <w:top w:val="single" w:sz="12" w:space="0" w:color="auto"/>
              <w:left w:val="single" w:sz="4" w:space="0" w:color="auto"/>
              <w:bottom w:val="single" w:sz="4" w:space="0" w:color="auto"/>
              <w:right w:val="single" w:sz="4" w:space="0" w:color="auto"/>
            </w:tcBorders>
            <w:shd w:val="clear" w:color="000000" w:fill="FFFFFF"/>
            <w:vAlign w:val="center"/>
            <w:hideMark/>
          </w:tcPr>
          <w:p w:rsidR="00A52B8B" w:rsidRPr="007E4AFA" w:rsidRDefault="00A52B8B" w:rsidP="00350084">
            <w:pPr>
              <w:pStyle w:val="142"/>
              <w:jc w:val="center"/>
              <w:rPr>
                <w:rFonts w:hAnsi="標楷體" w:hint="eastAsia"/>
                <w:snapToGrid/>
                <w:szCs w:val="24"/>
              </w:rPr>
            </w:pPr>
            <w:r w:rsidRPr="007E4AFA">
              <w:rPr>
                <w:rFonts w:hAnsi="標楷體" w:hint="eastAsia"/>
                <w:snapToGrid/>
                <w:szCs w:val="24"/>
              </w:rPr>
              <w:t>預算數</w:t>
            </w:r>
          </w:p>
        </w:tc>
        <w:tc>
          <w:tcPr>
            <w:tcW w:w="5703" w:type="dxa"/>
            <w:gridSpan w:val="3"/>
            <w:tcBorders>
              <w:top w:val="single" w:sz="12" w:space="0" w:color="auto"/>
              <w:left w:val="nil"/>
              <w:bottom w:val="single" w:sz="4" w:space="0" w:color="auto"/>
              <w:right w:val="single" w:sz="12" w:space="0" w:color="auto"/>
            </w:tcBorders>
            <w:shd w:val="clear" w:color="000000" w:fill="FFFFFF"/>
            <w:vAlign w:val="center"/>
          </w:tcPr>
          <w:p w:rsidR="00A52B8B" w:rsidRPr="007E4AFA" w:rsidRDefault="00A52B8B" w:rsidP="00350084">
            <w:pPr>
              <w:pStyle w:val="142"/>
              <w:jc w:val="center"/>
              <w:rPr>
                <w:rFonts w:hAnsi="標楷體" w:hint="eastAsia"/>
                <w:snapToGrid/>
                <w:szCs w:val="24"/>
              </w:rPr>
            </w:pPr>
            <w:r w:rsidRPr="007E4AFA">
              <w:rPr>
                <w:rFonts w:hAnsi="標楷體" w:hint="eastAsia"/>
                <w:snapToGrid/>
                <w:szCs w:val="24"/>
              </w:rPr>
              <w:t>決算數</w:t>
            </w:r>
          </w:p>
        </w:tc>
      </w:tr>
      <w:tr w:rsidR="00A52B8B" w:rsidRPr="002D57DD" w:rsidTr="00784454">
        <w:trPr>
          <w:tblHeader/>
        </w:trPr>
        <w:tc>
          <w:tcPr>
            <w:tcW w:w="1047" w:type="dxa"/>
            <w:vMerge/>
            <w:tcBorders>
              <w:top w:val="single" w:sz="4" w:space="0" w:color="auto"/>
              <w:left w:val="single" w:sz="12" w:space="0" w:color="auto"/>
              <w:bottom w:val="single" w:sz="4" w:space="0" w:color="auto"/>
              <w:right w:val="single" w:sz="4" w:space="0" w:color="auto"/>
            </w:tcBorders>
            <w:vAlign w:val="center"/>
            <w:hideMark/>
          </w:tcPr>
          <w:p w:rsidR="00A52B8B" w:rsidRPr="007E4AFA" w:rsidRDefault="00A52B8B" w:rsidP="00350084">
            <w:pPr>
              <w:pStyle w:val="142"/>
              <w:jc w:val="center"/>
              <w:rPr>
                <w:rFonts w:hAnsi="標楷體"/>
                <w:snapToGrid/>
                <w:szCs w:val="24"/>
              </w:rPr>
            </w:pPr>
          </w:p>
        </w:tc>
        <w:tc>
          <w:tcPr>
            <w:tcW w:w="1803" w:type="dxa"/>
            <w:vMerge/>
            <w:tcBorders>
              <w:top w:val="single" w:sz="4" w:space="0" w:color="auto"/>
              <w:left w:val="single" w:sz="4" w:space="0" w:color="auto"/>
              <w:bottom w:val="single" w:sz="4" w:space="0" w:color="auto"/>
              <w:right w:val="single" w:sz="4" w:space="0" w:color="auto"/>
            </w:tcBorders>
            <w:vAlign w:val="center"/>
            <w:hideMark/>
          </w:tcPr>
          <w:p w:rsidR="00A52B8B" w:rsidRPr="007E4AFA" w:rsidRDefault="00A52B8B" w:rsidP="00350084">
            <w:pPr>
              <w:pStyle w:val="142"/>
              <w:jc w:val="center"/>
              <w:rPr>
                <w:rFonts w:hAnsi="標楷體"/>
                <w:snapToGrid/>
                <w:szCs w:val="24"/>
              </w:rPr>
            </w:pPr>
          </w:p>
        </w:tc>
        <w:tc>
          <w:tcPr>
            <w:tcW w:w="1803" w:type="dxa"/>
            <w:tcBorders>
              <w:top w:val="nil"/>
              <w:left w:val="nil"/>
              <w:bottom w:val="single" w:sz="4" w:space="0" w:color="auto"/>
              <w:right w:val="single" w:sz="4" w:space="0" w:color="auto"/>
            </w:tcBorders>
            <w:shd w:val="clear" w:color="000000" w:fill="FFFFFF"/>
            <w:vAlign w:val="center"/>
            <w:hideMark/>
          </w:tcPr>
          <w:p w:rsidR="00A52B8B" w:rsidRPr="007E4AFA" w:rsidRDefault="00A52B8B" w:rsidP="00350084">
            <w:pPr>
              <w:pStyle w:val="142"/>
              <w:jc w:val="center"/>
              <w:rPr>
                <w:rFonts w:hAnsi="標楷體" w:hint="eastAsia"/>
                <w:snapToGrid/>
                <w:szCs w:val="24"/>
              </w:rPr>
            </w:pPr>
            <w:r w:rsidRPr="007E4AFA">
              <w:rPr>
                <w:rFonts w:hAnsi="標楷體" w:hint="eastAsia"/>
                <w:snapToGrid/>
                <w:szCs w:val="24"/>
              </w:rPr>
              <w:t>支付實現數</w:t>
            </w:r>
          </w:p>
        </w:tc>
        <w:tc>
          <w:tcPr>
            <w:tcW w:w="1803" w:type="dxa"/>
            <w:tcBorders>
              <w:top w:val="nil"/>
              <w:left w:val="nil"/>
              <w:bottom w:val="single" w:sz="4" w:space="0" w:color="auto"/>
              <w:right w:val="single" w:sz="4" w:space="0" w:color="auto"/>
            </w:tcBorders>
            <w:shd w:val="clear" w:color="000000" w:fill="FFFFFF"/>
            <w:vAlign w:val="center"/>
            <w:hideMark/>
          </w:tcPr>
          <w:p w:rsidR="00A52B8B" w:rsidRPr="007E4AFA" w:rsidRDefault="00A52B8B" w:rsidP="00350084">
            <w:pPr>
              <w:pStyle w:val="142"/>
              <w:jc w:val="center"/>
              <w:rPr>
                <w:rFonts w:hAnsi="標楷體" w:hint="eastAsia"/>
                <w:snapToGrid/>
                <w:szCs w:val="24"/>
              </w:rPr>
            </w:pPr>
            <w:r w:rsidRPr="007E4AFA">
              <w:rPr>
                <w:rFonts w:hAnsi="標楷體" w:hint="eastAsia"/>
                <w:snapToGrid/>
                <w:szCs w:val="24"/>
              </w:rPr>
              <w:t>保留數</w:t>
            </w:r>
          </w:p>
        </w:tc>
        <w:tc>
          <w:tcPr>
            <w:tcW w:w="2097" w:type="dxa"/>
            <w:tcBorders>
              <w:top w:val="nil"/>
              <w:left w:val="nil"/>
              <w:bottom w:val="single" w:sz="4" w:space="0" w:color="auto"/>
              <w:right w:val="single" w:sz="12" w:space="0" w:color="auto"/>
            </w:tcBorders>
            <w:shd w:val="clear" w:color="000000" w:fill="FFFFFF"/>
            <w:vAlign w:val="center"/>
          </w:tcPr>
          <w:p w:rsidR="00A52B8B" w:rsidRPr="007E4AFA" w:rsidRDefault="00A52B8B" w:rsidP="00350084">
            <w:pPr>
              <w:pStyle w:val="142"/>
              <w:jc w:val="center"/>
              <w:rPr>
                <w:rFonts w:hAnsi="標楷體" w:hint="eastAsia"/>
                <w:snapToGrid/>
                <w:szCs w:val="24"/>
              </w:rPr>
            </w:pPr>
            <w:r w:rsidRPr="007E4AFA">
              <w:rPr>
                <w:rFonts w:hAnsi="標楷體" w:hint="eastAsia"/>
                <w:snapToGrid/>
                <w:szCs w:val="24"/>
              </w:rPr>
              <w:t>合計</w:t>
            </w:r>
          </w:p>
        </w:tc>
      </w:tr>
      <w:tr w:rsidR="00A52B8B" w:rsidRPr="002D57DD" w:rsidTr="00350084">
        <w:tc>
          <w:tcPr>
            <w:tcW w:w="1047" w:type="dxa"/>
            <w:tcBorders>
              <w:top w:val="nil"/>
              <w:left w:val="single" w:sz="12" w:space="0" w:color="auto"/>
              <w:bottom w:val="single" w:sz="4" w:space="0" w:color="auto"/>
              <w:right w:val="single" w:sz="4" w:space="0" w:color="auto"/>
            </w:tcBorders>
            <w:shd w:val="clear" w:color="auto" w:fill="auto"/>
            <w:noWrap/>
            <w:vAlign w:val="center"/>
            <w:hideMark/>
          </w:tcPr>
          <w:p w:rsidR="00A52B8B" w:rsidRPr="00D120A8" w:rsidRDefault="00A52B8B" w:rsidP="00350084">
            <w:pPr>
              <w:pStyle w:val="142"/>
              <w:jc w:val="center"/>
              <w:rPr>
                <w:rFonts w:hAnsi="標楷體" w:hint="eastAsia"/>
                <w:snapToGrid/>
              </w:rPr>
            </w:pPr>
            <w:r w:rsidRPr="00D120A8">
              <w:rPr>
                <w:rFonts w:hAnsi="標楷體" w:hint="eastAsia"/>
                <w:snapToGrid/>
              </w:rPr>
              <w:t>108</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36,032 </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35,532 </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   </w:t>
            </w:r>
          </w:p>
        </w:tc>
        <w:tc>
          <w:tcPr>
            <w:tcW w:w="2097" w:type="dxa"/>
            <w:tcBorders>
              <w:top w:val="nil"/>
              <w:left w:val="nil"/>
              <w:bottom w:val="single" w:sz="4" w:space="0" w:color="auto"/>
              <w:right w:val="single" w:sz="12" w:space="0" w:color="auto"/>
            </w:tcBorders>
            <w:vAlign w:val="center"/>
          </w:tcPr>
          <w:p w:rsidR="00A52B8B" w:rsidRPr="00D120A8" w:rsidRDefault="00A52B8B" w:rsidP="00350084">
            <w:pPr>
              <w:pStyle w:val="142"/>
              <w:jc w:val="right"/>
              <w:rPr>
                <w:rFonts w:hAnsi="標楷體" w:hint="eastAsia"/>
                <w:snapToGrid/>
              </w:rPr>
            </w:pPr>
            <w:r w:rsidRPr="00D120A8">
              <w:rPr>
                <w:rFonts w:hAnsi="標楷體" w:hint="eastAsia"/>
                <w:snapToGrid/>
              </w:rPr>
              <w:t xml:space="preserve"> 35,532 </w:t>
            </w:r>
          </w:p>
        </w:tc>
      </w:tr>
      <w:tr w:rsidR="00A52B8B" w:rsidRPr="002D57DD" w:rsidTr="00350084">
        <w:tc>
          <w:tcPr>
            <w:tcW w:w="1047" w:type="dxa"/>
            <w:tcBorders>
              <w:top w:val="nil"/>
              <w:left w:val="single" w:sz="12" w:space="0" w:color="auto"/>
              <w:bottom w:val="single" w:sz="4" w:space="0" w:color="auto"/>
              <w:right w:val="single" w:sz="4" w:space="0" w:color="auto"/>
            </w:tcBorders>
            <w:shd w:val="clear" w:color="auto" w:fill="auto"/>
            <w:noWrap/>
            <w:vAlign w:val="center"/>
            <w:hideMark/>
          </w:tcPr>
          <w:p w:rsidR="00A52B8B" w:rsidRPr="00D120A8" w:rsidRDefault="00A52B8B" w:rsidP="00350084">
            <w:pPr>
              <w:pStyle w:val="142"/>
              <w:jc w:val="center"/>
              <w:rPr>
                <w:rFonts w:hAnsi="標楷體" w:hint="eastAsia"/>
                <w:snapToGrid/>
              </w:rPr>
            </w:pPr>
            <w:r w:rsidRPr="00D120A8">
              <w:rPr>
                <w:rFonts w:hAnsi="標楷體" w:hint="eastAsia"/>
                <w:snapToGrid/>
              </w:rPr>
              <w:t>109</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63,431 </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30,979 </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28,722 </w:t>
            </w:r>
          </w:p>
        </w:tc>
        <w:tc>
          <w:tcPr>
            <w:tcW w:w="2097" w:type="dxa"/>
            <w:tcBorders>
              <w:top w:val="nil"/>
              <w:left w:val="nil"/>
              <w:bottom w:val="single" w:sz="4" w:space="0" w:color="auto"/>
              <w:right w:val="single" w:sz="12" w:space="0" w:color="auto"/>
            </w:tcBorders>
            <w:vAlign w:val="center"/>
          </w:tcPr>
          <w:p w:rsidR="00A52B8B" w:rsidRPr="00D120A8" w:rsidRDefault="00A52B8B" w:rsidP="00350084">
            <w:pPr>
              <w:pStyle w:val="142"/>
              <w:jc w:val="right"/>
              <w:rPr>
                <w:rFonts w:hAnsi="標楷體" w:hint="eastAsia"/>
                <w:snapToGrid/>
              </w:rPr>
            </w:pPr>
            <w:r w:rsidRPr="00D120A8">
              <w:rPr>
                <w:rFonts w:hAnsi="標楷體" w:hint="eastAsia"/>
                <w:snapToGrid/>
              </w:rPr>
              <w:t xml:space="preserve"> 59,701 </w:t>
            </w:r>
          </w:p>
        </w:tc>
      </w:tr>
      <w:tr w:rsidR="00A52B8B" w:rsidRPr="002D57DD" w:rsidTr="00350084">
        <w:tc>
          <w:tcPr>
            <w:tcW w:w="1047" w:type="dxa"/>
            <w:tcBorders>
              <w:top w:val="nil"/>
              <w:left w:val="single" w:sz="12" w:space="0" w:color="auto"/>
              <w:bottom w:val="single" w:sz="4" w:space="0" w:color="auto"/>
              <w:right w:val="single" w:sz="4" w:space="0" w:color="auto"/>
            </w:tcBorders>
            <w:shd w:val="clear" w:color="auto" w:fill="auto"/>
            <w:noWrap/>
            <w:vAlign w:val="center"/>
            <w:hideMark/>
          </w:tcPr>
          <w:p w:rsidR="00A52B8B" w:rsidRPr="00D120A8" w:rsidRDefault="00A52B8B" w:rsidP="00350084">
            <w:pPr>
              <w:pStyle w:val="142"/>
              <w:jc w:val="center"/>
              <w:rPr>
                <w:rFonts w:hAnsi="標楷體" w:hint="eastAsia"/>
                <w:snapToGrid/>
              </w:rPr>
            </w:pPr>
            <w:r w:rsidRPr="00D120A8">
              <w:rPr>
                <w:rFonts w:hAnsi="標楷體" w:hint="eastAsia"/>
                <w:snapToGrid/>
              </w:rPr>
              <w:t>110</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31,073 </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7,478 </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23,372 </w:t>
            </w:r>
          </w:p>
        </w:tc>
        <w:tc>
          <w:tcPr>
            <w:tcW w:w="2097" w:type="dxa"/>
            <w:tcBorders>
              <w:top w:val="nil"/>
              <w:left w:val="nil"/>
              <w:bottom w:val="single" w:sz="4" w:space="0" w:color="auto"/>
              <w:right w:val="single" w:sz="12" w:space="0" w:color="auto"/>
            </w:tcBorders>
            <w:vAlign w:val="center"/>
          </w:tcPr>
          <w:p w:rsidR="00A52B8B" w:rsidRPr="00D120A8" w:rsidRDefault="00A52B8B" w:rsidP="00350084">
            <w:pPr>
              <w:pStyle w:val="142"/>
              <w:jc w:val="right"/>
              <w:rPr>
                <w:rFonts w:hAnsi="標楷體" w:hint="eastAsia"/>
                <w:snapToGrid/>
              </w:rPr>
            </w:pPr>
            <w:r w:rsidRPr="00D120A8">
              <w:rPr>
                <w:rFonts w:hAnsi="標楷體" w:hint="eastAsia"/>
                <w:snapToGrid/>
              </w:rPr>
              <w:t xml:space="preserve"> 30,850 </w:t>
            </w:r>
          </w:p>
        </w:tc>
      </w:tr>
      <w:tr w:rsidR="00A52B8B" w:rsidRPr="002D57DD" w:rsidTr="004251E5">
        <w:tc>
          <w:tcPr>
            <w:tcW w:w="1047" w:type="dxa"/>
            <w:tcBorders>
              <w:top w:val="nil"/>
              <w:left w:val="single" w:sz="12" w:space="0" w:color="auto"/>
              <w:bottom w:val="single" w:sz="4" w:space="0" w:color="auto"/>
              <w:right w:val="single" w:sz="4" w:space="0" w:color="auto"/>
            </w:tcBorders>
            <w:shd w:val="clear" w:color="auto" w:fill="auto"/>
            <w:noWrap/>
            <w:vAlign w:val="center"/>
            <w:hideMark/>
          </w:tcPr>
          <w:p w:rsidR="00A52B8B" w:rsidRPr="00D120A8" w:rsidRDefault="00A52B8B" w:rsidP="00350084">
            <w:pPr>
              <w:pStyle w:val="142"/>
              <w:jc w:val="center"/>
              <w:rPr>
                <w:rFonts w:hAnsi="標楷體" w:hint="eastAsia"/>
                <w:snapToGrid/>
              </w:rPr>
            </w:pPr>
            <w:r w:rsidRPr="00D120A8">
              <w:rPr>
                <w:rFonts w:hAnsi="標楷體" w:hint="eastAsia"/>
                <w:snapToGrid/>
              </w:rPr>
              <w:t>111</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47,970 </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42,260 </w:t>
            </w:r>
          </w:p>
        </w:tc>
        <w:tc>
          <w:tcPr>
            <w:tcW w:w="1803" w:type="dxa"/>
            <w:tcBorders>
              <w:top w:val="nil"/>
              <w:left w:val="nil"/>
              <w:bottom w:val="single" w:sz="4" w:space="0" w:color="auto"/>
              <w:right w:val="single" w:sz="4" w:space="0" w:color="auto"/>
            </w:tcBorders>
            <w:shd w:val="clear" w:color="auto" w:fill="auto"/>
            <w:noWrap/>
            <w:vAlign w:val="center"/>
            <w:hideMark/>
          </w:tcPr>
          <w:p w:rsidR="00A52B8B" w:rsidRPr="00D120A8" w:rsidRDefault="00A52B8B" w:rsidP="00350084">
            <w:pPr>
              <w:pStyle w:val="142"/>
              <w:jc w:val="right"/>
              <w:rPr>
                <w:rFonts w:hAnsi="標楷體" w:hint="eastAsia"/>
                <w:snapToGrid/>
              </w:rPr>
            </w:pPr>
            <w:r w:rsidRPr="00D120A8">
              <w:rPr>
                <w:rFonts w:hAnsi="標楷體" w:hint="eastAsia"/>
                <w:snapToGrid/>
              </w:rPr>
              <w:t xml:space="preserve">  4,700 </w:t>
            </w:r>
          </w:p>
        </w:tc>
        <w:tc>
          <w:tcPr>
            <w:tcW w:w="2097" w:type="dxa"/>
            <w:tcBorders>
              <w:top w:val="nil"/>
              <w:left w:val="nil"/>
              <w:bottom w:val="single" w:sz="4" w:space="0" w:color="auto"/>
              <w:right w:val="single" w:sz="12" w:space="0" w:color="auto"/>
            </w:tcBorders>
            <w:vAlign w:val="center"/>
          </w:tcPr>
          <w:p w:rsidR="00A52B8B" w:rsidRPr="00D120A8" w:rsidRDefault="00A52B8B" w:rsidP="00350084">
            <w:pPr>
              <w:pStyle w:val="142"/>
              <w:jc w:val="right"/>
              <w:rPr>
                <w:rFonts w:hAnsi="標楷體" w:hint="eastAsia"/>
                <w:snapToGrid/>
              </w:rPr>
            </w:pPr>
            <w:r w:rsidRPr="00D120A8">
              <w:rPr>
                <w:rFonts w:hAnsi="標楷體" w:hint="eastAsia"/>
                <w:snapToGrid/>
              </w:rPr>
              <w:t xml:space="preserve"> 46,960 </w:t>
            </w:r>
          </w:p>
        </w:tc>
      </w:tr>
      <w:tr w:rsidR="00A52B8B" w:rsidRPr="002D57DD" w:rsidTr="004251E5">
        <w:tc>
          <w:tcPr>
            <w:tcW w:w="1047" w:type="dxa"/>
            <w:tcBorders>
              <w:top w:val="single" w:sz="4" w:space="0" w:color="auto"/>
              <w:left w:val="single" w:sz="12" w:space="0" w:color="auto"/>
              <w:bottom w:val="single" w:sz="12" w:space="0" w:color="auto"/>
              <w:right w:val="single" w:sz="4" w:space="0" w:color="auto"/>
            </w:tcBorders>
            <w:shd w:val="clear" w:color="auto" w:fill="auto"/>
            <w:noWrap/>
            <w:vAlign w:val="center"/>
            <w:hideMark/>
          </w:tcPr>
          <w:p w:rsidR="00A52B8B" w:rsidRPr="00DF37DB" w:rsidRDefault="00A52B8B" w:rsidP="00350084">
            <w:pPr>
              <w:pStyle w:val="142"/>
              <w:jc w:val="center"/>
              <w:rPr>
                <w:rFonts w:hAnsi="標楷體" w:hint="eastAsia"/>
                <w:b/>
                <w:snapToGrid/>
              </w:rPr>
            </w:pPr>
            <w:r w:rsidRPr="00DF37DB">
              <w:rPr>
                <w:rFonts w:hAnsi="標楷體" w:hint="eastAsia"/>
                <w:b/>
                <w:snapToGrid/>
              </w:rPr>
              <w:t>112</w:t>
            </w:r>
          </w:p>
        </w:tc>
        <w:tc>
          <w:tcPr>
            <w:tcW w:w="1803" w:type="dxa"/>
            <w:tcBorders>
              <w:top w:val="single" w:sz="4" w:space="0" w:color="auto"/>
              <w:left w:val="nil"/>
              <w:bottom w:val="single" w:sz="12" w:space="0" w:color="auto"/>
              <w:right w:val="single" w:sz="4" w:space="0" w:color="auto"/>
            </w:tcBorders>
            <w:shd w:val="clear" w:color="auto" w:fill="auto"/>
            <w:noWrap/>
            <w:vAlign w:val="center"/>
            <w:hideMark/>
          </w:tcPr>
          <w:p w:rsidR="00A52B8B" w:rsidRPr="00DF37DB" w:rsidRDefault="00A52B8B" w:rsidP="00350084">
            <w:pPr>
              <w:pStyle w:val="142"/>
              <w:jc w:val="right"/>
              <w:rPr>
                <w:rFonts w:hAnsi="標楷體" w:hint="eastAsia"/>
                <w:b/>
                <w:snapToGrid/>
              </w:rPr>
            </w:pPr>
            <w:r w:rsidRPr="00DF37DB">
              <w:rPr>
                <w:rFonts w:hAnsi="標楷體" w:hint="eastAsia"/>
                <w:b/>
                <w:snapToGrid/>
              </w:rPr>
              <w:t xml:space="preserve"> 51,000 </w:t>
            </w:r>
          </w:p>
        </w:tc>
        <w:tc>
          <w:tcPr>
            <w:tcW w:w="1803" w:type="dxa"/>
            <w:tcBorders>
              <w:top w:val="single" w:sz="4" w:space="0" w:color="auto"/>
              <w:left w:val="nil"/>
              <w:bottom w:val="single" w:sz="12" w:space="0" w:color="auto"/>
              <w:right w:val="single" w:sz="4" w:space="0" w:color="auto"/>
            </w:tcBorders>
            <w:shd w:val="clear" w:color="auto" w:fill="auto"/>
            <w:noWrap/>
            <w:vAlign w:val="center"/>
            <w:hideMark/>
          </w:tcPr>
          <w:p w:rsidR="00A52B8B" w:rsidRPr="00DF37DB" w:rsidRDefault="00A52B8B" w:rsidP="00350084">
            <w:pPr>
              <w:pStyle w:val="142"/>
              <w:jc w:val="right"/>
              <w:rPr>
                <w:rFonts w:hAnsi="標楷體" w:hint="eastAsia"/>
                <w:b/>
                <w:snapToGrid/>
              </w:rPr>
            </w:pPr>
            <w:r w:rsidRPr="00DF37DB">
              <w:rPr>
                <w:rFonts w:hAnsi="標楷體" w:hint="eastAsia"/>
                <w:b/>
                <w:snapToGrid/>
              </w:rPr>
              <w:t xml:space="preserve"> 38,723 </w:t>
            </w:r>
          </w:p>
        </w:tc>
        <w:tc>
          <w:tcPr>
            <w:tcW w:w="1803" w:type="dxa"/>
            <w:tcBorders>
              <w:top w:val="single" w:sz="4" w:space="0" w:color="auto"/>
              <w:left w:val="nil"/>
              <w:bottom w:val="single" w:sz="12" w:space="0" w:color="auto"/>
              <w:right w:val="single" w:sz="4" w:space="0" w:color="auto"/>
            </w:tcBorders>
            <w:shd w:val="clear" w:color="auto" w:fill="auto"/>
            <w:noWrap/>
            <w:vAlign w:val="center"/>
            <w:hideMark/>
          </w:tcPr>
          <w:p w:rsidR="00A52B8B" w:rsidRPr="00DF37DB" w:rsidRDefault="00A52B8B" w:rsidP="00350084">
            <w:pPr>
              <w:pStyle w:val="142"/>
              <w:jc w:val="right"/>
              <w:rPr>
                <w:rFonts w:hAnsi="標楷體" w:hint="eastAsia"/>
                <w:b/>
                <w:snapToGrid/>
              </w:rPr>
            </w:pPr>
            <w:r w:rsidRPr="00DF37DB">
              <w:rPr>
                <w:rFonts w:hAnsi="標楷體" w:hint="eastAsia"/>
                <w:b/>
                <w:snapToGrid/>
              </w:rPr>
              <w:t xml:space="preserve"> 12,060 </w:t>
            </w:r>
          </w:p>
        </w:tc>
        <w:tc>
          <w:tcPr>
            <w:tcW w:w="2097" w:type="dxa"/>
            <w:tcBorders>
              <w:top w:val="single" w:sz="4" w:space="0" w:color="auto"/>
              <w:left w:val="nil"/>
              <w:bottom w:val="single" w:sz="12" w:space="0" w:color="auto"/>
              <w:right w:val="single" w:sz="12" w:space="0" w:color="auto"/>
            </w:tcBorders>
            <w:vAlign w:val="center"/>
          </w:tcPr>
          <w:p w:rsidR="00A52B8B" w:rsidRPr="00DF37DB" w:rsidRDefault="00A52B8B" w:rsidP="00350084">
            <w:pPr>
              <w:pStyle w:val="142"/>
              <w:jc w:val="right"/>
              <w:rPr>
                <w:rFonts w:hAnsi="標楷體" w:hint="eastAsia"/>
                <w:b/>
                <w:snapToGrid/>
              </w:rPr>
            </w:pPr>
            <w:r w:rsidRPr="00DF37DB">
              <w:rPr>
                <w:rFonts w:hAnsi="標楷體" w:hint="eastAsia"/>
                <w:b/>
                <w:snapToGrid/>
              </w:rPr>
              <w:t xml:space="preserve"> 50,783 </w:t>
            </w:r>
          </w:p>
        </w:tc>
      </w:tr>
    </w:tbl>
    <w:p w:rsidR="00A52B8B" w:rsidRDefault="00A52B8B" w:rsidP="00A52B8B">
      <w:pPr>
        <w:pStyle w:val="142"/>
      </w:pPr>
      <w:r>
        <w:rPr>
          <w:rFonts w:hint="eastAsia"/>
        </w:rPr>
        <w:t>說    明：該</w:t>
      </w:r>
      <w:r w:rsidRPr="00D120A8">
        <w:rPr>
          <w:rFonts w:hint="eastAsia"/>
        </w:rPr>
        <w:t>計畫108年為先期計畫，科技計畫執行期間為109年至112年。</w:t>
      </w:r>
    </w:p>
    <w:p w:rsidR="00A52B8B" w:rsidRDefault="00A52B8B" w:rsidP="00A52B8B">
      <w:pPr>
        <w:pStyle w:val="142"/>
      </w:pPr>
      <w:r>
        <w:rPr>
          <w:rFonts w:hint="eastAsia"/>
        </w:rPr>
        <w:t>資料來源：文化部提供。</w:t>
      </w:r>
    </w:p>
    <w:p w:rsidR="00A52B8B" w:rsidRPr="00DC26BB" w:rsidRDefault="00A52B8B" w:rsidP="00A52B8B">
      <w:pPr>
        <w:pStyle w:val="a5"/>
        <w:ind w:left="849" w:hanging="283"/>
        <w:rPr>
          <w:b/>
        </w:rPr>
      </w:pPr>
      <w:r w:rsidRPr="00DC26BB">
        <w:rPr>
          <w:rFonts w:hint="eastAsia"/>
          <w:b/>
        </w:rPr>
        <w:t>(</w:t>
      </w:r>
      <w:r>
        <w:rPr>
          <w:rFonts w:hint="eastAsia"/>
          <w:b/>
        </w:rPr>
        <w:t>三</w:t>
      </w:r>
      <w:r w:rsidRPr="00DC26BB">
        <w:rPr>
          <w:rFonts w:hint="eastAsia"/>
          <w:b/>
        </w:rPr>
        <w:t>)</w:t>
      </w:r>
      <w:r w:rsidRPr="00307734">
        <w:rPr>
          <w:rFonts w:hint="eastAsia"/>
          <w:b/>
        </w:rPr>
        <w:t>以資源投入或產出為評核指標，未能具體衡量</w:t>
      </w:r>
      <w:r>
        <w:rPr>
          <w:rFonts w:hint="eastAsia"/>
          <w:b/>
        </w:rPr>
        <w:t>計畫</w:t>
      </w:r>
      <w:r w:rsidRPr="00307734">
        <w:rPr>
          <w:rFonts w:hint="eastAsia"/>
          <w:b/>
        </w:rPr>
        <w:t>效果</w:t>
      </w:r>
    </w:p>
    <w:p w:rsidR="00A52B8B" w:rsidRDefault="00A52B8B" w:rsidP="00A52B8B">
      <w:pPr>
        <w:pStyle w:val="22"/>
        <w:ind w:left="850" w:firstLine="566"/>
      </w:pPr>
      <w:r>
        <w:rPr>
          <w:rFonts w:hint="eastAsia"/>
        </w:rPr>
        <w:t>該計畫112年度績效目標為推動公共服務及社會創新專案4案以上，並開發場域服務創新模式及社會創新公民參與示範機制各1式，均已實際達標，惟其</w:t>
      </w:r>
      <w:r w:rsidRPr="005A5F2C">
        <w:rPr>
          <w:rFonts w:hint="eastAsia"/>
        </w:rPr>
        <w:t>以投入資源完成特定階段之工作，或以產出量為評核指標，尚難以具體衡量</w:t>
      </w:r>
      <w:r>
        <w:rPr>
          <w:rFonts w:hint="eastAsia"/>
        </w:rPr>
        <w:t>計畫成效，有待檢討改進。</w:t>
      </w:r>
    </w:p>
    <w:p w:rsidR="006D7FE1" w:rsidRPr="006D7FE1" w:rsidRDefault="00A52B8B" w:rsidP="00A52B8B">
      <w:pPr>
        <w:ind w:left="566" w:firstLine="566"/>
        <w:rPr>
          <w:rFonts w:hint="eastAsia"/>
        </w:rPr>
      </w:pPr>
      <w:r w:rsidRPr="00DF37DB">
        <w:rPr>
          <w:rFonts w:hint="eastAsia"/>
        </w:rPr>
        <w:t>綜上，文化部112年度辦理「設計驅動跨域整合創新計畫」，審計部審核意見指出，規劃階段未審慎評估合作對象及場域，致延宕計畫期程並徒增經費支出，工藝數位平台內容與媒合情形</w:t>
      </w:r>
      <w:r w:rsidR="001C60A7">
        <w:rPr>
          <w:rFonts w:hint="eastAsia"/>
        </w:rPr>
        <w:t>亦</w:t>
      </w:r>
      <w:r w:rsidRPr="00DF37DB">
        <w:rPr>
          <w:rFonts w:hint="eastAsia"/>
        </w:rPr>
        <w:t>待加強；另其以投入資源完成特定階段之工作，或以產出量為評核指標，尚難以具體衡量計畫成效</w:t>
      </w:r>
      <w:r>
        <w:rPr>
          <w:rFonts w:hint="eastAsia"/>
        </w:rPr>
        <w:t>，允宜</w:t>
      </w:r>
      <w:r w:rsidR="00462C74">
        <w:rPr>
          <w:rFonts w:hint="eastAsia"/>
        </w:rPr>
        <w:t>一併</w:t>
      </w:r>
      <w:r>
        <w:rPr>
          <w:rFonts w:hint="eastAsia"/>
        </w:rPr>
        <w:t>檢討改進。</w:t>
      </w:r>
    </w:p>
    <w:bookmarkEnd w:id="1"/>
    <w:bookmarkEnd w:id="2"/>
    <w:bookmarkEnd w:id="3"/>
    <w:p w:rsidR="00A52B8B" w:rsidRDefault="008C4B3A" w:rsidP="008C4B3A">
      <w:pPr>
        <w:pStyle w:val="ad"/>
      </w:pPr>
      <w:r>
        <w:rPr>
          <w:rFonts w:hint="eastAsia"/>
        </w:rPr>
        <w:t>(第1題～第3題 分機：8653 江穗美)</w:t>
      </w:r>
    </w:p>
    <w:sectPr w:rsidR="00A52B8B"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23C" w:rsidRDefault="00E9523C" w:rsidP="00B0087B">
      <w:pPr>
        <w:spacing w:line="240" w:lineRule="auto"/>
        <w:ind w:left="560" w:firstLine="560"/>
      </w:pPr>
      <w:r>
        <w:separator/>
      </w:r>
    </w:p>
  </w:endnote>
  <w:endnote w:type="continuationSeparator" w:id="0">
    <w:p w:rsidR="00E9523C" w:rsidRDefault="00E9523C"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DC4570">
    <w:pPr>
      <w:pStyle w:val="af2"/>
      <w:ind w:left="560" w:firstLine="400"/>
    </w:pPr>
    <w:r>
      <w:rPr>
        <w:rFonts w:hint="eastAsia"/>
      </w:rPr>
      <w:t xml:space="preserve">                            </w:t>
    </w:r>
    <w:r>
      <w:fldChar w:fldCharType="begin"/>
    </w:r>
    <w:r>
      <w:instrText>PAGE   \* MERGEFORMAT</w:instrText>
    </w:r>
    <w:r>
      <w:fldChar w:fldCharType="separate"/>
    </w:r>
    <w:r w:rsidR="00EC7B38" w:rsidRPr="00EC7B38">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23C" w:rsidRDefault="00E9523C" w:rsidP="00215EB8">
      <w:pPr>
        <w:spacing w:line="240" w:lineRule="auto"/>
        <w:ind w:left="560" w:firstLine="560"/>
      </w:pPr>
      <w:r>
        <w:separator/>
      </w:r>
    </w:p>
  </w:footnote>
  <w:footnote w:type="continuationSeparator" w:id="0">
    <w:p w:rsidR="00E9523C" w:rsidRDefault="00E9523C" w:rsidP="00B0087B">
      <w:pPr>
        <w:spacing w:line="240" w:lineRule="auto"/>
        <w:ind w:left="560" w:firstLine="560"/>
      </w:pPr>
      <w:r>
        <w:continuationSeparator/>
      </w:r>
    </w:p>
  </w:footnote>
  <w:footnote w:id="1">
    <w:p w:rsidR="00F55009" w:rsidRPr="00F55009" w:rsidRDefault="00F55009" w:rsidP="00F55009">
      <w:pPr>
        <w:pStyle w:val="142"/>
        <w:rPr>
          <w:rFonts w:hint="eastAsia"/>
        </w:rPr>
      </w:pPr>
      <w:r>
        <w:rPr>
          <w:rStyle w:val="af7"/>
        </w:rPr>
        <w:footnoteRef/>
      </w:r>
      <w:r>
        <w:t xml:space="preserve"> </w:t>
      </w:r>
      <w:r>
        <w:rPr>
          <w:rFonts w:hint="eastAsia"/>
        </w:rPr>
        <w:t>參審計部112</w:t>
      </w:r>
      <w:r w:rsidRPr="00017230">
        <w:rPr>
          <w:rFonts w:hint="eastAsia"/>
        </w:rPr>
        <w:t>中央政府總決算審核報告</w:t>
      </w:r>
      <w:r>
        <w:rPr>
          <w:rFonts w:hint="eastAsia"/>
        </w:rPr>
        <w:t>丙-6</w:t>
      </w:r>
      <w:r w:rsidR="008A3661">
        <w:rPr>
          <w:rFonts w:hint="eastAsia"/>
        </w:rPr>
        <w:t>69</w:t>
      </w:r>
      <w:r>
        <w:rPr>
          <w:rFonts w:hint="eastAsia"/>
        </w:rPr>
        <w:t>至67</w:t>
      </w:r>
      <w:r w:rsidR="008A3661">
        <w:rPr>
          <w:rFonts w:hint="eastAsia"/>
        </w:rPr>
        <w:t>1</w:t>
      </w:r>
      <w:r>
        <w:rPr>
          <w:rFonts w:hint="eastAsia"/>
        </w:rPr>
        <w:t>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2"/>
  </w:num>
  <w:num w:numId="4">
    <w:abstractNumId w:val="16"/>
  </w:num>
  <w:num w:numId="5">
    <w:abstractNumId w:val="3"/>
  </w:num>
  <w:num w:numId="6">
    <w:abstractNumId w:val="9"/>
  </w:num>
  <w:num w:numId="7">
    <w:abstractNumId w:val="4"/>
  </w:num>
  <w:num w:numId="8">
    <w:abstractNumId w:val="14"/>
  </w:num>
  <w:num w:numId="9">
    <w:abstractNumId w:val="8"/>
  </w:num>
  <w:num w:numId="10">
    <w:abstractNumId w:val="2"/>
  </w:num>
  <w:num w:numId="11">
    <w:abstractNumId w:val="7"/>
  </w:num>
  <w:num w:numId="12">
    <w:abstractNumId w:val="13"/>
  </w:num>
  <w:num w:numId="13">
    <w:abstractNumId w:val="15"/>
  </w:num>
  <w:num w:numId="14">
    <w:abstractNumId w:val="6"/>
  </w:num>
  <w:num w:numId="15">
    <w:abstractNumId w:val="10"/>
  </w:num>
  <w:num w:numId="16">
    <w:abstractNumId w:val="5"/>
  </w:num>
  <w:num w:numId="17">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6BE0"/>
    <w:rsid w:val="00046FAF"/>
    <w:rsid w:val="00047597"/>
    <w:rsid w:val="00047A39"/>
    <w:rsid w:val="00047BEC"/>
    <w:rsid w:val="00047CCF"/>
    <w:rsid w:val="00051AB3"/>
    <w:rsid w:val="00053099"/>
    <w:rsid w:val="00053E5E"/>
    <w:rsid w:val="0005404B"/>
    <w:rsid w:val="000543AE"/>
    <w:rsid w:val="000549D3"/>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DA"/>
    <w:rsid w:val="000F5EC2"/>
    <w:rsid w:val="000F630F"/>
    <w:rsid w:val="000F6985"/>
    <w:rsid w:val="000F69D0"/>
    <w:rsid w:val="000F7274"/>
    <w:rsid w:val="000F7556"/>
    <w:rsid w:val="000F75FB"/>
    <w:rsid w:val="00100151"/>
    <w:rsid w:val="00100633"/>
    <w:rsid w:val="00100929"/>
    <w:rsid w:val="00100ECD"/>
    <w:rsid w:val="0010103E"/>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734"/>
    <w:rsid w:val="00120F1A"/>
    <w:rsid w:val="00120F46"/>
    <w:rsid w:val="00121015"/>
    <w:rsid w:val="00121A41"/>
    <w:rsid w:val="00121A51"/>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11E8"/>
    <w:rsid w:val="001A232B"/>
    <w:rsid w:val="001A276C"/>
    <w:rsid w:val="001A34A5"/>
    <w:rsid w:val="001A39DB"/>
    <w:rsid w:val="001A3C4F"/>
    <w:rsid w:val="001A3C6C"/>
    <w:rsid w:val="001A43C6"/>
    <w:rsid w:val="001A4761"/>
    <w:rsid w:val="001A4ABA"/>
    <w:rsid w:val="001A4D23"/>
    <w:rsid w:val="001A50EF"/>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4E1"/>
    <w:rsid w:val="001C56A0"/>
    <w:rsid w:val="001C5AAE"/>
    <w:rsid w:val="001C60A7"/>
    <w:rsid w:val="001C789B"/>
    <w:rsid w:val="001C7A15"/>
    <w:rsid w:val="001C7F3B"/>
    <w:rsid w:val="001D0156"/>
    <w:rsid w:val="001D0214"/>
    <w:rsid w:val="001D0C85"/>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5AD7"/>
    <w:rsid w:val="00235CD1"/>
    <w:rsid w:val="00237C39"/>
    <w:rsid w:val="00237FD1"/>
    <w:rsid w:val="00241854"/>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9FF"/>
    <w:rsid w:val="00296FEA"/>
    <w:rsid w:val="00296FFC"/>
    <w:rsid w:val="002977E5"/>
    <w:rsid w:val="002A04FF"/>
    <w:rsid w:val="002A0758"/>
    <w:rsid w:val="002A08F2"/>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64FC"/>
    <w:rsid w:val="004B6CFA"/>
    <w:rsid w:val="004B6E1D"/>
    <w:rsid w:val="004B723D"/>
    <w:rsid w:val="004B7B3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D04C0"/>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D9"/>
    <w:rsid w:val="00525D14"/>
    <w:rsid w:val="00525E02"/>
    <w:rsid w:val="00526614"/>
    <w:rsid w:val="00526798"/>
    <w:rsid w:val="00526D69"/>
    <w:rsid w:val="00526FC9"/>
    <w:rsid w:val="00530F4A"/>
    <w:rsid w:val="005319D3"/>
    <w:rsid w:val="0053433C"/>
    <w:rsid w:val="005347F5"/>
    <w:rsid w:val="005349E7"/>
    <w:rsid w:val="005351B8"/>
    <w:rsid w:val="005356E4"/>
    <w:rsid w:val="00535FFA"/>
    <w:rsid w:val="0053601E"/>
    <w:rsid w:val="0053686B"/>
    <w:rsid w:val="00536AE1"/>
    <w:rsid w:val="0053704F"/>
    <w:rsid w:val="0053722B"/>
    <w:rsid w:val="00537A63"/>
    <w:rsid w:val="00540030"/>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4CC8"/>
    <w:rsid w:val="005750F2"/>
    <w:rsid w:val="005766C3"/>
    <w:rsid w:val="00576F83"/>
    <w:rsid w:val="0057774B"/>
    <w:rsid w:val="005777F3"/>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E69"/>
    <w:rsid w:val="005F5963"/>
    <w:rsid w:val="005F7944"/>
    <w:rsid w:val="00600123"/>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BAD"/>
    <w:rsid w:val="00695D92"/>
    <w:rsid w:val="00696231"/>
    <w:rsid w:val="006963B8"/>
    <w:rsid w:val="00696B20"/>
    <w:rsid w:val="006974B2"/>
    <w:rsid w:val="006975CC"/>
    <w:rsid w:val="00697678"/>
    <w:rsid w:val="00697849"/>
    <w:rsid w:val="00697B16"/>
    <w:rsid w:val="006A0DB1"/>
    <w:rsid w:val="006A1349"/>
    <w:rsid w:val="006A18FD"/>
    <w:rsid w:val="006A2414"/>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80F"/>
    <w:rsid w:val="007B7BE9"/>
    <w:rsid w:val="007B7CE5"/>
    <w:rsid w:val="007C1775"/>
    <w:rsid w:val="007C28C0"/>
    <w:rsid w:val="007C2E98"/>
    <w:rsid w:val="007C304E"/>
    <w:rsid w:val="007C34DD"/>
    <w:rsid w:val="007C3675"/>
    <w:rsid w:val="007C373F"/>
    <w:rsid w:val="007C4AF1"/>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3314"/>
    <w:rsid w:val="00834FFE"/>
    <w:rsid w:val="00836BDC"/>
    <w:rsid w:val="00836BF1"/>
    <w:rsid w:val="00836C9A"/>
    <w:rsid w:val="00837000"/>
    <w:rsid w:val="00837764"/>
    <w:rsid w:val="00840794"/>
    <w:rsid w:val="00840CD3"/>
    <w:rsid w:val="00840D2B"/>
    <w:rsid w:val="008410CB"/>
    <w:rsid w:val="00842A4C"/>
    <w:rsid w:val="0084405D"/>
    <w:rsid w:val="008440A9"/>
    <w:rsid w:val="008440CE"/>
    <w:rsid w:val="00844609"/>
    <w:rsid w:val="00844FB2"/>
    <w:rsid w:val="00845578"/>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5601"/>
    <w:rsid w:val="008A6DBF"/>
    <w:rsid w:val="008A7B6B"/>
    <w:rsid w:val="008A7E28"/>
    <w:rsid w:val="008A7FC6"/>
    <w:rsid w:val="008A7FE9"/>
    <w:rsid w:val="008B0439"/>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70B7"/>
    <w:rsid w:val="008B7FDF"/>
    <w:rsid w:val="008C0074"/>
    <w:rsid w:val="008C0E13"/>
    <w:rsid w:val="008C1375"/>
    <w:rsid w:val="008C1535"/>
    <w:rsid w:val="008C1C59"/>
    <w:rsid w:val="008C2B26"/>
    <w:rsid w:val="008C4461"/>
    <w:rsid w:val="008C4B3A"/>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511"/>
    <w:rsid w:val="00947644"/>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AB3"/>
    <w:rsid w:val="00A66023"/>
    <w:rsid w:val="00A66236"/>
    <w:rsid w:val="00A66306"/>
    <w:rsid w:val="00A66374"/>
    <w:rsid w:val="00A66569"/>
    <w:rsid w:val="00A66CCF"/>
    <w:rsid w:val="00A66E28"/>
    <w:rsid w:val="00A673FC"/>
    <w:rsid w:val="00A6744B"/>
    <w:rsid w:val="00A67487"/>
    <w:rsid w:val="00A6765C"/>
    <w:rsid w:val="00A6765D"/>
    <w:rsid w:val="00A679FD"/>
    <w:rsid w:val="00A7005B"/>
    <w:rsid w:val="00A70552"/>
    <w:rsid w:val="00A713A3"/>
    <w:rsid w:val="00A71661"/>
    <w:rsid w:val="00A71815"/>
    <w:rsid w:val="00A71E41"/>
    <w:rsid w:val="00A71FD9"/>
    <w:rsid w:val="00A723CB"/>
    <w:rsid w:val="00A72526"/>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CC7"/>
    <w:rsid w:val="00B372AD"/>
    <w:rsid w:val="00B3746F"/>
    <w:rsid w:val="00B37579"/>
    <w:rsid w:val="00B37E97"/>
    <w:rsid w:val="00B408B3"/>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7146"/>
    <w:rsid w:val="00B77C29"/>
    <w:rsid w:val="00B8018C"/>
    <w:rsid w:val="00B806FB"/>
    <w:rsid w:val="00B80D78"/>
    <w:rsid w:val="00B815F2"/>
    <w:rsid w:val="00B8252E"/>
    <w:rsid w:val="00B82809"/>
    <w:rsid w:val="00B82C38"/>
    <w:rsid w:val="00B83273"/>
    <w:rsid w:val="00B833BE"/>
    <w:rsid w:val="00B835BA"/>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968"/>
    <w:rsid w:val="00C37E3F"/>
    <w:rsid w:val="00C40B43"/>
    <w:rsid w:val="00C41BA7"/>
    <w:rsid w:val="00C41BCF"/>
    <w:rsid w:val="00C420DC"/>
    <w:rsid w:val="00C43297"/>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C4E"/>
    <w:rsid w:val="00CD09B1"/>
    <w:rsid w:val="00CD0CC6"/>
    <w:rsid w:val="00CD152C"/>
    <w:rsid w:val="00CD1ABC"/>
    <w:rsid w:val="00CD1E3E"/>
    <w:rsid w:val="00CD26B6"/>
    <w:rsid w:val="00CD2E36"/>
    <w:rsid w:val="00CD3161"/>
    <w:rsid w:val="00CD352B"/>
    <w:rsid w:val="00CD3813"/>
    <w:rsid w:val="00CD3B54"/>
    <w:rsid w:val="00CD47B5"/>
    <w:rsid w:val="00CD4E6A"/>
    <w:rsid w:val="00CD5386"/>
    <w:rsid w:val="00CD5728"/>
    <w:rsid w:val="00CD5D26"/>
    <w:rsid w:val="00CD60CF"/>
    <w:rsid w:val="00CD63BB"/>
    <w:rsid w:val="00CD784E"/>
    <w:rsid w:val="00CD7E70"/>
    <w:rsid w:val="00CE0C86"/>
    <w:rsid w:val="00CE1789"/>
    <w:rsid w:val="00CE1A92"/>
    <w:rsid w:val="00CE1AC5"/>
    <w:rsid w:val="00CE23A5"/>
    <w:rsid w:val="00CE24DA"/>
    <w:rsid w:val="00CE2990"/>
    <w:rsid w:val="00CE3387"/>
    <w:rsid w:val="00CE4084"/>
    <w:rsid w:val="00CE4A3F"/>
    <w:rsid w:val="00CE4BBD"/>
    <w:rsid w:val="00CE55F3"/>
    <w:rsid w:val="00CE5970"/>
    <w:rsid w:val="00CE66BE"/>
    <w:rsid w:val="00CE6A9F"/>
    <w:rsid w:val="00CE7439"/>
    <w:rsid w:val="00CE7AE0"/>
    <w:rsid w:val="00CF0258"/>
    <w:rsid w:val="00CF0D33"/>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663B"/>
    <w:rsid w:val="00D774F5"/>
    <w:rsid w:val="00D777A9"/>
    <w:rsid w:val="00D77882"/>
    <w:rsid w:val="00D8002C"/>
    <w:rsid w:val="00D803D9"/>
    <w:rsid w:val="00D8094D"/>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57A"/>
    <w:rsid w:val="00DE2A5E"/>
    <w:rsid w:val="00DE2A77"/>
    <w:rsid w:val="00DE3568"/>
    <w:rsid w:val="00DE3871"/>
    <w:rsid w:val="00DE3BA1"/>
    <w:rsid w:val="00DE3CBB"/>
    <w:rsid w:val="00DE4C44"/>
    <w:rsid w:val="00DE5403"/>
    <w:rsid w:val="00DE5C43"/>
    <w:rsid w:val="00DE5E09"/>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CFC"/>
    <w:rsid w:val="00E82F81"/>
    <w:rsid w:val="00E836E0"/>
    <w:rsid w:val="00E85403"/>
    <w:rsid w:val="00E86DB1"/>
    <w:rsid w:val="00E87BB4"/>
    <w:rsid w:val="00E87C24"/>
    <w:rsid w:val="00E90AF2"/>
    <w:rsid w:val="00E90EDE"/>
    <w:rsid w:val="00E9174A"/>
    <w:rsid w:val="00E91A88"/>
    <w:rsid w:val="00E91E31"/>
    <w:rsid w:val="00E922F6"/>
    <w:rsid w:val="00E9264B"/>
    <w:rsid w:val="00E9282B"/>
    <w:rsid w:val="00E9358F"/>
    <w:rsid w:val="00E93F36"/>
    <w:rsid w:val="00E94943"/>
    <w:rsid w:val="00E9523C"/>
    <w:rsid w:val="00E95451"/>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C7B38"/>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897"/>
    <w:rsid w:val="00F56B6A"/>
    <w:rsid w:val="00F57894"/>
    <w:rsid w:val="00F57D13"/>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E5229EE-9B44-4010-880F-CCA7AA785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0E2A52-56B2-42A3-A5E2-D127449A6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321</Words>
  <Characters>1833</Characters>
  <Application>Microsoft Office Word</Application>
  <DocSecurity>0</DocSecurity>
  <Lines>15</Lines>
  <Paragraphs>4</Paragraphs>
  <ScaleCrop>false</ScaleCrop>
  <Company/>
  <LinksUpToDate>false</LinksUpToDate>
  <CharactersWithSpaces>2150</CharactersWithSpaces>
  <SharedDoc>false</SharedDoc>
  <HLinks>
    <vt:vector size="108" baseType="variant">
      <vt:variant>
        <vt:i4>1376304</vt:i4>
      </vt:variant>
      <vt:variant>
        <vt:i4>104</vt:i4>
      </vt:variant>
      <vt:variant>
        <vt:i4>0</vt:i4>
      </vt:variant>
      <vt:variant>
        <vt:i4>5</vt:i4>
      </vt:variant>
      <vt:variant>
        <vt:lpwstr/>
      </vt:variant>
      <vt:variant>
        <vt:lpwstr>_Toc185835771</vt:lpwstr>
      </vt:variant>
      <vt:variant>
        <vt:i4>1376304</vt:i4>
      </vt:variant>
      <vt:variant>
        <vt:i4>98</vt:i4>
      </vt:variant>
      <vt:variant>
        <vt:i4>0</vt:i4>
      </vt:variant>
      <vt:variant>
        <vt:i4>5</vt:i4>
      </vt:variant>
      <vt:variant>
        <vt:lpwstr/>
      </vt:variant>
      <vt:variant>
        <vt:lpwstr>_Toc185835770</vt:lpwstr>
      </vt:variant>
      <vt:variant>
        <vt:i4>1310768</vt:i4>
      </vt:variant>
      <vt:variant>
        <vt:i4>92</vt:i4>
      </vt:variant>
      <vt:variant>
        <vt:i4>0</vt:i4>
      </vt:variant>
      <vt:variant>
        <vt:i4>5</vt:i4>
      </vt:variant>
      <vt:variant>
        <vt:lpwstr/>
      </vt:variant>
      <vt:variant>
        <vt:lpwstr>_Toc185835769</vt:lpwstr>
      </vt:variant>
      <vt:variant>
        <vt:i4>1310768</vt:i4>
      </vt:variant>
      <vt:variant>
        <vt:i4>86</vt:i4>
      </vt:variant>
      <vt:variant>
        <vt:i4>0</vt:i4>
      </vt:variant>
      <vt:variant>
        <vt:i4>5</vt:i4>
      </vt:variant>
      <vt:variant>
        <vt:lpwstr/>
      </vt:variant>
      <vt:variant>
        <vt:lpwstr>_Toc185835768</vt:lpwstr>
      </vt:variant>
      <vt:variant>
        <vt:i4>1310768</vt:i4>
      </vt:variant>
      <vt:variant>
        <vt:i4>80</vt:i4>
      </vt:variant>
      <vt:variant>
        <vt:i4>0</vt:i4>
      </vt:variant>
      <vt:variant>
        <vt:i4>5</vt:i4>
      </vt:variant>
      <vt:variant>
        <vt:lpwstr/>
      </vt:variant>
      <vt:variant>
        <vt:lpwstr>_Toc185835767</vt:lpwstr>
      </vt:variant>
      <vt:variant>
        <vt:i4>1310768</vt:i4>
      </vt:variant>
      <vt:variant>
        <vt:i4>74</vt:i4>
      </vt:variant>
      <vt:variant>
        <vt:i4>0</vt:i4>
      </vt:variant>
      <vt:variant>
        <vt:i4>5</vt:i4>
      </vt:variant>
      <vt:variant>
        <vt:lpwstr/>
      </vt:variant>
      <vt:variant>
        <vt:lpwstr>_Toc185835766</vt:lpwstr>
      </vt:variant>
      <vt:variant>
        <vt:i4>1310768</vt:i4>
      </vt:variant>
      <vt:variant>
        <vt:i4>68</vt:i4>
      </vt:variant>
      <vt:variant>
        <vt:i4>0</vt:i4>
      </vt:variant>
      <vt:variant>
        <vt:i4>5</vt:i4>
      </vt:variant>
      <vt:variant>
        <vt:lpwstr/>
      </vt:variant>
      <vt:variant>
        <vt:lpwstr>_Toc185835765</vt:lpwstr>
      </vt:variant>
      <vt:variant>
        <vt:i4>1310768</vt:i4>
      </vt:variant>
      <vt:variant>
        <vt:i4>62</vt:i4>
      </vt:variant>
      <vt:variant>
        <vt:i4>0</vt:i4>
      </vt:variant>
      <vt:variant>
        <vt:i4>5</vt:i4>
      </vt:variant>
      <vt:variant>
        <vt:lpwstr/>
      </vt:variant>
      <vt:variant>
        <vt:lpwstr>_Toc185835764</vt:lpwstr>
      </vt:variant>
      <vt:variant>
        <vt:i4>1310768</vt:i4>
      </vt:variant>
      <vt:variant>
        <vt:i4>56</vt:i4>
      </vt:variant>
      <vt:variant>
        <vt:i4>0</vt:i4>
      </vt:variant>
      <vt:variant>
        <vt:i4>5</vt:i4>
      </vt:variant>
      <vt:variant>
        <vt:lpwstr/>
      </vt:variant>
      <vt:variant>
        <vt:lpwstr>_Toc185835763</vt:lpwstr>
      </vt:variant>
      <vt:variant>
        <vt:i4>1310768</vt:i4>
      </vt:variant>
      <vt:variant>
        <vt:i4>50</vt:i4>
      </vt:variant>
      <vt:variant>
        <vt:i4>0</vt:i4>
      </vt:variant>
      <vt:variant>
        <vt:i4>5</vt:i4>
      </vt:variant>
      <vt:variant>
        <vt:lpwstr/>
      </vt:variant>
      <vt:variant>
        <vt:lpwstr>_Toc185835762</vt:lpwstr>
      </vt:variant>
      <vt:variant>
        <vt:i4>1310768</vt:i4>
      </vt:variant>
      <vt:variant>
        <vt:i4>44</vt:i4>
      </vt:variant>
      <vt:variant>
        <vt:i4>0</vt:i4>
      </vt:variant>
      <vt:variant>
        <vt:i4>5</vt:i4>
      </vt:variant>
      <vt:variant>
        <vt:lpwstr/>
      </vt:variant>
      <vt:variant>
        <vt:lpwstr>_Toc185835761</vt:lpwstr>
      </vt:variant>
      <vt:variant>
        <vt:i4>1310768</vt:i4>
      </vt:variant>
      <vt:variant>
        <vt:i4>38</vt:i4>
      </vt:variant>
      <vt:variant>
        <vt:i4>0</vt:i4>
      </vt:variant>
      <vt:variant>
        <vt:i4>5</vt:i4>
      </vt:variant>
      <vt:variant>
        <vt:lpwstr/>
      </vt:variant>
      <vt:variant>
        <vt:lpwstr>_Toc185835760</vt:lpwstr>
      </vt:variant>
      <vt:variant>
        <vt:i4>1507376</vt:i4>
      </vt:variant>
      <vt:variant>
        <vt:i4>32</vt:i4>
      </vt:variant>
      <vt:variant>
        <vt:i4>0</vt:i4>
      </vt:variant>
      <vt:variant>
        <vt:i4>5</vt:i4>
      </vt:variant>
      <vt:variant>
        <vt:lpwstr/>
      </vt:variant>
      <vt:variant>
        <vt:lpwstr>_Toc185835759</vt:lpwstr>
      </vt:variant>
      <vt:variant>
        <vt:i4>1507376</vt:i4>
      </vt:variant>
      <vt:variant>
        <vt:i4>26</vt:i4>
      </vt:variant>
      <vt:variant>
        <vt:i4>0</vt:i4>
      </vt:variant>
      <vt:variant>
        <vt:i4>5</vt:i4>
      </vt:variant>
      <vt:variant>
        <vt:lpwstr/>
      </vt:variant>
      <vt:variant>
        <vt:lpwstr>_Toc185835758</vt:lpwstr>
      </vt:variant>
      <vt:variant>
        <vt:i4>1507376</vt:i4>
      </vt:variant>
      <vt:variant>
        <vt:i4>20</vt:i4>
      </vt:variant>
      <vt:variant>
        <vt:i4>0</vt:i4>
      </vt:variant>
      <vt:variant>
        <vt:i4>5</vt:i4>
      </vt:variant>
      <vt:variant>
        <vt:lpwstr/>
      </vt:variant>
      <vt:variant>
        <vt:lpwstr>_Toc185835757</vt:lpwstr>
      </vt:variant>
      <vt:variant>
        <vt:i4>1507376</vt:i4>
      </vt:variant>
      <vt:variant>
        <vt:i4>14</vt:i4>
      </vt:variant>
      <vt:variant>
        <vt:i4>0</vt:i4>
      </vt:variant>
      <vt:variant>
        <vt:i4>5</vt:i4>
      </vt:variant>
      <vt:variant>
        <vt:lpwstr/>
      </vt:variant>
      <vt:variant>
        <vt:lpwstr>_Toc185835756</vt:lpwstr>
      </vt:variant>
      <vt:variant>
        <vt:i4>1507376</vt:i4>
      </vt:variant>
      <vt:variant>
        <vt:i4>8</vt:i4>
      </vt:variant>
      <vt:variant>
        <vt:i4>0</vt:i4>
      </vt:variant>
      <vt:variant>
        <vt:i4>5</vt:i4>
      </vt:variant>
      <vt:variant>
        <vt:lpwstr/>
      </vt:variant>
      <vt:variant>
        <vt:lpwstr>_Toc185835755</vt:lpwstr>
      </vt:variant>
      <vt:variant>
        <vt:i4>1507376</vt:i4>
      </vt:variant>
      <vt:variant>
        <vt:i4>2</vt:i4>
      </vt:variant>
      <vt:variant>
        <vt:i4>0</vt:i4>
      </vt:variant>
      <vt:variant>
        <vt:i4>5</vt:i4>
      </vt:variant>
      <vt:variant>
        <vt:lpwstr/>
      </vt:variant>
      <vt:variant>
        <vt:lpwstr>_Toc185835754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2024-12-23T00:42:00Z</cp:lastPrinted>
  <dcterms:created xsi:type="dcterms:W3CDTF">2024-12-25T06:38:00Z</dcterms:created>
  <dcterms:modified xsi:type="dcterms:W3CDTF">2024-12-25T06:38:00Z</dcterms:modified>
</cp:coreProperties>
</file>