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54D75D" w14:textId="77777777" w:rsidR="00F739F7" w:rsidRPr="00AF7FD3" w:rsidRDefault="00F739F7" w:rsidP="00F470A8">
      <w:pPr>
        <w:overflowPunct w:val="0"/>
        <w:snapToGrid w:val="0"/>
        <w:spacing w:before="214" w:after="214" w:line="440" w:lineRule="atLeast"/>
        <w:jc w:val="center"/>
        <w:textAlignment w:val="auto"/>
        <w:rPr>
          <w:rFonts w:ascii="標楷體" w:eastAsia="標楷體" w:hAnsi="標楷體"/>
          <w:b/>
          <w:spacing w:val="36"/>
          <w:sz w:val="40"/>
          <w:szCs w:val="40"/>
        </w:rPr>
      </w:pPr>
      <w:r w:rsidRPr="00AF7FD3">
        <w:rPr>
          <w:rFonts w:ascii="標楷體" w:eastAsia="標楷體" w:hAnsi="標楷體" w:hint="eastAsia"/>
          <w:b/>
          <w:spacing w:val="36"/>
          <w:sz w:val="40"/>
          <w:szCs w:val="40"/>
        </w:rPr>
        <w:t>立</w:t>
      </w:r>
      <w:r w:rsidRPr="00AF7FD3">
        <w:rPr>
          <w:rFonts w:ascii="標楷體" w:eastAsia="標楷體" w:hAnsi="標楷體"/>
          <w:b/>
          <w:spacing w:val="36"/>
          <w:sz w:val="40"/>
          <w:szCs w:val="40"/>
        </w:rPr>
        <w:t>法院第</w:t>
      </w:r>
      <w:r w:rsidRPr="00AF7FD3">
        <w:rPr>
          <w:rFonts w:ascii="標楷體" w:eastAsia="標楷體" w:hAnsi="標楷體" w:hint="eastAsia"/>
          <w:b/>
          <w:spacing w:val="36"/>
          <w:sz w:val="40"/>
          <w:szCs w:val="40"/>
        </w:rPr>
        <w:t>1</w:t>
      </w:r>
      <w:r w:rsidR="004254C8" w:rsidRPr="00AF7FD3">
        <w:rPr>
          <w:rFonts w:ascii="標楷體" w:eastAsia="標楷體" w:hAnsi="標楷體" w:hint="eastAsia"/>
          <w:b/>
          <w:spacing w:val="36"/>
          <w:sz w:val="40"/>
          <w:szCs w:val="40"/>
        </w:rPr>
        <w:t>1</w:t>
      </w:r>
      <w:r w:rsidRPr="00AF7FD3">
        <w:rPr>
          <w:rFonts w:ascii="標楷體" w:eastAsia="標楷體" w:hAnsi="標楷體"/>
          <w:b/>
          <w:spacing w:val="36"/>
          <w:sz w:val="40"/>
          <w:szCs w:val="40"/>
        </w:rPr>
        <w:t>屆第</w:t>
      </w:r>
      <w:r w:rsidR="001E10F3" w:rsidRPr="00AF7FD3">
        <w:rPr>
          <w:rFonts w:ascii="標楷體" w:eastAsia="標楷體" w:hAnsi="標楷體"/>
          <w:b/>
          <w:spacing w:val="36"/>
          <w:sz w:val="40"/>
          <w:szCs w:val="40"/>
        </w:rPr>
        <w:t>2</w:t>
      </w:r>
      <w:r w:rsidRPr="00AF7FD3">
        <w:rPr>
          <w:rFonts w:ascii="標楷體" w:eastAsia="標楷體" w:hAnsi="標楷體"/>
          <w:b/>
          <w:spacing w:val="36"/>
          <w:sz w:val="40"/>
          <w:szCs w:val="40"/>
        </w:rPr>
        <w:t>會期財政委員會會務報告</w:t>
      </w:r>
    </w:p>
    <w:p w14:paraId="5ED6EC61" w14:textId="77777777" w:rsidR="00F739F7" w:rsidRPr="00AF7FD3" w:rsidRDefault="00F739F7" w:rsidP="00F470A8">
      <w:pPr>
        <w:pStyle w:val="affff"/>
        <w:jc w:val="center"/>
        <w:rPr>
          <w:rFonts w:ascii="標楷體" w:eastAsia="標楷體" w:hAnsi="標楷體"/>
          <w:b/>
          <w:spacing w:val="20"/>
        </w:rPr>
      </w:pPr>
      <w:r w:rsidRPr="00AF7FD3">
        <w:rPr>
          <w:rFonts w:ascii="標楷體" w:eastAsia="標楷體" w:hAnsi="標楷體" w:hint="eastAsia"/>
          <w:b/>
          <w:spacing w:val="20"/>
        </w:rPr>
        <w:t>目     次</w:t>
      </w:r>
    </w:p>
    <w:p w14:paraId="251DDEB3" w14:textId="2C6F46B2" w:rsidR="00EC3B4A" w:rsidRPr="00942C05" w:rsidRDefault="00F739F7" w:rsidP="00F470A8">
      <w:pPr>
        <w:pStyle w:val="11"/>
        <w:tabs>
          <w:tab w:val="right" w:leader="dot" w:pos="9629"/>
        </w:tabs>
        <w:overflowPunct w:val="0"/>
        <w:rPr>
          <w:rFonts w:asciiTheme="minorHAnsi" w:eastAsiaTheme="minorEastAsia" w:hAnsiTheme="minorHAnsi" w:cstheme="minorBidi"/>
          <w:bCs w:val="0"/>
          <w:caps w:val="0"/>
          <w:noProof/>
          <w:kern w:val="2"/>
          <w:sz w:val="32"/>
          <w:szCs w:val="32"/>
        </w:rPr>
      </w:pPr>
      <w:r w:rsidRPr="00464A6F">
        <w:rPr>
          <w:rFonts w:ascii="標楷體" w:eastAsia="標楷體" w:hAnsi="標楷體"/>
          <w:b w:val="0"/>
          <w:color w:val="FF0000"/>
          <w:spacing w:val="36"/>
          <w:sz w:val="40"/>
          <w:szCs w:val="40"/>
        </w:rPr>
        <w:fldChar w:fldCharType="begin"/>
      </w:r>
      <w:r w:rsidRPr="00464A6F">
        <w:rPr>
          <w:rFonts w:ascii="標楷體" w:eastAsia="標楷體" w:hAnsi="標楷體"/>
          <w:b w:val="0"/>
          <w:color w:val="FF0000"/>
          <w:spacing w:val="36"/>
          <w:sz w:val="40"/>
          <w:szCs w:val="40"/>
        </w:rPr>
        <w:instrText xml:space="preserve"> </w:instrText>
      </w:r>
      <w:r w:rsidRPr="00464A6F">
        <w:rPr>
          <w:rFonts w:ascii="標楷體" w:eastAsia="標楷體" w:hAnsi="標楷體" w:hint="eastAsia"/>
          <w:b w:val="0"/>
          <w:color w:val="FF0000"/>
          <w:spacing w:val="36"/>
          <w:sz w:val="40"/>
          <w:szCs w:val="40"/>
        </w:rPr>
        <w:instrText>TOC \o "1-3" \h \z \u</w:instrText>
      </w:r>
      <w:r w:rsidRPr="00464A6F">
        <w:rPr>
          <w:rFonts w:ascii="標楷體" w:eastAsia="標楷體" w:hAnsi="標楷體"/>
          <w:b w:val="0"/>
          <w:color w:val="FF0000"/>
          <w:spacing w:val="36"/>
          <w:sz w:val="40"/>
          <w:szCs w:val="40"/>
        </w:rPr>
        <w:instrText xml:space="preserve"> </w:instrText>
      </w:r>
      <w:r w:rsidRPr="00464A6F">
        <w:rPr>
          <w:rFonts w:ascii="標楷體" w:eastAsia="標楷體" w:hAnsi="標楷體"/>
          <w:b w:val="0"/>
          <w:color w:val="FF0000"/>
          <w:spacing w:val="36"/>
          <w:sz w:val="40"/>
          <w:szCs w:val="40"/>
        </w:rPr>
        <w:fldChar w:fldCharType="separate"/>
      </w:r>
      <w:hyperlink w:anchor="_Toc189487260" w:history="1">
        <w:r w:rsidR="00EC3B4A" w:rsidRPr="00942C05">
          <w:rPr>
            <w:rStyle w:val="af1"/>
            <w:rFonts w:ascii="標楷體" w:eastAsia="標楷體" w:hAnsi="標楷體" w:hint="eastAsia"/>
            <w:noProof/>
            <w:sz w:val="32"/>
            <w:szCs w:val="32"/>
          </w:rPr>
          <w:t>壹、組織及業務簡介</w:t>
        </w:r>
        <w:r w:rsidR="00EC3B4A" w:rsidRPr="00942C05">
          <w:rPr>
            <w:noProof/>
            <w:webHidden/>
            <w:sz w:val="32"/>
            <w:szCs w:val="32"/>
          </w:rPr>
          <w:tab/>
        </w:r>
        <w:r w:rsidR="00EC3B4A" w:rsidRPr="00942C05">
          <w:rPr>
            <w:noProof/>
            <w:webHidden/>
            <w:sz w:val="32"/>
            <w:szCs w:val="32"/>
          </w:rPr>
          <w:fldChar w:fldCharType="begin"/>
        </w:r>
        <w:r w:rsidR="00EC3B4A" w:rsidRPr="00942C05">
          <w:rPr>
            <w:noProof/>
            <w:webHidden/>
            <w:sz w:val="32"/>
            <w:szCs w:val="32"/>
          </w:rPr>
          <w:instrText xml:space="preserve"> PAGEREF _Toc189487260 \h </w:instrText>
        </w:r>
        <w:r w:rsidR="00EC3B4A" w:rsidRPr="00942C05">
          <w:rPr>
            <w:noProof/>
            <w:webHidden/>
            <w:sz w:val="32"/>
            <w:szCs w:val="32"/>
          </w:rPr>
        </w:r>
        <w:r w:rsidR="00EC3B4A" w:rsidRPr="00942C05">
          <w:rPr>
            <w:noProof/>
            <w:webHidden/>
            <w:sz w:val="32"/>
            <w:szCs w:val="32"/>
          </w:rPr>
          <w:fldChar w:fldCharType="separate"/>
        </w:r>
        <w:r w:rsidR="002635BC">
          <w:rPr>
            <w:noProof/>
            <w:webHidden/>
            <w:sz w:val="32"/>
            <w:szCs w:val="32"/>
          </w:rPr>
          <w:t>1</w:t>
        </w:r>
        <w:r w:rsidR="00EC3B4A" w:rsidRPr="00942C05">
          <w:rPr>
            <w:noProof/>
            <w:webHidden/>
            <w:sz w:val="32"/>
            <w:szCs w:val="32"/>
          </w:rPr>
          <w:fldChar w:fldCharType="end"/>
        </w:r>
      </w:hyperlink>
    </w:p>
    <w:p w14:paraId="05F539EB" w14:textId="61C28F65"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61" w:history="1">
        <w:r w:rsidR="00EC3B4A" w:rsidRPr="00942C05">
          <w:rPr>
            <w:rStyle w:val="af1"/>
            <w:rFonts w:hint="eastAsia"/>
            <w:noProof/>
          </w:rPr>
          <w:t>一、組織</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_Toc189487261 \h </w:instrText>
        </w:r>
        <w:r w:rsidR="00EC3B4A" w:rsidRPr="00942C05">
          <w:rPr>
            <w:noProof/>
            <w:webHidden/>
          </w:rPr>
        </w:r>
        <w:r w:rsidR="00EC3B4A" w:rsidRPr="00942C05">
          <w:rPr>
            <w:noProof/>
            <w:webHidden/>
          </w:rPr>
          <w:fldChar w:fldCharType="separate"/>
        </w:r>
        <w:r w:rsidR="002635BC">
          <w:rPr>
            <w:noProof/>
            <w:webHidden/>
          </w:rPr>
          <w:t>1</w:t>
        </w:r>
        <w:r w:rsidR="00EC3B4A" w:rsidRPr="00942C05">
          <w:rPr>
            <w:noProof/>
            <w:webHidden/>
          </w:rPr>
          <w:fldChar w:fldCharType="end"/>
        </w:r>
      </w:hyperlink>
    </w:p>
    <w:p w14:paraId="2BBBAB63" w14:textId="32F1DB9B"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62" w:history="1">
        <w:r w:rsidR="00EC3B4A" w:rsidRPr="00942C05">
          <w:rPr>
            <w:rStyle w:val="af1"/>
            <w:b/>
            <w:noProof/>
          </w:rPr>
          <w:t>(</w:t>
        </w:r>
        <w:r w:rsidR="00EC3B4A" w:rsidRPr="00942C05">
          <w:rPr>
            <w:rStyle w:val="af1"/>
            <w:rFonts w:hint="eastAsia"/>
            <w:b/>
            <w:noProof/>
          </w:rPr>
          <w:t>一</w:t>
        </w:r>
        <w:r w:rsidR="00EC3B4A" w:rsidRPr="00942C05">
          <w:rPr>
            <w:rStyle w:val="af1"/>
            <w:b/>
            <w:noProof/>
          </w:rPr>
          <w:t>)</w:t>
        </w:r>
        <w:r w:rsidR="00EC3B4A" w:rsidRPr="00942C05">
          <w:rPr>
            <w:rStyle w:val="af1"/>
            <w:rFonts w:hint="eastAsia"/>
            <w:b/>
            <w:noProof/>
          </w:rPr>
          <w:t>本會期本會委員</w:t>
        </w:r>
        <w:r w:rsidR="00EC3B4A" w:rsidRPr="00942C05">
          <w:rPr>
            <w:rStyle w:val="af1"/>
            <w:b/>
            <w:noProof/>
          </w:rPr>
          <w:t>(14</w:t>
        </w:r>
        <w:r w:rsidR="00EC3B4A" w:rsidRPr="00942C05">
          <w:rPr>
            <w:rStyle w:val="af1"/>
            <w:rFonts w:hint="eastAsia"/>
            <w:b/>
            <w:noProof/>
          </w:rPr>
          <w:t>人</w:t>
        </w:r>
        <w:r w:rsidR="00EC3B4A" w:rsidRPr="00942C05">
          <w:rPr>
            <w:rStyle w:val="af1"/>
            <w:b/>
            <w:noProof/>
          </w:rPr>
          <w:t>)</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_Toc189487262 \h </w:instrText>
        </w:r>
        <w:r w:rsidR="00EC3B4A" w:rsidRPr="00942C05">
          <w:rPr>
            <w:b/>
            <w:noProof/>
            <w:webHidden/>
          </w:rPr>
        </w:r>
        <w:r w:rsidR="00EC3B4A" w:rsidRPr="00942C05">
          <w:rPr>
            <w:b/>
            <w:noProof/>
            <w:webHidden/>
          </w:rPr>
          <w:fldChar w:fldCharType="separate"/>
        </w:r>
        <w:r w:rsidR="002635BC">
          <w:rPr>
            <w:b/>
            <w:noProof/>
            <w:webHidden/>
          </w:rPr>
          <w:t>1</w:t>
        </w:r>
        <w:r w:rsidR="00EC3B4A" w:rsidRPr="00942C05">
          <w:rPr>
            <w:b/>
            <w:noProof/>
            <w:webHidden/>
          </w:rPr>
          <w:fldChar w:fldCharType="end"/>
        </w:r>
      </w:hyperlink>
    </w:p>
    <w:p w14:paraId="59AAC596" w14:textId="41A09781"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63" w:history="1">
        <w:r w:rsidR="00EC3B4A" w:rsidRPr="00942C05">
          <w:rPr>
            <w:rStyle w:val="af1"/>
            <w:b/>
            <w:noProof/>
          </w:rPr>
          <w:t>(</w:t>
        </w:r>
        <w:r w:rsidR="00EC3B4A" w:rsidRPr="00942C05">
          <w:rPr>
            <w:rStyle w:val="af1"/>
            <w:rFonts w:hint="eastAsia"/>
            <w:b/>
            <w:noProof/>
          </w:rPr>
          <w:t>二</w:t>
        </w:r>
        <w:r w:rsidR="00EC3B4A" w:rsidRPr="00942C05">
          <w:rPr>
            <w:rStyle w:val="af1"/>
            <w:b/>
            <w:noProof/>
          </w:rPr>
          <w:t>)</w:t>
        </w:r>
        <w:r w:rsidR="00EC3B4A" w:rsidRPr="00942C05">
          <w:rPr>
            <w:rStyle w:val="af1"/>
            <w:rFonts w:hint="eastAsia"/>
            <w:b/>
            <w:noProof/>
          </w:rPr>
          <w:t>本會期本會召集委員</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_Toc189487263 \h </w:instrText>
        </w:r>
        <w:r w:rsidR="00EC3B4A" w:rsidRPr="00942C05">
          <w:rPr>
            <w:b/>
            <w:noProof/>
            <w:webHidden/>
          </w:rPr>
        </w:r>
        <w:r w:rsidR="00EC3B4A" w:rsidRPr="00942C05">
          <w:rPr>
            <w:b/>
            <w:noProof/>
            <w:webHidden/>
          </w:rPr>
          <w:fldChar w:fldCharType="separate"/>
        </w:r>
        <w:r w:rsidR="002635BC">
          <w:rPr>
            <w:b/>
            <w:noProof/>
            <w:webHidden/>
          </w:rPr>
          <w:t>1</w:t>
        </w:r>
        <w:r w:rsidR="00EC3B4A" w:rsidRPr="00942C05">
          <w:rPr>
            <w:b/>
            <w:noProof/>
            <w:webHidden/>
          </w:rPr>
          <w:fldChar w:fldCharType="end"/>
        </w:r>
      </w:hyperlink>
    </w:p>
    <w:p w14:paraId="076AF66B" w14:textId="7D731232"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64" w:history="1">
        <w:r w:rsidR="00EC3B4A" w:rsidRPr="00942C05">
          <w:rPr>
            <w:rStyle w:val="af1"/>
            <w:b/>
            <w:noProof/>
          </w:rPr>
          <w:t>(</w:t>
        </w:r>
        <w:r w:rsidR="00EC3B4A" w:rsidRPr="00942C05">
          <w:rPr>
            <w:rStyle w:val="af1"/>
            <w:rFonts w:hint="eastAsia"/>
            <w:b/>
            <w:noProof/>
          </w:rPr>
          <w:t>三</w:t>
        </w:r>
        <w:r w:rsidR="00EC3B4A" w:rsidRPr="00942C05">
          <w:rPr>
            <w:rStyle w:val="af1"/>
            <w:b/>
            <w:noProof/>
          </w:rPr>
          <w:t>)</w:t>
        </w:r>
        <w:r w:rsidR="00EC3B4A" w:rsidRPr="00942C05">
          <w:rPr>
            <w:rStyle w:val="af1"/>
            <w:rFonts w:hint="eastAsia"/>
            <w:b/>
            <w:noProof/>
          </w:rPr>
          <w:t>本會期擔任紀律委員會召集委員</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_Toc189487264 \h </w:instrText>
        </w:r>
        <w:r w:rsidR="00EC3B4A" w:rsidRPr="00942C05">
          <w:rPr>
            <w:b/>
            <w:noProof/>
            <w:webHidden/>
          </w:rPr>
        </w:r>
        <w:r w:rsidR="00EC3B4A" w:rsidRPr="00942C05">
          <w:rPr>
            <w:b/>
            <w:noProof/>
            <w:webHidden/>
          </w:rPr>
          <w:fldChar w:fldCharType="separate"/>
        </w:r>
        <w:r w:rsidR="002635BC">
          <w:rPr>
            <w:b/>
            <w:noProof/>
            <w:webHidden/>
          </w:rPr>
          <w:t>1</w:t>
        </w:r>
        <w:r w:rsidR="00EC3B4A" w:rsidRPr="00942C05">
          <w:rPr>
            <w:b/>
            <w:noProof/>
            <w:webHidden/>
          </w:rPr>
          <w:fldChar w:fldCharType="end"/>
        </w:r>
      </w:hyperlink>
    </w:p>
    <w:p w14:paraId="2D7C2211" w14:textId="5B31EEEF"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65" w:history="1">
        <w:r w:rsidR="00EC3B4A" w:rsidRPr="00942C05">
          <w:rPr>
            <w:rStyle w:val="af1"/>
            <w:rFonts w:hint="eastAsia"/>
            <w:noProof/>
          </w:rPr>
          <w:t>二、業務簡介</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_Toc189487265 \h </w:instrText>
        </w:r>
        <w:r w:rsidR="00EC3B4A" w:rsidRPr="00942C05">
          <w:rPr>
            <w:noProof/>
            <w:webHidden/>
          </w:rPr>
        </w:r>
        <w:r w:rsidR="00EC3B4A" w:rsidRPr="00942C05">
          <w:rPr>
            <w:noProof/>
            <w:webHidden/>
          </w:rPr>
          <w:fldChar w:fldCharType="separate"/>
        </w:r>
        <w:r w:rsidR="002635BC">
          <w:rPr>
            <w:noProof/>
            <w:webHidden/>
          </w:rPr>
          <w:t>1</w:t>
        </w:r>
        <w:r w:rsidR="00EC3B4A" w:rsidRPr="00942C05">
          <w:rPr>
            <w:noProof/>
            <w:webHidden/>
          </w:rPr>
          <w:fldChar w:fldCharType="end"/>
        </w:r>
      </w:hyperlink>
    </w:p>
    <w:p w14:paraId="0E33ACB0" w14:textId="3DB20EAA"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66" w:history="1">
        <w:r w:rsidR="00EC3B4A" w:rsidRPr="00942C05">
          <w:rPr>
            <w:rStyle w:val="af1"/>
            <w:b/>
            <w:noProof/>
          </w:rPr>
          <w:t>(</w:t>
        </w:r>
        <w:r w:rsidR="00EC3B4A" w:rsidRPr="00942C05">
          <w:rPr>
            <w:rStyle w:val="af1"/>
            <w:rFonts w:hint="eastAsia"/>
            <w:b/>
            <w:noProof/>
          </w:rPr>
          <w:t>一</w:t>
        </w:r>
        <w:r w:rsidR="00EC3B4A" w:rsidRPr="00942C05">
          <w:rPr>
            <w:rStyle w:val="af1"/>
            <w:b/>
            <w:noProof/>
          </w:rPr>
          <w:t>)</w:t>
        </w:r>
        <w:r w:rsidR="00EC3B4A" w:rsidRPr="00942C05">
          <w:rPr>
            <w:rStyle w:val="af1"/>
            <w:rFonts w:hint="eastAsia"/>
            <w:b/>
            <w:noProof/>
          </w:rPr>
          <w:t>依據</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_Toc189487266 \h </w:instrText>
        </w:r>
        <w:r w:rsidR="00EC3B4A" w:rsidRPr="00942C05">
          <w:rPr>
            <w:b/>
            <w:noProof/>
            <w:webHidden/>
          </w:rPr>
        </w:r>
        <w:r w:rsidR="00EC3B4A" w:rsidRPr="00942C05">
          <w:rPr>
            <w:b/>
            <w:noProof/>
            <w:webHidden/>
          </w:rPr>
          <w:fldChar w:fldCharType="separate"/>
        </w:r>
        <w:r w:rsidR="002635BC">
          <w:rPr>
            <w:b/>
            <w:noProof/>
            <w:webHidden/>
          </w:rPr>
          <w:t>1</w:t>
        </w:r>
        <w:r w:rsidR="00EC3B4A" w:rsidRPr="00942C05">
          <w:rPr>
            <w:b/>
            <w:noProof/>
            <w:webHidden/>
          </w:rPr>
          <w:fldChar w:fldCharType="end"/>
        </w:r>
      </w:hyperlink>
    </w:p>
    <w:p w14:paraId="6F748C7D" w14:textId="7DA4D9D9"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67" w:history="1">
        <w:r w:rsidR="00EC3B4A" w:rsidRPr="00942C05">
          <w:rPr>
            <w:rStyle w:val="af1"/>
            <w:b/>
            <w:noProof/>
          </w:rPr>
          <w:t>(</w:t>
        </w:r>
        <w:r w:rsidR="00EC3B4A" w:rsidRPr="00942C05">
          <w:rPr>
            <w:rStyle w:val="af1"/>
            <w:rFonts w:hint="eastAsia"/>
            <w:b/>
            <w:noProof/>
          </w:rPr>
          <w:t>二</w:t>
        </w:r>
        <w:r w:rsidR="00EC3B4A" w:rsidRPr="00942C05">
          <w:rPr>
            <w:rStyle w:val="af1"/>
            <w:b/>
            <w:noProof/>
          </w:rPr>
          <w:t>)</w:t>
        </w:r>
        <w:r w:rsidR="00EC3B4A" w:rsidRPr="00942C05">
          <w:rPr>
            <w:rStyle w:val="af1"/>
            <w:rFonts w:hint="eastAsia"/>
            <w:b/>
            <w:noProof/>
          </w:rPr>
          <w:t>職掌</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_Toc189487267 \h </w:instrText>
        </w:r>
        <w:r w:rsidR="00EC3B4A" w:rsidRPr="00942C05">
          <w:rPr>
            <w:b/>
            <w:noProof/>
            <w:webHidden/>
          </w:rPr>
        </w:r>
        <w:r w:rsidR="00EC3B4A" w:rsidRPr="00942C05">
          <w:rPr>
            <w:b/>
            <w:noProof/>
            <w:webHidden/>
          </w:rPr>
          <w:fldChar w:fldCharType="separate"/>
        </w:r>
        <w:r w:rsidR="002635BC">
          <w:rPr>
            <w:b/>
            <w:noProof/>
            <w:webHidden/>
          </w:rPr>
          <w:t>1</w:t>
        </w:r>
        <w:r w:rsidR="00EC3B4A" w:rsidRPr="00942C05">
          <w:rPr>
            <w:b/>
            <w:noProof/>
            <w:webHidden/>
          </w:rPr>
          <w:fldChar w:fldCharType="end"/>
        </w:r>
      </w:hyperlink>
    </w:p>
    <w:p w14:paraId="653E8C39" w14:textId="7D9161AB" w:rsidR="00EC3B4A" w:rsidRPr="00942C05" w:rsidRDefault="008B32D4" w:rsidP="00F470A8">
      <w:pPr>
        <w:pStyle w:val="11"/>
        <w:tabs>
          <w:tab w:val="right" w:leader="dot" w:pos="9629"/>
        </w:tabs>
        <w:overflowPunct w:val="0"/>
        <w:rPr>
          <w:rFonts w:asciiTheme="minorHAnsi" w:eastAsiaTheme="minorEastAsia" w:hAnsiTheme="minorHAnsi" w:cstheme="minorBidi"/>
          <w:bCs w:val="0"/>
          <w:caps w:val="0"/>
          <w:noProof/>
          <w:kern w:val="2"/>
          <w:sz w:val="32"/>
          <w:szCs w:val="32"/>
        </w:rPr>
      </w:pPr>
      <w:hyperlink w:anchor="_Toc189487268" w:history="1">
        <w:r w:rsidR="00EC3B4A" w:rsidRPr="00942C05">
          <w:rPr>
            <w:rStyle w:val="af1"/>
            <w:rFonts w:ascii="標楷體" w:eastAsia="標楷體" w:hAnsi="標楷體" w:hint="eastAsia"/>
            <w:noProof/>
            <w:sz w:val="32"/>
            <w:szCs w:val="32"/>
          </w:rPr>
          <w:t>貳、本會期會務概況</w:t>
        </w:r>
        <w:r w:rsidR="00EC3B4A" w:rsidRPr="00942C05">
          <w:rPr>
            <w:noProof/>
            <w:webHidden/>
            <w:sz w:val="32"/>
            <w:szCs w:val="32"/>
          </w:rPr>
          <w:tab/>
        </w:r>
        <w:r w:rsidR="00EC3B4A" w:rsidRPr="00942C05">
          <w:rPr>
            <w:noProof/>
            <w:webHidden/>
            <w:sz w:val="32"/>
            <w:szCs w:val="32"/>
          </w:rPr>
          <w:fldChar w:fldCharType="begin"/>
        </w:r>
        <w:r w:rsidR="00EC3B4A" w:rsidRPr="00942C05">
          <w:rPr>
            <w:noProof/>
            <w:webHidden/>
            <w:sz w:val="32"/>
            <w:szCs w:val="32"/>
          </w:rPr>
          <w:instrText xml:space="preserve"> PAGEREF _Toc189487268 \h </w:instrText>
        </w:r>
        <w:r w:rsidR="00EC3B4A" w:rsidRPr="00942C05">
          <w:rPr>
            <w:noProof/>
            <w:webHidden/>
            <w:sz w:val="32"/>
            <w:szCs w:val="32"/>
          </w:rPr>
        </w:r>
        <w:r w:rsidR="00EC3B4A" w:rsidRPr="00942C05">
          <w:rPr>
            <w:noProof/>
            <w:webHidden/>
            <w:sz w:val="32"/>
            <w:szCs w:val="32"/>
          </w:rPr>
          <w:fldChar w:fldCharType="separate"/>
        </w:r>
        <w:r w:rsidR="002635BC">
          <w:rPr>
            <w:noProof/>
            <w:webHidden/>
            <w:sz w:val="32"/>
            <w:szCs w:val="32"/>
          </w:rPr>
          <w:t>3</w:t>
        </w:r>
        <w:r w:rsidR="00EC3B4A" w:rsidRPr="00942C05">
          <w:rPr>
            <w:noProof/>
            <w:webHidden/>
            <w:sz w:val="32"/>
            <w:szCs w:val="32"/>
          </w:rPr>
          <w:fldChar w:fldCharType="end"/>
        </w:r>
      </w:hyperlink>
    </w:p>
    <w:p w14:paraId="2B964771" w14:textId="7EDA2883"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69" w:history="1">
        <w:r w:rsidR="00EC3B4A" w:rsidRPr="00942C05">
          <w:rPr>
            <w:rStyle w:val="af1"/>
            <w:rFonts w:hint="eastAsia"/>
            <w:noProof/>
          </w:rPr>
          <w:t>一、會務概況一覽表</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_Toc189487269 \h </w:instrText>
        </w:r>
        <w:r w:rsidR="00EC3B4A" w:rsidRPr="00942C05">
          <w:rPr>
            <w:noProof/>
            <w:webHidden/>
          </w:rPr>
        </w:r>
        <w:r w:rsidR="00EC3B4A" w:rsidRPr="00942C05">
          <w:rPr>
            <w:noProof/>
            <w:webHidden/>
          </w:rPr>
          <w:fldChar w:fldCharType="separate"/>
        </w:r>
        <w:r w:rsidR="002635BC">
          <w:rPr>
            <w:noProof/>
            <w:webHidden/>
          </w:rPr>
          <w:t>3</w:t>
        </w:r>
        <w:r w:rsidR="00EC3B4A" w:rsidRPr="00942C05">
          <w:rPr>
            <w:noProof/>
            <w:webHidden/>
          </w:rPr>
          <w:fldChar w:fldCharType="end"/>
        </w:r>
      </w:hyperlink>
    </w:p>
    <w:p w14:paraId="3F3F80A2" w14:textId="50862E01"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70" w:history="1">
        <w:r w:rsidR="00EC3B4A" w:rsidRPr="00942C05">
          <w:rPr>
            <w:rStyle w:val="af1"/>
            <w:rFonts w:hint="eastAsia"/>
            <w:noProof/>
          </w:rPr>
          <w:t>二、公聽會</w:t>
        </w:r>
        <w:r w:rsidR="00EC3B4A" w:rsidRPr="00942C05">
          <w:rPr>
            <w:rStyle w:val="af1"/>
            <w:noProof/>
          </w:rPr>
          <w:t>(1</w:t>
        </w:r>
        <w:r w:rsidR="00EC3B4A" w:rsidRPr="00942C05">
          <w:rPr>
            <w:rStyle w:val="af1"/>
            <w:rFonts w:hint="eastAsia"/>
            <w:noProof/>
          </w:rPr>
          <w:t>次</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_Toc189487270 \h </w:instrText>
        </w:r>
        <w:r w:rsidR="00EC3B4A" w:rsidRPr="00942C05">
          <w:rPr>
            <w:noProof/>
            <w:webHidden/>
          </w:rPr>
        </w:r>
        <w:r w:rsidR="00EC3B4A" w:rsidRPr="00942C05">
          <w:rPr>
            <w:noProof/>
            <w:webHidden/>
          </w:rPr>
          <w:fldChar w:fldCharType="separate"/>
        </w:r>
        <w:r w:rsidR="002635BC">
          <w:rPr>
            <w:noProof/>
            <w:webHidden/>
          </w:rPr>
          <w:t>18</w:t>
        </w:r>
        <w:r w:rsidR="00EC3B4A" w:rsidRPr="00942C05">
          <w:rPr>
            <w:noProof/>
            <w:webHidden/>
          </w:rPr>
          <w:fldChar w:fldCharType="end"/>
        </w:r>
      </w:hyperlink>
    </w:p>
    <w:p w14:paraId="0236A4BE" w14:textId="79AD4895"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71" w:history="1">
        <w:r w:rsidR="00EC3B4A" w:rsidRPr="00942C05">
          <w:rPr>
            <w:rStyle w:val="af1"/>
            <w:rFonts w:hint="eastAsia"/>
            <w:noProof/>
          </w:rPr>
          <w:t>三、考察活動</w:t>
        </w:r>
        <w:r w:rsidR="00EC3B4A" w:rsidRPr="00942C05">
          <w:rPr>
            <w:rStyle w:val="af1"/>
            <w:noProof/>
          </w:rPr>
          <w:t>(10</w:t>
        </w:r>
        <w:r w:rsidR="00EC3B4A" w:rsidRPr="00942C05">
          <w:rPr>
            <w:rStyle w:val="af1"/>
            <w:rFonts w:hint="eastAsia"/>
            <w:noProof/>
          </w:rPr>
          <w:t>次</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_Toc189487271 \h </w:instrText>
        </w:r>
        <w:r w:rsidR="00EC3B4A" w:rsidRPr="00942C05">
          <w:rPr>
            <w:noProof/>
            <w:webHidden/>
          </w:rPr>
        </w:r>
        <w:r w:rsidR="00EC3B4A" w:rsidRPr="00942C05">
          <w:rPr>
            <w:noProof/>
            <w:webHidden/>
          </w:rPr>
          <w:fldChar w:fldCharType="separate"/>
        </w:r>
        <w:r w:rsidR="002635BC">
          <w:rPr>
            <w:noProof/>
            <w:webHidden/>
          </w:rPr>
          <w:t>19</w:t>
        </w:r>
        <w:r w:rsidR="00EC3B4A" w:rsidRPr="00942C05">
          <w:rPr>
            <w:noProof/>
            <w:webHidden/>
          </w:rPr>
          <w:fldChar w:fldCharType="end"/>
        </w:r>
      </w:hyperlink>
    </w:p>
    <w:p w14:paraId="055AB0FE" w14:textId="64EFF6CC"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72" w:history="1">
        <w:r w:rsidR="00EC3B4A" w:rsidRPr="00942C05">
          <w:rPr>
            <w:rStyle w:val="af1"/>
            <w:rFonts w:hint="eastAsia"/>
            <w:noProof/>
          </w:rPr>
          <w:t>四、本會期本會各項議案審竣統計表</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_Toc189487272 \h </w:instrText>
        </w:r>
        <w:r w:rsidR="00EC3B4A" w:rsidRPr="00942C05">
          <w:rPr>
            <w:noProof/>
            <w:webHidden/>
          </w:rPr>
        </w:r>
        <w:r w:rsidR="00EC3B4A" w:rsidRPr="00942C05">
          <w:rPr>
            <w:noProof/>
            <w:webHidden/>
          </w:rPr>
          <w:fldChar w:fldCharType="separate"/>
        </w:r>
        <w:r w:rsidR="002635BC">
          <w:rPr>
            <w:noProof/>
            <w:webHidden/>
          </w:rPr>
          <w:t>28</w:t>
        </w:r>
        <w:r w:rsidR="00EC3B4A" w:rsidRPr="00942C05">
          <w:rPr>
            <w:noProof/>
            <w:webHidden/>
          </w:rPr>
          <w:fldChar w:fldCharType="end"/>
        </w:r>
      </w:hyperlink>
    </w:p>
    <w:p w14:paraId="0344BAF3" w14:textId="63E42723"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73" w:history="1">
        <w:r w:rsidR="00EC3B4A" w:rsidRPr="00942C05">
          <w:rPr>
            <w:rStyle w:val="af1"/>
            <w:rFonts w:hint="eastAsia"/>
            <w:noProof/>
          </w:rPr>
          <w:t>五、各會期各項議案審查結果統計表</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_Toc189487273 \h </w:instrText>
        </w:r>
        <w:r w:rsidR="00EC3B4A" w:rsidRPr="00942C05">
          <w:rPr>
            <w:noProof/>
            <w:webHidden/>
          </w:rPr>
        </w:r>
        <w:r w:rsidR="00EC3B4A" w:rsidRPr="00942C05">
          <w:rPr>
            <w:noProof/>
            <w:webHidden/>
          </w:rPr>
          <w:fldChar w:fldCharType="separate"/>
        </w:r>
        <w:r w:rsidR="002635BC">
          <w:rPr>
            <w:noProof/>
            <w:webHidden/>
          </w:rPr>
          <w:t>29</w:t>
        </w:r>
        <w:r w:rsidR="00EC3B4A" w:rsidRPr="00942C05">
          <w:rPr>
            <w:noProof/>
            <w:webHidden/>
          </w:rPr>
          <w:fldChar w:fldCharType="end"/>
        </w:r>
      </w:hyperlink>
    </w:p>
    <w:p w14:paraId="7EC4A8FF" w14:textId="1DC70FFC" w:rsidR="00EC3B4A" w:rsidRPr="00942C05" w:rsidRDefault="008B32D4" w:rsidP="00F470A8">
      <w:pPr>
        <w:pStyle w:val="11"/>
        <w:tabs>
          <w:tab w:val="right" w:leader="dot" w:pos="9629"/>
        </w:tabs>
        <w:overflowPunct w:val="0"/>
        <w:rPr>
          <w:rFonts w:asciiTheme="minorHAnsi" w:eastAsiaTheme="minorEastAsia" w:hAnsiTheme="minorHAnsi" w:cstheme="minorBidi"/>
          <w:bCs w:val="0"/>
          <w:caps w:val="0"/>
          <w:noProof/>
          <w:kern w:val="2"/>
          <w:sz w:val="32"/>
          <w:szCs w:val="32"/>
        </w:rPr>
      </w:pPr>
      <w:hyperlink w:anchor="_Toc189487274" w:history="1">
        <w:r w:rsidR="00EC3B4A" w:rsidRPr="00942C05">
          <w:rPr>
            <w:rStyle w:val="af1"/>
            <w:rFonts w:ascii="標楷體" w:eastAsia="標楷體" w:hAnsi="標楷體" w:hint="eastAsia"/>
            <w:noProof/>
            <w:sz w:val="32"/>
            <w:szCs w:val="32"/>
          </w:rPr>
          <w:t>參、本會期審查</w:t>
        </w:r>
        <w:r w:rsidR="00EC3B4A" w:rsidRPr="00942C05">
          <w:rPr>
            <w:rStyle w:val="af1"/>
            <w:rFonts w:ascii="標楷體" w:eastAsia="標楷體" w:hAnsi="標楷體"/>
            <w:noProof/>
            <w:sz w:val="32"/>
            <w:szCs w:val="32"/>
          </w:rPr>
          <w:t>(</w:t>
        </w:r>
        <w:r w:rsidR="00EC3B4A" w:rsidRPr="00942C05">
          <w:rPr>
            <w:rStyle w:val="af1"/>
            <w:rFonts w:ascii="標楷體" w:eastAsia="標楷體" w:hAnsi="標楷體" w:hint="eastAsia"/>
            <w:noProof/>
            <w:sz w:val="32"/>
            <w:szCs w:val="32"/>
          </w:rPr>
          <w:t>處理</w:t>
        </w:r>
        <w:r w:rsidR="00EC3B4A" w:rsidRPr="00942C05">
          <w:rPr>
            <w:rStyle w:val="af1"/>
            <w:rFonts w:ascii="標楷體" w:eastAsia="標楷體" w:hAnsi="標楷體"/>
            <w:noProof/>
            <w:sz w:val="32"/>
            <w:szCs w:val="32"/>
          </w:rPr>
          <w:t>)</w:t>
        </w:r>
        <w:r w:rsidR="00EC3B4A" w:rsidRPr="00942C05">
          <w:rPr>
            <w:rStyle w:val="af1"/>
            <w:rFonts w:ascii="標楷體" w:eastAsia="標楷體" w:hAnsi="標楷體" w:hint="eastAsia"/>
            <w:noProof/>
            <w:sz w:val="32"/>
            <w:szCs w:val="32"/>
          </w:rPr>
          <w:t>完竣議案</w:t>
        </w:r>
        <w:r w:rsidR="00EC3B4A" w:rsidRPr="00942C05">
          <w:rPr>
            <w:rStyle w:val="af1"/>
            <w:rFonts w:ascii="標楷體" w:eastAsia="標楷體" w:hAnsi="標楷體"/>
            <w:noProof/>
            <w:sz w:val="32"/>
            <w:szCs w:val="32"/>
          </w:rPr>
          <w:t>(22</w:t>
        </w:r>
        <w:r w:rsidR="000B177D" w:rsidRPr="00942C05">
          <w:rPr>
            <w:rStyle w:val="af1"/>
            <w:rFonts w:ascii="標楷體" w:eastAsia="標楷體" w:hAnsi="標楷體" w:hint="eastAsia"/>
            <w:noProof/>
            <w:sz w:val="32"/>
            <w:szCs w:val="32"/>
          </w:rPr>
          <w:t>6</w:t>
        </w:r>
        <w:r w:rsidR="00EC3B4A" w:rsidRPr="00942C05">
          <w:rPr>
            <w:rStyle w:val="af1"/>
            <w:rFonts w:ascii="標楷體" w:eastAsia="標楷體" w:hAnsi="標楷體" w:hint="eastAsia"/>
            <w:noProof/>
            <w:sz w:val="32"/>
            <w:szCs w:val="32"/>
          </w:rPr>
          <w:t>案</w:t>
        </w:r>
        <w:r w:rsidR="00EC3B4A" w:rsidRPr="00942C05">
          <w:rPr>
            <w:rStyle w:val="af1"/>
            <w:rFonts w:ascii="標楷體" w:eastAsia="標楷體" w:hAnsi="標楷體"/>
            <w:noProof/>
            <w:sz w:val="32"/>
            <w:szCs w:val="32"/>
          </w:rPr>
          <w:t>)</w:t>
        </w:r>
        <w:r w:rsidR="00EC3B4A" w:rsidRPr="00942C05">
          <w:rPr>
            <w:noProof/>
            <w:webHidden/>
            <w:sz w:val="32"/>
            <w:szCs w:val="32"/>
          </w:rPr>
          <w:tab/>
        </w:r>
        <w:r w:rsidR="00EC3B4A" w:rsidRPr="00942C05">
          <w:rPr>
            <w:noProof/>
            <w:webHidden/>
            <w:sz w:val="32"/>
            <w:szCs w:val="32"/>
          </w:rPr>
          <w:fldChar w:fldCharType="begin"/>
        </w:r>
        <w:r w:rsidR="00EC3B4A" w:rsidRPr="00942C05">
          <w:rPr>
            <w:noProof/>
            <w:webHidden/>
            <w:sz w:val="32"/>
            <w:szCs w:val="32"/>
          </w:rPr>
          <w:instrText xml:space="preserve"> PAGEREF _Toc189487274 \h </w:instrText>
        </w:r>
        <w:r w:rsidR="00EC3B4A" w:rsidRPr="00942C05">
          <w:rPr>
            <w:noProof/>
            <w:webHidden/>
            <w:sz w:val="32"/>
            <w:szCs w:val="32"/>
          </w:rPr>
        </w:r>
        <w:r w:rsidR="00EC3B4A" w:rsidRPr="00942C05">
          <w:rPr>
            <w:noProof/>
            <w:webHidden/>
            <w:sz w:val="32"/>
            <w:szCs w:val="32"/>
          </w:rPr>
          <w:fldChar w:fldCharType="separate"/>
        </w:r>
        <w:r w:rsidR="002635BC">
          <w:rPr>
            <w:noProof/>
            <w:webHidden/>
            <w:sz w:val="32"/>
            <w:szCs w:val="32"/>
          </w:rPr>
          <w:t>30</w:t>
        </w:r>
        <w:r w:rsidR="00EC3B4A" w:rsidRPr="00942C05">
          <w:rPr>
            <w:noProof/>
            <w:webHidden/>
            <w:sz w:val="32"/>
            <w:szCs w:val="32"/>
          </w:rPr>
          <w:fldChar w:fldCharType="end"/>
        </w:r>
      </w:hyperlink>
    </w:p>
    <w:p w14:paraId="59944071" w14:textId="05DD3227"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75" w:history="1">
        <w:r w:rsidR="00EC3B4A" w:rsidRPr="00942C05">
          <w:rPr>
            <w:rStyle w:val="af1"/>
            <w:rFonts w:hint="eastAsia"/>
            <w:noProof/>
          </w:rPr>
          <w:t>一、法律案及本院內規（</w:t>
        </w:r>
        <w:r w:rsidR="00EC3B4A" w:rsidRPr="00942C05">
          <w:rPr>
            <w:rStyle w:val="af1"/>
            <w:noProof/>
          </w:rPr>
          <w:t>53</w:t>
        </w:r>
        <w:r w:rsidR="00EC3B4A" w:rsidRPr="00942C05">
          <w:rPr>
            <w:rStyle w:val="af1"/>
            <w:rFonts w:hint="eastAsia"/>
            <w:noProof/>
          </w:rPr>
          <w:t>案）</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_Toc189487275 \h </w:instrText>
        </w:r>
        <w:r w:rsidR="00EC3B4A" w:rsidRPr="00942C05">
          <w:rPr>
            <w:noProof/>
            <w:webHidden/>
          </w:rPr>
        </w:r>
        <w:r w:rsidR="00EC3B4A" w:rsidRPr="00942C05">
          <w:rPr>
            <w:noProof/>
            <w:webHidden/>
          </w:rPr>
          <w:fldChar w:fldCharType="separate"/>
        </w:r>
        <w:r w:rsidR="002635BC">
          <w:rPr>
            <w:noProof/>
            <w:webHidden/>
          </w:rPr>
          <w:t>30</w:t>
        </w:r>
        <w:r w:rsidR="00EC3B4A" w:rsidRPr="00942C05">
          <w:rPr>
            <w:noProof/>
            <w:webHidden/>
          </w:rPr>
          <w:fldChar w:fldCharType="end"/>
        </w:r>
      </w:hyperlink>
    </w:p>
    <w:p w14:paraId="27791807" w14:textId="682B8BD6"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76" w:history="1">
        <w:r w:rsidR="00EC3B4A" w:rsidRPr="00942C05">
          <w:rPr>
            <w:rStyle w:val="af1"/>
            <w:rFonts w:hint="eastAsia"/>
            <w:noProof/>
          </w:rPr>
          <w:t>二、預算案</w:t>
        </w:r>
        <w:r w:rsidR="00EC3B4A" w:rsidRPr="00942C05">
          <w:rPr>
            <w:rStyle w:val="af1"/>
            <w:noProof/>
          </w:rPr>
          <w:t>(9</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_Toc189487276 \h </w:instrText>
        </w:r>
        <w:r w:rsidR="00EC3B4A" w:rsidRPr="00942C05">
          <w:rPr>
            <w:noProof/>
            <w:webHidden/>
          </w:rPr>
        </w:r>
        <w:r w:rsidR="00EC3B4A" w:rsidRPr="00942C05">
          <w:rPr>
            <w:noProof/>
            <w:webHidden/>
          </w:rPr>
          <w:fldChar w:fldCharType="separate"/>
        </w:r>
        <w:r w:rsidR="002635BC">
          <w:rPr>
            <w:noProof/>
            <w:webHidden/>
          </w:rPr>
          <w:t>37</w:t>
        </w:r>
        <w:r w:rsidR="00EC3B4A" w:rsidRPr="00942C05">
          <w:rPr>
            <w:noProof/>
            <w:webHidden/>
          </w:rPr>
          <w:fldChar w:fldCharType="end"/>
        </w:r>
      </w:hyperlink>
    </w:p>
    <w:p w14:paraId="6B9B8A60" w14:textId="4C1F910A"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77" w:history="1">
        <w:r w:rsidR="00EC3B4A" w:rsidRPr="00942C05">
          <w:rPr>
            <w:rStyle w:val="af1"/>
            <w:b/>
            <w:bCs/>
            <w:noProof/>
          </w:rPr>
          <w:t>(</w:t>
        </w:r>
        <w:r w:rsidR="00EC3B4A" w:rsidRPr="00942C05">
          <w:rPr>
            <w:rStyle w:val="af1"/>
            <w:rFonts w:hint="eastAsia"/>
            <w:b/>
            <w:bCs/>
            <w:noProof/>
          </w:rPr>
          <w:t>一</w:t>
        </w:r>
        <w:r w:rsidR="00EC3B4A" w:rsidRPr="00942C05">
          <w:rPr>
            <w:rStyle w:val="af1"/>
            <w:b/>
            <w:bCs/>
            <w:noProof/>
          </w:rPr>
          <w:t>)</w:t>
        </w:r>
        <w:r w:rsidR="00EC3B4A" w:rsidRPr="00942C05">
          <w:rPr>
            <w:rStyle w:val="af1"/>
            <w:rFonts w:hint="eastAsia"/>
            <w:b/>
            <w:bCs/>
            <w:noProof/>
          </w:rPr>
          <w:t>總預算案</w:t>
        </w:r>
        <w:r w:rsidR="00406B52">
          <w:rPr>
            <w:rStyle w:val="af1"/>
            <w:rFonts w:hint="eastAsia"/>
            <w:b/>
            <w:bCs/>
            <w:noProof/>
          </w:rPr>
          <w:t>、</w:t>
        </w:r>
        <w:r w:rsidR="00EC3B4A" w:rsidRPr="00942C05">
          <w:rPr>
            <w:rStyle w:val="af1"/>
            <w:rFonts w:hint="eastAsia"/>
            <w:b/>
            <w:bCs/>
            <w:noProof/>
          </w:rPr>
          <w:t>特別預算</w:t>
        </w:r>
        <w:r w:rsidR="00406B52">
          <w:rPr>
            <w:rStyle w:val="af1"/>
            <w:rFonts w:hint="eastAsia"/>
            <w:b/>
            <w:bCs/>
            <w:noProof/>
          </w:rPr>
          <w:t>案</w:t>
        </w:r>
        <w:r w:rsidR="00EC3B4A" w:rsidRPr="00942C05">
          <w:rPr>
            <w:rStyle w:val="af1"/>
            <w:rFonts w:hint="eastAsia"/>
            <w:b/>
            <w:bCs/>
            <w:noProof/>
          </w:rPr>
          <w:t>及追加預算案</w:t>
        </w:r>
        <w:r w:rsidR="00406B52">
          <w:rPr>
            <w:rStyle w:val="af1"/>
            <w:rFonts w:hint="eastAsia"/>
            <w:b/>
            <w:bCs/>
            <w:noProof/>
          </w:rPr>
          <w:t>(</w:t>
        </w:r>
        <w:r w:rsidR="00EC3B4A" w:rsidRPr="00942C05">
          <w:rPr>
            <w:rStyle w:val="af1"/>
            <w:b/>
            <w:bCs/>
            <w:noProof/>
          </w:rPr>
          <w:t>8</w:t>
        </w:r>
        <w:r w:rsidR="00EC3B4A" w:rsidRPr="00942C05">
          <w:rPr>
            <w:rStyle w:val="af1"/>
            <w:rFonts w:hint="eastAsia"/>
            <w:b/>
            <w:bCs/>
            <w:noProof/>
          </w:rPr>
          <w:t>案）</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_Toc189487277 \h </w:instrText>
        </w:r>
        <w:r w:rsidR="00EC3B4A" w:rsidRPr="00942C05">
          <w:rPr>
            <w:b/>
            <w:noProof/>
            <w:webHidden/>
          </w:rPr>
        </w:r>
        <w:r w:rsidR="00EC3B4A" w:rsidRPr="00942C05">
          <w:rPr>
            <w:b/>
            <w:noProof/>
            <w:webHidden/>
          </w:rPr>
          <w:fldChar w:fldCharType="separate"/>
        </w:r>
        <w:r w:rsidR="002635BC">
          <w:rPr>
            <w:b/>
            <w:noProof/>
            <w:webHidden/>
          </w:rPr>
          <w:t>37</w:t>
        </w:r>
        <w:r w:rsidR="00EC3B4A" w:rsidRPr="00942C05">
          <w:rPr>
            <w:b/>
            <w:noProof/>
            <w:webHidden/>
          </w:rPr>
          <w:fldChar w:fldCharType="end"/>
        </w:r>
      </w:hyperlink>
    </w:p>
    <w:p w14:paraId="491869CE" w14:textId="52D9DC32"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78" w:history="1">
        <w:r w:rsidR="00EC3B4A" w:rsidRPr="00942C05">
          <w:rPr>
            <w:rStyle w:val="af1"/>
            <w:b/>
            <w:bCs/>
            <w:noProof/>
          </w:rPr>
          <w:t>(</w:t>
        </w:r>
        <w:r w:rsidR="00EC3B4A" w:rsidRPr="00942C05">
          <w:rPr>
            <w:rStyle w:val="af1"/>
            <w:rFonts w:hint="eastAsia"/>
            <w:b/>
            <w:bCs/>
            <w:noProof/>
          </w:rPr>
          <w:t>二</w:t>
        </w:r>
        <w:r w:rsidR="00EC3B4A" w:rsidRPr="00942C05">
          <w:rPr>
            <w:rStyle w:val="af1"/>
            <w:b/>
            <w:bCs/>
            <w:noProof/>
          </w:rPr>
          <w:t>)</w:t>
        </w:r>
        <w:r w:rsidR="00EC3B4A" w:rsidRPr="00942C05">
          <w:rPr>
            <w:rStyle w:val="af1"/>
            <w:rFonts w:hint="eastAsia"/>
            <w:b/>
            <w:bCs/>
            <w:noProof/>
          </w:rPr>
          <w:t>財團法人預算案（</w:t>
        </w:r>
        <w:r w:rsidR="00EC3B4A" w:rsidRPr="00942C05">
          <w:rPr>
            <w:rStyle w:val="af1"/>
            <w:b/>
            <w:bCs/>
            <w:noProof/>
          </w:rPr>
          <w:t>1</w:t>
        </w:r>
        <w:r w:rsidR="00EC3B4A" w:rsidRPr="00942C05">
          <w:rPr>
            <w:rStyle w:val="af1"/>
            <w:rFonts w:hint="eastAsia"/>
            <w:b/>
            <w:bCs/>
            <w:noProof/>
          </w:rPr>
          <w:t>案）</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_Toc189487278 \h </w:instrText>
        </w:r>
        <w:r w:rsidR="00EC3B4A" w:rsidRPr="00942C05">
          <w:rPr>
            <w:b/>
            <w:noProof/>
            <w:webHidden/>
          </w:rPr>
        </w:r>
        <w:r w:rsidR="00EC3B4A" w:rsidRPr="00942C05">
          <w:rPr>
            <w:b/>
            <w:noProof/>
            <w:webHidden/>
          </w:rPr>
          <w:fldChar w:fldCharType="separate"/>
        </w:r>
        <w:r w:rsidR="002635BC">
          <w:rPr>
            <w:b/>
            <w:noProof/>
            <w:webHidden/>
          </w:rPr>
          <w:t>41</w:t>
        </w:r>
        <w:r w:rsidR="00EC3B4A" w:rsidRPr="00942C05">
          <w:rPr>
            <w:b/>
            <w:noProof/>
            <w:webHidden/>
          </w:rPr>
          <w:fldChar w:fldCharType="end"/>
        </w:r>
      </w:hyperlink>
    </w:p>
    <w:p w14:paraId="489FD116" w14:textId="01B80C7C"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79" w:history="1">
        <w:r w:rsidR="00EC3B4A" w:rsidRPr="00942C05">
          <w:rPr>
            <w:rStyle w:val="af1"/>
            <w:rFonts w:hint="eastAsia"/>
            <w:noProof/>
          </w:rPr>
          <w:t>三、動支第二預備金案</w:t>
        </w:r>
        <w:r w:rsidR="00EC3B4A" w:rsidRPr="00942C05">
          <w:rPr>
            <w:rStyle w:val="af1"/>
            <w:noProof/>
          </w:rPr>
          <w:t>(7</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_Toc189487279 \h </w:instrText>
        </w:r>
        <w:r w:rsidR="00EC3B4A" w:rsidRPr="00942C05">
          <w:rPr>
            <w:noProof/>
            <w:webHidden/>
          </w:rPr>
        </w:r>
        <w:r w:rsidR="00EC3B4A" w:rsidRPr="00942C05">
          <w:rPr>
            <w:noProof/>
            <w:webHidden/>
          </w:rPr>
          <w:fldChar w:fldCharType="separate"/>
        </w:r>
        <w:r w:rsidR="002635BC">
          <w:rPr>
            <w:noProof/>
            <w:webHidden/>
          </w:rPr>
          <w:t>42</w:t>
        </w:r>
        <w:r w:rsidR="00EC3B4A" w:rsidRPr="00942C05">
          <w:rPr>
            <w:noProof/>
            <w:webHidden/>
          </w:rPr>
          <w:fldChar w:fldCharType="end"/>
        </w:r>
      </w:hyperlink>
    </w:p>
    <w:p w14:paraId="36251D3F" w14:textId="4743C919"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80" w:history="1">
        <w:r w:rsidR="00EC3B4A" w:rsidRPr="00942C05">
          <w:rPr>
            <w:rStyle w:val="af1"/>
            <w:rFonts w:hint="eastAsia"/>
            <w:noProof/>
          </w:rPr>
          <w:t>四、決算案</w:t>
        </w:r>
        <w:r w:rsidR="00EC3B4A" w:rsidRPr="00942C05">
          <w:rPr>
            <w:rStyle w:val="af1"/>
            <w:noProof/>
          </w:rPr>
          <w:t>(4</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_Toc189487280 \h </w:instrText>
        </w:r>
        <w:r w:rsidR="00EC3B4A" w:rsidRPr="00942C05">
          <w:rPr>
            <w:noProof/>
            <w:webHidden/>
          </w:rPr>
        </w:r>
        <w:r w:rsidR="00EC3B4A" w:rsidRPr="00942C05">
          <w:rPr>
            <w:noProof/>
            <w:webHidden/>
          </w:rPr>
          <w:fldChar w:fldCharType="separate"/>
        </w:r>
        <w:r w:rsidR="002635BC">
          <w:rPr>
            <w:noProof/>
            <w:webHidden/>
          </w:rPr>
          <w:t>43</w:t>
        </w:r>
        <w:r w:rsidR="00EC3B4A" w:rsidRPr="00942C05">
          <w:rPr>
            <w:noProof/>
            <w:webHidden/>
          </w:rPr>
          <w:fldChar w:fldCharType="end"/>
        </w:r>
      </w:hyperlink>
    </w:p>
    <w:p w14:paraId="48DFD513" w14:textId="5C708763"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81" w:history="1">
        <w:r w:rsidR="00EC3B4A" w:rsidRPr="00942C05">
          <w:rPr>
            <w:rStyle w:val="af1"/>
            <w:rFonts w:hint="eastAsia"/>
            <w:noProof/>
          </w:rPr>
          <w:t>五、行政命令</w:t>
        </w:r>
        <w:r w:rsidR="00EC3B4A" w:rsidRPr="00942C05">
          <w:rPr>
            <w:rStyle w:val="af1"/>
            <w:noProof/>
          </w:rPr>
          <w:t>(1</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_Toc189487281 \h </w:instrText>
        </w:r>
        <w:r w:rsidR="00EC3B4A" w:rsidRPr="00942C05">
          <w:rPr>
            <w:noProof/>
            <w:webHidden/>
          </w:rPr>
        </w:r>
        <w:r w:rsidR="00EC3B4A" w:rsidRPr="00942C05">
          <w:rPr>
            <w:noProof/>
            <w:webHidden/>
          </w:rPr>
          <w:fldChar w:fldCharType="separate"/>
        </w:r>
        <w:r w:rsidR="002635BC">
          <w:rPr>
            <w:noProof/>
            <w:webHidden/>
          </w:rPr>
          <w:t>44</w:t>
        </w:r>
        <w:r w:rsidR="00EC3B4A" w:rsidRPr="00942C05">
          <w:rPr>
            <w:noProof/>
            <w:webHidden/>
          </w:rPr>
          <w:fldChar w:fldCharType="end"/>
        </w:r>
      </w:hyperlink>
    </w:p>
    <w:p w14:paraId="4DFE15EA" w14:textId="71981E3D"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82" w:history="1">
        <w:r w:rsidR="00EC3B4A" w:rsidRPr="00942C05">
          <w:rPr>
            <w:rStyle w:val="af1"/>
            <w:rFonts w:hint="eastAsia"/>
            <w:bCs/>
            <w:noProof/>
          </w:rPr>
          <w:t>六、預算報告案</w:t>
        </w:r>
        <w:r w:rsidR="00EC3B4A" w:rsidRPr="00942C05">
          <w:rPr>
            <w:rStyle w:val="af1"/>
            <w:bCs/>
            <w:noProof/>
          </w:rPr>
          <w:t>(152</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_Toc189487282 \h </w:instrText>
        </w:r>
        <w:r w:rsidR="00EC3B4A" w:rsidRPr="00942C05">
          <w:rPr>
            <w:noProof/>
            <w:webHidden/>
          </w:rPr>
        </w:r>
        <w:r w:rsidR="00EC3B4A" w:rsidRPr="00942C05">
          <w:rPr>
            <w:noProof/>
            <w:webHidden/>
          </w:rPr>
          <w:fldChar w:fldCharType="separate"/>
        </w:r>
        <w:r w:rsidR="002635BC">
          <w:rPr>
            <w:noProof/>
            <w:webHidden/>
          </w:rPr>
          <w:t>45</w:t>
        </w:r>
        <w:r w:rsidR="00EC3B4A" w:rsidRPr="00942C05">
          <w:rPr>
            <w:noProof/>
            <w:webHidden/>
          </w:rPr>
          <w:fldChar w:fldCharType="end"/>
        </w:r>
      </w:hyperlink>
    </w:p>
    <w:p w14:paraId="279B8DF2" w14:textId="18E02878" w:rsidR="00EC3B4A" w:rsidRPr="00942C05" w:rsidRDefault="008B32D4" w:rsidP="00F470A8">
      <w:pPr>
        <w:pStyle w:val="11"/>
        <w:tabs>
          <w:tab w:val="right" w:leader="dot" w:pos="9629"/>
        </w:tabs>
        <w:overflowPunct w:val="0"/>
        <w:rPr>
          <w:rFonts w:asciiTheme="minorHAnsi" w:eastAsiaTheme="minorEastAsia" w:hAnsiTheme="minorHAnsi" w:cstheme="minorBidi"/>
          <w:bCs w:val="0"/>
          <w:caps w:val="0"/>
          <w:noProof/>
          <w:kern w:val="2"/>
          <w:sz w:val="32"/>
          <w:szCs w:val="32"/>
        </w:rPr>
      </w:pPr>
      <w:hyperlink w:anchor="_Toc189487283" w:history="1">
        <w:r w:rsidR="00EC3B4A" w:rsidRPr="00942C05">
          <w:rPr>
            <w:rStyle w:val="af1"/>
            <w:rFonts w:ascii="標楷體" w:eastAsia="標楷體" w:hAnsi="標楷體" w:hint="eastAsia"/>
            <w:noProof/>
            <w:sz w:val="32"/>
            <w:szCs w:val="32"/>
          </w:rPr>
          <w:t>肆、本會期院會通過之議案</w:t>
        </w:r>
        <w:r w:rsidR="00EC3B4A" w:rsidRPr="00942C05">
          <w:rPr>
            <w:rStyle w:val="af1"/>
            <w:rFonts w:ascii="標楷體" w:eastAsia="標楷體" w:hAnsi="標楷體"/>
            <w:noProof/>
            <w:sz w:val="32"/>
            <w:szCs w:val="32"/>
          </w:rPr>
          <w:t>(</w:t>
        </w:r>
        <w:r w:rsidR="00EC3B4A" w:rsidRPr="00942C05">
          <w:rPr>
            <w:rStyle w:val="af1"/>
            <w:rFonts w:ascii="標楷體" w:eastAsia="標楷體" w:hAnsi="標楷體" w:hint="eastAsia"/>
            <w:noProof/>
            <w:sz w:val="32"/>
            <w:szCs w:val="32"/>
          </w:rPr>
          <w:t>含逕付二讀案</w:t>
        </w:r>
        <w:r w:rsidR="00EC3B4A" w:rsidRPr="00942C05">
          <w:rPr>
            <w:rStyle w:val="af1"/>
            <w:rFonts w:ascii="標楷體" w:eastAsia="標楷體" w:hAnsi="標楷體"/>
            <w:noProof/>
            <w:sz w:val="32"/>
            <w:szCs w:val="32"/>
          </w:rPr>
          <w:t>)(443</w:t>
        </w:r>
        <w:r w:rsidR="00EC3B4A" w:rsidRPr="00942C05">
          <w:rPr>
            <w:rStyle w:val="af1"/>
            <w:rFonts w:ascii="標楷體" w:eastAsia="標楷體" w:hAnsi="標楷體" w:hint="eastAsia"/>
            <w:noProof/>
            <w:sz w:val="32"/>
            <w:szCs w:val="32"/>
          </w:rPr>
          <w:t>案</w:t>
        </w:r>
        <w:r w:rsidR="00EC3B4A" w:rsidRPr="00942C05">
          <w:rPr>
            <w:rStyle w:val="af1"/>
            <w:rFonts w:ascii="標楷體" w:eastAsia="標楷體" w:hAnsi="標楷體"/>
            <w:noProof/>
            <w:sz w:val="32"/>
            <w:szCs w:val="32"/>
          </w:rPr>
          <w:t>)</w:t>
        </w:r>
        <w:r w:rsidR="00EC3B4A" w:rsidRPr="00942C05">
          <w:rPr>
            <w:noProof/>
            <w:webHidden/>
            <w:sz w:val="32"/>
            <w:szCs w:val="32"/>
          </w:rPr>
          <w:tab/>
        </w:r>
        <w:r w:rsidR="00EC3B4A" w:rsidRPr="00942C05">
          <w:rPr>
            <w:noProof/>
            <w:webHidden/>
            <w:sz w:val="32"/>
            <w:szCs w:val="32"/>
          </w:rPr>
          <w:fldChar w:fldCharType="begin"/>
        </w:r>
        <w:r w:rsidR="00EC3B4A" w:rsidRPr="00942C05">
          <w:rPr>
            <w:noProof/>
            <w:webHidden/>
            <w:sz w:val="32"/>
            <w:szCs w:val="32"/>
          </w:rPr>
          <w:instrText xml:space="preserve"> PAGEREF _Toc189487283 \h </w:instrText>
        </w:r>
        <w:r w:rsidR="00EC3B4A" w:rsidRPr="00942C05">
          <w:rPr>
            <w:noProof/>
            <w:webHidden/>
            <w:sz w:val="32"/>
            <w:szCs w:val="32"/>
          </w:rPr>
        </w:r>
        <w:r w:rsidR="00EC3B4A" w:rsidRPr="00942C05">
          <w:rPr>
            <w:noProof/>
            <w:webHidden/>
            <w:sz w:val="32"/>
            <w:szCs w:val="32"/>
          </w:rPr>
          <w:fldChar w:fldCharType="separate"/>
        </w:r>
        <w:r w:rsidR="002635BC">
          <w:rPr>
            <w:noProof/>
            <w:webHidden/>
            <w:sz w:val="32"/>
            <w:szCs w:val="32"/>
          </w:rPr>
          <w:t>59</w:t>
        </w:r>
        <w:r w:rsidR="00EC3B4A" w:rsidRPr="00942C05">
          <w:rPr>
            <w:noProof/>
            <w:webHidden/>
            <w:sz w:val="32"/>
            <w:szCs w:val="32"/>
          </w:rPr>
          <w:fldChar w:fldCharType="end"/>
        </w:r>
      </w:hyperlink>
    </w:p>
    <w:p w14:paraId="15A151E3" w14:textId="60888147"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84" w:history="1">
        <w:r w:rsidR="00EC3B4A" w:rsidRPr="00942C05">
          <w:rPr>
            <w:rStyle w:val="af1"/>
            <w:rFonts w:hint="eastAsia"/>
            <w:bCs/>
            <w:noProof/>
          </w:rPr>
          <w:t>一、法律案及本院內規</w:t>
        </w:r>
        <w:r w:rsidR="00EC3B4A" w:rsidRPr="00942C05">
          <w:rPr>
            <w:rStyle w:val="af1"/>
            <w:bCs/>
            <w:noProof/>
          </w:rPr>
          <w:t>(55</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_Toc189487284 \h </w:instrText>
        </w:r>
        <w:r w:rsidR="00EC3B4A" w:rsidRPr="00942C05">
          <w:rPr>
            <w:noProof/>
            <w:webHidden/>
          </w:rPr>
        </w:r>
        <w:r w:rsidR="00EC3B4A" w:rsidRPr="00942C05">
          <w:rPr>
            <w:noProof/>
            <w:webHidden/>
          </w:rPr>
          <w:fldChar w:fldCharType="separate"/>
        </w:r>
        <w:r w:rsidR="002635BC">
          <w:rPr>
            <w:noProof/>
            <w:webHidden/>
          </w:rPr>
          <w:t>59</w:t>
        </w:r>
        <w:r w:rsidR="00EC3B4A" w:rsidRPr="00942C05">
          <w:rPr>
            <w:noProof/>
            <w:webHidden/>
          </w:rPr>
          <w:fldChar w:fldCharType="end"/>
        </w:r>
      </w:hyperlink>
    </w:p>
    <w:p w14:paraId="68CF2430" w14:textId="44B65BB5"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85" w:history="1">
        <w:r w:rsidR="00EC3B4A" w:rsidRPr="00942C05">
          <w:rPr>
            <w:rStyle w:val="af1"/>
            <w:rFonts w:hint="eastAsia"/>
            <w:bCs/>
            <w:noProof/>
          </w:rPr>
          <w:t>二、預算案</w:t>
        </w:r>
        <w:r w:rsidR="00EC3B4A" w:rsidRPr="00942C05">
          <w:rPr>
            <w:rStyle w:val="af1"/>
            <w:bCs/>
            <w:noProof/>
          </w:rPr>
          <w:t>(14</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_Toc189487285 \h </w:instrText>
        </w:r>
        <w:r w:rsidR="00EC3B4A" w:rsidRPr="00942C05">
          <w:rPr>
            <w:noProof/>
            <w:webHidden/>
          </w:rPr>
        </w:r>
        <w:r w:rsidR="00EC3B4A" w:rsidRPr="00942C05">
          <w:rPr>
            <w:noProof/>
            <w:webHidden/>
          </w:rPr>
          <w:fldChar w:fldCharType="separate"/>
        </w:r>
        <w:r w:rsidR="002635BC">
          <w:rPr>
            <w:noProof/>
            <w:webHidden/>
          </w:rPr>
          <w:t>67</w:t>
        </w:r>
        <w:r w:rsidR="00EC3B4A" w:rsidRPr="00942C05">
          <w:rPr>
            <w:noProof/>
            <w:webHidden/>
          </w:rPr>
          <w:fldChar w:fldCharType="end"/>
        </w:r>
      </w:hyperlink>
    </w:p>
    <w:p w14:paraId="6DAC4483" w14:textId="6190FA2A"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86" w:history="1">
        <w:r w:rsidR="00EC3B4A" w:rsidRPr="00942C05">
          <w:rPr>
            <w:rStyle w:val="af1"/>
            <w:b/>
            <w:bCs/>
            <w:noProof/>
          </w:rPr>
          <w:t>(</w:t>
        </w:r>
        <w:r w:rsidR="00EC3B4A" w:rsidRPr="00942C05">
          <w:rPr>
            <w:rStyle w:val="af1"/>
            <w:rFonts w:hint="eastAsia"/>
            <w:b/>
            <w:bCs/>
            <w:noProof/>
          </w:rPr>
          <w:t>一</w:t>
        </w:r>
        <w:r w:rsidR="00EC3B4A" w:rsidRPr="00942C05">
          <w:rPr>
            <w:rStyle w:val="af1"/>
            <w:b/>
            <w:bCs/>
            <w:noProof/>
          </w:rPr>
          <w:t>)</w:t>
        </w:r>
        <w:r w:rsidR="00EC3B4A" w:rsidRPr="00942C05">
          <w:rPr>
            <w:rStyle w:val="af1"/>
            <w:rFonts w:hint="eastAsia"/>
            <w:b/>
            <w:bCs/>
            <w:noProof/>
          </w:rPr>
          <w:t>總預算案（</w:t>
        </w:r>
        <w:r w:rsidR="00EC3B4A" w:rsidRPr="00942C05">
          <w:rPr>
            <w:rStyle w:val="af1"/>
            <w:b/>
            <w:bCs/>
            <w:noProof/>
          </w:rPr>
          <w:t>7</w:t>
        </w:r>
        <w:r w:rsidR="00EC3B4A" w:rsidRPr="00942C05">
          <w:rPr>
            <w:rStyle w:val="af1"/>
            <w:rFonts w:hint="eastAsia"/>
            <w:b/>
            <w:bCs/>
            <w:noProof/>
          </w:rPr>
          <w:t>案）</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_Toc189487286 \h </w:instrText>
        </w:r>
        <w:r w:rsidR="00EC3B4A" w:rsidRPr="00942C05">
          <w:rPr>
            <w:b/>
            <w:noProof/>
            <w:webHidden/>
          </w:rPr>
        </w:r>
        <w:r w:rsidR="00EC3B4A" w:rsidRPr="00942C05">
          <w:rPr>
            <w:b/>
            <w:noProof/>
            <w:webHidden/>
          </w:rPr>
          <w:fldChar w:fldCharType="separate"/>
        </w:r>
        <w:r w:rsidR="002635BC">
          <w:rPr>
            <w:b/>
            <w:noProof/>
            <w:webHidden/>
          </w:rPr>
          <w:t>67</w:t>
        </w:r>
        <w:r w:rsidR="00EC3B4A" w:rsidRPr="00942C05">
          <w:rPr>
            <w:b/>
            <w:noProof/>
            <w:webHidden/>
          </w:rPr>
          <w:fldChar w:fldCharType="end"/>
        </w:r>
      </w:hyperlink>
    </w:p>
    <w:p w14:paraId="04CD5832" w14:textId="7439711C"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87" w:history="1">
        <w:r w:rsidR="00EC3B4A" w:rsidRPr="00942C05">
          <w:rPr>
            <w:rStyle w:val="af1"/>
            <w:b/>
            <w:bCs/>
            <w:noProof/>
          </w:rPr>
          <w:t>(</w:t>
        </w:r>
        <w:r w:rsidR="00EC3B4A" w:rsidRPr="00942C05">
          <w:rPr>
            <w:rStyle w:val="af1"/>
            <w:rFonts w:hint="eastAsia"/>
            <w:b/>
            <w:bCs/>
            <w:noProof/>
          </w:rPr>
          <w:t>二</w:t>
        </w:r>
        <w:r w:rsidR="00EC3B4A" w:rsidRPr="00942C05">
          <w:rPr>
            <w:rStyle w:val="af1"/>
            <w:b/>
            <w:bCs/>
            <w:noProof/>
          </w:rPr>
          <w:t>)</w:t>
        </w:r>
        <w:r w:rsidR="00EC3B4A" w:rsidRPr="00942C05">
          <w:rPr>
            <w:rStyle w:val="af1"/>
            <w:rFonts w:hint="eastAsia"/>
            <w:b/>
            <w:bCs/>
            <w:noProof/>
          </w:rPr>
          <w:t>財團法人預算案（</w:t>
        </w:r>
        <w:r w:rsidR="00EC3B4A" w:rsidRPr="00942C05">
          <w:rPr>
            <w:rStyle w:val="af1"/>
            <w:b/>
            <w:bCs/>
            <w:noProof/>
          </w:rPr>
          <w:t>6</w:t>
        </w:r>
        <w:r w:rsidR="00EC3B4A" w:rsidRPr="00942C05">
          <w:rPr>
            <w:rStyle w:val="af1"/>
            <w:rFonts w:hint="eastAsia"/>
            <w:b/>
            <w:bCs/>
            <w:noProof/>
          </w:rPr>
          <w:t>案）</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_Toc189487287 \h </w:instrText>
        </w:r>
        <w:r w:rsidR="00EC3B4A" w:rsidRPr="00942C05">
          <w:rPr>
            <w:b/>
            <w:noProof/>
            <w:webHidden/>
          </w:rPr>
        </w:r>
        <w:r w:rsidR="00EC3B4A" w:rsidRPr="00942C05">
          <w:rPr>
            <w:b/>
            <w:noProof/>
            <w:webHidden/>
          </w:rPr>
          <w:fldChar w:fldCharType="separate"/>
        </w:r>
        <w:r w:rsidR="002635BC">
          <w:rPr>
            <w:b/>
            <w:noProof/>
            <w:webHidden/>
          </w:rPr>
          <w:t>71</w:t>
        </w:r>
        <w:r w:rsidR="00EC3B4A" w:rsidRPr="00942C05">
          <w:rPr>
            <w:b/>
            <w:noProof/>
            <w:webHidden/>
          </w:rPr>
          <w:fldChar w:fldCharType="end"/>
        </w:r>
      </w:hyperlink>
    </w:p>
    <w:p w14:paraId="54BD1A5A" w14:textId="757E20EE"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88" w:history="1">
        <w:r w:rsidR="00EC3B4A" w:rsidRPr="00942C05">
          <w:rPr>
            <w:rStyle w:val="af1"/>
            <w:b/>
            <w:bCs/>
            <w:noProof/>
          </w:rPr>
          <w:t>(</w:t>
        </w:r>
        <w:r w:rsidR="00EC3B4A" w:rsidRPr="00942C05">
          <w:rPr>
            <w:rStyle w:val="af1"/>
            <w:rFonts w:hint="eastAsia"/>
            <w:b/>
            <w:bCs/>
            <w:noProof/>
          </w:rPr>
          <w:t>三</w:t>
        </w:r>
        <w:r w:rsidR="00EC3B4A" w:rsidRPr="00942C05">
          <w:rPr>
            <w:rStyle w:val="af1"/>
            <w:b/>
            <w:bCs/>
            <w:noProof/>
          </w:rPr>
          <w:t>)</w:t>
        </w:r>
        <w:r w:rsidR="00EC3B4A" w:rsidRPr="00942C05">
          <w:rPr>
            <w:rStyle w:val="af1"/>
            <w:rFonts w:hint="eastAsia"/>
            <w:b/>
            <w:bCs/>
            <w:noProof/>
          </w:rPr>
          <w:t>預算解凍案</w:t>
        </w:r>
        <w:r w:rsidR="00EC3B4A" w:rsidRPr="00942C05">
          <w:rPr>
            <w:rStyle w:val="af1"/>
            <w:b/>
            <w:bCs/>
            <w:noProof/>
          </w:rPr>
          <w:t>(1</w:t>
        </w:r>
        <w:r w:rsidR="00EC3B4A" w:rsidRPr="00942C05">
          <w:rPr>
            <w:rStyle w:val="af1"/>
            <w:rFonts w:hint="eastAsia"/>
            <w:b/>
            <w:bCs/>
            <w:noProof/>
          </w:rPr>
          <w:t>案</w:t>
        </w:r>
        <w:r w:rsidR="00EC3B4A" w:rsidRPr="00942C05">
          <w:rPr>
            <w:rStyle w:val="af1"/>
            <w:b/>
            <w:bCs/>
            <w:noProof/>
          </w:rPr>
          <w:t>)</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_Toc189487288 \h </w:instrText>
        </w:r>
        <w:r w:rsidR="00EC3B4A" w:rsidRPr="00942C05">
          <w:rPr>
            <w:b/>
            <w:noProof/>
            <w:webHidden/>
          </w:rPr>
        </w:r>
        <w:r w:rsidR="00EC3B4A" w:rsidRPr="00942C05">
          <w:rPr>
            <w:b/>
            <w:noProof/>
            <w:webHidden/>
          </w:rPr>
          <w:fldChar w:fldCharType="separate"/>
        </w:r>
        <w:r w:rsidR="002635BC">
          <w:rPr>
            <w:b/>
            <w:noProof/>
            <w:webHidden/>
          </w:rPr>
          <w:t>73</w:t>
        </w:r>
        <w:r w:rsidR="00EC3B4A" w:rsidRPr="00942C05">
          <w:rPr>
            <w:b/>
            <w:noProof/>
            <w:webHidden/>
          </w:rPr>
          <w:fldChar w:fldCharType="end"/>
        </w:r>
      </w:hyperlink>
    </w:p>
    <w:p w14:paraId="75A8E4A1" w14:textId="722A53EA"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89" w:history="1">
        <w:r w:rsidR="00EC3B4A" w:rsidRPr="00942C05">
          <w:rPr>
            <w:rStyle w:val="af1"/>
            <w:rFonts w:hint="eastAsia"/>
            <w:noProof/>
          </w:rPr>
          <w:t>三、動支第二預備金案</w:t>
        </w:r>
        <w:r w:rsidR="00EC3B4A" w:rsidRPr="00942C05">
          <w:rPr>
            <w:rStyle w:val="af1"/>
            <w:noProof/>
          </w:rPr>
          <w:t>(73</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_Toc189487289 \h </w:instrText>
        </w:r>
        <w:r w:rsidR="00EC3B4A" w:rsidRPr="00942C05">
          <w:rPr>
            <w:noProof/>
            <w:webHidden/>
          </w:rPr>
        </w:r>
        <w:r w:rsidR="00EC3B4A" w:rsidRPr="00942C05">
          <w:rPr>
            <w:noProof/>
            <w:webHidden/>
          </w:rPr>
          <w:fldChar w:fldCharType="separate"/>
        </w:r>
        <w:r w:rsidR="002635BC">
          <w:rPr>
            <w:noProof/>
            <w:webHidden/>
          </w:rPr>
          <w:t>74</w:t>
        </w:r>
        <w:r w:rsidR="00EC3B4A" w:rsidRPr="00942C05">
          <w:rPr>
            <w:noProof/>
            <w:webHidden/>
          </w:rPr>
          <w:fldChar w:fldCharType="end"/>
        </w:r>
      </w:hyperlink>
    </w:p>
    <w:p w14:paraId="6B57F0F1" w14:textId="6B5D11D8"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90" w:history="1">
        <w:r w:rsidR="00EC3B4A" w:rsidRPr="00942C05">
          <w:rPr>
            <w:rStyle w:val="af1"/>
            <w:rFonts w:hint="eastAsia"/>
            <w:noProof/>
          </w:rPr>
          <w:t>四、決算案</w:t>
        </w:r>
        <w:r w:rsidR="00EC3B4A" w:rsidRPr="00942C05">
          <w:rPr>
            <w:rStyle w:val="af1"/>
            <w:noProof/>
          </w:rPr>
          <w:t>(6</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_Toc189487290 \h </w:instrText>
        </w:r>
        <w:r w:rsidR="00EC3B4A" w:rsidRPr="00942C05">
          <w:rPr>
            <w:noProof/>
            <w:webHidden/>
          </w:rPr>
        </w:r>
        <w:r w:rsidR="00EC3B4A" w:rsidRPr="00942C05">
          <w:rPr>
            <w:noProof/>
            <w:webHidden/>
          </w:rPr>
          <w:fldChar w:fldCharType="separate"/>
        </w:r>
        <w:r w:rsidR="002635BC">
          <w:rPr>
            <w:noProof/>
            <w:webHidden/>
          </w:rPr>
          <w:t>85</w:t>
        </w:r>
        <w:r w:rsidR="00EC3B4A" w:rsidRPr="00942C05">
          <w:rPr>
            <w:noProof/>
            <w:webHidden/>
          </w:rPr>
          <w:fldChar w:fldCharType="end"/>
        </w:r>
      </w:hyperlink>
    </w:p>
    <w:p w14:paraId="27C34284" w14:textId="62023308"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91" w:history="1">
        <w:r w:rsidR="00EC3B4A" w:rsidRPr="00942C05">
          <w:rPr>
            <w:rStyle w:val="af1"/>
            <w:rFonts w:hint="eastAsia"/>
            <w:bCs/>
            <w:noProof/>
          </w:rPr>
          <w:t>五、行政命令案</w:t>
        </w:r>
        <w:r w:rsidR="00EC3B4A" w:rsidRPr="00942C05">
          <w:rPr>
            <w:rStyle w:val="af1"/>
            <w:bCs/>
            <w:noProof/>
          </w:rPr>
          <w:t>(61</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_Toc189487291 \h </w:instrText>
        </w:r>
        <w:r w:rsidR="00EC3B4A" w:rsidRPr="00942C05">
          <w:rPr>
            <w:noProof/>
            <w:webHidden/>
          </w:rPr>
        </w:r>
        <w:r w:rsidR="00EC3B4A" w:rsidRPr="00942C05">
          <w:rPr>
            <w:noProof/>
            <w:webHidden/>
          </w:rPr>
          <w:fldChar w:fldCharType="separate"/>
        </w:r>
        <w:r w:rsidR="002635BC">
          <w:rPr>
            <w:noProof/>
            <w:webHidden/>
          </w:rPr>
          <w:t>87</w:t>
        </w:r>
        <w:r w:rsidR="00EC3B4A" w:rsidRPr="00942C05">
          <w:rPr>
            <w:noProof/>
            <w:webHidden/>
          </w:rPr>
          <w:fldChar w:fldCharType="end"/>
        </w:r>
      </w:hyperlink>
    </w:p>
    <w:p w14:paraId="08DB8A43" w14:textId="299A27F3"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92" w:history="1">
        <w:r w:rsidR="00EC3B4A" w:rsidRPr="00942C05">
          <w:rPr>
            <w:rStyle w:val="af1"/>
            <w:rFonts w:hint="eastAsia"/>
            <w:bCs/>
            <w:noProof/>
          </w:rPr>
          <w:t>六、</w:t>
        </w:r>
        <w:r w:rsidR="002E68D5">
          <w:rPr>
            <w:rStyle w:val="af1"/>
            <w:rFonts w:hint="eastAsia"/>
            <w:bCs/>
            <w:noProof/>
          </w:rPr>
          <w:t>預算報告</w:t>
        </w:r>
        <w:r w:rsidR="00EC3B4A" w:rsidRPr="00942C05">
          <w:rPr>
            <w:rStyle w:val="af1"/>
            <w:rFonts w:hint="eastAsia"/>
            <w:bCs/>
            <w:noProof/>
          </w:rPr>
          <w:t>案</w:t>
        </w:r>
        <w:r w:rsidR="00EC3B4A" w:rsidRPr="00942C05">
          <w:rPr>
            <w:rStyle w:val="af1"/>
            <w:bCs/>
            <w:noProof/>
          </w:rPr>
          <w:t>(234</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_Toc189487292 \h </w:instrText>
        </w:r>
        <w:r w:rsidR="00EC3B4A" w:rsidRPr="00942C05">
          <w:rPr>
            <w:noProof/>
            <w:webHidden/>
          </w:rPr>
        </w:r>
        <w:r w:rsidR="00EC3B4A" w:rsidRPr="00942C05">
          <w:rPr>
            <w:noProof/>
            <w:webHidden/>
          </w:rPr>
          <w:fldChar w:fldCharType="separate"/>
        </w:r>
        <w:r w:rsidR="002635BC">
          <w:rPr>
            <w:noProof/>
            <w:webHidden/>
          </w:rPr>
          <w:t>94</w:t>
        </w:r>
        <w:r w:rsidR="00EC3B4A" w:rsidRPr="00942C05">
          <w:rPr>
            <w:noProof/>
            <w:webHidden/>
          </w:rPr>
          <w:fldChar w:fldCharType="end"/>
        </w:r>
      </w:hyperlink>
    </w:p>
    <w:p w14:paraId="535EF3D8" w14:textId="5E0AE1C2" w:rsidR="00EC3B4A" w:rsidRPr="00942C05" w:rsidRDefault="008B32D4" w:rsidP="00F470A8">
      <w:pPr>
        <w:pStyle w:val="11"/>
        <w:tabs>
          <w:tab w:val="right" w:leader="dot" w:pos="9629"/>
        </w:tabs>
        <w:overflowPunct w:val="0"/>
        <w:rPr>
          <w:rFonts w:asciiTheme="minorHAnsi" w:eastAsiaTheme="minorEastAsia" w:hAnsiTheme="minorHAnsi" w:cstheme="minorBidi"/>
          <w:bCs w:val="0"/>
          <w:caps w:val="0"/>
          <w:noProof/>
          <w:kern w:val="2"/>
          <w:sz w:val="32"/>
          <w:szCs w:val="32"/>
        </w:rPr>
      </w:pPr>
      <w:hyperlink w:anchor="_Toc189487294" w:history="1">
        <w:r w:rsidR="00EC3B4A" w:rsidRPr="00942C05">
          <w:rPr>
            <w:rStyle w:val="af1"/>
            <w:rFonts w:ascii="標楷體" w:eastAsia="標楷體" w:hAnsi="標楷體" w:hint="eastAsia"/>
            <w:noProof/>
            <w:sz w:val="32"/>
            <w:szCs w:val="32"/>
          </w:rPr>
          <w:t>伍、尚待院會審議之議案</w:t>
        </w:r>
        <w:r w:rsidR="00EC3B4A" w:rsidRPr="00942C05">
          <w:rPr>
            <w:rStyle w:val="af1"/>
            <w:rFonts w:ascii="標楷體" w:eastAsia="標楷體" w:hAnsi="標楷體"/>
            <w:noProof/>
            <w:sz w:val="32"/>
            <w:szCs w:val="32"/>
          </w:rPr>
          <w:t>(</w:t>
        </w:r>
        <w:r w:rsidR="002E68D5">
          <w:rPr>
            <w:rStyle w:val="af1"/>
            <w:rFonts w:ascii="標楷體" w:eastAsia="標楷體" w:hAnsi="標楷體"/>
            <w:noProof/>
            <w:sz w:val="32"/>
            <w:szCs w:val="32"/>
          </w:rPr>
          <w:t>60</w:t>
        </w:r>
        <w:r w:rsidR="00EC3B4A" w:rsidRPr="00942C05">
          <w:rPr>
            <w:rStyle w:val="af1"/>
            <w:rFonts w:ascii="標楷體" w:eastAsia="標楷體" w:hAnsi="標楷體" w:hint="eastAsia"/>
            <w:noProof/>
            <w:sz w:val="32"/>
            <w:szCs w:val="32"/>
          </w:rPr>
          <w:t>案</w:t>
        </w:r>
        <w:r w:rsidR="00EC3B4A" w:rsidRPr="00942C05">
          <w:rPr>
            <w:rStyle w:val="af1"/>
            <w:rFonts w:ascii="標楷體" w:eastAsia="標楷體" w:hAnsi="標楷體"/>
            <w:noProof/>
            <w:sz w:val="32"/>
            <w:szCs w:val="32"/>
          </w:rPr>
          <w:t>)</w:t>
        </w:r>
        <w:r w:rsidR="00EC3B4A" w:rsidRPr="00942C05">
          <w:rPr>
            <w:noProof/>
            <w:webHidden/>
            <w:sz w:val="32"/>
            <w:szCs w:val="32"/>
          </w:rPr>
          <w:tab/>
        </w:r>
        <w:r w:rsidR="00EC3B4A" w:rsidRPr="00942C05">
          <w:rPr>
            <w:noProof/>
            <w:webHidden/>
            <w:sz w:val="32"/>
            <w:szCs w:val="32"/>
          </w:rPr>
          <w:fldChar w:fldCharType="begin"/>
        </w:r>
        <w:r w:rsidR="00EC3B4A" w:rsidRPr="00942C05">
          <w:rPr>
            <w:noProof/>
            <w:webHidden/>
            <w:sz w:val="32"/>
            <w:szCs w:val="32"/>
          </w:rPr>
          <w:instrText xml:space="preserve"> PAGEREF _Toc189487294 \h </w:instrText>
        </w:r>
        <w:r w:rsidR="00EC3B4A" w:rsidRPr="00942C05">
          <w:rPr>
            <w:noProof/>
            <w:webHidden/>
            <w:sz w:val="32"/>
            <w:szCs w:val="32"/>
          </w:rPr>
        </w:r>
        <w:r w:rsidR="00EC3B4A" w:rsidRPr="00942C05">
          <w:rPr>
            <w:noProof/>
            <w:webHidden/>
            <w:sz w:val="32"/>
            <w:szCs w:val="32"/>
          </w:rPr>
          <w:fldChar w:fldCharType="separate"/>
        </w:r>
        <w:r w:rsidR="002635BC">
          <w:rPr>
            <w:noProof/>
            <w:webHidden/>
            <w:sz w:val="32"/>
            <w:szCs w:val="32"/>
          </w:rPr>
          <w:t>117</w:t>
        </w:r>
        <w:r w:rsidR="00EC3B4A" w:rsidRPr="00942C05">
          <w:rPr>
            <w:noProof/>
            <w:webHidden/>
            <w:sz w:val="32"/>
            <w:szCs w:val="32"/>
          </w:rPr>
          <w:fldChar w:fldCharType="end"/>
        </w:r>
      </w:hyperlink>
    </w:p>
    <w:p w14:paraId="7CBD8F1D" w14:textId="72CC3A06"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95" w:history="1">
        <w:r w:rsidR="00EC3B4A" w:rsidRPr="00942C05">
          <w:rPr>
            <w:rStyle w:val="af1"/>
            <w:rFonts w:hint="eastAsia"/>
            <w:noProof/>
          </w:rPr>
          <w:t>一、法律案及本院內規</w:t>
        </w:r>
        <w:r w:rsidR="00EC3B4A" w:rsidRPr="00942C05">
          <w:rPr>
            <w:rStyle w:val="af1"/>
            <w:noProof/>
          </w:rPr>
          <w:t>(13</w:t>
        </w:r>
        <w:r w:rsidR="00EC3B4A" w:rsidRPr="00942C05">
          <w:rPr>
            <w:rStyle w:val="af1"/>
            <w:rFonts w:hint="eastAsia"/>
            <w:noProof/>
          </w:rPr>
          <w:t>案）</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_Toc189487295 \h </w:instrText>
        </w:r>
        <w:r w:rsidR="00EC3B4A" w:rsidRPr="00942C05">
          <w:rPr>
            <w:noProof/>
            <w:webHidden/>
          </w:rPr>
        </w:r>
        <w:r w:rsidR="00EC3B4A" w:rsidRPr="00942C05">
          <w:rPr>
            <w:noProof/>
            <w:webHidden/>
          </w:rPr>
          <w:fldChar w:fldCharType="separate"/>
        </w:r>
        <w:r w:rsidR="002635BC">
          <w:rPr>
            <w:noProof/>
            <w:webHidden/>
          </w:rPr>
          <w:t>117</w:t>
        </w:r>
        <w:r w:rsidR="00EC3B4A" w:rsidRPr="00942C05">
          <w:rPr>
            <w:noProof/>
            <w:webHidden/>
          </w:rPr>
          <w:fldChar w:fldCharType="end"/>
        </w:r>
      </w:hyperlink>
    </w:p>
    <w:p w14:paraId="0F285016" w14:textId="2AB7848B"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96" w:history="1">
        <w:r w:rsidR="00EC3B4A" w:rsidRPr="00942C05">
          <w:rPr>
            <w:rStyle w:val="af1"/>
            <w:rFonts w:hint="eastAsia"/>
            <w:noProof/>
          </w:rPr>
          <w:t>二、預算案</w:t>
        </w:r>
        <w:r w:rsidR="00EC3B4A" w:rsidRPr="00942C05">
          <w:rPr>
            <w:rStyle w:val="af1"/>
            <w:noProof/>
          </w:rPr>
          <w:t>(</w:t>
        </w:r>
        <w:r w:rsidR="002E68D5">
          <w:rPr>
            <w:rStyle w:val="af1"/>
            <w:noProof/>
          </w:rPr>
          <w:t>10</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_Toc189487296 \h </w:instrText>
        </w:r>
        <w:r w:rsidR="00EC3B4A" w:rsidRPr="00942C05">
          <w:rPr>
            <w:noProof/>
            <w:webHidden/>
          </w:rPr>
        </w:r>
        <w:r w:rsidR="00EC3B4A" w:rsidRPr="00942C05">
          <w:rPr>
            <w:noProof/>
            <w:webHidden/>
          </w:rPr>
          <w:fldChar w:fldCharType="separate"/>
        </w:r>
        <w:r w:rsidR="002635BC">
          <w:rPr>
            <w:noProof/>
            <w:webHidden/>
          </w:rPr>
          <w:t>119</w:t>
        </w:r>
        <w:r w:rsidR="00EC3B4A" w:rsidRPr="00942C05">
          <w:rPr>
            <w:noProof/>
            <w:webHidden/>
          </w:rPr>
          <w:fldChar w:fldCharType="end"/>
        </w:r>
      </w:hyperlink>
    </w:p>
    <w:p w14:paraId="18951BE9" w14:textId="78FC6BAD"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97" w:history="1">
        <w:r w:rsidR="00EC3B4A" w:rsidRPr="00942C05">
          <w:rPr>
            <w:rStyle w:val="af1"/>
            <w:b/>
            <w:bCs/>
            <w:noProof/>
          </w:rPr>
          <w:t>(</w:t>
        </w:r>
        <w:r w:rsidR="00EC3B4A" w:rsidRPr="00942C05">
          <w:rPr>
            <w:rStyle w:val="af1"/>
            <w:rFonts w:hint="eastAsia"/>
            <w:b/>
            <w:bCs/>
            <w:noProof/>
          </w:rPr>
          <w:t>一</w:t>
        </w:r>
        <w:r w:rsidR="00EC3B4A" w:rsidRPr="00942C05">
          <w:rPr>
            <w:rStyle w:val="af1"/>
            <w:b/>
            <w:bCs/>
            <w:noProof/>
          </w:rPr>
          <w:t>)</w:t>
        </w:r>
        <w:r w:rsidR="00406B52" w:rsidRPr="00406B52">
          <w:rPr>
            <w:rStyle w:val="af1"/>
            <w:rFonts w:hint="eastAsia"/>
            <w:b/>
            <w:bCs/>
            <w:noProof/>
          </w:rPr>
          <w:t>總預算案、特別預算案及追加預算案(</w:t>
        </w:r>
        <w:r w:rsidR="002E68D5">
          <w:rPr>
            <w:rStyle w:val="af1"/>
            <w:b/>
            <w:bCs/>
            <w:noProof/>
          </w:rPr>
          <w:t>4</w:t>
        </w:r>
        <w:r w:rsidR="00EC3B4A" w:rsidRPr="00942C05">
          <w:rPr>
            <w:rStyle w:val="af1"/>
            <w:rFonts w:hint="eastAsia"/>
            <w:b/>
            <w:bCs/>
            <w:noProof/>
          </w:rPr>
          <w:t>案</w:t>
        </w:r>
        <w:r w:rsidR="00EC3B4A" w:rsidRPr="00942C05">
          <w:rPr>
            <w:rStyle w:val="af1"/>
            <w:b/>
            <w:bCs/>
            <w:noProof/>
          </w:rPr>
          <w:t>)</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_Toc189487297 \h </w:instrText>
        </w:r>
        <w:r w:rsidR="00EC3B4A" w:rsidRPr="00942C05">
          <w:rPr>
            <w:b/>
            <w:noProof/>
            <w:webHidden/>
          </w:rPr>
        </w:r>
        <w:r w:rsidR="00EC3B4A" w:rsidRPr="00942C05">
          <w:rPr>
            <w:b/>
            <w:noProof/>
            <w:webHidden/>
          </w:rPr>
          <w:fldChar w:fldCharType="separate"/>
        </w:r>
        <w:r w:rsidR="002635BC">
          <w:rPr>
            <w:b/>
            <w:noProof/>
            <w:webHidden/>
          </w:rPr>
          <w:t>119</w:t>
        </w:r>
        <w:r w:rsidR="00EC3B4A" w:rsidRPr="00942C05">
          <w:rPr>
            <w:b/>
            <w:noProof/>
            <w:webHidden/>
          </w:rPr>
          <w:fldChar w:fldCharType="end"/>
        </w:r>
      </w:hyperlink>
    </w:p>
    <w:p w14:paraId="2B5C6ACD" w14:textId="6F4D6C7F"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298" w:history="1">
        <w:r w:rsidR="00EC3B4A" w:rsidRPr="00942C05">
          <w:rPr>
            <w:rStyle w:val="af1"/>
            <w:b/>
            <w:bCs/>
            <w:noProof/>
          </w:rPr>
          <w:t>(</w:t>
        </w:r>
        <w:r w:rsidR="00EC3B4A" w:rsidRPr="00942C05">
          <w:rPr>
            <w:rStyle w:val="af1"/>
            <w:rFonts w:hint="eastAsia"/>
            <w:b/>
            <w:bCs/>
            <w:noProof/>
          </w:rPr>
          <w:t>二</w:t>
        </w:r>
        <w:r w:rsidR="00EC3B4A" w:rsidRPr="00942C05">
          <w:rPr>
            <w:rStyle w:val="af1"/>
            <w:b/>
            <w:bCs/>
            <w:noProof/>
          </w:rPr>
          <w:t>)</w:t>
        </w:r>
        <w:r w:rsidR="00EC3B4A" w:rsidRPr="00942C05">
          <w:rPr>
            <w:rStyle w:val="af1"/>
            <w:rFonts w:hint="eastAsia"/>
            <w:b/>
            <w:bCs/>
            <w:noProof/>
          </w:rPr>
          <w:t>財團法人預算案（</w:t>
        </w:r>
        <w:r w:rsidR="00EC3B4A" w:rsidRPr="00942C05">
          <w:rPr>
            <w:rStyle w:val="af1"/>
            <w:b/>
            <w:bCs/>
            <w:noProof/>
          </w:rPr>
          <w:t>6</w:t>
        </w:r>
        <w:r w:rsidR="00EC3B4A" w:rsidRPr="00942C05">
          <w:rPr>
            <w:rStyle w:val="af1"/>
            <w:rFonts w:hint="eastAsia"/>
            <w:b/>
            <w:bCs/>
            <w:noProof/>
          </w:rPr>
          <w:t>案）</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_Toc189487298 \h </w:instrText>
        </w:r>
        <w:r w:rsidR="00EC3B4A" w:rsidRPr="00942C05">
          <w:rPr>
            <w:b/>
            <w:noProof/>
            <w:webHidden/>
          </w:rPr>
        </w:r>
        <w:r w:rsidR="00EC3B4A" w:rsidRPr="00942C05">
          <w:rPr>
            <w:b/>
            <w:noProof/>
            <w:webHidden/>
          </w:rPr>
          <w:fldChar w:fldCharType="separate"/>
        </w:r>
        <w:r w:rsidR="002635BC">
          <w:rPr>
            <w:b/>
            <w:noProof/>
            <w:webHidden/>
          </w:rPr>
          <w:t>122</w:t>
        </w:r>
        <w:r w:rsidR="00EC3B4A" w:rsidRPr="00942C05">
          <w:rPr>
            <w:b/>
            <w:noProof/>
            <w:webHidden/>
          </w:rPr>
          <w:fldChar w:fldCharType="end"/>
        </w:r>
      </w:hyperlink>
    </w:p>
    <w:p w14:paraId="1379F3F2" w14:textId="55BAC337"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299" w:history="1">
        <w:r w:rsidR="00EC3B4A" w:rsidRPr="00942C05">
          <w:rPr>
            <w:rStyle w:val="af1"/>
            <w:rFonts w:hint="eastAsia"/>
            <w:noProof/>
          </w:rPr>
          <w:t>三、動支第二預備金案</w:t>
        </w:r>
        <w:r w:rsidR="00EC3B4A" w:rsidRPr="00942C05">
          <w:rPr>
            <w:rStyle w:val="af1"/>
            <w:noProof/>
          </w:rPr>
          <w:t>(34</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_Toc189487299 \h </w:instrText>
        </w:r>
        <w:r w:rsidR="00EC3B4A" w:rsidRPr="00942C05">
          <w:rPr>
            <w:noProof/>
            <w:webHidden/>
          </w:rPr>
        </w:r>
        <w:r w:rsidR="00EC3B4A" w:rsidRPr="00942C05">
          <w:rPr>
            <w:noProof/>
            <w:webHidden/>
          </w:rPr>
          <w:fldChar w:fldCharType="separate"/>
        </w:r>
        <w:r w:rsidR="002635BC">
          <w:rPr>
            <w:noProof/>
            <w:webHidden/>
          </w:rPr>
          <w:t>124</w:t>
        </w:r>
        <w:r w:rsidR="00EC3B4A" w:rsidRPr="00942C05">
          <w:rPr>
            <w:noProof/>
            <w:webHidden/>
          </w:rPr>
          <w:fldChar w:fldCharType="end"/>
        </w:r>
      </w:hyperlink>
    </w:p>
    <w:p w14:paraId="48904A9A" w14:textId="40A06E0F"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00" w:history="1">
        <w:r w:rsidR="00EC3B4A" w:rsidRPr="00942C05">
          <w:rPr>
            <w:rStyle w:val="af1"/>
            <w:rFonts w:hint="eastAsia"/>
            <w:noProof/>
          </w:rPr>
          <w:t>四、決算案</w:t>
        </w:r>
        <w:r w:rsidR="00EC3B4A" w:rsidRPr="00942C05">
          <w:rPr>
            <w:rStyle w:val="af1"/>
            <w:noProof/>
          </w:rPr>
          <w:t>(2</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_Toc189487300 \h </w:instrText>
        </w:r>
        <w:r w:rsidR="00EC3B4A" w:rsidRPr="00942C05">
          <w:rPr>
            <w:noProof/>
            <w:webHidden/>
          </w:rPr>
        </w:r>
        <w:r w:rsidR="00EC3B4A" w:rsidRPr="00942C05">
          <w:rPr>
            <w:noProof/>
            <w:webHidden/>
          </w:rPr>
          <w:fldChar w:fldCharType="separate"/>
        </w:r>
        <w:r w:rsidR="002635BC">
          <w:rPr>
            <w:noProof/>
            <w:webHidden/>
          </w:rPr>
          <w:t>130</w:t>
        </w:r>
        <w:r w:rsidR="00EC3B4A" w:rsidRPr="00942C05">
          <w:rPr>
            <w:noProof/>
            <w:webHidden/>
          </w:rPr>
          <w:fldChar w:fldCharType="end"/>
        </w:r>
      </w:hyperlink>
    </w:p>
    <w:p w14:paraId="628ADEEB" w14:textId="6CBBAF78"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01" w:history="1">
        <w:r w:rsidR="00EC3B4A" w:rsidRPr="00942C05">
          <w:rPr>
            <w:rStyle w:val="af1"/>
            <w:rFonts w:hint="eastAsia"/>
            <w:noProof/>
          </w:rPr>
          <w:t>五、</w:t>
        </w:r>
        <w:r w:rsidR="002E68D5">
          <w:rPr>
            <w:rStyle w:val="af1"/>
            <w:rFonts w:hint="eastAsia"/>
            <w:noProof/>
          </w:rPr>
          <w:t>預算報告</w:t>
        </w:r>
        <w:r w:rsidR="00EC3B4A" w:rsidRPr="00942C05">
          <w:rPr>
            <w:rStyle w:val="af1"/>
            <w:rFonts w:hint="eastAsia"/>
            <w:noProof/>
          </w:rPr>
          <w:t>案</w:t>
        </w:r>
        <w:r w:rsidR="00EC3B4A" w:rsidRPr="00942C05">
          <w:rPr>
            <w:rStyle w:val="af1"/>
            <w:noProof/>
          </w:rPr>
          <w:t>(1</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_Toc189487301 \h </w:instrText>
        </w:r>
        <w:r w:rsidR="00EC3B4A" w:rsidRPr="00942C05">
          <w:rPr>
            <w:noProof/>
            <w:webHidden/>
          </w:rPr>
        </w:r>
        <w:r w:rsidR="00EC3B4A" w:rsidRPr="00942C05">
          <w:rPr>
            <w:noProof/>
            <w:webHidden/>
          </w:rPr>
          <w:fldChar w:fldCharType="separate"/>
        </w:r>
        <w:r w:rsidR="002635BC">
          <w:rPr>
            <w:noProof/>
            <w:webHidden/>
          </w:rPr>
          <w:t>131</w:t>
        </w:r>
        <w:r w:rsidR="00EC3B4A" w:rsidRPr="00942C05">
          <w:rPr>
            <w:noProof/>
            <w:webHidden/>
          </w:rPr>
          <w:fldChar w:fldCharType="end"/>
        </w:r>
      </w:hyperlink>
    </w:p>
    <w:p w14:paraId="27BFA49B" w14:textId="0C8C18E6" w:rsidR="00EC3B4A" w:rsidRPr="00942C05" w:rsidRDefault="008B32D4" w:rsidP="00F470A8">
      <w:pPr>
        <w:pStyle w:val="11"/>
        <w:tabs>
          <w:tab w:val="right" w:leader="dot" w:pos="9629"/>
        </w:tabs>
        <w:overflowPunct w:val="0"/>
        <w:rPr>
          <w:rFonts w:asciiTheme="minorHAnsi" w:eastAsiaTheme="minorEastAsia" w:hAnsiTheme="minorHAnsi" w:cstheme="minorBidi"/>
          <w:bCs w:val="0"/>
          <w:caps w:val="0"/>
          <w:noProof/>
          <w:kern w:val="2"/>
          <w:sz w:val="32"/>
          <w:szCs w:val="32"/>
        </w:rPr>
      </w:pPr>
      <w:hyperlink w:anchor="_Toc189487303" w:history="1">
        <w:r w:rsidR="00EC3B4A" w:rsidRPr="00942C05">
          <w:rPr>
            <w:rStyle w:val="af1"/>
            <w:rFonts w:ascii="標楷體" w:eastAsia="標楷體" w:hAnsi="標楷體" w:hint="eastAsia"/>
            <w:noProof/>
            <w:sz w:val="32"/>
            <w:szCs w:val="32"/>
          </w:rPr>
          <w:t>陸、本會待審</w:t>
        </w:r>
        <w:r w:rsidR="00EC3B4A" w:rsidRPr="00942C05">
          <w:rPr>
            <w:rStyle w:val="af1"/>
            <w:rFonts w:ascii="標楷體" w:eastAsia="標楷體" w:hAnsi="標楷體"/>
            <w:noProof/>
            <w:sz w:val="32"/>
            <w:szCs w:val="32"/>
          </w:rPr>
          <w:t>(</w:t>
        </w:r>
        <w:r w:rsidR="00EC3B4A" w:rsidRPr="00942C05">
          <w:rPr>
            <w:rStyle w:val="af1"/>
            <w:rFonts w:ascii="標楷體" w:eastAsia="標楷體" w:hAnsi="標楷體" w:hint="eastAsia"/>
            <w:noProof/>
            <w:sz w:val="32"/>
            <w:szCs w:val="32"/>
          </w:rPr>
          <w:t>處理</w:t>
        </w:r>
        <w:r w:rsidR="00EC3B4A" w:rsidRPr="00942C05">
          <w:rPr>
            <w:rStyle w:val="af1"/>
            <w:rFonts w:ascii="標楷體" w:eastAsia="標楷體" w:hAnsi="標楷體"/>
            <w:noProof/>
            <w:sz w:val="32"/>
            <w:szCs w:val="32"/>
          </w:rPr>
          <w:t>)</w:t>
        </w:r>
        <w:r w:rsidR="00EC3B4A" w:rsidRPr="00942C05">
          <w:rPr>
            <w:rStyle w:val="af1"/>
            <w:rFonts w:ascii="標楷體" w:eastAsia="標楷體" w:hAnsi="標楷體" w:hint="eastAsia"/>
            <w:noProof/>
            <w:sz w:val="32"/>
            <w:szCs w:val="32"/>
          </w:rPr>
          <w:t>之議案</w:t>
        </w:r>
        <w:r w:rsidR="00EC3B4A" w:rsidRPr="00942C05">
          <w:rPr>
            <w:rStyle w:val="af1"/>
            <w:rFonts w:ascii="標楷體" w:eastAsia="標楷體" w:hAnsi="標楷體"/>
            <w:noProof/>
            <w:sz w:val="32"/>
            <w:szCs w:val="32"/>
          </w:rPr>
          <w:t>(1,036</w:t>
        </w:r>
        <w:r w:rsidR="00EC3B4A" w:rsidRPr="00942C05">
          <w:rPr>
            <w:rStyle w:val="af1"/>
            <w:rFonts w:ascii="標楷體" w:eastAsia="標楷體" w:hAnsi="標楷體" w:hint="eastAsia"/>
            <w:noProof/>
            <w:sz w:val="32"/>
            <w:szCs w:val="32"/>
          </w:rPr>
          <w:t>案</w:t>
        </w:r>
        <w:r w:rsidR="00EC3B4A" w:rsidRPr="00942C05">
          <w:rPr>
            <w:rStyle w:val="af1"/>
            <w:rFonts w:ascii="標楷體" w:eastAsia="標楷體" w:hAnsi="標楷體"/>
            <w:noProof/>
            <w:sz w:val="32"/>
            <w:szCs w:val="32"/>
          </w:rPr>
          <w:t>)</w:t>
        </w:r>
        <w:r w:rsidR="00EC3B4A" w:rsidRPr="00942C05">
          <w:rPr>
            <w:noProof/>
            <w:webHidden/>
            <w:sz w:val="32"/>
            <w:szCs w:val="32"/>
          </w:rPr>
          <w:tab/>
        </w:r>
        <w:r w:rsidR="00EC3B4A" w:rsidRPr="00942C05">
          <w:rPr>
            <w:noProof/>
            <w:webHidden/>
            <w:sz w:val="32"/>
            <w:szCs w:val="32"/>
          </w:rPr>
          <w:fldChar w:fldCharType="begin"/>
        </w:r>
        <w:r w:rsidR="00EC3B4A" w:rsidRPr="00942C05">
          <w:rPr>
            <w:noProof/>
            <w:webHidden/>
            <w:sz w:val="32"/>
            <w:szCs w:val="32"/>
          </w:rPr>
          <w:instrText xml:space="preserve"> PAGEREF _Toc189487303 \h </w:instrText>
        </w:r>
        <w:r w:rsidR="00EC3B4A" w:rsidRPr="00942C05">
          <w:rPr>
            <w:noProof/>
            <w:webHidden/>
            <w:sz w:val="32"/>
            <w:szCs w:val="32"/>
          </w:rPr>
        </w:r>
        <w:r w:rsidR="00EC3B4A" w:rsidRPr="00942C05">
          <w:rPr>
            <w:noProof/>
            <w:webHidden/>
            <w:sz w:val="32"/>
            <w:szCs w:val="32"/>
          </w:rPr>
          <w:fldChar w:fldCharType="separate"/>
        </w:r>
        <w:r w:rsidR="002635BC">
          <w:rPr>
            <w:noProof/>
            <w:webHidden/>
            <w:sz w:val="32"/>
            <w:szCs w:val="32"/>
          </w:rPr>
          <w:t>132</w:t>
        </w:r>
        <w:r w:rsidR="00EC3B4A" w:rsidRPr="00942C05">
          <w:rPr>
            <w:noProof/>
            <w:webHidden/>
            <w:sz w:val="32"/>
            <w:szCs w:val="32"/>
          </w:rPr>
          <w:fldChar w:fldCharType="end"/>
        </w:r>
      </w:hyperlink>
    </w:p>
    <w:p w14:paraId="7E1A9B7B" w14:textId="2B047EAF"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04" w:history="1">
        <w:r w:rsidR="00EC3B4A" w:rsidRPr="00942C05">
          <w:rPr>
            <w:rStyle w:val="af1"/>
            <w:rFonts w:hint="eastAsia"/>
            <w:noProof/>
          </w:rPr>
          <w:t>一、法律案</w:t>
        </w:r>
        <w:r w:rsidR="00EC3B4A" w:rsidRPr="00942C05">
          <w:rPr>
            <w:rStyle w:val="af1"/>
            <w:noProof/>
          </w:rPr>
          <w:t>(203</w:t>
        </w:r>
        <w:r w:rsidR="00EC3B4A" w:rsidRPr="00942C05">
          <w:rPr>
            <w:rStyle w:val="af1"/>
            <w:rFonts w:hint="eastAsia"/>
            <w:noProof/>
          </w:rPr>
          <w:t>案</w:t>
        </w:r>
        <w:r w:rsidR="00EC3B4A" w:rsidRPr="00942C05">
          <w:rPr>
            <w:rStyle w:val="af1"/>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_Toc189487304 \h </w:instrText>
        </w:r>
        <w:r w:rsidR="00EC3B4A" w:rsidRPr="00942C05">
          <w:rPr>
            <w:noProof/>
            <w:webHidden/>
          </w:rPr>
        </w:r>
        <w:r w:rsidR="00EC3B4A" w:rsidRPr="00942C05">
          <w:rPr>
            <w:noProof/>
            <w:webHidden/>
          </w:rPr>
          <w:fldChar w:fldCharType="separate"/>
        </w:r>
        <w:r w:rsidR="002635BC">
          <w:rPr>
            <w:noProof/>
            <w:webHidden/>
          </w:rPr>
          <w:t>132</w:t>
        </w:r>
        <w:r w:rsidR="00EC3B4A" w:rsidRPr="00942C05">
          <w:rPr>
            <w:noProof/>
            <w:webHidden/>
          </w:rPr>
          <w:fldChar w:fldCharType="end"/>
        </w:r>
      </w:hyperlink>
    </w:p>
    <w:p w14:paraId="5DCBC155" w14:textId="5C3525A1"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05" w:history="1">
        <w:r w:rsidR="00EC3B4A" w:rsidRPr="00942C05">
          <w:rPr>
            <w:rStyle w:val="af1"/>
            <w:rFonts w:hint="eastAsia"/>
            <w:noProof/>
          </w:rPr>
          <w:t>二、預算案（</w:t>
        </w:r>
        <w:r w:rsidR="00EC3B4A" w:rsidRPr="00942C05">
          <w:rPr>
            <w:rStyle w:val="af1"/>
            <w:noProof/>
          </w:rPr>
          <w:t>4</w:t>
        </w:r>
        <w:r w:rsidR="00EC3B4A" w:rsidRPr="00942C05">
          <w:rPr>
            <w:rStyle w:val="af1"/>
            <w:rFonts w:hint="eastAsia"/>
            <w:noProof/>
          </w:rPr>
          <w:t>案）</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_Toc189487305 \h </w:instrText>
        </w:r>
        <w:r w:rsidR="00EC3B4A" w:rsidRPr="00942C05">
          <w:rPr>
            <w:noProof/>
            <w:webHidden/>
          </w:rPr>
        </w:r>
        <w:r w:rsidR="00EC3B4A" w:rsidRPr="00942C05">
          <w:rPr>
            <w:noProof/>
            <w:webHidden/>
          </w:rPr>
          <w:fldChar w:fldCharType="separate"/>
        </w:r>
        <w:r w:rsidR="002635BC">
          <w:rPr>
            <w:noProof/>
            <w:webHidden/>
          </w:rPr>
          <w:t>151</w:t>
        </w:r>
        <w:r w:rsidR="00EC3B4A" w:rsidRPr="00942C05">
          <w:rPr>
            <w:noProof/>
            <w:webHidden/>
          </w:rPr>
          <w:fldChar w:fldCharType="end"/>
        </w:r>
      </w:hyperlink>
    </w:p>
    <w:p w14:paraId="6CC4B943" w14:textId="35415E10"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06" w:history="1">
        <w:r w:rsidR="00EC3B4A" w:rsidRPr="00942C05">
          <w:rPr>
            <w:rStyle w:val="af1"/>
            <w:b/>
            <w:bCs/>
            <w:noProof/>
          </w:rPr>
          <w:t>(</w:t>
        </w:r>
        <w:r w:rsidR="00EC3B4A" w:rsidRPr="00942C05">
          <w:rPr>
            <w:rStyle w:val="af1"/>
            <w:rFonts w:hint="eastAsia"/>
            <w:b/>
            <w:bCs/>
            <w:noProof/>
          </w:rPr>
          <w:t>一</w:t>
        </w:r>
        <w:r w:rsidR="00EC3B4A" w:rsidRPr="00942C05">
          <w:rPr>
            <w:rStyle w:val="af1"/>
            <w:b/>
            <w:bCs/>
            <w:noProof/>
          </w:rPr>
          <w:t>)</w:t>
        </w:r>
        <w:r w:rsidR="00EC3B4A" w:rsidRPr="00942C05">
          <w:rPr>
            <w:rStyle w:val="af1"/>
            <w:rFonts w:hint="eastAsia"/>
            <w:b/>
            <w:bCs/>
            <w:noProof/>
          </w:rPr>
          <w:t>總預算案（</w:t>
        </w:r>
        <w:r w:rsidR="00EC3B4A" w:rsidRPr="00942C05">
          <w:rPr>
            <w:rStyle w:val="af1"/>
            <w:b/>
            <w:bCs/>
            <w:noProof/>
          </w:rPr>
          <w:t>1</w:t>
        </w:r>
        <w:r w:rsidR="00EC3B4A" w:rsidRPr="00942C05">
          <w:rPr>
            <w:rStyle w:val="af1"/>
            <w:rFonts w:hint="eastAsia"/>
            <w:b/>
            <w:bCs/>
            <w:noProof/>
          </w:rPr>
          <w:t>案）</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_Toc189487306 \h </w:instrText>
        </w:r>
        <w:r w:rsidR="00EC3B4A" w:rsidRPr="00942C05">
          <w:rPr>
            <w:b/>
            <w:noProof/>
            <w:webHidden/>
          </w:rPr>
        </w:r>
        <w:r w:rsidR="00EC3B4A" w:rsidRPr="00942C05">
          <w:rPr>
            <w:b/>
            <w:noProof/>
            <w:webHidden/>
          </w:rPr>
          <w:fldChar w:fldCharType="separate"/>
        </w:r>
        <w:r w:rsidR="002635BC">
          <w:rPr>
            <w:b/>
            <w:noProof/>
            <w:webHidden/>
          </w:rPr>
          <w:t>151</w:t>
        </w:r>
        <w:r w:rsidR="00EC3B4A" w:rsidRPr="00942C05">
          <w:rPr>
            <w:b/>
            <w:noProof/>
            <w:webHidden/>
          </w:rPr>
          <w:fldChar w:fldCharType="end"/>
        </w:r>
      </w:hyperlink>
    </w:p>
    <w:p w14:paraId="520421F2" w14:textId="66C594B8"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07" w:history="1">
        <w:r w:rsidR="00EC3B4A" w:rsidRPr="00942C05">
          <w:rPr>
            <w:rStyle w:val="af1"/>
            <w:b/>
            <w:bCs/>
            <w:noProof/>
          </w:rPr>
          <w:t>(</w:t>
        </w:r>
        <w:r w:rsidR="00EC3B4A" w:rsidRPr="00942C05">
          <w:rPr>
            <w:rStyle w:val="af1"/>
            <w:rFonts w:hint="eastAsia"/>
            <w:b/>
            <w:bCs/>
            <w:noProof/>
          </w:rPr>
          <w:t>二</w:t>
        </w:r>
        <w:r w:rsidR="00EC3B4A" w:rsidRPr="00942C05">
          <w:rPr>
            <w:rStyle w:val="af1"/>
            <w:b/>
            <w:bCs/>
            <w:noProof/>
          </w:rPr>
          <w:t>)</w:t>
        </w:r>
        <w:r w:rsidR="00EC3B4A" w:rsidRPr="00942C05">
          <w:rPr>
            <w:rStyle w:val="af1"/>
            <w:rFonts w:hint="eastAsia"/>
            <w:b/>
            <w:bCs/>
            <w:noProof/>
          </w:rPr>
          <w:t>財團法人預算案（</w:t>
        </w:r>
        <w:r w:rsidR="00EC3B4A" w:rsidRPr="00942C05">
          <w:rPr>
            <w:rStyle w:val="af1"/>
            <w:b/>
            <w:bCs/>
            <w:noProof/>
          </w:rPr>
          <w:t>3</w:t>
        </w:r>
        <w:r w:rsidR="00EC3B4A" w:rsidRPr="00942C05">
          <w:rPr>
            <w:rStyle w:val="af1"/>
            <w:rFonts w:hint="eastAsia"/>
            <w:b/>
            <w:bCs/>
            <w:noProof/>
          </w:rPr>
          <w:t>案）</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_Toc189487307 \h </w:instrText>
        </w:r>
        <w:r w:rsidR="00EC3B4A" w:rsidRPr="00942C05">
          <w:rPr>
            <w:b/>
            <w:noProof/>
            <w:webHidden/>
          </w:rPr>
        </w:r>
        <w:r w:rsidR="00EC3B4A" w:rsidRPr="00942C05">
          <w:rPr>
            <w:b/>
            <w:noProof/>
            <w:webHidden/>
          </w:rPr>
          <w:fldChar w:fldCharType="separate"/>
        </w:r>
        <w:r w:rsidR="002635BC">
          <w:rPr>
            <w:b/>
            <w:noProof/>
            <w:webHidden/>
          </w:rPr>
          <w:t>152</w:t>
        </w:r>
        <w:r w:rsidR="00EC3B4A" w:rsidRPr="00942C05">
          <w:rPr>
            <w:b/>
            <w:noProof/>
            <w:webHidden/>
          </w:rPr>
          <w:fldChar w:fldCharType="end"/>
        </w:r>
      </w:hyperlink>
    </w:p>
    <w:p w14:paraId="03971C41" w14:textId="76CD1E04"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08" w:history="1">
        <w:r w:rsidR="00EC3B4A" w:rsidRPr="00942C05">
          <w:rPr>
            <w:rStyle w:val="af1"/>
            <w:rFonts w:hint="eastAsia"/>
            <w:bCs/>
            <w:noProof/>
          </w:rPr>
          <w:t>三、動支第二預備金案（</w:t>
        </w:r>
        <w:r w:rsidR="00EC3B4A" w:rsidRPr="00942C05">
          <w:rPr>
            <w:rStyle w:val="af1"/>
            <w:bCs/>
            <w:noProof/>
          </w:rPr>
          <w:t>56</w:t>
        </w:r>
        <w:r w:rsidR="00EC3B4A" w:rsidRPr="00942C05">
          <w:rPr>
            <w:rStyle w:val="af1"/>
            <w:rFonts w:hint="eastAsia"/>
            <w:bCs/>
            <w:noProof/>
          </w:rPr>
          <w:t>案）</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_Toc189487308 \h </w:instrText>
        </w:r>
        <w:r w:rsidR="00EC3B4A" w:rsidRPr="00942C05">
          <w:rPr>
            <w:noProof/>
            <w:webHidden/>
          </w:rPr>
        </w:r>
        <w:r w:rsidR="00EC3B4A" w:rsidRPr="00942C05">
          <w:rPr>
            <w:noProof/>
            <w:webHidden/>
          </w:rPr>
          <w:fldChar w:fldCharType="separate"/>
        </w:r>
        <w:r w:rsidR="002635BC">
          <w:rPr>
            <w:noProof/>
            <w:webHidden/>
          </w:rPr>
          <w:t>153</w:t>
        </w:r>
        <w:r w:rsidR="00EC3B4A" w:rsidRPr="00942C05">
          <w:rPr>
            <w:noProof/>
            <w:webHidden/>
          </w:rPr>
          <w:fldChar w:fldCharType="end"/>
        </w:r>
      </w:hyperlink>
    </w:p>
    <w:p w14:paraId="5723AD33" w14:textId="0A55B4EC"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09" w:history="1">
        <w:r w:rsidR="00EC3B4A" w:rsidRPr="00942C05">
          <w:rPr>
            <w:rStyle w:val="af1"/>
            <w:rFonts w:hint="eastAsia"/>
            <w:bCs/>
            <w:noProof/>
          </w:rPr>
          <w:t>四、決算案</w:t>
        </w:r>
        <w:r w:rsidR="00EC3B4A" w:rsidRPr="00942C05">
          <w:rPr>
            <w:rStyle w:val="af1"/>
            <w:bCs/>
            <w:noProof/>
          </w:rPr>
          <w:t>(5</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_Toc189487309 \h </w:instrText>
        </w:r>
        <w:r w:rsidR="00EC3B4A" w:rsidRPr="00942C05">
          <w:rPr>
            <w:noProof/>
            <w:webHidden/>
          </w:rPr>
        </w:r>
        <w:r w:rsidR="00EC3B4A" w:rsidRPr="00942C05">
          <w:rPr>
            <w:noProof/>
            <w:webHidden/>
          </w:rPr>
          <w:fldChar w:fldCharType="separate"/>
        </w:r>
        <w:r w:rsidR="002635BC">
          <w:rPr>
            <w:noProof/>
            <w:webHidden/>
          </w:rPr>
          <w:t>161</w:t>
        </w:r>
        <w:r w:rsidR="00EC3B4A" w:rsidRPr="00942C05">
          <w:rPr>
            <w:noProof/>
            <w:webHidden/>
          </w:rPr>
          <w:fldChar w:fldCharType="end"/>
        </w:r>
      </w:hyperlink>
    </w:p>
    <w:p w14:paraId="0EB8513A" w14:textId="4DA405C3"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10" w:history="1">
        <w:r w:rsidR="00EC3B4A" w:rsidRPr="00942C05">
          <w:rPr>
            <w:rStyle w:val="af1"/>
            <w:rFonts w:hint="eastAsia"/>
            <w:bCs/>
            <w:noProof/>
          </w:rPr>
          <w:t>五、行政命令</w:t>
        </w:r>
        <w:r w:rsidR="00EC3B4A" w:rsidRPr="00942C05">
          <w:rPr>
            <w:rStyle w:val="af1"/>
            <w:bCs/>
            <w:noProof/>
          </w:rPr>
          <w:t>(21</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_Toc189487310 \h </w:instrText>
        </w:r>
        <w:r w:rsidR="00EC3B4A" w:rsidRPr="00942C05">
          <w:rPr>
            <w:noProof/>
            <w:webHidden/>
          </w:rPr>
        </w:r>
        <w:r w:rsidR="00EC3B4A" w:rsidRPr="00942C05">
          <w:rPr>
            <w:noProof/>
            <w:webHidden/>
          </w:rPr>
          <w:fldChar w:fldCharType="separate"/>
        </w:r>
        <w:r w:rsidR="002635BC">
          <w:rPr>
            <w:noProof/>
            <w:webHidden/>
          </w:rPr>
          <w:t>162</w:t>
        </w:r>
        <w:r w:rsidR="00EC3B4A" w:rsidRPr="00942C05">
          <w:rPr>
            <w:noProof/>
            <w:webHidden/>
          </w:rPr>
          <w:fldChar w:fldCharType="end"/>
        </w:r>
      </w:hyperlink>
    </w:p>
    <w:p w14:paraId="5010CD6D" w14:textId="01E4ACC1"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11" w:history="1">
        <w:r w:rsidR="00EC3B4A" w:rsidRPr="00942C05">
          <w:rPr>
            <w:rStyle w:val="af1"/>
            <w:rFonts w:hint="eastAsia"/>
            <w:bCs/>
            <w:noProof/>
          </w:rPr>
          <w:t>六、預算報告案</w:t>
        </w:r>
        <w:r w:rsidR="00EC3B4A" w:rsidRPr="00942C05">
          <w:rPr>
            <w:rStyle w:val="af1"/>
            <w:bCs/>
            <w:noProof/>
          </w:rPr>
          <w:t>(706</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_Toc189487311 \h </w:instrText>
        </w:r>
        <w:r w:rsidR="00EC3B4A" w:rsidRPr="00942C05">
          <w:rPr>
            <w:noProof/>
            <w:webHidden/>
          </w:rPr>
        </w:r>
        <w:r w:rsidR="00EC3B4A" w:rsidRPr="00942C05">
          <w:rPr>
            <w:noProof/>
            <w:webHidden/>
          </w:rPr>
          <w:fldChar w:fldCharType="separate"/>
        </w:r>
        <w:r w:rsidR="002635BC">
          <w:rPr>
            <w:noProof/>
            <w:webHidden/>
          </w:rPr>
          <w:t>165</w:t>
        </w:r>
        <w:r w:rsidR="00EC3B4A" w:rsidRPr="00942C05">
          <w:rPr>
            <w:noProof/>
            <w:webHidden/>
          </w:rPr>
          <w:fldChar w:fldCharType="end"/>
        </w:r>
      </w:hyperlink>
    </w:p>
    <w:p w14:paraId="2FA5A0A5" w14:textId="4CCD45B9"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12" w:history="1">
        <w:r w:rsidR="00EC3B4A" w:rsidRPr="00942C05">
          <w:rPr>
            <w:rStyle w:val="af1"/>
            <w:rFonts w:hint="eastAsia"/>
            <w:bCs/>
            <w:noProof/>
          </w:rPr>
          <w:t>七、人民請願案</w:t>
        </w:r>
        <w:r w:rsidR="00EC3B4A" w:rsidRPr="00942C05">
          <w:rPr>
            <w:rStyle w:val="af1"/>
            <w:bCs/>
            <w:noProof/>
          </w:rPr>
          <w:t>(41</w:t>
        </w:r>
        <w:r w:rsidR="00EC3B4A" w:rsidRPr="00942C05">
          <w:rPr>
            <w:rStyle w:val="af1"/>
            <w:rFonts w:hint="eastAsia"/>
            <w:bCs/>
            <w:noProof/>
          </w:rPr>
          <w:t>案</w:t>
        </w:r>
        <w:r w:rsidR="00EC3B4A" w:rsidRPr="00942C05">
          <w:rPr>
            <w:rStyle w:val="af1"/>
            <w:bCs/>
            <w:noProof/>
          </w:rPr>
          <w:t>)</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_Toc189487312 \h </w:instrText>
        </w:r>
        <w:r w:rsidR="00EC3B4A" w:rsidRPr="00942C05">
          <w:rPr>
            <w:noProof/>
            <w:webHidden/>
          </w:rPr>
        </w:r>
        <w:r w:rsidR="00EC3B4A" w:rsidRPr="00942C05">
          <w:rPr>
            <w:noProof/>
            <w:webHidden/>
          </w:rPr>
          <w:fldChar w:fldCharType="separate"/>
        </w:r>
        <w:r w:rsidR="002635BC">
          <w:rPr>
            <w:noProof/>
            <w:webHidden/>
          </w:rPr>
          <w:t>229</w:t>
        </w:r>
        <w:r w:rsidR="00EC3B4A" w:rsidRPr="00942C05">
          <w:rPr>
            <w:noProof/>
            <w:webHidden/>
          </w:rPr>
          <w:fldChar w:fldCharType="end"/>
        </w:r>
      </w:hyperlink>
    </w:p>
    <w:p w14:paraId="0010AFD0" w14:textId="558E9171" w:rsidR="00EC3B4A" w:rsidRPr="00942C05" w:rsidRDefault="008B32D4" w:rsidP="00F470A8">
      <w:pPr>
        <w:pStyle w:val="11"/>
        <w:tabs>
          <w:tab w:val="right" w:leader="dot" w:pos="9629"/>
        </w:tabs>
        <w:overflowPunct w:val="0"/>
        <w:rPr>
          <w:rFonts w:asciiTheme="minorHAnsi" w:eastAsiaTheme="minorEastAsia" w:hAnsiTheme="minorHAnsi" w:cstheme="minorBidi"/>
          <w:bCs w:val="0"/>
          <w:caps w:val="0"/>
          <w:noProof/>
          <w:kern w:val="2"/>
          <w:sz w:val="32"/>
          <w:szCs w:val="32"/>
        </w:rPr>
      </w:pPr>
      <w:hyperlink w:anchor="_Toc189487313" w:history="1">
        <w:r w:rsidR="00EC3B4A" w:rsidRPr="00942C05">
          <w:rPr>
            <w:rStyle w:val="af1"/>
            <w:rFonts w:ascii="標楷體" w:eastAsia="標楷體" w:hAnsi="標楷體" w:hint="eastAsia"/>
            <w:noProof/>
            <w:sz w:val="32"/>
            <w:szCs w:val="32"/>
          </w:rPr>
          <w:t>附錄、本會期歷次會議議事錄</w:t>
        </w:r>
        <w:r w:rsidR="00EC3B4A" w:rsidRPr="00942C05">
          <w:rPr>
            <w:noProof/>
            <w:webHidden/>
            <w:sz w:val="32"/>
            <w:szCs w:val="32"/>
          </w:rPr>
          <w:tab/>
        </w:r>
        <w:r w:rsidR="00EC3B4A" w:rsidRPr="00942C05">
          <w:rPr>
            <w:noProof/>
            <w:webHidden/>
            <w:sz w:val="32"/>
            <w:szCs w:val="32"/>
          </w:rPr>
          <w:fldChar w:fldCharType="begin"/>
        </w:r>
        <w:r w:rsidR="00EC3B4A" w:rsidRPr="00942C05">
          <w:rPr>
            <w:noProof/>
            <w:webHidden/>
            <w:sz w:val="32"/>
            <w:szCs w:val="32"/>
          </w:rPr>
          <w:instrText xml:space="preserve"> PAGEREF _Toc189487313 \h </w:instrText>
        </w:r>
        <w:r w:rsidR="00EC3B4A" w:rsidRPr="00942C05">
          <w:rPr>
            <w:noProof/>
            <w:webHidden/>
            <w:sz w:val="32"/>
            <w:szCs w:val="32"/>
          </w:rPr>
        </w:r>
        <w:r w:rsidR="00EC3B4A" w:rsidRPr="00942C05">
          <w:rPr>
            <w:noProof/>
            <w:webHidden/>
            <w:sz w:val="32"/>
            <w:szCs w:val="32"/>
          </w:rPr>
          <w:fldChar w:fldCharType="separate"/>
        </w:r>
        <w:r w:rsidR="002635BC">
          <w:rPr>
            <w:noProof/>
            <w:webHidden/>
            <w:sz w:val="32"/>
            <w:szCs w:val="32"/>
          </w:rPr>
          <w:t>233</w:t>
        </w:r>
        <w:r w:rsidR="00EC3B4A" w:rsidRPr="00942C05">
          <w:rPr>
            <w:noProof/>
            <w:webHidden/>
            <w:sz w:val="32"/>
            <w:szCs w:val="32"/>
          </w:rPr>
          <w:fldChar w:fldCharType="end"/>
        </w:r>
      </w:hyperlink>
    </w:p>
    <w:p w14:paraId="1B35782F" w14:textId="7D3A82AB"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14" w:history="1">
        <w:r w:rsidR="00EC3B4A" w:rsidRPr="00942C05">
          <w:rPr>
            <w:rStyle w:val="af1"/>
            <w:rFonts w:hint="eastAsia"/>
            <w:noProof/>
            <w:spacing w:val="-20"/>
          </w:rPr>
          <w:t>一、召集委員會議</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_Toc189487314 \h </w:instrText>
        </w:r>
        <w:r w:rsidR="00EC3B4A" w:rsidRPr="00942C05">
          <w:rPr>
            <w:noProof/>
            <w:webHidden/>
          </w:rPr>
        </w:r>
        <w:r w:rsidR="00EC3B4A" w:rsidRPr="00942C05">
          <w:rPr>
            <w:noProof/>
            <w:webHidden/>
          </w:rPr>
          <w:fldChar w:fldCharType="separate"/>
        </w:r>
        <w:r w:rsidR="002635BC">
          <w:rPr>
            <w:noProof/>
            <w:webHidden/>
          </w:rPr>
          <w:t>233</w:t>
        </w:r>
        <w:r w:rsidR="00EC3B4A" w:rsidRPr="00942C05">
          <w:rPr>
            <w:noProof/>
            <w:webHidden/>
          </w:rPr>
          <w:fldChar w:fldCharType="end"/>
        </w:r>
      </w:hyperlink>
    </w:p>
    <w:p w14:paraId="6D5070B3" w14:textId="386F2105"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15"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w:t>
        </w:r>
        <w:r w:rsidR="00EC3B4A" w:rsidRPr="00942C05">
          <w:rPr>
            <w:rStyle w:val="af1"/>
            <w:rFonts w:hint="eastAsia"/>
            <w:b/>
            <w:noProof/>
            <w:spacing w:val="-20"/>
          </w:rPr>
          <w:t>次召集委員會議議事錄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_Toc189487315 \h </w:instrText>
        </w:r>
        <w:r w:rsidR="00EC3B4A" w:rsidRPr="00942C05">
          <w:rPr>
            <w:b/>
            <w:noProof/>
            <w:webHidden/>
          </w:rPr>
        </w:r>
        <w:r w:rsidR="00EC3B4A" w:rsidRPr="00942C05">
          <w:rPr>
            <w:b/>
            <w:noProof/>
            <w:webHidden/>
          </w:rPr>
          <w:fldChar w:fldCharType="separate"/>
        </w:r>
        <w:r w:rsidR="002635BC">
          <w:rPr>
            <w:b/>
            <w:noProof/>
            <w:webHidden/>
          </w:rPr>
          <w:t>233</w:t>
        </w:r>
        <w:r w:rsidR="00EC3B4A" w:rsidRPr="00942C05">
          <w:rPr>
            <w:b/>
            <w:noProof/>
            <w:webHidden/>
          </w:rPr>
          <w:fldChar w:fldCharType="end"/>
        </w:r>
      </w:hyperlink>
    </w:p>
    <w:p w14:paraId="42007166" w14:textId="6A767EB7"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16" w:history="1">
        <w:r w:rsidR="00EC3B4A" w:rsidRPr="00942C05">
          <w:rPr>
            <w:rStyle w:val="af1"/>
            <w:rFonts w:hint="eastAsia"/>
            <w:noProof/>
            <w:spacing w:val="-20"/>
          </w:rPr>
          <w:t>二、全體委員會議</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_Toc189487316 \h </w:instrText>
        </w:r>
        <w:r w:rsidR="00EC3B4A" w:rsidRPr="00942C05">
          <w:rPr>
            <w:noProof/>
            <w:webHidden/>
          </w:rPr>
        </w:r>
        <w:r w:rsidR="00EC3B4A" w:rsidRPr="00942C05">
          <w:rPr>
            <w:noProof/>
            <w:webHidden/>
          </w:rPr>
          <w:fldChar w:fldCharType="separate"/>
        </w:r>
        <w:r w:rsidR="002635BC">
          <w:rPr>
            <w:noProof/>
            <w:webHidden/>
          </w:rPr>
          <w:t>254</w:t>
        </w:r>
        <w:r w:rsidR="00EC3B4A" w:rsidRPr="00942C05">
          <w:rPr>
            <w:noProof/>
            <w:webHidden/>
          </w:rPr>
          <w:fldChar w:fldCharType="end"/>
        </w:r>
      </w:hyperlink>
    </w:p>
    <w:p w14:paraId="260B1EF6" w14:textId="088F078F"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17"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_Toc189487317 \h </w:instrText>
        </w:r>
        <w:r w:rsidR="00EC3B4A" w:rsidRPr="00942C05">
          <w:rPr>
            <w:b/>
            <w:noProof/>
            <w:webHidden/>
          </w:rPr>
        </w:r>
        <w:r w:rsidR="00EC3B4A" w:rsidRPr="00942C05">
          <w:rPr>
            <w:b/>
            <w:noProof/>
            <w:webHidden/>
          </w:rPr>
          <w:fldChar w:fldCharType="separate"/>
        </w:r>
        <w:r w:rsidR="002635BC">
          <w:rPr>
            <w:b/>
            <w:noProof/>
            <w:webHidden/>
          </w:rPr>
          <w:t>254</w:t>
        </w:r>
        <w:r w:rsidR="00EC3B4A" w:rsidRPr="00942C05">
          <w:rPr>
            <w:b/>
            <w:noProof/>
            <w:webHidden/>
          </w:rPr>
          <w:fldChar w:fldCharType="end"/>
        </w:r>
      </w:hyperlink>
    </w:p>
    <w:p w14:paraId="13AF9318" w14:textId="0F961225"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18"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2</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_Toc189487318 \h </w:instrText>
        </w:r>
        <w:r w:rsidR="00EC3B4A" w:rsidRPr="00942C05">
          <w:rPr>
            <w:b/>
            <w:noProof/>
            <w:webHidden/>
          </w:rPr>
        </w:r>
        <w:r w:rsidR="00EC3B4A" w:rsidRPr="00942C05">
          <w:rPr>
            <w:b/>
            <w:noProof/>
            <w:webHidden/>
          </w:rPr>
          <w:fldChar w:fldCharType="separate"/>
        </w:r>
        <w:r w:rsidR="002635BC">
          <w:rPr>
            <w:b/>
            <w:noProof/>
            <w:webHidden/>
          </w:rPr>
          <w:t>256</w:t>
        </w:r>
        <w:r w:rsidR="00EC3B4A" w:rsidRPr="00942C05">
          <w:rPr>
            <w:b/>
            <w:noProof/>
            <w:webHidden/>
          </w:rPr>
          <w:fldChar w:fldCharType="end"/>
        </w:r>
      </w:hyperlink>
    </w:p>
    <w:p w14:paraId="51AABD62" w14:textId="1E1C9A49"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19"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3</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_Toc189487319 \h </w:instrText>
        </w:r>
        <w:r w:rsidR="00EC3B4A" w:rsidRPr="00942C05">
          <w:rPr>
            <w:b/>
            <w:noProof/>
            <w:webHidden/>
          </w:rPr>
        </w:r>
        <w:r w:rsidR="00EC3B4A" w:rsidRPr="00942C05">
          <w:rPr>
            <w:b/>
            <w:noProof/>
            <w:webHidden/>
          </w:rPr>
          <w:fldChar w:fldCharType="separate"/>
        </w:r>
        <w:r w:rsidR="002635BC">
          <w:rPr>
            <w:b/>
            <w:noProof/>
            <w:webHidden/>
          </w:rPr>
          <w:t>262</w:t>
        </w:r>
        <w:r w:rsidR="00EC3B4A" w:rsidRPr="00942C05">
          <w:rPr>
            <w:b/>
            <w:noProof/>
            <w:webHidden/>
          </w:rPr>
          <w:fldChar w:fldCharType="end"/>
        </w:r>
      </w:hyperlink>
    </w:p>
    <w:p w14:paraId="1E304540" w14:textId="1D9AE3E1"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0"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4</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_Toc189487320 \h </w:instrText>
        </w:r>
        <w:r w:rsidR="00EC3B4A" w:rsidRPr="00942C05">
          <w:rPr>
            <w:b/>
            <w:noProof/>
            <w:webHidden/>
          </w:rPr>
        </w:r>
        <w:r w:rsidR="00EC3B4A" w:rsidRPr="00942C05">
          <w:rPr>
            <w:b/>
            <w:noProof/>
            <w:webHidden/>
          </w:rPr>
          <w:fldChar w:fldCharType="separate"/>
        </w:r>
        <w:r w:rsidR="002635BC">
          <w:rPr>
            <w:b/>
            <w:noProof/>
            <w:webHidden/>
          </w:rPr>
          <w:t>265</w:t>
        </w:r>
        <w:r w:rsidR="00EC3B4A" w:rsidRPr="00942C05">
          <w:rPr>
            <w:b/>
            <w:noProof/>
            <w:webHidden/>
          </w:rPr>
          <w:fldChar w:fldCharType="end"/>
        </w:r>
      </w:hyperlink>
    </w:p>
    <w:p w14:paraId="3CDD6A43" w14:textId="56C48A19"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1"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5</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_Toc189487321 \h </w:instrText>
        </w:r>
        <w:r w:rsidR="00EC3B4A" w:rsidRPr="00942C05">
          <w:rPr>
            <w:b/>
            <w:noProof/>
            <w:webHidden/>
          </w:rPr>
        </w:r>
        <w:r w:rsidR="00EC3B4A" w:rsidRPr="00942C05">
          <w:rPr>
            <w:b/>
            <w:noProof/>
            <w:webHidden/>
          </w:rPr>
          <w:fldChar w:fldCharType="separate"/>
        </w:r>
        <w:r w:rsidR="002635BC">
          <w:rPr>
            <w:b/>
            <w:noProof/>
            <w:webHidden/>
          </w:rPr>
          <w:t>268</w:t>
        </w:r>
        <w:r w:rsidR="00EC3B4A" w:rsidRPr="00942C05">
          <w:rPr>
            <w:b/>
            <w:noProof/>
            <w:webHidden/>
          </w:rPr>
          <w:fldChar w:fldCharType="end"/>
        </w:r>
      </w:hyperlink>
    </w:p>
    <w:p w14:paraId="15426728" w14:textId="15B21027"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2"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6</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_Toc189487322 \h </w:instrText>
        </w:r>
        <w:r w:rsidR="00EC3B4A" w:rsidRPr="00942C05">
          <w:rPr>
            <w:b/>
            <w:noProof/>
            <w:webHidden/>
          </w:rPr>
        </w:r>
        <w:r w:rsidR="00EC3B4A" w:rsidRPr="00942C05">
          <w:rPr>
            <w:b/>
            <w:noProof/>
            <w:webHidden/>
          </w:rPr>
          <w:fldChar w:fldCharType="separate"/>
        </w:r>
        <w:r w:rsidR="002635BC">
          <w:rPr>
            <w:b/>
            <w:noProof/>
            <w:webHidden/>
          </w:rPr>
          <w:t>275</w:t>
        </w:r>
        <w:r w:rsidR="00EC3B4A" w:rsidRPr="00942C05">
          <w:rPr>
            <w:b/>
            <w:noProof/>
            <w:webHidden/>
          </w:rPr>
          <w:fldChar w:fldCharType="end"/>
        </w:r>
      </w:hyperlink>
    </w:p>
    <w:p w14:paraId="2F7C22B4" w14:textId="217B8B19"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3"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7</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_Toc189487323 \h </w:instrText>
        </w:r>
        <w:r w:rsidR="00EC3B4A" w:rsidRPr="00942C05">
          <w:rPr>
            <w:b/>
            <w:noProof/>
            <w:webHidden/>
          </w:rPr>
        </w:r>
        <w:r w:rsidR="00EC3B4A" w:rsidRPr="00942C05">
          <w:rPr>
            <w:b/>
            <w:noProof/>
            <w:webHidden/>
          </w:rPr>
          <w:fldChar w:fldCharType="separate"/>
        </w:r>
        <w:r w:rsidR="002635BC">
          <w:rPr>
            <w:b/>
            <w:noProof/>
            <w:webHidden/>
          </w:rPr>
          <w:t>281</w:t>
        </w:r>
        <w:r w:rsidR="00EC3B4A" w:rsidRPr="00942C05">
          <w:rPr>
            <w:b/>
            <w:noProof/>
            <w:webHidden/>
          </w:rPr>
          <w:fldChar w:fldCharType="end"/>
        </w:r>
      </w:hyperlink>
    </w:p>
    <w:p w14:paraId="484C1D92" w14:textId="163C45E6"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4"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8</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_Toc189487324 \h </w:instrText>
        </w:r>
        <w:r w:rsidR="00EC3B4A" w:rsidRPr="00942C05">
          <w:rPr>
            <w:b/>
            <w:noProof/>
            <w:webHidden/>
          </w:rPr>
        </w:r>
        <w:r w:rsidR="00EC3B4A" w:rsidRPr="00942C05">
          <w:rPr>
            <w:b/>
            <w:noProof/>
            <w:webHidden/>
          </w:rPr>
          <w:fldChar w:fldCharType="separate"/>
        </w:r>
        <w:r w:rsidR="002635BC">
          <w:rPr>
            <w:b/>
            <w:noProof/>
            <w:webHidden/>
          </w:rPr>
          <w:t>286</w:t>
        </w:r>
        <w:r w:rsidR="00EC3B4A" w:rsidRPr="00942C05">
          <w:rPr>
            <w:b/>
            <w:noProof/>
            <w:webHidden/>
          </w:rPr>
          <w:fldChar w:fldCharType="end"/>
        </w:r>
      </w:hyperlink>
    </w:p>
    <w:p w14:paraId="2B173D23" w14:textId="6D25F5EF"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5"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9</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_Toc189487325 \h </w:instrText>
        </w:r>
        <w:r w:rsidR="00EC3B4A" w:rsidRPr="00942C05">
          <w:rPr>
            <w:b/>
            <w:noProof/>
            <w:webHidden/>
          </w:rPr>
        </w:r>
        <w:r w:rsidR="00EC3B4A" w:rsidRPr="00942C05">
          <w:rPr>
            <w:b/>
            <w:noProof/>
            <w:webHidden/>
          </w:rPr>
          <w:fldChar w:fldCharType="separate"/>
        </w:r>
        <w:r w:rsidR="002635BC">
          <w:rPr>
            <w:b/>
            <w:noProof/>
            <w:webHidden/>
          </w:rPr>
          <w:t>294</w:t>
        </w:r>
        <w:r w:rsidR="00EC3B4A" w:rsidRPr="00942C05">
          <w:rPr>
            <w:b/>
            <w:noProof/>
            <w:webHidden/>
          </w:rPr>
          <w:fldChar w:fldCharType="end"/>
        </w:r>
      </w:hyperlink>
    </w:p>
    <w:p w14:paraId="35912C0D" w14:textId="3DAF319A"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6"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10</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_Toc189487326 \h </w:instrText>
        </w:r>
        <w:r w:rsidR="00EC3B4A" w:rsidRPr="00942C05">
          <w:rPr>
            <w:b/>
            <w:noProof/>
            <w:webHidden/>
          </w:rPr>
        </w:r>
        <w:r w:rsidR="00EC3B4A" w:rsidRPr="00942C05">
          <w:rPr>
            <w:b/>
            <w:noProof/>
            <w:webHidden/>
          </w:rPr>
          <w:fldChar w:fldCharType="separate"/>
        </w:r>
        <w:r w:rsidR="002635BC">
          <w:rPr>
            <w:b/>
            <w:noProof/>
            <w:webHidden/>
          </w:rPr>
          <w:t>296</w:t>
        </w:r>
        <w:r w:rsidR="00EC3B4A" w:rsidRPr="00942C05">
          <w:rPr>
            <w:b/>
            <w:noProof/>
            <w:webHidden/>
          </w:rPr>
          <w:fldChar w:fldCharType="end"/>
        </w:r>
      </w:hyperlink>
    </w:p>
    <w:p w14:paraId="1D53BB60" w14:textId="2093A908"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7"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11</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_Toc189487327 \h </w:instrText>
        </w:r>
        <w:r w:rsidR="00EC3B4A" w:rsidRPr="00942C05">
          <w:rPr>
            <w:b/>
            <w:noProof/>
            <w:webHidden/>
          </w:rPr>
        </w:r>
        <w:r w:rsidR="00EC3B4A" w:rsidRPr="00942C05">
          <w:rPr>
            <w:b/>
            <w:noProof/>
            <w:webHidden/>
          </w:rPr>
          <w:fldChar w:fldCharType="separate"/>
        </w:r>
        <w:r w:rsidR="002635BC">
          <w:rPr>
            <w:b/>
            <w:noProof/>
            <w:webHidden/>
          </w:rPr>
          <w:t>366</w:t>
        </w:r>
        <w:r w:rsidR="00EC3B4A" w:rsidRPr="00942C05">
          <w:rPr>
            <w:b/>
            <w:noProof/>
            <w:webHidden/>
          </w:rPr>
          <w:fldChar w:fldCharType="end"/>
        </w:r>
      </w:hyperlink>
    </w:p>
    <w:p w14:paraId="304824BF" w14:textId="2F738F97"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8"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12</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_Toc189487328 \h </w:instrText>
        </w:r>
        <w:r w:rsidR="00EC3B4A" w:rsidRPr="00942C05">
          <w:rPr>
            <w:b/>
            <w:noProof/>
            <w:webHidden/>
          </w:rPr>
        </w:r>
        <w:r w:rsidR="00EC3B4A" w:rsidRPr="00942C05">
          <w:rPr>
            <w:b/>
            <w:noProof/>
            <w:webHidden/>
          </w:rPr>
          <w:fldChar w:fldCharType="separate"/>
        </w:r>
        <w:r w:rsidR="002635BC">
          <w:rPr>
            <w:b/>
            <w:noProof/>
            <w:webHidden/>
          </w:rPr>
          <w:t>414</w:t>
        </w:r>
        <w:r w:rsidR="00EC3B4A" w:rsidRPr="00942C05">
          <w:rPr>
            <w:b/>
            <w:noProof/>
            <w:webHidden/>
          </w:rPr>
          <w:fldChar w:fldCharType="end"/>
        </w:r>
      </w:hyperlink>
    </w:p>
    <w:p w14:paraId="5AB6892E" w14:textId="7F35AEAB"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29"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13</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_Toc189487329 \h </w:instrText>
        </w:r>
        <w:r w:rsidR="00EC3B4A" w:rsidRPr="00942C05">
          <w:rPr>
            <w:b/>
            <w:noProof/>
            <w:webHidden/>
          </w:rPr>
        </w:r>
        <w:r w:rsidR="00EC3B4A" w:rsidRPr="00942C05">
          <w:rPr>
            <w:b/>
            <w:noProof/>
            <w:webHidden/>
          </w:rPr>
          <w:fldChar w:fldCharType="separate"/>
        </w:r>
        <w:r w:rsidR="002635BC">
          <w:rPr>
            <w:b/>
            <w:noProof/>
            <w:webHidden/>
          </w:rPr>
          <w:t>417</w:t>
        </w:r>
        <w:r w:rsidR="00EC3B4A" w:rsidRPr="00942C05">
          <w:rPr>
            <w:b/>
            <w:noProof/>
            <w:webHidden/>
          </w:rPr>
          <w:fldChar w:fldCharType="end"/>
        </w:r>
      </w:hyperlink>
    </w:p>
    <w:p w14:paraId="27B982BA" w14:textId="074C4D9D"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30"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14</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_Toc189487330 \h </w:instrText>
        </w:r>
        <w:r w:rsidR="00EC3B4A" w:rsidRPr="00942C05">
          <w:rPr>
            <w:b/>
            <w:noProof/>
            <w:webHidden/>
          </w:rPr>
        </w:r>
        <w:r w:rsidR="00EC3B4A" w:rsidRPr="00942C05">
          <w:rPr>
            <w:b/>
            <w:noProof/>
            <w:webHidden/>
          </w:rPr>
          <w:fldChar w:fldCharType="separate"/>
        </w:r>
        <w:r w:rsidR="002635BC">
          <w:rPr>
            <w:b/>
            <w:noProof/>
            <w:webHidden/>
          </w:rPr>
          <w:t>446</w:t>
        </w:r>
        <w:r w:rsidR="00EC3B4A" w:rsidRPr="00942C05">
          <w:rPr>
            <w:b/>
            <w:noProof/>
            <w:webHidden/>
          </w:rPr>
          <w:fldChar w:fldCharType="end"/>
        </w:r>
      </w:hyperlink>
    </w:p>
    <w:p w14:paraId="12D8EB52" w14:textId="581A779E"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31"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會期財政委員會第</w:t>
        </w:r>
        <w:r w:rsidR="00EC3B4A" w:rsidRPr="00942C05">
          <w:rPr>
            <w:rStyle w:val="af1"/>
            <w:b/>
            <w:noProof/>
            <w:spacing w:val="-20"/>
          </w:rPr>
          <w:t>15</w:t>
        </w:r>
        <w:r w:rsidR="00EC3B4A" w:rsidRPr="00942C05">
          <w:rPr>
            <w:rStyle w:val="af1"/>
            <w:rFonts w:hint="eastAsia"/>
            <w:b/>
            <w:noProof/>
            <w:spacing w:val="-20"/>
          </w:rPr>
          <w:t>次全體委員會議議事錄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_Toc189487331 \h </w:instrText>
        </w:r>
        <w:r w:rsidR="00EC3B4A" w:rsidRPr="00942C05">
          <w:rPr>
            <w:b/>
            <w:noProof/>
            <w:webHidden/>
          </w:rPr>
        </w:r>
        <w:r w:rsidR="00EC3B4A" w:rsidRPr="00942C05">
          <w:rPr>
            <w:b/>
            <w:noProof/>
            <w:webHidden/>
          </w:rPr>
          <w:fldChar w:fldCharType="separate"/>
        </w:r>
        <w:r w:rsidR="002635BC">
          <w:rPr>
            <w:b/>
            <w:noProof/>
            <w:webHidden/>
          </w:rPr>
          <w:t>519</w:t>
        </w:r>
        <w:r w:rsidR="00EC3B4A" w:rsidRPr="00942C05">
          <w:rPr>
            <w:b/>
            <w:noProof/>
            <w:webHidden/>
          </w:rPr>
          <w:fldChar w:fldCharType="end"/>
        </w:r>
      </w:hyperlink>
    </w:p>
    <w:p w14:paraId="26C862C9" w14:textId="652C7721" w:rsidR="00EC3B4A" w:rsidRPr="00942C05" w:rsidRDefault="008B32D4" w:rsidP="00F470A8">
      <w:pPr>
        <w:pStyle w:val="23"/>
        <w:overflowPunct w:val="0"/>
        <w:rPr>
          <w:rFonts w:asciiTheme="minorHAnsi" w:eastAsiaTheme="minorEastAsia" w:hAnsiTheme="minorHAnsi" w:cstheme="minorBidi"/>
          <w:smallCaps w:val="0"/>
          <w:noProof/>
          <w:kern w:val="2"/>
          <w:sz w:val="24"/>
          <w:szCs w:val="22"/>
        </w:rPr>
      </w:pPr>
      <w:hyperlink w:anchor="_Toc189487332" w:history="1">
        <w:r w:rsidR="00EC3B4A" w:rsidRPr="00942C05">
          <w:rPr>
            <w:rStyle w:val="af1"/>
            <w:rFonts w:hint="eastAsia"/>
            <w:noProof/>
            <w:spacing w:val="-20"/>
          </w:rPr>
          <w:t>三、聯席會議</w:t>
        </w:r>
        <w:r w:rsidR="00EC3B4A" w:rsidRPr="00942C05">
          <w:rPr>
            <w:noProof/>
            <w:webHidden/>
          </w:rPr>
          <w:tab/>
        </w:r>
        <w:r w:rsidR="00EC3B4A" w:rsidRPr="00942C05">
          <w:rPr>
            <w:noProof/>
            <w:webHidden/>
          </w:rPr>
          <w:fldChar w:fldCharType="begin"/>
        </w:r>
        <w:r w:rsidR="00EC3B4A" w:rsidRPr="00942C05">
          <w:rPr>
            <w:noProof/>
            <w:webHidden/>
          </w:rPr>
          <w:instrText xml:space="preserve"> PAGEREF _Toc189487332 \h </w:instrText>
        </w:r>
        <w:r w:rsidR="00EC3B4A" w:rsidRPr="00942C05">
          <w:rPr>
            <w:noProof/>
            <w:webHidden/>
          </w:rPr>
        </w:r>
        <w:r w:rsidR="00EC3B4A" w:rsidRPr="00942C05">
          <w:rPr>
            <w:noProof/>
            <w:webHidden/>
          </w:rPr>
          <w:fldChar w:fldCharType="separate"/>
        </w:r>
        <w:r w:rsidR="002635BC">
          <w:rPr>
            <w:noProof/>
            <w:webHidden/>
          </w:rPr>
          <w:t>548</w:t>
        </w:r>
        <w:r w:rsidR="00EC3B4A" w:rsidRPr="00942C05">
          <w:rPr>
            <w:noProof/>
            <w:webHidden/>
          </w:rPr>
          <w:fldChar w:fldCharType="end"/>
        </w:r>
      </w:hyperlink>
    </w:p>
    <w:p w14:paraId="7082831F" w14:textId="243E8586"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33"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會期財政、內政、經濟、教育及文化、交通、社會福利及衛生環境委員會第</w:t>
        </w:r>
        <w:r w:rsidR="00EC3B4A" w:rsidRPr="00942C05">
          <w:rPr>
            <w:rStyle w:val="af1"/>
            <w:b/>
            <w:noProof/>
            <w:spacing w:val="-20"/>
          </w:rPr>
          <w:t>1</w:t>
        </w:r>
        <w:r w:rsidR="00EC3B4A" w:rsidRPr="00942C05">
          <w:rPr>
            <w:rStyle w:val="af1"/>
            <w:rFonts w:hint="eastAsia"/>
            <w:b/>
            <w:noProof/>
            <w:spacing w:val="-20"/>
          </w:rPr>
          <w:t>次聯席會議議事錄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_Toc189487333 \h </w:instrText>
        </w:r>
        <w:r w:rsidR="00EC3B4A" w:rsidRPr="00942C05">
          <w:rPr>
            <w:b/>
            <w:noProof/>
            <w:webHidden/>
          </w:rPr>
        </w:r>
        <w:r w:rsidR="00EC3B4A" w:rsidRPr="00942C05">
          <w:rPr>
            <w:b/>
            <w:noProof/>
            <w:webHidden/>
          </w:rPr>
          <w:fldChar w:fldCharType="separate"/>
        </w:r>
        <w:r w:rsidR="002635BC">
          <w:rPr>
            <w:b/>
            <w:noProof/>
            <w:webHidden/>
          </w:rPr>
          <w:t>548</w:t>
        </w:r>
        <w:r w:rsidR="00EC3B4A" w:rsidRPr="00942C05">
          <w:rPr>
            <w:b/>
            <w:noProof/>
            <w:webHidden/>
          </w:rPr>
          <w:fldChar w:fldCharType="end"/>
        </w:r>
      </w:hyperlink>
    </w:p>
    <w:p w14:paraId="59ED2EC0" w14:textId="2C885E7B"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34"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會期財政、經濟委員會第</w:t>
        </w:r>
        <w:r w:rsidR="00EC3B4A" w:rsidRPr="00942C05">
          <w:rPr>
            <w:rStyle w:val="af1"/>
            <w:b/>
            <w:noProof/>
            <w:spacing w:val="-20"/>
          </w:rPr>
          <w:t>1</w:t>
        </w:r>
        <w:r w:rsidR="00EC3B4A" w:rsidRPr="00942C05">
          <w:rPr>
            <w:rStyle w:val="af1"/>
            <w:rFonts w:hint="eastAsia"/>
            <w:b/>
            <w:noProof/>
            <w:spacing w:val="-20"/>
          </w:rPr>
          <w:t>次聯席會議議事錄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_Toc189487334 \h </w:instrText>
        </w:r>
        <w:r w:rsidR="00EC3B4A" w:rsidRPr="00942C05">
          <w:rPr>
            <w:b/>
            <w:noProof/>
            <w:webHidden/>
          </w:rPr>
        </w:r>
        <w:r w:rsidR="00EC3B4A" w:rsidRPr="00942C05">
          <w:rPr>
            <w:b/>
            <w:noProof/>
            <w:webHidden/>
          </w:rPr>
          <w:fldChar w:fldCharType="separate"/>
        </w:r>
        <w:r w:rsidR="002635BC">
          <w:rPr>
            <w:b/>
            <w:noProof/>
            <w:webHidden/>
          </w:rPr>
          <w:t>557</w:t>
        </w:r>
        <w:r w:rsidR="00EC3B4A" w:rsidRPr="00942C05">
          <w:rPr>
            <w:b/>
            <w:noProof/>
            <w:webHidden/>
          </w:rPr>
          <w:fldChar w:fldCharType="end"/>
        </w:r>
      </w:hyperlink>
    </w:p>
    <w:p w14:paraId="7B276A91" w14:textId="5D3643EC" w:rsidR="00EC3B4A" w:rsidRPr="00942C05" w:rsidRDefault="008B32D4" w:rsidP="00F470A8">
      <w:pPr>
        <w:pStyle w:val="33"/>
        <w:overflowPunct w:val="0"/>
        <w:rPr>
          <w:rFonts w:asciiTheme="minorHAnsi" w:eastAsiaTheme="minorEastAsia" w:hAnsiTheme="minorHAnsi" w:cstheme="minorBidi"/>
          <w:b/>
          <w:iCs w:val="0"/>
          <w:noProof/>
          <w:w w:val="100"/>
          <w:kern w:val="2"/>
          <w:szCs w:val="22"/>
        </w:rPr>
      </w:pPr>
      <w:hyperlink w:anchor="_Toc189487335" w:history="1">
        <w:r w:rsidR="00EC3B4A" w:rsidRPr="00942C05">
          <w:rPr>
            <w:rStyle w:val="af1"/>
            <w:rFonts w:hint="eastAsia"/>
            <w:b/>
            <w:noProof/>
            <w:spacing w:val="-20"/>
          </w:rPr>
          <w:t>立法院第</w:t>
        </w:r>
        <w:r w:rsidR="00EC3B4A" w:rsidRPr="00942C05">
          <w:rPr>
            <w:rStyle w:val="af1"/>
            <w:b/>
            <w:noProof/>
            <w:spacing w:val="-20"/>
          </w:rPr>
          <w:t>11</w:t>
        </w:r>
        <w:r w:rsidR="00EC3B4A" w:rsidRPr="00942C05">
          <w:rPr>
            <w:rStyle w:val="af1"/>
            <w:rFonts w:hint="eastAsia"/>
            <w:b/>
            <w:noProof/>
            <w:spacing w:val="-20"/>
          </w:rPr>
          <w:t>屆第</w:t>
        </w:r>
        <w:r w:rsidR="00EC3B4A" w:rsidRPr="00942C05">
          <w:rPr>
            <w:rStyle w:val="af1"/>
            <w:b/>
            <w:noProof/>
            <w:spacing w:val="-20"/>
          </w:rPr>
          <w:t>2</w:t>
        </w:r>
        <w:r w:rsidR="00EC3B4A" w:rsidRPr="00942C05">
          <w:rPr>
            <w:rStyle w:val="af1"/>
            <w:rFonts w:hint="eastAsia"/>
            <w:b/>
            <w:noProof/>
            <w:spacing w:val="-20"/>
          </w:rPr>
          <w:t>會期財政、內政、經濟、教育及文化、交通、社會福利及衛生環境委員會第</w:t>
        </w:r>
        <w:r w:rsidR="00EC3B4A" w:rsidRPr="00942C05">
          <w:rPr>
            <w:rStyle w:val="af1"/>
            <w:b/>
            <w:noProof/>
            <w:spacing w:val="-20"/>
          </w:rPr>
          <w:t>2</w:t>
        </w:r>
        <w:r w:rsidR="00EC3B4A" w:rsidRPr="00942C05">
          <w:rPr>
            <w:rStyle w:val="af1"/>
            <w:rFonts w:hint="eastAsia"/>
            <w:b/>
            <w:noProof/>
            <w:spacing w:val="-20"/>
          </w:rPr>
          <w:t>次聯席會議議事錄</w:t>
        </w:r>
        <w:r w:rsidR="00EC3B4A" w:rsidRPr="00942C05">
          <w:rPr>
            <w:b/>
            <w:noProof/>
            <w:webHidden/>
          </w:rPr>
          <w:tab/>
        </w:r>
        <w:r w:rsidR="00EC3B4A" w:rsidRPr="00942C05">
          <w:rPr>
            <w:b/>
            <w:noProof/>
            <w:webHidden/>
          </w:rPr>
          <w:fldChar w:fldCharType="begin"/>
        </w:r>
        <w:r w:rsidR="00EC3B4A" w:rsidRPr="00942C05">
          <w:rPr>
            <w:b/>
            <w:noProof/>
            <w:webHidden/>
          </w:rPr>
          <w:instrText xml:space="preserve"> PAGEREF _Toc189487335 \h </w:instrText>
        </w:r>
        <w:r w:rsidR="00EC3B4A" w:rsidRPr="00942C05">
          <w:rPr>
            <w:b/>
            <w:noProof/>
            <w:webHidden/>
          </w:rPr>
        </w:r>
        <w:r w:rsidR="00EC3B4A" w:rsidRPr="00942C05">
          <w:rPr>
            <w:b/>
            <w:noProof/>
            <w:webHidden/>
          </w:rPr>
          <w:fldChar w:fldCharType="separate"/>
        </w:r>
        <w:r w:rsidR="002635BC">
          <w:rPr>
            <w:b/>
            <w:noProof/>
            <w:webHidden/>
          </w:rPr>
          <w:t>569</w:t>
        </w:r>
        <w:r w:rsidR="00EC3B4A" w:rsidRPr="00942C05">
          <w:rPr>
            <w:b/>
            <w:noProof/>
            <w:webHidden/>
          </w:rPr>
          <w:fldChar w:fldCharType="end"/>
        </w:r>
      </w:hyperlink>
    </w:p>
    <w:p w14:paraId="31BDDCAC" w14:textId="2824C171" w:rsidR="00882186" w:rsidRPr="00464A6F" w:rsidRDefault="00F739F7" w:rsidP="00F470A8">
      <w:pPr>
        <w:overflowPunct w:val="0"/>
        <w:snapToGrid w:val="0"/>
        <w:spacing w:before="214" w:after="214" w:line="440" w:lineRule="atLeast"/>
        <w:ind w:left="1133"/>
        <w:textAlignment w:val="auto"/>
        <w:rPr>
          <w:rFonts w:ascii="標楷體" w:eastAsia="標楷體" w:hAnsi="標楷體"/>
          <w:b/>
          <w:color w:val="FF0000"/>
          <w:spacing w:val="36"/>
          <w:sz w:val="40"/>
          <w:szCs w:val="40"/>
        </w:rPr>
        <w:sectPr w:rsidR="00882186" w:rsidRPr="00464A6F" w:rsidSect="00882186">
          <w:footerReference w:type="even" r:id="rId8"/>
          <w:footerReference w:type="default" r:id="rId9"/>
          <w:pgSz w:w="11907" w:h="16840" w:code="9"/>
          <w:pgMar w:top="1134" w:right="1134" w:bottom="1134" w:left="1134" w:header="851" w:footer="567" w:gutter="0"/>
          <w:pgNumType w:fmt="upperRoman"/>
          <w:cols w:space="425"/>
          <w:docGrid w:type="lines" w:linePitch="360"/>
        </w:sectPr>
      </w:pPr>
      <w:r w:rsidRPr="00464A6F">
        <w:rPr>
          <w:rFonts w:ascii="標楷體" w:eastAsia="標楷體" w:hAnsi="標楷體"/>
          <w:b/>
          <w:color w:val="FF0000"/>
          <w:spacing w:val="36"/>
          <w:sz w:val="40"/>
          <w:szCs w:val="40"/>
        </w:rPr>
        <w:fldChar w:fldCharType="end"/>
      </w:r>
    </w:p>
    <w:p w14:paraId="5BC7783E" w14:textId="77777777" w:rsidR="00B23EB4" w:rsidRPr="00464A6F" w:rsidRDefault="006C7F34" w:rsidP="00F470A8">
      <w:pPr>
        <w:overflowPunct w:val="0"/>
        <w:snapToGrid w:val="0"/>
        <w:spacing w:before="214" w:after="214" w:line="440" w:lineRule="atLeast"/>
        <w:ind w:left="1133"/>
        <w:textAlignment w:val="auto"/>
        <w:rPr>
          <w:rFonts w:ascii="標楷體" w:eastAsia="標楷體" w:hAnsi="標楷體"/>
          <w:b/>
          <w:spacing w:val="36"/>
          <w:sz w:val="40"/>
          <w:szCs w:val="40"/>
        </w:rPr>
      </w:pPr>
      <w:r w:rsidRPr="00464A6F">
        <w:rPr>
          <w:rFonts w:ascii="標楷體" w:eastAsia="標楷體" w:hAnsi="標楷體" w:hint="eastAsia"/>
          <w:b/>
          <w:spacing w:val="36"/>
          <w:sz w:val="40"/>
          <w:szCs w:val="40"/>
        </w:rPr>
        <w:lastRenderedPageBreak/>
        <w:t>立</w:t>
      </w:r>
      <w:r w:rsidR="00B23EB4" w:rsidRPr="00464A6F">
        <w:rPr>
          <w:rFonts w:ascii="標楷體" w:eastAsia="標楷體" w:hAnsi="標楷體"/>
          <w:b/>
          <w:spacing w:val="36"/>
          <w:sz w:val="40"/>
          <w:szCs w:val="40"/>
        </w:rPr>
        <w:t>法院第</w:t>
      </w:r>
      <w:r w:rsidR="00B23EB4" w:rsidRPr="00464A6F">
        <w:rPr>
          <w:rFonts w:ascii="標楷體" w:eastAsia="標楷體" w:hAnsi="標楷體" w:hint="eastAsia"/>
          <w:b/>
          <w:spacing w:val="36"/>
          <w:sz w:val="40"/>
          <w:szCs w:val="40"/>
        </w:rPr>
        <w:t>1</w:t>
      </w:r>
      <w:r w:rsidR="004254C8" w:rsidRPr="00464A6F">
        <w:rPr>
          <w:rFonts w:ascii="標楷體" w:eastAsia="標楷體" w:hAnsi="標楷體" w:hint="eastAsia"/>
          <w:b/>
          <w:spacing w:val="36"/>
          <w:sz w:val="40"/>
          <w:szCs w:val="40"/>
        </w:rPr>
        <w:t>1</w:t>
      </w:r>
      <w:r w:rsidR="00B23EB4" w:rsidRPr="00464A6F">
        <w:rPr>
          <w:rFonts w:ascii="標楷體" w:eastAsia="標楷體" w:hAnsi="標楷體"/>
          <w:b/>
          <w:spacing w:val="36"/>
          <w:sz w:val="40"/>
          <w:szCs w:val="40"/>
        </w:rPr>
        <w:t>屆第</w:t>
      </w:r>
      <w:r w:rsidR="00464A6F" w:rsidRPr="00464A6F">
        <w:rPr>
          <w:rFonts w:ascii="標楷體" w:eastAsia="標楷體" w:hAnsi="標楷體"/>
          <w:b/>
          <w:spacing w:val="36"/>
          <w:sz w:val="40"/>
          <w:szCs w:val="40"/>
        </w:rPr>
        <w:t>2</w:t>
      </w:r>
      <w:r w:rsidR="00B23EB4" w:rsidRPr="00464A6F">
        <w:rPr>
          <w:rFonts w:ascii="標楷體" w:eastAsia="標楷體" w:hAnsi="標楷體"/>
          <w:b/>
          <w:spacing w:val="36"/>
          <w:sz w:val="40"/>
          <w:szCs w:val="40"/>
        </w:rPr>
        <w:t>會期財政委員會會務報告</w:t>
      </w:r>
    </w:p>
    <w:p w14:paraId="0E5CC07D" w14:textId="77777777" w:rsidR="00DE6C98" w:rsidRPr="00964E8B" w:rsidRDefault="00B23EB4" w:rsidP="00F470A8">
      <w:pPr>
        <w:overflowPunct w:val="0"/>
        <w:spacing w:line="360" w:lineRule="exact"/>
        <w:ind w:firstLineChars="1701" w:firstLine="5103"/>
        <w:jc w:val="both"/>
        <w:textAlignment w:val="auto"/>
        <w:rPr>
          <w:rFonts w:ascii="標楷體" w:eastAsia="標楷體" w:hAnsi="標楷體"/>
          <w:spacing w:val="-20"/>
          <w:sz w:val="28"/>
          <w:szCs w:val="28"/>
        </w:rPr>
      </w:pPr>
      <w:r w:rsidRPr="00464A6F">
        <w:rPr>
          <w:rFonts w:ascii="標楷體" w:eastAsia="標楷體" w:hAnsi="標楷體"/>
          <w:spacing w:val="20"/>
          <w:sz w:val="28"/>
          <w:szCs w:val="28"/>
        </w:rPr>
        <w:t>(11</w:t>
      </w:r>
      <w:r w:rsidR="00C539D8" w:rsidRPr="00464A6F">
        <w:rPr>
          <w:rFonts w:ascii="標楷體" w:eastAsia="標楷體" w:hAnsi="標楷體" w:hint="eastAsia"/>
          <w:spacing w:val="20"/>
          <w:sz w:val="28"/>
          <w:szCs w:val="28"/>
        </w:rPr>
        <w:t>3</w:t>
      </w:r>
      <w:r w:rsidRPr="00464A6F">
        <w:rPr>
          <w:rFonts w:ascii="標楷體" w:eastAsia="標楷體" w:hAnsi="標楷體"/>
          <w:spacing w:val="20"/>
          <w:sz w:val="28"/>
          <w:szCs w:val="28"/>
        </w:rPr>
        <w:t>年</w:t>
      </w:r>
      <w:r w:rsidR="00464A6F" w:rsidRPr="00464A6F">
        <w:rPr>
          <w:rFonts w:ascii="標楷體" w:eastAsia="標楷體" w:hAnsi="標楷體"/>
          <w:spacing w:val="20"/>
          <w:sz w:val="28"/>
          <w:szCs w:val="28"/>
        </w:rPr>
        <w:t>9</w:t>
      </w:r>
      <w:r w:rsidRPr="00464A6F">
        <w:rPr>
          <w:rFonts w:ascii="標楷體" w:eastAsia="標楷體" w:hAnsi="標楷體"/>
          <w:spacing w:val="20"/>
          <w:sz w:val="28"/>
          <w:szCs w:val="28"/>
        </w:rPr>
        <w:t>月</w:t>
      </w:r>
      <w:r w:rsidR="003F698E" w:rsidRPr="00464A6F">
        <w:rPr>
          <w:rFonts w:ascii="標楷體" w:eastAsia="標楷體" w:hAnsi="標楷體" w:hint="eastAsia"/>
          <w:spacing w:val="20"/>
          <w:sz w:val="28"/>
          <w:szCs w:val="28"/>
        </w:rPr>
        <w:t>2</w:t>
      </w:r>
      <w:r w:rsidR="00C46125" w:rsidRPr="00464A6F">
        <w:rPr>
          <w:rFonts w:ascii="標楷體" w:eastAsia="標楷體" w:hAnsi="標楷體"/>
          <w:spacing w:val="20"/>
          <w:sz w:val="28"/>
          <w:szCs w:val="28"/>
        </w:rPr>
        <w:t>0</w:t>
      </w:r>
      <w:r w:rsidRPr="00464A6F">
        <w:rPr>
          <w:rFonts w:ascii="標楷體" w:eastAsia="標楷體" w:hAnsi="標楷體"/>
          <w:spacing w:val="20"/>
          <w:sz w:val="28"/>
          <w:szCs w:val="28"/>
        </w:rPr>
        <w:t>日至</w:t>
      </w:r>
      <w:r w:rsidRPr="00212307">
        <w:rPr>
          <w:rFonts w:ascii="標楷體" w:eastAsia="標楷體" w:hAnsi="標楷體"/>
          <w:spacing w:val="20"/>
          <w:sz w:val="28"/>
          <w:szCs w:val="28"/>
        </w:rPr>
        <w:t>11</w:t>
      </w:r>
      <w:r w:rsidR="00464A6F" w:rsidRPr="00212307">
        <w:rPr>
          <w:rFonts w:ascii="標楷體" w:eastAsia="標楷體" w:hAnsi="標楷體" w:hint="eastAsia"/>
          <w:spacing w:val="20"/>
          <w:sz w:val="28"/>
          <w:szCs w:val="28"/>
        </w:rPr>
        <w:t>4</w:t>
      </w:r>
      <w:r w:rsidRPr="00212307">
        <w:rPr>
          <w:rFonts w:ascii="標楷體" w:eastAsia="標楷體" w:hAnsi="標楷體"/>
          <w:spacing w:val="20"/>
          <w:sz w:val="28"/>
          <w:szCs w:val="28"/>
        </w:rPr>
        <w:t>年</w:t>
      </w:r>
      <w:r w:rsidR="00212307" w:rsidRPr="00212307">
        <w:rPr>
          <w:rFonts w:ascii="標楷體" w:eastAsia="標楷體" w:hAnsi="標楷體" w:hint="eastAsia"/>
          <w:spacing w:val="20"/>
          <w:sz w:val="28"/>
          <w:szCs w:val="28"/>
        </w:rPr>
        <w:t>1</w:t>
      </w:r>
      <w:r w:rsidRPr="00212307">
        <w:rPr>
          <w:rFonts w:ascii="標楷體" w:eastAsia="標楷體" w:hAnsi="標楷體"/>
          <w:spacing w:val="20"/>
          <w:sz w:val="28"/>
          <w:szCs w:val="28"/>
        </w:rPr>
        <w:t>月</w:t>
      </w:r>
      <w:r w:rsidR="00A30283" w:rsidRPr="00964E8B">
        <w:rPr>
          <w:rFonts w:ascii="標楷體" w:eastAsia="標楷體" w:hAnsi="標楷體" w:hint="eastAsia"/>
          <w:spacing w:val="20"/>
          <w:sz w:val="28"/>
          <w:szCs w:val="28"/>
        </w:rPr>
        <w:t>2</w:t>
      </w:r>
      <w:r w:rsidR="00A266A1" w:rsidRPr="00964E8B">
        <w:rPr>
          <w:rFonts w:ascii="標楷體" w:eastAsia="標楷體" w:hAnsi="標楷體"/>
          <w:spacing w:val="20"/>
          <w:sz w:val="28"/>
          <w:szCs w:val="28"/>
        </w:rPr>
        <w:t>1</w:t>
      </w:r>
      <w:r w:rsidRPr="00964E8B">
        <w:rPr>
          <w:rFonts w:ascii="標楷體" w:eastAsia="標楷體" w:hAnsi="標楷體"/>
          <w:spacing w:val="20"/>
          <w:sz w:val="28"/>
          <w:szCs w:val="28"/>
        </w:rPr>
        <w:t>日</w:t>
      </w:r>
      <w:r w:rsidR="00DE6C98" w:rsidRPr="00964E8B">
        <w:rPr>
          <w:rFonts w:ascii="標楷體" w:eastAsia="標楷體" w:hAnsi="標楷體" w:hint="eastAsia"/>
          <w:spacing w:val="-20"/>
          <w:sz w:val="28"/>
          <w:szCs w:val="28"/>
        </w:rPr>
        <w:t>)</w:t>
      </w:r>
    </w:p>
    <w:p w14:paraId="17512659" w14:textId="77777777" w:rsidR="00DE6C98" w:rsidRPr="00464A6F" w:rsidRDefault="00DE6C98" w:rsidP="00F470A8">
      <w:pPr>
        <w:overflowPunct w:val="0"/>
        <w:spacing w:line="360" w:lineRule="exact"/>
        <w:ind w:firstLineChars="1701" w:firstLine="3742"/>
        <w:jc w:val="both"/>
        <w:textAlignment w:val="auto"/>
        <w:rPr>
          <w:rFonts w:ascii="標楷體" w:eastAsia="標楷體" w:hAnsi="標楷體"/>
          <w:color w:val="FF0000"/>
          <w:spacing w:val="-20"/>
          <w:kern w:val="2"/>
          <w:szCs w:val="24"/>
        </w:rPr>
      </w:pPr>
    </w:p>
    <w:p w14:paraId="1F38DAE2" w14:textId="77777777" w:rsidR="00B23EB4" w:rsidRPr="00464A6F" w:rsidRDefault="009A60D1"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0" w:name="_Toc395195842"/>
      <w:bookmarkStart w:id="1" w:name="_Toc189487260"/>
      <w:r w:rsidRPr="00464A6F">
        <w:rPr>
          <w:rFonts w:ascii="標楷體" w:eastAsia="標楷體" w:hAnsi="標楷體" w:hint="eastAsia"/>
          <w:bCs w:val="0"/>
          <w:sz w:val="36"/>
          <w:szCs w:val="36"/>
        </w:rPr>
        <w:t>壹、</w:t>
      </w:r>
      <w:r w:rsidR="00B23EB4" w:rsidRPr="00464A6F">
        <w:rPr>
          <w:rFonts w:ascii="標楷體" w:eastAsia="標楷體" w:hAnsi="標楷體"/>
          <w:bCs w:val="0"/>
          <w:sz w:val="36"/>
          <w:szCs w:val="36"/>
        </w:rPr>
        <w:t>組織</w:t>
      </w:r>
      <w:bookmarkEnd w:id="0"/>
      <w:r w:rsidR="00B23EB4" w:rsidRPr="00464A6F">
        <w:rPr>
          <w:rFonts w:ascii="標楷體" w:eastAsia="標楷體" w:hAnsi="標楷體" w:hint="eastAsia"/>
          <w:bCs w:val="0"/>
          <w:sz w:val="36"/>
          <w:szCs w:val="36"/>
        </w:rPr>
        <w:t>及業務簡介</w:t>
      </w:r>
      <w:bookmarkEnd w:id="1"/>
    </w:p>
    <w:p w14:paraId="6331CC91" w14:textId="77777777" w:rsidR="009A60D1" w:rsidRPr="00464A6F" w:rsidRDefault="009A60D1" w:rsidP="00F470A8">
      <w:pPr>
        <w:pStyle w:val="2"/>
        <w:numPr>
          <w:ilvl w:val="0"/>
          <w:numId w:val="0"/>
        </w:numPr>
        <w:overflowPunct w:val="0"/>
        <w:spacing w:line="480" w:lineRule="exact"/>
        <w:ind w:left="927" w:hanging="567"/>
        <w:rPr>
          <w:rFonts w:ascii="標楷體" w:eastAsia="標楷體" w:hAnsi="標楷體"/>
          <w:bCs w:val="0"/>
          <w:kern w:val="2"/>
          <w:sz w:val="32"/>
          <w:szCs w:val="32"/>
        </w:rPr>
      </w:pPr>
      <w:bookmarkStart w:id="2" w:name="_Toc189487261"/>
      <w:bookmarkStart w:id="3" w:name="_Toc395195843"/>
      <w:r w:rsidRPr="00464A6F">
        <w:rPr>
          <w:rFonts w:ascii="標楷體" w:eastAsia="標楷體" w:hAnsi="標楷體" w:hint="eastAsia"/>
          <w:bCs w:val="0"/>
          <w:kern w:val="2"/>
          <w:sz w:val="32"/>
          <w:szCs w:val="32"/>
        </w:rPr>
        <w:t>一、</w:t>
      </w:r>
      <w:r w:rsidRPr="00464A6F">
        <w:rPr>
          <w:rFonts w:ascii="標楷體" w:eastAsia="標楷體" w:hAnsi="標楷體"/>
          <w:bCs w:val="0"/>
          <w:kern w:val="2"/>
          <w:sz w:val="32"/>
          <w:szCs w:val="32"/>
        </w:rPr>
        <w:t>組織</w:t>
      </w:r>
      <w:bookmarkEnd w:id="2"/>
    </w:p>
    <w:p w14:paraId="0881C6EC" w14:textId="77777777" w:rsidR="009A60D1" w:rsidRPr="00464A6F" w:rsidRDefault="009A60D1" w:rsidP="00F470A8">
      <w:pPr>
        <w:pStyle w:val="3"/>
        <w:overflowPunct w:val="0"/>
        <w:ind w:leftChars="300" w:left="720"/>
        <w:rPr>
          <w:bCs w:val="0"/>
          <w:kern w:val="2"/>
          <w:sz w:val="28"/>
          <w:szCs w:val="28"/>
        </w:rPr>
      </w:pPr>
      <w:bookmarkStart w:id="4" w:name="_Toc189487262"/>
      <w:r w:rsidRPr="00464A6F">
        <w:rPr>
          <w:bCs w:val="0"/>
          <w:kern w:val="2"/>
          <w:sz w:val="28"/>
          <w:szCs w:val="28"/>
        </w:rPr>
        <w:t>(</w:t>
      </w:r>
      <w:r w:rsidRPr="00464A6F">
        <w:rPr>
          <w:rFonts w:hint="eastAsia"/>
          <w:bCs w:val="0"/>
          <w:kern w:val="2"/>
          <w:sz w:val="28"/>
          <w:szCs w:val="28"/>
        </w:rPr>
        <w:t>一</w:t>
      </w:r>
      <w:r w:rsidRPr="00464A6F">
        <w:rPr>
          <w:bCs w:val="0"/>
          <w:kern w:val="2"/>
          <w:sz w:val="28"/>
          <w:szCs w:val="28"/>
        </w:rPr>
        <w:t>)本會</w:t>
      </w:r>
      <w:r w:rsidRPr="00464A6F">
        <w:rPr>
          <w:rFonts w:hint="eastAsia"/>
          <w:bCs w:val="0"/>
          <w:kern w:val="2"/>
          <w:sz w:val="28"/>
          <w:szCs w:val="28"/>
        </w:rPr>
        <w:t>期本會</w:t>
      </w:r>
      <w:r w:rsidRPr="00464A6F">
        <w:rPr>
          <w:bCs w:val="0"/>
          <w:kern w:val="2"/>
          <w:sz w:val="28"/>
          <w:szCs w:val="28"/>
        </w:rPr>
        <w:t>委員</w:t>
      </w:r>
      <w:r w:rsidRPr="00464A6F">
        <w:rPr>
          <w:rFonts w:hint="eastAsia"/>
          <w:bCs w:val="0"/>
          <w:kern w:val="2"/>
          <w:sz w:val="28"/>
          <w:szCs w:val="28"/>
        </w:rPr>
        <w:t>(</w:t>
      </w:r>
      <w:r w:rsidRPr="00464A6F">
        <w:rPr>
          <w:bCs w:val="0"/>
          <w:kern w:val="2"/>
          <w:sz w:val="28"/>
          <w:szCs w:val="28"/>
        </w:rPr>
        <w:t>1</w:t>
      </w:r>
      <w:r w:rsidR="00A54D79" w:rsidRPr="00464A6F">
        <w:rPr>
          <w:rFonts w:hint="eastAsia"/>
          <w:bCs w:val="0"/>
          <w:kern w:val="2"/>
          <w:sz w:val="28"/>
          <w:szCs w:val="28"/>
        </w:rPr>
        <w:t>4</w:t>
      </w:r>
      <w:r w:rsidRPr="00464A6F">
        <w:rPr>
          <w:bCs w:val="0"/>
          <w:kern w:val="2"/>
          <w:sz w:val="28"/>
          <w:szCs w:val="28"/>
        </w:rPr>
        <w:t>人</w:t>
      </w:r>
      <w:r w:rsidRPr="00464A6F">
        <w:rPr>
          <w:rFonts w:hint="eastAsia"/>
          <w:bCs w:val="0"/>
          <w:kern w:val="2"/>
          <w:sz w:val="28"/>
          <w:szCs w:val="28"/>
        </w:rPr>
        <w:t>)</w:t>
      </w:r>
      <w:bookmarkEnd w:id="4"/>
    </w:p>
    <w:p w14:paraId="75B902F4" w14:textId="77777777" w:rsidR="009A60D1" w:rsidRPr="00464A6F" w:rsidRDefault="009A60D1" w:rsidP="00F470A8">
      <w:pPr>
        <w:overflowPunct w:val="0"/>
        <w:autoSpaceDN/>
        <w:spacing w:line="540" w:lineRule="exact"/>
        <w:ind w:left="1134"/>
        <w:contextualSpacing/>
        <w:jc w:val="both"/>
        <w:textAlignment w:val="auto"/>
        <w:rPr>
          <w:rFonts w:ascii="標楷體" w:eastAsia="標楷體" w:hAnsi="標楷體"/>
          <w:bCs/>
          <w:kern w:val="2"/>
          <w:sz w:val="28"/>
          <w:szCs w:val="28"/>
        </w:rPr>
      </w:pPr>
      <w:r w:rsidRPr="00464A6F">
        <w:rPr>
          <w:rFonts w:ascii="標楷體" w:eastAsia="標楷體" w:hAnsi="標楷體"/>
          <w:bCs/>
          <w:kern w:val="2"/>
          <w:sz w:val="28"/>
          <w:szCs w:val="28"/>
        </w:rPr>
        <w:t xml:space="preserve">　</w:t>
      </w:r>
      <w:r w:rsidR="00A54D79" w:rsidRPr="00464A6F">
        <w:rPr>
          <w:rFonts w:ascii="標楷體" w:eastAsia="標楷體" w:hAnsi="標楷體"/>
          <w:bCs/>
          <w:kern w:val="2"/>
          <w:sz w:val="28"/>
          <w:szCs w:val="28"/>
        </w:rPr>
        <w:t>羅明才</w:t>
      </w:r>
      <w:r w:rsidR="00103C7A" w:rsidRPr="00464A6F">
        <w:rPr>
          <w:rFonts w:ascii="標楷體" w:eastAsia="標楷體" w:hAnsi="標楷體"/>
          <w:bCs/>
          <w:kern w:val="2"/>
          <w:sz w:val="28"/>
          <w:szCs w:val="28"/>
        </w:rPr>
        <w:t xml:space="preserve">　</w:t>
      </w:r>
      <w:r w:rsidR="00A54D79" w:rsidRPr="00464A6F">
        <w:rPr>
          <w:rFonts w:ascii="標楷體" w:eastAsia="標楷體" w:hAnsi="標楷體"/>
          <w:bCs/>
          <w:kern w:val="2"/>
          <w:sz w:val="28"/>
          <w:szCs w:val="28"/>
        </w:rPr>
        <w:t>林德福</w:t>
      </w:r>
      <w:r w:rsidR="00103C7A" w:rsidRPr="00464A6F">
        <w:rPr>
          <w:rFonts w:ascii="標楷體" w:eastAsia="標楷體" w:hAnsi="標楷體"/>
          <w:bCs/>
          <w:kern w:val="2"/>
          <w:sz w:val="28"/>
          <w:szCs w:val="28"/>
        </w:rPr>
        <w:t xml:space="preserve">　</w:t>
      </w:r>
      <w:r w:rsidR="00A54D79" w:rsidRPr="00464A6F">
        <w:rPr>
          <w:rFonts w:ascii="標楷體" w:eastAsia="標楷體" w:hAnsi="標楷體"/>
          <w:bCs/>
          <w:kern w:val="2"/>
          <w:sz w:val="28"/>
          <w:szCs w:val="28"/>
        </w:rPr>
        <w:t>賴士葆</w:t>
      </w:r>
      <w:r w:rsidR="00103C7A"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顏寬恒</w:t>
      </w:r>
      <w:r w:rsidR="00103C7A"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李彥秀</w:t>
      </w:r>
      <w:r w:rsidR="00103C7A"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陳玉珍</w:t>
      </w:r>
      <w:r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王鴻薇</w:t>
      </w:r>
    </w:p>
    <w:p w14:paraId="55B345D2" w14:textId="77777777" w:rsidR="00316474" w:rsidRPr="00464A6F" w:rsidRDefault="009A60D1" w:rsidP="00F470A8">
      <w:pPr>
        <w:overflowPunct w:val="0"/>
        <w:autoSpaceDN/>
        <w:spacing w:line="540" w:lineRule="exact"/>
        <w:ind w:left="1134"/>
        <w:contextualSpacing/>
        <w:jc w:val="both"/>
        <w:textAlignment w:val="auto"/>
        <w:rPr>
          <w:rFonts w:ascii="標楷體" w:eastAsia="標楷體" w:hAnsi="標楷體"/>
          <w:bCs/>
          <w:kern w:val="2"/>
          <w:sz w:val="28"/>
          <w:szCs w:val="28"/>
        </w:rPr>
      </w:pPr>
      <w:r w:rsidRPr="00464A6F">
        <w:rPr>
          <w:rFonts w:ascii="標楷體" w:eastAsia="標楷體" w:hAnsi="標楷體"/>
          <w:bCs/>
          <w:kern w:val="2"/>
          <w:sz w:val="28"/>
          <w:szCs w:val="28"/>
        </w:rPr>
        <w:t xml:space="preserve">　</w:t>
      </w:r>
      <w:r w:rsidR="00A54D79" w:rsidRPr="00464A6F">
        <w:rPr>
          <w:rFonts w:ascii="標楷體" w:eastAsia="標楷體" w:hAnsi="標楷體"/>
          <w:bCs/>
          <w:kern w:val="2"/>
          <w:sz w:val="28"/>
          <w:szCs w:val="28"/>
        </w:rPr>
        <w:t>吳秉叡</w:t>
      </w:r>
      <w:r w:rsidR="00103C7A"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郭國文</w:t>
      </w:r>
      <w:r w:rsidR="00103C7A"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賴惠員</w:t>
      </w:r>
      <w:r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王世堅</w:t>
      </w:r>
      <w:r w:rsidR="00103C7A"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李坤城</w:t>
      </w:r>
      <w:r w:rsidR="00316474" w:rsidRPr="00464A6F">
        <w:rPr>
          <w:rFonts w:ascii="標楷體" w:eastAsia="標楷體" w:hAnsi="標楷體"/>
          <w:bCs/>
          <w:kern w:val="2"/>
          <w:sz w:val="28"/>
          <w:szCs w:val="28"/>
        </w:rPr>
        <w:t xml:space="preserve">　</w:t>
      </w:r>
      <w:r w:rsidR="00316474" w:rsidRPr="00464A6F">
        <w:rPr>
          <w:rFonts w:ascii="標楷體" w:eastAsia="標楷體" w:hAnsi="標楷體" w:hint="eastAsia"/>
          <w:bCs/>
          <w:kern w:val="2"/>
          <w:sz w:val="28"/>
          <w:szCs w:val="28"/>
        </w:rPr>
        <w:t>黃珊珊</w:t>
      </w:r>
    </w:p>
    <w:p w14:paraId="598A7ACE" w14:textId="77777777" w:rsidR="009A60D1" w:rsidRPr="00464A6F" w:rsidRDefault="00103C7A" w:rsidP="00F470A8">
      <w:pPr>
        <w:overflowPunct w:val="0"/>
        <w:autoSpaceDN/>
        <w:spacing w:line="540" w:lineRule="exact"/>
        <w:ind w:left="1134"/>
        <w:contextualSpacing/>
        <w:jc w:val="both"/>
        <w:textAlignment w:val="auto"/>
        <w:rPr>
          <w:rFonts w:ascii="標楷體" w:eastAsia="標楷體" w:hAnsi="標楷體"/>
          <w:bCs/>
          <w:kern w:val="2"/>
          <w:sz w:val="28"/>
          <w:szCs w:val="28"/>
        </w:rPr>
      </w:pPr>
      <w:r w:rsidRPr="00464A6F">
        <w:rPr>
          <w:rFonts w:ascii="標楷體" w:eastAsia="標楷體" w:hAnsi="標楷體"/>
          <w:bCs/>
          <w:kern w:val="2"/>
          <w:sz w:val="28"/>
          <w:szCs w:val="28"/>
        </w:rPr>
        <w:t xml:space="preserve">　</w:t>
      </w:r>
      <w:r w:rsidR="00A54D79" w:rsidRPr="00464A6F">
        <w:rPr>
          <w:rFonts w:ascii="標楷體" w:eastAsia="標楷體" w:hAnsi="標楷體" w:hint="eastAsia"/>
          <w:bCs/>
          <w:kern w:val="2"/>
          <w:sz w:val="28"/>
          <w:szCs w:val="28"/>
        </w:rPr>
        <w:t>伍麗華</w:t>
      </w:r>
      <w:r w:rsidR="00316474" w:rsidRPr="00464A6F">
        <w:rPr>
          <w:rFonts w:ascii="標楷體" w:eastAsia="標楷體" w:hAnsi="標楷體"/>
          <w:bCs/>
          <w:kern w:val="2"/>
          <w:sz w:val="28"/>
          <w:szCs w:val="28"/>
        </w:rPr>
        <w:t>Saidhai</w:t>
      </w:r>
      <w:r w:rsidR="00A054E6" w:rsidRPr="00464A6F">
        <w:rPr>
          <w:rFonts w:ascii="標楷體" w:eastAsia="標楷體" w:hAnsi="標楷體" w:hint="eastAsia"/>
          <w:bCs/>
          <w:kern w:val="2"/>
          <w:sz w:val="28"/>
          <w:szCs w:val="28"/>
        </w:rPr>
        <w:t xml:space="preserve"> </w:t>
      </w:r>
      <w:r w:rsidR="00316474" w:rsidRPr="00464A6F">
        <w:rPr>
          <w:rFonts w:ascii="標楷體" w:eastAsia="標楷體" w:hAnsi="標楷體"/>
          <w:bCs/>
          <w:kern w:val="2"/>
          <w:sz w:val="28"/>
          <w:szCs w:val="28"/>
        </w:rPr>
        <w:t>Tahovecahe</w:t>
      </w:r>
    </w:p>
    <w:p w14:paraId="309611CB" w14:textId="77777777" w:rsidR="009A60D1" w:rsidRPr="00464A6F" w:rsidRDefault="009A60D1" w:rsidP="00F470A8">
      <w:pPr>
        <w:pStyle w:val="3"/>
        <w:overflowPunct w:val="0"/>
        <w:ind w:leftChars="300" w:left="720"/>
        <w:rPr>
          <w:bCs w:val="0"/>
          <w:kern w:val="2"/>
          <w:sz w:val="28"/>
          <w:szCs w:val="28"/>
        </w:rPr>
      </w:pPr>
      <w:bookmarkStart w:id="5" w:name="_Toc189487263"/>
      <w:r w:rsidRPr="00464A6F">
        <w:rPr>
          <w:bCs w:val="0"/>
          <w:kern w:val="2"/>
          <w:sz w:val="28"/>
          <w:szCs w:val="28"/>
        </w:rPr>
        <w:t>(</w:t>
      </w:r>
      <w:r w:rsidRPr="00464A6F">
        <w:rPr>
          <w:rFonts w:hint="eastAsia"/>
          <w:bCs w:val="0"/>
          <w:kern w:val="2"/>
          <w:sz w:val="28"/>
          <w:szCs w:val="28"/>
        </w:rPr>
        <w:t>二</w:t>
      </w:r>
      <w:r w:rsidRPr="00464A6F">
        <w:rPr>
          <w:bCs w:val="0"/>
          <w:kern w:val="2"/>
          <w:sz w:val="28"/>
          <w:szCs w:val="28"/>
        </w:rPr>
        <w:t>)本會</w:t>
      </w:r>
      <w:r w:rsidRPr="00464A6F">
        <w:rPr>
          <w:rFonts w:hint="eastAsia"/>
          <w:bCs w:val="0"/>
          <w:kern w:val="2"/>
          <w:sz w:val="28"/>
          <w:szCs w:val="28"/>
        </w:rPr>
        <w:t>期本會</w:t>
      </w:r>
      <w:r w:rsidRPr="00464A6F">
        <w:rPr>
          <w:bCs w:val="0"/>
          <w:kern w:val="2"/>
          <w:sz w:val="28"/>
          <w:szCs w:val="28"/>
        </w:rPr>
        <w:t>召集委員</w:t>
      </w:r>
      <w:bookmarkEnd w:id="5"/>
    </w:p>
    <w:p w14:paraId="0835743D" w14:textId="77777777" w:rsidR="009A60D1" w:rsidRPr="00464A6F" w:rsidRDefault="00464A6F" w:rsidP="00F470A8">
      <w:pPr>
        <w:overflowPunct w:val="0"/>
        <w:autoSpaceDN/>
        <w:spacing w:line="600" w:lineRule="exact"/>
        <w:ind w:leftChars="590" w:left="1416" w:firstLine="2"/>
        <w:contextualSpacing/>
        <w:jc w:val="both"/>
        <w:textAlignment w:val="auto"/>
        <w:rPr>
          <w:rFonts w:ascii="標楷體" w:eastAsia="標楷體" w:hAnsi="標楷體"/>
          <w:bCs/>
          <w:kern w:val="2"/>
          <w:sz w:val="28"/>
          <w:szCs w:val="28"/>
        </w:rPr>
      </w:pPr>
      <w:r w:rsidRPr="00464A6F">
        <w:rPr>
          <w:rFonts w:ascii="標楷體" w:eastAsia="標楷體" w:hAnsi="標楷體" w:hint="eastAsia"/>
          <w:bCs/>
          <w:kern w:val="2"/>
          <w:sz w:val="28"/>
          <w:szCs w:val="28"/>
        </w:rPr>
        <w:t>陳</w:t>
      </w:r>
      <w:r w:rsidR="009A60D1" w:rsidRPr="00464A6F">
        <w:rPr>
          <w:rFonts w:ascii="標楷體" w:eastAsia="標楷體" w:hAnsi="標楷體" w:hint="eastAsia"/>
          <w:bCs/>
          <w:kern w:val="2"/>
          <w:sz w:val="28"/>
          <w:szCs w:val="28"/>
        </w:rPr>
        <w:t>委員</w:t>
      </w:r>
      <w:r w:rsidRPr="00464A6F">
        <w:rPr>
          <w:rFonts w:ascii="標楷體" w:eastAsia="標楷體" w:hAnsi="標楷體" w:hint="eastAsia"/>
          <w:bCs/>
          <w:kern w:val="2"/>
          <w:sz w:val="28"/>
          <w:szCs w:val="28"/>
        </w:rPr>
        <w:t>玉珍</w:t>
      </w:r>
      <w:r w:rsidR="009A60D1" w:rsidRPr="00464A6F">
        <w:rPr>
          <w:rFonts w:ascii="標楷體" w:eastAsia="標楷體" w:hAnsi="標楷體"/>
          <w:bCs/>
          <w:kern w:val="2"/>
          <w:sz w:val="28"/>
          <w:szCs w:val="28"/>
        </w:rPr>
        <w:t>、</w:t>
      </w:r>
      <w:r w:rsidRPr="00464A6F">
        <w:rPr>
          <w:rFonts w:ascii="標楷體" w:eastAsia="標楷體" w:hAnsi="標楷體" w:hint="eastAsia"/>
          <w:bCs/>
          <w:kern w:val="2"/>
          <w:sz w:val="28"/>
          <w:szCs w:val="28"/>
        </w:rPr>
        <w:t>賴</w:t>
      </w:r>
      <w:r w:rsidR="009A60D1" w:rsidRPr="00464A6F">
        <w:rPr>
          <w:rFonts w:ascii="標楷體" w:eastAsia="標楷體" w:hAnsi="標楷體"/>
          <w:bCs/>
          <w:kern w:val="2"/>
          <w:sz w:val="28"/>
          <w:szCs w:val="28"/>
        </w:rPr>
        <w:t>委員</w:t>
      </w:r>
      <w:r w:rsidRPr="00464A6F">
        <w:rPr>
          <w:rFonts w:ascii="標楷體" w:eastAsia="標楷體" w:hAnsi="標楷體" w:hint="eastAsia"/>
          <w:bCs/>
          <w:kern w:val="2"/>
          <w:sz w:val="28"/>
          <w:szCs w:val="28"/>
        </w:rPr>
        <w:t>惠員</w:t>
      </w:r>
    </w:p>
    <w:p w14:paraId="05B8F353" w14:textId="77777777" w:rsidR="009A60D1" w:rsidRPr="00464A6F" w:rsidRDefault="009A60D1" w:rsidP="00F470A8">
      <w:pPr>
        <w:pStyle w:val="3"/>
        <w:overflowPunct w:val="0"/>
        <w:ind w:leftChars="300" w:left="720"/>
        <w:rPr>
          <w:bCs w:val="0"/>
          <w:kern w:val="2"/>
          <w:sz w:val="28"/>
          <w:szCs w:val="28"/>
        </w:rPr>
      </w:pPr>
      <w:bookmarkStart w:id="6" w:name="_Toc189487264"/>
      <w:r w:rsidRPr="00464A6F">
        <w:rPr>
          <w:bCs w:val="0"/>
          <w:kern w:val="2"/>
          <w:sz w:val="28"/>
          <w:szCs w:val="28"/>
        </w:rPr>
        <w:t>(</w:t>
      </w:r>
      <w:r w:rsidRPr="00464A6F">
        <w:rPr>
          <w:rFonts w:hint="eastAsia"/>
          <w:bCs w:val="0"/>
          <w:kern w:val="2"/>
          <w:sz w:val="28"/>
          <w:szCs w:val="28"/>
        </w:rPr>
        <w:t>三</w:t>
      </w:r>
      <w:r w:rsidRPr="00464A6F">
        <w:rPr>
          <w:bCs w:val="0"/>
          <w:kern w:val="2"/>
          <w:sz w:val="28"/>
          <w:szCs w:val="28"/>
        </w:rPr>
        <w:t>)本會</w:t>
      </w:r>
      <w:r w:rsidRPr="00464A6F">
        <w:rPr>
          <w:rFonts w:hint="eastAsia"/>
          <w:bCs w:val="0"/>
          <w:kern w:val="2"/>
          <w:sz w:val="28"/>
          <w:szCs w:val="28"/>
        </w:rPr>
        <w:t>期擔任紀律委員會召集委員</w:t>
      </w:r>
      <w:bookmarkEnd w:id="6"/>
    </w:p>
    <w:p w14:paraId="235B5C3E" w14:textId="77777777" w:rsidR="009A60D1" w:rsidRPr="00464A6F" w:rsidRDefault="00464A6F" w:rsidP="00F470A8">
      <w:pPr>
        <w:overflowPunct w:val="0"/>
        <w:autoSpaceDN/>
        <w:spacing w:line="600" w:lineRule="exact"/>
        <w:ind w:leftChars="590" w:left="1416" w:firstLine="2"/>
        <w:contextualSpacing/>
        <w:jc w:val="both"/>
        <w:textAlignment w:val="auto"/>
        <w:rPr>
          <w:rFonts w:ascii="標楷體" w:eastAsia="標楷體" w:hAnsi="標楷體"/>
          <w:bCs/>
          <w:kern w:val="2"/>
          <w:sz w:val="28"/>
          <w:szCs w:val="28"/>
        </w:rPr>
      </w:pPr>
      <w:r w:rsidRPr="00464A6F">
        <w:rPr>
          <w:rFonts w:ascii="標楷體" w:eastAsia="標楷體" w:hAnsi="標楷體" w:hint="eastAsia"/>
          <w:bCs/>
          <w:kern w:val="2"/>
          <w:sz w:val="28"/>
          <w:szCs w:val="28"/>
        </w:rPr>
        <w:t>賴</w:t>
      </w:r>
      <w:r w:rsidR="003F698E" w:rsidRPr="00464A6F">
        <w:rPr>
          <w:rFonts w:ascii="標楷體" w:eastAsia="標楷體" w:hAnsi="標楷體" w:hint="eastAsia"/>
          <w:bCs/>
          <w:kern w:val="2"/>
          <w:sz w:val="28"/>
          <w:szCs w:val="28"/>
        </w:rPr>
        <w:t>委員</w:t>
      </w:r>
      <w:r w:rsidRPr="00464A6F">
        <w:rPr>
          <w:rFonts w:ascii="標楷體" w:eastAsia="標楷體" w:hAnsi="標楷體" w:hint="eastAsia"/>
          <w:bCs/>
          <w:kern w:val="2"/>
          <w:sz w:val="28"/>
          <w:szCs w:val="28"/>
        </w:rPr>
        <w:t>惠員</w:t>
      </w:r>
    </w:p>
    <w:p w14:paraId="02EE8CFF" w14:textId="77777777" w:rsidR="009A60D1" w:rsidRPr="00464A6F" w:rsidRDefault="009A60D1" w:rsidP="00F470A8">
      <w:pPr>
        <w:pStyle w:val="2"/>
        <w:numPr>
          <w:ilvl w:val="0"/>
          <w:numId w:val="0"/>
        </w:numPr>
        <w:overflowPunct w:val="0"/>
        <w:spacing w:line="480" w:lineRule="exact"/>
        <w:ind w:left="927" w:hanging="567"/>
        <w:rPr>
          <w:rFonts w:ascii="標楷體" w:eastAsia="標楷體" w:hAnsi="標楷體"/>
          <w:bCs w:val="0"/>
          <w:kern w:val="2"/>
          <w:sz w:val="32"/>
          <w:szCs w:val="32"/>
        </w:rPr>
      </w:pPr>
      <w:bookmarkStart w:id="7" w:name="_Toc189487265"/>
      <w:r w:rsidRPr="00464A6F">
        <w:rPr>
          <w:rFonts w:ascii="標楷體" w:eastAsia="標楷體" w:hAnsi="標楷體" w:hint="eastAsia"/>
          <w:bCs w:val="0"/>
          <w:kern w:val="2"/>
          <w:sz w:val="32"/>
          <w:szCs w:val="32"/>
        </w:rPr>
        <w:t>二、業務簡介</w:t>
      </w:r>
      <w:bookmarkEnd w:id="7"/>
    </w:p>
    <w:p w14:paraId="14A3B748" w14:textId="77777777" w:rsidR="009A60D1" w:rsidRPr="00464A6F" w:rsidRDefault="009A60D1" w:rsidP="00F470A8">
      <w:pPr>
        <w:pStyle w:val="3"/>
        <w:overflowPunct w:val="0"/>
        <w:ind w:leftChars="300" w:left="720"/>
        <w:rPr>
          <w:bCs w:val="0"/>
          <w:kern w:val="2"/>
          <w:sz w:val="28"/>
          <w:szCs w:val="28"/>
        </w:rPr>
      </w:pPr>
      <w:bookmarkStart w:id="8" w:name="_Toc189487266"/>
      <w:r w:rsidRPr="00464A6F">
        <w:rPr>
          <w:rFonts w:hint="eastAsia"/>
          <w:bCs w:val="0"/>
          <w:kern w:val="2"/>
          <w:sz w:val="28"/>
          <w:szCs w:val="28"/>
        </w:rPr>
        <w:t>(一)依據</w:t>
      </w:r>
      <w:bookmarkEnd w:id="8"/>
    </w:p>
    <w:p w14:paraId="67BAF1D0" w14:textId="77777777" w:rsidR="009A60D1" w:rsidRPr="00464A6F" w:rsidRDefault="009A60D1" w:rsidP="00F470A8">
      <w:pPr>
        <w:overflowPunct w:val="0"/>
        <w:spacing w:line="500" w:lineRule="exact"/>
        <w:ind w:leftChars="590" w:left="1699" w:hangingChars="101" w:hanging="283"/>
        <w:jc w:val="both"/>
        <w:textAlignment w:val="auto"/>
        <w:rPr>
          <w:rFonts w:ascii="標楷體" w:eastAsia="標楷體" w:hAnsi="標楷體"/>
          <w:bCs/>
          <w:sz w:val="28"/>
          <w:szCs w:val="28"/>
        </w:rPr>
      </w:pPr>
      <w:r w:rsidRPr="00464A6F">
        <w:rPr>
          <w:rFonts w:ascii="標楷體" w:eastAsia="標楷體" w:hAnsi="標楷體" w:hint="eastAsia"/>
          <w:bCs/>
          <w:sz w:val="28"/>
          <w:szCs w:val="28"/>
        </w:rPr>
        <w:t>1.依立法院</w:t>
      </w:r>
      <w:r w:rsidRPr="00464A6F">
        <w:rPr>
          <w:rFonts w:ascii="標楷體" w:eastAsia="標楷體" w:hAnsi="標楷體"/>
          <w:bCs/>
          <w:sz w:val="28"/>
          <w:szCs w:val="28"/>
        </w:rPr>
        <w:t>各委員會組織法第</w:t>
      </w:r>
      <w:r w:rsidRPr="00464A6F">
        <w:rPr>
          <w:rFonts w:ascii="標楷體" w:eastAsia="標楷體" w:hAnsi="標楷體" w:hint="eastAsia"/>
          <w:bCs/>
          <w:sz w:val="28"/>
          <w:szCs w:val="28"/>
        </w:rPr>
        <w:t>2</w:t>
      </w:r>
      <w:r w:rsidRPr="00464A6F">
        <w:rPr>
          <w:rFonts w:ascii="標楷體" w:eastAsia="標楷體" w:hAnsi="標楷體"/>
          <w:bCs/>
          <w:sz w:val="28"/>
          <w:szCs w:val="28"/>
        </w:rPr>
        <w:t>條規定</w:t>
      </w:r>
      <w:r w:rsidRPr="00464A6F">
        <w:rPr>
          <w:rFonts w:ascii="標楷體" w:eastAsia="標楷體" w:hAnsi="標楷體" w:hint="eastAsia"/>
          <w:bCs/>
          <w:sz w:val="28"/>
          <w:szCs w:val="28"/>
        </w:rPr>
        <w:t>，</w:t>
      </w:r>
      <w:r w:rsidRPr="00464A6F">
        <w:rPr>
          <w:rFonts w:ascii="標楷體" w:eastAsia="標楷體" w:hAnsi="標楷體"/>
          <w:bCs/>
          <w:sz w:val="28"/>
          <w:szCs w:val="28"/>
        </w:rPr>
        <w:t>各委員會審查本院會議交付審查之議案及人民請願書，並得於每會期開始時，邀請相關部會</w:t>
      </w:r>
      <w:r w:rsidRPr="00464A6F">
        <w:rPr>
          <w:rFonts w:ascii="標楷體" w:eastAsia="標楷體" w:hAnsi="標楷體" w:hint="eastAsia"/>
          <w:bCs/>
          <w:sz w:val="28"/>
          <w:szCs w:val="28"/>
        </w:rPr>
        <w:t>作</w:t>
      </w:r>
      <w:r w:rsidRPr="00464A6F">
        <w:rPr>
          <w:rFonts w:ascii="標楷體" w:eastAsia="標楷體" w:hAnsi="標楷體"/>
          <w:bCs/>
          <w:sz w:val="28"/>
          <w:szCs w:val="28"/>
        </w:rPr>
        <w:t>業務報告，並備質詢。</w:t>
      </w:r>
    </w:p>
    <w:p w14:paraId="4C7A3251" w14:textId="4B9DC626" w:rsidR="009A60D1" w:rsidRPr="00464A6F" w:rsidRDefault="00375CD4" w:rsidP="00F470A8">
      <w:pPr>
        <w:overflowPunct w:val="0"/>
        <w:spacing w:line="500" w:lineRule="exact"/>
        <w:ind w:leftChars="590" w:left="1699" w:hangingChars="101" w:hanging="283"/>
        <w:jc w:val="both"/>
        <w:textAlignment w:val="auto"/>
        <w:rPr>
          <w:rFonts w:ascii="標楷體" w:eastAsia="標楷體" w:hAnsi="標楷體"/>
          <w:bCs/>
          <w:sz w:val="28"/>
          <w:szCs w:val="28"/>
        </w:rPr>
      </w:pPr>
      <w:r>
        <w:rPr>
          <w:rFonts w:ascii="標楷體" w:eastAsia="標楷體" w:hAnsi="標楷體" w:hint="eastAsia"/>
          <w:bCs/>
          <w:sz w:val="28"/>
          <w:szCs w:val="28"/>
        </w:rPr>
        <w:t>2</w:t>
      </w:r>
      <w:r w:rsidR="009A60D1" w:rsidRPr="00464A6F">
        <w:rPr>
          <w:rFonts w:ascii="標楷體" w:eastAsia="標楷體" w:hAnsi="標楷體" w:hint="eastAsia"/>
          <w:bCs/>
          <w:sz w:val="28"/>
          <w:szCs w:val="28"/>
        </w:rPr>
        <w:t>.依立法院職權行使法第54條規定，為審查院會交付之議案得舉行公聽會。</w:t>
      </w:r>
    </w:p>
    <w:p w14:paraId="06E920C0" w14:textId="43B87AA4" w:rsidR="009A60D1" w:rsidRPr="00464A6F" w:rsidRDefault="00375CD4" w:rsidP="00F470A8">
      <w:pPr>
        <w:overflowPunct w:val="0"/>
        <w:spacing w:line="700" w:lineRule="exact"/>
        <w:ind w:firstLineChars="500" w:firstLine="1400"/>
        <w:jc w:val="both"/>
        <w:textAlignment w:val="auto"/>
        <w:rPr>
          <w:rFonts w:ascii="標楷體" w:eastAsia="標楷體" w:hAnsi="標楷體"/>
          <w:bCs/>
          <w:sz w:val="28"/>
          <w:szCs w:val="28"/>
        </w:rPr>
      </w:pPr>
      <w:r>
        <w:rPr>
          <w:rFonts w:ascii="標楷體" w:eastAsia="標楷體" w:hAnsi="標楷體" w:hint="eastAsia"/>
          <w:bCs/>
          <w:sz w:val="28"/>
          <w:szCs w:val="28"/>
        </w:rPr>
        <w:t>3</w:t>
      </w:r>
      <w:r w:rsidR="009A60D1" w:rsidRPr="00464A6F">
        <w:rPr>
          <w:rFonts w:ascii="標楷體" w:eastAsia="標楷體" w:hAnsi="標楷體" w:hint="eastAsia"/>
          <w:bCs/>
          <w:sz w:val="28"/>
          <w:szCs w:val="28"/>
        </w:rPr>
        <w:t>.另依慣例，委員會得辦理考察活動等事宜。</w:t>
      </w:r>
    </w:p>
    <w:p w14:paraId="389A18A1" w14:textId="77777777" w:rsidR="009A60D1" w:rsidRPr="00464A6F" w:rsidRDefault="009A60D1" w:rsidP="00F470A8">
      <w:pPr>
        <w:pStyle w:val="3"/>
        <w:overflowPunct w:val="0"/>
        <w:ind w:leftChars="300" w:left="720"/>
        <w:rPr>
          <w:bCs w:val="0"/>
          <w:kern w:val="2"/>
          <w:sz w:val="28"/>
          <w:szCs w:val="28"/>
        </w:rPr>
      </w:pPr>
      <w:bookmarkStart w:id="9" w:name="_Toc189487267"/>
      <w:r w:rsidRPr="00464A6F">
        <w:rPr>
          <w:bCs w:val="0"/>
          <w:kern w:val="2"/>
          <w:sz w:val="28"/>
          <w:szCs w:val="28"/>
        </w:rPr>
        <w:t>(</w:t>
      </w:r>
      <w:r w:rsidRPr="00464A6F">
        <w:rPr>
          <w:rFonts w:hint="eastAsia"/>
          <w:bCs w:val="0"/>
          <w:kern w:val="2"/>
          <w:sz w:val="28"/>
          <w:szCs w:val="28"/>
        </w:rPr>
        <w:t>二</w:t>
      </w:r>
      <w:r w:rsidRPr="00464A6F">
        <w:rPr>
          <w:bCs w:val="0"/>
          <w:kern w:val="2"/>
          <w:sz w:val="28"/>
          <w:szCs w:val="28"/>
        </w:rPr>
        <w:t>)</w:t>
      </w:r>
      <w:r w:rsidRPr="00464A6F">
        <w:rPr>
          <w:rFonts w:hint="eastAsia"/>
          <w:bCs w:val="0"/>
          <w:kern w:val="2"/>
          <w:sz w:val="28"/>
          <w:szCs w:val="28"/>
        </w:rPr>
        <w:t>職掌</w:t>
      </w:r>
      <w:bookmarkEnd w:id="9"/>
    </w:p>
    <w:p w14:paraId="0AAF98C8" w14:textId="77777777" w:rsidR="009A60D1" w:rsidRPr="00464A6F" w:rsidRDefault="009A60D1" w:rsidP="00F470A8">
      <w:pPr>
        <w:overflowPunct w:val="0"/>
        <w:spacing w:line="500" w:lineRule="exact"/>
        <w:ind w:leftChars="590" w:left="1699" w:hangingChars="101" w:hanging="283"/>
        <w:jc w:val="both"/>
        <w:textAlignment w:val="auto"/>
        <w:rPr>
          <w:rFonts w:ascii="標楷體" w:eastAsia="標楷體" w:hAnsi="標楷體"/>
          <w:bCs/>
          <w:sz w:val="28"/>
          <w:szCs w:val="28"/>
        </w:rPr>
      </w:pPr>
      <w:r w:rsidRPr="00464A6F">
        <w:rPr>
          <w:rFonts w:ascii="標楷體" w:eastAsia="標楷體" w:hAnsi="標楷體" w:hint="eastAsia"/>
          <w:bCs/>
          <w:sz w:val="28"/>
          <w:szCs w:val="28"/>
        </w:rPr>
        <w:t>1.</w:t>
      </w:r>
      <w:r w:rsidRPr="00464A6F">
        <w:rPr>
          <w:rFonts w:ascii="標楷體" w:eastAsia="標楷體" w:hAnsi="標楷體"/>
          <w:bCs/>
          <w:sz w:val="28"/>
          <w:szCs w:val="28"/>
        </w:rPr>
        <w:t>依</w:t>
      </w:r>
      <w:r w:rsidRPr="00464A6F">
        <w:rPr>
          <w:rFonts w:ascii="標楷體" w:eastAsia="標楷體" w:hAnsi="標楷體" w:hint="eastAsia"/>
          <w:bCs/>
          <w:sz w:val="28"/>
          <w:szCs w:val="28"/>
        </w:rPr>
        <w:t>立法</w:t>
      </w:r>
      <w:r w:rsidRPr="00464A6F">
        <w:rPr>
          <w:rFonts w:ascii="標楷體" w:eastAsia="標楷體" w:hAnsi="標楷體"/>
          <w:bCs/>
          <w:sz w:val="28"/>
          <w:szCs w:val="28"/>
        </w:rPr>
        <w:t>院程序委員會組織規程第</w:t>
      </w:r>
      <w:r w:rsidRPr="00464A6F">
        <w:rPr>
          <w:rFonts w:ascii="標楷體" w:eastAsia="標楷體" w:hAnsi="標楷體" w:hint="eastAsia"/>
          <w:bCs/>
          <w:sz w:val="28"/>
          <w:szCs w:val="28"/>
        </w:rPr>
        <w:t>5</w:t>
      </w:r>
      <w:r w:rsidRPr="00464A6F">
        <w:rPr>
          <w:rFonts w:ascii="標楷體" w:eastAsia="標楷體" w:hAnsi="標楷體"/>
          <w:bCs/>
          <w:sz w:val="28"/>
          <w:szCs w:val="28"/>
        </w:rPr>
        <w:t>條第</w:t>
      </w:r>
      <w:r w:rsidRPr="00464A6F">
        <w:rPr>
          <w:rFonts w:ascii="標楷體" w:eastAsia="標楷體" w:hAnsi="標楷體" w:hint="eastAsia"/>
          <w:bCs/>
          <w:sz w:val="28"/>
          <w:szCs w:val="28"/>
        </w:rPr>
        <w:t>1</w:t>
      </w:r>
      <w:r w:rsidRPr="00464A6F">
        <w:rPr>
          <w:rFonts w:ascii="標楷體" w:eastAsia="標楷體" w:hAnsi="標楷體"/>
          <w:bCs/>
          <w:sz w:val="28"/>
          <w:szCs w:val="28"/>
        </w:rPr>
        <w:t>項第</w:t>
      </w:r>
      <w:r w:rsidRPr="00464A6F">
        <w:rPr>
          <w:rFonts w:ascii="標楷體" w:eastAsia="標楷體" w:hAnsi="標楷體" w:hint="eastAsia"/>
          <w:bCs/>
          <w:sz w:val="28"/>
          <w:szCs w:val="28"/>
        </w:rPr>
        <w:t>4</w:t>
      </w:r>
      <w:r w:rsidRPr="00464A6F">
        <w:rPr>
          <w:rFonts w:ascii="標楷體" w:eastAsia="標楷體" w:hAnsi="標楷體"/>
          <w:bCs/>
          <w:sz w:val="28"/>
          <w:szCs w:val="28"/>
        </w:rPr>
        <w:t>款規定：</w:t>
      </w:r>
    </w:p>
    <w:p w14:paraId="0D84DE4A" w14:textId="77777777" w:rsidR="009A60D1" w:rsidRPr="00464A6F" w:rsidRDefault="009A60D1" w:rsidP="00F470A8">
      <w:pPr>
        <w:overflowPunct w:val="0"/>
        <w:spacing w:line="500" w:lineRule="exact"/>
        <w:ind w:leftChars="700" w:left="2100" w:hangingChars="150" w:hanging="420"/>
        <w:jc w:val="both"/>
        <w:textAlignment w:val="auto"/>
        <w:rPr>
          <w:rFonts w:ascii="標楷體" w:eastAsia="標楷體" w:hAnsi="標楷體"/>
          <w:bCs/>
          <w:sz w:val="28"/>
          <w:szCs w:val="28"/>
        </w:rPr>
      </w:pPr>
      <w:r w:rsidRPr="00464A6F">
        <w:rPr>
          <w:rFonts w:ascii="標楷體" w:eastAsia="標楷體" w:hAnsi="標楷體"/>
          <w:bCs/>
          <w:sz w:val="28"/>
          <w:szCs w:val="28"/>
        </w:rPr>
        <w:t>(1)本會負責審查財政、金融政策、預算、決算、主計、審計及有關財政部、中央銀行、金融監督管理委員會、行政院主計總處掌理事項之議案。</w:t>
      </w:r>
    </w:p>
    <w:p w14:paraId="3D50881C" w14:textId="77777777" w:rsidR="009A60D1" w:rsidRPr="00464A6F" w:rsidRDefault="009A60D1" w:rsidP="00F470A8">
      <w:pPr>
        <w:overflowPunct w:val="0"/>
        <w:spacing w:line="500" w:lineRule="exact"/>
        <w:ind w:leftChars="700" w:left="2100" w:hangingChars="150" w:hanging="420"/>
        <w:jc w:val="both"/>
        <w:textAlignment w:val="auto"/>
        <w:rPr>
          <w:rFonts w:ascii="標楷體" w:eastAsia="標楷體" w:hAnsi="標楷體"/>
          <w:bCs/>
          <w:sz w:val="28"/>
          <w:szCs w:val="28"/>
        </w:rPr>
      </w:pPr>
      <w:r w:rsidRPr="00464A6F">
        <w:rPr>
          <w:rFonts w:ascii="標楷體" w:eastAsia="標楷體" w:hAnsi="標楷體" w:hint="eastAsia"/>
          <w:bCs/>
          <w:sz w:val="28"/>
          <w:szCs w:val="28"/>
        </w:rPr>
        <w:lastRenderedPageBreak/>
        <w:t>(</w:t>
      </w:r>
      <w:r w:rsidRPr="00464A6F">
        <w:rPr>
          <w:rFonts w:ascii="標楷體" w:eastAsia="標楷體" w:hAnsi="標楷體"/>
          <w:bCs/>
          <w:sz w:val="28"/>
          <w:szCs w:val="28"/>
        </w:rPr>
        <w:t>2)</w:t>
      </w:r>
      <w:r w:rsidRPr="00464A6F">
        <w:rPr>
          <w:rFonts w:ascii="標楷體" w:eastAsia="標楷體" w:hAnsi="標楷體" w:hint="eastAsia"/>
          <w:bCs/>
          <w:sz w:val="28"/>
          <w:szCs w:val="28"/>
        </w:rPr>
        <w:t>上開議案：包括法案、行政命令、人民請願案、預算案(含預算凍結案及報告案，指總預算案中有關預算凍結經決議後始可動支及決議事項報告案)及決算案。</w:t>
      </w:r>
    </w:p>
    <w:p w14:paraId="55828219" w14:textId="77777777" w:rsidR="009A60D1" w:rsidRPr="00464A6F" w:rsidRDefault="009A60D1" w:rsidP="00F470A8">
      <w:pPr>
        <w:overflowPunct w:val="0"/>
        <w:spacing w:line="500" w:lineRule="exact"/>
        <w:ind w:leftChars="590" w:left="1699" w:hangingChars="101" w:hanging="283"/>
        <w:jc w:val="both"/>
        <w:textAlignment w:val="auto"/>
        <w:rPr>
          <w:rFonts w:ascii="標楷體" w:eastAsia="標楷體" w:hAnsi="標楷體"/>
          <w:bCs/>
          <w:sz w:val="28"/>
          <w:szCs w:val="28"/>
        </w:rPr>
      </w:pPr>
      <w:r w:rsidRPr="00464A6F">
        <w:rPr>
          <w:rFonts w:ascii="標楷體" w:eastAsia="標楷體" w:hAnsi="標楷體" w:hint="eastAsia"/>
          <w:bCs/>
          <w:sz w:val="28"/>
          <w:szCs w:val="28"/>
        </w:rPr>
        <w:t>2.依中央政府總預算案審查程序之相關規定：</w:t>
      </w:r>
    </w:p>
    <w:p w14:paraId="0AC5D074" w14:textId="77777777" w:rsidR="009A60D1" w:rsidRPr="00464A6F" w:rsidRDefault="009A60D1" w:rsidP="00F470A8">
      <w:pPr>
        <w:overflowPunct w:val="0"/>
        <w:spacing w:line="500" w:lineRule="exact"/>
        <w:ind w:leftChars="700" w:left="2100" w:hangingChars="150" w:hanging="420"/>
        <w:jc w:val="both"/>
        <w:textAlignment w:val="auto"/>
        <w:rPr>
          <w:rFonts w:ascii="標楷體" w:eastAsia="標楷體" w:hAnsi="標楷體"/>
          <w:bCs/>
          <w:sz w:val="28"/>
          <w:szCs w:val="28"/>
        </w:rPr>
      </w:pPr>
      <w:r w:rsidRPr="00464A6F">
        <w:rPr>
          <w:rFonts w:ascii="標楷體" w:eastAsia="標楷體" w:hAnsi="標楷體" w:hint="eastAsia"/>
          <w:bCs/>
          <w:sz w:val="28"/>
          <w:szCs w:val="28"/>
        </w:rPr>
        <w:t>(</w:t>
      </w:r>
      <w:r w:rsidRPr="00464A6F">
        <w:rPr>
          <w:rFonts w:ascii="標楷體" w:eastAsia="標楷體" w:hAnsi="標楷體"/>
          <w:bCs/>
          <w:sz w:val="28"/>
          <w:szCs w:val="28"/>
        </w:rPr>
        <w:t>1</w:t>
      </w:r>
      <w:r w:rsidRPr="00464A6F">
        <w:rPr>
          <w:rFonts w:ascii="標楷體" w:eastAsia="標楷體" w:hAnsi="標楷體" w:hint="eastAsia"/>
          <w:bCs/>
          <w:sz w:val="28"/>
          <w:szCs w:val="28"/>
        </w:rPr>
        <w:t>)第3條規定，總預算案提報院會前應由本會研擬年度總預算審查日程及審查分配表，院會通過後交付本會分送各委員會審查。根據同條第1項第4款規定，本會分配負責審查：</w:t>
      </w:r>
    </w:p>
    <w:p w14:paraId="61DA9DAC" w14:textId="77777777" w:rsidR="009A60D1" w:rsidRPr="00464A6F" w:rsidRDefault="009A60D1" w:rsidP="00F470A8">
      <w:pPr>
        <w:overflowPunct w:val="0"/>
        <w:spacing w:line="500" w:lineRule="exact"/>
        <w:ind w:leftChars="900" w:left="2440" w:hangingChars="100" w:hanging="280"/>
        <w:jc w:val="both"/>
        <w:textAlignment w:val="auto"/>
        <w:rPr>
          <w:rFonts w:ascii="標楷體" w:eastAsia="標楷體" w:hAnsi="標楷體"/>
          <w:bCs/>
          <w:sz w:val="28"/>
          <w:szCs w:val="28"/>
        </w:rPr>
      </w:pPr>
      <w:r w:rsidRPr="00464A6F">
        <w:rPr>
          <w:rFonts w:ascii="標楷體" w:eastAsia="標楷體" w:hAnsi="標楷體"/>
          <w:bCs/>
          <w:sz w:val="28"/>
          <w:szCs w:val="28"/>
        </w:rPr>
        <w:fldChar w:fldCharType="begin"/>
      </w:r>
      <w:r w:rsidRPr="00464A6F">
        <w:rPr>
          <w:rFonts w:ascii="標楷體" w:eastAsia="標楷體" w:hAnsi="標楷體"/>
          <w:bCs/>
          <w:sz w:val="28"/>
          <w:szCs w:val="28"/>
        </w:rPr>
        <w:instrText xml:space="preserve"> </w:instrText>
      </w:r>
      <w:r w:rsidRPr="00464A6F">
        <w:rPr>
          <w:rFonts w:ascii="標楷體" w:eastAsia="標楷體" w:hAnsi="標楷體" w:hint="eastAsia"/>
          <w:bCs/>
          <w:sz w:val="28"/>
          <w:szCs w:val="28"/>
        </w:rPr>
        <w:instrText>eq \o\ac(○,1)</w:instrText>
      </w:r>
      <w:r w:rsidRPr="00464A6F">
        <w:rPr>
          <w:rFonts w:ascii="標楷體" w:eastAsia="標楷體" w:hAnsi="標楷體"/>
          <w:bCs/>
          <w:sz w:val="28"/>
          <w:szCs w:val="28"/>
        </w:rPr>
        <w:fldChar w:fldCharType="end"/>
      </w:r>
      <w:r w:rsidRPr="00464A6F">
        <w:rPr>
          <w:rFonts w:ascii="標楷體" w:eastAsia="標楷體" w:hAnsi="標楷體" w:hint="eastAsia"/>
          <w:bCs/>
          <w:sz w:val="28"/>
          <w:szCs w:val="28"/>
        </w:rPr>
        <w:t>財政部、中央銀行、金融監督管理委員會、行政院主計總處、審計部預算案。</w:t>
      </w:r>
    </w:p>
    <w:p w14:paraId="1ADFBDC8" w14:textId="77777777" w:rsidR="009A60D1" w:rsidRPr="00464A6F" w:rsidRDefault="009A60D1" w:rsidP="00F470A8">
      <w:pPr>
        <w:overflowPunct w:val="0"/>
        <w:spacing w:line="500" w:lineRule="exact"/>
        <w:ind w:leftChars="900" w:left="2440" w:hangingChars="100" w:hanging="280"/>
        <w:jc w:val="both"/>
        <w:textAlignment w:val="auto"/>
        <w:rPr>
          <w:rFonts w:ascii="標楷體" w:eastAsia="標楷體" w:hAnsi="標楷體"/>
          <w:bCs/>
          <w:sz w:val="28"/>
          <w:szCs w:val="28"/>
        </w:rPr>
      </w:pPr>
      <w:r w:rsidRPr="00464A6F">
        <w:rPr>
          <w:rFonts w:ascii="標楷體" w:eastAsia="標楷體" w:hAnsi="標楷體"/>
          <w:bCs/>
          <w:sz w:val="28"/>
          <w:szCs w:val="28"/>
        </w:rPr>
        <w:fldChar w:fldCharType="begin"/>
      </w:r>
      <w:r w:rsidRPr="00464A6F">
        <w:rPr>
          <w:rFonts w:ascii="標楷體" w:eastAsia="標楷體" w:hAnsi="標楷體"/>
          <w:bCs/>
          <w:sz w:val="28"/>
          <w:szCs w:val="28"/>
        </w:rPr>
        <w:instrText xml:space="preserve"> </w:instrText>
      </w:r>
      <w:r w:rsidRPr="00464A6F">
        <w:rPr>
          <w:rFonts w:ascii="標楷體" w:eastAsia="標楷體" w:hAnsi="標楷體" w:hint="eastAsia"/>
          <w:bCs/>
          <w:sz w:val="28"/>
          <w:szCs w:val="28"/>
        </w:rPr>
        <w:instrText>eq \o\ac(○,2)</w:instrText>
      </w:r>
      <w:r w:rsidRPr="00464A6F">
        <w:rPr>
          <w:rFonts w:ascii="標楷體" w:eastAsia="標楷體" w:hAnsi="標楷體"/>
          <w:bCs/>
          <w:sz w:val="28"/>
          <w:szCs w:val="28"/>
        </w:rPr>
        <w:fldChar w:fldCharType="end"/>
      </w:r>
      <w:r w:rsidRPr="00464A6F">
        <w:rPr>
          <w:rFonts w:ascii="標楷體" w:eastAsia="標楷體" w:hAnsi="標楷體" w:hint="eastAsia"/>
          <w:bCs/>
          <w:sz w:val="28"/>
          <w:szCs w:val="28"/>
        </w:rPr>
        <w:t>前述各機關之所屬機關、特種基金及其捐助之財團法人預算案。</w:t>
      </w:r>
    </w:p>
    <w:p w14:paraId="14806385" w14:textId="77777777" w:rsidR="009A60D1" w:rsidRPr="00464A6F" w:rsidRDefault="009A60D1" w:rsidP="00F470A8">
      <w:pPr>
        <w:overflowPunct w:val="0"/>
        <w:spacing w:line="500" w:lineRule="exact"/>
        <w:ind w:leftChars="900" w:left="2440" w:hangingChars="100" w:hanging="280"/>
        <w:jc w:val="both"/>
        <w:textAlignment w:val="auto"/>
        <w:rPr>
          <w:rFonts w:ascii="標楷體" w:eastAsia="標楷體" w:hAnsi="標楷體"/>
          <w:bCs/>
          <w:sz w:val="28"/>
          <w:szCs w:val="28"/>
        </w:rPr>
      </w:pPr>
      <w:r w:rsidRPr="00464A6F">
        <w:rPr>
          <w:rFonts w:ascii="標楷體" w:eastAsia="標楷體" w:hAnsi="標楷體"/>
          <w:bCs/>
          <w:sz w:val="28"/>
          <w:szCs w:val="28"/>
        </w:rPr>
        <w:fldChar w:fldCharType="begin"/>
      </w:r>
      <w:r w:rsidRPr="00464A6F">
        <w:rPr>
          <w:rFonts w:ascii="標楷體" w:eastAsia="標楷體" w:hAnsi="標楷體"/>
          <w:bCs/>
          <w:sz w:val="28"/>
          <w:szCs w:val="28"/>
        </w:rPr>
        <w:instrText xml:space="preserve"> </w:instrText>
      </w:r>
      <w:r w:rsidRPr="00464A6F">
        <w:rPr>
          <w:rFonts w:ascii="標楷體" w:eastAsia="標楷體" w:hAnsi="標楷體" w:hint="eastAsia"/>
          <w:bCs/>
          <w:sz w:val="28"/>
          <w:szCs w:val="28"/>
        </w:rPr>
        <w:instrText>eq \o\ac(○,3)</w:instrText>
      </w:r>
      <w:r w:rsidRPr="00464A6F">
        <w:rPr>
          <w:rFonts w:ascii="標楷體" w:eastAsia="標楷體" w:hAnsi="標楷體"/>
          <w:bCs/>
          <w:sz w:val="28"/>
          <w:szCs w:val="28"/>
        </w:rPr>
        <w:fldChar w:fldCharType="end"/>
      </w:r>
      <w:r w:rsidRPr="00464A6F">
        <w:rPr>
          <w:rFonts w:ascii="標楷體" w:eastAsia="標楷體" w:hAnsi="標楷體" w:hint="eastAsia"/>
          <w:bCs/>
          <w:sz w:val="28"/>
          <w:szCs w:val="28"/>
        </w:rPr>
        <w:t>災害準備金、第二預備金及其他不屬於各委員會審查之預算案。</w:t>
      </w:r>
    </w:p>
    <w:p w14:paraId="1C76B232" w14:textId="77777777" w:rsidR="009A60D1" w:rsidRPr="00464A6F" w:rsidRDefault="009A60D1" w:rsidP="00F470A8">
      <w:pPr>
        <w:overflowPunct w:val="0"/>
        <w:spacing w:line="500" w:lineRule="exact"/>
        <w:ind w:leftChars="700" w:left="2100" w:hangingChars="150" w:hanging="420"/>
        <w:jc w:val="both"/>
        <w:textAlignment w:val="auto"/>
        <w:rPr>
          <w:rFonts w:ascii="標楷體" w:eastAsia="標楷體" w:hAnsi="標楷體"/>
          <w:bCs/>
          <w:sz w:val="28"/>
          <w:szCs w:val="28"/>
        </w:rPr>
      </w:pPr>
      <w:r w:rsidRPr="00464A6F">
        <w:rPr>
          <w:rFonts w:ascii="標楷體" w:eastAsia="標楷體" w:hAnsi="標楷體" w:hint="eastAsia"/>
          <w:bCs/>
          <w:sz w:val="28"/>
          <w:szCs w:val="28"/>
        </w:rPr>
        <w:t>(</w:t>
      </w:r>
      <w:r w:rsidRPr="00464A6F">
        <w:rPr>
          <w:rFonts w:ascii="標楷體" w:eastAsia="標楷體" w:hAnsi="標楷體"/>
          <w:bCs/>
          <w:sz w:val="28"/>
          <w:szCs w:val="28"/>
        </w:rPr>
        <w:t>2)</w:t>
      </w:r>
      <w:r w:rsidRPr="00464A6F">
        <w:rPr>
          <w:rFonts w:ascii="標楷體" w:eastAsia="標楷體" w:hAnsi="標楷體" w:hint="eastAsia"/>
          <w:bCs/>
          <w:sz w:val="28"/>
          <w:szCs w:val="28"/>
        </w:rPr>
        <w:t>第6條規定，各委員會審查總預算案完竣後，應將審查報告函送本會，並由本會彙總整理提出年度總預算案審查總報告提報院會。</w:t>
      </w:r>
    </w:p>
    <w:p w14:paraId="109EE994" w14:textId="77777777" w:rsidR="009A60D1" w:rsidRPr="00464A6F" w:rsidRDefault="009A60D1" w:rsidP="00F470A8">
      <w:pPr>
        <w:overflowPunct w:val="0"/>
        <w:spacing w:line="500" w:lineRule="exact"/>
        <w:ind w:leftChars="700" w:left="2100" w:hangingChars="150" w:hanging="420"/>
        <w:jc w:val="both"/>
        <w:textAlignment w:val="auto"/>
        <w:rPr>
          <w:rFonts w:ascii="標楷體" w:eastAsia="標楷體" w:hAnsi="標楷體"/>
          <w:bCs/>
          <w:sz w:val="28"/>
          <w:szCs w:val="28"/>
        </w:rPr>
      </w:pPr>
      <w:r w:rsidRPr="00464A6F">
        <w:rPr>
          <w:rFonts w:ascii="標楷體" w:eastAsia="標楷體" w:hAnsi="標楷體" w:hint="eastAsia"/>
          <w:bCs/>
          <w:sz w:val="28"/>
          <w:szCs w:val="28"/>
        </w:rPr>
        <w:t>(</w:t>
      </w:r>
      <w:r w:rsidRPr="00464A6F">
        <w:rPr>
          <w:rFonts w:ascii="標楷體" w:eastAsia="標楷體" w:hAnsi="標楷體"/>
          <w:bCs/>
          <w:sz w:val="28"/>
          <w:szCs w:val="28"/>
        </w:rPr>
        <w:t>3</w:t>
      </w:r>
      <w:r w:rsidRPr="00464A6F">
        <w:rPr>
          <w:rFonts w:ascii="標楷體" w:eastAsia="標楷體" w:hAnsi="標楷體" w:hint="eastAsia"/>
          <w:bCs/>
          <w:sz w:val="28"/>
          <w:szCs w:val="28"/>
        </w:rPr>
        <w:t>)第8條規定，追加預算案及特別預算案之審查程序亦同，由本會會同相關委員會審查，並彙整提報院會。</w:t>
      </w:r>
    </w:p>
    <w:p w14:paraId="3B739C32" w14:textId="77777777" w:rsidR="009A60D1" w:rsidRPr="00464A6F" w:rsidRDefault="009A60D1" w:rsidP="00F470A8">
      <w:pPr>
        <w:overflowPunct w:val="0"/>
        <w:spacing w:line="500" w:lineRule="exact"/>
        <w:ind w:leftChars="590" w:left="1699" w:hangingChars="101" w:hanging="283"/>
        <w:jc w:val="both"/>
        <w:textAlignment w:val="auto"/>
        <w:rPr>
          <w:rFonts w:ascii="標楷體" w:eastAsia="標楷體" w:hAnsi="標楷體"/>
          <w:bCs/>
          <w:sz w:val="28"/>
          <w:szCs w:val="28"/>
        </w:rPr>
      </w:pPr>
      <w:r w:rsidRPr="00464A6F">
        <w:rPr>
          <w:rFonts w:ascii="標楷體" w:eastAsia="標楷體" w:hAnsi="標楷體" w:hint="eastAsia"/>
          <w:bCs/>
          <w:sz w:val="28"/>
          <w:szCs w:val="28"/>
        </w:rPr>
        <w:t>3.依中央政府總決算審核報告案審查程序之規定：</w:t>
      </w:r>
    </w:p>
    <w:p w14:paraId="5D3C044D" w14:textId="77777777" w:rsidR="009A60D1" w:rsidRPr="00464A6F" w:rsidRDefault="009A60D1" w:rsidP="00F470A8">
      <w:pPr>
        <w:overflowPunct w:val="0"/>
        <w:spacing w:line="500" w:lineRule="exact"/>
        <w:ind w:leftChars="700" w:left="1680" w:firstLineChars="200" w:firstLine="560"/>
        <w:jc w:val="both"/>
        <w:textAlignment w:val="auto"/>
        <w:rPr>
          <w:rFonts w:ascii="標楷體" w:eastAsia="標楷體" w:hAnsi="標楷體"/>
          <w:bCs/>
          <w:sz w:val="28"/>
          <w:szCs w:val="28"/>
        </w:rPr>
      </w:pPr>
      <w:r w:rsidRPr="00464A6F">
        <w:rPr>
          <w:rFonts w:ascii="標楷體" w:eastAsia="標楷體" w:hAnsi="標楷體" w:hint="eastAsia"/>
          <w:bCs/>
          <w:sz w:val="28"/>
          <w:szCs w:val="28"/>
        </w:rPr>
        <w:t>各年度總決算審核報告案由審計部提出函送立法院，經審計長列席院會報告後交付本會負責分組，會同有關委員會聯席審查，並彙整提報院會。</w:t>
      </w:r>
    </w:p>
    <w:bookmarkEnd w:id="3"/>
    <w:p w14:paraId="627DEB84" w14:textId="77777777" w:rsidR="00E74C0A" w:rsidRPr="00464A6F" w:rsidRDefault="00E74C0A" w:rsidP="00F470A8">
      <w:pPr>
        <w:overflowPunct w:val="0"/>
        <w:autoSpaceDN/>
        <w:textAlignment w:val="auto"/>
        <w:rPr>
          <w:rFonts w:ascii="標楷體" w:eastAsia="標楷體" w:hAnsi="標楷體"/>
          <w:b/>
          <w:color w:val="FF0000"/>
          <w:sz w:val="32"/>
          <w:szCs w:val="32"/>
        </w:rPr>
      </w:pPr>
      <w:r w:rsidRPr="00464A6F">
        <w:rPr>
          <w:rFonts w:ascii="標楷體" w:eastAsia="標楷體" w:hAnsi="標楷體"/>
          <w:bCs/>
          <w:color w:val="FF0000"/>
          <w:sz w:val="32"/>
          <w:szCs w:val="32"/>
        </w:rPr>
        <w:br w:type="page"/>
      </w:r>
    </w:p>
    <w:p w14:paraId="13C1163A" w14:textId="77777777" w:rsidR="00DE7E93" w:rsidRPr="00464A6F" w:rsidRDefault="002263C8"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10" w:name="_Toc189487268"/>
      <w:r w:rsidRPr="00464A6F">
        <w:rPr>
          <w:rFonts w:ascii="標楷體" w:eastAsia="標楷體" w:hAnsi="標楷體" w:hint="eastAsia"/>
          <w:bCs w:val="0"/>
          <w:sz w:val="36"/>
          <w:szCs w:val="36"/>
        </w:rPr>
        <w:lastRenderedPageBreak/>
        <w:t>貳、</w:t>
      </w:r>
      <w:r w:rsidR="00DE7E93" w:rsidRPr="00464A6F">
        <w:rPr>
          <w:rFonts w:ascii="標楷體" w:eastAsia="標楷體" w:hAnsi="標楷體" w:hint="eastAsia"/>
          <w:bCs w:val="0"/>
          <w:sz w:val="36"/>
          <w:szCs w:val="36"/>
        </w:rPr>
        <w:t>本會期</w:t>
      </w:r>
      <w:r w:rsidR="00DE7E93" w:rsidRPr="00464A6F">
        <w:rPr>
          <w:rFonts w:ascii="標楷體" w:eastAsia="標楷體" w:hAnsi="標楷體"/>
          <w:bCs w:val="0"/>
          <w:sz w:val="36"/>
          <w:szCs w:val="36"/>
        </w:rPr>
        <w:t>會務概況</w:t>
      </w:r>
      <w:bookmarkEnd w:id="10"/>
    </w:p>
    <w:p w14:paraId="717E586E" w14:textId="3853F5F0" w:rsidR="00DE7E93" w:rsidRPr="008F1104" w:rsidRDefault="00DE7E93" w:rsidP="00F470A8">
      <w:pPr>
        <w:overflowPunct w:val="0"/>
        <w:snapToGrid w:val="0"/>
        <w:spacing w:before="120" w:after="85" w:line="440" w:lineRule="exact"/>
        <w:ind w:leftChars="-3" w:left="-7" w:right="142" w:firstLineChars="2" w:firstLine="6"/>
        <w:jc w:val="both"/>
        <w:textAlignment w:val="auto"/>
        <w:rPr>
          <w:rFonts w:ascii="標楷體" w:eastAsia="標楷體" w:hAnsi="標楷體"/>
          <w:bCs/>
          <w:sz w:val="28"/>
          <w:szCs w:val="28"/>
        </w:rPr>
      </w:pPr>
      <w:r w:rsidRPr="00464A6F">
        <w:rPr>
          <w:rFonts w:ascii="標楷體" w:eastAsia="標楷體" w:hAnsi="標楷體" w:hint="eastAsia"/>
          <w:bCs/>
          <w:sz w:val="28"/>
          <w:szCs w:val="28"/>
        </w:rPr>
        <w:t xml:space="preserve">　　</w:t>
      </w:r>
      <w:r w:rsidRPr="00464A6F">
        <w:rPr>
          <w:rFonts w:ascii="標楷體" w:eastAsia="標楷體" w:hAnsi="標楷體"/>
          <w:bCs/>
          <w:sz w:val="28"/>
          <w:szCs w:val="28"/>
        </w:rPr>
        <w:t>本會期自11</w:t>
      </w:r>
      <w:r w:rsidR="00316474" w:rsidRPr="00464A6F">
        <w:rPr>
          <w:rFonts w:ascii="標楷體" w:eastAsia="標楷體" w:hAnsi="標楷體" w:hint="eastAsia"/>
          <w:bCs/>
          <w:sz w:val="28"/>
          <w:szCs w:val="28"/>
        </w:rPr>
        <w:t>3</w:t>
      </w:r>
      <w:r w:rsidRPr="00464A6F">
        <w:rPr>
          <w:rFonts w:ascii="標楷體" w:eastAsia="標楷體" w:hAnsi="標楷體"/>
          <w:bCs/>
          <w:sz w:val="28"/>
          <w:szCs w:val="28"/>
        </w:rPr>
        <w:t>年</w:t>
      </w:r>
      <w:r w:rsidR="00464A6F">
        <w:rPr>
          <w:rFonts w:ascii="標楷體" w:eastAsia="標楷體" w:hAnsi="標楷體" w:hint="eastAsia"/>
          <w:bCs/>
          <w:sz w:val="28"/>
          <w:szCs w:val="28"/>
        </w:rPr>
        <w:t>9</w:t>
      </w:r>
      <w:r w:rsidRPr="00464A6F">
        <w:rPr>
          <w:rFonts w:ascii="標楷體" w:eastAsia="標楷體" w:hAnsi="標楷體"/>
          <w:bCs/>
          <w:sz w:val="28"/>
          <w:szCs w:val="28"/>
        </w:rPr>
        <w:t>月</w:t>
      </w:r>
      <w:r w:rsidR="003F698E" w:rsidRPr="00464A6F">
        <w:rPr>
          <w:rFonts w:ascii="標楷體" w:eastAsia="標楷體" w:hAnsi="標楷體" w:hint="eastAsia"/>
          <w:bCs/>
          <w:sz w:val="28"/>
          <w:szCs w:val="28"/>
        </w:rPr>
        <w:t>2</w:t>
      </w:r>
      <w:r w:rsidR="00316474" w:rsidRPr="00464A6F">
        <w:rPr>
          <w:rFonts w:ascii="標楷體" w:eastAsia="標楷體" w:hAnsi="標楷體" w:hint="eastAsia"/>
          <w:bCs/>
          <w:sz w:val="28"/>
          <w:szCs w:val="28"/>
        </w:rPr>
        <w:t>0</w:t>
      </w:r>
      <w:r w:rsidRPr="00464A6F">
        <w:rPr>
          <w:rFonts w:ascii="標楷體" w:eastAsia="標楷體" w:hAnsi="標楷體"/>
          <w:bCs/>
          <w:sz w:val="28"/>
          <w:szCs w:val="28"/>
        </w:rPr>
        <w:t>日</w:t>
      </w:r>
      <w:r w:rsidRPr="00464A6F">
        <w:rPr>
          <w:rFonts w:ascii="標楷體" w:eastAsia="標楷體" w:hAnsi="標楷體" w:hint="eastAsia"/>
          <w:bCs/>
          <w:sz w:val="28"/>
          <w:szCs w:val="28"/>
        </w:rPr>
        <w:t>開議後，</w:t>
      </w:r>
      <w:r w:rsidRPr="00212307">
        <w:rPr>
          <w:rFonts w:ascii="標楷體" w:eastAsia="標楷體" w:hAnsi="標楷體" w:hint="eastAsia"/>
          <w:bCs/>
          <w:sz w:val="28"/>
          <w:szCs w:val="28"/>
        </w:rPr>
        <w:t>本會隨即展開各項會務及議事運作</w:t>
      </w:r>
      <w:r w:rsidRPr="00212307">
        <w:rPr>
          <w:rFonts w:ascii="標楷體" w:eastAsia="標楷體" w:hAnsi="標楷體"/>
          <w:bCs/>
          <w:sz w:val="28"/>
          <w:szCs w:val="28"/>
        </w:rPr>
        <w:t>，</w:t>
      </w:r>
      <w:r w:rsidRPr="00212307">
        <w:rPr>
          <w:rFonts w:ascii="標楷體" w:eastAsia="標楷體" w:hAnsi="標楷體" w:hint="eastAsia"/>
          <w:bCs/>
          <w:sz w:val="28"/>
          <w:szCs w:val="28"/>
        </w:rPr>
        <w:t>共</w:t>
      </w:r>
      <w:r w:rsidRPr="00964E8B">
        <w:rPr>
          <w:rFonts w:ascii="標楷體" w:eastAsia="標楷體" w:hAnsi="標楷體"/>
          <w:bCs/>
          <w:sz w:val="28"/>
          <w:szCs w:val="28"/>
        </w:rPr>
        <w:t>舉行</w:t>
      </w:r>
      <w:r w:rsidR="00D62B21" w:rsidRPr="00964E8B">
        <w:rPr>
          <w:rFonts w:ascii="標楷體" w:eastAsia="標楷體" w:hAnsi="標楷體"/>
          <w:bCs/>
          <w:sz w:val="28"/>
          <w:szCs w:val="28"/>
        </w:rPr>
        <w:t>全體委員</w:t>
      </w:r>
      <w:r w:rsidRPr="00964E8B">
        <w:rPr>
          <w:rFonts w:ascii="標楷體" w:eastAsia="標楷體" w:hAnsi="標楷體" w:hint="eastAsia"/>
          <w:bCs/>
          <w:sz w:val="28"/>
          <w:szCs w:val="28"/>
        </w:rPr>
        <w:t>會議</w:t>
      </w:r>
      <w:r w:rsidR="00964E8B" w:rsidRPr="00964E8B">
        <w:rPr>
          <w:rFonts w:ascii="標楷體" w:eastAsia="標楷體" w:hAnsi="標楷體" w:hint="eastAsia"/>
          <w:bCs/>
          <w:sz w:val="28"/>
          <w:szCs w:val="28"/>
        </w:rPr>
        <w:t>15</w:t>
      </w:r>
      <w:r w:rsidRPr="00964E8B">
        <w:rPr>
          <w:rFonts w:ascii="標楷體" w:eastAsia="標楷體" w:hAnsi="標楷體"/>
          <w:bCs/>
          <w:sz w:val="28"/>
          <w:szCs w:val="28"/>
        </w:rPr>
        <w:t>次</w:t>
      </w:r>
      <w:r w:rsidR="00CA58E4" w:rsidRPr="00964E8B">
        <w:rPr>
          <w:rFonts w:ascii="標楷體" w:eastAsia="標楷體" w:hAnsi="標楷體" w:hint="eastAsia"/>
          <w:bCs/>
          <w:sz w:val="28"/>
          <w:szCs w:val="28"/>
        </w:rPr>
        <w:t>，聯席會議</w:t>
      </w:r>
      <w:r w:rsidR="00964E8B" w:rsidRPr="00964E8B">
        <w:rPr>
          <w:rFonts w:ascii="標楷體" w:eastAsia="標楷體" w:hAnsi="標楷體" w:hint="eastAsia"/>
          <w:bCs/>
          <w:sz w:val="28"/>
          <w:szCs w:val="28"/>
        </w:rPr>
        <w:t>3</w:t>
      </w:r>
      <w:r w:rsidR="00CA58E4" w:rsidRPr="00964E8B">
        <w:rPr>
          <w:rFonts w:ascii="標楷體" w:eastAsia="標楷體" w:hAnsi="標楷體" w:hint="eastAsia"/>
          <w:bCs/>
          <w:sz w:val="28"/>
          <w:szCs w:val="28"/>
        </w:rPr>
        <w:t>次</w:t>
      </w:r>
      <w:r w:rsidRPr="00964E8B">
        <w:rPr>
          <w:rFonts w:ascii="標楷體" w:eastAsia="標楷體" w:hAnsi="標楷體" w:hint="eastAsia"/>
          <w:bCs/>
          <w:sz w:val="28"/>
          <w:szCs w:val="28"/>
        </w:rPr>
        <w:t>，</w:t>
      </w:r>
      <w:r w:rsidRPr="005A4C7F">
        <w:rPr>
          <w:rFonts w:ascii="標楷體" w:eastAsia="標楷體" w:hAnsi="標楷體" w:hint="eastAsia"/>
          <w:bCs/>
          <w:sz w:val="28"/>
          <w:szCs w:val="28"/>
        </w:rPr>
        <w:t>包括部會業務及專題報告</w:t>
      </w:r>
      <w:r w:rsidR="00964E8B" w:rsidRPr="005A4C7F">
        <w:rPr>
          <w:rFonts w:ascii="標楷體" w:eastAsia="標楷體" w:hAnsi="標楷體" w:hint="eastAsia"/>
          <w:bCs/>
          <w:sz w:val="28"/>
          <w:szCs w:val="28"/>
        </w:rPr>
        <w:t>9</w:t>
      </w:r>
      <w:r w:rsidRPr="005A4C7F">
        <w:rPr>
          <w:rFonts w:ascii="標楷體" w:eastAsia="標楷體" w:hAnsi="標楷體" w:hint="eastAsia"/>
          <w:bCs/>
          <w:sz w:val="28"/>
          <w:szCs w:val="28"/>
        </w:rPr>
        <w:t>次，</w:t>
      </w:r>
      <w:r w:rsidRPr="008F1104">
        <w:rPr>
          <w:rFonts w:ascii="標楷體" w:eastAsia="標楷體" w:hAnsi="標楷體" w:hint="eastAsia"/>
          <w:bCs/>
          <w:sz w:val="28"/>
          <w:szCs w:val="28"/>
        </w:rPr>
        <w:t>另國內</w:t>
      </w:r>
      <w:r w:rsidRPr="008F1104">
        <w:rPr>
          <w:rFonts w:ascii="標楷體" w:eastAsia="標楷體" w:hAnsi="標楷體"/>
          <w:bCs/>
          <w:sz w:val="28"/>
          <w:szCs w:val="28"/>
        </w:rPr>
        <w:t>考察</w:t>
      </w:r>
      <w:r w:rsidR="00964E8B" w:rsidRPr="008F1104">
        <w:rPr>
          <w:rFonts w:ascii="標楷體" w:eastAsia="標楷體" w:hAnsi="標楷體" w:hint="eastAsia"/>
          <w:bCs/>
          <w:sz w:val="28"/>
          <w:szCs w:val="28"/>
        </w:rPr>
        <w:t>1</w:t>
      </w:r>
      <w:r w:rsidR="007A1199" w:rsidRPr="008F1104">
        <w:rPr>
          <w:rFonts w:ascii="標楷體" w:eastAsia="標楷體" w:hAnsi="標楷體" w:hint="eastAsia"/>
          <w:bCs/>
          <w:sz w:val="28"/>
          <w:szCs w:val="28"/>
        </w:rPr>
        <w:t>0</w:t>
      </w:r>
      <w:r w:rsidRPr="008F1104">
        <w:rPr>
          <w:rFonts w:ascii="標楷體" w:eastAsia="標楷體" w:hAnsi="標楷體"/>
          <w:bCs/>
          <w:sz w:val="28"/>
          <w:szCs w:val="28"/>
        </w:rPr>
        <w:t>次</w:t>
      </w:r>
      <w:r w:rsidR="009F649F" w:rsidRPr="008F1104">
        <w:rPr>
          <w:rFonts w:ascii="標楷體" w:eastAsia="標楷體" w:hAnsi="標楷體" w:hint="eastAsia"/>
          <w:bCs/>
          <w:sz w:val="28"/>
          <w:szCs w:val="28"/>
        </w:rPr>
        <w:t>。</w:t>
      </w:r>
    </w:p>
    <w:p w14:paraId="171357FE" w14:textId="77777777" w:rsidR="00D3311B" w:rsidRPr="00626E6B" w:rsidRDefault="00D838EE" w:rsidP="00F470A8">
      <w:pPr>
        <w:pStyle w:val="2"/>
        <w:numPr>
          <w:ilvl w:val="0"/>
          <w:numId w:val="0"/>
        </w:numPr>
        <w:overflowPunct w:val="0"/>
        <w:spacing w:line="480" w:lineRule="exact"/>
        <w:ind w:left="927" w:hanging="567"/>
        <w:rPr>
          <w:rFonts w:ascii="標楷體" w:eastAsia="標楷體" w:hAnsi="標楷體"/>
          <w:bCs w:val="0"/>
          <w:kern w:val="2"/>
          <w:sz w:val="32"/>
          <w:szCs w:val="32"/>
        </w:rPr>
      </w:pPr>
      <w:bookmarkStart w:id="11" w:name="_Toc189487269"/>
      <w:r w:rsidRPr="00626E6B">
        <w:rPr>
          <w:rFonts w:ascii="標楷體" w:eastAsia="標楷體" w:hAnsi="標楷體" w:hint="eastAsia"/>
          <w:bCs w:val="0"/>
          <w:kern w:val="2"/>
          <w:sz w:val="32"/>
          <w:szCs w:val="32"/>
        </w:rPr>
        <w:t>一、會務概況一覽表</w:t>
      </w:r>
      <w:bookmarkEnd w:id="11"/>
    </w:p>
    <w:tbl>
      <w:tblPr>
        <w:tblW w:w="5072" w:type="pct"/>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2"/>
        <w:gridCol w:w="1418"/>
        <w:gridCol w:w="817"/>
        <w:gridCol w:w="1190"/>
        <w:gridCol w:w="2772"/>
        <w:gridCol w:w="2327"/>
        <w:gridCol w:w="832"/>
      </w:tblGrid>
      <w:tr w:rsidR="00626E6B" w:rsidRPr="00626E6B" w14:paraId="56826BC7" w14:textId="77777777" w:rsidTr="00267233">
        <w:trPr>
          <w:trHeight w:val="38"/>
        </w:trPr>
        <w:tc>
          <w:tcPr>
            <w:tcW w:w="937" w:type="pct"/>
            <w:gridSpan w:val="2"/>
            <w:vAlign w:val="center"/>
          </w:tcPr>
          <w:p w14:paraId="5C2371A1" w14:textId="77777777" w:rsidR="00C47C5E" w:rsidRPr="00626E6B" w:rsidRDefault="00C47C5E" w:rsidP="00F470A8">
            <w:pPr>
              <w:widowControl w:val="0"/>
              <w:overflowPunct w:val="0"/>
              <w:autoSpaceDN/>
              <w:snapToGrid w:val="0"/>
              <w:spacing w:line="320" w:lineRule="exact"/>
              <w:jc w:val="center"/>
              <w:textAlignment w:val="auto"/>
              <w:rPr>
                <w:rFonts w:ascii="標楷體" w:eastAsia="標楷體" w:hAnsi="標楷體"/>
                <w:b/>
                <w:bCs/>
                <w:spacing w:val="40"/>
                <w:kern w:val="2"/>
                <w:szCs w:val="24"/>
              </w:rPr>
            </w:pPr>
            <w:r w:rsidRPr="00626E6B">
              <w:rPr>
                <w:rFonts w:ascii="標楷體" w:eastAsia="標楷體" w:hAnsi="標楷體" w:hint="eastAsia"/>
                <w:b/>
                <w:bCs/>
                <w:spacing w:val="40"/>
                <w:kern w:val="2"/>
                <w:szCs w:val="24"/>
              </w:rPr>
              <w:t>會議名稱</w:t>
            </w:r>
          </w:p>
        </w:tc>
        <w:tc>
          <w:tcPr>
            <w:tcW w:w="418" w:type="pct"/>
            <w:vAlign w:val="center"/>
          </w:tcPr>
          <w:p w14:paraId="56CB1CD5" w14:textId="77777777" w:rsidR="00C47C5E" w:rsidRPr="00626E6B" w:rsidRDefault="00C47C5E" w:rsidP="00F470A8">
            <w:pPr>
              <w:widowControl w:val="0"/>
              <w:overflowPunct w:val="0"/>
              <w:autoSpaceDN/>
              <w:snapToGrid w:val="0"/>
              <w:spacing w:line="320" w:lineRule="exact"/>
              <w:jc w:val="center"/>
              <w:textAlignment w:val="auto"/>
              <w:rPr>
                <w:rFonts w:ascii="標楷體" w:eastAsia="標楷體" w:hAnsi="標楷體"/>
                <w:b/>
                <w:bCs/>
                <w:spacing w:val="-20"/>
                <w:kern w:val="2"/>
                <w:szCs w:val="24"/>
              </w:rPr>
            </w:pPr>
            <w:r w:rsidRPr="00626E6B">
              <w:rPr>
                <w:rFonts w:ascii="標楷體" w:eastAsia="標楷體" w:hAnsi="標楷體" w:hint="eastAsia"/>
                <w:b/>
                <w:bCs/>
                <w:spacing w:val="-20"/>
                <w:kern w:val="2"/>
                <w:szCs w:val="24"/>
              </w:rPr>
              <w:t>主</w:t>
            </w:r>
            <w:r w:rsidR="00BD4670" w:rsidRPr="00626E6B">
              <w:rPr>
                <w:rFonts w:ascii="標楷體" w:eastAsia="標楷體" w:hAnsi="標楷體" w:hint="eastAsia"/>
                <w:b/>
                <w:bCs/>
                <w:spacing w:val="-20"/>
                <w:kern w:val="2"/>
                <w:szCs w:val="24"/>
              </w:rPr>
              <w:t xml:space="preserve">  </w:t>
            </w:r>
            <w:r w:rsidRPr="00626E6B">
              <w:rPr>
                <w:rFonts w:ascii="標楷體" w:eastAsia="標楷體" w:hAnsi="標楷體" w:hint="eastAsia"/>
                <w:b/>
                <w:bCs/>
                <w:spacing w:val="-20"/>
                <w:kern w:val="2"/>
                <w:szCs w:val="24"/>
              </w:rPr>
              <w:t>席</w:t>
            </w:r>
          </w:p>
        </w:tc>
        <w:tc>
          <w:tcPr>
            <w:tcW w:w="609" w:type="pct"/>
            <w:vAlign w:val="center"/>
          </w:tcPr>
          <w:p w14:paraId="491DEE12" w14:textId="77777777" w:rsidR="00C47C5E" w:rsidRPr="00626E6B" w:rsidRDefault="00C47C5E" w:rsidP="00F470A8">
            <w:pPr>
              <w:widowControl w:val="0"/>
              <w:overflowPunct w:val="0"/>
              <w:autoSpaceDN/>
              <w:snapToGrid w:val="0"/>
              <w:spacing w:line="320" w:lineRule="exact"/>
              <w:jc w:val="center"/>
              <w:textAlignment w:val="auto"/>
              <w:rPr>
                <w:rFonts w:ascii="標楷體" w:eastAsia="標楷體" w:hAnsi="標楷體"/>
                <w:b/>
                <w:bCs/>
                <w:spacing w:val="50"/>
                <w:kern w:val="2"/>
                <w:szCs w:val="24"/>
              </w:rPr>
            </w:pPr>
            <w:r w:rsidRPr="00626E6B">
              <w:rPr>
                <w:rFonts w:ascii="標楷體" w:eastAsia="標楷體" w:hAnsi="標楷體" w:hint="eastAsia"/>
                <w:b/>
                <w:bCs/>
                <w:spacing w:val="40"/>
                <w:kern w:val="2"/>
                <w:szCs w:val="24"/>
              </w:rPr>
              <w:t>日 期</w:t>
            </w:r>
          </w:p>
        </w:tc>
        <w:tc>
          <w:tcPr>
            <w:tcW w:w="1419" w:type="pct"/>
            <w:vAlign w:val="center"/>
          </w:tcPr>
          <w:p w14:paraId="1C430873" w14:textId="77777777" w:rsidR="00C47C5E" w:rsidRPr="00626E6B" w:rsidRDefault="00C47C5E" w:rsidP="00F470A8">
            <w:pPr>
              <w:widowControl w:val="0"/>
              <w:overflowPunct w:val="0"/>
              <w:autoSpaceDN/>
              <w:snapToGrid w:val="0"/>
              <w:spacing w:line="320" w:lineRule="exact"/>
              <w:jc w:val="center"/>
              <w:textAlignment w:val="auto"/>
              <w:rPr>
                <w:rFonts w:ascii="標楷體" w:eastAsia="標楷體" w:hAnsi="標楷體"/>
                <w:b/>
                <w:bCs/>
                <w:spacing w:val="40"/>
                <w:kern w:val="2"/>
                <w:szCs w:val="24"/>
              </w:rPr>
            </w:pPr>
            <w:r w:rsidRPr="00626E6B">
              <w:rPr>
                <w:rFonts w:ascii="標楷體" w:eastAsia="標楷體" w:hAnsi="標楷體" w:hint="eastAsia"/>
                <w:b/>
                <w:bCs/>
                <w:spacing w:val="40"/>
                <w:kern w:val="2"/>
                <w:szCs w:val="24"/>
              </w:rPr>
              <w:t>開會（考察）事由</w:t>
            </w:r>
          </w:p>
        </w:tc>
        <w:tc>
          <w:tcPr>
            <w:tcW w:w="1191" w:type="pct"/>
            <w:vAlign w:val="center"/>
          </w:tcPr>
          <w:p w14:paraId="52A7EA6F" w14:textId="77777777" w:rsidR="00C47C5E" w:rsidRPr="00626E6B" w:rsidRDefault="00C47C5E" w:rsidP="00F470A8">
            <w:pPr>
              <w:widowControl w:val="0"/>
              <w:overflowPunct w:val="0"/>
              <w:autoSpaceDN/>
              <w:snapToGrid w:val="0"/>
              <w:spacing w:line="320" w:lineRule="exact"/>
              <w:jc w:val="center"/>
              <w:textAlignment w:val="auto"/>
              <w:rPr>
                <w:rFonts w:ascii="標楷體" w:eastAsia="標楷體" w:hAnsi="標楷體"/>
                <w:b/>
                <w:bCs/>
                <w:kern w:val="2"/>
                <w:szCs w:val="24"/>
              </w:rPr>
            </w:pPr>
            <w:r w:rsidRPr="00626E6B">
              <w:rPr>
                <w:rFonts w:ascii="標楷體" w:eastAsia="標楷體" w:hAnsi="標楷體" w:hint="eastAsia"/>
                <w:b/>
                <w:bCs/>
                <w:kern w:val="2"/>
                <w:szCs w:val="24"/>
              </w:rPr>
              <w:t>備</w:t>
            </w:r>
            <w:r w:rsidR="00BD4670" w:rsidRPr="00626E6B">
              <w:rPr>
                <w:rFonts w:ascii="標楷體" w:eastAsia="標楷體" w:hAnsi="標楷體" w:hint="eastAsia"/>
                <w:b/>
                <w:bCs/>
                <w:kern w:val="2"/>
                <w:szCs w:val="24"/>
              </w:rPr>
              <w:t xml:space="preserve">  </w:t>
            </w:r>
            <w:r w:rsidRPr="00626E6B">
              <w:rPr>
                <w:rFonts w:ascii="標楷體" w:eastAsia="標楷體" w:hAnsi="標楷體" w:hint="eastAsia"/>
                <w:b/>
                <w:bCs/>
                <w:kern w:val="2"/>
                <w:szCs w:val="24"/>
              </w:rPr>
              <w:t>註</w:t>
            </w:r>
          </w:p>
        </w:tc>
        <w:tc>
          <w:tcPr>
            <w:tcW w:w="426" w:type="pct"/>
          </w:tcPr>
          <w:p w14:paraId="0ED9892E" w14:textId="77777777" w:rsidR="00457854" w:rsidRPr="00626E6B" w:rsidRDefault="00BD4670" w:rsidP="00F470A8">
            <w:pPr>
              <w:widowControl w:val="0"/>
              <w:overflowPunct w:val="0"/>
              <w:autoSpaceDN/>
              <w:snapToGrid w:val="0"/>
              <w:spacing w:line="320" w:lineRule="exact"/>
              <w:jc w:val="center"/>
              <w:textAlignment w:val="auto"/>
              <w:rPr>
                <w:rFonts w:ascii="標楷體" w:eastAsia="標楷體" w:hAnsi="標楷體"/>
                <w:b/>
                <w:bCs/>
                <w:kern w:val="2"/>
                <w:szCs w:val="24"/>
              </w:rPr>
            </w:pPr>
            <w:r w:rsidRPr="00626E6B">
              <w:rPr>
                <w:rFonts w:ascii="標楷體" w:eastAsia="標楷體" w:hAnsi="標楷體" w:hint="eastAsia"/>
                <w:b/>
                <w:bCs/>
                <w:kern w:val="2"/>
                <w:szCs w:val="24"/>
              </w:rPr>
              <w:t>公報</w:t>
            </w:r>
          </w:p>
          <w:p w14:paraId="4A706FEB" w14:textId="77777777" w:rsidR="00C47C5E" w:rsidRPr="00626E6B" w:rsidRDefault="00BD4670" w:rsidP="00F470A8">
            <w:pPr>
              <w:widowControl w:val="0"/>
              <w:overflowPunct w:val="0"/>
              <w:autoSpaceDN/>
              <w:snapToGrid w:val="0"/>
              <w:spacing w:line="320" w:lineRule="exact"/>
              <w:jc w:val="center"/>
              <w:textAlignment w:val="auto"/>
              <w:rPr>
                <w:rFonts w:ascii="標楷體" w:eastAsia="標楷體" w:hAnsi="標楷體"/>
                <w:b/>
                <w:bCs/>
                <w:kern w:val="2"/>
                <w:szCs w:val="24"/>
              </w:rPr>
            </w:pPr>
            <w:r w:rsidRPr="00626E6B">
              <w:rPr>
                <w:rFonts w:ascii="標楷體" w:eastAsia="標楷體" w:hAnsi="標楷體" w:hint="eastAsia"/>
                <w:b/>
                <w:bCs/>
                <w:kern w:val="2"/>
                <w:szCs w:val="24"/>
              </w:rPr>
              <w:t>期數</w:t>
            </w:r>
          </w:p>
        </w:tc>
      </w:tr>
      <w:tr w:rsidR="00626E6B" w:rsidRPr="00464A6F" w14:paraId="2E8FC49B" w14:textId="77777777" w:rsidTr="00660947">
        <w:trPr>
          <w:trHeight w:val="38"/>
        </w:trPr>
        <w:tc>
          <w:tcPr>
            <w:tcW w:w="211" w:type="pct"/>
          </w:tcPr>
          <w:p w14:paraId="646D903A" w14:textId="77777777" w:rsidR="00626E6B" w:rsidRPr="00F500F7" w:rsidRDefault="00626E6B" w:rsidP="00660947">
            <w:pPr>
              <w:overflowPunct w:val="0"/>
              <w:snapToGrid w:val="0"/>
              <w:spacing w:line="320" w:lineRule="exact"/>
              <w:jc w:val="center"/>
              <w:rPr>
                <w:rFonts w:ascii="標楷體" w:eastAsia="標楷體" w:hAnsi="標楷體"/>
                <w:bCs/>
                <w:color w:val="000000"/>
                <w:szCs w:val="24"/>
              </w:rPr>
            </w:pPr>
            <w:r w:rsidRPr="00F500F7">
              <w:rPr>
                <w:rFonts w:ascii="標楷體" w:eastAsia="標楷體" w:hAnsi="標楷體" w:hint="eastAsia"/>
                <w:bCs/>
                <w:color w:val="000000"/>
                <w:szCs w:val="24"/>
              </w:rPr>
              <w:t>1</w:t>
            </w:r>
          </w:p>
        </w:tc>
        <w:tc>
          <w:tcPr>
            <w:tcW w:w="726" w:type="pct"/>
          </w:tcPr>
          <w:p w14:paraId="5A42E03A" w14:textId="77777777" w:rsidR="00626E6B" w:rsidRPr="00F500F7" w:rsidRDefault="00626E6B" w:rsidP="00F470A8">
            <w:pPr>
              <w:overflowPunct w:val="0"/>
              <w:snapToGrid w:val="0"/>
              <w:spacing w:line="320" w:lineRule="exact"/>
              <w:jc w:val="both"/>
              <w:rPr>
                <w:rFonts w:ascii="標楷體" w:eastAsia="標楷體" w:hAnsi="標楷體"/>
                <w:color w:val="000000"/>
                <w:szCs w:val="24"/>
              </w:rPr>
            </w:pPr>
            <w:r w:rsidRPr="00F500F7">
              <w:rPr>
                <w:rFonts w:ascii="標楷體" w:eastAsia="標楷體" w:hAnsi="標楷體" w:hint="eastAsia"/>
                <w:color w:val="000000"/>
                <w:szCs w:val="24"/>
              </w:rPr>
              <w:t>第1次全體委員會議</w:t>
            </w:r>
          </w:p>
        </w:tc>
        <w:tc>
          <w:tcPr>
            <w:tcW w:w="418" w:type="pct"/>
          </w:tcPr>
          <w:p w14:paraId="52A10522" w14:textId="77777777" w:rsidR="00626E6B" w:rsidRPr="00267955"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陳玉珍</w:t>
            </w:r>
          </w:p>
        </w:tc>
        <w:tc>
          <w:tcPr>
            <w:tcW w:w="609" w:type="pct"/>
          </w:tcPr>
          <w:p w14:paraId="064ED10E" w14:textId="77777777" w:rsidR="00626E6B" w:rsidRPr="00F500F7" w:rsidRDefault="00626E6B" w:rsidP="00F470A8">
            <w:pPr>
              <w:overflowPunct w:val="0"/>
              <w:snapToGrid w:val="0"/>
              <w:spacing w:line="320" w:lineRule="exact"/>
              <w:jc w:val="center"/>
              <w:rPr>
                <w:rFonts w:ascii="標楷體" w:eastAsia="標楷體" w:hAnsi="標楷體" w:cs="New Gulim"/>
                <w:color w:val="000000"/>
                <w:szCs w:val="24"/>
              </w:rPr>
            </w:pPr>
            <w:r w:rsidRPr="00F500F7">
              <w:rPr>
                <w:rFonts w:ascii="標楷體" w:eastAsia="標楷體" w:hAnsi="標楷體" w:cs="New Gulim" w:hint="eastAsia"/>
                <w:color w:val="000000"/>
                <w:szCs w:val="24"/>
              </w:rPr>
              <w:t>11</w:t>
            </w:r>
            <w:r>
              <w:rPr>
                <w:rFonts w:ascii="標楷體" w:eastAsia="標楷體" w:hAnsi="標楷體" w:cs="New Gulim" w:hint="eastAsia"/>
                <w:color w:val="000000"/>
                <w:szCs w:val="24"/>
              </w:rPr>
              <w:t>3</w:t>
            </w:r>
            <w:r w:rsidRPr="00F500F7">
              <w:rPr>
                <w:rFonts w:ascii="標楷體" w:eastAsia="標楷體" w:hAnsi="標楷體" w:cs="New Gulim" w:hint="eastAsia"/>
                <w:color w:val="000000"/>
                <w:szCs w:val="24"/>
              </w:rPr>
              <w:t>.</w:t>
            </w:r>
            <w:r>
              <w:rPr>
                <w:rFonts w:ascii="標楷體" w:eastAsia="標楷體" w:hAnsi="標楷體" w:cs="New Gulim" w:hint="eastAsia"/>
                <w:color w:val="000000"/>
                <w:szCs w:val="24"/>
              </w:rPr>
              <w:t>9</w:t>
            </w:r>
            <w:r w:rsidRPr="00F500F7">
              <w:rPr>
                <w:rFonts w:ascii="標楷體" w:eastAsia="標楷體" w:hAnsi="標楷體" w:cs="New Gulim" w:hint="eastAsia"/>
                <w:color w:val="000000"/>
                <w:szCs w:val="24"/>
              </w:rPr>
              <w:t>.</w:t>
            </w:r>
            <w:r>
              <w:rPr>
                <w:rFonts w:ascii="標楷體" w:eastAsia="標楷體" w:hAnsi="標楷體" w:cs="New Gulim" w:hint="eastAsia"/>
                <w:color w:val="000000"/>
                <w:szCs w:val="24"/>
              </w:rPr>
              <w:t>25</w:t>
            </w:r>
          </w:p>
          <w:p w14:paraId="18B6C88D" w14:textId="77777777" w:rsidR="00626E6B" w:rsidRPr="00F500F7" w:rsidRDefault="00626E6B" w:rsidP="00F470A8">
            <w:pPr>
              <w:overflowPunct w:val="0"/>
              <w:snapToGrid w:val="0"/>
              <w:spacing w:line="320" w:lineRule="exact"/>
              <w:jc w:val="center"/>
              <w:rPr>
                <w:rFonts w:ascii="標楷體" w:eastAsia="標楷體" w:hAnsi="標楷體" w:cs="New Gulim"/>
                <w:color w:val="000000"/>
                <w:szCs w:val="24"/>
              </w:rPr>
            </w:pPr>
            <w:r w:rsidRPr="00F500F7">
              <w:rPr>
                <w:rFonts w:ascii="標楷體" w:eastAsia="標楷體" w:hAnsi="標楷體" w:cs="New Gulim" w:hint="eastAsia"/>
                <w:color w:val="000000"/>
                <w:szCs w:val="24"/>
              </w:rPr>
              <w:t>(</w:t>
            </w:r>
            <w:r>
              <w:rPr>
                <w:rFonts w:ascii="標楷體" w:eastAsia="標楷體" w:hAnsi="標楷體" w:cs="New Gulim" w:hint="eastAsia"/>
                <w:color w:val="000000"/>
                <w:szCs w:val="24"/>
              </w:rPr>
              <w:t>一</w:t>
            </w:r>
            <w:r w:rsidRPr="00F500F7">
              <w:rPr>
                <w:rFonts w:ascii="標楷體" w:eastAsia="標楷體" w:hAnsi="標楷體" w:cs="New Gulim" w:hint="eastAsia"/>
                <w:color w:val="000000"/>
                <w:szCs w:val="24"/>
              </w:rPr>
              <w:t>)上午</w:t>
            </w:r>
          </w:p>
        </w:tc>
        <w:tc>
          <w:tcPr>
            <w:tcW w:w="1419" w:type="pct"/>
          </w:tcPr>
          <w:p w14:paraId="3738811F" w14:textId="77777777" w:rsidR="00626E6B" w:rsidRPr="00F500F7" w:rsidRDefault="00626E6B" w:rsidP="00F470A8">
            <w:pPr>
              <w:overflowPunct w:val="0"/>
              <w:snapToGrid w:val="0"/>
              <w:spacing w:line="320" w:lineRule="exact"/>
              <w:jc w:val="both"/>
              <w:rPr>
                <w:rFonts w:ascii="標楷體" w:eastAsia="標楷體" w:hAnsi="標楷體"/>
                <w:color w:val="000000"/>
                <w:szCs w:val="24"/>
              </w:rPr>
            </w:pPr>
            <w:r w:rsidRPr="00F500F7">
              <w:rPr>
                <w:rFonts w:ascii="標楷體" w:eastAsia="標楷體" w:hAnsi="標楷體" w:hint="eastAsia"/>
                <w:color w:val="000000"/>
                <w:szCs w:val="24"/>
              </w:rPr>
              <w:t>選舉立法院第1</w:t>
            </w:r>
            <w:r>
              <w:rPr>
                <w:rFonts w:ascii="標楷體" w:eastAsia="標楷體" w:hAnsi="標楷體" w:hint="eastAsia"/>
                <w:color w:val="000000"/>
                <w:szCs w:val="24"/>
              </w:rPr>
              <w:t>1</w:t>
            </w:r>
            <w:r w:rsidRPr="00F500F7">
              <w:rPr>
                <w:rFonts w:ascii="標楷體" w:eastAsia="標楷體" w:hAnsi="標楷體" w:hint="eastAsia"/>
                <w:color w:val="000000"/>
                <w:szCs w:val="24"/>
              </w:rPr>
              <w:t>屆第</w:t>
            </w:r>
            <w:r>
              <w:rPr>
                <w:rFonts w:ascii="標楷體" w:eastAsia="標楷體" w:hAnsi="標楷體" w:hint="eastAsia"/>
                <w:color w:val="000000"/>
                <w:szCs w:val="24"/>
              </w:rPr>
              <w:t>2</w:t>
            </w:r>
            <w:r w:rsidRPr="00F500F7">
              <w:rPr>
                <w:rFonts w:ascii="標楷體" w:eastAsia="標楷體" w:hAnsi="標楷體" w:hint="eastAsia"/>
                <w:color w:val="000000"/>
                <w:szCs w:val="24"/>
              </w:rPr>
              <w:t>會期本會召集委員。</w:t>
            </w:r>
          </w:p>
        </w:tc>
        <w:tc>
          <w:tcPr>
            <w:tcW w:w="1191" w:type="pct"/>
          </w:tcPr>
          <w:p w14:paraId="0DBE4913" w14:textId="77777777" w:rsidR="00626E6B" w:rsidRPr="003A5CB5" w:rsidRDefault="00626E6B" w:rsidP="00F470A8">
            <w:pPr>
              <w:overflowPunct w:val="0"/>
              <w:snapToGrid w:val="0"/>
              <w:spacing w:line="320" w:lineRule="exact"/>
              <w:rPr>
                <w:rFonts w:ascii="標楷體" w:eastAsia="標楷體" w:hAnsi="標楷體"/>
                <w:szCs w:val="24"/>
              </w:rPr>
            </w:pPr>
            <w:r>
              <w:rPr>
                <w:rFonts w:ascii="標楷體" w:eastAsia="標楷體" w:hAnsi="標楷體" w:hint="eastAsia"/>
                <w:szCs w:val="24"/>
              </w:rPr>
              <w:t>選舉</w:t>
            </w:r>
            <w:r w:rsidRPr="003A5CB5">
              <w:rPr>
                <w:rFonts w:ascii="標楷體" w:eastAsia="標楷體" w:hAnsi="標楷體" w:hint="eastAsia"/>
                <w:szCs w:val="24"/>
              </w:rPr>
              <w:t>結果:</w:t>
            </w:r>
          </w:p>
          <w:p w14:paraId="580603F7" w14:textId="77777777" w:rsidR="00626E6B" w:rsidRPr="00F500F7" w:rsidRDefault="00626E6B" w:rsidP="00F470A8">
            <w:pPr>
              <w:overflowPunct w:val="0"/>
              <w:snapToGrid w:val="0"/>
              <w:spacing w:line="320" w:lineRule="exact"/>
              <w:rPr>
                <w:rFonts w:ascii="標楷體" w:eastAsia="標楷體" w:hAnsi="標楷體"/>
                <w:color w:val="000000"/>
                <w:szCs w:val="24"/>
              </w:rPr>
            </w:pPr>
            <w:r>
              <w:rPr>
                <w:rFonts w:ascii="標楷體" w:eastAsia="標楷體" w:hAnsi="標楷體" w:hint="eastAsia"/>
                <w:szCs w:val="24"/>
              </w:rPr>
              <w:t>陳玉珍</w:t>
            </w:r>
            <w:r w:rsidRPr="00267955">
              <w:rPr>
                <w:rFonts w:ascii="標楷體" w:eastAsia="標楷體" w:hAnsi="標楷體" w:hint="eastAsia"/>
                <w:szCs w:val="24"/>
              </w:rPr>
              <w:t>、</w:t>
            </w:r>
            <w:r>
              <w:rPr>
                <w:rFonts w:ascii="標楷體" w:eastAsia="標楷體" w:hAnsi="標楷體" w:hint="eastAsia"/>
                <w:szCs w:val="24"/>
              </w:rPr>
              <w:t>賴惠員</w:t>
            </w:r>
            <w:r w:rsidRPr="003A5CB5">
              <w:rPr>
                <w:rFonts w:ascii="標楷體" w:eastAsia="標楷體" w:hAnsi="標楷體" w:hint="eastAsia"/>
                <w:szCs w:val="24"/>
              </w:rPr>
              <w:t>為本會期召集委員。</w:t>
            </w:r>
          </w:p>
        </w:tc>
        <w:tc>
          <w:tcPr>
            <w:tcW w:w="426" w:type="pct"/>
          </w:tcPr>
          <w:p w14:paraId="79D2FF0E"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626E6B">
              <w:rPr>
                <w:rFonts w:ascii="標楷體" w:eastAsia="標楷體" w:hAnsi="標楷體" w:hint="eastAsia"/>
                <w:kern w:val="2"/>
                <w:szCs w:val="24"/>
              </w:rPr>
              <w:t>5258</w:t>
            </w:r>
          </w:p>
        </w:tc>
      </w:tr>
      <w:tr w:rsidR="00626E6B" w:rsidRPr="00464A6F" w14:paraId="4B1AF961" w14:textId="77777777" w:rsidTr="00660947">
        <w:trPr>
          <w:trHeight w:val="38"/>
        </w:trPr>
        <w:tc>
          <w:tcPr>
            <w:tcW w:w="211" w:type="pct"/>
          </w:tcPr>
          <w:p w14:paraId="5C764659" w14:textId="77777777" w:rsidR="00626E6B" w:rsidRPr="00A97FCE" w:rsidRDefault="00626E6B" w:rsidP="00660947">
            <w:pPr>
              <w:overflowPunct w:val="0"/>
              <w:snapToGrid w:val="0"/>
              <w:spacing w:line="320" w:lineRule="exact"/>
              <w:jc w:val="center"/>
              <w:rPr>
                <w:rFonts w:ascii="標楷體" w:eastAsia="標楷體" w:hAnsi="標楷體"/>
                <w:bCs/>
                <w:szCs w:val="24"/>
              </w:rPr>
            </w:pPr>
            <w:r w:rsidRPr="00A97FCE">
              <w:rPr>
                <w:rFonts w:ascii="標楷體" w:eastAsia="標楷體" w:hAnsi="標楷體" w:hint="eastAsia"/>
                <w:bCs/>
                <w:szCs w:val="24"/>
              </w:rPr>
              <w:t>2</w:t>
            </w:r>
          </w:p>
        </w:tc>
        <w:tc>
          <w:tcPr>
            <w:tcW w:w="725" w:type="pct"/>
          </w:tcPr>
          <w:p w14:paraId="4075AE95" w14:textId="77777777" w:rsidR="00626E6B" w:rsidRPr="00A97FCE" w:rsidRDefault="00626E6B" w:rsidP="00F470A8">
            <w:pPr>
              <w:overflowPunct w:val="0"/>
              <w:snapToGrid w:val="0"/>
              <w:spacing w:line="320" w:lineRule="exact"/>
              <w:jc w:val="both"/>
              <w:rPr>
                <w:rFonts w:ascii="標楷體" w:eastAsia="標楷體" w:hAnsi="標楷體"/>
                <w:szCs w:val="24"/>
              </w:rPr>
            </w:pPr>
            <w:r w:rsidRPr="00B11301">
              <w:rPr>
                <w:rFonts w:ascii="標楷體" w:eastAsia="標楷體" w:hAnsi="標楷體" w:hint="eastAsia"/>
                <w:szCs w:val="24"/>
              </w:rPr>
              <w:t>考察</w:t>
            </w:r>
          </w:p>
        </w:tc>
        <w:tc>
          <w:tcPr>
            <w:tcW w:w="418" w:type="pct"/>
          </w:tcPr>
          <w:p w14:paraId="7DB75355" w14:textId="77777777" w:rsidR="00626E6B" w:rsidRPr="00267955"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賴惠員</w:t>
            </w:r>
          </w:p>
        </w:tc>
        <w:tc>
          <w:tcPr>
            <w:tcW w:w="609" w:type="pct"/>
          </w:tcPr>
          <w:p w14:paraId="7D04CF79" w14:textId="77777777" w:rsidR="00626E6B" w:rsidRPr="003077FC"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color w:val="000000"/>
                <w:szCs w:val="24"/>
              </w:rPr>
              <w:t>11</w:t>
            </w:r>
            <w:r>
              <w:rPr>
                <w:rFonts w:ascii="標楷體" w:eastAsia="標楷體" w:hAnsi="標楷體" w:cs="New Gulim" w:hint="eastAsia"/>
                <w:color w:val="000000"/>
                <w:szCs w:val="24"/>
              </w:rPr>
              <w:t>3</w:t>
            </w:r>
            <w:r>
              <w:rPr>
                <w:rFonts w:ascii="標楷體" w:eastAsia="標楷體" w:hAnsi="標楷體" w:cs="New Gulim"/>
                <w:color w:val="000000"/>
                <w:szCs w:val="24"/>
              </w:rPr>
              <w:t>.9.</w:t>
            </w:r>
            <w:r>
              <w:rPr>
                <w:rFonts w:ascii="標楷體" w:eastAsia="標楷體" w:hAnsi="標楷體" w:cs="New Gulim" w:hint="eastAsia"/>
                <w:color w:val="000000"/>
                <w:szCs w:val="24"/>
              </w:rPr>
              <w:t>30</w:t>
            </w:r>
          </w:p>
          <w:p w14:paraId="3C984EDE" w14:textId="77777777" w:rsidR="00626E6B" w:rsidRPr="00F500F7" w:rsidRDefault="00626E6B" w:rsidP="00F470A8">
            <w:pPr>
              <w:overflowPunct w:val="0"/>
              <w:snapToGrid w:val="0"/>
              <w:spacing w:line="320" w:lineRule="exact"/>
              <w:jc w:val="center"/>
              <w:rPr>
                <w:rFonts w:ascii="標楷體" w:eastAsia="標楷體" w:hAnsi="標楷體" w:cs="New Gulim"/>
                <w:color w:val="000000"/>
                <w:szCs w:val="24"/>
              </w:rPr>
            </w:pPr>
            <w:r w:rsidRPr="003077FC">
              <w:rPr>
                <w:rFonts w:ascii="標楷體" w:eastAsia="標楷體" w:hAnsi="標楷體" w:cs="New Gulim" w:hint="eastAsia"/>
                <w:color w:val="000000"/>
                <w:szCs w:val="24"/>
              </w:rPr>
              <w:t>(</w:t>
            </w:r>
            <w:r>
              <w:rPr>
                <w:rFonts w:ascii="標楷體" w:eastAsia="標楷體" w:hAnsi="標楷體" w:cs="New Gulim" w:hint="eastAsia"/>
                <w:color w:val="000000"/>
                <w:szCs w:val="24"/>
              </w:rPr>
              <w:t>一</w:t>
            </w:r>
            <w:r w:rsidRPr="003077FC">
              <w:rPr>
                <w:rFonts w:ascii="標楷體" w:eastAsia="標楷體" w:hAnsi="標楷體" w:cs="New Gulim" w:hint="eastAsia"/>
                <w:color w:val="000000"/>
                <w:szCs w:val="24"/>
              </w:rPr>
              <w:t>)</w:t>
            </w:r>
          </w:p>
        </w:tc>
        <w:tc>
          <w:tcPr>
            <w:tcW w:w="1419" w:type="pct"/>
          </w:tcPr>
          <w:p w14:paraId="3A166281" w14:textId="77777777" w:rsidR="00626E6B" w:rsidRPr="00F500F7" w:rsidRDefault="008B32D4" w:rsidP="00F470A8">
            <w:pPr>
              <w:overflowPunct w:val="0"/>
              <w:snapToGrid w:val="0"/>
              <w:spacing w:line="320" w:lineRule="exact"/>
              <w:jc w:val="both"/>
              <w:rPr>
                <w:rFonts w:ascii="標楷體" w:eastAsia="標楷體" w:hAnsi="標楷體"/>
                <w:color w:val="000000"/>
                <w:szCs w:val="24"/>
              </w:rPr>
            </w:pPr>
            <w:hyperlink r:id="rId10" w:tgtFrame="_blank" w:tooltip="考察臺南市農田水利建設、蘭花園區暨八掌溪溢堤後修繕處理進度及相關預算執行情形  (另開視窗)" w:history="1">
              <w:r w:rsidR="00626E6B" w:rsidRPr="00A5289F">
                <w:rPr>
                  <w:rFonts w:ascii="標楷體" w:eastAsia="標楷體" w:hAnsi="標楷體"/>
                  <w:szCs w:val="24"/>
                </w:rPr>
                <w:t>考察</w:t>
              </w:r>
              <w:r w:rsidR="00626E6B" w:rsidRPr="00A5289F">
                <w:rPr>
                  <w:rFonts w:ascii="標楷體" w:eastAsia="標楷體" w:hAnsi="標楷體"/>
                  <w:color w:val="000000"/>
                  <w:szCs w:val="24"/>
                </w:rPr>
                <w:t>臺南市農田水利建設、蘭花園區暨八掌溪溢堤後修繕處理進度及相關預算執行情形</w:t>
              </w:r>
            </w:hyperlink>
            <w:r w:rsidR="00626E6B">
              <w:rPr>
                <w:rFonts w:ascii="標楷體" w:eastAsia="標楷體" w:hAnsi="標楷體" w:hint="eastAsia"/>
                <w:color w:val="000000"/>
                <w:szCs w:val="24"/>
              </w:rPr>
              <w:t>。</w:t>
            </w:r>
          </w:p>
        </w:tc>
        <w:tc>
          <w:tcPr>
            <w:tcW w:w="1191" w:type="pct"/>
          </w:tcPr>
          <w:p w14:paraId="07CDD020" w14:textId="77777777" w:rsidR="00626E6B" w:rsidRPr="003A5CB5" w:rsidRDefault="00626E6B" w:rsidP="00F470A8">
            <w:pPr>
              <w:overflowPunct w:val="0"/>
              <w:snapToGrid w:val="0"/>
              <w:spacing w:line="320" w:lineRule="exact"/>
              <w:ind w:left="490" w:hangingChars="204" w:hanging="490"/>
              <w:jc w:val="both"/>
              <w:rPr>
                <w:rFonts w:ascii="標楷體" w:eastAsia="標楷體" w:hAnsi="標楷體"/>
                <w:szCs w:val="24"/>
              </w:rPr>
            </w:pPr>
          </w:p>
        </w:tc>
        <w:tc>
          <w:tcPr>
            <w:tcW w:w="426" w:type="pct"/>
          </w:tcPr>
          <w:p w14:paraId="7DB60641"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626E6B" w:rsidRPr="00464A6F" w14:paraId="734D9D5B" w14:textId="77777777" w:rsidTr="00660947">
        <w:trPr>
          <w:trHeight w:val="38"/>
        </w:trPr>
        <w:tc>
          <w:tcPr>
            <w:tcW w:w="211" w:type="pct"/>
          </w:tcPr>
          <w:p w14:paraId="64DDCB30" w14:textId="77777777" w:rsidR="00626E6B" w:rsidRPr="00A97FCE"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3</w:t>
            </w:r>
          </w:p>
        </w:tc>
        <w:tc>
          <w:tcPr>
            <w:tcW w:w="725" w:type="pct"/>
          </w:tcPr>
          <w:p w14:paraId="2BC8DF2F" w14:textId="77777777" w:rsidR="00626E6B" w:rsidRPr="00A97FCE" w:rsidRDefault="00626E6B" w:rsidP="00F470A8">
            <w:pPr>
              <w:overflowPunct w:val="0"/>
              <w:snapToGrid w:val="0"/>
              <w:spacing w:line="320" w:lineRule="exact"/>
              <w:jc w:val="both"/>
              <w:rPr>
                <w:rFonts w:ascii="標楷體" w:eastAsia="標楷體" w:hAnsi="標楷體"/>
                <w:szCs w:val="24"/>
              </w:rPr>
            </w:pPr>
            <w:r w:rsidRPr="00A97FCE">
              <w:rPr>
                <w:rFonts w:ascii="標楷體" w:eastAsia="標楷體" w:hAnsi="標楷體" w:hint="eastAsia"/>
                <w:szCs w:val="24"/>
              </w:rPr>
              <w:t>第</w:t>
            </w:r>
            <w:r>
              <w:rPr>
                <w:rFonts w:ascii="標楷體" w:eastAsia="標楷體" w:hAnsi="標楷體" w:hint="eastAsia"/>
                <w:szCs w:val="24"/>
              </w:rPr>
              <w:t>2</w:t>
            </w:r>
            <w:r w:rsidRPr="00A97FCE">
              <w:rPr>
                <w:rFonts w:ascii="標楷體" w:eastAsia="標楷體" w:hAnsi="標楷體" w:hint="eastAsia"/>
                <w:szCs w:val="24"/>
              </w:rPr>
              <w:t>次全體委員會議</w:t>
            </w:r>
          </w:p>
        </w:tc>
        <w:tc>
          <w:tcPr>
            <w:tcW w:w="418" w:type="pct"/>
          </w:tcPr>
          <w:p w14:paraId="5426D362" w14:textId="77777777" w:rsidR="00626E6B"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賴惠員</w:t>
            </w:r>
          </w:p>
        </w:tc>
        <w:tc>
          <w:tcPr>
            <w:tcW w:w="609" w:type="pct"/>
          </w:tcPr>
          <w:p w14:paraId="7088311D" w14:textId="77777777" w:rsidR="00626E6B" w:rsidRPr="003077FC"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color w:val="000000"/>
                <w:szCs w:val="24"/>
              </w:rPr>
              <w:t>11</w:t>
            </w:r>
            <w:r>
              <w:rPr>
                <w:rFonts w:ascii="標楷體" w:eastAsia="標楷體" w:hAnsi="標楷體" w:cs="New Gulim" w:hint="eastAsia"/>
                <w:color w:val="000000"/>
                <w:szCs w:val="24"/>
              </w:rPr>
              <w:t>3</w:t>
            </w:r>
            <w:r>
              <w:rPr>
                <w:rFonts w:ascii="標楷體" w:eastAsia="標楷體" w:hAnsi="標楷體" w:cs="New Gulim"/>
                <w:color w:val="000000"/>
                <w:szCs w:val="24"/>
              </w:rPr>
              <w:t>.</w:t>
            </w:r>
            <w:r>
              <w:rPr>
                <w:rFonts w:ascii="標楷體" w:eastAsia="標楷體" w:hAnsi="標楷體" w:cs="New Gulim" w:hint="eastAsia"/>
                <w:color w:val="000000"/>
                <w:szCs w:val="24"/>
              </w:rPr>
              <w:t>10</w:t>
            </w:r>
            <w:r>
              <w:rPr>
                <w:rFonts w:ascii="標楷體" w:eastAsia="標楷體" w:hAnsi="標楷體" w:cs="New Gulim"/>
                <w:color w:val="000000"/>
                <w:szCs w:val="24"/>
              </w:rPr>
              <w:t>.</w:t>
            </w:r>
            <w:r>
              <w:rPr>
                <w:rFonts w:ascii="標楷體" w:eastAsia="標楷體" w:hAnsi="標楷體" w:cs="New Gulim" w:hint="eastAsia"/>
                <w:color w:val="000000"/>
                <w:szCs w:val="24"/>
              </w:rPr>
              <w:t>2</w:t>
            </w:r>
          </w:p>
          <w:p w14:paraId="33D10F8F" w14:textId="77777777" w:rsidR="00626E6B" w:rsidRPr="00F500F7" w:rsidRDefault="00626E6B" w:rsidP="00F470A8">
            <w:pPr>
              <w:overflowPunct w:val="0"/>
              <w:snapToGrid w:val="0"/>
              <w:spacing w:line="320" w:lineRule="exact"/>
              <w:jc w:val="center"/>
              <w:rPr>
                <w:rFonts w:ascii="標楷體" w:eastAsia="標楷體" w:hAnsi="標楷體" w:cs="New Gulim"/>
                <w:color w:val="000000"/>
                <w:szCs w:val="24"/>
              </w:rPr>
            </w:pPr>
            <w:r w:rsidRPr="003077FC">
              <w:rPr>
                <w:rFonts w:ascii="標楷體" w:eastAsia="標楷體" w:hAnsi="標楷體" w:cs="New Gulim" w:hint="eastAsia"/>
                <w:color w:val="000000"/>
                <w:szCs w:val="24"/>
              </w:rPr>
              <w:t>(</w:t>
            </w:r>
            <w:r>
              <w:rPr>
                <w:rFonts w:ascii="標楷體" w:eastAsia="標楷體" w:hAnsi="標楷體" w:cs="New Gulim" w:hint="eastAsia"/>
                <w:color w:val="000000"/>
                <w:szCs w:val="24"/>
              </w:rPr>
              <w:t>三</w:t>
            </w:r>
            <w:r w:rsidRPr="003077FC">
              <w:rPr>
                <w:rFonts w:ascii="標楷體" w:eastAsia="標楷體" w:hAnsi="標楷體" w:cs="New Gulim" w:hint="eastAsia"/>
                <w:color w:val="000000"/>
                <w:szCs w:val="24"/>
              </w:rPr>
              <w:t>)</w:t>
            </w:r>
          </w:p>
        </w:tc>
        <w:tc>
          <w:tcPr>
            <w:tcW w:w="1419" w:type="pct"/>
          </w:tcPr>
          <w:p w14:paraId="764EBBAF" w14:textId="77777777" w:rsidR="00626E6B" w:rsidRPr="00000BBB"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一、邀請財政部莊部長翠雲率所屬機關首長暨國營事業董事長、總經理(含各轉投資事業機構公股代表之董、監事)列席業務報告，並備質詢。</w:t>
            </w:r>
          </w:p>
          <w:p w14:paraId="45832781" w14:textId="77777777" w:rsidR="00626E6B" w:rsidRPr="00000BBB"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二、審查「證券交易稅條例」3案：（僅詢答）</w:t>
            </w:r>
          </w:p>
          <w:p w14:paraId="538F4E50" w14:textId="77777777" w:rsidR="00626E6B" w:rsidRPr="00000BBB"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(一</w:t>
            </w:r>
            <w:r>
              <w:rPr>
                <w:rFonts w:ascii="標楷體" w:eastAsia="標楷體" w:hAnsi="標楷體" w:hint="eastAsia"/>
                <w:szCs w:val="24"/>
              </w:rPr>
              <w:t>)</w:t>
            </w:r>
            <w:r w:rsidRPr="00000BBB">
              <w:rPr>
                <w:rFonts w:ascii="標楷體" w:eastAsia="標楷體" w:hAnsi="標楷體" w:hint="eastAsia"/>
                <w:szCs w:val="24"/>
              </w:rPr>
              <w:t>行政院函請審議「證券交易稅條例第二條之二及第十二條條文修正草案」案。</w:t>
            </w:r>
          </w:p>
          <w:p w14:paraId="3BBC33B8" w14:textId="77777777" w:rsidR="00626E6B" w:rsidRPr="00000BBB"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(二</w:t>
            </w:r>
            <w:r>
              <w:rPr>
                <w:rFonts w:ascii="標楷體" w:eastAsia="標楷體" w:hAnsi="標楷體" w:hint="eastAsia"/>
                <w:szCs w:val="24"/>
              </w:rPr>
              <w:t>)</w:t>
            </w:r>
            <w:r w:rsidRPr="00000BBB">
              <w:rPr>
                <w:rFonts w:ascii="標楷體" w:eastAsia="標楷體" w:hAnsi="標楷體" w:hint="eastAsia"/>
                <w:szCs w:val="24"/>
              </w:rPr>
              <w:t>本院委員羅明才等20人擬具「證券交易稅條例第二條之二條文修正草案」案。</w:t>
            </w:r>
          </w:p>
          <w:p w14:paraId="3E18FFD2" w14:textId="77777777" w:rsidR="00626E6B" w:rsidRPr="00000BBB"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(三</w:t>
            </w:r>
            <w:r>
              <w:rPr>
                <w:rFonts w:ascii="標楷體" w:eastAsia="標楷體" w:hAnsi="標楷體" w:hint="eastAsia"/>
                <w:szCs w:val="24"/>
              </w:rPr>
              <w:t>)</w:t>
            </w:r>
            <w:r w:rsidRPr="00000BBB">
              <w:rPr>
                <w:rFonts w:ascii="標楷體" w:eastAsia="標楷體" w:hAnsi="標楷體" w:hint="eastAsia"/>
                <w:szCs w:val="24"/>
              </w:rPr>
              <w:t>本院委員邱志偉等19人擬具「證券交易稅條例第十二條條文修正草案」案。</w:t>
            </w:r>
          </w:p>
          <w:p w14:paraId="601AFD4B" w14:textId="77777777" w:rsidR="00626E6B" w:rsidRPr="00000BBB"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三、審查行政院函請審議「土地稅法第五十四條條文修正草案」案。（僅詢答）</w:t>
            </w:r>
          </w:p>
          <w:p w14:paraId="06741691" w14:textId="77777777" w:rsidR="00626E6B" w:rsidRPr="00000BBB"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四、審查行政院函請審議「使用牌照稅法第二十九條、第三十條及</w:t>
            </w:r>
            <w:r w:rsidRPr="00000BBB">
              <w:rPr>
                <w:rFonts w:ascii="標楷體" w:eastAsia="標楷體" w:hAnsi="標楷體" w:hint="eastAsia"/>
                <w:szCs w:val="24"/>
              </w:rPr>
              <w:lastRenderedPageBreak/>
              <w:t>第三十一條條文修正草案」案。（僅詢答）</w:t>
            </w:r>
          </w:p>
          <w:p w14:paraId="2E9276DE" w14:textId="77777777" w:rsidR="00626E6B" w:rsidRPr="002D4DB8" w:rsidRDefault="00626E6B" w:rsidP="00F470A8">
            <w:pPr>
              <w:overflowPunct w:val="0"/>
              <w:snapToGrid w:val="0"/>
              <w:spacing w:line="320" w:lineRule="exact"/>
              <w:ind w:left="490" w:hangingChars="204" w:hanging="490"/>
              <w:jc w:val="both"/>
              <w:rPr>
                <w:rFonts w:ascii="標楷體" w:eastAsia="標楷體" w:hAnsi="標楷體"/>
                <w:szCs w:val="24"/>
              </w:rPr>
            </w:pPr>
            <w:r w:rsidRPr="00000BBB">
              <w:rPr>
                <w:rFonts w:ascii="標楷體" w:eastAsia="標楷體" w:hAnsi="標楷體" w:hint="eastAsia"/>
                <w:szCs w:val="24"/>
              </w:rPr>
              <w:t>五、審查行政院函請審議「菸酒稅法部分條文修正草案」案。（僅詢答）</w:t>
            </w:r>
          </w:p>
        </w:tc>
        <w:tc>
          <w:tcPr>
            <w:tcW w:w="1191" w:type="pct"/>
          </w:tcPr>
          <w:p w14:paraId="43E6F359" w14:textId="77777777" w:rsidR="00626E6B"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lastRenderedPageBreak/>
              <w:t>因颱風取消。</w:t>
            </w:r>
          </w:p>
        </w:tc>
        <w:tc>
          <w:tcPr>
            <w:tcW w:w="426" w:type="pct"/>
          </w:tcPr>
          <w:p w14:paraId="0E1268DD"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626E6B" w:rsidRPr="00464A6F" w14:paraId="3644E18F" w14:textId="77777777" w:rsidTr="00660947">
        <w:trPr>
          <w:trHeight w:val="38"/>
        </w:trPr>
        <w:tc>
          <w:tcPr>
            <w:tcW w:w="211" w:type="pct"/>
          </w:tcPr>
          <w:p w14:paraId="039A994F" w14:textId="77777777" w:rsidR="00626E6B" w:rsidRPr="00A97FCE" w:rsidRDefault="00626E6B" w:rsidP="00660947">
            <w:pPr>
              <w:overflowPunct w:val="0"/>
              <w:snapToGrid w:val="0"/>
              <w:spacing w:line="320" w:lineRule="exact"/>
              <w:jc w:val="center"/>
              <w:rPr>
                <w:rFonts w:ascii="標楷體" w:eastAsia="標楷體" w:hAnsi="標楷體"/>
                <w:bCs/>
                <w:szCs w:val="24"/>
              </w:rPr>
            </w:pPr>
          </w:p>
        </w:tc>
        <w:tc>
          <w:tcPr>
            <w:tcW w:w="725" w:type="pct"/>
          </w:tcPr>
          <w:p w14:paraId="5CF818E1" w14:textId="77777777" w:rsidR="00626E6B" w:rsidRPr="00A97FCE" w:rsidRDefault="00626E6B" w:rsidP="00F470A8">
            <w:pPr>
              <w:overflowPunct w:val="0"/>
              <w:snapToGrid w:val="0"/>
              <w:spacing w:line="320" w:lineRule="exact"/>
              <w:jc w:val="both"/>
              <w:rPr>
                <w:rFonts w:ascii="標楷體" w:eastAsia="標楷體" w:hAnsi="標楷體"/>
                <w:szCs w:val="24"/>
              </w:rPr>
            </w:pPr>
          </w:p>
        </w:tc>
        <w:tc>
          <w:tcPr>
            <w:tcW w:w="418" w:type="pct"/>
          </w:tcPr>
          <w:p w14:paraId="34DF5DE2" w14:textId="77777777" w:rsidR="00626E6B" w:rsidRDefault="00626E6B" w:rsidP="00F470A8">
            <w:pPr>
              <w:overflowPunct w:val="0"/>
              <w:snapToGrid w:val="0"/>
              <w:spacing w:line="320" w:lineRule="exact"/>
              <w:jc w:val="both"/>
              <w:rPr>
                <w:rFonts w:ascii="標楷體" w:eastAsia="標楷體" w:hAnsi="標楷體"/>
                <w:szCs w:val="24"/>
              </w:rPr>
            </w:pPr>
          </w:p>
        </w:tc>
        <w:tc>
          <w:tcPr>
            <w:tcW w:w="609" w:type="pct"/>
          </w:tcPr>
          <w:p w14:paraId="78218163" w14:textId="77777777" w:rsidR="00626E6B" w:rsidRPr="003077FC"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color w:val="000000"/>
                <w:szCs w:val="24"/>
              </w:rPr>
              <w:t>11</w:t>
            </w:r>
            <w:r>
              <w:rPr>
                <w:rFonts w:ascii="標楷體" w:eastAsia="標楷體" w:hAnsi="標楷體" w:cs="New Gulim" w:hint="eastAsia"/>
                <w:color w:val="000000"/>
                <w:szCs w:val="24"/>
              </w:rPr>
              <w:t>3</w:t>
            </w:r>
            <w:r>
              <w:rPr>
                <w:rFonts w:ascii="標楷體" w:eastAsia="標楷體" w:hAnsi="標楷體" w:cs="New Gulim"/>
                <w:color w:val="000000"/>
                <w:szCs w:val="24"/>
              </w:rPr>
              <w:t>.</w:t>
            </w:r>
            <w:r>
              <w:rPr>
                <w:rFonts w:ascii="標楷體" w:eastAsia="標楷體" w:hAnsi="標楷體" w:cs="New Gulim" w:hint="eastAsia"/>
                <w:color w:val="000000"/>
                <w:szCs w:val="24"/>
              </w:rPr>
              <w:t>10</w:t>
            </w:r>
            <w:r>
              <w:rPr>
                <w:rFonts w:ascii="標楷體" w:eastAsia="標楷體" w:hAnsi="標楷體" w:cs="New Gulim"/>
                <w:color w:val="000000"/>
                <w:szCs w:val="24"/>
              </w:rPr>
              <w:t>.</w:t>
            </w:r>
            <w:r>
              <w:rPr>
                <w:rFonts w:ascii="標楷體" w:eastAsia="標楷體" w:hAnsi="標楷體" w:cs="New Gulim" w:hint="eastAsia"/>
                <w:color w:val="000000"/>
                <w:szCs w:val="24"/>
              </w:rPr>
              <w:t>3</w:t>
            </w:r>
          </w:p>
          <w:p w14:paraId="386DAE73"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sidRPr="003077FC">
              <w:rPr>
                <w:rFonts w:ascii="標楷體" w:eastAsia="標楷體" w:hAnsi="標楷體" w:cs="New Gulim" w:hint="eastAsia"/>
                <w:color w:val="000000"/>
                <w:szCs w:val="24"/>
              </w:rPr>
              <w:t>(</w:t>
            </w:r>
            <w:r>
              <w:rPr>
                <w:rFonts w:ascii="標楷體" w:eastAsia="標楷體" w:hAnsi="標楷體" w:cs="New Gulim" w:hint="eastAsia"/>
                <w:color w:val="000000"/>
                <w:szCs w:val="24"/>
              </w:rPr>
              <w:t>四</w:t>
            </w:r>
            <w:r w:rsidRPr="003077FC">
              <w:rPr>
                <w:rFonts w:ascii="標楷體" w:eastAsia="標楷體" w:hAnsi="標楷體" w:cs="New Gulim" w:hint="eastAsia"/>
                <w:color w:val="000000"/>
                <w:szCs w:val="24"/>
              </w:rPr>
              <w:t>)</w:t>
            </w:r>
          </w:p>
        </w:tc>
        <w:tc>
          <w:tcPr>
            <w:tcW w:w="1419" w:type="pct"/>
          </w:tcPr>
          <w:p w14:paraId="62CA3270" w14:textId="77777777" w:rsidR="00626E6B" w:rsidRPr="002D4DB8" w:rsidRDefault="00626E6B" w:rsidP="00F470A8">
            <w:pPr>
              <w:overflowPunct w:val="0"/>
              <w:snapToGrid w:val="0"/>
              <w:spacing w:line="320" w:lineRule="exact"/>
              <w:jc w:val="both"/>
              <w:rPr>
                <w:rFonts w:ascii="標楷體" w:eastAsia="標楷體" w:hAnsi="標楷體"/>
                <w:szCs w:val="24"/>
              </w:rPr>
            </w:pPr>
            <w:r w:rsidRPr="00051C7B">
              <w:rPr>
                <w:rFonts w:ascii="標楷體" w:eastAsia="標楷體" w:hAnsi="標楷體" w:hint="eastAsia"/>
                <w:szCs w:val="24"/>
              </w:rPr>
              <w:t>邀請中央銀行楊總裁金龍率所屬單位主管暨財金資訊股份有限公司董事長列席業務報告，並備質詢。</w:t>
            </w:r>
          </w:p>
        </w:tc>
        <w:tc>
          <w:tcPr>
            <w:tcW w:w="1191" w:type="pct"/>
          </w:tcPr>
          <w:p w14:paraId="01FDE987" w14:textId="77777777" w:rsidR="00626E6B" w:rsidRDefault="00626E6B" w:rsidP="00F470A8">
            <w:pPr>
              <w:overflowPunct w:val="0"/>
              <w:snapToGrid w:val="0"/>
              <w:spacing w:line="320" w:lineRule="exact"/>
              <w:ind w:left="490" w:hangingChars="204" w:hanging="490"/>
              <w:jc w:val="both"/>
              <w:rPr>
                <w:rFonts w:ascii="標楷體" w:eastAsia="標楷體" w:hAnsi="標楷體"/>
                <w:szCs w:val="24"/>
              </w:rPr>
            </w:pPr>
            <w:r>
              <w:rPr>
                <w:rFonts w:ascii="標楷體" w:eastAsia="標楷體" w:hAnsi="標楷體" w:hint="eastAsia"/>
                <w:szCs w:val="24"/>
              </w:rPr>
              <w:t>因颱風取消。</w:t>
            </w:r>
          </w:p>
        </w:tc>
        <w:tc>
          <w:tcPr>
            <w:tcW w:w="426" w:type="pct"/>
          </w:tcPr>
          <w:p w14:paraId="04F496AB"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626E6B" w:rsidRPr="00464A6F" w14:paraId="542E5C6A" w14:textId="77777777" w:rsidTr="00660947">
        <w:trPr>
          <w:trHeight w:val="38"/>
        </w:trPr>
        <w:tc>
          <w:tcPr>
            <w:tcW w:w="211" w:type="pct"/>
          </w:tcPr>
          <w:p w14:paraId="0B8E07B4" w14:textId="77777777" w:rsidR="00626E6B"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4</w:t>
            </w:r>
          </w:p>
        </w:tc>
        <w:tc>
          <w:tcPr>
            <w:tcW w:w="725" w:type="pct"/>
          </w:tcPr>
          <w:p w14:paraId="62CA49FF" w14:textId="77777777" w:rsidR="00626E6B" w:rsidRPr="00102E1A" w:rsidRDefault="00626E6B" w:rsidP="00F470A8">
            <w:pPr>
              <w:overflowPunct w:val="0"/>
              <w:snapToGrid w:val="0"/>
              <w:spacing w:line="320" w:lineRule="exact"/>
              <w:jc w:val="both"/>
              <w:rPr>
                <w:rFonts w:ascii="標楷體" w:eastAsia="標楷體" w:hAnsi="標楷體"/>
                <w:szCs w:val="24"/>
              </w:rPr>
            </w:pPr>
            <w:r w:rsidRPr="00704F48">
              <w:rPr>
                <w:rFonts w:ascii="標楷體" w:eastAsia="標楷體" w:hAnsi="標楷體" w:hint="eastAsia"/>
                <w:szCs w:val="24"/>
              </w:rPr>
              <w:t>第1次公聽會</w:t>
            </w:r>
          </w:p>
        </w:tc>
        <w:tc>
          <w:tcPr>
            <w:tcW w:w="418" w:type="pct"/>
          </w:tcPr>
          <w:p w14:paraId="0585B207" w14:textId="77777777" w:rsidR="00626E6B" w:rsidRPr="00267955"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陳玉珍</w:t>
            </w:r>
          </w:p>
        </w:tc>
        <w:tc>
          <w:tcPr>
            <w:tcW w:w="609" w:type="pct"/>
          </w:tcPr>
          <w:p w14:paraId="750B69B7"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113.10.7</w:t>
            </w:r>
          </w:p>
          <w:p w14:paraId="51E39401" w14:textId="77777777" w:rsidR="00626E6B" w:rsidRPr="00A97FCE" w:rsidRDefault="00626E6B" w:rsidP="00F470A8">
            <w:pPr>
              <w:overflowPunct w:val="0"/>
              <w:snapToGrid w:val="0"/>
              <w:spacing w:line="320" w:lineRule="exact"/>
              <w:jc w:val="center"/>
              <w:rPr>
                <w:rFonts w:ascii="標楷體" w:eastAsia="標楷體" w:hAnsi="標楷體" w:cs="New Gulim"/>
                <w:szCs w:val="24"/>
              </w:rPr>
            </w:pPr>
            <w:r>
              <w:rPr>
                <w:rFonts w:ascii="標楷體" w:eastAsia="標楷體" w:hAnsi="標楷體" w:cs="New Gulim" w:hint="eastAsia"/>
                <w:color w:val="000000"/>
                <w:szCs w:val="24"/>
              </w:rPr>
              <w:t>(一)</w:t>
            </w:r>
          </w:p>
        </w:tc>
        <w:tc>
          <w:tcPr>
            <w:tcW w:w="1419" w:type="pct"/>
          </w:tcPr>
          <w:p w14:paraId="22B1D464" w14:textId="77777777" w:rsidR="00626E6B" w:rsidRPr="00804A87" w:rsidRDefault="00626E6B" w:rsidP="00F470A8">
            <w:pPr>
              <w:overflowPunct w:val="0"/>
              <w:snapToGrid w:val="0"/>
              <w:spacing w:line="320" w:lineRule="exact"/>
              <w:jc w:val="both"/>
              <w:rPr>
                <w:rFonts w:ascii="標楷體" w:eastAsia="標楷體" w:hAnsi="標楷體"/>
                <w:color w:val="000000"/>
                <w:szCs w:val="24"/>
              </w:rPr>
            </w:pPr>
            <w:r w:rsidRPr="00704F48">
              <w:rPr>
                <w:rFonts w:ascii="標楷體" w:eastAsia="標楷體" w:hAnsi="標楷體" w:hint="eastAsia"/>
                <w:szCs w:val="24"/>
              </w:rPr>
              <w:t>召開「</w:t>
            </w:r>
            <w:r>
              <w:rPr>
                <w:rFonts w:ascii="標楷體" w:eastAsia="標楷體" w:hAnsi="標楷體" w:hint="eastAsia"/>
                <w:szCs w:val="24"/>
              </w:rPr>
              <w:t>財政收支劃分法</w:t>
            </w:r>
            <w:r w:rsidRPr="00485EF4">
              <w:rPr>
                <w:rFonts w:ascii="標楷體" w:eastAsia="標楷體" w:hAnsi="標楷體" w:hint="eastAsia"/>
                <w:szCs w:val="24"/>
              </w:rPr>
              <w:t>修正草案</w:t>
            </w:r>
            <w:r w:rsidRPr="00704F48">
              <w:rPr>
                <w:rFonts w:ascii="標楷體" w:eastAsia="標楷體" w:hAnsi="標楷體" w:hint="eastAsia"/>
                <w:szCs w:val="24"/>
              </w:rPr>
              <w:t>」公聽會。</w:t>
            </w:r>
          </w:p>
        </w:tc>
        <w:tc>
          <w:tcPr>
            <w:tcW w:w="1191" w:type="pct"/>
          </w:tcPr>
          <w:p w14:paraId="1B2DB4A1" w14:textId="77777777" w:rsidR="00626E6B" w:rsidRPr="002D38CB" w:rsidRDefault="00626E6B" w:rsidP="00F470A8">
            <w:pPr>
              <w:overflowPunct w:val="0"/>
              <w:snapToGrid w:val="0"/>
              <w:spacing w:line="320" w:lineRule="exact"/>
              <w:jc w:val="both"/>
              <w:rPr>
                <w:rFonts w:ascii="標楷體" w:eastAsia="標楷體" w:hAnsi="標楷體"/>
                <w:szCs w:val="24"/>
              </w:rPr>
            </w:pPr>
          </w:p>
        </w:tc>
        <w:tc>
          <w:tcPr>
            <w:tcW w:w="426" w:type="pct"/>
          </w:tcPr>
          <w:p w14:paraId="43775616" w14:textId="77777777" w:rsidR="00626E6B" w:rsidRPr="00626E6B" w:rsidRDefault="00626E6B" w:rsidP="00F470A8">
            <w:pPr>
              <w:widowControl w:val="0"/>
              <w:overflowPunct w:val="0"/>
              <w:autoSpaceDN/>
              <w:snapToGrid w:val="0"/>
              <w:spacing w:line="320" w:lineRule="exact"/>
              <w:jc w:val="center"/>
              <w:textAlignment w:val="auto"/>
              <w:rPr>
                <w:rFonts w:ascii="標楷體" w:eastAsia="標楷體" w:hAnsi="標楷體"/>
                <w:kern w:val="2"/>
                <w:szCs w:val="24"/>
              </w:rPr>
            </w:pPr>
            <w:r w:rsidRPr="00626E6B">
              <w:rPr>
                <w:rFonts w:ascii="標楷體" w:eastAsia="標楷體" w:hAnsi="標楷體" w:hint="eastAsia"/>
                <w:kern w:val="2"/>
                <w:szCs w:val="24"/>
              </w:rPr>
              <w:t>5261</w:t>
            </w:r>
          </w:p>
        </w:tc>
      </w:tr>
      <w:tr w:rsidR="00626E6B" w:rsidRPr="00464A6F" w14:paraId="0CF2789E" w14:textId="77777777" w:rsidTr="00660947">
        <w:trPr>
          <w:trHeight w:val="38"/>
        </w:trPr>
        <w:tc>
          <w:tcPr>
            <w:tcW w:w="211" w:type="pct"/>
          </w:tcPr>
          <w:p w14:paraId="119C20DB" w14:textId="77777777" w:rsidR="00626E6B"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5</w:t>
            </w:r>
          </w:p>
        </w:tc>
        <w:tc>
          <w:tcPr>
            <w:tcW w:w="725" w:type="pct"/>
          </w:tcPr>
          <w:p w14:paraId="2DA53CF0" w14:textId="77777777" w:rsidR="00626E6B" w:rsidRPr="00A97FCE" w:rsidRDefault="00626E6B" w:rsidP="00F470A8">
            <w:pPr>
              <w:overflowPunct w:val="0"/>
              <w:snapToGrid w:val="0"/>
              <w:spacing w:line="320" w:lineRule="exact"/>
              <w:jc w:val="both"/>
              <w:rPr>
                <w:rFonts w:ascii="標楷體" w:eastAsia="標楷體" w:hAnsi="標楷體"/>
                <w:szCs w:val="24"/>
              </w:rPr>
            </w:pPr>
            <w:r w:rsidRPr="00B11301">
              <w:rPr>
                <w:rFonts w:ascii="標楷體" w:eastAsia="標楷體" w:hAnsi="標楷體" w:hint="eastAsia"/>
                <w:szCs w:val="24"/>
              </w:rPr>
              <w:t>考察</w:t>
            </w:r>
          </w:p>
        </w:tc>
        <w:tc>
          <w:tcPr>
            <w:tcW w:w="418" w:type="pct"/>
          </w:tcPr>
          <w:p w14:paraId="371F92B0" w14:textId="77777777" w:rsidR="00626E6B"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陳玉珍</w:t>
            </w:r>
          </w:p>
        </w:tc>
        <w:tc>
          <w:tcPr>
            <w:tcW w:w="609" w:type="pct"/>
          </w:tcPr>
          <w:p w14:paraId="514B3910" w14:textId="77777777" w:rsidR="00626E6B" w:rsidRPr="003077FC"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color w:val="000000"/>
                <w:szCs w:val="24"/>
              </w:rPr>
              <w:t>11</w:t>
            </w:r>
            <w:r>
              <w:rPr>
                <w:rFonts w:ascii="標楷體" w:eastAsia="標楷體" w:hAnsi="標楷體" w:cs="New Gulim" w:hint="eastAsia"/>
                <w:color w:val="000000"/>
                <w:szCs w:val="24"/>
              </w:rPr>
              <w:t>3</w:t>
            </w:r>
            <w:r>
              <w:rPr>
                <w:rFonts w:ascii="標楷體" w:eastAsia="標楷體" w:hAnsi="標楷體" w:cs="New Gulim"/>
                <w:color w:val="000000"/>
                <w:szCs w:val="24"/>
              </w:rPr>
              <w:t>.</w:t>
            </w:r>
            <w:r>
              <w:rPr>
                <w:rFonts w:ascii="標楷體" w:eastAsia="標楷體" w:hAnsi="標楷體" w:cs="New Gulim" w:hint="eastAsia"/>
                <w:color w:val="000000"/>
                <w:szCs w:val="24"/>
              </w:rPr>
              <w:t>10</w:t>
            </w:r>
            <w:r>
              <w:rPr>
                <w:rFonts w:ascii="標楷體" w:eastAsia="標楷體" w:hAnsi="標楷體" w:cs="New Gulim"/>
                <w:color w:val="000000"/>
                <w:szCs w:val="24"/>
              </w:rPr>
              <w:t>.</w:t>
            </w:r>
            <w:r>
              <w:rPr>
                <w:rFonts w:ascii="標楷體" w:eastAsia="標楷體" w:hAnsi="標楷體" w:cs="New Gulim" w:hint="eastAsia"/>
                <w:color w:val="000000"/>
                <w:szCs w:val="24"/>
              </w:rPr>
              <w:t>9</w:t>
            </w:r>
          </w:p>
          <w:p w14:paraId="4DD8ED75" w14:textId="77777777" w:rsidR="00626E6B" w:rsidRPr="00F500F7" w:rsidRDefault="00626E6B" w:rsidP="00F470A8">
            <w:pPr>
              <w:overflowPunct w:val="0"/>
              <w:snapToGrid w:val="0"/>
              <w:spacing w:line="320" w:lineRule="exact"/>
              <w:jc w:val="center"/>
              <w:rPr>
                <w:rFonts w:ascii="標楷體" w:eastAsia="標楷體" w:hAnsi="標楷體" w:cs="New Gulim"/>
                <w:color w:val="000000"/>
                <w:szCs w:val="24"/>
              </w:rPr>
            </w:pPr>
            <w:r w:rsidRPr="003077FC">
              <w:rPr>
                <w:rFonts w:ascii="標楷體" w:eastAsia="標楷體" w:hAnsi="標楷體" w:cs="New Gulim" w:hint="eastAsia"/>
                <w:color w:val="000000"/>
                <w:szCs w:val="24"/>
              </w:rPr>
              <w:t>(</w:t>
            </w:r>
            <w:r>
              <w:rPr>
                <w:rFonts w:ascii="標楷體" w:eastAsia="標楷體" w:hAnsi="標楷體" w:cs="New Gulim" w:hint="eastAsia"/>
                <w:color w:val="000000"/>
                <w:szCs w:val="24"/>
              </w:rPr>
              <w:t>三</w:t>
            </w:r>
            <w:r w:rsidRPr="003077FC">
              <w:rPr>
                <w:rFonts w:ascii="標楷體" w:eastAsia="標楷體" w:hAnsi="標楷體" w:cs="New Gulim" w:hint="eastAsia"/>
                <w:color w:val="000000"/>
                <w:szCs w:val="24"/>
              </w:rPr>
              <w:t>)</w:t>
            </w:r>
          </w:p>
        </w:tc>
        <w:tc>
          <w:tcPr>
            <w:tcW w:w="1419" w:type="pct"/>
          </w:tcPr>
          <w:p w14:paraId="161A88C2" w14:textId="77777777" w:rsidR="00626E6B" w:rsidRPr="002D4DB8" w:rsidRDefault="00626E6B" w:rsidP="00F470A8">
            <w:pPr>
              <w:overflowPunct w:val="0"/>
              <w:snapToGrid w:val="0"/>
              <w:spacing w:line="320" w:lineRule="exact"/>
              <w:jc w:val="both"/>
              <w:rPr>
                <w:rFonts w:ascii="標楷體" w:eastAsia="標楷體" w:hAnsi="標楷體"/>
                <w:szCs w:val="24"/>
              </w:rPr>
            </w:pPr>
            <w:r w:rsidRPr="00CA289B">
              <w:rPr>
                <w:rFonts w:ascii="標楷體" w:eastAsia="標楷體" w:hAnsi="標楷體" w:hint="eastAsia"/>
                <w:szCs w:val="24"/>
              </w:rPr>
              <w:t>考察捷運環狀線南環段預算編列及相關規劃執行情形</w:t>
            </w:r>
            <w:r>
              <w:rPr>
                <w:rFonts w:ascii="標楷體" w:eastAsia="標楷體" w:hAnsi="標楷體" w:hint="eastAsia"/>
                <w:szCs w:val="24"/>
              </w:rPr>
              <w:t>。</w:t>
            </w:r>
          </w:p>
        </w:tc>
        <w:tc>
          <w:tcPr>
            <w:tcW w:w="1191" w:type="pct"/>
          </w:tcPr>
          <w:p w14:paraId="12FD397F" w14:textId="77777777" w:rsidR="00626E6B" w:rsidRPr="002D38CB" w:rsidRDefault="00626E6B" w:rsidP="00F470A8">
            <w:pPr>
              <w:overflowPunct w:val="0"/>
              <w:snapToGrid w:val="0"/>
              <w:spacing w:line="320" w:lineRule="exact"/>
              <w:jc w:val="both"/>
              <w:rPr>
                <w:rFonts w:ascii="標楷體" w:eastAsia="標楷體" w:hAnsi="標楷體"/>
                <w:szCs w:val="24"/>
              </w:rPr>
            </w:pPr>
          </w:p>
        </w:tc>
        <w:tc>
          <w:tcPr>
            <w:tcW w:w="426" w:type="pct"/>
          </w:tcPr>
          <w:p w14:paraId="17936766"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626E6B" w:rsidRPr="00464A6F" w14:paraId="3E8DBE7A" w14:textId="77777777" w:rsidTr="00660947">
        <w:trPr>
          <w:trHeight w:val="38"/>
        </w:trPr>
        <w:tc>
          <w:tcPr>
            <w:tcW w:w="211" w:type="pct"/>
          </w:tcPr>
          <w:p w14:paraId="4D0A0097" w14:textId="77777777" w:rsidR="00626E6B"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6</w:t>
            </w:r>
          </w:p>
        </w:tc>
        <w:tc>
          <w:tcPr>
            <w:tcW w:w="725" w:type="pct"/>
          </w:tcPr>
          <w:p w14:paraId="13C58DBB" w14:textId="77777777" w:rsidR="00626E6B" w:rsidRPr="00B11301" w:rsidRDefault="00626E6B" w:rsidP="00F470A8">
            <w:pPr>
              <w:overflowPunct w:val="0"/>
              <w:snapToGrid w:val="0"/>
              <w:spacing w:line="320" w:lineRule="exact"/>
              <w:jc w:val="both"/>
              <w:rPr>
                <w:rFonts w:ascii="標楷體" w:eastAsia="標楷體" w:hAnsi="標楷體"/>
                <w:szCs w:val="24"/>
              </w:rPr>
            </w:pPr>
            <w:r w:rsidRPr="00B11301">
              <w:rPr>
                <w:rFonts w:ascii="標楷體" w:eastAsia="標楷體" w:hAnsi="標楷體" w:hint="eastAsia"/>
                <w:szCs w:val="24"/>
              </w:rPr>
              <w:t>考察</w:t>
            </w:r>
          </w:p>
        </w:tc>
        <w:tc>
          <w:tcPr>
            <w:tcW w:w="418" w:type="pct"/>
          </w:tcPr>
          <w:p w14:paraId="1CDAEF7D" w14:textId="77777777" w:rsidR="00626E6B"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賴惠員</w:t>
            </w:r>
          </w:p>
        </w:tc>
        <w:tc>
          <w:tcPr>
            <w:tcW w:w="609" w:type="pct"/>
          </w:tcPr>
          <w:p w14:paraId="16225CDD"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113.10.14</w:t>
            </w:r>
          </w:p>
          <w:p w14:paraId="3F514494"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(一)</w:t>
            </w:r>
          </w:p>
        </w:tc>
        <w:tc>
          <w:tcPr>
            <w:tcW w:w="1419" w:type="pct"/>
          </w:tcPr>
          <w:p w14:paraId="2BC0C7BF" w14:textId="77777777" w:rsidR="00626E6B" w:rsidRPr="00CA289B" w:rsidRDefault="00626E6B" w:rsidP="00F470A8">
            <w:pPr>
              <w:overflowPunct w:val="0"/>
              <w:snapToGrid w:val="0"/>
              <w:spacing w:line="320" w:lineRule="exact"/>
              <w:jc w:val="both"/>
              <w:rPr>
                <w:rFonts w:ascii="標楷體" w:eastAsia="標楷體" w:hAnsi="標楷體"/>
                <w:szCs w:val="24"/>
              </w:rPr>
            </w:pPr>
            <w:r w:rsidRPr="00CA289B">
              <w:rPr>
                <w:rFonts w:ascii="標楷體" w:eastAsia="標楷體" w:hAnsi="標楷體" w:hint="eastAsia"/>
                <w:szCs w:val="24"/>
              </w:rPr>
              <w:t>考察屏東地區地方建設預算執行情形</w:t>
            </w:r>
            <w:r>
              <w:rPr>
                <w:rFonts w:ascii="標楷體" w:eastAsia="標楷體" w:hAnsi="標楷體" w:hint="eastAsia"/>
                <w:szCs w:val="24"/>
              </w:rPr>
              <w:t>。</w:t>
            </w:r>
          </w:p>
        </w:tc>
        <w:tc>
          <w:tcPr>
            <w:tcW w:w="1191" w:type="pct"/>
          </w:tcPr>
          <w:p w14:paraId="1DBBA608" w14:textId="77777777" w:rsidR="00626E6B" w:rsidRPr="002D38CB" w:rsidRDefault="00626E6B" w:rsidP="00F470A8">
            <w:pPr>
              <w:overflowPunct w:val="0"/>
              <w:snapToGrid w:val="0"/>
              <w:spacing w:line="320" w:lineRule="exact"/>
              <w:jc w:val="both"/>
              <w:rPr>
                <w:rFonts w:ascii="標楷體" w:eastAsia="標楷體" w:hAnsi="標楷體"/>
                <w:szCs w:val="24"/>
              </w:rPr>
            </w:pPr>
          </w:p>
        </w:tc>
        <w:tc>
          <w:tcPr>
            <w:tcW w:w="426" w:type="pct"/>
          </w:tcPr>
          <w:p w14:paraId="42DD4ADC"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9A08AC" w:rsidRPr="00464A6F" w14:paraId="6BC2887C" w14:textId="77777777" w:rsidTr="00660947">
        <w:trPr>
          <w:trHeight w:val="38"/>
        </w:trPr>
        <w:tc>
          <w:tcPr>
            <w:tcW w:w="211" w:type="pct"/>
            <w:vMerge w:val="restart"/>
          </w:tcPr>
          <w:p w14:paraId="5ED11F04" w14:textId="77777777" w:rsidR="009A08AC" w:rsidRDefault="009A08AC"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7</w:t>
            </w:r>
          </w:p>
        </w:tc>
        <w:tc>
          <w:tcPr>
            <w:tcW w:w="725" w:type="pct"/>
            <w:vMerge w:val="restart"/>
          </w:tcPr>
          <w:p w14:paraId="179FCE59" w14:textId="77777777" w:rsidR="009A08AC" w:rsidRPr="00A97FCE" w:rsidRDefault="009A08AC" w:rsidP="00F470A8">
            <w:pPr>
              <w:overflowPunct w:val="0"/>
              <w:snapToGrid w:val="0"/>
              <w:spacing w:line="320" w:lineRule="exact"/>
              <w:jc w:val="both"/>
              <w:rPr>
                <w:rFonts w:ascii="標楷體" w:eastAsia="標楷體" w:hAnsi="標楷體"/>
                <w:szCs w:val="24"/>
              </w:rPr>
            </w:pPr>
            <w:r w:rsidRPr="00A97FCE">
              <w:rPr>
                <w:rFonts w:ascii="標楷體" w:eastAsia="標楷體" w:hAnsi="標楷體" w:hint="eastAsia"/>
                <w:szCs w:val="24"/>
              </w:rPr>
              <w:t>第</w:t>
            </w:r>
            <w:r>
              <w:rPr>
                <w:rFonts w:ascii="標楷體" w:eastAsia="標楷體" w:hAnsi="標楷體" w:hint="eastAsia"/>
                <w:szCs w:val="24"/>
              </w:rPr>
              <w:t>2</w:t>
            </w:r>
            <w:r w:rsidRPr="00A97FCE">
              <w:rPr>
                <w:rFonts w:ascii="標楷體" w:eastAsia="標楷體" w:hAnsi="標楷體" w:hint="eastAsia"/>
                <w:szCs w:val="24"/>
              </w:rPr>
              <w:t>次全體委員會議</w:t>
            </w:r>
          </w:p>
        </w:tc>
        <w:tc>
          <w:tcPr>
            <w:tcW w:w="418" w:type="pct"/>
            <w:vMerge w:val="restart"/>
          </w:tcPr>
          <w:p w14:paraId="68BBE367" w14:textId="77777777" w:rsidR="009A08AC" w:rsidRDefault="009A08AC"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賴惠員</w:t>
            </w:r>
          </w:p>
        </w:tc>
        <w:tc>
          <w:tcPr>
            <w:tcW w:w="609" w:type="pct"/>
          </w:tcPr>
          <w:p w14:paraId="0B0FD3AB" w14:textId="77777777" w:rsidR="009A08AC" w:rsidRPr="003077FC" w:rsidRDefault="009A08AC"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color w:val="000000"/>
                <w:szCs w:val="24"/>
              </w:rPr>
              <w:t>11</w:t>
            </w:r>
            <w:r>
              <w:rPr>
                <w:rFonts w:ascii="標楷體" w:eastAsia="標楷體" w:hAnsi="標楷體" w:cs="New Gulim" w:hint="eastAsia"/>
                <w:color w:val="000000"/>
                <w:szCs w:val="24"/>
              </w:rPr>
              <w:t>3</w:t>
            </w:r>
            <w:r>
              <w:rPr>
                <w:rFonts w:ascii="標楷體" w:eastAsia="標楷體" w:hAnsi="標楷體" w:cs="New Gulim"/>
                <w:color w:val="000000"/>
                <w:szCs w:val="24"/>
              </w:rPr>
              <w:t>.</w:t>
            </w:r>
            <w:r>
              <w:rPr>
                <w:rFonts w:ascii="標楷體" w:eastAsia="標楷體" w:hAnsi="標楷體" w:cs="New Gulim" w:hint="eastAsia"/>
                <w:color w:val="000000"/>
                <w:szCs w:val="24"/>
              </w:rPr>
              <w:t>10</w:t>
            </w:r>
            <w:r>
              <w:rPr>
                <w:rFonts w:ascii="標楷體" w:eastAsia="標楷體" w:hAnsi="標楷體" w:cs="New Gulim"/>
                <w:color w:val="000000"/>
                <w:szCs w:val="24"/>
              </w:rPr>
              <w:t>.16</w:t>
            </w:r>
          </w:p>
          <w:p w14:paraId="7937F426" w14:textId="77777777" w:rsidR="009A08AC" w:rsidRPr="00F500F7" w:rsidRDefault="009A08AC" w:rsidP="00F470A8">
            <w:pPr>
              <w:overflowPunct w:val="0"/>
              <w:snapToGrid w:val="0"/>
              <w:spacing w:line="320" w:lineRule="exact"/>
              <w:jc w:val="center"/>
              <w:rPr>
                <w:rFonts w:ascii="標楷體" w:eastAsia="標楷體" w:hAnsi="標楷體" w:cs="New Gulim"/>
                <w:color w:val="000000"/>
                <w:szCs w:val="24"/>
              </w:rPr>
            </w:pPr>
            <w:r w:rsidRPr="003077FC">
              <w:rPr>
                <w:rFonts w:ascii="標楷體" w:eastAsia="標楷體" w:hAnsi="標楷體" w:cs="New Gulim" w:hint="eastAsia"/>
                <w:color w:val="000000"/>
                <w:szCs w:val="24"/>
              </w:rPr>
              <w:t>(</w:t>
            </w:r>
            <w:r>
              <w:rPr>
                <w:rFonts w:ascii="標楷體" w:eastAsia="標楷體" w:hAnsi="標楷體" w:cs="New Gulim" w:hint="eastAsia"/>
                <w:color w:val="000000"/>
                <w:szCs w:val="24"/>
              </w:rPr>
              <w:t>三</w:t>
            </w:r>
            <w:r w:rsidRPr="003077FC">
              <w:rPr>
                <w:rFonts w:ascii="標楷體" w:eastAsia="標楷體" w:hAnsi="標楷體" w:cs="New Gulim" w:hint="eastAsia"/>
                <w:color w:val="000000"/>
                <w:szCs w:val="24"/>
              </w:rPr>
              <w:t>)</w:t>
            </w:r>
          </w:p>
        </w:tc>
        <w:tc>
          <w:tcPr>
            <w:tcW w:w="1419" w:type="pct"/>
          </w:tcPr>
          <w:p w14:paraId="729E5C60" w14:textId="77777777" w:rsidR="009A08AC" w:rsidRPr="00B6424D" w:rsidRDefault="009A08AC" w:rsidP="00F470A8">
            <w:pPr>
              <w:overflowPunct w:val="0"/>
              <w:snapToGrid w:val="0"/>
              <w:spacing w:line="320" w:lineRule="exact"/>
              <w:ind w:left="490" w:hangingChars="204" w:hanging="490"/>
              <w:jc w:val="both"/>
              <w:rPr>
                <w:rFonts w:ascii="標楷體" w:eastAsia="標楷體" w:hAnsi="標楷體"/>
                <w:szCs w:val="24"/>
              </w:rPr>
            </w:pPr>
            <w:r w:rsidRPr="00B6424D">
              <w:rPr>
                <w:rFonts w:ascii="標楷體" w:eastAsia="標楷體" w:hAnsi="標楷體" w:hint="eastAsia"/>
                <w:szCs w:val="24"/>
              </w:rPr>
              <w:t>一、邀請財政部莊部長翠雲率所屬機關首長暨國營事業董事長、總經理(含各轉投資事業機構公股代表之董、監事)列席業務報告，並備質詢。</w:t>
            </w:r>
          </w:p>
          <w:p w14:paraId="404AB168" w14:textId="77777777" w:rsidR="009A08AC" w:rsidRPr="00B6424D" w:rsidRDefault="009A08AC" w:rsidP="00F470A8">
            <w:pPr>
              <w:overflowPunct w:val="0"/>
              <w:snapToGrid w:val="0"/>
              <w:spacing w:line="320" w:lineRule="exact"/>
              <w:ind w:left="490" w:hangingChars="204" w:hanging="490"/>
              <w:jc w:val="both"/>
              <w:rPr>
                <w:rFonts w:ascii="標楷體" w:eastAsia="標楷體" w:hAnsi="標楷體"/>
                <w:szCs w:val="24"/>
              </w:rPr>
            </w:pPr>
            <w:r w:rsidRPr="00B6424D">
              <w:rPr>
                <w:rFonts w:ascii="標楷體" w:eastAsia="標楷體" w:hAnsi="標楷體" w:hint="eastAsia"/>
                <w:szCs w:val="24"/>
              </w:rPr>
              <w:t>二、審查「證券交易稅條例」</w:t>
            </w:r>
            <w:r>
              <w:rPr>
                <w:rFonts w:ascii="標楷體" w:eastAsia="標楷體" w:hAnsi="標楷體" w:hint="eastAsia"/>
                <w:szCs w:val="24"/>
              </w:rPr>
              <w:t>5</w:t>
            </w:r>
            <w:r w:rsidRPr="00B6424D">
              <w:rPr>
                <w:rFonts w:ascii="標楷體" w:eastAsia="標楷體" w:hAnsi="標楷體" w:hint="eastAsia"/>
                <w:szCs w:val="24"/>
              </w:rPr>
              <w:t>案：</w:t>
            </w:r>
          </w:p>
          <w:p w14:paraId="0C84B73B" w14:textId="77777777" w:rsidR="009A08AC" w:rsidRPr="00B6424D" w:rsidRDefault="009A08AC" w:rsidP="005F7088">
            <w:pPr>
              <w:overflowPunct w:val="0"/>
              <w:snapToGrid w:val="0"/>
              <w:spacing w:line="320" w:lineRule="exact"/>
              <w:ind w:left="540" w:hangingChars="225" w:hanging="540"/>
              <w:jc w:val="both"/>
              <w:rPr>
                <w:rFonts w:ascii="標楷體" w:eastAsia="標楷體" w:hAnsi="標楷體"/>
                <w:szCs w:val="24"/>
              </w:rPr>
            </w:pPr>
            <w:r w:rsidRPr="00B6424D">
              <w:rPr>
                <w:rFonts w:ascii="標楷體" w:eastAsia="標楷體" w:hAnsi="標楷體" w:hint="eastAsia"/>
                <w:szCs w:val="24"/>
              </w:rPr>
              <w:t>(一</w:t>
            </w:r>
            <w:r>
              <w:rPr>
                <w:rFonts w:ascii="標楷體" w:eastAsia="標楷體" w:hAnsi="標楷體" w:hint="eastAsia"/>
                <w:szCs w:val="24"/>
              </w:rPr>
              <w:t>)</w:t>
            </w:r>
            <w:r w:rsidRPr="00B6424D">
              <w:rPr>
                <w:rFonts w:ascii="標楷體" w:eastAsia="標楷體" w:hAnsi="標楷體" w:hint="eastAsia"/>
                <w:szCs w:val="24"/>
              </w:rPr>
              <w:t>行政院函請審議「證券交易稅條例第二條之二及第十二條條文修正草案」案。</w:t>
            </w:r>
          </w:p>
          <w:p w14:paraId="5A75FABE" w14:textId="77777777" w:rsidR="009A08AC" w:rsidRPr="00B6424D" w:rsidRDefault="009A08AC" w:rsidP="005F7088">
            <w:pPr>
              <w:overflowPunct w:val="0"/>
              <w:snapToGrid w:val="0"/>
              <w:spacing w:line="320" w:lineRule="exact"/>
              <w:ind w:left="540" w:hangingChars="225" w:hanging="540"/>
              <w:jc w:val="both"/>
              <w:rPr>
                <w:rFonts w:ascii="標楷體" w:eastAsia="標楷體" w:hAnsi="標楷體"/>
                <w:szCs w:val="24"/>
              </w:rPr>
            </w:pPr>
            <w:r w:rsidRPr="00B6424D">
              <w:rPr>
                <w:rFonts w:ascii="標楷體" w:eastAsia="標楷體" w:hAnsi="標楷體" w:hint="eastAsia"/>
                <w:szCs w:val="24"/>
              </w:rPr>
              <w:t>(二</w:t>
            </w:r>
            <w:r>
              <w:rPr>
                <w:rFonts w:ascii="標楷體" w:eastAsia="標楷體" w:hAnsi="標楷體" w:hint="eastAsia"/>
                <w:szCs w:val="24"/>
              </w:rPr>
              <w:t>)</w:t>
            </w:r>
            <w:r w:rsidRPr="00B6424D">
              <w:rPr>
                <w:rFonts w:ascii="標楷體" w:eastAsia="標楷體" w:hAnsi="標楷體" w:hint="eastAsia"/>
                <w:szCs w:val="24"/>
              </w:rPr>
              <w:t>本院委員羅明才等20人擬具「證券交易稅條例第二條之二條文修正草案」案。</w:t>
            </w:r>
          </w:p>
          <w:p w14:paraId="7B214095" w14:textId="77777777" w:rsidR="009A08AC" w:rsidRPr="00B6424D" w:rsidRDefault="009A08AC" w:rsidP="005F7088">
            <w:pPr>
              <w:overflowPunct w:val="0"/>
              <w:snapToGrid w:val="0"/>
              <w:spacing w:line="320" w:lineRule="exact"/>
              <w:ind w:left="540" w:hangingChars="225" w:hanging="540"/>
              <w:jc w:val="both"/>
              <w:rPr>
                <w:rFonts w:ascii="標楷體" w:eastAsia="標楷體" w:hAnsi="標楷體"/>
                <w:szCs w:val="24"/>
              </w:rPr>
            </w:pPr>
            <w:r w:rsidRPr="00B6424D">
              <w:rPr>
                <w:rFonts w:ascii="標楷體" w:eastAsia="標楷體" w:hAnsi="標楷體" w:hint="eastAsia"/>
                <w:szCs w:val="24"/>
              </w:rPr>
              <w:t>(三</w:t>
            </w:r>
            <w:r>
              <w:rPr>
                <w:rFonts w:ascii="標楷體" w:eastAsia="標楷體" w:hAnsi="標楷體" w:hint="eastAsia"/>
                <w:szCs w:val="24"/>
              </w:rPr>
              <w:t>)</w:t>
            </w:r>
            <w:r w:rsidRPr="00B6424D">
              <w:rPr>
                <w:rFonts w:ascii="標楷體" w:eastAsia="標楷體" w:hAnsi="標楷體" w:hint="eastAsia"/>
                <w:szCs w:val="24"/>
              </w:rPr>
              <w:t>本院委員賴士葆等25人擬具「證券交易稅條例第二條之二及第十二條條文修正草案」案。</w:t>
            </w:r>
          </w:p>
          <w:p w14:paraId="45B7941B" w14:textId="77777777" w:rsidR="009A08AC" w:rsidRPr="00B6424D" w:rsidRDefault="009A08AC" w:rsidP="005F7088">
            <w:pPr>
              <w:overflowPunct w:val="0"/>
              <w:snapToGrid w:val="0"/>
              <w:spacing w:line="320" w:lineRule="exact"/>
              <w:ind w:left="540" w:hangingChars="225" w:hanging="540"/>
              <w:jc w:val="both"/>
              <w:rPr>
                <w:rFonts w:ascii="標楷體" w:eastAsia="標楷體" w:hAnsi="標楷體"/>
                <w:szCs w:val="24"/>
              </w:rPr>
            </w:pPr>
            <w:r w:rsidRPr="00B6424D">
              <w:rPr>
                <w:rFonts w:ascii="標楷體" w:eastAsia="標楷體" w:hAnsi="標楷體" w:hint="eastAsia"/>
                <w:szCs w:val="24"/>
              </w:rPr>
              <w:t>(四</w:t>
            </w:r>
            <w:r>
              <w:rPr>
                <w:rFonts w:ascii="標楷體" w:eastAsia="標楷體" w:hAnsi="標楷體" w:hint="eastAsia"/>
                <w:szCs w:val="24"/>
              </w:rPr>
              <w:t>)</w:t>
            </w:r>
            <w:r w:rsidRPr="00B6424D">
              <w:rPr>
                <w:rFonts w:ascii="標楷體" w:eastAsia="標楷體" w:hAnsi="標楷體" w:hint="eastAsia"/>
                <w:szCs w:val="24"/>
              </w:rPr>
              <w:t>本院委員</w:t>
            </w:r>
            <w:r w:rsidRPr="005F7088">
              <w:rPr>
                <w:rFonts w:ascii="標楷體" w:eastAsia="標楷體" w:hAnsi="標楷體" w:hint="eastAsia"/>
                <w:szCs w:val="24"/>
              </w:rPr>
              <w:t>伍麗華Saidhai Tahovecahe</w:t>
            </w:r>
            <w:r w:rsidRPr="00B6424D">
              <w:rPr>
                <w:rFonts w:ascii="標楷體" w:eastAsia="標楷體" w:hAnsi="標楷體" w:hint="eastAsia"/>
                <w:szCs w:val="24"/>
              </w:rPr>
              <w:t>等19人擬具「證券交易稅條例第二條之二</w:t>
            </w:r>
            <w:r w:rsidRPr="00B6424D">
              <w:rPr>
                <w:rFonts w:ascii="標楷體" w:eastAsia="標楷體" w:hAnsi="標楷體" w:hint="eastAsia"/>
                <w:szCs w:val="24"/>
              </w:rPr>
              <w:lastRenderedPageBreak/>
              <w:t>及第十二條條文修正草案」案。</w:t>
            </w:r>
          </w:p>
          <w:p w14:paraId="2EB9B2F1" w14:textId="77777777" w:rsidR="009A08AC" w:rsidRPr="002D4DB8" w:rsidRDefault="009A08AC" w:rsidP="005F7088">
            <w:pPr>
              <w:overflowPunct w:val="0"/>
              <w:snapToGrid w:val="0"/>
              <w:spacing w:line="320" w:lineRule="exact"/>
              <w:ind w:left="540" w:hangingChars="225" w:hanging="540"/>
              <w:jc w:val="both"/>
              <w:rPr>
                <w:rFonts w:ascii="標楷體" w:eastAsia="標楷體" w:hAnsi="標楷體"/>
                <w:szCs w:val="24"/>
              </w:rPr>
            </w:pPr>
            <w:r w:rsidRPr="00B6424D">
              <w:rPr>
                <w:rFonts w:ascii="標楷體" w:eastAsia="標楷體" w:hAnsi="標楷體" w:hint="eastAsia"/>
                <w:szCs w:val="24"/>
              </w:rPr>
              <w:t>(</w:t>
            </w:r>
            <w:r>
              <w:rPr>
                <w:rFonts w:ascii="標楷體" w:eastAsia="標楷體" w:hAnsi="標楷體" w:hint="eastAsia"/>
                <w:szCs w:val="24"/>
              </w:rPr>
              <w:t>五)</w:t>
            </w:r>
            <w:r w:rsidRPr="00B6424D">
              <w:rPr>
                <w:rFonts w:ascii="標楷體" w:eastAsia="標楷體" w:hAnsi="標楷體" w:hint="eastAsia"/>
                <w:szCs w:val="24"/>
              </w:rPr>
              <w:t>本院委員邱志偉等19人擬具「證券交易稅條例第十二條條文修正草案」案。</w:t>
            </w:r>
          </w:p>
        </w:tc>
        <w:tc>
          <w:tcPr>
            <w:tcW w:w="1191" w:type="pct"/>
          </w:tcPr>
          <w:p w14:paraId="251286F1" w14:textId="77777777" w:rsidR="009A08AC" w:rsidRDefault="009A08AC" w:rsidP="00F470A8">
            <w:pPr>
              <w:overflowPunct w:val="0"/>
              <w:snapToGrid w:val="0"/>
              <w:spacing w:line="320" w:lineRule="exact"/>
              <w:ind w:left="490" w:hangingChars="204" w:hanging="490"/>
              <w:jc w:val="both"/>
              <w:rPr>
                <w:rFonts w:ascii="標楷體" w:eastAsia="標楷體" w:hAnsi="標楷體"/>
                <w:szCs w:val="24"/>
              </w:rPr>
            </w:pPr>
            <w:r w:rsidRPr="00CA1D45">
              <w:rPr>
                <w:rFonts w:ascii="標楷體" w:eastAsia="標楷體" w:hAnsi="標楷體" w:hint="eastAsia"/>
                <w:szCs w:val="24"/>
              </w:rPr>
              <w:lastRenderedPageBreak/>
              <w:t>一</w:t>
            </w:r>
            <w:r>
              <w:rPr>
                <w:rFonts w:ascii="標楷體" w:eastAsia="標楷體" w:hAnsi="標楷體" w:hint="eastAsia"/>
                <w:szCs w:val="24"/>
              </w:rPr>
              <w:t>、</w:t>
            </w:r>
            <w:r w:rsidRPr="00CA1D45">
              <w:rPr>
                <w:rFonts w:ascii="標楷體" w:eastAsia="標楷體" w:hAnsi="標楷體" w:hint="eastAsia"/>
                <w:szCs w:val="24"/>
              </w:rPr>
              <w:t>報告</w:t>
            </w:r>
            <w:r>
              <w:rPr>
                <w:rFonts w:ascii="標楷體" w:eastAsia="標楷體" w:hAnsi="標楷體" w:hint="eastAsia"/>
                <w:szCs w:val="24"/>
              </w:rPr>
              <w:t>、說明</w:t>
            </w:r>
            <w:r w:rsidRPr="00CA1D45">
              <w:rPr>
                <w:rFonts w:ascii="標楷體" w:eastAsia="標楷體" w:hAnsi="標楷體" w:hint="eastAsia"/>
                <w:szCs w:val="24"/>
              </w:rPr>
              <w:t>及詢答完畢。</w:t>
            </w:r>
          </w:p>
          <w:p w14:paraId="52CF98A7" w14:textId="77777777" w:rsidR="009A08AC" w:rsidRDefault="009A08AC" w:rsidP="00F470A8">
            <w:pPr>
              <w:overflowPunct w:val="0"/>
              <w:snapToGrid w:val="0"/>
              <w:spacing w:line="320" w:lineRule="exact"/>
              <w:jc w:val="both"/>
              <w:rPr>
                <w:rFonts w:ascii="標楷體" w:eastAsia="標楷體" w:hAnsi="標楷體"/>
                <w:szCs w:val="24"/>
              </w:rPr>
            </w:pPr>
          </w:p>
          <w:p w14:paraId="012014FD" w14:textId="77777777" w:rsidR="009A08AC" w:rsidRDefault="009A08AC" w:rsidP="00F470A8">
            <w:pPr>
              <w:overflowPunct w:val="0"/>
              <w:snapToGrid w:val="0"/>
              <w:spacing w:line="320" w:lineRule="exact"/>
              <w:jc w:val="both"/>
              <w:rPr>
                <w:rFonts w:ascii="標楷體" w:eastAsia="標楷體" w:hAnsi="標楷體"/>
                <w:szCs w:val="24"/>
              </w:rPr>
            </w:pPr>
          </w:p>
          <w:p w14:paraId="46D1EAFA" w14:textId="77777777" w:rsidR="009A08AC" w:rsidRDefault="009A08AC" w:rsidP="00F470A8">
            <w:pPr>
              <w:overflowPunct w:val="0"/>
              <w:snapToGrid w:val="0"/>
              <w:spacing w:line="320" w:lineRule="exact"/>
              <w:jc w:val="both"/>
              <w:rPr>
                <w:rFonts w:ascii="標楷體" w:eastAsia="標楷體" w:hAnsi="標楷體"/>
                <w:szCs w:val="24"/>
              </w:rPr>
            </w:pPr>
          </w:p>
          <w:p w14:paraId="7E305415" w14:textId="77777777" w:rsidR="009A08AC" w:rsidRDefault="009A08AC" w:rsidP="00F470A8">
            <w:pPr>
              <w:overflowPunct w:val="0"/>
              <w:snapToGrid w:val="0"/>
              <w:spacing w:line="320" w:lineRule="exact"/>
              <w:jc w:val="both"/>
              <w:rPr>
                <w:rFonts w:ascii="標楷體" w:eastAsia="標楷體" w:hAnsi="標楷體"/>
                <w:szCs w:val="24"/>
              </w:rPr>
            </w:pPr>
          </w:p>
          <w:p w14:paraId="1F169813" w14:textId="77777777" w:rsidR="009A08AC" w:rsidRDefault="009A08AC" w:rsidP="00F470A8">
            <w:pPr>
              <w:overflowPunct w:val="0"/>
              <w:snapToGrid w:val="0"/>
              <w:spacing w:line="320" w:lineRule="exact"/>
              <w:jc w:val="both"/>
              <w:rPr>
                <w:rFonts w:ascii="標楷體" w:eastAsia="標楷體" w:hAnsi="標楷體"/>
                <w:szCs w:val="24"/>
              </w:rPr>
            </w:pPr>
          </w:p>
          <w:p w14:paraId="40D4E0DA" w14:textId="77777777" w:rsidR="009A08AC" w:rsidRDefault="009A08AC" w:rsidP="003E17ED">
            <w:pPr>
              <w:overflowPunct w:val="0"/>
              <w:snapToGrid w:val="0"/>
              <w:spacing w:line="320" w:lineRule="exact"/>
              <w:ind w:left="600" w:hangingChars="250" w:hanging="600"/>
              <w:jc w:val="both"/>
              <w:rPr>
                <w:rFonts w:ascii="標楷體" w:eastAsia="標楷體" w:hAnsi="標楷體"/>
                <w:szCs w:val="24"/>
              </w:rPr>
            </w:pPr>
            <w:r>
              <w:rPr>
                <w:rFonts w:ascii="標楷體" w:eastAsia="標楷體" w:hAnsi="標楷體"/>
                <w:szCs w:val="24"/>
              </w:rPr>
              <w:t>二、</w:t>
            </w:r>
            <w:r w:rsidRPr="005254F0">
              <w:rPr>
                <w:rFonts w:ascii="標楷體" w:eastAsia="標楷體" w:hAnsi="標楷體" w:hint="eastAsia"/>
                <w:szCs w:val="24"/>
              </w:rPr>
              <w:t>另擇期繼續審查。</w:t>
            </w:r>
          </w:p>
        </w:tc>
        <w:tc>
          <w:tcPr>
            <w:tcW w:w="426" w:type="pct"/>
          </w:tcPr>
          <w:p w14:paraId="41C2DDC4" w14:textId="77777777" w:rsidR="009A08AC" w:rsidRPr="00464A6F" w:rsidRDefault="009A08AC"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626E6B">
              <w:rPr>
                <w:rFonts w:ascii="標楷體" w:eastAsia="標楷體" w:hAnsi="標楷體" w:hint="eastAsia"/>
                <w:kern w:val="2"/>
                <w:szCs w:val="24"/>
              </w:rPr>
              <w:t>5267</w:t>
            </w:r>
          </w:p>
        </w:tc>
      </w:tr>
      <w:tr w:rsidR="009A08AC" w:rsidRPr="00464A6F" w14:paraId="72EF4914" w14:textId="77777777" w:rsidTr="00660947">
        <w:trPr>
          <w:trHeight w:val="38"/>
        </w:trPr>
        <w:tc>
          <w:tcPr>
            <w:tcW w:w="211" w:type="pct"/>
            <w:vMerge/>
          </w:tcPr>
          <w:p w14:paraId="20FAE68C" w14:textId="77777777" w:rsidR="009A08AC" w:rsidRDefault="009A08AC" w:rsidP="00660947">
            <w:pPr>
              <w:overflowPunct w:val="0"/>
              <w:snapToGrid w:val="0"/>
              <w:spacing w:line="320" w:lineRule="exact"/>
              <w:jc w:val="center"/>
              <w:rPr>
                <w:rFonts w:ascii="標楷體" w:eastAsia="標楷體" w:hAnsi="標楷體"/>
                <w:bCs/>
                <w:szCs w:val="24"/>
              </w:rPr>
            </w:pPr>
          </w:p>
        </w:tc>
        <w:tc>
          <w:tcPr>
            <w:tcW w:w="725" w:type="pct"/>
            <w:vMerge/>
          </w:tcPr>
          <w:p w14:paraId="546B591B" w14:textId="77777777" w:rsidR="009A08AC" w:rsidRPr="00A97FCE" w:rsidRDefault="009A08AC" w:rsidP="00F470A8">
            <w:pPr>
              <w:overflowPunct w:val="0"/>
              <w:snapToGrid w:val="0"/>
              <w:spacing w:line="320" w:lineRule="exact"/>
              <w:jc w:val="both"/>
              <w:rPr>
                <w:rFonts w:ascii="標楷體" w:eastAsia="標楷體" w:hAnsi="標楷體"/>
                <w:szCs w:val="24"/>
              </w:rPr>
            </w:pPr>
          </w:p>
        </w:tc>
        <w:tc>
          <w:tcPr>
            <w:tcW w:w="418" w:type="pct"/>
            <w:vMerge/>
          </w:tcPr>
          <w:p w14:paraId="35464F41" w14:textId="77777777" w:rsidR="009A08AC" w:rsidRDefault="009A08AC" w:rsidP="00F470A8">
            <w:pPr>
              <w:overflowPunct w:val="0"/>
              <w:snapToGrid w:val="0"/>
              <w:spacing w:line="320" w:lineRule="exact"/>
              <w:jc w:val="both"/>
              <w:rPr>
                <w:rFonts w:ascii="標楷體" w:eastAsia="標楷體" w:hAnsi="標楷體"/>
                <w:szCs w:val="24"/>
              </w:rPr>
            </w:pPr>
          </w:p>
        </w:tc>
        <w:tc>
          <w:tcPr>
            <w:tcW w:w="609" w:type="pct"/>
          </w:tcPr>
          <w:p w14:paraId="655B4069" w14:textId="77777777" w:rsidR="009A08AC" w:rsidRPr="003077FC" w:rsidRDefault="009A08AC"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color w:val="000000"/>
                <w:szCs w:val="24"/>
              </w:rPr>
              <w:t>113.</w:t>
            </w:r>
            <w:r>
              <w:rPr>
                <w:rFonts w:ascii="標楷體" w:eastAsia="標楷體" w:hAnsi="標楷體" w:cs="New Gulim" w:hint="eastAsia"/>
                <w:color w:val="000000"/>
                <w:szCs w:val="24"/>
              </w:rPr>
              <w:t>10</w:t>
            </w:r>
            <w:r>
              <w:rPr>
                <w:rFonts w:ascii="標楷體" w:eastAsia="標楷體" w:hAnsi="標楷體" w:cs="New Gulim"/>
                <w:color w:val="000000"/>
                <w:szCs w:val="24"/>
              </w:rPr>
              <w:t>.</w:t>
            </w:r>
            <w:r>
              <w:rPr>
                <w:rFonts w:ascii="標楷體" w:eastAsia="標楷體" w:hAnsi="標楷體" w:cs="New Gulim" w:hint="eastAsia"/>
                <w:color w:val="000000"/>
                <w:szCs w:val="24"/>
              </w:rPr>
              <w:t>17</w:t>
            </w:r>
          </w:p>
          <w:p w14:paraId="78C2E724" w14:textId="77777777" w:rsidR="009A08AC" w:rsidRDefault="009A08AC" w:rsidP="00F470A8">
            <w:pPr>
              <w:overflowPunct w:val="0"/>
              <w:snapToGrid w:val="0"/>
              <w:spacing w:line="320" w:lineRule="exact"/>
              <w:jc w:val="center"/>
              <w:rPr>
                <w:rFonts w:ascii="標楷體" w:eastAsia="標楷體" w:hAnsi="標楷體" w:cs="New Gulim"/>
                <w:color w:val="000000"/>
                <w:szCs w:val="24"/>
              </w:rPr>
            </w:pPr>
            <w:r w:rsidRPr="003077FC">
              <w:rPr>
                <w:rFonts w:ascii="標楷體" w:eastAsia="標楷體" w:hAnsi="標楷體" w:cs="New Gulim" w:hint="eastAsia"/>
                <w:color w:val="000000"/>
                <w:szCs w:val="24"/>
              </w:rPr>
              <w:t>(</w:t>
            </w:r>
            <w:r>
              <w:rPr>
                <w:rFonts w:ascii="標楷體" w:eastAsia="標楷體" w:hAnsi="標楷體" w:cs="New Gulim" w:hint="eastAsia"/>
                <w:color w:val="000000"/>
                <w:szCs w:val="24"/>
              </w:rPr>
              <w:t>四</w:t>
            </w:r>
            <w:r w:rsidRPr="003077FC">
              <w:rPr>
                <w:rFonts w:ascii="標楷體" w:eastAsia="標楷體" w:hAnsi="標楷體" w:cs="New Gulim" w:hint="eastAsia"/>
                <w:color w:val="000000"/>
                <w:szCs w:val="24"/>
              </w:rPr>
              <w:t>)</w:t>
            </w:r>
          </w:p>
        </w:tc>
        <w:tc>
          <w:tcPr>
            <w:tcW w:w="1419" w:type="pct"/>
          </w:tcPr>
          <w:p w14:paraId="682A389A" w14:textId="77777777" w:rsidR="009A08AC" w:rsidRPr="00E9032D" w:rsidRDefault="009A08AC" w:rsidP="00F470A8">
            <w:pPr>
              <w:overflowPunct w:val="0"/>
              <w:snapToGrid w:val="0"/>
              <w:spacing w:line="320" w:lineRule="exact"/>
              <w:ind w:left="490" w:hangingChars="204" w:hanging="490"/>
              <w:jc w:val="both"/>
              <w:rPr>
                <w:rFonts w:ascii="標楷體" w:eastAsia="標楷體" w:hAnsi="標楷體"/>
                <w:szCs w:val="24"/>
              </w:rPr>
            </w:pPr>
            <w:r w:rsidRPr="00E9032D">
              <w:rPr>
                <w:rFonts w:ascii="標楷體" w:eastAsia="標楷體" w:hAnsi="標楷體" w:hint="eastAsia"/>
                <w:szCs w:val="24"/>
              </w:rPr>
              <w:t>一、</w:t>
            </w:r>
            <w:r w:rsidRPr="00E9032D">
              <w:rPr>
                <w:rFonts w:ascii="標楷體" w:eastAsia="標楷體" w:hAnsi="標楷體" w:hint="eastAsia"/>
                <w:szCs w:val="24"/>
              </w:rPr>
              <w:tab/>
            </w:r>
            <w:r w:rsidRPr="000B0E75">
              <w:rPr>
                <w:rFonts w:ascii="標楷體" w:eastAsia="標楷體" w:hAnsi="標楷體" w:hint="eastAsia"/>
                <w:szCs w:val="24"/>
              </w:rPr>
              <w:t>邀請中央銀行楊總裁金龍率所屬單位主管暨財金資訊股份有限公司董事長列席業務報告，並備質詢。</w:t>
            </w:r>
          </w:p>
          <w:p w14:paraId="36CA54C5" w14:textId="77777777" w:rsidR="009A08AC" w:rsidRPr="002D4DB8" w:rsidRDefault="009A08AC" w:rsidP="00F470A8">
            <w:pPr>
              <w:overflowPunct w:val="0"/>
              <w:snapToGrid w:val="0"/>
              <w:spacing w:line="320" w:lineRule="exact"/>
              <w:ind w:left="490" w:hangingChars="204" w:hanging="490"/>
              <w:jc w:val="both"/>
              <w:rPr>
                <w:rFonts w:ascii="標楷體" w:eastAsia="標楷體" w:hAnsi="標楷體"/>
                <w:szCs w:val="24"/>
              </w:rPr>
            </w:pPr>
            <w:r w:rsidRPr="00E9032D">
              <w:rPr>
                <w:rFonts w:ascii="標楷體" w:eastAsia="標楷體" w:hAnsi="標楷體" w:hint="eastAsia"/>
                <w:szCs w:val="24"/>
              </w:rPr>
              <w:t>二、</w:t>
            </w:r>
            <w:r w:rsidRPr="00E9032D">
              <w:rPr>
                <w:rFonts w:ascii="標楷體" w:eastAsia="標楷體" w:hAnsi="標楷體" w:hint="eastAsia"/>
                <w:szCs w:val="24"/>
              </w:rPr>
              <w:tab/>
            </w:r>
            <w:r w:rsidRPr="000B0E75">
              <w:rPr>
                <w:rFonts w:ascii="標楷體" w:eastAsia="標楷體" w:hAnsi="標楷體" w:hint="eastAsia"/>
                <w:szCs w:val="24"/>
              </w:rPr>
              <w:t>邀請中央銀行楊總裁金龍就「第七波選擇性信用管制之配套措施」進行專題報告，並備質詢</w:t>
            </w:r>
          </w:p>
        </w:tc>
        <w:tc>
          <w:tcPr>
            <w:tcW w:w="1191" w:type="pct"/>
          </w:tcPr>
          <w:p w14:paraId="0B22E7D4" w14:textId="77777777" w:rsidR="009A08AC" w:rsidRDefault="009A08AC" w:rsidP="00F470A8">
            <w:pPr>
              <w:overflowPunct w:val="0"/>
              <w:snapToGrid w:val="0"/>
              <w:spacing w:line="320" w:lineRule="exact"/>
              <w:jc w:val="both"/>
              <w:rPr>
                <w:rFonts w:ascii="標楷體" w:eastAsia="標楷體" w:hAnsi="標楷體"/>
                <w:szCs w:val="24"/>
              </w:rPr>
            </w:pPr>
            <w:r w:rsidRPr="00CA1D45">
              <w:rPr>
                <w:rFonts w:ascii="標楷體" w:eastAsia="標楷體" w:hAnsi="標楷體" w:hint="eastAsia"/>
                <w:szCs w:val="24"/>
              </w:rPr>
              <w:t>一及二報告及詢答完畢。</w:t>
            </w:r>
          </w:p>
        </w:tc>
        <w:tc>
          <w:tcPr>
            <w:tcW w:w="426" w:type="pct"/>
          </w:tcPr>
          <w:p w14:paraId="552476D2" w14:textId="77777777" w:rsidR="009A08AC" w:rsidRPr="00464A6F" w:rsidRDefault="009A08AC"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626E6B">
              <w:rPr>
                <w:rFonts w:ascii="標楷體" w:eastAsia="標楷體" w:hAnsi="標楷體" w:hint="eastAsia"/>
                <w:kern w:val="2"/>
                <w:szCs w:val="24"/>
              </w:rPr>
              <w:t>5267</w:t>
            </w:r>
          </w:p>
        </w:tc>
      </w:tr>
      <w:tr w:rsidR="00626E6B" w:rsidRPr="00464A6F" w14:paraId="7EE13758" w14:textId="77777777" w:rsidTr="00660947">
        <w:trPr>
          <w:trHeight w:val="38"/>
        </w:trPr>
        <w:tc>
          <w:tcPr>
            <w:tcW w:w="211" w:type="pct"/>
          </w:tcPr>
          <w:p w14:paraId="60D36898" w14:textId="77777777" w:rsidR="00626E6B"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8</w:t>
            </w:r>
          </w:p>
        </w:tc>
        <w:tc>
          <w:tcPr>
            <w:tcW w:w="725" w:type="pct"/>
          </w:tcPr>
          <w:p w14:paraId="29607174" w14:textId="77777777" w:rsidR="00626E6B" w:rsidRPr="00A97FCE" w:rsidRDefault="00626E6B" w:rsidP="00F470A8">
            <w:pPr>
              <w:overflowPunct w:val="0"/>
              <w:snapToGrid w:val="0"/>
              <w:spacing w:line="320" w:lineRule="exact"/>
              <w:jc w:val="both"/>
              <w:rPr>
                <w:rFonts w:ascii="標楷體" w:eastAsia="標楷體" w:hAnsi="標楷體"/>
                <w:szCs w:val="24"/>
              </w:rPr>
            </w:pPr>
            <w:r w:rsidRPr="00A97FCE">
              <w:rPr>
                <w:rFonts w:ascii="標楷體" w:eastAsia="標楷體" w:hAnsi="標楷體" w:hint="eastAsia"/>
                <w:szCs w:val="24"/>
              </w:rPr>
              <w:t>第</w:t>
            </w:r>
            <w:r>
              <w:rPr>
                <w:rFonts w:ascii="標楷體" w:eastAsia="標楷體" w:hAnsi="標楷體" w:hint="eastAsia"/>
                <w:szCs w:val="24"/>
              </w:rPr>
              <w:t>3</w:t>
            </w:r>
            <w:r w:rsidRPr="00A97FCE">
              <w:rPr>
                <w:rFonts w:ascii="標楷體" w:eastAsia="標楷體" w:hAnsi="標楷體" w:hint="eastAsia"/>
                <w:szCs w:val="24"/>
              </w:rPr>
              <w:t>次全體委員會議</w:t>
            </w:r>
          </w:p>
        </w:tc>
        <w:tc>
          <w:tcPr>
            <w:tcW w:w="418" w:type="pct"/>
          </w:tcPr>
          <w:p w14:paraId="73ED27A2" w14:textId="77777777" w:rsidR="00626E6B"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陳玉珍</w:t>
            </w:r>
          </w:p>
        </w:tc>
        <w:tc>
          <w:tcPr>
            <w:tcW w:w="609" w:type="pct"/>
          </w:tcPr>
          <w:p w14:paraId="6C167067" w14:textId="77777777" w:rsidR="00626E6B" w:rsidRPr="003077FC"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color w:val="000000"/>
                <w:szCs w:val="24"/>
              </w:rPr>
              <w:t>113.</w:t>
            </w:r>
            <w:r>
              <w:rPr>
                <w:rFonts w:ascii="標楷體" w:eastAsia="標楷體" w:hAnsi="標楷體" w:cs="New Gulim" w:hint="eastAsia"/>
                <w:color w:val="000000"/>
                <w:szCs w:val="24"/>
              </w:rPr>
              <w:t>10</w:t>
            </w:r>
            <w:r>
              <w:rPr>
                <w:rFonts w:ascii="標楷體" w:eastAsia="標楷體" w:hAnsi="標楷體" w:cs="New Gulim"/>
                <w:color w:val="000000"/>
                <w:szCs w:val="24"/>
              </w:rPr>
              <w:t>.21</w:t>
            </w:r>
          </w:p>
          <w:p w14:paraId="33E317AE"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sidRPr="003077FC">
              <w:rPr>
                <w:rFonts w:ascii="標楷體" w:eastAsia="標楷體" w:hAnsi="標楷體" w:cs="New Gulim" w:hint="eastAsia"/>
                <w:color w:val="000000"/>
                <w:szCs w:val="24"/>
              </w:rPr>
              <w:t>(</w:t>
            </w:r>
            <w:r>
              <w:rPr>
                <w:rFonts w:ascii="標楷體" w:eastAsia="標楷體" w:hAnsi="標楷體" w:cs="New Gulim" w:hint="eastAsia"/>
                <w:color w:val="000000"/>
                <w:szCs w:val="24"/>
              </w:rPr>
              <w:t>一</w:t>
            </w:r>
            <w:r w:rsidRPr="003077FC">
              <w:rPr>
                <w:rFonts w:ascii="標楷體" w:eastAsia="標楷體" w:hAnsi="標楷體" w:cs="New Gulim" w:hint="eastAsia"/>
                <w:color w:val="000000"/>
                <w:szCs w:val="24"/>
              </w:rPr>
              <w:t>)</w:t>
            </w:r>
          </w:p>
        </w:tc>
        <w:tc>
          <w:tcPr>
            <w:tcW w:w="1419" w:type="pct"/>
          </w:tcPr>
          <w:p w14:paraId="2A103638"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一、繼續審查「財政收支劃分法」20案：（廣泛討論）</w:t>
            </w:r>
          </w:p>
          <w:p w14:paraId="4AFCCB2C"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(一)</w:t>
            </w:r>
            <w:r w:rsidRPr="005B33B5">
              <w:rPr>
                <w:rFonts w:ascii="標楷體" w:eastAsia="標楷體" w:hAnsi="標楷體" w:hint="eastAsia"/>
                <w:szCs w:val="24"/>
              </w:rPr>
              <w:tab/>
              <w:t>本院台灣民眾黨黨團擬具「財政收支劃分法修正草案」案。</w:t>
            </w:r>
          </w:p>
          <w:p w14:paraId="5F0B461A"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(二)</w:t>
            </w:r>
            <w:r w:rsidRPr="005B33B5">
              <w:rPr>
                <w:rFonts w:ascii="標楷體" w:eastAsia="標楷體" w:hAnsi="標楷體" w:hint="eastAsia"/>
                <w:szCs w:val="24"/>
              </w:rPr>
              <w:tab/>
              <w:t>本院國民黨黨團、委員羅明才等23人、委員林思銘等20人、委員許宇甄等16人、委員洪孟楷等22人、委員丁學忠等17人分別擬具「財政收支劃分法部分條文修正草案」等6案。</w:t>
            </w:r>
          </w:p>
          <w:p w14:paraId="4E8D3B98"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(三)</w:t>
            </w:r>
            <w:r w:rsidRPr="005B33B5">
              <w:rPr>
                <w:rFonts w:ascii="標楷體" w:eastAsia="標楷體" w:hAnsi="標楷體" w:hint="eastAsia"/>
                <w:szCs w:val="24"/>
              </w:rPr>
              <w:tab/>
              <w:t>本院委員</w:t>
            </w:r>
            <w:r w:rsidRPr="005B33B5">
              <w:rPr>
                <w:rFonts w:ascii="標楷體" w:eastAsia="標楷體" w:hAnsi="標楷體" w:hint="eastAsia"/>
                <w:spacing w:val="-10"/>
                <w:szCs w:val="24"/>
              </w:rPr>
              <w:t>伍麗華Saidhai</w:t>
            </w:r>
            <w:r w:rsidRPr="005B33B5">
              <w:rPr>
                <w:rFonts w:ascii="標楷體" w:eastAsia="標楷體" w:hAnsi="標楷體" w:hint="eastAsia"/>
                <w:szCs w:val="24"/>
              </w:rPr>
              <w:t xml:space="preserve"> </w:t>
            </w:r>
            <w:r w:rsidRPr="005B33B5">
              <w:rPr>
                <w:rFonts w:ascii="標楷體" w:eastAsia="標楷體" w:hAnsi="標楷體" w:hint="eastAsia"/>
                <w:spacing w:val="-10"/>
                <w:szCs w:val="24"/>
              </w:rPr>
              <w:t>Tahovecahe</w:t>
            </w:r>
            <w:r w:rsidRPr="005B33B5">
              <w:rPr>
                <w:rFonts w:ascii="標楷體" w:eastAsia="標楷體" w:hAnsi="標楷體" w:hint="eastAsia"/>
                <w:szCs w:val="24"/>
              </w:rPr>
              <w:t>等17人擬具「財政收支劃分法第三條條文修正草案」案。</w:t>
            </w:r>
          </w:p>
          <w:p w14:paraId="1B34227E"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(四)</w:t>
            </w:r>
            <w:r w:rsidRPr="005B33B5">
              <w:rPr>
                <w:rFonts w:ascii="標楷體" w:eastAsia="標楷體" w:hAnsi="標楷體" w:hint="eastAsia"/>
                <w:szCs w:val="24"/>
              </w:rPr>
              <w:tab/>
              <w:t>本院委員陳玉珍等24人擬具「財政收支劃分法第八條條文修正草案」案。</w:t>
            </w:r>
          </w:p>
          <w:p w14:paraId="3A1C014F"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(五)</w:t>
            </w:r>
            <w:r w:rsidRPr="005B33B5">
              <w:rPr>
                <w:rFonts w:ascii="標楷體" w:eastAsia="標楷體" w:hAnsi="標楷體" w:hint="eastAsia"/>
                <w:szCs w:val="24"/>
              </w:rPr>
              <w:tab/>
              <w:t>本院委員黃健豪等21人擬具「財政收支劃分法第八條及第十二條條文修正草案」案。</w:t>
            </w:r>
          </w:p>
          <w:p w14:paraId="5F6AFCC1"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lastRenderedPageBreak/>
              <w:t>(六)</w:t>
            </w:r>
            <w:r w:rsidRPr="005B33B5">
              <w:rPr>
                <w:rFonts w:ascii="標楷體" w:eastAsia="標楷體" w:hAnsi="標楷體" w:hint="eastAsia"/>
                <w:szCs w:val="24"/>
              </w:rPr>
              <w:tab/>
              <w:t>本院委員王鴻薇等24人擬具「財政收支劃分法第八條、第十二條及第三十條條文修正草案」案。</w:t>
            </w:r>
          </w:p>
          <w:p w14:paraId="266F55C7"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(七)</w:t>
            </w:r>
            <w:r w:rsidRPr="005B33B5">
              <w:rPr>
                <w:rFonts w:ascii="標楷體" w:eastAsia="標楷體" w:hAnsi="標楷體" w:hint="eastAsia"/>
                <w:szCs w:val="24"/>
              </w:rPr>
              <w:tab/>
              <w:t>本院委員陳超明等17人、委員邱鎮軍等19人分別擬具「財政收支劃分法第八條、第十二條及第十六條之一條文修正草案」等2案。</w:t>
            </w:r>
          </w:p>
          <w:p w14:paraId="183A68B8"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(八)</w:t>
            </w:r>
            <w:r w:rsidRPr="005B33B5">
              <w:rPr>
                <w:rFonts w:ascii="標楷體" w:eastAsia="標楷體" w:hAnsi="標楷體" w:hint="eastAsia"/>
                <w:szCs w:val="24"/>
              </w:rPr>
              <w:tab/>
              <w:t>本院委員賴瑞隆等16人、委員蔡易餘等16人分別擬具「財政收支劃分法第十六條之一條文修正草案」等2案。</w:t>
            </w:r>
          </w:p>
          <w:p w14:paraId="13D021E1"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(九)</w:t>
            </w:r>
            <w:r w:rsidRPr="005B33B5">
              <w:rPr>
                <w:rFonts w:ascii="標楷體" w:eastAsia="標楷體" w:hAnsi="標楷體" w:hint="eastAsia"/>
                <w:szCs w:val="24"/>
              </w:rPr>
              <w:tab/>
              <w:t>本院委員賴士葆等29人擬具「財政收支劃分法第十六條之二、第三十七條之二及第三十八條之二條文修正草案」案。</w:t>
            </w:r>
          </w:p>
          <w:p w14:paraId="32B06FB5"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(十)</w:t>
            </w:r>
            <w:r w:rsidRPr="005B33B5">
              <w:rPr>
                <w:rFonts w:ascii="標楷體" w:eastAsia="標楷體" w:hAnsi="標楷體" w:hint="eastAsia"/>
                <w:szCs w:val="24"/>
              </w:rPr>
              <w:tab/>
              <w:t>本院委員賴士葆等22人擬具「財政收支劃分法第三十八條之一條文修正草案」案。</w:t>
            </w:r>
          </w:p>
          <w:p w14:paraId="35BA4AB8" w14:textId="77777777" w:rsidR="00626E6B" w:rsidRPr="005B33B5" w:rsidRDefault="00626E6B" w:rsidP="00740992">
            <w:pPr>
              <w:overflowPunct w:val="0"/>
              <w:snapToGrid w:val="0"/>
              <w:spacing w:line="320" w:lineRule="exact"/>
              <w:ind w:left="720" w:hangingChars="300" w:hanging="720"/>
              <w:jc w:val="both"/>
              <w:rPr>
                <w:rFonts w:ascii="標楷體" w:eastAsia="標楷體" w:hAnsi="標楷體"/>
                <w:szCs w:val="24"/>
              </w:rPr>
            </w:pPr>
            <w:r w:rsidRPr="005B33B5">
              <w:rPr>
                <w:rFonts w:ascii="標楷體" w:eastAsia="標楷體" w:hAnsi="標楷體" w:hint="eastAsia"/>
                <w:szCs w:val="24"/>
              </w:rPr>
              <w:t>(十一)本院委員張嘉郡等27人擬具「財政收支劃分法第四條、第八條及第十二條條文修正草案」案。</w:t>
            </w:r>
          </w:p>
          <w:p w14:paraId="46D15820" w14:textId="77777777" w:rsidR="00626E6B" w:rsidRPr="005B33B5" w:rsidRDefault="00626E6B" w:rsidP="00F470A8">
            <w:pPr>
              <w:overflowPunct w:val="0"/>
              <w:snapToGrid w:val="0"/>
              <w:spacing w:line="320" w:lineRule="exact"/>
              <w:ind w:left="720" w:hangingChars="300" w:hanging="720"/>
              <w:jc w:val="both"/>
              <w:rPr>
                <w:rFonts w:ascii="標楷體" w:eastAsia="標楷體" w:hAnsi="標楷體"/>
                <w:szCs w:val="24"/>
              </w:rPr>
            </w:pPr>
            <w:r w:rsidRPr="005B33B5">
              <w:rPr>
                <w:rFonts w:ascii="標楷體" w:eastAsia="標楷體" w:hAnsi="標楷體" w:hint="eastAsia"/>
                <w:szCs w:val="24"/>
              </w:rPr>
              <w:t>(十二)本院委員楊瓊瓔等32人擬具「財政收支劃分法第八條及第三十七條條文修正草案」案。</w:t>
            </w:r>
          </w:p>
          <w:p w14:paraId="682E90F3" w14:textId="77777777" w:rsidR="00626E6B" w:rsidRPr="005B33B5" w:rsidRDefault="00626E6B" w:rsidP="00F470A8">
            <w:pPr>
              <w:overflowPunct w:val="0"/>
              <w:snapToGrid w:val="0"/>
              <w:spacing w:line="320" w:lineRule="exact"/>
              <w:ind w:left="720" w:hangingChars="300" w:hanging="720"/>
              <w:jc w:val="both"/>
              <w:rPr>
                <w:rFonts w:ascii="標楷體" w:eastAsia="標楷體" w:hAnsi="標楷體"/>
                <w:szCs w:val="24"/>
              </w:rPr>
            </w:pPr>
            <w:r w:rsidRPr="005B33B5">
              <w:rPr>
                <w:rFonts w:ascii="標楷體" w:eastAsia="標楷體" w:hAnsi="標楷體" w:hint="eastAsia"/>
                <w:szCs w:val="24"/>
              </w:rPr>
              <w:t>(十三)本院委員鄭天財Sra Kacaw等18人擬具「財政收支劃分法增訂第三十條之一及第三十條之二條文草案」案。</w:t>
            </w:r>
          </w:p>
          <w:p w14:paraId="5D7BA580"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lastRenderedPageBreak/>
              <w:t>二、審查「財政收支劃分法」2案：</w:t>
            </w:r>
          </w:p>
          <w:p w14:paraId="6B88F690" w14:textId="77777777" w:rsidR="00626E6B" w:rsidRPr="005B33B5"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(一)</w:t>
            </w:r>
            <w:r w:rsidRPr="005B33B5">
              <w:rPr>
                <w:rFonts w:ascii="標楷體" w:eastAsia="標楷體" w:hAnsi="標楷體" w:hint="eastAsia"/>
                <w:szCs w:val="24"/>
              </w:rPr>
              <w:tab/>
              <w:t>本院委員羅廷瑋等19人擬具「財政收支劃分法部分條文修正草案」案。</w:t>
            </w:r>
          </w:p>
          <w:p w14:paraId="0067F511" w14:textId="77777777" w:rsidR="00626E6B" w:rsidRPr="002D4DB8" w:rsidRDefault="00626E6B" w:rsidP="00F470A8">
            <w:pPr>
              <w:overflowPunct w:val="0"/>
              <w:snapToGrid w:val="0"/>
              <w:spacing w:line="320" w:lineRule="exact"/>
              <w:ind w:left="490" w:hangingChars="204" w:hanging="490"/>
              <w:jc w:val="both"/>
              <w:rPr>
                <w:rFonts w:ascii="標楷體" w:eastAsia="標楷體" w:hAnsi="標楷體"/>
                <w:szCs w:val="24"/>
              </w:rPr>
            </w:pPr>
            <w:r w:rsidRPr="005B33B5">
              <w:rPr>
                <w:rFonts w:ascii="標楷體" w:eastAsia="標楷體" w:hAnsi="標楷體" w:hint="eastAsia"/>
                <w:szCs w:val="24"/>
              </w:rPr>
              <w:t>(二)本院委員鄭正鈐等21人擬具「財政收支劃分法第八條條文修正草案」案。</w:t>
            </w:r>
          </w:p>
        </w:tc>
        <w:tc>
          <w:tcPr>
            <w:tcW w:w="1191" w:type="pct"/>
          </w:tcPr>
          <w:p w14:paraId="2F313F4E" w14:textId="77777777" w:rsidR="00626E6B" w:rsidRPr="00636074" w:rsidRDefault="00626E6B" w:rsidP="00F470A8">
            <w:pPr>
              <w:overflowPunct w:val="0"/>
              <w:snapToGrid w:val="0"/>
              <w:spacing w:line="320" w:lineRule="exact"/>
              <w:jc w:val="both"/>
              <w:rPr>
                <w:rFonts w:ascii="標楷體" w:eastAsia="標楷體" w:hAnsi="標楷體"/>
                <w:szCs w:val="24"/>
              </w:rPr>
            </w:pPr>
            <w:r w:rsidRPr="00CA1D45">
              <w:rPr>
                <w:rFonts w:ascii="標楷體" w:eastAsia="標楷體" w:hAnsi="標楷體" w:hint="eastAsia"/>
                <w:szCs w:val="24"/>
              </w:rPr>
              <w:lastRenderedPageBreak/>
              <w:t>一及二</w:t>
            </w:r>
            <w:r>
              <w:rPr>
                <w:rFonts w:ascii="標楷體" w:eastAsia="標楷體" w:hAnsi="標楷體" w:hint="eastAsia"/>
                <w:szCs w:val="24"/>
              </w:rPr>
              <w:t>均</w:t>
            </w:r>
            <w:r w:rsidRPr="005254F0">
              <w:rPr>
                <w:rFonts w:ascii="標楷體" w:eastAsia="標楷體" w:hAnsi="標楷體" w:hint="eastAsia"/>
                <w:szCs w:val="24"/>
              </w:rPr>
              <w:t>另擇期繼續審查</w:t>
            </w:r>
            <w:r>
              <w:rPr>
                <w:rFonts w:ascii="標楷體" w:eastAsia="標楷體" w:hAnsi="標楷體" w:hint="eastAsia"/>
                <w:szCs w:val="24"/>
              </w:rPr>
              <w:t>。</w:t>
            </w:r>
          </w:p>
        </w:tc>
        <w:tc>
          <w:tcPr>
            <w:tcW w:w="426" w:type="pct"/>
          </w:tcPr>
          <w:p w14:paraId="0F565AAC"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626E6B">
              <w:rPr>
                <w:rFonts w:ascii="標楷體" w:eastAsia="標楷體" w:hAnsi="標楷體" w:hint="eastAsia"/>
                <w:kern w:val="2"/>
                <w:szCs w:val="24"/>
              </w:rPr>
              <w:t>5268</w:t>
            </w:r>
          </w:p>
        </w:tc>
      </w:tr>
      <w:tr w:rsidR="00626E6B" w:rsidRPr="00464A6F" w14:paraId="5D7E7545" w14:textId="77777777" w:rsidTr="00660947">
        <w:trPr>
          <w:trHeight w:val="38"/>
        </w:trPr>
        <w:tc>
          <w:tcPr>
            <w:tcW w:w="211" w:type="pct"/>
          </w:tcPr>
          <w:p w14:paraId="21153A62" w14:textId="77777777" w:rsidR="00626E6B"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lastRenderedPageBreak/>
              <w:t>9</w:t>
            </w:r>
          </w:p>
        </w:tc>
        <w:tc>
          <w:tcPr>
            <w:tcW w:w="725" w:type="pct"/>
          </w:tcPr>
          <w:p w14:paraId="466D8E8E" w14:textId="77777777" w:rsidR="00626E6B" w:rsidRPr="00102E1A" w:rsidRDefault="00626E6B" w:rsidP="00F470A8">
            <w:pPr>
              <w:overflowPunct w:val="0"/>
              <w:snapToGrid w:val="0"/>
              <w:spacing w:line="320" w:lineRule="exact"/>
              <w:jc w:val="both"/>
              <w:rPr>
                <w:rFonts w:ascii="標楷體" w:eastAsia="標楷體" w:hAnsi="標楷體"/>
                <w:szCs w:val="24"/>
              </w:rPr>
            </w:pPr>
            <w:r w:rsidRPr="00A97FCE">
              <w:rPr>
                <w:rFonts w:ascii="標楷體" w:eastAsia="標楷體" w:hAnsi="標楷體" w:hint="eastAsia"/>
                <w:szCs w:val="24"/>
              </w:rPr>
              <w:t>第</w:t>
            </w:r>
            <w:r>
              <w:rPr>
                <w:rFonts w:ascii="標楷體" w:eastAsia="標楷體" w:hAnsi="標楷體" w:hint="eastAsia"/>
                <w:szCs w:val="24"/>
              </w:rPr>
              <w:t>4</w:t>
            </w:r>
            <w:r w:rsidRPr="00A97FCE">
              <w:rPr>
                <w:rFonts w:ascii="標楷體" w:eastAsia="標楷體" w:hAnsi="標楷體" w:hint="eastAsia"/>
                <w:szCs w:val="24"/>
              </w:rPr>
              <w:t>次全體委員會議</w:t>
            </w:r>
          </w:p>
        </w:tc>
        <w:tc>
          <w:tcPr>
            <w:tcW w:w="418" w:type="pct"/>
          </w:tcPr>
          <w:p w14:paraId="7402A5F7" w14:textId="77777777" w:rsidR="00626E6B" w:rsidRPr="00267955"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陳玉珍</w:t>
            </w:r>
          </w:p>
        </w:tc>
        <w:tc>
          <w:tcPr>
            <w:tcW w:w="609" w:type="pct"/>
          </w:tcPr>
          <w:p w14:paraId="24A5E068"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113.10.24</w:t>
            </w:r>
          </w:p>
          <w:p w14:paraId="0A9EAA03" w14:textId="77777777" w:rsidR="00626E6B" w:rsidRPr="00A97FCE" w:rsidRDefault="00626E6B" w:rsidP="00F470A8">
            <w:pPr>
              <w:overflowPunct w:val="0"/>
              <w:snapToGrid w:val="0"/>
              <w:spacing w:line="320" w:lineRule="exact"/>
              <w:jc w:val="center"/>
              <w:rPr>
                <w:rFonts w:ascii="標楷體" w:eastAsia="標楷體" w:hAnsi="標楷體" w:cs="New Gulim"/>
                <w:szCs w:val="24"/>
              </w:rPr>
            </w:pPr>
            <w:r>
              <w:rPr>
                <w:rFonts w:ascii="標楷體" w:eastAsia="標楷體" w:hAnsi="標楷體" w:cs="New Gulim" w:hint="eastAsia"/>
                <w:color w:val="000000"/>
                <w:szCs w:val="24"/>
              </w:rPr>
              <w:t>(四)</w:t>
            </w:r>
          </w:p>
        </w:tc>
        <w:tc>
          <w:tcPr>
            <w:tcW w:w="1419" w:type="pct"/>
          </w:tcPr>
          <w:p w14:paraId="03ECD95C" w14:textId="77777777" w:rsidR="00626E6B" w:rsidRPr="00804A87" w:rsidRDefault="00626E6B" w:rsidP="00F470A8">
            <w:pPr>
              <w:overflowPunct w:val="0"/>
              <w:snapToGrid w:val="0"/>
              <w:spacing w:line="320" w:lineRule="exact"/>
              <w:jc w:val="both"/>
              <w:rPr>
                <w:rFonts w:ascii="標楷體" w:eastAsia="標楷體" w:hAnsi="標楷體"/>
                <w:color w:val="000000"/>
                <w:szCs w:val="24"/>
              </w:rPr>
            </w:pPr>
            <w:r w:rsidRPr="005A4C8B">
              <w:rPr>
                <w:rFonts w:ascii="標楷體" w:eastAsia="標楷體" w:hAnsi="標楷體" w:hint="eastAsia"/>
                <w:color w:val="000000"/>
                <w:szCs w:val="24"/>
              </w:rPr>
              <w:t>邀請金融監督管理委員會彭主任委員金隆、財政部莊部長翠雲、中央銀行、國家發展委員會、經濟部、交通部就「政府推動臺灣成為亞洲資產管理中心之具體作為暨如何協助金融科技及新創產業籌資現況與未來發展」進行專題報告，並備質詢。</w:t>
            </w:r>
          </w:p>
        </w:tc>
        <w:tc>
          <w:tcPr>
            <w:tcW w:w="1191" w:type="pct"/>
          </w:tcPr>
          <w:p w14:paraId="305B4E9A" w14:textId="77777777" w:rsidR="00626E6B" w:rsidRDefault="00626E6B" w:rsidP="00F470A8">
            <w:pPr>
              <w:overflowPunct w:val="0"/>
              <w:snapToGrid w:val="0"/>
              <w:spacing w:line="320" w:lineRule="exact"/>
              <w:jc w:val="both"/>
              <w:rPr>
                <w:rFonts w:ascii="標楷體" w:eastAsia="標楷體" w:hAnsi="標楷體"/>
                <w:szCs w:val="24"/>
              </w:rPr>
            </w:pPr>
            <w:r w:rsidRPr="00DA620E">
              <w:rPr>
                <w:rFonts w:ascii="標楷體" w:eastAsia="標楷體" w:hAnsi="標楷體" w:hint="eastAsia"/>
                <w:szCs w:val="24"/>
              </w:rPr>
              <w:t>報告及詢答完畢。</w:t>
            </w:r>
          </w:p>
        </w:tc>
        <w:tc>
          <w:tcPr>
            <w:tcW w:w="426" w:type="pct"/>
          </w:tcPr>
          <w:p w14:paraId="39E33BEB" w14:textId="77777777" w:rsidR="00626E6B" w:rsidRPr="00464A6F" w:rsidRDefault="0049187F"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271</w:t>
            </w:r>
          </w:p>
        </w:tc>
      </w:tr>
      <w:tr w:rsidR="00626E6B" w:rsidRPr="00464A6F" w14:paraId="3F46E772" w14:textId="77777777" w:rsidTr="00660947">
        <w:trPr>
          <w:trHeight w:val="38"/>
        </w:trPr>
        <w:tc>
          <w:tcPr>
            <w:tcW w:w="211" w:type="pct"/>
          </w:tcPr>
          <w:p w14:paraId="5765BC2B" w14:textId="77777777" w:rsidR="00626E6B"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10</w:t>
            </w:r>
          </w:p>
        </w:tc>
        <w:tc>
          <w:tcPr>
            <w:tcW w:w="725" w:type="pct"/>
          </w:tcPr>
          <w:p w14:paraId="74F0B13C" w14:textId="77777777" w:rsidR="00626E6B" w:rsidRPr="00A97FCE" w:rsidRDefault="00626E6B" w:rsidP="00F470A8">
            <w:pPr>
              <w:overflowPunct w:val="0"/>
              <w:snapToGrid w:val="0"/>
              <w:spacing w:line="320" w:lineRule="exact"/>
              <w:jc w:val="both"/>
              <w:rPr>
                <w:rFonts w:ascii="標楷體" w:eastAsia="標楷體" w:hAnsi="標楷體"/>
                <w:szCs w:val="24"/>
              </w:rPr>
            </w:pPr>
            <w:r w:rsidRPr="00B11301">
              <w:rPr>
                <w:rFonts w:ascii="標楷體" w:eastAsia="標楷體" w:hAnsi="標楷體" w:hint="eastAsia"/>
                <w:szCs w:val="24"/>
              </w:rPr>
              <w:t>考察</w:t>
            </w:r>
          </w:p>
        </w:tc>
        <w:tc>
          <w:tcPr>
            <w:tcW w:w="418" w:type="pct"/>
          </w:tcPr>
          <w:p w14:paraId="50CC2F0D" w14:textId="77777777" w:rsidR="00626E6B"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賴惠員</w:t>
            </w:r>
          </w:p>
        </w:tc>
        <w:tc>
          <w:tcPr>
            <w:tcW w:w="609" w:type="pct"/>
          </w:tcPr>
          <w:p w14:paraId="4435E10F"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113.10.28</w:t>
            </w:r>
          </w:p>
          <w:p w14:paraId="6207E665"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(一)</w:t>
            </w:r>
          </w:p>
        </w:tc>
        <w:tc>
          <w:tcPr>
            <w:tcW w:w="1419" w:type="pct"/>
          </w:tcPr>
          <w:p w14:paraId="641EAABF" w14:textId="77777777" w:rsidR="00626E6B" w:rsidRPr="002D4DB8" w:rsidRDefault="00626E6B" w:rsidP="00F470A8">
            <w:pPr>
              <w:overflowPunct w:val="0"/>
              <w:snapToGrid w:val="0"/>
              <w:spacing w:line="320" w:lineRule="exact"/>
              <w:jc w:val="both"/>
              <w:rPr>
                <w:rFonts w:ascii="標楷體" w:eastAsia="標楷體" w:hAnsi="標楷體"/>
                <w:szCs w:val="24"/>
              </w:rPr>
            </w:pPr>
            <w:r w:rsidRPr="00B401EE">
              <w:rPr>
                <w:rFonts w:ascii="標楷體" w:eastAsia="標楷體" w:hAnsi="標楷體" w:hint="eastAsia"/>
                <w:color w:val="000000"/>
                <w:szCs w:val="24"/>
              </w:rPr>
              <w:t>考察屏東地區地方建設預算執行情形</w:t>
            </w:r>
            <w:r>
              <w:rPr>
                <w:rFonts w:ascii="標楷體" w:eastAsia="標楷體" w:hAnsi="標楷體" w:hint="eastAsia"/>
                <w:szCs w:val="24"/>
              </w:rPr>
              <w:t>。</w:t>
            </w:r>
          </w:p>
        </w:tc>
        <w:tc>
          <w:tcPr>
            <w:tcW w:w="1191" w:type="pct"/>
          </w:tcPr>
          <w:p w14:paraId="07895D79" w14:textId="77777777" w:rsidR="00626E6B" w:rsidRDefault="00626E6B" w:rsidP="00F470A8">
            <w:pPr>
              <w:overflowPunct w:val="0"/>
              <w:snapToGrid w:val="0"/>
              <w:spacing w:line="320" w:lineRule="exact"/>
              <w:jc w:val="both"/>
              <w:rPr>
                <w:rFonts w:ascii="標楷體" w:eastAsia="標楷體" w:hAnsi="標楷體"/>
                <w:szCs w:val="24"/>
              </w:rPr>
            </w:pPr>
          </w:p>
        </w:tc>
        <w:tc>
          <w:tcPr>
            <w:tcW w:w="426" w:type="pct"/>
          </w:tcPr>
          <w:p w14:paraId="3BD396A4" w14:textId="77777777" w:rsidR="00626E6B" w:rsidRPr="00464A6F" w:rsidRDefault="00626E6B"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626E6B" w:rsidRPr="00464A6F" w14:paraId="5EF05FC8" w14:textId="77777777" w:rsidTr="00660947">
        <w:trPr>
          <w:trHeight w:val="38"/>
        </w:trPr>
        <w:tc>
          <w:tcPr>
            <w:tcW w:w="211" w:type="pct"/>
          </w:tcPr>
          <w:p w14:paraId="1E29E066" w14:textId="77777777" w:rsidR="00626E6B" w:rsidRDefault="00626E6B"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11</w:t>
            </w:r>
          </w:p>
        </w:tc>
        <w:tc>
          <w:tcPr>
            <w:tcW w:w="725" w:type="pct"/>
          </w:tcPr>
          <w:p w14:paraId="479276AE" w14:textId="77777777" w:rsidR="00626E6B" w:rsidRPr="00A97FCE" w:rsidRDefault="00626E6B" w:rsidP="00F470A8">
            <w:pPr>
              <w:overflowPunct w:val="0"/>
              <w:snapToGrid w:val="0"/>
              <w:spacing w:line="320" w:lineRule="exact"/>
              <w:jc w:val="both"/>
              <w:rPr>
                <w:rFonts w:ascii="標楷體" w:eastAsia="標楷體" w:hAnsi="標楷體"/>
                <w:szCs w:val="24"/>
              </w:rPr>
            </w:pPr>
            <w:r w:rsidRPr="00A97FCE">
              <w:rPr>
                <w:rFonts w:ascii="標楷體" w:eastAsia="標楷體" w:hAnsi="標楷體" w:hint="eastAsia"/>
                <w:szCs w:val="24"/>
              </w:rPr>
              <w:t>第</w:t>
            </w:r>
            <w:r>
              <w:rPr>
                <w:rFonts w:ascii="標楷體" w:eastAsia="標楷體" w:hAnsi="標楷體" w:hint="eastAsia"/>
                <w:szCs w:val="24"/>
              </w:rPr>
              <w:t>5</w:t>
            </w:r>
            <w:r w:rsidRPr="00A97FCE">
              <w:rPr>
                <w:rFonts w:ascii="標楷體" w:eastAsia="標楷體" w:hAnsi="標楷體" w:hint="eastAsia"/>
                <w:szCs w:val="24"/>
              </w:rPr>
              <w:t>次全體委員會議</w:t>
            </w:r>
          </w:p>
        </w:tc>
        <w:tc>
          <w:tcPr>
            <w:tcW w:w="418" w:type="pct"/>
          </w:tcPr>
          <w:p w14:paraId="58DFD1F1" w14:textId="77777777" w:rsidR="00626E6B" w:rsidRDefault="00626E6B" w:rsidP="00F470A8">
            <w:pPr>
              <w:overflowPunct w:val="0"/>
              <w:snapToGrid w:val="0"/>
              <w:spacing w:line="320" w:lineRule="exact"/>
              <w:jc w:val="both"/>
              <w:rPr>
                <w:rFonts w:ascii="標楷體" w:eastAsia="標楷體" w:hAnsi="標楷體"/>
                <w:szCs w:val="24"/>
              </w:rPr>
            </w:pPr>
            <w:r>
              <w:rPr>
                <w:rFonts w:ascii="標楷體" w:eastAsia="標楷體" w:hAnsi="標楷體" w:hint="eastAsia"/>
                <w:szCs w:val="24"/>
              </w:rPr>
              <w:t>賴惠員</w:t>
            </w:r>
          </w:p>
        </w:tc>
        <w:tc>
          <w:tcPr>
            <w:tcW w:w="609" w:type="pct"/>
          </w:tcPr>
          <w:p w14:paraId="1D85F780"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113.10.30</w:t>
            </w:r>
          </w:p>
          <w:p w14:paraId="3774A106" w14:textId="77777777" w:rsidR="00626E6B" w:rsidRDefault="00626E6B" w:rsidP="00F470A8">
            <w:pPr>
              <w:overflowPunct w:val="0"/>
              <w:snapToGrid w:val="0"/>
              <w:spacing w:line="320" w:lineRule="exact"/>
              <w:jc w:val="center"/>
              <w:rPr>
                <w:rFonts w:ascii="標楷體" w:eastAsia="標楷體" w:hAnsi="標楷體" w:cs="New Gulim"/>
                <w:color w:val="000000"/>
                <w:szCs w:val="24"/>
              </w:rPr>
            </w:pPr>
            <w:r>
              <w:rPr>
                <w:rFonts w:ascii="標楷體" w:eastAsia="標楷體" w:hAnsi="標楷體" w:cs="New Gulim" w:hint="eastAsia"/>
                <w:color w:val="000000"/>
                <w:szCs w:val="24"/>
              </w:rPr>
              <w:t>(三)</w:t>
            </w:r>
          </w:p>
        </w:tc>
        <w:tc>
          <w:tcPr>
            <w:tcW w:w="1419" w:type="pct"/>
          </w:tcPr>
          <w:p w14:paraId="10522D83" w14:textId="77777777" w:rsidR="00626E6B" w:rsidRPr="00B401EE" w:rsidRDefault="00626E6B" w:rsidP="00F470A8">
            <w:pPr>
              <w:overflowPunct w:val="0"/>
              <w:snapToGrid w:val="0"/>
              <w:spacing w:line="320" w:lineRule="exact"/>
              <w:ind w:left="480" w:hangingChars="200" w:hanging="480"/>
              <w:jc w:val="both"/>
              <w:rPr>
                <w:rFonts w:ascii="標楷體" w:eastAsia="標楷體" w:hAnsi="標楷體"/>
                <w:szCs w:val="24"/>
              </w:rPr>
            </w:pPr>
            <w:r w:rsidRPr="00B401EE">
              <w:rPr>
                <w:rFonts w:ascii="標楷體" w:eastAsia="標楷體" w:hAnsi="標楷體" w:hint="eastAsia"/>
                <w:szCs w:val="24"/>
              </w:rPr>
              <w:t>一、邀請金融監督管理委員會彭主任委員金隆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14:paraId="3BA8B542" w14:textId="77777777" w:rsidR="00626E6B" w:rsidRPr="00B401EE" w:rsidRDefault="00626E6B" w:rsidP="003E17ED">
            <w:pPr>
              <w:overflowPunct w:val="0"/>
              <w:snapToGrid w:val="0"/>
              <w:spacing w:line="320" w:lineRule="exact"/>
              <w:ind w:left="480" w:hangingChars="200" w:hanging="480"/>
              <w:jc w:val="both"/>
              <w:rPr>
                <w:rFonts w:ascii="標楷體" w:eastAsia="標楷體" w:hAnsi="標楷體"/>
                <w:szCs w:val="24"/>
              </w:rPr>
            </w:pPr>
            <w:r w:rsidRPr="00B401EE">
              <w:rPr>
                <w:rFonts w:ascii="標楷體" w:eastAsia="標楷體" w:hAnsi="標楷體" w:hint="eastAsia"/>
                <w:szCs w:val="24"/>
              </w:rPr>
              <w:t>二、繼續審查「證券交易稅條例」5案：</w:t>
            </w:r>
          </w:p>
          <w:p w14:paraId="523E876E" w14:textId="77777777" w:rsidR="00626E6B" w:rsidRPr="00B401EE" w:rsidRDefault="00626E6B" w:rsidP="00F470A8">
            <w:pPr>
              <w:overflowPunct w:val="0"/>
              <w:snapToGrid w:val="0"/>
              <w:spacing w:line="320" w:lineRule="exact"/>
              <w:ind w:left="480" w:hangingChars="200" w:hanging="480"/>
              <w:jc w:val="both"/>
              <w:rPr>
                <w:rFonts w:ascii="標楷體" w:eastAsia="標楷體" w:hAnsi="標楷體"/>
                <w:szCs w:val="24"/>
              </w:rPr>
            </w:pPr>
            <w:r w:rsidRPr="00B401EE">
              <w:rPr>
                <w:rFonts w:ascii="標楷體" w:eastAsia="標楷體" w:hAnsi="標楷體" w:hint="eastAsia"/>
                <w:szCs w:val="24"/>
              </w:rPr>
              <w:t>(一</w:t>
            </w:r>
            <w:r>
              <w:rPr>
                <w:rFonts w:ascii="標楷體" w:eastAsia="標楷體" w:hAnsi="標楷體" w:hint="eastAsia"/>
                <w:szCs w:val="24"/>
              </w:rPr>
              <w:t>)</w:t>
            </w:r>
            <w:r w:rsidRPr="00B401EE">
              <w:rPr>
                <w:rFonts w:ascii="標楷體" w:eastAsia="標楷體" w:hAnsi="標楷體" w:hint="eastAsia"/>
                <w:szCs w:val="24"/>
              </w:rPr>
              <w:t>行政院函請審議「證券交易稅條例第二條之二及第十二條條文修正草案」案。</w:t>
            </w:r>
          </w:p>
          <w:p w14:paraId="43DE7ABA"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t>(二</w:t>
            </w:r>
            <w:r>
              <w:rPr>
                <w:rFonts w:ascii="標楷體" w:eastAsia="標楷體" w:hAnsi="標楷體" w:hint="eastAsia"/>
                <w:szCs w:val="24"/>
              </w:rPr>
              <w:t>)</w:t>
            </w:r>
            <w:r w:rsidRPr="00B401EE">
              <w:rPr>
                <w:rFonts w:ascii="標楷體" w:eastAsia="標楷體" w:hAnsi="標楷體" w:hint="eastAsia"/>
                <w:szCs w:val="24"/>
              </w:rPr>
              <w:t>本院委員羅明才等20人擬具「證券交易稅條例第二條之二條文修正草案」案。</w:t>
            </w:r>
          </w:p>
          <w:p w14:paraId="4916FD66"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lastRenderedPageBreak/>
              <w:t>(三</w:t>
            </w:r>
            <w:r>
              <w:rPr>
                <w:rFonts w:ascii="標楷體" w:eastAsia="標楷體" w:hAnsi="標楷體" w:hint="eastAsia"/>
                <w:szCs w:val="24"/>
              </w:rPr>
              <w:t>)</w:t>
            </w:r>
            <w:r w:rsidRPr="00B401EE">
              <w:rPr>
                <w:rFonts w:ascii="標楷體" w:eastAsia="標楷體" w:hAnsi="標楷體" w:hint="eastAsia"/>
                <w:szCs w:val="24"/>
              </w:rPr>
              <w:t>本院委員賴士葆等25人擬具「證券交易稅條例第二條之二及第十二條條文修正草案」案。</w:t>
            </w:r>
          </w:p>
          <w:p w14:paraId="12040501"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t>(四</w:t>
            </w:r>
            <w:r>
              <w:rPr>
                <w:rFonts w:ascii="標楷體" w:eastAsia="標楷體" w:hAnsi="標楷體" w:hint="eastAsia"/>
                <w:szCs w:val="24"/>
              </w:rPr>
              <w:t>)</w:t>
            </w:r>
            <w:r w:rsidRPr="00B401EE">
              <w:rPr>
                <w:rFonts w:ascii="標楷體" w:eastAsia="標楷體" w:hAnsi="標楷體" w:hint="eastAsia"/>
                <w:szCs w:val="24"/>
              </w:rPr>
              <w:t>本院委員伍麗華等19人擬具「證券交易稅條例第二條之二及第十二條條文修正草案」案。</w:t>
            </w:r>
          </w:p>
          <w:p w14:paraId="3F40ADC3"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t>(五</w:t>
            </w:r>
            <w:r>
              <w:rPr>
                <w:rFonts w:ascii="標楷體" w:eastAsia="標楷體" w:hAnsi="標楷體" w:hint="eastAsia"/>
                <w:szCs w:val="24"/>
              </w:rPr>
              <w:t>)</w:t>
            </w:r>
            <w:r w:rsidRPr="00B401EE">
              <w:rPr>
                <w:rFonts w:ascii="標楷體" w:eastAsia="標楷體" w:hAnsi="標楷體" w:hint="eastAsia"/>
                <w:szCs w:val="24"/>
              </w:rPr>
              <w:t>本院委員邱志偉等19人擬具「證券交易稅條例第十二條條文修正草案」案。</w:t>
            </w:r>
          </w:p>
          <w:p w14:paraId="2F56E6BC" w14:textId="77777777" w:rsidR="00626E6B" w:rsidRPr="00B401EE" w:rsidRDefault="00626E6B" w:rsidP="003E17ED">
            <w:pPr>
              <w:overflowPunct w:val="0"/>
              <w:snapToGrid w:val="0"/>
              <w:spacing w:line="320" w:lineRule="exact"/>
              <w:ind w:left="480" w:hangingChars="200" w:hanging="480"/>
              <w:jc w:val="both"/>
              <w:rPr>
                <w:rFonts w:ascii="標楷體" w:eastAsia="標楷體" w:hAnsi="標楷體"/>
                <w:szCs w:val="24"/>
              </w:rPr>
            </w:pPr>
            <w:r w:rsidRPr="00B401EE">
              <w:rPr>
                <w:rFonts w:ascii="標楷體" w:eastAsia="標楷體" w:hAnsi="標楷體" w:hint="eastAsia"/>
                <w:szCs w:val="24"/>
              </w:rPr>
              <w:t>三、審查「證券交易稅條例」5案：</w:t>
            </w:r>
          </w:p>
          <w:p w14:paraId="33DE8C6B" w14:textId="77777777" w:rsidR="00626E6B" w:rsidRPr="00B401EE" w:rsidRDefault="00626E6B" w:rsidP="00F470A8">
            <w:pPr>
              <w:overflowPunct w:val="0"/>
              <w:snapToGrid w:val="0"/>
              <w:spacing w:line="320" w:lineRule="exact"/>
              <w:ind w:left="480" w:hangingChars="200" w:hanging="480"/>
              <w:jc w:val="both"/>
              <w:rPr>
                <w:rFonts w:ascii="標楷體" w:eastAsia="標楷體" w:hAnsi="標楷體"/>
                <w:szCs w:val="24"/>
              </w:rPr>
            </w:pPr>
            <w:r w:rsidRPr="00B401EE">
              <w:rPr>
                <w:rFonts w:ascii="標楷體" w:eastAsia="標楷體" w:hAnsi="標楷體" w:hint="eastAsia"/>
                <w:szCs w:val="24"/>
              </w:rPr>
              <w:t>(一</w:t>
            </w:r>
            <w:r>
              <w:rPr>
                <w:rFonts w:ascii="標楷體" w:eastAsia="標楷體" w:hAnsi="標楷體" w:hint="eastAsia"/>
                <w:szCs w:val="24"/>
              </w:rPr>
              <w:t>)</w:t>
            </w:r>
            <w:r w:rsidRPr="00B401EE">
              <w:rPr>
                <w:rFonts w:ascii="標楷體" w:eastAsia="標楷體" w:hAnsi="標楷體" w:hint="eastAsia"/>
                <w:szCs w:val="24"/>
              </w:rPr>
              <w:t>本院台灣民眾黨黨團擬具「證券交易稅條例部分條文修正草案」。</w:t>
            </w:r>
          </w:p>
          <w:p w14:paraId="7BBDC1B4"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t>(二</w:t>
            </w:r>
            <w:r>
              <w:rPr>
                <w:rFonts w:ascii="標楷體" w:eastAsia="標楷體" w:hAnsi="標楷體" w:hint="eastAsia"/>
                <w:szCs w:val="24"/>
              </w:rPr>
              <w:t>)</w:t>
            </w:r>
            <w:r w:rsidRPr="00B401EE">
              <w:rPr>
                <w:rFonts w:ascii="標楷體" w:eastAsia="標楷體" w:hAnsi="標楷體" w:hint="eastAsia"/>
                <w:szCs w:val="24"/>
              </w:rPr>
              <w:t>本院委員林楚茵等19人擬具「證券交易稅條例第二條之二條文修正草案」案。</w:t>
            </w:r>
          </w:p>
          <w:p w14:paraId="39BD189E"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t>(三</w:t>
            </w:r>
            <w:r>
              <w:rPr>
                <w:rFonts w:ascii="標楷體" w:eastAsia="標楷體" w:hAnsi="標楷體" w:hint="eastAsia"/>
                <w:szCs w:val="24"/>
              </w:rPr>
              <w:t>)</w:t>
            </w:r>
            <w:r w:rsidRPr="00B401EE">
              <w:rPr>
                <w:rFonts w:ascii="標楷體" w:eastAsia="標楷體" w:hAnsi="標楷體" w:hint="eastAsia"/>
                <w:szCs w:val="24"/>
              </w:rPr>
              <w:t>本院委員李坤城等22人擬具「證券交易稅條例第二條之二條文修正草案」。</w:t>
            </w:r>
          </w:p>
          <w:p w14:paraId="2666338D"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t>(四</w:t>
            </w:r>
            <w:r>
              <w:rPr>
                <w:rFonts w:ascii="標楷體" w:eastAsia="標楷體" w:hAnsi="標楷體" w:hint="eastAsia"/>
                <w:szCs w:val="24"/>
              </w:rPr>
              <w:t>)</w:t>
            </w:r>
            <w:r w:rsidRPr="00B401EE">
              <w:rPr>
                <w:rFonts w:ascii="標楷體" w:eastAsia="標楷體" w:hAnsi="標楷體" w:hint="eastAsia"/>
                <w:szCs w:val="24"/>
              </w:rPr>
              <w:t>本院委員賴惠員等37人擬具「證券交易稅條例第二條之二及第十二條條文修正草案」案。</w:t>
            </w:r>
          </w:p>
          <w:p w14:paraId="39D46D02"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sidRPr="00B401EE">
              <w:rPr>
                <w:rFonts w:ascii="標楷體" w:eastAsia="標楷體" w:hAnsi="標楷體" w:hint="eastAsia"/>
                <w:szCs w:val="24"/>
              </w:rPr>
              <w:t>(五</w:t>
            </w:r>
            <w:r>
              <w:rPr>
                <w:rFonts w:ascii="標楷體" w:eastAsia="標楷體" w:hAnsi="標楷體" w:hint="eastAsia"/>
                <w:szCs w:val="24"/>
              </w:rPr>
              <w:t>)</w:t>
            </w:r>
            <w:r w:rsidRPr="00B401EE">
              <w:rPr>
                <w:rFonts w:ascii="標楷體" w:eastAsia="標楷體" w:hAnsi="標楷體" w:hint="eastAsia"/>
                <w:szCs w:val="24"/>
              </w:rPr>
              <w:t>本院委員蔡易餘等16人擬具「證券交易稅條例第二條之二及第十二條條文修正草案」。</w:t>
            </w:r>
          </w:p>
          <w:p w14:paraId="2566B5D4" w14:textId="77777777" w:rsidR="00626E6B" w:rsidRPr="00B401EE" w:rsidRDefault="00626E6B" w:rsidP="00F470A8">
            <w:pPr>
              <w:overflowPunct w:val="0"/>
              <w:snapToGrid w:val="0"/>
              <w:spacing w:line="320" w:lineRule="exact"/>
              <w:ind w:left="480" w:hangingChars="200" w:hanging="480"/>
              <w:jc w:val="both"/>
              <w:rPr>
                <w:rFonts w:ascii="標楷體" w:eastAsia="標楷體" w:hAnsi="標楷體"/>
                <w:szCs w:val="24"/>
              </w:rPr>
            </w:pPr>
            <w:r w:rsidRPr="00B401EE">
              <w:rPr>
                <w:rFonts w:ascii="標楷體" w:eastAsia="標楷體" w:hAnsi="標楷體" w:hint="eastAsia"/>
                <w:szCs w:val="24"/>
              </w:rPr>
              <w:t>四、審查金融監督管理委員會函送「延長調降當日沖銷交易稅之稅式支出評估報告」及「研商延長調降當沖交易證券交易稅實施</w:t>
            </w:r>
            <w:r w:rsidRPr="00B401EE">
              <w:rPr>
                <w:rFonts w:ascii="標楷體" w:eastAsia="標楷體" w:hAnsi="標楷體" w:hint="eastAsia"/>
                <w:szCs w:val="24"/>
              </w:rPr>
              <w:lastRenderedPageBreak/>
              <w:t>期間」公聽會之會議紀錄案。</w:t>
            </w:r>
          </w:p>
          <w:p w14:paraId="705A4028" w14:textId="77777777" w:rsidR="00626E6B" w:rsidRPr="002D4DB8" w:rsidRDefault="00626E6B" w:rsidP="00F470A8">
            <w:pPr>
              <w:overflowPunct w:val="0"/>
              <w:snapToGrid w:val="0"/>
              <w:spacing w:line="320" w:lineRule="exact"/>
              <w:ind w:left="480" w:hangingChars="200" w:hanging="480"/>
              <w:jc w:val="both"/>
              <w:rPr>
                <w:rFonts w:ascii="標楷體" w:eastAsia="標楷體" w:hAnsi="標楷體"/>
                <w:szCs w:val="24"/>
              </w:rPr>
            </w:pPr>
            <w:r w:rsidRPr="00B401EE">
              <w:rPr>
                <w:rFonts w:ascii="標楷體" w:eastAsia="標楷體" w:hAnsi="標楷體" w:hint="eastAsia"/>
                <w:szCs w:val="24"/>
              </w:rPr>
              <w:t>五、討論中華民國114年度中央政府總預算案（含附屬單位預算及綜計表－營業及非營業部分）審查日程暨審查分配表草案。</w:t>
            </w:r>
          </w:p>
        </w:tc>
        <w:tc>
          <w:tcPr>
            <w:tcW w:w="1191" w:type="pct"/>
          </w:tcPr>
          <w:p w14:paraId="515C3CEF" w14:textId="77777777" w:rsidR="00626E6B" w:rsidRDefault="00626E6B" w:rsidP="00F470A8">
            <w:pPr>
              <w:overflowPunct w:val="0"/>
              <w:snapToGrid w:val="0"/>
              <w:spacing w:line="320" w:lineRule="exact"/>
              <w:ind w:left="490" w:hangingChars="204" w:hanging="490"/>
              <w:jc w:val="both"/>
              <w:rPr>
                <w:rFonts w:ascii="標楷體" w:eastAsia="標楷體" w:hAnsi="標楷體"/>
                <w:szCs w:val="24"/>
              </w:rPr>
            </w:pPr>
            <w:r w:rsidRPr="00CA1D45">
              <w:rPr>
                <w:rFonts w:ascii="標楷體" w:eastAsia="標楷體" w:hAnsi="標楷體" w:hint="eastAsia"/>
                <w:szCs w:val="24"/>
              </w:rPr>
              <w:lastRenderedPageBreak/>
              <w:t>一</w:t>
            </w:r>
            <w:r>
              <w:rPr>
                <w:rFonts w:ascii="標楷體" w:eastAsia="標楷體" w:hAnsi="標楷體" w:hint="eastAsia"/>
                <w:szCs w:val="24"/>
              </w:rPr>
              <w:t>、</w:t>
            </w:r>
            <w:r w:rsidRPr="00CA1D45">
              <w:rPr>
                <w:rFonts w:ascii="標楷體" w:eastAsia="標楷體" w:hAnsi="標楷體" w:hint="eastAsia"/>
                <w:szCs w:val="24"/>
              </w:rPr>
              <w:t>報告</w:t>
            </w:r>
            <w:r>
              <w:rPr>
                <w:rFonts w:ascii="標楷體" w:eastAsia="標楷體" w:hAnsi="標楷體" w:hint="eastAsia"/>
                <w:szCs w:val="24"/>
              </w:rPr>
              <w:t>、說明</w:t>
            </w:r>
            <w:r w:rsidRPr="00CA1D45">
              <w:rPr>
                <w:rFonts w:ascii="標楷體" w:eastAsia="標楷體" w:hAnsi="標楷體" w:hint="eastAsia"/>
                <w:szCs w:val="24"/>
              </w:rPr>
              <w:t>及詢答完畢。</w:t>
            </w:r>
          </w:p>
          <w:p w14:paraId="5A9A8725" w14:textId="77777777" w:rsidR="00626E6B" w:rsidRDefault="00626E6B" w:rsidP="00F470A8">
            <w:pPr>
              <w:overflowPunct w:val="0"/>
              <w:snapToGrid w:val="0"/>
              <w:spacing w:line="320" w:lineRule="exact"/>
              <w:jc w:val="both"/>
              <w:rPr>
                <w:rFonts w:ascii="標楷體" w:eastAsia="標楷體" w:hAnsi="標楷體"/>
                <w:szCs w:val="24"/>
              </w:rPr>
            </w:pPr>
          </w:p>
          <w:p w14:paraId="753F8CFA" w14:textId="77777777" w:rsidR="00626E6B" w:rsidRDefault="00626E6B" w:rsidP="00F470A8">
            <w:pPr>
              <w:overflowPunct w:val="0"/>
              <w:snapToGrid w:val="0"/>
              <w:spacing w:line="320" w:lineRule="exact"/>
              <w:jc w:val="both"/>
              <w:rPr>
                <w:rFonts w:ascii="標楷體" w:eastAsia="標楷體" w:hAnsi="標楷體"/>
                <w:szCs w:val="24"/>
              </w:rPr>
            </w:pPr>
          </w:p>
          <w:p w14:paraId="22103A4C" w14:textId="77777777" w:rsidR="00626E6B" w:rsidRDefault="00626E6B" w:rsidP="00F470A8">
            <w:pPr>
              <w:overflowPunct w:val="0"/>
              <w:snapToGrid w:val="0"/>
              <w:spacing w:line="320" w:lineRule="exact"/>
              <w:jc w:val="both"/>
              <w:rPr>
                <w:rFonts w:ascii="標楷體" w:eastAsia="標楷體" w:hAnsi="標楷體"/>
                <w:szCs w:val="24"/>
              </w:rPr>
            </w:pPr>
          </w:p>
          <w:p w14:paraId="6399499A" w14:textId="77777777" w:rsidR="00626E6B" w:rsidRDefault="00626E6B" w:rsidP="00F470A8">
            <w:pPr>
              <w:overflowPunct w:val="0"/>
              <w:snapToGrid w:val="0"/>
              <w:spacing w:line="320" w:lineRule="exact"/>
              <w:jc w:val="both"/>
              <w:rPr>
                <w:rFonts w:ascii="標楷體" w:eastAsia="標楷體" w:hAnsi="標楷體"/>
                <w:szCs w:val="24"/>
              </w:rPr>
            </w:pPr>
          </w:p>
          <w:p w14:paraId="0AA98A8A" w14:textId="77777777" w:rsidR="00626E6B" w:rsidRDefault="00626E6B" w:rsidP="00F470A8">
            <w:pPr>
              <w:overflowPunct w:val="0"/>
              <w:snapToGrid w:val="0"/>
              <w:spacing w:line="320" w:lineRule="exact"/>
              <w:jc w:val="both"/>
              <w:rPr>
                <w:rFonts w:ascii="標楷體" w:eastAsia="標楷體" w:hAnsi="標楷體"/>
                <w:szCs w:val="24"/>
              </w:rPr>
            </w:pPr>
          </w:p>
          <w:p w14:paraId="253491B2" w14:textId="77777777" w:rsidR="00626E6B" w:rsidRDefault="00626E6B" w:rsidP="00F470A8">
            <w:pPr>
              <w:overflowPunct w:val="0"/>
              <w:snapToGrid w:val="0"/>
              <w:spacing w:line="320" w:lineRule="exact"/>
              <w:jc w:val="both"/>
              <w:rPr>
                <w:rFonts w:ascii="標楷體" w:eastAsia="標楷體" w:hAnsi="標楷體"/>
                <w:szCs w:val="24"/>
              </w:rPr>
            </w:pPr>
          </w:p>
          <w:p w14:paraId="6CC63107" w14:textId="77777777" w:rsidR="00626E6B" w:rsidRDefault="00626E6B" w:rsidP="00F470A8">
            <w:pPr>
              <w:overflowPunct w:val="0"/>
              <w:snapToGrid w:val="0"/>
              <w:spacing w:line="320" w:lineRule="exact"/>
              <w:jc w:val="both"/>
              <w:rPr>
                <w:rFonts w:ascii="標楷體" w:eastAsia="標楷體" w:hAnsi="標楷體"/>
                <w:szCs w:val="24"/>
              </w:rPr>
            </w:pPr>
          </w:p>
          <w:p w14:paraId="0A53D1CE" w14:textId="77777777" w:rsidR="00626E6B" w:rsidRDefault="00626E6B" w:rsidP="00F470A8">
            <w:pPr>
              <w:overflowPunct w:val="0"/>
              <w:snapToGrid w:val="0"/>
              <w:spacing w:line="320" w:lineRule="exact"/>
              <w:jc w:val="both"/>
              <w:rPr>
                <w:rFonts w:ascii="標楷體" w:eastAsia="標楷體" w:hAnsi="標楷體"/>
                <w:szCs w:val="24"/>
              </w:rPr>
            </w:pPr>
          </w:p>
          <w:p w14:paraId="4CA493D7" w14:textId="77777777" w:rsidR="00626E6B" w:rsidRDefault="00626E6B" w:rsidP="00F470A8">
            <w:pPr>
              <w:overflowPunct w:val="0"/>
              <w:snapToGrid w:val="0"/>
              <w:spacing w:line="320" w:lineRule="exact"/>
              <w:jc w:val="both"/>
              <w:rPr>
                <w:rFonts w:ascii="標楷體" w:eastAsia="標楷體" w:hAnsi="標楷體"/>
                <w:szCs w:val="24"/>
              </w:rPr>
            </w:pPr>
          </w:p>
          <w:p w14:paraId="60C88E4C" w14:textId="77777777" w:rsidR="00626E6B" w:rsidRDefault="00626E6B" w:rsidP="00F470A8">
            <w:pPr>
              <w:overflowPunct w:val="0"/>
              <w:snapToGrid w:val="0"/>
              <w:spacing w:line="320" w:lineRule="exact"/>
              <w:jc w:val="both"/>
              <w:rPr>
                <w:rFonts w:ascii="標楷體" w:eastAsia="標楷體" w:hAnsi="標楷體"/>
                <w:szCs w:val="24"/>
              </w:rPr>
            </w:pPr>
          </w:p>
          <w:p w14:paraId="0907E8BB" w14:textId="77777777" w:rsidR="00626E6B" w:rsidRDefault="00626E6B" w:rsidP="00F470A8">
            <w:pPr>
              <w:overflowPunct w:val="0"/>
              <w:snapToGrid w:val="0"/>
              <w:spacing w:line="320" w:lineRule="exact"/>
              <w:jc w:val="both"/>
              <w:rPr>
                <w:rFonts w:ascii="標楷體" w:eastAsia="標楷體" w:hAnsi="標楷體"/>
                <w:szCs w:val="24"/>
              </w:rPr>
            </w:pPr>
          </w:p>
          <w:p w14:paraId="0F780FB9" w14:textId="77777777" w:rsidR="009A08AC" w:rsidRDefault="009A08AC" w:rsidP="00F470A8">
            <w:pPr>
              <w:overflowPunct w:val="0"/>
              <w:snapToGrid w:val="0"/>
              <w:spacing w:line="320" w:lineRule="exact"/>
              <w:jc w:val="both"/>
              <w:rPr>
                <w:rFonts w:ascii="標楷體" w:eastAsia="標楷體" w:hAnsi="標楷體"/>
                <w:szCs w:val="24"/>
              </w:rPr>
            </w:pPr>
            <w:r>
              <w:rPr>
                <w:rFonts w:ascii="標楷體" w:eastAsia="標楷體" w:hAnsi="標楷體"/>
                <w:szCs w:val="24"/>
              </w:rPr>
              <w:t>二、三</w:t>
            </w:r>
            <w:r>
              <w:rPr>
                <w:rFonts w:ascii="標楷體" w:eastAsia="標楷體" w:hAnsi="標楷體" w:hint="eastAsia"/>
                <w:szCs w:val="24"/>
              </w:rPr>
              <w:t>併案審查完竣，送院會協商</w:t>
            </w:r>
            <w:r w:rsidRPr="005254F0">
              <w:rPr>
                <w:rFonts w:ascii="標楷體" w:eastAsia="標楷體" w:hAnsi="標楷體" w:hint="eastAsia"/>
                <w:szCs w:val="24"/>
              </w:rPr>
              <w:t>。</w:t>
            </w:r>
          </w:p>
          <w:p w14:paraId="0BFFF21E" w14:textId="77777777" w:rsidR="00626E6B" w:rsidRDefault="00626E6B" w:rsidP="00F470A8">
            <w:pPr>
              <w:overflowPunct w:val="0"/>
              <w:snapToGrid w:val="0"/>
              <w:spacing w:line="320" w:lineRule="exact"/>
              <w:jc w:val="both"/>
              <w:rPr>
                <w:rFonts w:ascii="標楷體" w:eastAsia="標楷體" w:hAnsi="標楷體"/>
                <w:szCs w:val="24"/>
              </w:rPr>
            </w:pPr>
          </w:p>
          <w:p w14:paraId="74F82E6E" w14:textId="77777777" w:rsidR="00626E6B" w:rsidRDefault="00626E6B" w:rsidP="00F470A8">
            <w:pPr>
              <w:overflowPunct w:val="0"/>
              <w:snapToGrid w:val="0"/>
              <w:spacing w:line="320" w:lineRule="exact"/>
              <w:jc w:val="both"/>
              <w:rPr>
                <w:rFonts w:ascii="標楷體" w:eastAsia="標楷體" w:hAnsi="標楷體"/>
                <w:szCs w:val="24"/>
              </w:rPr>
            </w:pPr>
          </w:p>
          <w:p w14:paraId="701A2160" w14:textId="77777777" w:rsidR="00626E6B" w:rsidRDefault="00626E6B" w:rsidP="00F470A8">
            <w:pPr>
              <w:overflowPunct w:val="0"/>
              <w:snapToGrid w:val="0"/>
              <w:spacing w:line="320" w:lineRule="exact"/>
              <w:jc w:val="both"/>
              <w:rPr>
                <w:rFonts w:ascii="標楷體" w:eastAsia="標楷體" w:hAnsi="標楷體"/>
                <w:szCs w:val="24"/>
              </w:rPr>
            </w:pPr>
          </w:p>
          <w:p w14:paraId="357F63F9" w14:textId="77777777" w:rsidR="00626E6B" w:rsidRDefault="00626E6B" w:rsidP="00F470A8">
            <w:pPr>
              <w:overflowPunct w:val="0"/>
              <w:snapToGrid w:val="0"/>
              <w:spacing w:line="320" w:lineRule="exact"/>
              <w:jc w:val="both"/>
              <w:rPr>
                <w:rFonts w:ascii="標楷體" w:eastAsia="標楷體" w:hAnsi="標楷體"/>
                <w:szCs w:val="24"/>
              </w:rPr>
            </w:pPr>
          </w:p>
          <w:p w14:paraId="732B2A49" w14:textId="77777777" w:rsidR="00626E6B" w:rsidRDefault="00626E6B" w:rsidP="00F470A8">
            <w:pPr>
              <w:overflowPunct w:val="0"/>
              <w:snapToGrid w:val="0"/>
              <w:spacing w:line="320" w:lineRule="exact"/>
              <w:jc w:val="both"/>
              <w:rPr>
                <w:rFonts w:ascii="標楷體" w:eastAsia="標楷體" w:hAnsi="標楷體"/>
                <w:szCs w:val="24"/>
              </w:rPr>
            </w:pPr>
          </w:p>
          <w:p w14:paraId="5A0222C3" w14:textId="77777777" w:rsidR="00626E6B" w:rsidRDefault="00626E6B" w:rsidP="00F470A8">
            <w:pPr>
              <w:overflowPunct w:val="0"/>
              <w:snapToGrid w:val="0"/>
              <w:spacing w:line="320" w:lineRule="exact"/>
              <w:jc w:val="both"/>
              <w:rPr>
                <w:rFonts w:ascii="標楷體" w:eastAsia="標楷體" w:hAnsi="標楷體"/>
                <w:szCs w:val="24"/>
              </w:rPr>
            </w:pPr>
          </w:p>
          <w:p w14:paraId="1EFC7094" w14:textId="77777777" w:rsidR="00626E6B" w:rsidRDefault="00626E6B" w:rsidP="00F470A8">
            <w:pPr>
              <w:overflowPunct w:val="0"/>
              <w:snapToGrid w:val="0"/>
              <w:spacing w:line="320" w:lineRule="exact"/>
              <w:jc w:val="both"/>
              <w:rPr>
                <w:rFonts w:ascii="標楷體" w:eastAsia="標楷體" w:hAnsi="標楷體"/>
                <w:szCs w:val="24"/>
              </w:rPr>
            </w:pPr>
          </w:p>
          <w:p w14:paraId="55779A28" w14:textId="77777777" w:rsidR="00626E6B" w:rsidRDefault="00626E6B" w:rsidP="00F470A8">
            <w:pPr>
              <w:overflowPunct w:val="0"/>
              <w:snapToGrid w:val="0"/>
              <w:spacing w:line="320" w:lineRule="exact"/>
              <w:jc w:val="both"/>
              <w:rPr>
                <w:rFonts w:ascii="標楷體" w:eastAsia="標楷體" w:hAnsi="標楷體"/>
                <w:szCs w:val="24"/>
              </w:rPr>
            </w:pPr>
          </w:p>
          <w:p w14:paraId="6861D9CE" w14:textId="77777777" w:rsidR="00626E6B" w:rsidRDefault="00626E6B" w:rsidP="00F470A8">
            <w:pPr>
              <w:overflowPunct w:val="0"/>
              <w:snapToGrid w:val="0"/>
              <w:spacing w:line="320" w:lineRule="exact"/>
              <w:jc w:val="both"/>
              <w:rPr>
                <w:rFonts w:ascii="標楷體" w:eastAsia="標楷體" w:hAnsi="標楷體"/>
                <w:szCs w:val="24"/>
              </w:rPr>
            </w:pPr>
          </w:p>
          <w:p w14:paraId="0CED958C" w14:textId="77777777" w:rsidR="00626E6B" w:rsidRDefault="00626E6B" w:rsidP="00F470A8">
            <w:pPr>
              <w:overflowPunct w:val="0"/>
              <w:snapToGrid w:val="0"/>
              <w:spacing w:line="320" w:lineRule="exact"/>
              <w:jc w:val="both"/>
              <w:rPr>
                <w:rFonts w:ascii="標楷體" w:eastAsia="標楷體" w:hAnsi="標楷體"/>
                <w:szCs w:val="24"/>
              </w:rPr>
            </w:pPr>
          </w:p>
          <w:p w14:paraId="118EC9F2" w14:textId="77777777" w:rsidR="00626E6B" w:rsidRDefault="00626E6B" w:rsidP="00F470A8">
            <w:pPr>
              <w:overflowPunct w:val="0"/>
              <w:snapToGrid w:val="0"/>
              <w:spacing w:line="320" w:lineRule="exact"/>
              <w:jc w:val="both"/>
              <w:rPr>
                <w:rFonts w:ascii="標楷體" w:eastAsia="標楷體" w:hAnsi="標楷體"/>
                <w:szCs w:val="24"/>
              </w:rPr>
            </w:pPr>
          </w:p>
          <w:p w14:paraId="2DE5F13A" w14:textId="77777777" w:rsidR="00626E6B" w:rsidRDefault="00626E6B" w:rsidP="00F470A8">
            <w:pPr>
              <w:overflowPunct w:val="0"/>
              <w:snapToGrid w:val="0"/>
              <w:spacing w:line="320" w:lineRule="exact"/>
              <w:jc w:val="both"/>
              <w:rPr>
                <w:rFonts w:ascii="標楷體" w:eastAsia="標楷體" w:hAnsi="標楷體"/>
                <w:szCs w:val="24"/>
              </w:rPr>
            </w:pPr>
          </w:p>
          <w:p w14:paraId="69640D44" w14:textId="77777777" w:rsidR="00626E6B" w:rsidRDefault="00626E6B" w:rsidP="00F470A8">
            <w:pPr>
              <w:overflowPunct w:val="0"/>
              <w:snapToGrid w:val="0"/>
              <w:spacing w:line="320" w:lineRule="exact"/>
              <w:jc w:val="both"/>
              <w:rPr>
                <w:rFonts w:ascii="標楷體" w:eastAsia="標楷體" w:hAnsi="標楷體"/>
                <w:szCs w:val="24"/>
              </w:rPr>
            </w:pPr>
          </w:p>
          <w:p w14:paraId="3E5DE9AE" w14:textId="77777777" w:rsidR="00626E6B" w:rsidRDefault="00626E6B" w:rsidP="00F470A8">
            <w:pPr>
              <w:overflowPunct w:val="0"/>
              <w:snapToGrid w:val="0"/>
              <w:spacing w:line="320" w:lineRule="exact"/>
              <w:jc w:val="both"/>
              <w:rPr>
                <w:rFonts w:ascii="標楷體" w:eastAsia="標楷體" w:hAnsi="標楷體"/>
                <w:szCs w:val="24"/>
              </w:rPr>
            </w:pPr>
          </w:p>
          <w:p w14:paraId="33DA9B58" w14:textId="77777777" w:rsidR="00626E6B" w:rsidRDefault="00626E6B" w:rsidP="00F470A8">
            <w:pPr>
              <w:overflowPunct w:val="0"/>
              <w:snapToGrid w:val="0"/>
              <w:spacing w:line="320" w:lineRule="exact"/>
              <w:jc w:val="both"/>
              <w:rPr>
                <w:rFonts w:ascii="標楷體" w:eastAsia="標楷體" w:hAnsi="標楷體"/>
                <w:szCs w:val="24"/>
              </w:rPr>
            </w:pPr>
          </w:p>
          <w:p w14:paraId="64863E5B" w14:textId="77777777" w:rsidR="00626E6B" w:rsidRDefault="00626E6B" w:rsidP="00F470A8">
            <w:pPr>
              <w:overflowPunct w:val="0"/>
              <w:snapToGrid w:val="0"/>
              <w:spacing w:line="320" w:lineRule="exact"/>
              <w:jc w:val="both"/>
              <w:rPr>
                <w:rFonts w:ascii="標楷體" w:eastAsia="標楷體" w:hAnsi="標楷體"/>
                <w:szCs w:val="24"/>
              </w:rPr>
            </w:pPr>
          </w:p>
          <w:p w14:paraId="0D131C87" w14:textId="77777777" w:rsidR="00626E6B" w:rsidRDefault="00626E6B" w:rsidP="00F470A8">
            <w:pPr>
              <w:overflowPunct w:val="0"/>
              <w:snapToGrid w:val="0"/>
              <w:spacing w:line="320" w:lineRule="exact"/>
              <w:jc w:val="both"/>
              <w:rPr>
                <w:rFonts w:ascii="標楷體" w:eastAsia="標楷體" w:hAnsi="標楷體"/>
                <w:szCs w:val="24"/>
              </w:rPr>
            </w:pPr>
          </w:p>
          <w:p w14:paraId="313A1700" w14:textId="77777777" w:rsidR="00626E6B" w:rsidRDefault="00626E6B" w:rsidP="00F470A8">
            <w:pPr>
              <w:overflowPunct w:val="0"/>
              <w:snapToGrid w:val="0"/>
              <w:spacing w:line="320" w:lineRule="exact"/>
              <w:jc w:val="both"/>
              <w:rPr>
                <w:rFonts w:ascii="標楷體" w:eastAsia="標楷體" w:hAnsi="標楷體"/>
                <w:szCs w:val="24"/>
              </w:rPr>
            </w:pPr>
          </w:p>
          <w:p w14:paraId="1C911812" w14:textId="77777777" w:rsidR="00626E6B" w:rsidRDefault="00626E6B" w:rsidP="00F470A8">
            <w:pPr>
              <w:overflowPunct w:val="0"/>
              <w:snapToGrid w:val="0"/>
              <w:spacing w:line="320" w:lineRule="exact"/>
              <w:jc w:val="both"/>
              <w:rPr>
                <w:rFonts w:ascii="標楷體" w:eastAsia="標楷體" w:hAnsi="標楷體"/>
                <w:szCs w:val="24"/>
              </w:rPr>
            </w:pPr>
          </w:p>
          <w:p w14:paraId="05551F71" w14:textId="77777777" w:rsidR="00626E6B" w:rsidRDefault="00626E6B" w:rsidP="00F470A8">
            <w:pPr>
              <w:overflowPunct w:val="0"/>
              <w:snapToGrid w:val="0"/>
              <w:spacing w:line="320" w:lineRule="exact"/>
              <w:jc w:val="both"/>
              <w:rPr>
                <w:rFonts w:ascii="標楷體" w:eastAsia="標楷體" w:hAnsi="標楷體"/>
                <w:szCs w:val="24"/>
              </w:rPr>
            </w:pPr>
          </w:p>
          <w:p w14:paraId="2DA3EEAB" w14:textId="77777777" w:rsidR="00626E6B" w:rsidRDefault="00626E6B" w:rsidP="00F470A8">
            <w:pPr>
              <w:overflowPunct w:val="0"/>
              <w:snapToGrid w:val="0"/>
              <w:spacing w:line="320" w:lineRule="exact"/>
              <w:jc w:val="both"/>
              <w:rPr>
                <w:rFonts w:ascii="標楷體" w:eastAsia="標楷體" w:hAnsi="標楷體"/>
                <w:szCs w:val="24"/>
              </w:rPr>
            </w:pPr>
          </w:p>
          <w:p w14:paraId="0507EDF1" w14:textId="77777777" w:rsidR="00626E6B" w:rsidRDefault="00626E6B" w:rsidP="00F470A8">
            <w:pPr>
              <w:overflowPunct w:val="0"/>
              <w:snapToGrid w:val="0"/>
              <w:spacing w:line="320" w:lineRule="exact"/>
              <w:jc w:val="both"/>
              <w:rPr>
                <w:rFonts w:ascii="標楷體" w:eastAsia="標楷體" w:hAnsi="標楷體"/>
                <w:szCs w:val="24"/>
              </w:rPr>
            </w:pPr>
          </w:p>
          <w:p w14:paraId="1C3FE589" w14:textId="77777777" w:rsidR="00626E6B" w:rsidRDefault="00626E6B" w:rsidP="00F470A8">
            <w:pPr>
              <w:overflowPunct w:val="0"/>
              <w:snapToGrid w:val="0"/>
              <w:spacing w:line="320" w:lineRule="exact"/>
              <w:jc w:val="both"/>
              <w:rPr>
                <w:rFonts w:ascii="標楷體" w:eastAsia="標楷體" w:hAnsi="標楷體"/>
                <w:szCs w:val="24"/>
              </w:rPr>
            </w:pPr>
          </w:p>
          <w:p w14:paraId="5A5567F9" w14:textId="77777777" w:rsidR="00626E6B" w:rsidRDefault="00626E6B" w:rsidP="00F470A8">
            <w:pPr>
              <w:overflowPunct w:val="0"/>
              <w:snapToGrid w:val="0"/>
              <w:spacing w:line="320" w:lineRule="exact"/>
              <w:jc w:val="both"/>
              <w:rPr>
                <w:rFonts w:ascii="標楷體" w:eastAsia="標楷體" w:hAnsi="標楷體"/>
                <w:szCs w:val="24"/>
              </w:rPr>
            </w:pPr>
          </w:p>
          <w:p w14:paraId="1982A5EF" w14:textId="77777777" w:rsidR="00626E6B" w:rsidRDefault="00626E6B" w:rsidP="00F470A8">
            <w:pPr>
              <w:overflowPunct w:val="0"/>
              <w:snapToGrid w:val="0"/>
              <w:spacing w:line="320" w:lineRule="exact"/>
              <w:jc w:val="both"/>
              <w:rPr>
                <w:rFonts w:ascii="標楷體" w:eastAsia="標楷體" w:hAnsi="標楷體"/>
                <w:szCs w:val="24"/>
              </w:rPr>
            </w:pPr>
          </w:p>
          <w:p w14:paraId="44247992" w14:textId="77777777" w:rsidR="00626E6B" w:rsidRDefault="00626E6B" w:rsidP="00F470A8">
            <w:pPr>
              <w:overflowPunct w:val="0"/>
              <w:snapToGrid w:val="0"/>
              <w:spacing w:line="320" w:lineRule="exact"/>
              <w:jc w:val="both"/>
              <w:rPr>
                <w:rFonts w:ascii="標楷體" w:eastAsia="標楷體" w:hAnsi="標楷體"/>
                <w:szCs w:val="24"/>
              </w:rPr>
            </w:pPr>
          </w:p>
          <w:p w14:paraId="4658B546" w14:textId="77777777" w:rsidR="00626E6B" w:rsidRDefault="00626E6B" w:rsidP="00F470A8">
            <w:pPr>
              <w:overflowPunct w:val="0"/>
              <w:snapToGrid w:val="0"/>
              <w:spacing w:line="320" w:lineRule="exact"/>
              <w:jc w:val="both"/>
              <w:rPr>
                <w:rFonts w:ascii="標楷體" w:eastAsia="標楷體" w:hAnsi="標楷體"/>
                <w:szCs w:val="24"/>
              </w:rPr>
            </w:pPr>
          </w:p>
          <w:p w14:paraId="542F1319" w14:textId="77777777" w:rsidR="00626E6B" w:rsidRDefault="00626E6B" w:rsidP="00F470A8">
            <w:pPr>
              <w:overflowPunct w:val="0"/>
              <w:snapToGrid w:val="0"/>
              <w:spacing w:line="320" w:lineRule="exact"/>
              <w:jc w:val="both"/>
              <w:rPr>
                <w:rFonts w:ascii="標楷體" w:eastAsia="標楷體" w:hAnsi="標楷體"/>
                <w:szCs w:val="24"/>
              </w:rPr>
            </w:pPr>
          </w:p>
          <w:p w14:paraId="2CFC89AA" w14:textId="77777777" w:rsidR="009A08AC" w:rsidRDefault="009A08AC" w:rsidP="00F470A8">
            <w:pPr>
              <w:overflowPunct w:val="0"/>
              <w:snapToGrid w:val="0"/>
              <w:spacing w:line="320" w:lineRule="exact"/>
              <w:jc w:val="both"/>
              <w:rPr>
                <w:rFonts w:ascii="標楷體" w:eastAsia="標楷體" w:hAnsi="標楷體"/>
                <w:szCs w:val="24"/>
              </w:rPr>
            </w:pPr>
          </w:p>
          <w:p w14:paraId="6F3A0197" w14:textId="77777777" w:rsidR="009A08AC" w:rsidRDefault="009A08AC" w:rsidP="00F470A8">
            <w:pPr>
              <w:overflowPunct w:val="0"/>
              <w:snapToGrid w:val="0"/>
              <w:spacing w:line="320" w:lineRule="exact"/>
              <w:jc w:val="both"/>
              <w:rPr>
                <w:rFonts w:ascii="標楷體" w:eastAsia="標楷體" w:hAnsi="標楷體"/>
                <w:szCs w:val="24"/>
              </w:rPr>
            </w:pPr>
          </w:p>
          <w:p w14:paraId="1F5BFEF6" w14:textId="77777777" w:rsidR="009A08AC" w:rsidRDefault="009A08AC" w:rsidP="00F470A8">
            <w:pPr>
              <w:overflowPunct w:val="0"/>
              <w:snapToGrid w:val="0"/>
              <w:spacing w:line="320" w:lineRule="exact"/>
              <w:jc w:val="both"/>
              <w:rPr>
                <w:rFonts w:ascii="標楷體" w:eastAsia="標楷體" w:hAnsi="標楷體"/>
                <w:szCs w:val="24"/>
              </w:rPr>
            </w:pPr>
          </w:p>
          <w:p w14:paraId="2750D5A5" w14:textId="77777777" w:rsidR="009A08AC" w:rsidRDefault="009A08AC" w:rsidP="00F470A8">
            <w:pPr>
              <w:overflowPunct w:val="0"/>
              <w:snapToGrid w:val="0"/>
              <w:spacing w:line="320" w:lineRule="exact"/>
              <w:jc w:val="both"/>
              <w:rPr>
                <w:rFonts w:ascii="標楷體" w:eastAsia="標楷體" w:hAnsi="標楷體"/>
                <w:szCs w:val="24"/>
              </w:rPr>
            </w:pPr>
          </w:p>
          <w:p w14:paraId="6320F035" w14:textId="77777777" w:rsidR="009A08AC" w:rsidRDefault="009A08AC" w:rsidP="00F470A8">
            <w:pPr>
              <w:overflowPunct w:val="0"/>
              <w:snapToGrid w:val="0"/>
              <w:spacing w:line="320" w:lineRule="exact"/>
              <w:jc w:val="both"/>
              <w:rPr>
                <w:rFonts w:ascii="標楷體" w:eastAsia="標楷體" w:hAnsi="標楷體"/>
                <w:szCs w:val="24"/>
              </w:rPr>
            </w:pPr>
          </w:p>
          <w:p w14:paraId="01AC1639" w14:textId="77777777" w:rsidR="009A08AC" w:rsidRDefault="009A08AC" w:rsidP="00F470A8">
            <w:pPr>
              <w:overflowPunct w:val="0"/>
              <w:snapToGrid w:val="0"/>
              <w:spacing w:line="320" w:lineRule="exact"/>
              <w:jc w:val="both"/>
              <w:rPr>
                <w:rFonts w:ascii="標楷體" w:eastAsia="標楷體" w:hAnsi="標楷體"/>
                <w:szCs w:val="24"/>
              </w:rPr>
            </w:pPr>
          </w:p>
          <w:p w14:paraId="41DD2A93" w14:textId="77777777" w:rsidR="009A08AC" w:rsidRDefault="009A08AC" w:rsidP="00F470A8">
            <w:pPr>
              <w:overflowPunct w:val="0"/>
              <w:snapToGrid w:val="0"/>
              <w:spacing w:line="320" w:lineRule="exact"/>
              <w:jc w:val="both"/>
              <w:rPr>
                <w:rFonts w:ascii="標楷體" w:eastAsia="標楷體" w:hAnsi="標楷體"/>
                <w:szCs w:val="24"/>
              </w:rPr>
            </w:pPr>
          </w:p>
          <w:p w14:paraId="5CB72723" w14:textId="77777777" w:rsidR="009A08AC" w:rsidRDefault="009A08AC" w:rsidP="00F470A8">
            <w:pPr>
              <w:overflowPunct w:val="0"/>
              <w:snapToGrid w:val="0"/>
              <w:spacing w:line="320" w:lineRule="exact"/>
              <w:jc w:val="both"/>
              <w:rPr>
                <w:rFonts w:ascii="標楷體" w:eastAsia="標楷體" w:hAnsi="標楷體"/>
                <w:szCs w:val="24"/>
              </w:rPr>
            </w:pPr>
          </w:p>
          <w:p w14:paraId="79656378" w14:textId="77777777" w:rsidR="009A08AC" w:rsidRDefault="009A08AC" w:rsidP="00F470A8">
            <w:pPr>
              <w:overflowPunct w:val="0"/>
              <w:snapToGrid w:val="0"/>
              <w:spacing w:line="320" w:lineRule="exact"/>
              <w:jc w:val="both"/>
              <w:rPr>
                <w:rFonts w:ascii="標楷體" w:eastAsia="標楷體" w:hAnsi="標楷體"/>
                <w:szCs w:val="24"/>
              </w:rPr>
            </w:pPr>
          </w:p>
          <w:p w14:paraId="41A5F92A" w14:textId="77777777" w:rsidR="009A08AC" w:rsidRDefault="009A08AC" w:rsidP="00F470A8">
            <w:pPr>
              <w:overflowPunct w:val="0"/>
              <w:snapToGrid w:val="0"/>
              <w:spacing w:line="320" w:lineRule="exact"/>
              <w:jc w:val="both"/>
              <w:rPr>
                <w:rFonts w:ascii="標楷體" w:eastAsia="標楷體" w:hAnsi="標楷體"/>
                <w:szCs w:val="24"/>
              </w:rPr>
            </w:pPr>
          </w:p>
          <w:p w14:paraId="1754A2CB" w14:textId="77777777" w:rsidR="009A08AC" w:rsidRDefault="009A08AC" w:rsidP="00F470A8">
            <w:pPr>
              <w:overflowPunct w:val="0"/>
              <w:snapToGrid w:val="0"/>
              <w:spacing w:line="320" w:lineRule="exact"/>
              <w:jc w:val="both"/>
              <w:rPr>
                <w:rFonts w:ascii="標楷體" w:eastAsia="標楷體" w:hAnsi="標楷體"/>
                <w:szCs w:val="24"/>
              </w:rPr>
            </w:pPr>
          </w:p>
          <w:p w14:paraId="24F5F3C1" w14:textId="77777777" w:rsidR="009A08AC" w:rsidRDefault="009A08AC" w:rsidP="00F470A8">
            <w:pPr>
              <w:overflowPunct w:val="0"/>
              <w:snapToGrid w:val="0"/>
              <w:spacing w:line="320" w:lineRule="exact"/>
              <w:jc w:val="both"/>
              <w:rPr>
                <w:rFonts w:ascii="標楷體" w:eastAsia="標楷體" w:hAnsi="標楷體"/>
                <w:szCs w:val="24"/>
              </w:rPr>
            </w:pPr>
          </w:p>
          <w:p w14:paraId="0A94FAD3" w14:textId="77777777" w:rsidR="009A08AC" w:rsidRDefault="009A08AC" w:rsidP="00F470A8">
            <w:pPr>
              <w:overflowPunct w:val="0"/>
              <w:snapToGrid w:val="0"/>
              <w:spacing w:line="320" w:lineRule="exact"/>
              <w:jc w:val="both"/>
              <w:rPr>
                <w:rFonts w:ascii="標楷體" w:eastAsia="標楷體" w:hAnsi="標楷體"/>
                <w:szCs w:val="24"/>
              </w:rPr>
            </w:pPr>
          </w:p>
          <w:p w14:paraId="10671D9D" w14:textId="77777777" w:rsidR="009A08AC" w:rsidRDefault="009A08AC" w:rsidP="00F470A8">
            <w:pPr>
              <w:overflowPunct w:val="0"/>
              <w:snapToGrid w:val="0"/>
              <w:spacing w:line="320" w:lineRule="exact"/>
              <w:jc w:val="both"/>
              <w:rPr>
                <w:rFonts w:ascii="標楷體" w:eastAsia="標楷體" w:hAnsi="標楷體"/>
                <w:szCs w:val="24"/>
              </w:rPr>
            </w:pPr>
          </w:p>
          <w:p w14:paraId="5EE7C2E9" w14:textId="77777777" w:rsidR="009A08AC" w:rsidRDefault="009A08AC" w:rsidP="00F470A8">
            <w:pPr>
              <w:overflowPunct w:val="0"/>
              <w:snapToGrid w:val="0"/>
              <w:spacing w:line="320" w:lineRule="exact"/>
              <w:jc w:val="both"/>
              <w:rPr>
                <w:rFonts w:ascii="標楷體" w:eastAsia="標楷體" w:hAnsi="標楷體"/>
                <w:szCs w:val="24"/>
              </w:rPr>
            </w:pPr>
          </w:p>
          <w:p w14:paraId="7C2D4B4B" w14:textId="77777777" w:rsidR="009A08AC" w:rsidRDefault="009A08AC" w:rsidP="00F470A8">
            <w:pPr>
              <w:overflowPunct w:val="0"/>
              <w:snapToGrid w:val="0"/>
              <w:spacing w:line="320" w:lineRule="exact"/>
              <w:jc w:val="both"/>
              <w:rPr>
                <w:rFonts w:ascii="標楷體" w:eastAsia="標楷體" w:hAnsi="標楷體"/>
                <w:szCs w:val="24"/>
              </w:rPr>
            </w:pPr>
          </w:p>
          <w:p w14:paraId="70AE769A" w14:textId="77777777" w:rsidR="009A08AC" w:rsidRDefault="009A08AC" w:rsidP="00F470A8">
            <w:pPr>
              <w:overflowPunct w:val="0"/>
              <w:snapToGrid w:val="0"/>
              <w:spacing w:line="320" w:lineRule="exact"/>
              <w:jc w:val="both"/>
              <w:rPr>
                <w:rFonts w:ascii="標楷體" w:eastAsia="標楷體" w:hAnsi="標楷體"/>
                <w:szCs w:val="24"/>
              </w:rPr>
            </w:pPr>
          </w:p>
          <w:p w14:paraId="7008E39C" w14:textId="77777777" w:rsidR="009A08AC" w:rsidRDefault="009A08AC" w:rsidP="00F470A8">
            <w:pPr>
              <w:overflowPunct w:val="0"/>
              <w:snapToGrid w:val="0"/>
              <w:spacing w:line="320" w:lineRule="exact"/>
              <w:jc w:val="both"/>
              <w:rPr>
                <w:rFonts w:ascii="標楷體" w:eastAsia="標楷體" w:hAnsi="標楷體"/>
                <w:szCs w:val="24"/>
              </w:rPr>
            </w:pPr>
          </w:p>
          <w:p w14:paraId="2010C6A5" w14:textId="77777777" w:rsidR="009A08AC" w:rsidRDefault="009A08AC" w:rsidP="00F470A8">
            <w:pPr>
              <w:overflowPunct w:val="0"/>
              <w:snapToGrid w:val="0"/>
              <w:spacing w:line="320" w:lineRule="exact"/>
              <w:jc w:val="both"/>
              <w:rPr>
                <w:rFonts w:ascii="標楷體" w:eastAsia="標楷體" w:hAnsi="標楷體"/>
                <w:szCs w:val="24"/>
              </w:rPr>
            </w:pPr>
          </w:p>
          <w:p w14:paraId="3EA15BDE" w14:textId="77777777" w:rsidR="009A08AC" w:rsidRDefault="009A08AC" w:rsidP="00F470A8">
            <w:pPr>
              <w:overflowPunct w:val="0"/>
              <w:snapToGrid w:val="0"/>
              <w:spacing w:line="320" w:lineRule="exact"/>
              <w:jc w:val="both"/>
              <w:rPr>
                <w:rFonts w:ascii="標楷體" w:eastAsia="標楷體" w:hAnsi="標楷體"/>
                <w:szCs w:val="24"/>
              </w:rPr>
            </w:pPr>
          </w:p>
          <w:p w14:paraId="4F4E28C4" w14:textId="77777777" w:rsidR="009A08AC" w:rsidRDefault="009A08AC" w:rsidP="00F470A8">
            <w:pPr>
              <w:overflowPunct w:val="0"/>
              <w:snapToGrid w:val="0"/>
              <w:spacing w:line="320" w:lineRule="exact"/>
              <w:jc w:val="both"/>
              <w:rPr>
                <w:rFonts w:ascii="標楷體" w:eastAsia="標楷體" w:hAnsi="標楷體"/>
                <w:szCs w:val="24"/>
              </w:rPr>
            </w:pPr>
          </w:p>
          <w:p w14:paraId="047ECE3C" w14:textId="77777777" w:rsidR="009A08AC" w:rsidRDefault="009A08AC" w:rsidP="00F470A8">
            <w:pPr>
              <w:overflowPunct w:val="0"/>
              <w:snapToGrid w:val="0"/>
              <w:spacing w:line="320" w:lineRule="exact"/>
              <w:jc w:val="both"/>
              <w:rPr>
                <w:rFonts w:ascii="標楷體" w:eastAsia="標楷體" w:hAnsi="標楷體"/>
                <w:szCs w:val="24"/>
              </w:rPr>
            </w:pPr>
          </w:p>
          <w:p w14:paraId="0FBA7DE9" w14:textId="77777777" w:rsidR="009A08AC" w:rsidRDefault="009A08AC" w:rsidP="00F470A8">
            <w:pPr>
              <w:overflowPunct w:val="0"/>
              <w:snapToGrid w:val="0"/>
              <w:spacing w:line="320" w:lineRule="exact"/>
              <w:jc w:val="both"/>
              <w:rPr>
                <w:rFonts w:ascii="標楷體" w:eastAsia="標楷體" w:hAnsi="標楷體"/>
                <w:szCs w:val="24"/>
              </w:rPr>
            </w:pPr>
          </w:p>
          <w:p w14:paraId="007D0A45" w14:textId="77777777" w:rsidR="009A08AC" w:rsidRDefault="009A08AC" w:rsidP="00F470A8">
            <w:pPr>
              <w:overflowPunct w:val="0"/>
              <w:snapToGrid w:val="0"/>
              <w:spacing w:line="320" w:lineRule="exact"/>
              <w:jc w:val="both"/>
              <w:rPr>
                <w:rFonts w:ascii="標楷體" w:eastAsia="標楷體" w:hAnsi="標楷體"/>
                <w:szCs w:val="24"/>
              </w:rPr>
            </w:pPr>
          </w:p>
          <w:p w14:paraId="57FFBC80" w14:textId="77777777" w:rsidR="009A08AC" w:rsidRDefault="009A08AC" w:rsidP="00F470A8">
            <w:pPr>
              <w:overflowPunct w:val="0"/>
              <w:snapToGrid w:val="0"/>
              <w:spacing w:line="320" w:lineRule="exact"/>
              <w:jc w:val="both"/>
              <w:rPr>
                <w:rFonts w:ascii="標楷體" w:eastAsia="標楷體" w:hAnsi="標楷體"/>
                <w:szCs w:val="24"/>
              </w:rPr>
            </w:pPr>
          </w:p>
          <w:p w14:paraId="08EF66A0" w14:textId="77777777" w:rsidR="009A08AC" w:rsidRDefault="009A08AC" w:rsidP="00F470A8">
            <w:pPr>
              <w:overflowPunct w:val="0"/>
              <w:snapToGrid w:val="0"/>
              <w:spacing w:line="320" w:lineRule="exact"/>
              <w:jc w:val="both"/>
              <w:rPr>
                <w:rFonts w:ascii="標楷體" w:eastAsia="標楷體" w:hAnsi="標楷體"/>
                <w:szCs w:val="24"/>
              </w:rPr>
            </w:pPr>
          </w:p>
          <w:p w14:paraId="6340CB2F" w14:textId="77777777" w:rsidR="00626E6B" w:rsidRDefault="00626E6B" w:rsidP="00F470A8">
            <w:pPr>
              <w:overflowPunct w:val="0"/>
              <w:snapToGrid w:val="0"/>
              <w:spacing w:line="320" w:lineRule="exact"/>
              <w:jc w:val="both"/>
              <w:rPr>
                <w:rFonts w:ascii="標楷體" w:eastAsia="標楷體" w:hAnsi="標楷體"/>
                <w:szCs w:val="24"/>
              </w:rPr>
            </w:pPr>
          </w:p>
          <w:p w14:paraId="47BFB9B8" w14:textId="77777777" w:rsidR="00626E6B" w:rsidRPr="00B401EE" w:rsidRDefault="00626E6B" w:rsidP="00F470A8">
            <w:pPr>
              <w:overflowPunct w:val="0"/>
              <w:snapToGrid w:val="0"/>
              <w:spacing w:line="320" w:lineRule="exact"/>
              <w:ind w:left="490" w:hangingChars="204" w:hanging="490"/>
              <w:jc w:val="both"/>
              <w:rPr>
                <w:rFonts w:ascii="標楷體" w:eastAsia="標楷體" w:hAnsi="標楷體"/>
                <w:szCs w:val="24"/>
              </w:rPr>
            </w:pPr>
            <w:r>
              <w:rPr>
                <w:rFonts w:ascii="標楷體" w:eastAsia="標楷體" w:hAnsi="標楷體" w:hint="eastAsia"/>
                <w:szCs w:val="24"/>
              </w:rPr>
              <w:t>五、</w:t>
            </w:r>
            <w:r w:rsidRPr="00D73A3D">
              <w:rPr>
                <w:rFonts w:ascii="標楷體" w:eastAsia="標楷體" w:hAnsi="標楷體" w:hint="eastAsia"/>
                <w:szCs w:val="24"/>
              </w:rPr>
              <w:t>照案通過，提報院會。</w:t>
            </w:r>
          </w:p>
        </w:tc>
        <w:tc>
          <w:tcPr>
            <w:tcW w:w="426" w:type="pct"/>
          </w:tcPr>
          <w:p w14:paraId="2144940C" w14:textId="77777777" w:rsidR="00626E6B" w:rsidRPr="00464A6F" w:rsidRDefault="0049187F"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lastRenderedPageBreak/>
              <w:t>5</w:t>
            </w:r>
            <w:r w:rsidRPr="0049187F">
              <w:rPr>
                <w:rFonts w:ascii="標楷體" w:eastAsia="標楷體" w:hAnsi="標楷體"/>
                <w:kern w:val="2"/>
                <w:szCs w:val="24"/>
              </w:rPr>
              <w:t>274</w:t>
            </w:r>
          </w:p>
        </w:tc>
      </w:tr>
      <w:tr w:rsidR="00ED1F44" w:rsidRPr="00464A6F" w14:paraId="0D745B42" w14:textId="77777777" w:rsidTr="00660947">
        <w:trPr>
          <w:trHeight w:val="38"/>
        </w:trPr>
        <w:tc>
          <w:tcPr>
            <w:tcW w:w="211" w:type="pct"/>
          </w:tcPr>
          <w:p w14:paraId="46976A2D" w14:textId="77777777" w:rsidR="00ED1F44" w:rsidRPr="00F500F7" w:rsidRDefault="00ED1F44" w:rsidP="00660947">
            <w:pPr>
              <w:overflowPunct w:val="0"/>
              <w:snapToGrid w:val="0"/>
              <w:spacing w:line="320" w:lineRule="exact"/>
              <w:jc w:val="center"/>
              <w:rPr>
                <w:rFonts w:ascii="標楷體" w:eastAsia="標楷體" w:hAnsi="標楷體"/>
                <w:bCs/>
                <w:color w:val="000000"/>
                <w:szCs w:val="24"/>
              </w:rPr>
            </w:pPr>
            <w:r>
              <w:rPr>
                <w:rFonts w:ascii="標楷體" w:eastAsia="標楷體" w:hAnsi="標楷體" w:hint="eastAsia"/>
                <w:bCs/>
                <w:color w:val="000000"/>
                <w:szCs w:val="24"/>
              </w:rPr>
              <w:lastRenderedPageBreak/>
              <w:t>12</w:t>
            </w:r>
          </w:p>
        </w:tc>
        <w:tc>
          <w:tcPr>
            <w:tcW w:w="725" w:type="pct"/>
          </w:tcPr>
          <w:p w14:paraId="39D1171E"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第6次全體委員會議</w:t>
            </w:r>
          </w:p>
        </w:tc>
        <w:tc>
          <w:tcPr>
            <w:tcW w:w="418" w:type="pct"/>
          </w:tcPr>
          <w:p w14:paraId="25709A6A"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陳玉珍</w:t>
            </w:r>
          </w:p>
        </w:tc>
        <w:tc>
          <w:tcPr>
            <w:tcW w:w="609" w:type="pct"/>
          </w:tcPr>
          <w:p w14:paraId="6BE0970B"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113.11.4</w:t>
            </w:r>
          </w:p>
          <w:p w14:paraId="220F663A"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p w14:paraId="43D181D5"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113.11.6</w:t>
            </w:r>
          </w:p>
          <w:p w14:paraId="576E9C26"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w:t>
            </w:r>
          </w:p>
        </w:tc>
        <w:tc>
          <w:tcPr>
            <w:tcW w:w="1419" w:type="pct"/>
          </w:tcPr>
          <w:p w14:paraId="49693A7E" w14:textId="77777777" w:rsidR="00ED1F44" w:rsidRPr="00ED1F44" w:rsidRDefault="00ED1F44" w:rsidP="003E17ED">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繼續審查「財政收支劃分法」22案：</w:t>
            </w:r>
          </w:p>
          <w:p w14:paraId="64F5C1B2"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一、本院台灣民眾黨黨團擬具「財政收支劃分法修正草案」案。</w:t>
            </w:r>
          </w:p>
          <w:p w14:paraId="4314C645"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二、本院國民黨黨團、委員羅明才等23人、委員林思銘等20人、委員許宇甄等16人、委員洪孟楷等22人、委員丁學忠等17人、委員羅廷瑋等19人分別擬具「財政收支劃分法部分條文修正草案」等7案。</w:t>
            </w:r>
          </w:p>
          <w:p w14:paraId="0F072188"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三、本院委員伍麗華</w:t>
            </w:r>
            <w:r w:rsidRPr="00ED1F44">
              <w:rPr>
                <w:rFonts w:ascii="標楷體" w:eastAsia="標楷體" w:hAnsi="標楷體" w:hint="eastAsia"/>
                <w:spacing w:val="-10"/>
                <w:kern w:val="2"/>
                <w:szCs w:val="24"/>
              </w:rPr>
              <w:t>Saidhai Tahovecahe</w:t>
            </w:r>
            <w:r w:rsidRPr="00ED1F44">
              <w:rPr>
                <w:rFonts w:ascii="標楷體" w:eastAsia="標楷體" w:hAnsi="標楷體" w:hint="eastAsia"/>
                <w:kern w:val="2"/>
                <w:szCs w:val="24"/>
              </w:rPr>
              <w:t>等17人擬具「財政收支劃分法第三條條文修正草案」案。</w:t>
            </w:r>
          </w:p>
          <w:p w14:paraId="1F9E176E"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四、本院委員陳玉珍等24人、委員鄭正鈐等21人分別擬具「財政收支劃分法第八條條文修正草案」等2案。</w:t>
            </w:r>
          </w:p>
          <w:p w14:paraId="0EF59335"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五、本院委員黃健豪等21人擬具「財政收支劃分法第八條及第十二條條文修正草案」案。</w:t>
            </w:r>
          </w:p>
          <w:p w14:paraId="7E1D0D3A"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六、本院委員王鴻薇等24人擬具「財政收支劃分法第八條、第十二條及第三十條條文修正草案」案。</w:t>
            </w:r>
          </w:p>
          <w:p w14:paraId="3B915405"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七、本院委員陳超明等17人、委員邱鎮軍等19</w:t>
            </w:r>
            <w:r w:rsidRPr="00ED1F44">
              <w:rPr>
                <w:rFonts w:ascii="標楷體" w:eastAsia="標楷體" w:hAnsi="標楷體" w:hint="eastAsia"/>
                <w:kern w:val="2"/>
                <w:szCs w:val="24"/>
              </w:rPr>
              <w:lastRenderedPageBreak/>
              <w:t>人分別擬具「財政收支劃分法第八條、第十二條及第十六條之一條文修正草案」等2案。</w:t>
            </w:r>
          </w:p>
          <w:p w14:paraId="515117A9"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八、本院委員賴瑞隆等16人、委員蔡易餘等16人分別擬具「財政收支劃分法第十六條之一條文修正草案」等2案。</w:t>
            </w:r>
          </w:p>
          <w:p w14:paraId="2F05920D"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九、本院委員賴士葆等29人擬具「財政收支劃分法第十六條之二、第三十七條之二及第三十八條之二條文修正草案」案。</w:t>
            </w:r>
          </w:p>
          <w:p w14:paraId="03C0C688"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十、本院委員賴士葆等22人擬具「財政收支劃分法第三十八條之一條文修正草案」案。</w:t>
            </w:r>
          </w:p>
          <w:p w14:paraId="158CFFAA" w14:textId="77777777" w:rsidR="00ED1F44" w:rsidRPr="00ED1F44" w:rsidRDefault="00ED1F44" w:rsidP="003E17ED">
            <w:pPr>
              <w:widowControl w:val="0"/>
              <w:overflowPunct w:val="0"/>
              <w:autoSpaceDN/>
              <w:snapToGrid w:val="0"/>
              <w:spacing w:line="320" w:lineRule="exact"/>
              <w:ind w:left="720" w:hangingChars="300" w:hanging="720"/>
              <w:jc w:val="both"/>
              <w:textAlignment w:val="auto"/>
              <w:rPr>
                <w:rFonts w:ascii="標楷體" w:eastAsia="標楷體" w:hAnsi="標楷體"/>
                <w:kern w:val="2"/>
                <w:szCs w:val="24"/>
              </w:rPr>
            </w:pPr>
            <w:r w:rsidRPr="00ED1F44">
              <w:rPr>
                <w:rFonts w:ascii="標楷體" w:eastAsia="標楷體" w:hAnsi="標楷體" w:hint="eastAsia"/>
                <w:kern w:val="2"/>
                <w:szCs w:val="24"/>
              </w:rPr>
              <w:t>十一、本院委員張嘉郡等27人擬具「財政收支劃分法第四條、第八條及第十二條條文修正草案」案。</w:t>
            </w:r>
          </w:p>
          <w:p w14:paraId="5D38CF55" w14:textId="77777777" w:rsidR="00ED1F44" w:rsidRPr="00ED1F44" w:rsidRDefault="00ED1F44" w:rsidP="003E17ED">
            <w:pPr>
              <w:widowControl w:val="0"/>
              <w:overflowPunct w:val="0"/>
              <w:autoSpaceDN/>
              <w:snapToGrid w:val="0"/>
              <w:spacing w:line="320" w:lineRule="exact"/>
              <w:ind w:left="720" w:hangingChars="300" w:hanging="720"/>
              <w:jc w:val="both"/>
              <w:textAlignment w:val="auto"/>
              <w:rPr>
                <w:rFonts w:ascii="標楷體" w:eastAsia="標楷體" w:hAnsi="標楷體"/>
                <w:kern w:val="2"/>
                <w:szCs w:val="24"/>
              </w:rPr>
            </w:pPr>
            <w:r w:rsidRPr="00ED1F44">
              <w:rPr>
                <w:rFonts w:ascii="標楷體" w:eastAsia="標楷體" w:hAnsi="標楷體" w:hint="eastAsia"/>
                <w:kern w:val="2"/>
                <w:szCs w:val="24"/>
              </w:rPr>
              <w:t>十二、本院委員楊瓊瓔等32人擬具「財政收支劃分法第八條及第三十七條條文修正草案」案。</w:t>
            </w:r>
          </w:p>
          <w:p w14:paraId="6776E105" w14:textId="77777777" w:rsidR="00ED1F44" w:rsidRPr="00ED1F44" w:rsidRDefault="00ED1F44" w:rsidP="003E17ED">
            <w:pPr>
              <w:widowControl w:val="0"/>
              <w:overflowPunct w:val="0"/>
              <w:autoSpaceDN/>
              <w:snapToGrid w:val="0"/>
              <w:spacing w:line="320" w:lineRule="exact"/>
              <w:ind w:left="720" w:hangingChars="300" w:hanging="720"/>
              <w:jc w:val="both"/>
              <w:textAlignment w:val="auto"/>
              <w:rPr>
                <w:rFonts w:ascii="標楷體" w:eastAsia="標楷體" w:hAnsi="標楷體"/>
                <w:kern w:val="2"/>
                <w:szCs w:val="24"/>
              </w:rPr>
            </w:pPr>
            <w:r w:rsidRPr="00ED1F44">
              <w:rPr>
                <w:rFonts w:ascii="標楷體" w:eastAsia="標楷體" w:hAnsi="標楷體" w:hint="eastAsia"/>
                <w:kern w:val="2"/>
                <w:szCs w:val="24"/>
              </w:rPr>
              <w:t>十三、本院委員鄭天財Sra Kacaw等18人擬具「財政收支劃分法增訂第三十條之一及第三十條之二條文草案」案。</w:t>
            </w:r>
          </w:p>
        </w:tc>
        <w:tc>
          <w:tcPr>
            <w:tcW w:w="1191" w:type="pct"/>
          </w:tcPr>
          <w:p w14:paraId="56A3614B"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lastRenderedPageBreak/>
              <w:t>國民黨黨團、委員</w:t>
            </w:r>
            <w:r w:rsidRPr="000201AE">
              <w:rPr>
                <w:rFonts w:ascii="標楷體" w:eastAsia="標楷體" w:hAnsi="標楷體" w:hint="eastAsia"/>
                <w:spacing w:val="-20"/>
                <w:kern w:val="2"/>
                <w:szCs w:val="24"/>
              </w:rPr>
              <w:t>伍麗華Saidhai Tahovecahe</w:t>
            </w:r>
            <w:r w:rsidRPr="00ED1F44">
              <w:rPr>
                <w:rFonts w:ascii="標楷體" w:eastAsia="標楷體" w:hAnsi="標楷體" w:hint="eastAsia"/>
                <w:kern w:val="2"/>
                <w:szCs w:val="24"/>
              </w:rPr>
              <w:t>等17人、委員賴瑞隆等16人、委員蔡易餘等16人分別擬具財政收支劃分法修正草案4案，併案審查完竣，送院會協商。</w:t>
            </w:r>
          </w:p>
        </w:tc>
        <w:tc>
          <w:tcPr>
            <w:tcW w:w="426" w:type="pct"/>
          </w:tcPr>
          <w:p w14:paraId="54D86A56" w14:textId="77777777" w:rsidR="00ED1F44" w:rsidRPr="00464A6F" w:rsidRDefault="0049187F"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276</w:t>
            </w:r>
          </w:p>
        </w:tc>
      </w:tr>
      <w:tr w:rsidR="00ED1F44" w:rsidRPr="00464A6F" w14:paraId="3D7BB9BE" w14:textId="77777777" w:rsidTr="00660947">
        <w:trPr>
          <w:trHeight w:val="38"/>
        </w:trPr>
        <w:tc>
          <w:tcPr>
            <w:tcW w:w="211" w:type="pct"/>
          </w:tcPr>
          <w:p w14:paraId="43DDA9AD" w14:textId="77777777" w:rsidR="00ED1F44" w:rsidRPr="00F500F7" w:rsidRDefault="00ED1F44" w:rsidP="00660947">
            <w:pPr>
              <w:overflowPunct w:val="0"/>
              <w:snapToGrid w:val="0"/>
              <w:spacing w:line="320" w:lineRule="exact"/>
              <w:jc w:val="center"/>
              <w:rPr>
                <w:rFonts w:ascii="標楷體" w:eastAsia="標楷體" w:hAnsi="標楷體"/>
                <w:bCs/>
                <w:color w:val="000000"/>
                <w:szCs w:val="24"/>
              </w:rPr>
            </w:pPr>
            <w:r>
              <w:rPr>
                <w:rFonts w:ascii="標楷體" w:eastAsia="標楷體" w:hAnsi="標楷體" w:hint="eastAsia"/>
                <w:bCs/>
                <w:color w:val="000000"/>
                <w:szCs w:val="24"/>
              </w:rPr>
              <w:t>13</w:t>
            </w:r>
          </w:p>
        </w:tc>
        <w:tc>
          <w:tcPr>
            <w:tcW w:w="725" w:type="pct"/>
          </w:tcPr>
          <w:p w14:paraId="29C31C41"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第7次全體委員會議</w:t>
            </w:r>
          </w:p>
        </w:tc>
        <w:tc>
          <w:tcPr>
            <w:tcW w:w="418" w:type="pct"/>
          </w:tcPr>
          <w:p w14:paraId="3D1FAB40"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02F99497"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113.11.11</w:t>
            </w:r>
          </w:p>
          <w:p w14:paraId="3BC60C45"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tc>
        <w:tc>
          <w:tcPr>
            <w:tcW w:w="1419" w:type="pct"/>
          </w:tcPr>
          <w:p w14:paraId="37D17B60"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一、邀請行政院主計總處陳主計長淑姿、審計部陳審計長瑞敏率所屬單位主管列席業務報告，並備質詢。</w:t>
            </w:r>
          </w:p>
          <w:p w14:paraId="7A76E737"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二、審查中華民國114年度中央政府總預算案</w:t>
            </w:r>
            <w:r w:rsidRPr="00ED1F44">
              <w:rPr>
                <w:rFonts w:ascii="標楷體" w:eastAsia="標楷體" w:hAnsi="標楷體" w:hint="eastAsia"/>
                <w:kern w:val="2"/>
                <w:szCs w:val="24"/>
              </w:rPr>
              <w:lastRenderedPageBreak/>
              <w:t>有關主計總處暨審計部、審計部臺北市審計處、審計部新北市審計處、審計部桃園市審計處、審計部臺中市審計處、審計部臺南市審計處、審計部高雄市審計處部分。（僅詢答）</w:t>
            </w:r>
          </w:p>
          <w:p w14:paraId="3E9124EA"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三、審查中華民國114年度中央政府總預算案有關直轄市及縣市政府。調整軍公教人員待遇準備。災害準備金。第二預備金。（僅詢答）</w:t>
            </w:r>
          </w:p>
        </w:tc>
        <w:tc>
          <w:tcPr>
            <w:tcW w:w="1191" w:type="pct"/>
          </w:tcPr>
          <w:p w14:paraId="6141E944"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lastRenderedPageBreak/>
              <w:t>散會時間已屆，散會。</w:t>
            </w:r>
          </w:p>
        </w:tc>
        <w:tc>
          <w:tcPr>
            <w:tcW w:w="426" w:type="pct"/>
          </w:tcPr>
          <w:p w14:paraId="389EC1C0" w14:textId="77777777" w:rsidR="00ED1F44" w:rsidRPr="00464A6F" w:rsidRDefault="0049187F"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279</w:t>
            </w:r>
          </w:p>
        </w:tc>
      </w:tr>
      <w:tr w:rsidR="00ED1F44" w:rsidRPr="00464A6F" w14:paraId="59A51903" w14:textId="77777777" w:rsidTr="00660947">
        <w:trPr>
          <w:trHeight w:val="38"/>
        </w:trPr>
        <w:tc>
          <w:tcPr>
            <w:tcW w:w="211" w:type="pct"/>
            <w:vMerge w:val="restart"/>
          </w:tcPr>
          <w:p w14:paraId="4E918371" w14:textId="77777777" w:rsidR="00ED1F44" w:rsidRPr="00F500F7" w:rsidRDefault="00ED1F44" w:rsidP="00660947">
            <w:pPr>
              <w:overflowPunct w:val="0"/>
              <w:snapToGrid w:val="0"/>
              <w:spacing w:line="320" w:lineRule="exact"/>
              <w:jc w:val="center"/>
              <w:rPr>
                <w:rFonts w:ascii="標楷體" w:eastAsia="標楷體" w:hAnsi="標楷體"/>
                <w:bCs/>
                <w:color w:val="000000"/>
                <w:szCs w:val="24"/>
              </w:rPr>
            </w:pPr>
            <w:r>
              <w:rPr>
                <w:rFonts w:ascii="標楷體" w:eastAsia="標楷體" w:hAnsi="標楷體" w:hint="eastAsia"/>
                <w:bCs/>
                <w:color w:val="000000"/>
                <w:szCs w:val="24"/>
              </w:rPr>
              <w:t>14</w:t>
            </w:r>
          </w:p>
        </w:tc>
        <w:tc>
          <w:tcPr>
            <w:tcW w:w="725" w:type="pct"/>
            <w:vMerge w:val="restart"/>
          </w:tcPr>
          <w:p w14:paraId="3F6C6296"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第8次全體委員會議</w:t>
            </w:r>
          </w:p>
        </w:tc>
        <w:tc>
          <w:tcPr>
            <w:tcW w:w="418" w:type="pct"/>
            <w:vMerge w:val="restart"/>
          </w:tcPr>
          <w:p w14:paraId="3C0EFAD8"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25BA0EF5"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11</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13</w:t>
            </w:r>
          </w:p>
          <w:p w14:paraId="6DDC825A"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w:t>
            </w:r>
          </w:p>
        </w:tc>
        <w:tc>
          <w:tcPr>
            <w:tcW w:w="1419" w:type="pct"/>
          </w:tcPr>
          <w:p w14:paraId="3F819D1F"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一、審查「貨物稅條例」11案：</w:t>
            </w:r>
          </w:p>
          <w:p w14:paraId="6A7593CA"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(一)行政院函請審議、本院台灣民眾黨黨團、委員張智倫等17人、委員賴士葆等26人、委員蔡其昌等18人、委員伍麗華</w:t>
            </w:r>
            <w:r w:rsidRPr="000201AE">
              <w:rPr>
                <w:rFonts w:ascii="標楷體" w:eastAsia="標楷體" w:hAnsi="標楷體" w:hint="eastAsia"/>
                <w:spacing w:val="-20"/>
                <w:kern w:val="2"/>
                <w:szCs w:val="24"/>
              </w:rPr>
              <w:t>Saidhai Tahovecahe</w:t>
            </w:r>
            <w:r w:rsidRPr="00ED1F44">
              <w:rPr>
                <w:rFonts w:ascii="標楷體" w:eastAsia="標楷體" w:hAnsi="標楷體" w:hint="eastAsia"/>
                <w:kern w:val="2"/>
                <w:szCs w:val="24"/>
              </w:rPr>
              <w:t>等19人、委員陳冠廷等23人、委員陳菁徽等16人、委員賴惠員等18人分別擬具「貨物稅條例第十二條條文修正草案」等9案。</w:t>
            </w:r>
          </w:p>
          <w:p w14:paraId="3BB38AF1"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(二)本院委員顏寬恒等16人擬具「貨物稅條例第十二條及第十二條之三條文修正草案」案。</w:t>
            </w:r>
          </w:p>
          <w:p w14:paraId="71E6223B"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(三)本院委員郭國文等16人擬具「貨物稅條例第十二條及第十二條之六條文修正草案」案。</w:t>
            </w:r>
          </w:p>
          <w:p w14:paraId="24BC13BE"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二、審查中華民國114年度中央政府總預算案有關財政部及所屬單位歲入預算部分。</w:t>
            </w:r>
            <w:r w:rsidRPr="00ED1F44">
              <w:rPr>
                <w:rFonts w:ascii="標楷體" w:eastAsia="標楷體" w:hAnsi="標楷體" w:hint="eastAsia"/>
                <w:kern w:val="2"/>
                <w:szCs w:val="24"/>
              </w:rPr>
              <w:lastRenderedPageBreak/>
              <w:t>（僅詢答）</w:t>
            </w:r>
          </w:p>
          <w:p w14:paraId="5E4E1F7C"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三、審查中華民國114年度中央政府總預算案有關財政部、國庫署、財政資訊中心歲出預算部分。（僅詢答）</w:t>
            </w:r>
          </w:p>
          <w:p w14:paraId="761AD27A"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四、審查中華民國114年度中央政府總預算案附屬單位預算非營業部分有關財政部主管債務基金－中央政府債務基金。（僅詢答）</w:t>
            </w:r>
          </w:p>
        </w:tc>
        <w:tc>
          <w:tcPr>
            <w:tcW w:w="1191" w:type="pct"/>
          </w:tcPr>
          <w:p w14:paraId="7E098AE0"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lastRenderedPageBreak/>
              <w:t>一、併案審查完竣，提報院會。</w:t>
            </w:r>
          </w:p>
          <w:p w14:paraId="4F21BD9E"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C74352E"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1291D4B"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155C28D"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215823F"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E32A1B8"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7731332"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4B428AE"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E894194"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42A57E3E"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1E8E232"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E3A718E"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32322CF"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5FB5150"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56B5C68"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2C4BC4D"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078AA7D"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031796A"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50BC906"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02BCC24"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B433633"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C833A69"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164BFF6"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12516D7"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二、三及四說明及詢答完畢，另擇期繼續審查。</w:t>
            </w:r>
          </w:p>
        </w:tc>
        <w:tc>
          <w:tcPr>
            <w:tcW w:w="426" w:type="pct"/>
          </w:tcPr>
          <w:p w14:paraId="06E9DAC0" w14:textId="77777777" w:rsidR="00ED1F44" w:rsidRPr="0049187F" w:rsidRDefault="0049187F"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282</w:t>
            </w:r>
          </w:p>
          <w:p w14:paraId="5479A468" w14:textId="77777777" w:rsidR="0049187F" w:rsidRPr="00464A6F" w:rsidRDefault="0049187F"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第2冊</w:t>
            </w:r>
          </w:p>
        </w:tc>
      </w:tr>
      <w:tr w:rsidR="00ED1F44" w:rsidRPr="00464A6F" w14:paraId="327ED96E" w14:textId="77777777" w:rsidTr="00660947">
        <w:trPr>
          <w:trHeight w:val="38"/>
        </w:trPr>
        <w:tc>
          <w:tcPr>
            <w:tcW w:w="211" w:type="pct"/>
            <w:vMerge/>
          </w:tcPr>
          <w:p w14:paraId="2DBD678D" w14:textId="77777777" w:rsidR="00ED1F44" w:rsidRPr="00F500F7" w:rsidRDefault="00ED1F44" w:rsidP="00660947">
            <w:pPr>
              <w:overflowPunct w:val="0"/>
              <w:snapToGrid w:val="0"/>
              <w:spacing w:line="320" w:lineRule="exact"/>
              <w:jc w:val="center"/>
              <w:rPr>
                <w:rFonts w:ascii="標楷體" w:eastAsia="標楷體" w:hAnsi="標楷體"/>
                <w:bCs/>
                <w:color w:val="000000"/>
                <w:szCs w:val="24"/>
              </w:rPr>
            </w:pPr>
          </w:p>
        </w:tc>
        <w:tc>
          <w:tcPr>
            <w:tcW w:w="725" w:type="pct"/>
            <w:vMerge/>
          </w:tcPr>
          <w:p w14:paraId="563A4F6F" w14:textId="77777777" w:rsidR="00ED1F44" w:rsidRPr="00F500F7" w:rsidRDefault="00ED1F44" w:rsidP="00F470A8">
            <w:pPr>
              <w:overflowPunct w:val="0"/>
              <w:snapToGrid w:val="0"/>
              <w:spacing w:line="320" w:lineRule="exact"/>
              <w:jc w:val="both"/>
              <w:rPr>
                <w:rFonts w:ascii="標楷體" w:eastAsia="標楷體" w:hAnsi="標楷體"/>
                <w:color w:val="000000"/>
                <w:szCs w:val="24"/>
              </w:rPr>
            </w:pPr>
          </w:p>
        </w:tc>
        <w:tc>
          <w:tcPr>
            <w:tcW w:w="418" w:type="pct"/>
            <w:vMerge/>
          </w:tcPr>
          <w:p w14:paraId="16062C8B" w14:textId="77777777" w:rsidR="00ED1F44" w:rsidRPr="00267955" w:rsidRDefault="00ED1F44" w:rsidP="00F470A8">
            <w:pPr>
              <w:overflowPunct w:val="0"/>
              <w:snapToGrid w:val="0"/>
              <w:spacing w:line="320" w:lineRule="exact"/>
              <w:jc w:val="both"/>
              <w:rPr>
                <w:rFonts w:ascii="標楷體" w:eastAsia="標楷體" w:hAnsi="標楷體"/>
                <w:szCs w:val="24"/>
              </w:rPr>
            </w:pPr>
          </w:p>
        </w:tc>
        <w:tc>
          <w:tcPr>
            <w:tcW w:w="609" w:type="pct"/>
          </w:tcPr>
          <w:p w14:paraId="05E79476"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11</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14</w:t>
            </w:r>
          </w:p>
          <w:p w14:paraId="20371CAE"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(四)</w:t>
            </w:r>
          </w:p>
        </w:tc>
        <w:tc>
          <w:tcPr>
            <w:tcW w:w="1419" w:type="pct"/>
          </w:tcPr>
          <w:p w14:paraId="7D540052"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一、邀請中央銀行楊總裁金龍、財政部莊部長翠雲、金融監督管理委員會彭主任委員金隆就「美國新任總統的貿易政策對台灣經濟與金融穩定之可能影響與對策」進行專題報告，並備質詢。</w:t>
            </w:r>
          </w:p>
          <w:p w14:paraId="1A9D4413"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二、審查中華民國114年度中央政府總預算案：</w:t>
            </w:r>
          </w:p>
          <w:p w14:paraId="1E49512A"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 xml:space="preserve">    行政院歲入預算有關中央銀行股息紅利繳庫部分。（僅詢答）</w:t>
            </w:r>
          </w:p>
          <w:p w14:paraId="7DBB7DF0" w14:textId="77777777" w:rsidR="00ED1F44" w:rsidRPr="00ED1F44" w:rsidRDefault="00ED1F44"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三、審查中華民國114年度中央政府總預算案附屬單位預算營業部分關於中央銀行（含中央造幣廠、中央印製廠）。（僅詢答）</w:t>
            </w:r>
          </w:p>
        </w:tc>
        <w:tc>
          <w:tcPr>
            <w:tcW w:w="1191" w:type="pct"/>
          </w:tcPr>
          <w:p w14:paraId="1CDB5D8C" w14:textId="77777777" w:rsidR="00ED1F44" w:rsidRPr="00ED1F44" w:rsidRDefault="00ED1F44" w:rsidP="00660947">
            <w:pPr>
              <w:widowControl w:val="0"/>
              <w:overflowPunct w:val="0"/>
              <w:autoSpaceDN/>
              <w:snapToGrid w:val="0"/>
              <w:spacing w:line="320" w:lineRule="exact"/>
              <w:ind w:left="540" w:hangingChars="225" w:hanging="540"/>
              <w:jc w:val="both"/>
              <w:textAlignment w:val="auto"/>
              <w:rPr>
                <w:rFonts w:ascii="標楷體" w:eastAsia="標楷體" w:hAnsi="標楷體"/>
                <w:kern w:val="2"/>
                <w:szCs w:val="24"/>
              </w:rPr>
            </w:pPr>
            <w:r w:rsidRPr="00ED1F44">
              <w:rPr>
                <w:rFonts w:ascii="標楷體" w:eastAsia="標楷體" w:hAnsi="標楷體" w:hint="eastAsia"/>
                <w:kern w:val="2"/>
                <w:szCs w:val="24"/>
              </w:rPr>
              <w:t>一、報告及詢答完畢。</w:t>
            </w:r>
          </w:p>
          <w:p w14:paraId="26A072FE"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4683769"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D22BFBD"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9229499"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EAB6A60"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11CD8F0" w14:textId="77777777" w:rsid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ABB56E3" w14:textId="77777777" w:rsidR="00ED1F44" w:rsidRPr="00ED1F44" w:rsidRDefault="00ED1F44"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0012B4B"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二及三說明及詢答完畢，另擇期繼續審查。</w:t>
            </w:r>
          </w:p>
        </w:tc>
        <w:tc>
          <w:tcPr>
            <w:tcW w:w="426" w:type="pct"/>
          </w:tcPr>
          <w:p w14:paraId="47E69438" w14:textId="77777777" w:rsidR="00F421DE" w:rsidRPr="0049187F" w:rsidRDefault="00F421DE"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282</w:t>
            </w:r>
          </w:p>
          <w:p w14:paraId="73D0F61E" w14:textId="77777777" w:rsidR="00ED1F44" w:rsidRPr="00464A6F" w:rsidRDefault="00F421D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第2冊</w:t>
            </w:r>
          </w:p>
        </w:tc>
      </w:tr>
      <w:tr w:rsidR="00ED1F44" w:rsidRPr="00464A6F" w14:paraId="0F80C1FA" w14:textId="77777777" w:rsidTr="00660947">
        <w:trPr>
          <w:trHeight w:val="38"/>
        </w:trPr>
        <w:tc>
          <w:tcPr>
            <w:tcW w:w="211" w:type="pct"/>
          </w:tcPr>
          <w:p w14:paraId="4768269B" w14:textId="77777777" w:rsidR="00ED1F44" w:rsidRPr="00A97FCE" w:rsidRDefault="00ED1F44"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15</w:t>
            </w:r>
          </w:p>
        </w:tc>
        <w:tc>
          <w:tcPr>
            <w:tcW w:w="725" w:type="pct"/>
          </w:tcPr>
          <w:p w14:paraId="019DD364"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第9次全體委員會議</w:t>
            </w:r>
          </w:p>
        </w:tc>
        <w:tc>
          <w:tcPr>
            <w:tcW w:w="418" w:type="pct"/>
          </w:tcPr>
          <w:p w14:paraId="1EC356F5"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陳玉珍</w:t>
            </w:r>
          </w:p>
        </w:tc>
        <w:tc>
          <w:tcPr>
            <w:tcW w:w="609" w:type="pct"/>
          </w:tcPr>
          <w:p w14:paraId="46EBAE40"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113.11.18</w:t>
            </w:r>
          </w:p>
          <w:p w14:paraId="5A88A9E6" w14:textId="77777777" w:rsidR="00ED1F44" w:rsidRPr="00ED1F44" w:rsidRDefault="00ED1F44"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tc>
        <w:tc>
          <w:tcPr>
            <w:tcW w:w="1419" w:type="pct"/>
          </w:tcPr>
          <w:p w14:paraId="47EABA37"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color w:val="000000"/>
                <w:kern w:val="2"/>
                <w:szCs w:val="24"/>
              </w:rPr>
              <w:t>審查</w:t>
            </w:r>
            <w:r w:rsidRPr="00ED1F44">
              <w:rPr>
                <w:rFonts w:ascii="標楷體" w:eastAsia="標楷體" w:hAnsi="標楷體" w:hint="eastAsia"/>
                <w:kern w:val="2"/>
                <w:szCs w:val="24"/>
              </w:rPr>
              <w:t>中華民國114年度中央政府總預算案有關財政部賦稅署、臺北國稅局、高雄國稅局、北區國稅局及所屬、中區國稅局及所屬、南區國稅局及所屬、關務署及所屬、國有財產署及所屬歲出預算部分暨融資財源調度。（僅詢答）</w:t>
            </w:r>
          </w:p>
        </w:tc>
        <w:tc>
          <w:tcPr>
            <w:tcW w:w="1191" w:type="pct"/>
          </w:tcPr>
          <w:p w14:paraId="12F6ABC5" w14:textId="77777777" w:rsidR="00ED1F44" w:rsidRPr="00ED1F44" w:rsidRDefault="00ED1F44"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說明及詢答完畢，另擇期繼續審查。</w:t>
            </w:r>
          </w:p>
        </w:tc>
        <w:tc>
          <w:tcPr>
            <w:tcW w:w="426" w:type="pct"/>
          </w:tcPr>
          <w:p w14:paraId="1C286B9A" w14:textId="77777777" w:rsidR="00F421DE" w:rsidRPr="0049187F" w:rsidRDefault="00F421DE"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28</w:t>
            </w:r>
            <w:r>
              <w:rPr>
                <w:rFonts w:ascii="標楷體" w:eastAsia="標楷體" w:hAnsi="標楷體" w:hint="eastAsia"/>
                <w:kern w:val="2"/>
                <w:szCs w:val="24"/>
              </w:rPr>
              <w:t>3</w:t>
            </w:r>
          </w:p>
          <w:p w14:paraId="55B4ADEA" w14:textId="77777777" w:rsidR="00ED1F44" w:rsidRPr="00464A6F" w:rsidRDefault="00F421D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w:t>
            </w:r>
            <w:r>
              <w:rPr>
                <w:rFonts w:ascii="標楷體" w:eastAsia="標楷體" w:hAnsi="標楷體" w:hint="eastAsia"/>
                <w:kern w:val="2"/>
                <w:szCs w:val="24"/>
              </w:rPr>
              <w:t>1</w:t>
            </w:r>
            <w:r w:rsidRPr="0049187F">
              <w:rPr>
                <w:rFonts w:ascii="標楷體" w:eastAsia="標楷體" w:hAnsi="標楷體" w:hint="eastAsia"/>
                <w:kern w:val="2"/>
                <w:szCs w:val="24"/>
              </w:rPr>
              <w:t>冊</w:t>
            </w:r>
          </w:p>
        </w:tc>
      </w:tr>
      <w:tr w:rsidR="00B06C91" w:rsidRPr="00464A6F" w14:paraId="0585CE52" w14:textId="77777777" w:rsidTr="00660947">
        <w:trPr>
          <w:trHeight w:val="38"/>
        </w:trPr>
        <w:tc>
          <w:tcPr>
            <w:tcW w:w="211" w:type="pct"/>
          </w:tcPr>
          <w:p w14:paraId="599E50BC" w14:textId="77777777" w:rsidR="00B06C91" w:rsidRPr="00A97FCE" w:rsidRDefault="00B06C91"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lastRenderedPageBreak/>
              <w:t>16</w:t>
            </w:r>
          </w:p>
        </w:tc>
        <w:tc>
          <w:tcPr>
            <w:tcW w:w="725" w:type="pct"/>
          </w:tcPr>
          <w:p w14:paraId="298C2FFD" w14:textId="77777777" w:rsidR="00B06C91" w:rsidRPr="00ED1F44" w:rsidRDefault="00B06C91"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財政、內政、經濟、教育及文化、交通、社會福利及衛生環境委員會第1次聯席會議</w:t>
            </w:r>
          </w:p>
        </w:tc>
        <w:tc>
          <w:tcPr>
            <w:tcW w:w="418" w:type="pct"/>
          </w:tcPr>
          <w:p w14:paraId="0219C1C6" w14:textId="77777777" w:rsidR="00B06C91" w:rsidRPr="00ED1F44" w:rsidRDefault="00B06C91"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陳玉珍</w:t>
            </w:r>
          </w:p>
        </w:tc>
        <w:tc>
          <w:tcPr>
            <w:tcW w:w="609" w:type="pct"/>
          </w:tcPr>
          <w:p w14:paraId="312B79A2" w14:textId="77777777" w:rsidR="00B06C91" w:rsidRPr="00ED1F44" w:rsidRDefault="00B06C91"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11</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20</w:t>
            </w:r>
          </w:p>
          <w:p w14:paraId="6BE6183D" w14:textId="77777777" w:rsidR="00B06C91" w:rsidRPr="00ED1F44" w:rsidRDefault="00B06C91"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w:t>
            </w:r>
          </w:p>
        </w:tc>
        <w:tc>
          <w:tcPr>
            <w:tcW w:w="1419" w:type="pct"/>
          </w:tcPr>
          <w:p w14:paraId="753CCB93" w14:textId="77777777" w:rsidR="00B06C91" w:rsidRPr="00ED1F44" w:rsidRDefault="00B06C91"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一、邀請相關部會首長就「中央政府前瞻基礎建設計畫第4期特別預算執行情形及成效」進行專題報告，並備質詢。</w:t>
            </w:r>
          </w:p>
          <w:p w14:paraId="385ACA80" w14:textId="77777777" w:rsidR="00B06C91" w:rsidRPr="00ED1F44" w:rsidRDefault="00B06C91"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二、審查行政院函請審議「中央政府前瞻基礎建設計畫第5期特別預算案(114年度)」（僅詢答）。</w:t>
            </w:r>
          </w:p>
        </w:tc>
        <w:tc>
          <w:tcPr>
            <w:tcW w:w="1191" w:type="pct"/>
          </w:tcPr>
          <w:p w14:paraId="0E177355" w14:textId="77777777" w:rsidR="00B06C91" w:rsidRPr="00ED1F44" w:rsidRDefault="00B06C91"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t>一、報告及詢答完畢。</w:t>
            </w:r>
          </w:p>
          <w:p w14:paraId="34B04DC2" w14:textId="77777777" w:rsidR="00B06C91" w:rsidRPr="00ED1F44" w:rsidRDefault="00B06C91"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AA3E90F" w14:textId="77777777" w:rsidR="00B06C91" w:rsidRPr="00ED1F44" w:rsidRDefault="00B06C91"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D30DFA2" w14:textId="77777777" w:rsidR="00B06C91" w:rsidRPr="00ED1F44" w:rsidRDefault="00B06C91"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47001501" w14:textId="77777777" w:rsidR="00B06C91" w:rsidRPr="00ED1F44" w:rsidRDefault="00B06C91"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t>二、說明及詢答完畢，另擇期繼續審查。</w:t>
            </w:r>
          </w:p>
        </w:tc>
        <w:tc>
          <w:tcPr>
            <w:tcW w:w="426" w:type="pct"/>
          </w:tcPr>
          <w:p w14:paraId="6932A851" w14:textId="77777777" w:rsidR="00F421DE" w:rsidRPr="0049187F" w:rsidRDefault="00F421DE"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28</w:t>
            </w:r>
            <w:r>
              <w:rPr>
                <w:rFonts w:ascii="標楷體" w:eastAsia="標楷體" w:hAnsi="標楷體" w:hint="eastAsia"/>
                <w:kern w:val="2"/>
                <w:szCs w:val="24"/>
              </w:rPr>
              <w:t>5</w:t>
            </w:r>
          </w:p>
          <w:p w14:paraId="57702D47" w14:textId="77777777" w:rsidR="00B06C91" w:rsidRPr="00464A6F" w:rsidRDefault="00F421D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w:t>
            </w:r>
            <w:r>
              <w:rPr>
                <w:rFonts w:ascii="標楷體" w:eastAsia="標楷體" w:hAnsi="標楷體" w:hint="eastAsia"/>
                <w:kern w:val="2"/>
                <w:szCs w:val="24"/>
              </w:rPr>
              <w:t>1</w:t>
            </w:r>
            <w:r w:rsidRPr="0049187F">
              <w:rPr>
                <w:rFonts w:ascii="標楷體" w:eastAsia="標楷體" w:hAnsi="標楷體" w:hint="eastAsia"/>
                <w:kern w:val="2"/>
                <w:szCs w:val="24"/>
              </w:rPr>
              <w:t>冊</w:t>
            </w:r>
          </w:p>
        </w:tc>
      </w:tr>
      <w:tr w:rsidR="00A13909" w:rsidRPr="00464A6F" w14:paraId="363429A2" w14:textId="77777777" w:rsidTr="00660947">
        <w:trPr>
          <w:trHeight w:val="38"/>
        </w:trPr>
        <w:tc>
          <w:tcPr>
            <w:tcW w:w="211" w:type="pct"/>
            <w:vMerge w:val="restart"/>
          </w:tcPr>
          <w:p w14:paraId="7948C4E0" w14:textId="77777777" w:rsidR="00A13909" w:rsidRPr="00A97FCE" w:rsidRDefault="00A13909"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17</w:t>
            </w:r>
          </w:p>
        </w:tc>
        <w:tc>
          <w:tcPr>
            <w:tcW w:w="725" w:type="pct"/>
            <w:vMerge w:val="restart"/>
          </w:tcPr>
          <w:p w14:paraId="77B5C234" w14:textId="77777777" w:rsidR="00A13909" w:rsidRPr="00ED1F44" w:rsidRDefault="00A13909"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第10次全體委員會議</w:t>
            </w:r>
          </w:p>
        </w:tc>
        <w:tc>
          <w:tcPr>
            <w:tcW w:w="418" w:type="pct"/>
            <w:vMerge w:val="restart"/>
          </w:tcPr>
          <w:p w14:paraId="12E83669" w14:textId="77777777" w:rsidR="00A13909" w:rsidRPr="00ED1F44" w:rsidRDefault="00A13909"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717C14D0" w14:textId="77777777" w:rsidR="00A13909" w:rsidRPr="00ED1F44" w:rsidRDefault="00A13909"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113.11.25</w:t>
            </w:r>
          </w:p>
          <w:p w14:paraId="40375205" w14:textId="77777777" w:rsidR="00A13909" w:rsidRPr="00ED1F44" w:rsidRDefault="00A13909"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tc>
        <w:tc>
          <w:tcPr>
            <w:tcW w:w="1419" w:type="pct"/>
          </w:tcPr>
          <w:p w14:paraId="2552575F"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一、繼續審查中華民國114年度中央政府總預算案有關財政部及所屬單位歲入預算部分。（處理）</w:t>
            </w:r>
          </w:p>
          <w:p w14:paraId="62EE8AE9"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二、繼續審查中華民國114年度中央政府總預算案有關財政部、國庫署、財政資訊中心歲出預算部分。（處理）</w:t>
            </w:r>
          </w:p>
          <w:p w14:paraId="7453FDB5"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三、繼續審查中華民國114年度中央政府總預算案附屬單位預算非營業部分有關財政部主管債務基金－中央政府債務基金。（處理）</w:t>
            </w:r>
          </w:p>
          <w:p w14:paraId="55390CA0"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四、繼續審查中華民國114年度中央政府總預算案：</w:t>
            </w:r>
          </w:p>
          <w:p w14:paraId="08A64A58"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 xml:space="preserve">    行政院歲入預算有關中央銀行股息紅利繳庫部分。（處理）</w:t>
            </w:r>
          </w:p>
          <w:p w14:paraId="6E7EBAE1"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五、繼續審查中華民國114年度中央政府總預算案附屬單位預算營業部分關於中央銀行（含中央造幣廠、中央印製廠）。（處理）</w:t>
            </w:r>
          </w:p>
        </w:tc>
        <w:tc>
          <w:tcPr>
            <w:tcW w:w="1191" w:type="pct"/>
          </w:tcPr>
          <w:p w14:paraId="0ED42A53" w14:textId="77777777" w:rsidR="00A13909" w:rsidRPr="00ED1F44" w:rsidRDefault="00A13909"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t>各案均審查完竣。</w:t>
            </w:r>
          </w:p>
        </w:tc>
        <w:tc>
          <w:tcPr>
            <w:tcW w:w="426" w:type="pct"/>
          </w:tcPr>
          <w:p w14:paraId="7C686ADF" w14:textId="77777777" w:rsidR="00A13909" w:rsidRPr="0049187F" w:rsidRDefault="00A13909"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28</w:t>
            </w:r>
            <w:r>
              <w:rPr>
                <w:rFonts w:ascii="標楷體" w:eastAsia="標楷體" w:hAnsi="標楷體" w:hint="eastAsia"/>
                <w:kern w:val="2"/>
                <w:szCs w:val="24"/>
              </w:rPr>
              <w:t>9</w:t>
            </w:r>
          </w:p>
          <w:p w14:paraId="4CD8DA1B" w14:textId="77777777" w:rsidR="00A13909" w:rsidRPr="00464A6F" w:rsidRDefault="00A13909"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w:t>
            </w:r>
            <w:r>
              <w:rPr>
                <w:rFonts w:ascii="標楷體" w:eastAsia="標楷體" w:hAnsi="標楷體" w:hint="eastAsia"/>
                <w:kern w:val="2"/>
                <w:szCs w:val="24"/>
              </w:rPr>
              <w:t>1</w:t>
            </w:r>
            <w:r w:rsidRPr="0049187F">
              <w:rPr>
                <w:rFonts w:ascii="標楷體" w:eastAsia="標楷體" w:hAnsi="標楷體" w:hint="eastAsia"/>
                <w:kern w:val="2"/>
                <w:szCs w:val="24"/>
              </w:rPr>
              <w:t>冊</w:t>
            </w:r>
          </w:p>
        </w:tc>
      </w:tr>
      <w:tr w:rsidR="00A13909" w:rsidRPr="00464A6F" w14:paraId="6509FED4" w14:textId="77777777" w:rsidTr="00660947">
        <w:trPr>
          <w:trHeight w:val="38"/>
        </w:trPr>
        <w:tc>
          <w:tcPr>
            <w:tcW w:w="211" w:type="pct"/>
            <w:vMerge/>
          </w:tcPr>
          <w:p w14:paraId="0A2DEDF1" w14:textId="77777777" w:rsidR="00A13909" w:rsidRDefault="00A13909" w:rsidP="00660947">
            <w:pPr>
              <w:overflowPunct w:val="0"/>
              <w:snapToGrid w:val="0"/>
              <w:spacing w:line="320" w:lineRule="exact"/>
              <w:jc w:val="center"/>
              <w:rPr>
                <w:rFonts w:ascii="標楷體" w:eastAsia="標楷體" w:hAnsi="標楷體"/>
                <w:bCs/>
                <w:szCs w:val="24"/>
              </w:rPr>
            </w:pPr>
          </w:p>
        </w:tc>
        <w:tc>
          <w:tcPr>
            <w:tcW w:w="725" w:type="pct"/>
            <w:vMerge/>
          </w:tcPr>
          <w:p w14:paraId="1F0DF1F9" w14:textId="77777777" w:rsidR="00A13909" w:rsidRPr="00102E1A" w:rsidRDefault="00A13909" w:rsidP="00F470A8">
            <w:pPr>
              <w:overflowPunct w:val="0"/>
              <w:snapToGrid w:val="0"/>
              <w:spacing w:line="320" w:lineRule="exact"/>
              <w:jc w:val="both"/>
              <w:rPr>
                <w:rFonts w:ascii="標楷體" w:eastAsia="標楷體" w:hAnsi="標楷體"/>
                <w:szCs w:val="24"/>
              </w:rPr>
            </w:pPr>
          </w:p>
        </w:tc>
        <w:tc>
          <w:tcPr>
            <w:tcW w:w="418" w:type="pct"/>
            <w:vMerge/>
          </w:tcPr>
          <w:p w14:paraId="75089281" w14:textId="77777777" w:rsidR="00A13909" w:rsidRPr="00267955" w:rsidRDefault="00A13909" w:rsidP="00F470A8">
            <w:pPr>
              <w:overflowPunct w:val="0"/>
              <w:snapToGrid w:val="0"/>
              <w:spacing w:line="320" w:lineRule="exact"/>
              <w:jc w:val="both"/>
              <w:rPr>
                <w:rFonts w:ascii="標楷體" w:eastAsia="標楷體" w:hAnsi="標楷體"/>
                <w:szCs w:val="24"/>
              </w:rPr>
            </w:pPr>
          </w:p>
        </w:tc>
        <w:tc>
          <w:tcPr>
            <w:tcW w:w="609" w:type="pct"/>
          </w:tcPr>
          <w:p w14:paraId="64E94FC7" w14:textId="77777777" w:rsidR="00A13909" w:rsidRPr="00ED1F44" w:rsidRDefault="00A13909"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11</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28</w:t>
            </w:r>
          </w:p>
          <w:p w14:paraId="65A67B4E" w14:textId="77777777" w:rsidR="00A13909" w:rsidRPr="00ED1F44" w:rsidRDefault="00A13909"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(四)</w:t>
            </w:r>
          </w:p>
        </w:tc>
        <w:tc>
          <w:tcPr>
            <w:tcW w:w="1419" w:type="pct"/>
          </w:tcPr>
          <w:p w14:paraId="3ED53C66"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一、邀請行政院主計總處陳主計長淑姿、審計部陳審計長瑞敏率所</w:t>
            </w:r>
            <w:r w:rsidRPr="00ED1F44">
              <w:rPr>
                <w:rFonts w:ascii="標楷體" w:eastAsia="標楷體" w:hAnsi="標楷體" w:hint="eastAsia"/>
                <w:kern w:val="2"/>
                <w:szCs w:val="24"/>
              </w:rPr>
              <w:lastRenderedPageBreak/>
              <w:t>屬單位主管列席業務報告，並備質詢。</w:t>
            </w:r>
          </w:p>
          <w:p w14:paraId="157ADF76"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二、審查中華民國114年度中央政府總預算案有關主計總處暨審計部、審計部臺北市審計處、審計部新北市審計處、審計部桃園市審計處、審計部臺中市審計處、審計部臺南市審計處、審計部高雄市審計處部分。（詢答及處理）</w:t>
            </w:r>
          </w:p>
          <w:p w14:paraId="25DB7382" w14:textId="77777777" w:rsidR="00A13909" w:rsidRPr="00ED1F44" w:rsidRDefault="00A13909" w:rsidP="00F470A8">
            <w:pPr>
              <w:widowControl w:val="0"/>
              <w:overflowPunct w:val="0"/>
              <w:autoSpaceDN/>
              <w:snapToGrid w:val="0"/>
              <w:spacing w:line="320" w:lineRule="exact"/>
              <w:ind w:left="480" w:hangingChars="200" w:hanging="480"/>
              <w:jc w:val="both"/>
              <w:textAlignment w:val="auto"/>
              <w:rPr>
                <w:rFonts w:ascii="標楷體" w:eastAsia="標楷體" w:hAnsi="標楷體"/>
                <w:kern w:val="2"/>
                <w:szCs w:val="24"/>
              </w:rPr>
            </w:pPr>
            <w:r w:rsidRPr="00ED1F44">
              <w:rPr>
                <w:rFonts w:ascii="標楷體" w:eastAsia="標楷體" w:hAnsi="標楷體" w:hint="eastAsia"/>
                <w:kern w:val="2"/>
                <w:szCs w:val="24"/>
              </w:rPr>
              <w:t>三、審查中華民國114年度中央政府總預算案有關直轄市及縣市政府。調整軍公教人員待遇準備。災害準備金。第二預備金。（詢答及處理）</w:t>
            </w:r>
          </w:p>
        </w:tc>
        <w:tc>
          <w:tcPr>
            <w:tcW w:w="1191" w:type="pct"/>
          </w:tcPr>
          <w:p w14:paraId="6EEAFA32" w14:textId="77777777" w:rsidR="00A13909" w:rsidRPr="00ED1F44" w:rsidRDefault="00A13909" w:rsidP="00F470A8">
            <w:pPr>
              <w:widowControl w:val="0"/>
              <w:overflowPunct w:val="0"/>
              <w:autoSpaceDN/>
              <w:snapToGrid w:val="0"/>
              <w:spacing w:line="320" w:lineRule="exact"/>
              <w:ind w:left="600" w:hangingChars="250" w:hanging="600"/>
              <w:jc w:val="both"/>
              <w:textAlignment w:val="auto"/>
              <w:rPr>
                <w:rFonts w:ascii="標楷體" w:eastAsia="標楷體" w:hAnsi="標楷體"/>
                <w:kern w:val="2"/>
                <w:szCs w:val="24"/>
              </w:rPr>
            </w:pPr>
            <w:r w:rsidRPr="00ED1F44">
              <w:rPr>
                <w:rFonts w:ascii="標楷體" w:eastAsia="標楷體" w:hAnsi="標楷體" w:hint="eastAsia"/>
                <w:kern w:val="2"/>
                <w:szCs w:val="24"/>
              </w:rPr>
              <w:lastRenderedPageBreak/>
              <w:t>一、報告及詢答完畢。</w:t>
            </w:r>
          </w:p>
          <w:p w14:paraId="478D444E" w14:textId="77777777" w:rsidR="00A13909" w:rsidRPr="00ED1F44" w:rsidRDefault="00A13909"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1822CCB" w14:textId="77777777" w:rsidR="00A13909" w:rsidRPr="00ED1F44" w:rsidRDefault="00A13909"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16D65D4" w14:textId="77777777" w:rsidR="00740992" w:rsidRDefault="00740992"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49FD3406" w14:textId="22CB0437" w:rsidR="00A13909" w:rsidRPr="00ED1F44" w:rsidRDefault="00A13909"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t>二及三審查完竣。</w:t>
            </w:r>
          </w:p>
        </w:tc>
        <w:tc>
          <w:tcPr>
            <w:tcW w:w="426" w:type="pct"/>
          </w:tcPr>
          <w:p w14:paraId="11C1A093" w14:textId="77777777" w:rsidR="00A13909" w:rsidRPr="0049187F" w:rsidRDefault="00A13909"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lastRenderedPageBreak/>
              <w:t>5</w:t>
            </w:r>
            <w:r w:rsidRPr="0049187F">
              <w:rPr>
                <w:rFonts w:ascii="標楷體" w:eastAsia="標楷體" w:hAnsi="標楷體"/>
                <w:kern w:val="2"/>
                <w:szCs w:val="24"/>
              </w:rPr>
              <w:t>28</w:t>
            </w:r>
            <w:r>
              <w:rPr>
                <w:rFonts w:ascii="標楷體" w:eastAsia="標楷體" w:hAnsi="標楷體" w:hint="eastAsia"/>
                <w:kern w:val="2"/>
                <w:szCs w:val="24"/>
              </w:rPr>
              <w:t>9</w:t>
            </w:r>
          </w:p>
          <w:p w14:paraId="4C39EB70" w14:textId="77777777" w:rsidR="00A13909" w:rsidRPr="00464A6F" w:rsidRDefault="00A13909"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第2冊</w:t>
            </w:r>
          </w:p>
        </w:tc>
      </w:tr>
      <w:tr w:rsidR="00B50030" w:rsidRPr="00464A6F" w14:paraId="33208BFD" w14:textId="77777777" w:rsidTr="00660947">
        <w:trPr>
          <w:trHeight w:val="38"/>
        </w:trPr>
        <w:tc>
          <w:tcPr>
            <w:tcW w:w="211" w:type="pct"/>
          </w:tcPr>
          <w:p w14:paraId="4B81EE5F" w14:textId="77777777" w:rsidR="00B50030" w:rsidRDefault="00B50030"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18</w:t>
            </w:r>
          </w:p>
        </w:tc>
        <w:tc>
          <w:tcPr>
            <w:tcW w:w="725" w:type="pct"/>
          </w:tcPr>
          <w:p w14:paraId="52A286CE"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財政、經濟委員會第1次聯席會議</w:t>
            </w:r>
          </w:p>
        </w:tc>
        <w:tc>
          <w:tcPr>
            <w:tcW w:w="418" w:type="pct"/>
          </w:tcPr>
          <w:p w14:paraId="401A73F0"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51DE95A1"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11</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27</w:t>
            </w:r>
          </w:p>
          <w:p w14:paraId="631F1A5A"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w:t>
            </w:r>
          </w:p>
        </w:tc>
        <w:tc>
          <w:tcPr>
            <w:tcW w:w="1419" w:type="pct"/>
          </w:tcPr>
          <w:p w14:paraId="3B42D8DF"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color w:val="000000"/>
                <w:kern w:val="2"/>
                <w:szCs w:val="24"/>
              </w:rPr>
              <w:t>審查</w:t>
            </w:r>
            <w:r w:rsidRPr="00ED1F44">
              <w:rPr>
                <w:rFonts w:ascii="標楷體" w:eastAsia="標楷體" w:hAnsi="標楷體" w:hint="eastAsia"/>
                <w:kern w:val="2"/>
                <w:szCs w:val="24"/>
              </w:rPr>
              <w:t>中華民國113年度中央政府總預算追加預算案。（詢答及處理）</w:t>
            </w:r>
          </w:p>
        </w:tc>
        <w:tc>
          <w:tcPr>
            <w:tcW w:w="1191" w:type="pct"/>
          </w:tcPr>
          <w:p w14:paraId="0E86A540"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審查完竣，送院會協商。</w:t>
            </w:r>
          </w:p>
        </w:tc>
        <w:tc>
          <w:tcPr>
            <w:tcW w:w="426" w:type="pct"/>
          </w:tcPr>
          <w:p w14:paraId="5E7E519A" w14:textId="77777777" w:rsidR="00F421DE" w:rsidRPr="0049187F" w:rsidRDefault="00F421DE"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28</w:t>
            </w:r>
            <w:r>
              <w:rPr>
                <w:rFonts w:ascii="標楷體" w:eastAsia="標楷體" w:hAnsi="標楷體" w:hint="eastAsia"/>
                <w:kern w:val="2"/>
                <w:szCs w:val="24"/>
              </w:rPr>
              <w:t>9</w:t>
            </w:r>
          </w:p>
          <w:p w14:paraId="2F0D7A7B" w14:textId="77777777" w:rsidR="00B50030" w:rsidRPr="00464A6F" w:rsidRDefault="00F421D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w:t>
            </w:r>
            <w:r>
              <w:rPr>
                <w:rFonts w:ascii="標楷體" w:eastAsia="標楷體" w:hAnsi="標楷體" w:hint="eastAsia"/>
                <w:kern w:val="2"/>
                <w:szCs w:val="24"/>
              </w:rPr>
              <w:t>1</w:t>
            </w:r>
            <w:r w:rsidRPr="0049187F">
              <w:rPr>
                <w:rFonts w:ascii="標楷體" w:eastAsia="標楷體" w:hAnsi="標楷體" w:hint="eastAsia"/>
                <w:kern w:val="2"/>
                <w:szCs w:val="24"/>
              </w:rPr>
              <w:t>冊</w:t>
            </w:r>
          </w:p>
        </w:tc>
      </w:tr>
      <w:tr w:rsidR="00B50030" w:rsidRPr="00464A6F" w14:paraId="051CA028" w14:textId="77777777" w:rsidTr="00660947">
        <w:trPr>
          <w:trHeight w:val="38"/>
        </w:trPr>
        <w:tc>
          <w:tcPr>
            <w:tcW w:w="211" w:type="pct"/>
          </w:tcPr>
          <w:p w14:paraId="02A73172" w14:textId="77777777" w:rsidR="00B50030" w:rsidRDefault="00B50030"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19</w:t>
            </w:r>
          </w:p>
        </w:tc>
        <w:tc>
          <w:tcPr>
            <w:tcW w:w="725" w:type="pct"/>
          </w:tcPr>
          <w:p w14:paraId="63208F4B"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考察</w:t>
            </w:r>
          </w:p>
        </w:tc>
        <w:tc>
          <w:tcPr>
            <w:tcW w:w="418" w:type="pct"/>
          </w:tcPr>
          <w:p w14:paraId="732628E1"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陳玉珍</w:t>
            </w:r>
          </w:p>
        </w:tc>
        <w:tc>
          <w:tcPr>
            <w:tcW w:w="609" w:type="pct"/>
          </w:tcPr>
          <w:p w14:paraId="19FB4184"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113.12.4</w:t>
            </w:r>
          </w:p>
          <w:p w14:paraId="570D2F81"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(三)至12.5(四)</w:t>
            </w:r>
          </w:p>
        </w:tc>
        <w:tc>
          <w:tcPr>
            <w:tcW w:w="1419" w:type="pct"/>
          </w:tcPr>
          <w:p w14:paraId="2FE45DCD"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考察金門地區財政部所屬暨銀行業務及交通建設預算執行情形。</w:t>
            </w:r>
          </w:p>
        </w:tc>
        <w:tc>
          <w:tcPr>
            <w:tcW w:w="1191" w:type="pct"/>
          </w:tcPr>
          <w:p w14:paraId="66EF5790" w14:textId="77777777" w:rsidR="00B50030" w:rsidRPr="002D38CB" w:rsidRDefault="00B50030" w:rsidP="00F470A8">
            <w:pPr>
              <w:overflowPunct w:val="0"/>
              <w:snapToGrid w:val="0"/>
              <w:spacing w:line="320" w:lineRule="exact"/>
              <w:jc w:val="both"/>
              <w:rPr>
                <w:rFonts w:ascii="標楷體" w:eastAsia="標楷體" w:hAnsi="標楷體"/>
                <w:szCs w:val="24"/>
              </w:rPr>
            </w:pPr>
          </w:p>
        </w:tc>
        <w:tc>
          <w:tcPr>
            <w:tcW w:w="426" w:type="pct"/>
          </w:tcPr>
          <w:p w14:paraId="06FF2434" w14:textId="77777777" w:rsidR="00B50030" w:rsidRPr="00464A6F" w:rsidRDefault="00B50030"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B50030" w:rsidRPr="00464A6F" w14:paraId="56C4FDF0" w14:textId="77777777" w:rsidTr="00660947">
        <w:trPr>
          <w:trHeight w:val="38"/>
        </w:trPr>
        <w:tc>
          <w:tcPr>
            <w:tcW w:w="211" w:type="pct"/>
          </w:tcPr>
          <w:p w14:paraId="3638DA06" w14:textId="77777777" w:rsidR="00B50030" w:rsidRDefault="00B50030"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20</w:t>
            </w:r>
          </w:p>
        </w:tc>
        <w:tc>
          <w:tcPr>
            <w:tcW w:w="725" w:type="pct"/>
          </w:tcPr>
          <w:p w14:paraId="3E10FA90"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考察</w:t>
            </w:r>
          </w:p>
        </w:tc>
        <w:tc>
          <w:tcPr>
            <w:tcW w:w="418" w:type="pct"/>
          </w:tcPr>
          <w:p w14:paraId="2C692CBF"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59E66B55"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12</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9</w:t>
            </w:r>
          </w:p>
          <w:p w14:paraId="77B094CF"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tc>
        <w:tc>
          <w:tcPr>
            <w:tcW w:w="1419" w:type="pct"/>
          </w:tcPr>
          <w:p w14:paraId="4C49CFD8"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考察新北市相關交通建設預算執行情形。</w:t>
            </w:r>
          </w:p>
        </w:tc>
        <w:tc>
          <w:tcPr>
            <w:tcW w:w="1191" w:type="pct"/>
          </w:tcPr>
          <w:p w14:paraId="46B77B0B" w14:textId="77777777" w:rsidR="00B50030" w:rsidRPr="002D38CB" w:rsidRDefault="00B50030" w:rsidP="00F470A8">
            <w:pPr>
              <w:overflowPunct w:val="0"/>
              <w:snapToGrid w:val="0"/>
              <w:spacing w:line="320" w:lineRule="exact"/>
              <w:jc w:val="both"/>
              <w:rPr>
                <w:rFonts w:ascii="標楷體" w:eastAsia="標楷體" w:hAnsi="標楷體"/>
                <w:szCs w:val="24"/>
              </w:rPr>
            </w:pPr>
          </w:p>
        </w:tc>
        <w:tc>
          <w:tcPr>
            <w:tcW w:w="426" w:type="pct"/>
          </w:tcPr>
          <w:p w14:paraId="07F82C37" w14:textId="77777777" w:rsidR="00B50030" w:rsidRPr="00464A6F" w:rsidRDefault="00B50030"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B50030" w:rsidRPr="00464A6F" w14:paraId="31673C2D" w14:textId="77777777" w:rsidTr="00660947">
        <w:trPr>
          <w:trHeight w:val="38"/>
        </w:trPr>
        <w:tc>
          <w:tcPr>
            <w:tcW w:w="211" w:type="pct"/>
          </w:tcPr>
          <w:p w14:paraId="5E4ED6B9" w14:textId="77777777" w:rsidR="00B50030" w:rsidRDefault="00B50030"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21</w:t>
            </w:r>
          </w:p>
        </w:tc>
        <w:tc>
          <w:tcPr>
            <w:tcW w:w="725" w:type="pct"/>
          </w:tcPr>
          <w:p w14:paraId="11905EB0"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財政、內政、經濟、教育及文化、交通、社會福利及衛生環境委員會第2次聯席會議</w:t>
            </w:r>
          </w:p>
        </w:tc>
        <w:tc>
          <w:tcPr>
            <w:tcW w:w="418" w:type="pct"/>
          </w:tcPr>
          <w:p w14:paraId="6A8D337E"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陳玉珍</w:t>
            </w:r>
          </w:p>
        </w:tc>
        <w:tc>
          <w:tcPr>
            <w:tcW w:w="609" w:type="pct"/>
          </w:tcPr>
          <w:p w14:paraId="45FD5365"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12</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16</w:t>
            </w:r>
          </w:p>
          <w:p w14:paraId="227535BD"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tc>
        <w:tc>
          <w:tcPr>
            <w:tcW w:w="1419" w:type="pct"/>
          </w:tcPr>
          <w:p w14:paraId="059B6AA8"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kern w:val="2"/>
                <w:szCs w:val="24"/>
              </w:rPr>
              <w:t>繼續審查行政院函請審議「中央政府前瞻基礎建設計畫第5期特別預算案(114年度)」（處理）。</w:t>
            </w:r>
          </w:p>
        </w:tc>
        <w:tc>
          <w:tcPr>
            <w:tcW w:w="1191" w:type="pct"/>
          </w:tcPr>
          <w:p w14:paraId="36575E16"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審查完竣，送院會協商。</w:t>
            </w:r>
          </w:p>
        </w:tc>
        <w:tc>
          <w:tcPr>
            <w:tcW w:w="426" w:type="pct"/>
          </w:tcPr>
          <w:p w14:paraId="50C14E87" w14:textId="77777777" w:rsidR="00F421DE" w:rsidRPr="0049187F" w:rsidRDefault="00F421DE" w:rsidP="00F470A8">
            <w:pPr>
              <w:widowControl w:val="0"/>
              <w:overflowPunct w:val="0"/>
              <w:autoSpaceDN/>
              <w:snapToGrid w:val="0"/>
              <w:spacing w:line="320" w:lineRule="exact"/>
              <w:jc w:val="center"/>
              <w:textAlignment w:val="auto"/>
              <w:rPr>
                <w:rFonts w:ascii="標楷體" w:eastAsia="標楷體" w:hAnsi="標楷體"/>
                <w:kern w:val="2"/>
                <w:szCs w:val="24"/>
              </w:rPr>
            </w:pPr>
            <w:r w:rsidRPr="0049187F">
              <w:rPr>
                <w:rFonts w:ascii="標楷體" w:eastAsia="標楷體" w:hAnsi="標楷體" w:hint="eastAsia"/>
                <w:kern w:val="2"/>
                <w:szCs w:val="24"/>
              </w:rPr>
              <w:t>5</w:t>
            </w:r>
            <w:r w:rsidRPr="0049187F">
              <w:rPr>
                <w:rFonts w:ascii="標楷體" w:eastAsia="標楷體" w:hAnsi="標楷體"/>
                <w:kern w:val="2"/>
                <w:szCs w:val="24"/>
              </w:rPr>
              <w:t>2</w:t>
            </w:r>
            <w:r>
              <w:rPr>
                <w:rFonts w:ascii="標楷體" w:eastAsia="標楷體" w:hAnsi="標楷體" w:hint="eastAsia"/>
                <w:kern w:val="2"/>
                <w:szCs w:val="24"/>
              </w:rPr>
              <w:t>99</w:t>
            </w:r>
          </w:p>
          <w:p w14:paraId="22EE7766" w14:textId="77777777" w:rsidR="00B50030" w:rsidRPr="00464A6F" w:rsidRDefault="00F421D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187F">
              <w:rPr>
                <w:rFonts w:ascii="標楷體" w:eastAsia="標楷體" w:hAnsi="標楷體" w:hint="eastAsia"/>
                <w:kern w:val="2"/>
                <w:szCs w:val="24"/>
              </w:rPr>
              <w:t>第</w:t>
            </w:r>
            <w:r>
              <w:rPr>
                <w:rFonts w:ascii="標楷體" w:eastAsia="標楷體" w:hAnsi="標楷體" w:hint="eastAsia"/>
                <w:kern w:val="2"/>
                <w:szCs w:val="24"/>
              </w:rPr>
              <w:t>1</w:t>
            </w:r>
            <w:r w:rsidRPr="0049187F">
              <w:rPr>
                <w:rFonts w:ascii="標楷體" w:eastAsia="標楷體" w:hAnsi="標楷體" w:hint="eastAsia"/>
                <w:kern w:val="2"/>
                <w:szCs w:val="24"/>
              </w:rPr>
              <w:t>冊</w:t>
            </w:r>
          </w:p>
        </w:tc>
      </w:tr>
      <w:tr w:rsidR="00660947" w:rsidRPr="00464A6F" w14:paraId="1690B7A3" w14:textId="77777777" w:rsidTr="00660947">
        <w:trPr>
          <w:trHeight w:val="38"/>
        </w:trPr>
        <w:tc>
          <w:tcPr>
            <w:tcW w:w="211" w:type="pct"/>
            <w:vMerge w:val="restart"/>
          </w:tcPr>
          <w:p w14:paraId="607C660F" w14:textId="77777777" w:rsidR="00660947" w:rsidRDefault="00660947"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22</w:t>
            </w:r>
          </w:p>
        </w:tc>
        <w:tc>
          <w:tcPr>
            <w:tcW w:w="725" w:type="pct"/>
          </w:tcPr>
          <w:p w14:paraId="1F6433E1" w14:textId="77777777" w:rsidR="00660947" w:rsidRPr="00ED1F44" w:rsidRDefault="00660947"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第11次全體委員會議</w:t>
            </w:r>
          </w:p>
        </w:tc>
        <w:tc>
          <w:tcPr>
            <w:tcW w:w="418" w:type="pct"/>
          </w:tcPr>
          <w:p w14:paraId="6226FDD3" w14:textId="77777777" w:rsidR="00660947" w:rsidRPr="00ED1F44" w:rsidRDefault="00660947"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陳玉珍</w:t>
            </w:r>
          </w:p>
        </w:tc>
        <w:tc>
          <w:tcPr>
            <w:tcW w:w="609" w:type="pct"/>
          </w:tcPr>
          <w:p w14:paraId="0CE4859C" w14:textId="77777777" w:rsidR="00660947" w:rsidRPr="00ED1F44" w:rsidRDefault="00660947"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113.12.18</w:t>
            </w:r>
          </w:p>
          <w:p w14:paraId="35E6721C" w14:textId="77777777" w:rsidR="00660947" w:rsidRPr="00ED1F44" w:rsidRDefault="00660947"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w:t>
            </w:r>
          </w:p>
        </w:tc>
        <w:tc>
          <w:tcPr>
            <w:tcW w:w="1419" w:type="pct"/>
          </w:tcPr>
          <w:p w14:paraId="64B47E1A" w14:textId="77777777" w:rsidR="00660947" w:rsidRPr="00ED1F44" w:rsidRDefault="00660947"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繼續審查中華民國114年度中央政府總預算案有關財政部賦稅署、臺北國稅局、高雄國稅局、北區國稅局及所屬、中區國稅局及所屬、南區國稅局及所屬、關務署及所屬、國有財產署及所屬歲出預算部分暨融資財源調度。（處</w:t>
            </w:r>
            <w:r w:rsidRPr="00ED1F44">
              <w:rPr>
                <w:rFonts w:ascii="標楷體" w:eastAsia="標楷體" w:hAnsi="標楷體" w:hint="eastAsia"/>
                <w:color w:val="000000"/>
                <w:kern w:val="2"/>
                <w:szCs w:val="24"/>
              </w:rPr>
              <w:lastRenderedPageBreak/>
              <w:t>理）</w:t>
            </w:r>
          </w:p>
        </w:tc>
        <w:tc>
          <w:tcPr>
            <w:tcW w:w="1191" w:type="pct"/>
          </w:tcPr>
          <w:p w14:paraId="7B5694CB" w14:textId="77777777" w:rsidR="00660947" w:rsidRPr="00ED1F44" w:rsidRDefault="00660947"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lastRenderedPageBreak/>
              <w:t>審查完竣。</w:t>
            </w:r>
          </w:p>
        </w:tc>
        <w:tc>
          <w:tcPr>
            <w:tcW w:w="426" w:type="pct"/>
          </w:tcPr>
          <w:p w14:paraId="0CD14D17" w14:textId="77777777" w:rsidR="00660947" w:rsidRPr="00493EA6" w:rsidRDefault="00660947" w:rsidP="00F470A8">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5302</w:t>
            </w:r>
          </w:p>
          <w:p w14:paraId="4397186C" w14:textId="1EC55FEA" w:rsidR="00660947" w:rsidRPr="00464A6F" w:rsidRDefault="00660947"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第1冊</w:t>
            </w:r>
          </w:p>
        </w:tc>
      </w:tr>
      <w:tr w:rsidR="00660947" w:rsidRPr="00464A6F" w14:paraId="1B1F2898" w14:textId="77777777" w:rsidTr="00660947">
        <w:trPr>
          <w:trHeight w:val="38"/>
        </w:trPr>
        <w:tc>
          <w:tcPr>
            <w:tcW w:w="211" w:type="pct"/>
            <w:vMerge/>
          </w:tcPr>
          <w:p w14:paraId="48E197DE" w14:textId="77777777" w:rsidR="00660947" w:rsidRDefault="00660947" w:rsidP="00660947">
            <w:pPr>
              <w:overflowPunct w:val="0"/>
              <w:snapToGrid w:val="0"/>
              <w:spacing w:line="320" w:lineRule="exact"/>
              <w:jc w:val="center"/>
              <w:rPr>
                <w:rFonts w:ascii="標楷體" w:eastAsia="標楷體" w:hAnsi="標楷體"/>
                <w:bCs/>
                <w:szCs w:val="24"/>
              </w:rPr>
            </w:pPr>
          </w:p>
        </w:tc>
        <w:tc>
          <w:tcPr>
            <w:tcW w:w="726" w:type="pct"/>
          </w:tcPr>
          <w:p w14:paraId="118C0D92" w14:textId="77777777" w:rsidR="00660947" w:rsidRPr="00ED1F44" w:rsidRDefault="00660947"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418" w:type="pct"/>
          </w:tcPr>
          <w:p w14:paraId="44F15F6C" w14:textId="77777777" w:rsidR="00660947" w:rsidRPr="00ED1F44" w:rsidRDefault="00660947"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609" w:type="pct"/>
          </w:tcPr>
          <w:p w14:paraId="7AE693B6" w14:textId="77777777" w:rsidR="00660947" w:rsidRPr="00ED1F44" w:rsidRDefault="00660947"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113.12.19</w:t>
            </w:r>
          </w:p>
          <w:p w14:paraId="7ABDB961" w14:textId="77777777" w:rsidR="00660947" w:rsidRPr="00ED1F44" w:rsidRDefault="00660947"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(四)</w:t>
            </w:r>
          </w:p>
        </w:tc>
        <w:tc>
          <w:tcPr>
            <w:tcW w:w="1419" w:type="pct"/>
          </w:tcPr>
          <w:p w14:paraId="5B7DBFA3" w14:textId="77777777" w:rsidR="00660947" w:rsidRPr="00ED1F44" w:rsidRDefault="00660947" w:rsidP="00F470A8">
            <w:pPr>
              <w:widowControl w:val="0"/>
              <w:overflowPunct w:val="0"/>
              <w:autoSpaceDN/>
              <w:snapToGrid w:val="0"/>
              <w:spacing w:line="320" w:lineRule="exact"/>
              <w:ind w:left="48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一、審查中華民國114年度中央政府總預算案有關金融監督管理委員會、銀行局、證券期貨局、保險局、檢查局收支部分。（僅詢答）</w:t>
            </w:r>
          </w:p>
          <w:p w14:paraId="022DC4BC" w14:textId="77777777" w:rsidR="00660947" w:rsidRPr="00ED1F44" w:rsidRDefault="00660947" w:rsidP="00F470A8">
            <w:pPr>
              <w:widowControl w:val="0"/>
              <w:overflowPunct w:val="0"/>
              <w:autoSpaceDN/>
              <w:snapToGrid w:val="0"/>
              <w:spacing w:line="320" w:lineRule="exact"/>
              <w:ind w:left="48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二、審查中華民國114年度中央政府總預算案附屬單位預算營業部分，有關金融監督管理委員會主管中央存款保險股份有限公司。（僅詢答）</w:t>
            </w:r>
          </w:p>
          <w:p w14:paraId="30E0FEB8" w14:textId="77777777" w:rsidR="00660947" w:rsidRPr="00ED1F44" w:rsidRDefault="00660947" w:rsidP="00F470A8">
            <w:pPr>
              <w:widowControl w:val="0"/>
              <w:overflowPunct w:val="0"/>
              <w:autoSpaceDN/>
              <w:snapToGrid w:val="0"/>
              <w:spacing w:line="320" w:lineRule="exact"/>
              <w:ind w:left="48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三、審查中華民國114年度中央政府總預算案附屬單位預算非營業部分，有關金融監督管理委員會主管：（僅詢答）</w:t>
            </w:r>
          </w:p>
          <w:p w14:paraId="4298A8F2" w14:textId="77777777" w:rsidR="00660947" w:rsidRPr="00ED1F44" w:rsidRDefault="00660947" w:rsidP="00F470A8">
            <w:pPr>
              <w:widowControl w:val="0"/>
              <w:overflowPunct w:val="0"/>
              <w:autoSpaceDN/>
              <w:snapToGrid w:val="0"/>
              <w:spacing w:line="320" w:lineRule="exact"/>
              <w:ind w:leftChars="200" w:left="96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(一)特別收入基金－金融監督管理基金。</w:t>
            </w:r>
          </w:p>
          <w:p w14:paraId="75961D0F" w14:textId="77777777" w:rsidR="00660947" w:rsidRPr="00ED1F44" w:rsidRDefault="00660947" w:rsidP="00F470A8">
            <w:pPr>
              <w:widowControl w:val="0"/>
              <w:overflowPunct w:val="0"/>
              <w:autoSpaceDN/>
              <w:snapToGrid w:val="0"/>
              <w:spacing w:line="320" w:lineRule="exact"/>
              <w:ind w:leftChars="200" w:left="96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(二)信託基金－保險業務發展基金。</w:t>
            </w:r>
          </w:p>
        </w:tc>
        <w:tc>
          <w:tcPr>
            <w:tcW w:w="1191" w:type="pct"/>
          </w:tcPr>
          <w:p w14:paraId="1AE5BDCA" w14:textId="77777777" w:rsidR="00660947" w:rsidRPr="00ED1F44" w:rsidRDefault="00660947"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各案均說明及詢答完畢，另擇期繼續審查。</w:t>
            </w:r>
          </w:p>
        </w:tc>
        <w:tc>
          <w:tcPr>
            <w:tcW w:w="426" w:type="pct"/>
          </w:tcPr>
          <w:p w14:paraId="6B538943" w14:textId="77777777" w:rsidR="00660947" w:rsidRPr="00493EA6" w:rsidRDefault="00660947"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5302</w:t>
            </w:r>
          </w:p>
          <w:p w14:paraId="7AAEB33D" w14:textId="7EC5BED4" w:rsidR="00660947" w:rsidRPr="00464A6F" w:rsidRDefault="00660947" w:rsidP="00267233">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第1冊</w:t>
            </w:r>
          </w:p>
        </w:tc>
      </w:tr>
      <w:tr w:rsidR="00B50030" w:rsidRPr="00464A6F" w14:paraId="07C9F718" w14:textId="77777777" w:rsidTr="00660947">
        <w:trPr>
          <w:trHeight w:val="38"/>
        </w:trPr>
        <w:tc>
          <w:tcPr>
            <w:tcW w:w="211" w:type="pct"/>
          </w:tcPr>
          <w:p w14:paraId="15650565" w14:textId="77777777" w:rsidR="00B50030" w:rsidRDefault="00B50030"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23</w:t>
            </w:r>
          </w:p>
        </w:tc>
        <w:tc>
          <w:tcPr>
            <w:tcW w:w="726" w:type="pct"/>
          </w:tcPr>
          <w:p w14:paraId="5F8CB3AE"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第12次全體委員會議</w:t>
            </w:r>
          </w:p>
        </w:tc>
        <w:tc>
          <w:tcPr>
            <w:tcW w:w="418" w:type="pct"/>
          </w:tcPr>
          <w:p w14:paraId="33D5F8B2"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32B2A061"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12</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23</w:t>
            </w:r>
          </w:p>
          <w:p w14:paraId="09BF694E" w14:textId="77777777" w:rsidR="00B50030" w:rsidRPr="00ED1F44" w:rsidRDefault="00B50030"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tc>
        <w:tc>
          <w:tcPr>
            <w:tcW w:w="1419" w:type="pct"/>
          </w:tcPr>
          <w:p w14:paraId="0F37946E" w14:textId="77777777" w:rsidR="00B50030" w:rsidRPr="00ED1F44" w:rsidRDefault="00B50030"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邀請財政部莊部長翠雲、金融監督管理委員會彭主任委員金隆就「兆豐金控及臺灣證券交易所投資之台北金融大樓股份有限公司2024年營運成效、2025年度經營計畫與展望、暨跨年晚會煙火表演規劃」進行專題報告，並備質詢。</w:t>
            </w:r>
          </w:p>
        </w:tc>
        <w:tc>
          <w:tcPr>
            <w:tcW w:w="1191" w:type="pct"/>
          </w:tcPr>
          <w:p w14:paraId="6245F130" w14:textId="77777777" w:rsidR="00B50030" w:rsidRPr="00ED1F44" w:rsidRDefault="00B50030"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t>報告及詢答完畢。</w:t>
            </w:r>
          </w:p>
        </w:tc>
        <w:tc>
          <w:tcPr>
            <w:tcW w:w="426" w:type="pct"/>
          </w:tcPr>
          <w:p w14:paraId="5BD583BF" w14:textId="5E2D0E27" w:rsidR="00493EA6" w:rsidRPr="00493EA6" w:rsidRDefault="00493EA6" w:rsidP="00F470A8">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530</w:t>
            </w:r>
            <w:r>
              <w:rPr>
                <w:rFonts w:ascii="標楷體" w:eastAsia="標楷體" w:hAnsi="標楷體" w:hint="eastAsia"/>
                <w:kern w:val="2"/>
                <w:szCs w:val="24"/>
              </w:rPr>
              <w:t>4</w:t>
            </w:r>
          </w:p>
          <w:p w14:paraId="3042A53E" w14:textId="292C1FAA" w:rsidR="00B50030" w:rsidRPr="00464A6F" w:rsidRDefault="00493EA6"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第1冊</w:t>
            </w:r>
          </w:p>
        </w:tc>
      </w:tr>
      <w:tr w:rsidR="002C346C" w:rsidRPr="00464A6F" w14:paraId="571695F7" w14:textId="77777777" w:rsidTr="00660947">
        <w:trPr>
          <w:trHeight w:val="38"/>
        </w:trPr>
        <w:tc>
          <w:tcPr>
            <w:tcW w:w="211" w:type="pct"/>
            <w:vMerge w:val="restart"/>
          </w:tcPr>
          <w:p w14:paraId="6A1916B4" w14:textId="77777777" w:rsidR="002C346C" w:rsidRDefault="002C346C"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24</w:t>
            </w:r>
          </w:p>
        </w:tc>
        <w:tc>
          <w:tcPr>
            <w:tcW w:w="726" w:type="pct"/>
            <w:vMerge w:val="restart"/>
          </w:tcPr>
          <w:p w14:paraId="5F88E010" w14:textId="77777777" w:rsidR="002C346C" w:rsidRPr="00ED1F44" w:rsidRDefault="002C346C"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第13次全體委員會議</w:t>
            </w:r>
          </w:p>
        </w:tc>
        <w:tc>
          <w:tcPr>
            <w:tcW w:w="418" w:type="pct"/>
            <w:vMerge w:val="restart"/>
          </w:tcPr>
          <w:p w14:paraId="2108BC80" w14:textId="77777777" w:rsidR="002C346C" w:rsidRPr="00ED1F44" w:rsidRDefault="002C346C"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6734498C" w14:textId="77777777" w:rsidR="002C346C" w:rsidRPr="00ED1F44" w:rsidRDefault="002C346C"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113.12.25</w:t>
            </w:r>
          </w:p>
          <w:p w14:paraId="5BF671E6" w14:textId="77777777" w:rsidR="002C346C" w:rsidRPr="00ED1F44" w:rsidRDefault="002C346C"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w:t>
            </w:r>
          </w:p>
        </w:tc>
        <w:tc>
          <w:tcPr>
            <w:tcW w:w="1419" w:type="pct"/>
          </w:tcPr>
          <w:p w14:paraId="187C6FEE" w14:textId="77777777" w:rsidR="002C346C" w:rsidRPr="00ED1F44" w:rsidRDefault="002C346C" w:rsidP="00F470A8">
            <w:pPr>
              <w:widowControl w:val="0"/>
              <w:overflowPunct w:val="0"/>
              <w:autoSpaceDN/>
              <w:snapToGrid w:val="0"/>
              <w:spacing w:line="320" w:lineRule="exact"/>
              <w:ind w:left="48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一、審查「菸酒稅法」10案：</w:t>
            </w:r>
          </w:p>
          <w:p w14:paraId="78DEBC19"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(一)行政院函請審議、本院委員李柏毅等16人、委員賴惠員等16人、委員郭國文等18人、委員吳琪銘等16人分別擬具「菸酒稅法部分條文修正草</w:t>
            </w:r>
            <w:r w:rsidRPr="00ED1F44">
              <w:rPr>
                <w:rFonts w:ascii="標楷體" w:eastAsia="標楷體" w:hAnsi="標楷體" w:hint="eastAsia"/>
                <w:color w:val="000000"/>
                <w:kern w:val="2"/>
                <w:szCs w:val="24"/>
              </w:rPr>
              <w:lastRenderedPageBreak/>
              <w:t>案」等5案。</w:t>
            </w:r>
          </w:p>
          <w:p w14:paraId="13E30598"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(二)本院委員徐巧芯等29人擬具「菸酒稅法第十九條條文修正草案」案。</w:t>
            </w:r>
          </w:p>
          <w:p w14:paraId="075A4B19"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(三)本院委員賴士葆等27人、委員伍麗華Saidhai Tahovecahe等20人、委員張智倫等18人分別擬具「菸酒稅法第十九條及第二十一條條文修正草案」等3案。</w:t>
            </w:r>
          </w:p>
          <w:p w14:paraId="2DFFBE5F"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(四)本院委員陳玉珍等19人擬具「菸酒稅法第十九條及第二十三條條文修正草案」案。</w:t>
            </w:r>
          </w:p>
          <w:p w14:paraId="47371682" w14:textId="77777777" w:rsidR="002C346C" w:rsidRPr="00ED1F44" w:rsidRDefault="002C346C" w:rsidP="0048799C">
            <w:pPr>
              <w:widowControl w:val="0"/>
              <w:overflowPunct w:val="0"/>
              <w:autoSpaceDN/>
              <w:snapToGrid w:val="0"/>
              <w:spacing w:line="320" w:lineRule="exact"/>
              <w:ind w:left="540" w:hangingChars="225" w:hanging="54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二、審查「使用牌照稅法」8案：</w:t>
            </w:r>
          </w:p>
          <w:p w14:paraId="27674475"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一)行政院函請審議、本院委員賴士葆等24人、委員陳菁徽等17人、委員張智倫等18人、委員陳素月等19人、委員賴惠員等17人、委員郭國文等16人分別擬具「使用牌照稅法第二十九條、第三十條及第三十一條條文修正草案」等7案。</w:t>
            </w:r>
          </w:p>
          <w:p w14:paraId="3FB9FE11"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(二)本院委員陳玉珍等19人擬具「使用牌照稅法第三十條及第三十一條條文修正草案」案。</w:t>
            </w:r>
          </w:p>
          <w:p w14:paraId="5D54A98A" w14:textId="77777777" w:rsidR="002C346C" w:rsidRPr="00ED1F44" w:rsidRDefault="002C346C" w:rsidP="0048799C">
            <w:pPr>
              <w:widowControl w:val="0"/>
              <w:overflowPunct w:val="0"/>
              <w:autoSpaceDN/>
              <w:snapToGrid w:val="0"/>
              <w:spacing w:line="320" w:lineRule="exact"/>
              <w:ind w:left="540" w:hangingChars="225" w:hanging="54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三、審查行政院函請審議、本院委員賴士葆等21人、委員林楚茵等18人、委員徐巧芯等27人、委員賴惠員等17人、委員郭國文等17人分別擬具「土地稅法第五十四條條文修正草</w:t>
            </w:r>
            <w:r w:rsidRPr="00ED1F44">
              <w:rPr>
                <w:rFonts w:ascii="標楷體" w:eastAsia="標楷體" w:hAnsi="標楷體" w:hint="eastAsia"/>
                <w:color w:val="000000"/>
                <w:kern w:val="2"/>
                <w:szCs w:val="24"/>
              </w:rPr>
              <w:lastRenderedPageBreak/>
              <w:t>案」等6案。</w:t>
            </w:r>
          </w:p>
          <w:p w14:paraId="13F90B65"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四、審查中華民國114年度中央政府總預算案附屬單位預算營業部分，關於財政部主管中國輸出入銀行、臺灣金融控股股份有限公司（含臺灣銀行股份有限公司、臺銀人壽保險股份有限公司、臺銀綜合證券股份有限公司）。（僅詢答）</w:t>
            </w:r>
          </w:p>
        </w:tc>
        <w:tc>
          <w:tcPr>
            <w:tcW w:w="1191" w:type="pct"/>
          </w:tcPr>
          <w:p w14:paraId="5436E99F" w14:textId="77777777" w:rsidR="002C346C" w:rsidRPr="00ED1F44" w:rsidRDefault="002C346C"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lastRenderedPageBreak/>
              <w:t>一、二及三分別併案審查完竣，提報院會。</w:t>
            </w:r>
          </w:p>
          <w:p w14:paraId="59AD60FC"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B6E96C9"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C9B84CC"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45424F9D"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BF51B25"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51F1D81"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5BBA725"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B0802A4"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D5A435D"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AD7354F"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D24C82D"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7205432"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E4AC0BA"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4D0931D"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0A8769C"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9DB058D"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270EBFB"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119DC78"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82BAABA"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E41982F"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5780B3A"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953AD34"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A28648E"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AA66C0F"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D8C5870"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C298420"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4FBE8562"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B0FDE8F"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ADA0B9D"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9FC3C95"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CAD02F6"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457613F"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73A8B7A"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C0575C6"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8841E73"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F90DC72"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365E3DF"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6E3AF91"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7D30114"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4DD26F8"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232CD59B"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A0B692A"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2CE192A"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67A86734"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428C14FA"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130D818E"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082FEA0C"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1329073"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7BDC4731"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4CA42493"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01C0C52"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5F11755D" w14:textId="77777777" w:rsidR="002C346C"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p>
          <w:p w14:paraId="3BD046E1" w14:textId="77777777" w:rsidR="002C346C" w:rsidRPr="00ED1F44" w:rsidRDefault="002C346C" w:rsidP="00BD3095">
            <w:pPr>
              <w:widowControl w:val="0"/>
              <w:overflowPunct w:val="0"/>
              <w:autoSpaceDN/>
              <w:snapToGrid w:val="0"/>
              <w:spacing w:line="320" w:lineRule="exact"/>
              <w:ind w:left="600" w:hangingChars="250" w:hanging="600"/>
              <w:jc w:val="both"/>
              <w:textAlignment w:val="auto"/>
              <w:rPr>
                <w:rFonts w:ascii="標楷體" w:eastAsia="標楷體" w:hAnsi="標楷體"/>
                <w:kern w:val="2"/>
                <w:szCs w:val="24"/>
              </w:rPr>
            </w:pPr>
            <w:r w:rsidRPr="00ED1F44">
              <w:rPr>
                <w:rFonts w:ascii="標楷體" w:eastAsia="標楷體" w:hAnsi="標楷體"/>
                <w:kern w:val="2"/>
                <w:szCs w:val="24"/>
              </w:rPr>
              <w:t>四、</w:t>
            </w:r>
            <w:r w:rsidRPr="00ED1F44">
              <w:rPr>
                <w:rFonts w:ascii="標楷體" w:eastAsia="標楷體" w:hAnsi="標楷體" w:hint="eastAsia"/>
                <w:kern w:val="2"/>
                <w:szCs w:val="24"/>
              </w:rPr>
              <w:t>說明及詢答完畢，113年12月26日</w:t>
            </w:r>
            <w:r w:rsidRPr="00ED1F44">
              <w:rPr>
                <w:rFonts w:ascii="標楷體" w:eastAsia="標楷體" w:hAnsi="標楷體" w:cs="New Gulim" w:hint="eastAsia"/>
                <w:color w:val="000000"/>
                <w:kern w:val="2"/>
                <w:szCs w:val="24"/>
              </w:rPr>
              <w:t>(四)</w:t>
            </w:r>
            <w:r w:rsidRPr="00ED1F44">
              <w:rPr>
                <w:rFonts w:ascii="標楷體" w:eastAsia="標楷體" w:hAnsi="標楷體" w:hint="eastAsia"/>
                <w:kern w:val="2"/>
                <w:szCs w:val="24"/>
              </w:rPr>
              <w:t>繼續審查。</w:t>
            </w:r>
          </w:p>
        </w:tc>
        <w:tc>
          <w:tcPr>
            <w:tcW w:w="426" w:type="pct"/>
          </w:tcPr>
          <w:p w14:paraId="3A1BD4C4" w14:textId="3F6C25B5" w:rsidR="00493EA6" w:rsidRPr="00493EA6" w:rsidRDefault="00493EA6" w:rsidP="00F470A8">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lastRenderedPageBreak/>
              <w:t>530</w:t>
            </w:r>
            <w:r>
              <w:rPr>
                <w:rFonts w:ascii="標楷體" w:eastAsia="標楷體" w:hAnsi="標楷體" w:hint="eastAsia"/>
                <w:kern w:val="2"/>
                <w:szCs w:val="24"/>
              </w:rPr>
              <w:t>5</w:t>
            </w:r>
          </w:p>
          <w:p w14:paraId="403BF443" w14:textId="05F46E66" w:rsidR="002C346C" w:rsidRPr="00464A6F" w:rsidRDefault="00493EA6"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w:t>
            </w:r>
            <w:r>
              <w:rPr>
                <w:rFonts w:ascii="標楷體" w:eastAsia="標楷體" w:hAnsi="標楷體" w:hint="eastAsia"/>
                <w:kern w:val="2"/>
                <w:szCs w:val="24"/>
              </w:rPr>
              <w:t>3</w:t>
            </w:r>
            <w:r w:rsidRPr="00493EA6">
              <w:rPr>
                <w:rFonts w:ascii="標楷體" w:eastAsia="標楷體" w:hAnsi="標楷體" w:hint="eastAsia"/>
                <w:kern w:val="2"/>
                <w:szCs w:val="24"/>
              </w:rPr>
              <w:t>冊</w:t>
            </w:r>
          </w:p>
        </w:tc>
      </w:tr>
      <w:tr w:rsidR="002C346C" w:rsidRPr="00464A6F" w14:paraId="1C07BB05" w14:textId="77777777" w:rsidTr="00660947">
        <w:trPr>
          <w:trHeight w:val="38"/>
        </w:trPr>
        <w:tc>
          <w:tcPr>
            <w:tcW w:w="211" w:type="pct"/>
            <w:vMerge/>
          </w:tcPr>
          <w:p w14:paraId="18840697" w14:textId="77777777" w:rsidR="002C346C" w:rsidRPr="00C101EF" w:rsidRDefault="002C346C" w:rsidP="00660947">
            <w:pPr>
              <w:overflowPunct w:val="0"/>
              <w:snapToGrid w:val="0"/>
              <w:spacing w:line="320" w:lineRule="exact"/>
              <w:jc w:val="center"/>
              <w:rPr>
                <w:rFonts w:ascii="標楷體" w:eastAsia="標楷體" w:hAnsi="標楷體"/>
                <w:bCs/>
                <w:szCs w:val="24"/>
              </w:rPr>
            </w:pPr>
          </w:p>
        </w:tc>
        <w:tc>
          <w:tcPr>
            <w:tcW w:w="726" w:type="pct"/>
            <w:vMerge/>
          </w:tcPr>
          <w:p w14:paraId="1BFD8AE0" w14:textId="77777777" w:rsidR="002C346C" w:rsidRPr="00464A6F" w:rsidRDefault="002C346C" w:rsidP="00F470A8">
            <w:pPr>
              <w:overflowPunct w:val="0"/>
              <w:snapToGrid w:val="0"/>
              <w:spacing w:line="320" w:lineRule="exact"/>
              <w:jc w:val="both"/>
              <w:rPr>
                <w:rFonts w:ascii="標楷體" w:eastAsia="標楷體" w:hAnsi="標楷體"/>
                <w:color w:val="FF0000"/>
                <w:szCs w:val="24"/>
              </w:rPr>
            </w:pPr>
          </w:p>
        </w:tc>
        <w:tc>
          <w:tcPr>
            <w:tcW w:w="418" w:type="pct"/>
            <w:vMerge/>
          </w:tcPr>
          <w:p w14:paraId="68C579CE" w14:textId="77777777" w:rsidR="002C346C" w:rsidRPr="00464A6F" w:rsidRDefault="002C346C" w:rsidP="00F470A8">
            <w:pPr>
              <w:overflowPunct w:val="0"/>
              <w:snapToGrid w:val="0"/>
              <w:spacing w:line="320" w:lineRule="exact"/>
              <w:jc w:val="both"/>
              <w:rPr>
                <w:rFonts w:ascii="標楷體" w:eastAsia="標楷體" w:hAnsi="標楷體"/>
                <w:color w:val="FF0000"/>
                <w:szCs w:val="24"/>
              </w:rPr>
            </w:pPr>
          </w:p>
        </w:tc>
        <w:tc>
          <w:tcPr>
            <w:tcW w:w="609" w:type="pct"/>
          </w:tcPr>
          <w:p w14:paraId="7ADECA25" w14:textId="77777777" w:rsidR="002C346C" w:rsidRPr="00ED1F44" w:rsidRDefault="002C346C"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113.12.26</w:t>
            </w:r>
          </w:p>
          <w:p w14:paraId="4FFDE660" w14:textId="77777777" w:rsidR="002C346C" w:rsidRPr="00ED1F44" w:rsidRDefault="002C346C"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(四)</w:t>
            </w:r>
          </w:p>
        </w:tc>
        <w:tc>
          <w:tcPr>
            <w:tcW w:w="1419" w:type="pct"/>
          </w:tcPr>
          <w:p w14:paraId="5A7BD14E" w14:textId="77777777" w:rsidR="002C346C" w:rsidRPr="00ED1F44" w:rsidRDefault="002C346C"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繼續審查中華民國114年度中央政府總預算案附屬單位預算營業部分，關於財政部主管中國輸出入銀行、臺灣金融控股股份有限公司（含臺灣銀行股份有限公司、臺銀人壽保險股份有限公司、臺銀綜合證券股份有限公司）。（處理）</w:t>
            </w:r>
          </w:p>
        </w:tc>
        <w:tc>
          <w:tcPr>
            <w:tcW w:w="1191" w:type="pct"/>
          </w:tcPr>
          <w:p w14:paraId="5B1994C5" w14:textId="77777777" w:rsidR="002C346C" w:rsidRPr="00ED1F44" w:rsidRDefault="002C346C"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t>審查完竣。</w:t>
            </w:r>
          </w:p>
        </w:tc>
        <w:tc>
          <w:tcPr>
            <w:tcW w:w="426" w:type="pct"/>
          </w:tcPr>
          <w:p w14:paraId="6B08A88D" w14:textId="1D115732" w:rsidR="00493EA6" w:rsidRPr="00493EA6" w:rsidRDefault="00493EA6" w:rsidP="00F470A8">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530</w:t>
            </w:r>
            <w:r>
              <w:rPr>
                <w:rFonts w:ascii="標楷體" w:eastAsia="標楷體" w:hAnsi="標楷體" w:hint="eastAsia"/>
                <w:kern w:val="2"/>
                <w:szCs w:val="24"/>
              </w:rPr>
              <w:t>5</w:t>
            </w:r>
          </w:p>
          <w:p w14:paraId="7F6D37EF" w14:textId="4F5562C7" w:rsidR="002C346C" w:rsidRPr="00464A6F" w:rsidRDefault="00493EA6"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w:t>
            </w:r>
            <w:r>
              <w:rPr>
                <w:rFonts w:ascii="標楷體" w:eastAsia="標楷體" w:hAnsi="標楷體" w:hint="eastAsia"/>
                <w:kern w:val="2"/>
                <w:szCs w:val="24"/>
              </w:rPr>
              <w:t>3</w:t>
            </w:r>
            <w:r w:rsidRPr="00493EA6">
              <w:rPr>
                <w:rFonts w:ascii="標楷體" w:eastAsia="標楷體" w:hAnsi="標楷體" w:hint="eastAsia"/>
                <w:kern w:val="2"/>
                <w:szCs w:val="24"/>
              </w:rPr>
              <w:t>冊</w:t>
            </w:r>
          </w:p>
        </w:tc>
      </w:tr>
      <w:tr w:rsidR="00421A4F" w:rsidRPr="00464A6F" w14:paraId="052D9CB1" w14:textId="77777777" w:rsidTr="00660947">
        <w:trPr>
          <w:trHeight w:val="38"/>
        </w:trPr>
        <w:tc>
          <w:tcPr>
            <w:tcW w:w="211" w:type="pct"/>
            <w:vMerge w:val="restart"/>
          </w:tcPr>
          <w:p w14:paraId="6F9E7792" w14:textId="77777777" w:rsidR="00421A4F" w:rsidRPr="00B50030" w:rsidRDefault="00421A4F" w:rsidP="00660947">
            <w:pPr>
              <w:overflowPunct w:val="0"/>
              <w:snapToGrid w:val="0"/>
              <w:spacing w:line="320" w:lineRule="exact"/>
              <w:jc w:val="center"/>
              <w:rPr>
                <w:rFonts w:ascii="標楷體" w:eastAsia="標楷體" w:hAnsi="標楷體"/>
                <w:bCs/>
                <w:szCs w:val="24"/>
              </w:rPr>
            </w:pPr>
            <w:r w:rsidRPr="00B50030">
              <w:rPr>
                <w:rFonts w:ascii="標楷體" w:eastAsia="標楷體" w:hAnsi="標楷體" w:hint="eastAsia"/>
                <w:bCs/>
                <w:szCs w:val="24"/>
              </w:rPr>
              <w:t>25</w:t>
            </w:r>
          </w:p>
        </w:tc>
        <w:tc>
          <w:tcPr>
            <w:tcW w:w="726" w:type="pct"/>
            <w:vMerge w:val="restart"/>
          </w:tcPr>
          <w:p w14:paraId="2D5E0431"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第14全體委員會議</w:t>
            </w:r>
          </w:p>
        </w:tc>
        <w:tc>
          <w:tcPr>
            <w:tcW w:w="418" w:type="pct"/>
            <w:vMerge w:val="restart"/>
          </w:tcPr>
          <w:p w14:paraId="0AD391DD"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陳玉珍</w:t>
            </w:r>
          </w:p>
        </w:tc>
        <w:tc>
          <w:tcPr>
            <w:tcW w:w="609" w:type="pct"/>
          </w:tcPr>
          <w:p w14:paraId="718F7864"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sidRPr="00ED1F44">
              <w:rPr>
                <w:rFonts w:ascii="標楷體" w:eastAsia="標楷體" w:hAnsi="標楷體" w:cs="New Gulim" w:hint="eastAsia"/>
                <w:color w:val="000000"/>
                <w:kern w:val="2"/>
                <w:szCs w:val="24"/>
              </w:rPr>
              <w:t>3</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12</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30</w:t>
            </w:r>
          </w:p>
          <w:p w14:paraId="280A7B82"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(一)</w:t>
            </w:r>
          </w:p>
        </w:tc>
        <w:tc>
          <w:tcPr>
            <w:tcW w:w="1419" w:type="pct"/>
          </w:tcPr>
          <w:p w14:paraId="3530E259"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邀請行政院龔秘書長明鑫、行政院主計總處陳主計長淑姿、財政部莊部長翠雲就「行政院表示：因財劃法修正，114年度總預算須重編」進行專題報告，並備質詢。</w:t>
            </w:r>
          </w:p>
        </w:tc>
        <w:tc>
          <w:tcPr>
            <w:tcW w:w="1191" w:type="pct"/>
          </w:tcPr>
          <w:p w14:paraId="2F684C0C" w14:textId="77777777" w:rsidR="00421A4F" w:rsidRPr="00ED1F44" w:rsidRDefault="00421A4F"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t>報告及詢答完畢。</w:t>
            </w:r>
          </w:p>
        </w:tc>
        <w:tc>
          <w:tcPr>
            <w:tcW w:w="426" w:type="pct"/>
          </w:tcPr>
          <w:p w14:paraId="428740EA" w14:textId="6DE9A638" w:rsidR="00267233" w:rsidRPr="00493EA6" w:rsidRDefault="00267233"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530</w:t>
            </w:r>
            <w:r>
              <w:rPr>
                <w:rFonts w:ascii="標楷體" w:eastAsia="標楷體" w:hAnsi="標楷體"/>
                <w:kern w:val="2"/>
                <w:szCs w:val="24"/>
              </w:rPr>
              <w:t>9</w:t>
            </w:r>
          </w:p>
          <w:p w14:paraId="4F3A286C" w14:textId="59D23124" w:rsidR="00421A4F" w:rsidRPr="00464A6F" w:rsidRDefault="00267233" w:rsidP="00267233">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w:t>
            </w:r>
            <w:r>
              <w:rPr>
                <w:rFonts w:ascii="標楷體" w:eastAsia="標楷體" w:hAnsi="標楷體" w:hint="eastAsia"/>
                <w:kern w:val="2"/>
                <w:szCs w:val="24"/>
              </w:rPr>
              <w:t>3</w:t>
            </w:r>
            <w:r w:rsidRPr="00493EA6">
              <w:rPr>
                <w:rFonts w:ascii="標楷體" w:eastAsia="標楷體" w:hAnsi="標楷體" w:hint="eastAsia"/>
                <w:kern w:val="2"/>
                <w:szCs w:val="24"/>
              </w:rPr>
              <w:t>冊</w:t>
            </w:r>
          </w:p>
        </w:tc>
      </w:tr>
      <w:tr w:rsidR="00421A4F" w:rsidRPr="00464A6F" w14:paraId="3F13004A" w14:textId="77777777" w:rsidTr="00660947">
        <w:trPr>
          <w:trHeight w:val="38"/>
        </w:trPr>
        <w:tc>
          <w:tcPr>
            <w:tcW w:w="211" w:type="pct"/>
            <w:vMerge/>
          </w:tcPr>
          <w:p w14:paraId="41E0E387" w14:textId="77777777" w:rsidR="00421A4F" w:rsidRPr="00B50030" w:rsidRDefault="00421A4F" w:rsidP="00660947">
            <w:pPr>
              <w:overflowPunct w:val="0"/>
              <w:snapToGrid w:val="0"/>
              <w:spacing w:line="320" w:lineRule="exact"/>
              <w:jc w:val="center"/>
              <w:rPr>
                <w:rFonts w:ascii="標楷體" w:eastAsia="標楷體" w:hAnsi="標楷體"/>
                <w:bCs/>
                <w:szCs w:val="24"/>
              </w:rPr>
            </w:pPr>
          </w:p>
        </w:tc>
        <w:tc>
          <w:tcPr>
            <w:tcW w:w="726" w:type="pct"/>
            <w:vMerge/>
          </w:tcPr>
          <w:p w14:paraId="6B8598D8"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418" w:type="pct"/>
            <w:vMerge/>
          </w:tcPr>
          <w:p w14:paraId="7F457866"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609" w:type="pct"/>
          </w:tcPr>
          <w:p w14:paraId="2728CA7B"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114.1.2</w:t>
            </w:r>
          </w:p>
          <w:p w14:paraId="62EC9A09"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(四)</w:t>
            </w:r>
          </w:p>
          <w:p w14:paraId="29DE44CE"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ED1F44">
              <w:rPr>
                <w:rFonts w:ascii="標楷體" w:eastAsia="標楷體" w:hAnsi="標楷體" w:cs="New Gulim" w:hint="eastAsia"/>
                <w:kern w:val="2"/>
                <w:szCs w:val="24"/>
              </w:rPr>
              <w:t>09：00</w:t>
            </w:r>
          </w:p>
          <w:p w14:paraId="4F025E23"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ED1F44">
              <w:rPr>
                <w:rFonts w:ascii="標楷體" w:eastAsia="標楷體" w:hAnsi="標楷體" w:cs="New Gulim" w:hint="eastAsia"/>
                <w:kern w:val="2"/>
                <w:szCs w:val="24"/>
              </w:rPr>
              <w:t>至</w:t>
            </w:r>
          </w:p>
          <w:p w14:paraId="28E2539C"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kern w:val="2"/>
                <w:szCs w:val="24"/>
              </w:rPr>
              <w:t>11：00</w:t>
            </w:r>
          </w:p>
        </w:tc>
        <w:tc>
          <w:tcPr>
            <w:tcW w:w="1419" w:type="pct"/>
          </w:tcPr>
          <w:p w14:paraId="0DAE5AEC" w14:textId="77777777" w:rsidR="00421A4F" w:rsidRPr="00ED1F44" w:rsidRDefault="00421A4F"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一、繼續審查中華民國114年度中央政府總預算案有關金融監督管理委員會、銀行局、證券期貨局、保險局、檢查局收支部分。（處理）</w:t>
            </w:r>
          </w:p>
          <w:p w14:paraId="74E2BBA4" w14:textId="77777777" w:rsidR="00421A4F" w:rsidRPr="00ED1F44" w:rsidRDefault="00421A4F"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二、繼續審查中華民國114年度中央政府總預算案附屬單位預算營業部分，有關金融監督管理委員會主管中央存款保險股份有限公司。（處理）</w:t>
            </w:r>
          </w:p>
          <w:p w14:paraId="39456D5A" w14:textId="77777777" w:rsidR="00421A4F" w:rsidRPr="00ED1F44" w:rsidRDefault="00421A4F" w:rsidP="00F470A8">
            <w:pPr>
              <w:widowControl w:val="0"/>
              <w:overflowPunct w:val="0"/>
              <w:autoSpaceDN/>
              <w:snapToGrid w:val="0"/>
              <w:spacing w:line="320" w:lineRule="exact"/>
              <w:ind w:left="490" w:hangingChars="204" w:hanging="49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三、繼續審查中華民國</w:t>
            </w:r>
            <w:r w:rsidRPr="00ED1F44">
              <w:rPr>
                <w:rFonts w:ascii="標楷體" w:eastAsia="標楷體" w:hAnsi="標楷體" w:hint="eastAsia"/>
                <w:color w:val="000000"/>
                <w:kern w:val="2"/>
                <w:szCs w:val="24"/>
              </w:rPr>
              <w:lastRenderedPageBreak/>
              <w:t>114年度中央政府總預算案附屬單位預算非營業部分，有關金融監督管理委員會主管：（處理）</w:t>
            </w:r>
          </w:p>
          <w:p w14:paraId="3780E964" w14:textId="77777777" w:rsidR="00421A4F" w:rsidRPr="00ED1F44" w:rsidRDefault="00421A4F" w:rsidP="00F470A8">
            <w:pPr>
              <w:widowControl w:val="0"/>
              <w:overflowPunct w:val="0"/>
              <w:autoSpaceDN/>
              <w:snapToGrid w:val="0"/>
              <w:spacing w:line="320" w:lineRule="exact"/>
              <w:ind w:leftChars="200" w:left="96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(一)特別收入基金－金融監督管理基金。</w:t>
            </w:r>
          </w:p>
          <w:p w14:paraId="6786770B" w14:textId="77777777" w:rsidR="00421A4F" w:rsidRPr="00ED1F44" w:rsidRDefault="00421A4F" w:rsidP="00F470A8">
            <w:pPr>
              <w:widowControl w:val="0"/>
              <w:overflowPunct w:val="0"/>
              <w:autoSpaceDN/>
              <w:snapToGrid w:val="0"/>
              <w:spacing w:line="320" w:lineRule="exact"/>
              <w:ind w:leftChars="200" w:left="960" w:hangingChars="200" w:hanging="480"/>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(二)信託基金－保險業務發展基金。</w:t>
            </w:r>
          </w:p>
        </w:tc>
        <w:tc>
          <w:tcPr>
            <w:tcW w:w="1191" w:type="pct"/>
          </w:tcPr>
          <w:p w14:paraId="2C91D968" w14:textId="77777777" w:rsidR="00421A4F" w:rsidRPr="00ED1F44" w:rsidRDefault="00421A4F" w:rsidP="00F470A8">
            <w:pPr>
              <w:widowControl w:val="0"/>
              <w:overflowPunct w:val="0"/>
              <w:autoSpaceDN/>
              <w:snapToGrid w:val="0"/>
              <w:spacing w:line="320" w:lineRule="exact"/>
              <w:ind w:left="490" w:hangingChars="204" w:hanging="490"/>
              <w:jc w:val="both"/>
              <w:textAlignment w:val="auto"/>
              <w:rPr>
                <w:rFonts w:ascii="標楷體" w:eastAsia="標楷體" w:hAnsi="標楷體"/>
                <w:kern w:val="2"/>
                <w:szCs w:val="24"/>
              </w:rPr>
            </w:pPr>
            <w:r w:rsidRPr="00ED1F44">
              <w:rPr>
                <w:rFonts w:ascii="標楷體" w:eastAsia="標楷體" w:hAnsi="標楷體" w:hint="eastAsia"/>
                <w:kern w:val="2"/>
                <w:szCs w:val="24"/>
              </w:rPr>
              <w:lastRenderedPageBreak/>
              <w:t>各案均審查完竣。</w:t>
            </w:r>
          </w:p>
        </w:tc>
        <w:tc>
          <w:tcPr>
            <w:tcW w:w="426" w:type="pct"/>
          </w:tcPr>
          <w:p w14:paraId="3335DC35" w14:textId="0C421541" w:rsidR="00267233" w:rsidRPr="00493EA6" w:rsidRDefault="00267233"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530</w:t>
            </w:r>
            <w:r>
              <w:rPr>
                <w:rFonts w:ascii="標楷體" w:eastAsia="標楷體" w:hAnsi="標楷體"/>
                <w:kern w:val="2"/>
                <w:szCs w:val="24"/>
              </w:rPr>
              <w:t>9</w:t>
            </w:r>
          </w:p>
          <w:p w14:paraId="724E40A5" w14:textId="344DB479" w:rsidR="00421A4F" w:rsidRPr="00464A6F" w:rsidRDefault="00267233" w:rsidP="00267233">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w:t>
            </w:r>
            <w:r>
              <w:rPr>
                <w:rFonts w:ascii="標楷體" w:eastAsia="標楷體" w:hAnsi="標楷體" w:hint="eastAsia"/>
                <w:kern w:val="2"/>
                <w:szCs w:val="24"/>
              </w:rPr>
              <w:t>3</w:t>
            </w:r>
            <w:r w:rsidRPr="00493EA6">
              <w:rPr>
                <w:rFonts w:ascii="標楷體" w:eastAsia="標楷體" w:hAnsi="標楷體" w:hint="eastAsia"/>
                <w:kern w:val="2"/>
                <w:szCs w:val="24"/>
              </w:rPr>
              <w:t>冊</w:t>
            </w:r>
          </w:p>
        </w:tc>
      </w:tr>
      <w:tr w:rsidR="00421A4F" w:rsidRPr="00464A6F" w14:paraId="6191D3B1" w14:textId="77777777" w:rsidTr="00660947">
        <w:trPr>
          <w:trHeight w:val="38"/>
        </w:trPr>
        <w:tc>
          <w:tcPr>
            <w:tcW w:w="211" w:type="pct"/>
            <w:vMerge/>
          </w:tcPr>
          <w:p w14:paraId="56FEE495" w14:textId="77777777" w:rsidR="00421A4F" w:rsidRPr="00B50030" w:rsidRDefault="00421A4F" w:rsidP="00660947">
            <w:pPr>
              <w:overflowPunct w:val="0"/>
              <w:snapToGrid w:val="0"/>
              <w:spacing w:line="320" w:lineRule="exact"/>
              <w:jc w:val="center"/>
              <w:rPr>
                <w:rFonts w:ascii="標楷體" w:eastAsia="標楷體" w:hAnsi="標楷體"/>
                <w:bCs/>
                <w:szCs w:val="24"/>
              </w:rPr>
            </w:pPr>
          </w:p>
        </w:tc>
        <w:tc>
          <w:tcPr>
            <w:tcW w:w="726" w:type="pct"/>
            <w:vMerge/>
          </w:tcPr>
          <w:p w14:paraId="0B940FD5"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418" w:type="pct"/>
            <w:vMerge/>
          </w:tcPr>
          <w:p w14:paraId="4A3020D7"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609" w:type="pct"/>
          </w:tcPr>
          <w:p w14:paraId="3368B65E"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114.1.2</w:t>
            </w:r>
          </w:p>
          <w:p w14:paraId="5328FAF4"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(四)</w:t>
            </w:r>
          </w:p>
          <w:p w14:paraId="6630556E"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ED1F44">
              <w:rPr>
                <w:rFonts w:ascii="標楷體" w:eastAsia="標楷體" w:hAnsi="標楷體" w:cs="New Gulim" w:hint="eastAsia"/>
                <w:kern w:val="2"/>
                <w:szCs w:val="24"/>
              </w:rPr>
              <w:t>11：00</w:t>
            </w:r>
          </w:p>
          <w:p w14:paraId="674A414A"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ED1F44">
              <w:rPr>
                <w:rFonts w:ascii="標楷體" w:eastAsia="標楷體" w:hAnsi="標楷體" w:cs="New Gulim" w:hint="eastAsia"/>
                <w:kern w:val="2"/>
                <w:szCs w:val="24"/>
              </w:rPr>
              <w:t>至</w:t>
            </w:r>
          </w:p>
          <w:p w14:paraId="26B7960A" w14:textId="77777777" w:rsidR="00421A4F" w:rsidRPr="00ED1F44" w:rsidRDefault="00421A4F"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kern w:val="2"/>
                <w:szCs w:val="24"/>
              </w:rPr>
              <w:t>17：30</w:t>
            </w:r>
          </w:p>
        </w:tc>
        <w:tc>
          <w:tcPr>
            <w:tcW w:w="1419" w:type="pct"/>
          </w:tcPr>
          <w:p w14:paraId="6C03D585"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color w:val="000000"/>
                <w:kern w:val="2"/>
                <w:szCs w:val="24"/>
              </w:rPr>
            </w:pPr>
            <w:r w:rsidRPr="00ED1F44">
              <w:rPr>
                <w:rFonts w:ascii="標楷體" w:eastAsia="標楷體" w:hAnsi="標楷體" w:hint="eastAsia"/>
                <w:color w:val="000000"/>
                <w:kern w:val="2"/>
                <w:szCs w:val="24"/>
              </w:rPr>
              <w:t>審查中華民國114年度中央政府總預算案附屬單位預算營業部分，關於財政部主管臺灣土地銀行股份有限公司、財政部印刷廠、臺灣菸酒股份有限公司。（詢答及處理）</w:t>
            </w:r>
          </w:p>
        </w:tc>
        <w:tc>
          <w:tcPr>
            <w:tcW w:w="1191" w:type="pct"/>
          </w:tcPr>
          <w:p w14:paraId="6A2351FD" w14:textId="77777777" w:rsidR="00421A4F" w:rsidRPr="00ED1F44" w:rsidRDefault="00421A4F"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說明及詢答完畢，另擇期繼續審查。</w:t>
            </w:r>
          </w:p>
        </w:tc>
        <w:tc>
          <w:tcPr>
            <w:tcW w:w="426" w:type="pct"/>
          </w:tcPr>
          <w:p w14:paraId="76113747" w14:textId="33DAF690" w:rsidR="00267233" w:rsidRPr="00493EA6" w:rsidRDefault="00267233"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530</w:t>
            </w:r>
            <w:r>
              <w:rPr>
                <w:rFonts w:ascii="標楷體" w:eastAsia="標楷體" w:hAnsi="標楷體"/>
                <w:kern w:val="2"/>
                <w:szCs w:val="24"/>
              </w:rPr>
              <w:t>9</w:t>
            </w:r>
          </w:p>
          <w:p w14:paraId="680D4EB8" w14:textId="0D829303" w:rsidR="00421A4F" w:rsidRPr="00464A6F" w:rsidRDefault="00267233" w:rsidP="00267233">
            <w:pPr>
              <w:widowControl w:val="0"/>
              <w:overflowPunct w:val="0"/>
              <w:autoSpaceDN/>
              <w:snapToGrid w:val="0"/>
              <w:spacing w:line="320" w:lineRule="exact"/>
              <w:jc w:val="center"/>
              <w:textAlignment w:val="auto"/>
              <w:rPr>
                <w:rFonts w:ascii="標楷體" w:eastAsia="標楷體" w:hAnsi="標楷體"/>
                <w:color w:val="FF0000"/>
                <w:kern w:val="2"/>
                <w:szCs w:val="24"/>
              </w:rPr>
            </w:pPr>
            <w:r w:rsidRPr="00493EA6">
              <w:rPr>
                <w:rFonts w:ascii="標楷體" w:eastAsia="標楷體" w:hAnsi="標楷體" w:hint="eastAsia"/>
                <w:kern w:val="2"/>
                <w:szCs w:val="24"/>
              </w:rPr>
              <w:t>第</w:t>
            </w:r>
            <w:r>
              <w:rPr>
                <w:rFonts w:ascii="標楷體" w:eastAsia="標楷體" w:hAnsi="標楷體" w:hint="eastAsia"/>
                <w:kern w:val="2"/>
                <w:szCs w:val="24"/>
              </w:rPr>
              <w:t>3</w:t>
            </w:r>
            <w:r w:rsidRPr="00493EA6">
              <w:rPr>
                <w:rFonts w:ascii="標楷體" w:eastAsia="標楷體" w:hAnsi="標楷體" w:hint="eastAsia"/>
                <w:kern w:val="2"/>
                <w:szCs w:val="24"/>
              </w:rPr>
              <w:t>冊</w:t>
            </w:r>
          </w:p>
        </w:tc>
      </w:tr>
      <w:tr w:rsidR="00F867B9" w:rsidRPr="00F867B9" w14:paraId="52A66E25" w14:textId="77777777" w:rsidTr="00660947">
        <w:trPr>
          <w:trHeight w:val="38"/>
        </w:trPr>
        <w:tc>
          <w:tcPr>
            <w:tcW w:w="211" w:type="pct"/>
            <w:vMerge w:val="restart"/>
          </w:tcPr>
          <w:p w14:paraId="01C5A9CB" w14:textId="357C61D3" w:rsidR="00F867B9" w:rsidRPr="00F867B9" w:rsidRDefault="00F867B9" w:rsidP="00660947">
            <w:pPr>
              <w:overflowPunct w:val="0"/>
              <w:snapToGrid w:val="0"/>
              <w:spacing w:line="320" w:lineRule="exact"/>
              <w:jc w:val="center"/>
              <w:rPr>
                <w:rFonts w:ascii="標楷體" w:eastAsia="標楷體" w:hAnsi="標楷體"/>
                <w:bCs/>
                <w:szCs w:val="24"/>
              </w:rPr>
            </w:pPr>
            <w:r w:rsidRPr="00F867B9">
              <w:rPr>
                <w:rFonts w:ascii="標楷體" w:eastAsia="標楷體" w:hAnsi="標楷體" w:hint="eastAsia"/>
                <w:bCs/>
                <w:szCs w:val="24"/>
              </w:rPr>
              <w:t>26</w:t>
            </w:r>
          </w:p>
        </w:tc>
        <w:tc>
          <w:tcPr>
            <w:tcW w:w="726" w:type="pct"/>
            <w:vMerge w:val="restart"/>
          </w:tcPr>
          <w:p w14:paraId="170F77A3" w14:textId="5A8FBF1E" w:rsidR="00F867B9" w:rsidRPr="00F867B9"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r w:rsidRPr="00F867B9">
              <w:rPr>
                <w:rFonts w:ascii="標楷體" w:eastAsia="標楷體" w:hAnsi="標楷體" w:hint="eastAsia"/>
                <w:kern w:val="2"/>
                <w:szCs w:val="24"/>
              </w:rPr>
              <w:t>立法院第11屆第2會期財政委員會第15次全體委員會議</w:t>
            </w:r>
            <w:r w:rsidR="008E58F4">
              <w:rPr>
                <w:rFonts w:ascii="標楷體" w:eastAsia="標楷體" w:hAnsi="標楷體" w:hint="eastAsia"/>
                <w:kern w:val="2"/>
                <w:szCs w:val="24"/>
              </w:rPr>
              <w:t>【含</w:t>
            </w:r>
            <w:r w:rsidR="008E58F4" w:rsidRPr="008E58F4">
              <w:rPr>
                <w:rFonts w:ascii="標楷體" w:eastAsia="標楷體" w:hAnsi="標楷體" w:hint="eastAsia"/>
                <w:kern w:val="2"/>
                <w:szCs w:val="24"/>
              </w:rPr>
              <w:t>秘密會議</w:t>
            </w:r>
            <w:r w:rsidR="008E58F4">
              <w:rPr>
                <w:rFonts w:ascii="標楷體" w:eastAsia="標楷體" w:hAnsi="標楷體" w:hint="eastAsia"/>
                <w:kern w:val="2"/>
                <w:szCs w:val="24"/>
              </w:rPr>
              <w:t>】</w:t>
            </w:r>
          </w:p>
        </w:tc>
        <w:tc>
          <w:tcPr>
            <w:tcW w:w="418" w:type="pct"/>
          </w:tcPr>
          <w:p w14:paraId="476D661C" w14:textId="54F83281" w:rsidR="00F867B9" w:rsidRPr="00F867B9"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r w:rsidRPr="00F867B9">
              <w:rPr>
                <w:rFonts w:ascii="標楷體" w:eastAsia="標楷體" w:hAnsi="標楷體" w:hint="eastAsia"/>
                <w:kern w:val="2"/>
                <w:szCs w:val="24"/>
              </w:rPr>
              <w:t>賴惠員</w:t>
            </w:r>
          </w:p>
        </w:tc>
        <w:tc>
          <w:tcPr>
            <w:tcW w:w="609" w:type="pct"/>
          </w:tcPr>
          <w:p w14:paraId="6BEC2A4C" w14:textId="77777777" w:rsidR="00F867B9" w:rsidRPr="00F867B9"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F867B9">
              <w:rPr>
                <w:rFonts w:ascii="標楷體" w:eastAsia="標楷體" w:hAnsi="標楷體" w:cs="New Gulim" w:hint="eastAsia"/>
                <w:kern w:val="2"/>
                <w:szCs w:val="24"/>
              </w:rPr>
              <w:t>114.1.6 (一) 09:00</w:t>
            </w:r>
          </w:p>
          <w:p w14:paraId="058F92FA" w14:textId="324C1ECA" w:rsidR="00F867B9" w:rsidRPr="00F867B9"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F867B9">
              <w:rPr>
                <w:rFonts w:ascii="標楷體" w:eastAsia="標楷體" w:hAnsi="標楷體" w:cs="New Gulim" w:hint="eastAsia"/>
                <w:kern w:val="2"/>
                <w:szCs w:val="24"/>
              </w:rPr>
              <w:t>至</w:t>
            </w:r>
          </w:p>
          <w:p w14:paraId="4AF30C00" w14:textId="65443AC5" w:rsidR="00F867B9" w:rsidRPr="00F867B9"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F867B9">
              <w:rPr>
                <w:rFonts w:ascii="標楷體" w:eastAsia="標楷體" w:hAnsi="標楷體" w:cs="New Gulim" w:hint="eastAsia"/>
                <w:kern w:val="2"/>
                <w:szCs w:val="24"/>
              </w:rPr>
              <w:t>09:40</w:t>
            </w:r>
          </w:p>
        </w:tc>
        <w:tc>
          <w:tcPr>
            <w:tcW w:w="1419" w:type="pct"/>
          </w:tcPr>
          <w:p w14:paraId="69202EF2" w14:textId="253BAA6A" w:rsidR="00F867B9" w:rsidRPr="00F867B9" w:rsidRDefault="00F867B9" w:rsidP="00F470A8">
            <w:pPr>
              <w:widowControl w:val="0"/>
              <w:tabs>
                <w:tab w:val="left" w:pos="646"/>
              </w:tabs>
              <w:overflowPunct w:val="0"/>
              <w:autoSpaceDN/>
              <w:spacing w:line="320" w:lineRule="exact"/>
              <w:jc w:val="both"/>
              <w:textAlignment w:val="auto"/>
              <w:rPr>
                <w:rFonts w:ascii="標楷體" w:eastAsia="標楷體" w:hAnsi="標楷體"/>
                <w:kern w:val="2"/>
                <w:szCs w:val="24"/>
              </w:rPr>
            </w:pPr>
            <w:r w:rsidRPr="00F867B9">
              <w:rPr>
                <w:rFonts w:ascii="標楷體" w:eastAsia="標楷體" w:hAnsi="標楷體" w:hint="eastAsia"/>
                <w:kern w:val="2"/>
                <w:szCs w:val="24"/>
              </w:rPr>
              <w:t>彙總整理提出「中華民國</w:t>
            </w:r>
            <w:r w:rsidRPr="00F867B9">
              <w:rPr>
                <w:rFonts w:ascii="標楷體" w:eastAsia="標楷體" w:hAnsi="標楷體"/>
                <w:kern w:val="2"/>
                <w:szCs w:val="24"/>
              </w:rPr>
              <w:t>114</w:t>
            </w:r>
            <w:r w:rsidRPr="00F867B9">
              <w:rPr>
                <w:rFonts w:ascii="標楷體" w:eastAsia="標楷體" w:hAnsi="標楷體" w:hint="eastAsia"/>
                <w:kern w:val="2"/>
                <w:szCs w:val="24"/>
              </w:rPr>
              <w:t>年度中央政府總預算案審查總報告</w:t>
            </w:r>
            <w:r w:rsidRPr="00F867B9">
              <w:rPr>
                <w:rFonts w:ascii="標楷體" w:eastAsia="標楷體" w:hAnsi="標楷體"/>
                <w:kern w:val="2"/>
                <w:szCs w:val="24"/>
              </w:rPr>
              <w:t>(</w:t>
            </w:r>
            <w:r w:rsidRPr="00F867B9">
              <w:rPr>
                <w:rFonts w:ascii="標楷體" w:eastAsia="標楷體" w:hAnsi="標楷體" w:hint="eastAsia"/>
                <w:kern w:val="2"/>
                <w:szCs w:val="24"/>
              </w:rPr>
              <w:t>公務預算部分</w:t>
            </w:r>
            <w:r w:rsidRPr="00F867B9">
              <w:rPr>
                <w:rFonts w:ascii="標楷體" w:eastAsia="標楷體" w:hAnsi="標楷體"/>
                <w:kern w:val="2"/>
                <w:szCs w:val="24"/>
              </w:rPr>
              <w:t>)(</w:t>
            </w:r>
            <w:r w:rsidRPr="00F867B9">
              <w:rPr>
                <w:rFonts w:ascii="標楷體" w:eastAsia="標楷體" w:hAnsi="標楷體" w:hint="eastAsia"/>
                <w:kern w:val="2"/>
                <w:szCs w:val="24"/>
              </w:rPr>
              <w:t>含機密部分</w:t>
            </w:r>
            <w:r w:rsidRPr="00F867B9">
              <w:rPr>
                <w:rFonts w:ascii="標楷體" w:eastAsia="標楷體" w:hAnsi="標楷體"/>
                <w:kern w:val="2"/>
                <w:szCs w:val="24"/>
              </w:rPr>
              <w:t>)</w:t>
            </w:r>
            <w:r w:rsidRPr="00F867B9">
              <w:rPr>
                <w:rFonts w:ascii="標楷體" w:eastAsia="標楷體" w:hAnsi="標楷體" w:hint="eastAsia"/>
                <w:kern w:val="2"/>
                <w:szCs w:val="24"/>
              </w:rPr>
              <w:t>草案」提報院會案。</w:t>
            </w:r>
            <w:r w:rsidRPr="00F867B9">
              <w:rPr>
                <w:rFonts w:ascii="標楷體" w:eastAsia="標楷體" w:hAnsi="標楷體"/>
                <w:kern w:val="2"/>
                <w:szCs w:val="24"/>
              </w:rPr>
              <w:t>(</w:t>
            </w:r>
            <w:r w:rsidRPr="00F867B9">
              <w:rPr>
                <w:rFonts w:ascii="標楷體" w:eastAsia="標楷體" w:hAnsi="標楷體" w:hint="eastAsia"/>
                <w:kern w:val="2"/>
                <w:szCs w:val="24"/>
              </w:rPr>
              <w:t>機密部分舉行秘密會議</w:t>
            </w:r>
            <w:r w:rsidRPr="00F867B9">
              <w:rPr>
                <w:rFonts w:ascii="標楷體" w:eastAsia="標楷體" w:hAnsi="標楷體"/>
                <w:kern w:val="2"/>
                <w:szCs w:val="24"/>
              </w:rPr>
              <w:t>)</w:t>
            </w:r>
          </w:p>
        </w:tc>
        <w:tc>
          <w:tcPr>
            <w:tcW w:w="1191" w:type="pct"/>
          </w:tcPr>
          <w:p w14:paraId="12B5D6AE" w14:textId="4B25CC07" w:rsidR="00F867B9" w:rsidRPr="00F867B9"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r w:rsidRPr="00F867B9">
              <w:rPr>
                <w:rFonts w:ascii="標楷體" w:eastAsia="標楷體" w:hAnsi="標楷體" w:hint="eastAsia"/>
                <w:snapToGrid w:val="0"/>
                <w:kern w:val="0"/>
              </w:rPr>
              <w:t>照草案通過，提報院會討論</w:t>
            </w:r>
          </w:p>
        </w:tc>
        <w:tc>
          <w:tcPr>
            <w:tcW w:w="426" w:type="pct"/>
          </w:tcPr>
          <w:p w14:paraId="5D308262" w14:textId="7D44DEC8" w:rsidR="00267233" w:rsidRPr="00493EA6" w:rsidRDefault="00267233"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w:t>
            </w:r>
            <w:r>
              <w:rPr>
                <w:rFonts w:ascii="標楷體" w:eastAsia="標楷體" w:hAnsi="標楷體"/>
                <w:kern w:val="2"/>
                <w:szCs w:val="24"/>
              </w:rPr>
              <w:t>10</w:t>
            </w:r>
          </w:p>
          <w:p w14:paraId="64F97FBD" w14:textId="1D91579C" w:rsidR="00F867B9" w:rsidRPr="00F867B9" w:rsidRDefault="00267233"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第</w:t>
            </w:r>
            <w:r>
              <w:rPr>
                <w:rFonts w:ascii="標楷體" w:eastAsia="標楷體" w:hAnsi="標楷體"/>
                <w:kern w:val="2"/>
                <w:szCs w:val="24"/>
              </w:rPr>
              <w:t>2</w:t>
            </w:r>
            <w:r w:rsidRPr="00493EA6">
              <w:rPr>
                <w:rFonts w:ascii="標楷體" w:eastAsia="標楷體" w:hAnsi="標楷體" w:hint="eastAsia"/>
                <w:kern w:val="2"/>
                <w:szCs w:val="24"/>
              </w:rPr>
              <w:t>冊</w:t>
            </w:r>
          </w:p>
        </w:tc>
      </w:tr>
      <w:tr w:rsidR="00F867B9" w:rsidRPr="00F867B9" w14:paraId="35B4CED7" w14:textId="77777777" w:rsidTr="00660947">
        <w:trPr>
          <w:trHeight w:val="38"/>
        </w:trPr>
        <w:tc>
          <w:tcPr>
            <w:tcW w:w="211" w:type="pct"/>
            <w:vMerge/>
          </w:tcPr>
          <w:p w14:paraId="327307E4" w14:textId="265F837C" w:rsidR="00F867B9" w:rsidRPr="00F867B9" w:rsidRDefault="00F867B9" w:rsidP="00660947">
            <w:pPr>
              <w:overflowPunct w:val="0"/>
              <w:snapToGrid w:val="0"/>
              <w:spacing w:line="320" w:lineRule="exact"/>
              <w:jc w:val="center"/>
              <w:rPr>
                <w:rFonts w:ascii="標楷體" w:eastAsia="標楷體" w:hAnsi="標楷體"/>
                <w:bCs/>
                <w:szCs w:val="24"/>
              </w:rPr>
            </w:pPr>
          </w:p>
        </w:tc>
        <w:tc>
          <w:tcPr>
            <w:tcW w:w="726" w:type="pct"/>
            <w:vMerge/>
          </w:tcPr>
          <w:p w14:paraId="02028076" w14:textId="77777777" w:rsidR="00F867B9" w:rsidRPr="00F867B9"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418" w:type="pct"/>
          </w:tcPr>
          <w:p w14:paraId="3506DF0C" w14:textId="73BDE324" w:rsidR="00F867B9" w:rsidRPr="00F867B9"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r w:rsidRPr="00F867B9">
              <w:rPr>
                <w:rFonts w:ascii="標楷體" w:eastAsia="標楷體" w:hAnsi="標楷體" w:hint="eastAsia"/>
                <w:kern w:val="2"/>
                <w:szCs w:val="24"/>
              </w:rPr>
              <w:t>陳玉珍</w:t>
            </w:r>
          </w:p>
        </w:tc>
        <w:tc>
          <w:tcPr>
            <w:tcW w:w="609" w:type="pct"/>
          </w:tcPr>
          <w:p w14:paraId="7AFE9CD5" w14:textId="687F841A" w:rsidR="00F867B9" w:rsidRPr="00F867B9"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F867B9">
              <w:rPr>
                <w:rFonts w:ascii="標楷體" w:eastAsia="標楷體" w:hAnsi="標楷體" w:cs="New Gulim" w:hint="eastAsia"/>
                <w:kern w:val="2"/>
                <w:szCs w:val="24"/>
              </w:rPr>
              <w:t>114.1.6 (一) 09:40</w:t>
            </w:r>
          </w:p>
          <w:p w14:paraId="14D39736" w14:textId="77777777" w:rsidR="00F867B9" w:rsidRPr="00F867B9"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F867B9">
              <w:rPr>
                <w:rFonts w:ascii="標楷體" w:eastAsia="標楷體" w:hAnsi="標楷體" w:cs="New Gulim" w:hint="eastAsia"/>
                <w:kern w:val="2"/>
                <w:szCs w:val="24"/>
              </w:rPr>
              <w:t>至</w:t>
            </w:r>
          </w:p>
          <w:p w14:paraId="63A7A155" w14:textId="42106289" w:rsidR="00F867B9" w:rsidRPr="00F867B9"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F867B9">
              <w:rPr>
                <w:rFonts w:ascii="標楷體" w:eastAsia="標楷體" w:hAnsi="標楷體" w:cs="New Gulim" w:hint="eastAsia"/>
                <w:kern w:val="2"/>
                <w:szCs w:val="24"/>
              </w:rPr>
              <w:t>11:40</w:t>
            </w:r>
          </w:p>
        </w:tc>
        <w:tc>
          <w:tcPr>
            <w:tcW w:w="1419" w:type="pct"/>
          </w:tcPr>
          <w:p w14:paraId="30E51FC8" w14:textId="5BB317F9" w:rsidR="00F867B9" w:rsidRPr="00F867B9" w:rsidRDefault="00F867B9" w:rsidP="00F470A8">
            <w:pPr>
              <w:widowControl w:val="0"/>
              <w:tabs>
                <w:tab w:val="left" w:pos="646"/>
              </w:tabs>
              <w:overflowPunct w:val="0"/>
              <w:autoSpaceDN/>
              <w:spacing w:line="320" w:lineRule="exact"/>
              <w:jc w:val="both"/>
              <w:textAlignment w:val="auto"/>
              <w:rPr>
                <w:rFonts w:ascii="標楷體" w:eastAsia="標楷體" w:hAnsi="標楷體"/>
                <w:kern w:val="2"/>
                <w:szCs w:val="24"/>
              </w:rPr>
            </w:pPr>
            <w:r w:rsidRPr="00F867B9">
              <w:rPr>
                <w:rFonts w:ascii="標楷體" w:eastAsia="標楷體" w:hAnsi="標楷體" w:hint="eastAsia"/>
                <w:kern w:val="2"/>
                <w:szCs w:val="24"/>
              </w:rPr>
              <w:t>繼續審查中華民國114年度中央政府總預算案附屬單位預算營業部分，關於財政部主管臺灣土地銀行股份有限公司、財政部印刷廠、臺灣菸酒股份有限公司。（處理）</w:t>
            </w:r>
          </w:p>
        </w:tc>
        <w:tc>
          <w:tcPr>
            <w:tcW w:w="1191" w:type="pct"/>
          </w:tcPr>
          <w:p w14:paraId="610116B1" w14:textId="7879A2FF" w:rsidR="00F867B9" w:rsidRPr="00F867B9"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r w:rsidRPr="00F867B9">
              <w:rPr>
                <w:rFonts w:ascii="標楷體" w:eastAsia="標楷體" w:hAnsi="標楷體" w:hint="eastAsia"/>
                <w:kern w:val="2"/>
                <w:szCs w:val="24"/>
              </w:rPr>
              <w:t>審查完竣</w:t>
            </w:r>
          </w:p>
        </w:tc>
        <w:tc>
          <w:tcPr>
            <w:tcW w:w="426" w:type="pct"/>
          </w:tcPr>
          <w:p w14:paraId="40FA0DF0" w14:textId="70934CA0" w:rsidR="00267233" w:rsidRPr="00493EA6" w:rsidRDefault="00267233"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53</w:t>
            </w:r>
            <w:r>
              <w:rPr>
                <w:rFonts w:ascii="標楷體" w:eastAsia="標楷體" w:hAnsi="標楷體"/>
                <w:kern w:val="2"/>
                <w:szCs w:val="24"/>
              </w:rPr>
              <w:t>10</w:t>
            </w:r>
          </w:p>
          <w:p w14:paraId="01D078BE" w14:textId="1C2A9A14" w:rsidR="00F867B9" w:rsidRPr="00F867B9" w:rsidRDefault="00267233" w:rsidP="00267233">
            <w:pPr>
              <w:widowControl w:val="0"/>
              <w:overflowPunct w:val="0"/>
              <w:autoSpaceDN/>
              <w:snapToGrid w:val="0"/>
              <w:spacing w:line="320" w:lineRule="exact"/>
              <w:jc w:val="center"/>
              <w:textAlignment w:val="auto"/>
              <w:rPr>
                <w:rFonts w:ascii="標楷體" w:eastAsia="標楷體" w:hAnsi="標楷體"/>
                <w:kern w:val="2"/>
                <w:szCs w:val="24"/>
              </w:rPr>
            </w:pPr>
            <w:r w:rsidRPr="00493EA6">
              <w:rPr>
                <w:rFonts w:ascii="標楷體" w:eastAsia="標楷體" w:hAnsi="標楷體" w:hint="eastAsia"/>
                <w:kern w:val="2"/>
                <w:szCs w:val="24"/>
              </w:rPr>
              <w:t>第</w:t>
            </w:r>
            <w:r>
              <w:rPr>
                <w:rFonts w:ascii="標楷體" w:eastAsia="標楷體" w:hAnsi="標楷體"/>
                <w:kern w:val="2"/>
                <w:szCs w:val="24"/>
              </w:rPr>
              <w:t>2</w:t>
            </w:r>
            <w:r w:rsidRPr="00493EA6">
              <w:rPr>
                <w:rFonts w:ascii="標楷體" w:eastAsia="標楷體" w:hAnsi="標楷體" w:hint="eastAsia"/>
                <w:kern w:val="2"/>
                <w:szCs w:val="24"/>
              </w:rPr>
              <w:t>冊</w:t>
            </w:r>
          </w:p>
        </w:tc>
      </w:tr>
      <w:tr w:rsidR="004E1C6E" w:rsidRPr="0074634B" w14:paraId="4EE2A6C4" w14:textId="77777777" w:rsidTr="00660947">
        <w:trPr>
          <w:trHeight w:val="38"/>
        </w:trPr>
        <w:tc>
          <w:tcPr>
            <w:tcW w:w="211" w:type="pct"/>
          </w:tcPr>
          <w:p w14:paraId="746FE253" w14:textId="10A91D69" w:rsidR="004E1C6E" w:rsidRPr="007806AE" w:rsidRDefault="00F867B9" w:rsidP="00660947">
            <w:pPr>
              <w:overflowPunct w:val="0"/>
              <w:snapToGrid w:val="0"/>
              <w:spacing w:line="320" w:lineRule="exact"/>
              <w:jc w:val="center"/>
              <w:rPr>
                <w:rFonts w:ascii="標楷體" w:eastAsia="標楷體" w:hAnsi="標楷體"/>
                <w:bCs/>
                <w:szCs w:val="24"/>
              </w:rPr>
            </w:pPr>
            <w:r w:rsidRPr="007806AE">
              <w:rPr>
                <w:rFonts w:ascii="標楷體" w:eastAsia="標楷體" w:hAnsi="標楷體" w:hint="eastAsia"/>
                <w:bCs/>
                <w:szCs w:val="24"/>
              </w:rPr>
              <w:t>27</w:t>
            </w:r>
          </w:p>
        </w:tc>
        <w:tc>
          <w:tcPr>
            <w:tcW w:w="726" w:type="pct"/>
          </w:tcPr>
          <w:p w14:paraId="034A814B" w14:textId="77777777" w:rsidR="004E1C6E" w:rsidRPr="007806AE" w:rsidRDefault="004E1C6E" w:rsidP="00F470A8">
            <w:pPr>
              <w:widowControl w:val="0"/>
              <w:overflowPunct w:val="0"/>
              <w:autoSpaceDN/>
              <w:snapToGrid w:val="0"/>
              <w:spacing w:line="320" w:lineRule="exact"/>
              <w:jc w:val="both"/>
              <w:textAlignment w:val="auto"/>
              <w:rPr>
                <w:rFonts w:ascii="標楷體" w:eastAsia="標楷體" w:hAnsi="標楷體"/>
                <w:kern w:val="2"/>
                <w:szCs w:val="24"/>
              </w:rPr>
            </w:pPr>
            <w:r w:rsidRPr="007806AE">
              <w:rPr>
                <w:rFonts w:ascii="標楷體" w:eastAsia="標楷體" w:hAnsi="標楷體" w:hint="eastAsia"/>
                <w:kern w:val="2"/>
                <w:szCs w:val="24"/>
              </w:rPr>
              <w:t>考察</w:t>
            </w:r>
          </w:p>
        </w:tc>
        <w:tc>
          <w:tcPr>
            <w:tcW w:w="418" w:type="pct"/>
          </w:tcPr>
          <w:p w14:paraId="5C4EC687" w14:textId="77777777" w:rsidR="004E1C6E" w:rsidRPr="00ED1F44" w:rsidRDefault="004E1C6E"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5523104C" w14:textId="77777777" w:rsidR="004E1C6E" w:rsidRPr="00ED1F44" w:rsidRDefault="004E1C6E"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w:t>
            </w:r>
            <w:r>
              <w:rPr>
                <w:rFonts w:ascii="標楷體" w:eastAsia="標楷體" w:hAnsi="標楷體" w:cs="New Gulim"/>
                <w:color w:val="000000"/>
                <w:kern w:val="2"/>
                <w:szCs w:val="24"/>
              </w:rPr>
              <w:t>4</w:t>
            </w:r>
            <w:r w:rsidRPr="00ED1F44">
              <w:rPr>
                <w:rFonts w:ascii="標楷體" w:eastAsia="標楷體" w:hAnsi="標楷體" w:cs="New Gulim" w:hint="eastAsia"/>
                <w:color w:val="000000"/>
                <w:kern w:val="2"/>
                <w:szCs w:val="24"/>
              </w:rPr>
              <w:t>.1.</w:t>
            </w:r>
            <w:r>
              <w:rPr>
                <w:rFonts w:ascii="標楷體" w:eastAsia="標楷體" w:hAnsi="標楷體" w:cs="New Gulim"/>
                <w:color w:val="000000"/>
                <w:kern w:val="2"/>
                <w:szCs w:val="24"/>
              </w:rPr>
              <w:t>8</w:t>
            </w:r>
          </w:p>
          <w:p w14:paraId="3D3509A1" w14:textId="77777777" w:rsidR="004E1C6E" w:rsidRPr="00ED1F44" w:rsidRDefault="004E1C6E"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(三)</w:t>
            </w:r>
          </w:p>
        </w:tc>
        <w:tc>
          <w:tcPr>
            <w:tcW w:w="1419" w:type="pct"/>
          </w:tcPr>
          <w:p w14:paraId="36BF2D0C" w14:textId="77777777" w:rsidR="004E1C6E" w:rsidRPr="007806AE" w:rsidRDefault="004E1C6E" w:rsidP="00F470A8">
            <w:pPr>
              <w:widowControl w:val="0"/>
              <w:tabs>
                <w:tab w:val="left" w:pos="646"/>
              </w:tabs>
              <w:overflowPunct w:val="0"/>
              <w:autoSpaceDN/>
              <w:spacing w:line="320" w:lineRule="exact"/>
              <w:jc w:val="both"/>
              <w:textAlignment w:val="auto"/>
              <w:rPr>
                <w:rFonts w:ascii="標楷體" w:eastAsia="標楷體" w:hAnsi="標楷體"/>
                <w:color w:val="000000"/>
                <w:kern w:val="2"/>
                <w:szCs w:val="24"/>
              </w:rPr>
            </w:pPr>
            <w:r w:rsidRPr="007806AE">
              <w:rPr>
                <w:rFonts w:ascii="標楷體" w:eastAsia="標楷體" w:hAnsi="標楷體" w:hint="eastAsia"/>
                <w:color w:val="000000"/>
                <w:kern w:val="2"/>
                <w:szCs w:val="24"/>
              </w:rPr>
              <w:t>考察臺南地區地方建設預算執行情形。</w:t>
            </w:r>
          </w:p>
        </w:tc>
        <w:tc>
          <w:tcPr>
            <w:tcW w:w="1191" w:type="pct"/>
          </w:tcPr>
          <w:p w14:paraId="5F2FEABE" w14:textId="77777777" w:rsidR="004E1C6E" w:rsidRPr="0074634B" w:rsidRDefault="004E1C6E" w:rsidP="00F470A8">
            <w:pPr>
              <w:widowControl w:val="0"/>
              <w:overflowPunct w:val="0"/>
              <w:autoSpaceDN/>
              <w:snapToGrid w:val="0"/>
              <w:spacing w:line="320" w:lineRule="exact"/>
              <w:jc w:val="both"/>
              <w:textAlignment w:val="auto"/>
              <w:rPr>
                <w:rFonts w:ascii="標楷體" w:eastAsia="標楷體" w:hAnsi="標楷體"/>
                <w:color w:val="FF0000"/>
                <w:kern w:val="2"/>
                <w:szCs w:val="24"/>
              </w:rPr>
            </w:pPr>
          </w:p>
        </w:tc>
        <w:tc>
          <w:tcPr>
            <w:tcW w:w="426" w:type="pct"/>
          </w:tcPr>
          <w:p w14:paraId="4C4D5C81" w14:textId="77777777" w:rsidR="004E1C6E" w:rsidRPr="0074634B" w:rsidRDefault="004E1C6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4E1C6E" w:rsidRPr="0074634B" w14:paraId="0FE2A750" w14:textId="77777777" w:rsidTr="00660947">
        <w:trPr>
          <w:trHeight w:val="38"/>
        </w:trPr>
        <w:tc>
          <w:tcPr>
            <w:tcW w:w="211" w:type="pct"/>
          </w:tcPr>
          <w:p w14:paraId="6824883D" w14:textId="6C660314" w:rsidR="004E1C6E" w:rsidRPr="007806AE" w:rsidRDefault="00F867B9" w:rsidP="00660947">
            <w:pPr>
              <w:overflowPunct w:val="0"/>
              <w:snapToGrid w:val="0"/>
              <w:spacing w:line="320" w:lineRule="exact"/>
              <w:jc w:val="center"/>
              <w:rPr>
                <w:rFonts w:ascii="標楷體" w:eastAsia="標楷體" w:hAnsi="標楷體"/>
                <w:bCs/>
                <w:szCs w:val="24"/>
              </w:rPr>
            </w:pPr>
            <w:r w:rsidRPr="007806AE">
              <w:rPr>
                <w:rFonts w:ascii="標楷體" w:eastAsia="標楷體" w:hAnsi="標楷體" w:hint="eastAsia"/>
                <w:bCs/>
                <w:szCs w:val="24"/>
              </w:rPr>
              <w:t>2</w:t>
            </w:r>
            <w:r w:rsidRPr="007806AE">
              <w:rPr>
                <w:rFonts w:ascii="標楷體" w:eastAsia="標楷體" w:hAnsi="標楷體"/>
                <w:bCs/>
                <w:szCs w:val="24"/>
              </w:rPr>
              <w:t>8</w:t>
            </w:r>
          </w:p>
        </w:tc>
        <w:tc>
          <w:tcPr>
            <w:tcW w:w="726" w:type="pct"/>
          </w:tcPr>
          <w:p w14:paraId="5C8B8099" w14:textId="77777777" w:rsidR="004E1C6E" w:rsidRPr="007806AE" w:rsidRDefault="004E1C6E" w:rsidP="00F470A8">
            <w:pPr>
              <w:widowControl w:val="0"/>
              <w:overflowPunct w:val="0"/>
              <w:autoSpaceDN/>
              <w:snapToGrid w:val="0"/>
              <w:spacing w:line="320" w:lineRule="exact"/>
              <w:jc w:val="both"/>
              <w:textAlignment w:val="auto"/>
              <w:rPr>
                <w:rFonts w:ascii="標楷體" w:eastAsia="標楷體" w:hAnsi="標楷體"/>
                <w:kern w:val="2"/>
                <w:szCs w:val="24"/>
              </w:rPr>
            </w:pPr>
            <w:r w:rsidRPr="007806AE">
              <w:rPr>
                <w:rFonts w:ascii="標楷體" w:eastAsia="標楷體" w:hAnsi="標楷體" w:hint="eastAsia"/>
                <w:kern w:val="2"/>
                <w:szCs w:val="24"/>
              </w:rPr>
              <w:t>考察</w:t>
            </w:r>
          </w:p>
        </w:tc>
        <w:tc>
          <w:tcPr>
            <w:tcW w:w="418" w:type="pct"/>
          </w:tcPr>
          <w:p w14:paraId="6ED151C2" w14:textId="77777777" w:rsidR="004E1C6E" w:rsidRPr="00ED1F44" w:rsidRDefault="004E1C6E" w:rsidP="00F470A8">
            <w:pPr>
              <w:widowControl w:val="0"/>
              <w:overflowPunct w:val="0"/>
              <w:autoSpaceDN/>
              <w:snapToGrid w:val="0"/>
              <w:spacing w:line="320" w:lineRule="exact"/>
              <w:jc w:val="both"/>
              <w:textAlignment w:val="auto"/>
              <w:rPr>
                <w:rFonts w:ascii="標楷體" w:eastAsia="標楷體" w:hAnsi="標楷體"/>
                <w:kern w:val="2"/>
                <w:szCs w:val="24"/>
              </w:rPr>
            </w:pPr>
            <w:r w:rsidRPr="00ED1F44">
              <w:rPr>
                <w:rFonts w:ascii="標楷體" w:eastAsia="標楷體" w:hAnsi="標楷體" w:hint="eastAsia"/>
                <w:kern w:val="2"/>
                <w:szCs w:val="24"/>
              </w:rPr>
              <w:t>賴惠員</w:t>
            </w:r>
          </w:p>
        </w:tc>
        <w:tc>
          <w:tcPr>
            <w:tcW w:w="609" w:type="pct"/>
          </w:tcPr>
          <w:p w14:paraId="6F3A7A0F" w14:textId="77777777" w:rsidR="004E1C6E" w:rsidRPr="00ED1F44" w:rsidRDefault="004E1C6E"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11</w:t>
            </w:r>
            <w:r>
              <w:rPr>
                <w:rFonts w:ascii="標楷體" w:eastAsia="標楷體" w:hAnsi="標楷體" w:cs="New Gulim"/>
                <w:color w:val="000000"/>
                <w:kern w:val="2"/>
                <w:szCs w:val="24"/>
              </w:rPr>
              <w:t>4</w:t>
            </w:r>
            <w:r w:rsidRPr="00ED1F44">
              <w:rPr>
                <w:rFonts w:ascii="標楷體" w:eastAsia="標楷體" w:hAnsi="標楷體" w:cs="New Gulim" w:hint="eastAsia"/>
                <w:color w:val="000000"/>
                <w:kern w:val="2"/>
                <w:szCs w:val="24"/>
              </w:rPr>
              <w:t>.1.</w:t>
            </w:r>
            <w:r>
              <w:rPr>
                <w:rFonts w:ascii="標楷體" w:eastAsia="標楷體" w:hAnsi="標楷體" w:cs="New Gulim"/>
                <w:color w:val="000000"/>
                <w:kern w:val="2"/>
                <w:szCs w:val="24"/>
              </w:rPr>
              <w:t>9</w:t>
            </w:r>
          </w:p>
          <w:p w14:paraId="31697195" w14:textId="77777777" w:rsidR="004E1C6E" w:rsidRPr="00ED1F44" w:rsidRDefault="004E1C6E"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hint="eastAsia"/>
                <w:color w:val="000000"/>
                <w:kern w:val="2"/>
                <w:szCs w:val="24"/>
              </w:rPr>
              <w:t>(四)</w:t>
            </w:r>
          </w:p>
        </w:tc>
        <w:tc>
          <w:tcPr>
            <w:tcW w:w="1419" w:type="pct"/>
          </w:tcPr>
          <w:p w14:paraId="35373CC4" w14:textId="77777777" w:rsidR="004E1C6E" w:rsidRPr="007806AE" w:rsidRDefault="004E1C6E" w:rsidP="00F470A8">
            <w:pPr>
              <w:widowControl w:val="0"/>
              <w:tabs>
                <w:tab w:val="left" w:pos="646"/>
              </w:tabs>
              <w:overflowPunct w:val="0"/>
              <w:autoSpaceDN/>
              <w:spacing w:line="320" w:lineRule="exact"/>
              <w:jc w:val="both"/>
              <w:textAlignment w:val="auto"/>
              <w:rPr>
                <w:rFonts w:ascii="標楷體" w:eastAsia="標楷體" w:hAnsi="標楷體"/>
                <w:color w:val="000000"/>
                <w:kern w:val="2"/>
                <w:szCs w:val="24"/>
              </w:rPr>
            </w:pPr>
            <w:r w:rsidRPr="007806AE">
              <w:rPr>
                <w:rFonts w:ascii="標楷體" w:eastAsia="標楷體" w:hAnsi="標楷體" w:hint="eastAsia"/>
                <w:color w:val="000000"/>
                <w:kern w:val="2"/>
                <w:szCs w:val="24"/>
              </w:rPr>
              <w:t>考察臺南地區地方建設預算執行情形。</w:t>
            </w:r>
          </w:p>
        </w:tc>
        <w:tc>
          <w:tcPr>
            <w:tcW w:w="1191" w:type="pct"/>
          </w:tcPr>
          <w:p w14:paraId="23230AAA" w14:textId="77777777" w:rsidR="004E1C6E" w:rsidRPr="0074634B" w:rsidRDefault="004E1C6E" w:rsidP="00F470A8">
            <w:pPr>
              <w:widowControl w:val="0"/>
              <w:overflowPunct w:val="0"/>
              <w:autoSpaceDN/>
              <w:snapToGrid w:val="0"/>
              <w:spacing w:line="320" w:lineRule="exact"/>
              <w:jc w:val="both"/>
              <w:textAlignment w:val="auto"/>
              <w:rPr>
                <w:rFonts w:ascii="標楷體" w:eastAsia="標楷體" w:hAnsi="標楷體"/>
                <w:color w:val="FF0000"/>
                <w:kern w:val="2"/>
                <w:szCs w:val="24"/>
              </w:rPr>
            </w:pPr>
          </w:p>
        </w:tc>
        <w:tc>
          <w:tcPr>
            <w:tcW w:w="426" w:type="pct"/>
          </w:tcPr>
          <w:p w14:paraId="125CDEF9" w14:textId="77777777" w:rsidR="004E1C6E" w:rsidRPr="0074634B" w:rsidRDefault="004E1C6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4E1C6E" w:rsidRPr="0074634B" w14:paraId="49F8ACBE" w14:textId="77777777" w:rsidTr="00660947">
        <w:trPr>
          <w:trHeight w:val="38"/>
        </w:trPr>
        <w:tc>
          <w:tcPr>
            <w:tcW w:w="211" w:type="pct"/>
          </w:tcPr>
          <w:p w14:paraId="05396C07" w14:textId="4276AC9F" w:rsidR="004E1C6E" w:rsidRPr="007806AE" w:rsidRDefault="00F867B9" w:rsidP="00660947">
            <w:pPr>
              <w:overflowPunct w:val="0"/>
              <w:snapToGrid w:val="0"/>
              <w:spacing w:line="320" w:lineRule="exact"/>
              <w:jc w:val="center"/>
              <w:rPr>
                <w:rFonts w:ascii="標楷體" w:eastAsia="標楷體" w:hAnsi="標楷體"/>
                <w:bCs/>
                <w:szCs w:val="24"/>
              </w:rPr>
            </w:pPr>
            <w:r>
              <w:rPr>
                <w:rFonts w:ascii="標楷體" w:eastAsia="標楷體" w:hAnsi="標楷體" w:hint="eastAsia"/>
                <w:bCs/>
                <w:szCs w:val="24"/>
              </w:rPr>
              <w:t>29</w:t>
            </w:r>
          </w:p>
        </w:tc>
        <w:tc>
          <w:tcPr>
            <w:tcW w:w="726" w:type="pct"/>
          </w:tcPr>
          <w:p w14:paraId="06F1F25B" w14:textId="77777777" w:rsidR="004E1C6E" w:rsidRPr="007806AE" w:rsidRDefault="004E1C6E" w:rsidP="00F470A8">
            <w:pPr>
              <w:widowControl w:val="0"/>
              <w:overflowPunct w:val="0"/>
              <w:autoSpaceDN/>
              <w:snapToGrid w:val="0"/>
              <w:spacing w:line="320" w:lineRule="exact"/>
              <w:jc w:val="both"/>
              <w:textAlignment w:val="auto"/>
              <w:rPr>
                <w:rFonts w:ascii="標楷體" w:eastAsia="標楷體" w:hAnsi="標楷體"/>
                <w:kern w:val="2"/>
                <w:szCs w:val="24"/>
              </w:rPr>
            </w:pPr>
            <w:r w:rsidRPr="007806AE">
              <w:rPr>
                <w:rFonts w:ascii="標楷體" w:eastAsia="標楷體" w:hAnsi="標楷體" w:hint="eastAsia"/>
                <w:kern w:val="2"/>
                <w:szCs w:val="24"/>
              </w:rPr>
              <w:t>考察</w:t>
            </w:r>
          </w:p>
        </w:tc>
        <w:tc>
          <w:tcPr>
            <w:tcW w:w="418" w:type="pct"/>
          </w:tcPr>
          <w:p w14:paraId="0AEB4E2D" w14:textId="77777777" w:rsidR="004E1C6E" w:rsidRPr="0074634B" w:rsidRDefault="004E1C6E" w:rsidP="00F470A8">
            <w:pPr>
              <w:widowControl w:val="0"/>
              <w:overflowPunct w:val="0"/>
              <w:autoSpaceDN/>
              <w:snapToGrid w:val="0"/>
              <w:spacing w:line="320" w:lineRule="exact"/>
              <w:jc w:val="both"/>
              <w:textAlignment w:val="auto"/>
              <w:rPr>
                <w:rFonts w:ascii="標楷體" w:eastAsia="標楷體" w:hAnsi="標楷體"/>
                <w:color w:val="FF0000"/>
                <w:kern w:val="2"/>
                <w:szCs w:val="24"/>
              </w:rPr>
            </w:pPr>
            <w:r w:rsidRPr="00ED1F44">
              <w:rPr>
                <w:rFonts w:ascii="標楷體" w:eastAsia="標楷體" w:hAnsi="標楷體" w:hint="eastAsia"/>
                <w:kern w:val="2"/>
                <w:szCs w:val="24"/>
              </w:rPr>
              <w:t>陳玉珍</w:t>
            </w:r>
          </w:p>
        </w:tc>
        <w:tc>
          <w:tcPr>
            <w:tcW w:w="609" w:type="pct"/>
          </w:tcPr>
          <w:p w14:paraId="0022C1E9" w14:textId="24AC67DC" w:rsidR="004E1C6E" w:rsidRPr="00ED1F44" w:rsidRDefault="004E1C6E" w:rsidP="00F470A8">
            <w:pPr>
              <w:widowControl w:val="0"/>
              <w:overflowPunct w:val="0"/>
              <w:autoSpaceDN/>
              <w:snapToGrid w:val="0"/>
              <w:spacing w:line="320" w:lineRule="exact"/>
              <w:jc w:val="center"/>
              <w:textAlignment w:val="auto"/>
              <w:rPr>
                <w:rFonts w:ascii="標楷體" w:eastAsia="標楷體" w:hAnsi="標楷體" w:cs="New Gulim"/>
                <w:color w:val="000000"/>
                <w:kern w:val="2"/>
                <w:szCs w:val="24"/>
              </w:rPr>
            </w:pPr>
            <w:r w:rsidRPr="00ED1F44">
              <w:rPr>
                <w:rFonts w:ascii="標楷體" w:eastAsia="標楷體" w:hAnsi="標楷體" w:cs="New Gulim"/>
                <w:color w:val="000000"/>
                <w:kern w:val="2"/>
                <w:szCs w:val="24"/>
              </w:rPr>
              <w:t>11</w:t>
            </w:r>
            <w:r>
              <w:rPr>
                <w:rFonts w:ascii="標楷體" w:eastAsia="標楷體" w:hAnsi="標楷體" w:cs="New Gulim"/>
                <w:color w:val="000000"/>
                <w:kern w:val="2"/>
                <w:szCs w:val="24"/>
              </w:rPr>
              <w:t>4</w:t>
            </w:r>
            <w:r w:rsidRPr="00ED1F44">
              <w:rPr>
                <w:rFonts w:ascii="標楷體" w:eastAsia="標楷體" w:hAnsi="標楷體" w:cs="New Gulim"/>
                <w:color w:val="000000"/>
                <w:kern w:val="2"/>
                <w:szCs w:val="24"/>
              </w:rPr>
              <w:t>.</w:t>
            </w:r>
            <w:r w:rsidRPr="00ED1F44">
              <w:rPr>
                <w:rFonts w:ascii="標楷體" w:eastAsia="標楷體" w:hAnsi="標楷體" w:cs="New Gulim" w:hint="eastAsia"/>
                <w:color w:val="000000"/>
                <w:kern w:val="2"/>
                <w:szCs w:val="24"/>
              </w:rPr>
              <w:t>1</w:t>
            </w:r>
            <w:r w:rsidRPr="00ED1F44">
              <w:rPr>
                <w:rFonts w:ascii="標楷體" w:eastAsia="標楷體" w:hAnsi="標楷體" w:cs="New Gulim"/>
                <w:color w:val="000000"/>
                <w:kern w:val="2"/>
                <w:szCs w:val="24"/>
              </w:rPr>
              <w:t>.</w:t>
            </w:r>
            <w:r>
              <w:rPr>
                <w:rFonts w:ascii="標楷體" w:eastAsia="標楷體" w:hAnsi="標楷體" w:cs="New Gulim"/>
                <w:color w:val="000000"/>
                <w:kern w:val="2"/>
                <w:szCs w:val="24"/>
              </w:rPr>
              <w:t>13</w:t>
            </w:r>
          </w:p>
          <w:p w14:paraId="5075A58A" w14:textId="77777777" w:rsidR="004E1C6E" w:rsidRPr="0074634B" w:rsidRDefault="004E1C6E" w:rsidP="00F470A8">
            <w:pPr>
              <w:widowControl w:val="0"/>
              <w:overflowPunct w:val="0"/>
              <w:autoSpaceDN/>
              <w:snapToGrid w:val="0"/>
              <w:spacing w:line="320" w:lineRule="exact"/>
              <w:jc w:val="center"/>
              <w:textAlignment w:val="auto"/>
              <w:rPr>
                <w:rFonts w:ascii="標楷體" w:eastAsia="標楷體" w:hAnsi="標楷體" w:cs="New Gulim"/>
                <w:color w:val="FF0000"/>
                <w:kern w:val="2"/>
                <w:szCs w:val="24"/>
              </w:rPr>
            </w:pPr>
            <w:r w:rsidRPr="00ED1F44">
              <w:rPr>
                <w:rFonts w:ascii="標楷體" w:eastAsia="標楷體" w:hAnsi="標楷體" w:cs="New Gulim" w:hint="eastAsia"/>
                <w:color w:val="000000"/>
                <w:kern w:val="2"/>
                <w:szCs w:val="24"/>
              </w:rPr>
              <w:t>(一)</w:t>
            </w:r>
          </w:p>
        </w:tc>
        <w:tc>
          <w:tcPr>
            <w:tcW w:w="1419" w:type="pct"/>
          </w:tcPr>
          <w:p w14:paraId="4C5C8B2E" w14:textId="77777777" w:rsidR="004E1C6E" w:rsidRPr="0074634B" w:rsidRDefault="004E1C6E" w:rsidP="00F470A8">
            <w:pPr>
              <w:widowControl w:val="0"/>
              <w:tabs>
                <w:tab w:val="left" w:pos="646"/>
              </w:tabs>
              <w:overflowPunct w:val="0"/>
              <w:autoSpaceDN/>
              <w:spacing w:line="320" w:lineRule="exact"/>
              <w:jc w:val="both"/>
              <w:textAlignment w:val="auto"/>
              <w:rPr>
                <w:rFonts w:ascii="標楷體" w:eastAsia="標楷體" w:hAnsi="標楷體"/>
                <w:color w:val="FF0000"/>
                <w:kern w:val="2"/>
                <w:szCs w:val="24"/>
              </w:rPr>
            </w:pPr>
            <w:r w:rsidRPr="007806AE">
              <w:rPr>
                <w:rFonts w:ascii="標楷體" w:eastAsia="標楷體" w:hAnsi="標楷體" w:hint="eastAsia"/>
                <w:color w:val="000000"/>
                <w:kern w:val="2"/>
                <w:szCs w:val="24"/>
              </w:rPr>
              <w:t>考察臺灣證券交易所「創新板」業務概況。</w:t>
            </w:r>
          </w:p>
        </w:tc>
        <w:tc>
          <w:tcPr>
            <w:tcW w:w="1191" w:type="pct"/>
          </w:tcPr>
          <w:p w14:paraId="15544918" w14:textId="77777777" w:rsidR="004E1C6E" w:rsidRPr="0074634B" w:rsidRDefault="004E1C6E" w:rsidP="00F470A8">
            <w:pPr>
              <w:widowControl w:val="0"/>
              <w:overflowPunct w:val="0"/>
              <w:autoSpaceDN/>
              <w:snapToGrid w:val="0"/>
              <w:spacing w:line="320" w:lineRule="exact"/>
              <w:jc w:val="both"/>
              <w:textAlignment w:val="auto"/>
              <w:rPr>
                <w:rFonts w:ascii="標楷體" w:eastAsia="標楷體" w:hAnsi="標楷體"/>
                <w:color w:val="FF0000"/>
                <w:kern w:val="2"/>
                <w:szCs w:val="24"/>
              </w:rPr>
            </w:pPr>
          </w:p>
        </w:tc>
        <w:tc>
          <w:tcPr>
            <w:tcW w:w="426" w:type="pct"/>
          </w:tcPr>
          <w:p w14:paraId="5D84C7FA" w14:textId="77777777" w:rsidR="004E1C6E" w:rsidRPr="0074634B" w:rsidRDefault="004E1C6E" w:rsidP="00F470A8">
            <w:pPr>
              <w:widowControl w:val="0"/>
              <w:overflowPunct w:val="0"/>
              <w:autoSpaceDN/>
              <w:snapToGrid w:val="0"/>
              <w:spacing w:line="320" w:lineRule="exact"/>
              <w:jc w:val="center"/>
              <w:textAlignment w:val="auto"/>
              <w:rPr>
                <w:rFonts w:ascii="標楷體" w:eastAsia="標楷體" w:hAnsi="標楷體"/>
                <w:color w:val="FF0000"/>
                <w:kern w:val="2"/>
                <w:szCs w:val="24"/>
              </w:rPr>
            </w:pPr>
          </w:p>
        </w:tc>
      </w:tr>
      <w:tr w:rsidR="00F867B9" w:rsidRPr="004E1C6E" w14:paraId="07C8EA84" w14:textId="77777777" w:rsidTr="00660947">
        <w:trPr>
          <w:trHeight w:val="38"/>
        </w:trPr>
        <w:tc>
          <w:tcPr>
            <w:tcW w:w="211" w:type="pct"/>
          </w:tcPr>
          <w:p w14:paraId="1E1E561A" w14:textId="19CD7E18" w:rsidR="00F867B9" w:rsidRPr="004E1C6E" w:rsidRDefault="00F867B9" w:rsidP="00660947">
            <w:pPr>
              <w:overflowPunct w:val="0"/>
              <w:snapToGrid w:val="0"/>
              <w:spacing w:line="320" w:lineRule="exact"/>
              <w:jc w:val="center"/>
              <w:rPr>
                <w:rFonts w:ascii="標楷體" w:eastAsia="標楷體" w:hAnsi="標楷體"/>
                <w:bCs/>
                <w:szCs w:val="24"/>
              </w:rPr>
            </w:pPr>
            <w:r w:rsidRPr="004E1C6E">
              <w:rPr>
                <w:rFonts w:ascii="標楷體" w:eastAsia="標楷體" w:hAnsi="標楷體" w:hint="eastAsia"/>
                <w:bCs/>
                <w:szCs w:val="24"/>
              </w:rPr>
              <w:t>30</w:t>
            </w:r>
          </w:p>
        </w:tc>
        <w:tc>
          <w:tcPr>
            <w:tcW w:w="726" w:type="pct"/>
          </w:tcPr>
          <w:p w14:paraId="0CD9E8E8" w14:textId="36BFEC90" w:rsidR="00F867B9" w:rsidRPr="004E1C6E"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r w:rsidRPr="004E1C6E">
              <w:rPr>
                <w:rFonts w:ascii="標楷體" w:eastAsia="標楷體" w:hAnsi="標楷體" w:hint="eastAsia"/>
                <w:kern w:val="2"/>
                <w:szCs w:val="24"/>
              </w:rPr>
              <w:t>考察</w:t>
            </w:r>
          </w:p>
        </w:tc>
        <w:tc>
          <w:tcPr>
            <w:tcW w:w="418" w:type="pct"/>
          </w:tcPr>
          <w:p w14:paraId="1EC8CE5F" w14:textId="7BE31F22" w:rsidR="00F867B9" w:rsidRPr="004E1C6E"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r w:rsidRPr="004E1C6E">
              <w:rPr>
                <w:rFonts w:ascii="標楷體" w:eastAsia="標楷體" w:hAnsi="標楷體" w:hint="eastAsia"/>
                <w:kern w:val="2"/>
                <w:szCs w:val="24"/>
              </w:rPr>
              <w:t>賴惠員</w:t>
            </w:r>
          </w:p>
        </w:tc>
        <w:tc>
          <w:tcPr>
            <w:tcW w:w="609" w:type="pct"/>
          </w:tcPr>
          <w:p w14:paraId="532E5EDA" w14:textId="01F96729" w:rsidR="00F867B9" w:rsidRPr="004E1C6E"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4E1C6E">
              <w:rPr>
                <w:rFonts w:ascii="標楷體" w:eastAsia="標楷體" w:hAnsi="標楷體" w:cs="New Gulim" w:hint="eastAsia"/>
                <w:kern w:val="2"/>
                <w:szCs w:val="24"/>
              </w:rPr>
              <w:t>11</w:t>
            </w:r>
            <w:r w:rsidRPr="004E1C6E">
              <w:rPr>
                <w:rFonts w:ascii="標楷體" w:eastAsia="標楷體" w:hAnsi="標楷體" w:cs="New Gulim"/>
                <w:kern w:val="2"/>
                <w:szCs w:val="24"/>
              </w:rPr>
              <w:t>4</w:t>
            </w:r>
            <w:r w:rsidRPr="004E1C6E">
              <w:rPr>
                <w:rFonts w:ascii="標楷體" w:eastAsia="標楷體" w:hAnsi="標楷體" w:cs="New Gulim" w:hint="eastAsia"/>
                <w:kern w:val="2"/>
                <w:szCs w:val="24"/>
              </w:rPr>
              <w:t>.1.22</w:t>
            </w:r>
          </w:p>
          <w:p w14:paraId="18A1CDEF" w14:textId="100DC763" w:rsidR="00F867B9" w:rsidRPr="004E1C6E" w:rsidRDefault="00F867B9" w:rsidP="00F470A8">
            <w:pPr>
              <w:widowControl w:val="0"/>
              <w:overflowPunct w:val="0"/>
              <w:autoSpaceDN/>
              <w:snapToGrid w:val="0"/>
              <w:spacing w:line="320" w:lineRule="exact"/>
              <w:jc w:val="center"/>
              <w:textAlignment w:val="auto"/>
              <w:rPr>
                <w:rFonts w:ascii="標楷體" w:eastAsia="標楷體" w:hAnsi="標楷體" w:cs="New Gulim"/>
                <w:kern w:val="2"/>
                <w:szCs w:val="24"/>
              </w:rPr>
            </w:pPr>
            <w:r w:rsidRPr="004E1C6E">
              <w:rPr>
                <w:rFonts w:ascii="標楷體" w:eastAsia="標楷體" w:hAnsi="標楷體" w:cs="New Gulim" w:hint="eastAsia"/>
                <w:kern w:val="2"/>
                <w:szCs w:val="24"/>
              </w:rPr>
              <w:t>(三)</w:t>
            </w:r>
          </w:p>
        </w:tc>
        <w:tc>
          <w:tcPr>
            <w:tcW w:w="1419" w:type="pct"/>
          </w:tcPr>
          <w:p w14:paraId="1265FEE0" w14:textId="4B9867C0" w:rsidR="00F867B9" w:rsidRPr="004E1C6E" w:rsidRDefault="00F867B9" w:rsidP="00F470A8">
            <w:pPr>
              <w:widowControl w:val="0"/>
              <w:tabs>
                <w:tab w:val="left" w:pos="646"/>
              </w:tabs>
              <w:overflowPunct w:val="0"/>
              <w:autoSpaceDN/>
              <w:spacing w:line="320" w:lineRule="exact"/>
              <w:jc w:val="both"/>
              <w:textAlignment w:val="auto"/>
              <w:rPr>
                <w:rFonts w:ascii="標楷體" w:eastAsia="標楷體" w:hAnsi="標楷體"/>
                <w:kern w:val="2"/>
                <w:szCs w:val="24"/>
              </w:rPr>
            </w:pPr>
            <w:r w:rsidRPr="004E1C6E">
              <w:rPr>
                <w:rFonts w:ascii="標楷體" w:eastAsia="標楷體" w:hAnsi="標楷體"/>
                <w:kern w:val="2"/>
                <w:szCs w:val="24"/>
              </w:rPr>
              <w:t>考察南科生活機能圈公路運輸、社會住宅、都市計畫預算執行情形</w:t>
            </w:r>
            <w:r w:rsidR="008E58F4">
              <w:rPr>
                <w:rFonts w:ascii="標楷體" w:eastAsia="標楷體" w:hAnsi="標楷體" w:hint="eastAsia"/>
                <w:kern w:val="2"/>
                <w:szCs w:val="24"/>
              </w:rPr>
              <w:t>。</w:t>
            </w:r>
          </w:p>
        </w:tc>
        <w:tc>
          <w:tcPr>
            <w:tcW w:w="1191" w:type="pct"/>
          </w:tcPr>
          <w:p w14:paraId="6DEFA1ED" w14:textId="77777777" w:rsidR="00F867B9" w:rsidRPr="004E1C6E" w:rsidRDefault="00F867B9" w:rsidP="00F470A8">
            <w:pPr>
              <w:widowControl w:val="0"/>
              <w:overflowPunct w:val="0"/>
              <w:autoSpaceDN/>
              <w:snapToGrid w:val="0"/>
              <w:spacing w:line="320" w:lineRule="exact"/>
              <w:jc w:val="both"/>
              <w:textAlignment w:val="auto"/>
              <w:rPr>
                <w:rFonts w:ascii="標楷體" w:eastAsia="標楷體" w:hAnsi="標楷體"/>
                <w:kern w:val="2"/>
                <w:szCs w:val="24"/>
              </w:rPr>
            </w:pPr>
          </w:p>
        </w:tc>
        <w:tc>
          <w:tcPr>
            <w:tcW w:w="426" w:type="pct"/>
          </w:tcPr>
          <w:p w14:paraId="1D23F70A" w14:textId="77777777" w:rsidR="00F867B9" w:rsidRPr="004E1C6E" w:rsidRDefault="00F867B9" w:rsidP="00F470A8">
            <w:pPr>
              <w:widowControl w:val="0"/>
              <w:overflowPunct w:val="0"/>
              <w:autoSpaceDN/>
              <w:snapToGrid w:val="0"/>
              <w:spacing w:line="320" w:lineRule="exact"/>
              <w:jc w:val="center"/>
              <w:textAlignment w:val="auto"/>
              <w:rPr>
                <w:rFonts w:ascii="標楷體" w:eastAsia="標楷體" w:hAnsi="標楷體"/>
                <w:kern w:val="2"/>
                <w:szCs w:val="24"/>
              </w:rPr>
            </w:pPr>
          </w:p>
        </w:tc>
      </w:tr>
    </w:tbl>
    <w:p w14:paraId="6407D694" w14:textId="77777777" w:rsidR="00F16097" w:rsidRPr="00543636" w:rsidRDefault="00F16097" w:rsidP="00F470A8">
      <w:pPr>
        <w:pStyle w:val="2"/>
        <w:numPr>
          <w:ilvl w:val="0"/>
          <w:numId w:val="0"/>
        </w:numPr>
        <w:overflowPunct w:val="0"/>
        <w:spacing w:line="480" w:lineRule="exact"/>
        <w:ind w:left="927" w:hanging="567"/>
        <w:rPr>
          <w:rFonts w:ascii="標楷體" w:eastAsia="標楷體" w:hAnsi="標楷體"/>
          <w:bCs w:val="0"/>
          <w:kern w:val="2"/>
          <w:sz w:val="32"/>
          <w:szCs w:val="32"/>
        </w:rPr>
      </w:pPr>
      <w:bookmarkStart w:id="12" w:name="_Toc189487270"/>
      <w:r w:rsidRPr="00543636">
        <w:rPr>
          <w:rFonts w:ascii="標楷體" w:eastAsia="標楷體" w:hAnsi="標楷體" w:hint="eastAsia"/>
          <w:bCs w:val="0"/>
          <w:kern w:val="2"/>
          <w:sz w:val="32"/>
          <w:szCs w:val="32"/>
        </w:rPr>
        <w:t>二、公聽會</w:t>
      </w:r>
      <w:r w:rsidRPr="00543636">
        <w:rPr>
          <w:rFonts w:ascii="標楷體" w:eastAsia="標楷體" w:hAnsi="標楷體"/>
          <w:bCs w:val="0"/>
          <w:kern w:val="2"/>
          <w:sz w:val="32"/>
          <w:szCs w:val="32"/>
        </w:rPr>
        <w:t>(</w:t>
      </w:r>
      <w:r w:rsidRPr="00543636">
        <w:rPr>
          <w:rFonts w:ascii="標楷體" w:eastAsia="標楷體" w:hAnsi="標楷體" w:hint="eastAsia"/>
          <w:bCs w:val="0"/>
          <w:kern w:val="2"/>
          <w:sz w:val="32"/>
          <w:szCs w:val="32"/>
        </w:rPr>
        <w:t>1</w:t>
      </w:r>
      <w:r w:rsidRPr="00543636">
        <w:rPr>
          <w:rFonts w:ascii="標楷體" w:eastAsia="標楷體" w:hAnsi="標楷體"/>
          <w:bCs w:val="0"/>
          <w:kern w:val="2"/>
          <w:sz w:val="32"/>
          <w:szCs w:val="32"/>
        </w:rPr>
        <w:t>次)</w:t>
      </w:r>
      <w:bookmarkEnd w:id="12"/>
    </w:p>
    <w:p w14:paraId="1BBFD8A4" w14:textId="77777777" w:rsidR="003F698E" w:rsidRPr="00543636" w:rsidRDefault="004C6067" w:rsidP="00F470A8">
      <w:pPr>
        <w:overflowPunct w:val="0"/>
        <w:spacing w:line="500" w:lineRule="exact"/>
        <w:ind w:leftChars="60" w:left="573" w:hangingChars="143" w:hanging="429"/>
        <w:jc w:val="both"/>
        <w:textAlignment w:val="auto"/>
        <w:rPr>
          <w:rFonts w:ascii="標楷體" w:eastAsia="標楷體" w:hAnsi="標楷體"/>
          <w:b/>
          <w:bCs/>
          <w:sz w:val="30"/>
          <w:szCs w:val="30"/>
        </w:rPr>
      </w:pPr>
      <w:r w:rsidRPr="00543636">
        <w:rPr>
          <w:rFonts w:ascii="標楷體" w:eastAsia="標楷體" w:hAnsi="標楷體" w:hint="eastAsia"/>
          <w:b/>
          <w:bCs/>
          <w:sz w:val="30"/>
          <w:szCs w:val="30"/>
        </w:rPr>
        <w:t xml:space="preserve">   </w:t>
      </w:r>
      <w:r w:rsidRPr="00543636">
        <w:rPr>
          <w:rFonts w:ascii="標楷體" w:eastAsia="標楷體" w:hAnsi="標楷體"/>
          <w:b/>
          <w:bCs/>
          <w:sz w:val="30"/>
          <w:szCs w:val="30"/>
        </w:rPr>
        <w:t>(一</w:t>
      </w:r>
      <w:r w:rsidRPr="00543636">
        <w:rPr>
          <w:rFonts w:ascii="標楷體" w:eastAsia="標楷體" w:hAnsi="標楷體" w:hint="eastAsia"/>
          <w:b/>
          <w:bCs/>
          <w:sz w:val="30"/>
          <w:szCs w:val="30"/>
        </w:rPr>
        <w:t>)</w:t>
      </w:r>
      <w:r w:rsidR="00543636" w:rsidRPr="00543636">
        <w:rPr>
          <w:rFonts w:ascii="標楷體" w:eastAsia="標楷體" w:hAnsi="標楷體" w:hint="eastAsia"/>
          <w:b/>
          <w:bCs/>
          <w:sz w:val="30"/>
          <w:szCs w:val="30"/>
        </w:rPr>
        <w:t>10</w:t>
      </w:r>
      <w:r w:rsidRPr="00543636">
        <w:rPr>
          <w:rFonts w:ascii="標楷體" w:eastAsia="標楷體" w:hAnsi="標楷體" w:hint="eastAsia"/>
          <w:b/>
          <w:bCs/>
          <w:sz w:val="30"/>
          <w:szCs w:val="30"/>
        </w:rPr>
        <w:t>月</w:t>
      </w:r>
      <w:r w:rsidR="00543636" w:rsidRPr="00543636">
        <w:rPr>
          <w:rFonts w:ascii="標楷體" w:eastAsia="標楷體" w:hAnsi="標楷體" w:hint="eastAsia"/>
          <w:b/>
          <w:bCs/>
          <w:sz w:val="30"/>
          <w:szCs w:val="30"/>
        </w:rPr>
        <w:t>7</w:t>
      </w:r>
      <w:r w:rsidRPr="00543636">
        <w:rPr>
          <w:rFonts w:ascii="標楷體" w:eastAsia="標楷體" w:hAnsi="標楷體" w:hint="eastAsia"/>
          <w:b/>
          <w:bCs/>
          <w:sz w:val="30"/>
          <w:szCs w:val="30"/>
        </w:rPr>
        <w:t>日(星期</w:t>
      </w:r>
      <w:r w:rsidR="00543636" w:rsidRPr="00543636">
        <w:rPr>
          <w:rFonts w:ascii="標楷體" w:eastAsia="標楷體" w:hAnsi="標楷體" w:hint="eastAsia"/>
          <w:b/>
          <w:bCs/>
          <w:sz w:val="30"/>
          <w:szCs w:val="30"/>
        </w:rPr>
        <w:t>一</w:t>
      </w:r>
      <w:r w:rsidRPr="00543636">
        <w:rPr>
          <w:rFonts w:ascii="標楷體" w:eastAsia="標楷體" w:hAnsi="標楷體" w:hint="eastAsia"/>
          <w:b/>
          <w:bCs/>
          <w:sz w:val="30"/>
          <w:szCs w:val="30"/>
        </w:rPr>
        <w:t>)</w:t>
      </w:r>
    </w:p>
    <w:p w14:paraId="29E6BC22" w14:textId="77777777" w:rsidR="004C6067" w:rsidRPr="006D59AD" w:rsidRDefault="009C701C" w:rsidP="00F470A8">
      <w:pPr>
        <w:tabs>
          <w:tab w:val="left" w:pos="646"/>
        </w:tabs>
        <w:overflowPunct w:val="0"/>
        <w:spacing w:line="440" w:lineRule="exact"/>
        <w:ind w:leftChars="450" w:left="1080" w:firstLineChars="200" w:firstLine="560"/>
        <w:jc w:val="both"/>
        <w:rPr>
          <w:rFonts w:ascii="標楷體" w:eastAsia="標楷體" w:hAnsi="標楷體"/>
          <w:b/>
          <w:bCs/>
          <w:sz w:val="30"/>
          <w:szCs w:val="30"/>
        </w:rPr>
      </w:pPr>
      <w:r w:rsidRPr="00471987">
        <w:rPr>
          <w:rFonts w:ascii="標楷體" w:eastAsia="標楷體" w:hAnsi="標楷體" w:hint="eastAsia"/>
          <w:kern w:val="2"/>
          <w:sz w:val="28"/>
          <w:szCs w:val="28"/>
        </w:rPr>
        <w:t>由本會</w:t>
      </w:r>
      <w:r w:rsidR="00471987" w:rsidRPr="00471987">
        <w:rPr>
          <w:rFonts w:ascii="標楷體" w:eastAsia="標楷體" w:hAnsi="標楷體" w:hint="eastAsia"/>
          <w:kern w:val="2"/>
          <w:sz w:val="28"/>
          <w:szCs w:val="28"/>
        </w:rPr>
        <w:t>陳</w:t>
      </w:r>
      <w:r w:rsidRPr="00471987">
        <w:rPr>
          <w:rFonts w:ascii="標楷體" w:eastAsia="標楷體" w:hAnsi="標楷體" w:hint="eastAsia"/>
          <w:kern w:val="2"/>
          <w:sz w:val="28"/>
          <w:szCs w:val="28"/>
        </w:rPr>
        <w:t>召集委員</w:t>
      </w:r>
      <w:r w:rsidR="00471987" w:rsidRPr="00471987">
        <w:rPr>
          <w:rFonts w:ascii="標楷體" w:eastAsia="標楷體" w:hAnsi="標楷體" w:hint="eastAsia"/>
          <w:kern w:val="2"/>
          <w:sz w:val="28"/>
          <w:szCs w:val="28"/>
        </w:rPr>
        <w:t>玉珍</w:t>
      </w:r>
      <w:r w:rsidRPr="00471987">
        <w:rPr>
          <w:rFonts w:ascii="標楷體" w:eastAsia="標楷體" w:hAnsi="標楷體" w:hint="eastAsia"/>
          <w:kern w:val="2"/>
          <w:sz w:val="28"/>
          <w:szCs w:val="28"/>
        </w:rPr>
        <w:t>擔任主席，學者專家：</w:t>
      </w:r>
      <w:r w:rsidR="00471987" w:rsidRPr="00471987">
        <w:rPr>
          <w:rFonts w:ascii="標楷體" w:eastAsia="標楷體" w:hAnsi="標楷體" w:hint="eastAsia"/>
          <w:kern w:val="2"/>
          <w:sz w:val="28"/>
          <w:szCs w:val="28"/>
        </w:rPr>
        <w:t>臺北商業大學財政稅務系副教授羅時萬</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逢甲大學會計學系助理教授伍大開</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財團法人</w:t>
      </w:r>
      <w:r w:rsidR="00471987" w:rsidRPr="00471987">
        <w:rPr>
          <w:rFonts w:ascii="標楷體" w:eastAsia="標楷體" w:hAnsi="標楷體" w:hint="eastAsia"/>
          <w:kern w:val="2"/>
          <w:sz w:val="28"/>
          <w:szCs w:val="28"/>
        </w:rPr>
        <w:lastRenderedPageBreak/>
        <w:t>國家政策研究基金會經濟財政組副研究員周信佑</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臺灣大學法律學系教授柯格鐘</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成功大學經濟學系教授蔡群立</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政治大學財政學系教授賴育邦</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中興大學國家政策與公共事務研究所助理教授紀和均</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政治大學財政學系教授羅光達</w:t>
      </w:r>
      <w:r w:rsidR="00471987">
        <w:rPr>
          <w:rFonts w:ascii="標楷體" w:eastAsia="標楷體" w:hAnsi="標楷體" w:hint="eastAsia"/>
          <w:kern w:val="2"/>
          <w:sz w:val="28"/>
          <w:szCs w:val="28"/>
        </w:rPr>
        <w:t>、</w:t>
      </w:r>
      <w:r w:rsidR="00471987" w:rsidRPr="00471987">
        <w:rPr>
          <w:rFonts w:ascii="標楷體" w:eastAsia="標楷體" w:hAnsi="標楷體" w:hint="eastAsia"/>
          <w:kern w:val="2"/>
          <w:sz w:val="28"/>
          <w:szCs w:val="28"/>
        </w:rPr>
        <w:t>臺北商業大學財政稅務系教授黃耀輝</w:t>
      </w:r>
      <w:r w:rsidRPr="00471987">
        <w:rPr>
          <w:rFonts w:ascii="標楷體" w:eastAsia="標楷體" w:hAnsi="標楷體" w:hint="eastAsia"/>
          <w:kern w:val="2"/>
          <w:sz w:val="28"/>
          <w:szCs w:val="28"/>
        </w:rPr>
        <w:t>等。</w:t>
      </w:r>
      <w:r w:rsidRPr="00E80D42">
        <w:rPr>
          <w:rFonts w:ascii="標楷體" w:eastAsia="標楷體" w:hAnsi="標楷體" w:hint="eastAsia"/>
          <w:kern w:val="2"/>
          <w:sz w:val="28"/>
          <w:szCs w:val="28"/>
        </w:rPr>
        <w:t>政府機關代表：</w:t>
      </w:r>
      <w:r w:rsidR="00EC2638" w:rsidRPr="00E80D42">
        <w:rPr>
          <w:rFonts w:ascii="標楷體" w:eastAsia="標楷體" w:hAnsi="標楷體" w:hint="eastAsia"/>
          <w:kern w:val="2"/>
          <w:sz w:val="28"/>
          <w:szCs w:val="28"/>
        </w:rPr>
        <w:t>財政部部長莊翠雲、</w:t>
      </w:r>
      <w:r w:rsidR="00E80D42" w:rsidRPr="00E80D42">
        <w:rPr>
          <w:rFonts w:ascii="標楷體" w:eastAsia="標楷體" w:hAnsi="標楷體" w:hint="eastAsia"/>
          <w:kern w:val="2"/>
          <w:sz w:val="28"/>
          <w:szCs w:val="28"/>
        </w:rPr>
        <w:t>行政院主計總處公務預算處處長許永議</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內政部民政司專門委員劉立方</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國家發展委員會經濟發展處專門委員郭永騰</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法務部參事林豐文</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臺北市政府財政局專門委員周淑蕙</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新北市政府財政局主任秘書蔣喬玫</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桃園市政府財政局專門委員簡雅惠</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臺中市政府財政局專門委員蔡明杉</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臺南市政府財政稅務局專門委員陳家慶</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高雄市政府財政局專門委員呂仲浚</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新竹縣政府財政處副處長范惠琪</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苗栗縣政府財政處副處長王淑馨</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南投縣政府財政處副處長林靜娟</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彰化縣政府財政處科長王淑君</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雲林縣政府財政處副處長張志盟</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嘉義縣財政稅務局科長陳小玲</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屏東縣政府財稅局副局長莊美英</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宜蘭縣政府財政稅務局科員李品嫺</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花蓮縣政府財政處科長曾張恩</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臺東縣政府財政及經濟發展處副處長葉正鶴</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澎湖縣政府財政處副處長呂政聰</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金門縣政府財政處處長陳國庭</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連江縣政府財政稅務局科長張壽明</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基隆市政府財政處科長李佩芳</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新竹市政府財政處副處長黃湘鈴</w:t>
      </w:r>
      <w:r w:rsidR="00E80D42">
        <w:rPr>
          <w:rFonts w:ascii="標楷體" w:eastAsia="標楷體" w:hAnsi="標楷體" w:hint="eastAsia"/>
          <w:kern w:val="2"/>
          <w:sz w:val="28"/>
          <w:szCs w:val="28"/>
        </w:rPr>
        <w:t>、</w:t>
      </w:r>
      <w:r w:rsidR="00E80D42" w:rsidRPr="00E80D42">
        <w:rPr>
          <w:rFonts w:ascii="標楷體" w:eastAsia="標楷體" w:hAnsi="標楷體" w:hint="eastAsia"/>
          <w:kern w:val="2"/>
          <w:sz w:val="28"/>
          <w:szCs w:val="28"/>
        </w:rPr>
        <w:t>嘉義市政府財政稅務局科長張孟華</w:t>
      </w:r>
      <w:r w:rsidRPr="00E80D42">
        <w:rPr>
          <w:rFonts w:ascii="標楷體" w:eastAsia="標楷體" w:hAnsi="標楷體" w:hint="eastAsia"/>
          <w:kern w:val="2"/>
          <w:sz w:val="28"/>
          <w:szCs w:val="28"/>
        </w:rPr>
        <w:t>。</w:t>
      </w:r>
      <w:r w:rsidRPr="006D59AD">
        <w:rPr>
          <w:rFonts w:ascii="標楷體" w:eastAsia="標楷體" w:hAnsi="標楷體" w:hint="eastAsia"/>
          <w:kern w:val="2"/>
          <w:sz w:val="28"/>
          <w:szCs w:val="28"/>
        </w:rPr>
        <w:t>委員</w:t>
      </w:r>
      <w:r w:rsidR="006D59AD" w:rsidRPr="006D59AD">
        <w:rPr>
          <w:rFonts w:ascii="標楷體" w:eastAsia="標楷體" w:hAnsi="標楷體" w:hint="eastAsia"/>
          <w:kern w:val="2"/>
          <w:sz w:val="28"/>
          <w:szCs w:val="28"/>
        </w:rPr>
        <w:t>黃珊珊、賴士葆、李坤城、郭國文、王鴻薇、羅智強</w:t>
      </w:r>
      <w:r w:rsidRPr="006D59AD">
        <w:rPr>
          <w:rFonts w:ascii="標楷體" w:eastAsia="標楷體" w:hAnsi="標楷體" w:hint="eastAsia"/>
          <w:kern w:val="2"/>
          <w:sz w:val="28"/>
          <w:szCs w:val="28"/>
        </w:rPr>
        <w:t>等與會發言。</w:t>
      </w:r>
      <w:r w:rsidRPr="00464A6F">
        <w:rPr>
          <w:rFonts w:ascii="標楷體" w:eastAsia="標楷體" w:hAnsi="標楷體"/>
          <w:b/>
          <w:bCs/>
          <w:color w:val="FF0000"/>
          <w:sz w:val="30"/>
          <w:szCs w:val="30"/>
        </w:rPr>
        <w:cr/>
      </w:r>
      <w:r w:rsidRPr="006D59AD">
        <w:rPr>
          <w:rFonts w:ascii="標楷體" w:eastAsia="標楷體" w:hAnsi="標楷體" w:hint="eastAsia"/>
          <w:b/>
          <w:bCs/>
          <w:sz w:val="30"/>
          <w:szCs w:val="30"/>
        </w:rPr>
        <w:t>討論提綱：</w:t>
      </w:r>
    </w:p>
    <w:p w14:paraId="13CC32CE" w14:textId="77777777" w:rsidR="006D59AD" w:rsidRPr="006D59AD" w:rsidRDefault="009C701C" w:rsidP="00F470A8">
      <w:pPr>
        <w:tabs>
          <w:tab w:val="left" w:pos="646"/>
        </w:tabs>
        <w:overflowPunct w:val="0"/>
        <w:spacing w:line="440" w:lineRule="exact"/>
        <w:ind w:leftChars="400" w:left="1520" w:hangingChars="200" w:hanging="560"/>
        <w:jc w:val="both"/>
        <w:rPr>
          <w:rFonts w:ascii="標楷體" w:eastAsia="標楷體" w:hAnsi="標楷體"/>
          <w:kern w:val="2"/>
          <w:sz w:val="28"/>
          <w:szCs w:val="28"/>
        </w:rPr>
      </w:pPr>
      <w:r w:rsidRPr="006D59AD">
        <w:rPr>
          <w:rFonts w:ascii="標楷體" w:eastAsia="標楷體" w:hAnsi="標楷體"/>
          <w:kern w:val="2"/>
          <w:sz w:val="28"/>
          <w:szCs w:val="28"/>
        </w:rPr>
        <w:t>(一)</w:t>
      </w:r>
      <w:r w:rsidR="006D59AD" w:rsidRPr="006D59AD">
        <w:rPr>
          <w:rFonts w:ascii="標楷體" w:eastAsia="標楷體" w:hAnsi="標楷體" w:hint="eastAsia"/>
          <w:kern w:val="2"/>
          <w:sz w:val="28"/>
          <w:szCs w:val="28"/>
        </w:rPr>
        <w:t>如何修法增加地方財源，解決地方財政困境，實現地方政府財政自主。</w:t>
      </w:r>
    </w:p>
    <w:p w14:paraId="1BC5C322" w14:textId="77777777" w:rsidR="006D59AD" w:rsidRPr="006D59AD" w:rsidRDefault="006D59AD" w:rsidP="00F470A8">
      <w:pPr>
        <w:tabs>
          <w:tab w:val="left" w:pos="646"/>
        </w:tabs>
        <w:overflowPunct w:val="0"/>
        <w:spacing w:line="440" w:lineRule="exact"/>
        <w:ind w:leftChars="400" w:left="1520" w:hangingChars="200" w:hanging="560"/>
        <w:jc w:val="both"/>
        <w:rPr>
          <w:rFonts w:ascii="標楷體" w:eastAsia="標楷體" w:hAnsi="標楷體"/>
          <w:kern w:val="2"/>
          <w:sz w:val="28"/>
          <w:szCs w:val="28"/>
        </w:rPr>
      </w:pPr>
      <w:r w:rsidRPr="006D59AD">
        <w:rPr>
          <w:rFonts w:ascii="標楷體" w:eastAsia="標楷體" w:hAnsi="標楷體" w:hint="eastAsia"/>
          <w:kern w:val="2"/>
          <w:sz w:val="28"/>
          <w:szCs w:val="28"/>
        </w:rPr>
        <w:t>(二)如何修法調整統籌分配款與一般補助款，以使地方政府事權相符。</w:t>
      </w:r>
    </w:p>
    <w:p w14:paraId="0CDBAEF8" w14:textId="77777777" w:rsidR="006D59AD" w:rsidRPr="006D59AD" w:rsidRDefault="006D59AD" w:rsidP="00F470A8">
      <w:pPr>
        <w:tabs>
          <w:tab w:val="left" w:pos="646"/>
        </w:tabs>
        <w:overflowPunct w:val="0"/>
        <w:spacing w:line="440" w:lineRule="exact"/>
        <w:ind w:leftChars="400" w:left="1520" w:hangingChars="200" w:hanging="560"/>
        <w:jc w:val="both"/>
        <w:rPr>
          <w:rFonts w:ascii="標楷體" w:eastAsia="標楷體" w:hAnsi="標楷體"/>
          <w:kern w:val="2"/>
          <w:sz w:val="28"/>
          <w:szCs w:val="28"/>
        </w:rPr>
      </w:pPr>
      <w:r w:rsidRPr="006D59AD">
        <w:rPr>
          <w:rFonts w:ascii="標楷體" w:eastAsia="標楷體" w:hAnsi="標楷體" w:hint="eastAsia"/>
          <w:kern w:val="2"/>
          <w:sz w:val="28"/>
          <w:szCs w:val="28"/>
        </w:rPr>
        <w:t>(三)如何修法讓稅收在中央與地方之分配結構能夠合理化，進而強化中央與地方的夥伴關係，以避免中央集權又集錢之印象。</w:t>
      </w:r>
    </w:p>
    <w:p w14:paraId="62D41BBC" w14:textId="33122FCA" w:rsidR="00CE47DF" w:rsidRPr="00543636" w:rsidRDefault="00F16097" w:rsidP="00F470A8">
      <w:pPr>
        <w:pStyle w:val="2"/>
        <w:numPr>
          <w:ilvl w:val="0"/>
          <w:numId w:val="0"/>
        </w:numPr>
        <w:overflowPunct w:val="0"/>
        <w:spacing w:line="480" w:lineRule="exact"/>
        <w:ind w:left="927" w:hanging="567"/>
        <w:rPr>
          <w:rFonts w:ascii="標楷體" w:eastAsia="標楷體" w:hAnsi="標楷體"/>
          <w:bCs w:val="0"/>
          <w:kern w:val="2"/>
          <w:sz w:val="32"/>
          <w:szCs w:val="32"/>
        </w:rPr>
      </w:pPr>
      <w:bookmarkStart w:id="13" w:name="_Toc189487271"/>
      <w:r w:rsidRPr="00543636">
        <w:rPr>
          <w:rFonts w:ascii="標楷體" w:eastAsia="標楷體" w:hAnsi="標楷體" w:hint="eastAsia"/>
          <w:bCs w:val="0"/>
          <w:kern w:val="2"/>
          <w:sz w:val="32"/>
          <w:szCs w:val="32"/>
        </w:rPr>
        <w:t>三</w:t>
      </w:r>
      <w:r w:rsidR="002263C8" w:rsidRPr="00543636">
        <w:rPr>
          <w:rFonts w:ascii="標楷體" w:eastAsia="標楷體" w:hAnsi="標楷體" w:hint="eastAsia"/>
          <w:bCs w:val="0"/>
          <w:kern w:val="2"/>
          <w:sz w:val="32"/>
          <w:szCs w:val="32"/>
        </w:rPr>
        <w:t>、</w:t>
      </w:r>
      <w:r w:rsidR="00CE47DF" w:rsidRPr="00543636">
        <w:rPr>
          <w:rFonts w:ascii="標楷體" w:eastAsia="標楷體" w:hAnsi="標楷體"/>
          <w:bCs w:val="0"/>
          <w:kern w:val="2"/>
          <w:sz w:val="32"/>
          <w:szCs w:val="32"/>
        </w:rPr>
        <w:t>考察活動(</w:t>
      </w:r>
      <w:r w:rsidR="004E1C6E">
        <w:rPr>
          <w:rFonts w:ascii="標楷體" w:eastAsia="標楷體" w:hAnsi="標楷體"/>
          <w:bCs w:val="0"/>
          <w:kern w:val="2"/>
          <w:sz w:val="32"/>
          <w:szCs w:val="32"/>
        </w:rPr>
        <w:t>10</w:t>
      </w:r>
      <w:r w:rsidR="00CE47DF" w:rsidRPr="00543636">
        <w:rPr>
          <w:rFonts w:ascii="標楷體" w:eastAsia="標楷體" w:hAnsi="標楷體"/>
          <w:bCs w:val="0"/>
          <w:kern w:val="2"/>
          <w:sz w:val="32"/>
          <w:szCs w:val="32"/>
        </w:rPr>
        <w:t>次)</w:t>
      </w:r>
      <w:bookmarkEnd w:id="13"/>
    </w:p>
    <w:p w14:paraId="7E38EB9C" w14:textId="6EECDD69" w:rsidR="00CE47DF" w:rsidRPr="00543636" w:rsidRDefault="00CE47DF" w:rsidP="00F470A8">
      <w:pPr>
        <w:overflowPunct w:val="0"/>
        <w:spacing w:line="500" w:lineRule="exact"/>
        <w:ind w:leftChars="60" w:left="573" w:hangingChars="143" w:hanging="429"/>
        <w:jc w:val="both"/>
        <w:textAlignment w:val="auto"/>
        <w:rPr>
          <w:rFonts w:ascii="標楷體" w:eastAsia="標楷體" w:hAnsi="標楷體"/>
          <w:b/>
          <w:bCs/>
          <w:sz w:val="32"/>
          <w:szCs w:val="32"/>
        </w:rPr>
      </w:pPr>
      <w:r w:rsidRPr="00543636">
        <w:rPr>
          <w:rFonts w:ascii="標楷體" w:eastAsia="標楷體" w:hAnsi="標楷體" w:hint="eastAsia"/>
          <w:b/>
          <w:bCs/>
          <w:sz w:val="30"/>
          <w:szCs w:val="30"/>
        </w:rPr>
        <w:t xml:space="preserve">  </w:t>
      </w:r>
      <w:r w:rsidR="00EC103B" w:rsidRPr="00543636">
        <w:rPr>
          <w:rFonts w:ascii="標楷體" w:eastAsia="標楷體" w:hAnsi="標楷體" w:hint="eastAsia"/>
          <w:b/>
          <w:bCs/>
          <w:sz w:val="30"/>
          <w:szCs w:val="30"/>
        </w:rPr>
        <w:t xml:space="preserve"> </w:t>
      </w:r>
      <w:r w:rsidRPr="00543636">
        <w:rPr>
          <w:rFonts w:ascii="標楷體" w:eastAsia="標楷體" w:hAnsi="標楷體"/>
          <w:b/>
          <w:bCs/>
          <w:sz w:val="30"/>
          <w:szCs w:val="30"/>
        </w:rPr>
        <w:t>(一</w:t>
      </w:r>
      <w:r w:rsidRPr="00543636">
        <w:rPr>
          <w:rFonts w:ascii="標楷體" w:eastAsia="標楷體" w:hAnsi="標楷體" w:hint="eastAsia"/>
          <w:b/>
          <w:bCs/>
          <w:sz w:val="30"/>
          <w:szCs w:val="30"/>
        </w:rPr>
        <w:t>)</w:t>
      </w:r>
      <w:r w:rsidRPr="00543636">
        <w:rPr>
          <w:rFonts w:ascii="標楷體" w:eastAsia="標楷體" w:hAnsi="標楷體"/>
          <w:b/>
          <w:bCs/>
          <w:sz w:val="30"/>
          <w:szCs w:val="30"/>
        </w:rPr>
        <w:t>國內考察(</w:t>
      </w:r>
      <w:r w:rsidR="004E1C6E">
        <w:rPr>
          <w:rFonts w:ascii="標楷體" w:eastAsia="標楷體" w:hAnsi="標楷體"/>
          <w:b/>
          <w:bCs/>
          <w:sz w:val="30"/>
          <w:szCs w:val="30"/>
        </w:rPr>
        <w:t>10</w:t>
      </w:r>
      <w:r w:rsidRPr="00543636">
        <w:rPr>
          <w:rFonts w:ascii="標楷體" w:eastAsia="標楷體" w:hAnsi="標楷體"/>
          <w:b/>
          <w:bCs/>
          <w:sz w:val="30"/>
          <w:szCs w:val="30"/>
        </w:rPr>
        <w:t>次)</w:t>
      </w:r>
    </w:p>
    <w:p w14:paraId="68B3CA96" w14:textId="77777777" w:rsidR="00CE47DF" w:rsidRPr="00543636" w:rsidRDefault="00CE47DF" w:rsidP="00F470A8">
      <w:pPr>
        <w:tabs>
          <w:tab w:val="left" w:pos="709"/>
        </w:tabs>
        <w:overflowPunct w:val="0"/>
        <w:spacing w:line="440" w:lineRule="exact"/>
        <w:ind w:firstLineChars="455" w:firstLine="1275"/>
        <w:jc w:val="both"/>
        <w:textAlignment w:val="auto"/>
        <w:rPr>
          <w:rFonts w:ascii="標楷體" w:eastAsia="標楷體" w:hAnsi="標楷體"/>
          <w:b/>
          <w:bCs/>
          <w:sz w:val="28"/>
          <w:szCs w:val="28"/>
          <w:u w:val="single"/>
        </w:rPr>
      </w:pPr>
      <w:r w:rsidRPr="00543636">
        <w:rPr>
          <w:rFonts w:ascii="標楷體" w:eastAsia="標楷體" w:hAnsi="標楷體"/>
          <w:b/>
          <w:bCs/>
          <w:sz w:val="28"/>
          <w:szCs w:val="28"/>
        </w:rPr>
        <w:t>1.</w:t>
      </w:r>
      <w:r w:rsidR="00543636" w:rsidRPr="00543636">
        <w:rPr>
          <w:rFonts w:ascii="標楷體" w:eastAsia="標楷體" w:hAnsi="標楷體" w:hint="eastAsia"/>
          <w:b/>
          <w:bCs/>
          <w:sz w:val="28"/>
          <w:szCs w:val="28"/>
          <w:u w:val="single"/>
        </w:rPr>
        <w:t>9</w:t>
      </w:r>
      <w:r w:rsidRPr="00543636">
        <w:rPr>
          <w:rFonts w:ascii="標楷體" w:eastAsia="標楷體" w:hAnsi="標楷體"/>
          <w:b/>
          <w:bCs/>
          <w:sz w:val="28"/>
          <w:szCs w:val="28"/>
          <w:u w:val="single"/>
        </w:rPr>
        <w:t>月</w:t>
      </w:r>
      <w:r w:rsidR="00543636" w:rsidRPr="00543636">
        <w:rPr>
          <w:rFonts w:ascii="標楷體" w:eastAsia="標楷體" w:hAnsi="標楷體" w:hint="eastAsia"/>
          <w:b/>
          <w:bCs/>
          <w:sz w:val="28"/>
          <w:szCs w:val="28"/>
          <w:u w:val="single"/>
        </w:rPr>
        <w:t>30</w:t>
      </w:r>
      <w:r w:rsidRPr="00543636">
        <w:rPr>
          <w:rFonts w:ascii="標楷體" w:eastAsia="標楷體" w:hAnsi="標楷體"/>
          <w:b/>
          <w:bCs/>
          <w:sz w:val="28"/>
          <w:szCs w:val="28"/>
          <w:u w:val="single"/>
        </w:rPr>
        <w:t>日(星期</w:t>
      </w:r>
      <w:r w:rsidR="00543636" w:rsidRPr="00543636">
        <w:rPr>
          <w:rFonts w:ascii="標楷體" w:eastAsia="標楷體" w:hAnsi="標楷體" w:hint="eastAsia"/>
          <w:b/>
          <w:bCs/>
          <w:sz w:val="28"/>
          <w:szCs w:val="28"/>
          <w:u w:val="single"/>
        </w:rPr>
        <w:t>一</w:t>
      </w:r>
      <w:r w:rsidRPr="00543636">
        <w:rPr>
          <w:rFonts w:ascii="標楷體" w:eastAsia="標楷體" w:hAnsi="標楷體"/>
          <w:b/>
          <w:bCs/>
          <w:sz w:val="28"/>
          <w:szCs w:val="28"/>
          <w:u w:val="single"/>
        </w:rPr>
        <w:t>)</w:t>
      </w:r>
    </w:p>
    <w:p w14:paraId="546FD3B4" w14:textId="77777777" w:rsidR="00280B4C" w:rsidRPr="00543636" w:rsidRDefault="00D838EE" w:rsidP="00F470A8">
      <w:pPr>
        <w:tabs>
          <w:tab w:val="left" w:pos="646"/>
        </w:tabs>
        <w:overflowPunct w:val="0"/>
        <w:spacing w:line="440" w:lineRule="exact"/>
        <w:ind w:leftChars="650" w:left="1560"/>
        <w:jc w:val="both"/>
        <w:rPr>
          <w:rFonts w:ascii="標楷體" w:eastAsia="標楷體" w:hAnsi="標楷體"/>
          <w:b/>
          <w:kern w:val="2"/>
          <w:sz w:val="28"/>
          <w:szCs w:val="28"/>
        </w:rPr>
      </w:pPr>
      <w:r w:rsidRPr="00543636">
        <w:rPr>
          <w:rFonts w:ascii="標楷體" w:eastAsia="標楷體" w:hAnsi="標楷體" w:hint="eastAsia"/>
          <w:kern w:val="2"/>
          <w:sz w:val="28"/>
          <w:szCs w:val="28"/>
        </w:rPr>
        <w:t>考察</w:t>
      </w:r>
      <w:r w:rsidR="00543636" w:rsidRPr="00543636">
        <w:rPr>
          <w:rFonts w:ascii="標楷體" w:eastAsia="標楷體" w:hAnsi="標楷體" w:hint="eastAsia"/>
          <w:b/>
          <w:kern w:val="2"/>
          <w:sz w:val="28"/>
          <w:szCs w:val="28"/>
        </w:rPr>
        <w:t>臺南市農田水利建設、蘭花園區暨八掌溪溢堤後修繕處理進度及相關預算執行情形</w:t>
      </w:r>
      <w:r w:rsidRPr="00543636">
        <w:rPr>
          <w:rFonts w:ascii="標楷體" w:eastAsia="標楷體" w:hAnsi="標楷體" w:hint="eastAsia"/>
          <w:b/>
          <w:kern w:val="2"/>
          <w:sz w:val="28"/>
          <w:szCs w:val="28"/>
        </w:rPr>
        <w:t>。</w:t>
      </w:r>
    </w:p>
    <w:p w14:paraId="611979DA" w14:textId="77777777" w:rsidR="00280B4C" w:rsidRPr="00464A6F" w:rsidRDefault="00136C43" w:rsidP="00F470A8">
      <w:pPr>
        <w:tabs>
          <w:tab w:val="left" w:pos="646"/>
        </w:tabs>
        <w:overflowPunct w:val="0"/>
        <w:spacing w:line="440" w:lineRule="exact"/>
        <w:ind w:leftChars="650" w:left="1560" w:firstLineChars="200" w:firstLine="560"/>
        <w:jc w:val="both"/>
        <w:rPr>
          <w:rFonts w:ascii="標楷體" w:eastAsia="標楷體" w:hAnsi="標楷體"/>
          <w:bCs/>
          <w:color w:val="FF0000"/>
          <w:kern w:val="2"/>
          <w:sz w:val="28"/>
          <w:szCs w:val="28"/>
        </w:rPr>
      </w:pPr>
      <w:r w:rsidRPr="00006269">
        <w:rPr>
          <w:rFonts w:ascii="標楷體" w:eastAsia="標楷體" w:hAnsi="標楷體" w:hint="eastAsia"/>
          <w:sz w:val="28"/>
          <w:szCs w:val="28"/>
        </w:rPr>
        <w:lastRenderedPageBreak/>
        <w:t>賴召集委員惠員領隊，行政院主計總處專門委員王前鎧、審計部教育農林審計處長李香美、農業部</w:t>
      </w:r>
      <w:r w:rsidRPr="00006269">
        <w:rPr>
          <w:rFonts w:ascii="標楷體" w:eastAsia="標楷體" w:hAnsi="標楷體" w:hint="eastAsia"/>
          <w:sz w:val="28"/>
          <w:szCs w:val="28"/>
        </w:rPr>
        <w:tab/>
        <w:t>政務次長黃昭欽、</w:t>
      </w:r>
      <w:r w:rsidRPr="00EC6FD9">
        <w:rPr>
          <w:rFonts w:ascii="標楷體" w:eastAsia="標楷體" w:hAnsi="標楷體" w:hint="eastAsia"/>
          <w:sz w:val="28"/>
          <w:szCs w:val="28"/>
        </w:rPr>
        <w:t>經濟部水利署副署長林元鵬</w:t>
      </w:r>
      <w:r>
        <w:rPr>
          <w:rFonts w:ascii="標楷體" w:eastAsia="標楷體" w:hAnsi="標楷體" w:hint="eastAsia"/>
          <w:sz w:val="28"/>
          <w:szCs w:val="28"/>
        </w:rPr>
        <w:t>、</w:t>
      </w:r>
      <w:r w:rsidRPr="00EC6FD9">
        <w:rPr>
          <w:rFonts w:ascii="標楷體" w:eastAsia="標楷體" w:hAnsi="標楷體" w:hint="eastAsia"/>
          <w:sz w:val="28"/>
          <w:szCs w:val="28"/>
        </w:rPr>
        <w:t>台灣糖業股份有限公司副總經理蔡東霖</w:t>
      </w:r>
      <w:r>
        <w:rPr>
          <w:rFonts w:ascii="標楷體" w:eastAsia="標楷體" w:hAnsi="標楷體" w:hint="eastAsia"/>
          <w:sz w:val="28"/>
          <w:szCs w:val="28"/>
        </w:rPr>
        <w:t>、</w:t>
      </w:r>
      <w:r w:rsidRPr="00006269">
        <w:rPr>
          <w:rFonts w:ascii="標楷體" w:eastAsia="標楷體" w:hAnsi="標楷體" w:hint="eastAsia"/>
          <w:sz w:val="28"/>
          <w:szCs w:val="28"/>
        </w:rPr>
        <w:t>臺南市政府副秘書長殷世熙暨相關人員陪同。</w:t>
      </w:r>
      <w:r>
        <w:rPr>
          <w:rFonts w:ascii="標楷體" w:eastAsia="標楷體" w:hAnsi="標楷體" w:hint="eastAsia"/>
          <w:sz w:val="28"/>
          <w:szCs w:val="28"/>
        </w:rPr>
        <w:t>第一場次</w:t>
      </w:r>
      <w:r w:rsidRPr="00006269">
        <w:rPr>
          <w:rFonts w:ascii="標楷體" w:eastAsia="標楷體" w:hAnsi="標楷體" w:hint="eastAsia"/>
          <w:sz w:val="28"/>
          <w:szCs w:val="28"/>
        </w:rPr>
        <w:t>由經濟部水利署第五河川分署分署長吳明華報告八掌溪瓶頸段治理及疏濬工程</w:t>
      </w:r>
      <w:r>
        <w:rPr>
          <w:rFonts w:ascii="標楷體" w:eastAsia="標楷體" w:hAnsi="標楷體" w:hint="eastAsia"/>
          <w:sz w:val="28"/>
          <w:szCs w:val="28"/>
        </w:rPr>
        <w:t>辦理情形</w:t>
      </w:r>
      <w:r w:rsidRPr="00006269">
        <w:rPr>
          <w:rFonts w:ascii="標楷體" w:eastAsia="標楷體" w:hAnsi="標楷體" w:hint="eastAsia"/>
          <w:sz w:val="28"/>
          <w:szCs w:val="28"/>
        </w:rPr>
        <w:t>，</w:t>
      </w:r>
      <w:r>
        <w:rPr>
          <w:rFonts w:ascii="標楷體" w:eastAsia="標楷體" w:hAnsi="標楷體" w:hint="eastAsia"/>
          <w:sz w:val="28"/>
          <w:szCs w:val="28"/>
        </w:rPr>
        <w:t>並經當地</w:t>
      </w:r>
      <w:r w:rsidRPr="006224F0">
        <w:rPr>
          <w:rFonts w:ascii="標楷體" w:eastAsia="標楷體" w:hAnsi="標楷體" w:hint="eastAsia"/>
          <w:sz w:val="28"/>
          <w:szCs w:val="28"/>
        </w:rPr>
        <w:t>民意代表及民眾表達</w:t>
      </w:r>
      <w:r>
        <w:rPr>
          <w:rFonts w:ascii="標楷體" w:eastAsia="標楷體" w:hAnsi="標楷體" w:hint="eastAsia"/>
          <w:sz w:val="28"/>
          <w:szCs w:val="28"/>
        </w:rPr>
        <w:t>有</w:t>
      </w:r>
      <w:r w:rsidRPr="006224F0">
        <w:rPr>
          <w:rFonts w:ascii="標楷體" w:eastAsia="標楷體" w:hAnsi="標楷體" w:hint="eastAsia"/>
          <w:sz w:val="28"/>
          <w:szCs w:val="28"/>
        </w:rPr>
        <w:t>關</w:t>
      </w:r>
      <w:r>
        <w:rPr>
          <w:rFonts w:ascii="標楷體" w:eastAsia="標楷體" w:hAnsi="標楷體" w:hint="eastAsia"/>
          <w:sz w:val="28"/>
          <w:szCs w:val="28"/>
        </w:rPr>
        <w:t>受災農地清淤、休耕補助等訴求；</w:t>
      </w:r>
      <w:r w:rsidRPr="00006269">
        <w:rPr>
          <w:rFonts w:ascii="標楷體" w:eastAsia="標楷體" w:hAnsi="標楷體" w:hint="eastAsia"/>
          <w:sz w:val="28"/>
          <w:szCs w:val="28"/>
        </w:rPr>
        <w:t>第二場次</w:t>
      </w:r>
      <w:r w:rsidRPr="00006269">
        <w:rPr>
          <w:rFonts w:ascii="Times New Roman" w:eastAsia="標楷體" w:hAnsi="標楷體" w:hint="eastAsia"/>
          <w:sz w:val="28"/>
          <w:szCs w:val="28"/>
        </w:rPr>
        <w:t>考察後壁區本協小排三，由農業部農田水利署嘉南管理處</w:t>
      </w:r>
      <w:r>
        <w:rPr>
          <w:rFonts w:ascii="Times New Roman" w:eastAsia="標楷體" w:hAnsi="標楷體" w:hint="eastAsia"/>
          <w:sz w:val="28"/>
          <w:szCs w:val="28"/>
        </w:rPr>
        <w:t>處長王志誠</w:t>
      </w:r>
      <w:r w:rsidRPr="00006269">
        <w:rPr>
          <w:rFonts w:ascii="Times New Roman" w:eastAsia="標楷體" w:hAnsi="標楷體" w:hint="eastAsia"/>
          <w:sz w:val="28"/>
          <w:szCs w:val="28"/>
        </w:rPr>
        <w:t>報告現況及改善方式，</w:t>
      </w:r>
      <w:r>
        <w:rPr>
          <w:rFonts w:ascii="Times New Roman" w:eastAsia="標楷體" w:hAnsi="標楷體" w:hint="eastAsia"/>
          <w:sz w:val="28"/>
          <w:szCs w:val="28"/>
        </w:rPr>
        <w:t>嗣地方</w:t>
      </w:r>
      <w:r w:rsidRPr="00006269">
        <w:rPr>
          <w:rFonts w:ascii="Times New Roman" w:eastAsia="標楷體" w:hAnsi="標楷體" w:hint="eastAsia"/>
          <w:sz w:val="28"/>
          <w:szCs w:val="28"/>
        </w:rPr>
        <w:t>民</w:t>
      </w:r>
      <w:r>
        <w:rPr>
          <w:rFonts w:ascii="Times New Roman" w:eastAsia="標楷體" w:hAnsi="標楷體" w:hint="eastAsia"/>
          <w:sz w:val="28"/>
          <w:szCs w:val="28"/>
        </w:rPr>
        <w:t>眾</w:t>
      </w:r>
      <w:r w:rsidRPr="00006269">
        <w:rPr>
          <w:rFonts w:ascii="Times New Roman" w:eastAsia="標楷體" w:hAnsi="標楷體" w:hint="eastAsia"/>
          <w:sz w:val="28"/>
          <w:szCs w:val="28"/>
        </w:rPr>
        <w:t>表達</w:t>
      </w:r>
      <w:r>
        <w:rPr>
          <w:rFonts w:ascii="Times New Roman" w:eastAsia="標楷體" w:hAnsi="標楷體" w:hint="eastAsia"/>
          <w:sz w:val="28"/>
          <w:szCs w:val="28"/>
        </w:rPr>
        <w:t>當地尚有其他待改善</w:t>
      </w:r>
      <w:r w:rsidRPr="00006269">
        <w:rPr>
          <w:rFonts w:ascii="Times New Roman" w:eastAsia="標楷體" w:hAnsi="標楷體" w:hint="eastAsia"/>
          <w:sz w:val="28"/>
          <w:szCs w:val="28"/>
        </w:rPr>
        <w:t>農水路之</w:t>
      </w:r>
      <w:r>
        <w:rPr>
          <w:rFonts w:ascii="Times New Roman" w:eastAsia="標楷體" w:hAnsi="標楷體" w:hint="eastAsia"/>
          <w:sz w:val="28"/>
          <w:szCs w:val="28"/>
        </w:rPr>
        <w:t>需</w:t>
      </w:r>
      <w:r w:rsidRPr="00006269">
        <w:rPr>
          <w:rFonts w:ascii="Times New Roman" w:eastAsia="標楷體" w:hAnsi="標楷體" w:hint="eastAsia"/>
          <w:sz w:val="28"/>
          <w:szCs w:val="28"/>
        </w:rPr>
        <w:t>求</w:t>
      </w:r>
      <w:r>
        <w:rPr>
          <w:rFonts w:ascii="Times New Roman" w:eastAsia="標楷體" w:hAnsi="標楷體" w:hint="eastAsia"/>
          <w:sz w:val="28"/>
          <w:szCs w:val="28"/>
        </w:rPr>
        <w:t>，以上均經各相關機關回應及說明。第三場次為</w:t>
      </w:r>
      <w:r w:rsidRPr="00006269">
        <w:rPr>
          <w:rFonts w:ascii="Times New Roman" w:eastAsia="標楷體" w:hAnsi="Times New Roman"/>
          <w:sz w:val="28"/>
          <w:szCs w:val="28"/>
        </w:rPr>
        <w:t>考察農業部農業科技園區管理中心蘭花園區修繕工程處理狀況暨</w:t>
      </w:r>
      <w:r w:rsidRPr="00006269">
        <w:rPr>
          <w:rFonts w:ascii="Times New Roman" w:eastAsia="標楷體" w:hAnsi="Times New Roman"/>
          <w:color w:val="000000"/>
          <w:sz w:val="28"/>
          <w:szCs w:val="28"/>
        </w:rPr>
        <w:t>2025</w:t>
      </w:r>
      <w:r w:rsidRPr="00006269">
        <w:rPr>
          <w:rFonts w:ascii="Times New Roman" w:eastAsia="標楷體" w:hAnsi="Times New Roman"/>
          <w:color w:val="000000"/>
          <w:sz w:val="28"/>
          <w:szCs w:val="28"/>
        </w:rPr>
        <w:t>年世</w:t>
      </w:r>
      <w:r w:rsidRPr="00006269">
        <w:rPr>
          <w:rFonts w:ascii="Times New Roman" w:eastAsia="標楷體" w:hAnsi="Times New Roman"/>
          <w:sz w:val="28"/>
          <w:szCs w:val="28"/>
        </w:rPr>
        <w:t>界蘭展規劃</w:t>
      </w:r>
      <w:r>
        <w:rPr>
          <w:rFonts w:ascii="Times New Roman" w:eastAsia="標楷體" w:hAnsi="Times New Roman" w:hint="eastAsia"/>
          <w:sz w:val="28"/>
          <w:szCs w:val="28"/>
        </w:rPr>
        <w:t>，分由農業部農業科技園區管理中心區主任陳鴻志及社團法人台灣蘭花產銷發展協會副秘書長李佳燁報告，經在場各行政機關交換意見後</w:t>
      </w:r>
      <w:r w:rsidRPr="006224F0">
        <w:rPr>
          <w:rFonts w:ascii="標楷體" w:eastAsia="標楷體" w:hAnsi="標楷體" w:hint="eastAsia"/>
          <w:sz w:val="28"/>
          <w:szCs w:val="28"/>
        </w:rPr>
        <w:t>；</w:t>
      </w:r>
      <w:r>
        <w:rPr>
          <w:rFonts w:ascii="Times New Roman" w:eastAsia="標楷體" w:hAnsi="Times New Roman" w:hint="eastAsia"/>
          <w:sz w:val="28"/>
          <w:szCs w:val="28"/>
        </w:rPr>
        <w:t>請農業部參據預算法第</w:t>
      </w:r>
      <w:r>
        <w:rPr>
          <w:rFonts w:ascii="Times New Roman" w:eastAsia="標楷體" w:hAnsi="Times New Roman" w:hint="eastAsia"/>
          <w:sz w:val="28"/>
          <w:szCs w:val="28"/>
        </w:rPr>
        <w:t>88</w:t>
      </w:r>
      <w:r>
        <w:rPr>
          <w:rFonts w:ascii="Times New Roman" w:eastAsia="標楷體" w:hAnsi="Times New Roman" w:hint="eastAsia"/>
          <w:sz w:val="28"/>
          <w:szCs w:val="28"/>
        </w:rPr>
        <w:t>條規定，研酌由農業特別收入</w:t>
      </w:r>
      <w:r w:rsidRPr="008126E3">
        <w:rPr>
          <w:rFonts w:ascii="Times New Roman" w:eastAsia="標楷體" w:hAnsi="Times New Roman" w:hint="eastAsia"/>
          <w:sz w:val="28"/>
          <w:szCs w:val="28"/>
        </w:rPr>
        <w:t>基金支應本項</w:t>
      </w:r>
      <w:r>
        <w:rPr>
          <w:rFonts w:ascii="Times New Roman" w:eastAsia="標楷體" w:hAnsi="Times New Roman" w:hint="eastAsia"/>
          <w:sz w:val="28"/>
          <w:szCs w:val="28"/>
        </w:rPr>
        <w:t>緊急</w:t>
      </w:r>
      <w:r w:rsidRPr="008126E3">
        <w:rPr>
          <w:rFonts w:ascii="Times New Roman" w:eastAsia="標楷體" w:hAnsi="Times New Roman" w:hint="eastAsia"/>
          <w:sz w:val="28"/>
          <w:szCs w:val="28"/>
        </w:rPr>
        <w:t>工程</w:t>
      </w:r>
      <w:r>
        <w:rPr>
          <w:rFonts w:ascii="Times New Roman" w:eastAsia="標楷體" w:hAnsi="Times New Roman" w:hint="eastAsia"/>
          <w:sz w:val="28"/>
          <w:szCs w:val="28"/>
        </w:rPr>
        <w:t>經費</w:t>
      </w:r>
      <w:r w:rsidRPr="008126E3">
        <w:rPr>
          <w:rFonts w:ascii="Times New Roman" w:eastAsia="標楷體" w:hAnsi="Times New Roman" w:hint="eastAsia"/>
          <w:sz w:val="28"/>
          <w:szCs w:val="28"/>
        </w:rPr>
        <w:t>之可行性</w:t>
      </w:r>
      <w:r>
        <w:rPr>
          <w:rFonts w:ascii="Times New Roman" w:eastAsia="標楷體" w:hAnsi="Times New Roman" w:hint="eastAsia"/>
          <w:sz w:val="28"/>
          <w:szCs w:val="28"/>
        </w:rPr>
        <w:t>。以上各場</w:t>
      </w:r>
      <w:r w:rsidRPr="008126E3">
        <w:rPr>
          <w:rFonts w:ascii="標楷體" w:eastAsia="標楷體" w:hAnsi="標楷體" w:hint="eastAsia"/>
          <w:sz w:val="28"/>
          <w:szCs w:val="28"/>
        </w:rPr>
        <w:t>次考察相關紀錄及應辦理事項等，請各相關機關於2週內函送考察委員，</w:t>
      </w:r>
      <w:r w:rsidRPr="006224F0">
        <w:rPr>
          <w:rFonts w:ascii="標楷體" w:eastAsia="標楷體" w:hAnsi="標楷體" w:hint="eastAsia"/>
          <w:sz w:val="28"/>
          <w:szCs w:val="28"/>
        </w:rPr>
        <w:t>並副</w:t>
      </w:r>
      <w:r w:rsidRPr="008126E3">
        <w:rPr>
          <w:rFonts w:ascii="標楷體" w:eastAsia="標楷體" w:hAnsi="標楷體" w:hint="eastAsia"/>
          <w:sz w:val="28"/>
          <w:szCs w:val="28"/>
        </w:rPr>
        <w:t>知立法院財政委員會。</w:t>
      </w:r>
    </w:p>
    <w:p w14:paraId="29649BC1" w14:textId="77777777" w:rsidR="00C27276" w:rsidRPr="00136C43" w:rsidRDefault="00B25F01" w:rsidP="00F470A8">
      <w:pPr>
        <w:tabs>
          <w:tab w:val="left" w:pos="709"/>
        </w:tabs>
        <w:overflowPunct w:val="0"/>
        <w:spacing w:line="440" w:lineRule="exact"/>
        <w:ind w:firstLineChars="455" w:firstLine="1275"/>
        <w:jc w:val="both"/>
        <w:textAlignment w:val="auto"/>
        <w:rPr>
          <w:rFonts w:ascii="標楷體" w:eastAsia="標楷體" w:hAnsi="標楷體"/>
          <w:b/>
          <w:bCs/>
          <w:iCs/>
          <w:kern w:val="2"/>
          <w:sz w:val="28"/>
          <w:szCs w:val="28"/>
          <w:u w:val="single"/>
        </w:rPr>
      </w:pPr>
      <w:r w:rsidRPr="00136C43">
        <w:rPr>
          <w:rFonts w:ascii="標楷體" w:eastAsia="標楷體" w:hAnsi="標楷體"/>
          <w:b/>
          <w:bCs/>
          <w:sz w:val="28"/>
          <w:szCs w:val="28"/>
        </w:rPr>
        <w:t>2.</w:t>
      </w:r>
      <w:r w:rsidR="00136C43" w:rsidRPr="00136C43">
        <w:rPr>
          <w:rFonts w:ascii="標楷體" w:eastAsia="標楷體" w:hAnsi="標楷體" w:hint="eastAsia"/>
          <w:b/>
          <w:bCs/>
          <w:iCs/>
          <w:kern w:val="2"/>
          <w:sz w:val="28"/>
          <w:szCs w:val="28"/>
          <w:u w:val="single"/>
        </w:rPr>
        <w:t>10</w:t>
      </w:r>
      <w:r w:rsidR="00192ED8" w:rsidRPr="00136C43">
        <w:rPr>
          <w:rFonts w:ascii="標楷體" w:eastAsia="標楷體" w:hAnsi="標楷體"/>
          <w:b/>
          <w:bCs/>
          <w:iCs/>
          <w:kern w:val="2"/>
          <w:sz w:val="28"/>
          <w:szCs w:val="28"/>
          <w:u w:val="single"/>
        </w:rPr>
        <w:t>月</w:t>
      </w:r>
      <w:r w:rsidR="00136C43" w:rsidRPr="00136C43">
        <w:rPr>
          <w:rFonts w:ascii="標楷體" w:eastAsia="標楷體" w:hAnsi="標楷體" w:hint="eastAsia"/>
          <w:b/>
          <w:bCs/>
          <w:iCs/>
          <w:kern w:val="2"/>
          <w:sz w:val="28"/>
          <w:szCs w:val="28"/>
          <w:u w:val="single"/>
        </w:rPr>
        <w:t>9</w:t>
      </w:r>
      <w:r w:rsidR="00192ED8" w:rsidRPr="00136C43">
        <w:rPr>
          <w:rFonts w:ascii="標楷體" w:eastAsia="標楷體" w:hAnsi="標楷體" w:hint="eastAsia"/>
          <w:b/>
          <w:bCs/>
          <w:iCs/>
          <w:kern w:val="2"/>
          <w:sz w:val="28"/>
          <w:szCs w:val="28"/>
          <w:u w:val="single"/>
        </w:rPr>
        <w:t>日(星期</w:t>
      </w:r>
      <w:r w:rsidR="00136C43" w:rsidRPr="00136C43">
        <w:rPr>
          <w:rFonts w:ascii="標楷體" w:eastAsia="標楷體" w:hAnsi="標楷體" w:hint="eastAsia"/>
          <w:b/>
          <w:bCs/>
          <w:iCs/>
          <w:kern w:val="2"/>
          <w:sz w:val="28"/>
          <w:szCs w:val="28"/>
          <w:u w:val="single"/>
        </w:rPr>
        <w:t>三</w:t>
      </w:r>
      <w:r w:rsidR="00192ED8" w:rsidRPr="00136C43">
        <w:rPr>
          <w:rFonts w:ascii="標楷體" w:eastAsia="標楷體" w:hAnsi="標楷體" w:hint="eastAsia"/>
          <w:b/>
          <w:bCs/>
          <w:iCs/>
          <w:kern w:val="2"/>
          <w:sz w:val="28"/>
          <w:szCs w:val="28"/>
          <w:u w:val="single"/>
        </w:rPr>
        <w:t>)</w:t>
      </w:r>
    </w:p>
    <w:p w14:paraId="13B802BF" w14:textId="77777777" w:rsidR="00192ED8" w:rsidRPr="00136C43" w:rsidRDefault="00BF4386" w:rsidP="00F470A8">
      <w:pPr>
        <w:tabs>
          <w:tab w:val="left" w:pos="709"/>
        </w:tabs>
        <w:overflowPunct w:val="0"/>
        <w:spacing w:line="440" w:lineRule="exact"/>
        <w:ind w:leftChars="600" w:left="1440"/>
        <w:jc w:val="both"/>
        <w:textAlignment w:val="auto"/>
        <w:rPr>
          <w:rFonts w:ascii="標楷體" w:eastAsia="標楷體" w:hAnsi="標楷體"/>
          <w:b/>
          <w:bCs/>
          <w:iCs/>
          <w:kern w:val="2"/>
          <w:sz w:val="28"/>
          <w:szCs w:val="28"/>
          <w:u w:val="single"/>
        </w:rPr>
      </w:pPr>
      <w:r w:rsidRPr="00136C43">
        <w:rPr>
          <w:rFonts w:ascii="標楷體" w:eastAsia="標楷體" w:hAnsi="標楷體" w:hint="eastAsia"/>
          <w:kern w:val="2"/>
          <w:sz w:val="28"/>
          <w:szCs w:val="28"/>
        </w:rPr>
        <w:t>考察</w:t>
      </w:r>
      <w:r w:rsidR="00136C43" w:rsidRPr="00136C43">
        <w:rPr>
          <w:rFonts w:ascii="標楷體" w:eastAsia="標楷體" w:hAnsi="標楷體" w:hint="eastAsia"/>
          <w:b/>
          <w:sz w:val="28"/>
          <w:szCs w:val="28"/>
        </w:rPr>
        <w:t>捷運環狀線南環段預算編列及相關規劃執行情形</w:t>
      </w:r>
      <w:r w:rsidR="00192ED8" w:rsidRPr="00136C43">
        <w:rPr>
          <w:rFonts w:ascii="標楷體" w:eastAsia="標楷體" w:hAnsi="標楷體" w:hint="eastAsia"/>
          <w:b/>
          <w:kern w:val="2"/>
          <w:sz w:val="28"/>
          <w:szCs w:val="28"/>
        </w:rPr>
        <w:t>。</w:t>
      </w:r>
    </w:p>
    <w:p w14:paraId="154E25BE" w14:textId="77777777" w:rsidR="00192ED8" w:rsidRPr="00464A6F" w:rsidRDefault="00136C43" w:rsidP="00F470A8">
      <w:pPr>
        <w:tabs>
          <w:tab w:val="left" w:pos="646"/>
        </w:tabs>
        <w:overflowPunct w:val="0"/>
        <w:spacing w:line="440" w:lineRule="exact"/>
        <w:ind w:leftChars="650" w:left="1560" w:firstLineChars="200" w:firstLine="560"/>
        <w:jc w:val="both"/>
        <w:rPr>
          <w:rFonts w:ascii="標楷體" w:eastAsia="標楷體" w:hAnsi="標楷體"/>
          <w:bCs/>
          <w:color w:val="FF0000"/>
          <w:kern w:val="2"/>
          <w:sz w:val="28"/>
          <w:szCs w:val="28"/>
        </w:rPr>
      </w:pPr>
      <w:r w:rsidRPr="00136C43">
        <w:rPr>
          <w:rFonts w:ascii="標楷體" w:eastAsia="標楷體" w:hAnsi="標楷體" w:hint="eastAsia"/>
          <w:sz w:val="28"/>
          <w:szCs w:val="28"/>
        </w:rPr>
        <w:t>委員賴士葆領隊，委員羅明才同行，行政院主計總處副主計長蔡鴻坤、審計部交通建設審計處處長李奕勳、交通部政務次長伍勝園、國家發展委員會國土區域離島發展處處長黃文彥、臺北市政府捷運工程局局長鄭德發等陪同。於臺北市文山區公所7樓會議室辦理考察座談，就捷運環狀線南環段預算編列及相關規劃執行情形，請臺北市政府捷運工程局針對目前現狀進行報告，並聽取當地里長代表陳情及建議事項，復由各相關機關回應現行辦理情形與交換意見後，最後由委員賴士葆總結：一、南北環總工程經費增加約430億元，其中250億元由中央負擔。二、目前保留決標的大陸工程股份有限公司表示，因應物料成本不斷攀升，報價僅能保留30日，若未在此期限內完成發包需重新報價，請國家發展委員會於本（113）年10月31日前覆議通過臺北市政府捷運工程局提出之修正計畫報告書報送行政院，並協調行政院儘速核定函</w:t>
      </w:r>
      <w:r w:rsidRPr="00136C43">
        <w:rPr>
          <w:rFonts w:ascii="標楷體" w:eastAsia="標楷體" w:hAnsi="標楷體" w:hint="eastAsia"/>
          <w:sz w:val="28"/>
          <w:szCs w:val="28"/>
        </w:rPr>
        <w:lastRenderedPageBreak/>
        <w:t>送臺北市政府。三、本次考察相關紀錄及應辦理事項等，請各相關機關於2週內函送各考察委員，並副知立法院財政委員會。</w:t>
      </w:r>
    </w:p>
    <w:p w14:paraId="720AA105" w14:textId="669813CC" w:rsidR="00192ED8" w:rsidRPr="00264232" w:rsidRDefault="00B25F01" w:rsidP="00F470A8">
      <w:pPr>
        <w:tabs>
          <w:tab w:val="left" w:pos="709"/>
        </w:tabs>
        <w:overflowPunct w:val="0"/>
        <w:spacing w:line="440" w:lineRule="exact"/>
        <w:ind w:firstLineChars="455" w:firstLine="1275"/>
        <w:jc w:val="both"/>
        <w:textAlignment w:val="auto"/>
        <w:rPr>
          <w:rFonts w:ascii="標楷體" w:eastAsia="標楷體" w:hAnsi="標楷體"/>
          <w:b/>
          <w:bCs/>
          <w:iCs/>
          <w:kern w:val="2"/>
          <w:sz w:val="28"/>
          <w:szCs w:val="28"/>
          <w:u w:val="single"/>
        </w:rPr>
      </w:pPr>
      <w:r w:rsidRPr="00264232">
        <w:rPr>
          <w:rFonts w:ascii="標楷體" w:eastAsia="標楷體" w:hAnsi="標楷體" w:hint="eastAsia"/>
          <w:b/>
          <w:bCs/>
          <w:sz w:val="28"/>
          <w:szCs w:val="28"/>
        </w:rPr>
        <w:t>3</w:t>
      </w:r>
      <w:r w:rsidRPr="00264232">
        <w:rPr>
          <w:rFonts w:ascii="標楷體" w:eastAsia="標楷體" w:hAnsi="標楷體"/>
          <w:bCs/>
          <w:sz w:val="28"/>
          <w:szCs w:val="28"/>
        </w:rPr>
        <w:t>.</w:t>
      </w:r>
      <w:r w:rsidR="00136C43" w:rsidRPr="00264232">
        <w:rPr>
          <w:rFonts w:ascii="標楷體" w:eastAsia="標楷體" w:hAnsi="標楷體" w:hint="eastAsia"/>
          <w:b/>
          <w:bCs/>
          <w:iCs/>
          <w:kern w:val="2"/>
          <w:sz w:val="28"/>
          <w:szCs w:val="28"/>
          <w:u w:val="single"/>
        </w:rPr>
        <w:t>10</w:t>
      </w:r>
      <w:r w:rsidR="00192ED8" w:rsidRPr="00264232">
        <w:rPr>
          <w:rFonts w:ascii="標楷體" w:eastAsia="標楷體" w:hAnsi="標楷體"/>
          <w:b/>
          <w:bCs/>
          <w:iCs/>
          <w:kern w:val="2"/>
          <w:sz w:val="28"/>
          <w:szCs w:val="28"/>
          <w:u w:val="single"/>
        </w:rPr>
        <w:t>月</w:t>
      </w:r>
      <w:r w:rsidR="00136C43" w:rsidRPr="00264232">
        <w:rPr>
          <w:rFonts w:ascii="標楷體" w:eastAsia="標楷體" w:hAnsi="標楷體" w:hint="eastAsia"/>
          <w:b/>
          <w:bCs/>
          <w:iCs/>
          <w:kern w:val="2"/>
          <w:sz w:val="28"/>
          <w:szCs w:val="28"/>
          <w:u w:val="single"/>
        </w:rPr>
        <w:t>14</w:t>
      </w:r>
      <w:r w:rsidR="00192ED8" w:rsidRPr="00264232">
        <w:rPr>
          <w:rFonts w:ascii="標楷體" w:eastAsia="標楷體" w:hAnsi="標楷體" w:hint="eastAsia"/>
          <w:b/>
          <w:bCs/>
          <w:iCs/>
          <w:kern w:val="2"/>
          <w:sz w:val="28"/>
          <w:szCs w:val="28"/>
          <w:u w:val="single"/>
        </w:rPr>
        <w:t>日(星期</w:t>
      </w:r>
      <w:r w:rsidR="00136C43" w:rsidRPr="00264232">
        <w:rPr>
          <w:rFonts w:ascii="標楷體" w:eastAsia="標楷體" w:hAnsi="標楷體" w:hint="eastAsia"/>
          <w:b/>
          <w:bCs/>
          <w:iCs/>
          <w:kern w:val="2"/>
          <w:sz w:val="28"/>
          <w:szCs w:val="28"/>
          <w:u w:val="single"/>
        </w:rPr>
        <w:t>一</w:t>
      </w:r>
      <w:r w:rsidR="00192ED8" w:rsidRPr="00264232">
        <w:rPr>
          <w:rFonts w:ascii="標楷體" w:eastAsia="標楷體" w:hAnsi="標楷體" w:hint="eastAsia"/>
          <w:b/>
          <w:bCs/>
          <w:iCs/>
          <w:kern w:val="2"/>
          <w:sz w:val="28"/>
          <w:szCs w:val="28"/>
          <w:u w:val="single"/>
        </w:rPr>
        <w:t>)</w:t>
      </w:r>
    </w:p>
    <w:p w14:paraId="1CD02319" w14:textId="77777777" w:rsidR="00192ED8" w:rsidRPr="00264232" w:rsidRDefault="00192ED8" w:rsidP="00F470A8">
      <w:pPr>
        <w:widowControl w:val="0"/>
        <w:tabs>
          <w:tab w:val="left" w:pos="646"/>
        </w:tabs>
        <w:overflowPunct w:val="0"/>
        <w:autoSpaceDN/>
        <w:spacing w:line="440" w:lineRule="exact"/>
        <w:ind w:leftChars="650" w:left="1560"/>
        <w:jc w:val="both"/>
        <w:textAlignment w:val="auto"/>
        <w:rPr>
          <w:rFonts w:ascii="標楷體" w:eastAsia="標楷體" w:hAnsi="標楷體"/>
          <w:b/>
          <w:kern w:val="2"/>
          <w:sz w:val="28"/>
          <w:szCs w:val="28"/>
        </w:rPr>
      </w:pPr>
      <w:r w:rsidRPr="00264232">
        <w:rPr>
          <w:rFonts w:ascii="標楷體" w:eastAsia="標楷體" w:hAnsi="標楷體" w:hint="eastAsia"/>
          <w:kern w:val="2"/>
          <w:sz w:val="28"/>
          <w:szCs w:val="28"/>
        </w:rPr>
        <w:t>考察</w:t>
      </w:r>
      <w:r w:rsidR="00264232" w:rsidRPr="00264232">
        <w:rPr>
          <w:rFonts w:ascii="標楷體" w:eastAsia="標楷體" w:hAnsi="標楷體" w:hint="eastAsia"/>
          <w:b/>
          <w:kern w:val="2"/>
          <w:sz w:val="28"/>
          <w:szCs w:val="28"/>
        </w:rPr>
        <w:t>屏東地區地方建設預算執行情形</w:t>
      </w:r>
      <w:r w:rsidRPr="00264232">
        <w:rPr>
          <w:rFonts w:ascii="標楷體" w:eastAsia="標楷體" w:hAnsi="標楷體" w:hint="eastAsia"/>
          <w:b/>
          <w:kern w:val="2"/>
          <w:sz w:val="28"/>
          <w:szCs w:val="28"/>
        </w:rPr>
        <w:t>。</w:t>
      </w:r>
    </w:p>
    <w:p w14:paraId="77DF274F" w14:textId="77777777" w:rsidR="00192ED8" w:rsidRPr="00464A6F" w:rsidRDefault="00264232" w:rsidP="00F470A8">
      <w:pPr>
        <w:widowControl w:val="0"/>
        <w:tabs>
          <w:tab w:val="left" w:pos="2655"/>
        </w:tabs>
        <w:overflowPunct w:val="0"/>
        <w:autoSpaceDN/>
        <w:spacing w:line="440" w:lineRule="exact"/>
        <w:ind w:leftChars="650" w:left="1560" w:firstLineChars="202" w:firstLine="566"/>
        <w:jc w:val="both"/>
        <w:textAlignment w:val="auto"/>
        <w:rPr>
          <w:rFonts w:ascii="標楷體" w:eastAsia="標楷體" w:hAnsi="標楷體"/>
          <w:color w:val="FF0000"/>
          <w:kern w:val="2"/>
          <w:sz w:val="28"/>
          <w:szCs w:val="28"/>
        </w:rPr>
      </w:pPr>
      <w:r w:rsidRPr="00264232">
        <w:rPr>
          <w:rFonts w:ascii="標楷體" w:eastAsia="標楷體" w:hAnsi="標楷體" w:hint="eastAsia"/>
          <w:sz w:val="28"/>
          <w:szCs w:val="28"/>
        </w:rPr>
        <w:t>伍委員麗華領隊，行政院主計總處公務預算處專門委員黃子菡、審計部屏東縣審計室副主任施偉民、原住民族委員會副主任委員谷縱‧喀勒芳安、農業部農糧署副署長姚志旺、農村發展及水土保持署副署長王晉倫、行政院公共工程委員會副主任委員李怡德、交通部公路總局南區養護工程分局工程司主任余兆興、經濟部水利署第七河川分署副分署長黃傭評、台灣電力股份有限公司高屏供電區營運處處長劉國才、屏東區處處長饒祐禎、台灣自來水有限公司屏東區處處長樂育麟及屏東縣政府原住民處處長陳美鈴等陪同。針對中央政府補助屏東縣原鄉地方建設預算執行情形於屏東縣來義鄉原住民文物館及春日鄉七佳社區發展協會辦理考察座談，就凱米颱風過後報災案及此次山陀兒風災造成災損新案等多項相關議題進行意見交換並聽取鄉長、村長及地方相關人士陳情與建議事項，復由各相關機關回應現行辦理情形及交換意見後，最後由伍委員麗華總結，本次考察相關紀錄及應辦理事項等，請各相關機關於2週內函送各考察委員，並副知立法院財政委員會。</w:t>
      </w:r>
    </w:p>
    <w:p w14:paraId="46F3E880" w14:textId="77777777" w:rsidR="0043572B" w:rsidRPr="00192BCC" w:rsidRDefault="0043572B" w:rsidP="00F470A8">
      <w:pPr>
        <w:tabs>
          <w:tab w:val="left" w:pos="709"/>
        </w:tabs>
        <w:overflowPunct w:val="0"/>
        <w:spacing w:line="440" w:lineRule="exact"/>
        <w:ind w:firstLineChars="455" w:firstLine="1275"/>
        <w:jc w:val="both"/>
        <w:textAlignment w:val="auto"/>
        <w:rPr>
          <w:rFonts w:ascii="標楷體" w:eastAsia="標楷體" w:hAnsi="標楷體"/>
          <w:b/>
          <w:bCs/>
          <w:iCs/>
          <w:kern w:val="2"/>
          <w:sz w:val="28"/>
          <w:szCs w:val="28"/>
          <w:u w:val="single"/>
        </w:rPr>
      </w:pPr>
      <w:r w:rsidRPr="00192BCC">
        <w:rPr>
          <w:rFonts w:ascii="標楷體" w:eastAsia="標楷體" w:hAnsi="標楷體"/>
          <w:b/>
          <w:bCs/>
          <w:iCs/>
          <w:kern w:val="2"/>
          <w:sz w:val="28"/>
          <w:szCs w:val="28"/>
        </w:rPr>
        <w:t>4.</w:t>
      </w:r>
      <w:r w:rsidR="00264232" w:rsidRPr="00192BCC">
        <w:rPr>
          <w:rFonts w:ascii="標楷體" w:eastAsia="標楷體" w:hAnsi="標楷體" w:hint="eastAsia"/>
          <w:b/>
          <w:bCs/>
          <w:iCs/>
          <w:kern w:val="2"/>
          <w:sz w:val="28"/>
          <w:szCs w:val="28"/>
          <w:u w:val="single"/>
        </w:rPr>
        <w:t>10</w:t>
      </w:r>
      <w:r w:rsidRPr="00192BCC">
        <w:rPr>
          <w:rFonts w:ascii="標楷體" w:eastAsia="標楷體" w:hAnsi="標楷體"/>
          <w:b/>
          <w:bCs/>
          <w:iCs/>
          <w:kern w:val="2"/>
          <w:sz w:val="28"/>
          <w:szCs w:val="28"/>
          <w:u w:val="single"/>
        </w:rPr>
        <w:t>月</w:t>
      </w:r>
      <w:r w:rsidR="006B33EE" w:rsidRPr="00192BCC">
        <w:rPr>
          <w:rFonts w:ascii="標楷體" w:eastAsia="標楷體" w:hAnsi="標楷體" w:hint="eastAsia"/>
          <w:b/>
          <w:bCs/>
          <w:iCs/>
          <w:kern w:val="2"/>
          <w:sz w:val="28"/>
          <w:szCs w:val="28"/>
          <w:u w:val="single"/>
        </w:rPr>
        <w:t>28</w:t>
      </w:r>
      <w:r w:rsidRPr="00192BCC">
        <w:rPr>
          <w:rFonts w:ascii="標楷體" w:eastAsia="標楷體" w:hAnsi="標楷體" w:hint="eastAsia"/>
          <w:b/>
          <w:bCs/>
          <w:iCs/>
          <w:kern w:val="2"/>
          <w:sz w:val="28"/>
          <w:szCs w:val="28"/>
          <w:u w:val="single"/>
        </w:rPr>
        <w:t>日(星期</w:t>
      </w:r>
      <w:r w:rsidR="00264232" w:rsidRPr="00192BCC">
        <w:rPr>
          <w:rFonts w:ascii="標楷體" w:eastAsia="標楷體" w:hAnsi="標楷體" w:hint="eastAsia"/>
          <w:b/>
          <w:bCs/>
          <w:iCs/>
          <w:kern w:val="2"/>
          <w:sz w:val="28"/>
          <w:szCs w:val="28"/>
          <w:u w:val="single"/>
        </w:rPr>
        <w:t>一</w:t>
      </w:r>
      <w:r w:rsidRPr="00192BCC">
        <w:rPr>
          <w:rFonts w:ascii="標楷體" w:eastAsia="標楷體" w:hAnsi="標楷體" w:hint="eastAsia"/>
          <w:b/>
          <w:bCs/>
          <w:iCs/>
          <w:kern w:val="2"/>
          <w:sz w:val="28"/>
          <w:szCs w:val="28"/>
          <w:u w:val="single"/>
        </w:rPr>
        <w:t>)</w:t>
      </w:r>
    </w:p>
    <w:p w14:paraId="162B586F" w14:textId="77777777" w:rsidR="0043572B" w:rsidRPr="00192BCC" w:rsidRDefault="0043572B" w:rsidP="00F470A8">
      <w:pPr>
        <w:tabs>
          <w:tab w:val="left" w:pos="709"/>
        </w:tabs>
        <w:overflowPunct w:val="0"/>
        <w:spacing w:line="440" w:lineRule="exact"/>
        <w:ind w:leftChars="600" w:left="1440"/>
        <w:jc w:val="both"/>
        <w:textAlignment w:val="auto"/>
        <w:rPr>
          <w:rFonts w:ascii="標楷體" w:eastAsia="標楷體" w:hAnsi="標楷體"/>
          <w:b/>
          <w:kern w:val="2"/>
          <w:sz w:val="28"/>
          <w:szCs w:val="28"/>
        </w:rPr>
      </w:pPr>
      <w:r w:rsidRPr="00192BCC">
        <w:rPr>
          <w:rFonts w:ascii="標楷體" w:eastAsia="標楷體" w:hAnsi="標楷體" w:hint="eastAsia"/>
          <w:kern w:val="2"/>
          <w:sz w:val="28"/>
          <w:szCs w:val="28"/>
        </w:rPr>
        <w:t>考察</w:t>
      </w:r>
      <w:r w:rsidR="00192BCC" w:rsidRPr="00192BCC">
        <w:rPr>
          <w:rFonts w:ascii="標楷體" w:eastAsia="標楷體" w:hAnsi="標楷體" w:hint="eastAsia"/>
          <w:b/>
          <w:bCs/>
          <w:kern w:val="2"/>
          <w:sz w:val="28"/>
          <w:szCs w:val="28"/>
        </w:rPr>
        <w:t>屏東地區地方建設預算執行情形</w:t>
      </w:r>
      <w:r w:rsidRPr="00192BCC">
        <w:rPr>
          <w:rFonts w:ascii="標楷體" w:eastAsia="標楷體" w:hAnsi="標楷體" w:hint="eastAsia"/>
          <w:b/>
          <w:kern w:val="2"/>
          <w:sz w:val="28"/>
          <w:szCs w:val="28"/>
        </w:rPr>
        <w:t>。</w:t>
      </w:r>
    </w:p>
    <w:p w14:paraId="17EC5D50" w14:textId="77777777" w:rsidR="0043572B" w:rsidRPr="00464A6F" w:rsidRDefault="00192BCC" w:rsidP="00F470A8">
      <w:pPr>
        <w:widowControl w:val="0"/>
        <w:tabs>
          <w:tab w:val="left" w:pos="2655"/>
        </w:tabs>
        <w:overflowPunct w:val="0"/>
        <w:autoSpaceDN/>
        <w:spacing w:line="440" w:lineRule="exact"/>
        <w:ind w:leftChars="600" w:left="1440" w:firstLineChars="200" w:firstLine="560"/>
        <w:jc w:val="both"/>
        <w:textAlignment w:val="auto"/>
        <w:rPr>
          <w:rFonts w:ascii="標楷體" w:eastAsia="標楷體" w:hAnsi="標楷體"/>
          <w:color w:val="FF0000"/>
          <w:sz w:val="28"/>
          <w:szCs w:val="28"/>
        </w:rPr>
      </w:pPr>
      <w:r w:rsidRPr="00192BCC">
        <w:rPr>
          <w:rFonts w:ascii="標楷體" w:eastAsia="標楷體" w:hAnsi="標楷體" w:hint="eastAsia"/>
          <w:sz w:val="28"/>
          <w:szCs w:val="28"/>
        </w:rPr>
        <w:t>伍委員麗華領隊，行政院主計總處公務預算處專門委員張家瑜、審計部屏東縣審計室副主任施偉民、財政部國庫署副署長林秀燕、金融監督管理委員會銀行局副局長侯立洋、原住民族委員會經濟發展處處長王瑞盈、文化部文化資源司專門委員李長龍、內政部國土管理署副組長廖建順、勞動部勞動保險司專門委員黃琴雀、農業部簡任技正王東良、經濟部水利署副總工程司張庭華、台灣電力股份有限公司屏東區處處長饒祐禎、台灣自來水股份有限公司屏東區處處長樂育麟及屏東縣政府原住民處處長陳美鈴等陪同。針對中央政府補助屏東縣原鄉地方建設預算執行情形，分別現勘泰武鄉佳興木雕館預定地及於吾拉魯滋活動中心辦理考察座談，就木雕館興建案、原住民保留地貸款、農（勞）保孤兒、霧台鄉長治百合永久</w:t>
      </w:r>
      <w:r w:rsidRPr="00192BCC">
        <w:rPr>
          <w:rFonts w:ascii="標楷體" w:eastAsia="標楷體" w:hAnsi="標楷體" w:hint="eastAsia"/>
          <w:sz w:val="28"/>
          <w:szCs w:val="28"/>
        </w:rPr>
        <w:lastRenderedPageBreak/>
        <w:t>屋自力建屋案、瑪家鄉舊排灣復電案、泰武鄉舊馬仕便橋重建、相關農路及其支線改善工程等多項議題進行意見交換並聽取鄉長、村長等陳情與建議，復由各相關機關回應及交換意見，最後由伍委員麗華總結，本次考察相關紀錄及應辦理事項等，請各相關機關於2週內函送考察委員，並副知立法院財政委員會。</w:t>
      </w:r>
    </w:p>
    <w:p w14:paraId="61C4885F" w14:textId="77777777" w:rsidR="0043572B" w:rsidRPr="00212307" w:rsidRDefault="0043572B" w:rsidP="00F470A8">
      <w:pPr>
        <w:widowControl w:val="0"/>
        <w:tabs>
          <w:tab w:val="left" w:pos="7431"/>
        </w:tabs>
        <w:overflowPunct w:val="0"/>
        <w:autoSpaceDN/>
        <w:spacing w:line="440" w:lineRule="exact"/>
        <w:ind w:firstLineChars="455" w:firstLine="1275"/>
        <w:jc w:val="both"/>
        <w:textAlignment w:val="auto"/>
        <w:rPr>
          <w:rFonts w:ascii="標楷體" w:eastAsia="標楷體" w:hAnsi="標楷體"/>
          <w:b/>
          <w:bCs/>
          <w:iCs/>
          <w:kern w:val="2"/>
          <w:sz w:val="28"/>
          <w:szCs w:val="28"/>
          <w:u w:val="single"/>
        </w:rPr>
      </w:pPr>
      <w:r w:rsidRPr="00212307">
        <w:rPr>
          <w:rFonts w:ascii="標楷體" w:eastAsia="標楷體" w:hAnsi="標楷體"/>
          <w:b/>
          <w:bCs/>
          <w:iCs/>
          <w:kern w:val="2"/>
          <w:sz w:val="28"/>
          <w:szCs w:val="28"/>
        </w:rPr>
        <w:t>5.</w:t>
      </w:r>
      <w:r w:rsidR="00212307" w:rsidRPr="00212307">
        <w:rPr>
          <w:rFonts w:ascii="標楷體" w:eastAsia="標楷體" w:hAnsi="標楷體" w:hint="eastAsia"/>
          <w:b/>
          <w:bCs/>
          <w:iCs/>
          <w:kern w:val="2"/>
          <w:sz w:val="28"/>
          <w:szCs w:val="28"/>
          <w:u w:val="single"/>
        </w:rPr>
        <w:t>12</w:t>
      </w:r>
      <w:r w:rsidRPr="00212307">
        <w:rPr>
          <w:rFonts w:ascii="標楷體" w:eastAsia="標楷體" w:hAnsi="標楷體" w:hint="eastAsia"/>
          <w:b/>
          <w:bCs/>
          <w:iCs/>
          <w:kern w:val="2"/>
          <w:sz w:val="28"/>
          <w:szCs w:val="28"/>
          <w:u w:val="single"/>
        </w:rPr>
        <w:t>月</w:t>
      </w:r>
      <w:r w:rsidR="00212307" w:rsidRPr="00212307">
        <w:rPr>
          <w:rFonts w:ascii="標楷體" w:eastAsia="標楷體" w:hAnsi="標楷體" w:hint="eastAsia"/>
          <w:b/>
          <w:bCs/>
          <w:iCs/>
          <w:kern w:val="2"/>
          <w:sz w:val="28"/>
          <w:szCs w:val="28"/>
          <w:u w:val="single"/>
        </w:rPr>
        <w:t>4</w:t>
      </w:r>
      <w:r w:rsidRPr="00212307">
        <w:rPr>
          <w:rFonts w:ascii="標楷體" w:eastAsia="標楷體" w:hAnsi="標楷體" w:hint="eastAsia"/>
          <w:b/>
          <w:bCs/>
          <w:iCs/>
          <w:kern w:val="2"/>
          <w:sz w:val="28"/>
          <w:szCs w:val="28"/>
          <w:u w:val="single"/>
        </w:rPr>
        <w:t>日(星期</w:t>
      </w:r>
      <w:r w:rsidR="00212307" w:rsidRPr="00212307">
        <w:rPr>
          <w:rFonts w:ascii="標楷體" w:eastAsia="標楷體" w:hAnsi="標楷體" w:hint="eastAsia"/>
          <w:b/>
          <w:bCs/>
          <w:iCs/>
          <w:kern w:val="2"/>
          <w:sz w:val="28"/>
          <w:szCs w:val="28"/>
          <w:u w:val="single"/>
        </w:rPr>
        <w:t>三</w:t>
      </w:r>
      <w:r w:rsidRPr="00212307">
        <w:rPr>
          <w:rFonts w:ascii="標楷體" w:eastAsia="標楷體" w:hAnsi="標楷體" w:hint="eastAsia"/>
          <w:b/>
          <w:bCs/>
          <w:iCs/>
          <w:kern w:val="2"/>
          <w:sz w:val="28"/>
          <w:szCs w:val="28"/>
          <w:u w:val="single"/>
        </w:rPr>
        <w:t>)</w:t>
      </w:r>
      <w:r w:rsidR="00212307" w:rsidRPr="00212307">
        <w:rPr>
          <w:rFonts w:ascii="標楷體" w:eastAsia="標楷體" w:hAnsi="標楷體" w:hint="eastAsia"/>
          <w:b/>
          <w:bCs/>
          <w:iCs/>
          <w:kern w:val="2"/>
          <w:sz w:val="28"/>
          <w:szCs w:val="28"/>
          <w:u w:val="single"/>
        </w:rPr>
        <w:t>、5日(星期四)</w:t>
      </w:r>
    </w:p>
    <w:p w14:paraId="4BB09B33" w14:textId="77777777" w:rsidR="0043572B" w:rsidRPr="00212307" w:rsidRDefault="0043572B" w:rsidP="00F470A8">
      <w:pPr>
        <w:tabs>
          <w:tab w:val="left" w:pos="709"/>
        </w:tabs>
        <w:overflowPunct w:val="0"/>
        <w:spacing w:line="440" w:lineRule="exact"/>
        <w:ind w:leftChars="600" w:left="1440"/>
        <w:jc w:val="both"/>
        <w:textAlignment w:val="auto"/>
        <w:rPr>
          <w:rFonts w:ascii="標楷體" w:eastAsia="標楷體" w:hAnsi="標楷體"/>
          <w:kern w:val="2"/>
          <w:sz w:val="28"/>
          <w:szCs w:val="28"/>
        </w:rPr>
      </w:pPr>
      <w:r w:rsidRPr="00212307">
        <w:rPr>
          <w:rFonts w:ascii="標楷體" w:eastAsia="標楷體" w:hAnsi="標楷體" w:hint="eastAsia"/>
          <w:kern w:val="2"/>
          <w:sz w:val="28"/>
          <w:szCs w:val="28"/>
        </w:rPr>
        <w:t>考察</w:t>
      </w:r>
      <w:r w:rsidR="00212307" w:rsidRPr="00212307">
        <w:rPr>
          <w:rFonts w:ascii="標楷體" w:eastAsia="標楷體" w:hAnsi="標楷體"/>
          <w:b/>
          <w:kern w:val="2"/>
          <w:sz w:val="28"/>
          <w:szCs w:val="28"/>
        </w:rPr>
        <w:t>金門地區財政部所屬暨銀行業務及交通建設預算執行情形</w:t>
      </w:r>
      <w:r w:rsidRPr="00212307">
        <w:rPr>
          <w:rFonts w:ascii="標楷體" w:eastAsia="標楷體" w:hAnsi="標楷體" w:hint="eastAsia"/>
          <w:b/>
          <w:kern w:val="2"/>
          <w:sz w:val="28"/>
          <w:szCs w:val="28"/>
        </w:rPr>
        <w:t>。</w:t>
      </w:r>
    </w:p>
    <w:p w14:paraId="513EC293" w14:textId="77777777" w:rsidR="006B7350" w:rsidRPr="00C16051" w:rsidRDefault="0052551A" w:rsidP="00C16051">
      <w:pPr>
        <w:widowControl w:val="0"/>
        <w:tabs>
          <w:tab w:val="left" w:pos="2655"/>
        </w:tabs>
        <w:overflowPunct w:val="0"/>
        <w:autoSpaceDN/>
        <w:spacing w:line="440" w:lineRule="exact"/>
        <w:ind w:leftChars="600" w:left="1440" w:firstLineChars="200" w:firstLine="560"/>
        <w:jc w:val="both"/>
        <w:textAlignment w:val="auto"/>
        <w:rPr>
          <w:rFonts w:ascii="標楷體" w:eastAsia="標楷體" w:hAnsi="標楷體"/>
          <w:sz w:val="28"/>
          <w:szCs w:val="28"/>
        </w:rPr>
      </w:pPr>
      <w:r w:rsidRPr="00C16051">
        <w:rPr>
          <w:rFonts w:ascii="標楷體" w:eastAsia="標楷體" w:hAnsi="標楷體" w:hint="eastAsia"/>
          <w:sz w:val="28"/>
          <w:szCs w:val="28"/>
        </w:rPr>
        <w:t>陳召集委員玉珍領隊，委員羅明才同行，行政院主計總處</w:t>
      </w:r>
      <w:r w:rsidRPr="00C16051">
        <w:rPr>
          <w:rFonts w:ascii="標楷體" w:eastAsia="標楷體" w:hAnsi="標楷體"/>
          <w:sz w:val="28"/>
          <w:szCs w:val="28"/>
        </w:rPr>
        <w:t>副主計長陳慧娟</w:t>
      </w:r>
      <w:r w:rsidRPr="00C16051">
        <w:rPr>
          <w:rFonts w:ascii="標楷體" w:eastAsia="標楷體" w:hAnsi="標楷體" w:hint="eastAsia"/>
          <w:sz w:val="28"/>
          <w:szCs w:val="28"/>
        </w:rPr>
        <w:t>、審計部副審計長曾石明、財政部</w:t>
      </w:r>
      <w:r w:rsidRPr="00C16051">
        <w:rPr>
          <w:rFonts w:ascii="標楷體" w:eastAsia="標楷體" w:hAnsi="標楷體"/>
          <w:sz w:val="28"/>
          <w:szCs w:val="28"/>
        </w:rPr>
        <w:t>常務次長謝鈴媛</w:t>
      </w:r>
      <w:r w:rsidRPr="00C16051">
        <w:rPr>
          <w:rFonts w:ascii="標楷體" w:eastAsia="標楷體" w:hAnsi="標楷體" w:hint="eastAsia"/>
          <w:sz w:val="28"/>
          <w:szCs w:val="28"/>
        </w:rPr>
        <w:t>率賦稅署、關務署、國庫署、國有財產署、推動促參司、財政資訊中心、北區國稅局、臺灣菸酒股份有限公司董事長湯期安等相關單位、交通部航港局副局長</w:t>
      </w:r>
      <w:r w:rsidRPr="00C16051">
        <w:rPr>
          <w:rFonts w:ascii="標楷體" w:eastAsia="標楷體" w:hAnsi="標楷體"/>
          <w:sz w:val="28"/>
          <w:szCs w:val="28"/>
        </w:rPr>
        <w:t>劉志鴻</w:t>
      </w:r>
      <w:r w:rsidRPr="00C16051">
        <w:rPr>
          <w:rFonts w:ascii="標楷體" w:eastAsia="標楷體" w:hAnsi="標楷體" w:hint="eastAsia"/>
          <w:sz w:val="28"/>
          <w:szCs w:val="28"/>
        </w:rPr>
        <w:t>、海洋委員會</w:t>
      </w:r>
      <w:r w:rsidRPr="00C16051">
        <w:rPr>
          <w:rFonts w:ascii="標楷體" w:eastAsia="標楷體" w:hAnsi="標楷體"/>
          <w:sz w:val="28"/>
          <w:szCs w:val="28"/>
        </w:rPr>
        <w:t>海巡署金馬澎分署</w:t>
      </w:r>
      <w:r w:rsidRPr="00C16051">
        <w:rPr>
          <w:rFonts w:ascii="標楷體" w:eastAsia="標楷體" w:hAnsi="標楷體" w:hint="eastAsia"/>
          <w:sz w:val="28"/>
          <w:szCs w:val="28"/>
        </w:rPr>
        <w:t>分署長陳泗川率第十二巡防區指揮部及第九岸巡隊、農業部動植物防疫檢疫署副署長徐榮彬、內政部警政署</w:t>
      </w:r>
      <w:r w:rsidRPr="00C16051">
        <w:rPr>
          <w:rFonts w:ascii="標楷體" w:eastAsia="標楷體" w:hAnsi="標楷體"/>
          <w:sz w:val="28"/>
          <w:szCs w:val="28"/>
        </w:rPr>
        <w:t>副署長詹永茂</w:t>
      </w:r>
      <w:r w:rsidRPr="00C16051">
        <w:rPr>
          <w:rFonts w:ascii="標楷體" w:eastAsia="標楷體" w:hAnsi="標楷體" w:hint="eastAsia"/>
          <w:sz w:val="28"/>
          <w:szCs w:val="28"/>
        </w:rPr>
        <w:t>、移民署副署長陳建成、國防部陸軍司令部中校黃文賢、金融監督管理委員會</w:t>
      </w:r>
      <w:r w:rsidRPr="00C16051">
        <w:rPr>
          <w:rFonts w:ascii="標楷體" w:eastAsia="標楷體" w:hAnsi="標楷體"/>
          <w:sz w:val="28"/>
          <w:szCs w:val="28"/>
        </w:rPr>
        <w:t>副主任委員陳彥良</w:t>
      </w:r>
      <w:r w:rsidRPr="00C16051">
        <w:rPr>
          <w:rFonts w:ascii="標楷體" w:eastAsia="標楷體" w:hAnsi="標楷體" w:hint="eastAsia"/>
          <w:sz w:val="28"/>
          <w:szCs w:val="28"/>
        </w:rPr>
        <w:t>率銀行局、證券期貨局副局長及中央存款保險公司董事長黃天牧等相關單位等人陪同。12月4日3場次分別於舊水頭旅客服務中心、水頭港登船出發至馬山港北海域及料羅港碼頭邊進行，其中第1場次分別由財政部關務署高雄關關務長</w:t>
      </w:r>
      <w:r w:rsidRPr="00C16051">
        <w:rPr>
          <w:rFonts w:ascii="標楷體" w:eastAsia="標楷體" w:hAnsi="標楷體"/>
          <w:sz w:val="28"/>
          <w:szCs w:val="28"/>
        </w:rPr>
        <w:t>陳木榮</w:t>
      </w:r>
      <w:r w:rsidRPr="00C16051">
        <w:rPr>
          <w:rFonts w:ascii="標楷體" w:eastAsia="標楷體" w:hAnsi="標楷體" w:hint="eastAsia"/>
          <w:sz w:val="28"/>
          <w:szCs w:val="28"/>
        </w:rPr>
        <w:t>、內政部移民署副署長陳建成及農業部動植物防疫檢疫署副署長徐榮彬簡報、第2場次由海洋委員會</w:t>
      </w:r>
      <w:r w:rsidRPr="00C16051">
        <w:rPr>
          <w:rFonts w:ascii="標楷體" w:eastAsia="標楷體" w:hAnsi="標楷體"/>
          <w:sz w:val="28"/>
          <w:szCs w:val="28"/>
        </w:rPr>
        <w:t>海巡署</w:t>
      </w:r>
      <w:r w:rsidRPr="00C16051">
        <w:rPr>
          <w:rFonts w:ascii="標楷體" w:eastAsia="標楷體" w:hAnsi="標楷體" w:hint="eastAsia"/>
          <w:sz w:val="28"/>
          <w:szCs w:val="28"/>
        </w:rPr>
        <w:t>第十二巡防區指揮部副隊長陳建文及金門縣政府宇泰顧問公司黃家祥針對金門馬山港區進度概況議題進行簡報、第3場次由關務署高雄關副關務長高丁財針對金門地區小三通貨物進出口通關動線及流程進行簡報，上述3場次報告後，經中央及地方代表補充說明與交換意見後，由陳召集委員玉珍總結：(1)為因應旅客人次增加，請內政部移民署合理配置服務站人力，並研議審件人力如何增加。(2)請農業部動植物防疫檢疫署針對金門服務人數不足，增加配置人力，及另對金門得以攜帶至臺灣之動植物產品、食品之限制加強宣導，以利旅客識別。(3)新建之水頭港大型旅客服務中心於旅客入境處設立人身檢疫站，其目的性及必要性?請比照桃園國際機場入境相關規定。(4)在料羅港區除警消、海巡署有新建辦公室，但其餘CIQS單位之辦公房舍老舊不敷使用，尤其財政部關務署同仁上班之辦公房舍屋頂鋼筋裸露，財政</w:t>
      </w:r>
      <w:r w:rsidRPr="00C16051">
        <w:rPr>
          <w:rFonts w:ascii="標楷體" w:eastAsia="標楷體" w:hAnsi="標楷體" w:hint="eastAsia"/>
          <w:sz w:val="28"/>
          <w:szCs w:val="28"/>
        </w:rPr>
        <w:lastRenderedPageBreak/>
        <w:t>部務必正視同仁辦公安全。(5)金門縣轄土地，多因區位不佳或屬畸零分佈，幾無合適土地可供與私有地辦理交換，近年因國軍兵力精簡釋出大量國有土地，建議財政部國有財產署研議提供國有土地與私有土地辦理交換之可行性，以利金門縣政府可以整體開發運用。(6)建請財政部賦稅署將未符合免稅條件之銷售貨物或勞務之營利事項或營業人，其營利事業所得稅依現行稅率減徵百分之二十五之可行性；另離島地區屬資源貧瘠匱乏之地區，研議從台灣進口貨物之營業稅以及從外國及其他地區進口貨物稅調降之可行性。(7)料羅港區貨運碼頭之興建工作，期儘速動工興建，以利金門發展物流倉儲中心，及建立小三通貨運中轉港地位。(8)請財政部關務署等單位，研議籌設海運快遞貨物專區之可行性。12月5日列席銀行暨證券公司於金門酒廠實業股份有限公司，分別由金融監督管理委員會銀行局副局</w:t>
      </w:r>
      <w:r w:rsidRPr="00C16051">
        <w:rPr>
          <w:rFonts w:ascii="標楷體" w:eastAsia="標楷體" w:hAnsi="標楷體"/>
          <w:sz w:val="28"/>
          <w:szCs w:val="28"/>
        </w:rPr>
        <w:t>長侯立洋</w:t>
      </w:r>
      <w:r w:rsidRPr="00C16051">
        <w:rPr>
          <w:rFonts w:ascii="標楷體" w:eastAsia="標楷體" w:hAnsi="標楷體" w:hint="eastAsia"/>
          <w:sz w:val="28"/>
          <w:szCs w:val="28"/>
        </w:rPr>
        <w:t>、證券期貨局副局</w:t>
      </w:r>
      <w:r w:rsidRPr="00C16051">
        <w:rPr>
          <w:rFonts w:ascii="標楷體" w:eastAsia="標楷體" w:hAnsi="標楷體"/>
          <w:sz w:val="28"/>
          <w:szCs w:val="28"/>
        </w:rPr>
        <w:t>長黃厚銘</w:t>
      </w:r>
      <w:r w:rsidRPr="00C16051">
        <w:rPr>
          <w:rFonts w:ascii="標楷體" w:eastAsia="標楷體" w:hAnsi="標楷體" w:hint="eastAsia"/>
          <w:sz w:val="28"/>
          <w:szCs w:val="28"/>
        </w:rPr>
        <w:t>、財政部國庫署署長</w:t>
      </w:r>
      <w:r w:rsidRPr="00C16051">
        <w:rPr>
          <w:rFonts w:ascii="標楷體" w:eastAsia="標楷體" w:hAnsi="標楷體"/>
          <w:sz w:val="28"/>
          <w:szCs w:val="28"/>
        </w:rPr>
        <w:t>陳柏誠</w:t>
      </w:r>
      <w:r w:rsidRPr="00C16051">
        <w:rPr>
          <w:rFonts w:ascii="標楷體" w:eastAsia="標楷體" w:hAnsi="標楷體" w:hint="eastAsia"/>
          <w:sz w:val="28"/>
          <w:szCs w:val="28"/>
        </w:rPr>
        <w:t>就其業務進行簡報，均經相關單位補充說明與交換意見後，由陳召集委員玉珍總結：(1)臺灣銀行股份有限公司及臺灣土地銀行股份有限公司等公股行庫在金門地區之存放比約僅20%，不利產業發展，請財政部國庫署及公股行庫應思考如何提高存放比，以協助金門地區之中小企業及微型企業能夠茁壯發展。(2)為便利臺灣地區民眾經由小三通至大陸地區旅遊時需以電子支付方式支付當地消費，請金融監督管理委員會鼓勵在臺灣設立之電子支付機構評估兩岸電子支付互通之可行性。(3)請金融監督管理委員會研議如何協助</w:t>
      </w:r>
      <w:r w:rsidRPr="00C16051">
        <w:rPr>
          <w:rFonts w:ascii="標楷體" w:eastAsia="標楷體" w:hAnsi="標楷體"/>
          <w:sz w:val="28"/>
          <w:szCs w:val="28"/>
        </w:rPr>
        <w:t>金門酒廠實業股份有限公司</w:t>
      </w:r>
      <w:r w:rsidRPr="00C16051">
        <w:rPr>
          <w:rFonts w:ascii="標楷體" w:eastAsia="標楷體" w:hAnsi="標楷體" w:hint="eastAsia"/>
          <w:sz w:val="28"/>
          <w:szCs w:val="28"/>
        </w:rPr>
        <w:t>利用其窖藏酒，使其金融商品化。(4)有關是否可把金門視為「境內關外」，建請洽交通部（自由貿易港區主管機關）及經濟部（大陸物品輸出入主管機關）研議可行性。(5)研議提高小三通菸酒免稅數量之可行性。本次2日考察相關紀錄及應辦理事項等，請各相關機關於2週內函送考察委員，並副知立法院財政委員會。</w:t>
      </w:r>
    </w:p>
    <w:p w14:paraId="6FBB7371" w14:textId="77777777" w:rsidR="006B33EE" w:rsidRPr="00352120" w:rsidRDefault="004F3B6B" w:rsidP="00F470A8">
      <w:pPr>
        <w:widowControl w:val="0"/>
        <w:tabs>
          <w:tab w:val="left" w:pos="7431"/>
        </w:tabs>
        <w:overflowPunct w:val="0"/>
        <w:autoSpaceDN/>
        <w:spacing w:line="440" w:lineRule="exact"/>
        <w:ind w:firstLineChars="455" w:firstLine="1275"/>
        <w:jc w:val="both"/>
        <w:textAlignment w:val="auto"/>
        <w:rPr>
          <w:rFonts w:ascii="標楷體" w:eastAsia="標楷體" w:hAnsi="標楷體"/>
          <w:b/>
          <w:bCs/>
          <w:iCs/>
          <w:kern w:val="2"/>
          <w:sz w:val="28"/>
          <w:szCs w:val="28"/>
          <w:u w:val="single"/>
        </w:rPr>
      </w:pPr>
      <w:r w:rsidRPr="00352120">
        <w:rPr>
          <w:rFonts w:ascii="標楷體" w:eastAsia="標楷體" w:hAnsi="標楷體" w:hint="eastAsia"/>
          <w:b/>
          <w:bCs/>
          <w:iCs/>
          <w:kern w:val="2"/>
          <w:sz w:val="28"/>
          <w:szCs w:val="28"/>
        </w:rPr>
        <w:t>6</w:t>
      </w:r>
      <w:r w:rsidR="006B33EE" w:rsidRPr="00352120">
        <w:rPr>
          <w:rFonts w:ascii="標楷體" w:eastAsia="標楷體" w:hAnsi="標楷體"/>
          <w:b/>
          <w:bCs/>
          <w:iCs/>
          <w:kern w:val="2"/>
          <w:sz w:val="28"/>
          <w:szCs w:val="28"/>
        </w:rPr>
        <w:t>.</w:t>
      </w:r>
      <w:r w:rsidR="00212307" w:rsidRPr="00352120">
        <w:rPr>
          <w:rFonts w:ascii="標楷體" w:eastAsia="標楷體" w:hAnsi="標楷體" w:hint="eastAsia"/>
          <w:b/>
          <w:bCs/>
          <w:iCs/>
          <w:kern w:val="2"/>
          <w:sz w:val="28"/>
          <w:szCs w:val="28"/>
          <w:u w:val="single"/>
        </w:rPr>
        <w:t>12</w:t>
      </w:r>
      <w:r w:rsidR="006B33EE" w:rsidRPr="00352120">
        <w:rPr>
          <w:rFonts w:ascii="標楷體" w:eastAsia="標楷體" w:hAnsi="標楷體" w:hint="eastAsia"/>
          <w:b/>
          <w:bCs/>
          <w:iCs/>
          <w:kern w:val="2"/>
          <w:sz w:val="28"/>
          <w:szCs w:val="28"/>
          <w:u w:val="single"/>
        </w:rPr>
        <w:t>月</w:t>
      </w:r>
      <w:r w:rsidR="00212307" w:rsidRPr="00352120">
        <w:rPr>
          <w:rFonts w:ascii="標楷體" w:eastAsia="標楷體" w:hAnsi="標楷體" w:hint="eastAsia"/>
          <w:b/>
          <w:bCs/>
          <w:iCs/>
          <w:kern w:val="2"/>
          <w:sz w:val="28"/>
          <w:szCs w:val="28"/>
          <w:u w:val="single"/>
        </w:rPr>
        <w:t>9</w:t>
      </w:r>
      <w:r w:rsidR="006B33EE" w:rsidRPr="00352120">
        <w:rPr>
          <w:rFonts w:ascii="標楷體" w:eastAsia="標楷體" w:hAnsi="標楷體" w:hint="eastAsia"/>
          <w:b/>
          <w:bCs/>
          <w:iCs/>
          <w:kern w:val="2"/>
          <w:sz w:val="28"/>
          <w:szCs w:val="28"/>
          <w:u w:val="single"/>
        </w:rPr>
        <w:t>日(星期</w:t>
      </w:r>
      <w:r w:rsidR="00352120" w:rsidRPr="00352120">
        <w:rPr>
          <w:rFonts w:ascii="標楷體" w:eastAsia="標楷體" w:hAnsi="標楷體" w:hint="eastAsia"/>
          <w:b/>
          <w:bCs/>
          <w:iCs/>
          <w:kern w:val="2"/>
          <w:sz w:val="28"/>
          <w:szCs w:val="28"/>
          <w:u w:val="single"/>
        </w:rPr>
        <w:t>一</w:t>
      </w:r>
      <w:r w:rsidR="006B33EE" w:rsidRPr="00352120">
        <w:rPr>
          <w:rFonts w:ascii="標楷體" w:eastAsia="標楷體" w:hAnsi="標楷體" w:hint="eastAsia"/>
          <w:b/>
          <w:bCs/>
          <w:iCs/>
          <w:kern w:val="2"/>
          <w:sz w:val="28"/>
          <w:szCs w:val="28"/>
          <w:u w:val="single"/>
        </w:rPr>
        <w:t>)</w:t>
      </w:r>
    </w:p>
    <w:p w14:paraId="0548A16D" w14:textId="77777777" w:rsidR="006B33EE" w:rsidRPr="00352120" w:rsidRDefault="006B33EE" w:rsidP="00F470A8">
      <w:pPr>
        <w:tabs>
          <w:tab w:val="left" w:pos="709"/>
        </w:tabs>
        <w:overflowPunct w:val="0"/>
        <w:spacing w:line="440" w:lineRule="exact"/>
        <w:ind w:leftChars="600" w:left="1440"/>
        <w:jc w:val="both"/>
        <w:textAlignment w:val="auto"/>
        <w:rPr>
          <w:rFonts w:ascii="標楷體" w:eastAsia="標楷體" w:hAnsi="標楷體"/>
          <w:kern w:val="2"/>
          <w:sz w:val="28"/>
          <w:szCs w:val="28"/>
        </w:rPr>
      </w:pPr>
      <w:r w:rsidRPr="00352120">
        <w:rPr>
          <w:rFonts w:ascii="標楷體" w:eastAsia="標楷體" w:hAnsi="標楷體" w:hint="eastAsia"/>
          <w:kern w:val="2"/>
          <w:sz w:val="28"/>
          <w:szCs w:val="28"/>
        </w:rPr>
        <w:t>考察</w:t>
      </w:r>
      <w:r w:rsidR="00352120" w:rsidRPr="00352120">
        <w:rPr>
          <w:rFonts w:ascii="標楷體" w:eastAsia="標楷體" w:hAnsi="標楷體" w:hint="eastAsia"/>
          <w:b/>
          <w:bCs/>
          <w:kern w:val="2"/>
          <w:sz w:val="28"/>
          <w:szCs w:val="28"/>
        </w:rPr>
        <w:t>新北市相關交通建設預算執行情形</w:t>
      </w:r>
      <w:r w:rsidRPr="00352120">
        <w:rPr>
          <w:rFonts w:ascii="標楷體" w:eastAsia="標楷體" w:hAnsi="標楷體" w:hint="eastAsia"/>
          <w:b/>
          <w:kern w:val="2"/>
          <w:sz w:val="28"/>
          <w:szCs w:val="28"/>
        </w:rPr>
        <w:t>。</w:t>
      </w:r>
    </w:p>
    <w:p w14:paraId="4E659150" w14:textId="77777777" w:rsidR="00352120" w:rsidRDefault="00352120" w:rsidP="00F470A8">
      <w:pPr>
        <w:widowControl w:val="0"/>
        <w:tabs>
          <w:tab w:val="left" w:pos="2655"/>
        </w:tabs>
        <w:overflowPunct w:val="0"/>
        <w:autoSpaceDN/>
        <w:spacing w:line="440" w:lineRule="exact"/>
        <w:ind w:leftChars="600" w:left="1440" w:firstLineChars="200" w:firstLine="560"/>
        <w:jc w:val="both"/>
        <w:textAlignment w:val="auto"/>
        <w:rPr>
          <w:rFonts w:ascii="標楷體" w:eastAsia="標楷體" w:hAnsi="標楷體"/>
          <w:sz w:val="28"/>
          <w:szCs w:val="28"/>
        </w:rPr>
      </w:pPr>
      <w:r>
        <w:rPr>
          <w:rFonts w:ascii="標楷體" w:eastAsia="標楷體" w:hAnsi="標楷體" w:hint="eastAsia"/>
          <w:sz w:val="28"/>
          <w:szCs w:val="28"/>
        </w:rPr>
        <w:t>李</w:t>
      </w:r>
      <w:r w:rsidRPr="005D31B7">
        <w:rPr>
          <w:rFonts w:ascii="標楷體" w:eastAsia="標楷體" w:hAnsi="標楷體" w:hint="eastAsia"/>
          <w:sz w:val="28"/>
          <w:szCs w:val="28"/>
        </w:rPr>
        <w:t>委員</w:t>
      </w:r>
      <w:r>
        <w:rPr>
          <w:rFonts w:ascii="標楷體" w:eastAsia="標楷體" w:hAnsi="標楷體" w:hint="eastAsia"/>
          <w:sz w:val="28"/>
          <w:szCs w:val="28"/>
        </w:rPr>
        <w:t>坤城</w:t>
      </w:r>
      <w:r w:rsidRPr="005D31B7">
        <w:rPr>
          <w:rFonts w:ascii="標楷體" w:eastAsia="標楷體" w:hAnsi="標楷體" w:hint="eastAsia"/>
          <w:sz w:val="28"/>
          <w:szCs w:val="28"/>
        </w:rPr>
        <w:t>領隊，</w:t>
      </w:r>
      <w:r w:rsidRPr="00501C54">
        <w:rPr>
          <w:rFonts w:ascii="標楷體" w:eastAsia="標楷體" w:hAnsi="標楷體" w:hint="eastAsia"/>
          <w:sz w:val="28"/>
          <w:szCs w:val="28"/>
        </w:rPr>
        <w:t>行政院主計總處公務預算處專門委員</w:t>
      </w:r>
      <w:r>
        <w:rPr>
          <w:rFonts w:ascii="標楷體" w:eastAsia="標楷體" w:hAnsi="標楷體" w:hint="eastAsia"/>
          <w:sz w:val="28"/>
          <w:szCs w:val="28"/>
        </w:rPr>
        <w:t>廖玉琳、</w:t>
      </w:r>
      <w:r w:rsidRPr="00501C54">
        <w:rPr>
          <w:rFonts w:ascii="標楷體" w:eastAsia="標楷體" w:hAnsi="標楷體" w:hint="eastAsia"/>
          <w:sz w:val="28"/>
          <w:szCs w:val="28"/>
        </w:rPr>
        <w:t>審計部</w:t>
      </w:r>
      <w:r>
        <w:rPr>
          <w:rFonts w:ascii="標楷體" w:eastAsia="標楷體" w:hAnsi="標楷體" w:hint="eastAsia"/>
          <w:sz w:val="28"/>
          <w:szCs w:val="28"/>
        </w:rPr>
        <w:t>副審計長曾石明、國家發展委員會國土區域離島發展處專門委員邱智斌</w:t>
      </w:r>
      <w:r w:rsidRPr="005A624F">
        <w:rPr>
          <w:rFonts w:ascii="標楷體" w:eastAsia="標楷體" w:hAnsi="標楷體" w:hint="eastAsia"/>
          <w:sz w:val="28"/>
          <w:szCs w:val="28"/>
        </w:rPr>
        <w:t>、</w:t>
      </w:r>
      <w:r>
        <w:rPr>
          <w:rFonts w:ascii="標楷體" w:eastAsia="標楷體" w:hAnsi="標楷體" w:hint="eastAsia"/>
          <w:sz w:val="28"/>
          <w:szCs w:val="28"/>
        </w:rPr>
        <w:t>交通部路政及道安司副司長蔡書彬、</w:t>
      </w:r>
      <w:r w:rsidRPr="001B0094">
        <w:rPr>
          <w:rFonts w:ascii="標楷體" w:eastAsia="標楷體" w:hAnsi="標楷體" w:hint="eastAsia"/>
          <w:sz w:val="28"/>
          <w:szCs w:val="28"/>
        </w:rPr>
        <w:t>內政部國土管理署</w:t>
      </w:r>
      <w:r>
        <w:rPr>
          <w:rFonts w:ascii="標楷體" w:eastAsia="標楷體" w:hAnsi="標楷體" w:hint="eastAsia"/>
          <w:sz w:val="28"/>
          <w:szCs w:val="28"/>
        </w:rPr>
        <w:t>主任秘書朱慶倫、新北市政府交通局副局長金肇安</w:t>
      </w:r>
      <w:r w:rsidRPr="005A624F">
        <w:rPr>
          <w:rFonts w:ascii="標楷體" w:eastAsia="標楷體" w:hAnsi="標楷體" w:hint="eastAsia"/>
          <w:sz w:val="28"/>
          <w:szCs w:val="28"/>
        </w:rPr>
        <w:t>、</w:t>
      </w:r>
      <w:r>
        <w:rPr>
          <w:rFonts w:ascii="標楷體" w:eastAsia="標楷體" w:hAnsi="標楷體" w:hint="eastAsia"/>
          <w:sz w:val="28"/>
          <w:szCs w:val="28"/>
        </w:rPr>
        <w:t>臺北市</w:t>
      </w:r>
      <w:r>
        <w:rPr>
          <w:rFonts w:ascii="標楷體" w:eastAsia="標楷體" w:hAnsi="標楷體" w:hint="eastAsia"/>
          <w:sz w:val="28"/>
          <w:szCs w:val="28"/>
        </w:rPr>
        <w:lastRenderedPageBreak/>
        <w:t>政府捷運工程局副局長陳景池</w:t>
      </w:r>
      <w:r w:rsidRPr="005A624F">
        <w:rPr>
          <w:rFonts w:ascii="標楷體" w:eastAsia="標楷體" w:hAnsi="標楷體" w:hint="eastAsia"/>
          <w:sz w:val="28"/>
          <w:szCs w:val="28"/>
        </w:rPr>
        <w:t>、</w:t>
      </w:r>
      <w:r>
        <w:rPr>
          <w:rFonts w:ascii="標楷體" w:eastAsia="標楷體" w:hAnsi="標楷體" w:hint="eastAsia"/>
          <w:sz w:val="28"/>
          <w:szCs w:val="28"/>
        </w:rPr>
        <w:t>桃園市政府捷運工程局副總工程司魏光譽等陪同。</w:t>
      </w:r>
      <w:r w:rsidRPr="006F0307">
        <w:rPr>
          <w:rFonts w:ascii="標楷體" w:eastAsia="標楷體" w:hAnsi="標楷體" w:hint="eastAsia"/>
          <w:sz w:val="28"/>
          <w:szCs w:val="28"/>
        </w:rPr>
        <w:t>首先，</w:t>
      </w:r>
      <w:r>
        <w:rPr>
          <w:rFonts w:ascii="標楷體" w:eastAsia="標楷體" w:hAnsi="標楷體" w:hint="eastAsia"/>
          <w:sz w:val="28"/>
          <w:szCs w:val="28"/>
        </w:rPr>
        <w:t>李</w:t>
      </w:r>
      <w:r w:rsidRPr="006F0307">
        <w:rPr>
          <w:rFonts w:ascii="標楷體" w:eastAsia="標楷體" w:hAnsi="標楷體" w:hint="eastAsia"/>
          <w:sz w:val="28"/>
          <w:szCs w:val="28"/>
        </w:rPr>
        <w:t>委員</w:t>
      </w:r>
      <w:r>
        <w:rPr>
          <w:rFonts w:ascii="標楷體" w:eastAsia="標楷體" w:hAnsi="標楷體" w:hint="eastAsia"/>
          <w:sz w:val="28"/>
          <w:szCs w:val="28"/>
        </w:rPr>
        <w:t>坤城</w:t>
      </w:r>
      <w:r w:rsidRPr="006F0307">
        <w:rPr>
          <w:rFonts w:ascii="標楷體" w:eastAsia="標楷體" w:hAnsi="標楷體" w:hint="eastAsia"/>
          <w:sz w:val="28"/>
          <w:szCs w:val="28"/>
        </w:rPr>
        <w:t>說明本次考察目的後，由</w:t>
      </w:r>
      <w:r>
        <w:rPr>
          <w:rFonts w:ascii="標楷體" w:eastAsia="標楷體" w:hAnsi="標楷體" w:hint="eastAsia"/>
          <w:sz w:val="28"/>
          <w:szCs w:val="28"/>
        </w:rPr>
        <w:t>新北市政府簡報</w:t>
      </w:r>
      <w:r w:rsidRPr="00F8569C">
        <w:rPr>
          <w:rFonts w:ascii="標楷體" w:eastAsia="標楷體" w:hAnsi="標楷體" w:hint="eastAsia"/>
          <w:sz w:val="28"/>
          <w:szCs w:val="28"/>
        </w:rPr>
        <w:t>前瞻計畫</w:t>
      </w:r>
      <w:r>
        <w:rPr>
          <w:rFonts w:ascii="標楷體" w:eastAsia="標楷體" w:hAnsi="標楷體" w:hint="eastAsia"/>
          <w:sz w:val="28"/>
          <w:szCs w:val="28"/>
        </w:rPr>
        <w:t>預算補助</w:t>
      </w:r>
      <w:r w:rsidRPr="00F8569C">
        <w:rPr>
          <w:rFonts w:ascii="標楷體" w:eastAsia="標楷體" w:hAnsi="標楷體" w:hint="eastAsia"/>
          <w:sz w:val="28"/>
          <w:szCs w:val="28"/>
        </w:rPr>
        <w:t>停車場</w:t>
      </w:r>
      <w:r>
        <w:rPr>
          <w:rFonts w:ascii="標楷體" w:eastAsia="標楷體" w:hAnsi="標楷體" w:hint="eastAsia"/>
          <w:sz w:val="28"/>
          <w:szCs w:val="28"/>
        </w:rPr>
        <w:t>、桃園</w:t>
      </w:r>
      <w:r w:rsidRPr="00F8569C">
        <w:rPr>
          <w:rFonts w:ascii="標楷體" w:eastAsia="標楷體" w:hAnsi="標楷體" w:hint="eastAsia"/>
          <w:sz w:val="28"/>
          <w:szCs w:val="28"/>
        </w:rPr>
        <w:t>機場捷運增設A2a站與A5a站</w:t>
      </w:r>
      <w:r>
        <w:rPr>
          <w:rFonts w:ascii="標楷體" w:eastAsia="標楷體" w:hAnsi="標楷體" w:hint="eastAsia"/>
          <w:sz w:val="28"/>
          <w:szCs w:val="28"/>
        </w:rPr>
        <w:t>之</w:t>
      </w:r>
      <w:r w:rsidRPr="00F8569C">
        <w:rPr>
          <w:rFonts w:ascii="標楷體" w:eastAsia="標楷體" w:hAnsi="標楷體" w:hint="eastAsia"/>
          <w:sz w:val="28"/>
          <w:szCs w:val="28"/>
        </w:rPr>
        <w:t>辦理情形</w:t>
      </w:r>
      <w:r>
        <w:rPr>
          <w:rFonts w:ascii="標楷體" w:eastAsia="標楷體" w:hAnsi="標楷體" w:hint="eastAsia"/>
          <w:sz w:val="28"/>
          <w:szCs w:val="28"/>
        </w:rPr>
        <w:t>、</w:t>
      </w:r>
      <w:r w:rsidRPr="00F8569C">
        <w:rPr>
          <w:rFonts w:ascii="標楷體" w:eastAsia="標楷體" w:hAnsi="標楷體" w:hint="eastAsia"/>
          <w:sz w:val="28"/>
          <w:szCs w:val="28"/>
        </w:rPr>
        <w:t>碧華國中舊址銀新未來城規劃案</w:t>
      </w:r>
      <w:r>
        <w:rPr>
          <w:rFonts w:ascii="標楷體" w:eastAsia="標楷體" w:hAnsi="標楷體" w:hint="eastAsia"/>
          <w:sz w:val="28"/>
          <w:szCs w:val="28"/>
        </w:rPr>
        <w:t>及臺北市政府</w:t>
      </w:r>
      <w:r w:rsidRPr="006F0307">
        <w:rPr>
          <w:rFonts w:ascii="標楷體" w:eastAsia="標楷體" w:hAnsi="標楷體" w:hint="eastAsia"/>
          <w:sz w:val="28"/>
          <w:szCs w:val="28"/>
        </w:rPr>
        <w:t>簡報</w:t>
      </w:r>
      <w:r w:rsidRPr="00F8569C">
        <w:rPr>
          <w:rFonts w:ascii="標楷體" w:eastAsia="標楷體" w:hAnsi="標楷體" w:hint="eastAsia"/>
          <w:sz w:val="28"/>
          <w:szCs w:val="28"/>
        </w:rPr>
        <w:t>捷運系統環狀線北環段工程</w:t>
      </w:r>
      <w:r>
        <w:rPr>
          <w:rFonts w:ascii="標楷體" w:eastAsia="標楷體" w:hAnsi="標楷體" w:hint="eastAsia"/>
          <w:sz w:val="28"/>
          <w:szCs w:val="28"/>
        </w:rPr>
        <w:t>，</w:t>
      </w:r>
      <w:r w:rsidRPr="00F8569C">
        <w:rPr>
          <w:rFonts w:ascii="標楷體" w:eastAsia="標楷體" w:hAnsi="標楷體" w:hint="eastAsia"/>
          <w:sz w:val="28"/>
          <w:szCs w:val="28"/>
        </w:rPr>
        <w:t>會中進行充分討論並聽取地方相關人士陳情建議等</w:t>
      </w:r>
      <w:r>
        <w:rPr>
          <w:rFonts w:ascii="標楷體" w:eastAsia="標楷體" w:hAnsi="標楷體" w:hint="eastAsia"/>
          <w:sz w:val="28"/>
          <w:szCs w:val="28"/>
        </w:rPr>
        <w:t>，復由各相關機關回應及</w:t>
      </w:r>
      <w:r w:rsidRPr="002606DD">
        <w:rPr>
          <w:rFonts w:ascii="標楷體" w:eastAsia="標楷體" w:hAnsi="標楷體" w:hint="eastAsia"/>
          <w:sz w:val="28"/>
          <w:szCs w:val="28"/>
        </w:rPr>
        <w:t>交換意見，最後由</w:t>
      </w:r>
      <w:r>
        <w:rPr>
          <w:rFonts w:ascii="標楷體" w:eastAsia="標楷體" w:hAnsi="標楷體" w:hint="eastAsia"/>
          <w:sz w:val="28"/>
          <w:szCs w:val="28"/>
        </w:rPr>
        <w:t>李委員坤城</w:t>
      </w:r>
      <w:r w:rsidRPr="002606DD">
        <w:rPr>
          <w:rFonts w:ascii="標楷體" w:eastAsia="標楷體" w:hAnsi="標楷體" w:hint="eastAsia"/>
          <w:sz w:val="28"/>
          <w:szCs w:val="28"/>
        </w:rPr>
        <w:t>總結，本次考察相關紀錄及應辦理事項等，請各相關機關於2週內函送考察委員，並副知立法院財政委員會。</w:t>
      </w:r>
    </w:p>
    <w:p w14:paraId="2984852D" w14:textId="1A47570F" w:rsidR="007806AE" w:rsidRPr="007806AE" w:rsidRDefault="00640766" w:rsidP="00F470A8">
      <w:pPr>
        <w:widowControl w:val="0"/>
        <w:tabs>
          <w:tab w:val="left" w:pos="7431"/>
        </w:tabs>
        <w:overflowPunct w:val="0"/>
        <w:autoSpaceDN/>
        <w:spacing w:line="440" w:lineRule="exact"/>
        <w:ind w:firstLineChars="455" w:firstLine="1275"/>
        <w:jc w:val="both"/>
        <w:textAlignment w:val="auto"/>
        <w:rPr>
          <w:rFonts w:ascii="標楷體" w:eastAsia="標楷體" w:hAnsi="標楷體"/>
          <w:b/>
          <w:bCs/>
          <w:iCs/>
          <w:kern w:val="2"/>
          <w:sz w:val="28"/>
          <w:szCs w:val="28"/>
          <w:u w:val="single"/>
        </w:rPr>
      </w:pPr>
      <w:r w:rsidRPr="007806AE">
        <w:rPr>
          <w:rFonts w:ascii="標楷體" w:eastAsia="標楷體" w:hAnsi="標楷體" w:hint="eastAsia"/>
          <w:b/>
          <w:bCs/>
          <w:iCs/>
          <w:kern w:val="2"/>
          <w:sz w:val="28"/>
          <w:szCs w:val="28"/>
        </w:rPr>
        <w:t>7.</w:t>
      </w:r>
      <w:r w:rsidR="007806AE" w:rsidRPr="007806AE">
        <w:rPr>
          <w:rFonts w:ascii="標楷體" w:eastAsia="標楷體" w:hAnsi="標楷體"/>
          <w:b/>
          <w:bCs/>
          <w:iCs/>
          <w:kern w:val="2"/>
          <w:sz w:val="28"/>
          <w:szCs w:val="28"/>
          <w:u w:val="single"/>
        </w:rPr>
        <w:t>114</w:t>
      </w:r>
      <w:r w:rsidR="007806AE" w:rsidRPr="007806AE">
        <w:rPr>
          <w:rFonts w:ascii="標楷體" w:eastAsia="標楷體" w:hAnsi="標楷體" w:hint="eastAsia"/>
          <w:b/>
          <w:bCs/>
          <w:iCs/>
          <w:kern w:val="2"/>
          <w:sz w:val="28"/>
          <w:szCs w:val="28"/>
          <w:u w:val="single"/>
        </w:rPr>
        <w:t>年1月8日</w:t>
      </w:r>
      <w:r w:rsidR="003E17ED" w:rsidRPr="00212307">
        <w:rPr>
          <w:rFonts w:ascii="標楷體" w:eastAsia="標楷體" w:hAnsi="標楷體" w:hint="eastAsia"/>
          <w:b/>
          <w:bCs/>
          <w:iCs/>
          <w:kern w:val="2"/>
          <w:sz w:val="28"/>
          <w:szCs w:val="28"/>
          <w:u w:val="single"/>
        </w:rPr>
        <w:t>(星期三)</w:t>
      </w:r>
    </w:p>
    <w:p w14:paraId="5BF5E464" w14:textId="77777777" w:rsidR="007806AE" w:rsidRPr="007806AE" w:rsidRDefault="007806AE" w:rsidP="00F470A8">
      <w:pPr>
        <w:tabs>
          <w:tab w:val="left" w:pos="709"/>
        </w:tabs>
        <w:overflowPunct w:val="0"/>
        <w:spacing w:line="440" w:lineRule="exact"/>
        <w:ind w:leftChars="600" w:left="1440"/>
        <w:jc w:val="both"/>
        <w:textAlignment w:val="auto"/>
        <w:rPr>
          <w:rFonts w:ascii="標楷體" w:eastAsia="標楷體" w:hAnsi="標楷體"/>
          <w:kern w:val="2"/>
          <w:sz w:val="28"/>
          <w:szCs w:val="28"/>
        </w:rPr>
      </w:pPr>
      <w:r w:rsidRPr="007806AE">
        <w:rPr>
          <w:rFonts w:ascii="標楷體" w:eastAsia="標楷體" w:hAnsi="標楷體" w:hint="eastAsia"/>
          <w:kern w:val="2"/>
          <w:sz w:val="28"/>
          <w:szCs w:val="28"/>
        </w:rPr>
        <w:t>考察</w:t>
      </w:r>
      <w:r w:rsidRPr="007806AE">
        <w:rPr>
          <w:rFonts w:ascii="標楷體" w:eastAsia="標楷體" w:hAnsi="標楷體" w:hint="eastAsia"/>
          <w:b/>
          <w:kern w:val="2"/>
          <w:sz w:val="28"/>
          <w:szCs w:val="28"/>
        </w:rPr>
        <w:t>臺南地區地方建設預算執行情形。</w:t>
      </w:r>
    </w:p>
    <w:p w14:paraId="0347B064" w14:textId="77777777" w:rsidR="007806AE" w:rsidRPr="007806AE" w:rsidRDefault="007806AE" w:rsidP="00F470A8">
      <w:pPr>
        <w:widowControl w:val="0"/>
        <w:tabs>
          <w:tab w:val="left" w:pos="2655"/>
        </w:tabs>
        <w:overflowPunct w:val="0"/>
        <w:autoSpaceDN/>
        <w:spacing w:line="440" w:lineRule="exact"/>
        <w:ind w:leftChars="600" w:left="1440" w:firstLineChars="200" w:firstLine="560"/>
        <w:jc w:val="both"/>
        <w:textAlignment w:val="auto"/>
        <w:rPr>
          <w:rFonts w:ascii="標楷體" w:eastAsia="標楷體" w:hAnsi="標楷體"/>
          <w:sz w:val="28"/>
          <w:szCs w:val="28"/>
        </w:rPr>
      </w:pPr>
      <w:r w:rsidRPr="007806AE">
        <w:rPr>
          <w:rFonts w:ascii="標楷體" w:eastAsia="標楷體" w:hAnsi="標楷體" w:hint="eastAsia"/>
          <w:sz w:val="28"/>
          <w:szCs w:val="28"/>
        </w:rPr>
        <w:t>賴召集委員惠員領隊，行政院主計總處副主計長陳慧娟、審計部副審計長曾石明、文化部常務次長徐宜君、經濟部水利署副署長王藝峰、農業部農田水利署副署長陳衍源、內政部國土管理署副署長徐燕興、行政院公共工程委員會技術處簡任技正黃雅娟、台灣糖業股份有限公司台南區處處長處長郭建宏、臺南市政府水利局局長邱忠川暨相關人員陪同。第一場次白河區蓮潭圳灌溉系統在凱米颱風中受創嚴重，復建工程(包含水井箱涵及護岸等)將由中央與地方共同合作完成，目標打造永續且高效的灌溉系統，確保農田用水穩定。第二場次後壁區竹新里竹圍後地區，凱米颱風時，因排水不及，導致上千戶居民受災及農田泡水，災損超過3億元，為杜絕水患，經濟部水利署與臺南市政府水利局將持續推進滯洪、分洪等治水措施以及白沙屯堤防的加強工程，以確保民眾生命及財產安全。第三場次鹽水區岸內影視基地考察工程進度，目前已完成第一至四期建設，總經費投入6.1億元，後續計畫將追加16億元，包括搭建日治時期、戰後初期等多樣化場景，並設置影視專用倉庫與道具工坊，吸引國內外影視作品前往拍攝，並朝結合地方文化、觀光與產業方向發展。第四場次新營糖廠了解舊宿舍修復及活化狀況，要求台灣糖業股份有限公司儘速檢討修復所需經費，並向文化部文化資產局申請補助，以加速修復進程。最後在新營糖廠內進行地方文化建設綜合座談會，與在地各文化團體進行意見交流後，另對於學甲天仁工商改建為傳統工藝中心、月津港燈節傳統戲曲戶外演出計畫、永成戲院經典重現推廣計畫、新營卸鹽台修繕及再利用推廣計畫、新營公園路藝術散步廊道建置計畫等議題，進行充分討論並協</w:t>
      </w:r>
      <w:r w:rsidRPr="007806AE">
        <w:rPr>
          <w:rFonts w:ascii="標楷體" w:eastAsia="標楷體" w:hAnsi="標楷體" w:hint="eastAsia"/>
          <w:sz w:val="28"/>
          <w:szCs w:val="28"/>
        </w:rPr>
        <w:lastRenderedPageBreak/>
        <w:t>調相關機關分工，俾共同推動地方創生。以上各場次考察相關紀錄及應辦理事項等，亦請各相關機關於2週內函送考察委員，並副知立法院財政委員會。</w:t>
      </w:r>
    </w:p>
    <w:p w14:paraId="70469A8E" w14:textId="1FBA150F" w:rsidR="007806AE" w:rsidRPr="007806AE" w:rsidRDefault="007806AE" w:rsidP="00F470A8">
      <w:pPr>
        <w:widowControl w:val="0"/>
        <w:tabs>
          <w:tab w:val="left" w:pos="7431"/>
        </w:tabs>
        <w:overflowPunct w:val="0"/>
        <w:autoSpaceDN/>
        <w:spacing w:line="440" w:lineRule="exact"/>
        <w:ind w:firstLineChars="455" w:firstLine="1275"/>
        <w:jc w:val="both"/>
        <w:textAlignment w:val="auto"/>
        <w:rPr>
          <w:rFonts w:ascii="標楷體" w:eastAsia="標楷體" w:hAnsi="標楷體"/>
          <w:b/>
          <w:bCs/>
          <w:iCs/>
          <w:kern w:val="2"/>
          <w:sz w:val="28"/>
          <w:szCs w:val="28"/>
          <w:u w:val="single"/>
        </w:rPr>
      </w:pPr>
      <w:r w:rsidRPr="007806AE">
        <w:rPr>
          <w:rFonts w:ascii="標楷體" w:eastAsia="標楷體" w:hAnsi="標楷體" w:hint="eastAsia"/>
          <w:b/>
          <w:bCs/>
          <w:iCs/>
          <w:kern w:val="2"/>
          <w:sz w:val="28"/>
          <w:szCs w:val="28"/>
        </w:rPr>
        <w:t>8.</w:t>
      </w:r>
      <w:r w:rsidRPr="007806AE">
        <w:rPr>
          <w:rFonts w:ascii="標楷體" w:eastAsia="標楷體" w:hAnsi="標楷體" w:hint="eastAsia"/>
          <w:b/>
          <w:bCs/>
          <w:iCs/>
          <w:kern w:val="2"/>
          <w:sz w:val="28"/>
          <w:szCs w:val="28"/>
          <w:u w:val="single"/>
        </w:rPr>
        <w:t>1月9日</w:t>
      </w:r>
      <w:r w:rsidR="003E17ED" w:rsidRPr="00212307">
        <w:rPr>
          <w:rFonts w:ascii="標楷體" w:eastAsia="標楷體" w:hAnsi="標楷體" w:hint="eastAsia"/>
          <w:b/>
          <w:bCs/>
          <w:iCs/>
          <w:kern w:val="2"/>
          <w:sz w:val="28"/>
          <w:szCs w:val="28"/>
          <w:u w:val="single"/>
        </w:rPr>
        <w:t>(星期</w:t>
      </w:r>
      <w:r w:rsidR="003E17ED">
        <w:rPr>
          <w:rFonts w:ascii="標楷體" w:eastAsia="標楷體" w:hAnsi="標楷體" w:hint="eastAsia"/>
          <w:b/>
          <w:bCs/>
          <w:iCs/>
          <w:kern w:val="2"/>
          <w:sz w:val="28"/>
          <w:szCs w:val="28"/>
          <w:u w:val="single"/>
        </w:rPr>
        <w:t>四</w:t>
      </w:r>
      <w:r w:rsidR="003E17ED" w:rsidRPr="00212307">
        <w:rPr>
          <w:rFonts w:ascii="標楷體" w:eastAsia="標楷體" w:hAnsi="標楷體" w:hint="eastAsia"/>
          <w:b/>
          <w:bCs/>
          <w:iCs/>
          <w:kern w:val="2"/>
          <w:sz w:val="28"/>
          <w:szCs w:val="28"/>
          <w:u w:val="single"/>
        </w:rPr>
        <w:t>)</w:t>
      </w:r>
    </w:p>
    <w:p w14:paraId="5FA43C90" w14:textId="77777777" w:rsidR="007806AE" w:rsidRPr="007806AE" w:rsidRDefault="007806AE" w:rsidP="00F470A8">
      <w:pPr>
        <w:tabs>
          <w:tab w:val="left" w:pos="709"/>
        </w:tabs>
        <w:overflowPunct w:val="0"/>
        <w:spacing w:line="440" w:lineRule="exact"/>
        <w:ind w:leftChars="600" w:left="1440"/>
        <w:jc w:val="both"/>
        <w:textAlignment w:val="auto"/>
        <w:rPr>
          <w:rFonts w:ascii="標楷體" w:eastAsia="標楷體" w:hAnsi="標楷體"/>
          <w:kern w:val="2"/>
          <w:sz w:val="28"/>
          <w:szCs w:val="28"/>
        </w:rPr>
      </w:pPr>
      <w:r w:rsidRPr="007806AE">
        <w:rPr>
          <w:rFonts w:ascii="標楷體" w:eastAsia="標楷體" w:hAnsi="標楷體" w:hint="eastAsia"/>
          <w:kern w:val="2"/>
          <w:sz w:val="28"/>
          <w:szCs w:val="28"/>
        </w:rPr>
        <w:t>考察</w:t>
      </w:r>
      <w:r w:rsidRPr="007806AE">
        <w:rPr>
          <w:rFonts w:ascii="標楷體" w:eastAsia="標楷體" w:hAnsi="標楷體" w:hint="eastAsia"/>
          <w:b/>
          <w:kern w:val="2"/>
          <w:sz w:val="28"/>
          <w:szCs w:val="28"/>
        </w:rPr>
        <w:t>臺南地區地方建設預算執行情形。</w:t>
      </w:r>
    </w:p>
    <w:p w14:paraId="3AB43E59" w14:textId="77777777" w:rsidR="007806AE" w:rsidRPr="007806AE" w:rsidRDefault="007806AE" w:rsidP="00F470A8">
      <w:pPr>
        <w:widowControl w:val="0"/>
        <w:tabs>
          <w:tab w:val="left" w:pos="2655"/>
        </w:tabs>
        <w:overflowPunct w:val="0"/>
        <w:autoSpaceDN/>
        <w:spacing w:line="440" w:lineRule="exact"/>
        <w:ind w:leftChars="600" w:left="1440" w:firstLineChars="200" w:firstLine="560"/>
        <w:jc w:val="both"/>
        <w:textAlignment w:val="auto"/>
        <w:rPr>
          <w:rFonts w:ascii="標楷體" w:eastAsia="標楷體" w:hAnsi="標楷體"/>
          <w:sz w:val="28"/>
          <w:szCs w:val="28"/>
        </w:rPr>
      </w:pPr>
      <w:r w:rsidRPr="007806AE">
        <w:rPr>
          <w:rFonts w:ascii="標楷體" w:eastAsia="標楷體" w:hAnsi="標楷體" w:hint="eastAsia"/>
          <w:sz w:val="28"/>
          <w:szCs w:val="28"/>
        </w:rPr>
        <w:t>賴委員惠員領隊，行政院主計總處副主計長陳慧娟、公務預算處專門委員張家瑜、審計部副審計長曾石明、臺南市審計處副處長蘇寶洲、農業部政務次長胡忠一、農糧署署長姚士源、農科園區主任謝勝信、畜牧司副司長周志勳、輔導司副司長陳怡任、漁業署組長焦正清、經濟部常務次長連錦漳、產業園區管理局副局長曾琡芬、產業發展署副署長鄒宇新、中小及新創企業署主任秘書謝戎峰、產業技術司簡任技正張能凱、金融監督管理委員會銀行局副局長侯立洋、國家發展委員會副主任委員詹方冠、產業發展處技正沈宗彥、國家科學及技術委員會主任委員吳誠文、產業發展處技正沈宗彥、台南市政府副市長趙卿惠、副秘書長殷世熙、參事徐健麟、農業局代理局長陳仲杰、經濟發展局副局長蕭富仁暨相關人員陪同。第一場至後壁區蘭花生技園區視察並於管理中心蘭花園區會議室進行簡報，114年1月2日農業部與行政院人事總處研議就蘭花園區與花卉試驗分所合併，直屬農業部達成共識，國際蘭展與亞太蘭展場域修繕於114年1月15日前可完成。第二場至新營產業園區由經濟部產業發展署簡報協助傳統產業技術開發計畫；中小及新創企業署簡報中小微企業多元振興發展計畫。第三場至柳科科技工業區服務中心2樓會議室聽取台南市政府簡報有關柳科三期辦理進度，請中央單位協調台糖土地以合作開發或協議價購方式取得。最後就本次考察相關紀錄及應辦理事項等，請各相關機關於2週內函送考察委員，並副知立法院財政委員會。</w:t>
      </w:r>
    </w:p>
    <w:p w14:paraId="41ED393C" w14:textId="39567451" w:rsidR="00305C74" w:rsidRDefault="007806AE" w:rsidP="00F470A8">
      <w:pPr>
        <w:widowControl w:val="0"/>
        <w:tabs>
          <w:tab w:val="left" w:pos="7431"/>
        </w:tabs>
        <w:overflowPunct w:val="0"/>
        <w:autoSpaceDN/>
        <w:spacing w:line="440" w:lineRule="exact"/>
        <w:ind w:firstLineChars="455" w:firstLine="1275"/>
        <w:jc w:val="both"/>
        <w:textAlignment w:val="auto"/>
        <w:rPr>
          <w:rFonts w:ascii="標楷體" w:eastAsia="標楷體" w:hAnsi="標楷體"/>
          <w:b/>
          <w:bCs/>
          <w:iCs/>
          <w:color w:val="FF0000"/>
          <w:kern w:val="2"/>
          <w:sz w:val="28"/>
          <w:szCs w:val="28"/>
          <w:u w:val="single"/>
        </w:rPr>
      </w:pPr>
      <w:r w:rsidRPr="00964E8B">
        <w:rPr>
          <w:rFonts w:ascii="標楷體" w:eastAsia="標楷體" w:hAnsi="標楷體" w:hint="eastAsia"/>
          <w:b/>
          <w:bCs/>
          <w:iCs/>
          <w:kern w:val="2"/>
          <w:sz w:val="28"/>
          <w:szCs w:val="28"/>
        </w:rPr>
        <w:t>9.</w:t>
      </w:r>
      <w:r w:rsidRPr="007806AE">
        <w:rPr>
          <w:rFonts w:ascii="標楷體" w:eastAsia="標楷體" w:hAnsi="標楷體" w:hint="eastAsia"/>
          <w:b/>
          <w:bCs/>
          <w:iCs/>
          <w:kern w:val="2"/>
          <w:sz w:val="28"/>
          <w:szCs w:val="28"/>
          <w:u w:val="single"/>
        </w:rPr>
        <w:t>1月13日</w:t>
      </w:r>
      <w:r w:rsidR="00305C74" w:rsidRPr="00212307">
        <w:rPr>
          <w:rFonts w:ascii="標楷體" w:eastAsia="標楷體" w:hAnsi="標楷體" w:hint="eastAsia"/>
          <w:b/>
          <w:bCs/>
          <w:iCs/>
          <w:kern w:val="2"/>
          <w:sz w:val="28"/>
          <w:szCs w:val="28"/>
          <w:u w:val="single"/>
        </w:rPr>
        <w:t>(星期</w:t>
      </w:r>
      <w:r w:rsidR="00305C74">
        <w:rPr>
          <w:rFonts w:ascii="標楷體" w:eastAsia="標楷體" w:hAnsi="標楷體"/>
          <w:b/>
          <w:bCs/>
          <w:iCs/>
          <w:kern w:val="2"/>
          <w:sz w:val="28"/>
          <w:szCs w:val="28"/>
          <w:u w:val="single"/>
        </w:rPr>
        <w:t>一)</w:t>
      </w:r>
    </w:p>
    <w:p w14:paraId="41C52A5F" w14:textId="77777777" w:rsidR="007806AE" w:rsidRDefault="007806AE" w:rsidP="00F470A8">
      <w:pPr>
        <w:tabs>
          <w:tab w:val="left" w:pos="709"/>
        </w:tabs>
        <w:overflowPunct w:val="0"/>
        <w:spacing w:line="440" w:lineRule="exact"/>
        <w:ind w:leftChars="600" w:left="1440"/>
        <w:jc w:val="both"/>
        <w:textAlignment w:val="auto"/>
        <w:rPr>
          <w:rFonts w:ascii="標楷體" w:eastAsia="標楷體" w:hAnsi="標楷體"/>
          <w:b/>
          <w:kern w:val="2"/>
          <w:sz w:val="28"/>
          <w:szCs w:val="28"/>
        </w:rPr>
      </w:pPr>
      <w:r w:rsidRPr="007806AE">
        <w:rPr>
          <w:rFonts w:ascii="標楷體" w:eastAsia="標楷體" w:hAnsi="標楷體" w:hint="eastAsia"/>
          <w:kern w:val="2"/>
          <w:sz w:val="28"/>
          <w:szCs w:val="28"/>
        </w:rPr>
        <w:t>考察</w:t>
      </w:r>
      <w:r w:rsidRPr="007806AE">
        <w:rPr>
          <w:rFonts w:ascii="標楷體" w:eastAsia="標楷體" w:hAnsi="標楷體" w:hint="eastAsia"/>
          <w:b/>
          <w:kern w:val="2"/>
          <w:sz w:val="28"/>
          <w:szCs w:val="28"/>
        </w:rPr>
        <w:t>臺灣證券交易所「創新板」業務概況。</w:t>
      </w:r>
    </w:p>
    <w:p w14:paraId="43F761B8" w14:textId="77777777" w:rsidR="007806AE" w:rsidRPr="007806AE" w:rsidRDefault="007806AE" w:rsidP="00F470A8">
      <w:pPr>
        <w:widowControl w:val="0"/>
        <w:tabs>
          <w:tab w:val="left" w:pos="2655"/>
        </w:tabs>
        <w:overflowPunct w:val="0"/>
        <w:autoSpaceDN/>
        <w:spacing w:line="440" w:lineRule="exact"/>
        <w:ind w:leftChars="600" w:left="1440" w:firstLineChars="200" w:firstLine="560"/>
        <w:jc w:val="both"/>
        <w:textAlignment w:val="auto"/>
        <w:rPr>
          <w:rFonts w:ascii="標楷體" w:eastAsia="標楷體" w:hAnsi="標楷體"/>
          <w:sz w:val="28"/>
          <w:szCs w:val="28"/>
        </w:rPr>
      </w:pPr>
      <w:r w:rsidRPr="007806AE">
        <w:rPr>
          <w:rFonts w:ascii="標楷體" w:eastAsia="標楷體" w:hAnsi="標楷體" w:hint="eastAsia"/>
          <w:sz w:val="28"/>
          <w:szCs w:val="28"/>
        </w:rPr>
        <w:t>陳召集委員玉珍領隊，委員賴士葆、羅明才、郭國文同行，金融監督管理委員會主任委員彭金隆、證券期貨局局長張振山、臺灣證券交易所股份有限公司董事長林修銘、總經理李愛玲、台北金融大樓股份有限公司總經理朱麗文等人陪同。首先，臺灣證券交易所股份有限公司董事長林修銘、總經理李愛玲就其目前業務概況及</w:t>
      </w:r>
      <w:r w:rsidRPr="007806AE">
        <w:rPr>
          <w:rFonts w:ascii="標楷體" w:eastAsia="標楷體" w:hAnsi="標楷體" w:hint="eastAsia"/>
          <w:sz w:val="28"/>
          <w:szCs w:val="28"/>
        </w:rPr>
        <w:lastRenderedPageBreak/>
        <w:t>「創新板」部分進行簡報，並由金融監督管理委員會彭金隆補充報告後，復由與會委員進行提問及意見交流，針對如何吸引國際AI大廠來臺上市；近年來臺股股價雖頻創新高，殖利率卻下降，加上國際因素等衝擊恐造成市場波動；另創新板全面取消合格投資人制度，大幅提升交易量能，應多加揭露資訊，進一步擴大吸引國內外新興產業，並注意上市公司產業間衡平，不要獨重資訊電子產業；多引導大眾資金投入公共建設，例如考量地方政府長照醫療等需求，以上皆經相關人員逐予回應及說明。最後由陳召集委員玉珍總結，本次考察相關紀錄及應辦理事項等，請金融監督管理委員會於2週內函送各考察委員，並副知立法院財政委員會。另外，於2個月內提出臺灣證券交易所上市是否可行之評估書面報告。</w:t>
      </w:r>
    </w:p>
    <w:p w14:paraId="046C9635" w14:textId="7F020D80" w:rsidR="00352120" w:rsidRDefault="00964E8B" w:rsidP="00F470A8">
      <w:pPr>
        <w:widowControl w:val="0"/>
        <w:tabs>
          <w:tab w:val="left" w:pos="7431"/>
        </w:tabs>
        <w:overflowPunct w:val="0"/>
        <w:autoSpaceDN/>
        <w:spacing w:line="440" w:lineRule="exact"/>
        <w:ind w:firstLineChars="455" w:firstLine="1275"/>
        <w:jc w:val="both"/>
        <w:textAlignment w:val="auto"/>
        <w:rPr>
          <w:rFonts w:ascii="標楷體" w:eastAsia="標楷體" w:hAnsi="標楷體"/>
          <w:b/>
          <w:bCs/>
          <w:iCs/>
          <w:kern w:val="2"/>
          <w:sz w:val="28"/>
          <w:szCs w:val="28"/>
          <w:u w:val="single"/>
        </w:rPr>
      </w:pPr>
      <w:r w:rsidRPr="00964E8B">
        <w:rPr>
          <w:rFonts w:ascii="標楷體" w:eastAsia="標楷體" w:hAnsi="標楷體" w:hint="eastAsia"/>
          <w:b/>
          <w:bCs/>
          <w:iCs/>
          <w:kern w:val="2"/>
          <w:sz w:val="28"/>
          <w:szCs w:val="28"/>
        </w:rPr>
        <w:t>10.</w:t>
      </w:r>
      <w:r>
        <w:rPr>
          <w:rFonts w:ascii="標楷體" w:eastAsia="標楷體" w:hAnsi="標楷體" w:hint="eastAsia"/>
          <w:b/>
          <w:bCs/>
          <w:iCs/>
          <w:kern w:val="2"/>
          <w:sz w:val="28"/>
          <w:szCs w:val="28"/>
          <w:u w:val="single"/>
        </w:rPr>
        <w:t>1月22日</w:t>
      </w:r>
      <w:r w:rsidR="00B65990" w:rsidRPr="00212307">
        <w:rPr>
          <w:rFonts w:ascii="標楷體" w:eastAsia="標楷體" w:hAnsi="標楷體" w:hint="eastAsia"/>
          <w:b/>
          <w:bCs/>
          <w:iCs/>
          <w:kern w:val="2"/>
          <w:sz w:val="28"/>
          <w:szCs w:val="28"/>
          <w:u w:val="single"/>
        </w:rPr>
        <w:t>(星期三)</w:t>
      </w:r>
    </w:p>
    <w:p w14:paraId="423B3DEA" w14:textId="29306B19" w:rsidR="004E1C6E" w:rsidRPr="00972DB2" w:rsidRDefault="004E1C6E" w:rsidP="00972DB2">
      <w:pPr>
        <w:widowControl w:val="0"/>
        <w:tabs>
          <w:tab w:val="left" w:pos="7431"/>
        </w:tabs>
        <w:overflowPunct w:val="0"/>
        <w:autoSpaceDN/>
        <w:spacing w:line="440" w:lineRule="exact"/>
        <w:ind w:leftChars="700" w:left="3240" w:hangingChars="600" w:hanging="1560"/>
        <w:jc w:val="both"/>
        <w:textAlignment w:val="auto"/>
        <w:rPr>
          <w:rFonts w:ascii="標楷體" w:eastAsia="標楷體" w:hAnsi="標楷體"/>
          <w:b/>
          <w:spacing w:val="-20"/>
          <w:kern w:val="2"/>
          <w:sz w:val="28"/>
          <w:szCs w:val="28"/>
        </w:rPr>
      </w:pPr>
      <w:r w:rsidRPr="00972DB2">
        <w:rPr>
          <w:rFonts w:ascii="標楷體" w:eastAsia="標楷體" w:hAnsi="標楷體" w:hint="eastAsia"/>
          <w:spacing w:val="-20"/>
          <w:kern w:val="2"/>
          <w:sz w:val="28"/>
          <w:szCs w:val="28"/>
        </w:rPr>
        <w:t>考察</w:t>
      </w:r>
      <w:r w:rsidRPr="00972DB2">
        <w:rPr>
          <w:rFonts w:ascii="標楷體" w:eastAsia="標楷體" w:hAnsi="標楷體" w:hint="eastAsia"/>
          <w:b/>
          <w:spacing w:val="-20"/>
          <w:kern w:val="2"/>
          <w:sz w:val="28"/>
          <w:szCs w:val="28"/>
        </w:rPr>
        <w:t>南科生活機能圈公路運輸、社會住宅、都市計畫預算執行情形</w:t>
      </w:r>
    </w:p>
    <w:p w14:paraId="41895A79" w14:textId="6007330F" w:rsidR="00F867B9" w:rsidRPr="00452841" w:rsidRDefault="00452841" w:rsidP="00972DB2">
      <w:pPr>
        <w:widowControl w:val="0"/>
        <w:tabs>
          <w:tab w:val="left" w:pos="2655"/>
        </w:tabs>
        <w:overflowPunct w:val="0"/>
        <w:autoSpaceDN/>
        <w:spacing w:line="440" w:lineRule="exact"/>
        <w:ind w:leftChars="700" w:left="1680" w:firstLineChars="200" w:firstLine="560"/>
        <w:jc w:val="both"/>
        <w:textAlignment w:val="auto"/>
        <w:rPr>
          <w:rFonts w:ascii="標楷體" w:eastAsia="標楷體" w:hAnsi="標楷體"/>
          <w:sz w:val="28"/>
          <w:szCs w:val="28"/>
        </w:rPr>
      </w:pPr>
      <w:r w:rsidRPr="0074100D">
        <w:rPr>
          <w:rFonts w:ascii="標楷體" w:eastAsia="標楷體" w:hAnsi="標楷體" w:hint="eastAsia"/>
          <w:sz w:val="28"/>
          <w:szCs w:val="28"/>
        </w:rPr>
        <w:t>郭委員國文領隊，林委員俊憲同行，行政院主計總處公務預算處專門委員李翊柔、審計部臺南市審計處副處長蘇寶洲、內政部政務次長董建宏、國土管理署署長吳欣修、經濟部水利署第六河川分署分署長謝明昌、商業發展署副署長陳秘順、財政部國有財產署南區分署分署長黃莉莉、臺南市政府工務局副局長鄒譽名、交通局主任秘書謝惠雄、都市發展局總工程司蔡孟儒、地政局主任秘書陳顯道、市場處處長王俊博等陪同。第一場現勘南科烏橋中路跨曾文溪銜接南40線暨南40線延伸至台19甲線道路工程，首先由內政部說明及臺南市政府工務局簡報，本案總經費38億餘元，已提報生活圈道路建設計畫，將於國土署審查完成後，加速辦理，預計建設工期5年；嗣經委員提問、聽取地方代表建議及相關主責單位回應說明後，郭委員國文要求臺南市政府工務局針對雙向溝通共識，積極進行綜合評估（包含：路面寬度設計應考量交通流量及未來南科外溢效應之容納量、擴大徵收土地事宜、延伸線銜接高速公路可行性等）並研修計畫內容。第二場次於麻豆謝安中民里聯合活動中心辦理座談會，主題為(1)南科週邊社宅執行(2)南科特定區FGA~O大型建設及周邊生活圈建構(3)舊有傳統市場爭取經濟部預算等3項，分別由內政部國土署、臺南市政府（都發局、地政局、市場處）提供簡報資料及說明辦理情形，會中逐予充分討論並聽取地方相關人士陳情與建議，復由</w:t>
      </w:r>
      <w:r w:rsidRPr="0074100D">
        <w:rPr>
          <w:rFonts w:ascii="標楷體" w:eastAsia="標楷體" w:hAnsi="標楷體" w:hint="eastAsia"/>
          <w:sz w:val="28"/>
          <w:szCs w:val="28"/>
        </w:rPr>
        <w:lastRenderedPageBreak/>
        <w:t>各該主責單位回應說明後，郭委員國文要求針對南科周邊社宅需辦理變更事宜者，儘速提交預計期程時間，且社宅及南科特定區塊生活圈之整體規劃設計，應符合在地需求及產業發展，期落實產學生活圈概念，帶動大臺南連動發展，至8個傳統市場部分，應爭取預算進行改建，提升安全性及改善使用環境，若已不具備市場功能性者，或可評估轉型。最後郭委員國文總結，本次考察相關紀錄及應辦理事項等，請各相關機關於2週內函送考察委員，並副知立法院財政委員會。</w:t>
      </w:r>
    </w:p>
    <w:p w14:paraId="65285763" w14:textId="77777777" w:rsidR="007E0982" w:rsidRDefault="007E0982">
      <w:pPr>
        <w:autoSpaceDN/>
        <w:textAlignment w:val="auto"/>
        <w:rPr>
          <w:rFonts w:ascii="標楷體" w:eastAsia="標楷體" w:hAnsi="標楷體"/>
          <w:kern w:val="2"/>
          <w:sz w:val="28"/>
          <w:szCs w:val="28"/>
        </w:rPr>
      </w:pPr>
      <w:r>
        <w:rPr>
          <w:rFonts w:ascii="標楷體" w:eastAsia="標楷體" w:hAnsi="標楷體"/>
          <w:kern w:val="2"/>
          <w:sz w:val="28"/>
          <w:szCs w:val="28"/>
        </w:rPr>
        <w:br w:type="page"/>
      </w:r>
    </w:p>
    <w:p w14:paraId="2AB46864" w14:textId="77777777" w:rsidR="00964E8B" w:rsidRPr="004E1C6E" w:rsidRDefault="00964E8B" w:rsidP="00F470A8">
      <w:pPr>
        <w:tabs>
          <w:tab w:val="left" w:pos="709"/>
        </w:tabs>
        <w:overflowPunct w:val="0"/>
        <w:spacing w:line="440" w:lineRule="exact"/>
        <w:jc w:val="both"/>
        <w:textAlignment w:val="auto"/>
        <w:rPr>
          <w:rFonts w:ascii="標楷體" w:eastAsia="標楷體" w:hAnsi="標楷體"/>
          <w:kern w:val="2"/>
          <w:sz w:val="28"/>
          <w:szCs w:val="28"/>
        </w:rPr>
      </w:pPr>
    </w:p>
    <w:p w14:paraId="54CB11DF" w14:textId="080EC3CB" w:rsidR="00EF440A" w:rsidRPr="00510EC7" w:rsidRDefault="00F16097" w:rsidP="00F470A8">
      <w:pPr>
        <w:pStyle w:val="2"/>
        <w:numPr>
          <w:ilvl w:val="0"/>
          <w:numId w:val="0"/>
        </w:numPr>
        <w:overflowPunct w:val="0"/>
        <w:spacing w:line="480" w:lineRule="exact"/>
        <w:ind w:left="927" w:hanging="567"/>
        <w:rPr>
          <w:rFonts w:ascii="標楷體" w:eastAsia="標楷體" w:hAnsi="標楷體"/>
          <w:bCs w:val="0"/>
          <w:kern w:val="2"/>
          <w:sz w:val="32"/>
          <w:szCs w:val="32"/>
        </w:rPr>
      </w:pPr>
      <w:bookmarkStart w:id="14" w:name="_Toc189487272"/>
      <w:r w:rsidRPr="00510EC7">
        <w:rPr>
          <w:rFonts w:ascii="標楷體" w:eastAsia="標楷體" w:hAnsi="標楷體" w:hint="eastAsia"/>
          <w:bCs w:val="0"/>
          <w:kern w:val="2"/>
          <w:sz w:val="32"/>
          <w:szCs w:val="32"/>
        </w:rPr>
        <w:t>四</w:t>
      </w:r>
      <w:r w:rsidR="00102C63" w:rsidRPr="00510EC7">
        <w:rPr>
          <w:rFonts w:ascii="標楷體" w:eastAsia="標楷體" w:hAnsi="標楷體" w:hint="eastAsia"/>
          <w:bCs w:val="0"/>
          <w:kern w:val="2"/>
          <w:sz w:val="32"/>
          <w:szCs w:val="32"/>
        </w:rPr>
        <w:t>、</w:t>
      </w:r>
      <w:r w:rsidR="00EF440A" w:rsidRPr="00510EC7">
        <w:rPr>
          <w:rFonts w:ascii="標楷體" w:eastAsia="標楷體" w:hAnsi="標楷體" w:hint="eastAsia"/>
          <w:bCs w:val="0"/>
          <w:kern w:val="2"/>
          <w:sz w:val="32"/>
          <w:szCs w:val="32"/>
        </w:rPr>
        <w:t>本會期本會各項議案審竣統計表</w:t>
      </w:r>
      <w:bookmarkEnd w:id="14"/>
    </w:p>
    <w:tbl>
      <w:tblPr>
        <w:tblpPr w:leftFromText="180" w:rightFromText="180" w:vertAnchor="text" w:horzAnchor="margin" w:tblpX="250" w:tblpY="241"/>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2977"/>
        <w:gridCol w:w="1984"/>
        <w:gridCol w:w="1985"/>
        <w:gridCol w:w="2018"/>
      </w:tblGrid>
      <w:tr w:rsidR="00464A6F" w:rsidRPr="00510EC7" w14:paraId="2F5583A2" w14:textId="77777777" w:rsidTr="00F9585C">
        <w:trPr>
          <w:trHeight w:val="810"/>
        </w:trPr>
        <w:tc>
          <w:tcPr>
            <w:tcW w:w="3794" w:type="dxa"/>
            <w:gridSpan w:val="2"/>
            <w:vMerge w:val="restart"/>
            <w:tcBorders>
              <w:top w:val="single" w:sz="18" w:space="0" w:color="auto"/>
              <w:left w:val="single" w:sz="18" w:space="0" w:color="auto"/>
              <w:right w:val="single" w:sz="18" w:space="0" w:color="auto"/>
            </w:tcBorders>
            <w:vAlign w:val="center"/>
          </w:tcPr>
          <w:p w14:paraId="0D796EB5" w14:textId="77777777" w:rsidR="00EF440A" w:rsidRPr="00510EC7" w:rsidRDefault="00EF440A" w:rsidP="00F470A8">
            <w:pPr>
              <w:widowControl w:val="0"/>
              <w:tabs>
                <w:tab w:val="left" w:pos="284"/>
                <w:tab w:val="left" w:pos="426"/>
              </w:tabs>
              <w:overflowPunct w:val="0"/>
              <w:spacing w:line="340" w:lineRule="exact"/>
              <w:jc w:val="center"/>
              <w:rPr>
                <w:rFonts w:ascii="標楷體" w:eastAsia="標楷體" w:hAnsi="標楷體"/>
                <w:b/>
                <w:sz w:val="28"/>
                <w:szCs w:val="28"/>
              </w:rPr>
            </w:pPr>
            <w:r w:rsidRPr="00510EC7">
              <w:rPr>
                <w:rFonts w:ascii="標楷體" w:eastAsia="標楷體" w:hAnsi="標楷體" w:hint="eastAsia"/>
                <w:b/>
                <w:sz w:val="28"/>
                <w:szCs w:val="28"/>
              </w:rPr>
              <w:t>類     別</w:t>
            </w:r>
          </w:p>
        </w:tc>
        <w:tc>
          <w:tcPr>
            <w:tcW w:w="5987" w:type="dxa"/>
            <w:gridSpan w:val="3"/>
            <w:tcBorders>
              <w:top w:val="single" w:sz="18" w:space="0" w:color="auto"/>
              <w:left w:val="single" w:sz="18" w:space="0" w:color="auto"/>
              <w:bottom w:val="single" w:sz="18" w:space="0" w:color="auto"/>
              <w:right w:val="single" w:sz="18" w:space="0" w:color="auto"/>
            </w:tcBorders>
            <w:shd w:val="clear" w:color="auto" w:fill="FABF8F"/>
            <w:vAlign w:val="center"/>
          </w:tcPr>
          <w:p w14:paraId="0698CF4D" w14:textId="77777777" w:rsidR="00EF440A" w:rsidRPr="00510EC7" w:rsidRDefault="00EF440A" w:rsidP="00F470A8">
            <w:pPr>
              <w:widowControl w:val="0"/>
              <w:tabs>
                <w:tab w:val="left" w:pos="284"/>
                <w:tab w:val="left" w:pos="426"/>
              </w:tabs>
              <w:overflowPunct w:val="0"/>
              <w:spacing w:line="340" w:lineRule="exact"/>
              <w:jc w:val="both"/>
              <w:rPr>
                <w:rFonts w:ascii="標楷體" w:eastAsia="標楷體" w:hAnsi="標楷體"/>
                <w:b/>
                <w:bCs/>
                <w:sz w:val="28"/>
                <w:szCs w:val="28"/>
              </w:rPr>
            </w:pPr>
            <w:r w:rsidRPr="00510EC7">
              <w:rPr>
                <w:rFonts w:ascii="標楷體" w:eastAsia="標楷體" w:hAnsi="標楷體"/>
                <w:b/>
                <w:bCs/>
                <w:sz w:val="28"/>
                <w:szCs w:val="28"/>
              </w:rPr>
              <w:t>第1</w:t>
            </w:r>
            <w:r w:rsidR="00A30C6D" w:rsidRPr="00510EC7">
              <w:rPr>
                <w:rFonts w:ascii="標楷體" w:eastAsia="標楷體" w:hAnsi="標楷體" w:hint="eastAsia"/>
                <w:b/>
                <w:bCs/>
                <w:sz w:val="28"/>
                <w:szCs w:val="28"/>
              </w:rPr>
              <w:t>1</w:t>
            </w:r>
            <w:r w:rsidRPr="00510EC7">
              <w:rPr>
                <w:rFonts w:ascii="標楷體" w:eastAsia="標楷體" w:hAnsi="標楷體"/>
                <w:b/>
                <w:bCs/>
                <w:sz w:val="28"/>
                <w:szCs w:val="28"/>
              </w:rPr>
              <w:t>屆</w:t>
            </w:r>
            <w:r w:rsidRPr="00510EC7">
              <w:rPr>
                <w:rFonts w:ascii="標楷體" w:eastAsia="標楷體" w:hAnsi="標楷體" w:hint="eastAsia"/>
                <w:b/>
                <w:bCs/>
                <w:sz w:val="28"/>
                <w:szCs w:val="28"/>
              </w:rPr>
              <w:t>第</w:t>
            </w:r>
            <w:r w:rsidR="00510EC7" w:rsidRPr="00CD4A33">
              <w:rPr>
                <w:rFonts w:ascii="標楷體" w:eastAsia="標楷體" w:hAnsi="標楷體" w:hint="eastAsia"/>
                <w:b/>
                <w:bCs/>
                <w:sz w:val="28"/>
                <w:szCs w:val="28"/>
              </w:rPr>
              <w:t>2</w:t>
            </w:r>
            <w:r w:rsidRPr="00510EC7">
              <w:rPr>
                <w:rFonts w:ascii="標楷體" w:eastAsia="標楷體" w:hAnsi="標楷體" w:hint="eastAsia"/>
                <w:b/>
                <w:bCs/>
                <w:sz w:val="28"/>
                <w:szCs w:val="28"/>
              </w:rPr>
              <w:t>會期本會審竣提報院會之</w:t>
            </w:r>
            <w:r w:rsidRPr="00510EC7">
              <w:rPr>
                <w:rFonts w:ascii="標楷體" w:eastAsia="標楷體" w:hAnsi="標楷體"/>
                <w:b/>
                <w:bCs/>
                <w:sz w:val="28"/>
                <w:szCs w:val="28"/>
                <w:bdr w:val="single" w:sz="4" w:space="0" w:color="auto"/>
              </w:rPr>
              <w:t>已結案件</w:t>
            </w:r>
          </w:p>
        </w:tc>
      </w:tr>
      <w:tr w:rsidR="00464A6F" w:rsidRPr="00510EC7" w14:paraId="63BFB547" w14:textId="77777777" w:rsidTr="00F9585C">
        <w:trPr>
          <w:trHeight w:val="669"/>
        </w:trPr>
        <w:tc>
          <w:tcPr>
            <w:tcW w:w="3794" w:type="dxa"/>
            <w:gridSpan w:val="2"/>
            <w:vMerge/>
            <w:tcBorders>
              <w:left w:val="single" w:sz="18" w:space="0" w:color="auto"/>
              <w:right w:val="single" w:sz="18" w:space="0" w:color="auto"/>
            </w:tcBorders>
          </w:tcPr>
          <w:p w14:paraId="7EA79C57" w14:textId="77777777" w:rsidR="00EF440A" w:rsidRPr="00510EC7" w:rsidRDefault="00EF440A" w:rsidP="00F470A8">
            <w:pPr>
              <w:widowControl w:val="0"/>
              <w:tabs>
                <w:tab w:val="left" w:pos="284"/>
                <w:tab w:val="left" w:pos="426"/>
              </w:tabs>
              <w:overflowPunct w:val="0"/>
              <w:spacing w:line="340" w:lineRule="exact"/>
              <w:jc w:val="both"/>
              <w:rPr>
                <w:rFonts w:ascii="標楷體" w:eastAsia="標楷體" w:hAnsi="標楷體"/>
                <w:b/>
                <w:szCs w:val="24"/>
              </w:rPr>
            </w:pPr>
          </w:p>
        </w:tc>
        <w:tc>
          <w:tcPr>
            <w:tcW w:w="1984" w:type="dxa"/>
            <w:tcBorders>
              <w:top w:val="single" w:sz="18" w:space="0" w:color="auto"/>
              <w:left w:val="single" w:sz="18" w:space="0" w:color="auto"/>
              <w:right w:val="dashed" w:sz="4" w:space="0" w:color="auto"/>
            </w:tcBorders>
            <w:shd w:val="clear" w:color="auto" w:fill="FFFF00"/>
            <w:vAlign w:val="center"/>
          </w:tcPr>
          <w:p w14:paraId="7F25A22C" w14:textId="77777777" w:rsidR="00EF440A" w:rsidRPr="00510EC7" w:rsidRDefault="00EF440A" w:rsidP="00F470A8">
            <w:pPr>
              <w:widowControl w:val="0"/>
              <w:tabs>
                <w:tab w:val="left" w:pos="284"/>
                <w:tab w:val="left" w:pos="426"/>
              </w:tabs>
              <w:overflowPunct w:val="0"/>
              <w:spacing w:line="340" w:lineRule="exact"/>
              <w:jc w:val="center"/>
              <w:rPr>
                <w:rFonts w:ascii="標楷體" w:eastAsia="標楷體" w:hAnsi="標楷體"/>
                <w:b/>
                <w:sz w:val="28"/>
                <w:szCs w:val="28"/>
              </w:rPr>
            </w:pPr>
            <w:r w:rsidRPr="00510EC7">
              <w:rPr>
                <w:rFonts w:ascii="標楷體" w:eastAsia="標楷體" w:hAnsi="標楷體"/>
                <w:b/>
                <w:sz w:val="28"/>
                <w:szCs w:val="28"/>
              </w:rPr>
              <w:t>院會通過</w:t>
            </w:r>
          </w:p>
        </w:tc>
        <w:tc>
          <w:tcPr>
            <w:tcW w:w="1985" w:type="dxa"/>
            <w:tcBorders>
              <w:top w:val="single" w:sz="18" w:space="0" w:color="auto"/>
              <w:left w:val="dashed" w:sz="4" w:space="0" w:color="auto"/>
              <w:right w:val="single" w:sz="18" w:space="0" w:color="auto"/>
            </w:tcBorders>
            <w:shd w:val="clear" w:color="auto" w:fill="D6E3BC"/>
            <w:vAlign w:val="center"/>
          </w:tcPr>
          <w:p w14:paraId="61CB79D4" w14:textId="77777777" w:rsidR="00EF440A" w:rsidRPr="00510EC7" w:rsidRDefault="00EF440A" w:rsidP="00F470A8">
            <w:pPr>
              <w:widowControl w:val="0"/>
              <w:tabs>
                <w:tab w:val="left" w:pos="284"/>
                <w:tab w:val="left" w:pos="426"/>
              </w:tabs>
              <w:overflowPunct w:val="0"/>
              <w:spacing w:line="340" w:lineRule="exact"/>
              <w:jc w:val="center"/>
              <w:rPr>
                <w:rFonts w:ascii="標楷體" w:eastAsia="標楷體" w:hAnsi="標楷體"/>
                <w:b/>
                <w:sz w:val="28"/>
                <w:szCs w:val="28"/>
              </w:rPr>
            </w:pPr>
            <w:r w:rsidRPr="00510EC7">
              <w:rPr>
                <w:rFonts w:ascii="標楷體" w:eastAsia="標楷體" w:hAnsi="標楷體"/>
                <w:b/>
                <w:sz w:val="28"/>
                <w:szCs w:val="28"/>
              </w:rPr>
              <w:t>院會</w:t>
            </w:r>
            <w:r w:rsidRPr="00510EC7">
              <w:rPr>
                <w:rFonts w:ascii="標楷體" w:eastAsia="標楷體" w:hAnsi="標楷體" w:hint="eastAsia"/>
                <w:b/>
                <w:sz w:val="28"/>
                <w:szCs w:val="28"/>
              </w:rPr>
              <w:t>待</w:t>
            </w:r>
            <w:r w:rsidRPr="00510EC7">
              <w:rPr>
                <w:rFonts w:ascii="標楷體" w:eastAsia="標楷體" w:hAnsi="標楷體"/>
                <w:b/>
                <w:sz w:val="28"/>
                <w:szCs w:val="28"/>
              </w:rPr>
              <w:t>審</w:t>
            </w:r>
          </w:p>
        </w:tc>
        <w:tc>
          <w:tcPr>
            <w:tcW w:w="2018" w:type="dxa"/>
            <w:tcBorders>
              <w:top w:val="single" w:sz="18" w:space="0" w:color="auto"/>
              <w:left w:val="single" w:sz="18" w:space="0" w:color="auto"/>
              <w:bottom w:val="single" w:sz="18" w:space="0" w:color="auto"/>
              <w:right w:val="single" w:sz="18" w:space="0" w:color="auto"/>
            </w:tcBorders>
            <w:shd w:val="clear" w:color="auto" w:fill="FABF8F"/>
            <w:vAlign w:val="center"/>
          </w:tcPr>
          <w:p w14:paraId="560D9FFE" w14:textId="580C1C16" w:rsidR="00EF440A" w:rsidRPr="00510EC7" w:rsidRDefault="00EF440A" w:rsidP="00F470A8">
            <w:pPr>
              <w:widowControl w:val="0"/>
              <w:tabs>
                <w:tab w:val="left" w:pos="284"/>
                <w:tab w:val="left" w:pos="426"/>
              </w:tabs>
              <w:overflowPunct w:val="0"/>
              <w:spacing w:line="340" w:lineRule="exact"/>
              <w:jc w:val="center"/>
              <w:rPr>
                <w:rFonts w:ascii="標楷體" w:eastAsia="標楷體" w:hAnsi="標楷體"/>
                <w:b/>
                <w:sz w:val="28"/>
                <w:szCs w:val="28"/>
              </w:rPr>
            </w:pPr>
            <w:r w:rsidRPr="00510EC7">
              <w:rPr>
                <w:rFonts w:ascii="標楷體" w:eastAsia="標楷體" w:hAnsi="標楷體" w:hint="eastAsia"/>
                <w:b/>
                <w:sz w:val="28"/>
                <w:szCs w:val="28"/>
              </w:rPr>
              <w:t>第</w:t>
            </w:r>
            <w:r w:rsidR="00452841">
              <w:rPr>
                <w:rFonts w:ascii="標楷體" w:eastAsia="標楷體" w:hAnsi="標楷體" w:hint="eastAsia"/>
                <w:b/>
                <w:sz w:val="28"/>
                <w:szCs w:val="28"/>
              </w:rPr>
              <w:t>2</w:t>
            </w:r>
            <w:r w:rsidRPr="00510EC7">
              <w:rPr>
                <w:rFonts w:ascii="標楷體" w:eastAsia="標楷體" w:hAnsi="標楷體" w:hint="eastAsia"/>
                <w:b/>
                <w:sz w:val="28"/>
                <w:szCs w:val="28"/>
              </w:rPr>
              <w:t>會期審竣</w:t>
            </w:r>
          </w:p>
        </w:tc>
      </w:tr>
      <w:tr w:rsidR="00464A6F" w:rsidRPr="00464A6F" w14:paraId="5EE85A66" w14:textId="77777777" w:rsidTr="00F9585C">
        <w:trPr>
          <w:trHeight w:val="737"/>
        </w:trPr>
        <w:tc>
          <w:tcPr>
            <w:tcW w:w="817" w:type="dxa"/>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4C9A551C"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院</w:t>
            </w:r>
          </w:p>
          <w:p w14:paraId="57BFF7B9"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會</w:t>
            </w:r>
          </w:p>
          <w:p w14:paraId="7A8F6B44"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交</w:t>
            </w:r>
          </w:p>
          <w:p w14:paraId="6B130198"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付</w:t>
            </w:r>
          </w:p>
          <w:p w14:paraId="533101A7"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審</w:t>
            </w:r>
          </w:p>
          <w:p w14:paraId="1A1950FE"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查</w:t>
            </w:r>
          </w:p>
          <w:p w14:paraId="5844D446"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及</w:t>
            </w:r>
          </w:p>
          <w:p w14:paraId="63905D84"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 w:val="28"/>
                <w:szCs w:val="28"/>
              </w:rPr>
            </w:pPr>
            <w:r w:rsidRPr="001C476E">
              <w:rPr>
                <w:rFonts w:ascii="標楷體" w:eastAsia="標楷體" w:hAnsi="標楷體" w:hint="eastAsia"/>
                <w:b/>
                <w:bCs/>
                <w:sz w:val="28"/>
                <w:szCs w:val="28"/>
              </w:rPr>
              <w:t>處</w:t>
            </w:r>
          </w:p>
          <w:p w14:paraId="346073DC" w14:textId="77777777" w:rsidR="00EF440A" w:rsidRPr="001C476E" w:rsidRDefault="00EF440A" w:rsidP="00F470A8">
            <w:pPr>
              <w:widowControl w:val="0"/>
              <w:tabs>
                <w:tab w:val="left" w:pos="284"/>
                <w:tab w:val="left" w:pos="426"/>
              </w:tabs>
              <w:overflowPunct w:val="0"/>
              <w:spacing w:line="340" w:lineRule="exact"/>
              <w:jc w:val="center"/>
              <w:rPr>
                <w:rFonts w:ascii="標楷體" w:eastAsia="標楷體" w:hAnsi="標楷體"/>
                <w:b/>
                <w:bCs/>
                <w:szCs w:val="24"/>
              </w:rPr>
            </w:pPr>
            <w:r w:rsidRPr="001C476E">
              <w:rPr>
                <w:rFonts w:ascii="標楷體" w:eastAsia="標楷體" w:hAnsi="標楷體" w:hint="eastAsia"/>
                <w:b/>
                <w:bCs/>
                <w:sz w:val="28"/>
                <w:szCs w:val="28"/>
              </w:rPr>
              <w:t>理</w:t>
            </w:r>
          </w:p>
        </w:tc>
        <w:tc>
          <w:tcPr>
            <w:tcW w:w="2977" w:type="dxa"/>
            <w:tcBorders>
              <w:top w:val="single" w:sz="18" w:space="0" w:color="auto"/>
              <w:left w:val="single" w:sz="4" w:space="0" w:color="auto"/>
              <w:right w:val="single" w:sz="18" w:space="0" w:color="auto"/>
            </w:tcBorders>
            <w:shd w:val="clear" w:color="auto" w:fill="FFFFFF"/>
            <w:vAlign w:val="center"/>
          </w:tcPr>
          <w:p w14:paraId="73498FC4" w14:textId="77777777" w:rsidR="00EF440A" w:rsidRPr="001C476E"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1C476E">
              <w:rPr>
                <w:rFonts w:ascii="標楷體" w:eastAsia="標楷體" w:hAnsi="標楷體" w:hint="eastAsia"/>
                <w:bCs/>
                <w:szCs w:val="24"/>
              </w:rPr>
              <w:t>(一)法律案</w:t>
            </w:r>
          </w:p>
        </w:tc>
        <w:tc>
          <w:tcPr>
            <w:tcW w:w="1984" w:type="dxa"/>
            <w:tcBorders>
              <w:top w:val="single" w:sz="18" w:space="0" w:color="auto"/>
              <w:left w:val="single" w:sz="18" w:space="0" w:color="auto"/>
              <w:right w:val="dashed" w:sz="4" w:space="0" w:color="auto"/>
            </w:tcBorders>
            <w:shd w:val="clear" w:color="auto" w:fill="F2F2F2"/>
            <w:vAlign w:val="center"/>
          </w:tcPr>
          <w:p w14:paraId="681D5207" w14:textId="4209FCBA" w:rsidR="00EF440A" w:rsidRPr="00452841" w:rsidRDefault="001C476E" w:rsidP="00F470A8">
            <w:pPr>
              <w:widowControl w:val="0"/>
              <w:tabs>
                <w:tab w:val="left" w:pos="284"/>
                <w:tab w:val="left" w:pos="426"/>
              </w:tabs>
              <w:overflowPunct w:val="0"/>
              <w:spacing w:line="340" w:lineRule="exact"/>
              <w:jc w:val="center"/>
              <w:rPr>
                <w:rFonts w:ascii="標楷體" w:eastAsia="標楷體" w:hAnsi="標楷體"/>
                <w:b/>
                <w:szCs w:val="24"/>
              </w:rPr>
            </w:pPr>
            <w:r w:rsidRPr="00452841">
              <w:rPr>
                <w:rFonts w:ascii="標楷體" w:eastAsia="標楷體" w:hAnsi="標楷體" w:hint="eastAsia"/>
                <w:b/>
                <w:szCs w:val="24"/>
              </w:rPr>
              <w:t>5</w:t>
            </w:r>
            <w:r w:rsidR="00452841" w:rsidRPr="00452841">
              <w:rPr>
                <w:rFonts w:ascii="標楷體" w:eastAsia="標楷體" w:hAnsi="標楷體" w:hint="eastAsia"/>
                <w:b/>
                <w:szCs w:val="24"/>
              </w:rPr>
              <w:t>3</w:t>
            </w:r>
          </w:p>
        </w:tc>
        <w:tc>
          <w:tcPr>
            <w:tcW w:w="1985" w:type="dxa"/>
            <w:tcBorders>
              <w:top w:val="single" w:sz="18" w:space="0" w:color="auto"/>
              <w:left w:val="dashed" w:sz="4" w:space="0" w:color="auto"/>
              <w:bottom w:val="single" w:sz="4" w:space="0" w:color="auto"/>
              <w:right w:val="single" w:sz="18" w:space="0" w:color="auto"/>
            </w:tcBorders>
            <w:shd w:val="clear" w:color="auto" w:fill="D6E3BC"/>
            <w:vAlign w:val="center"/>
          </w:tcPr>
          <w:p w14:paraId="47E0D240" w14:textId="1E1C2E4A" w:rsidR="00EF440A" w:rsidRPr="00635E83" w:rsidRDefault="00635E83" w:rsidP="00F470A8">
            <w:pPr>
              <w:widowControl w:val="0"/>
              <w:tabs>
                <w:tab w:val="left" w:pos="284"/>
                <w:tab w:val="left" w:pos="426"/>
              </w:tabs>
              <w:overflowPunct w:val="0"/>
              <w:spacing w:line="340" w:lineRule="exact"/>
              <w:jc w:val="center"/>
              <w:rPr>
                <w:rFonts w:ascii="標楷體" w:eastAsia="標楷體" w:hAnsi="標楷體"/>
                <w:b/>
                <w:szCs w:val="24"/>
              </w:rPr>
            </w:pPr>
            <w:r w:rsidRPr="00635E83">
              <w:rPr>
                <w:rFonts w:ascii="標楷體" w:eastAsia="標楷體" w:hAnsi="標楷體" w:hint="eastAsia"/>
                <w:b/>
                <w:szCs w:val="24"/>
              </w:rPr>
              <w:t>0</w:t>
            </w:r>
          </w:p>
        </w:tc>
        <w:tc>
          <w:tcPr>
            <w:tcW w:w="2018" w:type="dxa"/>
            <w:tcBorders>
              <w:top w:val="single" w:sz="18" w:space="0" w:color="auto"/>
              <w:left w:val="single" w:sz="18" w:space="0" w:color="auto"/>
              <w:right w:val="single" w:sz="18" w:space="0" w:color="auto"/>
            </w:tcBorders>
            <w:shd w:val="clear" w:color="auto" w:fill="FABF8F"/>
            <w:vAlign w:val="center"/>
          </w:tcPr>
          <w:p w14:paraId="5C9A9875" w14:textId="77777777" w:rsidR="008D19DC" w:rsidRDefault="00635E83" w:rsidP="00F470A8">
            <w:pPr>
              <w:widowControl w:val="0"/>
              <w:tabs>
                <w:tab w:val="left" w:pos="284"/>
                <w:tab w:val="left" w:pos="426"/>
              </w:tabs>
              <w:overflowPunct w:val="0"/>
              <w:spacing w:line="340" w:lineRule="exact"/>
              <w:jc w:val="center"/>
              <w:rPr>
                <w:rFonts w:ascii="標楷體" w:eastAsia="標楷體" w:hAnsi="標楷體"/>
                <w:b/>
                <w:bCs/>
                <w:szCs w:val="24"/>
              </w:rPr>
            </w:pPr>
            <w:r w:rsidRPr="00635E83">
              <w:rPr>
                <w:rFonts w:ascii="標楷體" w:eastAsia="標楷體" w:hAnsi="標楷體" w:hint="eastAsia"/>
                <w:b/>
                <w:bCs/>
                <w:szCs w:val="24"/>
              </w:rPr>
              <w:t>53</w:t>
            </w:r>
          </w:p>
          <w:p w14:paraId="16EEB6D2" w14:textId="1D6F9457" w:rsidR="00EF440A" w:rsidRPr="008D19DC" w:rsidRDefault="00CD4A33" w:rsidP="00F470A8">
            <w:pPr>
              <w:widowControl w:val="0"/>
              <w:tabs>
                <w:tab w:val="left" w:pos="284"/>
                <w:tab w:val="left" w:pos="426"/>
              </w:tabs>
              <w:overflowPunct w:val="0"/>
              <w:spacing w:line="340" w:lineRule="exact"/>
              <w:jc w:val="center"/>
              <w:rPr>
                <w:rFonts w:ascii="標楷體" w:eastAsia="標楷體" w:hAnsi="標楷體"/>
                <w:b/>
                <w:bCs/>
                <w:sz w:val="22"/>
              </w:rPr>
            </w:pPr>
            <w:r w:rsidRPr="008D19DC">
              <w:rPr>
                <w:rFonts w:ascii="標楷體" w:eastAsia="標楷體" w:hAnsi="標楷體" w:hint="eastAsia"/>
                <w:b/>
                <w:bCs/>
                <w:sz w:val="22"/>
              </w:rPr>
              <w:t>(</w:t>
            </w:r>
            <w:r w:rsidR="008D19DC" w:rsidRPr="008D19DC">
              <w:rPr>
                <w:rFonts w:ascii="標楷體" w:eastAsia="標楷體" w:hAnsi="標楷體" w:hint="eastAsia"/>
                <w:b/>
                <w:bCs/>
                <w:sz w:val="22"/>
              </w:rPr>
              <w:t>含4案逕付二讀</w:t>
            </w:r>
            <w:r w:rsidRPr="008D19DC">
              <w:rPr>
                <w:rFonts w:ascii="標楷體" w:eastAsia="標楷體" w:hAnsi="標楷體" w:hint="eastAsia"/>
                <w:b/>
                <w:bCs/>
                <w:sz w:val="22"/>
              </w:rPr>
              <w:t>)</w:t>
            </w:r>
          </w:p>
        </w:tc>
      </w:tr>
      <w:tr w:rsidR="00464A6F" w:rsidRPr="00464A6F" w14:paraId="32CC23B6" w14:textId="77777777"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14:paraId="12E0D92B" w14:textId="77777777" w:rsidR="00EF440A" w:rsidRPr="00464A6F" w:rsidRDefault="00EF440A" w:rsidP="00F470A8">
            <w:pPr>
              <w:widowControl w:val="0"/>
              <w:tabs>
                <w:tab w:val="left" w:pos="284"/>
                <w:tab w:val="left" w:pos="426"/>
              </w:tabs>
              <w:overflowPunct w:val="0"/>
              <w:spacing w:line="340" w:lineRule="exact"/>
              <w:jc w:val="both"/>
              <w:rPr>
                <w:rFonts w:ascii="標楷體" w:eastAsia="標楷體" w:hAnsi="標楷體"/>
                <w:b/>
                <w:bCs/>
                <w:color w:val="FF0000"/>
                <w:szCs w:val="24"/>
              </w:rPr>
            </w:pPr>
          </w:p>
        </w:tc>
        <w:tc>
          <w:tcPr>
            <w:tcW w:w="2977" w:type="dxa"/>
            <w:tcBorders>
              <w:left w:val="single" w:sz="4" w:space="0" w:color="auto"/>
              <w:right w:val="single" w:sz="18" w:space="0" w:color="auto"/>
            </w:tcBorders>
            <w:shd w:val="clear" w:color="auto" w:fill="FFFFFF"/>
            <w:vAlign w:val="center"/>
          </w:tcPr>
          <w:p w14:paraId="56F7FF7E" w14:textId="77777777" w:rsidR="00EF440A" w:rsidRPr="001C476E"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1C476E">
              <w:rPr>
                <w:rFonts w:ascii="標楷體" w:eastAsia="標楷體" w:hAnsi="標楷體" w:hint="eastAsia"/>
                <w:bCs/>
                <w:szCs w:val="24"/>
              </w:rPr>
              <w:t>(二)預算案</w:t>
            </w:r>
          </w:p>
          <w:p w14:paraId="03115972" w14:textId="77777777" w:rsidR="00EF440A" w:rsidRPr="001C476E" w:rsidRDefault="00EF440A" w:rsidP="00F470A8">
            <w:pPr>
              <w:widowControl w:val="0"/>
              <w:tabs>
                <w:tab w:val="left" w:pos="426"/>
              </w:tabs>
              <w:overflowPunct w:val="0"/>
              <w:spacing w:line="340" w:lineRule="exact"/>
              <w:ind w:left="46" w:hangingChars="19" w:hanging="46"/>
              <w:jc w:val="both"/>
              <w:rPr>
                <w:rFonts w:ascii="標楷體" w:eastAsia="標楷體" w:hAnsi="標楷體"/>
                <w:bCs/>
                <w:szCs w:val="24"/>
              </w:rPr>
            </w:pPr>
            <w:r w:rsidRPr="001C476E">
              <w:rPr>
                <w:rFonts w:ascii="標楷體" w:eastAsia="標楷體" w:hAnsi="標楷體" w:hint="eastAsia"/>
                <w:bCs/>
                <w:szCs w:val="24"/>
              </w:rPr>
              <w:t xml:space="preserve">    (含預算解凍案)</w:t>
            </w:r>
          </w:p>
        </w:tc>
        <w:tc>
          <w:tcPr>
            <w:tcW w:w="1984" w:type="dxa"/>
            <w:tcBorders>
              <w:left w:val="single" w:sz="18" w:space="0" w:color="auto"/>
              <w:bottom w:val="single" w:sz="4" w:space="0" w:color="auto"/>
              <w:right w:val="dashed" w:sz="4" w:space="0" w:color="auto"/>
            </w:tcBorders>
            <w:shd w:val="clear" w:color="auto" w:fill="F2F2F2"/>
            <w:vAlign w:val="center"/>
          </w:tcPr>
          <w:p w14:paraId="4BA127A1" w14:textId="15D0F179" w:rsidR="00EF440A" w:rsidRPr="00635E83" w:rsidRDefault="006E12D5" w:rsidP="00F470A8">
            <w:pPr>
              <w:widowControl w:val="0"/>
              <w:tabs>
                <w:tab w:val="left" w:pos="284"/>
                <w:tab w:val="left" w:pos="426"/>
              </w:tabs>
              <w:overflowPunct w:val="0"/>
              <w:spacing w:line="340" w:lineRule="exact"/>
              <w:jc w:val="center"/>
              <w:rPr>
                <w:rFonts w:ascii="標楷體" w:eastAsia="標楷體" w:hAnsi="標楷體"/>
                <w:b/>
                <w:color w:val="FF0000"/>
                <w:szCs w:val="24"/>
              </w:rPr>
            </w:pPr>
            <w:r w:rsidRPr="006E12D5">
              <w:rPr>
                <w:rFonts w:ascii="標楷體" w:eastAsia="標楷體" w:hAnsi="標楷體" w:hint="eastAsia"/>
                <w:b/>
                <w:szCs w:val="24"/>
              </w:rPr>
              <w:t>7</w:t>
            </w:r>
          </w:p>
        </w:tc>
        <w:tc>
          <w:tcPr>
            <w:tcW w:w="1985" w:type="dxa"/>
            <w:tcBorders>
              <w:left w:val="dashed" w:sz="4" w:space="0" w:color="auto"/>
              <w:bottom w:val="single" w:sz="4" w:space="0" w:color="auto"/>
              <w:right w:val="single" w:sz="18" w:space="0" w:color="auto"/>
            </w:tcBorders>
            <w:shd w:val="clear" w:color="auto" w:fill="D6E3BC"/>
            <w:vAlign w:val="center"/>
          </w:tcPr>
          <w:p w14:paraId="007A34B2" w14:textId="01D8EEDC" w:rsidR="00EF440A" w:rsidRPr="00635E83" w:rsidRDefault="00D954EB" w:rsidP="00F470A8">
            <w:pPr>
              <w:widowControl w:val="0"/>
              <w:tabs>
                <w:tab w:val="left" w:pos="284"/>
                <w:tab w:val="left" w:pos="426"/>
              </w:tabs>
              <w:overflowPunct w:val="0"/>
              <w:spacing w:line="340" w:lineRule="exact"/>
              <w:jc w:val="center"/>
              <w:rPr>
                <w:rFonts w:ascii="標楷體" w:eastAsia="標楷體" w:hAnsi="標楷體"/>
                <w:b/>
                <w:color w:val="FF0000"/>
                <w:szCs w:val="24"/>
              </w:rPr>
            </w:pPr>
            <w:r w:rsidRPr="00D954EB">
              <w:rPr>
                <w:rFonts w:ascii="標楷體" w:eastAsia="標楷體" w:hAnsi="標楷體" w:hint="eastAsia"/>
                <w:b/>
                <w:szCs w:val="24"/>
              </w:rPr>
              <w:t>2</w:t>
            </w:r>
          </w:p>
        </w:tc>
        <w:tc>
          <w:tcPr>
            <w:tcW w:w="2018" w:type="dxa"/>
            <w:tcBorders>
              <w:left w:val="single" w:sz="18" w:space="0" w:color="auto"/>
              <w:bottom w:val="single" w:sz="4" w:space="0" w:color="auto"/>
              <w:right w:val="single" w:sz="18" w:space="0" w:color="auto"/>
            </w:tcBorders>
            <w:shd w:val="clear" w:color="auto" w:fill="FABF8F"/>
            <w:vAlign w:val="center"/>
          </w:tcPr>
          <w:p w14:paraId="6B4435AD" w14:textId="11BC3188" w:rsidR="00EF440A" w:rsidRPr="00FB2984" w:rsidRDefault="006E12D5" w:rsidP="00F470A8">
            <w:pPr>
              <w:widowControl w:val="0"/>
              <w:tabs>
                <w:tab w:val="left" w:pos="284"/>
                <w:tab w:val="left" w:pos="426"/>
              </w:tabs>
              <w:overflowPunct w:val="0"/>
              <w:spacing w:line="340" w:lineRule="exact"/>
              <w:jc w:val="center"/>
              <w:rPr>
                <w:rFonts w:ascii="標楷體" w:eastAsia="標楷體" w:hAnsi="標楷體"/>
                <w:b/>
                <w:bCs/>
                <w:szCs w:val="24"/>
              </w:rPr>
            </w:pPr>
            <w:r>
              <w:rPr>
                <w:rFonts w:ascii="標楷體" w:eastAsia="標楷體" w:hAnsi="標楷體" w:hint="eastAsia"/>
                <w:b/>
                <w:bCs/>
                <w:szCs w:val="24"/>
              </w:rPr>
              <w:t>9</w:t>
            </w:r>
          </w:p>
        </w:tc>
      </w:tr>
      <w:tr w:rsidR="00464A6F" w:rsidRPr="00464A6F" w14:paraId="4CAA04B3" w14:textId="77777777"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14:paraId="5C82D7DB" w14:textId="77777777" w:rsidR="00EF440A" w:rsidRPr="00464A6F" w:rsidRDefault="00EF440A" w:rsidP="00F470A8">
            <w:pPr>
              <w:widowControl w:val="0"/>
              <w:tabs>
                <w:tab w:val="left" w:pos="284"/>
                <w:tab w:val="left" w:pos="426"/>
              </w:tabs>
              <w:overflowPunct w:val="0"/>
              <w:spacing w:line="340" w:lineRule="exact"/>
              <w:jc w:val="both"/>
              <w:rPr>
                <w:rFonts w:ascii="標楷體" w:eastAsia="標楷體" w:hAnsi="標楷體"/>
                <w:b/>
                <w:bCs/>
                <w:color w:val="FF0000"/>
                <w:szCs w:val="24"/>
              </w:rPr>
            </w:pPr>
          </w:p>
        </w:tc>
        <w:tc>
          <w:tcPr>
            <w:tcW w:w="2977" w:type="dxa"/>
            <w:tcBorders>
              <w:left w:val="single" w:sz="4" w:space="0" w:color="auto"/>
              <w:right w:val="single" w:sz="18" w:space="0" w:color="auto"/>
            </w:tcBorders>
            <w:shd w:val="clear" w:color="auto" w:fill="FFFFFF"/>
            <w:vAlign w:val="center"/>
          </w:tcPr>
          <w:p w14:paraId="229FC520" w14:textId="77777777" w:rsidR="00EF440A" w:rsidRPr="001C476E" w:rsidRDefault="00EF440A" w:rsidP="00F470A8">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1C476E">
              <w:rPr>
                <w:rFonts w:ascii="標楷體" w:eastAsia="標楷體" w:hAnsi="標楷體" w:hint="eastAsia"/>
                <w:bCs/>
                <w:szCs w:val="24"/>
              </w:rPr>
              <w:t>(三)動支第二預備金案</w:t>
            </w:r>
          </w:p>
        </w:tc>
        <w:tc>
          <w:tcPr>
            <w:tcW w:w="1984" w:type="dxa"/>
            <w:tcBorders>
              <w:left w:val="single" w:sz="18" w:space="0" w:color="auto"/>
              <w:right w:val="dashed" w:sz="4" w:space="0" w:color="auto"/>
            </w:tcBorders>
            <w:shd w:val="clear" w:color="auto" w:fill="F2F2F2"/>
            <w:vAlign w:val="center"/>
          </w:tcPr>
          <w:p w14:paraId="665A2AEC" w14:textId="34601071" w:rsidR="00EF440A" w:rsidRPr="00635E83" w:rsidRDefault="00FB2984" w:rsidP="00F470A8">
            <w:pPr>
              <w:widowControl w:val="0"/>
              <w:tabs>
                <w:tab w:val="left" w:pos="284"/>
                <w:tab w:val="left" w:pos="426"/>
              </w:tabs>
              <w:overflowPunct w:val="0"/>
              <w:spacing w:line="340" w:lineRule="exact"/>
              <w:jc w:val="center"/>
              <w:rPr>
                <w:rFonts w:ascii="標楷體" w:eastAsia="標楷體" w:hAnsi="標楷體"/>
                <w:b/>
                <w:color w:val="FF0000"/>
                <w:szCs w:val="24"/>
              </w:rPr>
            </w:pPr>
            <w:r w:rsidRPr="00FB2984">
              <w:rPr>
                <w:rFonts w:ascii="標楷體" w:eastAsia="標楷體" w:hAnsi="標楷體" w:hint="eastAsia"/>
                <w:b/>
                <w:szCs w:val="24"/>
              </w:rPr>
              <w:t>7</w:t>
            </w:r>
          </w:p>
        </w:tc>
        <w:tc>
          <w:tcPr>
            <w:tcW w:w="1985" w:type="dxa"/>
            <w:tcBorders>
              <w:left w:val="dashed" w:sz="4" w:space="0" w:color="auto"/>
              <w:right w:val="single" w:sz="18" w:space="0" w:color="auto"/>
            </w:tcBorders>
            <w:shd w:val="clear" w:color="auto" w:fill="D6E3BC"/>
            <w:vAlign w:val="center"/>
          </w:tcPr>
          <w:p w14:paraId="2C2D98D2" w14:textId="5B0B6C7F" w:rsidR="00EF440A" w:rsidRPr="00D954EB" w:rsidRDefault="00D954EB" w:rsidP="00F470A8">
            <w:pPr>
              <w:widowControl w:val="0"/>
              <w:tabs>
                <w:tab w:val="left" w:pos="284"/>
                <w:tab w:val="left" w:pos="426"/>
              </w:tabs>
              <w:overflowPunct w:val="0"/>
              <w:spacing w:line="340" w:lineRule="exact"/>
              <w:jc w:val="center"/>
              <w:rPr>
                <w:rFonts w:ascii="標楷體" w:eastAsia="標楷體" w:hAnsi="標楷體"/>
                <w:b/>
                <w:szCs w:val="24"/>
              </w:rPr>
            </w:pPr>
            <w:r w:rsidRPr="00D954EB">
              <w:rPr>
                <w:rFonts w:ascii="標楷體" w:eastAsia="標楷體" w:hAnsi="標楷體" w:hint="eastAsia"/>
                <w:b/>
                <w:szCs w:val="24"/>
              </w:rPr>
              <w:t>0</w:t>
            </w:r>
          </w:p>
        </w:tc>
        <w:tc>
          <w:tcPr>
            <w:tcW w:w="2018" w:type="dxa"/>
            <w:tcBorders>
              <w:left w:val="single" w:sz="18" w:space="0" w:color="auto"/>
              <w:right w:val="single" w:sz="18" w:space="0" w:color="auto"/>
            </w:tcBorders>
            <w:shd w:val="clear" w:color="auto" w:fill="FABF8F"/>
            <w:vAlign w:val="center"/>
          </w:tcPr>
          <w:p w14:paraId="6C4C7825" w14:textId="5E85E127" w:rsidR="00EF440A" w:rsidRPr="00FB2984" w:rsidRDefault="00FB2984" w:rsidP="00F470A8">
            <w:pPr>
              <w:widowControl w:val="0"/>
              <w:tabs>
                <w:tab w:val="left" w:pos="284"/>
                <w:tab w:val="left" w:pos="426"/>
              </w:tabs>
              <w:overflowPunct w:val="0"/>
              <w:spacing w:line="340" w:lineRule="exact"/>
              <w:jc w:val="center"/>
              <w:rPr>
                <w:rFonts w:ascii="標楷體" w:eastAsia="標楷體" w:hAnsi="標楷體"/>
                <w:b/>
                <w:bCs/>
                <w:szCs w:val="24"/>
              </w:rPr>
            </w:pPr>
            <w:r w:rsidRPr="00FB2984">
              <w:rPr>
                <w:rFonts w:ascii="標楷體" w:eastAsia="標楷體" w:hAnsi="標楷體" w:hint="eastAsia"/>
                <w:b/>
                <w:bCs/>
                <w:szCs w:val="24"/>
              </w:rPr>
              <w:t>7</w:t>
            </w:r>
          </w:p>
        </w:tc>
      </w:tr>
      <w:tr w:rsidR="00464A6F" w:rsidRPr="00464A6F" w14:paraId="66721961" w14:textId="77777777"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14:paraId="3183182D" w14:textId="77777777" w:rsidR="00EF440A" w:rsidRPr="00464A6F" w:rsidRDefault="00EF440A" w:rsidP="00F470A8">
            <w:pPr>
              <w:widowControl w:val="0"/>
              <w:tabs>
                <w:tab w:val="left" w:pos="284"/>
                <w:tab w:val="left" w:pos="426"/>
              </w:tabs>
              <w:overflowPunct w:val="0"/>
              <w:spacing w:line="340" w:lineRule="exact"/>
              <w:jc w:val="both"/>
              <w:rPr>
                <w:rFonts w:ascii="標楷體" w:eastAsia="標楷體" w:hAnsi="標楷體"/>
                <w:b/>
                <w:bCs/>
                <w:color w:val="FF0000"/>
                <w:szCs w:val="24"/>
              </w:rPr>
            </w:pPr>
          </w:p>
        </w:tc>
        <w:tc>
          <w:tcPr>
            <w:tcW w:w="2977" w:type="dxa"/>
            <w:tcBorders>
              <w:left w:val="single" w:sz="4" w:space="0" w:color="auto"/>
              <w:right w:val="single" w:sz="18" w:space="0" w:color="auto"/>
            </w:tcBorders>
            <w:shd w:val="clear" w:color="auto" w:fill="FFFFFF"/>
            <w:vAlign w:val="center"/>
          </w:tcPr>
          <w:p w14:paraId="0D434553" w14:textId="77777777" w:rsidR="00EF440A" w:rsidRPr="001C476E" w:rsidRDefault="00EF440A" w:rsidP="00F470A8">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1C476E">
              <w:rPr>
                <w:rFonts w:ascii="標楷體" w:eastAsia="標楷體" w:hAnsi="標楷體" w:hint="eastAsia"/>
                <w:bCs/>
                <w:szCs w:val="24"/>
              </w:rPr>
              <w:t xml:space="preserve">(四)決算案 </w:t>
            </w:r>
          </w:p>
        </w:tc>
        <w:tc>
          <w:tcPr>
            <w:tcW w:w="1984" w:type="dxa"/>
            <w:tcBorders>
              <w:left w:val="single" w:sz="18" w:space="0" w:color="auto"/>
              <w:right w:val="dashed" w:sz="4" w:space="0" w:color="auto"/>
            </w:tcBorders>
            <w:shd w:val="clear" w:color="auto" w:fill="F2F2F2"/>
            <w:vAlign w:val="center"/>
          </w:tcPr>
          <w:p w14:paraId="68C745DC" w14:textId="7D0D41D7" w:rsidR="00EF440A" w:rsidRPr="00635E83" w:rsidRDefault="00FB2984" w:rsidP="00F470A8">
            <w:pPr>
              <w:widowControl w:val="0"/>
              <w:tabs>
                <w:tab w:val="left" w:pos="284"/>
                <w:tab w:val="left" w:pos="426"/>
              </w:tabs>
              <w:overflowPunct w:val="0"/>
              <w:spacing w:line="340" w:lineRule="exact"/>
              <w:jc w:val="center"/>
              <w:rPr>
                <w:rFonts w:ascii="標楷體" w:eastAsia="標楷體" w:hAnsi="標楷體"/>
                <w:b/>
                <w:color w:val="FF0000"/>
                <w:szCs w:val="24"/>
              </w:rPr>
            </w:pPr>
            <w:r w:rsidRPr="00FB2984">
              <w:rPr>
                <w:rFonts w:ascii="標楷體" w:eastAsia="標楷體" w:hAnsi="標楷體" w:hint="eastAsia"/>
                <w:b/>
                <w:szCs w:val="24"/>
              </w:rPr>
              <w:t>4</w:t>
            </w:r>
          </w:p>
        </w:tc>
        <w:tc>
          <w:tcPr>
            <w:tcW w:w="1985" w:type="dxa"/>
            <w:tcBorders>
              <w:left w:val="dashed" w:sz="4" w:space="0" w:color="auto"/>
              <w:right w:val="single" w:sz="18" w:space="0" w:color="auto"/>
            </w:tcBorders>
            <w:shd w:val="clear" w:color="auto" w:fill="D6E3BC"/>
            <w:vAlign w:val="center"/>
          </w:tcPr>
          <w:p w14:paraId="3FCFF86A" w14:textId="3D2D8274" w:rsidR="00EF440A" w:rsidRPr="00D954EB" w:rsidRDefault="00D954EB" w:rsidP="00F470A8">
            <w:pPr>
              <w:widowControl w:val="0"/>
              <w:tabs>
                <w:tab w:val="left" w:pos="284"/>
                <w:tab w:val="left" w:pos="426"/>
              </w:tabs>
              <w:overflowPunct w:val="0"/>
              <w:spacing w:line="340" w:lineRule="exact"/>
              <w:jc w:val="center"/>
              <w:rPr>
                <w:rFonts w:ascii="標楷體" w:eastAsia="標楷體" w:hAnsi="標楷體"/>
                <w:b/>
                <w:szCs w:val="24"/>
              </w:rPr>
            </w:pPr>
            <w:r w:rsidRPr="00D954EB">
              <w:rPr>
                <w:rFonts w:ascii="標楷體" w:eastAsia="標楷體" w:hAnsi="標楷體" w:hint="eastAsia"/>
                <w:b/>
                <w:szCs w:val="24"/>
              </w:rPr>
              <w:t>0</w:t>
            </w:r>
          </w:p>
        </w:tc>
        <w:tc>
          <w:tcPr>
            <w:tcW w:w="2018" w:type="dxa"/>
            <w:tcBorders>
              <w:left w:val="single" w:sz="18" w:space="0" w:color="auto"/>
              <w:right w:val="single" w:sz="18" w:space="0" w:color="auto"/>
            </w:tcBorders>
            <w:shd w:val="clear" w:color="auto" w:fill="FABF8F"/>
            <w:vAlign w:val="center"/>
          </w:tcPr>
          <w:p w14:paraId="2879DF23" w14:textId="44298528" w:rsidR="00EF440A" w:rsidRPr="00FB2984" w:rsidRDefault="00FB2984" w:rsidP="00F470A8">
            <w:pPr>
              <w:widowControl w:val="0"/>
              <w:tabs>
                <w:tab w:val="left" w:pos="284"/>
                <w:tab w:val="left" w:pos="426"/>
              </w:tabs>
              <w:overflowPunct w:val="0"/>
              <w:spacing w:line="340" w:lineRule="exact"/>
              <w:jc w:val="center"/>
              <w:rPr>
                <w:rFonts w:ascii="標楷體" w:eastAsia="標楷體" w:hAnsi="標楷體"/>
                <w:b/>
                <w:bCs/>
                <w:szCs w:val="24"/>
              </w:rPr>
            </w:pPr>
            <w:r w:rsidRPr="00FB2984">
              <w:rPr>
                <w:rFonts w:ascii="標楷體" w:eastAsia="標楷體" w:hAnsi="標楷體" w:hint="eastAsia"/>
                <w:b/>
                <w:bCs/>
                <w:szCs w:val="24"/>
              </w:rPr>
              <w:t>4</w:t>
            </w:r>
          </w:p>
        </w:tc>
      </w:tr>
      <w:tr w:rsidR="00464A6F" w:rsidRPr="00464A6F" w14:paraId="6ACD1473" w14:textId="77777777"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14:paraId="42448C02" w14:textId="77777777" w:rsidR="00EF440A" w:rsidRPr="00464A6F" w:rsidRDefault="00EF440A" w:rsidP="00F470A8">
            <w:pPr>
              <w:widowControl w:val="0"/>
              <w:tabs>
                <w:tab w:val="left" w:pos="284"/>
                <w:tab w:val="left" w:pos="426"/>
              </w:tabs>
              <w:overflowPunct w:val="0"/>
              <w:spacing w:line="340" w:lineRule="exact"/>
              <w:jc w:val="both"/>
              <w:rPr>
                <w:rFonts w:ascii="標楷體" w:eastAsia="標楷體" w:hAnsi="標楷體"/>
                <w:b/>
                <w:bCs/>
                <w:color w:val="FF0000"/>
                <w:szCs w:val="24"/>
              </w:rPr>
            </w:pPr>
          </w:p>
        </w:tc>
        <w:tc>
          <w:tcPr>
            <w:tcW w:w="2977" w:type="dxa"/>
            <w:tcBorders>
              <w:left w:val="single" w:sz="4" w:space="0" w:color="auto"/>
              <w:bottom w:val="single" w:sz="4" w:space="0" w:color="auto"/>
              <w:right w:val="single" w:sz="18" w:space="0" w:color="auto"/>
            </w:tcBorders>
            <w:shd w:val="clear" w:color="auto" w:fill="FFFFFF"/>
            <w:vAlign w:val="center"/>
          </w:tcPr>
          <w:p w14:paraId="5ABC0689" w14:textId="77777777" w:rsidR="00EF440A" w:rsidRPr="001C476E"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1C476E">
              <w:rPr>
                <w:rFonts w:ascii="標楷體" w:eastAsia="標楷體" w:hAnsi="標楷體" w:hint="eastAsia"/>
                <w:bCs/>
                <w:szCs w:val="24"/>
              </w:rPr>
              <w:t>(五)行政命令案</w:t>
            </w:r>
          </w:p>
        </w:tc>
        <w:tc>
          <w:tcPr>
            <w:tcW w:w="1984" w:type="dxa"/>
            <w:tcBorders>
              <w:left w:val="single" w:sz="18" w:space="0" w:color="auto"/>
              <w:right w:val="dashed" w:sz="4" w:space="0" w:color="auto"/>
            </w:tcBorders>
            <w:shd w:val="clear" w:color="auto" w:fill="F2F2F2"/>
            <w:vAlign w:val="center"/>
          </w:tcPr>
          <w:p w14:paraId="7A539F7D" w14:textId="0D0890F8" w:rsidR="00A6320F" w:rsidRPr="00D954EB" w:rsidRDefault="00D954EB" w:rsidP="00F470A8">
            <w:pPr>
              <w:widowControl w:val="0"/>
              <w:tabs>
                <w:tab w:val="left" w:pos="284"/>
                <w:tab w:val="left" w:pos="426"/>
              </w:tabs>
              <w:overflowPunct w:val="0"/>
              <w:spacing w:line="340" w:lineRule="exact"/>
              <w:jc w:val="center"/>
              <w:rPr>
                <w:rFonts w:ascii="標楷體" w:eastAsia="標楷體" w:hAnsi="標楷體"/>
                <w:b/>
                <w:szCs w:val="24"/>
              </w:rPr>
            </w:pPr>
            <w:r w:rsidRPr="00D954EB">
              <w:rPr>
                <w:rFonts w:ascii="標楷體" w:eastAsia="標楷體" w:hAnsi="標楷體" w:hint="eastAsia"/>
                <w:b/>
                <w:szCs w:val="24"/>
              </w:rPr>
              <w:t>1</w:t>
            </w:r>
          </w:p>
        </w:tc>
        <w:tc>
          <w:tcPr>
            <w:tcW w:w="1985" w:type="dxa"/>
            <w:tcBorders>
              <w:left w:val="dashed" w:sz="4" w:space="0" w:color="auto"/>
              <w:right w:val="single" w:sz="18" w:space="0" w:color="auto"/>
            </w:tcBorders>
            <w:shd w:val="clear" w:color="auto" w:fill="D6E3BC"/>
            <w:vAlign w:val="center"/>
          </w:tcPr>
          <w:p w14:paraId="751A89EC" w14:textId="084DF672" w:rsidR="00EF440A" w:rsidRPr="00D954EB" w:rsidRDefault="00D954EB" w:rsidP="00F470A8">
            <w:pPr>
              <w:widowControl w:val="0"/>
              <w:tabs>
                <w:tab w:val="left" w:pos="284"/>
                <w:tab w:val="left" w:pos="426"/>
              </w:tabs>
              <w:overflowPunct w:val="0"/>
              <w:spacing w:line="340" w:lineRule="exact"/>
              <w:jc w:val="center"/>
              <w:rPr>
                <w:rFonts w:ascii="標楷體" w:eastAsia="標楷體" w:hAnsi="標楷體"/>
                <w:b/>
                <w:szCs w:val="24"/>
              </w:rPr>
            </w:pPr>
            <w:r w:rsidRPr="00D954EB">
              <w:rPr>
                <w:rFonts w:ascii="標楷體" w:eastAsia="標楷體" w:hAnsi="標楷體" w:hint="eastAsia"/>
                <w:b/>
                <w:szCs w:val="24"/>
              </w:rPr>
              <w:t>0</w:t>
            </w:r>
          </w:p>
        </w:tc>
        <w:tc>
          <w:tcPr>
            <w:tcW w:w="2018" w:type="dxa"/>
            <w:tcBorders>
              <w:left w:val="single" w:sz="18" w:space="0" w:color="auto"/>
              <w:right w:val="single" w:sz="18" w:space="0" w:color="auto"/>
            </w:tcBorders>
            <w:shd w:val="clear" w:color="auto" w:fill="FABF8F"/>
            <w:vAlign w:val="center"/>
          </w:tcPr>
          <w:p w14:paraId="162A2B55" w14:textId="6751025E" w:rsidR="00EF440A" w:rsidRPr="00FB2984" w:rsidRDefault="00FB2984" w:rsidP="00F470A8">
            <w:pPr>
              <w:widowControl w:val="0"/>
              <w:tabs>
                <w:tab w:val="left" w:pos="284"/>
                <w:tab w:val="left" w:pos="426"/>
              </w:tabs>
              <w:overflowPunct w:val="0"/>
              <w:spacing w:line="340" w:lineRule="exact"/>
              <w:jc w:val="center"/>
              <w:rPr>
                <w:rFonts w:ascii="標楷體" w:eastAsia="標楷體" w:hAnsi="標楷體"/>
                <w:b/>
                <w:bCs/>
                <w:szCs w:val="24"/>
              </w:rPr>
            </w:pPr>
            <w:r w:rsidRPr="00FB2984">
              <w:rPr>
                <w:rFonts w:ascii="標楷體" w:eastAsia="標楷體" w:hAnsi="標楷體" w:hint="eastAsia"/>
                <w:b/>
                <w:bCs/>
                <w:szCs w:val="24"/>
              </w:rPr>
              <w:t>1</w:t>
            </w:r>
          </w:p>
        </w:tc>
      </w:tr>
      <w:tr w:rsidR="00464A6F" w:rsidRPr="00464A6F" w14:paraId="143C6359" w14:textId="77777777" w:rsidTr="00F9585C">
        <w:trPr>
          <w:trHeight w:val="737"/>
        </w:trPr>
        <w:tc>
          <w:tcPr>
            <w:tcW w:w="817" w:type="dxa"/>
            <w:vMerge/>
            <w:tcBorders>
              <w:left w:val="single" w:sz="18" w:space="0" w:color="auto"/>
              <w:bottom w:val="single" w:sz="18" w:space="0" w:color="auto"/>
              <w:right w:val="single" w:sz="4" w:space="0" w:color="auto"/>
            </w:tcBorders>
            <w:shd w:val="clear" w:color="auto" w:fill="FFFFFF"/>
          </w:tcPr>
          <w:p w14:paraId="58965EEF" w14:textId="77777777" w:rsidR="00EF440A" w:rsidRPr="00464A6F" w:rsidRDefault="00EF440A" w:rsidP="00F470A8">
            <w:pPr>
              <w:widowControl w:val="0"/>
              <w:tabs>
                <w:tab w:val="left" w:pos="284"/>
                <w:tab w:val="left" w:pos="426"/>
              </w:tabs>
              <w:overflowPunct w:val="0"/>
              <w:spacing w:line="340" w:lineRule="exact"/>
              <w:jc w:val="both"/>
              <w:rPr>
                <w:rFonts w:ascii="標楷體" w:eastAsia="標楷體" w:hAnsi="標楷體"/>
                <w:b/>
                <w:bCs/>
                <w:color w:val="FF0000"/>
                <w:szCs w:val="24"/>
              </w:rPr>
            </w:pPr>
          </w:p>
        </w:tc>
        <w:tc>
          <w:tcPr>
            <w:tcW w:w="2977" w:type="dxa"/>
            <w:tcBorders>
              <w:top w:val="single" w:sz="4" w:space="0" w:color="auto"/>
              <w:left w:val="single" w:sz="4" w:space="0" w:color="auto"/>
              <w:bottom w:val="single" w:sz="4" w:space="0" w:color="auto"/>
              <w:right w:val="single" w:sz="18" w:space="0" w:color="auto"/>
            </w:tcBorders>
            <w:shd w:val="clear" w:color="auto" w:fill="FFFFFF"/>
            <w:vAlign w:val="center"/>
          </w:tcPr>
          <w:p w14:paraId="1BC4EB0A" w14:textId="77777777" w:rsidR="00EF440A" w:rsidRPr="001C476E"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1C476E">
              <w:rPr>
                <w:rFonts w:ascii="標楷體" w:eastAsia="標楷體" w:hAnsi="標楷體" w:hint="eastAsia"/>
                <w:bCs/>
                <w:szCs w:val="24"/>
              </w:rPr>
              <w:t>(六)其他議案</w:t>
            </w:r>
          </w:p>
          <w:p w14:paraId="6C79ADE8" w14:textId="77777777" w:rsidR="00EF440A" w:rsidRPr="001C476E"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1C476E">
              <w:rPr>
                <w:rFonts w:ascii="標楷體" w:eastAsia="標楷體" w:hAnsi="標楷體" w:hint="eastAsia"/>
                <w:bCs/>
                <w:szCs w:val="24"/>
              </w:rPr>
              <w:t xml:space="preserve">    (含預算報告案)</w:t>
            </w:r>
          </w:p>
        </w:tc>
        <w:tc>
          <w:tcPr>
            <w:tcW w:w="1984" w:type="dxa"/>
            <w:tcBorders>
              <w:left w:val="single" w:sz="18" w:space="0" w:color="auto"/>
              <w:bottom w:val="single" w:sz="2" w:space="0" w:color="auto"/>
              <w:right w:val="dashed" w:sz="4" w:space="0" w:color="auto"/>
            </w:tcBorders>
            <w:shd w:val="clear" w:color="auto" w:fill="F2F2F2"/>
            <w:vAlign w:val="center"/>
          </w:tcPr>
          <w:p w14:paraId="13117DDE" w14:textId="3E228E5A" w:rsidR="00EF440A" w:rsidRPr="00635E83" w:rsidRDefault="00D954EB" w:rsidP="00F470A8">
            <w:pPr>
              <w:widowControl w:val="0"/>
              <w:tabs>
                <w:tab w:val="left" w:pos="284"/>
                <w:tab w:val="left" w:pos="426"/>
              </w:tabs>
              <w:overflowPunct w:val="0"/>
              <w:spacing w:line="340" w:lineRule="exact"/>
              <w:jc w:val="center"/>
              <w:rPr>
                <w:rFonts w:ascii="標楷體" w:eastAsia="標楷體" w:hAnsi="標楷體"/>
                <w:b/>
                <w:color w:val="FF0000"/>
                <w:szCs w:val="24"/>
              </w:rPr>
            </w:pPr>
            <w:r w:rsidRPr="00D954EB">
              <w:rPr>
                <w:rFonts w:ascii="標楷體" w:eastAsia="標楷體" w:hAnsi="標楷體" w:hint="eastAsia"/>
                <w:b/>
                <w:szCs w:val="24"/>
              </w:rPr>
              <w:t>152</w:t>
            </w:r>
          </w:p>
        </w:tc>
        <w:tc>
          <w:tcPr>
            <w:tcW w:w="1985" w:type="dxa"/>
            <w:tcBorders>
              <w:left w:val="dashed" w:sz="4" w:space="0" w:color="auto"/>
              <w:bottom w:val="single" w:sz="2" w:space="0" w:color="auto"/>
              <w:right w:val="single" w:sz="18" w:space="0" w:color="auto"/>
            </w:tcBorders>
            <w:shd w:val="clear" w:color="auto" w:fill="D6E3BC"/>
            <w:vAlign w:val="center"/>
          </w:tcPr>
          <w:p w14:paraId="2116665F" w14:textId="402647AD" w:rsidR="00EF440A" w:rsidRPr="00635E83" w:rsidRDefault="00CD4A33" w:rsidP="00F470A8">
            <w:pPr>
              <w:widowControl w:val="0"/>
              <w:tabs>
                <w:tab w:val="left" w:pos="284"/>
                <w:tab w:val="left" w:pos="426"/>
              </w:tabs>
              <w:overflowPunct w:val="0"/>
              <w:spacing w:line="340" w:lineRule="exact"/>
              <w:jc w:val="center"/>
              <w:rPr>
                <w:rFonts w:ascii="標楷體" w:eastAsia="標楷體" w:hAnsi="標楷體"/>
                <w:b/>
                <w:color w:val="FF0000"/>
                <w:szCs w:val="24"/>
              </w:rPr>
            </w:pPr>
            <w:r w:rsidRPr="00CD4A33">
              <w:rPr>
                <w:rFonts w:ascii="標楷體" w:eastAsia="標楷體" w:hAnsi="標楷體" w:hint="eastAsia"/>
                <w:b/>
                <w:szCs w:val="24"/>
              </w:rPr>
              <w:t>0</w:t>
            </w:r>
          </w:p>
        </w:tc>
        <w:tc>
          <w:tcPr>
            <w:tcW w:w="2018" w:type="dxa"/>
            <w:tcBorders>
              <w:left w:val="single" w:sz="18" w:space="0" w:color="auto"/>
              <w:bottom w:val="single" w:sz="2" w:space="0" w:color="auto"/>
              <w:right w:val="single" w:sz="18" w:space="0" w:color="auto"/>
            </w:tcBorders>
            <w:shd w:val="clear" w:color="auto" w:fill="FABF8F"/>
            <w:vAlign w:val="center"/>
          </w:tcPr>
          <w:p w14:paraId="7362113E" w14:textId="01159948" w:rsidR="00EF440A" w:rsidRPr="00FB2984" w:rsidRDefault="00FB2984" w:rsidP="00F470A8">
            <w:pPr>
              <w:widowControl w:val="0"/>
              <w:tabs>
                <w:tab w:val="left" w:pos="284"/>
                <w:tab w:val="left" w:pos="426"/>
              </w:tabs>
              <w:overflowPunct w:val="0"/>
              <w:spacing w:line="340" w:lineRule="exact"/>
              <w:jc w:val="center"/>
              <w:rPr>
                <w:rFonts w:ascii="標楷體" w:eastAsia="標楷體" w:hAnsi="標楷體"/>
                <w:b/>
                <w:bCs/>
                <w:szCs w:val="24"/>
              </w:rPr>
            </w:pPr>
            <w:r w:rsidRPr="00FB2984">
              <w:rPr>
                <w:rFonts w:ascii="標楷體" w:eastAsia="標楷體" w:hAnsi="標楷體" w:hint="eastAsia"/>
                <w:b/>
                <w:bCs/>
                <w:szCs w:val="24"/>
              </w:rPr>
              <w:t>15</w:t>
            </w:r>
            <w:r w:rsidR="007B55B1">
              <w:rPr>
                <w:rFonts w:ascii="標楷體" w:eastAsia="標楷體" w:hAnsi="標楷體" w:hint="eastAsia"/>
                <w:b/>
                <w:bCs/>
                <w:szCs w:val="24"/>
              </w:rPr>
              <w:t>2</w:t>
            </w:r>
          </w:p>
        </w:tc>
      </w:tr>
      <w:tr w:rsidR="00464A6F" w:rsidRPr="00464A6F" w14:paraId="3B9692B6" w14:textId="77777777" w:rsidTr="00F9585C">
        <w:trPr>
          <w:trHeight w:val="737"/>
        </w:trPr>
        <w:tc>
          <w:tcPr>
            <w:tcW w:w="3794" w:type="dxa"/>
            <w:gridSpan w:val="2"/>
            <w:tcBorders>
              <w:top w:val="single" w:sz="18" w:space="0" w:color="auto"/>
              <w:left w:val="single" w:sz="18" w:space="0" w:color="auto"/>
              <w:bottom w:val="single" w:sz="18" w:space="0" w:color="auto"/>
              <w:right w:val="single" w:sz="18" w:space="0" w:color="auto"/>
            </w:tcBorders>
            <w:shd w:val="clear" w:color="auto" w:fill="DBE5F1"/>
            <w:vAlign w:val="center"/>
          </w:tcPr>
          <w:p w14:paraId="6BBC0F7E" w14:textId="77777777" w:rsidR="00EF440A" w:rsidRPr="001C476E" w:rsidRDefault="00EF440A" w:rsidP="00F470A8">
            <w:pPr>
              <w:widowControl w:val="0"/>
              <w:tabs>
                <w:tab w:val="left" w:pos="284"/>
                <w:tab w:val="left" w:pos="426"/>
              </w:tabs>
              <w:overflowPunct w:val="0"/>
              <w:spacing w:line="400" w:lineRule="exact"/>
              <w:jc w:val="both"/>
              <w:rPr>
                <w:rFonts w:ascii="標楷體" w:eastAsia="標楷體" w:hAnsi="標楷體"/>
                <w:b/>
                <w:szCs w:val="24"/>
              </w:rPr>
            </w:pPr>
            <w:r w:rsidRPr="001C476E">
              <w:rPr>
                <w:rFonts w:ascii="標楷體" w:eastAsia="標楷體" w:hAnsi="標楷體" w:hint="eastAsia"/>
                <w:b/>
                <w:szCs w:val="24"/>
              </w:rPr>
              <w:t xml:space="preserve">      </w:t>
            </w:r>
            <w:r w:rsidRPr="001C476E">
              <w:rPr>
                <w:rFonts w:ascii="標楷體" w:eastAsia="標楷體" w:hAnsi="標楷體"/>
                <w:b/>
                <w:szCs w:val="24"/>
              </w:rPr>
              <w:t>(</w:t>
            </w:r>
            <w:r w:rsidRPr="001C476E">
              <w:rPr>
                <w:rFonts w:ascii="標楷體" w:eastAsia="標楷體" w:hAnsi="標楷體" w:hint="eastAsia"/>
                <w:b/>
                <w:szCs w:val="24"/>
              </w:rPr>
              <w:t>一)至(六)</w:t>
            </w:r>
          </w:p>
          <w:p w14:paraId="28AB3D86" w14:textId="77777777" w:rsidR="00EF440A" w:rsidRPr="001C476E" w:rsidRDefault="00EF440A" w:rsidP="00F470A8">
            <w:pPr>
              <w:widowControl w:val="0"/>
              <w:tabs>
                <w:tab w:val="left" w:pos="284"/>
                <w:tab w:val="left" w:pos="426"/>
              </w:tabs>
              <w:overflowPunct w:val="0"/>
              <w:spacing w:line="400" w:lineRule="exact"/>
              <w:jc w:val="both"/>
              <w:rPr>
                <w:rFonts w:ascii="標楷體" w:eastAsia="標楷體" w:hAnsi="標楷體"/>
                <w:b/>
                <w:szCs w:val="24"/>
              </w:rPr>
            </w:pPr>
            <w:r w:rsidRPr="001C476E">
              <w:rPr>
                <w:rFonts w:ascii="標楷體" w:eastAsia="標楷體" w:hAnsi="標楷體" w:hint="eastAsia"/>
                <w:b/>
                <w:szCs w:val="24"/>
              </w:rPr>
              <w:t xml:space="preserve">      小    </w:t>
            </w:r>
            <w:r w:rsidRPr="001C476E">
              <w:rPr>
                <w:rFonts w:ascii="標楷體" w:eastAsia="標楷體" w:hAnsi="標楷體"/>
                <w:b/>
                <w:szCs w:val="24"/>
              </w:rPr>
              <w:t xml:space="preserve"> </w:t>
            </w:r>
            <w:r w:rsidRPr="001C476E">
              <w:rPr>
                <w:rFonts w:ascii="標楷體" w:eastAsia="標楷體" w:hAnsi="標楷體" w:hint="eastAsia"/>
                <w:b/>
                <w:szCs w:val="24"/>
              </w:rPr>
              <w:t xml:space="preserve"> 計</w:t>
            </w:r>
          </w:p>
        </w:tc>
        <w:tc>
          <w:tcPr>
            <w:tcW w:w="1984" w:type="dxa"/>
            <w:tcBorders>
              <w:top w:val="single" w:sz="18" w:space="0" w:color="auto"/>
              <w:left w:val="single" w:sz="18" w:space="0" w:color="auto"/>
              <w:bottom w:val="single" w:sz="18" w:space="0" w:color="auto"/>
              <w:right w:val="dashed" w:sz="4" w:space="0" w:color="auto"/>
            </w:tcBorders>
            <w:shd w:val="clear" w:color="auto" w:fill="F2F2F2"/>
            <w:vAlign w:val="center"/>
          </w:tcPr>
          <w:p w14:paraId="4C64151F" w14:textId="7B1F58E8" w:rsidR="00EF440A" w:rsidRPr="00635E83" w:rsidRDefault="00D954EB" w:rsidP="007E0982">
            <w:pPr>
              <w:widowControl w:val="0"/>
              <w:tabs>
                <w:tab w:val="left" w:pos="284"/>
                <w:tab w:val="left" w:pos="426"/>
              </w:tabs>
              <w:overflowPunct w:val="0"/>
              <w:spacing w:line="400" w:lineRule="exact"/>
              <w:jc w:val="center"/>
              <w:rPr>
                <w:rFonts w:ascii="標楷體" w:eastAsia="標楷體" w:hAnsi="標楷體"/>
                <w:b/>
                <w:color w:val="FF0000"/>
                <w:szCs w:val="24"/>
              </w:rPr>
            </w:pPr>
            <w:r w:rsidRPr="00D954EB">
              <w:rPr>
                <w:rFonts w:ascii="標楷體" w:eastAsia="標楷體" w:hAnsi="標楷體" w:hint="eastAsia"/>
                <w:b/>
                <w:szCs w:val="24"/>
              </w:rPr>
              <w:t>2</w:t>
            </w:r>
            <w:r w:rsidR="006E12D5">
              <w:rPr>
                <w:rFonts w:ascii="標楷體" w:eastAsia="標楷體" w:hAnsi="標楷體" w:hint="eastAsia"/>
                <w:b/>
                <w:szCs w:val="24"/>
              </w:rPr>
              <w:t>2</w:t>
            </w:r>
            <w:r w:rsidR="007E0982">
              <w:rPr>
                <w:rFonts w:ascii="標楷體" w:eastAsia="標楷體" w:hAnsi="標楷體"/>
                <w:b/>
                <w:szCs w:val="24"/>
              </w:rPr>
              <w:t>4</w:t>
            </w:r>
          </w:p>
        </w:tc>
        <w:tc>
          <w:tcPr>
            <w:tcW w:w="1985" w:type="dxa"/>
            <w:tcBorders>
              <w:top w:val="single" w:sz="18" w:space="0" w:color="auto"/>
              <w:left w:val="dashed" w:sz="4" w:space="0" w:color="auto"/>
              <w:bottom w:val="single" w:sz="18" w:space="0" w:color="auto"/>
              <w:right w:val="single" w:sz="18" w:space="0" w:color="auto"/>
            </w:tcBorders>
            <w:shd w:val="clear" w:color="auto" w:fill="D6E3BC"/>
            <w:vAlign w:val="center"/>
          </w:tcPr>
          <w:p w14:paraId="368B1F21" w14:textId="795C0B7D" w:rsidR="00EF440A" w:rsidRPr="00CD4A33" w:rsidRDefault="00CD4A33" w:rsidP="00F470A8">
            <w:pPr>
              <w:widowControl w:val="0"/>
              <w:tabs>
                <w:tab w:val="left" w:pos="284"/>
                <w:tab w:val="left" w:pos="426"/>
              </w:tabs>
              <w:overflowPunct w:val="0"/>
              <w:spacing w:line="400" w:lineRule="exact"/>
              <w:jc w:val="center"/>
              <w:rPr>
                <w:rFonts w:ascii="標楷體" w:eastAsia="標楷體" w:hAnsi="標楷體"/>
                <w:b/>
                <w:szCs w:val="24"/>
              </w:rPr>
            </w:pPr>
            <w:r w:rsidRPr="00CD4A33">
              <w:rPr>
                <w:rFonts w:ascii="標楷體" w:eastAsia="標楷體" w:hAnsi="標楷體" w:hint="eastAsia"/>
                <w:b/>
                <w:szCs w:val="24"/>
              </w:rPr>
              <w:t>2</w:t>
            </w:r>
          </w:p>
        </w:tc>
        <w:tc>
          <w:tcPr>
            <w:tcW w:w="2018" w:type="dxa"/>
            <w:tcBorders>
              <w:top w:val="single" w:sz="18" w:space="0" w:color="auto"/>
              <w:left w:val="single" w:sz="18" w:space="0" w:color="auto"/>
              <w:bottom w:val="single" w:sz="18" w:space="0" w:color="auto"/>
              <w:right w:val="single" w:sz="18" w:space="0" w:color="auto"/>
            </w:tcBorders>
            <w:shd w:val="clear" w:color="auto" w:fill="FABF8F"/>
            <w:vAlign w:val="center"/>
          </w:tcPr>
          <w:p w14:paraId="1235F8CD" w14:textId="79A6947A" w:rsidR="00EF440A" w:rsidRPr="00FB2984" w:rsidRDefault="00FB2984" w:rsidP="00F470A8">
            <w:pPr>
              <w:widowControl w:val="0"/>
              <w:tabs>
                <w:tab w:val="left" w:pos="284"/>
                <w:tab w:val="left" w:pos="426"/>
              </w:tabs>
              <w:overflowPunct w:val="0"/>
              <w:spacing w:line="400" w:lineRule="exact"/>
              <w:jc w:val="center"/>
              <w:rPr>
                <w:rFonts w:ascii="標楷體" w:eastAsia="標楷體" w:hAnsi="標楷體"/>
                <w:b/>
                <w:bCs/>
                <w:szCs w:val="24"/>
              </w:rPr>
            </w:pPr>
            <w:r w:rsidRPr="00FB2984">
              <w:rPr>
                <w:rFonts w:ascii="標楷體" w:eastAsia="標楷體" w:hAnsi="標楷體" w:hint="eastAsia"/>
                <w:b/>
                <w:bCs/>
                <w:szCs w:val="24"/>
              </w:rPr>
              <w:t>22</w:t>
            </w:r>
            <w:r w:rsidR="006F0048">
              <w:rPr>
                <w:rFonts w:ascii="標楷體" w:eastAsia="標楷體" w:hAnsi="標楷體" w:hint="eastAsia"/>
                <w:b/>
                <w:bCs/>
                <w:szCs w:val="24"/>
              </w:rPr>
              <w:t>6</w:t>
            </w:r>
          </w:p>
        </w:tc>
      </w:tr>
      <w:tr w:rsidR="00464A6F" w:rsidRPr="00464A6F" w14:paraId="29760D8A" w14:textId="77777777" w:rsidTr="00F9585C">
        <w:trPr>
          <w:trHeight w:val="737"/>
        </w:trPr>
        <w:tc>
          <w:tcPr>
            <w:tcW w:w="3794" w:type="dxa"/>
            <w:gridSpan w:val="2"/>
            <w:tcBorders>
              <w:top w:val="single" w:sz="18" w:space="0" w:color="auto"/>
              <w:left w:val="single" w:sz="18" w:space="0" w:color="auto"/>
              <w:bottom w:val="thinThickThinMediumGap" w:sz="18" w:space="0" w:color="auto"/>
              <w:right w:val="single" w:sz="18" w:space="0" w:color="auto"/>
            </w:tcBorders>
            <w:shd w:val="clear" w:color="auto" w:fill="FFFFFF"/>
            <w:vAlign w:val="center"/>
          </w:tcPr>
          <w:p w14:paraId="1A871979" w14:textId="77777777" w:rsidR="00EF440A" w:rsidRPr="001C476E"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1C476E">
              <w:rPr>
                <w:rFonts w:ascii="標楷體" w:eastAsia="標楷體" w:hAnsi="標楷體" w:hint="eastAsia"/>
                <w:b/>
                <w:bCs/>
                <w:szCs w:val="24"/>
              </w:rPr>
              <w:t xml:space="preserve">      </w:t>
            </w:r>
            <w:r w:rsidRPr="001C476E">
              <w:rPr>
                <w:rFonts w:ascii="標楷體" w:eastAsia="標楷體" w:hAnsi="標楷體"/>
                <w:bCs/>
                <w:szCs w:val="24"/>
              </w:rPr>
              <w:t xml:space="preserve"> (</w:t>
            </w:r>
            <w:r w:rsidRPr="001C476E">
              <w:rPr>
                <w:rFonts w:ascii="標楷體" w:eastAsia="標楷體" w:hAnsi="標楷體" w:hint="eastAsia"/>
                <w:bCs/>
                <w:szCs w:val="24"/>
              </w:rPr>
              <w:t>七)人民請願案</w:t>
            </w:r>
          </w:p>
        </w:tc>
        <w:tc>
          <w:tcPr>
            <w:tcW w:w="1984" w:type="dxa"/>
            <w:tcBorders>
              <w:top w:val="single" w:sz="18" w:space="0" w:color="auto"/>
              <w:left w:val="single" w:sz="18" w:space="0" w:color="auto"/>
              <w:bottom w:val="thinThickThinMediumGap" w:sz="18" w:space="0" w:color="auto"/>
              <w:right w:val="dashed" w:sz="4" w:space="0" w:color="auto"/>
            </w:tcBorders>
            <w:shd w:val="clear" w:color="auto" w:fill="F2F2F2"/>
            <w:vAlign w:val="center"/>
          </w:tcPr>
          <w:p w14:paraId="4BE90A21" w14:textId="77777777" w:rsidR="00EF440A" w:rsidRPr="00635E83" w:rsidRDefault="005E32E9" w:rsidP="00F470A8">
            <w:pPr>
              <w:widowControl w:val="0"/>
              <w:tabs>
                <w:tab w:val="left" w:pos="284"/>
                <w:tab w:val="left" w:pos="426"/>
              </w:tabs>
              <w:overflowPunct w:val="0"/>
              <w:spacing w:line="340" w:lineRule="exact"/>
              <w:jc w:val="center"/>
              <w:rPr>
                <w:rFonts w:ascii="標楷體" w:eastAsia="標楷體" w:hAnsi="標楷體"/>
                <w:b/>
                <w:szCs w:val="24"/>
              </w:rPr>
            </w:pPr>
            <w:r w:rsidRPr="00635E83">
              <w:rPr>
                <w:rFonts w:ascii="標楷體" w:eastAsia="標楷體" w:hAnsi="標楷體" w:hint="eastAsia"/>
                <w:b/>
                <w:szCs w:val="24"/>
              </w:rPr>
              <w:t>0</w:t>
            </w:r>
          </w:p>
        </w:tc>
        <w:tc>
          <w:tcPr>
            <w:tcW w:w="1985" w:type="dxa"/>
            <w:tcBorders>
              <w:top w:val="single" w:sz="18" w:space="0" w:color="auto"/>
              <w:left w:val="dashed" w:sz="4" w:space="0" w:color="auto"/>
              <w:bottom w:val="thinThickThinMediumGap" w:sz="18" w:space="0" w:color="auto"/>
              <w:right w:val="single" w:sz="18" w:space="0" w:color="auto"/>
            </w:tcBorders>
            <w:shd w:val="clear" w:color="auto" w:fill="D6E3BC"/>
            <w:vAlign w:val="center"/>
          </w:tcPr>
          <w:p w14:paraId="46365F4B" w14:textId="77777777" w:rsidR="00EF440A" w:rsidRPr="00CD4A33" w:rsidRDefault="005E32E9" w:rsidP="00F470A8">
            <w:pPr>
              <w:widowControl w:val="0"/>
              <w:tabs>
                <w:tab w:val="left" w:pos="284"/>
                <w:tab w:val="left" w:pos="426"/>
              </w:tabs>
              <w:overflowPunct w:val="0"/>
              <w:spacing w:line="340" w:lineRule="exact"/>
              <w:jc w:val="center"/>
              <w:rPr>
                <w:rFonts w:ascii="標楷體" w:eastAsia="標楷體" w:hAnsi="標楷體"/>
                <w:b/>
                <w:szCs w:val="24"/>
              </w:rPr>
            </w:pPr>
            <w:r w:rsidRPr="00CD4A33">
              <w:rPr>
                <w:rFonts w:ascii="標楷體" w:eastAsia="標楷體" w:hAnsi="標楷體" w:hint="eastAsia"/>
                <w:b/>
                <w:szCs w:val="24"/>
              </w:rPr>
              <w:t>0</w:t>
            </w:r>
          </w:p>
        </w:tc>
        <w:tc>
          <w:tcPr>
            <w:tcW w:w="2018" w:type="dxa"/>
            <w:tcBorders>
              <w:top w:val="single" w:sz="18" w:space="0" w:color="auto"/>
              <w:left w:val="single" w:sz="18" w:space="0" w:color="auto"/>
              <w:bottom w:val="thinThickThinMediumGap" w:sz="18" w:space="0" w:color="auto"/>
              <w:right w:val="single" w:sz="18" w:space="0" w:color="auto"/>
            </w:tcBorders>
            <w:shd w:val="clear" w:color="auto" w:fill="FABF8F"/>
            <w:vAlign w:val="center"/>
          </w:tcPr>
          <w:p w14:paraId="2EF288C7" w14:textId="41FFDDB3" w:rsidR="00EF440A" w:rsidRPr="00FB2984" w:rsidRDefault="00452841" w:rsidP="00F470A8">
            <w:pPr>
              <w:widowControl w:val="0"/>
              <w:tabs>
                <w:tab w:val="left" w:pos="284"/>
                <w:tab w:val="left" w:pos="426"/>
              </w:tabs>
              <w:overflowPunct w:val="0"/>
              <w:spacing w:line="340" w:lineRule="exact"/>
              <w:jc w:val="center"/>
              <w:rPr>
                <w:rFonts w:ascii="標楷體" w:eastAsia="標楷體" w:hAnsi="標楷體"/>
                <w:b/>
                <w:bCs/>
                <w:szCs w:val="24"/>
              </w:rPr>
            </w:pPr>
            <w:r w:rsidRPr="00FB2984">
              <w:rPr>
                <w:rFonts w:ascii="標楷體" w:eastAsia="標楷體" w:hAnsi="標楷體" w:hint="eastAsia"/>
                <w:b/>
                <w:bCs/>
                <w:szCs w:val="24"/>
              </w:rPr>
              <w:t>1(撤案)</w:t>
            </w:r>
          </w:p>
        </w:tc>
      </w:tr>
      <w:tr w:rsidR="00464A6F" w:rsidRPr="00464A6F" w14:paraId="674171EB" w14:textId="77777777" w:rsidTr="00F9585C">
        <w:trPr>
          <w:trHeight w:val="964"/>
        </w:trPr>
        <w:tc>
          <w:tcPr>
            <w:tcW w:w="3794" w:type="dxa"/>
            <w:gridSpan w:val="2"/>
            <w:tcBorders>
              <w:top w:val="thinThickThinMediumGap" w:sz="18" w:space="0" w:color="auto"/>
              <w:left w:val="single" w:sz="18" w:space="0" w:color="auto"/>
              <w:bottom w:val="thinThickThinMediumGap" w:sz="18" w:space="0" w:color="auto"/>
              <w:right w:val="single" w:sz="18" w:space="0" w:color="auto"/>
            </w:tcBorders>
            <w:shd w:val="clear" w:color="auto" w:fill="B8CCE4"/>
            <w:vAlign w:val="center"/>
          </w:tcPr>
          <w:p w14:paraId="30F23968" w14:textId="77777777" w:rsidR="00EF440A" w:rsidRPr="001C476E" w:rsidRDefault="00EF440A" w:rsidP="00F470A8">
            <w:pPr>
              <w:widowControl w:val="0"/>
              <w:tabs>
                <w:tab w:val="left" w:pos="284"/>
                <w:tab w:val="left" w:pos="426"/>
              </w:tabs>
              <w:overflowPunct w:val="0"/>
              <w:spacing w:line="400" w:lineRule="exact"/>
              <w:ind w:firstLineChars="300" w:firstLine="721"/>
              <w:jc w:val="both"/>
              <w:rPr>
                <w:rFonts w:ascii="標楷體" w:eastAsia="標楷體" w:hAnsi="標楷體"/>
                <w:b/>
                <w:szCs w:val="24"/>
              </w:rPr>
            </w:pPr>
            <w:r w:rsidRPr="001C476E">
              <w:rPr>
                <w:rFonts w:ascii="標楷體" w:eastAsia="標楷體" w:hAnsi="標楷體" w:hint="eastAsia"/>
                <w:b/>
                <w:szCs w:val="24"/>
              </w:rPr>
              <w:t>(一)至(七)</w:t>
            </w:r>
          </w:p>
          <w:p w14:paraId="57910F31" w14:textId="77777777" w:rsidR="00EF440A" w:rsidRPr="001C476E" w:rsidRDefault="00EF440A" w:rsidP="00F470A8">
            <w:pPr>
              <w:widowControl w:val="0"/>
              <w:tabs>
                <w:tab w:val="left" w:pos="284"/>
                <w:tab w:val="left" w:pos="426"/>
              </w:tabs>
              <w:overflowPunct w:val="0"/>
              <w:spacing w:line="400" w:lineRule="exact"/>
              <w:ind w:firstLineChars="300" w:firstLine="721"/>
              <w:jc w:val="both"/>
              <w:rPr>
                <w:rFonts w:ascii="標楷體" w:eastAsia="標楷體" w:hAnsi="標楷體"/>
                <w:b/>
                <w:szCs w:val="24"/>
              </w:rPr>
            </w:pPr>
            <w:r w:rsidRPr="001C476E">
              <w:rPr>
                <w:rFonts w:ascii="標楷體" w:eastAsia="標楷體" w:hAnsi="標楷體" w:hint="eastAsia"/>
                <w:b/>
                <w:szCs w:val="24"/>
              </w:rPr>
              <w:t xml:space="preserve">總    </w:t>
            </w:r>
            <w:r w:rsidRPr="001C476E">
              <w:rPr>
                <w:rFonts w:ascii="標楷體" w:eastAsia="標楷體" w:hAnsi="標楷體"/>
                <w:b/>
                <w:szCs w:val="24"/>
              </w:rPr>
              <w:t xml:space="preserve"> </w:t>
            </w:r>
            <w:r w:rsidRPr="001C476E">
              <w:rPr>
                <w:rFonts w:ascii="標楷體" w:eastAsia="標楷體" w:hAnsi="標楷體" w:hint="eastAsia"/>
                <w:b/>
                <w:szCs w:val="24"/>
              </w:rPr>
              <w:t xml:space="preserve"> 計</w:t>
            </w:r>
          </w:p>
        </w:tc>
        <w:tc>
          <w:tcPr>
            <w:tcW w:w="1984" w:type="dxa"/>
            <w:tcBorders>
              <w:top w:val="thinThickThinMediumGap" w:sz="18" w:space="0" w:color="auto"/>
              <w:left w:val="single" w:sz="18" w:space="0" w:color="auto"/>
              <w:bottom w:val="thinThickThinMediumGap" w:sz="18" w:space="0" w:color="auto"/>
              <w:right w:val="dashed" w:sz="4" w:space="0" w:color="auto"/>
            </w:tcBorders>
            <w:shd w:val="clear" w:color="auto" w:fill="F2F2F2"/>
            <w:vAlign w:val="center"/>
          </w:tcPr>
          <w:p w14:paraId="73009E6B" w14:textId="6EB16F2B" w:rsidR="00EF440A" w:rsidRPr="00635E83" w:rsidRDefault="00D954EB" w:rsidP="007E0982">
            <w:pPr>
              <w:widowControl w:val="0"/>
              <w:tabs>
                <w:tab w:val="left" w:pos="284"/>
                <w:tab w:val="left" w:pos="426"/>
              </w:tabs>
              <w:overflowPunct w:val="0"/>
              <w:spacing w:line="400" w:lineRule="exact"/>
              <w:jc w:val="center"/>
              <w:rPr>
                <w:rFonts w:ascii="標楷體" w:eastAsia="標楷體" w:hAnsi="標楷體"/>
                <w:b/>
                <w:color w:val="FF0000"/>
                <w:szCs w:val="24"/>
              </w:rPr>
            </w:pPr>
            <w:r w:rsidRPr="00D954EB">
              <w:rPr>
                <w:rFonts w:ascii="標楷體" w:eastAsia="標楷體" w:hAnsi="標楷體" w:hint="eastAsia"/>
                <w:b/>
                <w:szCs w:val="24"/>
              </w:rPr>
              <w:t>2</w:t>
            </w:r>
            <w:r w:rsidR="006E12D5">
              <w:rPr>
                <w:rFonts w:ascii="標楷體" w:eastAsia="標楷體" w:hAnsi="標楷體" w:hint="eastAsia"/>
                <w:b/>
                <w:szCs w:val="24"/>
              </w:rPr>
              <w:t>2</w:t>
            </w:r>
            <w:r w:rsidR="007E0982">
              <w:rPr>
                <w:rFonts w:ascii="標楷體" w:eastAsia="標楷體" w:hAnsi="標楷體"/>
                <w:b/>
                <w:szCs w:val="24"/>
              </w:rPr>
              <w:t>4</w:t>
            </w:r>
          </w:p>
        </w:tc>
        <w:tc>
          <w:tcPr>
            <w:tcW w:w="1985" w:type="dxa"/>
            <w:tcBorders>
              <w:top w:val="thinThickThinMediumGap" w:sz="18" w:space="0" w:color="auto"/>
              <w:left w:val="dashed" w:sz="4" w:space="0" w:color="auto"/>
              <w:bottom w:val="thinThickThinMediumGap" w:sz="18" w:space="0" w:color="auto"/>
              <w:right w:val="single" w:sz="18" w:space="0" w:color="auto"/>
            </w:tcBorders>
            <w:shd w:val="clear" w:color="auto" w:fill="D6E3BC"/>
            <w:vAlign w:val="center"/>
          </w:tcPr>
          <w:p w14:paraId="79CA63FB" w14:textId="434A7A19" w:rsidR="00EF440A" w:rsidRPr="00CD4A33" w:rsidRDefault="00CD4A33" w:rsidP="00F470A8">
            <w:pPr>
              <w:widowControl w:val="0"/>
              <w:tabs>
                <w:tab w:val="left" w:pos="284"/>
                <w:tab w:val="left" w:pos="426"/>
              </w:tabs>
              <w:overflowPunct w:val="0"/>
              <w:spacing w:line="400" w:lineRule="exact"/>
              <w:jc w:val="center"/>
              <w:rPr>
                <w:rFonts w:ascii="標楷體" w:eastAsia="標楷體" w:hAnsi="標楷體"/>
                <w:b/>
                <w:szCs w:val="24"/>
              </w:rPr>
            </w:pPr>
            <w:r w:rsidRPr="00CD4A33">
              <w:rPr>
                <w:rFonts w:ascii="標楷體" w:eastAsia="標楷體" w:hAnsi="標楷體" w:hint="eastAsia"/>
                <w:b/>
                <w:szCs w:val="24"/>
              </w:rPr>
              <w:t>2</w:t>
            </w:r>
          </w:p>
        </w:tc>
        <w:tc>
          <w:tcPr>
            <w:tcW w:w="2018" w:type="dxa"/>
            <w:tcBorders>
              <w:top w:val="thinThickThinMediumGap" w:sz="18" w:space="0" w:color="auto"/>
              <w:left w:val="single" w:sz="18" w:space="0" w:color="auto"/>
              <w:bottom w:val="thinThickThinMediumGap" w:sz="18" w:space="0" w:color="auto"/>
              <w:right w:val="single" w:sz="18" w:space="0" w:color="auto"/>
            </w:tcBorders>
            <w:shd w:val="clear" w:color="auto" w:fill="FABF8F"/>
            <w:vAlign w:val="center"/>
          </w:tcPr>
          <w:p w14:paraId="646A90CA" w14:textId="6401F8CA" w:rsidR="00EF440A" w:rsidRPr="00FB2984" w:rsidRDefault="00FB2984" w:rsidP="00F470A8">
            <w:pPr>
              <w:widowControl w:val="0"/>
              <w:tabs>
                <w:tab w:val="left" w:pos="284"/>
                <w:tab w:val="left" w:pos="426"/>
              </w:tabs>
              <w:overflowPunct w:val="0"/>
              <w:spacing w:line="400" w:lineRule="exact"/>
              <w:jc w:val="center"/>
              <w:rPr>
                <w:rFonts w:ascii="標楷體" w:eastAsia="標楷體" w:hAnsi="標楷體"/>
                <w:b/>
                <w:bCs/>
                <w:szCs w:val="24"/>
              </w:rPr>
            </w:pPr>
            <w:r w:rsidRPr="00FB2984">
              <w:rPr>
                <w:rFonts w:ascii="標楷體" w:eastAsia="標楷體" w:hAnsi="標楷體" w:hint="eastAsia"/>
                <w:b/>
                <w:bCs/>
                <w:szCs w:val="24"/>
              </w:rPr>
              <w:t>22</w:t>
            </w:r>
            <w:r w:rsidR="006F0048">
              <w:rPr>
                <w:rFonts w:ascii="標楷體" w:eastAsia="標楷體" w:hAnsi="標楷體" w:hint="eastAsia"/>
                <w:b/>
                <w:bCs/>
                <w:szCs w:val="24"/>
              </w:rPr>
              <w:t>7</w:t>
            </w:r>
          </w:p>
        </w:tc>
      </w:tr>
    </w:tbl>
    <w:p w14:paraId="54BC2AB9" w14:textId="77777777" w:rsidR="00DF6AC1" w:rsidRPr="001C476E" w:rsidRDefault="0032500B" w:rsidP="00F470A8">
      <w:pPr>
        <w:widowControl w:val="0"/>
        <w:tabs>
          <w:tab w:val="left" w:pos="284"/>
          <w:tab w:val="left" w:pos="426"/>
        </w:tabs>
        <w:overflowPunct w:val="0"/>
        <w:spacing w:line="340" w:lineRule="exact"/>
        <w:ind w:firstLineChars="59" w:firstLine="142"/>
        <w:jc w:val="both"/>
        <w:rPr>
          <w:rFonts w:ascii="標楷體" w:eastAsia="標楷體" w:hAnsi="標楷體"/>
          <w:szCs w:val="24"/>
        </w:rPr>
      </w:pPr>
      <w:r w:rsidRPr="001C476E">
        <w:rPr>
          <w:rFonts w:ascii="標楷體" w:eastAsia="標楷體" w:hAnsi="標楷體" w:hint="eastAsia"/>
          <w:b/>
          <w:szCs w:val="24"/>
        </w:rPr>
        <w:t>註：</w:t>
      </w:r>
      <w:r w:rsidRPr="001C476E">
        <w:rPr>
          <w:rFonts w:ascii="標楷體" w:eastAsia="標楷體" w:hAnsi="標楷體" w:hint="eastAsia"/>
          <w:szCs w:val="24"/>
        </w:rPr>
        <w:t>本表含逕付二讀案件數。</w:t>
      </w:r>
    </w:p>
    <w:p w14:paraId="51BFD9B1" w14:textId="77777777" w:rsidR="00DF6AC1" w:rsidRPr="00464A6F" w:rsidRDefault="00DF6AC1" w:rsidP="00F470A8">
      <w:pPr>
        <w:overflowPunct w:val="0"/>
        <w:rPr>
          <w:color w:val="FF0000"/>
        </w:rPr>
      </w:pPr>
      <w:r w:rsidRPr="00464A6F">
        <w:rPr>
          <w:color w:val="FF0000"/>
        </w:rPr>
        <w:br w:type="page"/>
      </w:r>
    </w:p>
    <w:p w14:paraId="480F3703" w14:textId="77777777" w:rsidR="0032500B" w:rsidRPr="00464A6F" w:rsidRDefault="0032500B" w:rsidP="00F470A8">
      <w:pPr>
        <w:widowControl w:val="0"/>
        <w:tabs>
          <w:tab w:val="left" w:pos="284"/>
          <w:tab w:val="left" w:pos="426"/>
        </w:tabs>
        <w:overflowPunct w:val="0"/>
        <w:spacing w:line="340" w:lineRule="exact"/>
        <w:ind w:firstLineChars="59" w:firstLine="142"/>
        <w:jc w:val="both"/>
        <w:rPr>
          <w:rFonts w:ascii="標楷體" w:eastAsia="標楷體" w:hAnsi="標楷體"/>
          <w:color w:val="FF0000"/>
          <w:szCs w:val="24"/>
        </w:rPr>
      </w:pPr>
    </w:p>
    <w:p w14:paraId="0ABE5485" w14:textId="77777777" w:rsidR="00EF440A" w:rsidRPr="00510EC7" w:rsidRDefault="00F16097" w:rsidP="00F470A8">
      <w:pPr>
        <w:pStyle w:val="2"/>
        <w:numPr>
          <w:ilvl w:val="0"/>
          <w:numId w:val="0"/>
        </w:numPr>
        <w:overflowPunct w:val="0"/>
        <w:spacing w:line="480" w:lineRule="exact"/>
        <w:ind w:left="927" w:hanging="567"/>
        <w:rPr>
          <w:rFonts w:ascii="標楷體" w:eastAsia="標楷體" w:hAnsi="標楷體"/>
          <w:bCs w:val="0"/>
          <w:kern w:val="2"/>
          <w:sz w:val="32"/>
          <w:szCs w:val="32"/>
        </w:rPr>
      </w:pPr>
      <w:bookmarkStart w:id="15" w:name="_Toc189487273"/>
      <w:r w:rsidRPr="00510EC7">
        <w:rPr>
          <w:rFonts w:ascii="標楷體" w:eastAsia="標楷體" w:hAnsi="標楷體" w:hint="eastAsia"/>
          <w:bCs w:val="0"/>
          <w:kern w:val="2"/>
          <w:sz w:val="32"/>
          <w:szCs w:val="32"/>
        </w:rPr>
        <w:t>五</w:t>
      </w:r>
      <w:r w:rsidR="00DF6AC1" w:rsidRPr="00510EC7">
        <w:rPr>
          <w:rFonts w:ascii="標楷體" w:eastAsia="標楷體" w:hAnsi="標楷體" w:hint="eastAsia"/>
          <w:bCs w:val="0"/>
          <w:kern w:val="2"/>
          <w:sz w:val="32"/>
          <w:szCs w:val="32"/>
        </w:rPr>
        <w:t>、</w:t>
      </w:r>
      <w:r w:rsidR="00EF440A" w:rsidRPr="00510EC7">
        <w:rPr>
          <w:rFonts w:ascii="標楷體" w:eastAsia="標楷體" w:hAnsi="標楷體" w:hint="eastAsia"/>
          <w:bCs w:val="0"/>
          <w:kern w:val="2"/>
          <w:sz w:val="32"/>
          <w:szCs w:val="32"/>
        </w:rPr>
        <w:t>各會期各項議案審查結果統計表</w:t>
      </w:r>
      <w:bookmarkEnd w:id="15"/>
    </w:p>
    <w:tbl>
      <w:tblPr>
        <w:tblpPr w:leftFromText="180" w:rightFromText="180" w:vertAnchor="text" w:horzAnchor="margin" w:tblpY="381"/>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376"/>
        <w:gridCol w:w="567"/>
        <w:gridCol w:w="567"/>
        <w:gridCol w:w="567"/>
        <w:gridCol w:w="567"/>
        <w:gridCol w:w="567"/>
        <w:gridCol w:w="567"/>
        <w:gridCol w:w="567"/>
        <w:gridCol w:w="567"/>
        <w:gridCol w:w="567"/>
        <w:gridCol w:w="709"/>
        <w:gridCol w:w="709"/>
        <w:gridCol w:w="709"/>
      </w:tblGrid>
      <w:tr w:rsidR="00464A6F" w:rsidRPr="00464A6F" w14:paraId="432793DA" w14:textId="77777777" w:rsidTr="00F44EFE">
        <w:trPr>
          <w:trHeight w:val="670"/>
        </w:trPr>
        <w:tc>
          <w:tcPr>
            <w:tcW w:w="2943" w:type="dxa"/>
            <w:gridSpan w:val="2"/>
            <w:vMerge w:val="restart"/>
            <w:tcBorders>
              <w:top w:val="single" w:sz="18" w:space="0" w:color="auto"/>
              <w:left w:val="single" w:sz="18" w:space="0" w:color="auto"/>
              <w:right w:val="single" w:sz="18" w:space="0" w:color="auto"/>
            </w:tcBorders>
            <w:vAlign w:val="center"/>
          </w:tcPr>
          <w:p w14:paraId="42BD3168"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b/>
                <w:kern w:val="2"/>
                <w:sz w:val="28"/>
                <w:szCs w:val="28"/>
              </w:rPr>
            </w:pPr>
            <w:r w:rsidRPr="00510EC7">
              <w:rPr>
                <w:rFonts w:ascii="標楷體" w:eastAsia="標楷體" w:hAnsi="標楷體" w:hint="eastAsia"/>
                <w:b/>
                <w:kern w:val="2"/>
                <w:sz w:val="28"/>
                <w:szCs w:val="28"/>
              </w:rPr>
              <w:t>類     別</w:t>
            </w:r>
          </w:p>
        </w:tc>
        <w:tc>
          <w:tcPr>
            <w:tcW w:w="5812" w:type="dxa"/>
            <w:gridSpan w:val="10"/>
            <w:tcBorders>
              <w:top w:val="single" w:sz="18" w:space="0" w:color="auto"/>
              <w:left w:val="single" w:sz="18" w:space="0" w:color="auto"/>
              <w:right w:val="single" w:sz="18" w:space="0" w:color="auto"/>
            </w:tcBorders>
            <w:shd w:val="clear" w:color="auto" w:fill="FBD4B4"/>
            <w:vAlign w:val="center"/>
          </w:tcPr>
          <w:p w14:paraId="6F1D3A5F" w14:textId="77777777" w:rsidR="00EF440A" w:rsidRPr="00641DE1" w:rsidRDefault="00EF440A" w:rsidP="00F470A8">
            <w:pPr>
              <w:widowControl w:val="0"/>
              <w:overflowPunct w:val="0"/>
              <w:autoSpaceDN/>
              <w:spacing w:line="340" w:lineRule="exact"/>
              <w:ind w:leftChars="-3" w:left="-1" w:hangingChars="2" w:hanging="6"/>
              <w:jc w:val="center"/>
              <w:textAlignment w:val="auto"/>
              <w:rPr>
                <w:rFonts w:ascii="Times New Roman" w:eastAsia="標楷體" w:hAnsi="Times New Roman"/>
                <w:b/>
                <w:bCs/>
                <w:kern w:val="2"/>
                <w:sz w:val="28"/>
                <w:szCs w:val="28"/>
              </w:rPr>
            </w:pPr>
            <w:r w:rsidRPr="00641DE1">
              <w:rPr>
                <w:rFonts w:ascii="Times New Roman" w:eastAsia="標楷體" w:hAnsi="Times New Roman"/>
                <w:b/>
                <w:bCs/>
                <w:kern w:val="2"/>
                <w:sz w:val="28"/>
                <w:szCs w:val="28"/>
              </w:rPr>
              <w:t>第</w:t>
            </w:r>
            <w:r w:rsidRPr="00641DE1">
              <w:rPr>
                <w:rFonts w:ascii="Times New Roman" w:eastAsia="標楷體" w:hAnsi="Times New Roman"/>
                <w:b/>
                <w:bCs/>
                <w:kern w:val="2"/>
                <w:sz w:val="28"/>
                <w:szCs w:val="28"/>
              </w:rPr>
              <w:t>1</w:t>
            </w:r>
            <w:r w:rsidR="00A30C6D" w:rsidRPr="00641DE1">
              <w:rPr>
                <w:rFonts w:ascii="Times New Roman" w:eastAsia="標楷體" w:hAnsi="Times New Roman" w:hint="eastAsia"/>
                <w:b/>
                <w:bCs/>
                <w:kern w:val="2"/>
                <w:sz w:val="28"/>
                <w:szCs w:val="28"/>
              </w:rPr>
              <w:t>1</w:t>
            </w:r>
            <w:r w:rsidRPr="00641DE1">
              <w:rPr>
                <w:rFonts w:ascii="Times New Roman" w:eastAsia="標楷體" w:hAnsi="Times New Roman"/>
                <w:b/>
                <w:bCs/>
                <w:kern w:val="2"/>
                <w:sz w:val="28"/>
                <w:szCs w:val="28"/>
              </w:rPr>
              <w:t>屆</w:t>
            </w:r>
            <w:r w:rsidRPr="00641DE1">
              <w:rPr>
                <w:rFonts w:ascii="Times New Roman" w:eastAsia="標楷體" w:hAnsi="Times New Roman" w:hint="eastAsia"/>
                <w:b/>
                <w:bCs/>
                <w:kern w:val="2"/>
                <w:sz w:val="28"/>
                <w:szCs w:val="28"/>
              </w:rPr>
              <w:t>本會審竣提報院會之</w:t>
            </w:r>
            <w:r w:rsidRPr="00641DE1">
              <w:rPr>
                <w:rFonts w:ascii="Times New Roman" w:eastAsia="標楷體" w:hAnsi="Times New Roman"/>
                <w:b/>
                <w:bCs/>
                <w:kern w:val="2"/>
                <w:sz w:val="28"/>
                <w:szCs w:val="28"/>
                <w:bdr w:val="single" w:sz="4" w:space="0" w:color="auto"/>
              </w:rPr>
              <w:t>已結案件</w:t>
            </w:r>
            <w:r w:rsidRPr="00641DE1">
              <w:rPr>
                <w:rFonts w:ascii="Times New Roman" w:eastAsia="標楷體" w:hAnsi="Times New Roman" w:hint="eastAsia"/>
                <w:b/>
                <w:bCs/>
                <w:kern w:val="2"/>
                <w:sz w:val="28"/>
                <w:szCs w:val="28"/>
              </w:rPr>
              <w:t xml:space="preserve">　</w:t>
            </w:r>
          </w:p>
        </w:tc>
        <w:tc>
          <w:tcPr>
            <w:tcW w:w="709" w:type="dxa"/>
            <w:vMerge w:val="restart"/>
            <w:tcBorders>
              <w:top w:val="single" w:sz="18" w:space="0" w:color="auto"/>
              <w:left w:val="single" w:sz="18" w:space="0" w:color="auto"/>
              <w:right w:val="single" w:sz="18" w:space="0" w:color="auto"/>
            </w:tcBorders>
            <w:shd w:val="clear" w:color="auto" w:fill="FFCCFF"/>
          </w:tcPr>
          <w:p w14:paraId="4F553550" w14:textId="77777777" w:rsidR="00EF440A" w:rsidRPr="00641DE1" w:rsidRDefault="004461D1" w:rsidP="00F470A8">
            <w:pPr>
              <w:widowControl w:val="0"/>
              <w:overflowPunct w:val="0"/>
              <w:autoSpaceDN/>
              <w:spacing w:line="360" w:lineRule="exact"/>
              <w:ind w:leftChars="-74" w:left="52" w:rightChars="-75" w:right="-180" w:hangingChars="96" w:hanging="230"/>
              <w:jc w:val="center"/>
              <w:textAlignment w:val="auto"/>
              <w:rPr>
                <w:rFonts w:ascii="標楷體" w:eastAsia="標楷體" w:hAnsi="標楷體"/>
                <w:b/>
                <w:spacing w:val="-8"/>
                <w:kern w:val="2"/>
                <w:sz w:val="28"/>
                <w:szCs w:val="28"/>
              </w:rPr>
            </w:pPr>
            <w:r w:rsidRPr="00641DE1">
              <w:rPr>
                <w:noProof/>
              </w:rPr>
              <mc:AlternateContent>
                <mc:Choice Requires="wps">
                  <w:drawing>
                    <wp:anchor distT="45720" distB="45720" distL="0" distR="0" simplePos="0" relativeHeight="251654656" behindDoc="0" locked="0" layoutInCell="1" allowOverlap="1" wp14:anchorId="6D915D8B" wp14:editId="7CBE8977">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14:paraId="0AE9B73B" w14:textId="77777777" w:rsidR="008B32D4" w:rsidRPr="006938BB" w:rsidRDefault="008B32D4"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43270C81" w14:textId="77777777" w:rsidR="008B32D4" w:rsidRPr="006938BB" w:rsidRDefault="008B32D4"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915D8B" id="_x0000_t202" coordsize="21600,21600" o:spt="202" path="m,l,21600r21600,l21600,xe">
                      <v:stroke joinstyle="miter"/>
                      <v:path gradientshapeok="t" o:connecttype="rect"/>
                    </v:shapetype>
                    <v:shape id="文字方塊 2" o:spid="_x0000_s1026" type="#_x0000_t202" style="position:absolute;left:0;text-align:left;margin-left:-1.1pt;margin-top:3.45pt;width:32.3pt;height:30.05pt;z-index:251654656;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" filled="f">
                      <v:textbox>
                        <w:txbxContent>
                          <w:p w14:paraId="0AE9B73B" w14:textId="77777777" w:rsidR="008B32D4" w:rsidRPr="006938BB" w:rsidRDefault="008B32D4"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43270C81" w14:textId="77777777" w:rsidR="008B32D4" w:rsidRPr="006938BB" w:rsidRDefault="008B32D4" w:rsidP="00EF440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00EF440A" w:rsidRPr="00641DE1">
              <w:rPr>
                <w:rFonts w:ascii="標楷體" w:eastAsia="標楷體" w:hAnsi="標楷體"/>
                <w:b/>
                <w:spacing w:val="-8"/>
                <w:kern w:val="2"/>
                <w:sz w:val="28"/>
                <w:szCs w:val="28"/>
              </w:rPr>
              <w:t>本</w:t>
            </w:r>
          </w:p>
          <w:p w14:paraId="12EB1FFF" w14:textId="77777777" w:rsidR="00EF440A" w:rsidRPr="00641DE1" w:rsidRDefault="00EF440A" w:rsidP="00F470A8">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641DE1">
              <w:rPr>
                <w:rFonts w:ascii="標楷體" w:eastAsia="標楷體" w:hAnsi="標楷體"/>
                <w:b/>
                <w:spacing w:val="-8"/>
                <w:kern w:val="2"/>
                <w:sz w:val="28"/>
                <w:szCs w:val="28"/>
              </w:rPr>
              <w:t>會</w:t>
            </w:r>
          </w:p>
          <w:p w14:paraId="61373C9F" w14:textId="77777777" w:rsidR="00EF440A" w:rsidRPr="00641DE1" w:rsidRDefault="00EF440A" w:rsidP="00F470A8">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641DE1">
              <w:rPr>
                <w:rFonts w:ascii="標楷體" w:eastAsia="標楷體" w:hAnsi="標楷體"/>
                <w:b/>
                <w:spacing w:val="-8"/>
                <w:kern w:val="2"/>
                <w:sz w:val="28"/>
                <w:szCs w:val="28"/>
              </w:rPr>
              <w:t>待</w:t>
            </w:r>
          </w:p>
          <w:p w14:paraId="1F1D8870" w14:textId="77777777" w:rsidR="00EF440A" w:rsidRPr="00641DE1" w:rsidRDefault="00EF440A" w:rsidP="00F470A8">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641DE1">
              <w:rPr>
                <w:rFonts w:ascii="標楷體" w:eastAsia="標楷體" w:hAnsi="標楷體"/>
                <w:b/>
                <w:spacing w:val="-8"/>
                <w:kern w:val="2"/>
                <w:sz w:val="28"/>
                <w:szCs w:val="28"/>
              </w:rPr>
              <w:t>審</w:t>
            </w:r>
          </w:p>
          <w:p w14:paraId="4B080103" w14:textId="77777777" w:rsidR="00EF440A" w:rsidRPr="00641DE1" w:rsidRDefault="00EF440A" w:rsidP="00F470A8">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641DE1">
              <w:rPr>
                <w:rFonts w:ascii="標楷體" w:eastAsia="標楷體" w:hAnsi="標楷體" w:hint="eastAsia"/>
                <w:b/>
                <w:spacing w:val="-8"/>
                <w:kern w:val="2"/>
                <w:sz w:val="28"/>
                <w:szCs w:val="28"/>
              </w:rPr>
              <w:t>查</w:t>
            </w:r>
          </w:p>
          <w:p w14:paraId="0D1B9F25" w14:textId="77777777" w:rsidR="00EF440A" w:rsidRPr="00641DE1" w:rsidRDefault="00EF440A" w:rsidP="00F470A8">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641DE1">
              <w:rPr>
                <w:rFonts w:ascii="標楷體" w:eastAsia="標楷體" w:hAnsi="標楷體" w:hint="eastAsia"/>
                <w:b/>
                <w:spacing w:val="-8"/>
                <w:kern w:val="2"/>
                <w:sz w:val="28"/>
                <w:szCs w:val="28"/>
              </w:rPr>
              <w:t>案</w:t>
            </w:r>
          </w:p>
          <w:p w14:paraId="77B4F3C1" w14:textId="77777777" w:rsidR="00EF440A" w:rsidRPr="00641DE1" w:rsidRDefault="00EF440A" w:rsidP="00F470A8">
            <w:pPr>
              <w:widowControl w:val="0"/>
              <w:overflowPunct w:val="0"/>
              <w:autoSpaceDN/>
              <w:spacing w:line="320" w:lineRule="exact"/>
              <w:ind w:leftChars="-74" w:left="83" w:rightChars="-75" w:right="-180" w:hangingChars="96" w:hanging="261"/>
              <w:jc w:val="center"/>
              <w:textAlignment w:val="auto"/>
              <w:rPr>
                <w:rFonts w:ascii="標楷體" w:eastAsia="標楷體" w:hAnsi="標楷體"/>
                <w:b/>
                <w:spacing w:val="-8"/>
                <w:kern w:val="2"/>
                <w:sz w:val="28"/>
                <w:szCs w:val="28"/>
              </w:rPr>
            </w:pPr>
            <w:r w:rsidRPr="00641DE1">
              <w:rPr>
                <w:rFonts w:ascii="標楷體" w:eastAsia="標楷體" w:hAnsi="標楷體" w:hint="eastAsia"/>
                <w:b/>
                <w:spacing w:val="-8"/>
                <w:kern w:val="2"/>
                <w:sz w:val="28"/>
                <w:szCs w:val="28"/>
              </w:rPr>
              <w:t>件</w:t>
            </w:r>
          </w:p>
          <w:p w14:paraId="73F81E7C" w14:textId="77777777" w:rsidR="00EF440A" w:rsidRPr="00641DE1" w:rsidRDefault="00EF440A" w:rsidP="00F470A8">
            <w:pPr>
              <w:widowControl w:val="0"/>
              <w:overflowPunct w:val="0"/>
              <w:autoSpaceDN/>
              <w:spacing w:line="320" w:lineRule="exact"/>
              <w:ind w:leftChars="-74" w:left="168" w:rightChars="-75" w:right="-180" w:hangingChars="96" w:hanging="346"/>
              <w:jc w:val="center"/>
              <w:textAlignment w:val="auto"/>
              <w:rPr>
                <w:rFonts w:ascii="標楷體" w:eastAsia="標楷體" w:hAnsi="標楷體"/>
                <w:b/>
                <w:spacing w:val="-8"/>
                <w:kern w:val="2"/>
                <w:sz w:val="32"/>
                <w:szCs w:val="32"/>
              </w:rPr>
            </w:pPr>
            <w:r w:rsidRPr="00641DE1">
              <w:rPr>
                <w:rFonts w:ascii="標楷體" w:eastAsia="標楷體" w:hAnsi="標楷體" w:hint="eastAsia"/>
                <w:b/>
                <w:spacing w:val="-8"/>
                <w:kern w:val="2"/>
                <w:sz w:val="36"/>
                <w:szCs w:val="36"/>
              </w:rPr>
              <w:sym w:font="Wingdings" w:char="F082"/>
            </w:r>
          </w:p>
        </w:tc>
        <w:tc>
          <w:tcPr>
            <w:tcW w:w="709" w:type="dxa"/>
            <w:vMerge w:val="restart"/>
            <w:tcBorders>
              <w:top w:val="single" w:sz="18" w:space="0" w:color="auto"/>
              <w:left w:val="single" w:sz="4" w:space="0" w:color="auto"/>
              <w:right w:val="single" w:sz="18" w:space="0" w:color="auto"/>
            </w:tcBorders>
            <w:shd w:val="clear" w:color="auto" w:fill="DBE5F1"/>
          </w:tcPr>
          <w:p w14:paraId="10B66021" w14:textId="77777777" w:rsidR="00EF440A" w:rsidRPr="00641DE1" w:rsidRDefault="00EF440A" w:rsidP="00F470A8">
            <w:pPr>
              <w:widowControl w:val="0"/>
              <w:overflowPunct w:val="0"/>
              <w:autoSpaceDN/>
              <w:spacing w:beforeLines="50" w:before="180" w:line="420" w:lineRule="exact"/>
              <w:jc w:val="distribute"/>
              <w:textAlignment w:val="auto"/>
              <w:rPr>
                <w:rFonts w:ascii="標楷體" w:eastAsia="標楷體" w:hAnsi="標楷體"/>
                <w:b/>
                <w:kern w:val="2"/>
                <w:sz w:val="28"/>
                <w:szCs w:val="28"/>
              </w:rPr>
            </w:pPr>
            <w:r w:rsidRPr="00641DE1">
              <w:rPr>
                <w:rFonts w:ascii="標楷體" w:eastAsia="標楷體" w:hAnsi="標楷體"/>
                <w:b/>
                <w:kern w:val="2"/>
                <w:sz w:val="28"/>
                <w:szCs w:val="28"/>
              </w:rPr>
              <w:t>累</w:t>
            </w:r>
          </w:p>
          <w:p w14:paraId="3F9286D0" w14:textId="77777777" w:rsidR="00EF440A" w:rsidRPr="00641DE1" w:rsidRDefault="00EF440A" w:rsidP="00F470A8">
            <w:pPr>
              <w:widowControl w:val="0"/>
              <w:overflowPunct w:val="0"/>
              <w:autoSpaceDN/>
              <w:spacing w:line="420" w:lineRule="exact"/>
              <w:jc w:val="distribute"/>
              <w:textAlignment w:val="auto"/>
              <w:rPr>
                <w:rFonts w:ascii="標楷體" w:eastAsia="標楷體" w:hAnsi="標楷體"/>
                <w:b/>
                <w:kern w:val="2"/>
                <w:sz w:val="28"/>
                <w:szCs w:val="28"/>
              </w:rPr>
            </w:pPr>
            <w:r w:rsidRPr="00641DE1">
              <w:rPr>
                <w:rFonts w:ascii="標楷體" w:eastAsia="標楷體" w:hAnsi="標楷體"/>
                <w:b/>
                <w:kern w:val="2"/>
                <w:sz w:val="28"/>
                <w:szCs w:val="28"/>
              </w:rPr>
              <w:t>計</w:t>
            </w:r>
          </w:p>
          <w:p w14:paraId="734AB592" w14:textId="77777777" w:rsidR="00EF440A" w:rsidRPr="00641DE1" w:rsidRDefault="00EF440A" w:rsidP="00F470A8">
            <w:pPr>
              <w:widowControl w:val="0"/>
              <w:overflowPunct w:val="0"/>
              <w:autoSpaceDN/>
              <w:spacing w:line="420" w:lineRule="exact"/>
              <w:jc w:val="distribute"/>
              <w:textAlignment w:val="auto"/>
              <w:rPr>
                <w:rFonts w:ascii="標楷體" w:eastAsia="標楷體" w:hAnsi="標楷體"/>
                <w:b/>
                <w:kern w:val="2"/>
                <w:sz w:val="28"/>
                <w:szCs w:val="28"/>
              </w:rPr>
            </w:pPr>
            <w:r w:rsidRPr="00641DE1">
              <w:rPr>
                <w:rFonts w:ascii="標楷體" w:eastAsia="標楷體" w:hAnsi="標楷體"/>
                <w:b/>
                <w:kern w:val="2"/>
                <w:sz w:val="28"/>
                <w:szCs w:val="28"/>
              </w:rPr>
              <w:t>案</w:t>
            </w:r>
          </w:p>
          <w:p w14:paraId="1424A458" w14:textId="77777777" w:rsidR="00EF440A" w:rsidRPr="00641DE1" w:rsidRDefault="00EF440A" w:rsidP="00F470A8">
            <w:pPr>
              <w:widowControl w:val="0"/>
              <w:overflowPunct w:val="0"/>
              <w:autoSpaceDN/>
              <w:spacing w:line="420" w:lineRule="exact"/>
              <w:jc w:val="distribute"/>
              <w:textAlignment w:val="auto"/>
              <w:rPr>
                <w:rFonts w:ascii="標楷體" w:eastAsia="標楷體" w:hAnsi="標楷體"/>
                <w:b/>
                <w:kern w:val="2"/>
                <w:sz w:val="28"/>
                <w:szCs w:val="28"/>
              </w:rPr>
            </w:pPr>
            <w:r w:rsidRPr="00641DE1">
              <w:rPr>
                <w:rFonts w:ascii="標楷體" w:eastAsia="標楷體" w:hAnsi="標楷體" w:hint="eastAsia"/>
                <w:b/>
                <w:kern w:val="2"/>
                <w:sz w:val="28"/>
                <w:szCs w:val="28"/>
              </w:rPr>
              <w:t>件</w:t>
            </w:r>
          </w:p>
          <w:p w14:paraId="5CC172A6" w14:textId="77777777" w:rsidR="00EF440A" w:rsidRPr="00641DE1" w:rsidRDefault="00EF440A" w:rsidP="00F470A8">
            <w:pPr>
              <w:widowControl w:val="0"/>
              <w:overflowPunct w:val="0"/>
              <w:autoSpaceDN/>
              <w:spacing w:line="340" w:lineRule="exact"/>
              <w:jc w:val="distribute"/>
              <w:textAlignment w:val="auto"/>
              <w:rPr>
                <w:rFonts w:ascii="標楷體" w:eastAsia="標楷體" w:hAnsi="標楷體"/>
                <w:b/>
                <w:spacing w:val="-50"/>
                <w:kern w:val="2"/>
                <w:sz w:val="36"/>
                <w:szCs w:val="36"/>
              </w:rPr>
            </w:pPr>
            <w:r w:rsidRPr="00641DE1">
              <w:rPr>
                <w:rFonts w:ascii="標楷體" w:eastAsia="標楷體" w:hAnsi="標楷體" w:hint="eastAsia"/>
                <w:b/>
                <w:spacing w:val="-50"/>
                <w:kern w:val="2"/>
                <w:sz w:val="36"/>
                <w:szCs w:val="36"/>
              </w:rPr>
              <w:sym w:font="Wingdings" w:char="F081"/>
            </w:r>
          </w:p>
          <w:p w14:paraId="04582A5E" w14:textId="77777777" w:rsidR="00EF440A" w:rsidRPr="00641DE1" w:rsidRDefault="00EF440A" w:rsidP="00F470A8">
            <w:pPr>
              <w:widowControl w:val="0"/>
              <w:overflowPunct w:val="0"/>
              <w:autoSpaceDN/>
              <w:spacing w:line="340" w:lineRule="exact"/>
              <w:jc w:val="distribute"/>
              <w:textAlignment w:val="auto"/>
              <w:rPr>
                <w:rFonts w:ascii="標楷體" w:eastAsia="標楷體" w:hAnsi="標楷體"/>
                <w:b/>
                <w:kern w:val="2"/>
                <w:sz w:val="28"/>
                <w:szCs w:val="28"/>
              </w:rPr>
            </w:pPr>
            <w:r w:rsidRPr="00641DE1">
              <w:rPr>
                <w:rFonts w:ascii="標楷體" w:eastAsia="標楷體" w:hAnsi="標楷體" w:hint="eastAsia"/>
                <w:b/>
                <w:kern w:val="2"/>
                <w:sz w:val="28"/>
                <w:szCs w:val="28"/>
              </w:rPr>
              <w:t>＋</w:t>
            </w:r>
          </w:p>
          <w:p w14:paraId="455E0661" w14:textId="77777777" w:rsidR="00EF440A" w:rsidRPr="00641DE1" w:rsidRDefault="00EF440A" w:rsidP="00F470A8">
            <w:pPr>
              <w:widowControl w:val="0"/>
              <w:overflowPunct w:val="0"/>
              <w:autoSpaceDN/>
              <w:spacing w:line="340" w:lineRule="exact"/>
              <w:jc w:val="distribute"/>
              <w:textAlignment w:val="auto"/>
              <w:rPr>
                <w:rFonts w:ascii="標楷體" w:eastAsia="標楷體" w:hAnsi="標楷體"/>
                <w:b/>
                <w:kern w:val="2"/>
                <w:sz w:val="36"/>
                <w:szCs w:val="36"/>
              </w:rPr>
            </w:pPr>
            <w:r w:rsidRPr="00641DE1">
              <w:rPr>
                <w:rFonts w:ascii="標楷體" w:eastAsia="標楷體" w:hAnsi="標楷體" w:hint="eastAsia"/>
                <w:b/>
                <w:spacing w:val="-50"/>
                <w:kern w:val="2"/>
                <w:sz w:val="36"/>
                <w:szCs w:val="36"/>
              </w:rPr>
              <w:sym w:font="Wingdings" w:char="F082"/>
            </w:r>
          </w:p>
        </w:tc>
      </w:tr>
      <w:tr w:rsidR="00464A6F" w:rsidRPr="00464A6F" w14:paraId="08C45896" w14:textId="77777777" w:rsidTr="00F44EFE">
        <w:trPr>
          <w:trHeight w:val="624"/>
        </w:trPr>
        <w:tc>
          <w:tcPr>
            <w:tcW w:w="2943" w:type="dxa"/>
            <w:gridSpan w:val="2"/>
            <w:vMerge/>
            <w:tcBorders>
              <w:left w:val="single" w:sz="18" w:space="0" w:color="auto"/>
              <w:right w:val="single" w:sz="18" w:space="0" w:color="auto"/>
            </w:tcBorders>
          </w:tcPr>
          <w:p w14:paraId="605FD927" w14:textId="77777777" w:rsidR="00EF440A" w:rsidRPr="00510EC7" w:rsidRDefault="00EF440A" w:rsidP="00F470A8">
            <w:pPr>
              <w:widowControl w:val="0"/>
              <w:overflowPunct w:val="0"/>
              <w:autoSpaceDN/>
              <w:spacing w:line="240" w:lineRule="exact"/>
              <w:jc w:val="center"/>
              <w:textAlignment w:val="auto"/>
              <w:rPr>
                <w:rFonts w:ascii="標楷體" w:eastAsia="標楷體" w:hAnsi="標楷體"/>
                <w:b/>
                <w:kern w:val="2"/>
                <w:sz w:val="28"/>
                <w:szCs w:val="28"/>
              </w:rPr>
            </w:pPr>
          </w:p>
        </w:tc>
        <w:tc>
          <w:tcPr>
            <w:tcW w:w="4536" w:type="dxa"/>
            <w:gridSpan w:val="8"/>
            <w:tcBorders>
              <w:left w:val="single" w:sz="18" w:space="0" w:color="auto"/>
              <w:bottom w:val="single" w:sz="4" w:space="0" w:color="auto"/>
              <w:right w:val="dashed" w:sz="4" w:space="0" w:color="auto"/>
            </w:tcBorders>
            <w:shd w:val="clear" w:color="auto" w:fill="FFFF00"/>
            <w:vAlign w:val="center"/>
          </w:tcPr>
          <w:p w14:paraId="581A8788" w14:textId="77777777" w:rsidR="00EF440A" w:rsidRPr="00510EC7" w:rsidRDefault="00EF440A" w:rsidP="00F470A8">
            <w:pPr>
              <w:widowControl w:val="0"/>
              <w:overflowPunct w:val="0"/>
              <w:autoSpaceDN/>
              <w:spacing w:line="360" w:lineRule="exact"/>
              <w:jc w:val="center"/>
              <w:textAlignment w:val="auto"/>
              <w:rPr>
                <w:rFonts w:ascii="Times New Roman" w:eastAsia="標楷體" w:hAnsi="Times New Roman"/>
                <w:b/>
                <w:kern w:val="2"/>
                <w:sz w:val="28"/>
                <w:szCs w:val="28"/>
              </w:rPr>
            </w:pPr>
            <w:r w:rsidRPr="00510EC7">
              <w:rPr>
                <w:rFonts w:ascii="Times New Roman" w:eastAsia="標楷體" w:hAnsi="Times New Roman"/>
                <w:b/>
                <w:kern w:val="2"/>
                <w:sz w:val="28"/>
                <w:szCs w:val="28"/>
              </w:rPr>
              <w:t>院會通過</w:t>
            </w:r>
            <w:r w:rsidRPr="00510EC7">
              <w:rPr>
                <w:rFonts w:ascii="Times New Roman" w:eastAsia="標楷體" w:hAnsi="Times New Roman" w:hint="eastAsia"/>
                <w:b/>
                <w:kern w:val="2"/>
                <w:sz w:val="28"/>
                <w:szCs w:val="28"/>
              </w:rPr>
              <w:t xml:space="preserve"> </w:t>
            </w:r>
            <w:r w:rsidRPr="00510EC7">
              <w:rPr>
                <w:rFonts w:ascii="Times New Roman" w:eastAsia="標楷體" w:hAnsi="Times New Roman"/>
                <w:b/>
                <w:kern w:val="2"/>
                <w:sz w:val="28"/>
                <w:szCs w:val="28"/>
              </w:rPr>
              <w:t>Ａ</w:t>
            </w:r>
          </w:p>
        </w:tc>
        <w:tc>
          <w:tcPr>
            <w:tcW w:w="567" w:type="dxa"/>
            <w:vMerge w:val="restart"/>
            <w:tcBorders>
              <w:top w:val="single" w:sz="4" w:space="0" w:color="auto"/>
              <w:left w:val="dashed" w:sz="4" w:space="0" w:color="auto"/>
              <w:right w:val="dashed" w:sz="4" w:space="0" w:color="auto"/>
            </w:tcBorders>
            <w:shd w:val="clear" w:color="auto" w:fill="D6E3BC"/>
          </w:tcPr>
          <w:p w14:paraId="0CCE487F" w14:textId="77777777" w:rsidR="00EF440A" w:rsidRPr="00641DE1" w:rsidRDefault="00EF440A" w:rsidP="00F470A8">
            <w:pPr>
              <w:widowControl w:val="0"/>
              <w:overflowPunct w:val="0"/>
              <w:autoSpaceDN/>
              <w:spacing w:line="300" w:lineRule="exact"/>
              <w:jc w:val="center"/>
              <w:textAlignment w:val="auto"/>
              <w:rPr>
                <w:rFonts w:ascii="標楷體" w:eastAsia="標楷體" w:hAnsi="標楷體"/>
                <w:b/>
                <w:spacing w:val="-6"/>
                <w:kern w:val="2"/>
                <w:sz w:val="28"/>
                <w:szCs w:val="28"/>
              </w:rPr>
            </w:pPr>
            <w:r w:rsidRPr="00641DE1">
              <w:rPr>
                <w:rFonts w:ascii="標楷體" w:eastAsia="標楷體" w:hAnsi="標楷體" w:hint="eastAsia"/>
                <w:b/>
                <w:spacing w:val="-6"/>
                <w:kern w:val="2"/>
                <w:sz w:val="28"/>
                <w:szCs w:val="28"/>
              </w:rPr>
              <w:t>院會待審議部分</w:t>
            </w:r>
          </w:p>
          <w:p w14:paraId="60BFECAD" w14:textId="77777777" w:rsidR="00EF440A" w:rsidRPr="00641DE1" w:rsidRDefault="00EF440A" w:rsidP="00F470A8">
            <w:pPr>
              <w:widowControl w:val="0"/>
              <w:overflowPunct w:val="0"/>
              <w:autoSpaceDN/>
              <w:spacing w:line="300" w:lineRule="exact"/>
              <w:jc w:val="center"/>
              <w:textAlignment w:val="auto"/>
              <w:rPr>
                <w:rFonts w:ascii="標楷體" w:eastAsia="標楷體" w:hAnsi="標楷體"/>
                <w:b/>
                <w:spacing w:val="-6"/>
                <w:kern w:val="2"/>
                <w:sz w:val="28"/>
                <w:szCs w:val="28"/>
              </w:rPr>
            </w:pPr>
            <w:r w:rsidRPr="00641DE1">
              <w:rPr>
                <w:rFonts w:ascii="標楷體" w:eastAsia="標楷體" w:hAnsi="標楷體" w:hint="eastAsia"/>
                <w:b/>
                <w:spacing w:val="-6"/>
                <w:kern w:val="2"/>
                <w:sz w:val="28"/>
                <w:szCs w:val="28"/>
              </w:rPr>
              <w:t>B</w:t>
            </w:r>
          </w:p>
        </w:tc>
        <w:tc>
          <w:tcPr>
            <w:tcW w:w="709" w:type="dxa"/>
            <w:vMerge w:val="restart"/>
            <w:tcBorders>
              <w:left w:val="dashed" w:sz="4" w:space="0" w:color="auto"/>
              <w:right w:val="single" w:sz="18" w:space="0" w:color="auto"/>
            </w:tcBorders>
            <w:shd w:val="clear" w:color="auto" w:fill="FBD4B4"/>
          </w:tcPr>
          <w:p w14:paraId="3DE7A00F" w14:textId="77777777" w:rsidR="00EF440A" w:rsidRPr="00641DE1" w:rsidRDefault="00EF440A" w:rsidP="00F470A8">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641DE1">
              <w:rPr>
                <w:rFonts w:ascii="標楷體" w:eastAsia="標楷體" w:hAnsi="標楷體" w:hint="eastAsia"/>
                <w:b/>
                <w:kern w:val="2"/>
                <w:sz w:val="28"/>
                <w:szCs w:val="28"/>
              </w:rPr>
              <w:t>小計</w:t>
            </w:r>
          </w:p>
          <w:p w14:paraId="79F438E9" w14:textId="77777777" w:rsidR="00EF440A" w:rsidRPr="00641DE1" w:rsidRDefault="00EF440A" w:rsidP="00F470A8">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641DE1">
              <w:rPr>
                <w:rFonts w:ascii="標楷體" w:eastAsia="標楷體" w:hAnsi="標楷體"/>
                <w:b/>
                <w:kern w:val="2"/>
                <w:sz w:val="28"/>
                <w:szCs w:val="28"/>
              </w:rPr>
              <w:sym w:font="Wingdings" w:char="F081"/>
            </w:r>
          </w:p>
          <w:p w14:paraId="29383E34" w14:textId="77777777" w:rsidR="00EF440A" w:rsidRPr="00641DE1" w:rsidRDefault="00EF440A" w:rsidP="00F470A8">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641DE1">
              <w:rPr>
                <w:rFonts w:ascii="標楷體" w:eastAsia="標楷體" w:hAnsi="標楷體" w:hint="eastAsia"/>
                <w:b/>
                <w:kern w:val="2"/>
                <w:sz w:val="28"/>
                <w:szCs w:val="28"/>
              </w:rPr>
              <w:t>‖</w:t>
            </w:r>
          </w:p>
          <w:p w14:paraId="6DB71898" w14:textId="77777777" w:rsidR="00EF440A" w:rsidRPr="00641DE1" w:rsidRDefault="00EF440A" w:rsidP="00F470A8">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641DE1">
              <w:rPr>
                <w:rFonts w:ascii="標楷體" w:eastAsia="標楷體" w:hAnsi="標楷體" w:hint="eastAsia"/>
                <w:b/>
                <w:kern w:val="2"/>
                <w:sz w:val="28"/>
                <w:szCs w:val="28"/>
              </w:rPr>
              <w:t>Ａ</w:t>
            </w:r>
          </w:p>
          <w:p w14:paraId="243778E8" w14:textId="77777777" w:rsidR="00EF440A" w:rsidRPr="00641DE1" w:rsidRDefault="00EF440A" w:rsidP="00F470A8">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641DE1">
              <w:rPr>
                <w:rFonts w:ascii="標楷體" w:eastAsia="標楷體" w:hAnsi="標楷體" w:hint="eastAsia"/>
                <w:b/>
                <w:kern w:val="2"/>
                <w:sz w:val="28"/>
                <w:szCs w:val="28"/>
              </w:rPr>
              <w:t>＋</w:t>
            </w:r>
          </w:p>
          <w:p w14:paraId="7F260F27" w14:textId="77777777" w:rsidR="00EF440A" w:rsidRPr="00641DE1" w:rsidRDefault="00EF440A" w:rsidP="00F470A8">
            <w:pPr>
              <w:widowControl w:val="0"/>
              <w:overflowPunct w:val="0"/>
              <w:autoSpaceDN/>
              <w:spacing w:line="300" w:lineRule="exact"/>
              <w:ind w:leftChars="-3" w:left="-1" w:hangingChars="2" w:hanging="6"/>
              <w:jc w:val="center"/>
              <w:textAlignment w:val="auto"/>
              <w:rPr>
                <w:rFonts w:ascii="標楷體" w:eastAsia="標楷體" w:hAnsi="標楷體"/>
                <w:b/>
                <w:kern w:val="2"/>
                <w:sz w:val="28"/>
                <w:szCs w:val="28"/>
              </w:rPr>
            </w:pPr>
            <w:r w:rsidRPr="00641DE1">
              <w:rPr>
                <w:rFonts w:ascii="標楷體" w:eastAsia="標楷體" w:hAnsi="標楷體" w:hint="eastAsia"/>
                <w:b/>
                <w:kern w:val="2"/>
                <w:sz w:val="28"/>
                <w:szCs w:val="28"/>
              </w:rPr>
              <w:t>Ｂ</w:t>
            </w:r>
          </w:p>
        </w:tc>
        <w:tc>
          <w:tcPr>
            <w:tcW w:w="709" w:type="dxa"/>
            <w:vMerge/>
            <w:tcBorders>
              <w:left w:val="single" w:sz="18" w:space="0" w:color="auto"/>
              <w:right w:val="single" w:sz="18" w:space="0" w:color="auto"/>
            </w:tcBorders>
            <w:shd w:val="clear" w:color="auto" w:fill="FFCCFF"/>
          </w:tcPr>
          <w:p w14:paraId="7220582E" w14:textId="77777777" w:rsidR="00EF440A" w:rsidRPr="00641DE1" w:rsidRDefault="00EF440A" w:rsidP="00F470A8">
            <w:pPr>
              <w:widowControl w:val="0"/>
              <w:overflowPunct w:val="0"/>
              <w:autoSpaceDN/>
              <w:spacing w:line="260" w:lineRule="exact"/>
              <w:jc w:val="center"/>
              <w:textAlignment w:val="auto"/>
              <w:rPr>
                <w:rFonts w:ascii="標楷體" w:eastAsia="標楷體" w:hAnsi="標楷體"/>
                <w:kern w:val="2"/>
                <w:szCs w:val="24"/>
              </w:rPr>
            </w:pPr>
          </w:p>
        </w:tc>
        <w:tc>
          <w:tcPr>
            <w:tcW w:w="709" w:type="dxa"/>
            <w:vMerge/>
            <w:tcBorders>
              <w:left w:val="single" w:sz="4" w:space="0" w:color="auto"/>
              <w:right w:val="single" w:sz="18" w:space="0" w:color="auto"/>
            </w:tcBorders>
            <w:shd w:val="clear" w:color="auto" w:fill="DBE5F1"/>
          </w:tcPr>
          <w:p w14:paraId="5DE3D738" w14:textId="77777777" w:rsidR="00EF440A" w:rsidRPr="00641DE1" w:rsidRDefault="00EF440A" w:rsidP="00F470A8">
            <w:pPr>
              <w:widowControl w:val="0"/>
              <w:overflowPunct w:val="0"/>
              <w:autoSpaceDN/>
              <w:spacing w:line="260" w:lineRule="exact"/>
              <w:jc w:val="center"/>
              <w:textAlignment w:val="auto"/>
              <w:rPr>
                <w:rFonts w:ascii="標楷體" w:eastAsia="標楷體" w:hAnsi="標楷體"/>
                <w:kern w:val="2"/>
                <w:szCs w:val="24"/>
              </w:rPr>
            </w:pPr>
          </w:p>
        </w:tc>
      </w:tr>
      <w:tr w:rsidR="00464A6F" w:rsidRPr="00464A6F" w14:paraId="72414D19" w14:textId="77777777" w:rsidTr="00F44EFE">
        <w:trPr>
          <w:trHeight w:val="1988"/>
        </w:trPr>
        <w:tc>
          <w:tcPr>
            <w:tcW w:w="2943" w:type="dxa"/>
            <w:gridSpan w:val="2"/>
            <w:vMerge/>
            <w:tcBorders>
              <w:left w:val="single" w:sz="18" w:space="0" w:color="auto"/>
              <w:bottom w:val="single" w:sz="18" w:space="0" w:color="auto"/>
              <w:right w:val="single" w:sz="18" w:space="0" w:color="auto"/>
            </w:tcBorders>
          </w:tcPr>
          <w:p w14:paraId="6F8732C7" w14:textId="77777777" w:rsidR="00EF440A" w:rsidRPr="00510EC7" w:rsidRDefault="00EF440A" w:rsidP="00F470A8">
            <w:pPr>
              <w:widowControl w:val="0"/>
              <w:overflowPunct w:val="0"/>
              <w:autoSpaceDN/>
              <w:spacing w:line="240" w:lineRule="exact"/>
              <w:jc w:val="center"/>
              <w:textAlignment w:val="auto"/>
              <w:rPr>
                <w:rFonts w:ascii="標楷體" w:eastAsia="標楷體" w:hAnsi="標楷體"/>
                <w:b/>
                <w:kern w:val="2"/>
                <w:sz w:val="28"/>
                <w:szCs w:val="28"/>
              </w:rPr>
            </w:pPr>
          </w:p>
        </w:tc>
        <w:tc>
          <w:tcPr>
            <w:tcW w:w="567" w:type="dxa"/>
            <w:tcBorders>
              <w:left w:val="single" w:sz="18" w:space="0" w:color="auto"/>
              <w:bottom w:val="single" w:sz="18" w:space="0" w:color="auto"/>
              <w:right w:val="dashed" w:sz="4" w:space="0" w:color="auto"/>
            </w:tcBorders>
            <w:shd w:val="clear" w:color="auto" w:fill="FFFF00"/>
          </w:tcPr>
          <w:p w14:paraId="30B3F6A7" w14:textId="77777777" w:rsidR="00EF440A" w:rsidRPr="00510EC7"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510EC7">
              <w:rPr>
                <w:rFonts w:ascii="Times New Roman" w:eastAsia="標楷體" w:hAnsi="Times New Roman"/>
                <w:spacing w:val="-20"/>
                <w:kern w:val="2"/>
                <w:sz w:val="28"/>
                <w:szCs w:val="28"/>
              </w:rPr>
              <w:t>第</w:t>
            </w:r>
          </w:p>
          <w:p w14:paraId="030A2FFA" w14:textId="77777777" w:rsidR="00EF440A" w:rsidRPr="00510EC7"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510EC7">
              <w:rPr>
                <w:rFonts w:ascii="Times New Roman" w:eastAsia="標楷體" w:hAnsi="Times New Roman"/>
                <w:spacing w:val="-20"/>
                <w:kern w:val="2"/>
                <w:sz w:val="28"/>
                <w:szCs w:val="28"/>
              </w:rPr>
              <w:t>1</w:t>
            </w:r>
          </w:p>
          <w:p w14:paraId="38DF2BFD" w14:textId="77777777" w:rsidR="00EF440A" w:rsidRPr="00510EC7"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510EC7">
              <w:rPr>
                <w:rFonts w:ascii="Times New Roman" w:eastAsia="標楷體" w:hAnsi="Times New Roman"/>
                <w:spacing w:val="-20"/>
                <w:kern w:val="2"/>
                <w:sz w:val="28"/>
                <w:szCs w:val="28"/>
              </w:rPr>
              <w:t>會</w:t>
            </w:r>
          </w:p>
          <w:p w14:paraId="64A75C28" w14:textId="77777777" w:rsidR="00EF440A" w:rsidRPr="00510EC7"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510EC7">
              <w:rPr>
                <w:rFonts w:ascii="Times New Roman" w:eastAsia="標楷體" w:hAnsi="Times New Roman"/>
                <w:spacing w:val="-20"/>
                <w:kern w:val="2"/>
                <w:sz w:val="28"/>
                <w:szCs w:val="28"/>
              </w:rPr>
              <w:t>期</w:t>
            </w:r>
          </w:p>
        </w:tc>
        <w:tc>
          <w:tcPr>
            <w:tcW w:w="567" w:type="dxa"/>
            <w:tcBorders>
              <w:left w:val="dashed" w:sz="4" w:space="0" w:color="auto"/>
              <w:bottom w:val="single" w:sz="18" w:space="0" w:color="auto"/>
              <w:right w:val="dashed" w:sz="4" w:space="0" w:color="auto"/>
            </w:tcBorders>
            <w:shd w:val="clear" w:color="auto" w:fill="FFFF00"/>
          </w:tcPr>
          <w:p w14:paraId="038753CF"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第</w:t>
            </w:r>
          </w:p>
          <w:p w14:paraId="79A6E78A"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2</w:t>
            </w:r>
          </w:p>
          <w:p w14:paraId="130D93F1"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會</w:t>
            </w:r>
          </w:p>
          <w:p w14:paraId="0AF1534E"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期</w:t>
            </w:r>
          </w:p>
        </w:tc>
        <w:tc>
          <w:tcPr>
            <w:tcW w:w="567" w:type="dxa"/>
            <w:tcBorders>
              <w:left w:val="dashed" w:sz="4" w:space="0" w:color="auto"/>
              <w:bottom w:val="single" w:sz="18" w:space="0" w:color="auto"/>
              <w:right w:val="dashed" w:sz="4" w:space="0" w:color="auto"/>
            </w:tcBorders>
            <w:shd w:val="clear" w:color="auto" w:fill="FFFF00"/>
          </w:tcPr>
          <w:p w14:paraId="67158723"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第</w:t>
            </w:r>
          </w:p>
          <w:p w14:paraId="3FEE4592"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3</w:t>
            </w:r>
          </w:p>
          <w:p w14:paraId="32EFD58C"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會</w:t>
            </w:r>
          </w:p>
          <w:p w14:paraId="35E017BA" w14:textId="77777777" w:rsidR="00EF440A" w:rsidRPr="00641DE1" w:rsidRDefault="00EF440A" w:rsidP="00F470A8">
            <w:pPr>
              <w:widowControl w:val="0"/>
              <w:overflowPunct w:val="0"/>
              <w:autoSpaceDN/>
              <w:spacing w:line="460" w:lineRule="exact"/>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期</w:t>
            </w:r>
          </w:p>
        </w:tc>
        <w:tc>
          <w:tcPr>
            <w:tcW w:w="567" w:type="dxa"/>
            <w:tcBorders>
              <w:left w:val="dashed" w:sz="4" w:space="0" w:color="auto"/>
              <w:bottom w:val="single" w:sz="18" w:space="0" w:color="auto"/>
              <w:right w:val="dashed" w:sz="4" w:space="0" w:color="auto"/>
            </w:tcBorders>
            <w:shd w:val="clear" w:color="auto" w:fill="FFFF00"/>
          </w:tcPr>
          <w:p w14:paraId="70FB196D"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第</w:t>
            </w:r>
          </w:p>
          <w:p w14:paraId="6C0B6926"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4</w:t>
            </w:r>
          </w:p>
          <w:p w14:paraId="0CCDCF11"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會</w:t>
            </w:r>
          </w:p>
          <w:p w14:paraId="4E8D872E"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14:paraId="2687DEE8"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第</w:t>
            </w:r>
          </w:p>
          <w:p w14:paraId="457F3309"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5</w:t>
            </w:r>
          </w:p>
          <w:p w14:paraId="3BD5C86C"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會</w:t>
            </w:r>
          </w:p>
          <w:p w14:paraId="13769D25"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14:paraId="487759FA"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第</w:t>
            </w:r>
          </w:p>
          <w:p w14:paraId="25C394E1"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6</w:t>
            </w:r>
          </w:p>
          <w:p w14:paraId="5B333309"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會</w:t>
            </w:r>
          </w:p>
          <w:p w14:paraId="5639BC0E"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14:paraId="7FF0527A"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第</w:t>
            </w:r>
          </w:p>
          <w:p w14:paraId="41991A04"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7</w:t>
            </w:r>
          </w:p>
          <w:p w14:paraId="2987E37F"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會</w:t>
            </w:r>
          </w:p>
          <w:p w14:paraId="5D2F4305"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期</w:t>
            </w:r>
          </w:p>
        </w:tc>
        <w:tc>
          <w:tcPr>
            <w:tcW w:w="567" w:type="dxa"/>
            <w:tcBorders>
              <w:top w:val="single" w:sz="4" w:space="0" w:color="auto"/>
              <w:left w:val="dashed" w:sz="4" w:space="0" w:color="auto"/>
              <w:bottom w:val="single" w:sz="18" w:space="0" w:color="auto"/>
              <w:right w:val="dashed" w:sz="4" w:space="0" w:color="auto"/>
            </w:tcBorders>
            <w:shd w:val="clear" w:color="auto" w:fill="FFFF00"/>
          </w:tcPr>
          <w:p w14:paraId="792B0662"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第</w:t>
            </w:r>
          </w:p>
          <w:p w14:paraId="02A0C934"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8</w:t>
            </w:r>
          </w:p>
          <w:p w14:paraId="6D537D12"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會</w:t>
            </w:r>
          </w:p>
          <w:p w14:paraId="36F209B0" w14:textId="77777777" w:rsidR="00EF440A" w:rsidRPr="00641DE1" w:rsidRDefault="00EF440A" w:rsidP="00F470A8">
            <w:pPr>
              <w:widowControl w:val="0"/>
              <w:overflowPunct w:val="0"/>
              <w:autoSpaceDN/>
              <w:spacing w:line="460" w:lineRule="exact"/>
              <w:ind w:rightChars="-45" w:right="-108"/>
              <w:jc w:val="center"/>
              <w:textAlignment w:val="auto"/>
              <w:rPr>
                <w:rFonts w:ascii="Times New Roman" w:eastAsia="標楷體" w:hAnsi="Times New Roman"/>
                <w:spacing w:val="-20"/>
                <w:kern w:val="2"/>
                <w:sz w:val="28"/>
                <w:szCs w:val="28"/>
              </w:rPr>
            </w:pPr>
            <w:r w:rsidRPr="00641DE1">
              <w:rPr>
                <w:rFonts w:ascii="Times New Roman" w:eastAsia="標楷體" w:hAnsi="Times New Roman"/>
                <w:spacing w:val="-20"/>
                <w:kern w:val="2"/>
                <w:sz w:val="28"/>
                <w:szCs w:val="28"/>
              </w:rPr>
              <w:t>期</w:t>
            </w:r>
          </w:p>
        </w:tc>
        <w:tc>
          <w:tcPr>
            <w:tcW w:w="567" w:type="dxa"/>
            <w:vMerge/>
            <w:tcBorders>
              <w:left w:val="dashed" w:sz="4" w:space="0" w:color="auto"/>
              <w:bottom w:val="single" w:sz="18" w:space="0" w:color="auto"/>
              <w:right w:val="dashed" w:sz="4" w:space="0" w:color="auto"/>
            </w:tcBorders>
            <w:shd w:val="clear" w:color="auto" w:fill="D6E3BC"/>
          </w:tcPr>
          <w:p w14:paraId="7E6A6FF0" w14:textId="77777777" w:rsidR="00EF440A" w:rsidRPr="00464A6F" w:rsidRDefault="00EF440A" w:rsidP="00F470A8">
            <w:pPr>
              <w:widowControl w:val="0"/>
              <w:overflowPunct w:val="0"/>
              <w:autoSpaceDN/>
              <w:spacing w:line="300" w:lineRule="exact"/>
              <w:ind w:rightChars="-45" w:right="-108"/>
              <w:textAlignment w:val="auto"/>
              <w:rPr>
                <w:rFonts w:ascii="標楷體" w:eastAsia="標楷體" w:hAnsi="標楷體"/>
                <w:b/>
                <w:color w:val="FF0000"/>
                <w:spacing w:val="-20"/>
                <w:kern w:val="2"/>
                <w:szCs w:val="24"/>
              </w:rPr>
            </w:pPr>
          </w:p>
        </w:tc>
        <w:tc>
          <w:tcPr>
            <w:tcW w:w="709" w:type="dxa"/>
            <w:vMerge/>
            <w:tcBorders>
              <w:left w:val="dashed" w:sz="4" w:space="0" w:color="auto"/>
              <w:bottom w:val="single" w:sz="18" w:space="0" w:color="auto"/>
              <w:right w:val="single" w:sz="18" w:space="0" w:color="auto"/>
            </w:tcBorders>
            <w:shd w:val="clear" w:color="auto" w:fill="FBD4B4"/>
          </w:tcPr>
          <w:p w14:paraId="54554392" w14:textId="77777777" w:rsidR="00EF440A" w:rsidRPr="00464A6F" w:rsidRDefault="00EF440A" w:rsidP="00F470A8">
            <w:pPr>
              <w:widowControl w:val="0"/>
              <w:overflowPunct w:val="0"/>
              <w:autoSpaceDN/>
              <w:spacing w:line="240" w:lineRule="exact"/>
              <w:jc w:val="center"/>
              <w:textAlignment w:val="auto"/>
              <w:rPr>
                <w:rFonts w:ascii="標楷體" w:eastAsia="標楷體" w:hAnsi="標楷體"/>
                <w:b/>
                <w:color w:val="FF0000"/>
                <w:kern w:val="2"/>
                <w:sz w:val="20"/>
                <w:szCs w:val="20"/>
              </w:rPr>
            </w:pPr>
          </w:p>
        </w:tc>
        <w:tc>
          <w:tcPr>
            <w:tcW w:w="709" w:type="dxa"/>
            <w:vMerge/>
            <w:tcBorders>
              <w:left w:val="single" w:sz="18" w:space="0" w:color="auto"/>
              <w:bottom w:val="single" w:sz="18" w:space="0" w:color="auto"/>
              <w:right w:val="single" w:sz="18" w:space="0" w:color="auto"/>
            </w:tcBorders>
            <w:shd w:val="clear" w:color="auto" w:fill="FFCCFF"/>
          </w:tcPr>
          <w:p w14:paraId="660E1BC4" w14:textId="77777777" w:rsidR="00EF440A" w:rsidRPr="00464A6F" w:rsidRDefault="00EF440A" w:rsidP="00F470A8">
            <w:pPr>
              <w:widowControl w:val="0"/>
              <w:overflowPunct w:val="0"/>
              <w:autoSpaceDN/>
              <w:spacing w:line="260" w:lineRule="exact"/>
              <w:jc w:val="center"/>
              <w:textAlignment w:val="auto"/>
              <w:rPr>
                <w:rFonts w:ascii="標楷體" w:eastAsia="標楷體" w:hAnsi="標楷體"/>
                <w:color w:val="FF0000"/>
                <w:kern w:val="2"/>
                <w:szCs w:val="24"/>
              </w:rPr>
            </w:pPr>
          </w:p>
        </w:tc>
        <w:tc>
          <w:tcPr>
            <w:tcW w:w="709" w:type="dxa"/>
            <w:vMerge/>
            <w:tcBorders>
              <w:left w:val="single" w:sz="4" w:space="0" w:color="auto"/>
              <w:bottom w:val="single" w:sz="18" w:space="0" w:color="auto"/>
              <w:right w:val="single" w:sz="18" w:space="0" w:color="auto"/>
            </w:tcBorders>
            <w:shd w:val="clear" w:color="auto" w:fill="DBE5F1"/>
          </w:tcPr>
          <w:p w14:paraId="464C2557" w14:textId="77777777" w:rsidR="00EF440A" w:rsidRPr="00464A6F" w:rsidRDefault="00EF440A" w:rsidP="00F470A8">
            <w:pPr>
              <w:widowControl w:val="0"/>
              <w:overflowPunct w:val="0"/>
              <w:autoSpaceDN/>
              <w:spacing w:line="260" w:lineRule="exact"/>
              <w:jc w:val="center"/>
              <w:textAlignment w:val="auto"/>
              <w:rPr>
                <w:rFonts w:ascii="標楷體" w:eastAsia="標楷體" w:hAnsi="標楷體"/>
                <w:color w:val="FF0000"/>
                <w:kern w:val="2"/>
                <w:szCs w:val="24"/>
              </w:rPr>
            </w:pPr>
          </w:p>
        </w:tc>
      </w:tr>
      <w:tr w:rsidR="00464A6F" w:rsidRPr="00464A6F" w14:paraId="47377979" w14:textId="77777777" w:rsidTr="00F44EFE">
        <w:trPr>
          <w:trHeight w:val="689"/>
        </w:trPr>
        <w:tc>
          <w:tcPr>
            <w:tcW w:w="567" w:type="dxa"/>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4E37B7C2"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院</w:t>
            </w:r>
          </w:p>
          <w:p w14:paraId="4A917B19"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會</w:t>
            </w:r>
          </w:p>
          <w:p w14:paraId="4A2C3DF5"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交</w:t>
            </w:r>
          </w:p>
          <w:p w14:paraId="1E51AB9C"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付</w:t>
            </w:r>
          </w:p>
          <w:p w14:paraId="3E313DB7"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審</w:t>
            </w:r>
          </w:p>
          <w:p w14:paraId="0219583F"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查</w:t>
            </w:r>
          </w:p>
          <w:p w14:paraId="215B164C"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及</w:t>
            </w:r>
          </w:p>
          <w:p w14:paraId="3E7317EF"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處</w:t>
            </w:r>
          </w:p>
          <w:p w14:paraId="606A10C0" w14:textId="77777777" w:rsidR="00EF440A" w:rsidRPr="00510EC7" w:rsidRDefault="00EF440A" w:rsidP="00F470A8">
            <w:pPr>
              <w:widowControl w:val="0"/>
              <w:overflowPunct w:val="0"/>
              <w:autoSpaceDN/>
              <w:spacing w:line="360" w:lineRule="exact"/>
              <w:jc w:val="center"/>
              <w:textAlignment w:val="auto"/>
              <w:rPr>
                <w:rFonts w:ascii="標楷體" w:eastAsia="標楷體" w:hAnsi="標楷體" w:cs="Mangal"/>
                <w:b/>
                <w:bCs/>
                <w:spacing w:val="-20"/>
                <w:kern w:val="2"/>
                <w:sz w:val="28"/>
                <w:szCs w:val="28"/>
              </w:rPr>
            </w:pPr>
            <w:r w:rsidRPr="00510EC7">
              <w:rPr>
                <w:rFonts w:ascii="標楷體" w:eastAsia="標楷體" w:hAnsi="標楷體" w:cs="Mangal" w:hint="eastAsia"/>
                <w:b/>
                <w:bCs/>
                <w:spacing w:val="-20"/>
                <w:kern w:val="2"/>
                <w:sz w:val="28"/>
                <w:szCs w:val="28"/>
              </w:rPr>
              <w:t>理</w:t>
            </w:r>
          </w:p>
        </w:tc>
        <w:tc>
          <w:tcPr>
            <w:tcW w:w="2376" w:type="dxa"/>
            <w:tcBorders>
              <w:top w:val="single" w:sz="18" w:space="0" w:color="auto"/>
              <w:left w:val="single" w:sz="4" w:space="0" w:color="auto"/>
              <w:right w:val="single" w:sz="18" w:space="0" w:color="auto"/>
            </w:tcBorders>
            <w:shd w:val="clear" w:color="auto" w:fill="FFFFFF"/>
            <w:vAlign w:val="center"/>
          </w:tcPr>
          <w:p w14:paraId="6011894A" w14:textId="77777777" w:rsidR="00EF440A" w:rsidRPr="00510EC7"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510EC7">
              <w:rPr>
                <w:rFonts w:ascii="標楷體" w:eastAsia="標楷體" w:hAnsi="標楷體" w:hint="eastAsia"/>
                <w:bCs/>
                <w:szCs w:val="24"/>
              </w:rPr>
              <w:t>(一)法律案</w:t>
            </w:r>
          </w:p>
        </w:tc>
        <w:tc>
          <w:tcPr>
            <w:tcW w:w="567" w:type="dxa"/>
            <w:tcBorders>
              <w:top w:val="single" w:sz="18" w:space="0" w:color="auto"/>
              <w:left w:val="single" w:sz="18" w:space="0" w:color="auto"/>
              <w:right w:val="dashed" w:sz="4" w:space="0" w:color="auto"/>
            </w:tcBorders>
            <w:shd w:val="clear" w:color="auto" w:fill="F2F2F2"/>
            <w:vAlign w:val="center"/>
          </w:tcPr>
          <w:p w14:paraId="1BCCB92C" w14:textId="77777777" w:rsidR="00EF440A" w:rsidRPr="00510EC7" w:rsidRDefault="003811A5" w:rsidP="00F470A8">
            <w:pPr>
              <w:widowControl w:val="0"/>
              <w:overflowPunct w:val="0"/>
              <w:autoSpaceDN/>
              <w:jc w:val="center"/>
              <w:textAlignment w:val="auto"/>
              <w:rPr>
                <w:rFonts w:ascii="標楷體" w:eastAsia="標楷體" w:hAnsi="標楷體" w:cs="新細明體"/>
                <w:spacing w:val="-20"/>
                <w:kern w:val="2"/>
                <w:szCs w:val="24"/>
              </w:rPr>
            </w:pPr>
            <w:r w:rsidRPr="00510EC7">
              <w:rPr>
                <w:rFonts w:ascii="標楷體" w:eastAsia="標楷體" w:hAnsi="標楷體" w:cs="新細明體" w:hint="eastAsia"/>
                <w:spacing w:val="-20"/>
                <w:kern w:val="2"/>
                <w:szCs w:val="24"/>
              </w:rPr>
              <w:t>8</w:t>
            </w:r>
          </w:p>
        </w:tc>
        <w:tc>
          <w:tcPr>
            <w:tcW w:w="567" w:type="dxa"/>
            <w:tcBorders>
              <w:top w:val="single" w:sz="18" w:space="0" w:color="auto"/>
              <w:left w:val="dashed" w:sz="4" w:space="0" w:color="auto"/>
              <w:right w:val="dashed" w:sz="4" w:space="0" w:color="auto"/>
            </w:tcBorders>
            <w:shd w:val="clear" w:color="auto" w:fill="F2F2F2"/>
            <w:vAlign w:val="center"/>
          </w:tcPr>
          <w:p w14:paraId="17E885EF" w14:textId="18987060" w:rsidR="00EF440A" w:rsidRPr="00383C53" w:rsidRDefault="00641DE1" w:rsidP="00F470A8">
            <w:pPr>
              <w:widowControl w:val="0"/>
              <w:overflowPunct w:val="0"/>
              <w:autoSpaceDN/>
              <w:jc w:val="center"/>
              <w:textAlignment w:val="auto"/>
              <w:rPr>
                <w:rFonts w:ascii="標楷體" w:eastAsia="標楷體" w:hAnsi="標楷體" w:cs="新細明體"/>
                <w:spacing w:val="-20"/>
                <w:kern w:val="2"/>
                <w:szCs w:val="24"/>
              </w:rPr>
            </w:pPr>
            <w:r w:rsidRPr="00383C53">
              <w:rPr>
                <w:rFonts w:ascii="標楷體" w:eastAsia="標楷體" w:hAnsi="標楷體" w:cs="新細明體" w:hint="eastAsia"/>
                <w:spacing w:val="-20"/>
                <w:kern w:val="2"/>
                <w:szCs w:val="24"/>
              </w:rPr>
              <w:t>55</w:t>
            </w:r>
          </w:p>
        </w:tc>
        <w:tc>
          <w:tcPr>
            <w:tcW w:w="567" w:type="dxa"/>
            <w:tcBorders>
              <w:top w:val="single" w:sz="18" w:space="0" w:color="auto"/>
              <w:left w:val="dashed" w:sz="4" w:space="0" w:color="auto"/>
              <w:right w:val="dashed" w:sz="4" w:space="0" w:color="auto"/>
            </w:tcBorders>
            <w:shd w:val="clear" w:color="auto" w:fill="F2F2F2"/>
            <w:vAlign w:val="center"/>
          </w:tcPr>
          <w:p w14:paraId="4E66D719"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right w:val="dashed" w:sz="4" w:space="0" w:color="auto"/>
            </w:tcBorders>
            <w:shd w:val="clear" w:color="auto" w:fill="F2F2F2"/>
            <w:vAlign w:val="center"/>
          </w:tcPr>
          <w:p w14:paraId="5A56B98A"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14:paraId="4C18CCB5"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14:paraId="6E7212F8"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14:paraId="294E9E6B"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single" w:sz="4" w:space="0" w:color="auto"/>
              <w:right w:val="dashed" w:sz="4" w:space="0" w:color="auto"/>
            </w:tcBorders>
            <w:shd w:val="clear" w:color="auto" w:fill="F2F2F2"/>
            <w:vAlign w:val="center"/>
          </w:tcPr>
          <w:p w14:paraId="48203F1E"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top w:val="single" w:sz="18" w:space="0" w:color="auto"/>
              <w:left w:val="dashed" w:sz="4" w:space="0" w:color="auto"/>
              <w:bottom w:val="single" w:sz="4" w:space="0" w:color="auto"/>
              <w:right w:val="single" w:sz="4" w:space="0" w:color="auto"/>
            </w:tcBorders>
            <w:shd w:val="clear" w:color="auto" w:fill="D6E3BC"/>
            <w:vAlign w:val="center"/>
          </w:tcPr>
          <w:p w14:paraId="18225058" w14:textId="511AF46A" w:rsidR="00EF440A" w:rsidRPr="00641DE1" w:rsidRDefault="006F041E" w:rsidP="00F470A8">
            <w:pPr>
              <w:widowControl w:val="0"/>
              <w:overflowPunct w:val="0"/>
              <w:autoSpaceDN/>
              <w:jc w:val="center"/>
              <w:textAlignment w:val="auto"/>
              <w:rPr>
                <w:rFonts w:ascii="標楷體" w:eastAsia="標楷體" w:hAnsi="標楷體" w:cs="新細明體"/>
                <w:spacing w:val="-20"/>
                <w:kern w:val="2"/>
                <w:szCs w:val="24"/>
              </w:rPr>
            </w:pPr>
            <w:r w:rsidRPr="00641DE1">
              <w:rPr>
                <w:rFonts w:ascii="標楷體" w:eastAsia="標楷體" w:hAnsi="標楷體" w:cs="新細明體" w:hint="eastAsia"/>
                <w:spacing w:val="-20"/>
                <w:kern w:val="2"/>
                <w:szCs w:val="24"/>
              </w:rPr>
              <w:t>1</w:t>
            </w:r>
            <w:r w:rsidR="0003251B" w:rsidRPr="00641DE1">
              <w:rPr>
                <w:rFonts w:ascii="標楷體" w:eastAsia="標楷體" w:hAnsi="標楷體" w:cs="新細明體" w:hint="eastAsia"/>
                <w:spacing w:val="-20"/>
                <w:kern w:val="2"/>
                <w:szCs w:val="24"/>
              </w:rPr>
              <w:t>3</w:t>
            </w:r>
          </w:p>
        </w:tc>
        <w:tc>
          <w:tcPr>
            <w:tcW w:w="709" w:type="dxa"/>
            <w:tcBorders>
              <w:top w:val="single" w:sz="18" w:space="0" w:color="auto"/>
              <w:left w:val="single" w:sz="4" w:space="0" w:color="auto"/>
              <w:right w:val="single" w:sz="18" w:space="0" w:color="auto"/>
            </w:tcBorders>
            <w:shd w:val="clear" w:color="auto" w:fill="FBD4B4"/>
            <w:vAlign w:val="center"/>
          </w:tcPr>
          <w:p w14:paraId="77710FC4" w14:textId="5257A731" w:rsidR="00EF440A" w:rsidRPr="00464A6F" w:rsidRDefault="00C707DF" w:rsidP="00F470A8">
            <w:pPr>
              <w:widowControl w:val="0"/>
              <w:overflowPunct w:val="0"/>
              <w:autoSpaceDN/>
              <w:jc w:val="center"/>
              <w:textAlignment w:val="auto"/>
              <w:rPr>
                <w:rFonts w:ascii="標楷體" w:eastAsia="標楷體" w:hAnsi="標楷體" w:cs="新細明體"/>
                <w:color w:val="FF0000"/>
                <w:kern w:val="2"/>
                <w:szCs w:val="24"/>
              </w:rPr>
            </w:pPr>
            <w:r w:rsidRPr="00C707DF">
              <w:rPr>
                <w:rFonts w:ascii="標楷體" w:eastAsia="標楷體" w:hAnsi="標楷體" w:cs="新細明體" w:hint="eastAsia"/>
                <w:kern w:val="2"/>
                <w:szCs w:val="24"/>
              </w:rPr>
              <w:t>76</w:t>
            </w:r>
          </w:p>
        </w:tc>
        <w:tc>
          <w:tcPr>
            <w:tcW w:w="709" w:type="dxa"/>
            <w:tcBorders>
              <w:top w:val="single" w:sz="18" w:space="0" w:color="auto"/>
              <w:left w:val="single" w:sz="18" w:space="0" w:color="auto"/>
              <w:right w:val="single" w:sz="18" w:space="0" w:color="auto"/>
            </w:tcBorders>
            <w:shd w:val="clear" w:color="auto" w:fill="FFCCFF"/>
            <w:vAlign w:val="center"/>
          </w:tcPr>
          <w:p w14:paraId="4776BD33" w14:textId="7B77EDA0" w:rsidR="00EF440A" w:rsidRPr="0003251B" w:rsidRDefault="0003251B" w:rsidP="00F470A8">
            <w:pPr>
              <w:widowControl w:val="0"/>
              <w:overflowPunct w:val="0"/>
              <w:autoSpaceDN/>
              <w:jc w:val="center"/>
              <w:textAlignment w:val="auto"/>
              <w:rPr>
                <w:rFonts w:ascii="標楷體" w:eastAsia="標楷體" w:hAnsi="標楷體" w:cs="新細明體"/>
                <w:kern w:val="2"/>
                <w:szCs w:val="24"/>
              </w:rPr>
            </w:pPr>
            <w:r w:rsidRPr="0003251B">
              <w:rPr>
                <w:rFonts w:ascii="標楷體" w:eastAsia="標楷體" w:hAnsi="標楷體" w:cs="新細明體" w:hint="eastAsia"/>
                <w:kern w:val="2"/>
                <w:szCs w:val="24"/>
              </w:rPr>
              <w:t>203</w:t>
            </w:r>
          </w:p>
        </w:tc>
        <w:tc>
          <w:tcPr>
            <w:tcW w:w="709" w:type="dxa"/>
            <w:tcBorders>
              <w:top w:val="single" w:sz="18" w:space="0" w:color="auto"/>
              <w:left w:val="single" w:sz="4" w:space="0" w:color="auto"/>
              <w:right w:val="single" w:sz="18" w:space="0" w:color="auto"/>
            </w:tcBorders>
            <w:shd w:val="clear" w:color="auto" w:fill="DBE5F1"/>
            <w:vAlign w:val="center"/>
          </w:tcPr>
          <w:p w14:paraId="3145360E" w14:textId="3F9F4818" w:rsidR="00EF440A" w:rsidRPr="00C707DF" w:rsidRDefault="00C707DF" w:rsidP="00F470A8">
            <w:pPr>
              <w:widowControl w:val="0"/>
              <w:overflowPunct w:val="0"/>
              <w:autoSpaceDN/>
              <w:jc w:val="center"/>
              <w:textAlignment w:val="auto"/>
              <w:rPr>
                <w:rFonts w:ascii="標楷體" w:eastAsia="標楷體" w:hAnsi="標楷體" w:cs="新細明體"/>
                <w:b/>
                <w:bCs/>
                <w:kern w:val="2"/>
                <w:szCs w:val="24"/>
              </w:rPr>
            </w:pPr>
            <w:r w:rsidRPr="00C707DF">
              <w:rPr>
                <w:rFonts w:ascii="標楷體" w:eastAsia="標楷體" w:hAnsi="標楷體" w:cs="新細明體" w:hint="eastAsia"/>
                <w:b/>
                <w:bCs/>
                <w:kern w:val="2"/>
                <w:szCs w:val="24"/>
              </w:rPr>
              <w:t>279</w:t>
            </w:r>
          </w:p>
        </w:tc>
      </w:tr>
      <w:tr w:rsidR="00464A6F" w:rsidRPr="00464A6F" w14:paraId="72FCC330" w14:textId="77777777" w:rsidTr="00F44EFE">
        <w:trPr>
          <w:trHeight w:val="510"/>
        </w:trPr>
        <w:tc>
          <w:tcPr>
            <w:tcW w:w="567" w:type="dxa"/>
            <w:vMerge/>
            <w:tcBorders>
              <w:left w:val="single" w:sz="18" w:space="0" w:color="auto"/>
              <w:bottom w:val="single" w:sz="18" w:space="0" w:color="auto"/>
              <w:right w:val="single" w:sz="4" w:space="0" w:color="auto"/>
            </w:tcBorders>
            <w:shd w:val="clear" w:color="auto" w:fill="FFFFFF"/>
          </w:tcPr>
          <w:p w14:paraId="363BEE40" w14:textId="77777777" w:rsidR="00EF440A" w:rsidRPr="00464A6F" w:rsidRDefault="00EF440A" w:rsidP="00F470A8">
            <w:pPr>
              <w:widowControl w:val="0"/>
              <w:overflowPunct w:val="0"/>
              <w:autoSpaceDN/>
              <w:spacing w:line="360" w:lineRule="exact"/>
              <w:ind w:leftChars="-55" w:left="11" w:hangingChars="55" w:hanging="143"/>
              <w:jc w:val="both"/>
              <w:textAlignment w:val="auto"/>
              <w:rPr>
                <w:rFonts w:ascii="標楷體" w:eastAsia="標楷體" w:hAnsi="標楷體" w:cs="Mangal"/>
                <w:bCs/>
                <w:color w:val="FF0000"/>
                <w:spacing w:val="-20"/>
                <w:kern w:val="2"/>
                <w:sz w:val="28"/>
                <w:szCs w:val="28"/>
              </w:rPr>
            </w:pPr>
          </w:p>
        </w:tc>
        <w:tc>
          <w:tcPr>
            <w:tcW w:w="2376" w:type="dxa"/>
            <w:tcBorders>
              <w:left w:val="single" w:sz="4" w:space="0" w:color="auto"/>
              <w:right w:val="single" w:sz="18" w:space="0" w:color="auto"/>
            </w:tcBorders>
            <w:shd w:val="clear" w:color="auto" w:fill="FFFFFF"/>
            <w:vAlign w:val="center"/>
          </w:tcPr>
          <w:p w14:paraId="342FD82E" w14:textId="77777777" w:rsidR="00EF440A" w:rsidRPr="00510EC7"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510EC7">
              <w:rPr>
                <w:rFonts w:ascii="標楷體" w:eastAsia="標楷體" w:hAnsi="標楷體" w:hint="eastAsia"/>
                <w:bCs/>
                <w:szCs w:val="24"/>
              </w:rPr>
              <w:t>(二)預算案</w:t>
            </w:r>
          </w:p>
          <w:p w14:paraId="2A8528C4" w14:textId="77777777" w:rsidR="00EF440A" w:rsidRPr="00510EC7" w:rsidRDefault="00EF440A" w:rsidP="00F470A8">
            <w:pPr>
              <w:widowControl w:val="0"/>
              <w:tabs>
                <w:tab w:val="left" w:pos="426"/>
              </w:tabs>
              <w:overflowPunct w:val="0"/>
              <w:spacing w:line="340" w:lineRule="exact"/>
              <w:ind w:left="46" w:hangingChars="19" w:hanging="46"/>
              <w:jc w:val="both"/>
              <w:rPr>
                <w:rFonts w:ascii="標楷體" w:eastAsia="標楷體" w:hAnsi="標楷體"/>
                <w:bCs/>
                <w:szCs w:val="24"/>
              </w:rPr>
            </w:pPr>
            <w:r w:rsidRPr="00510EC7">
              <w:rPr>
                <w:rFonts w:ascii="標楷體" w:eastAsia="標楷體" w:hAnsi="標楷體" w:hint="eastAsia"/>
                <w:bCs/>
                <w:szCs w:val="24"/>
              </w:rPr>
              <w:t xml:space="preserve">    (含預算解凍案)</w:t>
            </w:r>
          </w:p>
        </w:tc>
        <w:tc>
          <w:tcPr>
            <w:tcW w:w="567" w:type="dxa"/>
            <w:tcBorders>
              <w:left w:val="single" w:sz="18" w:space="0" w:color="auto"/>
              <w:bottom w:val="single" w:sz="4" w:space="0" w:color="auto"/>
              <w:right w:val="dashed" w:sz="4" w:space="0" w:color="auto"/>
            </w:tcBorders>
            <w:shd w:val="clear" w:color="auto" w:fill="F2F2F2"/>
            <w:vAlign w:val="center"/>
          </w:tcPr>
          <w:p w14:paraId="5179A8B1" w14:textId="77777777" w:rsidR="00EF440A" w:rsidRPr="00510EC7" w:rsidRDefault="006F041E" w:rsidP="00F470A8">
            <w:pPr>
              <w:widowControl w:val="0"/>
              <w:overflowPunct w:val="0"/>
              <w:autoSpaceDN/>
              <w:jc w:val="center"/>
              <w:textAlignment w:val="auto"/>
              <w:rPr>
                <w:rFonts w:ascii="標楷體" w:eastAsia="標楷體" w:hAnsi="標楷體" w:cs="新細明體"/>
                <w:spacing w:val="-20"/>
                <w:kern w:val="2"/>
                <w:szCs w:val="24"/>
              </w:rPr>
            </w:pPr>
            <w:r w:rsidRPr="00510EC7">
              <w:rPr>
                <w:rFonts w:ascii="標楷體" w:eastAsia="標楷體" w:hAnsi="標楷體" w:cs="新細明體" w:hint="eastAsia"/>
                <w:spacing w:val="-20"/>
                <w:kern w:val="2"/>
                <w:szCs w:val="24"/>
              </w:rPr>
              <w:t>128</w:t>
            </w:r>
          </w:p>
        </w:tc>
        <w:tc>
          <w:tcPr>
            <w:tcW w:w="567" w:type="dxa"/>
            <w:tcBorders>
              <w:left w:val="dashed" w:sz="4" w:space="0" w:color="auto"/>
              <w:bottom w:val="single" w:sz="4" w:space="0" w:color="auto"/>
              <w:right w:val="dashed" w:sz="4" w:space="0" w:color="auto"/>
            </w:tcBorders>
            <w:shd w:val="clear" w:color="auto" w:fill="F2F2F2"/>
            <w:vAlign w:val="center"/>
          </w:tcPr>
          <w:p w14:paraId="43495EB3" w14:textId="4D362475" w:rsidR="00EF440A" w:rsidRPr="00383C53" w:rsidRDefault="00641DE1" w:rsidP="00F470A8">
            <w:pPr>
              <w:widowControl w:val="0"/>
              <w:overflowPunct w:val="0"/>
              <w:autoSpaceDN/>
              <w:jc w:val="center"/>
              <w:textAlignment w:val="auto"/>
              <w:rPr>
                <w:rFonts w:ascii="標楷體" w:eastAsia="標楷體" w:hAnsi="標楷體" w:cs="新細明體"/>
                <w:spacing w:val="-20"/>
                <w:kern w:val="2"/>
                <w:szCs w:val="24"/>
              </w:rPr>
            </w:pPr>
            <w:r w:rsidRPr="00383C53">
              <w:rPr>
                <w:rFonts w:ascii="標楷體" w:eastAsia="標楷體" w:hAnsi="標楷體" w:cs="新細明體" w:hint="eastAsia"/>
                <w:spacing w:val="-20"/>
                <w:kern w:val="2"/>
                <w:szCs w:val="24"/>
              </w:rPr>
              <w:t>1</w:t>
            </w:r>
            <w:r w:rsidR="002C7AEA">
              <w:rPr>
                <w:rFonts w:ascii="標楷體" w:eastAsia="標楷體" w:hAnsi="標楷體" w:cs="新細明體" w:hint="eastAsia"/>
                <w:spacing w:val="-20"/>
                <w:kern w:val="2"/>
                <w:szCs w:val="24"/>
              </w:rPr>
              <w:t>4</w:t>
            </w:r>
          </w:p>
        </w:tc>
        <w:tc>
          <w:tcPr>
            <w:tcW w:w="567" w:type="dxa"/>
            <w:tcBorders>
              <w:left w:val="dashed" w:sz="4" w:space="0" w:color="auto"/>
              <w:bottom w:val="single" w:sz="4" w:space="0" w:color="auto"/>
              <w:right w:val="dashed" w:sz="4" w:space="0" w:color="auto"/>
            </w:tcBorders>
            <w:shd w:val="clear" w:color="auto" w:fill="F2F2F2"/>
            <w:vAlign w:val="center"/>
          </w:tcPr>
          <w:p w14:paraId="70C2CF0B"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7C8DC6EA"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6614EAD4"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4B81AF8A"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493829E2"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0AAB9A66"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4" w:space="0" w:color="auto"/>
              <w:right w:val="single" w:sz="4" w:space="0" w:color="auto"/>
            </w:tcBorders>
            <w:shd w:val="clear" w:color="auto" w:fill="D6E3BC"/>
            <w:vAlign w:val="center"/>
          </w:tcPr>
          <w:p w14:paraId="744EDF9E" w14:textId="3013205E" w:rsidR="00EF440A" w:rsidRPr="00641DE1" w:rsidRDefault="00BD08C2" w:rsidP="00F470A8">
            <w:pPr>
              <w:widowControl w:val="0"/>
              <w:overflowPunct w:val="0"/>
              <w:autoSpaceDN/>
              <w:jc w:val="center"/>
              <w:textAlignment w:val="auto"/>
              <w:rPr>
                <w:rFonts w:ascii="標楷體" w:eastAsia="標楷體" w:hAnsi="標楷體" w:cs="新細明體"/>
                <w:spacing w:val="-20"/>
                <w:kern w:val="2"/>
                <w:szCs w:val="24"/>
              </w:rPr>
            </w:pPr>
            <w:r>
              <w:rPr>
                <w:rFonts w:ascii="標楷體" w:eastAsia="標楷體" w:hAnsi="標楷體" w:cs="新細明體" w:hint="eastAsia"/>
                <w:spacing w:val="-20"/>
                <w:kern w:val="2"/>
                <w:szCs w:val="24"/>
              </w:rPr>
              <w:t>10</w:t>
            </w:r>
          </w:p>
        </w:tc>
        <w:tc>
          <w:tcPr>
            <w:tcW w:w="709" w:type="dxa"/>
            <w:tcBorders>
              <w:left w:val="single" w:sz="4" w:space="0" w:color="auto"/>
              <w:bottom w:val="single" w:sz="4" w:space="0" w:color="auto"/>
              <w:right w:val="single" w:sz="18" w:space="0" w:color="auto"/>
            </w:tcBorders>
            <w:shd w:val="clear" w:color="auto" w:fill="FBD4B4"/>
            <w:vAlign w:val="center"/>
          </w:tcPr>
          <w:p w14:paraId="10E5A2D1" w14:textId="19F9FC86" w:rsidR="00EF440A" w:rsidRPr="00C707DF" w:rsidRDefault="006F041E" w:rsidP="00F470A8">
            <w:pPr>
              <w:widowControl w:val="0"/>
              <w:overflowPunct w:val="0"/>
              <w:autoSpaceDN/>
              <w:jc w:val="center"/>
              <w:textAlignment w:val="auto"/>
              <w:rPr>
                <w:rFonts w:ascii="標楷體" w:eastAsia="標楷體" w:hAnsi="標楷體" w:cs="新細明體"/>
                <w:kern w:val="2"/>
                <w:szCs w:val="24"/>
              </w:rPr>
            </w:pPr>
            <w:r w:rsidRPr="00C707DF">
              <w:rPr>
                <w:rFonts w:ascii="標楷體" w:eastAsia="標楷體" w:hAnsi="標楷體" w:cs="新細明體" w:hint="eastAsia"/>
                <w:kern w:val="2"/>
                <w:szCs w:val="24"/>
              </w:rPr>
              <w:t>1</w:t>
            </w:r>
            <w:r w:rsidR="00CF7959">
              <w:rPr>
                <w:rFonts w:ascii="標楷體" w:eastAsia="標楷體" w:hAnsi="標楷體" w:cs="新細明體" w:hint="eastAsia"/>
                <w:kern w:val="2"/>
                <w:szCs w:val="24"/>
              </w:rPr>
              <w:t>5</w:t>
            </w:r>
            <w:r w:rsidR="00ED10ED">
              <w:rPr>
                <w:rFonts w:ascii="標楷體" w:eastAsia="標楷體" w:hAnsi="標楷體" w:cs="新細明體" w:hint="eastAsia"/>
                <w:kern w:val="2"/>
                <w:szCs w:val="24"/>
              </w:rPr>
              <w:t>2</w:t>
            </w:r>
          </w:p>
        </w:tc>
        <w:tc>
          <w:tcPr>
            <w:tcW w:w="709" w:type="dxa"/>
            <w:tcBorders>
              <w:left w:val="single" w:sz="18" w:space="0" w:color="auto"/>
              <w:bottom w:val="single" w:sz="4" w:space="0" w:color="auto"/>
              <w:right w:val="single" w:sz="18" w:space="0" w:color="auto"/>
            </w:tcBorders>
            <w:shd w:val="clear" w:color="auto" w:fill="FFCCFF"/>
            <w:vAlign w:val="center"/>
          </w:tcPr>
          <w:p w14:paraId="54A3ED7D" w14:textId="7D991C18" w:rsidR="00EF440A" w:rsidRPr="00C707DF" w:rsidRDefault="0003251B" w:rsidP="00F470A8">
            <w:pPr>
              <w:widowControl w:val="0"/>
              <w:overflowPunct w:val="0"/>
              <w:autoSpaceDN/>
              <w:jc w:val="center"/>
              <w:textAlignment w:val="auto"/>
              <w:rPr>
                <w:rFonts w:ascii="標楷體" w:eastAsia="標楷體" w:hAnsi="標楷體" w:cs="新細明體"/>
                <w:kern w:val="2"/>
                <w:szCs w:val="24"/>
              </w:rPr>
            </w:pPr>
            <w:r w:rsidRPr="00C707DF">
              <w:rPr>
                <w:rFonts w:ascii="標楷體" w:eastAsia="標楷體" w:hAnsi="標楷體" w:cs="新細明體" w:hint="eastAsia"/>
                <w:kern w:val="2"/>
                <w:szCs w:val="24"/>
              </w:rPr>
              <w:t>4</w:t>
            </w:r>
          </w:p>
        </w:tc>
        <w:tc>
          <w:tcPr>
            <w:tcW w:w="709" w:type="dxa"/>
            <w:tcBorders>
              <w:left w:val="single" w:sz="4" w:space="0" w:color="auto"/>
              <w:bottom w:val="single" w:sz="4" w:space="0" w:color="auto"/>
              <w:right w:val="single" w:sz="18" w:space="0" w:color="auto"/>
            </w:tcBorders>
            <w:shd w:val="clear" w:color="auto" w:fill="DBE5F1"/>
            <w:vAlign w:val="center"/>
          </w:tcPr>
          <w:p w14:paraId="2FDAABC7" w14:textId="4CE55629" w:rsidR="00EF440A" w:rsidRPr="00C707DF" w:rsidRDefault="00C707DF" w:rsidP="00F470A8">
            <w:pPr>
              <w:widowControl w:val="0"/>
              <w:overflowPunct w:val="0"/>
              <w:autoSpaceDN/>
              <w:jc w:val="center"/>
              <w:textAlignment w:val="auto"/>
              <w:rPr>
                <w:rFonts w:ascii="標楷體" w:eastAsia="標楷體" w:hAnsi="標楷體" w:cs="新細明體"/>
                <w:b/>
                <w:bCs/>
                <w:kern w:val="2"/>
                <w:szCs w:val="24"/>
              </w:rPr>
            </w:pPr>
            <w:r w:rsidRPr="00C707DF">
              <w:rPr>
                <w:rFonts w:ascii="標楷體" w:eastAsia="標楷體" w:hAnsi="標楷體" w:cs="新細明體" w:hint="eastAsia"/>
                <w:b/>
                <w:bCs/>
                <w:kern w:val="2"/>
                <w:szCs w:val="24"/>
              </w:rPr>
              <w:t>15</w:t>
            </w:r>
            <w:r w:rsidR="00ED10ED">
              <w:rPr>
                <w:rFonts w:ascii="標楷體" w:eastAsia="標楷體" w:hAnsi="標楷體" w:cs="新細明體" w:hint="eastAsia"/>
                <w:b/>
                <w:bCs/>
                <w:kern w:val="2"/>
                <w:szCs w:val="24"/>
              </w:rPr>
              <w:t>6</w:t>
            </w:r>
          </w:p>
        </w:tc>
      </w:tr>
      <w:tr w:rsidR="00464A6F" w:rsidRPr="00464A6F" w14:paraId="0F8726A1" w14:textId="77777777" w:rsidTr="00F44EFE">
        <w:trPr>
          <w:trHeight w:val="510"/>
        </w:trPr>
        <w:tc>
          <w:tcPr>
            <w:tcW w:w="567" w:type="dxa"/>
            <w:vMerge/>
            <w:tcBorders>
              <w:left w:val="single" w:sz="18" w:space="0" w:color="auto"/>
              <w:bottom w:val="single" w:sz="18" w:space="0" w:color="auto"/>
              <w:right w:val="single" w:sz="4" w:space="0" w:color="auto"/>
            </w:tcBorders>
            <w:shd w:val="clear" w:color="auto" w:fill="FFFFFF"/>
          </w:tcPr>
          <w:p w14:paraId="65D8F6BB" w14:textId="77777777" w:rsidR="00EF440A" w:rsidRPr="00464A6F" w:rsidRDefault="00EF440A" w:rsidP="00F470A8">
            <w:pPr>
              <w:widowControl w:val="0"/>
              <w:overflowPunct w:val="0"/>
              <w:autoSpaceDN/>
              <w:spacing w:line="360" w:lineRule="exact"/>
              <w:ind w:leftChars="-55" w:left="11" w:hangingChars="55" w:hanging="143"/>
              <w:jc w:val="both"/>
              <w:textAlignment w:val="auto"/>
              <w:rPr>
                <w:rFonts w:ascii="標楷體" w:eastAsia="標楷體" w:hAnsi="標楷體" w:cs="Mangal"/>
                <w:bCs/>
                <w:color w:val="FF0000"/>
                <w:spacing w:val="-20"/>
                <w:kern w:val="2"/>
                <w:sz w:val="28"/>
                <w:szCs w:val="28"/>
              </w:rPr>
            </w:pPr>
          </w:p>
        </w:tc>
        <w:tc>
          <w:tcPr>
            <w:tcW w:w="2376" w:type="dxa"/>
            <w:tcBorders>
              <w:left w:val="single" w:sz="4" w:space="0" w:color="auto"/>
              <w:right w:val="single" w:sz="18" w:space="0" w:color="auto"/>
            </w:tcBorders>
            <w:shd w:val="clear" w:color="auto" w:fill="FFFFFF"/>
            <w:vAlign w:val="center"/>
          </w:tcPr>
          <w:p w14:paraId="4F7E4C29" w14:textId="77777777" w:rsidR="00EF440A" w:rsidRPr="00510EC7" w:rsidRDefault="00EF440A" w:rsidP="00F470A8">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510EC7">
              <w:rPr>
                <w:rFonts w:ascii="標楷體" w:eastAsia="標楷體" w:hAnsi="標楷體" w:hint="eastAsia"/>
                <w:bCs/>
                <w:szCs w:val="24"/>
              </w:rPr>
              <w:t>(三)動支第二預備</w:t>
            </w:r>
          </w:p>
          <w:p w14:paraId="3B3C8DC6" w14:textId="77777777" w:rsidR="00EF440A" w:rsidRPr="00510EC7" w:rsidRDefault="00EF440A" w:rsidP="00F470A8">
            <w:pPr>
              <w:widowControl w:val="0"/>
              <w:tabs>
                <w:tab w:val="left" w:pos="284"/>
                <w:tab w:val="left" w:pos="426"/>
              </w:tabs>
              <w:overflowPunct w:val="0"/>
              <w:spacing w:line="340" w:lineRule="exact"/>
              <w:ind w:firstLineChars="200" w:firstLine="480"/>
              <w:jc w:val="both"/>
              <w:rPr>
                <w:rFonts w:ascii="標楷體" w:eastAsia="標楷體" w:hAnsi="標楷體"/>
                <w:bCs/>
                <w:szCs w:val="24"/>
              </w:rPr>
            </w:pPr>
            <w:r w:rsidRPr="00510EC7">
              <w:rPr>
                <w:rFonts w:ascii="標楷體" w:eastAsia="標楷體" w:hAnsi="標楷體" w:hint="eastAsia"/>
                <w:bCs/>
                <w:szCs w:val="24"/>
              </w:rPr>
              <w:t>金案</w:t>
            </w:r>
          </w:p>
        </w:tc>
        <w:tc>
          <w:tcPr>
            <w:tcW w:w="567" w:type="dxa"/>
            <w:tcBorders>
              <w:left w:val="single" w:sz="18" w:space="0" w:color="auto"/>
              <w:bottom w:val="single" w:sz="4" w:space="0" w:color="auto"/>
              <w:right w:val="dashed" w:sz="4" w:space="0" w:color="auto"/>
            </w:tcBorders>
            <w:shd w:val="clear" w:color="auto" w:fill="F2F2F2"/>
            <w:vAlign w:val="center"/>
          </w:tcPr>
          <w:p w14:paraId="1D17A658" w14:textId="77777777" w:rsidR="00EF440A" w:rsidRPr="00510EC7" w:rsidRDefault="00EF440A" w:rsidP="00F470A8">
            <w:pPr>
              <w:widowControl w:val="0"/>
              <w:overflowPunct w:val="0"/>
              <w:autoSpaceDN/>
              <w:jc w:val="center"/>
              <w:textAlignment w:val="auto"/>
              <w:rPr>
                <w:rFonts w:ascii="標楷體" w:eastAsia="標楷體" w:hAnsi="標楷體" w:cs="新細明體"/>
                <w:spacing w:val="-20"/>
                <w:kern w:val="2"/>
                <w:szCs w:val="24"/>
              </w:rPr>
            </w:pPr>
            <w:r w:rsidRPr="00510EC7">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14:paraId="2F554766" w14:textId="07012CC8" w:rsidR="00EF440A" w:rsidRPr="00383C53" w:rsidRDefault="00641DE1" w:rsidP="00F470A8">
            <w:pPr>
              <w:widowControl w:val="0"/>
              <w:overflowPunct w:val="0"/>
              <w:autoSpaceDN/>
              <w:jc w:val="center"/>
              <w:textAlignment w:val="auto"/>
              <w:rPr>
                <w:rFonts w:ascii="標楷體" w:eastAsia="標楷體" w:hAnsi="標楷體" w:cs="新細明體"/>
                <w:spacing w:val="-20"/>
                <w:kern w:val="2"/>
                <w:szCs w:val="24"/>
              </w:rPr>
            </w:pPr>
            <w:r w:rsidRPr="00383C53">
              <w:rPr>
                <w:rFonts w:ascii="標楷體" w:eastAsia="標楷體" w:hAnsi="標楷體" w:cs="新細明體" w:hint="eastAsia"/>
                <w:spacing w:val="-20"/>
                <w:kern w:val="2"/>
                <w:szCs w:val="24"/>
              </w:rPr>
              <w:t>73</w:t>
            </w:r>
          </w:p>
        </w:tc>
        <w:tc>
          <w:tcPr>
            <w:tcW w:w="567" w:type="dxa"/>
            <w:tcBorders>
              <w:left w:val="dashed" w:sz="4" w:space="0" w:color="auto"/>
              <w:bottom w:val="single" w:sz="4" w:space="0" w:color="auto"/>
              <w:right w:val="dashed" w:sz="4" w:space="0" w:color="auto"/>
            </w:tcBorders>
            <w:shd w:val="clear" w:color="auto" w:fill="F2F2F2"/>
            <w:vAlign w:val="center"/>
          </w:tcPr>
          <w:p w14:paraId="75A0EE31"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39DEBB59"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30C60E63"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3922C9A0"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069DDAEA"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70E40A0A"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4" w:space="0" w:color="auto"/>
              <w:right w:val="single" w:sz="4" w:space="0" w:color="auto"/>
            </w:tcBorders>
            <w:shd w:val="clear" w:color="auto" w:fill="D6E3BC"/>
            <w:vAlign w:val="center"/>
          </w:tcPr>
          <w:p w14:paraId="776202F6" w14:textId="0D1C25D4" w:rsidR="00EF440A" w:rsidRPr="00641DE1" w:rsidRDefault="0003251B" w:rsidP="00F470A8">
            <w:pPr>
              <w:widowControl w:val="0"/>
              <w:overflowPunct w:val="0"/>
              <w:autoSpaceDN/>
              <w:jc w:val="center"/>
              <w:textAlignment w:val="auto"/>
              <w:rPr>
                <w:rFonts w:ascii="標楷體" w:eastAsia="標楷體" w:hAnsi="標楷體" w:cs="新細明體"/>
                <w:spacing w:val="-20"/>
                <w:kern w:val="2"/>
                <w:szCs w:val="24"/>
              </w:rPr>
            </w:pPr>
            <w:r w:rsidRPr="00641DE1">
              <w:rPr>
                <w:rFonts w:ascii="標楷體" w:eastAsia="標楷體" w:hAnsi="標楷體" w:cs="新細明體" w:hint="eastAsia"/>
                <w:spacing w:val="-20"/>
                <w:kern w:val="2"/>
                <w:szCs w:val="24"/>
              </w:rPr>
              <w:t>34</w:t>
            </w:r>
          </w:p>
        </w:tc>
        <w:tc>
          <w:tcPr>
            <w:tcW w:w="709" w:type="dxa"/>
            <w:tcBorders>
              <w:left w:val="single" w:sz="4" w:space="0" w:color="auto"/>
              <w:bottom w:val="single" w:sz="4" w:space="0" w:color="auto"/>
              <w:right w:val="single" w:sz="18" w:space="0" w:color="auto"/>
            </w:tcBorders>
            <w:shd w:val="clear" w:color="auto" w:fill="FBD4B4"/>
            <w:vAlign w:val="center"/>
          </w:tcPr>
          <w:p w14:paraId="061895C6" w14:textId="79EF8552" w:rsidR="00EF440A" w:rsidRPr="00464A6F" w:rsidRDefault="002E6138" w:rsidP="00F470A8">
            <w:pPr>
              <w:widowControl w:val="0"/>
              <w:overflowPunct w:val="0"/>
              <w:autoSpaceDN/>
              <w:jc w:val="center"/>
              <w:textAlignment w:val="auto"/>
              <w:rPr>
                <w:rFonts w:ascii="標楷體" w:eastAsia="標楷體" w:hAnsi="標楷體" w:cs="新細明體"/>
                <w:color w:val="FF0000"/>
                <w:kern w:val="2"/>
                <w:szCs w:val="24"/>
              </w:rPr>
            </w:pPr>
            <w:r w:rsidRPr="00C707DF">
              <w:rPr>
                <w:rFonts w:ascii="標楷體" w:eastAsia="標楷體" w:hAnsi="標楷體" w:cs="新細明體" w:hint="eastAsia"/>
                <w:kern w:val="2"/>
                <w:szCs w:val="24"/>
              </w:rPr>
              <w:t>10</w:t>
            </w:r>
            <w:r w:rsidR="00C707DF" w:rsidRPr="00C707DF">
              <w:rPr>
                <w:rFonts w:ascii="標楷體" w:eastAsia="標楷體" w:hAnsi="標楷體" w:cs="新細明體" w:hint="eastAsia"/>
                <w:kern w:val="2"/>
                <w:szCs w:val="24"/>
              </w:rPr>
              <w:t>7</w:t>
            </w:r>
          </w:p>
        </w:tc>
        <w:tc>
          <w:tcPr>
            <w:tcW w:w="709" w:type="dxa"/>
            <w:tcBorders>
              <w:left w:val="single" w:sz="18" w:space="0" w:color="auto"/>
              <w:bottom w:val="single" w:sz="4" w:space="0" w:color="auto"/>
              <w:right w:val="single" w:sz="18" w:space="0" w:color="auto"/>
            </w:tcBorders>
            <w:shd w:val="clear" w:color="auto" w:fill="FFCCFF"/>
            <w:vAlign w:val="center"/>
          </w:tcPr>
          <w:p w14:paraId="783690E3" w14:textId="39317697" w:rsidR="00EF440A" w:rsidRPr="0003251B" w:rsidRDefault="0003251B" w:rsidP="00F470A8">
            <w:pPr>
              <w:widowControl w:val="0"/>
              <w:overflowPunct w:val="0"/>
              <w:autoSpaceDN/>
              <w:jc w:val="center"/>
              <w:textAlignment w:val="auto"/>
              <w:rPr>
                <w:rFonts w:ascii="標楷體" w:eastAsia="標楷體" w:hAnsi="標楷體" w:cs="新細明體"/>
                <w:kern w:val="2"/>
                <w:szCs w:val="24"/>
              </w:rPr>
            </w:pPr>
            <w:r>
              <w:rPr>
                <w:rFonts w:ascii="標楷體" w:eastAsia="標楷體" w:hAnsi="標楷體" w:cs="新細明體" w:hint="eastAsia"/>
                <w:kern w:val="2"/>
                <w:szCs w:val="24"/>
              </w:rPr>
              <w:t>56</w:t>
            </w:r>
          </w:p>
        </w:tc>
        <w:tc>
          <w:tcPr>
            <w:tcW w:w="709" w:type="dxa"/>
            <w:tcBorders>
              <w:left w:val="single" w:sz="4" w:space="0" w:color="auto"/>
              <w:bottom w:val="single" w:sz="4" w:space="0" w:color="auto"/>
              <w:right w:val="single" w:sz="18" w:space="0" w:color="auto"/>
            </w:tcBorders>
            <w:shd w:val="clear" w:color="auto" w:fill="DBE5F1"/>
            <w:vAlign w:val="center"/>
          </w:tcPr>
          <w:p w14:paraId="60614B00" w14:textId="77777777" w:rsidR="00EF440A" w:rsidRPr="00464A6F" w:rsidRDefault="00EB06F8" w:rsidP="00F470A8">
            <w:pPr>
              <w:widowControl w:val="0"/>
              <w:overflowPunct w:val="0"/>
              <w:autoSpaceDN/>
              <w:jc w:val="center"/>
              <w:textAlignment w:val="auto"/>
              <w:rPr>
                <w:rFonts w:ascii="標楷體" w:eastAsia="標楷體" w:hAnsi="標楷體" w:cs="新細明體"/>
                <w:b/>
                <w:bCs/>
                <w:color w:val="FF0000"/>
                <w:kern w:val="2"/>
                <w:szCs w:val="24"/>
              </w:rPr>
            </w:pPr>
            <w:r w:rsidRPr="00C707DF">
              <w:rPr>
                <w:rFonts w:ascii="標楷體" w:eastAsia="標楷體" w:hAnsi="標楷體" w:cs="新細明體" w:hint="eastAsia"/>
                <w:b/>
                <w:bCs/>
                <w:kern w:val="2"/>
                <w:szCs w:val="24"/>
              </w:rPr>
              <w:t>163</w:t>
            </w:r>
          </w:p>
        </w:tc>
      </w:tr>
      <w:tr w:rsidR="00464A6F" w:rsidRPr="00464A6F" w14:paraId="569015B4" w14:textId="77777777" w:rsidTr="00F44EFE">
        <w:trPr>
          <w:trHeight w:val="569"/>
        </w:trPr>
        <w:tc>
          <w:tcPr>
            <w:tcW w:w="567" w:type="dxa"/>
            <w:vMerge/>
            <w:tcBorders>
              <w:left w:val="single" w:sz="18" w:space="0" w:color="auto"/>
              <w:bottom w:val="single" w:sz="18" w:space="0" w:color="auto"/>
              <w:right w:val="single" w:sz="4" w:space="0" w:color="auto"/>
            </w:tcBorders>
            <w:shd w:val="clear" w:color="auto" w:fill="FFFFFF"/>
          </w:tcPr>
          <w:p w14:paraId="4EE1A9FB" w14:textId="77777777" w:rsidR="00EF440A" w:rsidRPr="00464A6F" w:rsidRDefault="00EF440A" w:rsidP="00F470A8">
            <w:pPr>
              <w:widowControl w:val="0"/>
              <w:overflowPunct w:val="0"/>
              <w:autoSpaceDN/>
              <w:spacing w:line="360" w:lineRule="exact"/>
              <w:ind w:leftChars="-55" w:left="11" w:hangingChars="55" w:hanging="143"/>
              <w:jc w:val="both"/>
              <w:textAlignment w:val="auto"/>
              <w:rPr>
                <w:rFonts w:ascii="標楷體" w:eastAsia="標楷體" w:hAnsi="標楷體" w:cs="Mangal"/>
                <w:bCs/>
                <w:color w:val="FF0000"/>
                <w:spacing w:val="-20"/>
                <w:kern w:val="2"/>
                <w:sz w:val="28"/>
                <w:szCs w:val="28"/>
              </w:rPr>
            </w:pPr>
          </w:p>
        </w:tc>
        <w:tc>
          <w:tcPr>
            <w:tcW w:w="2376" w:type="dxa"/>
            <w:tcBorders>
              <w:left w:val="single" w:sz="4" w:space="0" w:color="auto"/>
              <w:right w:val="single" w:sz="18" w:space="0" w:color="auto"/>
            </w:tcBorders>
            <w:shd w:val="clear" w:color="auto" w:fill="FFFFFF"/>
            <w:vAlign w:val="center"/>
          </w:tcPr>
          <w:p w14:paraId="4242E491" w14:textId="77777777" w:rsidR="00EF440A" w:rsidRPr="00510EC7" w:rsidRDefault="00EF440A" w:rsidP="00F470A8">
            <w:pPr>
              <w:widowControl w:val="0"/>
              <w:tabs>
                <w:tab w:val="left" w:pos="284"/>
                <w:tab w:val="left" w:pos="426"/>
              </w:tabs>
              <w:overflowPunct w:val="0"/>
              <w:spacing w:line="340" w:lineRule="exact"/>
              <w:ind w:left="720" w:hangingChars="300" w:hanging="720"/>
              <w:jc w:val="both"/>
              <w:rPr>
                <w:rFonts w:ascii="標楷體" w:eastAsia="標楷體" w:hAnsi="標楷體"/>
                <w:bCs/>
                <w:szCs w:val="24"/>
              </w:rPr>
            </w:pPr>
            <w:r w:rsidRPr="00510EC7">
              <w:rPr>
                <w:rFonts w:ascii="標楷體" w:eastAsia="標楷體" w:hAnsi="標楷體" w:hint="eastAsia"/>
                <w:bCs/>
                <w:szCs w:val="24"/>
              </w:rPr>
              <w:t xml:space="preserve">(四)決算案 </w:t>
            </w:r>
          </w:p>
        </w:tc>
        <w:tc>
          <w:tcPr>
            <w:tcW w:w="567" w:type="dxa"/>
            <w:tcBorders>
              <w:left w:val="single" w:sz="18" w:space="0" w:color="auto"/>
              <w:bottom w:val="single" w:sz="4" w:space="0" w:color="auto"/>
              <w:right w:val="dashed" w:sz="4" w:space="0" w:color="auto"/>
            </w:tcBorders>
            <w:shd w:val="clear" w:color="auto" w:fill="F2F2F2"/>
            <w:vAlign w:val="center"/>
          </w:tcPr>
          <w:p w14:paraId="1B47551C" w14:textId="77777777" w:rsidR="00EF440A" w:rsidRPr="00510EC7" w:rsidRDefault="00EF440A" w:rsidP="00F470A8">
            <w:pPr>
              <w:widowControl w:val="0"/>
              <w:overflowPunct w:val="0"/>
              <w:autoSpaceDN/>
              <w:jc w:val="center"/>
              <w:textAlignment w:val="auto"/>
              <w:rPr>
                <w:rFonts w:ascii="標楷體" w:eastAsia="標楷體" w:hAnsi="標楷體" w:cs="新細明體"/>
                <w:spacing w:val="-20"/>
                <w:kern w:val="2"/>
                <w:szCs w:val="24"/>
              </w:rPr>
            </w:pPr>
            <w:r w:rsidRPr="00510EC7">
              <w:rPr>
                <w:rFonts w:ascii="標楷體" w:eastAsia="標楷體" w:hAnsi="標楷體" w:cs="新細明體" w:hint="eastAsia"/>
                <w:spacing w:val="-20"/>
                <w:kern w:val="2"/>
                <w:szCs w:val="24"/>
              </w:rPr>
              <w:t>0</w:t>
            </w:r>
          </w:p>
        </w:tc>
        <w:tc>
          <w:tcPr>
            <w:tcW w:w="567" w:type="dxa"/>
            <w:tcBorders>
              <w:left w:val="dashed" w:sz="4" w:space="0" w:color="auto"/>
              <w:bottom w:val="single" w:sz="4" w:space="0" w:color="auto"/>
              <w:right w:val="dashed" w:sz="4" w:space="0" w:color="auto"/>
            </w:tcBorders>
            <w:shd w:val="clear" w:color="auto" w:fill="F2F2F2"/>
            <w:vAlign w:val="center"/>
          </w:tcPr>
          <w:p w14:paraId="1A98E31F" w14:textId="3BCB03D7" w:rsidR="00EF440A" w:rsidRPr="00383C53" w:rsidRDefault="00641DE1" w:rsidP="00F470A8">
            <w:pPr>
              <w:widowControl w:val="0"/>
              <w:overflowPunct w:val="0"/>
              <w:autoSpaceDN/>
              <w:jc w:val="center"/>
              <w:textAlignment w:val="auto"/>
              <w:rPr>
                <w:rFonts w:ascii="標楷體" w:eastAsia="標楷體" w:hAnsi="標楷體" w:cs="新細明體"/>
                <w:spacing w:val="-20"/>
                <w:kern w:val="2"/>
                <w:szCs w:val="24"/>
              </w:rPr>
            </w:pPr>
            <w:r w:rsidRPr="00383C53">
              <w:rPr>
                <w:rFonts w:ascii="標楷體" w:eastAsia="標楷體" w:hAnsi="標楷體" w:cs="新細明體" w:hint="eastAsia"/>
                <w:spacing w:val="-20"/>
                <w:kern w:val="2"/>
                <w:szCs w:val="24"/>
              </w:rPr>
              <w:t>6</w:t>
            </w:r>
          </w:p>
        </w:tc>
        <w:tc>
          <w:tcPr>
            <w:tcW w:w="567" w:type="dxa"/>
            <w:tcBorders>
              <w:left w:val="dashed" w:sz="4" w:space="0" w:color="auto"/>
              <w:bottom w:val="single" w:sz="4" w:space="0" w:color="auto"/>
              <w:right w:val="dashed" w:sz="4" w:space="0" w:color="auto"/>
            </w:tcBorders>
            <w:shd w:val="clear" w:color="auto" w:fill="F2F2F2"/>
            <w:vAlign w:val="center"/>
          </w:tcPr>
          <w:p w14:paraId="764DEED4"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26D041AA"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1E73D9F9"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5D7DD64F"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3F937F06"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left w:val="dashed" w:sz="4" w:space="0" w:color="auto"/>
              <w:bottom w:val="single" w:sz="4" w:space="0" w:color="auto"/>
              <w:right w:val="dashed" w:sz="4" w:space="0" w:color="auto"/>
            </w:tcBorders>
            <w:shd w:val="clear" w:color="auto" w:fill="F2F2F2"/>
            <w:vAlign w:val="center"/>
          </w:tcPr>
          <w:p w14:paraId="187CD95B"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4" w:space="0" w:color="auto"/>
              <w:right w:val="single" w:sz="4" w:space="0" w:color="auto"/>
            </w:tcBorders>
            <w:shd w:val="clear" w:color="auto" w:fill="D6E3BC"/>
            <w:vAlign w:val="center"/>
          </w:tcPr>
          <w:p w14:paraId="08AB392D" w14:textId="76353EDB" w:rsidR="00EF440A" w:rsidRPr="00641DE1" w:rsidRDefault="0003251B" w:rsidP="00F470A8">
            <w:pPr>
              <w:widowControl w:val="0"/>
              <w:overflowPunct w:val="0"/>
              <w:autoSpaceDN/>
              <w:jc w:val="center"/>
              <w:textAlignment w:val="auto"/>
              <w:rPr>
                <w:rFonts w:ascii="標楷體" w:eastAsia="標楷體" w:hAnsi="標楷體" w:cs="新細明體"/>
                <w:spacing w:val="-20"/>
                <w:kern w:val="2"/>
                <w:szCs w:val="24"/>
              </w:rPr>
            </w:pPr>
            <w:r w:rsidRPr="00641DE1">
              <w:rPr>
                <w:rFonts w:ascii="標楷體" w:eastAsia="標楷體" w:hAnsi="標楷體" w:cs="新細明體" w:hint="eastAsia"/>
                <w:spacing w:val="-20"/>
                <w:kern w:val="2"/>
                <w:szCs w:val="24"/>
              </w:rPr>
              <w:t>2</w:t>
            </w:r>
          </w:p>
        </w:tc>
        <w:tc>
          <w:tcPr>
            <w:tcW w:w="709" w:type="dxa"/>
            <w:tcBorders>
              <w:left w:val="single" w:sz="4" w:space="0" w:color="auto"/>
              <w:bottom w:val="single" w:sz="4" w:space="0" w:color="auto"/>
              <w:right w:val="single" w:sz="18" w:space="0" w:color="auto"/>
            </w:tcBorders>
            <w:shd w:val="clear" w:color="auto" w:fill="FBD4B4"/>
            <w:vAlign w:val="center"/>
          </w:tcPr>
          <w:p w14:paraId="2BBD20E8" w14:textId="2FDCE00B" w:rsidR="00EF440A" w:rsidRPr="00C707DF" w:rsidRDefault="00C707DF" w:rsidP="00F470A8">
            <w:pPr>
              <w:widowControl w:val="0"/>
              <w:overflowPunct w:val="0"/>
              <w:autoSpaceDN/>
              <w:jc w:val="center"/>
              <w:textAlignment w:val="auto"/>
              <w:rPr>
                <w:rFonts w:ascii="標楷體" w:eastAsia="標楷體" w:hAnsi="標楷體" w:cs="新細明體"/>
                <w:kern w:val="2"/>
                <w:szCs w:val="24"/>
              </w:rPr>
            </w:pPr>
            <w:r w:rsidRPr="00C707DF">
              <w:rPr>
                <w:rFonts w:ascii="標楷體" w:eastAsia="標楷體" w:hAnsi="標楷體" w:cs="新細明體" w:hint="eastAsia"/>
                <w:kern w:val="2"/>
                <w:szCs w:val="24"/>
              </w:rPr>
              <w:t>8</w:t>
            </w:r>
          </w:p>
        </w:tc>
        <w:tc>
          <w:tcPr>
            <w:tcW w:w="709" w:type="dxa"/>
            <w:tcBorders>
              <w:left w:val="single" w:sz="18" w:space="0" w:color="auto"/>
              <w:bottom w:val="single" w:sz="4" w:space="0" w:color="auto"/>
              <w:right w:val="single" w:sz="18" w:space="0" w:color="auto"/>
            </w:tcBorders>
            <w:shd w:val="clear" w:color="auto" w:fill="FFCCFF"/>
            <w:vAlign w:val="center"/>
          </w:tcPr>
          <w:p w14:paraId="11A4288B" w14:textId="25335D6F" w:rsidR="00EF440A" w:rsidRPr="00C707DF" w:rsidRDefault="0003251B" w:rsidP="00F470A8">
            <w:pPr>
              <w:widowControl w:val="0"/>
              <w:overflowPunct w:val="0"/>
              <w:autoSpaceDN/>
              <w:jc w:val="center"/>
              <w:textAlignment w:val="auto"/>
              <w:rPr>
                <w:rFonts w:ascii="標楷體" w:eastAsia="標楷體" w:hAnsi="標楷體" w:cs="新細明體"/>
                <w:kern w:val="2"/>
                <w:szCs w:val="24"/>
              </w:rPr>
            </w:pPr>
            <w:r w:rsidRPr="00C707DF">
              <w:rPr>
                <w:rFonts w:ascii="標楷體" w:eastAsia="標楷體" w:hAnsi="標楷體" w:cs="新細明體" w:hint="eastAsia"/>
                <w:kern w:val="2"/>
                <w:szCs w:val="24"/>
              </w:rPr>
              <w:t>5</w:t>
            </w:r>
          </w:p>
        </w:tc>
        <w:tc>
          <w:tcPr>
            <w:tcW w:w="709" w:type="dxa"/>
            <w:tcBorders>
              <w:left w:val="single" w:sz="4" w:space="0" w:color="auto"/>
              <w:bottom w:val="single" w:sz="4" w:space="0" w:color="auto"/>
              <w:right w:val="single" w:sz="18" w:space="0" w:color="auto"/>
            </w:tcBorders>
            <w:shd w:val="clear" w:color="auto" w:fill="DBE5F1"/>
            <w:vAlign w:val="center"/>
          </w:tcPr>
          <w:p w14:paraId="61B4222D" w14:textId="5E044555" w:rsidR="00EF440A" w:rsidRPr="00C707DF" w:rsidRDefault="00EB06F8" w:rsidP="00F470A8">
            <w:pPr>
              <w:widowControl w:val="0"/>
              <w:overflowPunct w:val="0"/>
              <w:autoSpaceDN/>
              <w:jc w:val="center"/>
              <w:textAlignment w:val="auto"/>
              <w:rPr>
                <w:rFonts w:ascii="標楷體" w:eastAsia="標楷體" w:hAnsi="標楷體" w:cs="新細明體"/>
                <w:b/>
                <w:bCs/>
                <w:kern w:val="2"/>
                <w:szCs w:val="24"/>
              </w:rPr>
            </w:pPr>
            <w:r w:rsidRPr="00C707DF">
              <w:rPr>
                <w:rFonts w:ascii="標楷體" w:eastAsia="標楷體" w:hAnsi="標楷體" w:cs="新細明體" w:hint="eastAsia"/>
                <w:b/>
                <w:bCs/>
                <w:kern w:val="2"/>
                <w:szCs w:val="24"/>
              </w:rPr>
              <w:t>1</w:t>
            </w:r>
            <w:r w:rsidR="00C707DF" w:rsidRPr="00C707DF">
              <w:rPr>
                <w:rFonts w:ascii="標楷體" w:eastAsia="標楷體" w:hAnsi="標楷體" w:cs="新細明體" w:hint="eastAsia"/>
                <w:b/>
                <w:bCs/>
                <w:kern w:val="2"/>
                <w:szCs w:val="24"/>
              </w:rPr>
              <w:t>3</w:t>
            </w:r>
          </w:p>
        </w:tc>
      </w:tr>
      <w:tr w:rsidR="00464A6F" w:rsidRPr="00464A6F" w14:paraId="74F747DE" w14:textId="77777777" w:rsidTr="00F44EFE">
        <w:trPr>
          <w:trHeight w:val="510"/>
        </w:trPr>
        <w:tc>
          <w:tcPr>
            <w:tcW w:w="567" w:type="dxa"/>
            <w:vMerge/>
            <w:tcBorders>
              <w:left w:val="single" w:sz="18" w:space="0" w:color="auto"/>
              <w:bottom w:val="single" w:sz="18" w:space="0" w:color="auto"/>
              <w:right w:val="single" w:sz="4" w:space="0" w:color="auto"/>
            </w:tcBorders>
            <w:shd w:val="clear" w:color="auto" w:fill="FFFFFF"/>
          </w:tcPr>
          <w:p w14:paraId="709D6FCE" w14:textId="77777777" w:rsidR="00EF440A" w:rsidRPr="00464A6F" w:rsidRDefault="00EF440A" w:rsidP="00F470A8">
            <w:pPr>
              <w:widowControl w:val="0"/>
              <w:overflowPunct w:val="0"/>
              <w:autoSpaceDN/>
              <w:spacing w:line="360" w:lineRule="exact"/>
              <w:ind w:leftChars="-55" w:left="274" w:hangingChars="156" w:hanging="406"/>
              <w:jc w:val="both"/>
              <w:textAlignment w:val="auto"/>
              <w:rPr>
                <w:rFonts w:ascii="標楷體" w:eastAsia="標楷體" w:hAnsi="標楷體"/>
                <w:bCs/>
                <w:color w:val="FF0000"/>
                <w:spacing w:val="-20"/>
                <w:kern w:val="2"/>
                <w:sz w:val="28"/>
                <w:szCs w:val="28"/>
              </w:rPr>
            </w:pPr>
          </w:p>
        </w:tc>
        <w:tc>
          <w:tcPr>
            <w:tcW w:w="2376" w:type="dxa"/>
            <w:tcBorders>
              <w:left w:val="single" w:sz="4" w:space="0" w:color="auto"/>
              <w:bottom w:val="single" w:sz="4" w:space="0" w:color="auto"/>
              <w:right w:val="single" w:sz="18" w:space="0" w:color="auto"/>
            </w:tcBorders>
            <w:shd w:val="clear" w:color="auto" w:fill="FFFFFF"/>
            <w:vAlign w:val="center"/>
          </w:tcPr>
          <w:p w14:paraId="62D734BC" w14:textId="77777777" w:rsidR="00EF440A" w:rsidRPr="00510EC7" w:rsidRDefault="00EF440A" w:rsidP="00F470A8">
            <w:pPr>
              <w:widowControl w:val="0"/>
              <w:tabs>
                <w:tab w:val="left" w:pos="284"/>
                <w:tab w:val="left" w:pos="426"/>
              </w:tabs>
              <w:overflowPunct w:val="0"/>
              <w:spacing w:line="340" w:lineRule="exact"/>
              <w:jc w:val="both"/>
              <w:rPr>
                <w:rFonts w:ascii="標楷體" w:eastAsia="標楷體" w:hAnsi="標楷體"/>
                <w:bCs/>
                <w:szCs w:val="24"/>
              </w:rPr>
            </w:pPr>
            <w:r w:rsidRPr="00510EC7">
              <w:rPr>
                <w:rFonts w:ascii="標楷體" w:eastAsia="標楷體" w:hAnsi="標楷體" w:hint="eastAsia"/>
                <w:bCs/>
                <w:szCs w:val="24"/>
              </w:rPr>
              <w:t>(五)行政命令案</w:t>
            </w:r>
          </w:p>
        </w:tc>
        <w:tc>
          <w:tcPr>
            <w:tcW w:w="567" w:type="dxa"/>
            <w:tcBorders>
              <w:left w:val="single" w:sz="18" w:space="0" w:color="auto"/>
              <w:bottom w:val="single" w:sz="2" w:space="0" w:color="auto"/>
              <w:right w:val="dashed" w:sz="4" w:space="0" w:color="auto"/>
            </w:tcBorders>
            <w:shd w:val="clear" w:color="auto" w:fill="F2F2F2"/>
            <w:vAlign w:val="center"/>
          </w:tcPr>
          <w:p w14:paraId="750EF6B9" w14:textId="77777777" w:rsidR="00EF440A" w:rsidRPr="00510EC7" w:rsidRDefault="006F041E" w:rsidP="00F470A8">
            <w:pPr>
              <w:widowControl w:val="0"/>
              <w:overflowPunct w:val="0"/>
              <w:autoSpaceDN/>
              <w:jc w:val="center"/>
              <w:textAlignment w:val="auto"/>
              <w:rPr>
                <w:rFonts w:ascii="標楷體" w:eastAsia="標楷體" w:hAnsi="標楷體"/>
                <w:spacing w:val="-20"/>
                <w:kern w:val="2"/>
                <w:szCs w:val="24"/>
              </w:rPr>
            </w:pPr>
            <w:r w:rsidRPr="00510EC7">
              <w:rPr>
                <w:rFonts w:ascii="標楷體" w:eastAsia="標楷體" w:hAnsi="標楷體" w:hint="eastAsia"/>
                <w:spacing w:val="-20"/>
                <w:kern w:val="2"/>
                <w:szCs w:val="24"/>
              </w:rPr>
              <w:t>44</w:t>
            </w:r>
          </w:p>
        </w:tc>
        <w:tc>
          <w:tcPr>
            <w:tcW w:w="567" w:type="dxa"/>
            <w:tcBorders>
              <w:left w:val="dashed" w:sz="4" w:space="0" w:color="auto"/>
              <w:bottom w:val="single" w:sz="2" w:space="0" w:color="auto"/>
              <w:right w:val="dashed" w:sz="4" w:space="0" w:color="auto"/>
            </w:tcBorders>
            <w:shd w:val="clear" w:color="auto" w:fill="F2F2F2"/>
            <w:vAlign w:val="center"/>
          </w:tcPr>
          <w:p w14:paraId="5A1BFCA9" w14:textId="4E7B54B3" w:rsidR="00EF440A" w:rsidRPr="00383C53" w:rsidRDefault="00641DE1" w:rsidP="00F470A8">
            <w:pPr>
              <w:widowControl w:val="0"/>
              <w:overflowPunct w:val="0"/>
              <w:autoSpaceDN/>
              <w:jc w:val="center"/>
              <w:textAlignment w:val="auto"/>
              <w:rPr>
                <w:rFonts w:ascii="標楷體" w:eastAsia="標楷體" w:hAnsi="標楷體"/>
                <w:spacing w:val="-20"/>
                <w:kern w:val="2"/>
                <w:szCs w:val="24"/>
              </w:rPr>
            </w:pPr>
            <w:r w:rsidRPr="00383C53">
              <w:rPr>
                <w:rFonts w:ascii="標楷體" w:eastAsia="標楷體" w:hAnsi="標楷體" w:hint="eastAsia"/>
                <w:spacing w:val="-20"/>
                <w:kern w:val="2"/>
                <w:szCs w:val="24"/>
              </w:rPr>
              <w:t>6</w:t>
            </w:r>
            <w:r w:rsidR="00383C53" w:rsidRPr="00383C53">
              <w:rPr>
                <w:rFonts w:ascii="標楷體" w:eastAsia="標楷體" w:hAnsi="標楷體" w:hint="eastAsia"/>
                <w:spacing w:val="-20"/>
                <w:kern w:val="2"/>
                <w:szCs w:val="24"/>
              </w:rPr>
              <w:t>1</w:t>
            </w:r>
          </w:p>
        </w:tc>
        <w:tc>
          <w:tcPr>
            <w:tcW w:w="567" w:type="dxa"/>
            <w:tcBorders>
              <w:left w:val="dashed" w:sz="4" w:space="0" w:color="auto"/>
              <w:bottom w:val="single" w:sz="2" w:space="0" w:color="auto"/>
              <w:right w:val="dashed" w:sz="4" w:space="0" w:color="auto"/>
            </w:tcBorders>
            <w:shd w:val="clear" w:color="auto" w:fill="F2F2F2"/>
            <w:vAlign w:val="center"/>
          </w:tcPr>
          <w:p w14:paraId="7EB8B722"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0F568818"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05AFB433"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40A0B3D6"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701FF221"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1498D094"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single" w:sz="4" w:space="0" w:color="auto"/>
            </w:tcBorders>
            <w:shd w:val="clear" w:color="auto" w:fill="D6E3BC"/>
            <w:vAlign w:val="center"/>
          </w:tcPr>
          <w:p w14:paraId="45868985" w14:textId="1FB35157" w:rsidR="00EF440A" w:rsidRPr="00641DE1" w:rsidRDefault="0003251B" w:rsidP="00F470A8">
            <w:pPr>
              <w:widowControl w:val="0"/>
              <w:overflowPunct w:val="0"/>
              <w:autoSpaceDN/>
              <w:jc w:val="center"/>
              <w:textAlignment w:val="auto"/>
              <w:rPr>
                <w:rFonts w:ascii="標楷體" w:eastAsia="標楷體" w:hAnsi="標楷體"/>
                <w:spacing w:val="-20"/>
                <w:kern w:val="2"/>
                <w:szCs w:val="24"/>
              </w:rPr>
            </w:pPr>
            <w:r w:rsidRPr="00641DE1">
              <w:rPr>
                <w:rFonts w:ascii="標楷體" w:eastAsia="標楷體" w:hAnsi="標楷體" w:hint="eastAsia"/>
                <w:spacing w:val="-20"/>
                <w:kern w:val="2"/>
                <w:szCs w:val="24"/>
              </w:rPr>
              <w:t>0</w:t>
            </w:r>
          </w:p>
        </w:tc>
        <w:tc>
          <w:tcPr>
            <w:tcW w:w="709" w:type="dxa"/>
            <w:tcBorders>
              <w:left w:val="single" w:sz="4" w:space="0" w:color="auto"/>
              <w:bottom w:val="single" w:sz="2" w:space="0" w:color="auto"/>
              <w:right w:val="single" w:sz="18" w:space="0" w:color="auto"/>
            </w:tcBorders>
            <w:shd w:val="clear" w:color="auto" w:fill="FBD4B4"/>
            <w:vAlign w:val="center"/>
          </w:tcPr>
          <w:p w14:paraId="55567F4B" w14:textId="55BA5D38" w:rsidR="00EF440A" w:rsidRPr="00C707DF" w:rsidRDefault="006F041E" w:rsidP="00F470A8">
            <w:pPr>
              <w:widowControl w:val="0"/>
              <w:overflowPunct w:val="0"/>
              <w:autoSpaceDN/>
              <w:jc w:val="center"/>
              <w:textAlignment w:val="auto"/>
              <w:rPr>
                <w:rFonts w:ascii="標楷體" w:eastAsia="標楷體" w:hAnsi="標楷體"/>
                <w:kern w:val="2"/>
                <w:szCs w:val="24"/>
              </w:rPr>
            </w:pPr>
            <w:r w:rsidRPr="00C707DF">
              <w:rPr>
                <w:rFonts w:ascii="標楷體" w:eastAsia="標楷體" w:hAnsi="標楷體" w:hint="eastAsia"/>
                <w:kern w:val="2"/>
                <w:szCs w:val="24"/>
              </w:rPr>
              <w:t>10</w:t>
            </w:r>
            <w:r w:rsidR="00C707DF" w:rsidRPr="00C707DF">
              <w:rPr>
                <w:rFonts w:ascii="標楷體" w:eastAsia="標楷體" w:hAnsi="標楷體" w:hint="eastAsia"/>
                <w:kern w:val="2"/>
                <w:szCs w:val="24"/>
              </w:rPr>
              <w:t>5</w:t>
            </w:r>
          </w:p>
        </w:tc>
        <w:tc>
          <w:tcPr>
            <w:tcW w:w="709" w:type="dxa"/>
            <w:tcBorders>
              <w:left w:val="single" w:sz="18" w:space="0" w:color="auto"/>
              <w:bottom w:val="single" w:sz="2" w:space="0" w:color="auto"/>
              <w:right w:val="single" w:sz="18" w:space="0" w:color="auto"/>
            </w:tcBorders>
            <w:shd w:val="clear" w:color="auto" w:fill="FFCCFF"/>
            <w:vAlign w:val="center"/>
          </w:tcPr>
          <w:p w14:paraId="725E4120" w14:textId="3DAE4E23" w:rsidR="00EF440A" w:rsidRPr="00C707DF" w:rsidRDefault="0003251B" w:rsidP="00F470A8">
            <w:pPr>
              <w:widowControl w:val="0"/>
              <w:overflowPunct w:val="0"/>
              <w:autoSpaceDN/>
              <w:jc w:val="center"/>
              <w:textAlignment w:val="auto"/>
              <w:rPr>
                <w:rFonts w:ascii="標楷體" w:eastAsia="標楷體" w:hAnsi="標楷體"/>
                <w:kern w:val="2"/>
                <w:szCs w:val="24"/>
              </w:rPr>
            </w:pPr>
            <w:r w:rsidRPr="00C707DF">
              <w:rPr>
                <w:rFonts w:ascii="標楷體" w:eastAsia="標楷體" w:hAnsi="標楷體" w:hint="eastAsia"/>
                <w:kern w:val="2"/>
                <w:szCs w:val="24"/>
              </w:rPr>
              <w:t>21</w:t>
            </w:r>
          </w:p>
        </w:tc>
        <w:tc>
          <w:tcPr>
            <w:tcW w:w="709" w:type="dxa"/>
            <w:tcBorders>
              <w:left w:val="single" w:sz="4" w:space="0" w:color="auto"/>
              <w:bottom w:val="single" w:sz="2" w:space="0" w:color="auto"/>
              <w:right w:val="single" w:sz="18" w:space="0" w:color="auto"/>
            </w:tcBorders>
            <w:shd w:val="clear" w:color="auto" w:fill="DBE5F1"/>
            <w:vAlign w:val="center"/>
          </w:tcPr>
          <w:p w14:paraId="24F56382" w14:textId="2DC06276" w:rsidR="00EF440A" w:rsidRPr="00C707DF" w:rsidRDefault="00EB06F8" w:rsidP="00F470A8">
            <w:pPr>
              <w:widowControl w:val="0"/>
              <w:overflowPunct w:val="0"/>
              <w:autoSpaceDN/>
              <w:jc w:val="center"/>
              <w:textAlignment w:val="auto"/>
              <w:rPr>
                <w:rFonts w:ascii="標楷體" w:eastAsia="標楷體" w:hAnsi="標楷體"/>
                <w:b/>
                <w:bCs/>
                <w:kern w:val="2"/>
                <w:szCs w:val="24"/>
              </w:rPr>
            </w:pPr>
            <w:r w:rsidRPr="00C707DF">
              <w:rPr>
                <w:rFonts w:ascii="標楷體" w:eastAsia="標楷體" w:hAnsi="標楷體" w:hint="eastAsia"/>
                <w:b/>
                <w:bCs/>
                <w:kern w:val="2"/>
                <w:szCs w:val="24"/>
              </w:rPr>
              <w:t>1</w:t>
            </w:r>
            <w:r w:rsidR="00C707DF" w:rsidRPr="00C707DF">
              <w:rPr>
                <w:rFonts w:ascii="標楷體" w:eastAsia="標楷體" w:hAnsi="標楷體" w:hint="eastAsia"/>
                <w:b/>
                <w:bCs/>
                <w:kern w:val="2"/>
                <w:szCs w:val="24"/>
              </w:rPr>
              <w:t>26</w:t>
            </w:r>
          </w:p>
        </w:tc>
      </w:tr>
      <w:tr w:rsidR="00464A6F" w:rsidRPr="00464A6F" w14:paraId="7F6D280B" w14:textId="77777777" w:rsidTr="00F44EFE">
        <w:trPr>
          <w:trHeight w:val="1072"/>
        </w:trPr>
        <w:tc>
          <w:tcPr>
            <w:tcW w:w="567" w:type="dxa"/>
            <w:vMerge/>
            <w:tcBorders>
              <w:left w:val="single" w:sz="18" w:space="0" w:color="auto"/>
              <w:bottom w:val="single" w:sz="18" w:space="0" w:color="auto"/>
              <w:right w:val="single" w:sz="4" w:space="0" w:color="auto"/>
            </w:tcBorders>
            <w:shd w:val="clear" w:color="auto" w:fill="FFFFFF"/>
          </w:tcPr>
          <w:p w14:paraId="4D8D0117" w14:textId="77777777" w:rsidR="00EF440A" w:rsidRPr="00464A6F" w:rsidRDefault="00EF440A" w:rsidP="00F470A8">
            <w:pPr>
              <w:widowControl w:val="0"/>
              <w:overflowPunct w:val="0"/>
              <w:autoSpaceDN/>
              <w:spacing w:line="360" w:lineRule="exact"/>
              <w:ind w:leftChars="-55" w:left="274" w:hangingChars="156" w:hanging="406"/>
              <w:jc w:val="both"/>
              <w:textAlignment w:val="auto"/>
              <w:rPr>
                <w:rFonts w:ascii="標楷體" w:eastAsia="標楷體" w:hAnsi="標楷體"/>
                <w:bCs/>
                <w:color w:val="FF0000"/>
                <w:spacing w:val="-20"/>
                <w:kern w:val="2"/>
                <w:sz w:val="28"/>
                <w:szCs w:val="28"/>
              </w:rPr>
            </w:pPr>
          </w:p>
        </w:tc>
        <w:tc>
          <w:tcPr>
            <w:tcW w:w="2376" w:type="dxa"/>
            <w:tcBorders>
              <w:top w:val="single" w:sz="4" w:space="0" w:color="auto"/>
              <w:left w:val="single" w:sz="4" w:space="0" w:color="auto"/>
              <w:bottom w:val="single" w:sz="4" w:space="0" w:color="auto"/>
              <w:right w:val="single" w:sz="18" w:space="0" w:color="auto"/>
            </w:tcBorders>
            <w:shd w:val="clear" w:color="auto" w:fill="FFFFFF"/>
            <w:vAlign w:val="center"/>
          </w:tcPr>
          <w:p w14:paraId="356FA97F" w14:textId="77777777" w:rsidR="00EF440A" w:rsidRPr="00510EC7" w:rsidRDefault="00EF440A" w:rsidP="00F470A8">
            <w:pPr>
              <w:widowControl w:val="0"/>
              <w:tabs>
                <w:tab w:val="left" w:pos="284"/>
                <w:tab w:val="left" w:pos="426"/>
              </w:tabs>
              <w:overflowPunct w:val="0"/>
              <w:spacing w:line="400" w:lineRule="exact"/>
              <w:jc w:val="both"/>
              <w:rPr>
                <w:rFonts w:ascii="標楷體" w:eastAsia="標楷體" w:hAnsi="標楷體"/>
                <w:bCs/>
                <w:szCs w:val="24"/>
              </w:rPr>
            </w:pPr>
            <w:r w:rsidRPr="00510EC7">
              <w:rPr>
                <w:rFonts w:ascii="標楷體" w:eastAsia="標楷體" w:hAnsi="標楷體" w:hint="eastAsia"/>
                <w:bCs/>
                <w:szCs w:val="24"/>
              </w:rPr>
              <w:t>(六)其他議案</w:t>
            </w:r>
          </w:p>
          <w:p w14:paraId="17C63452" w14:textId="77777777" w:rsidR="00EF440A" w:rsidRPr="00510EC7" w:rsidRDefault="00EF440A" w:rsidP="00F470A8">
            <w:pPr>
              <w:widowControl w:val="0"/>
              <w:tabs>
                <w:tab w:val="left" w:pos="284"/>
                <w:tab w:val="left" w:pos="426"/>
              </w:tabs>
              <w:overflowPunct w:val="0"/>
              <w:spacing w:line="400" w:lineRule="exact"/>
              <w:ind w:firstLineChars="200" w:firstLine="480"/>
              <w:jc w:val="both"/>
              <w:rPr>
                <w:rFonts w:ascii="標楷體" w:eastAsia="標楷體" w:hAnsi="標楷體"/>
                <w:bCs/>
                <w:szCs w:val="24"/>
              </w:rPr>
            </w:pPr>
            <w:r w:rsidRPr="00510EC7">
              <w:rPr>
                <w:rFonts w:ascii="標楷體" w:eastAsia="標楷體" w:hAnsi="標楷體" w:hint="eastAsia"/>
                <w:bCs/>
                <w:szCs w:val="24"/>
              </w:rPr>
              <w:t>(含預算報告案)</w:t>
            </w:r>
          </w:p>
        </w:tc>
        <w:tc>
          <w:tcPr>
            <w:tcW w:w="567" w:type="dxa"/>
            <w:tcBorders>
              <w:left w:val="single" w:sz="18" w:space="0" w:color="auto"/>
              <w:bottom w:val="single" w:sz="2" w:space="0" w:color="auto"/>
              <w:right w:val="dashed" w:sz="4" w:space="0" w:color="auto"/>
            </w:tcBorders>
            <w:shd w:val="clear" w:color="auto" w:fill="F2F2F2"/>
            <w:vAlign w:val="center"/>
          </w:tcPr>
          <w:p w14:paraId="29D1F6B2" w14:textId="77777777" w:rsidR="00EF440A" w:rsidRPr="00510EC7" w:rsidRDefault="006F041E" w:rsidP="00F470A8">
            <w:pPr>
              <w:widowControl w:val="0"/>
              <w:overflowPunct w:val="0"/>
              <w:autoSpaceDN/>
              <w:jc w:val="center"/>
              <w:textAlignment w:val="auto"/>
              <w:rPr>
                <w:rFonts w:ascii="標楷體" w:eastAsia="標楷體" w:hAnsi="標楷體"/>
                <w:spacing w:val="-20"/>
                <w:kern w:val="2"/>
                <w:szCs w:val="24"/>
              </w:rPr>
            </w:pPr>
            <w:r w:rsidRPr="00510EC7">
              <w:rPr>
                <w:rFonts w:ascii="標楷體" w:eastAsia="標楷體" w:hAnsi="標楷體" w:hint="eastAsia"/>
                <w:spacing w:val="-20"/>
                <w:kern w:val="2"/>
                <w:szCs w:val="24"/>
              </w:rPr>
              <w:t>3</w:t>
            </w:r>
          </w:p>
        </w:tc>
        <w:tc>
          <w:tcPr>
            <w:tcW w:w="567" w:type="dxa"/>
            <w:tcBorders>
              <w:left w:val="dashed" w:sz="4" w:space="0" w:color="auto"/>
              <w:bottom w:val="single" w:sz="2" w:space="0" w:color="auto"/>
              <w:right w:val="dashed" w:sz="4" w:space="0" w:color="auto"/>
            </w:tcBorders>
            <w:shd w:val="clear" w:color="auto" w:fill="F2F2F2"/>
            <w:vAlign w:val="center"/>
          </w:tcPr>
          <w:p w14:paraId="76F1DA62" w14:textId="6563884F" w:rsidR="00EF440A" w:rsidRPr="00383C53" w:rsidRDefault="00383C53" w:rsidP="00F470A8">
            <w:pPr>
              <w:widowControl w:val="0"/>
              <w:overflowPunct w:val="0"/>
              <w:autoSpaceDN/>
              <w:jc w:val="center"/>
              <w:textAlignment w:val="auto"/>
              <w:rPr>
                <w:rFonts w:ascii="標楷體" w:eastAsia="標楷體" w:hAnsi="標楷體"/>
                <w:spacing w:val="-20"/>
                <w:kern w:val="2"/>
                <w:szCs w:val="24"/>
              </w:rPr>
            </w:pPr>
            <w:r w:rsidRPr="00383C53">
              <w:rPr>
                <w:rFonts w:ascii="標楷體" w:eastAsia="標楷體" w:hAnsi="標楷體" w:hint="eastAsia"/>
                <w:spacing w:val="-20"/>
                <w:kern w:val="2"/>
                <w:szCs w:val="24"/>
              </w:rPr>
              <w:t>234</w:t>
            </w:r>
          </w:p>
        </w:tc>
        <w:tc>
          <w:tcPr>
            <w:tcW w:w="567" w:type="dxa"/>
            <w:tcBorders>
              <w:left w:val="dashed" w:sz="4" w:space="0" w:color="auto"/>
              <w:bottom w:val="single" w:sz="2" w:space="0" w:color="auto"/>
              <w:right w:val="dashed" w:sz="4" w:space="0" w:color="auto"/>
            </w:tcBorders>
            <w:shd w:val="clear" w:color="auto" w:fill="F2F2F2"/>
            <w:vAlign w:val="center"/>
          </w:tcPr>
          <w:p w14:paraId="3753EBFF"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29915BFF"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48830E9E"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66D49A17"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05284445"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dashed" w:sz="4" w:space="0" w:color="auto"/>
            </w:tcBorders>
            <w:shd w:val="clear" w:color="auto" w:fill="F2F2F2"/>
            <w:vAlign w:val="center"/>
          </w:tcPr>
          <w:p w14:paraId="74CFAB5C" w14:textId="77777777" w:rsidR="00EF440A" w:rsidRPr="00464A6F" w:rsidRDefault="00EF440A" w:rsidP="00F470A8">
            <w:pPr>
              <w:widowControl w:val="0"/>
              <w:overflowPunct w:val="0"/>
              <w:autoSpaceDN/>
              <w:jc w:val="center"/>
              <w:textAlignment w:val="auto"/>
              <w:rPr>
                <w:rFonts w:ascii="標楷體" w:eastAsia="標楷體" w:hAnsi="標楷體"/>
                <w:color w:val="FF0000"/>
                <w:spacing w:val="-20"/>
                <w:kern w:val="2"/>
                <w:szCs w:val="24"/>
              </w:rPr>
            </w:pPr>
          </w:p>
        </w:tc>
        <w:tc>
          <w:tcPr>
            <w:tcW w:w="567" w:type="dxa"/>
            <w:tcBorders>
              <w:left w:val="dashed" w:sz="4" w:space="0" w:color="auto"/>
              <w:bottom w:val="single" w:sz="2" w:space="0" w:color="auto"/>
              <w:right w:val="single" w:sz="4" w:space="0" w:color="auto"/>
            </w:tcBorders>
            <w:shd w:val="clear" w:color="auto" w:fill="D6E3BC"/>
            <w:vAlign w:val="center"/>
          </w:tcPr>
          <w:p w14:paraId="5DEDCD46" w14:textId="5FCD1135" w:rsidR="00EF440A" w:rsidRPr="00641DE1" w:rsidRDefault="0003251B" w:rsidP="00F470A8">
            <w:pPr>
              <w:widowControl w:val="0"/>
              <w:overflowPunct w:val="0"/>
              <w:autoSpaceDN/>
              <w:jc w:val="center"/>
              <w:textAlignment w:val="auto"/>
              <w:rPr>
                <w:rFonts w:ascii="標楷體" w:eastAsia="標楷體" w:hAnsi="標楷體"/>
                <w:spacing w:val="-20"/>
                <w:kern w:val="2"/>
                <w:szCs w:val="24"/>
              </w:rPr>
            </w:pPr>
            <w:r w:rsidRPr="00641DE1">
              <w:rPr>
                <w:rFonts w:ascii="標楷體" w:eastAsia="標楷體" w:hAnsi="標楷體" w:hint="eastAsia"/>
                <w:spacing w:val="-20"/>
                <w:kern w:val="2"/>
                <w:szCs w:val="24"/>
              </w:rPr>
              <w:t>1</w:t>
            </w:r>
          </w:p>
        </w:tc>
        <w:tc>
          <w:tcPr>
            <w:tcW w:w="709" w:type="dxa"/>
            <w:tcBorders>
              <w:left w:val="single" w:sz="4" w:space="0" w:color="auto"/>
              <w:bottom w:val="single" w:sz="2" w:space="0" w:color="auto"/>
              <w:right w:val="single" w:sz="18" w:space="0" w:color="auto"/>
            </w:tcBorders>
            <w:shd w:val="clear" w:color="auto" w:fill="FBD4B4"/>
            <w:vAlign w:val="center"/>
          </w:tcPr>
          <w:p w14:paraId="06E8E328" w14:textId="604A8824" w:rsidR="00EF440A" w:rsidRPr="00C707DF" w:rsidRDefault="00C707DF" w:rsidP="00F470A8">
            <w:pPr>
              <w:widowControl w:val="0"/>
              <w:overflowPunct w:val="0"/>
              <w:autoSpaceDN/>
              <w:jc w:val="center"/>
              <w:textAlignment w:val="auto"/>
              <w:rPr>
                <w:rFonts w:ascii="標楷體" w:eastAsia="標楷體" w:hAnsi="標楷體"/>
                <w:kern w:val="2"/>
                <w:szCs w:val="24"/>
              </w:rPr>
            </w:pPr>
            <w:r w:rsidRPr="00C707DF">
              <w:rPr>
                <w:rFonts w:ascii="標楷體" w:eastAsia="標楷體" w:hAnsi="標楷體" w:hint="eastAsia"/>
                <w:kern w:val="2"/>
                <w:szCs w:val="24"/>
              </w:rPr>
              <w:t>2</w:t>
            </w:r>
            <w:r w:rsidR="00CF7959">
              <w:rPr>
                <w:rFonts w:ascii="標楷體" w:eastAsia="標楷體" w:hAnsi="標楷體" w:hint="eastAsia"/>
                <w:kern w:val="2"/>
                <w:szCs w:val="24"/>
              </w:rPr>
              <w:t>38</w:t>
            </w:r>
          </w:p>
        </w:tc>
        <w:tc>
          <w:tcPr>
            <w:tcW w:w="709" w:type="dxa"/>
            <w:tcBorders>
              <w:left w:val="single" w:sz="18" w:space="0" w:color="auto"/>
              <w:bottom w:val="single" w:sz="2" w:space="0" w:color="auto"/>
              <w:right w:val="single" w:sz="18" w:space="0" w:color="auto"/>
            </w:tcBorders>
            <w:shd w:val="clear" w:color="auto" w:fill="FFCCFF"/>
            <w:vAlign w:val="center"/>
          </w:tcPr>
          <w:p w14:paraId="2F5F1826" w14:textId="367EA65F" w:rsidR="00EF440A" w:rsidRPr="00C707DF" w:rsidRDefault="0003251B" w:rsidP="00F470A8">
            <w:pPr>
              <w:widowControl w:val="0"/>
              <w:overflowPunct w:val="0"/>
              <w:autoSpaceDN/>
              <w:jc w:val="center"/>
              <w:textAlignment w:val="auto"/>
              <w:rPr>
                <w:rFonts w:ascii="標楷體" w:eastAsia="標楷體" w:hAnsi="標楷體"/>
                <w:kern w:val="2"/>
                <w:szCs w:val="24"/>
              </w:rPr>
            </w:pPr>
            <w:r w:rsidRPr="00C707DF">
              <w:rPr>
                <w:rFonts w:ascii="標楷體" w:eastAsia="標楷體" w:hAnsi="標楷體" w:hint="eastAsia"/>
                <w:kern w:val="2"/>
                <w:szCs w:val="24"/>
              </w:rPr>
              <w:t>706</w:t>
            </w:r>
          </w:p>
        </w:tc>
        <w:tc>
          <w:tcPr>
            <w:tcW w:w="709" w:type="dxa"/>
            <w:tcBorders>
              <w:left w:val="single" w:sz="4" w:space="0" w:color="auto"/>
              <w:bottom w:val="single" w:sz="2" w:space="0" w:color="auto"/>
              <w:right w:val="single" w:sz="18" w:space="0" w:color="auto"/>
            </w:tcBorders>
            <w:shd w:val="clear" w:color="auto" w:fill="DBE5F1"/>
            <w:vAlign w:val="center"/>
          </w:tcPr>
          <w:p w14:paraId="6E2E407F" w14:textId="091B2DEB" w:rsidR="00EF440A" w:rsidRPr="00C707DF" w:rsidRDefault="00EB06F8" w:rsidP="00F470A8">
            <w:pPr>
              <w:widowControl w:val="0"/>
              <w:overflowPunct w:val="0"/>
              <w:autoSpaceDN/>
              <w:jc w:val="center"/>
              <w:textAlignment w:val="auto"/>
              <w:rPr>
                <w:rFonts w:ascii="標楷體" w:eastAsia="標楷體" w:hAnsi="標楷體" w:cs="新細明體"/>
                <w:b/>
                <w:bCs/>
                <w:kern w:val="2"/>
                <w:szCs w:val="24"/>
              </w:rPr>
            </w:pPr>
            <w:r w:rsidRPr="00C707DF">
              <w:rPr>
                <w:rFonts w:ascii="標楷體" w:eastAsia="標楷體" w:hAnsi="標楷體" w:cs="新細明體" w:hint="eastAsia"/>
                <w:b/>
                <w:bCs/>
                <w:kern w:val="2"/>
                <w:szCs w:val="24"/>
              </w:rPr>
              <w:t>9</w:t>
            </w:r>
            <w:r w:rsidR="00C707DF" w:rsidRPr="00C707DF">
              <w:rPr>
                <w:rFonts w:ascii="標楷體" w:eastAsia="標楷體" w:hAnsi="標楷體" w:cs="新細明體" w:hint="eastAsia"/>
                <w:b/>
                <w:bCs/>
                <w:kern w:val="2"/>
                <w:szCs w:val="24"/>
              </w:rPr>
              <w:t>4</w:t>
            </w:r>
            <w:r w:rsidR="00CF7959">
              <w:rPr>
                <w:rFonts w:ascii="標楷體" w:eastAsia="標楷體" w:hAnsi="標楷體" w:cs="新細明體" w:hint="eastAsia"/>
                <w:b/>
                <w:bCs/>
                <w:kern w:val="2"/>
                <w:szCs w:val="24"/>
              </w:rPr>
              <w:t>4</w:t>
            </w:r>
          </w:p>
        </w:tc>
      </w:tr>
      <w:tr w:rsidR="00464A6F" w:rsidRPr="00464A6F" w14:paraId="5C756E74" w14:textId="77777777" w:rsidTr="00F44EFE">
        <w:trPr>
          <w:trHeight w:val="510"/>
        </w:trPr>
        <w:tc>
          <w:tcPr>
            <w:tcW w:w="2943" w:type="dxa"/>
            <w:gridSpan w:val="2"/>
            <w:tcBorders>
              <w:top w:val="single" w:sz="18" w:space="0" w:color="auto"/>
              <w:left w:val="single" w:sz="18" w:space="0" w:color="auto"/>
              <w:bottom w:val="single" w:sz="18" w:space="0" w:color="auto"/>
              <w:right w:val="single" w:sz="18" w:space="0" w:color="auto"/>
            </w:tcBorders>
            <w:shd w:val="clear" w:color="auto" w:fill="DBE5F1"/>
          </w:tcPr>
          <w:p w14:paraId="19A61B05" w14:textId="77777777" w:rsidR="00EF440A" w:rsidRPr="00510EC7" w:rsidRDefault="00EF440A" w:rsidP="00F470A8">
            <w:pPr>
              <w:widowControl w:val="0"/>
              <w:overflowPunct w:val="0"/>
              <w:autoSpaceDN/>
              <w:spacing w:line="400" w:lineRule="exact"/>
              <w:ind w:leftChars="45" w:left="108" w:firstLineChars="200" w:firstLine="521"/>
              <w:textAlignment w:val="auto"/>
              <w:rPr>
                <w:rFonts w:ascii="標楷體" w:eastAsia="標楷體" w:hAnsi="標楷體"/>
                <w:b/>
                <w:spacing w:val="-20"/>
                <w:kern w:val="2"/>
                <w:sz w:val="28"/>
                <w:szCs w:val="28"/>
              </w:rPr>
            </w:pPr>
            <w:r w:rsidRPr="00510EC7">
              <w:rPr>
                <w:rFonts w:ascii="標楷體" w:eastAsia="標楷體" w:hAnsi="標楷體" w:hint="eastAsia"/>
                <w:b/>
                <w:spacing w:val="-20"/>
                <w:kern w:val="2"/>
                <w:sz w:val="28"/>
                <w:szCs w:val="28"/>
              </w:rPr>
              <w:t>(一)至(六)</w:t>
            </w:r>
          </w:p>
          <w:p w14:paraId="14674D62" w14:textId="77777777" w:rsidR="00EF440A" w:rsidRPr="00510EC7" w:rsidRDefault="00EF440A" w:rsidP="00F470A8">
            <w:pPr>
              <w:widowControl w:val="0"/>
              <w:overflowPunct w:val="0"/>
              <w:autoSpaceDN/>
              <w:spacing w:line="400" w:lineRule="exact"/>
              <w:ind w:leftChars="-55" w:left="274" w:hangingChars="156" w:hanging="406"/>
              <w:jc w:val="center"/>
              <w:textAlignment w:val="auto"/>
              <w:rPr>
                <w:rFonts w:ascii="標楷體" w:eastAsia="標楷體" w:hAnsi="標楷體"/>
                <w:b/>
                <w:spacing w:val="-20"/>
                <w:kern w:val="2"/>
                <w:sz w:val="28"/>
                <w:szCs w:val="28"/>
              </w:rPr>
            </w:pPr>
            <w:r w:rsidRPr="00510EC7">
              <w:rPr>
                <w:rFonts w:ascii="標楷體" w:eastAsia="標楷體" w:hAnsi="標楷體" w:hint="eastAsia"/>
                <w:b/>
                <w:spacing w:val="-20"/>
                <w:kern w:val="2"/>
                <w:sz w:val="28"/>
                <w:szCs w:val="28"/>
              </w:rPr>
              <w:t>小     計</w:t>
            </w:r>
          </w:p>
        </w:tc>
        <w:tc>
          <w:tcPr>
            <w:tcW w:w="567" w:type="dxa"/>
            <w:tcBorders>
              <w:top w:val="single" w:sz="18" w:space="0" w:color="auto"/>
              <w:left w:val="single" w:sz="18" w:space="0" w:color="auto"/>
              <w:bottom w:val="single" w:sz="18" w:space="0" w:color="auto"/>
              <w:right w:val="dashed" w:sz="4" w:space="0" w:color="auto"/>
            </w:tcBorders>
            <w:shd w:val="clear" w:color="auto" w:fill="F2F2F2"/>
            <w:vAlign w:val="center"/>
          </w:tcPr>
          <w:p w14:paraId="5A1075C7" w14:textId="77777777" w:rsidR="00EF440A" w:rsidRPr="00510EC7" w:rsidRDefault="006F041E" w:rsidP="00F470A8">
            <w:pPr>
              <w:widowControl w:val="0"/>
              <w:overflowPunct w:val="0"/>
              <w:autoSpaceDN/>
              <w:spacing w:line="400" w:lineRule="exact"/>
              <w:jc w:val="center"/>
              <w:textAlignment w:val="auto"/>
              <w:rPr>
                <w:rFonts w:ascii="標楷體" w:eastAsia="標楷體" w:hAnsi="標楷體" w:cs="新細明體"/>
                <w:b/>
                <w:spacing w:val="-20"/>
                <w:kern w:val="2"/>
                <w:szCs w:val="24"/>
              </w:rPr>
            </w:pPr>
            <w:r w:rsidRPr="00510EC7">
              <w:rPr>
                <w:rFonts w:ascii="標楷體" w:eastAsia="標楷體" w:hAnsi="標楷體" w:cs="新細明體" w:hint="eastAsia"/>
                <w:b/>
                <w:spacing w:val="-20"/>
                <w:kern w:val="2"/>
                <w:szCs w:val="24"/>
              </w:rPr>
              <w:t>183</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14:paraId="44833094" w14:textId="778B8621" w:rsidR="00EF440A" w:rsidRPr="00383C53" w:rsidRDefault="00383C53" w:rsidP="00F470A8">
            <w:pPr>
              <w:widowControl w:val="0"/>
              <w:overflowPunct w:val="0"/>
              <w:autoSpaceDN/>
              <w:spacing w:line="400" w:lineRule="exact"/>
              <w:jc w:val="center"/>
              <w:textAlignment w:val="auto"/>
              <w:rPr>
                <w:rFonts w:ascii="標楷體" w:eastAsia="標楷體" w:hAnsi="標楷體" w:cs="新細明體"/>
                <w:b/>
                <w:spacing w:val="-20"/>
                <w:kern w:val="2"/>
                <w:szCs w:val="24"/>
              </w:rPr>
            </w:pPr>
            <w:r w:rsidRPr="00383C53">
              <w:rPr>
                <w:rFonts w:ascii="標楷體" w:eastAsia="標楷體" w:hAnsi="標楷體" w:cs="新細明體" w:hint="eastAsia"/>
                <w:b/>
                <w:spacing w:val="-20"/>
                <w:kern w:val="2"/>
                <w:szCs w:val="24"/>
              </w:rPr>
              <w:t>4</w:t>
            </w:r>
            <w:r w:rsidR="002C7AEA">
              <w:rPr>
                <w:rFonts w:ascii="標楷體" w:eastAsia="標楷體" w:hAnsi="標楷體" w:cs="新細明體" w:hint="eastAsia"/>
                <w:b/>
                <w:spacing w:val="-20"/>
                <w:kern w:val="2"/>
                <w:szCs w:val="24"/>
              </w:rPr>
              <w:t>43</w:t>
            </w: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14:paraId="77EB7D12"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14:paraId="202A1D8B"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14:paraId="0ABC16AC"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14:paraId="6CBE684C"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14:paraId="5FB42511"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single" w:sz="18" w:space="0" w:color="auto"/>
              <w:left w:val="dashed" w:sz="4" w:space="0" w:color="auto"/>
              <w:bottom w:val="single" w:sz="18" w:space="0" w:color="auto"/>
              <w:right w:val="dashed" w:sz="4" w:space="0" w:color="auto"/>
            </w:tcBorders>
            <w:shd w:val="clear" w:color="auto" w:fill="F2F2F2"/>
            <w:vAlign w:val="center"/>
          </w:tcPr>
          <w:p w14:paraId="1CFEE7F3"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single" w:sz="18" w:space="0" w:color="auto"/>
              <w:left w:val="dashed" w:sz="4" w:space="0" w:color="auto"/>
              <w:bottom w:val="single" w:sz="18" w:space="0" w:color="auto"/>
              <w:right w:val="single" w:sz="4" w:space="0" w:color="auto"/>
            </w:tcBorders>
            <w:shd w:val="clear" w:color="auto" w:fill="D6E3BC"/>
            <w:vAlign w:val="center"/>
          </w:tcPr>
          <w:p w14:paraId="7A1528E5" w14:textId="1C18E4CE" w:rsidR="00EF440A" w:rsidRPr="00641DE1" w:rsidRDefault="00BD08C2" w:rsidP="00F470A8">
            <w:pPr>
              <w:widowControl w:val="0"/>
              <w:overflowPunct w:val="0"/>
              <w:autoSpaceDN/>
              <w:spacing w:line="400" w:lineRule="exact"/>
              <w:jc w:val="center"/>
              <w:textAlignment w:val="auto"/>
              <w:rPr>
                <w:rFonts w:ascii="標楷體" w:eastAsia="標楷體" w:hAnsi="標楷體" w:cs="新細明體"/>
                <w:b/>
                <w:spacing w:val="-20"/>
                <w:kern w:val="2"/>
                <w:szCs w:val="24"/>
              </w:rPr>
            </w:pPr>
            <w:r>
              <w:rPr>
                <w:rFonts w:ascii="標楷體" w:eastAsia="標楷體" w:hAnsi="標楷體" w:cs="新細明體" w:hint="eastAsia"/>
                <w:b/>
                <w:spacing w:val="-20"/>
                <w:kern w:val="2"/>
                <w:szCs w:val="24"/>
              </w:rPr>
              <w:t>60</w:t>
            </w:r>
          </w:p>
        </w:tc>
        <w:tc>
          <w:tcPr>
            <w:tcW w:w="709" w:type="dxa"/>
            <w:tcBorders>
              <w:top w:val="single" w:sz="18" w:space="0" w:color="auto"/>
              <w:left w:val="single" w:sz="4" w:space="0" w:color="auto"/>
              <w:bottom w:val="single" w:sz="18" w:space="0" w:color="auto"/>
              <w:right w:val="single" w:sz="18" w:space="0" w:color="auto"/>
            </w:tcBorders>
            <w:shd w:val="clear" w:color="auto" w:fill="FBD4B4"/>
            <w:vAlign w:val="center"/>
          </w:tcPr>
          <w:p w14:paraId="18CECE4F" w14:textId="3521C7D5" w:rsidR="00EF440A" w:rsidRPr="00C707DF" w:rsidRDefault="00C707DF" w:rsidP="00F470A8">
            <w:pPr>
              <w:widowControl w:val="0"/>
              <w:overflowPunct w:val="0"/>
              <w:autoSpaceDN/>
              <w:spacing w:line="400" w:lineRule="exact"/>
              <w:jc w:val="center"/>
              <w:textAlignment w:val="auto"/>
              <w:rPr>
                <w:rFonts w:ascii="標楷體" w:eastAsia="標楷體" w:hAnsi="標楷體" w:cs="新細明體"/>
                <w:b/>
                <w:kern w:val="2"/>
                <w:szCs w:val="24"/>
              </w:rPr>
            </w:pPr>
            <w:r w:rsidRPr="00C707DF">
              <w:rPr>
                <w:rFonts w:ascii="標楷體" w:eastAsia="標楷體" w:hAnsi="標楷體" w:cs="新細明體" w:hint="eastAsia"/>
                <w:b/>
                <w:kern w:val="2"/>
                <w:szCs w:val="24"/>
              </w:rPr>
              <w:t>68</w:t>
            </w:r>
            <w:r w:rsidR="00ED10ED">
              <w:rPr>
                <w:rFonts w:ascii="標楷體" w:eastAsia="標楷體" w:hAnsi="標楷體" w:cs="新細明體" w:hint="eastAsia"/>
                <w:b/>
                <w:kern w:val="2"/>
                <w:szCs w:val="24"/>
              </w:rPr>
              <w:t>6</w:t>
            </w:r>
          </w:p>
        </w:tc>
        <w:tc>
          <w:tcPr>
            <w:tcW w:w="709" w:type="dxa"/>
            <w:tcBorders>
              <w:top w:val="single" w:sz="18" w:space="0" w:color="auto"/>
              <w:left w:val="single" w:sz="18" w:space="0" w:color="auto"/>
              <w:bottom w:val="single" w:sz="18" w:space="0" w:color="auto"/>
              <w:right w:val="single" w:sz="18" w:space="0" w:color="auto"/>
            </w:tcBorders>
            <w:shd w:val="clear" w:color="auto" w:fill="FFCCFF"/>
            <w:vAlign w:val="center"/>
          </w:tcPr>
          <w:p w14:paraId="50CD5C94" w14:textId="7BF153B7" w:rsidR="00EF440A" w:rsidRPr="0003251B" w:rsidRDefault="0003251B" w:rsidP="00F470A8">
            <w:pPr>
              <w:widowControl w:val="0"/>
              <w:overflowPunct w:val="0"/>
              <w:autoSpaceDN/>
              <w:spacing w:line="400" w:lineRule="exact"/>
              <w:jc w:val="center"/>
              <w:textAlignment w:val="auto"/>
              <w:rPr>
                <w:rFonts w:ascii="標楷體" w:eastAsia="標楷體" w:hAnsi="標楷體" w:cs="新細明體"/>
                <w:b/>
                <w:kern w:val="2"/>
                <w:szCs w:val="24"/>
              </w:rPr>
            </w:pPr>
            <w:r>
              <w:rPr>
                <w:rFonts w:ascii="標楷體" w:eastAsia="標楷體" w:hAnsi="標楷體" w:cs="新細明體" w:hint="eastAsia"/>
                <w:b/>
                <w:kern w:val="2"/>
                <w:szCs w:val="24"/>
              </w:rPr>
              <w:t>995</w:t>
            </w:r>
          </w:p>
        </w:tc>
        <w:tc>
          <w:tcPr>
            <w:tcW w:w="709" w:type="dxa"/>
            <w:tcBorders>
              <w:top w:val="single" w:sz="18" w:space="0" w:color="auto"/>
              <w:left w:val="single" w:sz="4" w:space="0" w:color="auto"/>
              <w:bottom w:val="single" w:sz="18" w:space="0" w:color="auto"/>
              <w:right w:val="single" w:sz="18" w:space="0" w:color="auto"/>
            </w:tcBorders>
            <w:shd w:val="clear" w:color="auto" w:fill="DBE5F1"/>
            <w:vAlign w:val="center"/>
          </w:tcPr>
          <w:p w14:paraId="71657639" w14:textId="13059F69" w:rsidR="00EF440A" w:rsidRPr="00464A6F" w:rsidRDefault="00EB06F8" w:rsidP="00F470A8">
            <w:pPr>
              <w:widowControl w:val="0"/>
              <w:overflowPunct w:val="0"/>
              <w:autoSpaceDN/>
              <w:spacing w:line="400" w:lineRule="exact"/>
              <w:jc w:val="center"/>
              <w:textAlignment w:val="auto"/>
              <w:rPr>
                <w:rFonts w:ascii="標楷體" w:eastAsia="標楷體" w:hAnsi="標楷體" w:cs="新細明體"/>
                <w:b/>
                <w:bCs/>
                <w:color w:val="FF0000"/>
                <w:kern w:val="2"/>
                <w:szCs w:val="24"/>
              </w:rPr>
            </w:pPr>
            <w:r w:rsidRPr="00C707DF">
              <w:rPr>
                <w:rFonts w:ascii="標楷體" w:eastAsia="標楷體" w:hAnsi="標楷體" w:cs="新細明體" w:hint="eastAsia"/>
                <w:b/>
                <w:bCs/>
                <w:kern w:val="2"/>
                <w:szCs w:val="24"/>
              </w:rPr>
              <w:t>1</w:t>
            </w:r>
            <w:r w:rsidR="00C707DF" w:rsidRPr="00C707DF">
              <w:rPr>
                <w:rFonts w:ascii="標楷體" w:eastAsia="標楷體" w:hAnsi="標楷體" w:cs="新細明體" w:hint="eastAsia"/>
                <w:b/>
                <w:bCs/>
                <w:kern w:val="2"/>
                <w:szCs w:val="24"/>
              </w:rPr>
              <w:t>6</w:t>
            </w:r>
            <w:r w:rsidR="00ED10ED">
              <w:rPr>
                <w:rFonts w:ascii="標楷體" w:eastAsia="標楷體" w:hAnsi="標楷體" w:cs="新細明體" w:hint="eastAsia"/>
                <w:b/>
                <w:bCs/>
                <w:kern w:val="2"/>
                <w:szCs w:val="24"/>
              </w:rPr>
              <w:t>81</w:t>
            </w:r>
          </w:p>
        </w:tc>
      </w:tr>
      <w:tr w:rsidR="00464A6F" w:rsidRPr="00464A6F" w14:paraId="76E0C647" w14:textId="77777777" w:rsidTr="00F44EFE">
        <w:trPr>
          <w:trHeight w:val="717"/>
        </w:trPr>
        <w:tc>
          <w:tcPr>
            <w:tcW w:w="2943" w:type="dxa"/>
            <w:gridSpan w:val="2"/>
            <w:tcBorders>
              <w:top w:val="single" w:sz="18" w:space="0" w:color="auto"/>
              <w:left w:val="single" w:sz="18" w:space="0" w:color="auto"/>
              <w:bottom w:val="thinThickThinMediumGap" w:sz="18" w:space="0" w:color="auto"/>
              <w:right w:val="single" w:sz="18" w:space="0" w:color="auto"/>
            </w:tcBorders>
            <w:shd w:val="clear" w:color="auto" w:fill="FFFFFF"/>
            <w:vAlign w:val="center"/>
          </w:tcPr>
          <w:p w14:paraId="201B3AD3" w14:textId="77777777" w:rsidR="00EF440A" w:rsidRPr="00510EC7" w:rsidRDefault="00EF440A" w:rsidP="00F470A8">
            <w:pPr>
              <w:widowControl w:val="0"/>
              <w:overflowPunct w:val="0"/>
              <w:autoSpaceDN/>
              <w:spacing w:line="360" w:lineRule="exact"/>
              <w:ind w:left="260" w:hangingChars="100" w:hanging="260"/>
              <w:jc w:val="both"/>
              <w:textAlignment w:val="auto"/>
              <w:rPr>
                <w:rFonts w:ascii="標楷體" w:eastAsia="標楷體" w:hAnsi="標楷體"/>
                <w:bCs/>
                <w:spacing w:val="-20"/>
                <w:kern w:val="2"/>
                <w:sz w:val="28"/>
                <w:szCs w:val="28"/>
              </w:rPr>
            </w:pPr>
            <w:r w:rsidRPr="00510EC7">
              <w:rPr>
                <w:rFonts w:ascii="標楷體" w:eastAsia="標楷體" w:hAnsi="標楷體" w:hint="eastAsia"/>
                <w:bCs/>
                <w:spacing w:val="-20"/>
                <w:kern w:val="2"/>
                <w:sz w:val="28"/>
                <w:szCs w:val="28"/>
              </w:rPr>
              <w:t xml:space="preserve">     (七)人民請願案</w:t>
            </w:r>
          </w:p>
        </w:tc>
        <w:tc>
          <w:tcPr>
            <w:tcW w:w="567" w:type="dxa"/>
            <w:tcBorders>
              <w:top w:val="single" w:sz="18" w:space="0" w:color="auto"/>
              <w:left w:val="single" w:sz="18" w:space="0" w:color="auto"/>
              <w:bottom w:val="thinThickThinMediumGap" w:sz="18" w:space="0" w:color="auto"/>
              <w:right w:val="dashed" w:sz="4" w:space="0" w:color="auto"/>
            </w:tcBorders>
            <w:shd w:val="clear" w:color="auto" w:fill="F2F2F2"/>
            <w:vAlign w:val="center"/>
          </w:tcPr>
          <w:p w14:paraId="4FAC6C98" w14:textId="77777777" w:rsidR="00EF440A" w:rsidRPr="00510EC7" w:rsidRDefault="00EF440A" w:rsidP="00F470A8">
            <w:pPr>
              <w:widowControl w:val="0"/>
              <w:overflowPunct w:val="0"/>
              <w:autoSpaceDN/>
              <w:jc w:val="center"/>
              <w:textAlignment w:val="auto"/>
              <w:rPr>
                <w:rFonts w:ascii="標楷體" w:eastAsia="標楷體" w:hAnsi="標楷體" w:cs="新細明體"/>
                <w:spacing w:val="-20"/>
                <w:kern w:val="2"/>
                <w:szCs w:val="24"/>
              </w:rPr>
            </w:pPr>
            <w:r w:rsidRPr="00510EC7">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14:paraId="24CEE90C" w14:textId="0C14BA7E" w:rsidR="00EF440A" w:rsidRPr="00383C53" w:rsidRDefault="00383C53" w:rsidP="00F470A8">
            <w:pPr>
              <w:widowControl w:val="0"/>
              <w:overflowPunct w:val="0"/>
              <w:autoSpaceDN/>
              <w:jc w:val="center"/>
              <w:textAlignment w:val="auto"/>
              <w:rPr>
                <w:rFonts w:ascii="標楷體" w:eastAsia="標楷體" w:hAnsi="標楷體" w:cs="新細明體"/>
                <w:spacing w:val="-20"/>
                <w:kern w:val="2"/>
                <w:szCs w:val="24"/>
              </w:rPr>
            </w:pPr>
            <w:r w:rsidRPr="00383C53">
              <w:rPr>
                <w:rFonts w:ascii="標楷體" w:eastAsia="標楷體" w:hAnsi="標楷體" w:cs="新細明體" w:hint="eastAsia"/>
                <w:spacing w:val="-20"/>
                <w:kern w:val="2"/>
                <w:szCs w:val="24"/>
              </w:rPr>
              <w:t>0</w:t>
            </w: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14:paraId="30CF456E"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14:paraId="1AA75F29"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14:paraId="21FA6557"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14:paraId="1E0E6BFC"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14:paraId="2A5170EC"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thinThickThinMediumGap" w:sz="18" w:space="0" w:color="auto"/>
              <w:right w:val="dashed" w:sz="4" w:space="0" w:color="auto"/>
            </w:tcBorders>
            <w:shd w:val="clear" w:color="auto" w:fill="F2F2F2"/>
            <w:vAlign w:val="center"/>
          </w:tcPr>
          <w:p w14:paraId="1165E76D" w14:textId="77777777" w:rsidR="00EF440A" w:rsidRPr="00464A6F" w:rsidRDefault="00EF440A" w:rsidP="00F470A8">
            <w:pPr>
              <w:widowControl w:val="0"/>
              <w:overflowPunct w:val="0"/>
              <w:autoSpaceDN/>
              <w:jc w:val="center"/>
              <w:textAlignment w:val="auto"/>
              <w:rPr>
                <w:rFonts w:ascii="標楷體" w:eastAsia="標楷體" w:hAnsi="標楷體" w:cs="新細明體"/>
                <w:color w:val="FF0000"/>
                <w:spacing w:val="-20"/>
                <w:kern w:val="2"/>
                <w:szCs w:val="24"/>
              </w:rPr>
            </w:pPr>
          </w:p>
        </w:tc>
        <w:tc>
          <w:tcPr>
            <w:tcW w:w="567" w:type="dxa"/>
            <w:tcBorders>
              <w:top w:val="single" w:sz="18" w:space="0" w:color="auto"/>
              <w:left w:val="dashed" w:sz="4" w:space="0" w:color="auto"/>
              <w:bottom w:val="thinThickThinMediumGap" w:sz="18" w:space="0" w:color="auto"/>
              <w:right w:val="single" w:sz="4" w:space="0" w:color="auto"/>
            </w:tcBorders>
            <w:shd w:val="clear" w:color="auto" w:fill="D6E3BC"/>
            <w:vAlign w:val="center"/>
          </w:tcPr>
          <w:p w14:paraId="0D6C0456" w14:textId="77777777" w:rsidR="00EF440A" w:rsidRPr="00641DE1" w:rsidRDefault="006F041E" w:rsidP="00F470A8">
            <w:pPr>
              <w:widowControl w:val="0"/>
              <w:overflowPunct w:val="0"/>
              <w:autoSpaceDN/>
              <w:jc w:val="center"/>
              <w:textAlignment w:val="auto"/>
              <w:rPr>
                <w:rFonts w:ascii="標楷體" w:eastAsia="標楷體" w:hAnsi="標楷體" w:cs="新細明體"/>
                <w:spacing w:val="-20"/>
                <w:kern w:val="2"/>
                <w:szCs w:val="24"/>
              </w:rPr>
            </w:pPr>
            <w:r w:rsidRPr="00641DE1">
              <w:rPr>
                <w:rFonts w:ascii="標楷體" w:eastAsia="標楷體" w:hAnsi="標楷體" w:cs="新細明體" w:hint="eastAsia"/>
                <w:spacing w:val="-20"/>
                <w:kern w:val="2"/>
                <w:szCs w:val="24"/>
              </w:rPr>
              <w:t>0</w:t>
            </w:r>
          </w:p>
        </w:tc>
        <w:tc>
          <w:tcPr>
            <w:tcW w:w="709" w:type="dxa"/>
            <w:tcBorders>
              <w:top w:val="single" w:sz="18" w:space="0" w:color="auto"/>
              <w:left w:val="single" w:sz="4" w:space="0" w:color="auto"/>
              <w:bottom w:val="thinThickThinMediumGap" w:sz="18" w:space="0" w:color="auto"/>
              <w:right w:val="single" w:sz="18" w:space="0" w:color="auto"/>
            </w:tcBorders>
            <w:shd w:val="clear" w:color="auto" w:fill="FBD4B4"/>
            <w:vAlign w:val="center"/>
          </w:tcPr>
          <w:p w14:paraId="03EF1284" w14:textId="77777777" w:rsidR="00EF440A" w:rsidRPr="00C707DF" w:rsidRDefault="006F041E" w:rsidP="00F470A8">
            <w:pPr>
              <w:widowControl w:val="0"/>
              <w:overflowPunct w:val="0"/>
              <w:autoSpaceDN/>
              <w:jc w:val="center"/>
              <w:textAlignment w:val="auto"/>
              <w:rPr>
                <w:rFonts w:ascii="標楷體" w:eastAsia="標楷體" w:hAnsi="標楷體" w:cs="新細明體"/>
                <w:kern w:val="2"/>
                <w:szCs w:val="24"/>
              </w:rPr>
            </w:pPr>
            <w:r w:rsidRPr="00C707DF">
              <w:rPr>
                <w:rFonts w:ascii="標楷體" w:eastAsia="標楷體" w:hAnsi="標楷體" w:cs="新細明體" w:hint="eastAsia"/>
                <w:kern w:val="2"/>
                <w:szCs w:val="24"/>
              </w:rPr>
              <w:t>0</w:t>
            </w:r>
          </w:p>
        </w:tc>
        <w:tc>
          <w:tcPr>
            <w:tcW w:w="709" w:type="dxa"/>
            <w:tcBorders>
              <w:top w:val="single" w:sz="18" w:space="0" w:color="auto"/>
              <w:left w:val="single" w:sz="18" w:space="0" w:color="auto"/>
              <w:bottom w:val="thinThickThinMediumGap" w:sz="18" w:space="0" w:color="auto"/>
              <w:right w:val="single" w:sz="18" w:space="0" w:color="auto"/>
            </w:tcBorders>
            <w:shd w:val="clear" w:color="auto" w:fill="FFCCFF"/>
            <w:vAlign w:val="center"/>
          </w:tcPr>
          <w:p w14:paraId="05A5F912" w14:textId="4499FAC9" w:rsidR="00EF440A" w:rsidRPr="0003251B" w:rsidRDefault="006F041E" w:rsidP="00F470A8">
            <w:pPr>
              <w:widowControl w:val="0"/>
              <w:overflowPunct w:val="0"/>
              <w:autoSpaceDN/>
              <w:jc w:val="center"/>
              <w:textAlignment w:val="auto"/>
              <w:rPr>
                <w:rFonts w:ascii="標楷體" w:eastAsia="標楷體" w:hAnsi="標楷體" w:cs="新細明體"/>
                <w:kern w:val="2"/>
                <w:szCs w:val="24"/>
              </w:rPr>
            </w:pPr>
            <w:r w:rsidRPr="0003251B">
              <w:rPr>
                <w:rFonts w:ascii="標楷體" w:eastAsia="標楷體" w:hAnsi="標楷體" w:cs="新細明體" w:hint="eastAsia"/>
                <w:kern w:val="2"/>
                <w:szCs w:val="24"/>
              </w:rPr>
              <w:t>4</w:t>
            </w:r>
            <w:r w:rsidR="0003251B">
              <w:rPr>
                <w:rFonts w:ascii="標楷體" w:eastAsia="標楷體" w:hAnsi="標楷體" w:cs="新細明體" w:hint="eastAsia"/>
                <w:kern w:val="2"/>
                <w:szCs w:val="24"/>
              </w:rPr>
              <w:t>1</w:t>
            </w:r>
          </w:p>
        </w:tc>
        <w:tc>
          <w:tcPr>
            <w:tcW w:w="709" w:type="dxa"/>
            <w:tcBorders>
              <w:top w:val="single" w:sz="18" w:space="0" w:color="auto"/>
              <w:left w:val="single" w:sz="4" w:space="0" w:color="auto"/>
              <w:bottom w:val="thinThickThinMediumGap" w:sz="18" w:space="0" w:color="auto"/>
              <w:right w:val="single" w:sz="18" w:space="0" w:color="auto"/>
            </w:tcBorders>
            <w:shd w:val="clear" w:color="auto" w:fill="DBE5F1"/>
            <w:vAlign w:val="center"/>
          </w:tcPr>
          <w:p w14:paraId="4B50D3F9" w14:textId="60B35732" w:rsidR="00EF440A" w:rsidRPr="00464A6F" w:rsidRDefault="00EB06F8" w:rsidP="00F470A8">
            <w:pPr>
              <w:widowControl w:val="0"/>
              <w:overflowPunct w:val="0"/>
              <w:autoSpaceDN/>
              <w:jc w:val="center"/>
              <w:textAlignment w:val="auto"/>
              <w:rPr>
                <w:rFonts w:ascii="標楷體" w:eastAsia="標楷體" w:hAnsi="標楷體" w:cs="新細明體"/>
                <w:b/>
                <w:bCs/>
                <w:color w:val="FF0000"/>
                <w:kern w:val="2"/>
                <w:szCs w:val="24"/>
              </w:rPr>
            </w:pPr>
            <w:r w:rsidRPr="00C707DF">
              <w:rPr>
                <w:rFonts w:ascii="標楷體" w:eastAsia="標楷體" w:hAnsi="標楷體" w:cs="新細明體" w:hint="eastAsia"/>
                <w:b/>
                <w:bCs/>
                <w:kern w:val="2"/>
                <w:szCs w:val="24"/>
              </w:rPr>
              <w:t>4</w:t>
            </w:r>
            <w:r w:rsidR="00C707DF" w:rsidRPr="00C707DF">
              <w:rPr>
                <w:rFonts w:ascii="標楷體" w:eastAsia="標楷體" w:hAnsi="標楷體" w:cs="新細明體" w:hint="eastAsia"/>
                <w:b/>
                <w:bCs/>
                <w:kern w:val="2"/>
                <w:szCs w:val="24"/>
              </w:rPr>
              <w:t>1</w:t>
            </w:r>
          </w:p>
        </w:tc>
      </w:tr>
      <w:tr w:rsidR="00464A6F" w:rsidRPr="00464A6F" w14:paraId="486B7EBE" w14:textId="77777777" w:rsidTr="00F44EFE">
        <w:trPr>
          <w:trHeight w:val="625"/>
        </w:trPr>
        <w:tc>
          <w:tcPr>
            <w:tcW w:w="2943" w:type="dxa"/>
            <w:gridSpan w:val="2"/>
            <w:tcBorders>
              <w:top w:val="thinThickThinMediumGap" w:sz="18" w:space="0" w:color="auto"/>
              <w:left w:val="single" w:sz="18" w:space="0" w:color="auto"/>
              <w:bottom w:val="thinThickThinMediumGap" w:sz="18" w:space="0" w:color="auto"/>
              <w:right w:val="single" w:sz="18" w:space="0" w:color="auto"/>
            </w:tcBorders>
            <w:shd w:val="clear" w:color="auto" w:fill="B8CCE4"/>
            <w:vAlign w:val="center"/>
          </w:tcPr>
          <w:p w14:paraId="2823954B" w14:textId="77777777" w:rsidR="00EF440A" w:rsidRPr="00510EC7" w:rsidRDefault="00EF440A" w:rsidP="00F470A8">
            <w:pPr>
              <w:widowControl w:val="0"/>
              <w:overflowPunct w:val="0"/>
              <w:autoSpaceDN/>
              <w:spacing w:line="400" w:lineRule="exact"/>
              <w:ind w:leftChars="-55" w:left="274" w:hangingChars="156" w:hanging="406"/>
              <w:jc w:val="center"/>
              <w:textAlignment w:val="auto"/>
              <w:rPr>
                <w:rFonts w:ascii="標楷體" w:eastAsia="標楷體" w:hAnsi="標楷體"/>
                <w:b/>
                <w:spacing w:val="-20"/>
                <w:kern w:val="2"/>
                <w:sz w:val="28"/>
                <w:szCs w:val="28"/>
              </w:rPr>
            </w:pPr>
            <w:r w:rsidRPr="00510EC7">
              <w:rPr>
                <w:rFonts w:ascii="標楷體" w:eastAsia="標楷體" w:hAnsi="標楷體" w:hint="eastAsia"/>
                <w:b/>
                <w:spacing w:val="-20"/>
                <w:kern w:val="2"/>
                <w:sz w:val="28"/>
                <w:szCs w:val="28"/>
              </w:rPr>
              <w:t>(一)至(七)</w:t>
            </w:r>
          </w:p>
          <w:p w14:paraId="78232FB1" w14:textId="77777777" w:rsidR="00EF440A" w:rsidRPr="00510EC7" w:rsidRDefault="00EF440A" w:rsidP="00F470A8">
            <w:pPr>
              <w:widowControl w:val="0"/>
              <w:overflowPunct w:val="0"/>
              <w:autoSpaceDN/>
              <w:spacing w:line="400" w:lineRule="exact"/>
              <w:ind w:leftChars="-55" w:left="274" w:hangingChars="156" w:hanging="406"/>
              <w:jc w:val="center"/>
              <w:textAlignment w:val="auto"/>
              <w:rPr>
                <w:rFonts w:ascii="標楷體" w:eastAsia="標楷體" w:hAnsi="標楷體"/>
                <w:b/>
                <w:kern w:val="2"/>
                <w:sz w:val="28"/>
                <w:szCs w:val="28"/>
              </w:rPr>
            </w:pPr>
            <w:r w:rsidRPr="00510EC7">
              <w:rPr>
                <w:rFonts w:ascii="標楷體" w:eastAsia="標楷體" w:hAnsi="標楷體"/>
                <w:b/>
                <w:spacing w:val="-20"/>
                <w:kern w:val="2"/>
                <w:sz w:val="28"/>
                <w:szCs w:val="28"/>
              </w:rPr>
              <w:t xml:space="preserve">總  </w:t>
            </w:r>
            <w:r w:rsidRPr="00510EC7">
              <w:rPr>
                <w:rFonts w:ascii="標楷體" w:eastAsia="標楷體" w:hAnsi="標楷體" w:hint="eastAsia"/>
                <w:b/>
                <w:spacing w:val="-20"/>
                <w:kern w:val="2"/>
                <w:sz w:val="28"/>
                <w:szCs w:val="28"/>
              </w:rPr>
              <w:t xml:space="preserve">   </w:t>
            </w:r>
            <w:r w:rsidRPr="00510EC7">
              <w:rPr>
                <w:rFonts w:ascii="標楷體" w:eastAsia="標楷體" w:hAnsi="標楷體"/>
                <w:b/>
                <w:spacing w:val="-20"/>
                <w:kern w:val="2"/>
                <w:sz w:val="28"/>
                <w:szCs w:val="28"/>
              </w:rPr>
              <w:t>計</w:t>
            </w:r>
          </w:p>
        </w:tc>
        <w:tc>
          <w:tcPr>
            <w:tcW w:w="567" w:type="dxa"/>
            <w:tcBorders>
              <w:top w:val="thinThickThinMediumGap" w:sz="18" w:space="0" w:color="auto"/>
              <w:left w:val="single" w:sz="18" w:space="0" w:color="auto"/>
              <w:bottom w:val="thinThickThinMediumGap" w:sz="18" w:space="0" w:color="auto"/>
              <w:right w:val="dashed" w:sz="4" w:space="0" w:color="auto"/>
            </w:tcBorders>
            <w:shd w:val="clear" w:color="auto" w:fill="F2F2F2"/>
            <w:vAlign w:val="center"/>
          </w:tcPr>
          <w:p w14:paraId="78E98425" w14:textId="77777777" w:rsidR="00EF440A" w:rsidRPr="00510EC7" w:rsidRDefault="006F041E" w:rsidP="00F470A8">
            <w:pPr>
              <w:widowControl w:val="0"/>
              <w:overflowPunct w:val="0"/>
              <w:autoSpaceDN/>
              <w:spacing w:line="400" w:lineRule="exact"/>
              <w:jc w:val="center"/>
              <w:textAlignment w:val="auto"/>
              <w:rPr>
                <w:rFonts w:ascii="標楷體" w:eastAsia="標楷體" w:hAnsi="標楷體" w:cs="新細明體"/>
                <w:b/>
                <w:spacing w:val="-20"/>
                <w:kern w:val="2"/>
                <w:szCs w:val="24"/>
              </w:rPr>
            </w:pPr>
            <w:r w:rsidRPr="00510EC7">
              <w:rPr>
                <w:rFonts w:ascii="標楷體" w:eastAsia="標楷體" w:hAnsi="標楷體" w:cs="新細明體" w:hint="eastAsia"/>
                <w:b/>
                <w:spacing w:val="-20"/>
                <w:kern w:val="2"/>
                <w:szCs w:val="24"/>
              </w:rPr>
              <w:t>183</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14:paraId="317F808B" w14:textId="4E7F1587" w:rsidR="00EF440A" w:rsidRPr="00464A6F" w:rsidRDefault="00383C53"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r w:rsidRPr="00383C53">
              <w:rPr>
                <w:rFonts w:ascii="標楷體" w:eastAsia="標楷體" w:hAnsi="標楷體" w:cs="新細明體" w:hint="eastAsia"/>
                <w:b/>
                <w:spacing w:val="-20"/>
                <w:kern w:val="2"/>
                <w:szCs w:val="24"/>
              </w:rPr>
              <w:t>4</w:t>
            </w:r>
            <w:r w:rsidR="002C7AEA">
              <w:rPr>
                <w:rFonts w:ascii="標楷體" w:eastAsia="標楷體" w:hAnsi="標楷體" w:cs="新細明體" w:hint="eastAsia"/>
                <w:b/>
                <w:spacing w:val="-20"/>
                <w:kern w:val="2"/>
                <w:szCs w:val="24"/>
              </w:rPr>
              <w:t>43</w:t>
            </w: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14:paraId="03732D24"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14:paraId="74976CFB"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14:paraId="703CCE25"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14:paraId="67BD501C"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14:paraId="64B726F3"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thinThickThinMediumGap" w:sz="18" w:space="0" w:color="auto"/>
              <w:left w:val="dashed" w:sz="4" w:space="0" w:color="auto"/>
              <w:bottom w:val="thinThickThinMediumGap" w:sz="18" w:space="0" w:color="auto"/>
              <w:right w:val="dashed" w:sz="4" w:space="0" w:color="auto"/>
            </w:tcBorders>
            <w:shd w:val="clear" w:color="auto" w:fill="F2F2F2"/>
            <w:vAlign w:val="center"/>
          </w:tcPr>
          <w:p w14:paraId="615E1DE1" w14:textId="77777777" w:rsidR="00EF440A" w:rsidRPr="00464A6F" w:rsidRDefault="00EF440A" w:rsidP="00F470A8">
            <w:pPr>
              <w:widowControl w:val="0"/>
              <w:overflowPunct w:val="0"/>
              <w:autoSpaceDN/>
              <w:spacing w:line="400" w:lineRule="exact"/>
              <w:jc w:val="center"/>
              <w:textAlignment w:val="auto"/>
              <w:rPr>
                <w:rFonts w:ascii="標楷體" w:eastAsia="標楷體" w:hAnsi="標楷體" w:cs="新細明體"/>
                <w:b/>
                <w:color w:val="FF0000"/>
                <w:spacing w:val="-20"/>
                <w:kern w:val="2"/>
                <w:szCs w:val="24"/>
              </w:rPr>
            </w:pPr>
          </w:p>
        </w:tc>
        <w:tc>
          <w:tcPr>
            <w:tcW w:w="567" w:type="dxa"/>
            <w:tcBorders>
              <w:top w:val="thinThickThinMediumGap" w:sz="18" w:space="0" w:color="auto"/>
              <w:left w:val="dashed" w:sz="4" w:space="0" w:color="auto"/>
              <w:bottom w:val="thinThickThinMediumGap" w:sz="18" w:space="0" w:color="auto"/>
              <w:right w:val="single" w:sz="4" w:space="0" w:color="auto"/>
            </w:tcBorders>
            <w:shd w:val="clear" w:color="auto" w:fill="D6E3BC"/>
            <w:vAlign w:val="center"/>
          </w:tcPr>
          <w:p w14:paraId="72AD2643" w14:textId="5A8C07D6" w:rsidR="00EF440A" w:rsidRPr="00641DE1" w:rsidRDefault="0022472E" w:rsidP="00F470A8">
            <w:pPr>
              <w:widowControl w:val="0"/>
              <w:overflowPunct w:val="0"/>
              <w:autoSpaceDN/>
              <w:spacing w:line="400" w:lineRule="exact"/>
              <w:jc w:val="center"/>
              <w:textAlignment w:val="auto"/>
              <w:rPr>
                <w:rFonts w:ascii="標楷體" w:eastAsia="標楷體" w:hAnsi="標楷體" w:cs="新細明體"/>
                <w:b/>
                <w:spacing w:val="-20"/>
                <w:kern w:val="2"/>
                <w:szCs w:val="24"/>
              </w:rPr>
            </w:pPr>
            <w:r>
              <w:rPr>
                <w:rFonts w:ascii="標楷體" w:eastAsia="標楷體" w:hAnsi="標楷體" w:cs="新細明體" w:hint="eastAsia"/>
                <w:b/>
                <w:spacing w:val="-20"/>
                <w:kern w:val="2"/>
                <w:szCs w:val="24"/>
              </w:rPr>
              <w:t>60</w:t>
            </w:r>
          </w:p>
        </w:tc>
        <w:tc>
          <w:tcPr>
            <w:tcW w:w="709" w:type="dxa"/>
            <w:tcBorders>
              <w:top w:val="thinThickThinMediumGap" w:sz="18" w:space="0" w:color="auto"/>
              <w:left w:val="single" w:sz="4" w:space="0" w:color="auto"/>
              <w:bottom w:val="thinThickThinMediumGap" w:sz="18" w:space="0" w:color="auto"/>
              <w:right w:val="single" w:sz="18" w:space="0" w:color="auto"/>
            </w:tcBorders>
            <w:shd w:val="clear" w:color="auto" w:fill="FBD4B4"/>
            <w:vAlign w:val="center"/>
          </w:tcPr>
          <w:p w14:paraId="77A1DD42" w14:textId="36E0B677" w:rsidR="00EF440A" w:rsidRPr="00C707DF" w:rsidRDefault="00C707DF" w:rsidP="00F470A8">
            <w:pPr>
              <w:widowControl w:val="0"/>
              <w:overflowPunct w:val="0"/>
              <w:autoSpaceDN/>
              <w:spacing w:line="400" w:lineRule="exact"/>
              <w:jc w:val="center"/>
              <w:textAlignment w:val="auto"/>
              <w:rPr>
                <w:rFonts w:ascii="標楷體" w:eastAsia="標楷體" w:hAnsi="標楷體" w:cs="新細明體"/>
                <w:b/>
                <w:kern w:val="2"/>
                <w:szCs w:val="24"/>
              </w:rPr>
            </w:pPr>
            <w:r w:rsidRPr="00C707DF">
              <w:rPr>
                <w:rFonts w:ascii="標楷體" w:eastAsia="標楷體" w:hAnsi="標楷體" w:cs="新細明體" w:hint="eastAsia"/>
                <w:b/>
                <w:kern w:val="2"/>
                <w:szCs w:val="24"/>
              </w:rPr>
              <w:t>68</w:t>
            </w:r>
            <w:r w:rsidR="00ED10ED">
              <w:rPr>
                <w:rFonts w:ascii="標楷體" w:eastAsia="標楷體" w:hAnsi="標楷體" w:cs="新細明體" w:hint="eastAsia"/>
                <w:b/>
                <w:kern w:val="2"/>
                <w:szCs w:val="24"/>
              </w:rPr>
              <w:t>6</w:t>
            </w:r>
          </w:p>
        </w:tc>
        <w:tc>
          <w:tcPr>
            <w:tcW w:w="709" w:type="dxa"/>
            <w:tcBorders>
              <w:top w:val="thinThickThinMediumGap" w:sz="18" w:space="0" w:color="auto"/>
              <w:left w:val="single" w:sz="18" w:space="0" w:color="auto"/>
              <w:bottom w:val="thinThickThinMediumGap" w:sz="18" w:space="0" w:color="auto"/>
              <w:right w:val="single" w:sz="18" w:space="0" w:color="auto"/>
            </w:tcBorders>
            <w:shd w:val="clear" w:color="auto" w:fill="FFCCFF"/>
            <w:vAlign w:val="center"/>
          </w:tcPr>
          <w:p w14:paraId="17B2362C" w14:textId="35394334" w:rsidR="00EF440A" w:rsidRPr="0003251B" w:rsidRDefault="002E6138" w:rsidP="00F470A8">
            <w:pPr>
              <w:widowControl w:val="0"/>
              <w:overflowPunct w:val="0"/>
              <w:autoSpaceDN/>
              <w:spacing w:line="400" w:lineRule="exact"/>
              <w:jc w:val="center"/>
              <w:textAlignment w:val="auto"/>
              <w:rPr>
                <w:rFonts w:ascii="標楷體" w:eastAsia="標楷體" w:hAnsi="標楷體" w:cs="新細明體"/>
                <w:b/>
                <w:kern w:val="2"/>
                <w:szCs w:val="24"/>
              </w:rPr>
            </w:pPr>
            <w:r w:rsidRPr="0003251B">
              <w:rPr>
                <w:rFonts w:ascii="標楷體" w:eastAsia="標楷體" w:hAnsi="標楷體" w:cs="新細明體" w:hint="eastAsia"/>
                <w:b/>
                <w:kern w:val="2"/>
                <w:szCs w:val="24"/>
              </w:rPr>
              <w:t>10</w:t>
            </w:r>
            <w:r w:rsidR="0003251B">
              <w:rPr>
                <w:rFonts w:ascii="標楷體" w:eastAsia="標楷體" w:hAnsi="標楷體" w:cs="新細明體" w:hint="eastAsia"/>
                <w:b/>
                <w:kern w:val="2"/>
                <w:szCs w:val="24"/>
              </w:rPr>
              <w:t>36</w:t>
            </w:r>
          </w:p>
        </w:tc>
        <w:tc>
          <w:tcPr>
            <w:tcW w:w="709" w:type="dxa"/>
            <w:tcBorders>
              <w:top w:val="thinThickThinMediumGap" w:sz="18" w:space="0" w:color="auto"/>
              <w:left w:val="single" w:sz="4" w:space="0" w:color="auto"/>
              <w:bottom w:val="thinThickThinMediumGap" w:sz="18" w:space="0" w:color="auto"/>
              <w:right w:val="single" w:sz="18" w:space="0" w:color="auto"/>
            </w:tcBorders>
            <w:shd w:val="clear" w:color="auto" w:fill="DBE5F1"/>
            <w:vAlign w:val="center"/>
          </w:tcPr>
          <w:p w14:paraId="2AD4FFF1" w14:textId="2042F188" w:rsidR="00EF440A" w:rsidRPr="00464A6F" w:rsidRDefault="00EB06F8" w:rsidP="00F470A8">
            <w:pPr>
              <w:widowControl w:val="0"/>
              <w:overflowPunct w:val="0"/>
              <w:autoSpaceDN/>
              <w:spacing w:line="400" w:lineRule="exact"/>
              <w:jc w:val="center"/>
              <w:textAlignment w:val="auto"/>
              <w:rPr>
                <w:rFonts w:ascii="標楷體" w:eastAsia="標楷體" w:hAnsi="標楷體" w:cs="新細明體"/>
                <w:b/>
                <w:bCs/>
                <w:color w:val="FF0000"/>
                <w:kern w:val="2"/>
                <w:szCs w:val="24"/>
              </w:rPr>
            </w:pPr>
            <w:r w:rsidRPr="00C707DF">
              <w:rPr>
                <w:rFonts w:ascii="標楷體" w:eastAsia="標楷體" w:hAnsi="標楷體" w:cs="新細明體" w:hint="eastAsia"/>
                <w:b/>
                <w:bCs/>
                <w:kern w:val="2"/>
                <w:szCs w:val="24"/>
              </w:rPr>
              <w:t>1</w:t>
            </w:r>
            <w:r w:rsidR="00C707DF" w:rsidRPr="00C707DF">
              <w:rPr>
                <w:rFonts w:ascii="標楷體" w:eastAsia="標楷體" w:hAnsi="標楷體" w:cs="新細明體" w:hint="eastAsia"/>
                <w:b/>
                <w:bCs/>
                <w:kern w:val="2"/>
                <w:szCs w:val="24"/>
              </w:rPr>
              <w:t>7</w:t>
            </w:r>
            <w:r w:rsidR="00CF7959">
              <w:rPr>
                <w:rFonts w:ascii="標楷體" w:eastAsia="標楷體" w:hAnsi="標楷體" w:cs="新細明體" w:hint="eastAsia"/>
                <w:b/>
                <w:bCs/>
                <w:kern w:val="2"/>
                <w:szCs w:val="24"/>
              </w:rPr>
              <w:t>2</w:t>
            </w:r>
            <w:r w:rsidR="00ED10ED">
              <w:rPr>
                <w:rFonts w:ascii="標楷體" w:eastAsia="標楷體" w:hAnsi="標楷體" w:cs="新細明體" w:hint="eastAsia"/>
                <w:b/>
                <w:bCs/>
                <w:kern w:val="2"/>
                <w:szCs w:val="24"/>
              </w:rPr>
              <w:t>2</w:t>
            </w:r>
          </w:p>
        </w:tc>
      </w:tr>
    </w:tbl>
    <w:p w14:paraId="5EEA0FB8" w14:textId="77777777" w:rsidR="00DA2E65" w:rsidRPr="00464A6F" w:rsidRDefault="00DA2E65" w:rsidP="00F470A8">
      <w:pPr>
        <w:tabs>
          <w:tab w:val="left" w:pos="284"/>
        </w:tabs>
        <w:overflowPunct w:val="0"/>
        <w:spacing w:line="340" w:lineRule="exact"/>
        <w:ind w:leftChars="41" w:left="850" w:hangingChars="313" w:hanging="752"/>
        <w:jc w:val="both"/>
        <w:rPr>
          <w:rFonts w:ascii="標楷體" w:eastAsia="標楷體" w:hAnsi="標楷體"/>
          <w:b/>
          <w:color w:val="FF0000"/>
          <w:szCs w:val="24"/>
        </w:rPr>
      </w:pPr>
    </w:p>
    <w:p w14:paraId="5469F7BC" w14:textId="77777777" w:rsidR="00B30F87" w:rsidRPr="00510EC7" w:rsidRDefault="00B30F87" w:rsidP="00F470A8">
      <w:pPr>
        <w:tabs>
          <w:tab w:val="left" w:pos="284"/>
        </w:tabs>
        <w:overflowPunct w:val="0"/>
        <w:spacing w:line="340" w:lineRule="exact"/>
        <w:ind w:leftChars="41" w:left="850" w:hangingChars="313" w:hanging="752"/>
        <w:jc w:val="both"/>
        <w:rPr>
          <w:rFonts w:ascii="標楷體" w:eastAsia="標楷體" w:hAnsi="標楷體"/>
          <w:b/>
          <w:szCs w:val="24"/>
        </w:rPr>
      </w:pPr>
      <w:r w:rsidRPr="00510EC7">
        <w:rPr>
          <w:rFonts w:ascii="標楷體" w:eastAsia="標楷體" w:hAnsi="標楷體" w:hint="eastAsia"/>
          <w:b/>
          <w:szCs w:val="24"/>
        </w:rPr>
        <w:t>註：</w:t>
      </w:r>
      <w:r w:rsidRPr="00510EC7">
        <w:rPr>
          <w:rFonts w:ascii="標楷體" w:eastAsia="標楷體" w:hAnsi="標楷體"/>
          <w:b/>
          <w:szCs w:val="24"/>
        </w:rPr>
        <w:t>1.本統計表件數，以第1</w:t>
      </w:r>
      <w:r w:rsidR="00A30C6D" w:rsidRPr="00510EC7">
        <w:rPr>
          <w:rFonts w:ascii="標楷體" w:eastAsia="標楷體" w:hAnsi="標楷體" w:hint="eastAsia"/>
          <w:b/>
          <w:szCs w:val="24"/>
        </w:rPr>
        <w:t>1</w:t>
      </w:r>
      <w:r w:rsidRPr="00510EC7">
        <w:rPr>
          <w:rFonts w:ascii="標楷體" w:eastAsia="標楷體" w:hAnsi="標楷體"/>
          <w:b/>
          <w:szCs w:val="24"/>
        </w:rPr>
        <w:t>屆第1會期院會交下之</w:t>
      </w:r>
      <w:r w:rsidRPr="00510EC7">
        <w:rPr>
          <w:rFonts w:ascii="標楷體" w:eastAsia="標楷體" w:hAnsi="標楷體" w:hint="eastAsia"/>
          <w:b/>
          <w:szCs w:val="24"/>
        </w:rPr>
        <w:t>議案</w:t>
      </w:r>
      <w:r w:rsidRPr="00510EC7">
        <w:rPr>
          <w:rFonts w:ascii="標楷體" w:eastAsia="標楷體" w:hAnsi="標楷體"/>
          <w:b/>
          <w:szCs w:val="24"/>
        </w:rPr>
        <w:t>件數為主</w:t>
      </w:r>
      <w:r w:rsidRPr="00510EC7">
        <w:rPr>
          <w:rFonts w:ascii="標楷體" w:eastAsia="標楷體" w:hAnsi="標楷體" w:hint="eastAsia"/>
          <w:b/>
          <w:szCs w:val="24"/>
        </w:rPr>
        <w:t>；</w:t>
      </w:r>
      <w:r w:rsidRPr="00510EC7">
        <w:rPr>
          <w:rFonts w:ascii="標楷體" w:eastAsia="標楷體" w:hAnsi="標楷體"/>
          <w:b/>
          <w:szCs w:val="24"/>
        </w:rPr>
        <w:t>另包含第</w:t>
      </w:r>
      <w:r w:rsidRPr="00510EC7">
        <w:rPr>
          <w:rFonts w:ascii="標楷體" w:eastAsia="標楷體" w:hAnsi="標楷體" w:hint="eastAsia"/>
          <w:b/>
          <w:szCs w:val="24"/>
        </w:rPr>
        <w:t>1</w:t>
      </w:r>
      <w:r w:rsidR="00A30C6D" w:rsidRPr="00510EC7">
        <w:rPr>
          <w:rFonts w:ascii="標楷體" w:eastAsia="標楷體" w:hAnsi="標楷體" w:hint="eastAsia"/>
          <w:b/>
          <w:szCs w:val="24"/>
        </w:rPr>
        <w:t>1</w:t>
      </w:r>
      <w:r w:rsidRPr="00510EC7">
        <w:rPr>
          <w:rFonts w:ascii="標楷體" w:eastAsia="標楷體" w:hAnsi="標楷體"/>
          <w:b/>
          <w:szCs w:val="24"/>
        </w:rPr>
        <w:t>屆</w:t>
      </w:r>
      <w:r w:rsidRPr="00510EC7">
        <w:rPr>
          <w:rFonts w:ascii="標楷體" w:eastAsia="標楷體" w:hAnsi="標楷體" w:hint="eastAsia"/>
          <w:b/>
          <w:szCs w:val="24"/>
        </w:rPr>
        <w:t>之</w:t>
      </w:r>
      <w:r w:rsidRPr="00510EC7">
        <w:rPr>
          <w:rFonts w:ascii="標楷體" w:eastAsia="標楷體" w:hAnsi="標楷體"/>
          <w:b/>
          <w:szCs w:val="24"/>
        </w:rPr>
        <w:t>前</w:t>
      </w:r>
      <w:r w:rsidRPr="00510EC7">
        <w:rPr>
          <w:rFonts w:ascii="標楷體" w:eastAsia="標楷體" w:hAnsi="標楷體" w:hint="eastAsia"/>
          <w:b/>
          <w:szCs w:val="24"/>
        </w:rPr>
        <w:t>，院</w:t>
      </w:r>
      <w:r w:rsidRPr="00510EC7">
        <w:rPr>
          <w:rFonts w:ascii="標楷體" w:eastAsia="標楷體" w:hAnsi="標楷體"/>
          <w:b/>
          <w:szCs w:val="24"/>
        </w:rPr>
        <w:t>會交下預（決）算案、</w:t>
      </w:r>
      <w:r w:rsidRPr="00510EC7">
        <w:rPr>
          <w:rFonts w:ascii="標楷體" w:eastAsia="標楷體" w:hAnsi="標楷體" w:hint="eastAsia"/>
          <w:b/>
          <w:szCs w:val="24"/>
        </w:rPr>
        <w:t>動支第二預備金案、</w:t>
      </w:r>
      <w:r w:rsidRPr="00510EC7">
        <w:rPr>
          <w:rFonts w:ascii="標楷體" w:eastAsia="標楷體" w:hAnsi="標楷體"/>
          <w:b/>
          <w:szCs w:val="24"/>
        </w:rPr>
        <w:t>行政命令案及人民請願案等未結件數</w:t>
      </w:r>
      <w:r w:rsidRPr="00510EC7">
        <w:rPr>
          <w:rFonts w:ascii="標楷體" w:eastAsia="標楷體" w:hAnsi="標楷體" w:hint="eastAsia"/>
          <w:b/>
          <w:szCs w:val="24"/>
        </w:rPr>
        <w:t>（因</w:t>
      </w:r>
      <w:r w:rsidRPr="00510EC7">
        <w:rPr>
          <w:rFonts w:ascii="標楷體" w:eastAsia="標楷體" w:hAnsi="標楷體"/>
          <w:b/>
          <w:szCs w:val="24"/>
        </w:rPr>
        <w:t>無屆期不連續，故累計至本</w:t>
      </w:r>
      <w:r w:rsidRPr="00510EC7">
        <w:rPr>
          <w:rFonts w:ascii="標楷體" w:eastAsia="標楷體" w:hAnsi="標楷體" w:hint="eastAsia"/>
          <w:b/>
          <w:szCs w:val="24"/>
        </w:rPr>
        <w:t>屆）計</w:t>
      </w:r>
      <w:r w:rsidR="00940AFC" w:rsidRPr="00510EC7">
        <w:rPr>
          <w:rFonts w:ascii="標楷體" w:eastAsia="標楷體" w:hAnsi="標楷體" w:hint="eastAsia"/>
          <w:b/>
          <w:szCs w:val="24"/>
        </w:rPr>
        <w:t>1</w:t>
      </w:r>
      <w:r w:rsidR="00940AFC" w:rsidRPr="00510EC7">
        <w:rPr>
          <w:rFonts w:ascii="標楷體" w:eastAsia="標楷體" w:hAnsi="標楷體"/>
          <w:b/>
          <w:szCs w:val="24"/>
        </w:rPr>
        <w:t>,</w:t>
      </w:r>
      <w:r w:rsidR="00940AFC" w:rsidRPr="00510EC7">
        <w:rPr>
          <w:rFonts w:ascii="標楷體" w:eastAsia="標楷體" w:hAnsi="標楷體" w:hint="eastAsia"/>
          <w:b/>
          <w:szCs w:val="24"/>
        </w:rPr>
        <w:t>134</w:t>
      </w:r>
      <w:r w:rsidRPr="00510EC7">
        <w:rPr>
          <w:rFonts w:ascii="標楷體" w:eastAsia="標楷體" w:hAnsi="標楷體" w:hint="eastAsia"/>
          <w:b/>
          <w:szCs w:val="24"/>
        </w:rPr>
        <w:t>件</w:t>
      </w:r>
      <w:r w:rsidRPr="00510EC7">
        <w:rPr>
          <w:rFonts w:ascii="標楷體" w:eastAsia="標楷體" w:hAnsi="標楷體"/>
          <w:b/>
          <w:szCs w:val="24"/>
        </w:rPr>
        <w:t>。</w:t>
      </w:r>
    </w:p>
    <w:p w14:paraId="0051C4BD" w14:textId="77777777" w:rsidR="0089415A" w:rsidRPr="00510EC7" w:rsidRDefault="00B30F87" w:rsidP="00F470A8">
      <w:pPr>
        <w:tabs>
          <w:tab w:val="left" w:pos="284"/>
          <w:tab w:val="left" w:pos="426"/>
        </w:tabs>
        <w:overflowPunct w:val="0"/>
        <w:spacing w:line="340" w:lineRule="exact"/>
        <w:ind w:firstLineChars="236" w:firstLine="567"/>
        <w:jc w:val="both"/>
        <w:rPr>
          <w:rFonts w:ascii="標楷體" w:eastAsia="標楷體" w:hAnsi="標楷體"/>
          <w:b/>
          <w:szCs w:val="24"/>
        </w:rPr>
      </w:pPr>
      <w:r w:rsidRPr="00510EC7">
        <w:rPr>
          <w:rFonts w:ascii="標楷體" w:eastAsia="標楷體" w:hAnsi="標楷體"/>
          <w:b/>
          <w:szCs w:val="24"/>
        </w:rPr>
        <w:t>2.本會審竣</w:t>
      </w:r>
      <w:r w:rsidRPr="00510EC7">
        <w:rPr>
          <w:rFonts w:ascii="標楷體" w:eastAsia="標楷體" w:hAnsi="標楷體" w:hint="eastAsia"/>
          <w:b/>
          <w:szCs w:val="24"/>
        </w:rPr>
        <w:t>提報院會之已結案件─院會待審議部分B，</w:t>
      </w:r>
      <w:r w:rsidRPr="00510EC7">
        <w:rPr>
          <w:rFonts w:ascii="標楷體" w:eastAsia="標楷體" w:hAnsi="標楷體"/>
          <w:b/>
          <w:szCs w:val="24"/>
        </w:rPr>
        <w:t>不包含逕付二讀之法律案。</w:t>
      </w:r>
    </w:p>
    <w:p w14:paraId="5BF5272D" w14:textId="77777777" w:rsidR="00C8197F" w:rsidRPr="00464A6F" w:rsidRDefault="0089415A" w:rsidP="00F470A8">
      <w:pPr>
        <w:overflowPunct w:val="0"/>
        <w:autoSpaceDN/>
        <w:textAlignment w:val="auto"/>
        <w:rPr>
          <w:rFonts w:ascii="標楷體" w:eastAsia="標楷體" w:hAnsi="標楷體"/>
          <w:b/>
          <w:color w:val="FF0000"/>
          <w:szCs w:val="24"/>
        </w:rPr>
      </w:pPr>
      <w:r w:rsidRPr="00464A6F">
        <w:rPr>
          <w:rFonts w:ascii="標楷體" w:eastAsia="標楷體" w:hAnsi="標楷體"/>
          <w:b/>
          <w:color w:val="FF0000"/>
          <w:szCs w:val="24"/>
        </w:rPr>
        <w:br w:type="page"/>
      </w:r>
    </w:p>
    <w:p w14:paraId="66ECE31B" w14:textId="62D58645" w:rsidR="00C8197F" w:rsidRPr="00A13909" w:rsidRDefault="00C8197F"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16" w:name="_Toc157095673"/>
      <w:bookmarkStart w:id="17" w:name="_Toc189487274"/>
      <w:r w:rsidRPr="00A13909">
        <w:rPr>
          <w:rFonts w:ascii="標楷體" w:eastAsia="標楷體" w:hAnsi="標楷體" w:hint="eastAsia"/>
          <w:bCs w:val="0"/>
          <w:sz w:val="36"/>
          <w:szCs w:val="36"/>
        </w:rPr>
        <w:lastRenderedPageBreak/>
        <w:t>參、</w:t>
      </w:r>
      <w:r w:rsidRPr="00A13909">
        <w:rPr>
          <w:rFonts w:ascii="標楷體" w:eastAsia="標楷體" w:hAnsi="標楷體"/>
          <w:bCs w:val="0"/>
          <w:sz w:val="36"/>
          <w:szCs w:val="36"/>
        </w:rPr>
        <w:t>本會期審查(處理)完竣議案(</w:t>
      </w:r>
      <w:r w:rsidR="00A13909" w:rsidRPr="00A13909">
        <w:rPr>
          <w:rFonts w:ascii="標楷體" w:eastAsia="標楷體" w:hAnsi="標楷體" w:hint="eastAsia"/>
          <w:bCs w:val="0"/>
          <w:sz w:val="36"/>
          <w:szCs w:val="36"/>
        </w:rPr>
        <w:t>22</w:t>
      </w:r>
      <w:r w:rsidR="00CF7959">
        <w:rPr>
          <w:rFonts w:ascii="標楷體" w:eastAsia="標楷體" w:hAnsi="標楷體" w:hint="eastAsia"/>
          <w:bCs w:val="0"/>
          <w:sz w:val="36"/>
          <w:szCs w:val="36"/>
        </w:rPr>
        <w:t>6</w:t>
      </w:r>
      <w:r w:rsidRPr="00A13909">
        <w:rPr>
          <w:rFonts w:ascii="標楷體" w:eastAsia="標楷體" w:hAnsi="標楷體" w:hint="eastAsia"/>
          <w:bCs w:val="0"/>
          <w:sz w:val="36"/>
          <w:szCs w:val="36"/>
        </w:rPr>
        <w:t>案</w:t>
      </w:r>
      <w:r w:rsidRPr="00A13909">
        <w:rPr>
          <w:rFonts w:ascii="標楷體" w:eastAsia="標楷體" w:hAnsi="標楷體"/>
          <w:bCs w:val="0"/>
          <w:sz w:val="36"/>
          <w:szCs w:val="36"/>
        </w:rPr>
        <w:t>)</w:t>
      </w:r>
      <w:bookmarkEnd w:id="16"/>
      <w:bookmarkEnd w:id="17"/>
    </w:p>
    <w:p w14:paraId="2F0054B0" w14:textId="77777777" w:rsidR="007D160C" w:rsidRPr="00C4639B"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18" w:name="_Toc126576784"/>
      <w:bookmarkStart w:id="19" w:name="_Toc143873898"/>
      <w:bookmarkStart w:id="20" w:name="_Toc157095674"/>
      <w:bookmarkStart w:id="21" w:name="_Toc175833561"/>
      <w:bookmarkStart w:id="22" w:name="_Toc189487275"/>
      <w:r w:rsidRPr="00C4639B">
        <w:rPr>
          <w:rFonts w:ascii="標楷體" w:eastAsia="標楷體" w:hAnsi="標楷體" w:hint="eastAsia"/>
          <w:bCs w:val="0"/>
          <w:kern w:val="2"/>
          <w:sz w:val="32"/>
          <w:szCs w:val="32"/>
        </w:rPr>
        <w:t>一、</w:t>
      </w:r>
      <w:r w:rsidRPr="00C4639B">
        <w:rPr>
          <w:rFonts w:ascii="標楷體" w:eastAsia="標楷體" w:hAnsi="標楷體"/>
          <w:bCs w:val="0"/>
          <w:kern w:val="2"/>
          <w:sz w:val="32"/>
          <w:szCs w:val="32"/>
        </w:rPr>
        <w:t>法律案</w:t>
      </w:r>
      <w:r w:rsidRPr="00C4639B">
        <w:rPr>
          <w:rFonts w:ascii="標楷體" w:eastAsia="標楷體" w:hAnsi="標楷體" w:hint="eastAsia"/>
          <w:bCs w:val="0"/>
          <w:kern w:val="2"/>
          <w:sz w:val="32"/>
          <w:szCs w:val="32"/>
        </w:rPr>
        <w:t>及本院內規</w:t>
      </w:r>
      <w:r w:rsidRPr="00C4639B">
        <w:rPr>
          <w:rFonts w:ascii="標楷體" w:eastAsia="標楷體" w:hAnsi="標楷體"/>
          <w:bCs w:val="0"/>
          <w:kern w:val="2"/>
          <w:sz w:val="32"/>
          <w:szCs w:val="32"/>
        </w:rPr>
        <w:t>（</w:t>
      </w:r>
      <w:r>
        <w:rPr>
          <w:rFonts w:ascii="標楷體" w:eastAsia="標楷體" w:hAnsi="標楷體" w:hint="eastAsia"/>
          <w:bCs w:val="0"/>
          <w:kern w:val="2"/>
          <w:sz w:val="32"/>
          <w:szCs w:val="32"/>
        </w:rPr>
        <w:t>53</w:t>
      </w:r>
      <w:r w:rsidRPr="00C4639B">
        <w:rPr>
          <w:rFonts w:ascii="標楷體" w:eastAsia="標楷體" w:hAnsi="標楷體" w:hint="eastAsia"/>
          <w:bCs w:val="0"/>
          <w:kern w:val="2"/>
          <w:sz w:val="32"/>
          <w:szCs w:val="32"/>
        </w:rPr>
        <w:t>案</w:t>
      </w:r>
      <w:r w:rsidRPr="00C4639B">
        <w:rPr>
          <w:rFonts w:ascii="標楷體" w:eastAsia="標楷體" w:hAnsi="標楷體"/>
          <w:bCs w:val="0"/>
          <w:kern w:val="2"/>
          <w:sz w:val="32"/>
          <w:szCs w:val="32"/>
        </w:rPr>
        <w:t>）</w:t>
      </w:r>
      <w:bookmarkEnd w:id="18"/>
      <w:bookmarkEnd w:id="19"/>
      <w:bookmarkEnd w:id="20"/>
      <w:bookmarkEnd w:id="21"/>
      <w:bookmarkEnd w:id="22"/>
    </w:p>
    <w:tbl>
      <w:tblPr>
        <w:tblW w:w="100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4"/>
        <w:gridCol w:w="2071"/>
        <w:gridCol w:w="1416"/>
        <w:gridCol w:w="1692"/>
        <w:gridCol w:w="2130"/>
        <w:gridCol w:w="2131"/>
      </w:tblGrid>
      <w:tr w:rsidR="007D160C" w:rsidRPr="0034529D" w14:paraId="5E1C49E4" w14:textId="77777777" w:rsidTr="004E1C6E">
        <w:trPr>
          <w:trHeight w:val="473"/>
          <w:jc w:val="center"/>
        </w:trPr>
        <w:tc>
          <w:tcPr>
            <w:tcW w:w="624" w:type="dxa"/>
            <w:tcBorders>
              <w:top w:val="single" w:sz="12" w:space="0" w:color="auto"/>
              <w:bottom w:val="single" w:sz="12" w:space="0" w:color="auto"/>
              <w:right w:val="single" w:sz="4" w:space="0" w:color="auto"/>
            </w:tcBorders>
            <w:vAlign w:val="center"/>
          </w:tcPr>
          <w:p w14:paraId="3ABDB0D1"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序號</w:t>
            </w:r>
          </w:p>
        </w:tc>
        <w:tc>
          <w:tcPr>
            <w:tcW w:w="2071" w:type="dxa"/>
            <w:tcBorders>
              <w:top w:val="single" w:sz="12" w:space="0" w:color="auto"/>
              <w:left w:val="single" w:sz="4" w:space="0" w:color="auto"/>
              <w:bottom w:val="single" w:sz="12" w:space="0" w:color="auto"/>
            </w:tcBorders>
            <w:vAlign w:val="center"/>
          </w:tcPr>
          <w:p w14:paraId="1A350357"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法案名稱</w:t>
            </w:r>
          </w:p>
        </w:tc>
        <w:tc>
          <w:tcPr>
            <w:tcW w:w="1416" w:type="dxa"/>
            <w:tcBorders>
              <w:top w:val="single" w:sz="12" w:space="0" w:color="auto"/>
              <w:left w:val="single" w:sz="4" w:space="0" w:color="auto"/>
              <w:bottom w:val="single" w:sz="12" w:space="0" w:color="auto"/>
            </w:tcBorders>
            <w:vAlign w:val="center"/>
          </w:tcPr>
          <w:p w14:paraId="7ECDEA08"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提案機關或</w:t>
            </w:r>
          </w:p>
          <w:p w14:paraId="3C983569"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委員</w:t>
            </w:r>
          </w:p>
        </w:tc>
        <w:tc>
          <w:tcPr>
            <w:tcW w:w="1692" w:type="dxa"/>
            <w:tcBorders>
              <w:top w:val="single" w:sz="12" w:space="0" w:color="auto"/>
              <w:bottom w:val="single" w:sz="12" w:space="0" w:color="auto"/>
            </w:tcBorders>
            <w:vAlign w:val="center"/>
          </w:tcPr>
          <w:p w14:paraId="3645C467"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院會交付</w:t>
            </w:r>
          </w:p>
          <w:p w14:paraId="2D8C734B"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2130" w:type="dxa"/>
            <w:tcBorders>
              <w:top w:val="single" w:sz="12" w:space="0" w:color="auto"/>
              <w:bottom w:val="single" w:sz="12" w:space="0" w:color="auto"/>
            </w:tcBorders>
            <w:vAlign w:val="center"/>
          </w:tcPr>
          <w:p w14:paraId="002FCFDA"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審查會審竣</w:t>
            </w:r>
          </w:p>
          <w:p w14:paraId="45459C3C"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2131" w:type="dxa"/>
            <w:tcBorders>
              <w:top w:val="single" w:sz="12" w:space="0" w:color="auto"/>
              <w:bottom w:val="single" w:sz="12" w:space="0" w:color="auto"/>
            </w:tcBorders>
            <w:vAlign w:val="center"/>
          </w:tcPr>
          <w:p w14:paraId="1A8792ED" w14:textId="77777777" w:rsidR="007D160C" w:rsidRPr="0034529D" w:rsidRDefault="007D160C" w:rsidP="00F470A8">
            <w:pPr>
              <w:overflowPunct w:val="0"/>
              <w:jc w:val="center"/>
              <w:rPr>
                <w:rFonts w:ascii="標楷體" w:eastAsia="標楷體" w:hAnsi="標楷體"/>
                <w:b/>
                <w:bCs/>
                <w:szCs w:val="24"/>
              </w:rPr>
            </w:pPr>
            <w:r w:rsidRPr="0034529D">
              <w:rPr>
                <w:rFonts w:ascii="標楷體" w:eastAsia="標楷體" w:hAnsi="標楷體" w:hint="eastAsia"/>
                <w:b/>
                <w:bCs/>
                <w:szCs w:val="24"/>
              </w:rPr>
              <w:t>備   註</w:t>
            </w:r>
          </w:p>
        </w:tc>
      </w:tr>
      <w:tr w:rsidR="007D160C" w:rsidRPr="0034529D" w14:paraId="52A5282E" w14:textId="77777777" w:rsidTr="004E1C6E">
        <w:trPr>
          <w:trHeight w:val="983"/>
          <w:jc w:val="center"/>
        </w:trPr>
        <w:tc>
          <w:tcPr>
            <w:tcW w:w="624" w:type="dxa"/>
            <w:tcBorders>
              <w:top w:val="single" w:sz="4" w:space="0" w:color="auto"/>
              <w:bottom w:val="single" w:sz="2" w:space="0" w:color="auto"/>
              <w:right w:val="single" w:sz="4" w:space="0" w:color="auto"/>
            </w:tcBorders>
          </w:tcPr>
          <w:p w14:paraId="7E4B87B7"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32A27A2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證券交易稅條例部分條文修正草案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E3521F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台灣民眾黨黨團</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77655EAA"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2130" w:type="dxa"/>
            <w:vMerge w:val="restart"/>
            <w:tcBorders>
              <w:top w:val="single" w:sz="4" w:space="0" w:color="auto"/>
              <w:left w:val="single" w:sz="4" w:space="0" w:color="000000"/>
              <w:right w:val="single" w:sz="4" w:space="0" w:color="000000"/>
            </w:tcBorders>
            <w:shd w:val="clear" w:color="auto" w:fill="FFFFFF"/>
          </w:tcPr>
          <w:p w14:paraId="06EDA0B7" w14:textId="0B24E8CD" w:rsidR="00EB63E4" w:rsidRPr="0026068C" w:rsidRDefault="007D160C" w:rsidP="0026068C">
            <w:pPr>
              <w:overflowPunct w:val="0"/>
              <w:jc w:val="both"/>
              <w:rPr>
                <w:rFonts w:ascii="標楷體" w:eastAsia="標楷體" w:hAnsi="標楷體"/>
                <w:szCs w:val="24"/>
              </w:rPr>
            </w:pPr>
            <w:r w:rsidRPr="0026068C">
              <w:rPr>
                <w:rFonts w:ascii="標楷體" w:eastAsia="標楷體" w:hAnsi="標楷體" w:hint="eastAsia"/>
                <w:szCs w:val="24"/>
              </w:rPr>
              <w:t>第11屆第2會期</w:t>
            </w:r>
            <w:r w:rsidR="00EB63E4" w:rsidRPr="0026068C">
              <w:rPr>
                <w:rFonts w:ascii="標楷體" w:eastAsia="標楷體" w:hAnsi="標楷體" w:hint="eastAsia"/>
                <w:szCs w:val="24"/>
              </w:rPr>
              <w:t>財政委員會</w:t>
            </w:r>
            <w:r w:rsidRPr="0026068C">
              <w:rPr>
                <w:rFonts w:ascii="標楷體" w:eastAsia="標楷體" w:hAnsi="標楷體" w:hint="eastAsia"/>
                <w:szCs w:val="24"/>
              </w:rPr>
              <w:t>第5次全體委員會議(113.10.30)</w:t>
            </w:r>
            <w:r w:rsidRPr="0026068C">
              <w:rPr>
                <w:rFonts w:ascii="標楷體" w:eastAsia="標楷體" w:hAnsi="標楷體"/>
                <w:szCs w:val="24"/>
              </w:rPr>
              <w:t xml:space="preserve"> </w:t>
            </w:r>
          </w:p>
        </w:tc>
        <w:tc>
          <w:tcPr>
            <w:tcW w:w="2131" w:type="dxa"/>
            <w:vMerge w:val="restart"/>
            <w:tcBorders>
              <w:top w:val="single" w:sz="12" w:space="0" w:color="auto"/>
              <w:left w:val="single" w:sz="4" w:space="0" w:color="auto"/>
              <w:right w:val="single" w:sz="4" w:space="0" w:color="000000"/>
            </w:tcBorders>
            <w:shd w:val="clear" w:color="auto" w:fill="auto"/>
          </w:tcPr>
          <w:p w14:paraId="653B30D2" w14:textId="77777777" w:rsidR="007D160C" w:rsidRPr="0034529D" w:rsidRDefault="007D160C" w:rsidP="00F470A8">
            <w:pPr>
              <w:overflowPunct w:val="0"/>
              <w:ind w:left="240" w:hangingChars="100" w:hanging="240"/>
              <w:jc w:val="both"/>
              <w:rPr>
                <w:rFonts w:ascii="標楷體" w:eastAsia="標楷體" w:hAnsi="標楷體"/>
                <w:bCs/>
                <w:szCs w:val="24"/>
              </w:rPr>
            </w:pPr>
            <w:r w:rsidRPr="0034529D">
              <w:rPr>
                <w:rFonts w:ascii="標楷體" w:eastAsia="標楷體" w:hAnsi="標楷體" w:hint="eastAsia"/>
                <w:bCs/>
                <w:szCs w:val="24"/>
              </w:rPr>
              <w:t>1.審查完竣，須交由黨團協商。</w:t>
            </w:r>
          </w:p>
          <w:p w14:paraId="2ACCC5CD" w14:textId="77777777" w:rsidR="007D160C" w:rsidRDefault="007D160C" w:rsidP="00F470A8">
            <w:pPr>
              <w:overflowPunct w:val="0"/>
              <w:ind w:left="240" w:hangingChars="100" w:hanging="240"/>
              <w:jc w:val="both"/>
              <w:rPr>
                <w:rFonts w:ascii="標楷體" w:eastAsia="標楷體" w:hAnsi="標楷體"/>
                <w:bCs/>
                <w:szCs w:val="24"/>
              </w:rPr>
            </w:pPr>
            <w:r w:rsidRPr="00516B27">
              <w:rPr>
                <w:rFonts w:ascii="標楷體" w:eastAsia="標楷體" w:hAnsi="標楷體" w:hint="eastAsia"/>
                <w:bCs/>
                <w:szCs w:val="24"/>
              </w:rPr>
              <w:t>2.113.11.4本會將審查報告函送議事處。</w:t>
            </w:r>
          </w:p>
          <w:p w14:paraId="33049A6D" w14:textId="5051FD9E" w:rsidR="007D160C" w:rsidRPr="006D4B5E" w:rsidRDefault="007D160C" w:rsidP="006D4B5E">
            <w:pPr>
              <w:overflowPunct w:val="0"/>
              <w:ind w:left="240" w:hangingChars="100" w:hanging="240"/>
              <w:jc w:val="both"/>
              <w:rPr>
                <w:rFonts w:ascii="標楷體" w:eastAsia="標楷體" w:hAnsi="標楷體"/>
                <w:bCs/>
                <w:szCs w:val="24"/>
              </w:rPr>
            </w:pPr>
            <w:r w:rsidRPr="00DF140B">
              <w:rPr>
                <w:rFonts w:ascii="標楷體" w:eastAsia="標楷體" w:hAnsi="標楷體" w:hint="eastAsia"/>
                <w:bCs/>
                <w:szCs w:val="24"/>
              </w:rPr>
              <w:t>3.113.11.18民進黨黨團召開協商。</w:t>
            </w:r>
          </w:p>
        </w:tc>
      </w:tr>
      <w:tr w:rsidR="007D160C" w:rsidRPr="0034529D" w14:paraId="1096B091" w14:textId="77777777" w:rsidTr="004E1C6E">
        <w:trPr>
          <w:trHeight w:val="983"/>
          <w:jc w:val="center"/>
        </w:trPr>
        <w:tc>
          <w:tcPr>
            <w:tcW w:w="624" w:type="dxa"/>
            <w:tcBorders>
              <w:top w:val="single" w:sz="4" w:space="0" w:color="auto"/>
              <w:bottom w:val="single" w:sz="2" w:space="0" w:color="auto"/>
              <w:right w:val="single" w:sz="4" w:space="0" w:color="auto"/>
            </w:tcBorders>
          </w:tcPr>
          <w:p w14:paraId="25034BB9"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0A7CB7F9"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6DAA9509"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行政院</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4424625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第11屆第2會期第1次院會(113.9.20)決定：「交財政委員會審查」</w:t>
            </w:r>
          </w:p>
        </w:tc>
        <w:tc>
          <w:tcPr>
            <w:tcW w:w="2130" w:type="dxa"/>
            <w:vMerge/>
            <w:tcBorders>
              <w:left w:val="single" w:sz="4" w:space="0" w:color="000000"/>
              <w:right w:val="single" w:sz="4" w:space="0" w:color="auto"/>
            </w:tcBorders>
            <w:shd w:val="clear" w:color="auto" w:fill="FFFFFF"/>
          </w:tcPr>
          <w:p w14:paraId="42DDAF59"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4D9CB9F4" w14:textId="77777777" w:rsidR="007D160C" w:rsidRPr="0034529D" w:rsidRDefault="007D160C" w:rsidP="00F470A8">
            <w:pPr>
              <w:widowControl w:val="0"/>
              <w:overflowPunct w:val="0"/>
              <w:spacing w:line="340" w:lineRule="exact"/>
              <w:jc w:val="both"/>
              <w:rPr>
                <w:rFonts w:ascii="標楷體" w:eastAsia="標楷體" w:hAnsi="標楷體"/>
                <w:kern w:val="2"/>
                <w:szCs w:val="24"/>
              </w:rPr>
            </w:pPr>
          </w:p>
        </w:tc>
      </w:tr>
      <w:tr w:rsidR="007D160C" w:rsidRPr="0034529D" w14:paraId="49184950" w14:textId="77777777" w:rsidTr="004E1C6E">
        <w:trPr>
          <w:trHeight w:val="983"/>
          <w:jc w:val="center"/>
        </w:trPr>
        <w:tc>
          <w:tcPr>
            <w:tcW w:w="624" w:type="dxa"/>
            <w:tcBorders>
              <w:top w:val="single" w:sz="4" w:space="0" w:color="auto"/>
              <w:bottom w:val="single" w:sz="2" w:space="0" w:color="auto"/>
              <w:right w:val="single" w:sz="4" w:space="0" w:color="auto"/>
            </w:tcBorders>
          </w:tcPr>
          <w:p w14:paraId="000065E0"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2A50E285"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7C0EDF3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羅明才等20人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6196DD0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第11屆第1會期第7次院會(113.3.29)決定：「交財政委員會審查」</w:t>
            </w:r>
          </w:p>
        </w:tc>
        <w:tc>
          <w:tcPr>
            <w:tcW w:w="2130" w:type="dxa"/>
            <w:vMerge/>
            <w:tcBorders>
              <w:left w:val="single" w:sz="4" w:space="0" w:color="000000"/>
              <w:right w:val="single" w:sz="4" w:space="0" w:color="auto"/>
            </w:tcBorders>
            <w:shd w:val="clear" w:color="auto" w:fill="FFFFFF"/>
          </w:tcPr>
          <w:p w14:paraId="73AA6CD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6C1DAA39"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099B0792" w14:textId="77777777" w:rsidTr="004E1C6E">
        <w:trPr>
          <w:trHeight w:val="983"/>
          <w:jc w:val="center"/>
        </w:trPr>
        <w:tc>
          <w:tcPr>
            <w:tcW w:w="624" w:type="dxa"/>
            <w:tcBorders>
              <w:top w:val="single" w:sz="4" w:space="0" w:color="auto"/>
              <w:bottom w:val="single" w:sz="2" w:space="0" w:color="auto"/>
              <w:right w:val="single" w:sz="4" w:space="0" w:color="auto"/>
            </w:tcBorders>
          </w:tcPr>
          <w:p w14:paraId="43C15E99"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6C56F9E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5FBF244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林楚茵等19人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42E0C67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第11屆第2會期第4次院會(113.10.11)決定：「交財政委員會審查」</w:t>
            </w:r>
          </w:p>
        </w:tc>
        <w:tc>
          <w:tcPr>
            <w:tcW w:w="2130" w:type="dxa"/>
            <w:vMerge/>
            <w:tcBorders>
              <w:left w:val="single" w:sz="4" w:space="0" w:color="000000"/>
              <w:right w:val="single" w:sz="4" w:space="0" w:color="auto"/>
            </w:tcBorders>
            <w:shd w:val="clear" w:color="auto" w:fill="FFFFFF"/>
          </w:tcPr>
          <w:p w14:paraId="442B7071"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51858062"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7889EF98" w14:textId="77777777" w:rsidTr="004E1C6E">
        <w:trPr>
          <w:trHeight w:val="983"/>
          <w:jc w:val="center"/>
        </w:trPr>
        <w:tc>
          <w:tcPr>
            <w:tcW w:w="624" w:type="dxa"/>
            <w:tcBorders>
              <w:top w:val="single" w:sz="4" w:space="0" w:color="auto"/>
              <w:bottom w:val="single" w:sz="2" w:space="0" w:color="auto"/>
              <w:right w:val="single" w:sz="4" w:space="0" w:color="auto"/>
            </w:tcBorders>
          </w:tcPr>
          <w:p w14:paraId="1B7E28F5"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51F60C5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6743DDB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李坤城等22人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319E72BA"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2130" w:type="dxa"/>
            <w:vMerge/>
            <w:tcBorders>
              <w:left w:val="single" w:sz="4" w:space="0" w:color="000000"/>
              <w:right w:val="single" w:sz="4" w:space="0" w:color="auto"/>
            </w:tcBorders>
            <w:shd w:val="clear" w:color="auto" w:fill="FFFFFF"/>
          </w:tcPr>
          <w:p w14:paraId="26A425F5"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0251006C"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54C69E4B" w14:textId="77777777" w:rsidTr="004E1C6E">
        <w:trPr>
          <w:trHeight w:val="983"/>
          <w:jc w:val="center"/>
        </w:trPr>
        <w:tc>
          <w:tcPr>
            <w:tcW w:w="624" w:type="dxa"/>
            <w:tcBorders>
              <w:top w:val="single" w:sz="4" w:space="0" w:color="auto"/>
              <w:bottom w:val="single" w:sz="2" w:space="0" w:color="auto"/>
              <w:right w:val="single" w:sz="4" w:space="0" w:color="auto"/>
            </w:tcBorders>
          </w:tcPr>
          <w:p w14:paraId="5EB99B8C"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1191280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08BA143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賴士葆等25人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65A5B913"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auto"/>
            </w:tcBorders>
            <w:shd w:val="clear" w:color="auto" w:fill="FFFFFF"/>
          </w:tcPr>
          <w:p w14:paraId="21B9F1D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7580443C"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021020A2" w14:textId="77777777" w:rsidTr="004E1C6E">
        <w:trPr>
          <w:trHeight w:val="983"/>
          <w:jc w:val="center"/>
        </w:trPr>
        <w:tc>
          <w:tcPr>
            <w:tcW w:w="624" w:type="dxa"/>
            <w:tcBorders>
              <w:top w:val="single" w:sz="4" w:space="0" w:color="auto"/>
              <w:bottom w:val="single" w:sz="2" w:space="0" w:color="auto"/>
              <w:right w:val="single" w:sz="4" w:space="0" w:color="auto"/>
            </w:tcBorders>
          </w:tcPr>
          <w:p w14:paraId="62B37DAF"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1AE985A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0BB8504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34529D">
              <w:rPr>
                <w:rFonts w:ascii="標楷體" w:eastAsia="標楷體" w:hAnsi="標楷體" w:hint="eastAsia"/>
                <w:kern w:val="2"/>
                <w:szCs w:val="24"/>
              </w:rPr>
              <w:t>等19人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38EC5EA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auto"/>
            </w:tcBorders>
            <w:shd w:val="clear" w:color="auto" w:fill="FFFFFF"/>
          </w:tcPr>
          <w:p w14:paraId="5EF8029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6B89019F"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117E2FDF" w14:textId="77777777" w:rsidTr="004E1C6E">
        <w:trPr>
          <w:trHeight w:val="983"/>
          <w:jc w:val="center"/>
        </w:trPr>
        <w:tc>
          <w:tcPr>
            <w:tcW w:w="624" w:type="dxa"/>
            <w:tcBorders>
              <w:top w:val="single" w:sz="4" w:space="0" w:color="auto"/>
              <w:bottom w:val="single" w:sz="2" w:space="0" w:color="auto"/>
              <w:right w:val="single" w:sz="4" w:space="0" w:color="auto"/>
            </w:tcBorders>
          </w:tcPr>
          <w:p w14:paraId="3FC0A1AC"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5C070D8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59E5D1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賴惠員等37人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77670B68"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第11屆第2會期第4次院會(113.10.11)決定：「交財政委員會審查」</w:t>
            </w:r>
          </w:p>
        </w:tc>
        <w:tc>
          <w:tcPr>
            <w:tcW w:w="2130" w:type="dxa"/>
            <w:vMerge/>
            <w:tcBorders>
              <w:left w:val="single" w:sz="4" w:space="0" w:color="000000"/>
              <w:right w:val="single" w:sz="4" w:space="0" w:color="auto"/>
            </w:tcBorders>
            <w:shd w:val="clear" w:color="auto" w:fill="FFFFFF"/>
          </w:tcPr>
          <w:p w14:paraId="472D87D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38C24FDA"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18F5C04F" w14:textId="77777777" w:rsidTr="004E1C6E">
        <w:trPr>
          <w:trHeight w:val="983"/>
          <w:jc w:val="center"/>
        </w:trPr>
        <w:tc>
          <w:tcPr>
            <w:tcW w:w="624" w:type="dxa"/>
            <w:tcBorders>
              <w:top w:val="single" w:sz="4" w:space="0" w:color="auto"/>
              <w:bottom w:val="single" w:sz="2" w:space="0" w:color="auto"/>
              <w:right w:val="single" w:sz="4" w:space="0" w:color="auto"/>
            </w:tcBorders>
          </w:tcPr>
          <w:p w14:paraId="30FF310A"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000000"/>
              <w:right w:val="single" w:sz="4" w:space="0" w:color="auto"/>
            </w:tcBorders>
            <w:shd w:val="clear" w:color="auto" w:fill="auto"/>
          </w:tcPr>
          <w:p w14:paraId="49091AD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7D5835A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蔡易餘等16人</w:t>
            </w:r>
          </w:p>
        </w:tc>
        <w:tc>
          <w:tcPr>
            <w:tcW w:w="1692" w:type="dxa"/>
            <w:tcBorders>
              <w:top w:val="single" w:sz="4" w:space="0" w:color="000000"/>
              <w:left w:val="single" w:sz="4" w:space="0" w:color="auto"/>
              <w:bottom w:val="single" w:sz="4" w:space="0" w:color="000000"/>
              <w:right w:val="single" w:sz="4" w:space="0" w:color="auto"/>
            </w:tcBorders>
            <w:shd w:val="clear" w:color="auto" w:fill="auto"/>
          </w:tcPr>
          <w:p w14:paraId="3C0FF9D3"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2130" w:type="dxa"/>
            <w:vMerge/>
            <w:tcBorders>
              <w:left w:val="single" w:sz="4" w:space="0" w:color="000000"/>
              <w:right w:val="single" w:sz="4" w:space="0" w:color="auto"/>
            </w:tcBorders>
            <w:shd w:val="clear" w:color="auto" w:fill="FFFFFF"/>
          </w:tcPr>
          <w:p w14:paraId="4BEFF4A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4F8AC008"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34529D" w14:paraId="78E81299" w14:textId="77777777" w:rsidTr="004E1C6E">
        <w:trPr>
          <w:trHeight w:val="983"/>
          <w:jc w:val="center"/>
        </w:trPr>
        <w:tc>
          <w:tcPr>
            <w:tcW w:w="624" w:type="dxa"/>
            <w:tcBorders>
              <w:top w:val="single" w:sz="4" w:space="0" w:color="auto"/>
              <w:bottom w:val="single" w:sz="4" w:space="0" w:color="auto"/>
              <w:right w:val="single" w:sz="4" w:space="0" w:color="auto"/>
            </w:tcBorders>
          </w:tcPr>
          <w:p w14:paraId="26DF6287" w14:textId="77777777" w:rsidR="007D160C" w:rsidRPr="0034529D" w:rsidRDefault="007D160C" w:rsidP="00FA328D">
            <w:pPr>
              <w:numPr>
                <w:ilvl w:val="0"/>
                <w:numId w:val="50"/>
              </w:numPr>
              <w:overflowPunct w:val="0"/>
              <w:jc w:val="both"/>
              <w:rPr>
                <w:rFonts w:ascii="標楷體" w:eastAsia="標楷體" w:hAnsi="標楷體"/>
                <w:b/>
                <w:bCs/>
                <w:szCs w:val="24"/>
              </w:rPr>
            </w:pPr>
          </w:p>
        </w:tc>
        <w:tc>
          <w:tcPr>
            <w:tcW w:w="2071" w:type="dxa"/>
            <w:tcBorders>
              <w:top w:val="single" w:sz="4" w:space="0" w:color="000000"/>
              <w:left w:val="single" w:sz="4" w:space="0" w:color="000000"/>
              <w:bottom w:val="single" w:sz="4" w:space="0" w:color="auto"/>
              <w:right w:val="single" w:sz="4" w:space="0" w:color="auto"/>
            </w:tcBorders>
            <w:shd w:val="clear" w:color="auto" w:fill="auto"/>
          </w:tcPr>
          <w:p w14:paraId="62D3A7F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證券交易稅條例第十二條條文修正草案</w:t>
            </w:r>
          </w:p>
        </w:tc>
        <w:tc>
          <w:tcPr>
            <w:tcW w:w="1416" w:type="dxa"/>
            <w:tcBorders>
              <w:top w:val="single" w:sz="4" w:space="0" w:color="000000"/>
              <w:left w:val="single" w:sz="4" w:space="0" w:color="auto"/>
              <w:bottom w:val="single" w:sz="4" w:space="0" w:color="auto"/>
              <w:right w:val="single" w:sz="4" w:space="0" w:color="auto"/>
            </w:tcBorders>
            <w:shd w:val="clear" w:color="auto" w:fill="auto"/>
          </w:tcPr>
          <w:p w14:paraId="6CE071A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邱志偉等19人</w:t>
            </w:r>
          </w:p>
        </w:tc>
        <w:tc>
          <w:tcPr>
            <w:tcW w:w="1692" w:type="dxa"/>
            <w:tcBorders>
              <w:top w:val="single" w:sz="4" w:space="0" w:color="000000"/>
              <w:left w:val="single" w:sz="4" w:space="0" w:color="auto"/>
              <w:bottom w:val="single" w:sz="4" w:space="0" w:color="auto"/>
              <w:right w:val="single" w:sz="4" w:space="0" w:color="auto"/>
            </w:tcBorders>
            <w:shd w:val="clear" w:color="auto" w:fill="auto"/>
          </w:tcPr>
          <w:p w14:paraId="7975A86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第11屆第1會期第8次院會(113.4.9)決定：「交財政委員會審查」</w:t>
            </w:r>
          </w:p>
        </w:tc>
        <w:tc>
          <w:tcPr>
            <w:tcW w:w="2130" w:type="dxa"/>
            <w:vMerge/>
            <w:tcBorders>
              <w:left w:val="single" w:sz="4" w:space="0" w:color="000000"/>
              <w:bottom w:val="single" w:sz="4" w:space="0" w:color="auto"/>
              <w:right w:val="single" w:sz="4" w:space="0" w:color="auto"/>
            </w:tcBorders>
            <w:shd w:val="clear" w:color="auto" w:fill="FFFFFF"/>
          </w:tcPr>
          <w:p w14:paraId="31C9637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131" w:type="dxa"/>
            <w:vMerge/>
            <w:tcBorders>
              <w:left w:val="single" w:sz="4" w:space="0" w:color="auto"/>
              <w:right w:val="single" w:sz="4" w:space="0" w:color="000000"/>
            </w:tcBorders>
            <w:shd w:val="clear" w:color="auto" w:fill="auto"/>
            <w:vAlign w:val="center"/>
          </w:tcPr>
          <w:p w14:paraId="15F87D35" w14:textId="77777777" w:rsidR="007D160C" w:rsidRPr="0034529D"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4E5043" w14:paraId="130A14F8" w14:textId="77777777" w:rsidTr="004E1C6E">
        <w:trPr>
          <w:trHeight w:val="983"/>
          <w:jc w:val="center"/>
        </w:trPr>
        <w:tc>
          <w:tcPr>
            <w:tcW w:w="624" w:type="dxa"/>
            <w:tcBorders>
              <w:top w:val="single" w:sz="4" w:space="0" w:color="auto"/>
              <w:bottom w:val="single" w:sz="12" w:space="0" w:color="auto"/>
              <w:right w:val="single" w:sz="4" w:space="0" w:color="auto"/>
            </w:tcBorders>
          </w:tcPr>
          <w:p w14:paraId="7A1E6832"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7B9046A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證券交易稅條例第二條之二條文修正草案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68F3D560" w14:textId="24036C12" w:rsidR="007D160C" w:rsidRPr="00B95A07" w:rsidRDefault="007D160C" w:rsidP="0048799C">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郭國文等17人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6D4DBA2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第11屆第2會期第9次院會(113.11.15)決定：「</w:t>
            </w:r>
            <w:r>
              <w:rPr>
                <w:rFonts w:ascii="標楷體" w:eastAsia="標楷體" w:hAnsi="標楷體" w:hint="eastAsia"/>
                <w:kern w:val="2"/>
                <w:szCs w:val="24"/>
              </w:rPr>
              <w:t>逕付二讀，與相關提案併案協商</w:t>
            </w:r>
            <w:r w:rsidRPr="00570525">
              <w:rPr>
                <w:rFonts w:ascii="標楷體" w:eastAsia="標楷體" w:hAnsi="標楷體" w:hint="eastAsia"/>
                <w:kern w:val="2"/>
                <w:szCs w:val="24"/>
              </w:rPr>
              <w:t>」</w:t>
            </w:r>
          </w:p>
        </w:tc>
        <w:tc>
          <w:tcPr>
            <w:tcW w:w="2130" w:type="dxa"/>
            <w:tcBorders>
              <w:top w:val="single" w:sz="4" w:space="0" w:color="auto"/>
              <w:left w:val="single" w:sz="4" w:space="0" w:color="auto"/>
              <w:bottom w:val="single" w:sz="12" w:space="0" w:color="auto"/>
              <w:right w:val="single" w:sz="4" w:space="0" w:color="auto"/>
            </w:tcBorders>
            <w:shd w:val="clear" w:color="auto" w:fill="FFFFFF"/>
          </w:tcPr>
          <w:p w14:paraId="59EC9602" w14:textId="77777777" w:rsidR="007D160C" w:rsidRPr="00516B27" w:rsidRDefault="007D160C" w:rsidP="00F470A8">
            <w:pPr>
              <w:overflowPunct w:val="0"/>
              <w:jc w:val="both"/>
              <w:rPr>
                <w:rFonts w:ascii="標楷體" w:eastAsia="標楷體" w:hAnsi="標楷體"/>
                <w:szCs w:val="24"/>
              </w:rPr>
            </w:pPr>
          </w:p>
        </w:tc>
        <w:tc>
          <w:tcPr>
            <w:tcW w:w="2131" w:type="dxa"/>
            <w:vMerge/>
            <w:tcBorders>
              <w:left w:val="single" w:sz="4" w:space="0" w:color="auto"/>
              <w:bottom w:val="single" w:sz="12" w:space="0" w:color="auto"/>
              <w:right w:val="single" w:sz="4" w:space="0" w:color="000000"/>
            </w:tcBorders>
            <w:shd w:val="clear" w:color="auto" w:fill="auto"/>
          </w:tcPr>
          <w:p w14:paraId="6443AB28" w14:textId="77777777" w:rsidR="007D160C" w:rsidRPr="00516B27" w:rsidRDefault="007D160C" w:rsidP="00F470A8">
            <w:pPr>
              <w:overflowPunct w:val="0"/>
              <w:ind w:left="240" w:hangingChars="100" w:hanging="240"/>
              <w:jc w:val="both"/>
              <w:rPr>
                <w:rFonts w:ascii="標楷體" w:eastAsia="標楷體" w:hAnsi="標楷體"/>
                <w:bCs/>
                <w:szCs w:val="24"/>
              </w:rPr>
            </w:pPr>
          </w:p>
        </w:tc>
      </w:tr>
      <w:tr w:rsidR="007D160C" w:rsidRPr="004E5043" w14:paraId="18E404CB" w14:textId="77777777" w:rsidTr="004E1C6E">
        <w:trPr>
          <w:trHeight w:val="983"/>
          <w:jc w:val="center"/>
        </w:trPr>
        <w:tc>
          <w:tcPr>
            <w:tcW w:w="624" w:type="dxa"/>
            <w:tcBorders>
              <w:top w:val="single" w:sz="12" w:space="0" w:color="auto"/>
              <w:bottom w:val="single" w:sz="4" w:space="0" w:color="auto"/>
              <w:right w:val="single" w:sz="4" w:space="0" w:color="auto"/>
            </w:tcBorders>
          </w:tcPr>
          <w:p w14:paraId="04D3361B"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12" w:space="0" w:color="auto"/>
              <w:left w:val="single" w:sz="4" w:space="0" w:color="auto"/>
              <w:bottom w:val="single" w:sz="4" w:space="0" w:color="000000"/>
              <w:right w:val="single" w:sz="4" w:space="0" w:color="auto"/>
            </w:tcBorders>
            <w:shd w:val="clear" w:color="auto" w:fill="auto"/>
          </w:tcPr>
          <w:p w14:paraId="35CF4C4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416" w:type="dxa"/>
            <w:tcBorders>
              <w:top w:val="single" w:sz="12" w:space="0" w:color="auto"/>
              <w:left w:val="single" w:sz="4" w:space="0" w:color="auto"/>
              <w:bottom w:val="single" w:sz="4" w:space="0" w:color="000000"/>
              <w:right w:val="single" w:sz="4" w:space="0" w:color="auto"/>
            </w:tcBorders>
            <w:shd w:val="clear" w:color="auto" w:fill="auto"/>
          </w:tcPr>
          <w:p w14:paraId="6CAE08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國民黨黨團</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6B8ACB0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469AF826" w14:textId="3D058C8E" w:rsidR="007D160C" w:rsidRPr="00EB63E4" w:rsidRDefault="007D160C" w:rsidP="0026068C">
            <w:pPr>
              <w:overflowPunct w:val="0"/>
              <w:jc w:val="both"/>
              <w:rPr>
                <w:rFonts w:ascii="標楷體" w:eastAsia="標楷體" w:hAnsi="標楷體"/>
                <w:spacing w:val="-20"/>
                <w:szCs w:val="24"/>
              </w:rPr>
            </w:pPr>
            <w:r w:rsidRPr="0026068C">
              <w:rPr>
                <w:rFonts w:ascii="標楷體" w:eastAsia="標楷體" w:hAnsi="標楷體" w:hint="eastAsia"/>
                <w:szCs w:val="24"/>
              </w:rPr>
              <w:t>第11屆第2會期</w:t>
            </w:r>
            <w:r w:rsidR="00EB63E4" w:rsidRPr="0026068C">
              <w:rPr>
                <w:rFonts w:ascii="標楷體" w:eastAsia="標楷體" w:hAnsi="標楷體" w:hint="eastAsia"/>
                <w:szCs w:val="24"/>
              </w:rPr>
              <w:t>財政委員會</w:t>
            </w:r>
            <w:r w:rsidRPr="0026068C">
              <w:rPr>
                <w:rFonts w:ascii="標楷體" w:eastAsia="標楷體" w:hAnsi="標楷體" w:hint="eastAsia"/>
                <w:szCs w:val="24"/>
              </w:rPr>
              <w:t>第6次全體委員會議(113.11.6)</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422E9D5A" w14:textId="77777777" w:rsidR="007D160C" w:rsidRPr="00516B27" w:rsidRDefault="007D160C" w:rsidP="00F470A8">
            <w:pPr>
              <w:overflowPunct w:val="0"/>
              <w:ind w:left="240" w:hangingChars="100" w:hanging="240"/>
              <w:jc w:val="both"/>
              <w:rPr>
                <w:rFonts w:ascii="標楷體" w:eastAsia="標楷體" w:hAnsi="標楷體"/>
                <w:bCs/>
                <w:szCs w:val="24"/>
              </w:rPr>
            </w:pPr>
            <w:r w:rsidRPr="00516B27">
              <w:rPr>
                <w:rFonts w:ascii="標楷體" w:eastAsia="標楷體" w:hAnsi="標楷體" w:hint="eastAsia"/>
                <w:bCs/>
                <w:szCs w:val="24"/>
              </w:rPr>
              <w:t>1.審查完竣，須交由黨團協商。</w:t>
            </w:r>
          </w:p>
          <w:p w14:paraId="11574D7B" w14:textId="77777777" w:rsidR="007D160C" w:rsidRPr="00EB2001" w:rsidRDefault="007D160C" w:rsidP="00F470A8">
            <w:pPr>
              <w:overflowPunct w:val="0"/>
              <w:ind w:left="240" w:hangingChars="100" w:hanging="240"/>
              <w:jc w:val="both"/>
              <w:rPr>
                <w:rFonts w:ascii="標楷體" w:eastAsia="標楷體" w:hAnsi="標楷體"/>
                <w:bCs/>
                <w:szCs w:val="24"/>
              </w:rPr>
            </w:pPr>
            <w:r w:rsidRPr="00EB2001">
              <w:rPr>
                <w:rFonts w:ascii="標楷體" w:eastAsia="標楷體" w:hAnsi="標楷體" w:hint="eastAsia"/>
                <w:bCs/>
                <w:szCs w:val="24"/>
              </w:rPr>
              <w:t>2.113.11.11本會將審查報告函送議事處。</w:t>
            </w:r>
          </w:p>
          <w:p w14:paraId="5D441B9C"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r w:rsidRPr="00DF140B">
              <w:rPr>
                <w:rFonts w:ascii="標楷體" w:eastAsia="標楷體" w:hAnsi="標楷體" w:hint="eastAsia"/>
                <w:bCs/>
                <w:szCs w:val="24"/>
              </w:rPr>
              <w:t>3.113.11.29國民黨黨團召開協商。</w:t>
            </w:r>
          </w:p>
        </w:tc>
      </w:tr>
      <w:tr w:rsidR="007D160C" w:rsidRPr="004E5043" w14:paraId="147A82BD" w14:textId="77777777" w:rsidTr="004E1C6E">
        <w:trPr>
          <w:trHeight w:val="983"/>
          <w:jc w:val="center"/>
        </w:trPr>
        <w:tc>
          <w:tcPr>
            <w:tcW w:w="624" w:type="dxa"/>
            <w:tcBorders>
              <w:top w:val="single" w:sz="4" w:space="0" w:color="auto"/>
              <w:bottom w:val="single" w:sz="4" w:space="0" w:color="auto"/>
              <w:right w:val="single" w:sz="4" w:space="0" w:color="auto"/>
            </w:tcBorders>
          </w:tcPr>
          <w:p w14:paraId="7E98A068"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auto"/>
              <w:left w:val="single" w:sz="4" w:space="0" w:color="auto"/>
              <w:bottom w:val="single" w:sz="4" w:space="0" w:color="000000"/>
              <w:right w:val="single" w:sz="4" w:space="0" w:color="auto"/>
            </w:tcBorders>
            <w:shd w:val="clear" w:color="auto" w:fill="auto"/>
          </w:tcPr>
          <w:p w14:paraId="404EAC9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財政收支劃分法第三條條文修正草案</w:t>
            </w:r>
          </w:p>
        </w:tc>
        <w:tc>
          <w:tcPr>
            <w:tcW w:w="1416" w:type="dxa"/>
            <w:tcBorders>
              <w:top w:val="single" w:sz="4" w:space="0" w:color="auto"/>
              <w:left w:val="single" w:sz="4" w:space="0" w:color="auto"/>
              <w:bottom w:val="single" w:sz="4" w:space="0" w:color="000000"/>
              <w:right w:val="single" w:sz="4" w:space="0" w:color="auto"/>
            </w:tcBorders>
            <w:shd w:val="clear" w:color="auto" w:fill="auto"/>
          </w:tcPr>
          <w:p w14:paraId="2541068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伍麗華</w:t>
            </w:r>
            <w:r w:rsidRPr="000201AE">
              <w:rPr>
                <w:rFonts w:ascii="標楷體" w:eastAsia="標楷體" w:hAnsi="標楷體" w:hint="eastAsia"/>
                <w:spacing w:val="-26"/>
                <w:kern w:val="2"/>
                <w:szCs w:val="24"/>
              </w:rPr>
              <w:t>Saidhai Tahovecahe</w:t>
            </w:r>
            <w:r w:rsidRPr="00B95A07">
              <w:rPr>
                <w:rFonts w:ascii="標楷體" w:eastAsia="標楷體" w:hAnsi="標楷體" w:hint="eastAsia"/>
                <w:kern w:val="2"/>
                <w:szCs w:val="24"/>
              </w:rPr>
              <w:t>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4AA4872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24E153F6"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735EBCB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4809C27" w14:textId="77777777" w:rsidTr="004E1C6E">
        <w:trPr>
          <w:trHeight w:val="983"/>
          <w:jc w:val="center"/>
        </w:trPr>
        <w:tc>
          <w:tcPr>
            <w:tcW w:w="624" w:type="dxa"/>
            <w:tcBorders>
              <w:top w:val="single" w:sz="4" w:space="0" w:color="auto"/>
              <w:bottom w:val="single" w:sz="2" w:space="0" w:color="auto"/>
              <w:right w:val="single" w:sz="4" w:space="0" w:color="auto"/>
            </w:tcBorders>
          </w:tcPr>
          <w:p w14:paraId="3AF64070"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Pr>
          <w:p w14:paraId="1412CFD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30BD66E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賴瑞隆等16人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Pr>
          <w:p w14:paraId="6D22151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4F901DBF"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66D2151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E2823BC" w14:textId="77777777" w:rsidTr="004E1C6E">
        <w:trPr>
          <w:trHeight w:val="983"/>
          <w:jc w:val="center"/>
        </w:trPr>
        <w:tc>
          <w:tcPr>
            <w:tcW w:w="624" w:type="dxa"/>
            <w:tcBorders>
              <w:top w:val="single" w:sz="2" w:space="0" w:color="auto"/>
              <w:bottom w:val="single" w:sz="4" w:space="0" w:color="000000"/>
              <w:right w:val="single" w:sz="4" w:space="0" w:color="auto"/>
            </w:tcBorders>
          </w:tcPr>
          <w:p w14:paraId="74F35ADB" w14:textId="77777777" w:rsidR="007D160C" w:rsidRPr="004E5043" w:rsidRDefault="007D160C" w:rsidP="00FA328D">
            <w:pPr>
              <w:numPr>
                <w:ilvl w:val="0"/>
                <w:numId w:val="50"/>
              </w:numPr>
              <w:overflowPunct w:val="0"/>
              <w:jc w:val="both"/>
              <w:rPr>
                <w:rFonts w:ascii="標楷體" w:eastAsia="標楷體" w:hAnsi="標楷體"/>
                <w:b/>
                <w:bCs/>
                <w:color w:val="FF0000"/>
                <w:szCs w:val="24"/>
              </w:rPr>
            </w:pPr>
          </w:p>
        </w:tc>
        <w:tc>
          <w:tcPr>
            <w:tcW w:w="2071" w:type="dxa"/>
            <w:tcBorders>
              <w:top w:val="single" w:sz="4" w:space="0" w:color="000000"/>
              <w:left w:val="single" w:sz="4" w:space="0" w:color="000000"/>
              <w:bottom w:val="single" w:sz="4" w:space="0" w:color="000000"/>
              <w:right w:val="single" w:sz="4" w:space="0" w:color="000000"/>
            </w:tcBorders>
            <w:shd w:val="clear" w:color="auto" w:fill="auto"/>
          </w:tcPr>
          <w:p w14:paraId="36F189D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6B41770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w:t>
            </w:r>
            <w:r w:rsidRPr="00B95A07">
              <w:rPr>
                <w:rFonts w:ascii="標楷體" w:eastAsia="標楷體" w:hAnsi="標楷體"/>
                <w:kern w:val="2"/>
                <w:szCs w:val="24"/>
              </w:rPr>
              <w:t>16人</w:t>
            </w:r>
          </w:p>
        </w:tc>
        <w:tc>
          <w:tcPr>
            <w:tcW w:w="1692" w:type="dxa"/>
            <w:tcBorders>
              <w:top w:val="single" w:sz="4" w:space="0" w:color="auto"/>
              <w:left w:val="single" w:sz="4" w:space="0" w:color="000000"/>
              <w:bottom w:val="single" w:sz="4" w:space="0" w:color="000000"/>
              <w:right w:val="single" w:sz="4" w:space="0" w:color="000000"/>
            </w:tcBorders>
            <w:shd w:val="clear" w:color="auto" w:fill="FFFFFF"/>
          </w:tcPr>
          <w:p w14:paraId="4980791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w:t>
            </w:r>
            <w:r w:rsidRPr="00B95A07">
              <w:rPr>
                <w:rFonts w:ascii="標楷體" w:eastAsia="標楷體" w:hAnsi="標楷體" w:hint="eastAsia"/>
                <w:kern w:val="2"/>
                <w:szCs w:val="24"/>
              </w:rPr>
              <w:lastRenderedPageBreak/>
              <w:t>查」</w:t>
            </w:r>
          </w:p>
        </w:tc>
        <w:tc>
          <w:tcPr>
            <w:tcW w:w="2130" w:type="dxa"/>
            <w:vMerge/>
            <w:tcBorders>
              <w:left w:val="single" w:sz="4" w:space="0" w:color="auto"/>
              <w:bottom w:val="single" w:sz="4" w:space="0" w:color="000000"/>
              <w:right w:val="single" w:sz="4" w:space="0" w:color="auto"/>
            </w:tcBorders>
            <w:shd w:val="clear" w:color="auto" w:fill="FFFFFF"/>
          </w:tcPr>
          <w:p w14:paraId="60B386FB"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624E3A8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B95A07" w14:paraId="07EF2712"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EFC335"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208EE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財政收支劃分法部分條文修正草案</w:t>
            </w:r>
            <w:r w:rsidRPr="00BA0BFF">
              <w:rPr>
                <w:rFonts w:ascii="標楷體" w:eastAsia="標楷體" w:hAnsi="標楷體" w:hint="eastAsia"/>
                <w:kern w:val="2"/>
                <w:szCs w:val="24"/>
              </w:rPr>
              <w:tab/>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17657F"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台灣民眾黨黨團</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1D9DA5B6"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F0305B">
              <w:rPr>
                <w:rFonts w:ascii="標楷體" w:eastAsia="標楷體" w:hAnsi="標楷體" w:hint="eastAsia"/>
                <w:kern w:val="2"/>
                <w:szCs w:val="24"/>
              </w:rPr>
              <w:t>第11屆第2會期第9次院會(113.11.15)決定：「逕付二讀，與相關提案併案協商」</w:t>
            </w:r>
          </w:p>
        </w:tc>
        <w:tc>
          <w:tcPr>
            <w:tcW w:w="213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43EAF23C" w14:textId="77777777" w:rsidR="007D160C" w:rsidRPr="00516B27" w:rsidRDefault="007D160C" w:rsidP="00F470A8">
            <w:pPr>
              <w:overflowPunct w:val="0"/>
              <w:jc w:val="both"/>
              <w:rPr>
                <w:rFonts w:ascii="標楷體" w:eastAsia="標楷體" w:hAnsi="標楷體"/>
                <w:szCs w:val="24"/>
              </w:rPr>
            </w:pPr>
          </w:p>
        </w:tc>
        <w:tc>
          <w:tcPr>
            <w:tcW w:w="2131" w:type="dxa"/>
            <w:tcBorders>
              <w:top w:val="single" w:sz="4" w:space="0" w:color="000000"/>
              <w:left w:val="single" w:sz="4" w:space="0" w:color="000000"/>
              <w:bottom w:val="single" w:sz="4" w:space="0" w:color="000000"/>
              <w:right w:val="single" w:sz="4" w:space="0" w:color="000000"/>
            </w:tcBorders>
            <w:shd w:val="clear" w:color="auto" w:fill="auto"/>
          </w:tcPr>
          <w:p w14:paraId="275BCDB4" w14:textId="77777777" w:rsidR="007D160C" w:rsidRPr="00516B27" w:rsidRDefault="007D160C" w:rsidP="00F470A8">
            <w:pPr>
              <w:overflowPunct w:val="0"/>
              <w:ind w:left="240" w:hangingChars="100" w:hanging="240"/>
              <w:jc w:val="both"/>
              <w:rPr>
                <w:rFonts w:ascii="標楷體" w:eastAsia="標楷體" w:hAnsi="標楷體"/>
                <w:bCs/>
                <w:szCs w:val="24"/>
              </w:rPr>
            </w:pPr>
          </w:p>
        </w:tc>
      </w:tr>
      <w:tr w:rsidR="007D160C" w:rsidRPr="00B95A07" w14:paraId="01D970C2"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CBA853F"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96CC6F"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財政收支劃分法部分條文修正草案</w:t>
            </w:r>
            <w:r w:rsidRPr="00D53C28">
              <w:rPr>
                <w:rFonts w:ascii="標楷體" w:eastAsia="標楷體" w:hAnsi="標楷體" w:hint="eastAsia"/>
                <w:kern w:val="2"/>
                <w:szCs w:val="24"/>
              </w:rPr>
              <w:tab/>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2D6C42"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高金素梅等17人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379EE0B7" w14:textId="77777777" w:rsidR="007D160C" w:rsidRPr="00F0305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第11屆第2會期第11次院會(113.11.29)決定：「</w:t>
            </w:r>
            <w:r w:rsidRPr="00F0305B">
              <w:rPr>
                <w:rFonts w:ascii="標楷體" w:eastAsia="標楷體" w:hAnsi="標楷體" w:hint="eastAsia"/>
                <w:kern w:val="2"/>
                <w:szCs w:val="24"/>
              </w:rPr>
              <w:t>逕付二讀，與相關提案併案協商</w:t>
            </w:r>
            <w:r w:rsidRPr="00D53C28">
              <w:rPr>
                <w:rFonts w:ascii="標楷體" w:eastAsia="標楷體" w:hAnsi="標楷體" w:hint="eastAsia"/>
                <w:kern w:val="2"/>
                <w:szCs w:val="24"/>
              </w:rPr>
              <w:t>」</w:t>
            </w:r>
          </w:p>
        </w:tc>
        <w:tc>
          <w:tcPr>
            <w:tcW w:w="213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51FA3EB" w14:textId="77777777" w:rsidR="007D160C" w:rsidRPr="00516B27" w:rsidRDefault="007D160C" w:rsidP="00F470A8">
            <w:pPr>
              <w:overflowPunct w:val="0"/>
              <w:jc w:val="both"/>
              <w:rPr>
                <w:rFonts w:ascii="標楷體" w:eastAsia="標楷體" w:hAnsi="標楷體"/>
                <w:szCs w:val="24"/>
              </w:rPr>
            </w:pPr>
          </w:p>
        </w:tc>
        <w:tc>
          <w:tcPr>
            <w:tcW w:w="2131" w:type="dxa"/>
            <w:tcBorders>
              <w:top w:val="single" w:sz="4" w:space="0" w:color="000000"/>
              <w:left w:val="single" w:sz="4" w:space="0" w:color="000000"/>
              <w:bottom w:val="single" w:sz="4" w:space="0" w:color="000000"/>
              <w:right w:val="single" w:sz="4" w:space="0" w:color="000000"/>
            </w:tcBorders>
            <w:shd w:val="clear" w:color="auto" w:fill="auto"/>
          </w:tcPr>
          <w:p w14:paraId="09E06D9A" w14:textId="77777777" w:rsidR="007D160C" w:rsidRPr="00516B27" w:rsidRDefault="007D160C" w:rsidP="00F470A8">
            <w:pPr>
              <w:overflowPunct w:val="0"/>
              <w:ind w:left="240" w:hangingChars="100" w:hanging="240"/>
              <w:jc w:val="both"/>
              <w:rPr>
                <w:rFonts w:ascii="標楷體" w:eastAsia="標楷體" w:hAnsi="標楷體"/>
                <w:bCs/>
                <w:szCs w:val="24"/>
              </w:rPr>
            </w:pPr>
          </w:p>
        </w:tc>
      </w:tr>
      <w:tr w:rsidR="007D160C" w:rsidRPr="001869CE" w14:paraId="75C1F1C8"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DC784B7" w14:textId="77777777" w:rsidR="007D160C" w:rsidRPr="001869CE"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right w:val="single" w:sz="4" w:space="0" w:color="auto"/>
            </w:tcBorders>
            <w:shd w:val="clear" w:color="auto" w:fill="auto"/>
            <w:tcMar>
              <w:top w:w="0" w:type="dxa"/>
              <w:left w:w="28" w:type="dxa"/>
              <w:bottom w:w="0" w:type="dxa"/>
              <w:right w:w="28" w:type="dxa"/>
            </w:tcMar>
          </w:tcPr>
          <w:p w14:paraId="3A3B29D7" w14:textId="77777777" w:rsidR="007D160C" w:rsidRPr="001869CE" w:rsidRDefault="007D160C"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財政收支劃分法第十二條條文修正草案</w:t>
            </w:r>
          </w:p>
        </w:tc>
        <w:tc>
          <w:tcPr>
            <w:tcW w:w="1416" w:type="dxa"/>
            <w:tcBorders>
              <w:top w:val="single" w:sz="4" w:space="0" w:color="000000"/>
              <w:left w:val="single" w:sz="4" w:space="0" w:color="auto"/>
              <w:right w:val="single" w:sz="4" w:space="0" w:color="auto"/>
            </w:tcBorders>
            <w:shd w:val="clear" w:color="auto" w:fill="auto"/>
            <w:tcMar>
              <w:top w:w="0" w:type="dxa"/>
              <w:left w:w="28" w:type="dxa"/>
              <w:bottom w:w="0" w:type="dxa"/>
              <w:right w:w="28" w:type="dxa"/>
            </w:tcMar>
          </w:tcPr>
          <w:p w14:paraId="0AC0E0EB" w14:textId="77777777" w:rsidR="007D160C" w:rsidRPr="001869CE" w:rsidRDefault="007D160C"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葉元之等19人</w:t>
            </w:r>
          </w:p>
        </w:tc>
        <w:tc>
          <w:tcPr>
            <w:tcW w:w="1692" w:type="dxa"/>
            <w:tcBorders>
              <w:top w:val="single" w:sz="4" w:space="0" w:color="000000"/>
              <w:left w:val="single" w:sz="4" w:space="0" w:color="000000"/>
              <w:right w:val="single" w:sz="4" w:space="0" w:color="000000"/>
            </w:tcBorders>
            <w:shd w:val="clear" w:color="auto" w:fill="FFFFFF"/>
            <w:tcMar>
              <w:top w:w="0" w:type="dxa"/>
              <w:left w:w="28" w:type="dxa"/>
              <w:bottom w:w="0" w:type="dxa"/>
              <w:right w:w="28" w:type="dxa"/>
            </w:tcMar>
          </w:tcPr>
          <w:p w14:paraId="2481599C" w14:textId="77777777" w:rsidR="007D160C" w:rsidRPr="001869CE" w:rsidRDefault="007D160C"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第11屆第2會期第12次院會(113.12.6)決定：「逕付二讀，與相關提案併案協商」</w:t>
            </w:r>
          </w:p>
        </w:tc>
        <w:tc>
          <w:tcPr>
            <w:tcW w:w="2130"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11577F08" w14:textId="77777777" w:rsidR="007D160C" w:rsidRPr="001869CE" w:rsidRDefault="007D160C" w:rsidP="00F470A8">
            <w:pPr>
              <w:widowControl w:val="0"/>
              <w:overflowPunct w:val="0"/>
              <w:autoSpaceDN/>
              <w:spacing w:line="340" w:lineRule="exact"/>
              <w:ind w:left="240" w:hangingChars="100" w:hanging="240"/>
              <w:jc w:val="both"/>
              <w:textAlignment w:val="auto"/>
              <w:rPr>
                <w:rFonts w:ascii="標楷體" w:eastAsia="標楷體" w:hAnsi="標楷體"/>
                <w:kern w:val="2"/>
                <w:szCs w:val="24"/>
              </w:rPr>
            </w:pPr>
          </w:p>
        </w:tc>
        <w:tc>
          <w:tcPr>
            <w:tcW w:w="2131" w:type="dxa"/>
            <w:tcBorders>
              <w:top w:val="single" w:sz="4" w:space="0" w:color="000000"/>
              <w:left w:val="single" w:sz="4" w:space="0" w:color="000000"/>
              <w:bottom w:val="single" w:sz="12" w:space="0" w:color="000000"/>
              <w:right w:val="single" w:sz="4" w:space="0" w:color="000000"/>
            </w:tcBorders>
            <w:shd w:val="clear" w:color="auto" w:fill="auto"/>
          </w:tcPr>
          <w:p w14:paraId="64B102B6" w14:textId="77777777" w:rsidR="007D160C" w:rsidRPr="001869CE" w:rsidRDefault="007D160C" w:rsidP="00F470A8">
            <w:pPr>
              <w:overflowPunct w:val="0"/>
              <w:ind w:left="240" w:hangingChars="100" w:hanging="240"/>
              <w:jc w:val="both"/>
              <w:rPr>
                <w:rFonts w:ascii="標楷體" w:eastAsia="標楷體" w:hAnsi="標楷體"/>
                <w:bCs/>
                <w:szCs w:val="24"/>
              </w:rPr>
            </w:pPr>
          </w:p>
        </w:tc>
      </w:tr>
      <w:tr w:rsidR="007D160C" w:rsidRPr="00B95A07" w14:paraId="347E387C"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12"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2C65748D"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B351878"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12"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EF885DD"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行政院</w:t>
            </w:r>
          </w:p>
        </w:tc>
        <w:tc>
          <w:tcPr>
            <w:tcW w:w="1692" w:type="dxa"/>
            <w:tcBorders>
              <w:top w:val="single" w:sz="12" w:space="0" w:color="000000"/>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2F345A0F"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2130" w:type="dxa"/>
            <w:vMerge w:val="restart"/>
            <w:tcBorders>
              <w:top w:val="single" w:sz="12"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14:paraId="066FC513" w14:textId="77777777" w:rsidR="007D160C" w:rsidRPr="0026068C" w:rsidRDefault="007D160C" w:rsidP="00EB63E4">
            <w:pPr>
              <w:overflowPunct w:val="0"/>
              <w:jc w:val="both"/>
              <w:rPr>
                <w:rFonts w:ascii="標楷體" w:eastAsia="標楷體" w:hAnsi="標楷體"/>
                <w:szCs w:val="24"/>
              </w:rPr>
            </w:pPr>
            <w:r w:rsidRPr="00516B27">
              <w:rPr>
                <w:rFonts w:ascii="標楷體" w:eastAsia="標楷體" w:hAnsi="標楷體" w:hint="eastAsia"/>
                <w:szCs w:val="24"/>
              </w:rPr>
              <w:t>第11屆第2會期財政委員會第</w:t>
            </w:r>
            <w:r>
              <w:rPr>
                <w:rFonts w:ascii="標楷體" w:eastAsia="標楷體" w:hAnsi="標楷體" w:hint="eastAsia"/>
                <w:szCs w:val="24"/>
              </w:rPr>
              <w:t>8</w:t>
            </w:r>
            <w:r w:rsidRPr="00516B27">
              <w:rPr>
                <w:rFonts w:ascii="標楷體" w:eastAsia="標楷體" w:hAnsi="標楷體" w:hint="eastAsia"/>
                <w:szCs w:val="24"/>
              </w:rPr>
              <w:t>次全體委員會議</w:t>
            </w:r>
            <w:r w:rsidRPr="0026068C">
              <w:rPr>
                <w:rFonts w:ascii="標楷體" w:eastAsia="標楷體" w:hAnsi="標楷體" w:hint="eastAsia"/>
                <w:szCs w:val="24"/>
              </w:rPr>
              <w:t>(113.11.13)</w:t>
            </w:r>
          </w:p>
        </w:tc>
        <w:tc>
          <w:tcPr>
            <w:tcW w:w="2131" w:type="dxa"/>
            <w:vMerge w:val="restart"/>
            <w:tcBorders>
              <w:top w:val="single" w:sz="12" w:space="0" w:color="000000"/>
              <w:left w:val="single" w:sz="4" w:space="0" w:color="auto"/>
              <w:bottom w:val="single" w:sz="4" w:space="0" w:color="auto"/>
              <w:right w:val="single" w:sz="4" w:space="0" w:color="000000"/>
            </w:tcBorders>
            <w:shd w:val="clear" w:color="auto" w:fill="auto"/>
          </w:tcPr>
          <w:p w14:paraId="08E8124B" w14:textId="77777777" w:rsidR="007D160C" w:rsidRPr="00DF140B" w:rsidRDefault="007D160C" w:rsidP="00F470A8">
            <w:pPr>
              <w:overflowPunct w:val="0"/>
              <w:ind w:left="240" w:hangingChars="100" w:hanging="240"/>
              <w:jc w:val="both"/>
              <w:rPr>
                <w:rFonts w:ascii="標楷體" w:eastAsia="標楷體" w:hAnsi="標楷體"/>
                <w:bCs/>
                <w:szCs w:val="24"/>
              </w:rPr>
            </w:pPr>
            <w:r w:rsidRPr="00DF140B">
              <w:rPr>
                <w:rFonts w:ascii="標楷體" w:eastAsia="標楷體" w:hAnsi="標楷體" w:hint="eastAsia"/>
                <w:bCs/>
                <w:szCs w:val="24"/>
              </w:rPr>
              <w:t>1.審查完竣，不須交由黨團協商。</w:t>
            </w:r>
          </w:p>
          <w:p w14:paraId="4A12770D" w14:textId="2D3639C8" w:rsidR="007D160C" w:rsidRPr="00DF140B" w:rsidRDefault="007D160C" w:rsidP="00F470A8">
            <w:pPr>
              <w:overflowPunct w:val="0"/>
              <w:ind w:left="240" w:hangingChars="100" w:hanging="240"/>
              <w:jc w:val="both"/>
              <w:rPr>
                <w:rFonts w:ascii="標楷體" w:eastAsia="標楷體" w:hAnsi="標楷體"/>
                <w:bCs/>
                <w:szCs w:val="24"/>
              </w:rPr>
            </w:pPr>
            <w:r w:rsidRPr="00DF140B">
              <w:rPr>
                <w:rFonts w:ascii="標楷體" w:eastAsia="標楷體" w:hAnsi="標楷體" w:hint="eastAsia"/>
                <w:bCs/>
                <w:szCs w:val="24"/>
              </w:rPr>
              <w:t>2.113.1</w:t>
            </w:r>
            <w:r w:rsidR="00B65990">
              <w:rPr>
                <w:rFonts w:ascii="標楷體" w:eastAsia="標楷體" w:hAnsi="標楷體" w:hint="eastAsia"/>
                <w:bCs/>
                <w:szCs w:val="24"/>
              </w:rPr>
              <w:t>1</w:t>
            </w:r>
            <w:r w:rsidRPr="00DF140B">
              <w:rPr>
                <w:rFonts w:ascii="標楷體" w:eastAsia="標楷體" w:hAnsi="標楷體" w:hint="eastAsia"/>
                <w:bCs/>
                <w:szCs w:val="24"/>
              </w:rPr>
              <w:t>.15本會將審查報告函送議事處。</w:t>
            </w:r>
          </w:p>
          <w:p w14:paraId="416E0337" w14:textId="77777777" w:rsidR="007D160C" w:rsidRPr="00DF140B" w:rsidRDefault="007D160C" w:rsidP="00F470A8">
            <w:pPr>
              <w:overflowPunct w:val="0"/>
              <w:ind w:left="240" w:hangingChars="100" w:hanging="240"/>
              <w:jc w:val="both"/>
              <w:rPr>
                <w:rFonts w:ascii="標楷體" w:eastAsia="標楷體" w:hAnsi="標楷體"/>
                <w:bCs/>
                <w:szCs w:val="24"/>
              </w:rPr>
            </w:pPr>
          </w:p>
        </w:tc>
      </w:tr>
      <w:tr w:rsidR="007D160C" w:rsidRPr="00B95A07" w14:paraId="76A2F5B6"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6949CF47"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FA1B5A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09C29F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169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A7B8CB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2130" w:type="dxa"/>
            <w:vMerge/>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tcPr>
          <w:p w14:paraId="40D33C5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02BF0EA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8E2B357"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64B9326A"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2FD0019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59DB06E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42A5ADF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2130" w:type="dxa"/>
            <w:vMerge/>
            <w:tcBorders>
              <w:top w:val="single" w:sz="4" w:space="0" w:color="auto"/>
              <w:left w:val="single" w:sz="4" w:space="0" w:color="auto"/>
              <w:right w:val="single" w:sz="4" w:space="0" w:color="auto"/>
            </w:tcBorders>
            <w:shd w:val="clear" w:color="auto" w:fill="FFFFFF"/>
            <w:tcMar>
              <w:top w:w="0" w:type="dxa"/>
              <w:left w:w="28" w:type="dxa"/>
              <w:bottom w:w="0" w:type="dxa"/>
              <w:right w:w="28" w:type="dxa"/>
            </w:tcMar>
          </w:tcPr>
          <w:p w14:paraId="690F4D2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top w:val="single" w:sz="4" w:space="0" w:color="auto"/>
              <w:left w:val="single" w:sz="4" w:space="0" w:color="auto"/>
              <w:right w:val="single" w:sz="4" w:space="0" w:color="000000"/>
            </w:tcBorders>
            <w:shd w:val="clear" w:color="auto" w:fill="auto"/>
          </w:tcPr>
          <w:p w14:paraId="0B0F66A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1F13903"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5C070F28"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15DD69B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6A2D78CE"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賴士葆等26人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D80632E"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auto"/>
              <w:bottom w:val="single" w:sz="4" w:space="0" w:color="000000"/>
              <w:right w:val="single" w:sz="4" w:space="0" w:color="auto"/>
            </w:tcBorders>
            <w:shd w:val="clear" w:color="auto" w:fill="FFFFFF"/>
            <w:tcMar>
              <w:top w:w="0" w:type="dxa"/>
              <w:left w:w="28" w:type="dxa"/>
              <w:bottom w:w="0" w:type="dxa"/>
              <w:right w:w="28" w:type="dxa"/>
            </w:tcMar>
          </w:tcPr>
          <w:p w14:paraId="7169CE93"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auto"/>
              <w:bottom w:val="single" w:sz="4" w:space="0" w:color="000000"/>
              <w:right w:val="single" w:sz="4" w:space="0" w:color="000000"/>
            </w:tcBorders>
            <w:shd w:val="clear" w:color="auto" w:fill="auto"/>
          </w:tcPr>
          <w:p w14:paraId="0326C8C7"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7689B9E"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1E24DCD8"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0739102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332D512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C8F2CB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4BB369BB"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top w:val="single" w:sz="4" w:space="0" w:color="000000"/>
              <w:left w:val="single" w:sz="4" w:space="0" w:color="000000"/>
              <w:right w:val="single" w:sz="4" w:space="0" w:color="000000"/>
            </w:tcBorders>
            <w:shd w:val="clear" w:color="auto" w:fill="auto"/>
            <w:vAlign w:val="center"/>
          </w:tcPr>
          <w:p w14:paraId="3CEC1183"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3076E94"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1326CBC0"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526345F0"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57EE313"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等19人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2FDA366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6165F9D6"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202E8094" w14:textId="77777777" w:rsidR="007D160C" w:rsidRPr="009C72AA"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CBCCF90"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3F2A022D"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49A24D17"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727455E7"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陳冠廷等23人</w:t>
            </w:r>
          </w:p>
        </w:tc>
        <w:tc>
          <w:tcPr>
            <w:tcW w:w="16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41063FE"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33D908D3" w14:textId="77777777" w:rsidR="007D160C" w:rsidRPr="00C85D18"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283462BE" w14:textId="77777777" w:rsidR="007D160C" w:rsidRPr="00C85D18"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CAA9FA9"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7273BE85"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5D60F438"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6B85E494"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14:paraId="0A9EF29C"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0ECE136E" w14:textId="77777777" w:rsidR="007D160C" w:rsidRPr="005A07A3"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12CC24C0" w14:textId="77777777" w:rsidR="007D160C" w:rsidRPr="005A07A3"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433AB9F" w14:textId="77777777" w:rsidTr="004E1C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cantSplit/>
          <w:jc w:val="center"/>
        </w:trPr>
        <w:tc>
          <w:tcPr>
            <w:tcW w:w="624" w:type="dxa"/>
            <w:tcBorders>
              <w:top w:val="single" w:sz="4" w:space="0" w:color="000000"/>
              <w:left w:val="single" w:sz="4" w:space="0" w:color="000000"/>
              <w:bottom w:val="single" w:sz="2" w:space="0" w:color="auto"/>
              <w:right w:val="single" w:sz="4" w:space="0" w:color="auto"/>
            </w:tcBorders>
            <w:shd w:val="clear" w:color="auto" w:fill="auto"/>
            <w:tcMar>
              <w:top w:w="0" w:type="dxa"/>
              <w:left w:w="28" w:type="dxa"/>
              <w:bottom w:w="0" w:type="dxa"/>
              <w:right w:w="28" w:type="dxa"/>
            </w:tcMar>
          </w:tcPr>
          <w:p w14:paraId="78BBDBED" w14:textId="77777777" w:rsidR="007D160C" w:rsidRPr="00B95A07"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000000"/>
              <w:left w:val="single" w:sz="4" w:space="0" w:color="auto"/>
              <w:bottom w:val="single" w:sz="2" w:space="0" w:color="auto"/>
              <w:right w:val="single" w:sz="4" w:space="0" w:color="auto"/>
            </w:tcBorders>
            <w:shd w:val="clear" w:color="auto" w:fill="auto"/>
            <w:tcMar>
              <w:top w:w="0" w:type="dxa"/>
              <w:left w:w="28" w:type="dxa"/>
              <w:bottom w:w="0" w:type="dxa"/>
              <w:right w:w="28" w:type="dxa"/>
            </w:tcMar>
          </w:tcPr>
          <w:p w14:paraId="59F10284"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4" w:space="0" w:color="000000"/>
              <w:left w:val="single" w:sz="4" w:space="0" w:color="auto"/>
              <w:bottom w:val="single" w:sz="2" w:space="0" w:color="auto"/>
              <w:right w:val="single" w:sz="4" w:space="0" w:color="auto"/>
            </w:tcBorders>
            <w:shd w:val="clear" w:color="auto" w:fill="auto"/>
            <w:tcMar>
              <w:top w:w="0" w:type="dxa"/>
              <w:left w:w="28" w:type="dxa"/>
              <w:bottom w:w="0" w:type="dxa"/>
              <w:right w:w="28" w:type="dxa"/>
            </w:tcMar>
          </w:tcPr>
          <w:p w14:paraId="0DFA5FB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賴惠員等18人</w:t>
            </w:r>
          </w:p>
        </w:tc>
        <w:tc>
          <w:tcPr>
            <w:tcW w:w="1692" w:type="dxa"/>
            <w:tcBorders>
              <w:top w:val="single" w:sz="4" w:space="0" w:color="auto"/>
              <w:left w:val="single" w:sz="4" w:space="0" w:color="000000"/>
              <w:bottom w:val="single" w:sz="2" w:space="0" w:color="auto"/>
              <w:right w:val="single" w:sz="4" w:space="0" w:color="000000"/>
            </w:tcBorders>
            <w:shd w:val="clear" w:color="auto" w:fill="FFFFFF"/>
            <w:tcMar>
              <w:top w:w="0" w:type="dxa"/>
              <w:left w:w="28" w:type="dxa"/>
              <w:bottom w:w="0" w:type="dxa"/>
              <w:right w:w="28" w:type="dxa"/>
            </w:tcMar>
          </w:tcPr>
          <w:p w14:paraId="5935C5B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213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7EEE0092" w14:textId="77777777" w:rsidR="007D160C" w:rsidRPr="00D043C5"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2131" w:type="dxa"/>
            <w:vMerge/>
            <w:tcBorders>
              <w:left w:val="single" w:sz="4" w:space="0" w:color="000000"/>
              <w:right w:val="single" w:sz="4" w:space="0" w:color="000000"/>
            </w:tcBorders>
            <w:shd w:val="clear" w:color="auto" w:fill="auto"/>
            <w:vAlign w:val="center"/>
          </w:tcPr>
          <w:p w14:paraId="0B98E91D" w14:textId="77777777" w:rsidR="007D160C" w:rsidRPr="00D043C5"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4E5043" w14:paraId="05E4FD44" w14:textId="77777777" w:rsidTr="004E1C6E">
        <w:trPr>
          <w:trHeight w:val="983"/>
          <w:jc w:val="center"/>
        </w:trPr>
        <w:tc>
          <w:tcPr>
            <w:tcW w:w="624" w:type="dxa"/>
            <w:tcBorders>
              <w:top w:val="single" w:sz="2" w:space="0" w:color="auto"/>
              <w:bottom w:val="single" w:sz="2" w:space="0" w:color="auto"/>
              <w:right w:val="single" w:sz="4" w:space="0" w:color="auto"/>
            </w:tcBorders>
          </w:tcPr>
          <w:p w14:paraId="4D4B9B1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2" w:space="0" w:color="auto"/>
              <w:left w:val="single" w:sz="4" w:space="0" w:color="auto"/>
              <w:bottom w:val="single" w:sz="2" w:space="0" w:color="auto"/>
              <w:right w:val="single" w:sz="4" w:space="0" w:color="auto"/>
            </w:tcBorders>
            <w:shd w:val="clear" w:color="auto" w:fill="auto"/>
          </w:tcPr>
          <w:p w14:paraId="6888F719"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貨物稅條例第十二條及第十二條之三條文修正草案</w:t>
            </w:r>
            <w:r w:rsidRPr="00BA0BFF">
              <w:rPr>
                <w:rFonts w:ascii="標楷體" w:eastAsia="標楷體" w:hAnsi="標楷體" w:hint="eastAsia"/>
                <w:kern w:val="2"/>
                <w:szCs w:val="24"/>
              </w:rPr>
              <w:tab/>
            </w:r>
          </w:p>
        </w:tc>
        <w:tc>
          <w:tcPr>
            <w:tcW w:w="1416" w:type="dxa"/>
            <w:tcBorders>
              <w:top w:val="single" w:sz="2" w:space="0" w:color="auto"/>
              <w:left w:val="single" w:sz="4" w:space="0" w:color="auto"/>
              <w:bottom w:val="single" w:sz="2" w:space="0" w:color="auto"/>
              <w:right w:val="single" w:sz="4" w:space="0" w:color="auto"/>
            </w:tcBorders>
            <w:shd w:val="clear" w:color="auto" w:fill="auto"/>
          </w:tcPr>
          <w:p w14:paraId="697C7A0F"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顏寬恒等16人</w:t>
            </w:r>
            <w:r w:rsidRPr="00BA0BFF">
              <w:rPr>
                <w:rFonts w:ascii="標楷體" w:eastAsia="標楷體" w:hAnsi="標楷體" w:hint="eastAsia"/>
                <w:kern w:val="2"/>
                <w:szCs w:val="24"/>
              </w:rPr>
              <w:tab/>
            </w:r>
          </w:p>
        </w:tc>
        <w:tc>
          <w:tcPr>
            <w:tcW w:w="1692" w:type="dxa"/>
            <w:tcBorders>
              <w:top w:val="single" w:sz="2" w:space="0" w:color="auto"/>
              <w:left w:val="single" w:sz="4" w:space="0" w:color="000000"/>
              <w:bottom w:val="single" w:sz="2" w:space="0" w:color="auto"/>
              <w:right w:val="single" w:sz="4" w:space="0" w:color="000000"/>
            </w:tcBorders>
            <w:shd w:val="clear" w:color="auto" w:fill="FFFFFF"/>
          </w:tcPr>
          <w:p w14:paraId="67637494"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第11屆第2會期第3次院會(113.10.4)決定：「交財政委員會審查」</w:t>
            </w:r>
          </w:p>
        </w:tc>
        <w:tc>
          <w:tcPr>
            <w:tcW w:w="2130" w:type="dxa"/>
            <w:vMerge/>
            <w:tcBorders>
              <w:left w:val="single" w:sz="4" w:space="0" w:color="000000"/>
              <w:right w:val="single" w:sz="4" w:space="0" w:color="000000"/>
            </w:tcBorders>
            <w:shd w:val="clear" w:color="auto" w:fill="auto"/>
          </w:tcPr>
          <w:p w14:paraId="6D7C3784"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tcPr>
          <w:p w14:paraId="516AB66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052053E0" w14:textId="77777777" w:rsidTr="004E1C6E">
        <w:trPr>
          <w:trHeight w:val="983"/>
          <w:jc w:val="center"/>
        </w:trPr>
        <w:tc>
          <w:tcPr>
            <w:tcW w:w="624" w:type="dxa"/>
            <w:tcBorders>
              <w:top w:val="single" w:sz="2" w:space="0" w:color="auto"/>
              <w:bottom w:val="single" w:sz="12" w:space="0" w:color="auto"/>
              <w:right w:val="single" w:sz="4" w:space="0" w:color="auto"/>
            </w:tcBorders>
          </w:tcPr>
          <w:p w14:paraId="3CD4DDBD"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2" w:space="0" w:color="auto"/>
              <w:left w:val="single" w:sz="4" w:space="0" w:color="auto"/>
              <w:bottom w:val="single" w:sz="12" w:space="0" w:color="auto"/>
              <w:right w:val="single" w:sz="4" w:space="0" w:color="auto"/>
            </w:tcBorders>
            <w:shd w:val="clear" w:color="auto" w:fill="auto"/>
          </w:tcPr>
          <w:p w14:paraId="4D4B72CD"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貨物稅條例第十二條及第十二條之六條文修正草案</w:t>
            </w:r>
            <w:r w:rsidRPr="00BA0BFF">
              <w:rPr>
                <w:rFonts w:ascii="標楷體" w:eastAsia="標楷體" w:hAnsi="標楷體" w:hint="eastAsia"/>
                <w:kern w:val="2"/>
                <w:szCs w:val="24"/>
              </w:rPr>
              <w:tab/>
            </w:r>
          </w:p>
        </w:tc>
        <w:tc>
          <w:tcPr>
            <w:tcW w:w="1416" w:type="dxa"/>
            <w:tcBorders>
              <w:top w:val="single" w:sz="2" w:space="0" w:color="auto"/>
              <w:left w:val="single" w:sz="4" w:space="0" w:color="auto"/>
              <w:bottom w:val="single" w:sz="12" w:space="0" w:color="auto"/>
              <w:right w:val="single" w:sz="4" w:space="0" w:color="auto"/>
            </w:tcBorders>
            <w:shd w:val="clear" w:color="auto" w:fill="auto"/>
          </w:tcPr>
          <w:p w14:paraId="628005D3"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郭國文等16人</w:t>
            </w:r>
          </w:p>
        </w:tc>
        <w:tc>
          <w:tcPr>
            <w:tcW w:w="1692" w:type="dxa"/>
            <w:tcBorders>
              <w:top w:val="single" w:sz="2" w:space="0" w:color="auto"/>
              <w:left w:val="single" w:sz="4" w:space="0" w:color="000000"/>
              <w:bottom w:val="single" w:sz="12" w:space="0" w:color="auto"/>
              <w:right w:val="single" w:sz="4" w:space="0" w:color="000000"/>
            </w:tcBorders>
            <w:shd w:val="clear" w:color="auto" w:fill="FFFFFF"/>
          </w:tcPr>
          <w:p w14:paraId="646C6A4F"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第11屆第2會期第4次院會(113.10.11)決定：「交財政委員會審查」</w:t>
            </w:r>
          </w:p>
        </w:tc>
        <w:tc>
          <w:tcPr>
            <w:tcW w:w="2130" w:type="dxa"/>
            <w:vMerge/>
            <w:tcBorders>
              <w:left w:val="single" w:sz="4" w:space="0" w:color="000000"/>
              <w:bottom w:val="single" w:sz="12" w:space="0" w:color="auto"/>
              <w:right w:val="single" w:sz="4" w:space="0" w:color="000000"/>
            </w:tcBorders>
            <w:shd w:val="clear" w:color="auto" w:fill="auto"/>
          </w:tcPr>
          <w:p w14:paraId="2E373FC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tcPr>
          <w:p w14:paraId="189772E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8323874" w14:textId="77777777" w:rsidTr="004E1C6E">
        <w:trPr>
          <w:trHeight w:val="983"/>
          <w:jc w:val="center"/>
        </w:trPr>
        <w:tc>
          <w:tcPr>
            <w:tcW w:w="624" w:type="dxa"/>
            <w:tcBorders>
              <w:top w:val="single" w:sz="12" w:space="0" w:color="auto"/>
              <w:bottom w:val="single" w:sz="4" w:space="0" w:color="auto"/>
              <w:right w:val="single" w:sz="4" w:space="0" w:color="auto"/>
            </w:tcBorders>
          </w:tcPr>
          <w:p w14:paraId="443E7C2F"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auto"/>
              <w:left w:val="single" w:sz="4" w:space="0" w:color="auto"/>
              <w:bottom w:val="single" w:sz="4" w:space="0" w:color="auto"/>
              <w:right w:val="single" w:sz="4" w:space="0" w:color="auto"/>
            </w:tcBorders>
            <w:shd w:val="clear" w:color="auto" w:fill="auto"/>
          </w:tcPr>
          <w:p w14:paraId="2C2EFFAD"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菸酒稅法部分條文修正草案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22135934"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5B51F30F"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第11屆第2會期第1次院會(113.9.20)決定：「交財政委員會審查」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71E6781D" w14:textId="77777777" w:rsidR="007D160C" w:rsidRPr="0026068C" w:rsidRDefault="007D160C" w:rsidP="00F470A8">
            <w:pPr>
              <w:overflowPunct w:val="0"/>
              <w:jc w:val="both"/>
              <w:rPr>
                <w:rFonts w:ascii="標楷體" w:eastAsia="標楷體" w:hAnsi="標楷體"/>
                <w:szCs w:val="24"/>
              </w:rPr>
            </w:pPr>
            <w:r w:rsidRPr="0026068C">
              <w:rPr>
                <w:rFonts w:ascii="標楷體" w:eastAsia="標楷體" w:hAnsi="標楷體" w:hint="eastAsia"/>
                <w:szCs w:val="24"/>
              </w:rPr>
              <w:t>第11屆第2會期財政委員會第13次全體委員會議(113.12.25)</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319ADF6E"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1.審查完竣，不須交由黨團協商。</w:t>
            </w:r>
          </w:p>
          <w:p w14:paraId="1D7A5235"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2.</w:t>
            </w:r>
            <w:r w:rsidRPr="00C12334">
              <w:rPr>
                <w:rFonts w:ascii="標楷體" w:eastAsia="標楷體" w:hAnsi="標楷體" w:hint="eastAsia"/>
                <w:bCs/>
                <w:szCs w:val="24"/>
              </w:rPr>
              <w:t>113.12.30本會將審查報告函送議事處。</w:t>
            </w:r>
          </w:p>
          <w:p w14:paraId="78B08D86" w14:textId="77777777" w:rsidR="007D160C" w:rsidRPr="00B42AA8" w:rsidRDefault="007D160C" w:rsidP="00F470A8">
            <w:pPr>
              <w:overflowPunct w:val="0"/>
              <w:ind w:left="240" w:hangingChars="100" w:hanging="240"/>
              <w:jc w:val="both"/>
              <w:rPr>
                <w:rFonts w:ascii="標楷體" w:eastAsia="標楷體" w:hAnsi="標楷體"/>
                <w:bCs/>
                <w:szCs w:val="24"/>
              </w:rPr>
            </w:pPr>
          </w:p>
        </w:tc>
      </w:tr>
      <w:tr w:rsidR="007D160C" w:rsidRPr="004E5043" w14:paraId="4B37B306" w14:textId="77777777" w:rsidTr="004E1C6E">
        <w:trPr>
          <w:trHeight w:val="983"/>
          <w:jc w:val="center"/>
        </w:trPr>
        <w:tc>
          <w:tcPr>
            <w:tcW w:w="624" w:type="dxa"/>
            <w:tcBorders>
              <w:top w:val="single" w:sz="4" w:space="0" w:color="auto"/>
              <w:bottom w:val="single" w:sz="4" w:space="0" w:color="auto"/>
              <w:right w:val="single" w:sz="4" w:space="0" w:color="auto"/>
            </w:tcBorders>
          </w:tcPr>
          <w:p w14:paraId="29AC8DD6"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BCA2075"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44C20E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279786E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w:t>
            </w:r>
            <w:r w:rsidRPr="00D043C5">
              <w:rPr>
                <w:rFonts w:ascii="標楷體" w:eastAsia="標楷體" w:hAnsi="標楷體" w:hint="eastAsia"/>
                <w:kern w:val="2"/>
                <w:szCs w:val="24"/>
              </w:rPr>
              <w:lastRenderedPageBreak/>
              <w:t>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7B1E1F81"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4DAB99CA"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42A4BE50" w14:textId="77777777" w:rsidTr="004E1C6E">
        <w:trPr>
          <w:trHeight w:val="983"/>
          <w:jc w:val="center"/>
        </w:trPr>
        <w:tc>
          <w:tcPr>
            <w:tcW w:w="624" w:type="dxa"/>
            <w:tcBorders>
              <w:top w:val="single" w:sz="4" w:space="0" w:color="auto"/>
              <w:bottom w:val="single" w:sz="4" w:space="0" w:color="auto"/>
              <w:right w:val="single" w:sz="4" w:space="0" w:color="auto"/>
            </w:tcBorders>
          </w:tcPr>
          <w:p w14:paraId="32DBC27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33BF846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5464578"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03E3EA55"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59A17B45"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2302EF58"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A2E3FAE" w14:textId="77777777" w:rsidTr="004E1C6E">
        <w:trPr>
          <w:trHeight w:val="983"/>
          <w:jc w:val="center"/>
        </w:trPr>
        <w:tc>
          <w:tcPr>
            <w:tcW w:w="624" w:type="dxa"/>
            <w:tcBorders>
              <w:top w:val="single" w:sz="4" w:space="0" w:color="auto"/>
              <w:bottom w:val="single" w:sz="4" w:space="0" w:color="auto"/>
              <w:right w:val="single" w:sz="4" w:space="0" w:color="auto"/>
            </w:tcBorders>
          </w:tcPr>
          <w:p w14:paraId="4525D782"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7C964E6"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430C11E"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郭國文等18人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3D6D7583"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第11屆第2會期第9次院會(113.11.15)決定：「交財政委員會審查」</w:t>
            </w:r>
          </w:p>
        </w:tc>
        <w:tc>
          <w:tcPr>
            <w:tcW w:w="2130" w:type="dxa"/>
            <w:vMerge/>
            <w:tcBorders>
              <w:left w:val="single" w:sz="4" w:space="0" w:color="auto"/>
              <w:bottom w:val="single" w:sz="4" w:space="0" w:color="000000"/>
              <w:right w:val="single" w:sz="4" w:space="0" w:color="auto"/>
            </w:tcBorders>
            <w:shd w:val="clear" w:color="auto" w:fill="FFFFFF"/>
          </w:tcPr>
          <w:p w14:paraId="2B4205B9"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1EE24999"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7D01C8" w14:paraId="71323B2C" w14:textId="77777777" w:rsidTr="004E1C6E">
        <w:trPr>
          <w:trHeight w:val="983"/>
          <w:jc w:val="center"/>
        </w:trPr>
        <w:tc>
          <w:tcPr>
            <w:tcW w:w="624" w:type="dxa"/>
            <w:tcBorders>
              <w:top w:val="single" w:sz="4" w:space="0" w:color="auto"/>
              <w:bottom w:val="single" w:sz="4" w:space="0" w:color="auto"/>
              <w:right w:val="single" w:sz="4" w:space="0" w:color="auto"/>
            </w:tcBorders>
          </w:tcPr>
          <w:p w14:paraId="0B4DF2E5" w14:textId="77777777" w:rsidR="007D160C" w:rsidRPr="007D01C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86BF842"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11FD73D"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吳琪銘等16人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D912223"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第11屆第2會期第13次院會(113.12.13)決定：「交財政委員會審查」</w:t>
            </w:r>
          </w:p>
        </w:tc>
        <w:tc>
          <w:tcPr>
            <w:tcW w:w="2130" w:type="dxa"/>
            <w:vMerge/>
            <w:tcBorders>
              <w:top w:val="single" w:sz="4" w:space="0" w:color="000000"/>
              <w:left w:val="single" w:sz="4" w:space="0" w:color="000000"/>
              <w:right w:val="single" w:sz="4" w:space="0" w:color="000000"/>
            </w:tcBorders>
            <w:shd w:val="clear" w:color="auto" w:fill="auto"/>
            <w:vAlign w:val="center"/>
          </w:tcPr>
          <w:p w14:paraId="73D796F7" w14:textId="77777777" w:rsidR="007D160C" w:rsidRPr="007D01C8" w:rsidRDefault="007D160C" w:rsidP="00F470A8">
            <w:pPr>
              <w:overflowPunct w:val="0"/>
              <w:jc w:val="both"/>
              <w:rPr>
                <w:rFonts w:ascii="標楷體" w:eastAsia="標楷體" w:hAnsi="標楷體"/>
                <w:szCs w:val="24"/>
              </w:rPr>
            </w:pPr>
          </w:p>
        </w:tc>
        <w:tc>
          <w:tcPr>
            <w:tcW w:w="2131" w:type="dxa"/>
            <w:vMerge/>
            <w:tcBorders>
              <w:top w:val="single" w:sz="4" w:space="0" w:color="000000"/>
              <w:left w:val="single" w:sz="4" w:space="0" w:color="000000"/>
              <w:right w:val="single" w:sz="4" w:space="0" w:color="000000"/>
            </w:tcBorders>
            <w:shd w:val="clear" w:color="auto" w:fill="auto"/>
            <w:vAlign w:val="center"/>
          </w:tcPr>
          <w:p w14:paraId="30C7847B" w14:textId="77777777" w:rsidR="007D160C" w:rsidRPr="007D01C8" w:rsidRDefault="007D160C" w:rsidP="00F470A8">
            <w:pPr>
              <w:overflowPunct w:val="0"/>
              <w:ind w:left="240" w:hangingChars="100" w:hanging="240"/>
              <w:jc w:val="both"/>
              <w:rPr>
                <w:rFonts w:ascii="標楷體" w:eastAsia="標楷體" w:hAnsi="標楷體"/>
                <w:bCs/>
                <w:szCs w:val="24"/>
              </w:rPr>
            </w:pPr>
          </w:p>
        </w:tc>
      </w:tr>
      <w:tr w:rsidR="007D160C" w:rsidRPr="004E5043" w14:paraId="15A255C9" w14:textId="77777777" w:rsidTr="004E1C6E">
        <w:trPr>
          <w:trHeight w:val="983"/>
          <w:jc w:val="center"/>
        </w:trPr>
        <w:tc>
          <w:tcPr>
            <w:tcW w:w="624" w:type="dxa"/>
            <w:tcBorders>
              <w:top w:val="single" w:sz="4" w:space="0" w:color="auto"/>
              <w:bottom w:val="single" w:sz="4" w:space="0" w:color="auto"/>
              <w:right w:val="single" w:sz="4" w:space="0" w:color="auto"/>
            </w:tcBorders>
          </w:tcPr>
          <w:p w14:paraId="2F14F4AE"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1FB8E0D"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A857691"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徐巧芯等29人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2D227D75"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2130" w:type="dxa"/>
            <w:vMerge/>
            <w:tcBorders>
              <w:left w:val="single" w:sz="4" w:space="0" w:color="000000"/>
              <w:right w:val="single" w:sz="4" w:space="0" w:color="000000"/>
            </w:tcBorders>
            <w:shd w:val="clear" w:color="auto" w:fill="auto"/>
            <w:vAlign w:val="center"/>
          </w:tcPr>
          <w:p w14:paraId="1F33B0BF"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1D104E8E"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4AD25A8" w14:textId="77777777" w:rsidTr="004E1C6E">
        <w:trPr>
          <w:trHeight w:val="983"/>
          <w:jc w:val="center"/>
        </w:trPr>
        <w:tc>
          <w:tcPr>
            <w:tcW w:w="624" w:type="dxa"/>
            <w:tcBorders>
              <w:top w:val="single" w:sz="4" w:space="0" w:color="auto"/>
              <w:bottom w:val="single" w:sz="4" w:space="0" w:color="auto"/>
              <w:right w:val="single" w:sz="4" w:space="0" w:color="auto"/>
            </w:tcBorders>
          </w:tcPr>
          <w:p w14:paraId="0FC1BC57"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1663118D"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1A50DAF"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40AED0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000000"/>
            </w:tcBorders>
            <w:shd w:val="clear" w:color="auto" w:fill="auto"/>
            <w:vAlign w:val="center"/>
          </w:tcPr>
          <w:p w14:paraId="12333813"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51FAFC48"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E0196F0" w14:textId="77777777" w:rsidTr="004E1C6E">
        <w:trPr>
          <w:trHeight w:val="983"/>
          <w:jc w:val="center"/>
        </w:trPr>
        <w:tc>
          <w:tcPr>
            <w:tcW w:w="624" w:type="dxa"/>
            <w:tcBorders>
              <w:top w:val="single" w:sz="4" w:space="0" w:color="auto"/>
              <w:bottom w:val="single" w:sz="4" w:space="0" w:color="auto"/>
              <w:right w:val="single" w:sz="4" w:space="0" w:color="auto"/>
            </w:tcBorders>
          </w:tcPr>
          <w:p w14:paraId="218A6D28"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568A6A2D"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718279A"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等20人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14B3FDF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130" w:type="dxa"/>
            <w:vMerge/>
            <w:tcBorders>
              <w:left w:val="single" w:sz="4" w:space="0" w:color="000000"/>
              <w:right w:val="single" w:sz="4" w:space="0" w:color="000000"/>
            </w:tcBorders>
            <w:shd w:val="clear" w:color="auto" w:fill="auto"/>
            <w:vAlign w:val="center"/>
          </w:tcPr>
          <w:p w14:paraId="582296F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420752D5"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5424822C" w14:textId="77777777" w:rsidTr="004E1C6E">
        <w:trPr>
          <w:trHeight w:val="983"/>
          <w:jc w:val="center"/>
        </w:trPr>
        <w:tc>
          <w:tcPr>
            <w:tcW w:w="624" w:type="dxa"/>
            <w:tcBorders>
              <w:top w:val="single" w:sz="4" w:space="0" w:color="auto"/>
              <w:bottom w:val="single" w:sz="4" w:space="0" w:color="auto"/>
              <w:right w:val="single" w:sz="4" w:space="0" w:color="auto"/>
            </w:tcBorders>
          </w:tcPr>
          <w:p w14:paraId="0E083BB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6CE6F294"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2F50C93"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張智倫等18人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3DF06A80"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2130" w:type="dxa"/>
            <w:vMerge/>
            <w:tcBorders>
              <w:left w:val="single" w:sz="4" w:space="0" w:color="000000"/>
              <w:bottom w:val="single" w:sz="4" w:space="0" w:color="auto"/>
              <w:right w:val="single" w:sz="4" w:space="0" w:color="000000"/>
            </w:tcBorders>
            <w:shd w:val="clear" w:color="auto" w:fill="auto"/>
            <w:vAlign w:val="center"/>
          </w:tcPr>
          <w:p w14:paraId="4B327728"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4" w:space="0" w:color="auto"/>
              <w:right w:val="single" w:sz="4" w:space="0" w:color="000000"/>
            </w:tcBorders>
            <w:shd w:val="clear" w:color="auto" w:fill="auto"/>
            <w:vAlign w:val="center"/>
          </w:tcPr>
          <w:p w14:paraId="6A121E62"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1E200F74" w14:textId="77777777" w:rsidTr="004E1C6E">
        <w:trPr>
          <w:trHeight w:val="983"/>
          <w:jc w:val="center"/>
        </w:trPr>
        <w:tc>
          <w:tcPr>
            <w:tcW w:w="624" w:type="dxa"/>
            <w:tcBorders>
              <w:top w:val="single" w:sz="4" w:space="0" w:color="auto"/>
              <w:bottom w:val="single" w:sz="12" w:space="0" w:color="auto"/>
              <w:right w:val="single" w:sz="4" w:space="0" w:color="auto"/>
            </w:tcBorders>
          </w:tcPr>
          <w:p w14:paraId="17A2B365"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57C8E243"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菸酒稅法第十九條及第二十三條條文修正草案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509D0380"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陳玉珍等19人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329C1334"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2130" w:type="dxa"/>
            <w:vMerge/>
            <w:tcBorders>
              <w:left w:val="single" w:sz="4" w:space="0" w:color="000000"/>
              <w:bottom w:val="single" w:sz="12" w:space="0" w:color="auto"/>
              <w:right w:val="single" w:sz="4" w:space="0" w:color="000000"/>
            </w:tcBorders>
            <w:shd w:val="clear" w:color="auto" w:fill="auto"/>
          </w:tcPr>
          <w:p w14:paraId="2899733B"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tcPr>
          <w:p w14:paraId="21E660E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7FDE65B1" w14:textId="77777777" w:rsidTr="004E1C6E">
        <w:trPr>
          <w:trHeight w:val="983"/>
          <w:jc w:val="center"/>
        </w:trPr>
        <w:tc>
          <w:tcPr>
            <w:tcW w:w="624" w:type="dxa"/>
            <w:tcBorders>
              <w:top w:val="single" w:sz="12" w:space="0" w:color="auto"/>
              <w:bottom w:val="single" w:sz="4" w:space="0" w:color="auto"/>
              <w:right w:val="single" w:sz="4" w:space="0" w:color="auto"/>
            </w:tcBorders>
          </w:tcPr>
          <w:p w14:paraId="4EFD9BF3"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auto"/>
              <w:left w:val="single" w:sz="4" w:space="0" w:color="auto"/>
              <w:bottom w:val="single" w:sz="4" w:space="0" w:color="auto"/>
              <w:right w:val="single" w:sz="4" w:space="0" w:color="auto"/>
            </w:tcBorders>
            <w:shd w:val="clear" w:color="auto" w:fill="auto"/>
          </w:tcPr>
          <w:p w14:paraId="725485B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2F9A2EB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48FF2B1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002456C4" w14:textId="77777777" w:rsidR="007D160C" w:rsidRPr="0026068C" w:rsidRDefault="007D160C" w:rsidP="00F470A8">
            <w:pPr>
              <w:overflowPunct w:val="0"/>
              <w:jc w:val="both"/>
              <w:rPr>
                <w:rFonts w:ascii="標楷體" w:eastAsia="標楷體" w:hAnsi="標楷體"/>
                <w:szCs w:val="24"/>
              </w:rPr>
            </w:pPr>
            <w:r w:rsidRPr="0026068C">
              <w:rPr>
                <w:rFonts w:ascii="標楷體" w:eastAsia="標楷體" w:hAnsi="標楷體" w:hint="eastAsia"/>
                <w:szCs w:val="24"/>
              </w:rPr>
              <w:t>第11屆第2會期財政委員會第13次全體委員會議(113.12.25)</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0D214F09"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1.審查完竣，不須交由黨團協商。</w:t>
            </w:r>
          </w:p>
          <w:p w14:paraId="51E1B7BB"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2.</w:t>
            </w:r>
            <w:r w:rsidRPr="00C12334">
              <w:rPr>
                <w:rFonts w:ascii="標楷體" w:eastAsia="標楷體" w:hAnsi="標楷體" w:hint="eastAsia"/>
                <w:bCs/>
                <w:szCs w:val="24"/>
              </w:rPr>
              <w:t>113.12.30本會將審查報告函送議事處。</w:t>
            </w:r>
          </w:p>
          <w:p w14:paraId="5B525046" w14:textId="77777777" w:rsidR="007D160C" w:rsidRPr="00B42AA8" w:rsidRDefault="007D160C" w:rsidP="00F470A8">
            <w:pPr>
              <w:overflowPunct w:val="0"/>
              <w:ind w:left="240" w:hangingChars="100" w:hanging="240"/>
              <w:jc w:val="both"/>
              <w:rPr>
                <w:rFonts w:ascii="標楷體" w:eastAsia="標楷體" w:hAnsi="標楷體"/>
                <w:bCs/>
                <w:szCs w:val="24"/>
              </w:rPr>
            </w:pPr>
          </w:p>
        </w:tc>
      </w:tr>
      <w:tr w:rsidR="007D160C" w:rsidRPr="004E5043" w14:paraId="48AA0496" w14:textId="77777777" w:rsidTr="004E1C6E">
        <w:trPr>
          <w:trHeight w:val="983"/>
          <w:jc w:val="center"/>
        </w:trPr>
        <w:tc>
          <w:tcPr>
            <w:tcW w:w="624" w:type="dxa"/>
            <w:tcBorders>
              <w:top w:val="single" w:sz="4" w:space="0" w:color="auto"/>
              <w:bottom w:val="single" w:sz="4" w:space="0" w:color="auto"/>
              <w:right w:val="single" w:sz="4" w:space="0" w:color="auto"/>
            </w:tcBorders>
          </w:tcPr>
          <w:p w14:paraId="11F03675"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765E36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2AD2739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賴士葆等24人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6A8202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5AE70F0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6D39421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3213C344" w14:textId="77777777" w:rsidTr="004E1C6E">
        <w:trPr>
          <w:trHeight w:val="983"/>
          <w:jc w:val="center"/>
        </w:trPr>
        <w:tc>
          <w:tcPr>
            <w:tcW w:w="624" w:type="dxa"/>
            <w:tcBorders>
              <w:top w:val="single" w:sz="4" w:space="0" w:color="auto"/>
              <w:bottom w:val="single" w:sz="4" w:space="0" w:color="auto"/>
              <w:right w:val="single" w:sz="4" w:space="0" w:color="auto"/>
            </w:tcBorders>
          </w:tcPr>
          <w:p w14:paraId="3D7ED538"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5C6A04F"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000BDC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陳菁徽等17人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77E702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78A0C28E"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4A54CB9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13BE05E7" w14:textId="77777777" w:rsidTr="004E1C6E">
        <w:trPr>
          <w:trHeight w:val="983"/>
          <w:jc w:val="center"/>
        </w:trPr>
        <w:tc>
          <w:tcPr>
            <w:tcW w:w="624" w:type="dxa"/>
            <w:tcBorders>
              <w:top w:val="single" w:sz="4" w:space="0" w:color="auto"/>
              <w:bottom w:val="single" w:sz="4" w:space="0" w:color="auto"/>
              <w:right w:val="single" w:sz="4" w:space="0" w:color="auto"/>
            </w:tcBorders>
          </w:tcPr>
          <w:p w14:paraId="3B36C5E5"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3F52B2E4"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2A5A05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張智倫等18人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0705A07F"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2130" w:type="dxa"/>
            <w:vMerge/>
            <w:tcBorders>
              <w:left w:val="single" w:sz="4" w:space="0" w:color="auto"/>
              <w:bottom w:val="single" w:sz="4" w:space="0" w:color="000000"/>
              <w:right w:val="single" w:sz="4" w:space="0" w:color="auto"/>
            </w:tcBorders>
            <w:shd w:val="clear" w:color="auto" w:fill="FFFFFF"/>
          </w:tcPr>
          <w:p w14:paraId="7DEAEF04"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38E0663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4FC02BC2" w14:textId="77777777" w:rsidTr="004E1C6E">
        <w:trPr>
          <w:trHeight w:val="983"/>
          <w:jc w:val="center"/>
        </w:trPr>
        <w:tc>
          <w:tcPr>
            <w:tcW w:w="624" w:type="dxa"/>
            <w:tcBorders>
              <w:top w:val="single" w:sz="4" w:space="0" w:color="auto"/>
              <w:bottom w:val="single" w:sz="4" w:space="0" w:color="auto"/>
              <w:right w:val="single" w:sz="4" w:space="0" w:color="auto"/>
            </w:tcBorders>
          </w:tcPr>
          <w:p w14:paraId="7BF5320D"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088E135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D88926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陳素月等19人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0B6529D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2130" w:type="dxa"/>
            <w:vMerge/>
            <w:tcBorders>
              <w:top w:val="single" w:sz="4" w:space="0" w:color="000000"/>
              <w:left w:val="single" w:sz="4" w:space="0" w:color="000000"/>
              <w:right w:val="single" w:sz="4" w:space="0" w:color="000000"/>
            </w:tcBorders>
            <w:shd w:val="clear" w:color="auto" w:fill="auto"/>
            <w:vAlign w:val="center"/>
          </w:tcPr>
          <w:p w14:paraId="4302442A"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000000"/>
              <w:left w:val="single" w:sz="4" w:space="0" w:color="000000"/>
              <w:right w:val="single" w:sz="4" w:space="0" w:color="000000"/>
            </w:tcBorders>
            <w:shd w:val="clear" w:color="auto" w:fill="auto"/>
            <w:vAlign w:val="center"/>
          </w:tcPr>
          <w:p w14:paraId="48FDE828"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267ED283" w14:textId="77777777" w:rsidTr="004E1C6E">
        <w:trPr>
          <w:trHeight w:val="983"/>
          <w:jc w:val="center"/>
        </w:trPr>
        <w:tc>
          <w:tcPr>
            <w:tcW w:w="624" w:type="dxa"/>
            <w:tcBorders>
              <w:top w:val="single" w:sz="4" w:space="0" w:color="auto"/>
              <w:bottom w:val="single" w:sz="4" w:space="0" w:color="auto"/>
              <w:right w:val="single" w:sz="4" w:space="0" w:color="auto"/>
            </w:tcBorders>
          </w:tcPr>
          <w:p w14:paraId="1A5B9A87"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743F9D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5D4B44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1C14D55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2130" w:type="dxa"/>
            <w:vMerge/>
            <w:tcBorders>
              <w:left w:val="single" w:sz="4" w:space="0" w:color="000000"/>
              <w:right w:val="single" w:sz="4" w:space="0" w:color="000000"/>
            </w:tcBorders>
            <w:shd w:val="clear" w:color="auto" w:fill="auto"/>
            <w:vAlign w:val="center"/>
          </w:tcPr>
          <w:p w14:paraId="66496ABB"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right w:val="single" w:sz="4" w:space="0" w:color="000000"/>
            </w:tcBorders>
            <w:shd w:val="clear" w:color="auto" w:fill="auto"/>
            <w:vAlign w:val="center"/>
          </w:tcPr>
          <w:p w14:paraId="29907901"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5CAB9746" w14:textId="77777777" w:rsidTr="004E1C6E">
        <w:trPr>
          <w:trHeight w:val="983"/>
          <w:jc w:val="center"/>
        </w:trPr>
        <w:tc>
          <w:tcPr>
            <w:tcW w:w="624" w:type="dxa"/>
            <w:tcBorders>
              <w:top w:val="single" w:sz="4" w:space="0" w:color="auto"/>
              <w:bottom w:val="single" w:sz="4" w:space="0" w:color="auto"/>
              <w:right w:val="single" w:sz="4" w:space="0" w:color="auto"/>
            </w:tcBorders>
          </w:tcPr>
          <w:p w14:paraId="6A5EB970"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4EFCF35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90F97B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郭國文等16人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463CE64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2130" w:type="dxa"/>
            <w:vMerge/>
            <w:tcBorders>
              <w:left w:val="single" w:sz="4" w:space="0" w:color="000000"/>
              <w:bottom w:val="single" w:sz="4" w:space="0" w:color="auto"/>
              <w:right w:val="single" w:sz="4" w:space="0" w:color="000000"/>
            </w:tcBorders>
            <w:shd w:val="clear" w:color="auto" w:fill="auto"/>
            <w:vAlign w:val="center"/>
          </w:tcPr>
          <w:p w14:paraId="295C2477"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4" w:space="0" w:color="auto"/>
              <w:right w:val="single" w:sz="4" w:space="0" w:color="000000"/>
            </w:tcBorders>
            <w:shd w:val="clear" w:color="auto" w:fill="auto"/>
            <w:vAlign w:val="center"/>
          </w:tcPr>
          <w:p w14:paraId="4EEFB2CF"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37EED89E" w14:textId="77777777" w:rsidTr="004E1C6E">
        <w:trPr>
          <w:trHeight w:val="983"/>
          <w:jc w:val="center"/>
        </w:trPr>
        <w:tc>
          <w:tcPr>
            <w:tcW w:w="624" w:type="dxa"/>
            <w:tcBorders>
              <w:top w:val="single" w:sz="4" w:space="0" w:color="auto"/>
              <w:bottom w:val="single" w:sz="12" w:space="0" w:color="auto"/>
              <w:right w:val="single" w:sz="4" w:space="0" w:color="auto"/>
            </w:tcBorders>
          </w:tcPr>
          <w:p w14:paraId="3DD73DBC"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05681EF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使用牌照稅法第三十條及第三十一條條文修正草案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06783F5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陳玉珍等19人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4E220DF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第11屆第2會期第8次院會(113.11.8)決定：「交財政委員會審查」</w:t>
            </w:r>
          </w:p>
        </w:tc>
        <w:tc>
          <w:tcPr>
            <w:tcW w:w="2130" w:type="dxa"/>
            <w:vMerge/>
            <w:tcBorders>
              <w:left w:val="single" w:sz="4" w:space="0" w:color="000000"/>
              <w:bottom w:val="single" w:sz="12" w:space="0" w:color="auto"/>
              <w:right w:val="single" w:sz="4" w:space="0" w:color="000000"/>
            </w:tcBorders>
            <w:shd w:val="clear" w:color="auto" w:fill="auto"/>
            <w:vAlign w:val="center"/>
          </w:tcPr>
          <w:p w14:paraId="0B7ED37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vAlign w:val="center"/>
          </w:tcPr>
          <w:p w14:paraId="1B842792"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DB4CB64" w14:textId="77777777" w:rsidTr="004E1C6E">
        <w:trPr>
          <w:trHeight w:val="983"/>
          <w:jc w:val="center"/>
        </w:trPr>
        <w:tc>
          <w:tcPr>
            <w:tcW w:w="624" w:type="dxa"/>
            <w:tcBorders>
              <w:top w:val="single" w:sz="12" w:space="0" w:color="auto"/>
              <w:bottom w:val="single" w:sz="4" w:space="0" w:color="auto"/>
              <w:right w:val="single" w:sz="4" w:space="0" w:color="auto"/>
            </w:tcBorders>
          </w:tcPr>
          <w:p w14:paraId="60F8F14D"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12" w:space="0" w:color="auto"/>
              <w:left w:val="single" w:sz="4" w:space="0" w:color="auto"/>
              <w:bottom w:val="single" w:sz="4" w:space="0" w:color="auto"/>
              <w:right w:val="single" w:sz="4" w:space="0" w:color="auto"/>
            </w:tcBorders>
            <w:shd w:val="clear" w:color="auto" w:fill="auto"/>
          </w:tcPr>
          <w:p w14:paraId="494DF0E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4E1F0D1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FFFFFF"/>
          </w:tcPr>
          <w:p w14:paraId="18469A1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2130" w:type="dxa"/>
            <w:vMerge w:val="restart"/>
            <w:tcBorders>
              <w:top w:val="single" w:sz="12" w:space="0" w:color="auto"/>
              <w:left w:val="single" w:sz="4" w:space="0" w:color="auto"/>
              <w:bottom w:val="single" w:sz="4" w:space="0" w:color="auto"/>
              <w:right w:val="single" w:sz="4" w:space="0" w:color="auto"/>
            </w:tcBorders>
            <w:shd w:val="clear" w:color="auto" w:fill="FFFFFF"/>
          </w:tcPr>
          <w:p w14:paraId="6791BFDD" w14:textId="77777777" w:rsidR="007D160C" w:rsidRPr="004E5043" w:rsidRDefault="007D160C" w:rsidP="00F470A8">
            <w:pPr>
              <w:overflowPunct w:val="0"/>
              <w:jc w:val="both"/>
              <w:rPr>
                <w:rFonts w:ascii="標楷體" w:eastAsia="標楷體" w:hAnsi="標楷體"/>
                <w:color w:val="FF0000"/>
                <w:szCs w:val="24"/>
              </w:rPr>
            </w:pPr>
            <w:r w:rsidRPr="00516B27">
              <w:rPr>
                <w:rFonts w:ascii="標楷體" w:eastAsia="標楷體" w:hAnsi="標楷體" w:hint="eastAsia"/>
                <w:szCs w:val="24"/>
              </w:rPr>
              <w:t>第11屆第2會期財政委員會第</w:t>
            </w:r>
            <w:r>
              <w:rPr>
                <w:rFonts w:ascii="標楷體" w:eastAsia="標楷體" w:hAnsi="標楷體" w:hint="eastAsia"/>
                <w:szCs w:val="24"/>
              </w:rPr>
              <w:t>13</w:t>
            </w:r>
            <w:r w:rsidRPr="00516B27">
              <w:rPr>
                <w:rFonts w:ascii="標楷體" w:eastAsia="標楷體" w:hAnsi="標楷體" w:hint="eastAsia"/>
                <w:szCs w:val="24"/>
              </w:rPr>
              <w:t>次全體委員會議</w:t>
            </w:r>
            <w:r w:rsidRPr="00516B27">
              <w:rPr>
                <w:rFonts w:ascii="標楷體" w:eastAsia="標楷體" w:hAnsi="標楷體" w:hint="eastAsia"/>
                <w:spacing w:val="-20"/>
                <w:szCs w:val="24"/>
              </w:rPr>
              <w:t>(113.1</w:t>
            </w:r>
            <w:r>
              <w:rPr>
                <w:rFonts w:ascii="標楷體" w:eastAsia="標楷體" w:hAnsi="標楷體" w:hint="eastAsia"/>
                <w:spacing w:val="-20"/>
                <w:szCs w:val="24"/>
              </w:rPr>
              <w:t>2</w:t>
            </w:r>
            <w:r w:rsidRPr="00516B27">
              <w:rPr>
                <w:rFonts w:ascii="標楷體" w:eastAsia="標楷體" w:hAnsi="標楷體" w:hint="eastAsia"/>
                <w:spacing w:val="-20"/>
                <w:szCs w:val="24"/>
              </w:rPr>
              <w:t>.</w:t>
            </w:r>
            <w:r>
              <w:rPr>
                <w:rFonts w:ascii="標楷體" w:eastAsia="標楷體" w:hAnsi="標楷體" w:hint="eastAsia"/>
                <w:spacing w:val="-20"/>
                <w:szCs w:val="24"/>
              </w:rPr>
              <w:t>25</w:t>
            </w:r>
            <w:r w:rsidRPr="00516B27">
              <w:rPr>
                <w:rFonts w:ascii="標楷體" w:eastAsia="標楷體" w:hAnsi="標楷體" w:hint="eastAsia"/>
                <w:spacing w:val="-20"/>
                <w:szCs w:val="24"/>
              </w:rPr>
              <w:t>)</w:t>
            </w:r>
          </w:p>
        </w:tc>
        <w:tc>
          <w:tcPr>
            <w:tcW w:w="2131" w:type="dxa"/>
            <w:vMerge w:val="restart"/>
            <w:tcBorders>
              <w:top w:val="single" w:sz="12" w:space="0" w:color="auto"/>
              <w:left w:val="single" w:sz="4" w:space="0" w:color="auto"/>
              <w:bottom w:val="single" w:sz="4" w:space="0" w:color="auto"/>
              <w:right w:val="single" w:sz="4" w:space="0" w:color="000000"/>
            </w:tcBorders>
            <w:shd w:val="clear" w:color="auto" w:fill="auto"/>
          </w:tcPr>
          <w:p w14:paraId="5D7A6FE1"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1.審查完竣，不須交由黨團協商。</w:t>
            </w:r>
          </w:p>
          <w:p w14:paraId="3D22E879" w14:textId="77777777" w:rsidR="007D160C" w:rsidRPr="00B42AA8" w:rsidRDefault="007D160C" w:rsidP="00F470A8">
            <w:pPr>
              <w:overflowPunct w:val="0"/>
              <w:ind w:left="240" w:hangingChars="100" w:hanging="240"/>
              <w:jc w:val="both"/>
              <w:rPr>
                <w:rFonts w:ascii="標楷體" w:eastAsia="標楷體" w:hAnsi="標楷體"/>
                <w:bCs/>
                <w:szCs w:val="24"/>
              </w:rPr>
            </w:pPr>
            <w:r w:rsidRPr="00B42AA8">
              <w:rPr>
                <w:rFonts w:ascii="標楷體" w:eastAsia="標楷體" w:hAnsi="標楷體" w:hint="eastAsia"/>
                <w:bCs/>
                <w:szCs w:val="24"/>
              </w:rPr>
              <w:t>2.</w:t>
            </w:r>
            <w:r w:rsidRPr="00C12334">
              <w:rPr>
                <w:rFonts w:ascii="標楷體" w:eastAsia="標楷體" w:hAnsi="標楷體" w:hint="eastAsia"/>
                <w:bCs/>
                <w:szCs w:val="24"/>
              </w:rPr>
              <w:t>113.12.30本會將審查報告函送議事處。</w:t>
            </w:r>
          </w:p>
          <w:p w14:paraId="7F3D4CB6" w14:textId="77777777" w:rsidR="007D160C" w:rsidRPr="00B42AA8" w:rsidRDefault="007D160C" w:rsidP="00F470A8">
            <w:pPr>
              <w:overflowPunct w:val="0"/>
              <w:ind w:left="240" w:hangingChars="100" w:hanging="240"/>
              <w:jc w:val="both"/>
              <w:rPr>
                <w:rFonts w:ascii="標楷體" w:eastAsia="標楷體" w:hAnsi="標楷體"/>
                <w:bCs/>
                <w:szCs w:val="24"/>
              </w:rPr>
            </w:pPr>
          </w:p>
        </w:tc>
      </w:tr>
      <w:tr w:rsidR="007D160C" w:rsidRPr="004E5043" w14:paraId="015C5CBA" w14:textId="77777777" w:rsidTr="004E1C6E">
        <w:trPr>
          <w:trHeight w:val="983"/>
          <w:jc w:val="center"/>
        </w:trPr>
        <w:tc>
          <w:tcPr>
            <w:tcW w:w="624" w:type="dxa"/>
            <w:tcBorders>
              <w:top w:val="single" w:sz="4" w:space="0" w:color="auto"/>
              <w:bottom w:val="single" w:sz="4" w:space="0" w:color="auto"/>
              <w:right w:val="single" w:sz="4" w:space="0" w:color="auto"/>
            </w:tcBorders>
          </w:tcPr>
          <w:p w14:paraId="4BEB9D1C"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28F716A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2A2D22E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賴士葆等21人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20A15CD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2130" w:type="dxa"/>
            <w:vMerge/>
            <w:tcBorders>
              <w:top w:val="single" w:sz="4" w:space="0" w:color="auto"/>
              <w:left w:val="single" w:sz="4" w:space="0" w:color="auto"/>
              <w:bottom w:val="single" w:sz="4" w:space="0" w:color="auto"/>
              <w:right w:val="single" w:sz="4" w:space="0" w:color="auto"/>
            </w:tcBorders>
            <w:shd w:val="clear" w:color="auto" w:fill="FFFFFF"/>
          </w:tcPr>
          <w:p w14:paraId="6972E11E"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bottom w:val="single" w:sz="4" w:space="0" w:color="auto"/>
              <w:right w:val="single" w:sz="4" w:space="0" w:color="000000"/>
            </w:tcBorders>
            <w:shd w:val="clear" w:color="auto" w:fill="auto"/>
          </w:tcPr>
          <w:p w14:paraId="77332D43"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3790E627" w14:textId="77777777" w:rsidTr="004E1C6E">
        <w:trPr>
          <w:trHeight w:val="983"/>
          <w:jc w:val="center"/>
        </w:trPr>
        <w:tc>
          <w:tcPr>
            <w:tcW w:w="624" w:type="dxa"/>
            <w:tcBorders>
              <w:top w:val="single" w:sz="4" w:space="0" w:color="auto"/>
              <w:bottom w:val="single" w:sz="4" w:space="0" w:color="auto"/>
              <w:right w:val="single" w:sz="4" w:space="0" w:color="auto"/>
            </w:tcBorders>
          </w:tcPr>
          <w:p w14:paraId="4F5E08F0"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6589AFF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E304E5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林楚茵等18人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4E39BDD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第11屆第2會期第4次院會(113.10.11)決定：「交財政委員會審查」</w:t>
            </w:r>
          </w:p>
        </w:tc>
        <w:tc>
          <w:tcPr>
            <w:tcW w:w="2130" w:type="dxa"/>
            <w:vMerge/>
            <w:tcBorders>
              <w:top w:val="single" w:sz="4" w:space="0" w:color="auto"/>
              <w:left w:val="single" w:sz="4" w:space="0" w:color="auto"/>
              <w:right w:val="single" w:sz="4" w:space="0" w:color="auto"/>
            </w:tcBorders>
            <w:shd w:val="clear" w:color="auto" w:fill="FFFFFF"/>
          </w:tcPr>
          <w:p w14:paraId="1833B18D"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auto"/>
              <w:left w:val="single" w:sz="4" w:space="0" w:color="auto"/>
              <w:right w:val="single" w:sz="4" w:space="0" w:color="000000"/>
            </w:tcBorders>
            <w:shd w:val="clear" w:color="auto" w:fill="auto"/>
          </w:tcPr>
          <w:p w14:paraId="122F31A9"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4BA430F0" w14:textId="77777777" w:rsidTr="004E1C6E">
        <w:trPr>
          <w:trHeight w:val="983"/>
          <w:jc w:val="center"/>
        </w:trPr>
        <w:tc>
          <w:tcPr>
            <w:tcW w:w="624" w:type="dxa"/>
            <w:tcBorders>
              <w:top w:val="single" w:sz="4" w:space="0" w:color="auto"/>
              <w:bottom w:val="single" w:sz="4" w:space="0" w:color="auto"/>
              <w:right w:val="single" w:sz="4" w:space="0" w:color="auto"/>
            </w:tcBorders>
          </w:tcPr>
          <w:p w14:paraId="4CDA4421"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6C74774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B11086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徐巧芯等27人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77D46C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2130" w:type="dxa"/>
            <w:vMerge/>
            <w:tcBorders>
              <w:left w:val="single" w:sz="4" w:space="0" w:color="auto"/>
              <w:bottom w:val="single" w:sz="4" w:space="0" w:color="000000"/>
              <w:right w:val="single" w:sz="4" w:space="0" w:color="auto"/>
            </w:tcBorders>
            <w:shd w:val="clear" w:color="auto" w:fill="FFFFFF"/>
          </w:tcPr>
          <w:p w14:paraId="4C11A3A0"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auto"/>
              <w:bottom w:val="single" w:sz="4" w:space="0" w:color="000000"/>
              <w:right w:val="single" w:sz="4" w:space="0" w:color="000000"/>
            </w:tcBorders>
            <w:shd w:val="clear" w:color="auto" w:fill="auto"/>
          </w:tcPr>
          <w:p w14:paraId="5BBF0EB6"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5AB6A264" w14:textId="77777777" w:rsidTr="0026068C">
        <w:trPr>
          <w:trHeight w:val="983"/>
          <w:jc w:val="center"/>
        </w:trPr>
        <w:tc>
          <w:tcPr>
            <w:tcW w:w="624" w:type="dxa"/>
            <w:tcBorders>
              <w:top w:val="single" w:sz="4" w:space="0" w:color="auto"/>
              <w:bottom w:val="single" w:sz="4" w:space="0" w:color="auto"/>
              <w:right w:val="single" w:sz="4" w:space="0" w:color="auto"/>
            </w:tcBorders>
          </w:tcPr>
          <w:p w14:paraId="74F63256"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4" w:space="0" w:color="auto"/>
              <w:right w:val="single" w:sz="4" w:space="0" w:color="auto"/>
            </w:tcBorders>
            <w:shd w:val="clear" w:color="auto" w:fill="auto"/>
          </w:tcPr>
          <w:p w14:paraId="23F6149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27FB3F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2" w:type="dxa"/>
            <w:tcBorders>
              <w:top w:val="single" w:sz="4" w:space="0" w:color="auto"/>
              <w:left w:val="single" w:sz="4" w:space="0" w:color="000000"/>
              <w:bottom w:val="single" w:sz="4" w:space="0" w:color="auto"/>
              <w:right w:val="single" w:sz="4" w:space="0" w:color="000000"/>
            </w:tcBorders>
            <w:shd w:val="clear" w:color="auto" w:fill="FFFFFF"/>
          </w:tcPr>
          <w:p w14:paraId="682750B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2130" w:type="dxa"/>
            <w:vMerge/>
            <w:tcBorders>
              <w:top w:val="single" w:sz="4" w:space="0" w:color="000000"/>
              <w:left w:val="single" w:sz="4" w:space="0" w:color="000000"/>
              <w:bottom w:val="single" w:sz="4" w:space="0" w:color="auto"/>
              <w:right w:val="single" w:sz="4" w:space="0" w:color="000000"/>
            </w:tcBorders>
            <w:shd w:val="clear" w:color="auto" w:fill="auto"/>
            <w:vAlign w:val="center"/>
          </w:tcPr>
          <w:p w14:paraId="475125DF"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top w:val="single" w:sz="4" w:space="0" w:color="000000"/>
              <w:left w:val="single" w:sz="4" w:space="0" w:color="000000"/>
              <w:bottom w:val="single" w:sz="4" w:space="0" w:color="auto"/>
              <w:right w:val="single" w:sz="4" w:space="0" w:color="000000"/>
            </w:tcBorders>
            <w:shd w:val="clear" w:color="auto" w:fill="auto"/>
            <w:vAlign w:val="center"/>
          </w:tcPr>
          <w:p w14:paraId="0F26B33B"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r w:rsidR="007D160C" w:rsidRPr="004E5043" w14:paraId="68E9A7AD" w14:textId="77777777" w:rsidTr="004E1C6E">
        <w:trPr>
          <w:trHeight w:val="983"/>
          <w:jc w:val="center"/>
        </w:trPr>
        <w:tc>
          <w:tcPr>
            <w:tcW w:w="624" w:type="dxa"/>
            <w:tcBorders>
              <w:top w:val="single" w:sz="4" w:space="0" w:color="auto"/>
              <w:bottom w:val="single" w:sz="12" w:space="0" w:color="auto"/>
              <w:right w:val="single" w:sz="4" w:space="0" w:color="auto"/>
            </w:tcBorders>
          </w:tcPr>
          <w:p w14:paraId="2B80CCDE" w14:textId="77777777" w:rsidR="007D160C" w:rsidRPr="004B2498" w:rsidRDefault="007D160C" w:rsidP="00FA328D">
            <w:pPr>
              <w:numPr>
                <w:ilvl w:val="0"/>
                <w:numId w:val="50"/>
              </w:numPr>
              <w:overflowPunct w:val="0"/>
              <w:jc w:val="both"/>
              <w:rPr>
                <w:rFonts w:ascii="標楷體" w:eastAsia="標楷體" w:hAnsi="標楷體"/>
                <w:b/>
                <w:kern w:val="2"/>
                <w:szCs w:val="24"/>
              </w:rPr>
            </w:pPr>
          </w:p>
        </w:tc>
        <w:tc>
          <w:tcPr>
            <w:tcW w:w="2071" w:type="dxa"/>
            <w:tcBorders>
              <w:top w:val="single" w:sz="4" w:space="0" w:color="auto"/>
              <w:left w:val="single" w:sz="4" w:space="0" w:color="auto"/>
              <w:bottom w:val="single" w:sz="12" w:space="0" w:color="auto"/>
              <w:right w:val="single" w:sz="4" w:space="0" w:color="auto"/>
            </w:tcBorders>
            <w:shd w:val="clear" w:color="auto" w:fill="auto"/>
          </w:tcPr>
          <w:p w14:paraId="074021C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425C09C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郭國文等17人</w:t>
            </w:r>
          </w:p>
        </w:tc>
        <w:tc>
          <w:tcPr>
            <w:tcW w:w="1692" w:type="dxa"/>
            <w:tcBorders>
              <w:top w:val="single" w:sz="4" w:space="0" w:color="auto"/>
              <w:left w:val="single" w:sz="4" w:space="0" w:color="000000"/>
              <w:bottom w:val="single" w:sz="12" w:space="0" w:color="auto"/>
              <w:right w:val="single" w:sz="4" w:space="0" w:color="000000"/>
            </w:tcBorders>
            <w:shd w:val="clear" w:color="auto" w:fill="FFFFFF"/>
          </w:tcPr>
          <w:p w14:paraId="5FEF421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2130" w:type="dxa"/>
            <w:vMerge/>
            <w:tcBorders>
              <w:left w:val="single" w:sz="4" w:space="0" w:color="000000"/>
              <w:bottom w:val="single" w:sz="12" w:space="0" w:color="auto"/>
              <w:right w:val="single" w:sz="4" w:space="0" w:color="000000"/>
            </w:tcBorders>
            <w:shd w:val="clear" w:color="auto" w:fill="auto"/>
            <w:vAlign w:val="center"/>
          </w:tcPr>
          <w:p w14:paraId="78C7A520" w14:textId="77777777" w:rsidR="007D160C" w:rsidRPr="004E5043" w:rsidRDefault="007D160C" w:rsidP="00F470A8">
            <w:pPr>
              <w:overflowPunct w:val="0"/>
              <w:jc w:val="both"/>
              <w:rPr>
                <w:rFonts w:ascii="標楷體" w:eastAsia="標楷體" w:hAnsi="標楷體"/>
                <w:color w:val="FF0000"/>
                <w:szCs w:val="24"/>
              </w:rPr>
            </w:pPr>
          </w:p>
        </w:tc>
        <w:tc>
          <w:tcPr>
            <w:tcW w:w="2131" w:type="dxa"/>
            <w:vMerge/>
            <w:tcBorders>
              <w:left w:val="single" w:sz="4" w:space="0" w:color="000000"/>
              <w:bottom w:val="single" w:sz="12" w:space="0" w:color="auto"/>
              <w:right w:val="single" w:sz="4" w:space="0" w:color="000000"/>
            </w:tcBorders>
            <w:shd w:val="clear" w:color="auto" w:fill="auto"/>
            <w:vAlign w:val="center"/>
          </w:tcPr>
          <w:p w14:paraId="1E16B9FC" w14:textId="77777777" w:rsidR="007D160C" w:rsidRPr="004E5043" w:rsidRDefault="007D160C" w:rsidP="00F470A8">
            <w:pPr>
              <w:overflowPunct w:val="0"/>
              <w:ind w:left="240" w:hangingChars="100" w:hanging="240"/>
              <w:jc w:val="both"/>
              <w:rPr>
                <w:rFonts w:ascii="標楷體" w:eastAsia="標楷體" w:hAnsi="標楷體"/>
                <w:bCs/>
                <w:color w:val="FF0000"/>
                <w:szCs w:val="24"/>
              </w:rPr>
            </w:pPr>
          </w:p>
        </w:tc>
      </w:tr>
    </w:tbl>
    <w:p w14:paraId="66D27B5A" w14:textId="77777777" w:rsidR="007D160C" w:rsidRDefault="007D160C" w:rsidP="00F470A8">
      <w:pPr>
        <w:overflowPunct w:val="0"/>
        <w:autoSpaceDN/>
        <w:textAlignment w:val="auto"/>
        <w:rPr>
          <w:rFonts w:ascii="標楷體" w:eastAsia="標楷體" w:hAnsi="標楷體"/>
          <w:b/>
          <w:kern w:val="2"/>
          <w:sz w:val="32"/>
          <w:szCs w:val="32"/>
        </w:rPr>
      </w:pPr>
      <w:bookmarkStart w:id="23" w:name="_Toc126576785"/>
      <w:bookmarkStart w:id="24" w:name="_Toc143873899"/>
      <w:bookmarkStart w:id="25" w:name="_Toc157095675"/>
      <w:bookmarkStart w:id="26" w:name="_Toc175833562"/>
      <w:r>
        <w:rPr>
          <w:rFonts w:ascii="標楷體" w:eastAsia="標楷體" w:hAnsi="標楷體"/>
          <w:bCs/>
          <w:kern w:val="2"/>
          <w:sz w:val="32"/>
          <w:szCs w:val="32"/>
        </w:rPr>
        <w:br w:type="page"/>
      </w:r>
    </w:p>
    <w:p w14:paraId="33D30DED" w14:textId="0B358099" w:rsidR="007D160C"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27" w:name="_Toc189487276"/>
      <w:r w:rsidRPr="009523DA">
        <w:rPr>
          <w:rFonts w:ascii="標楷體" w:eastAsia="標楷體" w:hAnsi="標楷體" w:hint="eastAsia"/>
          <w:bCs w:val="0"/>
          <w:kern w:val="2"/>
          <w:sz w:val="32"/>
          <w:szCs w:val="32"/>
        </w:rPr>
        <w:lastRenderedPageBreak/>
        <w:t>二、預算案(</w:t>
      </w:r>
      <w:r w:rsidR="00395536">
        <w:rPr>
          <w:rFonts w:ascii="標楷體" w:eastAsia="標楷體" w:hAnsi="標楷體" w:hint="eastAsia"/>
          <w:bCs w:val="0"/>
          <w:kern w:val="2"/>
          <w:sz w:val="32"/>
          <w:szCs w:val="32"/>
        </w:rPr>
        <w:t>9</w:t>
      </w:r>
      <w:r w:rsidRPr="009523DA">
        <w:rPr>
          <w:rFonts w:ascii="標楷體" w:eastAsia="標楷體" w:hAnsi="標楷體" w:hint="eastAsia"/>
          <w:bCs w:val="0"/>
          <w:kern w:val="2"/>
          <w:sz w:val="32"/>
          <w:szCs w:val="32"/>
        </w:rPr>
        <w:t>案)</w:t>
      </w:r>
      <w:bookmarkEnd w:id="23"/>
      <w:bookmarkEnd w:id="24"/>
      <w:bookmarkEnd w:id="25"/>
      <w:bookmarkEnd w:id="26"/>
      <w:bookmarkEnd w:id="27"/>
    </w:p>
    <w:p w14:paraId="42CA1BF5" w14:textId="408FF0B0"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28" w:name="_Toc189487277"/>
      <w:r w:rsidRPr="009523DA">
        <w:rPr>
          <w:rFonts w:ascii="標楷體" w:eastAsia="標楷體" w:hAnsi="標楷體" w:hint="eastAsia"/>
          <w:b/>
          <w:bCs/>
          <w:sz w:val="28"/>
          <w:szCs w:val="28"/>
        </w:rPr>
        <w:t>(一)</w:t>
      </w:r>
      <w:r>
        <w:rPr>
          <w:rFonts w:ascii="標楷體" w:eastAsia="標楷體" w:hAnsi="標楷體" w:hint="eastAsia"/>
          <w:b/>
          <w:bCs/>
          <w:sz w:val="28"/>
          <w:szCs w:val="28"/>
        </w:rPr>
        <w:t>總</w:t>
      </w:r>
      <w:r w:rsidRPr="009523DA">
        <w:rPr>
          <w:rFonts w:ascii="標楷體" w:eastAsia="標楷體" w:hAnsi="標楷體" w:hint="eastAsia"/>
          <w:b/>
          <w:bCs/>
          <w:sz w:val="28"/>
          <w:szCs w:val="28"/>
        </w:rPr>
        <w:t>預算案</w:t>
      </w:r>
      <w:r w:rsidR="002E68D5">
        <w:rPr>
          <w:rFonts w:ascii="標楷體" w:eastAsia="標楷體" w:hAnsi="標楷體" w:hint="eastAsia"/>
          <w:b/>
          <w:bCs/>
          <w:sz w:val="28"/>
          <w:szCs w:val="28"/>
        </w:rPr>
        <w:t>、</w:t>
      </w:r>
      <w:r w:rsidR="00CF7959">
        <w:rPr>
          <w:rFonts w:ascii="標楷體" w:eastAsia="標楷體" w:hAnsi="標楷體" w:hint="eastAsia"/>
          <w:b/>
          <w:bCs/>
          <w:sz w:val="28"/>
          <w:szCs w:val="28"/>
        </w:rPr>
        <w:t>特別預算</w:t>
      </w:r>
      <w:r w:rsidR="002E68D5">
        <w:rPr>
          <w:rFonts w:ascii="標楷體" w:eastAsia="標楷體" w:hAnsi="標楷體" w:hint="eastAsia"/>
          <w:b/>
          <w:bCs/>
          <w:sz w:val="28"/>
          <w:szCs w:val="28"/>
        </w:rPr>
        <w:t>案</w:t>
      </w:r>
      <w:r w:rsidR="00CF7959">
        <w:rPr>
          <w:rFonts w:ascii="標楷體" w:eastAsia="標楷體" w:hAnsi="標楷體" w:hint="eastAsia"/>
          <w:b/>
          <w:bCs/>
          <w:sz w:val="28"/>
          <w:szCs w:val="28"/>
        </w:rPr>
        <w:t>及追加預算案</w:t>
      </w:r>
      <w:r w:rsidR="002E68D5">
        <w:rPr>
          <w:rFonts w:ascii="標楷體" w:eastAsia="標楷體" w:hAnsi="標楷體" w:hint="eastAsia"/>
          <w:b/>
          <w:bCs/>
          <w:sz w:val="28"/>
          <w:szCs w:val="28"/>
        </w:rPr>
        <w:t>(</w:t>
      </w:r>
      <w:r w:rsidR="00395536">
        <w:rPr>
          <w:rFonts w:ascii="標楷體" w:eastAsia="標楷體" w:hAnsi="標楷體" w:hint="eastAsia"/>
          <w:b/>
          <w:bCs/>
          <w:sz w:val="28"/>
          <w:szCs w:val="28"/>
        </w:rPr>
        <w:t>8</w:t>
      </w:r>
      <w:r w:rsidRPr="009523DA">
        <w:rPr>
          <w:rFonts w:ascii="標楷體" w:eastAsia="標楷體" w:hAnsi="標楷體" w:hint="eastAsia"/>
          <w:b/>
          <w:bCs/>
          <w:sz w:val="28"/>
          <w:szCs w:val="28"/>
        </w:rPr>
        <w:t>案）</w:t>
      </w:r>
      <w:bookmarkEnd w:id="28"/>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2410"/>
        <w:gridCol w:w="2268"/>
        <w:gridCol w:w="2126"/>
        <w:gridCol w:w="2126"/>
      </w:tblGrid>
      <w:tr w:rsidR="007D160C" w:rsidRPr="009523DA" w14:paraId="3EB260F1"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5E9F5E31"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2410" w:type="dxa"/>
            <w:tcBorders>
              <w:top w:val="single" w:sz="12" w:space="0" w:color="auto"/>
              <w:left w:val="single" w:sz="4" w:space="0" w:color="auto"/>
              <w:bottom w:val="single" w:sz="12" w:space="0" w:color="auto"/>
              <w:right w:val="single" w:sz="4" w:space="0" w:color="auto"/>
            </w:tcBorders>
            <w:vAlign w:val="center"/>
          </w:tcPr>
          <w:p w14:paraId="22ED75F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268" w:type="dxa"/>
            <w:tcBorders>
              <w:top w:val="single" w:sz="12" w:space="0" w:color="auto"/>
              <w:left w:val="single" w:sz="4" w:space="0" w:color="auto"/>
              <w:bottom w:val="single" w:sz="12" w:space="0" w:color="auto"/>
              <w:right w:val="single" w:sz="4" w:space="0" w:color="auto"/>
            </w:tcBorders>
            <w:vAlign w:val="center"/>
          </w:tcPr>
          <w:p w14:paraId="0AD42BE0"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126" w:type="dxa"/>
            <w:tcBorders>
              <w:top w:val="single" w:sz="12" w:space="0" w:color="auto"/>
              <w:left w:val="single" w:sz="4" w:space="0" w:color="auto"/>
              <w:bottom w:val="single" w:sz="12" w:space="0" w:color="auto"/>
              <w:right w:val="single" w:sz="4" w:space="0" w:color="auto"/>
            </w:tcBorders>
            <w:vAlign w:val="center"/>
          </w:tcPr>
          <w:p w14:paraId="08A3F65D" w14:textId="77777777" w:rsidR="007D160C" w:rsidRPr="009523DA"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審查會審竣</w:t>
            </w:r>
          </w:p>
          <w:p w14:paraId="152EF3E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日期及會次</w:t>
            </w:r>
          </w:p>
        </w:tc>
        <w:tc>
          <w:tcPr>
            <w:tcW w:w="2126" w:type="dxa"/>
            <w:tcBorders>
              <w:top w:val="single" w:sz="12" w:space="0" w:color="auto"/>
              <w:left w:val="single" w:sz="4" w:space="0" w:color="auto"/>
              <w:bottom w:val="single" w:sz="12" w:space="0" w:color="auto"/>
              <w:right w:val="single" w:sz="4" w:space="0" w:color="auto"/>
            </w:tcBorders>
          </w:tcPr>
          <w:p w14:paraId="45509008" w14:textId="77777777" w:rsidR="007D160C"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備註</w:t>
            </w:r>
          </w:p>
        </w:tc>
      </w:tr>
      <w:tr w:rsidR="007D160C" w:rsidRPr="009523DA" w14:paraId="1CD0C0A3" w14:textId="77777777" w:rsidTr="004E1C6E">
        <w:tblPrEx>
          <w:jc w:val="left"/>
        </w:tblPrEx>
        <w:trPr>
          <w:trHeight w:val="2741"/>
        </w:trPr>
        <w:tc>
          <w:tcPr>
            <w:tcW w:w="704" w:type="dxa"/>
            <w:tcBorders>
              <w:top w:val="single" w:sz="12" w:space="0" w:color="auto"/>
              <w:left w:val="single" w:sz="4" w:space="0" w:color="auto"/>
              <w:bottom w:val="single" w:sz="12" w:space="0" w:color="auto"/>
              <w:right w:val="single" w:sz="4" w:space="0" w:color="auto"/>
            </w:tcBorders>
          </w:tcPr>
          <w:p w14:paraId="5C3DD5D1"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sidRPr="009523DA">
              <w:rPr>
                <w:rFonts w:ascii="標楷體" w:eastAsia="標楷體" w:hAnsi="標楷體" w:hint="eastAsia"/>
                <w:b/>
                <w:szCs w:val="24"/>
              </w:rPr>
              <w:t>1</w:t>
            </w:r>
          </w:p>
        </w:tc>
        <w:tc>
          <w:tcPr>
            <w:tcW w:w="2410" w:type="dxa"/>
            <w:tcBorders>
              <w:top w:val="single" w:sz="12" w:space="0" w:color="auto"/>
              <w:left w:val="single" w:sz="4" w:space="0" w:color="auto"/>
              <w:bottom w:val="single" w:sz="12" w:space="0" w:color="auto"/>
              <w:right w:val="single" w:sz="4" w:space="0" w:color="auto"/>
            </w:tcBorders>
          </w:tcPr>
          <w:p w14:paraId="4B408BB7"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D96EB3">
              <w:rPr>
                <w:rFonts w:ascii="標楷體" w:eastAsia="標楷體" w:hAnsi="標楷體" w:cs="DFKaiShuW5-B5" w:hint="eastAsia"/>
                <w:kern w:val="0"/>
                <w:szCs w:val="24"/>
              </w:rPr>
              <w:t>113年度中央政府總預算追加預算案</w:t>
            </w:r>
            <w:r>
              <w:rPr>
                <w:rFonts w:ascii="標楷體" w:eastAsia="標楷體" w:hAnsi="標楷體" w:cs="DFKaiShuW5-B5" w:hint="eastAsia"/>
                <w:kern w:val="0"/>
                <w:szCs w:val="24"/>
              </w:rPr>
              <w:t>。</w:t>
            </w:r>
          </w:p>
        </w:tc>
        <w:tc>
          <w:tcPr>
            <w:tcW w:w="2268" w:type="dxa"/>
            <w:tcBorders>
              <w:top w:val="single" w:sz="12" w:space="0" w:color="auto"/>
              <w:left w:val="single" w:sz="4" w:space="0" w:color="auto"/>
              <w:bottom w:val="single" w:sz="12" w:space="0" w:color="auto"/>
              <w:right w:val="single" w:sz="4" w:space="0" w:color="auto"/>
            </w:tcBorders>
          </w:tcPr>
          <w:p w14:paraId="063CCEB0" w14:textId="77777777" w:rsidR="007D160C" w:rsidRPr="00D96EB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96EB3">
              <w:rPr>
                <w:rFonts w:ascii="標楷體" w:eastAsia="標楷體" w:hAnsi="標楷體" w:hint="eastAsia"/>
                <w:kern w:val="2"/>
                <w:szCs w:val="24"/>
              </w:rPr>
              <w:t>1.依113年1</w:t>
            </w:r>
            <w:r>
              <w:rPr>
                <w:rFonts w:ascii="標楷體" w:eastAsia="標楷體" w:hAnsi="標楷體" w:hint="eastAsia"/>
                <w:kern w:val="2"/>
                <w:szCs w:val="24"/>
              </w:rPr>
              <w:t>1</w:t>
            </w:r>
            <w:r w:rsidRPr="00D96EB3">
              <w:rPr>
                <w:rFonts w:ascii="標楷體" w:eastAsia="標楷體" w:hAnsi="標楷體" w:hint="eastAsia"/>
                <w:kern w:val="2"/>
                <w:szCs w:val="24"/>
              </w:rPr>
              <w:t>月</w:t>
            </w:r>
            <w:r>
              <w:rPr>
                <w:rFonts w:ascii="標楷體" w:eastAsia="標楷體" w:hAnsi="標楷體" w:hint="eastAsia"/>
                <w:kern w:val="2"/>
                <w:szCs w:val="24"/>
              </w:rPr>
              <w:t>12</w:t>
            </w:r>
            <w:r w:rsidRPr="00D96EB3">
              <w:rPr>
                <w:rFonts w:ascii="標楷體" w:eastAsia="標楷體" w:hAnsi="標楷體" w:hint="eastAsia"/>
                <w:kern w:val="2"/>
                <w:szCs w:val="24"/>
              </w:rPr>
              <w:t>日黨團協商結論，定於11月1</w:t>
            </w:r>
            <w:r>
              <w:rPr>
                <w:rFonts w:ascii="標楷體" w:eastAsia="標楷體" w:hAnsi="標楷體" w:hint="eastAsia"/>
                <w:kern w:val="2"/>
                <w:szCs w:val="24"/>
              </w:rPr>
              <w:t>9日邀請行政院院長、主計長、財政部部長</w:t>
            </w:r>
            <w:r w:rsidRPr="00D96EB3">
              <w:rPr>
                <w:rFonts w:ascii="標楷體" w:eastAsia="標楷體" w:hAnsi="標楷體" w:hint="eastAsia"/>
                <w:kern w:val="2"/>
                <w:szCs w:val="24"/>
              </w:rPr>
              <w:t>及相關部會首長列席報告「11</w:t>
            </w:r>
            <w:r>
              <w:rPr>
                <w:rFonts w:ascii="標楷體" w:eastAsia="標楷體" w:hAnsi="標楷體" w:hint="eastAsia"/>
                <w:kern w:val="2"/>
                <w:szCs w:val="24"/>
              </w:rPr>
              <w:t>3</w:t>
            </w:r>
            <w:r w:rsidRPr="00D96EB3">
              <w:rPr>
                <w:rFonts w:ascii="標楷體" w:eastAsia="標楷體" w:hAnsi="標楷體" w:hint="eastAsia"/>
                <w:kern w:val="2"/>
                <w:szCs w:val="24"/>
              </w:rPr>
              <w:t>年度中央政府總預算</w:t>
            </w:r>
            <w:r>
              <w:rPr>
                <w:rFonts w:ascii="標楷體" w:eastAsia="標楷體" w:hAnsi="標楷體" w:hint="eastAsia"/>
                <w:kern w:val="2"/>
                <w:szCs w:val="24"/>
              </w:rPr>
              <w:t>追加預算</w:t>
            </w:r>
            <w:r w:rsidRPr="00D96EB3">
              <w:rPr>
                <w:rFonts w:ascii="標楷體" w:eastAsia="標楷體" w:hAnsi="標楷體" w:hint="eastAsia"/>
                <w:kern w:val="2"/>
                <w:szCs w:val="24"/>
              </w:rPr>
              <w:t>案」編製經過並備質詢。</w:t>
            </w:r>
          </w:p>
          <w:p w14:paraId="65D1FC4B" w14:textId="77777777" w:rsidR="007D160C" w:rsidRPr="009523DA"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96EB3">
              <w:rPr>
                <w:rFonts w:ascii="標楷體" w:eastAsia="標楷體" w:hAnsi="標楷體" w:hint="eastAsia"/>
                <w:kern w:val="2"/>
                <w:szCs w:val="24"/>
              </w:rPr>
              <w:t>2.第11屆第2會期第</w:t>
            </w:r>
            <w:r>
              <w:rPr>
                <w:rFonts w:ascii="標楷體" w:eastAsia="標楷體" w:hAnsi="標楷體" w:hint="eastAsia"/>
                <w:kern w:val="2"/>
                <w:szCs w:val="24"/>
              </w:rPr>
              <w:t>9</w:t>
            </w:r>
            <w:r w:rsidRPr="00D96EB3">
              <w:rPr>
                <w:rFonts w:ascii="標楷體" w:eastAsia="標楷體" w:hAnsi="標楷體" w:hint="eastAsia"/>
                <w:kern w:val="2"/>
                <w:szCs w:val="24"/>
              </w:rPr>
              <w:t>次院會</w:t>
            </w:r>
            <w:r w:rsidRPr="005721A9">
              <w:rPr>
                <w:rFonts w:ascii="標楷體" w:eastAsia="標楷體" w:hAnsi="標楷體" w:hint="eastAsia"/>
                <w:spacing w:val="-20"/>
                <w:kern w:val="2"/>
                <w:szCs w:val="24"/>
              </w:rPr>
              <w:t>(113.11.19)</w:t>
            </w:r>
            <w:r w:rsidRPr="00D96EB3">
              <w:rPr>
                <w:rFonts w:ascii="標楷體" w:eastAsia="標楷體" w:hAnsi="標楷體" w:hint="eastAsia"/>
                <w:kern w:val="2"/>
                <w:szCs w:val="24"/>
              </w:rPr>
              <w:t>決定：「交財政委員會會同有關委員會審查」</w:t>
            </w:r>
          </w:p>
        </w:tc>
        <w:tc>
          <w:tcPr>
            <w:tcW w:w="2126" w:type="dxa"/>
            <w:tcBorders>
              <w:top w:val="single" w:sz="12" w:space="0" w:color="auto"/>
              <w:left w:val="single" w:sz="4" w:space="0" w:color="auto"/>
              <w:bottom w:val="single" w:sz="12" w:space="0" w:color="auto"/>
              <w:right w:val="single" w:sz="4" w:space="0" w:color="auto"/>
            </w:tcBorders>
          </w:tcPr>
          <w:p w14:paraId="43C8B897" w14:textId="77777777" w:rsidR="007D160C" w:rsidRPr="00775E65" w:rsidRDefault="007D160C" w:rsidP="00F470A8">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516B27">
              <w:rPr>
                <w:rFonts w:ascii="標楷體" w:eastAsia="標楷體" w:hAnsi="標楷體" w:hint="eastAsia"/>
                <w:szCs w:val="24"/>
              </w:rPr>
              <w:t>第11屆第2會期財政</w:t>
            </w:r>
            <w:r>
              <w:rPr>
                <w:rFonts w:ascii="標楷體" w:eastAsia="標楷體" w:hAnsi="標楷體" w:hint="eastAsia"/>
                <w:szCs w:val="24"/>
              </w:rPr>
              <w:t>、經濟</w:t>
            </w:r>
            <w:r w:rsidRPr="00516B27">
              <w:rPr>
                <w:rFonts w:ascii="標楷體" w:eastAsia="標楷體" w:hAnsi="標楷體" w:hint="eastAsia"/>
                <w:szCs w:val="24"/>
              </w:rPr>
              <w:t>委員會第</w:t>
            </w:r>
            <w:r>
              <w:rPr>
                <w:rFonts w:ascii="標楷體" w:eastAsia="標楷體" w:hAnsi="標楷體" w:hint="eastAsia"/>
                <w:szCs w:val="24"/>
              </w:rPr>
              <w:t>1</w:t>
            </w:r>
            <w:r w:rsidRPr="00516B27">
              <w:rPr>
                <w:rFonts w:ascii="標楷體" w:eastAsia="標楷體" w:hAnsi="標楷體" w:hint="eastAsia"/>
                <w:szCs w:val="24"/>
              </w:rPr>
              <w:t>次</w:t>
            </w:r>
            <w:r>
              <w:rPr>
                <w:rFonts w:ascii="標楷體" w:eastAsia="標楷體" w:hAnsi="標楷體" w:hint="eastAsia"/>
                <w:szCs w:val="24"/>
              </w:rPr>
              <w:t>聯席</w:t>
            </w:r>
            <w:r w:rsidRPr="00516B27">
              <w:rPr>
                <w:rFonts w:ascii="標楷體" w:eastAsia="標楷體" w:hAnsi="標楷體" w:hint="eastAsia"/>
                <w:szCs w:val="24"/>
              </w:rPr>
              <w:t>會議</w:t>
            </w:r>
            <w:r w:rsidRPr="006D4B5E">
              <w:rPr>
                <w:rFonts w:ascii="標楷體" w:eastAsia="標楷體" w:hAnsi="標楷體" w:hint="eastAsia"/>
                <w:szCs w:val="24"/>
              </w:rPr>
              <w:t>(113.11.27)</w:t>
            </w:r>
          </w:p>
        </w:tc>
        <w:tc>
          <w:tcPr>
            <w:tcW w:w="2126" w:type="dxa"/>
            <w:tcBorders>
              <w:top w:val="single" w:sz="12" w:space="0" w:color="auto"/>
              <w:left w:val="single" w:sz="4" w:space="0" w:color="auto"/>
              <w:bottom w:val="single" w:sz="12" w:space="0" w:color="auto"/>
              <w:right w:val="single" w:sz="4" w:space="0" w:color="auto"/>
            </w:tcBorders>
          </w:tcPr>
          <w:p w14:paraId="065E4F8D" w14:textId="77777777" w:rsidR="007D160C" w:rsidRPr="006D3F4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bCs/>
                <w:szCs w:val="24"/>
              </w:rPr>
            </w:pPr>
            <w:r w:rsidRPr="006D3F43">
              <w:rPr>
                <w:rFonts w:ascii="標楷體" w:eastAsia="標楷體" w:hAnsi="標楷體" w:hint="eastAsia"/>
                <w:bCs/>
                <w:szCs w:val="24"/>
              </w:rPr>
              <w:t>1.審查完竣，須交由黨團協商。</w:t>
            </w:r>
          </w:p>
          <w:p w14:paraId="6B1E8DC4" w14:textId="77777777" w:rsidR="007D160C" w:rsidRPr="00F00446"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F00446">
              <w:rPr>
                <w:rFonts w:ascii="標楷體" w:eastAsia="標楷體" w:hAnsi="標楷體" w:hint="eastAsia"/>
                <w:kern w:val="2"/>
                <w:szCs w:val="24"/>
              </w:rPr>
              <w:t>2.1</w:t>
            </w:r>
            <w:r w:rsidRPr="00F00446">
              <w:rPr>
                <w:rFonts w:ascii="標楷體" w:eastAsia="標楷體" w:hAnsi="標楷體"/>
                <w:kern w:val="2"/>
                <w:szCs w:val="24"/>
              </w:rPr>
              <w:t>1</w:t>
            </w:r>
            <w:r w:rsidRPr="00F00446">
              <w:rPr>
                <w:rFonts w:ascii="標楷體" w:eastAsia="標楷體" w:hAnsi="標楷體" w:hint="eastAsia"/>
                <w:kern w:val="2"/>
                <w:szCs w:val="24"/>
              </w:rPr>
              <w:t>3.12.2本會</w:t>
            </w:r>
            <w:r w:rsidRPr="00F00446">
              <w:rPr>
                <w:rFonts w:ascii="標楷體" w:eastAsia="標楷體" w:hAnsi="標楷體" w:hint="eastAsia"/>
                <w:bCs/>
                <w:szCs w:val="24"/>
              </w:rPr>
              <w:t>將審查報告</w:t>
            </w:r>
            <w:r w:rsidRPr="00F00446">
              <w:rPr>
                <w:rFonts w:ascii="標楷體" w:eastAsia="標楷體" w:hAnsi="標楷體" w:hint="eastAsia"/>
                <w:kern w:val="2"/>
                <w:szCs w:val="24"/>
              </w:rPr>
              <w:t>函送議事處提報院會。</w:t>
            </w:r>
          </w:p>
          <w:p w14:paraId="0E31853A" w14:textId="0E14C5BF" w:rsidR="007D160C" w:rsidRPr="00775E65"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p>
        </w:tc>
      </w:tr>
      <w:tr w:rsidR="007D160C" w:rsidRPr="009523DA" w14:paraId="08E85066" w14:textId="77777777" w:rsidTr="00E84CE5">
        <w:tblPrEx>
          <w:jc w:val="left"/>
        </w:tblPrEx>
        <w:trPr>
          <w:trHeight w:val="2741"/>
        </w:trPr>
        <w:tc>
          <w:tcPr>
            <w:tcW w:w="704" w:type="dxa"/>
            <w:tcBorders>
              <w:top w:val="single" w:sz="12" w:space="0" w:color="auto"/>
              <w:left w:val="single" w:sz="4" w:space="0" w:color="auto"/>
              <w:bottom w:val="single" w:sz="2" w:space="0" w:color="auto"/>
              <w:right w:val="single" w:sz="4" w:space="0" w:color="auto"/>
            </w:tcBorders>
          </w:tcPr>
          <w:p w14:paraId="0F7AFA65"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2</w:t>
            </w:r>
          </w:p>
        </w:tc>
        <w:tc>
          <w:tcPr>
            <w:tcW w:w="2410" w:type="dxa"/>
            <w:tcBorders>
              <w:top w:val="single" w:sz="12" w:space="0" w:color="auto"/>
              <w:left w:val="single" w:sz="4" w:space="0" w:color="auto"/>
              <w:bottom w:val="single" w:sz="2" w:space="0" w:color="auto"/>
              <w:right w:val="single" w:sz="4" w:space="0" w:color="auto"/>
            </w:tcBorders>
          </w:tcPr>
          <w:p w14:paraId="7BE4AB9C" w14:textId="77777777" w:rsidR="007D160C" w:rsidRPr="00D96EB3"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303C1C">
              <w:rPr>
                <w:rFonts w:ascii="標楷體" w:eastAsia="標楷體" w:hAnsi="標楷體" w:cs="DFKaiShuW5-B5" w:hint="eastAsia"/>
                <w:kern w:val="0"/>
                <w:szCs w:val="24"/>
              </w:rPr>
              <w:t>中央政府前瞻基礎建設計畫第5期特別預算案</w:t>
            </w:r>
          </w:p>
        </w:tc>
        <w:tc>
          <w:tcPr>
            <w:tcW w:w="2268" w:type="dxa"/>
            <w:tcBorders>
              <w:top w:val="single" w:sz="12" w:space="0" w:color="auto"/>
              <w:left w:val="single" w:sz="4" w:space="0" w:color="auto"/>
              <w:bottom w:val="single" w:sz="2" w:space="0" w:color="auto"/>
              <w:right w:val="single" w:sz="4" w:space="0" w:color="auto"/>
            </w:tcBorders>
          </w:tcPr>
          <w:p w14:paraId="0E988559" w14:textId="77777777" w:rsidR="007D160C" w:rsidRPr="00303C1C"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303C1C">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114年度中央政府總預算案」及「中央政府前瞻基礎建設計畫第5期特別預算案」編製經過並備質詢。</w:t>
            </w:r>
          </w:p>
          <w:p w14:paraId="0C405C9C" w14:textId="77777777" w:rsidR="007D160C" w:rsidRPr="00D96EB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303C1C">
              <w:rPr>
                <w:rFonts w:ascii="標楷體" w:eastAsia="標楷體" w:hAnsi="標楷體" w:hint="eastAsia"/>
                <w:kern w:val="2"/>
                <w:szCs w:val="24"/>
              </w:rPr>
              <w:t>2.第11屆第2會期第7次院會</w:t>
            </w:r>
            <w:r w:rsidRPr="0026458C">
              <w:rPr>
                <w:rFonts w:ascii="標楷體" w:eastAsia="標楷體" w:hAnsi="標楷體" w:hint="eastAsia"/>
                <w:spacing w:val="-20"/>
                <w:kern w:val="2"/>
                <w:szCs w:val="24"/>
              </w:rPr>
              <w:t>(113.11.1)</w:t>
            </w:r>
            <w:r w:rsidRPr="00303C1C">
              <w:rPr>
                <w:rFonts w:ascii="標楷體" w:eastAsia="標楷體" w:hAnsi="標楷體" w:hint="eastAsia"/>
                <w:kern w:val="2"/>
                <w:szCs w:val="24"/>
              </w:rPr>
              <w:t>決定：「交財政委員會會同有關委員會審查」</w:t>
            </w:r>
            <w:r w:rsidRPr="00303C1C">
              <w:rPr>
                <w:rFonts w:ascii="標楷體" w:eastAsia="標楷體" w:hAnsi="標楷體" w:hint="eastAsia"/>
                <w:kern w:val="2"/>
                <w:szCs w:val="24"/>
              </w:rPr>
              <w:tab/>
            </w:r>
          </w:p>
        </w:tc>
        <w:tc>
          <w:tcPr>
            <w:tcW w:w="2126" w:type="dxa"/>
            <w:tcBorders>
              <w:top w:val="single" w:sz="12" w:space="0" w:color="auto"/>
              <w:left w:val="single" w:sz="4" w:space="0" w:color="auto"/>
              <w:bottom w:val="single" w:sz="2" w:space="0" w:color="auto"/>
              <w:right w:val="single" w:sz="4" w:space="0" w:color="auto"/>
            </w:tcBorders>
          </w:tcPr>
          <w:p w14:paraId="1C2D85C5" w14:textId="77777777" w:rsidR="007D160C" w:rsidRPr="006D3F43" w:rsidRDefault="007D160C" w:rsidP="00F470A8">
            <w:pPr>
              <w:widowControl w:val="0"/>
              <w:suppressLineNumbers/>
              <w:suppressAutoHyphens/>
              <w:overflowPunct w:val="0"/>
              <w:autoSpaceDN/>
              <w:spacing w:line="340" w:lineRule="exact"/>
              <w:jc w:val="both"/>
              <w:textAlignment w:val="auto"/>
              <w:rPr>
                <w:rFonts w:ascii="標楷體" w:eastAsia="標楷體" w:hAnsi="標楷體"/>
                <w:bCs/>
                <w:szCs w:val="24"/>
              </w:rPr>
            </w:pPr>
            <w:r w:rsidRPr="00516B27">
              <w:rPr>
                <w:rFonts w:ascii="標楷體" w:eastAsia="標楷體" w:hAnsi="標楷體" w:hint="eastAsia"/>
                <w:szCs w:val="24"/>
              </w:rPr>
              <w:t>第11屆第2會期財政</w:t>
            </w:r>
            <w:r>
              <w:rPr>
                <w:rFonts w:ascii="標楷體" w:eastAsia="標楷體" w:hAnsi="標楷體" w:hint="eastAsia"/>
                <w:szCs w:val="24"/>
              </w:rPr>
              <w:t>、內政、經濟、教育及文化、交通、社會福利及衛生環境</w:t>
            </w:r>
            <w:r w:rsidRPr="00516B27">
              <w:rPr>
                <w:rFonts w:ascii="標楷體" w:eastAsia="標楷體" w:hAnsi="標楷體" w:hint="eastAsia"/>
                <w:szCs w:val="24"/>
              </w:rPr>
              <w:t>委員會第</w:t>
            </w:r>
            <w:r>
              <w:rPr>
                <w:rFonts w:ascii="標楷體" w:eastAsia="標楷體" w:hAnsi="標楷體" w:hint="eastAsia"/>
                <w:szCs w:val="24"/>
              </w:rPr>
              <w:t>2</w:t>
            </w:r>
            <w:r w:rsidRPr="00516B27">
              <w:rPr>
                <w:rFonts w:ascii="標楷體" w:eastAsia="標楷體" w:hAnsi="標楷體" w:hint="eastAsia"/>
                <w:szCs w:val="24"/>
              </w:rPr>
              <w:t>次</w:t>
            </w:r>
            <w:r>
              <w:rPr>
                <w:rFonts w:ascii="標楷體" w:eastAsia="標楷體" w:hAnsi="標楷體" w:hint="eastAsia"/>
                <w:szCs w:val="24"/>
              </w:rPr>
              <w:t>聯席</w:t>
            </w:r>
            <w:r w:rsidRPr="00516B27">
              <w:rPr>
                <w:rFonts w:ascii="標楷體" w:eastAsia="標楷體" w:hAnsi="標楷體" w:hint="eastAsia"/>
                <w:szCs w:val="24"/>
              </w:rPr>
              <w:t>會議</w:t>
            </w:r>
            <w:r w:rsidRPr="00EB423B">
              <w:rPr>
                <w:rFonts w:ascii="標楷體" w:eastAsia="標楷體" w:hAnsi="標楷體" w:hint="eastAsia"/>
                <w:szCs w:val="24"/>
              </w:rPr>
              <w:t>(113.12.16)</w:t>
            </w:r>
          </w:p>
        </w:tc>
        <w:tc>
          <w:tcPr>
            <w:tcW w:w="2126" w:type="dxa"/>
            <w:tcBorders>
              <w:top w:val="single" w:sz="12" w:space="0" w:color="auto"/>
              <w:left w:val="single" w:sz="4" w:space="0" w:color="auto"/>
              <w:bottom w:val="single" w:sz="2" w:space="0" w:color="auto"/>
              <w:right w:val="single" w:sz="4" w:space="0" w:color="auto"/>
            </w:tcBorders>
          </w:tcPr>
          <w:p w14:paraId="197199C8" w14:textId="77777777" w:rsidR="007D160C" w:rsidRPr="006D3F4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bCs/>
                <w:szCs w:val="24"/>
              </w:rPr>
            </w:pPr>
            <w:r w:rsidRPr="006D3F43">
              <w:rPr>
                <w:rFonts w:ascii="標楷體" w:eastAsia="標楷體" w:hAnsi="標楷體" w:hint="eastAsia"/>
                <w:bCs/>
                <w:szCs w:val="24"/>
              </w:rPr>
              <w:t>1.審查完竣，須交由黨團協商。</w:t>
            </w:r>
          </w:p>
          <w:p w14:paraId="36253E83" w14:textId="77777777" w:rsidR="007D160C" w:rsidRPr="00303C1C"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color w:val="FF0000"/>
                <w:kern w:val="2"/>
                <w:szCs w:val="24"/>
              </w:rPr>
            </w:pPr>
            <w:r w:rsidRPr="00F04D30">
              <w:rPr>
                <w:rFonts w:ascii="標楷體" w:eastAsia="標楷體" w:hAnsi="標楷體" w:hint="eastAsia"/>
                <w:kern w:val="2"/>
                <w:szCs w:val="24"/>
              </w:rPr>
              <w:t>2.1</w:t>
            </w:r>
            <w:r w:rsidRPr="00F04D30">
              <w:rPr>
                <w:rFonts w:ascii="標楷體" w:eastAsia="標楷體" w:hAnsi="標楷體"/>
                <w:kern w:val="2"/>
                <w:szCs w:val="24"/>
              </w:rPr>
              <w:t>1</w:t>
            </w:r>
            <w:r w:rsidRPr="00F04D30">
              <w:rPr>
                <w:rFonts w:ascii="標楷體" w:eastAsia="標楷體" w:hAnsi="標楷體" w:hint="eastAsia"/>
                <w:kern w:val="2"/>
                <w:szCs w:val="24"/>
              </w:rPr>
              <w:t>3.12</w:t>
            </w:r>
            <w:r w:rsidRPr="006E03C4">
              <w:rPr>
                <w:rFonts w:ascii="標楷體" w:eastAsia="標楷體" w:hAnsi="標楷體" w:hint="eastAsia"/>
                <w:kern w:val="2"/>
                <w:szCs w:val="24"/>
              </w:rPr>
              <w:t>.17本會</w:t>
            </w:r>
            <w:r w:rsidRPr="006E03C4">
              <w:rPr>
                <w:rFonts w:ascii="標楷體" w:eastAsia="標楷體" w:hAnsi="標楷體" w:hint="eastAsia"/>
                <w:bCs/>
                <w:szCs w:val="24"/>
              </w:rPr>
              <w:t>將審查報告</w:t>
            </w:r>
            <w:r w:rsidRPr="006E03C4">
              <w:rPr>
                <w:rFonts w:ascii="標楷體" w:eastAsia="標楷體" w:hAnsi="標楷體" w:hint="eastAsia"/>
                <w:kern w:val="2"/>
                <w:szCs w:val="24"/>
              </w:rPr>
              <w:t>函送議事處提報院會。</w:t>
            </w:r>
          </w:p>
          <w:p w14:paraId="4DDBEB8D" w14:textId="4DF2E656" w:rsidR="007D160C" w:rsidRPr="006D3F43"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bCs/>
                <w:szCs w:val="24"/>
              </w:rPr>
            </w:pPr>
          </w:p>
        </w:tc>
      </w:tr>
      <w:tr w:rsidR="007D160C" w:rsidRPr="009523DA" w14:paraId="113C9EB7" w14:textId="77777777" w:rsidTr="00E84CE5">
        <w:tblPrEx>
          <w:jc w:val="left"/>
        </w:tblPrEx>
        <w:trPr>
          <w:trHeight w:val="2741"/>
        </w:trPr>
        <w:tc>
          <w:tcPr>
            <w:tcW w:w="704" w:type="dxa"/>
            <w:tcBorders>
              <w:top w:val="single" w:sz="2" w:space="0" w:color="auto"/>
              <w:left w:val="single" w:sz="4" w:space="0" w:color="auto"/>
              <w:bottom w:val="single" w:sz="4" w:space="0" w:color="auto"/>
              <w:right w:val="single" w:sz="4" w:space="0" w:color="auto"/>
            </w:tcBorders>
          </w:tcPr>
          <w:p w14:paraId="53611A2B" w14:textId="77777777" w:rsidR="007D160C" w:rsidRDefault="007D160C"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3</w:t>
            </w:r>
          </w:p>
        </w:tc>
        <w:tc>
          <w:tcPr>
            <w:tcW w:w="2410" w:type="dxa"/>
            <w:tcBorders>
              <w:top w:val="single" w:sz="2" w:space="0" w:color="auto"/>
              <w:left w:val="single" w:sz="4" w:space="0" w:color="auto"/>
              <w:bottom w:val="single" w:sz="4" w:space="0" w:color="auto"/>
              <w:right w:val="single" w:sz="4" w:space="0" w:color="auto"/>
            </w:tcBorders>
          </w:tcPr>
          <w:p w14:paraId="4F35B78A" w14:textId="4D471324" w:rsidR="007D160C" w:rsidRPr="00303C1C"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D043C5">
              <w:rPr>
                <w:rFonts w:ascii="標楷體" w:eastAsia="標楷體" w:hAnsi="標楷體" w:cs="DFKaiShuW5-B5" w:hint="eastAsia"/>
                <w:kern w:val="0"/>
                <w:szCs w:val="24"/>
              </w:rPr>
              <w:t>114年度中央政府總預算案</w:t>
            </w:r>
            <w:r w:rsidR="00C0094E">
              <w:rPr>
                <w:rFonts w:ascii="標楷體" w:eastAsia="標楷體" w:hAnsi="標楷體" w:cs="DFKaiShuW5-B5" w:hint="eastAsia"/>
                <w:kern w:val="0"/>
                <w:szCs w:val="24"/>
              </w:rPr>
              <w:t>(公務預算部分)</w:t>
            </w:r>
          </w:p>
        </w:tc>
        <w:tc>
          <w:tcPr>
            <w:tcW w:w="2268" w:type="dxa"/>
            <w:tcBorders>
              <w:top w:val="single" w:sz="2" w:space="0" w:color="auto"/>
              <w:left w:val="single" w:sz="4" w:space="0" w:color="auto"/>
              <w:bottom w:val="single" w:sz="4" w:space="0" w:color="auto"/>
              <w:right w:val="single" w:sz="4" w:space="0" w:color="auto"/>
            </w:tcBorders>
          </w:tcPr>
          <w:p w14:paraId="5ACF13C1" w14:textId="77777777" w:rsidR="007D160C" w:rsidRPr="00D043C5"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5535BF29" w14:textId="77777777" w:rsidR="007D160C" w:rsidRPr="00303C1C"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2.依113年11月8日黨團協商結論，各黨團同意「114年度中央政府總預算案後續處理事項」，增列納入第8次會議議程，於11月8日院會討論事項前處理，將 「</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」交財政委員會依分配表及日程分送各委員會審查，並不提出復議。</w:t>
            </w:r>
          </w:p>
        </w:tc>
        <w:tc>
          <w:tcPr>
            <w:tcW w:w="2126" w:type="dxa"/>
            <w:tcBorders>
              <w:top w:val="single" w:sz="2" w:space="0" w:color="auto"/>
              <w:left w:val="single" w:sz="4" w:space="0" w:color="auto"/>
              <w:bottom w:val="single" w:sz="4" w:space="0" w:color="auto"/>
              <w:right w:val="single" w:sz="4" w:space="0" w:color="auto"/>
            </w:tcBorders>
          </w:tcPr>
          <w:p w14:paraId="09F35EE4" w14:textId="77777777" w:rsidR="007D160C" w:rsidRPr="00317861" w:rsidRDefault="007D160C" w:rsidP="00F470A8">
            <w:pPr>
              <w:overflowPunct w:val="0"/>
              <w:spacing w:line="320" w:lineRule="exact"/>
              <w:ind w:left="240" w:hangingChars="100" w:hanging="240"/>
              <w:contextualSpacing/>
              <w:jc w:val="both"/>
              <w:rPr>
                <w:rFonts w:ascii="標楷體" w:eastAsia="標楷體" w:hAnsi="標楷體"/>
                <w:szCs w:val="24"/>
              </w:rPr>
            </w:pPr>
            <w:r w:rsidRPr="00317861">
              <w:rPr>
                <w:rFonts w:ascii="標楷體" w:eastAsia="標楷體" w:hAnsi="標楷體" w:hint="eastAsia"/>
                <w:szCs w:val="24"/>
              </w:rPr>
              <w:t>1.本會於113年10月30日舉行第11屆第2會期第5次全體委員會議通過「中華民國1</w:t>
            </w:r>
            <w:r w:rsidRPr="00317861">
              <w:rPr>
                <w:rFonts w:ascii="標楷體" w:eastAsia="標楷體" w:hAnsi="標楷體"/>
                <w:szCs w:val="24"/>
              </w:rPr>
              <w:t>1</w:t>
            </w:r>
            <w:r w:rsidRPr="00317861">
              <w:rPr>
                <w:rFonts w:ascii="標楷體" w:eastAsia="標楷體" w:hAnsi="標楷體" w:hint="eastAsia"/>
                <w:szCs w:val="24"/>
              </w:rPr>
              <w:t>4年度中央政府總預算案（含附屬單位預算及綜計表－營業及非營業部分）審查日程及審查分配表草案，並提報院會。</w:t>
            </w:r>
          </w:p>
          <w:p w14:paraId="588BFFE2" w14:textId="77777777" w:rsidR="007D160C" w:rsidRPr="00317861" w:rsidRDefault="007D160C" w:rsidP="00F470A8">
            <w:pPr>
              <w:widowControl w:val="0"/>
              <w:overflowPunct w:val="0"/>
              <w:autoSpaceDN/>
              <w:ind w:left="240" w:hangingChars="100" w:hanging="240"/>
              <w:contextualSpacing/>
              <w:jc w:val="both"/>
              <w:textAlignment w:val="auto"/>
              <w:rPr>
                <w:rFonts w:ascii="標楷體" w:eastAsia="標楷體" w:hAnsi="標楷體"/>
                <w:kern w:val="2"/>
                <w:szCs w:val="24"/>
              </w:rPr>
            </w:pPr>
            <w:r w:rsidRPr="00317861">
              <w:rPr>
                <w:rFonts w:ascii="標楷體" w:eastAsia="標楷體" w:hAnsi="標楷體" w:hint="eastAsia"/>
                <w:kern w:val="2"/>
                <w:szCs w:val="24"/>
              </w:rPr>
              <w:t>2.</w:t>
            </w:r>
            <w:r w:rsidRPr="00317861">
              <w:rPr>
                <w:rFonts w:ascii="標楷體" w:eastAsia="標楷體" w:hAnsi="標楷體" w:hint="eastAsia"/>
                <w:szCs w:val="24"/>
              </w:rPr>
              <w:t>113年11月13日、14日、18日、25日、28日、12月18日、19日、25日、26日及114年1月2日、6日本會舉行全體委員會議，審查中華民國114年度中央政府總預算案（含附屬單位預算及綜計表－營業及非營業部分）有關財政委員會主審部分。</w:t>
            </w:r>
          </w:p>
          <w:p w14:paraId="0DE45DA4" w14:textId="77777777" w:rsidR="007D160C" w:rsidRPr="00317861" w:rsidRDefault="007D160C" w:rsidP="00F470A8">
            <w:pPr>
              <w:overflowPunct w:val="0"/>
              <w:spacing w:line="340" w:lineRule="exact"/>
              <w:ind w:left="240" w:hangingChars="100" w:hanging="240"/>
              <w:contextualSpacing/>
              <w:jc w:val="both"/>
              <w:rPr>
                <w:rFonts w:ascii="標楷體" w:eastAsia="標楷體" w:hAnsi="標楷體"/>
                <w:szCs w:val="24"/>
              </w:rPr>
            </w:pPr>
            <w:r w:rsidRPr="00317861">
              <w:rPr>
                <w:rFonts w:ascii="標楷體" w:eastAsia="標楷體" w:hAnsi="標楷體" w:hint="eastAsia"/>
                <w:szCs w:val="24"/>
              </w:rPr>
              <w:t>3.第11屆第2會期第15次本會全體委員會議(114.1.6)彙總整理提出「中華民國114年度中央政府總預算案審查總報告(公務預算部分)草案」提報院會案，決議：照草案通過，提報院會討論。</w:t>
            </w:r>
          </w:p>
        </w:tc>
        <w:tc>
          <w:tcPr>
            <w:tcW w:w="2126" w:type="dxa"/>
            <w:tcBorders>
              <w:top w:val="single" w:sz="2" w:space="0" w:color="auto"/>
              <w:left w:val="single" w:sz="4" w:space="0" w:color="000000"/>
              <w:bottom w:val="single" w:sz="4" w:space="0" w:color="auto"/>
              <w:right w:val="single" w:sz="4" w:space="0" w:color="000000"/>
            </w:tcBorders>
            <w:vAlign w:val="center"/>
          </w:tcPr>
          <w:p w14:paraId="0CE91C92" w14:textId="77777777" w:rsidR="007D160C" w:rsidRPr="006F2985" w:rsidRDefault="007D160C"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6F2985">
              <w:rPr>
                <w:rFonts w:ascii="標楷體" w:eastAsia="標楷體" w:hAnsi="標楷體" w:hint="eastAsia"/>
                <w:kern w:val="0"/>
              </w:rPr>
              <w:t>1.</w:t>
            </w:r>
            <w:r w:rsidRPr="006F2985">
              <w:rPr>
                <w:rFonts w:ascii="標楷體" w:eastAsia="標楷體" w:hAnsi="標楷體" w:hint="eastAsia"/>
              </w:rPr>
              <w:t>1</w:t>
            </w:r>
            <w:r w:rsidRPr="006F2985">
              <w:rPr>
                <w:rFonts w:ascii="標楷體" w:eastAsia="標楷體" w:hAnsi="標楷體"/>
              </w:rPr>
              <w:t>1</w:t>
            </w:r>
            <w:r w:rsidRPr="006F2985">
              <w:rPr>
                <w:rFonts w:ascii="標楷體" w:eastAsia="標楷體" w:hAnsi="標楷體" w:hint="eastAsia"/>
              </w:rPr>
              <w:t>3.10.24朝野黨團協商結論決定：</w:t>
            </w:r>
            <w:r w:rsidRPr="006F2985">
              <w:rPr>
                <w:rFonts w:ascii="標楷體" w:eastAsia="標楷體" w:hAnsi="標楷體" w:hint="eastAsia"/>
                <w:kern w:val="2"/>
                <w:szCs w:val="24"/>
              </w:rPr>
              <w:t>11月1日及5日邀請行政院院長、主計長、財政部部長、國家發展委員會主任委員及相關部會首長列席報告114年度施政計畫、「</w:t>
            </w:r>
            <w:r w:rsidRPr="006F2985">
              <w:rPr>
                <w:rFonts w:ascii="標楷體" w:eastAsia="標楷體" w:hAnsi="標楷體" w:cs="DFKaiShuW5-B5" w:hint="eastAsia"/>
                <w:kern w:val="0"/>
                <w:szCs w:val="24"/>
              </w:rPr>
              <w:t>114年度中央政府總預算案</w:t>
            </w:r>
            <w:r w:rsidRPr="006F2985">
              <w:rPr>
                <w:rFonts w:ascii="標楷體" w:eastAsia="標楷體" w:hAnsi="標楷體" w:hint="eastAsia"/>
                <w:kern w:val="2"/>
                <w:szCs w:val="24"/>
              </w:rPr>
              <w:t>」及「</w:t>
            </w:r>
            <w:r w:rsidRPr="006F2985">
              <w:rPr>
                <w:rFonts w:ascii="標楷體" w:eastAsia="標楷體" w:hAnsi="標楷體" w:cs="DFKaiShuW5-B5" w:hint="eastAsia"/>
                <w:kern w:val="0"/>
                <w:szCs w:val="24"/>
              </w:rPr>
              <w:t>中央政府前瞻基礎建設計畫第5期特別預算案</w:t>
            </w:r>
            <w:r w:rsidRPr="006F2985">
              <w:rPr>
                <w:rFonts w:ascii="標楷體" w:eastAsia="標楷體" w:hAnsi="標楷體" w:hint="eastAsia"/>
                <w:kern w:val="2"/>
                <w:szCs w:val="24"/>
              </w:rPr>
              <w:t>」編製經過並備質詢。</w:t>
            </w:r>
          </w:p>
          <w:p w14:paraId="65F9C529" w14:textId="77777777" w:rsidR="007D160C" w:rsidRPr="006F2985" w:rsidRDefault="007D160C" w:rsidP="00F470A8">
            <w:pPr>
              <w:overflowPunct w:val="0"/>
              <w:spacing w:line="340" w:lineRule="exact"/>
              <w:ind w:left="240" w:hangingChars="100" w:hanging="240"/>
              <w:jc w:val="both"/>
              <w:rPr>
                <w:rFonts w:ascii="標楷體" w:eastAsia="標楷體" w:hAnsi="標楷體"/>
                <w:szCs w:val="24"/>
              </w:rPr>
            </w:pPr>
            <w:r w:rsidRPr="006F2985">
              <w:rPr>
                <w:rFonts w:ascii="標楷體" w:eastAsia="標楷體" w:hAnsi="標楷體" w:hint="eastAsia"/>
                <w:szCs w:val="24"/>
              </w:rPr>
              <w:t>2.本會所提「中華民國114年度中央政府總預算案（含附屬單位預算及綜計表－營業及非營業部分）審查分配表及日程，經第11屆第2會期第8次院會</w:t>
            </w:r>
            <w:r w:rsidRPr="00DD3DEA">
              <w:rPr>
                <w:rFonts w:ascii="標楷體" w:eastAsia="標楷體" w:hAnsi="標楷體" w:hint="eastAsia"/>
                <w:spacing w:val="-20"/>
                <w:szCs w:val="24"/>
              </w:rPr>
              <w:t>（113.11.8）</w:t>
            </w:r>
            <w:r w:rsidRPr="006F2985">
              <w:rPr>
                <w:rFonts w:ascii="標楷體" w:eastAsia="標楷體" w:hAnsi="標楷體" w:hint="eastAsia"/>
                <w:szCs w:val="24"/>
              </w:rPr>
              <w:t>決定：「</w:t>
            </w:r>
            <w:r w:rsidRPr="006F2985">
              <w:rPr>
                <w:rFonts w:ascii="標楷體" w:eastAsia="標楷體" w:hAnsi="標楷體" w:hint="eastAsia"/>
                <w:kern w:val="2"/>
                <w:szCs w:val="24"/>
              </w:rPr>
              <w:t>交財政委員會依分配表及日程分送各委員會審查</w:t>
            </w:r>
            <w:r w:rsidRPr="006F2985">
              <w:rPr>
                <w:rFonts w:ascii="標楷體" w:eastAsia="標楷體" w:hAnsi="標楷體" w:hint="eastAsia"/>
                <w:szCs w:val="24"/>
              </w:rPr>
              <w:t>」。</w:t>
            </w:r>
          </w:p>
          <w:p w14:paraId="3A0D919C" w14:textId="77777777" w:rsidR="007D160C" w:rsidRPr="006F2985" w:rsidRDefault="007D160C" w:rsidP="00F470A8">
            <w:pPr>
              <w:overflowPunct w:val="0"/>
              <w:spacing w:line="340" w:lineRule="exact"/>
              <w:ind w:left="240" w:hangingChars="100" w:hanging="240"/>
              <w:jc w:val="both"/>
              <w:rPr>
                <w:rFonts w:ascii="標楷體" w:eastAsia="標楷體" w:hAnsi="標楷體"/>
                <w:szCs w:val="24"/>
              </w:rPr>
            </w:pPr>
            <w:r w:rsidRPr="006F2985">
              <w:rPr>
                <w:rFonts w:ascii="標楷體" w:eastAsia="標楷體" w:hAnsi="標楷體"/>
                <w:szCs w:val="24"/>
              </w:rPr>
              <w:t>3</w:t>
            </w:r>
            <w:r w:rsidRPr="006F2985">
              <w:rPr>
                <w:rFonts w:ascii="標楷體" w:eastAsia="標楷體" w:hAnsi="標楷體" w:hint="eastAsia"/>
                <w:szCs w:val="24"/>
              </w:rPr>
              <w:t>.114.1.6本會將「中華民國114年度中央政府總預算案審查總報告(外交及國防委員會)」函送議事處提報院會。</w:t>
            </w:r>
          </w:p>
          <w:p w14:paraId="1FE113A6" w14:textId="77777777"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4.114.1.10本會將「中華民國114年度中央政府總預算案審查總報告</w:t>
            </w:r>
            <w:r w:rsidRPr="00650CA3">
              <w:rPr>
                <w:rFonts w:ascii="標楷體" w:eastAsia="標楷體" w:hAnsi="標楷體" w:hint="eastAsia"/>
                <w:szCs w:val="24"/>
              </w:rPr>
              <w:lastRenderedPageBreak/>
              <w:t>(內政、經濟、財政、教育及文化、交通、社會福利及衛生環境六委員會)」函送議事處提報院會。</w:t>
            </w:r>
          </w:p>
          <w:p w14:paraId="18BB91F0" w14:textId="289FF2FC"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5.114.1.1</w:t>
            </w:r>
            <w:r w:rsidR="00B31321">
              <w:rPr>
                <w:rFonts w:ascii="標楷體" w:eastAsia="標楷體" w:hAnsi="標楷體" w:hint="eastAsia"/>
                <w:szCs w:val="24"/>
              </w:rPr>
              <w:t>4</w:t>
            </w:r>
            <w:r w:rsidRPr="00650CA3">
              <w:rPr>
                <w:rFonts w:ascii="標楷體" w:eastAsia="標楷體" w:hAnsi="標楷體" w:hint="eastAsia"/>
                <w:szCs w:val="24"/>
              </w:rPr>
              <w:t>本會將「中華民國114年度中央政府總預算案審查總報告(司法及法制委員會)」函送議事處提報院會。</w:t>
            </w:r>
          </w:p>
          <w:p w14:paraId="15705369" w14:textId="379DE163" w:rsidR="007D160C" w:rsidRPr="00650CA3" w:rsidRDefault="00650CA3" w:rsidP="00F470A8">
            <w:pPr>
              <w:kinsoku w:val="0"/>
              <w:overflowPunct w:val="0"/>
              <w:autoSpaceDE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6.114.1.15、1</w:t>
            </w:r>
            <w:r w:rsidRPr="00650CA3">
              <w:rPr>
                <w:rFonts w:ascii="標楷體" w:eastAsia="標楷體" w:hAnsi="標楷體"/>
                <w:szCs w:val="24"/>
              </w:rPr>
              <w:t>.1</w:t>
            </w:r>
            <w:r w:rsidRPr="00650CA3">
              <w:rPr>
                <w:rFonts w:ascii="標楷體" w:eastAsia="標楷體" w:hAnsi="標楷體" w:hint="eastAsia"/>
                <w:szCs w:val="24"/>
              </w:rPr>
              <w:t>6院長召開朝野黨團協商。</w:t>
            </w:r>
          </w:p>
        </w:tc>
      </w:tr>
      <w:tr w:rsidR="00395536" w:rsidRPr="009C72AA" w14:paraId="73361748" w14:textId="77777777" w:rsidTr="00E84CE5">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4B751FD5" w14:textId="414B0C76"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4</w:t>
            </w:r>
          </w:p>
        </w:tc>
        <w:tc>
          <w:tcPr>
            <w:tcW w:w="2410" w:type="dxa"/>
            <w:tcBorders>
              <w:top w:val="single" w:sz="4" w:space="0" w:color="auto"/>
              <w:left w:val="single" w:sz="4" w:space="0" w:color="auto"/>
              <w:bottom w:val="single" w:sz="4" w:space="0" w:color="auto"/>
              <w:right w:val="single" w:sz="4" w:space="0" w:color="auto"/>
            </w:tcBorders>
          </w:tcPr>
          <w:p w14:paraId="67530E83"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司法院函送「中華民國114年度中央政府總預算案司法院及所屬機關單位預算勘誤表」案</w:t>
            </w:r>
          </w:p>
        </w:tc>
        <w:tc>
          <w:tcPr>
            <w:tcW w:w="2268" w:type="dxa"/>
            <w:tcBorders>
              <w:top w:val="single" w:sz="4" w:space="0" w:color="auto"/>
              <w:left w:val="single" w:sz="4" w:space="0" w:color="auto"/>
              <w:bottom w:val="single" w:sz="4" w:space="0" w:color="auto"/>
              <w:right w:val="single" w:sz="4" w:space="0" w:color="auto"/>
            </w:tcBorders>
          </w:tcPr>
          <w:p w14:paraId="78609326"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第11屆第2會期第2次院會(113.9.27)決定：「交財政、司法及法制兩委員會併114年度中央政府總預算案處理」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2BFA17A9"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346A75CD" w14:textId="60BA7FB5"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9C72AA" w14:paraId="2994DAD1" w14:textId="77777777" w:rsidTr="00E84CE5">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7D280EE0" w14:textId="5CD651AE"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5</w:t>
            </w:r>
          </w:p>
        </w:tc>
        <w:tc>
          <w:tcPr>
            <w:tcW w:w="2410" w:type="dxa"/>
            <w:tcBorders>
              <w:top w:val="single" w:sz="4" w:space="0" w:color="auto"/>
              <w:left w:val="single" w:sz="4" w:space="0" w:color="auto"/>
              <w:bottom w:val="single" w:sz="4" w:space="0" w:color="auto"/>
              <w:right w:val="single" w:sz="4" w:space="0" w:color="auto"/>
            </w:tcBorders>
          </w:tcPr>
          <w:p w14:paraId="04CFB2F8"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114年度中央政府總預算案勘誤表」</w:t>
            </w:r>
            <w:r w:rsidRPr="009C72AA">
              <w:rPr>
                <w:rFonts w:ascii="標楷體" w:eastAsia="標楷體" w:hAnsi="標楷體" w:cs="DFKaiShuW5-B5" w:hint="eastAsia"/>
                <w:kern w:val="0"/>
                <w:szCs w:val="24"/>
              </w:rPr>
              <w:t>案</w:t>
            </w:r>
          </w:p>
        </w:tc>
        <w:tc>
          <w:tcPr>
            <w:tcW w:w="2268" w:type="dxa"/>
            <w:tcBorders>
              <w:top w:val="single" w:sz="4" w:space="0" w:color="auto"/>
              <w:left w:val="single" w:sz="4" w:space="0" w:color="auto"/>
              <w:bottom w:val="single" w:sz="4" w:space="0" w:color="auto"/>
              <w:right w:val="single" w:sz="4" w:space="0" w:color="auto"/>
            </w:tcBorders>
          </w:tcPr>
          <w:p w14:paraId="2F1196DB"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50D52354"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1BB92A34" w14:textId="21C9104C"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9C72AA" w14:paraId="281927F3" w14:textId="77777777" w:rsidTr="00E84CE5">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4E9B5A2B" w14:textId="5FE19660"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6</w:t>
            </w:r>
          </w:p>
        </w:tc>
        <w:tc>
          <w:tcPr>
            <w:tcW w:w="2410" w:type="dxa"/>
            <w:tcBorders>
              <w:top w:val="single" w:sz="4" w:space="0" w:color="auto"/>
              <w:left w:val="single" w:sz="4" w:space="0" w:color="auto"/>
              <w:bottom w:val="single" w:sz="4" w:space="0" w:color="auto"/>
              <w:right w:val="single" w:sz="4" w:space="0" w:color="auto"/>
            </w:tcBorders>
          </w:tcPr>
          <w:p w14:paraId="38DF0015"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114年中央政府總預算案行政院主</w:t>
            </w:r>
            <w:r w:rsidRPr="009C72AA">
              <w:rPr>
                <w:rFonts w:ascii="標楷體" w:eastAsia="標楷體" w:hAnsi="標楷體" w:cs="DFKaiShuW5-B5" w:hint="eastAsia"/>
                <w:kern w:val="0"/>
                <w:szCs w:val="24"/>
              </w:rPr>
              <w:t>計總處單位預算勘誤表」案</w:t>
            </w:r>
          </w:p>
        </w:tc>
        <w:tc>
          <w:tcPr>
            <w:tcW w:w="2268" w:type="dxa"/>
            <w:tcBorders>
              <w:top w:val="single" w:sz="4" w:space="0" w:color="auto"/>
              <w:left w:val="single" w:sz="4" w:space="0" w:color="auto"/>
              <w:bottom w:val="single" w:sz="4" w:space="0" w:color="auto"/>
              <w:right w:val="single" w:sz="4" w:space="0" w:color="auto"/>
            </w:tcBorders>
          </w:tcPr>
          <w:p w14:paraId="5E130503"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1AB426B3"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0C3D5601" w14:textId="48924FDE"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9C72AA" w14:paraId="7D0BD756" w14:textId="77777777" w:rsidTr="0026458C">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681E68F8" w14:textId="241F86C9" w:rsidR="00395536" w:rsidRPr="00BA300B" w:rsidRDefault="00395536"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7</w:t>
            </w:r>
          </w:p>
        </w:tc>
        <w:tc>
          <w:tcPr>
            <w:tcW w:w="2410" w:type="dxa"/>
            <w:tcBorders>
              <w:top w:val="single" w:sz="4" w:space="0" w:color="auto"/>
              <w:left w:val="single" w:sz="4" w:space="0" w:color="auto"/>
              <w:bottom w:val="single" w:sz="4" w:space="0" w:color="auto"/>
              <w:right w:val="single" w:sz="4" w:space="0" w:color="auto"/>
            </w:tcBorders>
          </w:tcPr>
          <w:p w14:paraId="71ADEE2C" w14:textId="77777777" w:rsidR="00395536" w:rsidRPr="009C72AA"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Pr>
                <w:rFonts w:ascii="標楷體" w:eastAsia="標楷體" w:hAnsi="標楷體" w:cs="DFKaiShuW5-B5" w:hint="eastAsia"/>
                <w:kern w:val="0"/>
                <w:szCs w:val="24"/>
              </w:rPr>
              <w:t>國防部</w:t>
            </w:r>
            <w:r w:rsidRPr="009C72AA">
              <w:rPr>
                <w:rFonts w:ascii="標楷體" w:eastAsia="標楷體" w:hAnsi="標楷體" w:cs="DFKaiShuW5-B5" w:hint="eastAsia"/>
                <w:kern w:val="0"/>
                <w:szCs w:val="24"/>
              </w:rPr>
              <w:t>函送「中華民國</w:t>
            </w:r>
            <w:r w:rsidRPr="009C72AA">
              <w:rPr>
                <w:rFonts w:ascii="標楷體" w:eastAsia="標楷體" w:hAnsi="標楷體" w:cs="DFKaiShuW5-B5"/>
                <w:kern w:val="0"/>
                <w:szCs w:val="24"/>
              </w:rPr>
              <w:t>114年中央政府總預算案</w:t>
            </w:r>
            <w:r>
              <w:rPr>
                <w:rFonts w:ascii="標楷體" w:eastAsia="標楷體" w:hAnsi="標楷體" w:cs="DFKaiShuW5-B5" w:hint="eastAsia"/>
                <w:kern w:val="0"/>
                <w:szCs w:val="24"/>
              </w:rPr>
              <w:t>國防部所屬</w:t>
            </w:r>
            <w:r w:rsidRPr="009C72AA">
              <w:rPr>
                <w:rFonts w:ascii="標楷體" w:eastAsia="標楷體" w:hAnsi="標楷體" w:cs="DFKaiShuW5-B5" w:hint="eastAsia"/>
                <w:kern w:val="0"/>
                <w:szCs w:val="24"/>
              </w:rPr>
              <w:t>單位預算勘誤表」案</w:t>
            </w:r>
          </w:p>
        </w:tc>
        <w:tc>
          <w:tcPr>
            <w:tcW w:w="2268" w:type="dxa"/>
            <w:tcBorders>
              <w:top w:val="single" w:sz="4" w:space="0" w:color="auto"/>
              <w:left w:val="single" w:sz="4" w:space="0" w:color="auto"/>
              <w:bottom w:val="single" w:sz="4" w:space="0" w:color="auto"/>
              <w:right w:val="single" w:sz="4" w:space="0" w:color="auto"/>
            </w:tcBorders>
          </w:tcPr>
          <w:p w14:paraId="38970665" w14:textId="77777777" w:rsidR="00395536" w:rsidRPr="009C72AA"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第11屆第2會期第2次院會(113.9.27)決定：「交財政、外交及國防兩委員會併114年度中央政府總預算案處理」</w:t>
            </w:r>
          </w:p>
        </w:tc>
        <w:tc>
          <w:tcPr>
            <w:tcW w:w="2126" w:type="dxa"/>
            <w:tcBorders>
              <w:top w:val="single" w:sz="4" w:space="0" w:color="auto"/>
              <w:left w:val="single" w:sz="4" w:space="0" w:color="auto"/>
              <w:bottom w:val="single" w:sz="4" w:space="0" w:color="auto"/>
              <w:right w:val="single" w:sz="4" w:space="0" w:color="auto"/>
            </w:tcBorders>
          </w:tcPr>
          <w:p w14:paraId="14DD26A3"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4" w:space="0" w:color="auto"/>
              <w:right w:val="single" w:sz="4" w:space="0" w:color="000000"/>
            </w:tcBorders>
            <w:vAlign w:val="center"/>
          </w:tcPr>
          <w:p w14:paraId="031FFBCF" w14:textId="18EC5347"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r w:rsidR="00395536" w:rsidRPr="005A07A3" w14:paraId="70F1B41E" w14:textId="77777777" w:rsidTr="00E84CE5">
        <w:tblPrEx>
          <w:jc w:val="left"/>
        </w:tblPrEx>
        <w:trPr>
          <w:trHeight w:val="2741"/>
        </w:trPr>
        <w:tc>
          <w:tcPr>
            <w:tcW w:w="704" w:type="dxa"/>
            <w:tcBorders>
              <w:top w:val="single" w:sz="4" w:space="0" w:color="auto"/>
              <w:left w:val="single" w:sz="4" w:space="0" w:color="auto"/>
              <w:bottom w:val="single" w:sz="12" w:space="0" w:color="auto"/>
              <w:right w:val="single" w:sz="4" w:space="0" w:color="auto"/>
            </w:tcBorders>
          </w:tcPr>
          <w:p w14:paraId="4A5105B7" w14:textId="70827D8D" w:rsidR="00395536" w:rsidRPr="00BA300B" w:rsidRDefault="00395536" w:rsidP="00F470A8">
            <w:pPr>
              <w:widowControl w:val="0"/>
              <w:overflowPunct w:val="0"/>
              <w:autoSpaceDN/>
              <w:ind w:left="142"/>
              <w:jc w:val="both"/>
              <w:textAlignment w:val="auto"/>
              <w:rPr>
                <w:rFonts w:ascii="標楷體" w:eastAsia="標楷體" w:hAnsi="標楷體"/>
                <w:b/>
                <w:szCs w:val="24"/>
              </w:rPr>
            </w:pPr>
            <w:r>
              <w:rPr>
                <w:rFonts w:ascii="標楷體" w:eastAsia="標楷體" w:hAnsi="標楷體" w:hint="eastAsia"/>
                <w:b/>
                <w:szCs w:val="24"/>
              </w:rPr>
              <w:t>8</w:t>
            </w:r>
          </w:p>
        </w:tc>
        <w:tc>
          <w:tcPr>
            <w:tcW w:w="2410" w:type="dxa"/>
            <w:tcBorders>
              <w:top w:val="single" w:sz="4" w:space="0" w:color="auto"/>
              <w:left w:val="single" w:sz="4" w:space="0" w:color="auto"/>
              <w:bottom w:val="single" w:sz="12" w:space="0" w:color="auto"/>
              <w:right w:val="single" w:sz="4" w:space="0" w:color="auto"/>
            </w:tcBorders>
          </w:tcPr>
          <w:p w14:paraId="2155179F" w14:textId="77777777" w:rsidR="00395536" w:rsidRPr="005A07A3" w:rsidRDefault="00395536" w:rsidP="00F470A8">
            <w:pPr>
              <w:widowControl w:val="0"/>
              <w:overflowPunct w:val="0"/>
              <w:autoSpaceDN/>
              <w:spacing w:line="320" w:lineRule="exact"/>
              <w:jc w:val="both"/>
              <w:textAlignment w:val="auto"/>
              <w:rPr>
                <w:rFonts w:ascii="標楷體" w:eastAsia="標楷體" w:hAnsi="標楷體" w:cs="DFKaiShuW5-B5"/>
                <w:kern w:val="0"/>
                <w:szCs w:val="24"/>
              </w:rPr>
            </w:pPr>
            <w:r w:rsidRPr="005A07A3">
              <w:rPr>
                <w:rFonts w:ascii="標楷體" w:eastAsia="標楷體" w:hAnsi="標楷體" w:cs="DFKaiShuW5-B5" w:hint="eastAsia"/>
                <w:kern w:val="0"/>
                <w:szCs w:val="24"/>
              </w:rPr>
              <w:t>外交部函送「中華民國114年度中央政府總預算案外交部外交及國際事務學院單位預算勘誤表」暨勘誤正確內容，請查照案。</w:t>
            </w:r>
          </w:p>
        </w:tc>
        <w:tc>
          <w:tcPr>
            <w:tcW w:w="2268" w:type="dxa"/>
            <w:tcBorders>
              <w:top w:val="single" w:sz="4" w:space="0" w:color="auto"/>
              <w:left w:val="single" w:sz="4" w:space="0" w:color="auto"/>
              <w:bottom w:val="single" w:sz="12" w:space="0" w:color="auto"/>
              <w:right w:val="single" w:sz="4" w:space="0" w:color="auto"/>
            </w:tcBorders>
          </w:tcPr>
          <w:p w14:paraId="5877F5F1" w14:textId="77777777" w:rsidR="00395536" w:rsidRPr="005A07A3" w:rsidRDefault="00395536" w:rsidP="00871E37">
            <w:pPr>
              <w:widowControl w:val="0"/>
              <w:suppressLineNumbers/>
              <w:suppressAutoHyphens/>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第11屆第2會期第6次院會(113.10.25)決定：「交財政、外交及國防兩委員會併114年度中央政府總預算案處理」</w:t>
            </w:r>
          </w:p>
        </w:tc>
        <w:tc>
          <w:tcPr>
            <w:tcW w:w="2126" w:type="dxa"/>
            <w:tcBorders>
              <w:top w:val="single" w:sz="4" w:space="0" w:color="auto"/>
              <w:left w:val="single" w:sz="4" w:space="0" w:color="auto"/>
              <w:bottom w:val="single" w:sz="12" w:space="0" w:color="auto"/>
              <w:right w:val="single" w:sz="4" w:space="0" w:color="auto"/>
            </w:tcBorders>
          </w:tcPr>
          <w:p w14:paraId="0D230DD3" w14:textId="77777777" w:rsidR="00395536" w:rsidRPr="00395536" w:rsidRDefault="00395536" w:rsidP="00F470A8">
            <w:pPr>
              <w:overflowPunct w:val="0"/>
              <w:spacing w:line="320" w:lineRule="exact"/>
              <w:ind w:left="240" w:hangingChars="100" w:hanging="240"/>
              <w:contextualSpacing/>
              <w:jc w:val="both"/>
              <w:rPr>
                <w:rFonts w:ascii="標楷體" w:eastAsia="標楷體" w:hAnsi="標楷體"/>
                <w:szCs w:val="24"/>
              </w:rPr>
            </w:pPr>
          </w:p>
        </w:tc>
        <w:tc>
          <w:tcPr>
            <w:tcW w:w="2126" w:type="dxa"/>
            <w:tcBorders>
              <w:top w:val="single" w:sz="4" w:space="0" w:color="auto"/>
              <w:left w:val="single" w:sz="4" w:space="0" w:color="000000"/>
              <w:bottom w:val="single" w:sz="12" w:space="0" w:color="auto"/>
              <w:right w:val="single" w:sz="4" w:space="0" w:color="000000"/>
            </w:tcBorders>
            <w:vAlign w:val="center"/>
          </w:tcPr>
          <w:p w14:paraId="14D60104" w14:textId="56ED5312" w:rsidR="00395536" w:rsidRPr="00395536" w:rsidRDefault="00395536"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0"/>
              </w:rPr>
            </w:pPr>
            <w:r>
              <w:rPr>
                <w:rFonts w:ascii="標楷體" w:eastAsia="標楷體" w:hAnsi="標楷體" w:hint="eastAsia"/>
                <w:kern w:val="0"/>
              </w:rPr>
              <w:t>併案</w:t>
            </w:r>
            <w:r w:rsidRPr="00395536">
              <w:rPr>
                <w:rFonts w:ascii="標楷體" w:eastAsia="標楷體" w:hAnsi="標楷體" w:hint="eastAsia"/>
                <w:kern w:val="0"/>
              </w:rPr>
              <w:t>處理</w:t>
            </w:r>
            <w:r>
              <w:rPr>
                <w:rFonts w:ascii="標楷體" w:eastAsia="標楷體" w:hAnsi="標楷體" w:hint="eastAsia"/>
                <w:kern w:val="0"/>
              </w:rPr>
              <w:t>完竣</w:t>
            </w:r>
          </w:p>
        </w:tc>
      </w:tr>
    </w:tbl>
    <w:p w14:paraId="5DA19577" w14:textId="77777777" w:rsidR="007D160C" w:rsidRDefault="007D160C" w:rsidP="00F470A8">
      <w:pPr>
        <w:overflowPunct w:val="0"/>
        <w:autoSpaceDN/>
        <w:textAlignment w:val="auto"/>
        <w:rPr>
          <w:rFonts w:ascii="標楷體" w:eastAsia="標楷體" w:hAnsi="標楷體"/>
          <w:b/>
          <w:bCs/>
          <w:sz w:val="28"/>
          <w:szCs w:val="28"/>
        </w:rPr>
      </w:pPr>
      <w:bookmarkStart w:id="29" w:name="_Toc175833563"/>
      <w:bookmarkStart w:id="30" w:name="_Toc143873901"/>
      <w:bookmarkStart w:id="31" w:name="_Toc157095677"/>
      <w:r>
        <w:rPr>
          <w:rFonts w:ascii="標楷體" w:eastAsia="標楷體" w:hAnsi="標楷體"/>
          <w:b/>
          <w:bCs/>
          <w:sz w:val="28"/>
          <w:szCs w:val="28"/>
        </w:rPr>
        <w:br w:type="page"/>
      </w:r>
    </w:p>
    <w:p w14:paraId="1AEFDEE8" w14:textId="77777777"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32" w:name="_Toc189487278"/>
      <w:r w:rsidRPr="009523DA">
        <w:rPr>
          <w:rFonts w:ascii="標楷體" w:eastAsia="標楷體" w:hAnsi="標楷體" w:hint="eastAsia"/>
          <w:b/>
          <w:bCs/>
          <w:sz w:val="28"/>
          <w:szCs w:val="28"/>
        </w:rPr>
        <w:lastRenderedPageBreak/>
        <w:t>(</w:t>
      </w:r>
      <w:r>
        <w:rPr>
          <w:rFonts w:ascii="標楷體" w:eastAsia="標楷體" w:hAnsi="標楷體" w:hint="eastAsia"/>
          <w:b/>
          <w:bCs/>
          <w:sz w:val="28"/>
          <w:szCs w:val="28"/>
        </w:rPr>
        <w:t>二</w:t>
      </w:r>
      <w:r w:rsidRPr="009523DA">
        <w:rPr>
          <w:rFonts w:ascii="標楷體" w:eastAsia="標楷體" w:hAnsi="標楷體" w:hint="eastAsia"/>
          <w:b/>
          <w:bCs/>
          <w:sz w:val="28"/>
          <w:szCs w:val="28"/>
        </w:rPr>
        <w:t>)財團法人預算案（1案）</w:t>
      </w:r>
      <w:bookmarkEnd w:id="29"/>
      <w:bookmarkEnd w:id="32"/>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3686"/>
        <w:gridCol w:w="2412"/>
        <w:gridCol w:w="2412"/>
      </w:tblGrid>
      <w:tr w:rsidR="007D160C" w:rsidRPr="009523DA" w14:paraId="4CFFE8DD"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7F473A9A"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3686" w:type="dxa"/>
            <w:tcBorders>
              <w:top w:val="single" w:sz="12" w:space="0" w:color="auto"/>
              <w:left w:val="single" w:sz="4" w:space="0" w:color="auto"/>
              <w:bottom w:val="single" w:sz="12" w:space="0" w:color="auto"/>
              <w:right w:val="single" w:sz="4" w:space="0" w:color="auto"/>
            </w:tcBorders>
            <w:vAlign w:val="center"/>
          </w:tcPr>
          <w:p w14:paraId="6AA01B5B"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412" w:type="dxa"/>
            <w:tcBorders>
              <w:top w:val="single" w:sz="12" w:space="0" w:color="auto"/>
              <w:left w:val="single" w:sz="4" w:space="0" w:color="auto"/>
              <w:bottom w:val="single" w:sz="12" w:space="0" w:color="auto"/>
              <w:right w:val="single" w:sz="4" w:space="0" w:color="auto"/>
            </w:tcBorders>
            <w:vAlign w:val="center"/>
          </w:tcPr>
          <w:p w14:paraId="1B46642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412" w:type="dxa"/>
            <w:tcBorders>
              <w:top w:val="single" w:sz="12" w:space="0" w:color="auto"/>
              <w:left w:val="single" w:sz="4" w:space="0" w:color="auto"/>
              <w:bottom w:val="single" w:sz="12" w:space="0" w:color="auto"/>
              <w:right w:val="single" w:sz="4" w:space="0" w:color="auto"/>
            </w:tcBorders>
            <w:vAlign w:val="center"/>
          </w:tcPr>
          <w:p w14:paraId="767DDE52"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院會通過</w:t>
            </w:r>
          </w:p>
          <w:p w14:paraId="55C6F709"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日期及會次</w:t>
            </w:r>
          </w:p>
        </w:tc>
      </w:tr>
      <w:tr w:rsidR="007D160C" w:rsidRPr="009523DA" w14:paraId="17667AFB" w14:textId="77777777" w:rsidTr="00C707DF">
        <w:tblPrEx>
          <w:jc w:val="left"/>
        </w:tblPrEx>
        <w:trPr>
          <w:trHeight w:val="1388"/>
        </w:trPr>
        <w:tc>
          <w:tcPr>
            <w:tcW w:w="704" w:type="dxa"/>
            <w:tcBorders>
              <w:top w:val="single" w:sz="12" w:space="0" w:color="auto"/>
              <w:left w:val="single" w:sz="4" w:space="0" w:color="auto"/>
              <w:bottom w:val="single" w:sz="12" w:space="0" w:color="auto"/>
              <w:right w:val="single" w:sz="4" w:space="0" w:color="auto"/>
            </w:tcBorders>
          </w:tcPr>
          <w:p w14:paraId="109542E6"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sidRPr="009523DA">
              <w:rPr>
                <w:rFonts w:ascii="標楷體" w:eastAsia="標楷體" w:hAnsi="標楷體" w:hint="eastAsia"/>
                <w:b/>
                <w:szCs w:val="24"/>
              </w:rPr>
              <w:t>1</w:t>
            </w:r>
          </w:p>
        </w:tc>
        <w:tc>
          <w:tcPr>
            <w:tcW w:w="3686" w:type="dxa"/>
            <w:tcBorders>
              <w:top w:val="single" w:sz="12" w:space="0" w:color="auto"/>
              <w:left w:val="single" w:sz="4" w:space="0" w:color="auto"/>
              <w:bottom w:val="single" w:sz="12" w:space="0" w:color="auto"/>
              <w:right w:val="single" w:sz="4" w:space="0" w:color="auto"/>
            </w:tcBorders>
          </w:tcPr>
          <w:p w14:paraId="7368D3F3" w14:textId="3F9AA330" w:rsidR="007D160C" w:rsidRPr="009523DA"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9523DA">
              <w:rPr>
                <w:rFonts w:ascii="標楷體" w:eastAsia="標楷體" w:hAnsi="標楷體" w:hint="eastAsia"/>
                <w:kern w:val="2"/>
                <w:szCs w:val="24"/>
              </w:rPr>
              <w:t>金融監督管理委員會函送財團法人台灣金融研訓院等7家財團法人111年度預算書案。</w:t>
            </w:r>
          </w:p>
        </w:tc>
        <w:tc>
          <w:tcPr>
            <w:tcW w:w="2412" w:type="dxa"/>
            <w:tcBorders>
              <w:top w:val="single" w:sz="12" w:space="0" w:color="auto"/>
              <w:left w:val="single" w:sz="4" w:space="0" w:color="auto"/>
              <w:bottom w:val="single" w:sz="12" w:space="0" w:color="auto"/>
              <w:right w:val="single" w:sz="4" w:space="0" w:color="auto"/>
            </w:tcBorders>
          </w:tcPr>
          <w:p w14:paraId="179813BB"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523DA">
              <w:rPr>
                <w:rFonts w:ascii="標楷體" w:eastAsia="標楷體" w:hAnsi="標楷體" w:hint="eastAsia"/>
                <w:kern w:val="2"/>
                <w:szCs w:val="24"/>
              </w:rPr>
              <w:t>第10屆第4會期第2次院會（110.9.24）決定：「交財政委員會審查」</w:t>
            </w:r>
          </w:p>
        </w:tc>
        <w:tc>
          <w:tcPr>
            <w:tcW w:w="2412" w:type="dxa"/>
            <w:tcBorders>
              <w:top w:val="single" w:sz="12" w:space="0" w:color="auto"/>
              <w:left w:val="single" w:sz="4" w:space="0" w:color="auto"/>
              <w:bottom w:val="single" w:sz="12" w:space="0" w:color="auto"/>
              <w:right w:val="single" w:sz="4" w:space="0" w:color="auto"/>
            </w:tcBorders>
          </w:tcPr>
          <w:p w14:paraId="7F2A5E09" w14:textId="69787044" w:rsidR="007D160C" w:rsidRPr="009523DA" w:rsidRDefault="007D160C" w:rsidP="00F470A8">
            <w:pPr>
              <w:widowControl w:val="0"/>
              <w:overflowPunct w:val="0"/>
              <w:autoSpaceDE w:val="0"/>
              <w:autoSpaceDN/>
              <w:spacing w:line="340" w:lineRule="exact"/>
              <w:jc w:val="both"/>
              <w:textAlignment w:val="auto"/>
              <w:rPr>
                <w:rFonts w:ascii="標楷體" w:eastAsia="標楷體" w:hAnsi="標楷體"/>
                <w:spacing w:val="-8"/>
                <w:kern w:val="2"/>
                <w:szCs w:val="24"/>
              </w:rPr>
            </w:pPr>
            <w:r w:rsidRPr="009523DA">
              <w:rPr>
                <w:rFonts w:ascii="標楷體" w:eastAsia="標楷體" w:hAnsi="標楷體" w:hint="eastAsia"/>
                <w:spacing w:val="-8"/>
                <w:kern w:val="2"/>
                <w:szCs w:val="24"/>
              </w:rPr>
              <w:t>1</w:t>
            </w:r>
            <w:r w:rsidRPr="009523DA">
              <w:rPr>
                <w:rFonts w:ascii="標楷體" w:eastAsia="標楷體" w:hAnsi="標楷體"/>
                <w:spacing w:val="-8"/>
                <w:kern w:val="2"/>
                <w:szCs w:val="24"/>
              </w:rPr>
              <w:t>1</w:t>
            </w:r>
            <w:r w:rsidRPr="009523DA">
              <w:rPr>
                <w:rFonts w:ascii="標楷體" w:eastAsia="標楷體" w:hAnsi="標楷體" w:hint="eastAsia"/>
                <w:spacing w:val="-8"/>
                <w:kern w:val="2"/>
                <w:szCs w:val="24"/>
              </w:rPr>
              <w:t>3.9.26本會函送議事處提報院會。(已逾年度預算執行期間)</w:t>
            </w:r>
          </w:p>
        </w:tc>
      </w:tr>
    </w:tbl>
    <w:p w14:paraId="51889E76" w14:textId="77777777" w:rsidR="007D160C" w:rsidRPr="004E5043" w:rsidRDefault="007D160C" w:rsidP="00F470A8">
      <w:pPr>
        <w:overflowPunct w:val="0"/>
        <w:autoSpaceDN/>
        <w:textAlignment w:val="auto"/>
        <w:rPr>
          <w:rFonts w:ascii="標楷體" w:eastAsia="標楷體" w:hAnsi="標楷體"/>
          <w:b/>
          <w:bCs/>
          <w:color w:val="FF0000"/>
          <w:sz w:val="28"/>
          <w:szCs w:val="28"/>
        </w:rPr>
      </w:pPr>
      <w:r w:rsidRPr="004E5043">
        <w:rPr>
          <w:color w:val="FF0000"/>
          <w:sz w:val="28"/>
          <w:szCs w:val="28"/>
        </w:rPr>
        <w:br w:type="page"/>
      </w:r>
    </w:p>
    <w:p w14:paraId="01340650" w14:textId="77777777" w:rsidR="007D160C" w:rsidRPr="00064DF0" w:rsidRDefault="007D160C" w:rsidP="00F470A8">
      <w:pPr>
        <w:pStyle w:val="2"/>
        <w:numPr>
          <w:ilvl w:val="0"/>
          <w:numId w:val="0"/>
        </w:numPr>
        <w:overflowPunct w:val="0"/>
        <w:spacing w:line="480" w:lineRule="exact"/>
        <w:ind w:left="927" w:hanging="567"/>
        <w:jc w:val="both"/>
        <w:rPr>
          <w:rFonts w:ascii="標楷體" w:eastAsia="標楷體" w:hAnsi="標楷體"/>
          <w:sz w:val="32"/>
          <w:szCs w:val="32"/>
        </w:rPr>
      </w:pPr>
      <w:bookmarkStart w:id="33" w:name="_Toc175833565"/>
      <w:bookmarkStart w:id="34" w:name="_Toc189487279"/>
      <w:bookmarkStart w:id="35" w:name="_Toc143873902"/>
      <w:bookmarkStart w:id="36" w:name="_Toc157095679"/>
      <w:bookmarkEnd w:id="30"/>
      <w:bookmarkEnd w:id="31"/>
      <w:r w:rsidRPr="00064DF0">
        <w:rPr>
          <w:rFonts w:ascii="標楷體" w:eastAsia="標楷體" w:hAnsi="標楷體" w:hint="eastAsia"/>
          <w:bCs w:val="0"/>
          <w:kern w:val="2"/>
          <w:sz w:val="32"/>
          <w:szCs w:val="32"/>
        </w:rPr>
        <w:lastRenderedPageBreak/>
        <w:t>三、</w:t>
      </w:r>
      <w:r w:rsidRPr="00064DF0">
        <w:rPr>
          <w:rFonts w:ascii="標楷體" w:eastAsia="標楷體" w:hAnsi="標楷體" w:hint="eastAsia"/>
          <w:sz w:val="32"/>
          <w:szCs w:val="32"/>
        </w:rPr>
        <w:t>動支第二預備金案(7案)</w:t>
      </w:r>
      <w:bookmarkEnd w:id="33"/>
      <w:bookmarkEnd w:id="34"/>
    </w:p>
    <w:tbl>
      <w:tblPr>
        <w:tblW w:w="9323" w:type="dxa"/>
        <w:tblInd w:w="28" w:type="dxa"/>
        <w:tblBorders>
          <w:top w:val="single" w:sz="12"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67"/>
        <w:gridCol w:w="3828"/>
        <w:gridCol w:w="2660"/>
        <w:gridCol w:w="2268"/>
      </w:tblGrid>
      <w:tr w:rsidR="007D160C" w:rsidRPr="00064DF0" w14:paraId="2705C79A" w14:textId="77777777" w:rsidTr="004E1C6E">
        <w:trPr>
          <w:trHeight w:val="496"/>
        </w:trPr>
        <w:tc>
          <w:tcPr>
            <w:tcW w:w="567" w:type="dxa"/>
            <w:tcMar>
              <w:top w:w="0" w:type="dxa"/>
              <w:left w:w="28" w:type="dxa"/>
              <w:bottom w:w="0" w:type="dxa"/>
              <w:right w:w="28" w:type="dxa"/>
            </w:tcMar>
            <w:vAlign w:val="center"/>
          </w:tcPr>
          <w:p w14:paraId="43E2DEB0"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zCs w:val="24"/>
              </w:rPr>
            </w:pPr>
            <w:r w:rsidRPr="00064DF0">
              <w:rPr>
                <w:rFonts w:ascii="標楷體" w:eastAsia="標楷體" w:hAnsi="標楷體" w:hint="eastAsia"/>
                <w:b/>
                <w:bCs/>
                <w:szCs w:val="24"/>
              </w:rPr>
              <w:t>序</w:t>
            </w:r>
            <w:r w:rsidRPr="00064DF0">
              <w:rPr>
                <w:rFonts w:ascii="標楷體" w:eastAsia="標楷體" w:hAnsi="標楷體"/>
                <w:b/>
                <w:bCs/>
                <w:szCs w:val="24"/>
              </w:rPr>
              <w:t>號</w:t>
            </w:r>
          </w:p>
        </w:tc>
        <w:tc>
          <w:tcPr>
            <w:tcW w:w="3828" w:type="dxa"/>
            <w:tcMar>
              <w:top w:w="0" w:type="dxa"/>
              <w:left w:w="28" w:type="dxa"/>
              <w:bottom w:w="0" w:type="dxa"/>
              <w:right w:w="28" w:type="dxa"/>
            </w:tcMar>
            <w:vAlign w:val="center"/>
          </w:tcPr>
          <w:p w14:paraId="7185E58B"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zCs w:val="24"/>
              </w:rPr>
            </w:pPr>
            <w:r w:rsidRPr="00064DF0">
              <w:rPr>
                <w:rFonts w:ascii="標楷體" w:eastAsia="標楷體" w:hAnsi="標楷體"/>
                <w:b/>
                <w:bCs/>
                <w:szCs w:val="24"/>
              </w:rPr>
              <w:t>議</w:t>
            </w:r>
            <w:r w:rsidRPr="00064DF0">
              <w:rPr>
                <w:rFonts w:ascii="標楷體" w:eastAsia="標楷體" w:hAnsi="標楷體" w:hint="eastAsia"/>
                <w:b/>
                <w:bCs/>
                <w:szCs w:val="24"/>
              </w:rPr>
              <w:t xml:space="preserve"> </w:t>
            </w:r>
            <w:r w:rsidRPr="00064DF0">
              <w:rPr>
                <w:rFonts w:ascii="標楷體" w:eastAsia="標楷體" w:hAnsi="標楷體"/>
                <w:b/>
                <w:bCs/>
                <w:szCs w:val="24"/>
              </w:rPr>
              <w:t xml:space="preserve">  案</w:t>
            </w:r>
            <w:r w:rsidRPr="00064DF0">
              <w:rPr>
                <w:rFonts w:ascii="標楷體" w:eastAsia="標楷體" w:hAnsi="標楷體" w:hint="eastAsia"/>
                <w:b/>
                <w:bCs/>
                <w:szCs w:val="24"/>
              </w:rPr>
              <w:t xml:space="preserve"> </w:t>
            </w:r>
            <w:r w:rsidRPr="00064DF0">
              <w:rPr>
                <w:rFonts w:ascii="標楷體" w:eastAsia="標楷體" w:hAnsi="標楷體"/>
                <w:b/>
                <w:bCs/>
                <w:szCs w:val="24"/>
              </w:rPr>
              <w:t xml:space="preserve">  名</w:t>
            </w:r>
            <w:r w:rsidRPr="00064DF0">
              <w:rPr>
                <w:rFonts w:ascii="標楷體" w:eastAsia="標楷體" w:hAnsi="標楷體" w:hint="eastAsia"/>
                <w:b/>
                <w:bCs/>
                <w:szCs w:val="24"/>
              </w:rPr>
              <w:t xml:space="preserve"> </w:t>
            </w:r>
            <w:r w:rsidRPr="00064DF0">
              <w:rPr>
                <w:rFonts w:ascii="標楷體" w:eastAsia="標楷體" w:hAnsi="標楷體"/>
                <w:b/>
                <w:bCs/>
                <w:szCs w:val="24"/>
              </w:rPr>
              <w:t xml:space="preserve">  稱</w:t>
            </w:r>
          </w:p>
        </w:tc>
        <w:tc>
          <w:tcPr>
            <w:tcW w:w="2660" w:type="dxa"/>
            <w:tcMar>
              <w:top w:w="0" w:type="dxa"/>
              <w:left w:w="28" w:type="dxa"/>
              <w:bottom w:w="0" w:type="dxa"/>
              <w:right w:w="28" w:type="dxa"/>
            </w:tcMar>
          </w:tcPr>
          <w:p w14:paraId="38C40879"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pacing w:val="102"/>
                <w:kern w:val="2"/>
                <w:szCs w:val="24"/>
              </w:rPr>
            </w:pPr>
            <w:r w:rsidRPr="00064DF0">
              <w:rPr>
                <w:rFonts w:ascii="標楷體" w:eastAsia="標楷體" w:hAnsi="標楷體"/>
                <w:b/>
                <w:bCs/>
                <w:spacing w:val="102"/>
                <w:kern w:val="2"/>
                <w:szCs w:val="24"/>
              </w:rPr>
              <w:t>院會交付</w:t>
            </w:r>
          </w:p>
          <w:p w14:paraId="5385D0EA" w14:textId="77777777" w:rsidR="007D160C" w:rsidRPr="00064DF0" w:rsidRDefault="007D160C" w:rsidP="00F470A8">
            <w:pPr>
              <w:widowControl w:val="0"/>
              <w:overflowPunct w:val="0"/>
              <w:spacing w:line="300" w:lineRule="exact"/>
              <w:jc w:val="center"/>
              <w:textAlignment w:val="auto"/>
              <w:rPr>
                <w:b/>
              </w:rPr>
            </w:pPr>
            <w:r w:rsidRPr="00064DF0">
              <w:rPr>
                <w:rFonts w:ascii="標楷體" w:eastAsia="標楷體" w:hAnsi="標楷體" w:hint="eastAsia"/>
                <w:b/>
                <w:bCs/>
                <w:spacing w:val="20"/>
                <w:szCs w:val="24"/>
              </w:rPr>
              <w:t>日</w:t>
            </w:r>
            <w:r w:rsidRPr="00064DF0">
              <w:rPr>
                <w:rFonts w:ascii="標楷體" w:eastAsia="標楷體" w:hAnsi="標楷體"/>
                <w:b/>
                <w:bCs/>
                <w:spacing w:val="20"/>
                <w:szCs w:val="24"/>
              </w:rPr>
              <w:t>期</w:t>
            </w:r>
            <w:r w:rsidRPr="00064DF0">
              <w:rPr>
                <w:rFonts w:ascii="標楷體" w:eastAsia="標楷體" w:hAnsi="標楷體" w:hint="eastAsia"/>
                <w:b/>
                <w:bCs/>
                <w:spacing w:val="20"/>
                <w:szCs w:val="24"/>
              </w:rPr>
              <w:t>及</w:t>
            </w:r>
            <w:r w:rsidRPr="00064DF0">
              <w:rPr>
                <w:rFonts w:ascii="標楷體" w:eastAsia="標楷體" w:hAnsi="標楷體"/>
                <w:b/>
                <w:bCs/>
                <w:spacing w:val="20"/>
                <w:szCs w:val="24"/>
              </w:rPr>
              <w:t>會次</w:t>
            </w:r>
          </w:p>
        </w:tc>
        <w:tc>
          <w:tcPr>
            <w:tcW w:w="2268" w:type="dxa"/>
            <w:tcBorders>
              <w:bottom w:val="single" w:sz="4" w:space="0" w:color="auto"/>
            </w:tcBorders>
            <w:tcMar>
              <w:top w:w="0" w:type="dxa"/>
              <w:left w:w="28" w:type="dxa"/>
              <w:bottom w:w="0" w:type="dxa"/>
              <w:right w:w="28" w:type="dxa"/>
            </w:tcMar>
            <w:vAlign w:val="center"/>
          </w:tcPr>
          <w:p w14:paraId="4FAC7B5F" w14:textId="77777777" w:rsidR="007D160C" w:rsidRPr="00064DF0"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064DF0">
              <w:rPr>
                <w:rFonts w:ascii="標楷體" w:eastAsia="標楷體" w:hAnsi="標楷體"/>
                <w:b/>
                <w:bCs/>
                <w:spacing w:val="-20"/>
                <w:szCs w:val="24"/>
              </w:rPr>
              <w:t>備      註</w:t>
            </w:r>
          </w:p>
        </w:tc>
      </w:tr>
    </w:tbl>
    <w:tbl>
      <w:tblPr>
        <w:tblpPr w:leftFromText="180" w:rightFromText="180" w:vertAnchor="text" w:tblpX="28" w:tblpY="1"/>
        <w:tblOverlap w:val="never"/>
        <w:tblW w:w="9351" w:type="dxa"/>
        <w:tblCellMar>
          <w:left w:w="10" w:type="dxa"/>
          <w:right w:w="10" w:type="dxa"/>
        </w:tblCellMar>
        <w:tblLook w:val="0000" w:firstRow="0" w:lastRow="0" w:firstColumn="0" w:lastColumn="0" w:noHBand="0" w:noVBand="0"/>
      </w:tblPr>
      <w:tblGrid>
        <w:gridCol w:w="563"/>
        <w:gridCol w:w="3824"/>
        <w:gridCol w:w="2696"/>
        <w:gridCol w:w="2268"/>
      </w:tblGrid>
      <w:tr w:rsidR="007D160C" w:rsidRPr="00064DF0" w14:paraId="33C99885"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C71B7D" w14:textId="77777777" w:rsidR="007D160C" w:rsidRPr="00064DF0"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8765B42" w14:textId="77777777" w:rsidR="007D160C" w:rsidRPr="00064DF0"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97CC70" w14:textId="77777777" w:rsidR="007D160C" w:rsidRPr="00064DF0" w:rsidRDefault="007D160C" w:rsidP="00F470A8">
            <w:pPr>
              <w:widowControl w:val="0"/>
              <w:overflowPunct w:val="0"/>
              <w:autoSpaceDN/>
              <w:spacing w:line="30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第10屆第6會期第3次院會(111.10.7</w:t>
            </w:r>
            <w:r w:rsidRPr="00064DF0">
              <w:rPr>
                <w:rFonts w:ascii="標楷體" w:eastAsia="標楷體" w:hAnsi="標楷體"/>
                <w:kern w:val="2"/>
                <w:szCs w:val="24"/>
              </w:rPr>
              <w:t>)</w:t>
            </w:r>
            <w:r w:rsidRPr="00064DF0">
              <w:rPr>
                <w:rFonts w:ascii="標楷體" w:eastAsia="標楷體" w:hAnsi="標楷體" w:hint="eastAsia"/>
                <w:kern w:val="2"/>
                <w:szCs w:val="24"/>
              </w:rPr>
              <w:t>決定：「交財政、內政兩委員會審查」</w:t>
            </w:r>
          </w:p>
        </w:tc>
        <w:tc>
          <w:tcPr>
            <w:tcW w:w="2268" w:type="dxa"/>
            <w:vMerge w:val="restart"/>
            <w:tcBorders>
              <w:top w:val="single" w:sz="4" w:space="0" w:color="auto"/>
              <w:left w:val="single" w:sz="4" w:space="0" w:color="000000"/>
              <w:bottom w:val="single" w:sz="12" w:space="0" w:color="auto"/>
              <w:right w:val="single" w:sz="4" w:space="0" w:color="000000"/>
            </w:tcBorders>
            <w:shd w:val="clear" w:color="auto" w:fill="auto"/>
          </w:tcPr>
          <w:p w14:paraId="5D8AE03E" w14:textId="77777777" w:rsidR="007D160C" w:rsidRPr="00064DF0" w:rsidRDefault="007D160C" w:rsidP="00F470A8">
            <w:pPr>
              <w:widowControl w:val="0"/>
              <w:overflowPunct w:val="0"/>
              <w:spacing w:line="300" w:lineRule="exact"/>
              <w:jc w:val="both"/>
              <w:rPr>
                <w:rFonts w:ascii="標楷體" w:eastAsia="標楷體" w:hAnsi="標楷體"/>
                <w:kern w:val="2"/>
                <w:szCs w:val="24"/>
              </w:rPr>
            </w:pPr>
            <w:r w:rsidRPr="00064DF0">
              <w:rPr>
                <w:rFonts w:ascii="標楷體" w:eastAsia="標楷體" w:hAnsi="標楷體" w:hint="eastAsia"/>
                <w:szCs w:val="24"/>
              </w:rPr>
              <w:t>因逾各該年度預算執行期間，本會於113.9.27函議事處提報院會准予備查。</w:t>
            </w:r>
          </w:p>
        </w:tc>
      </w:tr>
      <w:tr w:rsidR="007D160C" w:rsidRPr="004E5043" w14:paraId="73CA18EF"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ECF2AB"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26677C"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45CBFF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決定：「交財政、社會福利及衛生環境</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653D17E2" w14:textId="77777777" w:rsidR="007D160C" w:rsidRPr="00B95A07" w:rsidRDefault="007D160C" w:rsidP="00F470A8">
            <w:pPr>
              <w:widowControl w:val="0"/>
              <w:overflowPunct w:val="0"/>
              <w:spacing w:line="300" w:lineRule="exact"/>
              <w:jc w:val="both"/>
              <w:rPr>
                <w:rFonts w:ascii="標楷體" w:eastAsia="標楷體" w:hAnsi="標楷體"/>
                <w:kern w:val="2"/>
                <w:szCs w:val="24"/>
              </w:rPr>
            </w:pPr>
          </w:p>
        </w:tc>
      </w:tr>
      <w:tr w:rsidR="007D160C" w:rsidRPr="004E5043" w14:paraId="2CB4030A"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B2B6EE1"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49708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86DB245"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535CDDC0" w14:textId="77777777" w:rsidR="007D160C" w:rsidRPr="00B95A07" w:rsidRDefault="007D160C" w:rsidP="00F470A8">
            <w:pPr>
              <w:widowControl w:val="0"/>
              <w:overflowPunct w:val="0"/>
              <w:spacing w:line="300" w:lineRule="exact"/>
              <w:jc w:val="both"/>
              <w:rPr>
                <w:rFonts w:ascii="標楷體" w:eastAsia="標楷體" w:hAnsi="標楷體"/>
                <w:kern w:val="2"/>
                <w:szCs w:val="24"/>
              </w:rPr>
            </w:pPr>
          </w:p>
        </w:tc>
      </w:tr>
      <w:tr w:rsidR="007D160C" w:rsidRPr="004E5043" w14:paraId="215D6EC6"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0E56CE1"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C8EA9D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行政院函為中央選舉委員會為辦理憲法修正案公民複決，動支111年度中央政府總預算第二預備金5億9</w:t>
            </w:r>
            <w:r>
              <w:rPr>
                <w:rFonts w:ascii="標楷體" w:eastAsia="標楷體" w:hAnsi="標楷體"/>
                <w:kern w:val="2"/>
                <w:szCs w:val="24"/>
              </w:rPr>
              <w:t>,</w:t>
            </w:r>
            <w:r>
              <w:rPr>
                <w:rFonts w:ascii="標楷體" w:eastAsia="標楷體" w:hAnsi="標楷體" w:hint="eastAsia"/>
                <w:kern w:val="2"/>
                <w:szCs w:val="24"/>
              </w:rPr>
              <w:t>55</w:t>
            </w:r>
            <w:r w:rsidRPr="00B95A07">
              <w:rPr>
                <w:rFonts w:ascii="標楷體" w:eastAsia="標楷體" w:hAnsi="標楷體" w:hint="eastAsia"/>
                <w:kern w:val="2"/>
                <w:szCs w:val="24"/>
              </w:rPr>
              <w:t>0萬3千元支應，茲檢送第二預備金動支數額機關別表案。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16562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2BF2EC3B" w14:textId="77777777" w:rsidR="007D160C" w:rsidRPr="00B95A07" w:rsidRDefault="007D160C" w:rsidP="00F470A8">
            <w:pPr>
              <w:widowControl w:val="0"/>
              <w:overflowPunct w:val="0"/>
              <w:spacing w:line="300" w:lineRule="exact"/>
              <w:jc w:val="both"/>
              <w:rPr>
                <w:rFonts w:ascii="標楷體" w:eastAsia="標楷體" w:hAnsi="標楷體"/>
                <w:kern w:val="2"/>
                <w:szCs w:val="24"/>
              </w:rPr>
            </w:pPr>
          </w:p>
        </w:tc>
      </w:tr>
      <w:tr w:rsidR="007D160C" w:rsidRPr="004E5043" w14:paraId="10AAC0F1"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86F6585"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4964CA7"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507520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w:t>
            </w:r>
            <w:r w:rsidRPr="00B95A07">
              <w:rPr>
                <w:rFonts w:ascii="標楷體" w:eastAsia="標楷體" w:hAnsi="標楷體"/>
                <w:kern w:val="2"/>
                <w:szCs w:val="24"/>
              </w:rPr>
              <w:t>)</w:t>
            </w:r>
            <w:r w:rsidRPr="00B95A07">
              <w:rPr>
                <w:rFonts w:ascii="標楷體" w:eastAsia="標楷體" w:hAnsi="標楷體" w:hint="eastAsia"/>
                <w:kern w:val="2"/>
                <w:szCs w:val="24"/>
              </w:rPr>
              <w:t>決定：「交財政、交通</w:t>
            </w:r>
            <w:r>
              <w:rPr>
                <w:rFonts w:ascii="標楷體" w:eastAsia="標楷體" w:hAnsi="標楷體" w:hint="eastAsia"/>
                <w:kern w:val="2"/>
                <w:szCs w:val="24"/>
              </w:rPr>
              <w:t>兩委員會</w:t>
            </w:r>
            <w:r w:rsidRPr="00B95A07">
              <w:rPr>
                <w:rFonts w:ascii="標楷體" w:eastAsia="標楷體" w:hAnsi="標楷體" w:hint="eastAsia"/>
                <w:kern w:val="2"/>
                <w:szCs w:val="24"/>
              </w:rPr>
              <w:t>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54E2823A" w14:textId="77777777" w:rsidR="007D160C" w:rsidRPr="00B95A07" w:rsidRDefault="007D160C" w:rsidP="00F470A8">
            <w:pPr>
              <w:widowControl w:val="0"/>
              <w:overflowPunct w:val="0"/>
              <w:spacing w:line="300" w:lineRule="exact"/>
              <w:jc w:val="both"/>
              <w:rPr>
                <w:rFonts w:ascii="標楷體" w:eastAsia="標楷體" w:hAnsi="標楷體"/>
                <w:bCs/>
                <w:kern w:val="2"/>
                <w:szCs w:val="24"/>
              </w:rPr>
            </w:pPr>
          </w:p>
        </w:tc>
      </w:tr>
      <w:tr w:rsidR="007D160C" w:rsidRPr="004E5043" w14:paraId="39B3FAF8" w14:textId="77777777" w:rsidTr="004E1C6E">
        <w:trPr>
          <w:cantSplit/>
          <w:trHeight w:val="1000"/>
        </w:trPr>
        <w:tc>
          <w:tcPr>
            <w:tcW w:w="56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1B8972D"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8C409D"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69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C978169"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第10屆第6會期第15次院會(111.12.9)決定：「交財政、交通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r w:rsidRPr="00B95A07">
              <w:rPr>
                <w:rFonts w:ascii="標楷體" w:eastAsia="標楷體" w:hAnsi="標楷體" w:hint="eastAsia"/>
                <w:kern w:val="2"/>
                <w:szCs w:val="24"/>
              </w:rPr>
              <w:tab/>
            </w:r>
          </w:p>
        </w:tc>
        <w:tc>
          <w:tcPr>
            <w:tcW w:w="2268" w:type="dxa"/>
            <w:vMerge/>
            <w:tcBorders>
              <w:left w:val="single" w:sz="4" w:space="0" w:color="000000"/>
              <w:bottom w:val="single" w:sz="12" w:space="0" w:color="auto"/>
              <w:right w:val="single" w:sz="4" w:space="0" w:color="000000"/>
            </w:tcBorders>
            <w:shd w:val="clear" w:color="auto" w:fill="auto"/>
            <w:vAlign w:val="center"/>
          </w:tcPr>
          <w:p w14:paraId="7B4C505D" w14:textId="77777777" w:rsidR="007D160C" w:rsidRPr="00B95A07" w:rsidRDefault="007D160C" w:rsidP="00F470A8">
            <w:pPr>
              <w:widowControl w:val="0"/>
              <w:overflowPunct w:val="0"/>
              <w:spacing w:line="300" w:lineRule="exact"/>
              <w:jc w:val="both"/>
              <w:rPr>
                <w:rFonts w:ascii="標楷體" w:eastAsia="標楷體" w:hAnsi="標楷體"/>
                <w:bCs/>
                <w:kern w:val="2"/>
                <w:szCs w:val="24"/>
              </w:rPr>
            </w:pPr>
          </w:p>
        </w:tc>
      </w:tr>
      <w:tr w:rsidR="007D160C" w:rsidRPr="004E5043" w14:paraId="41303B7F" w14:textId="77777777" w:rsidTr="004E1C6E">
        <w:trPr>
          <w:cantSplit/>
          <w:trHeight w:val="1000"/>
        </w:trPr>
        <w:tc>
          <w:tcPr>
            <w:tcW w:w="56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8AFC73F" w14:textId="77777777" w:rsidR="007D160C" w:rsidRPr="00B95A07" w:rsidRDefault="007D160C" w:rsidP="00F470A8">
            <w:pPr>
              <w:widowControl w:val="0"/>
              <w:numPr>
                <w:ilvl w:val="0"/>
                <w:numId w:val="16"/>
              </w:numPr>
              <w:overflowPunct w:val="0"/>
              <w:autoSpaceDN/>
              <w:spacing w:line="340" w:lineRule="exact"/>
              <w:ind w:right="240"/>
              <w:jc w:val="both"/>
              <w:textAlignment w:val="auto"/>
              <w:rPr>
                <w:rFonts w:ascii="標楷體" w:eastAsia="標楷體" w:hAnsi="標楷體"/>
                <w:b/>
                <w:kern w:val="2"/>
                <w:szCs w:val="24"/>
              </w:rPr>
            </w:pPr>
          </w:p>
        </w:tc>
        <w:tc>
          <w:tcPr>
            <w:tcW w:w="382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A7B9CD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行政院函請審議「111年度中央政府總預算第二預備金動支數額表」案。</w:t>
            </w:r>
          </w:p>
        </w:tc>
        <w:tc>
          <w:tcPr>
            <w:tcW w:w="269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33CE5F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6</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）決定：「交財政委員會會同有關委員會審查」</w:t>
            </w:r>
          </w:p>
        </w:tc>
        <w:tc>
          <w:tcPr>
            <w:tcW w:w="2268" w:type="dxa"/>
            <w:vMerge/>
            <w:tcBorders>
              <w:left w:val="single" w:sz="4" w:space="0" w:color="000000"/>
              <w:bottom w:val="single" w:sz="12" w:space="0" w:color="auto"/>
              <w:right w:val="single" w:sz="4" w:space="0" w:color="000000"/>
            </w:tcBorders>
            <w:shd w:val="clear" w:color="auto" w:fill="auto"/>
            <w:vAlign w:val="center"/>
          </w:tcPr>
          <w:p w14:paraId="224EB98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bl>
    <w:p w14:paraId="72674D9A" w14:textId="77777777" w:rsidR="007D160C" w:rsidRPr="004E5043"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37" w:name="_Toc175833566"/>
      <w:bookmarkStart w:id="38" w:name="_Toc189487280"/>
      <w:r w:rsidRPr="004E5043">
        <w:rPr>
          <w:rFonts w:ascii="標楷體" w:eastAsia="標楷體" w:hAnsi="標楷體" w:hint="eastAsia"/>
          <w:bCs w:val="0"/>
          <w:kern w:val="2"/>
          <w:sz w:val="32"/>
          <w:szCs w:val="32"/>
        </w:rPr>
        <w:lastRenderedPageBreak/>
        <w:t>四、決算案(</w:t>
      </w:r>
      <w:r>
        <w:rPr>
          <w:rFonts w:ascii="標楷體" w:eastAsia="標楷體" w:hAnsi="標楷體" w:hint="eastAsia"/>
          <w:bCs w:val="0"/>
          <w:kern w:val="2"/>
          <w:sz w:val="32"/>
          <w:szCs w:val="32"/>
        </w:rPr>
        <w:t>4</w:t>
      </w:r>
      <w:r w:rsidRPr="004E5043">
        <w:rPr>
          <w:rFonts w:ascii="標楷體" w:eastAsia="標楷體" w:hAnsi="標楷體" w:hint="eastAsia"/>
          <w:bCs w:val="0"/>
          <w:kern w:val="2"/>
          <w:sz w:val="32"/>
          <w:szCs w:val="32"/>
        </w:rPr>
        <w:t>案</w:t>
      </w:r>
      <w:r w:rsidRPr="004E5043">
        <w:rPr>
          <w:rFonts w:ascii="標楷體" w:eastAsia="標楷體" w:hAnsi="標楷體"/>
          <w:bCs w:val="0"/>
          <w:kern w:val="2"/>
          <w:sz w:val="32"/>
          <w:szCs w:val="32"/>
        </w:rPr>
        <w:t>)</w:t>
      </w:r>
      <w:bookmarkEnd w:id="37"/>
      <w:bookmarkEnd w:id="38"/>
    </w:p>
    <w:tbl>
      <w:tblPr>
        <w:tblW w:w="9181" w:type="dxa"/>
        <w:tblInd w:w="170" w:type="dxa"/>
        <w:tblLayout w:type="fixed"/>
        <w:tblCellMar>
          <w:left w:w="10" w:type="dxa"/>
          <w:right w:w="10" w:type="dxa"/>
        </w:tblCellMar>
        <w:tblLook w:val="0000" w:firstRow="0" w:lastRow="0" w:firstColumn="0" w:lastColumn="0" w:noHBand="0" w:noVBand="0"/>
      </w:tblPr>
      <w:tblGrid>
        <w:gridCol w:w="392"/>
        <w:gridCol w:w="3969"/>
        <w:gridCol w:w="2552"/>
        <w:gridCol w:w="2268"/>
      </w:tblGrid>
      <w:tr w:rsidR="007D160C" w:rsidRPr="004E5043" w14:paraId="75C33A53" w14:textId="77777777" w:rsidTr="00CF5E83">
        <w:trPr>
          <w:cantSplit/>
          <w:trHeight w:val="496"/>
          <w:tblHeader/>
        </w:trPr>
        <w:tc>
          <w:tcPr>
            <w:tcW w:w="39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0018FE51" w14:textId="77777777" w:rsidR="007D160C" w:rsidRPr="004E5043" w:rsidRDefault="007D160C" w:rsidP="00F470A8">
            <w:pPr>
              <w:widowControl w:val="0"/>
              <w:overflowPunct w:val="0"/>
              <w:spacing w:line="300" w:lineRule="exact"/>
              <w:jc w:val="center"/>
              <w:textAlignment w:val="auto"/>
              <w:rPr>
                <w:rFonts w:ascii="標楷體" w:eastAsia="標楷體" w:hAnsi="標楷體"/>
                <w:b/>
                <w:bCs/>
                <w:szCs w:val="24"/>
              </w:rPr>
            </w:pPr>
            <w:r w:rsidRPr="004E5043">
              <w:rPr>
                <w:rFonts w:ascii="標楷體" w:eastAsia="標楷體" w:hAnsi="標楷體" w:hint="eastAsia"/>
                <w:b/>
                <w:bCs/>
                <w:szCs w:val="24"/>
              </w:rPr>
              <w:t>序</w:t>
            </w:r>
            <w:r w:rsidRPr="004E5043">
              <w:rPr>
                <w:rFonts w:ascii="標楷體" w:eastAsia="標楷體" w:hAnsi="標楷體"/>
                <w:b/>
                <w:bCs/>
                <w:szCs w:val="24"/>
              </w:rPr>
              <w:t>號</w:t>
            </w:r>
          </w:p>
        </w:tc>
        <w:tc>
          <w:tcPr>
            <w:tcW w:w="3969"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59E11628" w14:textId="77777777" w:rsidR="007D160C" w:rsidRPr="004E5043" w:rsidRDefault="007D160C" w:rsidP="00F470A8">
            <w:pPr>
              <w:widowControl w:val="0"/>
              <w:overflowPunct w:val="0"/>
              <w:spacing w:line="300" w:lineRule="exact"/>
              <w:jc w:val="center"/>
              <w:textAlignment w:val="auto"/>
              <w:rPr>
                <w:rFonts w:ascii="標楷體" w:eastAsia="標楷體" w:hAnsi="標楷體"/>
                <w:b/>
                <w:bCs/>
                <w:szCs w:val="24"/>
              </w:rPr>
            </w:pPr>
            <w:r w:rsidRPr="004E5043">
              <w:rPr>
                <w:rFonts w:ascii="標楷體" w:eastAsia="標楷體" w:hAnsi="標楷體"/>
                <w:b/>
                <w:bCs/>
                <w:szCs w:val="24"/>
              </w:rPr>
              <w:t>議</w:t>
            </w:r>
            <w:r w:rsidRPr="004E5043">
              <w:rPr>
                <w:rFonts w:ascii="標楷體" w:eastAsia="標楷體" w:hAnsi="標楷體" w:hint="eastAsia"/>
                <w:b/>
                <w:bCs/>
                <w:szCs w:val="24"/>
              </w:rPr>
              <w:t xml:space="preserve"> </w:t>
            </w:r>
            <w:r w:rsidRPr="004E5043">
              <w:rPr>
                <w:rFonts w:ascii="標楷體" w:eastAsia="標楷體" w:hAnsi="標楷體"/>
                <w:b/>
                <w:bCs/>
                <w:szCs w:val="24"/>
              </w:rPr>
              <w:t xml:space="preserve">  </w:t>
            </w:r>
            <w:r w:rsidRPr="004E5043">
              <w:rPr>
                <w:rFonts w:ascii="標楷體" w:eastAsia="標楷體" w:hAnsi="標楷體" w:hint="eastAsia"/>
                <w:b/>
                <w:bCs/>
                <w:szCs w:val="24"/>
              </w:rPr>
              <w:t xml:space="preserve"> </w:t>
            </w:r>
            <w:r w:rsidRPr="004E5043">
              <w:rPr>
                <w:rFonts w:ascii="標楷體" w:eastAsia="標楷體" w:hAnsi="標楷體"/>
                <w:b/>
                <w:bCs/>
                <w:szCs w:val="24"/>
              </w:rPr>
              <w:t>案</w:t>
            </w:r>
            <w:r w:rsidRPr="004E5043">
              <w:rPr>
                <w:rFonts w:ascii="標楷體" w:eastAsia="標楷體" w:hAnsi="標楷體" w:hint="eastAsia"/>
                <w:b/>
                <w:bCs/>
                <w:szCs w:val="24"/>
              </w:rPr>
              <w:t xml:space="preserve">  </w:t>
            </w:r>
            <w:r w:rsidRPr="004E5043">
              <w:rPr>
                <w:rFonts w:ascii="標楷體" w:eastAsia="標楷體" w:hAnsi="標楷體"/>
                <w:b/>
                <w:bCs/>
                <w:szCs w:val="24"/>
              </w:rPr>
              <w:t xml:space="preserve">  名</w:t>
            </w:r>
            <w:r w:rsidRPr="004E5043">
              <w:rPr>
                <w:rFonts w:ascii="標楷體" w:eastAsia="標楷體" w:hAnsi="標楷體" w:hint="eastAsia"/>
                <w:b/>
                <w:bCs/>
                <w:szCs w:val="24"/>
              </w:rPr>
              <w:t xml:space="preserve"> </w:t>
            </w:r>
            <w:r w:rsidRPr="004E5043">
              <w:rPr>
                <w:rFonts w:ascii="標楷體" w:eastAsia="標楷體" w:hAnsi="標楷體"/>
                <w:b/>
                <w:bCs/>
                <w:szCs w:val="24"/>
              </w:rPr>
              <w:t xml:space="preserve"> </w:t>
            </w:r>
            <w:r w:rsidRPr="004E5043">
              <w:rPr>
                <w:rFonts w:ascii="標楷體" w:eastAsia="標楷體" w:hAnsi="標楷體" w:hint="eastAsia"/>
                <w:b/>
                <w:bCs/>
                <w:szCs w:val="24"/>
              </w:rPr>
              <w:t xml:space="preserve"> </w:t>
            </w:r>
            <w:r w:rsidRPr="004E5043">
              <w:rPr>
                <w:rFonts w:ascii="標楷體" w:eastAsia="標楷體" w:hAnsi="標楷體"/>
                <w:b/>
                <w:bCs/>
                <w:szCs w:val="24"/>
              </w:rPr>
              <w:t>稱</w:t>
            </w:r>
          </w:p>
        </w:tc>
        <w:tc>
          <w:tcPr>
            <w:tcW w:w="255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2B1BE73B" w14:textId="77777777" w:rsidR="007D160C" w:rsidRPr="004E5043" w:rsidRDefault="007D160C" w:rsidP="00F470A8">
            <w:pPr>
              <w:widowControl w:val="0"/>
              <w:overflowPunct w:val="0"/>
              <w:spacing w:line="300" w:lineRule="exact"/>
              <w:jc w:val="both"/>
              <w:textAlignment w:val="auto"/>
              <w:rPr>
                <w:b/>
              </w:rPr>
            </w:pPr>
            <w:r w:rsidRPr="004E5043">
              <w:rPr>
                <w:rFonts w:ascii="標楷體" w:eastAsia="標楷體" w:hAnsi="標楷體"/>
                <w:b/>
                <w:bCs/>
                <w:spacing w:val="20"/>
                <w:szCs w:val="24"/>
              </w:rPr>
              <w:t>院會交付</w:t>
            </w:r>
            <w:r w:rsidRPr="004E5043">
              <w:rPr>
                <w:rFonts w:ascii="標楷體" w:eastAsia="標楷體" w:hAnsi="標楷體" w:hint="eastAsia"/>
                <w:b/>
                <w:bCs/>
                <w:spacing w:val="20"/>
                <w:szCs w:val="24"/>
              </w:rPr>
              <w:t>日</w:t>
            </w:r>
            <w:r w:rsidRPr="004E5043">
              <w:rPr>
                <w:rFonts w:ascii="標楷體" w:eastAsia="標楷體" w:hAnsi="標楷體"/>
                <w:b/>
                <w:bCs/>
                <w:spacing w:val="20"/>
                <w:szCs w:val="24"/>
              </w:rPr>
              <w:t>期</w:t>
            </w:r>
            <w:r w:rsidRPr="004E5043">
              <w:rPr>
                <w:rFonts w:ascii="標楷體" w:eastAsia="標楷體" w:hAnsi="標楷體" w:hint="eastAsia"/>
                <w:b/>
                <w:bCs/>
                <w:spacing w:val="20"/>
                <w:szCs w:val="24"/>
              </w:rPr>
              <w:t>及</w:t>
            </w:r>
            <w:r w:rsidRPr="004E5043">
              <w:rPr>
                <w:rFonts w:ascii="標楷體" w:eastAsia="標楷體" w:hAnsi="標楷體"/>
                <w:b/>
                <w:bCs/>
                <w:spacing w:val="20"/>
                <w:szCs w:val="24"/>
              </w:rPr>
              <w:t>會次</w:t>
            </w:r>
          </w:p>
        </w:tc>
        <w:tc>
          <w:tcPr>
            <w:tcW w:w="2268"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68829CB8" w14:textId="77777777" w:rsidR="007D160C" w:rsidRPr="004E5043"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4E5043">
              <w:rPr>
                <w:rFonts w:ascii="標楷體" w:eastAsia="標楷體" w:hAnsi="標楷體"/>
                <w:b/>
                <w:bCs/>
                <w:spacing w:val="-20"/>
                <w:szCs w:val="24"/>
              </w:rPr>
              <w:t>備     註</w:t>
            </w:r>
          </w:p>
        </w:tc>
      </w:tr>
      <w:tr w:rsidR="007D160C" w:rsidRPr="004E5043" w14:paraId="5DB3FC36" w14:textId="77777777" w:rsidTr="00CF5E83">
        <w:trPr>
          <w:cantSplit/>
        </w:trPr>
        <w:tc>
          <w:tcPr>
            <w:tcW w:w="39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DA1692D"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44CDA43"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中華民國11</w:t>
            </w:r>
            <w:r w:rsidRPr="004E5043">
              <w:rPr>
                <w:rFonts w:ascii="標楷體" w:eastAsia="標楷體" w:hAnsi="標楷體"/>
                <w:kern w:val="2"/>
                <w:szCs w:val="24"/>
              </w:rPr>
              <w:t>1</w:t>
            </w:r>
            <w:r w:rsidRPr="004E5043">
              <w:rPr>
                <w:rFonts w:ascii="標楷體" w:eastAsia="標楷體" w:hAnsi="標楷體" w:hint="eastAsia"/>
                <w:kern w:val="2"/>
                <w:szCs w:val="24"/>
              </w:rPr>
              <w:t>年度中央政府總決算暨附屬單位決算及綜計表審核報告</w:t>
            </w:r>
          </w:p>
        </w:tc>
        <w:tc>
          <w:tcPr>
            <w:tcW w:w="255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35DF9EE" w14:textId="77777777" w:rsidR="007D160C" w:rsidRPr="004E504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26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74A0524"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召集委員第1次會議決定，爰依決算法第28條提報院會，本會並於</w:t>
            </w:r>
            <w:r w:rsidRPr="004E5043">
              <w:rPr>
                <w:rFonts w:ascii="標楷體" w:eastAsia="標楷體" w:hAnsi="標楷體" w:hint="eastAsia"/>
                <w:szCs w:val="24"/>
              </w:rPr>
              <w:t>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25</w:t>
            </w:r>
            <w:r w:rsidRPr="004E5043">
              <w:rPr>
                <w:rFonts w:ascii="標楷體" w:eastAsia="標楷體" w:hAnsi="標楷體" w:hint="eastAsia"/>
                <w:szCs w:val="24"/>
              </w:rPr>
              <w:t>函議事處提報院會准予備查。</w:t>
            </w:r>
          </w:p>
        </w:tc>
      </w:tr>
      <w:tr w:rsidR="007D160C" w:rsidRPr="004E5043" w14:paraId="746A892B" w14:textId="77777777" w:rsidTr="00CF5E83">
        <w:trPr>
          <w:cantSplit/>
        </w:trPr>
        <w:tc>
          <w:tcPr>
            <w:tcW w:w="39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CDF7E0E"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4F3C225"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中央政府前瞻基礎建設計畫第3期特別決算審核報告(中華民國110年度至111年度)</w:t>
            </w:r>
          </w:p>
        </w:tc>
        <w:tc>
          <w:tcPr>
            <w:tcW w:w="2552"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66BBDDE" w14:textId="77777777" w:rsidR="007D160C" w:rsidRPr="004E5043" w:rsidRDefault="007D160C" w:rsidP="00F470A8">
            <w:pPr>
              <w:overflowPunct w:val="0"/>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268"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E5F9882"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召集委員第1次會議決定，爰依決算法第28條提報院會，本會並於</w:t>
            </w:r>
            <w:r w:rsidRPr="004E5043">
              <w:rPr>
                <w:rFonts w:ascii="標楷體" w:eastAsia="標楷體" w:hAnsi="標楷體" w:hint="eastAsia"/>
                <w:szCs w:val="24"/>
              </w:rPr>
              <w:t>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25</w:t>
            </w:r>
            <w:r w:rsidRPr="004E5043">
              <w:rPr>
                <w:rFonts w:ascii="標楷體" w:eastAsia="標楷體" w:hAnsi="標楷體" w:hint="eastAsia"/>
                <w:szCs w:val="24"/>
              </w:rPr>
              <w:t>函議事處提報院會准予備查。</w:t>
            </w:r>
          </w:p>
        </w:tc>
      </w:tr>
      <w:tr w:rsidR="007D160C" w:rsidRPr="004E5043" w14:paraId="67FA1303" w14:textId="77777777" w:rsidTr="00CF5E83">
        <w:trPr>
          <w:cantSplit/>
        </w:trPr>
        <w:tc>
          <w:tcPr>
            <w:tcW w:w="392"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61D1D93"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6045A0F" w14:textId="77777777" w:rsidR="007D160C" w:rsidRPr="00593EC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EB608D">
              <w:rPr>
                <w:rFonts w:ascii="標楷體" w:eastAsia="標楷體" w:hAnsi="標楷體" w:hint="eastAsia"/>
                <w:kern w:val="2"/>
                <w:szCs w:val="24"/>
              </w:rPr>
              <w:t>審計部函送中華民國111年度中央政府總預算半年結算報告及查核報告案</w:t>
            </w:r>
          </w:p>
        </w:tc>
        <w:tc>
          <w:tcPr>
            <w:tcW w:w="2552"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FFFBA21" w14:textId="787FA78E" w:rsidR="007D160C" w:rsidRPr="00593EC7" w:rsidRDefault="007D160C" w:rsidP="00F470A8">
            <w:pPr>
              <w:overflowPunct w:val="0"/>
              <w:rPr>
                <w:rFonts w:ascii="標楷體" w:eastAsia="標楷體" w:hAnsi="標楷體"/>
                <w:kern w:val="2"/>
                <w:szCs w:val="24"/>
              </w:rPr>
            </w:pPr>
            <w:r w:rsidRPr="00EB608D">
              <w:rPr>
                <w:rFonts w:ascii="標楷體" w:eastAsia="標楷體" w:hAnsi="標楷體" w:hint="eastAsia"/>
                <w:kern w:val="2"/>
                <w:szCs w:val="24"/>
              </w:rPr>
              <w:t>第10屆第6會期第4次院會（111.10.14）決定：「交財政委員會會同有關委員會處理</w:t>
            </w:r>
            <w:r w:rsidR="008A37DB">
              <w:rPr>
                <w:rFonts w:ascii="標楷體" w:eastAsia="標楷體" w:hAnsi="標楷體" w:hint="eastAsia"/>
                <w:kern w:val="2"/>
                <w:szCs w:val="24"/>
              </w:rPr>
              <w:t>」</w:t>
            </w:r>
          </w:p>
        </w:tc>
        <w:tc>
          <w:tcPr>
            <w:tcW w:w="2268"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094652B"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召集委員第1次會議決定，爰依決算法第28條提報院會，本會並於</w:t>
            </w:r>
            <w:r w:rsidRPr="004E5043">
              <w:rPr>
                <w:rFonts w:ascii="標楷體" w:eastAsia="標楷體" w:hAnsi="標楷體" w:hint="eastAsia"/>
                <w:szCs w:val="24"/>
              </w:rPr>
              <w:t>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26</w:t>
            </w:r>
            <w:r w:rsidRPr="004E5043">
              <w:rPr>
                <w:rFonts w:ascii="標楷體" w:eastAsia="標楷體" w:hAnsi="標楷體" w:hint="eastAsia"/>
                <w:szCs w:val="24"/>
              </w:rPr>
              <w:t>函議事處提報院會准予備查。</w:t>
            </w:r>
          </w:p>
        </w:tc>
      </w:tr>
      <w:tr w:rsidR="007D160C" w:rsidRPr="004E5043" w14:paraId="402ED4DE" w14:textId="77777777" w:rsidTr="00CF5E83">
        <w:trPr>
          <w:cantSplit/>
        </w:trPr>
        <w:tc>
          <w:tcPr>
            <w:tcW w:w="39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FB8459C" w14:textId="77777777" w:rsidR="007D160C" w:rsidRPr="004E5043" w:rsidRDefault="007D160C" w:rsidP="00FA328D">
            <w:pPr>
              <w:pStyle w:val="affff0"/>
              <w:widowControl w:val="0"/>
              <w:numPr>
                <w:ilvl w:val="0"/>
                <w:numId w:val="57"/>
              </w:numPr>
              <w:overflowPunct w:val="0"/>
              <w:autoSpaceDN/>
              <w:spacing w:line="280" w:lineRule="exact"/>
              <w:ind w:left="0" w:firstLine="113"/>
              <w:textAlignment w:val="auto"/>
              <w:rPr>
                <w:rFonts w:ascii="標楷體" w:eastAsia="標楷體" w:hAnsi="標楷體"/>
                <w:b/>
                <w:bCs/>
                <w:kern w:val="2"/>
                <w:szCs w:val="24"/>
              </w:rPr>
            </w:pPr>
          </w:p>
        </w:tc>
        <w:tc>
          <w:tcPr>
            <w:tcW w:w="39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B53649C"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593EC7">
              <w:rPr>
                <w:rFonts w:ascii="標楷體" w:eastAsia="標楷體" w:hAnsi="標楷體" w:hint="eastAsia"/>
                <w:kern w:val="2"/>
                <w:szCs w:val="24"/>
              </w:rPr>
              <w:t>金融監督管理委員會函送財團法人台灣金融研訓院等7家財團法人111年度決算書案</w:t>
            </w:r>
            <w:r w:rsidRPr="00593EC7">
              <w:rPr>
                <w:rFonts w:ascii="標楷體" w:eastAsia="標楷體" w:hAnsi="標楷體" w:hint="eastAsia"/>
                <w:kern w:val="2"/>
                <w:szCs w:val="24"/>
              </w:rPr>
              <w:tab/>
            </w:r>
          </w:p>
        </w:tc>
        <w:tc>
          <w:tcPr>
            <w:tcW w:w="255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947A717" w14:textId="77777777" w:rsidR="007D160C" w:rsidRPr="004E5043" w:rsidRDefault="007D160C" w:rsidP="00F470A8">
            <w:pPr>
              <w:overflowPunct w:val="0"/>
              <w:rPr>
                <w:rFonts w:ascii="標楷體" w:eastAsia="標楷體" w:hAnsi="標楷體"/>
                <w:kern w:val="2"/>
                <w:szCs w:val="24"/>
              </w:rPr>
            </w:pPr>
            <w:r w:rsidRPr="00593EC7">
              <w:rPr>
                <w:rFonts w:ascii="標楷體" w:eastAsia="標楷體" w:hAnsi="標楷體" w:hint="eastAsia"/>
                <w:kern w:val="2"/>
                <w:szCs w:val="24"/>
              </w:rPr>
              <w:t>第10屆第8會期第1次院會（112.9.22）決定：「交財政委員會審查」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CE1DED8" w14:textId="77777777" w:rsidR="007D160C" w:rsidRPr="004E5043" w:rsidRDefault="007D160C" w:rsidP="00F470A8">
            <w:pPr>
              <w:widowControl w:val="0"/>
              <w:overflowPunct w:val="0"/>
              <w:spacing w:line="340" w:lineRule="exact"/>
              <w:jc w:val="both"/>
              <w:textAlignment w:val="auto"/>
              <w:rPr>
                <w:rFonts w:ascii="標楷體" w:eastAsia="標楷體" w:hAnsi="標楷體"/>
                <w:szCs w:val="24"/>
              </w:rPr>
            </w:pPr>
            <w:r w:rsidRPr="004E5043">
              <w:rPr>
                <w:rFonts w:ascii="標楷體" w:eastAsia="標楷體" w:hAnsi="標楷體" w:hint="eastAsia"/>
                <w:szCs w:val="24"/>
              </w:rPr>
              <w:t>因已逾送達後1年內完成審查期限，本會於113.</w:t>
            </w:r>
            <w:r>
              <w:rPr>
                <w:rFonts w:ascii="標楷體" w:eastAsia="標楷體" w:hAnsi="標楷體" w:hint="eastAsia"/>
                <w:szCs w:val="24"/>
              </w:rPr>
              <w:t>9</w:t>
            </w:r>
            <w:r w:rsidRPr="004E5043">
              <w:rPr>
                <w:rFonts w:ascii="標楷體" w:eastAsia="標楷體" w:hAnsi="標楷體" w:hint="eastAsia"/>
                <w:szCs w:val="24"/>
              </w:rPr>
              <w:t>.</w:t>
            </w:r>
            <w:r>
              <w:rPr>
                <w:rFonts w:ascii="標楷體" w:eastAsia="標楷體" w:hAnsi="標楷體" w:hint="eastAsia"/>
                <w:szCs w:val="24"/>
              </w:rPr>
              <w:t>26</w:t>
            </w:r>
            <w:r w:rsidRPr="004E5043">
              <w:rPr>
                <w:rFonts w:ascii="標楷體" w:eastAsia="標楷體" w:hAnsi="標楷體" w:hint="eastAsia"/>
                <w:szCs w:val="24"/>
              </w:rPr>
              <w:t>函議事處提報院會准予備查。</w:t>
            </w:r>
          </w:p>
        </w:tc>
      </w:tr>
    </w:tbl>
    <w:p w14:paraId="760A4DAD" w14:textId="77777777" w:rsidR="007D160C" w:rsidRPr="004E5043" w:rsidRDefault="007D160C" w:rsidP="00F470A8">
      <w:pPr>
        <w:overflowPunct w:val="0"/>
        <w:autoSpaceDN/>
        <w:textAlignment w:val="auto"/>
        <w:rPr>
          <w:rFonts w:ascii="標楷體" w:eastAsia="標楷體" w:hAnsi="標楷體"/>
          <w:b/>
          <w:color w:val="FF0000"/>
          <w:kern w:val="2"/>
          <w:sz w:val="32"/>
          <w:szCs w:val="32"/>
        </w:rPr>
      </w:pPr>
      <w:r w:rsidRPr="004E5043">
        <w:rPr>
          <w:rFonts w:ascii="標楷體" w:eastAsia="標楷體" w:hAnsi="標楷體"/>
          <w:bCs/>
          <w:color w:val="FF0000"/>
          <w:kern w:val="2"/>
          <w:sz w:val="32"/>
          <w:szCs w:val="32"/>
        </w:rPr>
        <w:br w:type="page"/>
      </w:r>
    </w:p>
    <w:p w14:paraId="0452D199" w14:textId="77777777" w:rsidR="007D160C" w:rsidRPr="00CA3455" w:rsidRDefault="007D160C"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39" w:name="_Toc175833567"/>
      <w:bookmarkStart w:id="40" w:name="_Toc189487281"/>
      <w:r w:rsidRPr="00CA3455">
        <w:rPr>
          <w:rFonts w:ascii="標楷體" w:eastAsia="標楷體" w:hAnsi="標楷體" w:hint="eastAsia"/>
          <w:bCs w:val="0"/>
          <w:kern w:val="2"/>
          <w:sz w:val="32"/>
          <w:szCs w:val="32"/>
        </w:rPr>
        <w:lastRenderedPageBreak/>
        <w:t>五、行政命令(1案</w:t>
      </w:r>
      <w:r w:rsidRPr="00CA3455">
        <w:rPr>
          <w:rFonts w:ascii="標楷體" w:eastAsia="標楷體" w:hAnsi="標楷體"/>
          <w:bCs w:val="0"/>
          <w:kern w:val="2"/>
          <w:sz w:val="32"/>
          <w:szCs w:val="32"/>
        </w:rPr>
        <w:t>)</w:t>
      </w:r>
      <w:bookmarkEnd w:id="35"/>
      <w:bookmarkEnd w:id="36"/>
      <w:bookmarkEnd w:id="39"/>
      <w:bookmarkEnd w:id="40"/>
    </w:p>
    <w:tbl>
      <w:tblPr>
        <w:tblW w:w="9351" w:type="dxa"/>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3936"/>
        <w:gridCol w:w="2552"/>
        <w:gridCol w:w="2268"/>
      </w:tblGrid>
      <w:tr w:rsidR="007D160C" w:rsidRPr="00CA3455" w14:paraId="1DA3A41A" w14:textId="77777777" w:rsidTr="008A37DB">
        <w:trPr>
          <w:cantSplit/>
          <w:trHeight w:val="627"/>
          <w:jc w:val="center"/>
        </w:trPr>
        <w:tc>
          <w:tcPr>
            <w:tcW w:w="595" w:type="dxa"/>
            <w:tcBorders>
              <w:top w:val="single" w:sz="12" w:space="0" w:color="000000"/>
              <w:bottom w:val="single" w:sz="12" w:space="0" w:color="000000"/>
            </w:tcBorders>
            <w:tcMar>
              <w:top w:w="0" w:type="dxa"/>
              <w:left w:w="28" w:type="dxa"/>
              <w:bottom w:w="0" w:type="dxa"/>
              <w:right w:w="28" w:type="dxa"/>
            </w:tcMar>
            <w:vAlign w:val="center"/>
          </w:tcPr>
          <w:p w14:paraId="783F95D9" w14:textId="77777777" w:rsidR="007D160C" w:rsidRPr="00CA3455" w:rsidRDefault="007D160C" w:rsidP="00F470A8">
            <w:pPr>
              <w:widowControl w:val="0"/>
              <w:overflowPunct w:val="0"/>
              <w:spacing w:line="300" w:lineRule="exact"/>
              <w:jc w:val="center"/>
              <w:textAlignment w:val="auto"/>
              <w:rPr>
                <w:rFonts w:ascii="標楷體" w:eastAsia="標楷體" w:hAnsi="標楷體"/>
                <w:b/>
                <w:bCs/>
                <w:szCs w:val="24"/>
              </w:rPr>
            </w:pPr>
            <w:r w:rsidRPr="00CA3455">
              <w:rPr>
                <w:rFonts w:ascii="標楷體" w:eastAsia="標楷體" w:hAnsi="標楷體" w:hint="eastAsia"/>
                <w:b/>
                <w:bCs/>
                <w:szCs w:val="24"/>
              </w:rPr>
              <w:t>序</w:t>
            </w:r>
            <w:r w:rsidRPr="00CA3455">
              <w:rPr>
                <w:rFonts w:ascii="標楷體" w:eastAsia="標楷體" w:hAnsi="標楷體"/>
                <w:b/>
                <w:bCs/>
                <w:szCs w:val="24"/>
              </w:rPr>
              <w:t>號</w:t>
            </w:r>
          </w:p>
        </w:tc>
        <w:tc>
          <w:tcPr>
            <w:tcW w:w="3936" w:type="dxa"/>
            <w:tcBorders>
              <w:top w:val="single" w:sz="12" w:space="0" w:color="000000"/>
              <w:bottom w:val="single" w:sz="12" w:space="0" w:color="000000"/>
            </w:tcBorders>
            <w:tcMar>
              <w:top w:w="0" w:type="dxa"/>
              <w:left w:w="28" w:type="dxa"/>
              <w:bottom w:w="0" w:type="dxa"/>
              <w:right w:w="28" w:type="dxa"/>
            </w:tcMar>
            <w:vAlign w:val="center"/>
          </w:tcPr>
          <w:p w14:paraId="3A6499AC" w14:textId="77777777" w:rsidR="007D160C" w:rsidRPr="00CA3455" w:rsidRDefault="007D160C" w:rsidP="00F470A8">
            <w:pPr>
              <w:widowControl w:val="0"/>
              <w:overflowPunct w:val="0"/>
              <w:spacing w:line="300" w:lineRule="exact"/>
              <w:jc w:val="center"/>
              <w:textAlignment w:val="auto"/>
              <w:rPr>
                <w:rFonts w:ascii="標楷體" w:eastAsia="標楷體" w:hAnsi="標楷體"/>
                <w:b/>
                <w:bCs/>
                <w:szCs w:val="24"/>
              </w:rPr>
            </w:pPr>
            <w:r w:rsidRPr="00CA3455">
              <w:rPr>
                <w:rFonts w:ascii="標楷體" w:eastAsia="標楷體" w:hAnsi="標楷體"/>
                <w:b/>
                <w:bCs/>
                <w:szCs w:val="24"/>
              </w:rPr>
              <w:t>議案名稱</w:t>
            </w:r>
          </w:p>
        </w:tc>
        <w:tc>
          <w:tcPr>
            <w:tcW w:w="2552" w:type="dxa"/>
            <w:tcBorders>
              <w:top w:val="single" w:sz="12" w:space="0" w:color="000000"/>
              <w:bottom w:val="single" w:sz="12" w:space="0" w:color="000000"/>
            </w:tcBorders>
            <w:tcMar>
              <w:top w:w="0" w:type="dxa"/>
              <w:left w:w="28" w:type="dxa"/>
              <w:bottom w:w="0" w:type="dxa"/>
              <w:right w:w="28" w:type="dxa"/>
            </w:tcMar>
            <w:vAlign w:val="center"/>
          </w:tcPr>
          <w:p w14:paraId="40682E6E" w14:textId="77777777" w:rsidR="007D160C" w:rsidRPr="00CA3455" w:rsidRDefault="007D160C" w:rsidP="00F470A8">
            <w:pPr>
              <w:widowControl w:val="0"/>
              <w:overflowPunct w:val="0"/>
              <w:spacing w:line="300" w:lineRule="exact"/>
              <w:jc w:val="center"/>
              <w:textAlignment w:val="auto"/>
              <w:rPr>
                <w:b/>
              </w:rPr>
            </w:pPr>
            <w:r w:rsidRPr="00CA3455">
              <w:rPr>
                <w:rFonts w:ascii="標楷體" w:eastAsia="標楷體" w:hAnsi="標楷體"/>
                <w:b/>
                <w:bCs/>
                <w:spacing w:val="20"/>
                <w:szCs w:val="24"/>
              </w:rPr>
              <w:t>院會交付</w:t>
            </w:r>
            <w:r w:rsidRPr="00CA3455">
              <w:rPr>
                <w:rFonts w:ascii="標楷體" w:eastAsia="標楷體" w:hAnsi="標楷體" w:hint="eastAsia"/>
                <w:b/>
                <w:bCs/>
                <w:spacing w:val="20"/>
                <w:szCs w:val="24"/>
              </w:rPr>
              <w:t>日</w:t>
            </w:r>
            <w:r w:rsidRPr="00CA3455">
              <w:rPr>
                <w:rFonts w:ascii="標楷體" w:eastAsia="標楷體" w:hAnsi="標楷體"/>
                <w:b/>
                <w:bCs/>
                <w:spacing w:val="20"/>
                <w:szCs w:val="24"/>
              </w:rPr>
              <w:t>期</w:t>
            </w:r>
            <w:r w:rsidRPr="00CA3455">
              <w:rPr>
                <w:rFonts w:ascii="標楷體" w:eastAsia="標楷體" w:hAnsi="標楷體" w:hint="eastAsia"/>
                <w:b/>
                <w:bCs/>
                <w:spacing w:val="20"/>
                <w:szCs w:val="24"/>
              </w:rPr>
              <w:t>及</w:t>
            </w:r>
            <w:r w:rsidRPr="00CA3455">
              <w:rPr>
                <w:rFonts w:ascii="標楷體" w:eastAsia="標楷體" w:hAnsi="標楷體"/>
                <w:b/>
                <w:bCs/>
                <w:spacing w:val="20"/>
                <w:szCs w:val="24"/>
              </w:rPr>
              <w:t>會次</w:t>
            </w:r>
          </w:p>
        </w:tc>
        <w:tc>
          <w:tcPr>
            <w:tcW w:w="2268" w:type="dxa"/>
            <w:tcBorders>
              <w:top w:val="single" w:sz="12" w:space="0" w:color="000000"/>
              <w:bottom w:val="single" w:sz="12" w:space="0" w:color="000000"/>
            </w:tcBorders>
            <w:tcMar>
              <w:top w:w="0" w:type="dxa"/>
              <w:left w:w="28" w:type="dxa"/>
              <w:bottom w:w="0" w:type="dxa"/>
              <w:right w:w="28" w:type="dxa"/>
            </w:tcMar>
            <w:vAlign w:val="center"/>
          </w:tcPr>
          <w:p w14:paraId="77CA0EB8" w14:textId="77777777" w:rsidR="007D160C" w:rsidRPr="00CA3455"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CA3455">
              <w:rPr>
                <w:rFonts w:ascii="標楷體" w:eastAsia="標楷體" w:hAnsi="標楷體"/>
                <w:b/>
                <w:bCs/>
                <w:spacing w:val="-20"/>
                <w:szCs w:val="24"/>
              </w:rPr>
              <w:t>備     註</w:t>
            </w:r>
          </w:p>
        </w:tc>
      </w:tr>
      <w:tr w:rsidR="007D160C" w:rsidRPr="00CA3455" w14:paraId="4C6FDCA8" w14:textId="77777777" w:rsidTr="008A37DB">
        <w:tblPrEx>
          <w:jc w:val="left"/>
        </w:tblPrEx>
        <w:trPr>
          <w:cantSplit/>
          <w:trHeight w:val="962"/>
        </w:trPr>
        <w:tc>
          <w:tcPr>
            <w:tcW w:w="595" w:type="dxa"/>
            <w:tcBorders>
              <w:top w:val="single" w:sz="12" w:space="0" w:color="000000"/>
              <w:bottom w:val="single" w:sz="12" w:space="0" w:color="000000"/>
            </w:tcBorders>
            <w:shd w:val="clear" w:color="auto" w:fill="auto"/>
            <w:tcMar>
              <w:top w:w="0" w:type="dxa"/>
              <w:left w:w="28" w:type="dxa"/>
              <w:bottom w:w="0" w:type="dxa"/>
              <w:right w:w="28" w:type="dxa"/>
            </w:tcMar>
          </w:tcPr>
          <w:p w14:paraId="29DB4BA5" w14:textId="77777777" w:rsidR="007D160C" w:rsidRPr="00CA3455" w:rsidRDefault="007D160C" w:rsidP="00F470A8">
            <w:pPr>
              <w:widowControl w:val="0"/>
              <w:overflowPunct w:val="0"/>
              <w:autoSpaceDN/>
              <w:ind w:left="142"/>
              <w:jc w:val="both"/>
              <w:textAlignment w:val="auto"/>
              <w:rPr>
                <w:rFonts w:ascii="標楷體" w:eastAsia="標楷體" w:hAnsi="標楷體"/>
                <w:b/>
                <w:szCs w:val="24"/>
              </w:rPr>
            </w:pPr>
            <w:r w:rsidRPr="00CA3455">
              <w:rPr>
                <w:rFonts w:ascii="標楷體" w:eastAsia="標楷體" w:hAnsi="標楷體"/>
                <w:b/>
                <w:szCs w:val="24"/>
              </w:rPr>
              <w:t>1</w:t>
            </w:r>
          </w:p>
        </w:tc>
        <w:tc>
          <w:tcPr>
            <w:tcW w:w="393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CF1B662" w14:textId="77777777" w:rsidR="007D160C" w:rsidRPr="00CA3455" w:rsidRDefault="007D160C" w:rsidP="00F470A8">
            <w:pPr>
              <w:widowControl w:val="0"/>
              <w:overflowPunct w:val="0"/>
              <w:autoSpaceDN/>
              <w:spacing w:line="340" w:lineRule="exact"/>
              <w:jc w:val="both"/>
              <w:textAlignment w:val="auto"/>
              <w:rPr>
                <w:rFonts w:ascii="標楷體" w:eastAsia="標楷體" w:hAnsi="標楷體"/>
                <w:kern w:val="2"/>
                <w:szCs w:val="24"/>
              </w:rPr>
            </w:pPr>
            <w:r w:rsidRPr="00CA3455">
              <w:rPr>
                <w:rFonts w:ascii="標楷體" w:eastAsia="標楷體" w:hAnsi="標楷體" w:hint="eastAsia"/>
                <w:kern w:val="2"/>
                <w:szCs w:val="24"/>
              </w:rPr>
              <w:t>金融監督管理委員會函送「延長調降當日沖銷交易稅之稅式支出評估報告」及「研商延長調降當沖交易證券交易稅實施期間」公聽會之會議紀錄案。</w:t>
            </w:r>
          </w:p>
        </w:tc>
        <w:tc>
          <w:tcPr>
            <w:tcW w:w="2552" w:type="dxa"/>
            <w:tcBorders>
              <w:top w:val="single" w:sz="12"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14:paraId="3FEEA558" w14:textId="77777777" w:rsidR="007D160C" w:rsidRPr="00CA345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A3455">
              <w:rPr>
                <w:rFonts w:ascii="標楷體" w:eastAsia="標楷體" w:hAnsi="標楷體" w:hint="eastAsia"/>
                <w:kern w:val="2"/>
                <w:szCs w:val="24"/>
              </w:rPr>
              <w:t>第11屆第2會期第4次院會(113.10.11)決定：「交財政委員會審查」</w:t>
            </w:r>
          </w:p>
        </w:tc>
        <w:tc>
          <w:tcPr>
            <w:tcW w:w="2268"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149EF58" w14:textId="621CF0E1" w:rsidR="007D160C" w:rsidRPr="00CA3455" w:rsidRDefault="00CF5E83" w:rsidP="00F470A8">
            <w:pPr>
              <w:widowControl w:val="0"/>
              <w:overflowPunct w:val="0"/>
              <w:autoSpaceDN/>
              <w:spacing w:line="340" w:lineRule="exact"/>
              <w:jc w:val="both"/>
              <w:textAlignment w:val="auto"/>
              <w:rPr>
                <w:rFonts w:ascii="標楷體" w:eastAsia="標楷體" w:hAnsi="標楷體"/>
                <w:kern w:val="2"/>
                <w:szCs w:val="24"/>
              </w:rPr>
            </w:pPr>
            <w:r w:rsidRPr="0019700B">
              <w:rPr>
                <w:rFonts w:ascii="標楷體" w:eastAsia="標楷體" w:hAnsi="標楷體" w:hint="eastAsia"/>
                <w:kern w:val="2"/>
                <w:szCs w:val="24"/>
              </w:rPr>
              <w:t>第11屆第2會期財政委員會第5次全體委員會議(113.10.30)</w:t>
            </w:r>
            <w:r>
              <w:rPr>
                <w:rFonts w:ascii="標楷體" w:eastAsia="標楷體" w:hAnsi="標楷體" w:hint="eastAsia"/>
                <w:kern w:val="2"/>
                <w:szCs w:val="24"/>
              </w:rPr>
              <w:t>審查完竣。</w:t>
            </w:r>
          </w:p>
        </w:tc>
      </w:tr>
    </w:tbl>
    <w:p w14:paraId="7A710320" w14:textId="77777777" w:rsidR="007D160C" w:rsidRDefault="007D160C" w:rsidP="00F470A8">
      <w:pPr>
        <w:overflowPunct w:val="0"/>
        <w:autoSpaceDN/>
        <w:textAlignment w:val="auto"/>
        <w:rPr>
          <w:rFonts w:ascii="標楷體" w:eastAsia="標楷體" w:hAnsi="標楷體"/>
          <w:b/>
          <w:bCs/>
          <w:kern w:val="2"/>
          <w:sz w:val="32"/>
          <w:szCs w:val="32"/>
        </w:rPr>
      </w:pPr>
      <w:bookmarkStart w:id="41" w:name="_Toc175833568"/>
      <w:r>
        <w:rPr>
          <w:rFonts w:ascii="標楷體" w:eastAsia="標楷體" w:hAnsi="標楷體"/>
          <w:b/>
          <w:bCs/>
          <w:kern w:val="2"/>
          <w:sz w:val="32"/>
          <w:szCs w:val="32"/>
        </w:rPr>
        <w:br w:type="page"/>
      </w:r>
    </w:p>
    <w:p w14:paraId="5C91EA9E" w14:textId="76BC9479" w:rsidR="007D160C" w:rsidRPr="00560213" w:rsidRDefault="007D160C"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42" w:name="_Toc189487282"/>
      <w:r w:rsidRPr="00557630">
        <w:rPr>
          <w:rFonts w:ascii="標楷體" w:eastAsia="標楷體" w:hAnsi="標楷體" w:hint="eastAsia"/>
          <w:b/>
          <w:bCs/>
          <w:kern w:val="2"/>
          <w:sz w:val="32"/>
          <w:szCs w:val="32"/>
        </w:rPr>
        <w:lastRenderedPageBreak/>
        <w:t>六、</w:t>
      </w:r>
      <w:r w:rsidRPr="00557630">
        <w:rPr>
          <w:rFonts w:ascii="標楷體" w:eastAsia="標楷體" w:hAnsi="標楷體" w:hint="eastAsia"/>
          <w:b/>
          <w:bCs/>
          <w:sz w:val="28"/>
          <w:szCs w:val="28"/>
        </w:rPr>
        <w:t>預算報告案</w:t>
      </w:r>
      <w:r w:rsidRPr="00557630">
        <w:rPr>
          <w:rFonts w:ascii="標楷體" w:eastAsia="標楷體" w:hAnsi="標楷體"/>
          <w:b/>
          <w:bCs/>
          <w:kern w:val="2"/>
          <w:sz w:val="32"/>
          <w:szCs w:val="32"/>
        </w:rPr>
        <w:t>(</w:t>
      </w:r>
      <w:r w:rsidRPr="00557630">
        <w:rPr>
          <w:rFonts w:ascii="標楷體" w:eastAsia="標楷體" w:hAnsi="標楷體" w:hint="eastAsia"/>
          <w:b/>
          <w:bCs/>
          <w:kern w:val="2"/>
          <w:sz w:val="32"/>
          <w:szCs w:val="32"/>
        </w:rPr>
        <w:t>15</w:t>
      </w:r>
      <w:r w:rsidR="00B60158">
        <w:rPr>
          <w:rFonts w:ascii="標楷體" w:eastAsia="標楷體" w:hAnsi="標楷體" w:hint="eastAsia"/>
          <w:b/>
          <w:bCs/>
          <w:kern w:val="2"/>
          <w:sz w:val="32"/>
          <w:szCs w:val="32"/>
        </w:rPr>
        <w:t>2</w:t>
      </w:r>
      <w:r w:rsidRPr="00557630">
        <w:rPr>
          <w:rFonts w:ascii="標楷體" w:eastAsia="標楷體" w:hAnsi="標楷體"/>
          <w:b/>
          <w:bCs/>
          <w:kern w:val="2"/>
          <w:sz w:val="32"/>
          <w:szCs w:val="32"/>
        </w:rPr>
        <w:t>案</w:t>
      </w:r>
      <w:r w:rsidRPr="00557630">
        <w:rPr>
          <w:rFonts w:ascii="標楷體" w:eastAsia="標楷體" w:hAnsi="標楷體" w:hint="eastAsia"/>
          <w:b/>
          <w:bCs/>
          <w:kern w:val="2"/>
          <w:sz w:val="32"/>
          <w:szCs w:val="32"/>
        </w:rPr>
        <w:t>)</w:t>
      </w:r>
      <w:bookmarkEnd w:id="41"/>
      <w:bookmarkEnd w:id="42"/>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111"/>
        <w:gridCol w:w="141"/>
        <w:gridCol w:w="2835"/>
        <w:gridCol w:w="1560"/>
      </w:tblGrid>
      <w:tr w:rsidR="007D160C" w:rsidRPr="00560213" w14:paraId="2342A8E9" w14:textId="77777777" w:rsidTr="00B60158">
        <w:trPr>
          <w:trHeight w:val="491"/>
          <w:jc w:val="center"/>
        </w:trPr>
        <w:tc>
          <w:tcPr>
            <w:tcW w:w="846" w:type="dxa"/>
            <w:tcBorders>
              <w:top w:val="single" w:sz="12" w:space="0" w:color="auto"/>
              <w:left w:val="single" w:sz="4" w:space="0" w:color="auto"/>
              <w:bottom w:val="single" w:sz="12" w:space="0" w:color="auto"/>
              <w:right w:val="single" w:sz="4" w:space="0" w:color="auto"/>
            </w:tcBorders>
            <w:vAlign w:val="center"/>
          </w:tcPr>
          <w:p w14:paraId="64E2A350" w14:textId="77777777" w:rsidR="007D160C" w:rsidRPr="00560213"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560213">
              <w:rPr>
                <w:rFonts w:ascii="標楷體" w:eastAsia="標楷體" w:hAnsi="標楷體" w:hint="eastAsia"/>
                <w:b/>
                <w:spacing w:val="-20"/>
                <w:kern w:val="2"/>
                <w:szCs w:val="24"/>
              </w:rPr>
              <w:t>序號</w:t>
            </w:r>
          </w:p>
        </w:tc>
        <w:tc>
          <w:tcPr>
            <w:tcW w:w="4111" w:type="dxa"/>
            <w:tcBorders>
              <w:top w:val="single" w:sz="12" w:space="0" w:color="auto"/>
              <w:left w:val="single" w:sz="4" w:space="0" w:color="auto"/>
              <w:bottom w:val="single" w:sz="12" w:space="0" w:color="auto"/>
              <w:right w:val="single" w:sz="4" w:space="0" w:color="auto"/>
            </w:tcBorders>
            <w:vAlign w:val="center"/>
          </w:tcPr>
          <w:p w14:paraId="65A00DD3" w14:textId="77777777" w:rsidR="007D160C" w:rsidRPr="00560213" w:rsidRDefault="007D160C" w:rsidP="00F470A8">
            <w:pPr>
              <w:widowControl w:val="0"/>
              <w:tabs>
                <w:tab w:val="left" w:pos="567"/>
              </w:tabs>
              <w:overflowPunct w:val="0"/>
              <w:autoSpaceDN/>
              <w:spacing w:line="300" w:lineRule="exact"/>
              <w:jc w:val="center"/>
              <w:textAlignment w:val="auto"/>
              <w:rPr>
                <w:rFonts w:ascii="標楷體" w:eastAsia="標楷體" w:hAnsi="標楷體"/>
                <w:b/>
                <w:kern w:val="2"/>
                <w:szCs w:val="24"/>
              </w:rPr>
            </w:pPr>
            <w:r w:rsidRPr="00560213">
              <w:rPr>
                <w:rFonts w:ascii="標楷體" w:eastAsia="標楷體" w:hAnsi="標楷體" w:hint="eastAsia"/>
                <w:b/>
                <w:kern w:val="2"/>
                <w:szCs w:val="24"/>
              </w:rPr>
              <w:t>議案名稱</w:t>
            </w:r>
          </w:p>
        </w:tc>
        <w:tc>
          <w:tcPr>
            <w:tcW w:w="2976" w:type="dxa"/>
            <w:gridSpan w:val="2"/>
            <w:tcBorders>
              <w:top w:val="single" w:sz="12" w:space="0" w:color="auto"/>
              <w:left w:val="single" w:sz="4" w:space="0" w:color="auto"/>
              <w:bottom w:val="single" w:sz="12" w:space="0" w:color="auto"/>
              <w:right w:val="single" w:sz="4" w:space="0" w:color="auto"/>
            </w:tcBorders>
            <w:vAlign w:val="center"/>
          </w:tcPr>
          <w:p w14:paraId="483F48B8" w14:textId="77777777" w:rsidR="007D160C" w:rsidRPr="00560213" w:rsidRDefault="007D160C" w:rsidP="00F470A8">
            <w:pPr>
              <w:widowControl w:val="0"/>
              <w:tabs>
                <w:tab w:val="left" w:pos="567"/>
              </w:tabs>
              <w:overflowPunct w:val="0"/>
              <w:autoSpaceDN/>
              <w:snapToGrid w:val="0"/>
              <w:spacing w:line="320" w:lineRule="exact"/>
              <w:jc w:val="center"/>
              <w:textAlignment w:val="auto"/>
              <w:rPr>
                <w:rFonts w:ascii="標楷體" w:eastAsia="標楷體" w:hAnsi="標楷體"/>
                <w:b/>
                <w:spacing w:val="-20"/>
                <w:kern w:val="2"/>
                <w:szCs w:val="24"/>
              </w:rPr>
            </w:pPr>
            <w:r w:rsidRPr="00560213">
              <w:rPr>
                <w:rFonts w:ascii="標楷體" w:eastAsia="標楷體" w:hAnsi="標楷體" w:hint="eastAsia"/>
                <w:b/>
                <w:kern w:val="2"/>
                <w:szCs w:val="24"/>
              </w:rPr>
              <w:t>院會交付日期及會次</w:t>
            </w:r>
          </w:p>
        </w:tc>
        <w:tc>
          <w:tcPr>
            <w:tcW w:w="1560" w:type="dxa"/>
            <w:tcBorders>
              <w:top w:val="single" w:sz="12" w:space="0" w:color="auto"/>
              <w:left w:val="single" w:sz="4" w:space="0" w:color="auto"/>
              <w:bottom w:val="single" w:sz="12" w:space="0" w:color="auto"/>
              <w:right w:val="single" w:sz="4" w:space="0" w:color="auto"/>
            </w:tcBorders>
            <w:vAlign w:val="center"/>
          </w:tcPr>
          <w:p w14:paraId="3ED5985B" w14:textId="77777777" w:rsidR="007D160C" w:rsidRPr="00560213"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560213">
              <w:rPr>
                <w:rFonts w:ascii="標楷體" w:eastAsia="標楷體" w:hAnsi="標楷體" w:hint="eastAsia"/>
                <w:b/>
                <w:spacing w:val="-20"/>
                <w:kern w:val="2"/>
                <w:szCs w:val="24"/>
              </w:rPr>
              <w:t>備    註</w:t>
            </w:r>
          </w:p>
        </w:tc>
      </w:tr>
      <w:tr w:rsidR="007D160C" w:rsidRPr="005B1FB5" w14:paraId="4E5A34F4" w14:textId="77777777" w:rsidTr="00B60158">
        <w:trPr>
          <w:trHeight w:val="491"/>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4F56C1EB" w14:textId="77777777" w:rsidR="007D160C" w:rsidRPr="005B1FB5"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5B1FB5">
              <w:rPr>
                <w:rFonts w:ascii="標楷體" w:eastAsia="標楷體" w:hAnsi="標楷體" w:hint="eastAsia"/>
                <w:b/>
                <w:kern w:val="2"/>
                <w:sz w:val="28"/>
                <w:szCs w:val="28"/>
              </w:rPr>
              <w:t>1.財政部主管（42案）</w:t>
            </w:r>
          </w:p>
        </w:tc>
      </w:tr>
      <w:tr w:rsidR="007D160C" w:rsidRPr="00B95A07" w14:paraId="6AD3499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5AE53A6" w14:textId="77777777" w:rsidR="007D160C" w:rsidRPr="00B95A07" w:rsidRDefault="007D160C" w:rsidP="00FA328D">
            <w:pPr>
              <w:widowControl w:val="0"/>
              <w:numPr>
                <w:ilvl w:val="0"/>
                <w:numId w:val="55"/>
              </w:numPr>
              <w:overflowPunct w:val="0"/>
              <w:autoSpaceDN/>
              <w:spacing w:line="320" w:lineRule="exact"/>
              <w:jc w:val="center"/>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BCBED6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財政部函為111年度中央政府總預算決議，檢送歲入部分第1款第1項決議第7項「調降汽機車貨物稅之可能性」書面報告案。</w:t>
            </w:r>
          </w:p>
        </w:tc>
        <w:tc>
          <w:tcPr>
            <w:tcW w:w="2835" w:type="dxa"/>
            <w:tcBorders>
              <w:top w:val="single" w:sz="4" w:space="0" w:color="auto"/>
              <w:left w:val="single" w:sz="4" w:space="0" w:color="auto"/>
              <w:bottom w:val="single" w:sz="4" w:space="0" w:color="auto"/>
              <w:right w:val="single" w:sz="4" w:space="0" w:color="auto"/>
            </w:tcBorders>
          </w:tcPr>
          <w:p w14:paraId="196084FB" w14:textId="4BD5F3C2"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第10屆第5會期第14次院會（111.5.27）決定：「交財政委員會審查」</w:t>
            </w:r>
          </w:p>
        </w:tc>
        <w:tc>
          <w:tcPr>
            <w:tcW w:w="1560" w:type="dxa"/>
            <w:vMerge w:val="restart"/>
            <w:tcBorders>
              <w:top w:val="single" w:sz="4" w:space="0" w:color="auto"/>
              <w:left w:val="single" w:sz="4" w:space="0" w:color="auto"/>
              <w:right w:val="single" w:sz="4" w:space="0" w:color="auto"/>
            </w:tcBorders>
          </w:tcPr>
          <w:p w14:paraId="26DA59DE" w14:textId="77777777" w:rsidR="007D160C" w:rsidRPr="005B1FB5" w:rsidRDefault="007D160C" w:rsidP="00F470A8">
            <w:pPr>
              <w:widowControl w:val="0"/>
              <w:overflowPunct w:val="0"/>
              <w:spacing w:line="320" w:lineRule="exact"/>
              <w:jc w:val="both"/>
              <w:rPr>
                <w:rFonts w:ascii="標楷體" w:eastAsia="標楷體" w:hAnsi="標楷體"/>
                <w:kern w:val="2"/>
                <w:szCs w:val="24"/>
              </w:rPr>
            </w:pPr>
            <w:r w:rsidRPr="005B1FB5">
              <w:rPr>
                <w:rFonts w:ascii="標楷體" w:eastAsia="標楷體" w:hAnsi="標楷體" w:hint="eastAsia"/>
                <w:kern w:val="2"/>
                <w:szCs w:val="24"/>
              </w:rPr>
              <w:t>因逾年度預算執行期間，本會於113.10.7函議事處提報院會准予備查。</w:t>
            </w:r>
          </w:p>
          <w:p w14:paraId="21B6547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8286FB6"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6BC444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F94712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w:t>
            </w:r>
            <w:r>
              <w:rPr>
                <w:rFonts w:ascii="標楷體" w:eastAsia="標楷體" w:hAnsi="標楷體" w:hint="eastAsia"/>
                <w:kern w:val="2"/>
                <w:szCs w:val="24"/>
              </w:rPr>
              <w:t>送公股銀行紓困案件數、產業別及金額111年第1季統計表</w:t>
            </w:r>
            <w:r w:rsidRPr="00B95A07">
              <w:rPr>
                <w:rFonts w:ascii="標楷體" w:eastAsia="標楷體" w:hAnsi="標楷體" w:hint="eastAsia"/>
                <w:kern w:val="2"/>
                <w:szCs w:val="24"/>
              </w:rPr>
              <w:t>案。</w:t>
            </w:r>
          </w:p>
        </w:tc>
        <w:tc>
          <w:tcPr>
            <w:tcW w:w="2835" w:type="dxa"/>
            <w:tcBorders>
              <w:top w:val="single" w:sz="4" w:space="0" w:color="auto"/>
              <w:left w:val="single" w:sz="4" w:space="0" w:color="auto"/>
              <w:bottom w:val="single" w:sz="4" w:space="0" w:color="auto"/>
              <w:right w:val="single" w:sz="4" w:space="0" w:color="auto"/>
            </w:tcBorders>
          </w:tcPr>
          <w:p w14:paraId="3CC677DB" w14:textId="615D316B"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Pr>
                <w:rFonts w:ascii="標楷體" w:eastAsia="標楷體" w:hAnsi="標楷體"/>
                <w:kern w:val="2"/>
                <w:szCs w:val="24"/>
              </w:rPr>
              <w:t>6</w:t>
            </w:r>
            <w:r w:rsidRPr="00B95A07">
              <w:rPr>
                <w:rFonts w:ascii="標楷體" w:eastAsia="標楷體" w:hAnsi="標楷體" w:hint="eastAsia"/>
                <w:kern w:val="2"/>
                <w:szCs w:val="24"/>
              </w:rPr>
              <w:t>會期第</w:t>
            </w:r>
            <w:r>
              <w:rPr>
                <w:rFonts w:ascii="標楷體" w:eastAsia="標楷體" w:hAnsi="標楷體"/>
                <w:kern w:val="2"/>
                <w:szCs w:val="24"/>
              </w:rPr>
              <w:t>2</w:t>
            </w:r>
            <w:r w:rsidRPr="00B95A07">
              <w:rPr>
                <w:rFonts w:ascii="標楷體" w:eastAsia="標楷體" w:hAnsi="標楷體" w:hint="eastAsia"/>
                <w:kern w:val="2"/>
                <w:szCs w:val="24"/>
              </w:rPr>
              <w:t>次院會（111.</w:t>
            </w:r>
            <w:r>
              <w:rPr>
                <w:rFonts w:ascii="標楷體" w:eastAsia="標楷體" w:hAnsi="標楷體"/>
                <w:kern w:val="2"/>
                <w:szCs w:val="24"/>
              </w:rPr>
              <w:t>9</w:t>
            </w:r>
            <w:r>
              <w:rPr>
                <w:rFonts w:ascii="標楷體" w:eastAsia="標楷體" w:hAnsi="標楷體" w:hint="eastAsia"/>
                <w:kern w:val="2"/>
                <w:szCs w:val="24"/>
              </w:rPr>
              <w:t>.</w:t>
            </w:r>
            <w:r>
              <w:rPr>
                <w:rFonts w:ascii="標楷體" w:eastAsia="標楷體" w:hAnsi="標楷體"/>
                <w:kern w:val="2"/>
                <w:szCs w:val="24"/>
              </w:rPr>
              <w:t>30</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4F0E25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729DFD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2526AD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EDA80A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5F86040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33560C7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77514DA"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C7E13E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BCF41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191042E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1FE2B63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F5E0195"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1ADC3D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23FD8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266F7F7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1E7A92C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03BB945"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46FA5C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A382F7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1881D67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480CDB0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166CBDC"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E3F4D1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D7DD1C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財政部函為111年度中央政府總預算決議，檢送歲入部分第1款第1項決議（六）「貨物稅改革」書面報告案。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3EE4EE4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6F96A5E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B21432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FA77B0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727C00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0AFE442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578958D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E58341"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61A51B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ABCA5F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4237536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F86DD5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398AFCD"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6E9471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E599F4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2F3FBFF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BB4D69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104ABBA"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39D229E"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E45C46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458C049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279A2ED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B884BB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B3CD77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821A78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835" w:type="dxa"/>
            <w:tcBorders>
              <w:top w:val="single" w:sz="4" w:space="0" w:color="auto"/>
              <w:left w:val="single" w:sz="4" w:space="0" w:color="000000"/>
              <w:bottom w:val="single" w:sz="4" w:space="0" w:color="auto"/>
              <w:right w:val="single" w:sz="4" w:space="0" w:color="auto"/>
            </w:tcBorders>
            <w:shd w:val="clear" w:color="auto" w:fill="auto"/>
          </w:tcPr>
          <w:p w14:paraId="7E239BB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71A6B0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DD238AC"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6CCE44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D5F226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5B6DD3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351A27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D8BA40E"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4D4F3F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8A0A15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559CF6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175C17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0D7F38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121A545"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2CE2F6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AFCFBC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4652C83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C5317F1"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7A613B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94F9B5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財政部函為111年度中央政府總預算決議，檢送歲出部分第10款第1項決議第31項追討欠稅大戶策略書面報告案。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E06369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7F69E3B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A552E5A"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ACA2E4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95E165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111年度中央政府總預算決議，檢送歲出部分第10款第1項決議第19項輔導主辦機關落實促參預評估書面報告案。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98BB21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F3BF5E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19F6140"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0E01CB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10BA998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財政部函為111年度中央政府總預算決議，檢送歲出部分第10款第1項決議第18項有效減債措施書面報告案。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19FE1D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4DA72E1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453BC27"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A629FA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492B2F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AE9631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68C02C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5428312"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B65E38F"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ED7B20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3D6730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5082A1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C89E80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13AB52E3"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E977FF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5160F9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A60BEF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3535E1D"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1977BD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B7771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04C04C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F5FA53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6591E88"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04E84E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F4C9FC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799B632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93877C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BC16A6"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3F53B8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1FA322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66359F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4C7F110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6E23341"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7BDBC7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4F4ED9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34C709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687E82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0B58D7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1ED50D9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E7756E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34E08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3AAF63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2BD0925"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000685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AAEC8B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財政部函為111年度中央政府總預算決議，檢送精簡委託研究經費書面報告案。</w:t>
            </w:r>
          </w:p>
        </w:tc>
        <w:tc>
          <w:tcPr>
            <w:tcW w:w="2835" w:type="dxa"/>
            <w:tcBorders>
              <w:top w:val="single" w:sz="4" w:space="0" w:color="auto"/>
              <w:left w:val="single" w:sz="4" w:space="0" w:color="auto"/>
              <w:bottom w:val="single" w:sz="4" w:space="0" w:color="auto"/>
              <w:right w:val="single" w:sz="4" w:space="0" w:color="auto"/>
            </w:tcBorders>
          </w:tcPr>
          <w:p w14:paraId="7E56CD7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60" w:type="dxa"/>
            <w:vMerge/>
            <w:tcBorders>
              <w:left w:val="single" w:sz="4" w:space="0" w:color="auto"/>
              <w:right w:val="single" w:sz="4" w:space="0" w:color="auto"/>
            </w:tcBorders>
            <w:vAlign w:val="center"/>
          </w:tcPr>
          <w:p w14:paraId="63168A1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F63CC37"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914BA6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B3F622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財政部函為111年度中央政府總預算決議，檢送旅客行李檢查及貨物查緝處理經費書面報告案。</w:t>
            </w:r>
          </w:p>
        </w:tc>
        <w:tc>
          <w:tcPr>
            <w:tcW w:w="2835" w:type="dxa"/>
            <w:tcBorders>
              <w:top w:val="single" w:sz="4" w:space="0" w:color="auto"/>
              <w:left w:val="single" w:sz="4" w:space="0" w:color="auto"/>
              <w:bottom w:val="single" w:sz="4" w:space="0" w:color="auto"/>
              <w:right w:val="single" w:sz="4" w:space="0" w:color="auto"/>
            </w:tcBorders>
          </w:tcPr>
          <w:p w14:paraId="19A615A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60" w:type="dxa"/>
            <w:vMerge/>
            <w:tcBorders>
              <w:left w:val="single" w:sz="4" w:space="0" w:color="auto"/>
              <w:right w:val="single" w:sz="4" w:space="0" w:color="auto"/>
            </w:tcBorders>
            <w:vAlign w:val="center"/>
          </w:tcPr>
          <w:p w14:paraId="1398FE6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0CCF96"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629E594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FD410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財政部函為111年度中央政府總預算決議，檢送跨縣市置產之房屋稅率累進計算公式可行性書面報告案。</w:t>
            </w:r>
          </w:p>
        </w:tc>
        <w:tc>
          <w:tcPr>
            <w:tcW w:w="2835" w:type="dxa"/>
            <w:tcBorders>
              <w:top w:val="single" w:sz="4" w:space="0" w:color="auto"/>
              <w:left w:val="single" w:sz="4" w:space="0" w:color="auto"/>
              <w:bottom w:val="single" w:sz="4" w:space="0" w:color="auto"/>
              <w:right w:val="single" w:sz="4" w:space="0" w:color="auto"/>
            </w:tcBorders>
          </w:tcPr>
          <w:p w14:paraId="3584F7F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1560" w:type="dxa"/>
            <w:vMerge/>
            <w:tcBorders>
              <w:left w:val="single" w:sz="4" w:space="0" w:color="auto"/>
              <w:right w:val="single" w:sz="4" w:space="0" w:color="auto"/>
            </w:tcBorders>
            <w:vAlign w:val="center"/>
          </w:tcPr>
          <w:p w14:paraId="49295E2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57A162D"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D847EC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F00E84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財政部函送「111年度中央政府債務控管情形報告」案。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14:paraId="70DC68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屆第6會期第13次院會（1</w:t>
            </w:r>
            <w:r w:rsidRPr="00B95A07">
              <w:rPr>
                <w:rFonts w:ascii="標楷體" w:eastAsia="標楷體" w:hAnsi="標楷體"/>
                <w:kern w:val="2"/>
                <w:szCs w:val="24"/>
              </w:rPr>
              <w:t>1</w:t>
            </w:r>
            <w:r w:rsidRPr="00B95A07">
              <w:rPr>
                <w:rFonts w:ascii="標楷體" w:eastAsia="標楷體" w:hAnsi="標楷體" w:hint="eastAsia"/>
                <w:kern w:val="2"/>
                <w:szCs w:val="24"/>
              </w:rPr>
              <w:t>1.12.23）決定：「交財政委員會審查」</w:t>
            </w:r>
          </w:p>
        </w:tc>
        <w:tc>
          <w:tcPr>
            <w:tcW w:w="1560" w:type="dxa"/>
            <w:vMerge/>
            <w:tcBorders>
              <w:left w:val="single" w:sz="4" w:space="0" w:color="auto"/>
              <w:right w:val="single" w:sz="4" w:space="0" w:color="auto"/>
            </w:tcBorders>
            <w:vAlign w:val="center"/>
          </w:tcPr>
          <w:p w14:paraId="5291912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E8158CB"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7B19F1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43191B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835" w:type="dxa"/>
            <w:tcBorders>
              <w:top w:val="single" w:sz="4" w:space="0" w:color="auto"/>
              <w:left w:val="single" w:sz="4" w:space="0" w:color="auto"/>
              <w:bottom w:val="single" w:sz="4" w:space="0" w:color="auto"/>
              <w:right w:val="single" w:sz="4" w:space="0" w:color="auto"/>
            </w:tcBorders>
          </w:tcPr>
          <w:p w14:paraId="5CB021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6C03F2A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274162"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3385975"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3CCC52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14:paraId="71B364E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835" w:type="dxa"/>
            <w:tcBorders>
              <w:top w:val="single" w:sz="4" w:space="0" w:color="auto"/>
              <w:left w:val="single" w:sz="4" w:space="0" w:color="auto"/>
              <w:bottom w:val="single" w:sz="4" w:space="0" w:color="auto"/>
              <w:right w:val="single" w:sz="4" w:space="0" w:color="auto"/>
            </w:tcBorders>
          </w:tcPr>
          <w:p w14:paraId="0A3374B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73119FA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27B26F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B04138F"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66F2F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835" w:type="dxa"/>
            <w:tcBorders>
              <w:top w:val="single" w:sz="4" w:space="0" w:color="auto"/>
              <w:left w:val="single" w:sz="4" w:space="0" w:color="auto"/>
              <w:bottom w:val="single" w:sz="4" w:space="0" w:color="auto"/>
              <w:right w:val="single" w:sz="4" w:space="0" w:color="auto"/>
            </w:tcBorders>
          </w:tcPr>
          <w:p w14:paraId="0276EC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274E50B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F892CC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992C233"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1E30EAA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835" w:type="dxa"/>
            <w:tcBorders>
              <w:top w:val="single" w:sz="4" w:space="0" w:color="auto"/>
              <w:left w:val="single" w:sz="4" w:space="0" w:color="auto"/>
              <w:bottom w:val="single" w:sz="4" w:space="0" w:color="auto"/>
              <w:right w:val="single" w:sz="4" w:space="0" w:color="auto"/>
            </w:tcBorders>
          </w:tcPr>
          <w:p w14:paraId="55A70E7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04E3BAF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07861E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C871F2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6C35E6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財政部函為111年度中央政府總預算決議，檢送改善債務狀況書面報告案。</w:t>
            </w:r>
          </w:p>
        </w:tc>
        <w:tc>
          <w:tcPr>
            <w:tcW w:w="2835" w:type="dxa"/>
            <w:tcBorders>
              <w:top w:val="single" w:sz="4" w:space="0" w:color="auto"/>
              <w:left w:val="single" w:sz="4" w:space="0" w:color="auto"/>
              <w:bottom w:val="single" w:sz="4" w:space="0" w:color="auto"/>
              <w:right w:val="single" w:sz="4" w:space="0" w:color="auto"/>
            </w:tcBorders>
          </w:tcPr>
          <w:p w14:paraId="300A897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1F47619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DEBF21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7551D38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F2BF93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財政部函為111年度中央政府總預算決議，檢送加入跨太平洋夥伴全面進步協定(CPTPP)稅損評估書面報告案。</w:t>
            </w:r>
          </w:p>
        </w:tc>
        <w:tc>
          <w:tcPr>
            <w:tcW w:w="2835" w:type="dxa"/>
            <w:tcBorders>
              <w:top w:val="single" w:sz="4" w:space="0" w:color="auto"/>
              <w:left w:val="single" w:sz="4" w:space="0" w:color="auto"/>
              <w:bottom w:val="single" w:sz="4" w:space="0" w:color="auto"/>
              <w:right w:val="single" w:sz="4" w:space="0" w:color="auto"/>
            </w:tcBorders>
          </w:tcPr>
          <w:p w14:paraId="3504AED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60" w:type="dxa"/>
            <w:vMerge/>
            <w:tcBorders>
              <w:left w:val="single" w:sz="4" w:space="0" w:color="auto"/>
              <w:right w:val="single" w:sz="4" w:space="0" w:color="auto"/>
            </w:tcBorders>
            <w:vAlign w:val="center"/>
          </w:tcPr>
          <w:p w14:paraId="0FB42B4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39133B9"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2FB447C2"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231B5A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835" w:type="dxa"/>
            <w:tcBorders>
              <w:top w:val="single" w:sz="4" w:space="0" w:color="auto"/>
              <w:left w:val="single" w:sz="4" w:space="0" w:color="auto"/>
              <w:bottom w:val="single" w:sz="4" w:space="0" w:color="auto"/>
              <w:right w:val="single" w:sz="4" w:space="0" w:color="auto"/>
            </w:tcBorders>
          </w:tcPr>
          <w:p w14:paraId="381332F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第10屆第7會期第5次院會（112.3.24）決定：「交財政委員會審查」</w:t>
            </w:r>
          </w:p>
        </w:tc>
        <w:tc>
          <w:tcPr>
            <w:tcW w:w="1560" w:type="dxa"/>
            <w:vMerge/>
            <w:tcBorders>
              <w:left w:val="single" w:sz="4" w:space="0" w:color="auto"/>
              <w:right w:val="single" w:sz="4" w:space="0" w:color="auto"/>
            </w:tcBorders>
            <w:vAlign w:val="center"/>
          </w:tcPr>
          <w:p w14:paraId="53962EE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28A6D0"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347A0CB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946670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835" w:type="dxa"/>
            <w:tcBorders>
              <w:top w:val="single" w:sz="4" w:space="0" w:color="auto"/>
              <w:left w:val="single" w:sz="4" w:space="0" w:color="auto"/>
              <w:bottom w:val="single" w:sz="4" w:space="0" w:color="auto"/>
              <w:right w:val="single" w:sz="4" w:space="0" w:color="auto"/>
            </w:tcBorders>
          </w:tcPr>
          <w:p w14:paraId="2CEC3BC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第10屆第7會期第5次院會（112.3.24）決定：「交財政委員會審查」</w:t>
            </w:r>
          </w:p>
        </w:tc>
        <w:tc>
          <w:tcPr>
            <w:tcW w:w="1560" w:type="dxa"/>
            <w:vMerge/>
            <w:tcBorders>
              <w:left w:val="single" w:sz="4" w:space="0" w:color="auto"/>
              <w:right w:val="single" w:sz="4" w:space="0" w:color="auto"/>
            </w:tcBorders>
            <w:vAlign w:val="center"/>
          </w:tcPr>
          <w:p w14:paraId="7DBD59B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884D748"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06945CD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4BA97C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財政部函送公股金融機構進用香港金融人才去識別化資料111年12月相關資料案。</w:t>
            </w:r>
          </w:p>
        </w:tc>
        <w:tc>
          <w:tcPr>
            <w:tcW w:w="2835" w:type="dxa"/>
            <w:tcBorders>
              <w:top w:val="single" w:sz="4" w:space="0" w:color="auto"/>
              <w:left w:val="single" w:sz="4" w:space="0" w:color="auto"/>
              <w:bottom w:val="single" w:sz="4" w:space="0" w:color="auto"/>
              <w:right w:val="single" w:sz="4" w:space="0" w:color="auto"/>
            </w:tcBorders>
          </w:tcPr>
          <w:p w14:paraId="055E31F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60" w:type="dxa"/>
            <w:vMerge/>
            <w:tcBorders>
              <w:left w:val="single" w:sz="4" w:space="0" w:color="auto"/>
              <w:right w:val="single" w:sz="4" w:space="0" w:color="auto"/>
            </w:tcBorders>
            <w:vAlign w:val="center"/>
          </w:tcPr>
          <w:p w14:paraId="09AFCE2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DEBD9DF"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5B43BD92"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50CC70C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財政部函送「臺美基礎建設計畫融資」及「離岸風電融資項目」去識別化資料截至111年12月相關資料案。</w:t>
            </w:r>
          </w:p>
        </w:tc>
        <w:tc>
          <w:tcPr>
            <w:tcW w:w="2835" w:type="dxa"/>
            <w:tcBorders>
              <w:top w:val="single" w:sz="4" w:space="0" w:color="auto"/>
              <w:left w:val="single" w:sz="4" w:space="0" w:color="auto"/>
              <w:bottom w:val="single" w:sz="4" w:space="0" w:color="auto"/>
              <w:right w:val="single" w:sz="4" w:space="0" w:color="auto"/>
            </w:tcBorders>
          </w:tcPr>
          <w:p w14:paraId="4E0EEA2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60" w:type="dxa"/>
            <w:vMerge/>
            <w:tcBorders>
              <w:left w:val="single" w:sz="4" w:space="0" w:color="auto"/>
              <w:right w:val="single" w:sz="4" w:space="0" w:color="auto"/>
            </w:tcBorders>
            <w:vAlign w:val="center"/>
          </w:tcPr>
          <w:p w14:paraId="2D3A3AB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981B208"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C1213D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C909C3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財政部函送國有財產署捐贈、出租、讓售移轉予國家住宅及都市更新中心之土地使用進度112年2月書面報告案。</w:t>
            </w:r>
          </w:p>
        </w:tc>
        <w:tc>
          <w:tcPr>
            <w:tcW w:w="2835" w:type="dxa"/>
            <w:tcBorders>
              <w:top w:val="single" w:sz="4" w:space="0" w:color="auto"/>
              <w:left w:val="single" w:sz="4" w:space="0" w:color="auto"/>
              <w:bottom w:val="single" w:sz="4" w:space="0" w:color="auto"/>
              <w:right w:val="single" w:sz="4" w:space="0" w:color="auto"/>
            </w:tcBorders>
          </w:tcPr>
          <w:p w14:paraId="02C5B3C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第10屆第7會期第7次院會（112.4.14）決定：「交財政委員會審查」</w:t>
            </w:r>
          </w:p>
        </w:tc>
        <w:tc>
          <w:tcPr>
            <w:tcW w:w="1560" w:type="dxa"/>
            <w:vMerge/>
            <w:tcBorders>
              <w:left w:val="single" w:sz="4" w:space="0" w:color="auto"/>
              <w:right w:val="single" w:sz="4" w:space="0" w:color="auto"/>
            </w:tcBorders>
            <w:vAlign w:val="center"/>
          </w:tcPr>
          <w:p w14:paraId="758EFCB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C145BE4" w14:textId="77777777" w:rsidTr="00B60158">
        <w:trPr>
          <w:cantSplit/>
          <w:jc w:val="center"/>
        </w:trPr>
        <w:tc>
          <w:tcPr>
            <w:tcW w:w="846" w:type="dxa"/>
            <w:tcBorders>
              <w:top w:val="single" w:sz="4" w:space="0" w:color="auto"/>
              <w:left w:val="single" w:sz="4" w:space="0" w:color="auto"/>
              <w:bottom w:val="single" w:sz="4" w:space="0" w:color="auto"/>
              <w:right w:val="single" w:sz="4" w:space="0" w:color="auto"/>
            </w:tcBorders>
          </w:tcPr>
          <w:p w14:paraId="4F97944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5204A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財政部函送網路交易稅籍登記與會員交易紀錄記載及保存新制書面報告案。</w:t>
            </w:r>
          </w:p>
        </w:tc>
        <w:tc>
          <w:tcPr>
            <w:tcW w:w="2835" w:type="dxa"/>
            <w:tcBorders>
              <w:top w:val="single" w:sz="4" w:space="0" w:color="auto"/>
              <w:left w:val="single" w:sz="4" w:space="0" w:color="auto"/>
              <w:bottom w:val="single" w:sz="4" w:space="0" w:color="auto"/>
              <w:right w:val="single" w:sz="4" w:space="0" w:color="auto"/>
            </w:tcBorders>
          </w:tcPr>
          <w:p w14:paraId="42D8C62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第10屆第7會期第11次院會（112.5.12）決定：「交財政委員會審查」</w:t>
            </w:r>
          </w:p>
        </w:tc>
        <w:tc>
          <w:tcPr>
            <w:tcW w:w="1560" w:type="dxa"/>
            <w:vMerge/>
            <w:tcBorders>
              <w:left w:val="single" w:sz="4" w:space="0" w:color="auto"/>
              <w:bottom w:val="single" w:sz="4" w:space="0" w:color="auto"/>
              <w:right w:val="single" w:sz="4" w:space="0" w:color="auto"/>
            </w:tcBorders>
            <w:vAlign w:val="center"/>
          </w:tcPr>
          <w:p w14:paraId="1135E810"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540B90" w14:paraId="3210C9D9" w14:textId="77777777" w:rsidTr="00B60158">
        <w:trPr>
          <w:trHeight w:val="491"/>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14162EDE" w14:textId="77777777" w:rsidR="007D160C" w:rsidRPr="00540B90"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540B90">
              <w:rPr>
                <w:rFonts w:ascii="標楷體" w:eastAsia="標楷體" w:hAnsi="標楷體" w:hint="eastAsia"/>
                <w:b/>
                <w:kern w:val="2"/>
                <w:sz w:val="28"/>
                <w:szCs w:val="28"/>
              </w:rPr>
              <w:t>2.金融監督管理委員會主管（12案）</w:t>
            </w:r>
          </w:p>
        </w:tc>
      </w:tr>
      <w:tr w:rsidR="007D160C" w:rsidRPr="00B95A07" w14:paraId="14395C04"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491C6372"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611FEF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金融監督管理委員會函為111年度中央政府總預算決議，檢送檢查局決議（八）、（十一）及（十六）書面報告案。</w:t>
            </w:r>
          </w:p>
        </w:tc>
        <w:tc>
          <w:tcPr>
            <w:tcW w:w="2835" w:type="dxa"/>
            <w:tcBorders>
              <w:top w:val="single" w:sz="4" w:space="0" w:color="auto"/>
              <w:left w:val="single" w:sz="4" w:space="0" w:color="auto"/>
              <w:bottom w:val="single" w:sz="4" w:space="0" w:color="auto"/>
              <w:right w:val="single" w:sz="4" w:space="0" w:color="auto"/>
            </w:tcBorders>
          </w:tcPr>
          <w:p w14:paraId="21358D4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val="restart"/>
            <w:tcBorders>
              <w:top w:val="single" w:sz="4" w:space="0" w:color="auto"/>
              <w:left w:val="single" w:sz="4" w:space="0" w:color="auto"/>
              <w:right w:val="single" w:sz="4" w:space="0" w:color="auto"/>
            </w:tcBorders>
          </w:tcPr>
          <w:p w14:paraId="1E789D5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r w:rsidRPr="00565442">
              <w:rPr>
                <w:rFonts w:ascii="標楷體" w:eastAsia="標楷體" w:hAnsi="標楷體" w:hint="eastAsia"/>
                <w:kern w:val="2"/>
                <w:szCs w:val="24"/>
              </w:rPr>
              <w:t>因逾年度預算執行期間，本會於113.9.30函議事處提報院會准予備查。</w:t>
            </w:r>
          </w:p>
        </w:tc>
      </w:tr>
      <w:tr w:rsidR="007D160C" w:rsidRPr="00B95A07" w14:paraId="02868E05"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78BC28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7B2439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金融監督管理委員會函為111年度中央政府總預算決議，檢送保險業務招攬違規行為書面報告案。</w:t>
            </w:r>
          </w:p>
        </w:tc>
        <w:tc>
          <w:tcPr>
            <w:tcW w:w="2835" w:type="dxa"/>
            <w:tcBorders>
              <w:top w:val="single" w:sz="4" w:space="0" w:color="auto"/>
              <w:left w:val="single" w:sz="4" w:space="0" w:color="auto"/>
              <w:bottom w:val="single" w:sz="4" w:space="0" w:color="auto"/>
              <w:right w:val="single" w:sz="4" w:space="0" w:color="auto"/>
            </w:tcBorders>
          </w:tcPr>
          <w:p w14:paraId="1CD767E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0EB9A1F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8558404"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F0305C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2013A0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835" w:type="dxa"/>
            <w:tcBorders>
              <w:top w:val="single" w:sz="4" w:space="0" w:color="auto"/>
              <w:left w:val="single" w:sz="4" w:space="0" w:color="auto"/>
              <w:bottom w:val="single" w:sz="4" w:space="0" w:color="auto"/>
              <w:right w:val="single" w:sz="4" w:space="0" w:color="auto"/>
            </w:tcBorders>
          </w:tcPr>
          <w:p w14:paraId="741ADDE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5BFC0D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0093B59"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33B6891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CB5DF9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835" w:type="dxa"/>
            <w:tcBorders>
              <w:top w:val="single" w:sz="4" w:space="0" w:color="auto"/>
              <w:left w:val="single" w:sz="4" w:space="0" w:color="auto"/>
              <w:bottom w:val="single" w:sz="4" w:space="0" w:color="auto"/>
              <w:right w:val="single" w:sz="4" w:space="0" w:color="auto"/>
            </w:tcBorders>
          </w:tcPr>
          <w:p w14:paraId="684F927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FB2238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5D1A297"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D36883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015943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835" w:type="dxa"/>
            <w:tcBorders>
              <w:top w:val="single" w:sz="4" w:space="0" w:color="auto"/>
              <w:left w:val="single" w:sz="4" w:space="0" w:color="auto"/>
              <w:bottom w:val="single" w:sz="4" w:space="0" w:color="auto"/>
              <w:right w:val="single" w:sz="4" w:space="0" w:color="auto"/>
            </w:tcBorders>
          </w:tcPr>
          <w:p w14:paraId="46E47DA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6B5C19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ABA0D9C"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16574CAE"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E25702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金融監督管理委員會函送111年度第1季「辦理政策及業務宣導之執行情形表」案。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6D4D34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45DD6D6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7BA2BA2"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2EA8FEAD"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43F06F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金融監督管理委員會函送111年度第1季「對民間團體及個人補（捐）助經費彙總表」案。</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14:paraId="20FC17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021C036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E1CAAAD"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0C288A5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A502E0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4103560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380760E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5B5B9F"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CCC69E3"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9072EC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金融監督管理委員會函為111年度中央政府總預算決議，檢送該會主管第1項決議（三十）書面報告案。</w:t>
            </w:r>
          </w:p>
        </w:tc>
        <w:tc>
          <w:tcPr>
            <w:tcW w:w="2835" w:type="dxa"/>
            <w:tcBorders>
              <w:top w:val="single" w:sz="4" w:space="0" w:color="auto"/>
              <w:left w:val="single" w:sz="4" w:space="0" w:color="auto"/>
              <w:bottom w:val="single" w:sz="4" w:space="0" w:color="auto"/>
              <w:right w:val="single" w:sz="4" w:space="0" w:color="auto"/>
            </w:tcBorders>
          </w:tcPr>
          <w:p w14:paraId="3399CE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E83839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A2A6209"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79D6A598"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3A9BB95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金融監督管理委員會函為111年度中央政府總預算決議，檢送該會主管第1項決議（七十二）書面報告案。</w:t>
            </w:r>
          </w:p>
        </w:tc>
        <w:tc>
          <w:tcPr>
            <w:tcW w:w="2835" w:type="dxa"/>
            <w:tcBorders>
              <w:top w:val="single" w:sz="4" w:space="0" w:color="auto"/>
              <w:left w:val="single" w:sz="4" w:space="0" w:color="auto"/>
              <w:bottom w:val="single" w:sz="4" w:space="0" w:color="auto"/>
              <w:right w:val="single" w:sz="4" w:space="0" w:color="auto"/>
            </w:tcBorders>
          </w:tcPr>
          <w:p w14:paraId="0321576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3123EC3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6D9920"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56FFD28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2F3B738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金融監督管理委員會函為111年度中央政府總預算決議，檢送該會主管第1項決議（六十八）書面報告案。</w:t>
            </w:r>
          </w:p>
        </w:tc>
        <w:tc>
          <w:tcPr>
            <w:tcW w:w="2835" w:type="dxa"/>
            <w:tcBorders>
              <w:top w:val="single" w:sz="4" w:space="0" w:color="auto"/>
              <w:left w:val="single" w:sz="4" w:space="0" w:color="auto"/>
              <w:bottom w:val="single" w:sz="4" w:space="0" w:color="auto"/>
              <w:right w:val="single" w:sz="4" w:space="0" w:color="auto"/>
            </w:tcBorders>
          </w:tcPr>
          <w:p w14:paraId="16CC0BF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CF4ABB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1D39D95" w14:textId="77777777" w:rsidTr="00B60158">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14:paraId="2498393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7ED6DB1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金融監督管理委員會函為111年度中央政府總預算決議，檢送該會主管第1項決議（七十）書面報告案。</w:t>
            </w:r>
          </w:p>
        </w:tc>
        <w:tc>
          <w:tcPr>
            <w:tcW w:w="2835" w:type="dxa"/>
            <w:tcBorders>
              <w:top w:val="single" w:sz="4" w:space="0" w:color="auto"/>
              <w:left w:val="single" w:sz="4" w:space="0" w:color="auto"/>
              <w:bottom w:val="single" w:sz="4" w:space="0" w:color="auto"/>
              <w:right w:val="single" w:sz="4" w:space="0" w:color="auto"/>
            </w:tcBorders>
          </w:tcPr>
          <w:p w14:paraId="13A0472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bottom w:val="single" w:sz="4" w:space="0" w:color="auto"/>
              <w:right w:val="single" w:sz="4" w:space="0" w:color="auto"/>
            </w:tcBorders>
            <w:vAlign w:val="center"/>
          </w:tcPr>
          <w:p w14:paraId="06D7047B"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CF0F84" w14:paraId="75A3AB3E" w14:textId="77777777" w:rsidTr="00B60158">
        <w:trPr>
          <w:trHeight w:val="491"/>
          <w:jc w:val="center"/>
        </w:trPr>
        <w:tc>
          <w:tcPr>
            <w:tcW w:w="9493" w:type="dxa"/>
            <w:gridSpan w:val="5"/>
            <w:tcBorders>
              <w:top w:val="single" w:sz="12" w:space="0" w:color="auto"/>
              <w:left w:val="single" w:sz="2" w:space="0" w:color="auto"/>
              <w:bottom w:val="single" w:sz="12" w:space="0" w:color="auto"/>
              <w:right w:val="single" w:sz="4" w:space="0" w:color="auto"/>
            </w:tcBorders>
            <w:vAlign w:val="center"/>
          </w:tcPr>
          <w:p w14:paraId="2E5107C4" w14:textId="77777777" w:rsidR="007D160C" w:rsidRPr="00CF0F84"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CF0F84">
              <w:rPr>
                <w:rFonts w:ascii="標楷體" w:eastAsia="標楷體" w:hAnsi="標楷體" w:hint="eastAsia"/>
                <w:b/>
                <w:kern w:val="2"/>
                <w:sz w:val="28"/>
                <w:szCs w:val="28"/>
              </w:rPr>
              <w:t>3.行政院主計總處主管（19案）</w:t>
            </w:r>
          </w:p>
        </w:tc>
      </w:tr>
      <w:tr w:rsidR="007D160C" w:rsidRPr="00B95A07" w14:paraId="71ACEBD7"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22ED4D7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04C227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行政院主計總處函為111年度中央政府總預算決議，檢送經費來源移用以前年度歲計賸餘書面報告案。</w:t>
            </w:r>
          </w:p>
        </w:tc>
        <w:tc>
          <w:tcPr>
            <w:tcW w:w="2835" w:type="dxa"/>
            <w:tcBorders>
              <w:top w:val="single" w:sz="4" w:space="0" w:color="auto"/>
              <w:left w:val="single" w:sz="4" w:space="0" w:color="auto"/>
              <w:bottom w:val="single" w:sz="4" w:space="0" w:color="auto"/>
              <w:right w:val="single" w:sz="4" w:space="0" w:color="auto"/>
            </w:tcBorders>
          </w:tcPr>
          <w:p w14:paraId="2764B0E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val="restart"/>
            <w:tcBorders>
              <w:top w:val="single" w:sz="4" w:space="0" w:color="auto"/>
              <w:left w:val="single" w:sz="4" w:space="0" w:color="auto"/>
              <w:right w:val="single" w:sz="4" w:space="0" w:color="auto"/>
            </w:tcBorders>
          </w:tcPr>
          <w:p w14:paraId="5CE25392" w14:textId="5C0F1AE9" w:rsidR="007D160C" w:rsidRPr="0073128C" w:rsidRDefault="007D160C" w:rsidP="00F470A8">
            <w:pPr>
              <w:widowControl w:val="0"/>
              <w:overflowPunct w:val="0"/>
              <w:spacing w:line="320" w:lineRule="exact"/>
              <w:contextualSpacing/>
              <w:jc w:val="both"/>
              <w:rPr>
                <w:rFonts w:ascii="標楷體" w:eastAsia="標楷體" w:hAnsi="標楷體"/>
                <w:kern w:val="2"/>
                <w:szCs w:val="24"/>
              </w:rPr>
            </w:pPr>
            <w:r w:rsidRPr="0073128C">
              <w:rPr>
                <w:rFonts w:ascii="標楷體" w:eastAsia="標楷體" w:hAnsi="標楷體" w:hint="eastAsia"/>
                <w:kern w:val="2"/>
                <w:szCs w:val="24"/>
              </w:rPr>
              <w:t>因逾年度預算執行期間，本會於113.9.30函議事處提報院會准予備查</w:t>
            </w:r>
            <w:r w:rsidR="001A791E">
              <w:rPr>
                <w:rFonts w:ascii="標楷體" w:eastAsia="標楷體" w:hAnsi="標楷體" w:hint="eastAsia"/>
                <w:kern w:val="2"/>
                <w:szCs w:val="24"/>
              </w:rPr>
              <w:t>。</w:t>
            </w:r>
          </w:p>
        </w:tc>
      </w:tr>
      <w:tr w:rsidR="007D160C" w:rsidRPr="00B95A07" w14:paraId="58AB20CE"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11E0953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6FC9071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行政院主計總處函為111年度中央政府總預算決議，檢送地方預算編列及執行預警缺失改善成效書面報告案。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0E20F7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21D08C8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C0270B"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381666EA"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4E76DDF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行政院主計總處函為111年度中央政府總預算決議，檢送編列「災害準備金」統籌科目必要性書面報告案。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412D7CE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091EA58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8FF1B7A"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21A6C164"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1555DE7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行政院主計總處函為111年度中央政府總預算決議，檢送降低財政赤字書面報告案。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1A452DF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6B020EC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59D0E33"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7DCDEFF5"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607B85A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行政院主計總處函為111年度中央政府總預算決議，檢送揭露政策宣導預算執行全貌書面報告案。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DC28CF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2BA6B5E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88F85C0"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6536859B"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77B0654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行政院主計總處函為111年度中央政府總預算決議，檢送改善歲出結構僵化情形書面報告案。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452AF43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BE7D97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E423D11"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250ADB7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2C920700"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7923494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59BE8D5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525E8F"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4E2DA0E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47835F5E"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行政院主計總處函為111年度中央政府總預算決議，檢送強化基金財務責任書面報告案。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15EE66A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75E3DAE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E613AD9"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1002711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48B92A5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行政院主計總處函為111年度中央政府總預算決議，檢送10年期財政收支健全書面報告案。</w:t>
            </w:r>
          </w:p>
        </w:tc>
        <w:tc>
          <w:tcPr>
            <w:tcW w:w="2835" w:type="dxa"/>
            <w:tcBorders>
              <w:top w:val="single" w:sz="4" w:space="0" w:color="auto"/>
              <w:left w:val="single" w:sz="4" w:space="0" w:color="000000"/>
              <w:bottom w:val="single" w:sz="4" w:space="0" w:color="auto"/>
              <w:right w:val="single" w:sz="4" w:space="0" w:color="000000"/>
            </w:tcBorders>
            <w:shd w:val="clear" w:color="auto" w:fill="auto"/>
          </w:tcPr>
          <w:p w14:paraId="029B15A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第10屆第6會期第6次院會（1</w:t>
            </w:r>
            <w:r w:rsidRPr="00B95A07">
              <w:rPr>
                <w:rFonts w:ascii="標楷體" w:eastAsia="標楷體" w:hAnsi="標楷體"/>
                <w:kern w:val="2"/>
                <w:szCs w:val="24"/>
              </w:rPr>
              <w:t>1</w:t>
            </w:r>
            <w:r w:rsidRPr="00B95A07">
              <w:rPr>
                <w:rFonts w:ascii="標楷體" w:eastAsia="標楷體" w:hAnsi="標楷體" w:hint="eastAsia"/>
                <w:kern w:val="2"/>
                <w:szCs w:val="24"/>
              </w:rPr>
              <w:t>1.11.4）決定：「交財政委員會審查」</w:t>
            </w:r>
          </w:p>
        </w:tc>
        <w:tc>
          <w:tcPr>
            <w:tcW w:w="1560" w:type="dxa"/>
            <w:vMerge/>
            <w:tcBorders>
              <w:left w:val="single" w:sz="4" w:space="0" w:color="auto"/>
              <w:right w:val="single" w:sz="4" w:space="0" w:color="auto"/>
            </w:tcBorders>
            <w:vAlign w:val="center"/>
          </w:tcPr>
          <w:p w14:paraId="129AF97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6554B83"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531B87E6"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62396010"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行政院主計總處函為111年度中央政府總預算決議，檢送部分縣市財務收支與資產負債評估書面報告案。</w:t>
            </w:r>
          </w:p>
        </w:tc>
        <w:tc>
          <w:tcPr>
            <w:tcW w:w="2835" w:type="dxa"/>
            <w:tcBorders>
              <w:top w:val="single" w:sz="4" w:space="0" w:color="auto"/>
              <w:left w:val="single" w:sz="4" w:space="0" w:color="auto"/>
              <w:bottom w:val="single" w:sz="4" w:space="0" w:color="auto"/>
              <w:right w:val="single" w:sz="4" w:space="0" w:color="auto"/>
            </w:tcBorders>
          </w:tcPr>
          <w:p w14:paraId="4E273A0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51E9EDD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DF8140A" w14:textId="77777777" w:rsidTr="00B60158">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14:paraId="613E993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4" w:space="0" w:color="auto"/>
              <w:right w:val="single" w:sz="4" w:space="0" w:color="000000"/>
            </w:tcBorders>
            <w:shd w:val="clear" w:color="auto" w:fill="auto"/>
          </w:tcPr>
          <w:p w14:paraId="398978E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行政院主計總處函為111年度中央政府總預算決議，檢送決算實地查核書面報告案。</w:t>
            </w:r>
          </w:p>
        </w:tc>
        <w:tc>
          <w:tcPr>
            <w:tcW w:w="2835" w:type="dxa"/>
            <w:tcBorders>
              <w:top w:val="single" w:sz="4" w:space="0" w:color="auto"/>
              <w:left w:val="single" w:sz="4" w:space="0" w:color="auto"/>
              <w:bottom w:val="single" w:sz="4" w:space="0" w:color="auto"/>
              <w:right w:val="single" w:sz="4" w:space="0" w:color="auto"/>
            </w:tcBorders>
          </w:tcPr>
          <w:p w14:paraId="69F0E5A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59A805E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E4FD5C8" w14:textId="77777777" w:rsidTr="00795E89">
        <w:trPr>
          <w:cantSplit/>
          <w:trHeight w:val="978"/>
          <w:jc w:val="center"/>
        </w:trPr>
        <w:tc>
          <w:tcPr>
            <w:tcW w:w="846" w:type="dxa"/>
            <w:tcBorders>
              <w:top w:val="single" w:sz="4" w:space="0" w:color="auto"/>
              <w:left w:val="single" w:sz="4" w:space="0" w:color="auto"/>
              <w:bottom w:val="single" w:sz="12" w:space="0" w:color="auto"/>
              <w:right w:val="single" w:sz="4" w:space="0" w:color="auto"/>
            </w:tcBorders>
          </w:tcPr>
          <w:p w14:paraId="51258D4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000000"/>
              <w:bottom w:val="single" w:sz="12" w:space="0" w:color="auto"/>
              <w:right w:val="single" w:sz="4" w:space="0" w:color="000000"/>
            </w:tcBorders>
            <w:shd w:val="clear" w:color="auto" w:fill="auto"/>
          </w:tcPr>
          <w:p w14:paraId="28AA189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行政院主計總處函為111年度中央政府總預算決議，檢送強化特別預算編列規範書面報告案。</w:t>
            </w:r>
          </w:p>
        </w:tc>
        <w:tc>
          <w:tcPr>
            <w:tcW w:w="2835" w:type="dxa"/>
            <w:tcBorders>
              <w:top w:val="single" w:sz="4" w:space="0" w:color="auto"/>
              <w:left w:val="single" w:sz="4" w:space="0" w:color="auto"/>
              <w:bottom w:val="single" w:sz="12" w:space="0" w:color="auto"/>
              <w:right w:val="single" w:sz="4" w:space="0" w:color="auto"/>
            </w:tcBorders>
          </w:tcPr>
          <w:p w14:paraId="207D2D7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bottom w:val="single" w:sz="12" w:space="0" w:color="auto"/>
              <w:right w:val="single" w:sz="4" w:space="0" w:color="auto"/>
            </w:tcBorders>
            <w:vAlign w:val="center"/>
          </w:tcPr>
          <w:p w14:paraId="7D472B2A"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381B6170" w14:textId="77777777" w:rsidTr="00795E89">
        <w:trPr>
          <w:cantSplit/>
          <w:trHeight w:val="934"/>
          <w:jc w:val="center"/>
        </w:trPr>
        <w:tc>
          <w:tcPr>
            <w:tcW w:w="846" w:type="dxa"/>
            <w:tcBorders>
              <w:top w:val="single" w:sz="12" w:space="0" w:color="auto"/>
              <w:left w:val="single" w:sz="4" w:space="0" w:color="auto"/>
              <w:bottom w:val="single" w:sz="12" w:space="0" w:color="auto"/>
              <w:right w:val="single" w:sz="4" w:space="0" w:color="auto"/>
            </w:tcBorders>
          </w:tcPr>
          <w:p w14:paraId="47C9264F"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12" w:space="0" w:color="auto"/>
              <w:left w:val="single" w:sz="4" w:space="0" w:color="auto"/>
              <w:bottom w:val="single" w:sz="12" w:space="0" w:color="auto"/>
              <w:right w:val="single" w:sz="4" w:space="0" w:color="auto"/>
            </w:tcBorders>
          </w:tcPr>
          <w:p w14:paraId="0ACF779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銓敘部函為111年度中央政府總預算決議，檢送「公務人員或遺族定期退撫給與給付金額調整書面報告」案。</w:t>
            </w:r>
          </w:p>
        </w:tc>
        <w:tc>
          <w:tcPr>
            <w:tcW w:w="2835" w:type="dxa"/>
            <w:tcBorders>
              <w:top w:val="single" w:sz="12" w:space="0" w:color="auto"/>
              <w:left w:val="single" w:sz="4" w:space="0" w:color="auto"/>
              <w:bottom w:val="single" w:sz="12" w:space="0" w:color="auto"/>
              <w:right w:val="single" w:sz="4" w:space="0" w:color="auto"/>
            </w:tcBorders>
            <w:shd w:val="clear" w:color="auto" w:fill="auto"/>
          </w:tcPr>
          <w:p w14:paraId="542AF1D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26458C">
              <w:rPr>
                <w:rFonts w:ascii="標楷體" w:eastAsia="標楷體" w:hAnsi="標楷體" w:hint="eastAsia"/>
                <w:spacing w:val="-20"/>
                <w:kern w:val="2"/>
                <w:szCs w:val="24"/>
              </w:rPr>
              <w:t>（1</w:t>
            </w:r>
            <w:r w:rsidRPr="0026458C">
              <w:rPr>
                <w:rFonts w:ascii="標楷體" w:eastAsia="標楷體" w:hAnsi="標楷體"/>
                <w:spacing w:val="-20"/>
                <w:kern w:val="2"/>
                <w:szCs w:val="24"/>
              </w:rPr>
              <w:t>11</w:t>
            </w:r>
            <w:r w:rsidRPr="0026458C">
              <w:rPr>
                <w:rFonts w:ascii="標楷體" w:eastAsia="標楷體" w:hAnsi="標楷體" w:hint="eastAsia"/>
                <w:spacing w:val="-20"/>
                <w:kern w:val="2"/>
                <w:szCs w:val="24"/>
              </w:rPr>
              <w:t>.10.28）</w:t>
            </w:r>
            <w:r w:rsidRPr="00B95A07">
              <w:rPr>
                <w:rFonts w:ascii="標楷體" w:eastAsia="標楷體" w:hAnsi="標楷體" w:hint="eastAsia"/>
                <w:kern w:val="2"/>
                <w:szCs w:val="24"/>
              </w:rPr>
              <w:t>決定：「交財政及相關委員會審查」</w:t>
            </w:r>
          </w:p>
        </w:tc>
        <w:tc>
          <w:tcPr>
            <w:tcW w:w="1560" w:type="dxa"/>
            <w:tcBorders>
              <w:top w:val="single" w:sz="12" w:space="0" w:color="auto"/>
              <w:left w:val="single" w:sz="4" w:space="0" w:color="auto"/>
              <w:bottom w:val="single" w:sz="12" w:space="0" w:color="auto"/>
              <w:right w:val="single" w:sz="4" w:space="0" w:color="auto"/>
            </w:tcBorders>
            <w:shd w:val="clear" w:color="auto" w:fill="auto"/>
            <w:vAlign w:val="center"/>
          </w:tcPr>
          <w:p w14:paraId="0E8C516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3128C">
              <w:rPr>
                <w:rFonts w:ascii="標楷體" w:eastAsia="標楷體" w:hAnsi="標楷體" w:hint="eastAsia"/>
                <w:kern w:val="2"/>
                <w:szCs w:val="24"/>
              </w:rPr>
              <w:t>因逾年度預算執行期間，本會於113.</w:t>
            </w:r>
            <w:r>
              <w:rPr>
                <w:rFonts w:ascii="標楷體" w:eastAsia="標楷體" w:hAnsi="標楷體" w:hint="eastAsia"/>
                <w:kern w:val="2"/>
                <w:szCs w:val="24"/>
              </w:rPr>
              <w:t>10</w:t>
            </w:r>
            <w:r w:rsidRPr="0073128C">
              <w:rPr>
                <w:rFonts w:ascii="標楷體" w:eastAsia="標楷體" w:hAnsi="標楷體" w:hint="eastAsia"/>
                <w:kern w:val="2"/>
                <w:szCs w:val="24"/>
              </w:rPr>
              <w:t>.</w:t>
            </w:r>
            <w:r>
              <w:rPr>
                <w:rFonts w:ascii="標楷體" w:eastAsia="標楷體" w:hAnsi="標楷體" w:hint="eastAsia"/>
                <w:kern w:val="2"/>
                <w:szCs w:val="24"/>
              </w:rPr>
              <w:t>8</w:t>
            </w:r>
            <w:r w:rsidRPr="0073128C">
              <w:rPr>
                <w:rFonts w:ascii="標楷體" w:eastAsia="標楷體" w:hAnsi="標楷體" w:hint="eastAsia"/>
                <w:kern w:val="2"/>
                <w:szCs w:val="24"/>
              </w:rPr>
              <w:t>函議事處提報院會准予備查</w:t>
            </w:r>
          </w:p>
        </w:tc>
      </w:tr>
      <w:tr w:rsidR="007D160C" w:rsidRPr="00B95A07" w14:paraId="27884E04" w14:textId="77777777" w:rsidTr="00795E89">
        <w:trPr>
          <w:cantSplit/>
          <w:trHeight w:val="934"/>
          <w:jc w:val="center"/>
        </w:trPr>
        <w:tc>
          <w:tcPr>
            <w:tcW w:w="846" w:type="dxa"/>
            <w:tcBorders>
              <w:top w:val="single" w:sz="12" w:space="0" w:color="auto"/>
              <w:left w:val="single" w:sz="4" w:space="0" w:color="auto"/>
              <w:bottom w:val="single" w:sz="4" w:space="0" w:color="auto"/>
              <w:right w:val="single" w:sz="4" w:space="0" w:color="auto"/>
            </w:tcBorders>
          </w:tcPr>
          <w:p w14:paraId="0D75E60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12" w:space="0" w:color="auto"/>
              <w:left w:val="single" w:sz="4" w:space="0" w:color="auto"/>
              <w:bottom w:val="single" w:sz="4" w:space="0" w:color="auto"/>
              <w:right w:val="single" w:sz="4" w:space="0" w:color="auto"/>
            </w:tcBorders>
          </w:tcPr>
          <w:p w14:paraId="7F07247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14:paraId="500EB55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.12.2）決定：「交財政委員會審查」</w:t>
            </w:r>
          </w:p>
        </w:tc>
        <w:tc>
          <w:tcPr>
            <w:tcW w:w="1560" w:type="dxa"/>
            <w:vMerge w:val="restart"/>
            <w:tcBorders>
              <w:top w:val="single" w:sz="12" w:space="0" w:color="auto"/>
              <w:left w:val="single" w:sz="4" w:space="0" w:color="auto"/>
              <w:right w:val="single" w:sz="4" w:space="0" w:color="auto"/>
            </w:tcBorders>
            <w:shd w:val="clear" w:color="auto" w:fill="auto"/>
          </w:tcPr>
          <w:p w14:paraId="5F5052E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r w:rsidRPr="0073128C">
              <w:rPr>
                <w:rFonts w:ascii="標楷體" w:eastAsia="標楷體" w:hAnsi="標楷體" w:hint="eastAsia"/>
                <w:kern w:val="2"/>
                <w:szCs w:val="24"/>
              </w:rPr>
              <w:t>因逾年度預算執行期間，本會於113.9.30函議事處提報院會准予備查</w:t>
            </w:r>
          </w:p>
        </w:tc>
      </w:tr>
      <w:tr w:rsidR="007D160C" w:rsidRPr="00B95A07" w14:paraId="3C241EF4"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3325C5D9"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4B23D9D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969F0C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w:t>
            </w:r>
            <w:r w:rsidRPr="00B95A07">
              <w:rPr>
                <w:rFonts w:ascii="標楷體" w:eastAsia="標楷體" w:hAnsi="標楷體"/>
                <w:kern w:val="2"/>
                <w:szCs w:val="24"/>
              </w:rPr>
              <w:t>11</w:t>
            </w:r>
            <w:r w:rsidRPr="00B95A07">
              <w:rPr>
                <w:rFonts w:ascii="標楷體" w:eastAsia="標楷體" w:hAnsi="標楷體" w:hint="eastAsia"/>
                <w:kern w:val="2"/>
                <w:szCs w:val="24"/>
              </w:rPr>
              <w:t>.12.23）決定：「交財政委員會審查」</w:t>
            </w:r>
          </w:p>
        </w:tc>
        <w:tc>
          <w:tcPr>
            <w:tcW w:w="1560" w:type="dxa"/>
            <w:vMerge/>
            <w:tcBorders>
              <w:left w:val="single" w:sz="4" w:space="0" w:color="auto"/>
              <w:right w:val="single" w:sz="4" w:space="0" w:color="auto"/>
            </w:tcBorders>
            <w:shd w:val="clear" w:color="auto" w:fill="auto"/>
            <w:vAlign w:val="center"/>
          </w:tcPr>
          <w:p w14:paraId="304758B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10686D"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50C45DBE"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tcPr>
          <w:p w14:paraId="184D1978"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年度對直轄市</w:t>
            </w:r>
            <w:r w:rsidRPr="00B95A07">
              <w:rPr>
                <w:rFonts w:ascii="標楷體" w:eastAsia="標楷體" w:hAnsi="標楷體" w:hint="eastAsia"/>
                <w:kern w:val="2"/>
                <w:szCs w:val="24"/>
              </w:rPr>
              <w:t>及</w:t>
            </w:r>
            <w:r w:rsidRPr="00B95A07">
              <w:rPr>
                <w:rFonts w:ascii="標楷體" w:eastAsia="標楷體" w:hAnsi="標楷體"/>
                <w:kern w:val="2"/>
                <w:szCs w:val="24"/>
              </w:rPr>
              <w:t>縣市政府補助書面報告案。</w:t>
            </w:r>
          </w:p>
        </w:tc>
        <w:tc>
          <w:tcPr>
            <w:tcW w:w="2835" w:type="dxa"/>
            <w:tcBorders>
              <w:top w:val="single" w:sz="4" w:space="0" w:color="auto"/>
              <w:left w:val="single" w:sz="4" w:space="0" w:color="auto"/>
              <w:bottom w:val="single" w:sz="4" w:space="0" w:color="auto"/>
              <w:right w:val="single" w:sz="4" w:space="0" w:color="auto"/>
            </w:tcBorders>
          </w:tcPr>
          <w:p w14:paraId="60D6C31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1.5.12）決定：「交財政委員會審查」</w:t>
            </w:r>
          </w:p>
        </w:tc>
        <w:tc>
          <w:tcPr>
            <w:tcW w:w="1560" w:type="dxa"/>
            <w:vMerge/>
            <w:tcBorders>
              <w:left w:val="single" w:sz="4" w:space="0" w:color="auto"/>
              <w:right w:val="single" w:sz="4" w:space="0" w:color="auto"/>
            </w:tcBorders>
            <w:vAlign w:val="center"/>
          </w:tcPr>
          <w:p w14:paraId="2A0759E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09618D4"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4B830D51"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shd w:val="clear" w:color="auto" w:fill="auto"/>
          </w:tcPr>
          <w:p w14:paraId="7DA2AFA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文化部函送111年度對直轄市及縣（市）政府補助書面報告案。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653A2BC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60" w:type="dxa"/>
            <w:vMerge/>
            <w:tcBorders>
              <w:left w:val="single" w:sz="4" w:space="0" w:color="auto"/>
              <w:right w:val="single" w:sz="4" w:space="0" w:color="auto"/>
            </w:tcBorders>
            <w:vAlign w:val="center"/>
          </w:tcPr>
          <w:p w14:paraId="03AD760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B0A2729"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0943438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shd w:val="clear" w:color="auto" w:fill="auto"/>
          </w:tcPr>
          <w:p w14:paraId="74824298"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教育部函送111年度對直轄市及縣（市）政府補助書面報告案。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441B60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60" w:type="dxa"/>
            <w:vMerge/>
            <w:tcBorders>
              <w:left w:val="single" w:sz="4" w:space="0" w:color="auto"/>
              <w:right w:val="single" w:sz="4" w:space="0" w:color="auto"/>
            </w:tcBorders>
            <w:vAlign w:val="center"/>
          </w:tcPr>
          <w:p w14:paraId="27F131A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B5E2D34" w14:textId="77777777" w:rsidTr="00B60158">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14:paraId="7F8D2DC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252" w:type="dxa"/>
            <w:gridSpan w:val="2"/>
            <w:tcBorders>
              <w:top w:val="single" w:sz="4" w:space="0" w:color="auto"/>
              <w:left w:val="single" w:sz="4" w:space="0" w:color="auto"/>
              <w:bottom w:val="single" w:sz="4" w:space="0" w:color="auto"/>
              <w:right w:val="single" w:sz="4" w:space="0" w:color="auto"/>
            </w:tcBorders>
            <w:shd w:val="clear" w:color="auto" w:fill="auto"/>
          </w:tcPr>
          <w:p w14:paraId="66221C0F"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國家通訊傳播委員會函送111年度對直轄市及縣（市）政府補助書面報告案。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459B538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1560" w:type="dxa"/>
            <w:vMerge/>
            <w:tcBorders>
              <w:left w:val="single" w:sz="4" w:space="0" w:color="auto"/>
              <w:bottom w:val="single" w:sz="4" w:space="0" w:color="auto"/>
              <w:right w:val="single" w:sz="4" w:space="0" w:color="auto"/>
            </w:tcBorders>
            <w:vAlign w:val="center"/>
          </w:tcPr>
          <w:p w14:paraId="72E020FB"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CF0F84" w14:paraId="169B5E18" w14:textId="77777777" w:rsidTr="00B60158">
        <w:trPr>
          <w:trHeight w:val="491"/>
          <w:jc w:val="center"/>
        </w:trPr>
        <w:tc>
          <w:tcPr>
            <w:tcW w:w="9493" w:type="dxa"/>
            <w:gridSpan w:val="5"/>
            <w:tcBorders>
              <w:top w:val="single" w:sz="12" w:space="0" w:color="auto"/>
              <w:left w:val="single" w:sz="2" w:space="0" w:color="auto"/>
              <w:bottom w:val="single" w:sz="12" w:space="0" w:color="auto"/>
              <w:right w:val="single" w:sz="4" w:space="0" w:color="auto"/>
            </w:tcBorders>
            <w:vAlign w:val="center"/>
          </w:tcPr>
          <w:p w14:paraId="06F8ECA6" w14:textId="77777777" w:rsidR="007D160C" w:rsidRPr="00CF0F84"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CF0F84">
              <w:rPr>
                <w:rFonts w:ascii="標楷體" w:eastAsia="標楷體" w:hAnsi="標楷體" w:hint="eastAsia"/>
                <w:b/>
                <w:kern w:val="2"/>
                <w:sz w:val="28"/>
                <w:szCs w:val="28"/>
              </w:rPr>
              <w:t>4.審計部主管（3案）</w:t>
            </w:r>
          </w:p>
        </w:tc>
      </w:tr>
      <w:tr w:rsidR="007D160C" w:rsidRPr="00B95A07" w14:paraId="5FFA7C29"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617584A0"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46DDA05"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審計部函為111年度中央政府總預算決議，檢送加強查核各單位對內部稽（審）核書面報告案。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3551E13C"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第10屆第5會期第12次院會（11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1560" w:type="dxa"/>
            <w:vMerge w:val="restart"/>
            <w:tcBorders>
              <w:top w:val="single" w:sz="4" w:space="0" w:color="auto"/>
              <w:left w:val="single" w:sz="4" w:space="0" w:color="auto"/>
              <w:right w:val="single" w:sz="4" w:space="0" w:color="auto"/>
            </w:tcBorders>
          </w:tcPr>
          <w:p w14:paraId="213A9889" w14:textId="77777777" w:rsidR="007D160C" w:rsidRPr="004E5043" w:rsidRDefault="007D160C" w:rsidP="00F470A8">
            <w:pPr>
              <w:widowControl w:val="0"/>
              <w:overflowPunct w:val="0"/>
              <w:spacing w:line="320" w:lineRule="exact"/>
              <w:jc w:val="both"/>
              <w:rPr>
                <w:rFonts w:ascii="標楷體" w:eastAsia="標楷體" w:hAnsi="標楷體"/>
                <w:color w:val="FF0000"/>
                <w:kern w:val="2"/>
                <w:szCs w:val="24"/>
              </w:rPr>
            </w:pPr>
            <w:r w:rsidRPr="00CF0F84">
              <w:rPr>
                <w:rFonts w:ascii="標楷體" w:eastAsia="標楷體" w:hAnsi="標楷體" w:hint="eastAsia"/>
                <w:kern w:val="2"/>
                <w:szCs w:val="24"/>
              </w:rPr>
              <w:t>因逾年度預算執行期間，本會於113.10.1函議事處提報院會准予備查。</w:t>
            </w:r>
          </w:p>
        </w:tc>
      </w:tr>
      <w:tr w:rsidR="007D160C" w:rsidRPr="00B95A07" w14:paraId="20360433"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277A1A2C"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24AC555"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審計部函為111年度中央政府總預算決議，檢送軍事採購及特別預算執行之監督機制及審計作為書面報告案。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5980FBF5"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vAlign w:val="center"/>
          </w:tcPr>
          <w:p w14:paraId="444EDB0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507BC69"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534BCBC7" w14:textId="77777777" w:rsidR="007D160C" w:rsidRPr="00B95A07"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DD5746D"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審計部函為111年度中央政府總預算決議，檢送特別預算審核工作結果書面報告案。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20E038FD"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1560" w:type="dxa"/>
            <w:vMerge/>
            <w:tcBorders>
              <w:left w:val="single" w:sz="4" w:space="0" w:color="auto"/>
              <w:bottom w:val="single" w:sz="4" w:space="0" w:color="auto"/>
              <w:right w:val="single" w:sz="4" w:space="0" w:color="auto"/>
            </w:tcBorders>
            <w:vAlign w:val="center"/>
          </w:tcPr>
          <w:p w14:paraId="54F70F0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557630" w14:paraId="3B4183E1" w14:textId="77777777" w:rsidTr="00B60158">
        <w:trPr>
          <w:trHeight w:val="491"/>
          <w:jc w:val="center"/>
        </w:trPr>
        <w:tc>
          <w:tcPr>
            <w:tcW w:w="9493" w:type="dxa"/>
            <w:gridSpan w:val="5"/>
            <w:tcBorders>
              <w:top w:val="single" w:sz="12" w:space="0" w:color="auto"/>
              <w:left w:val="single" w:sz="2" w:space="0" w:color="auto"/>
              <w:bottom w:val="single" w:sz="12" w:space="0" w:color="auto"/>
              <w:right w:val="single" w:sz="4" w:space="0" w:color="auto"/>
            </w:tcBorders>
            <w:vAlign w:val="center"/>
          </w:tcPr>
          <w:p w14:paraId="34D3C536" w14:textId="77777777" w:rsidR="007D160C" w:rsidRPr="00557630"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557630">
              <w:rPr>
                <w:rFonts w:ascii="標楷體" w:eastAsia="標楷體" w:hAnsi="標楷體" w:hint="eastAsia"/>
                <w:b/>
                <w:kern w:val="2"/>
                <w:sz w:val="28"/>
                <w:szCs w:val="28"/>
              </w:rPr>
              <w:t>5.中央銀行主管（1案）</w:t>
            </w:r>
          </w:p>
        </w:tc>
      </w:tr>
      <w:tr w:rsidR="007D160C" w:rsidRPr="00557630" w14:paraId="14EC9EB2" w14:textId="77777777" w:rsidTr="00B60158">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14:paraId="5B6D31B8"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71937AA" w14:textId="77777777" w:rsidR="007D160C" w:rsidRPr="00557630" w:rsidRDefault="007D160C" w:rsidP="00F470A8">
            <w:pPr>
              <w:widowControl w:val="0"/>
              <w:overflowPunct w:val="0"/>
              <w:autoSpaceDN/>
              <w:spacing w:line="360" w:lineRule="exact"/>
              <w:jc w:val="both"/>
              <w:textAlignment w:val="auto"/>
              <w:rPr>
                <w:rFonts w:ascii="標楷體" w:eastAsia="標楷體" w:hAnsi="標楷體"/>
                <w:kern w:val="2"/>
                <w:szCs w:val="24"/>
              </w:rPr>
            </w:pPr>
            <w:r w:rsidRPr="00557630">
              <w:rPr>
                <w:rFonts w:ascii="標楷體" w:eastAsia="標楷體" w:hAnsi="標楷體" w:hint="eastAsia"/>
                <w:kern w:val="2"/>
                <w:szCs w:val="24"/>
              </w:rPr>
              <w:t>中央銀行函為111年度中央政府總預算附屬單位預算決議，檢送如何處置國幣之圖像問題書面報告案。</w:t>
            </w:r>
          </w:p>
        </w:tc>
        <w:tc>
          <w:tcPr>
            <w:tcW w:w="2976" w:type="dxa"/>
            <w:gridSpan w:val="2"/>
            <w:tcBorders>
              <w:top w:val="single" w:sz="4" w:space="0" w:color="auto"/>
              <w:left w:val="single" w:sz="4" w:space="0" w:color="000000"/>
              <w:bottom w:val="single" w:sz="4" w:space="0" w:color="auto"/>
              <w:right w:val="single" w:sz="4" w:space="0" w:color="000000"/>
            </w:tcBorders>
            <w:shd w:val="clear" w:color="auto" w:fill="auto"/>
          </w:tcPr>
          <w:p w14:paraId="6D7923BC" w14:textId="77777777" w:rsidR="007D160C" w:rsidRPr="00557630" w:rsidRDefault="007D160C" w:rsidP="00F470A8">
            <w:pPr>
              <w:widowControl w:val="0"/>
              <w:overflowPunct w:val="0"/>
              <w:autoSpaceDN/>
              <w:spacing w:line="340" w:lineRule="exact"/>
              <w:jc w:val="both"/>
              <w:textAlignment w:val="auto"/>
              <w:rPr>
                <w:rFonts w:ascii="標楷體" w:eastAsia="標楷體" w:hAnsi="標楷體"/>
                <w:kern w:val="2"/>
                <w:szCs w:val="24"/>
              </w:rPr>
            </w:pPr>
            <w:r w:rsidRPr="00557630">
              <w:rPr>
                <w:rFonts w:ascii="標楷體" w:eastAsia="標楷體" w:hAnsi="標楷體" w:hint="eastAsia"/>
                <w:kern w:val="2"/>
                <w:szCs w:val="24"/>
              </w:rPr>
              <w:t>第10屆第7會期第9次院會(112.4.28)決定：「交財政委員會審查」</w:t>
            </w:r>
          </w:p>
        </w:tc>
        <w:tc>
          <w:tcPr>
            <w:tcW w:w="1560" w:type="dxa"/>
            <w:tcBorders>
              <w:top w:val="single" w:sz="4" w:space="0" w:color="auto"/>
              <w:left w:val="single" w:sz="4" w:space="0" w:color="auto"/>
              <w:bottom w:val="single" w:sz="4" w:space="0" w:color="auto"/>
              <w:right w:val="single" w:sz="4" w:space="0" w:color="auto"/>
            </w:tcBorders>
            <w:vAlign w:val="center"/>
          </w:tcPr>
          <w:p w14:paraId="5B5CDF3A" w14:textId="77777777" w:rsidR="007D160C" w:rsidRPr="00557630" w:rsidRDefault="007D160C" w:rsidP="00F470A8">
            <w:pPr>
              <w:widowControl w:val="0"/>
              <w:overflowPunct w:val="0"/>
              <w:spacing w:line="320" w:lineRule="exact"/>
              <w:jc w:val="both"/>
              <w:rPr>
                <w:rFonts w:ascii="標楷體" w:eastAsia="標楷體" w:hAnsi="標楷體"/>
                <w:kern w:val="2"/>
                <w:szCs w:val="24"/>
              </w:rPr>
            </w:pPr>
            <w:r w:rsidRPr="00557630">
              <w:rPr>
                <w:rFonts w:ascii="標楷體" w:eastAsia="標楷體" w:hAnsi="標楷體" w:hint="eastAsia"/>
                <w:kern w:val="2"/>
                <w:szCs w:val="24"/>
              </w:rPr>
              <w:t>因逾年度預算執行期間，本會於113.10.1函議事處提報院會准予備查。</w:t>
            </w:r>
          </w:p>
        </w:tc>
      </w:tr>
      <w:tr w:rsidR="00B60158" w:rsidRPr="008A1835" w14:paraId="5DB5FF67" w14:textId="77777777" w:rsidTr="00B60158">
        <w:trPr>
          <w:cantSplit/>
          <w:trHeight w:val="559"/>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033D320E" w14:textId="77777777" w:rsidR="00B60158" w:rsidRPr="008A1835" w:rsidRDefault="00B60158" w:rsidP="00F470A8">
            <w:pPr>
              <w:widowControl w:val="0"/>
              <w:tabs>
                <w:tab w:val="left" w:pos="567"/>
              </w:tabs>
              <w:overflowPunct w:val="0"/>
              <w:autoSpaceDN/>
              <w:spacing w:line="300" w:lineRule="exact"/>
              <w:textAlignment w:val="auto"/>
              <w:rPr>
                <w:rFonts w:ascii="標楷體" w:eastAsia="標楷體" w:hAnsi="標楷體"/>
                <w:b/>
                <w:kern w:val="2"/>
                <w:sz w:val="28"/>
                <w:szCs w:val="28"/>
              </w:rPr>
            </w:pPr>
            <w:r w:rsidRPr="008A1835">
              <w:rPr>
                <w:rFonts w:ascii="標楷體" w:eastAsia="標楷體" w:hAnsi="標楷體" w:hint="eastAsia"/>
                <w:b/>
                <w:kern w:val="2"/>
                <w:sz w:val="28"/>
                <w:szCs w:val="28"/>
              </w:rPr>
              <w:t>6.</w:t>
            </w:r>
            <w:r w:rsidRPr="00687F4D">
              <w:rPr>
                <w:rFonts w:ascii="標楷體" w:eastAsia="標楷體" w:hAnsi="標楷體" w:hint="eastAsia"/>
                <w:b/>
                <w:kern w:val="2"/>
                <w:sz w:val="28"/>
                <w:szCs w:val="28"/>
              </w:rPr>
              <w:t>中央政府流域綜合治理計畫第1期特別預算</w:t>
            </w:r>
            <w:r w:rsidRPr="00D9107B">
              <w:rPr>
                <w:rFonts w:ascii="標楷體" w:eastAsia="標楷體" w:hAnsi="標楷體" w:hint="eastAsia"/>
                <w:b/>
                <w:kern w:val="2"/>
                <w:sz w:val="28"/>
                <w:szCs w:val="28"/>
              </w:rPr>
              <w:t>（1案）</w:t>
            </w:r>
          </w:p>
        </w:tc>
      </w:tr>
      <w:tr w:rsidR="00B60158" w:rsidRPr="00D9107B" w14:paraId="322FF4D1" w14:textId="77777777" w:rsidTr="00B60158">
        <w:trPr>
          <w:cantSplit/>
          <w:trHeight w:val="1016"/>
          <w:jc w:val="center"/>
        </w:trPr>
        <w:tc>
          <w:tcPr>
            <w:tcW w:w="846" w:type="dxa"/>
            <w:tcBorders>
              <w:top w:val="single" w:sz="12" w:space="0" w:color="auto"/>
              <w:left w:val="single" w:sz="4" w:space="0" w:color="auto"/>
              <w:bottom w:val="single" w:sz="12" w:space="0" w:color="auto"/>
              <w:right w:val="single" w:sz="4" w:space="0" w:color="auto"/>
            </w:tcBorders>
          </w:tcPr>
          <w:p w14:paraId="2A13F4BA" w14:textId="77777777" w:rsidR="00B60158" w:rsidRPr="00D9107B" w:rsidRDefault="00B60158"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12" w:space="0" w:color="auto"/>
              <w:right w:val="single" w:sz="4" w:space="0" w:color="auto"/>
            </w:tcBorders>
          </w:tcPr>
          <w:p w14:paraId="5AA05A09" w14:textId="77777777" w:rsidR="00B60158" w:rsidRPr="00D9107B" w:rsidRDefault="00B60158"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審計部函送中央政府流域綜合治理計畫第1期特別預算截至103年度第3季執行情形審核報告案</w:t>
            </w:r>
            <w:r>
              <w:rPr>
                <w:rFonts w:ascii="標楷體" w:eastAsia="標楷體" w:hAnsi="標楷體" w:hint="eastAsia"/>
                <w:kern w:val="2"/>
                <w:szCs w:val="24"/>
              </w:rPr>
              <w:t>。</w:t>
            </w:r>
          </w:p>
        </w:tc>
        <w:tc>
          <w:tcPr>
            <w:tcW w:w="2976" w:type="dxa"/>
            <w:gridSpan w:val="2"/>
            <w:tcBorders>
              <w:top w:val="single" w:sz="12" w:space="0" w:color="auto"/>
              <w:left w:val="single" w:sz="4" w:space="0" w:color="auto"/>
              <w:bottom w:val="single" w:sz="12" w:space="0" w:color="auto"/>
              <w:right w:val="single" w:sz="4" w:space="0" w:color="auto"/>
            </w:tcBorders>
          </w:tcPr>
          <w:p w14:paraId="54AAFCA3" w14:textId="77777777" w:rsidR="00B60158" w:rsidRPr="00D9107B" w:rsidRDefault="00B60158"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第8屆第6會期第17次院會（104.1.9）決定：「交財政委員會審查」</w:t>
            </w:r>
          </w:p>
        </w:tc>
        <w:tc>
          <w:tcPr>
            <w:tcW w:w="1560" w:type="dxa"/>
            <w:tcBorders>
              <w:top w:val="single" w:sz="12" w:space="0" w:color="auto"/>
              <w:left w:val="single" w:sz="4" w:space="0" w:color="auto"/>
              <w:bottom w:val="single" w:sz="12" w:space="0" w:color="auto"/>
              <w:right w:val="single" w:sz="4" w:space="0" w:color="auto"/>
            </w:tcBorders>
            <w:vAlign w:val="center"/>
          </w:tcPr>
          <w:p w14:paraId="3969FD87" w14:textId="39219BD7" w:rsidR="00B60158" w:rsidRPr="00B60158" w:rsidRDefault="00B60158" w:rsidP="00DD3DEA">
            <w:pPr>
              <w:widowControl w:val="0"/>
              <w:overflowPunct w:val="0"/>
              <w:spacing w:line="320" w:lineRule="exact"/>
              <w:jc w:val="both"/>
              <w:rPr>
                <w:rFonts w:ascii="標楷體" w:eastAsia="標楷體" w:hAnsi="標楷體"/>
                <w:szCs w:val="24"/>
              </w:rPr>
            </w:pPr>
            <w:r w:rsidRPr="00DD3DEA">
              <w:rPr>
                <w:rFonts w:ascii="標楷體" w:eastAsia="標楷體" w:hAnsi="標楷體" w:hint="eastAsia"/>
                <w:kern w:val="2"/>
                <w:szCs w:val="24"/>
              </w:rPr>
              <w:t>因逾年度預算執行期間，本會於113.9.2函議事處提報院會准予備查。</w:t>
            </w:r>
          </w:p>
        </w:tc>
      </w:tr>
      <w:tr w:rsidR="007D160C" w:rsidRPr="00655D64" w14:paraId="53C8A553" w14:textId="77777777" w:rsidTr="00B60158">
        <w:trPr>
          <w:cantSplit/>
          <w:trHeight w:val="765"/>
          <w:jc w:val="center"/>
        </w:trPr>
        <w:tc>
          <w:tcPr>
            <w:tcW w:w="9493" w:type="dxa"/>
            <w:gridSpan w:val="5"/>
            <w:tcBorders>
              <w:top w:val="single" w:sz="12" w:space="0" w:color="auto"/>
              <w:left w:val="single" w:sz="4" w:space="0" w:color="auto"/>
              <w:bottom w:val="single" w:sz="12" w:space="0" w:color="auto"/>
              <w:right w:val="single" w:sz="4" w:space="0" w:color="auto"/>
            </w:tcBorders>
            <w:vAlign w:val="center"/>
          </w:tcPr>
          <w:p w14:paraId="5490D859" w14:textId="5BC82E8B" w:rsidR="007D160C" w:rsidRPr="00655D64" w:rsidRDefault="00B60158" w:rsidP="00F470A8">
            <w:pPr>
              <w:widowControl w:val="0"/>
              <w:overflowPunct w:val="0"/>
              <w:autoSpaceDN/>
              <w:spacing w:line="320" w:lineRule="exact"/>
              <w:jc w:val="both"/>
              <w:textAlignment w:val="auto"/>
              <w:rPr>
                <w:rFonts w:ascii="標楷體" w:eastAsia="標楷體" w:hAnsi="標楷體"/>
                <w:b/>
                <w:kern w:val="2"/>
                <w:sz w:val="28"/>
                <w:szCs w:val="28"/>
              </w:rPr>
            </w:pPr>
            <w:r>
              <w:rPr>
                <w:rFonts w:ascii="標楷體" w:eastAsia="標楷體" w:hAnsi="標楷體" w:hint="eastAsia"/>
                <w:b/>
                <w:kern w:val="2"/>
                <w:sz w:val="28"/>
                <w:szCs w:val="28"/>
              </w:rPr>
              <w:t>7</w:t>
            </w:r>
            <w:r w:rsidR="007D160C" w:rsidRPr="00655D64">
              <w:rPr>
                <w:rFonts w:ascii="標楷體" w:eastAsia="標楷體" w:hAnsi="標楷體"/>
                <w:b/>
                <w:kern w:val="2"/>
                <w:sz w:val="28"/>
                <w:szCs w:val="28"/>
              </w:rPr>
              <w:t>.</w:t>
            </w:r>
            <w:r w:rsidR="007D160C" w:rsidRPr="00655D64">
              <w:rPr>
                <w:rFonts w:ascii="標楷體" w:eastAsia="標楷體" w:hAnsi="標楷體" w:hint="eastAsia"/>
                <w:b/>
                <w:kern w:val="2"/>
                <w:sz w:val="28"/>
                <w:szCs w:val="28"/>
              </w:rPr>
              <w:t>中央政府前瞻基礎建設計畫第3期特別預算(</w:t>
            </w:r>
            <w:r w:rsidR="007D160C">
              <w:rPr>
                <w:rFonts w:ascii="標楷體" w:eastAsia="標楷體" w:hAnsi="標楷體" w:hint="eastAsia"/>
                <w:b/>
                <w:kern w:val="2"/>
                <w:sz w:val="28"/>
                <w:szCs w:val="28"/>
              </w:rPr>
              <w:t>74</w:t>
            </w:r>
            <w:r w:rsidR="007D160C" w:rsidRPr="00655D64">
              <w:rPr>
                <w:rFonts w:ascii="標楷體" w:eastAsia="標楷體" w:hAnsi="標楷體" w:hint="eastAsia"/>
                <w:b/>
                <w:kern w:val="2"/>
                <w:sz w:val="28"/>
                <w:szCs w:val="28"/>
              </w:rPr>
              <w:t>案)</w:t>
            </w:r>
          </w:p>
        </w:tc>
      </w:tr>
      <w:tr w:rsidR="007D160C" w:rsidRPr="00B95A07" w14:paraId="0CD98E8D" w14:textId="77777777" w:rsidTr="00E84CE5">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537B3692"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38E95B9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行政院函為中央政府前瞻基礎建設計畫第</w:t>
            </w:r>
            <w:r w:rsidRPr="00B95A07">
              <w:rPr>
                <w:rFonts w:ascii="標楷體" w:eastAsia="標楷體" w:hAnsi="標楷體"/>
                <w:kern w:val="2"/>
                <w:szCs w:val="24"/>
              </w:rPr>
              <w:t>3期特別預算決議，檢送危害國家資通安全產品廠商清單辦理情形書面報告案。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B6AFCC1"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val="restart"/>
            <w:tcBorders>
              <w:top w:val="single" w:sz="12" w:space="0" w:color="auto"/>
              <w:left w:val="single" w:sz="4" w:space="0" w:color="auto"/>
              <w:bottom w:val="single" w:sz="4" w:space="0" w:color="auto"/>
              <w:right w:val="single" w:sz="4" w:space="0" w:color="auto"/>
            </w:tcBorders>
            <w:shd w:val="clear" w:color="auto" w:fill="auto"/>
          </w:tcPr>
          <w:p w14:paraId="026F569A" w14:textId="23DFEB1E" w:rsidR="007D160C" w:rsidRPr="00EF2994" w:rsidRDefault="007D160C" w:rsidP="006801D6">
            <w:pPr>
              <w:widowControl w:val="0"/>
              <w:overflowPunct w:val="0"/>
              <w:spacing w:line="320" w:lineRule="exact"/>
              <w:jc w:val="both"/>
              <w:rPr>
                <w:rFonts w:ascii="標楷體" w:eastAsia="標楷體" w:hAnsi="標楷體"/>
                <w:kern w:val="2"/>
                <w:szCs w:val="24"/>
              </w:rPr>
            </w:pPr>
            <w:r w:rsidRPr="00EF2994">
              <w:rPr>
                <w:rFonts w:ascii="標楷體" w:eastAsia="標楷體" w:hAnsi="標楷體" w:hint="eastAsia"/>
                <w:kern w:val="2"/>
                <w:szCs w:val="24"/>
              </w:rPr>
              <w:t>因均逾年度預算執行期間，本會會同</w:t>
            </w:r>
            <w:r>
              <w:rPr>
                <w:rFonts w:ascii="標楷體" w:eastAsia="標楷體" w:hAnsi="標楷體" w:hint="eastAsia"/>
                <w:kern w:val="2"/>
                <w:szCs w:val="24"/>
              </w:rPr>
              <w:t>各相關</w:t>
            </w:r>
            <w:r w:rsidRPr="00EF2994">
              <w:rPr>
                <w:rFonts w:ascii="標楷體" w:eastAsia="標楷體" w:hAnsi="標楷體" w:hint="eastAsia"/>
                <w:kern w:val="2"/>
                <w:szCs w:val="24"/>
              </w:rPr>
              <w:t>委員會於113.</w:t>
            </w:r>
            <w:r>
              <w:rPr>
                <w:rFonts w:ascii="標楷體" w:eastAsia="標楷體" w:hAnsi="標楷體" w:hint="eastAsia"/>
                <w:kern w:val="2"/>
                <w:szCs w:val="24"/>
              </w:rPr>
              <w:t>9</w:t>
            </w:r>
            <w:r w:rsidRPr="00EF2994">
              <w:rPr>
                <w:rFonts w:ascii="標楷體" w:eastAsia="標楷體" w:hAnsi="標楷體" w:hint="eastAsia"/>
                <w:kern w:val="2"/>
                <w:szCs w:val="24"/>
              </w:rPr>
              <w:t>.</w:t>
            </w:r>
            <w:r>
              <w:rPr>
                <w:rFonts w:ascii="標楷體" w:eastAsia="標楷體" w:hAnsi="標楷體" w:hint="eastAsia"/>
                <w:kern w:val="2"/>
                <w:szCs w:val="24"/>
              </w:rPr>
              <w:t>26</w:t>
            </w:r>
            <w:r w:rsidRPr="00EF2994">
              <w:rPr>
                <w:rFonts w:ascii="標楷體" w:eastAsia="標楷體" w:hAnsi="標楷體" w:hint="eastAsia"/>
                <w:kern w:val="2"/>
                <w:szCs w:val="24"/>
              </w:rPr>
              <w:t>函議事處提報院會准予備查。</w:t>
            </w:r>
          </w:p>
          <w:p w14:paraId="045A0760" w14:textId="5113A492" w:rsidR="007D160C" w:rsidRPr="007B5E8B" w:rsidRDefault="007D160C" w:rsidP="00DD3DEA">
            <w:pPr>
              <w:widowControl w:val="0"/>
              <w:overflowPunct w:val="0"/>
              <w:spacing w:line="320" w:lineRule="exact"/>
              <w:ind w:left="120" w:hangingChars="50" w:hanging="120"/>
              <w:jc w:val="both"/>
              <w:rPr>
                <w:rFonts w:ascii="標楷體" w:eastAsia="標楷體" w:hAnsi="標楷體"/>
                <w:kern w:val="2"/>
                <w:szCs w:val="24"/>
              </w:rPr>
            </w:pPr>
          </w:p>
        </w:tc>
      </w:tr>
      <w:tr w:rsidR="007D160C" w:rsidRPr="00B95A07" w14:paraId="3E13CC68" w14:textId="77777777" w:rsidTr="00E84CE5">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13E62D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161F84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3期特別預算決議，檢送污水系統建置執行情形書面報告案。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67F3EA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top w:val="single" w:sz="4" w:space="0" w:color="auto"/>
              <w:left w:val="single" w:sz="4" w:space="0" w:color="auto"/>
              <w:right w:val="single" w:sz="4" w:space="0" w:color="auto"/>
            </w:tcBorders>
            <w:shd w:val="clear" w:color="auto" w:fill="auto"/>
            <w:vAlign w:val="center"/>
          </w:tcPr>
          <w:p w14:paraId="1A9415C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FA3544A"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895813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A8A966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3期特別預算決議，檢送警政署「智慧XR警勤訓練建置案細部規劃」書面報告案。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1B910E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3CAA18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32E5E0"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7E5871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B7BEF31"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3期特別預算決議，檢送警政署「建置智慧化交通事故處理系統」書面報告案。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C941E58"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60" w:type="dxa"/>
            <w:vMerge/>
            <w:tcBorders>
              <w:left w:val="single" w:sz="4" w:space="0" w:color="auto"/>
              <w:right w:val="single" w:sz="4" w:space="0" w:color="auto"/>
            </w:tcBorders>
            <w:vAlign w:val="center"/>
          </w:tcPr>
          <w:p w14:paraId="295CCD0B"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2DAD5BC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3A9BC2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1A3449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3期特別預算決議，檢送警政署「智慧化交通事故處理系統建置規劃」書面報告案。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F8A047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60" w:type="dxa"/>
            <w:vMerge/>
            <w:tcBorders>
              <w:left w:val="single" w:sz="4" w:space="0" w:color="auto"/>
              <w:right w:val="single" w:sz="4" w:space="0" w:color="auto"/>
            </w:tcBorders>
            <w:vAlign w:val="center"/>
          </w:tcPr>
          <w:p w14:paraId="3CDAB70E"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6555EFF2"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6EA74E1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236ABB6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w:t>
            </w:r>
            <w:r w:rsidRPr="00B95A07">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50A4B83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A3CB0C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45AE17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CE2FF37"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B65B4D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7D6E64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7A4E2E8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2A0A2A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D89049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C8338E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12ADA6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40944C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E42016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78D572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456707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325E05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F1B882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98A765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53C94B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02261F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215E63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D2E053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44C5E61"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FEA579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C2E5AD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95F21E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1A3645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1D3BD7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0CD78B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59DF22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75EC56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9C83CD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4A2C3F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317FCC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A4A59B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1612E2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8356CF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1CF2A6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334461A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16205D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88838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60" w:type="dxa"/>
            <w:vMerge/>
            <w:tcBorders>
              <w:left w:val="single" w:sz="4" w:space="0" w:color="auto"/>
              <w:right w:val="single" w:sz="4" w:space="0" w:color="auto"/>
            </w:tcBorders>
            <w:shd w:val="clear" w:color="auto" w:fill="auto"/>
            <w:vAlign w:val="center"/>
          </w:tcPr>
          <w:p w14:paraId="6CEE01F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4DED8A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039B06B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6D5E5F8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3期特別預算決議，檢送「國家綠能標準檢測驗證計畫推動期程及效益」專案報告案。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5883608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第10屆第3會期第7次院會（1</w:t>
            </w:r>
            <w:r w:rsidRPr="00B95A07">
              <w:rPr>
                <w:rFonts w:ascii="標楷體" w:eastAsia="標楷體" w:hAnsi="標楷體"/>
                <w:kern w:val="2"/>
                <w:szCs w:val="24"/>
              </w:rPr>
              <w:t>10</w:t>
            </w:r>
            <w:r w:rsidRPr="00B95A07">
              <w:rPr>
                <w:rFonts w:ascii="標楷體" w:eastAsia="標楷體" w:hAnsi="標楷體" w:hint="eastAsia"/>
                <w:kern w:val="2"/>
                <w:szCs w:val="24"/>
              </w:rPr>
              <w:t>.4.9）決定：「交財政及相關委員會處理」</w:t>
            </w:r>
          </w:p>
        </w:tc>
        <w:tc>
          <w:tcPr>
            <w:tcW w:w="1560" w:type="dxa"/>
            <w:vMerge/>
            <w:tcBorders>
              <w:left w:val="single" w:sz="4" w:space="0" w:color="auto"/>
              <w:right w:val="single" w:sz="4" w:space="0" w:color="auto"/>
            </w:tcBorders>
            <w:shd w:val="clear" w:color="auto" w:fill="auto"/>
            <w:vAlign w:val="center"/>
          </w:tcPr>
          <w:p w14:paraId="4319EE7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F9F568"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42B1F3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5596DE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3期特別預算決議，檢送「加強後續受補助法人計畫之執行監督及研發成果落實運用」書面報告案。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2DAFAF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5DB5FE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3AF62D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F48793C"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A5FE69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3期特別預算決議，檢送「全國水資源用水情形及精進」書面報告</w:t>
            </w:r>
            <w:r w:rsidRPr="00B95A07">
              <w:rPr>
                <w:rFonts w:ascii="標楷體" w:eastAsia="標楷體" w:hAnsi="標楷體" w:hint="eastAsia"/>
                <w:kern w:val="2"/>
                <w:szCs w:val="24"/>
              </w:rPr>
              <w:t>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C1CEE3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CEB8DE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33D41F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A6F5AA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CF560E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w:t>
            </w:r>
            <w:r w:rsidRPr="00B95A07">
              <w:rPr>
                <w:rFonts w:ascii="標楷體" w:eastAsia="標楷體" w:hAnsi="標楷體" w:hint="eastAsia"/>
                <w:kern w:val="2"/>
                <w:szCs w:val="24"/>
              </w:rPr>
              <w:t>伏流水工程疑慮</w:t>
            </w:r>
            <w:r w:rsidRPr="00B95A07">
              <w:rPr>
                <w:rFonts w:ascii="標楷體" w:eastAsia="標楷體" w:hAnsi="標楷體"/>
                <w:kern w:val="2"/>
                <w:szCs w:val="24"/>
              </w:rPr>
              <w:t>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C936C8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EB6BB5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764C480"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0192A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080552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3期特別預算決議，檢送「加工出口區勞力短缺及土地使用權因應對策」書面報告案。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64EAAA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2F5B67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2F33007"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FD325D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2604E1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3期特別預算決議，檢送「推動再生能源發電系統併網技術期程及效益」書面報告案。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3A010F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EB8647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67FD48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6864D9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95C6E6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3期特別預算決議，檢送「水資源開發總盤點計畫」書面報告案。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1A04549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.21）決定：「交財政及相關委員會審查」</w:t>
            </w:r>
          </w:p>
        </w:tc>
        <w:tc>
          <w:tcPr>
            <w:tcW w:w="1560" w:type="dxa"/>
            <w:vMerge/>
            <w:tcBorders>
              <w:left w:val="single" w:sz="4" w:space="0" w:color="auto"/>
              <w:right w:val="single" w:sz="4" w:space="0" w:color="auto"/>
            </w:tcBorders>
            <w:shd w:val="clear" w:color="auto" w:fill="auto"/>
            <w:vAlign w:val="center"/>
          </w:tcPr>
          <w:p w14:paraId="332ED3C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F423F0F"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10951A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D8F45B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3期特別預算決議，檢送增加重點產業人才之質與量書面報告案。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C73797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第10屆第3會期第13次院會（110.5.21）決定：「交財政及相關委員會審查」</w:t>
            </w:r>
          </w:p>
        </w:tc>
        <w:tc>
          <w:tcPr>
            <w:tcW w:w="1560" w:type="dxa"/>
            <w:vMerge/>
            <w:tcBorders>
              <w:left w:val="single" w:sz="4" w:space="0" w:color="auto"/>
              <w:right w:val="single" w:sz="4" w:space="0" w:color="auto"/>
            </w:tcBorders>
            <w:shd w:val="clear" w:color="auto" w:fill="auto"/>
            <w:vAlign w:val="center"/>
          </w:tcPr>
          <w:p w14:paraId="2506C1B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F6E0B18"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B79D10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B55DF2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85F9A2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6A913E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7D0436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BAC60B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F0689B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8DE37C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00DADC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3F50F89"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3BB74C7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01FC6C7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經濟部函為中央政府前瞻基礎建設計畫第3期特別預算決議，檢送「離岸風電推動政策及辦理情形」書面報告案。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4BD9A37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775FDED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1737DA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5B61D967"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53DE2E1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3期特別預算決議，檢送水土保持局原鄉部落水庫崩塌、野溪治理及水土災害書面報告案。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0D9A205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CD84F9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467BAA5"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06A9138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1F5E753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3期特別預算決議，檢送水土保持局縣市管河川及區域排水整體改善計畫工程進度未如預期書面報告案。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05C4672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AB6DDC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8C6CAD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0A70162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090D765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財政部函為中央政府前瞻基礎建設計畫第</w:t>
            </w:r>
            <w:r w:rsidRPr="00B95A07">
              <w:rPr>
                <w:rFonts w:ascii="標楷體" w:eastAsia="標楷體" w:hAnsi="標楷體"/>
                <w:kern w:val="2"/>
                <w:szCs w:val="24"/>
              </w:rPr>
              <w:t>3期特別預算決議，檢送公共債務未償餘額妥善規劃償債計畫書面報告案。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4826BC1"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60" w:type="dxa"/>
            <w:vMerge/>
            <w:tcBorders>
              <w:left w:val="single" w:sz="4" w:space="0" w:color="auto"/>
              <w:right w:val="single" w:sz="4" w:space="0" w:color="auto"/>
            </w:tcBorders>
            <w:shd w:val="clear" w:color="auto" w:fill="auto"/>
            <w:vAlign w:val="center"/>
          </w:tcPr>
          <w:p w14:paraId="7A6CBE2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1B746B6"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3D612FD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5476183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518CA5A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1BBC4BD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B4BDA2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0F207D66"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6C777E4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w:t>
            </w:r>
            <w:r w:rsidRPr="00B95A07">
              <w:rPr>
                <w:rFonts w:ascii="標楷體" w:eastAsia="標楷體" w:hAnsi="標楷體"/>
                <w:kern w:val="2"/>
                <w:szCs w:val="24"/>
              </w:rPr>
              <w:t>3期特別預算決議，檢送「地方創生如何落實由下而上之政策執行」書面報告案。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3F33796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4C52C9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ED4983E"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7FD8A7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4B7130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E62258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6645622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959A203"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CE13CF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7ECC3A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111A6AB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D7C6C7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8FEFAE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EA9414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E3B1C9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CC56D4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CFD35A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0C6CE3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38EBC66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8276BD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教育部函為中央政府前瞻基礎建設計畫第3期特別預算決議，檢送「臺美合作推動雙語國家政策」書面報告案。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B6195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9BF08F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045B01"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35E28E9E"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F860D6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64BDFA1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60" w:type="dxa"/>
            <w:vMerge/>
            <w:tcBorders>
              <w:left w:val="single" w:sz="4" w:space="0" w:color="auto"/>
              <w:right w:val="single" w:sz="4" w:space="0" w:color="auto"/>
            </w:tcBorders>
            <w:shd w:val="clear" w:color="auto" w:fill="auto"/>
            <w:vAlign w:val="center"/>
          </w:tcPr>
          <w:p w14:paraId="673143D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2B23873" w14:textId="77777777" w:rsidTr="00B60158">
        <w:trPr>
          <w:cantSplit/>
          <w:trHeight w:val="1077"/>
          <w:jc w:val="center"/>
        </w:trPr>
        <w:tc>
          <w:tcPr>
            <w:tcW w:w="846" w:type="dxa"/>
            <w:tcBorders>
              <w:top w:val="single" w:sz="12" w:space="0" w:color="auto"/>
              <w:left w:val="single" w:sz="4" w:space="0" w:color="auto"/>
              <w:bottom w:val="single" w:sz="12" w:space="0" w:color="auto"/>
              <w:right w:val="single" w:sz="4" w:space="0" w:color="auto"/>
            </w:tcBorders>
          </w:tcPr>
          <w:p w14:paraId="0A2435A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12" w:space="0" w:color="auto"/>
              <w:right w:val="single" w:sz="4" w:space="0" w:color="auto"/>
            </w:tcBorders>
          </w:tcPr>
          <w:p w14:paraId="2A2AAD3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文化部函為中央政府前瞻基礎建設計畫第</w:t>
            </w:r>
            <w:r w:rsidRPr="00B95A07">
              <w:rPr>
                <w:rFonts w:ascii="標楷體" w:eastAsia="標楷體" w:hAnsi="標楷體"/>
                <w:kern w:val="2"/>
                <w:szCs w:val="24"/>
              </w:rPr>
              <w:t>3期特別預算決議，檢送「國家文化記憶庫計畫2.0」書面報告案。</w:t>
            </w:r>
          </w:p>
        </w:tc>
        <w:tc>
          <w:tcPr>
            <w:tcW w:w="2976" w:type="dxa"/>
            <w:gridSpan w:val="2"/>
            <w:tcBorders>
              <w:top w:val="single" w:sz="12" w:space="0" w:color="auto"/>
              <w:left w:val="single" w:sz="4" w:space="0" w:color="auto"/>
              <w:bottom w:val="single" w:sz="12" w:space="0" w:color="auto"/>
              <w:right w:val="single" w:sz="4" w:space="0" w:color="auto"/>
            </w:tcBorders>
            <w:shd w:val="clear" w:color="auto" w:fill="auto"/>
          </w:tcPr>
          <w:p w14:paraId="4244129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488ADFA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87440D4"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5A2C4B26"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704BD38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3期特別預算決議，檢送該會決議（一）引導電信業者強化及提升偏鄉寬頻涵蓋率書面報告案。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27FFFE3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2C8B27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9DDD413"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EE7A93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85325D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3期特別預算決議，檢送該會決議（八）5G偏鄉人口涵蓋率書面報告案。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38DF0C42"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5FE61C7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5F7187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E1D992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088FBC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3期特別預算決議，檢送該會決議（二）加速執行網路建設書面報告案。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222FEB5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23635D1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C61829F"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371FB35"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6BF195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3期特別預算決議，檢送該會決議（六）加速強化山林區域通訊品質改善書面報告案。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C3BE67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71051E1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10B108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3DCF53C"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EB8F927"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3期特別預算決議，檢送該會決議（十）建置5G關鍵基礎設施規範書面報告案。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193B3E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10E6605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ADDC7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0869902"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6A8CCF3"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檢送該會決議（十二）優化偏鄉與山區寬頻網路訊號品質書面報告案。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24CB5D5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28C8D55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507339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7EFF4B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B8AB88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3期特別預算決議，檢送該會決議（十四）加強監督得標業者落實執行5G基地臺等相關建設書面報告案。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43D64D3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0F5E058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D69C53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052BAAA"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0CFD5F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w:t>
            </w:r>
            <w:r w:rsidRPr="00B95A07">
              <w:rPr>
                <w:rFonts w:ascii="標楷體" w:eastAsia="標楷體" w:hAnsi="標楷體" w:hint="eastAsia"/>
                <w:kern w:val="2"/>
                <w:szCs w:val="24"/>
              </w:rPr>
              <w:t>五</w:t>
            </w:r>
            <w:r w:rsidRPr="00B95A07">
              <w:rPr>
                <w:rFonts w:ascii="標楷體" w:eastAsia="標楷體" w:hAnsi="標楷體"/>
                <w:kern w:val="2"/>
                <w:szCs w:val="24"/>
              </w:rPr>
              <w:t>）優化偏鄉與山區寬頻網路訊號品質書面報告案。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604F2B4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583C53D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E230FC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DBF7B7C"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5F1403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3期特別預算決議，檢送該會決議（十七）非都會區及偏鄉地區5G網路建設書面報告案。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0338E3F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388EECE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468A32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221C03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3D856F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3期特別預算決議，檢送該會決議（十九）場域實證之法規調適及應用書面報告案。</w:t>
            </w:r>
          </w:p>
        </w:tc>
        <w:tc>
          <w:tcPr>
            <w:tcW w:w="2976" w:type="dxa"/>
            <w:gridSpan w:val="2"/>
            <w:tcBorders>
              <w:top w:val="single" w:sz="4" w:space="0" w:color="auto"/>
              <w:left w:val="single" w:sz="4" w:space="0" w:color="auto"/>
              <w:bottom w:val="single" w:sz="4" w:space="0" w:color="auto"/>
              <w:right w:val="single" w:sz="4" w:space="0" w:color="auto"/>
            </w:tcBorders>
          </w:tcPr>
          <w:p w14:paraId="7D8D69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vAlign w:val="center"/>
          </w:tcPr>
          <w:p w14:paraId="3515123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EFCB0BC"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3D4884A2"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221516CA"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1E1818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1D6B0DC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1744214"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2F14F88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528F6A3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3期特別預算決議，檢送該部決議（五）前瞻軌道建設17項計畫預算編列方式與期程書面報告案。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2EBE1D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E4468C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583B21"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417E46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3A286C1"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3期特別預算決議，檢送鐵道局決議（六）綜合規劃與環境影響評估期末報告審查前召開公聽會書面報告案。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D18888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60" w:type="dxa"/>
            <w:vMerge/>
            <w:tcBorders>
              <w:left w:val="single" w:sz="4" w:space="0" w:color="auto"/>
              <w:right w:val="single" w:sz="4" w:space="0" w:color="auto"/>
            </w:tcBorders>
            <w:shd w:val="clear" w:color="auto" w:fill="auto"/>
            <w:vAlign w:val="center"/>
          </w:tcPr>
          <w:p w14:paraId="713BA5E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BFBED53"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BE11B1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5D7DF85"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3期特別預算決議，檢送該部決議（九）檢討瑞芳猴硐路段坍方事件書面報告案。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5A6DFA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60" w:type="dxa"/>
            <w:vMerge/>
            <w:tcBorders>
              <w:left w:val="single" w:sz="4" w:space="0" w:color="auto"/>
              <w:right w:val="single" w:sz="4" w:space="0" w:color="auto"/>
            </w:tcBorders>
            <w:shd w:val="clear" w:color="auto" w:fill="auto"/>
            <w:vAlign w:val="center"/>
          </w:tcPr>
          <w:p w14:paraId="7DE02BC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2BAFBD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ACC4B0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A66A55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3期特別預算決議，檢送鐵道局決議（二）儘速籌設財團法人鐵道技術研究及驗證中心書面報告案。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EE16F4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60" w:type="dxa"/>
            <w:vMerge/>
            <w:tcBorders>
              <w:left w:val="single" w:sz="4" w:space="0" w:color="auto"/>
              <w:right w:val="single" w:sz="4" w:space="0" w:color="auto"/>
            </w:tcBorders>
            <w:shd w:val="clear" w:color="auto" w:fill="auto"/>
            <w:vAlign w:val="center"/>
          </w:tcPr>
          <w:p w14:paraId="397759C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470A2B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A5CE9F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98931D3"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交通部函為中央政府前瞻基礎建設計畫第3期特別預算決議，檢送通案決議（二）預算編列評估書面報告案。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F495E3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4CB059C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699AB5E"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01F69FA"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20315C5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0B011C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1DA6E48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C85F40C"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05001F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867A81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BA821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0C1BAB4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65BA33B"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59F027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6D287413"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43F9F28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60" w:type="dxa"/>
            <w:vMerge/>
            <w:tcBorders>
              <w:left w:val="single" w:sz="4" w:space="0" w:color="auto"/>
              <w:right w:val="single" w:sz="4" w:space="0" w:color="auto"/>
            </w:tcBorders>
            <w:shd w:val="clear" w:color="auto" w:fill="auto"/>
            <w:vAlign w:val="center"/>
          </w:tcPr>
          <w:p w14:paraId="66DA78D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19487ED"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6491EC5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4D23D01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3期特別預算決議，檢送邊境查驗自動化系統建置情形書面報告案。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71F3EFE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1560" w:type="dxa"/>
            <w:vMerge/>
            <w:tcBorders>
              <w:left w:val="single" w:sz="4" w:space="0" w:color="auto"/>
              <w:right w:val="single" w:sz="4" w:space="0" w:color="auto"/>
            </w:tcBorders>
            <w:shd w:val="clear" w:color="auto" w:fill="auto"/>
            <w:vAlign w:val="center"/>
          </w:tcPr>
          <w:p w14:paraId="36485FE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1F1F657"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A2F42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5216F33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3期特別預算決議，檢送健保醫療資訊雲端查詢系統提升方案書面報告案。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57CEF6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34F9104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6E51FB"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A84483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FD2387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3期特別預算決議，檢送強化醫療資訊雲端之整合與運用書面報告案。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ECC538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0FADC51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A39DC20"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B4BC91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56F9A4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3期特別預算決議，檢送「因應少子化友善育兒空間建設」改善發包率辦理情形案。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57E84D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01BAE6E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9AAB42"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8BEA327"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485CC6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3期特別預算決議，檢送如何達成公托普及目標及城鄉資源分配辦理情形案。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BFEB4C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756AF73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38305F8"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FA8D85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0B7F975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3期特別預算決議，檢送「建構0－2歲兒童社區公共托育計畫」執行率低落改善辦理情形案。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8DE68AF"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right w:val="single" w:sz="4" w:space="0" w:color="auto"/>
            </w:tcBorders>
            <w:shd w:val="clear" w:color="auto" w:fill="auto"/>
            <w:vAlign w:val="center"/>
          </w:tcPr>
          <w:p w14:paraId="4762C74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04AC0D"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488D083"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FB40E2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98EC7F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59AA04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039155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06492ECA"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094BA7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24C28B8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567060A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DD17F8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18F3FA8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2DDE92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764733A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4961C8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D497C04"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591603A8"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C9724E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0D6FF988"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BC485B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FEEF689"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7277F71"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7150F1A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953B18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ACEF08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6415D6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6D74D124"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3588371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衛生福利部函為中央政府前瞻基礎建設計畫第3期特別預算決議，檢送預算編列及執行情形檢討書面報告案。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45B5F4C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707C291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C224276"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4A9109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14EF027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衛生福利部函為中央政府前瞻基礎建設計畫第3期特別預算決議，檢送執行率不佳書面報告案。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303F831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0F95426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D3F2635"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795C9429"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FACED4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衛生福利部函為中央政府前瞻基礎建設計畫第3期特別預算決議，檢送城鄉建設預算分配情形表案。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8182E9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32C0105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99E26E7" w14:textId="77777777" w:rsidTr="00B60158">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4AA981DD"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63E7E77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2A83E9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B76DA3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253251" w14:textId="77777777" w:rsidTr="00B60158">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03474B3B"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611DCBB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4F1CBE3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1CBA1E3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FBC5286" w14:textId="77777777" w:rsidTr="00B60158">
        <w:trPr>
          <w:cantSplit/>
          <w:trHeight w:val="1077"/>
          <w:jc w:val="center"/>
        </w:trPr>
        <w:tc>
          <w:tcPr>
            <w:tcW w:w="846" w:type="dxa"/>
            <w:tcBorders>
              <w:top w:val="single" w:sz="12" w:space="0" w:color="auto"/>
              <w:left w:val="single" w:sz="4" w:space="0" w:color="auto"/>
              <w:bottom w:val="single" w:sz="4" w:space="0" w:color="auto"/>
              <w:right w:val="single" w:sz="4" w:space="0" w:color="auto"/>
            </w:tcBorders>
          </w:tcPr>
          <w:p w14:paraId="4D081236"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12" w:space="0" w:color="auto"/>
              <w:left w:val="single" w:sz="4" w:space="0" w:color="auto"/>
              <w:bottom w:val="single" w:sz="4" w:space="0" w:color="auto"/>
              <w:right w:val="single" w:sz="4" w:space="0" w:color="auto"/>
            </w:tcBorders>
          </w:tcPr>
          <w:p w14:paraId="49AF71B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3期特別預算決議，檢送水質改善及污水設施無法有效發包及達成水質改善書面報告案。</w:t>
            </w:r>
          </w:p>
        </w:tc>
        <w:tc>
          <w:tcPr>
            <w:tcW w:w="2976" w:type="dxa"/>
            <w:gridSpan w:val="2"/>
            <w:tcBorders>
              <w:top w:val="single" w:sz="12" w:space="0" w:color="auto"/>
              <w:left w:val="single" w:sz="4" w:space="0" w:color="auto"/>
              <w:bottom w:val="single" w:sz="4" w:space="0" w:color="auto"/>
              <w:right w:val="single" w:sz="4" w:space="0" w:color="auto"/>
            </w:tcBorders>
            <w:shd w:val="clear" w:color="auto" w:fill="auto"/>
          </w:tcPr>
          <w:p w14:paraId="6AAA59F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right w:val="single" w:sz="4" w:space="0" w:color="auto"/>
            </w:tcBorders>
            <w:shd w:val="clear" w:color="auto" w:fill="auto"/>
            <w:vAlign w:val="center"/>
          </w:tcPr>
          <w:p w14:paraId="244B16F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05EBF7F" w14:textId="77777777" w:rsidTr="00E84CE5">
        <w:trPr>
          <w:cantSplit/>
          <w:trHeight w:val="1077"/>
          <w:jc w:val="center"/>
        </w:trPr>
        <w:tc>
          <w:tcPr>
            <w:tcW w:w="846" w:type="dxa"/>
            <w:tcBorders>
              <w:top w:val="single" w:sz="4" w:space="0" w:color="auto"/>
              <w:left w:val="single" w:sz="4" w:space="0" w:color="auto"/>
              <w:bottom w:val="single" w:sz="4" w:space="0" w:color="auto"/>
              <w:right w:val="single" w:sz="4" w:space="0" w:color="auto"/>
            </w:tcBorders>
          </w:tcPr>
          <w:p w14:paraId="26B6CE40"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4" w:space="0" w:color="auto"/>
              <w:right w:val="single" w:sz="4" w:space="0" w:color="auto"/>
            </w:tcBorders>
          </w:tcPr>
          <w:p w14:paraId="4E13328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3期特別預算決議，檢送水庫集水區淨化水質設施改善方案書面報告案。</w:t>
            </w:r>
          </w:p>
        </w:tc>
        <w:tc>
          <w:tcPr>
            <w:tcW w:w="2976" w:type="dxa"/>
            <w:gridSpan w:val="2"/>
            <w:tcBorders>
              <w:top w:val="single" w:sz="4" w:space="0" w:color="auto"/>
              <w:left w:val="single" w:sz="4" w:space="0" w:color="auto"/>
              <w:bottom w:val="single" w:sz="4" w:space="0" w:color="auto"/>
              <w:right w:val="single" w:sz="4" w:space="0" w:color="auto"/>
            </w:tcBorders>
            <w:shd w:val="clear" w:color="auto" w:fill="auto"/>
          </w:tcPr>
          <w:p w14:paraId="51877276"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1560" w:type="dxa"/>
            <w:vMerge/>
            <w:tcBorders>
              <w:left w:val="single" w:sz="4" w:space="0" w:color="auto"/>
              <w:bottom w:val="single" w:sz="4" w:space="0" w:color="auto"/>
              <w:right w:val="single" w:sz="4" w:space="0" w:color="auto"/>
            </w:tcBorders>
            <w:shd w:val="clear" w:color="auto" w:fill="auto"/>
            <w:vAlign w:val="center"/>
          </w:tcPr>
          <w:p w14:paraId="543F02E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8B9CD3B" w14:textId="77777777" w:rsidTr="00E84CE5">
        <w:trPr>
          <w:cantSplit/>
          <w:trHeight w:val="1077"/>
          <w:jc w:val="center"/>
        </w:trPr>
        <w:tc>
          <w:tcPr>
            <w:tcW w:w="846" w:type="dxa"/>
            <w:tcBorders>
              <w:top w:val="single" w:sz="4" w:space="0" w:color="auto"/>
              <w:left w:val="single" w:sz="4" w:space="0" w:color="auto"/>
              <w:bottom w:val="single" w:sz="12" w:space="0" w:color="auto"/>
              <w:right w:val="single" w:sz="4" w:space="0" w:color="auto"/>
            </w:tcBorders>
          </w:tcPr>
          <w:p w14:paraId="1DE5165F" w14:textId="77777777" w:rsidR="007D160C" w:rsidRPr="00557630" w:rsidRDefault="007D160C" w:rsidP="00FA328D">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111" w:type="dxa"/>
            <w:tcBorders>
              <w:top w:val="single" w:sz="4" w:space="0" w:color="auto"/>
              <w:left w:val="single" w:sz="4" w:space="0" w:color="auto"/>
              <w:bottom w:val="single" w:sz="12" w:space="0" w:color="auto"/>
              <w:right w:val="single" w:sz="4" w:space="0" w:color="auto"/>
            </w:tcBorders>
          </w:tcPr>
          <w:p w14:paraId="78980CE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檢送水庫集水區淨化水質設施改善方案書面報告案。</w:t>
            </w:r>
          </w:p>
        </w:tc>
        <w:tc>
          <w:tcPr>
            <w:tcW w:w="2976" w:type="dxa"/>
            <w:gridSpan w:val="2"/>
            <w:tcBorders>
              <w:top w:val="single" w:sz="4" w:space="0" w:color="auto"/>
              <w:left w:val="single" w:sz="4" w:space="0" w:color="auto"/>
              <w:bottom w:val="single" w:sz="12" w:space="0" w:color="auto"/>
              <w:right w:val="single" w:sz="4" w:space="0" w:color="auto"/>
            </w:tcBorders>
            <w:shd w:val="clear" w:color="auto" w:fill="auto"/>
          </w:tcPr>
          <w:p w14:paraId="7C34FF2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1560" w:type="dxa"/>
            <w:vMerge/>
            <w:tcBorders>
              <w:left w:val="single" w:sz="4" w:space="0" w:color="auto"/>
              <w:bottom w:val="single" w:sz="12" w:space="0" w:color="auto"/>
              <w:right w:val="single" w:sz="4" w:space="0" w:color="auto"/>
            </w:tcBorders>
            <w:shd w:val="clear" w:color="auto" w:fill="auto"/>
            <w:vAlign w:val="center"/>
          </w:tcPr>
          <w:p w14:paraId="182E06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bl>
    <w:p w14:paraId="2759BB47" w14:textId="2C43CDEF" w:rsidR="001E0A74" w:rsidRPr="00383C53" w:rsidRDefault="00BD5B13"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43" w:name="_Toc189487283"/>
      <w:r w:rsidRPr="00383C53">
        <w:rPr>
          <w:rFonts w:ascii="標楷體" w:eastAsia="標楷體" w:hAnsi="標楷體" w:hint="eastAsia"/>
          <w:bCs w:val="0"/>
          <w:sz w:val="36"/>
          <w:szCs w:val="36"/>
        </w:rPr>
        <w:lastRenderedPageBreak/>
        <w:t>肆、</w:t>
      </w:r>
      <w:r w:rsidR="000F55F7" w:rsidRPr="00383C53">
        <w:rPr>
          <w:rFonts w:ascii="標楷體" w:eastAsia="標楷體" w:hAnsi="標楷體" w:hint="eastAsia"/>
          <w:bCs w:val="0"/>
          <w:sz w:val="36"/>
          <w:szCs w:val="36"/>
        </w:rPr>
        <w:t>本會期院會通過之議案(含逕付二讀案)</w:t>
      </w:r>
      <w:r w:rsidR="000F55F7" w:rsidRPr="00383C53">
        <w:rPr>
          <w:rFonts w:ascii="標楷體" w:eastAsia="標楷體" w:hAnsi="標楷體"/>
          <w:bCs w:val="0"/>
          <w:sz w:val="36"/>
          <w:szCs w:val="36"/>
        </w:rPr>
        <w:t>(</w:t>
      </w:r>
      <w:r w:rsidR="00383C53" w:rsidRPr="00383C53">
        <w:rPr>
          <w:rFonts w:ascii="標楷體" w:eastAsia="標楷體" w:hAnsi="標楷體" w:hint="eastAsia"/>
          <w:bCs w:val="0"/>
          <w:sz w:val="36"/>
          <w:szCs w:val="36"/>
        </w:rPr>
        <w:t>4</w:t>
      </w:r>
      <w:r w:rsidR="00CF7959">
        <w:rPr>
          <w:rFonts w:ascii="標楷體" w:eastAsia="標楷體" w:hAnsi="標楷體" w:hint="eastAsia"/>
          <w:bCs w:val="0"/>
          <w:sz w:val="36"/>
          <w:szCs w:val="36"/>
        </w:rPr>
        <w:t>43</w:t>
      </w:r>
      <w:r w:rsidR="000F55F7" w:rsidRPr="00383C53">
        <w:rPr>
          <w:rFonts w:ascii="標楷體" w:eastAsia="標楷體" w:hAnsi="標楷體" w:hint="eastAsia"/>
          <w:bCs w:val="0"/>
          <w:sz w:val="36"/>
          <w:szCs w:val="36"/>
        </w:rPr>
        <w:t>案</w:t>
      </w:r>
      <w:r w:rsidR="000F55F7" w:rsidRPr="00383C53">
        <w:rPr>
          <w:rFonts w:ascii="標楷體" w:eastAsia="標楷體" w:hAnsi="標楷體"/>
          <w:bCs w:val="0"/>
          <w:sz w:val="36"/>
          <w:szCs w:val="36"/>
        </w:rPr>
        <w:t>)</w:t>
      </w:r>
      <w:bookmarkEnd w:id="43"/>
    </w:p>
    <w:p w14:paraId="7EE4B3A6" w14:textId="3A37BBC3" w:rsidR="007D160C" w:rsidRPr="00450304"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44" w:name="_Toc126576789"/>
      <w:bookmarkStart w:id="45" w:name="_Toc143873905"/>
      <w:bookmarkStart w:id="46" w:name="_Toc157095681"/>
      <w:bookmarkStart w:id="47" w:name="_Toc175833571"/>
      <w:bookmarkStart w:id="48" w:name="_Toc189487284"/>
      <w:r w:rsidRPr="00450304">
        <w:rPr>
          <w:rFonts w:ascii="標楷體" w:eastAsia="標楷體" w:hAnsi="標楷體" w:hint="eastAsia"/>
          <w:b/>
          <w:bCs/>
          <w:sz w:val="32"/>
          <w:szCs w:val="32"/>
        </w:rPr>
        <w:t>一、法律案及本院內規(</w:t>
      </w:r>
      <w:r w:rsidR="00C532FC">
        <w:rPr>
          <w:rFonts w:ascii="標楷體" w:eastAsia="標楷體" w:hAnsi="標楷體" w:hint="eastAsia"/>
          <w:b/>
          <w:bCs/>
          <w:sz w:val="32"/>
          <w:szCs w:val="32"/>
        </w:rPr>
        <w:t>55</w:t>
      </w:r>
      <w:r w:rsidRPr="00450304">
        <w:rPr>
          <w:rFonts w:ascii="標楷體" w:eastAsia="標楷體" w:hAnsi="標楷體" w:hint="eastAsia"/>
          <w:b/>
          <w:bCs/>
          <w:sz w:val="32"/>
          <w:szCs w:val="32"/>
        </w:rPr>
        <w:t>案)</w:t>
      </w:r>
      <w:bookmarkEnd w:id="44"/>
      <w:bookmarkEnd w:id="45"/>
      <w:bookmarkEnd w:id="46"/>
      <w:bookmarkEnd w:id="47"/>
      <w:bookmarkEnd w:id="48"/>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7"/>
        <w:gridCol w:w="1285"/>
        <w:gridCol w:w="1416"/>
        <w:gridCol w:w="1693"/>
        <w:gridCol w:w="1735"/>
        <w:gridCol w:w="1617"/>
        <w:gridCol w:w="1520"/>
      </w:tblGrid>
      <w:tr w:rsidR="007D160C" w:rsidRPr="00780B41" w14:paraId="0552D988" w14:textId="77777777" w:rsidTr="004E1C6E">
        <w:trPr>
          <w:trHeight w:val="473"/>
          <w:jc w:val="center"/>
        </w:trPr>
        <w:tc>
          <w:tcPr>
            <w:tcW w:w="657" w:type="dxa"/>
            <w:tcBorders>
              <w:top w:val="single" w:sz="12" w:space="0" w:color="auto"/>
              <w:bottom w:val="single" w:sz="12" w:space="0" w:color="auto"/>
              <w:right w:val="single" w:sz="4" w:space="0" w:color="auto"/>
            </w:tcBorders>
            <w:vAlign w:val="center"/>
          </w:tcPr>
          <w:p w14:paraId="26CCEFAD"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序號</w:t>
            </w:r>
          </w:p>
        </w:tc>
        <w:tc>
          <w:tcPr>
            <w:tcW w:w="1285" w:type="dxa"/>
            <w:tcBorders>
              <w:top w:val="single" w:sz="12" w:space="0" w:color="auto"/>
              <w:left w:val="single" w:sz="4" w:space="0" w:color="auto"/>
              <w:bottom w:val="single" w:sz="12" w:space="0" w:color="auto"/>
            </w:tcBorders>
            <w:vAlign w:val="center"/>
          </w:tcPr>
          <w:p w14:paraId="1F1389CE"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法 案</w:t>
            </w:r>
          </w:p>
          <w:p w14:paraId="4B9A6207"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名 稱</w:t>
            </w:r>
          </w:p>
        </w:tc>
        <w:tc>
          <w:tcPr>
            <w:tcW w:w="1416" w:type="dxa"/>
            <w:tcBorders>
              <w:top w:val="single" w:sz="12" w:space="0" w:color="auto"/>
              <w:left w:val="single" w:sz="4" w:space="0" w:color="auto"/>
              <w:bottom w:val="single" w:sz="12" w:space="0" w:color="auto"/>
            </w:tcBorders>
            <w:vAlign w:val="center"/>
          </w:tcPr>
          <w:p w14:paraId="7CAF773D" w14:textId="77777777" w:rsidR="007D160C" w:rsidRPr="00780B41" w:rsidRDefault="007D160C" w:rsidP="00F470A8">
            <w:pPr>
              <w:overflowPunct w:val="0"/>
              <w:spacing w:line="320" w:lineRule="exact"/>
              <w:jc w:val="center"/>
              <w:rPr>
                <w:rFonts w:ascii="標楷體" w:eastAsia="標楷體" w:hAnsi="標楷體"/>
                <w:b/>
                <w:bCs/>
                <w:color w:val="000000" w:themeColor="text1"/>
                <w:spacing w:val="-20"/>
                <w:szCs w:val="24"/>
              </w:rPr>
            </w:pPr>
            <w:r w:rsidRPr="00780B41">
              <w:rPr>
                <w:rFonts w:ascii="標楷體" w:eastAsia="標楷體" w:hAnsi="標楷體" w:hint="eastAsia"/>
                <w:b/>
                <w:bCs/>
                <w:color w:val="000000" w:themeColor="text1"/>
                <w:spacing w:val="-20"/>
                <w:szCs w:val="24"/>
              </w:rPr>
              <w:t>提案機關</w:t>
            </w:r>
          </w:p>
          <w:p w14:paraId="727E510C"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 xml:space="preserve">或 </w:t>
            </w:r>
          </w:p>
          <w:p w14:paraId="72F83D28"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委 員</w:t>
            </w:r>
          </w:p>
        </w:tc>
        <w:tc>
          <w:tcPr>
            <w:tcW w:w="1693" w:type="dxa"/>
            <w:tcBorders>
              <w:top w:val="single" w:sz="12" w:space="0" w:color="auto"/>
              <w:bottom w:val="single" w:sz="12" w:space="0" w:color="auto"/>
            </w:tcBorders>
            <w:vAlign w:val="center"/>
          </w:tcPr>
          <w:p w14:paraId="384F14DA"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院會交付</w:t>
            </w:r>
          </w:p>
          <w:p w14:paraId="4CDFC9A2"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日期及會次</w:t>
            </w:r>
          </w:p>
        </w:tc>
        <w:tc>
          <w:tcPr>
            <w:tcW w:w="1735" w:type="dxa"/>
            <w:tcBorders>
              <w:top w:val="single" w:sz="12" w:space="0" w:color="auto"/>
              <w:bottom w:val="single" w:sz="12" w:space="0" w:color="auto"/>
            </w:tcBorders>
            <w:vAlign w:val="center"/>
          </w:tcPr>
          <w:p w14:paraId="40472EE8" w14:textId="77777777" w:rsidR="007D160C" w:rsidRPr="00780B41" w:rsidRDefault="007D160C" w:rsidP="00F470A8">
            <w:pPr>
              <w:overflowPunct w:val="0"/>
              <w:spacing w:line="320" w:lineRule="exact"/>
              <w:jc w:val="center"/>
              <w:rPr>
                <w:rFonts w:ascii="標楷體" w:eastAsia="標楷體" w:hAnsi="標楷體"/>
                <w:b/>
                <w:bCs/>
                <w:color w:val="000000" w:themeColor="text1"/>
                <w:spacing w:val="-6"/>
                <w:szCs w:val="24"/>
              </w:rPr>
            </w:pPr>
            <w:r w:rsidRPr="00780B41">
              <w:rPr>
                <w:rFonts w:ascii="標楷體" w:eastAsia="標楷體" w:hAnsi="標楷體" w:hint="eastAsia"/>
                <w:b/>
                <w:bCs/>
                <w:color w:val="000000" w:themeColor="text1"/>
                <w:spacing w:val="-6"/>
                <w:szCs w:val="24"/>
              </w:rPr>
              <w:t>審查會審竣</w:t>
            </w:r>
          </w:p>
          <w:p w14:paraId="05DF5912"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日期及會次</w:t>
            </w:r>
          </w:p>
        </w:tc>
        <w:tc>
          <w:tcPr>
            <w:tcW w:w="1617" w:type="dxa"/>
            <w:tcBorders>
              <w:top w:val="single" w:sz="12" w:space="0" w:color="auto"/>
              <w:bottom w:val="single" w:sz="12" w:space="0" w:color="auto"/>
            </w:tcBorders>
            <w:vAlign w:val="center"/>
          </w:tcPr>
          <w:p w14:paraId="6468B265"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院會通過</w:t>
            </w:r>
          </w:p>
          <w:p w14:paraId="1F90C900" w14:textId="77777777" w:rsidR="007D160C" w:rsidRPr="00780B41" w:rsidRDefault="007D160C" w:rsidP="00F470A8">
            <w:pPr>
              <w:overflowPunct w:val="0"/>
              <w:spacing w:line="320" w:lineRule="exact"/>
              <w:jc w:val="center"/>
              <w:rPr>
                <w:rFonts w:ascii="標楷體" w:eastAsia="標楷體" w:hAnsi="標楷體"/>
                <w:b/>
                <w:bCs/>
                <w:color w:val="000000" w:themeColor="text1"/>
                <w:spacing w:val="-10"/>
                <w:szCs w:val="24"/>
              </w:rPr>
            </w:pPr>
            <w:r w:rsidRPr="00780B41">
              <w:rPr>
                <w:rFonts w:ascii="標楷體" w:eastAsia="標楷體" w:hAnsi="標楷體" w:hint="eastAsia"/>
                <w:b/>
                <w:bCs/>
                <w:color w:val="000000" w:themeColor="text1"/>
                <w:spacing w:val="-10"/>
                <w:szCs w:val="24"/>
              </w:rPr>
              <w:t>日期及會次</w:t>
            </w:r>
          </w:p>
        </w:tc>
        <w:tc>
          <w:tcPr>
            <w:tcW w:w="1520" w:type="dxa"/>
            <w:tcBorders>
              <w:top w:val="single" w:sz="12" w:space="0" w:color="auto"/>
              <w:bottom w:val="single" w:sz="12" w:space="0" w:color="auto"/>
            </w:tcBorders>
            <w:vAlign w:val="center"/>
          </w:tcPr>
          <w:p w14:paraId="107BC597" w14:textId="77777777" w:rsidR="007D160C" w:rsidRPr="00780B41" w:rsidRDefault="007D160C" w:rsidP="00F470A8">
            <w:pPr>
              <w:overflowPunct w:val="0"/>
              <w:spacing w:line="320" w:lineRule="exact"/>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總統公布</w:t>
            </w:r>
          </w:p>
          <w:p w14:paraId="7757FB5B" w14:textId="77777777" w:rsidR="007D160C" w:rsidRPr="00780B41" w:rsidRDefault="007D160C" w:rsidP="00F470A8">
            <w:pPr>
              <w:overflowPunct w:val="0"/>
              <w:spacing w:line="320" w:lineRule="exact"/>
              <w:ind w:leftChars="12" w:left="29"/>
              <w:jc w:val="center"/>
              <w:rPr>
                <w:rFonts w:ascii="標楷體" w:eastAsia="標楷體" w:hAnsi="標楷體"/>
                <w:b/>
                <w:bCs/>
                <w:color w:val="000000" w:themeColor="text1"/>
                <w:szCs w:val="24"/>
              </w:rPr>
            </w:pPr>
            <w:r w:rsidRPr="00780B41">
              <w:rPr>
                <w:rFonts w:ascii="標楷體" w:eastAsia="標楷體" w:hAnsi="標楷體" w:hint="eastAsia"/>
                <w:b/>
                <w:bCs/>
                <w:color w:val="000000" w:themeColor="text1"/>
                <w:szCs w:val="24"/>
              </w:rPr>
              <w:t>日期及文號</w:t>
            </w:r>
          </w:p>
        </w:tc>
      </w:tr>
      <w:tr w:rsidR="007D160C" w:rsidRPr="00370BEC" w14:paraId="1C2F821F" w14:textId="77777777" w:rsidTr="004E1C6E">
        <w:trPr>
          <w:trHeight w:val="558"/>
          <w:jc w:val="center"/>
        </w:trPr>
        <w:tc>
          <w:tcPr>
            <w:tcW w:w="657" w:type="dxa"/>
            <w:tcBorders>
              <w:top w:val="single" w:sz="4" w:space="0" w:color="auto"/>
              <w:bottom w:val="single" w:sz="2" w:space="0" w:color="auto"/>
              <w:right w:val="single" w:sz="2" w:space="0" w:color="auto"/>
            </w:tcBorders>
            <w:shd w:val="clear" w:color="auto" w:fill="auto"/>
          </w:tcPr>
          <w:p w14:paraId="566FF977"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2" w:space="0" w:color="auto"/>
              <w:right w:val="single" w:sz="2" w:space="0" w:color="auto"/>
            </w:tcBorders>
            <w:shd w:val="clear" w:color="auto" w:fill="auto"/>
          </w:tcPr>
          <w:p w14:paraId="20C239E0"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4" w:space="0" w:color="auto"/>
              <w:left w:val="single" w:sz="2" w:space="0" w:color="auto"/>
              <w:bottom w:val="single" w:sz="2" w:space="0" w:color="auto"/>
              <w:right w:val="single" w:sz="2" w:space="0" w:color="auto"/>
            </w:tcBorders>
            <w:shd w:val="clear" w:color="auto" w:fill="auto"/>
          </w:tcPr>
          <w:p w14:paraId="56331293"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行政院</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005C8732"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val="restart"/>
            <w:tcBorders>
              <w:top w:val="single" w:sz="4" w:space="0" w:color="auto"/>
              <w:left w:val="single" w:sz="4" w:space="0" w:color="000000"/>
              <w:bottom w:val="single" w:sz="12" w:space="0" w:color="auto"/>
              <w:right w:val="single" w:sz="4" w:space="0" w:color="auto"/>
            </w:tcBorders>
            <w:shd w:val="clear" w:color="auto" w:fill="auto"/>
          </w:tcPr>
          <w:p w14:paraId="78BB2AF4" w14:textId="77777777" w:rsidR="007D160C" w:rsidRPr="00BA2D3C" w:rsidRDefault="007D160C" w:rsidP="00D22FEE">
            <w:pPr>
              <w:overflowPunct w:val="0"/>
              <w:jc w:val="both"/>
              <w:rPr>
                <w:rFonts w:ascii="標楷體" w:eastAsia="標楷體" w:hAnsi="標楷體"/>
                <w:color w:val="FF0000"/>
                <w:kern w:val="2"/>
                <w:szCs w:val="24"/>
              </w:rPr>
            </w:pPr>
            <w:r w:rsidRPr="00B70D80">
              <w:rPr>
                <w:rFonts w:ascii="標楷體" w:eastAsia="標楷體" w:hAnsi="標楷體" w:hint="eastAsia"/>
                <w:szCs w:val="24"/>
              </w:rPr>
              <w:t>第11屆第2會期財政委員會第8次全體委員會議</w:t>
            </w:r>
            <w:r w:rsidRPr="008A37DB">
              <w:rPr>
                <w:rFonts w:ascii="標楷體" w:eastAsia="標楷體" w:hAnsi="標楷體" w:hint="eastAsia"/>
                <w:spacing w:val="-48"/>
                <w:szCs w:val="24"/>
              </w:rPr>
              <w:t>(113.11.13)</w:t>
            </w:r>
          </w:p>
        </w:tc>
        <w:tc>
          <w:tcPr>
            <w:tcW w:w="1617" w:type="dxa"/>
            <w:vMerge w:val="restart"/>
            <w:tcBorders>
              <w:top w:val="single" w:sz="4" w:space="0" w:color="auto"/>
              <w:left w:val="single" w:sz="4" w:space="0" w:color="auto"/>
              <w:bottom w:val="single" w:sz="4" w:space="0" w:color="auto"/>
              <w:right w:val="single" w:sz="4" w:space="0" w:color="auto"/>
            </w:tcBorders>
            <w:shd w:val="clear" w:color="auto" w:fill="auto"/>
          </w:tcPr>
          <w:p w14:paraId="3F6BCFC6" w14:textId="77777777" w:rsidR="007D160C" w:rsidRPr="00BA2D3C" w:rsidRDefault="007D160C" w:rsidP="00D22FEE">
            <w:pPr>
              <w:overflowPunct w:val="0"/>
              <w:jc w:val="both"/>
              <w:rPr>
                <w:rFonts w:ascii="標楷體" w:eastAsia="標楷體" w:hAnsi="標楷體"/>
                <w:bCs/>
                <w:color w:val="FF0000"/>
                <w:szCs w:val="24"/>
              </w:rPr>
            </w:pPr>
            <w:r w:rsidRPr="00B70D80">
              <w:rPr>
                <w:rFonts w:ascii="標楷體" w:eastAsia="標楷體" w:hAnsi="標楷體" w:hint="eastAsia"/>
                <w:szCs w:val="24"/>
              </w:rPr>
              <w:t>第11屆第2</w:t>
            </w:r>
            <w:r w:rsidRPr="00B70D80">
              <w:rPr>
                <w:rFonts w:ascii="標楷體" w:eastAsia="標楷體" w:hAnsi="標楷體" w:hint="eastAsia"/>
                <w:spacing w:val="-20"/>
                <w:szCs w:val="24"/>
              </w:rPr>
              <w:t>會期第11次院會</w:t>
            </w:r>
            <w:r w:rsidRPr="00B70D80">
              <w:rPr>
                <w:rFonts w:ascii="標楷體" w:eastAsia="標楷體" w:hAnsi="標楷體" w:hint="eastAsia"/>
                <w:szCs w:val="24"/>
              </w:rPr>
              <w:t>(113.</w:t>
            </w:r>
            <w:r>
              <w:rPr>
                <w:rFonts w:ascii="標楷體" w:eastAsia="標楷體" w:hAnsi="標楷體" w:hint="eastAsia"/>
                <w:szCs w:val="24"/>
              </w:rPr>
              <w:t>11</w:t>
            </w:r>
            <w:r w:rsidRPr="00B70D80">
              <w:rPr>
                <w:rFonts w:ascii="標楷體" w:eastAsia="標楷體" w:hAnsi="標楷體" w:hint="eastAsia"/>
                <w:szCs w:val="24"/>
              </w:rPr>
              <w:t>.29</w:t>
            </w:r>
            <w:r w:rsidRPr="00B70D80">
              <w:rPr>
                <w:rFonts w:ascii="標楷體" w:eastAsia="標楷體" w:hAnsi="標楷體"/>
                <w:szCs w:val="24"/>
              </w:rPr>
              <w:t>)</w:t>
            </w:r>
          </w:p>
        </w:tc>
        <w:tc>
          <w:tcPr>
            <w:tcW w:w="1520" w:type="dxa"/>
            <w:vMerge w:val="restart"/>
            <w:tcBorders>
              <w:top w:val="single" w:sz="4" w:space="0" w:color="auto"/>
              <w:left w:val="single" w:sz="4" w:space="0" w:color="auto"/>
              <w:bottom w:val="single" w:sz="4" w:space="0" w:color="auto"/>
            </w:tcBorders>
          </w:tcPr>
          <w:p w14:paraId="260EADD5" w14:textId="77777777" w:rsidR="007D160C" w:rsidRPr="00BA2D3C" w:rsidRDefault="007D160C" w:rsidP="00D22FEE">
            <w:pPr>
              <w:overflowPunct w:val="0"/>
              <w:jc w:val="both"/>
              <w:rPr>
                <w:rFonts w:ascii="標楷體" w:eastAsia="標楷體" w:hAnsi="標楷體"/>
                <w:color w:val="FF0000"/>
                <w:szCs w:val="24"/>
              </w:rPr>
            </w:pPr>
            <w:r w:rsidRPr="00827540">
              <w:rPr>
                <w:rFonts w:ascii="標楷體" w:eastAsia="標楷體" w:hAnsi="標楷體" w:hint="eastAsia"/>
                <w:szCs w:val="24"/>
              </w:rPr>
              <w:t>總統令中華民國113年12月18日華總一義字第</w:t>
            </w:r>
            <w:r w:rsidRPr="008A37DB">
              <w:rPr>
                <w:rFonts w:ascii="標楷體" w:eastAsia="標楷體" w:hAnsi="標楷體" w:cs="Helvetica" w:hint="eastAsia"/>
                <w:spacing w:val="-30"/>
                <w:szCs w:val="24"/>
              </w:rPr>
              <w:t>11300118961號</w:t>
            </w:r>
          </w:p>
        </w:tc>
      </w:tr>
      <w:tr w:rsidR="007D160C" w:rsidRPr="00370BEC" w14:paraId="6EDFE77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59FAC8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39AA01D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4A1596A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941870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r w:rsidRPr="00B95A07">
              <w:rPr>
                <w:rFonts w:ascii="標楷體" w:eastAsia="標楷體" w:hAnsi="標楷體" w:hint="eastAsia"/>
                <w:kern w:val="2"/>
                <w:szCs w:val="24"/>
              </w:rPr>
              <w:tab/>
            </w:r>
          </w:p>
        </w:tc>
        <w:tc>
          <w:tcPr>
            <w:tcW w:w="1735" w:type="dxa"/>
            <w:vMerge/>
            <w:tcBorders>
              <w:left w:val="single" w:sz="2" w:space="0" w:color="auto"/>
              <w:bottom w:val="single" w:sz="12" w:space="0" w:color="auto"/>
              <w:right w:val="single" w:sz="4" w:space="0" w:color="auto"/>
            </w:tcBorders>
            <w:shd w:val="clear" w:color="auto" w:fill="FFFFFF"/>
          </w:tcPr>
          <w:p w14:paraId="21E68CEF"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24B981CB"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7BB521D5" w14:textId="77777777" w:rsidR="007D160C" w:rsidRPr="00A54724" w:rsidRDefault="007D160C" w:rsidP="00F470A8">
            <w:pPr>
              <w:overflowPunct w:val="0"/>
              <w:ind w:left="240" w:hangingChars="100" w:hanging="240"/>
              <w:jc w:val="both"/>
              <w:rPr>
                <w:rFonts w:ascii="標楷體" w:eastAsia="標楷體" w:hAnsi="標楷體"/>
                <w:bCs/>
                <w:szCs w:val="24"/>
              </w:rPr>
            </w:pPr>
          </w:p>
        </w:tc>
      </w:tr>
      <w:tr w:rsidR="007D160C" w:rsidRPr="00370BEC" w14:paraId="0CD65B8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1EBF4FB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2C62F69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6B9A5B5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1BAEEEB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210817A1"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4E7F43B8"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0355C795" w14:textId="77777777" w:rsidR="007D160C" w:rsidRPr="00A54724" w:rsidRDefault="007D160C" w:rsidP="00F470A8">
            <w:pPr>
              <w:overflowPunct w:val="0"/>
              <w:jc w:val="both"/>
              <w:rPr>
                <w:rFonts w:ascii="標楷體" w:eastAsia="標楷體" w:hAnsi="標楷體"/>
                <w:bCs/>
                <w:szCs w:val="24"/>
              </w:rPr>
            </w:pPr>
          </w:p>
        </w:tc>
      </w:tr>
      <w:tr w:rsidR="007D160C" w:rsidRPr="00370BEC" w14:paraId="269951D9"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1681E698"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1078109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692038C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賴士葆等26人</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Pr>
          <w:p w14:paraId="142E392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4C535C5E"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350B5BC3"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0FCC2AF9" w14:textId="77777777" w:rsidR="007D160C" w:rsidRPr="00A54724" w:rsidRDefault="007D160C" w:rsidP="00F470A8">
            <w:pPr>
              <w:overflowPunct w:val="0"/>
              <w:ind w:left="240" w:hangingChars="100" w:hanging="240"/>
              <w:jc w:val="both"/>
              <w:rPr>
                <w:rFonts w:ascii="標楷體" w:eastAsia="標楷體" w:hAnsi="標楷體"/>
                <w:bCs/>
                <w:szCs w:val="24"/>
              </w:rPr>
            </w:pPr>
          </w:p>
        </w:tc>
      </w:tr>
      <w:tr w:rsidR="007D160C" w:rsidRPr="00370BEC" w14:paraId="6A3B219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2E5BEE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22DAAD25"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3A312182"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Pr>
          <w:p w14:paraId="09DF537E"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5792C564" w14:textId="77777777" w:rsidR="007D160C" w:rsidRPr="00172ABB"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34AB6525" w14:textId="77777777" w:rsidR="007D160C" w:rsidRPr="00DD51DD" w:rsidRDefault="007D160C" w:rsidP="00F470A8">
            <w:pPr>
              <w:overflowPunct w:val="0"/>
              <w:jc w:val="both"/>
              <w:rPr>
                <w:rFonts w:ascii="標楷體" w:eastAsia="標楷體" w:hAnsi="標楷體"/>
                <w:szCs w:val="24"/>
              </w:rPr>
            </w:pPr>
          </w:p>
        </w:tc>
        <w:tc>
          <w:tcPr>
            <w:tcW w:w="1520" w:type="dxa"/>
            <w:vMerge/>
            <w:tcBorders>
              <w:left w:val="single" w:sz="4" w:space="0" w:color="auto"/>
              <w:right w:val="single" w:sz="2" w:space="0" w:color="auto"/>
            </w:tcBorders>
            <w:shd w:val="clear" w:color="auto" w:fill="auto"/>
          </w:tcPr>
          <w:p w14:paraId="2E5411C9" w14:textId="77777777" w:rsidR="007D160C" w:rsidRPr="00A54724" w:rsidRDefault="007D160C" w:rsidP="00F470A8">
            <w:pPr>
              <w:overflowPunct w:val="0"/>
              <w:ind w:left="240" w:hangingChars="100" w:hanging="240"/>
              <w:jc w:val="both"/>
              <w:rPr>
                <w:rFonts w:ascii="標楷體" w:eastAsia="標楷體" w:hAnsi="標楷體"/>
                <w:bCs/>
                <w:szCs w:val="24"/>
              </w:rPr>
            </w:pPr>
          </w:p>
        </w:tc>
      </w:tr>
      <w:tr w:rsidR="007D160C" w:rsidRPr="00370BEC" w14:paraId="74427332" w14:textId="77777777" w:rsidTr="004E1C6E">
        <w:trPr>
          <w:trHeight w:val="558"/>
          <w:jc w:val="center"/>
        </w:trPr>
        <w:tc>
          <w:tcPr>
            <w:tcW w:w="657" w:type="dxa"/>
            <w:tcBorders>
              <w:top w:val="single" w:sz="2" w:space="0" w:color="auto"/>
              <w:bottom w:val="single" w:sz="4" w:space="0" w:color="auto"/>
              <w:right w:val="single" w:sz="2" w:space="0" w:color="auto"/>
            </w:tcBorders>
            <w:shd w:val="clear" w:color="auto" w:fill="auto"/>
          </w:tcPr>
          <w:p w14:paraId="798461F6"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4" w:space="0" w:color="auto"/>
              <w:right w:val="single" w:sz="2" w:space="0" w:color="auto"/>
            </w:tcBorders>
            <w:shd w:val="clear" w:color="auto" w:fill="auto"/>
          </w:tcPr>
          <w:p w14:paraId="66AF1ED7"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貨物稅條例第十二條條文修正草案</w:t>
            </w:r>
          </w:p>
        </w:tc>
        <w:tc>
          <w:tcPr>
            <w:tcW w:w="1416" w:type="dxa"/>
            <w:tcBorders>
              <w:top w:val="single" w:sz="2" w:space="0" w:color="auto"/>
              <w:left w:val="single" w:sz="2" w:space="0" w:color="auto"/>
              <w:bottom w:val="single" w:sz="4" w:space="0" w:color="auto"/>
              <w:right w:val="single" w:sz="2" w:space="0" w:color="auto"/>
            </w:tcBorders>
            <w:shd w:val="clear" w:color="auto" w:fill="auto"/>
          </w:tcPr>
          <w:p w14:paraId="673EFD56"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等19人</w:t>
            </w:r>
          </w:p>
        </w:tc>
        <w:tc>
          <w:tcPr>
            <w:tcW w:w="1693" w:type="dxa"/>
            <w:tcBorders>
              <w:top w:val="single" w:sz="4" w:space="0" w:color="000000"/>
              <w:left w:val="single" w:sz="4" w:space="0" w:color="000000"/>
              <w:bottom w:val="single" w:sz="4" w:space="0" w:color="auto"/>
              <w:right w:val="single" w:sz="4" w:space="0" w:color="000000"/>
            </w:tcBorders>
            <w:shd w:val="clear" w:color="auto" w:fill="FFFFFF"/>
          </w:tcPr>
          <w:p w14:paraId="7689C745"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4" w:space="0" w:color="auto"/>
              <w:right w:val="single" w:sz="4" w:space="0" w:color="auto"/>
            </w:tcBorders>
            <w:shd w:val="clear" w:color="auto" w:fill="FFFFFF"/>
            <w:vAlign w:val="center"/>
          </w:tcPr>
          <w:p w14:paraId="1EAEAC03" w14:textId="77777777" w:rsidR="007D160C" w:rsidRPr="00172ABB" w:rsidRDefault="007D160C" w:rsidP="00F470A8">
            <w:pPr>
              <w:widowControl w:val="0"/>
              <w:overflowPunct w:val="0"/>
              <w:spacing w:line="340" w:lineRule="exact"/>
              <w:jc w:val="both"/>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tcPr>
          <w:p w14:paraId="2E09B20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tcPr>
          <w:p w14:paraId="44FE8BB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279BAE3" w14:textId="77777777" w:rsidTr="004E1C6E">
        <w:trPr>
          <w:trHeight w:val="558"/>
          <w:jc w:val="center"/>
        </w:trPr>
        <w:tc>
          <w:tcPr>
            <w:tcW w:w="657" w:type="dxa"/>
            <w:tcBorders>
              <w:top w:val="single" w:sz="4" w:space="0" w:color="auto"/>
              <w:bottom w:val="single" w:sz="4" w:space="0" w:color="auto"/>
              <w:right w:val="single" w:sz="2" w:space="0" w:color="auto"/>
            </w:tcBorders>
            <w:shd w:val="clear" w:color="auto" w:fill="auto"/>
          </w:tcPr>
          <w:p w14:paraId="344A3A34"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4" w:space="0" w:color="auto"/>
              <w:right w:val="single" w:sz="2" w:space="0" w:color="auto"/>
            </w:tcBorders>
            <w:shd w:val="clear" w:color="auto" w:fill="auto"/>
          </w:tcPr>
          <w:p w14:paraId="1EA7AC3E"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貨物稅條例第十二條條文修正草案</w:t>
            </w:r>
          </w:p>
        </w:tc>
        <w:tc>
          <w:tcPr>
            <w:tcW w:w="1416" w:type="dxa"/>
            <w:tcBorders>
              <w:top w:val="single" w:sz="4" w:space="0" w:color="auto"/>
              <w:left w:val="single" w:sz="2" w:space="0" w:color="auto"/>
              <w:bottom w:val="single" w:sz="4" w:space="0" w:color="auto"/>
              <w:right w:val="single" w:sz="2" w:space="0" w:color="auto"/>
            </w:tcBorders>
            <w:shd w:val="clear" w:color="auto" w:fill="auto"/>
          </w:tcPr>
          <w:p w14:paraId="218787B7"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陳冠廷等23人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676E2C01" w14:textId="77777777" w:rsidR="007D160C" w:rsidRPr="00C85D1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089B08DE"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3EAFF2B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7EFEDD38"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C527E7C" w14:textId="77777777" w:rsidTr="004E1C6E">
        <w:trPr>
          <w:trHeight w:val="558"/>
          <w:jc w:val="center"/>
        </w:trPr>
        <w:tc>
          <w:tcPr>
            <w:tcW w:w="657" w:type="dxa"/>
            <w:tcBorders>
              <w:top w:val="single" w:sz="4" w:space="0" w:color="auto"/>
              <w:bottom w:val="single" w:sz="4" w:space="0" w:color="auto"/>
              <w:right w:val="single" w:sz="2" w:space="0" w:color="auto"/>
            </w:tcBorders>
            <w:shd w:val="clear" w:color="auto" w:fill="auto"/>
          </w:tcPr>
          <w:p w14:paraId="63034E96"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4" w:space="0" w:color="auto"/>
              <w:right w:val="single" w:sz="2" w:space="0" w:color="auto"/>
            </w:tcBorders>
            <w:shd w:val="clear" w:color="auto" w:fill="auto"/>
          </w:tcPr>
          <w:p w14:paraId="10EAAC35"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貨物稅條例第十二</w:t>
            </w:r>
            <w:r w:rsidRPr="005A07A3">
              <w:rPr>
                <w:rFonts w:ascii="標楷體" w:eastAsia="標楷體" w:hAnsi="標楷體" w:hint="eastAsia"/>
                <w:kern w:val="2"/>
                <w:szCs w:val="24"/>
              </w:rPr>
              <w:lastRenderedPageBreak/>
              <w:t>條條文修正草案</w:t>
            </w:r>
          </w:p>
        </w:tc>
        <w:tc>
          <w:tcPr>
            <w:tcW w:w="1416" w:type="dxa"/>
            <w:tcBorders>
              <w:top w:val="single" w:sz="4" w:space="0" w:color="auto"/>
              <w:left w:val="single" w:sz="2" w:space="0" w:color="auto"/>
              <w:bottom w:val="single" w:sz="4" w:space="0" w:color="auto"/>
              <w:right w:val="single" w:sz="2" w:space="0" w:color="auto"/>
            </w:tcBorders>
            <w:shd w:val="clear" w:color="auto" w:fill="auto"/>
          </w:tcPr>
          <w:p w14:paraId="15DD2D52"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lastRenderedPageBreak/>
              <w:t>陳菁徽等16人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612061E1"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5A07A3">
              <w:rPr>
                <w:rFonts w:ascii="標楷體" w:eastAsia="標楷體" w:hAnsi="標楷體" w:hint="eastAsia"/>
                <w:kern w:val="2"/>
                <w:szCs w:val="24"/>
              </w:rPr>
              <w:lastRenderedPageBreak/>
              <w:t>(113.10.25)決定：「交財政委員會審查」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3257CC55"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6D46995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48749A5B"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EE54906" w14:textId="77777777" w:rsidTr="004E1C6E">
        <w:trPr>
          <w:trHeight w:val="558"/>
          <w:jc w:val="center"/>
        </w:trPr>
        <w:tc>
          <w:tcPr>
            <w:tcW w:w="657" w:type="dxa"/>
            <w:tcBorders>
              <w:top w:val="single" w:sz="4" w:space="0" w:color="auto"/>
              <w:bottom w:val="single" w:sz="2" w:space="0" w:color="auto"/>
              <w:right w:val="single" w:sz="2" w:space="0" w:color="auto"/>
            </w:tcBorders>
            <w:shd w:val="clear" w:color="auto" w:fill="auto"/>
          </w:tcPr>
          <w:p w14:paraId="43CB2454"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2" w:space="0" w:color="auto"/>
              <w:right w:val="single" w:sz="2" w:space="0" w:color="auto"/>
            </w:tcBorders>
            <w:shd w:val="clear" w:color="auto" w:fill="auto"/>
          </w:tcPr>
          <w:p w14:paraId="633D76B7"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貨物稅條例第十二條條文修正草案</w:t>
            </w:r>
          </w:p>
        </w:tc>
        <w:tc>
          <w:tcPr>
            <w:tcW w:w="1416" w:type="dxa"/>
            <w:tcBorders>
              <w:top w:val="single" w:sz="4" w:space="0" w:color="auto"/>
              <w:left w:val="single" w:sz="2" w:space="0" w:color="auto"/>
              <w:bottom w:val="single" w:sz="2" w:space="0" w:color="auto"/>
              <w:right w:val="single" w:sz="2" w:space="0" w:color="auto"/>
            </w:tcBorders>
            <w:shd w:val="clear" w:color="auto" w:fill="auto"/>
          </w:tcPr>
          <w:p w14:paraId="48004044"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賴惠員等18人</w:t>
            </w:r>
          </w:p>
        </w:tc>
        <w:tc>
          <w:tcPr>
            <w:tcW w:w="1693" w:type="dxa"/>
            <w:tcBorders>
              <w:top w:val="single" w:sz="4" w:space="0" w:color="auto"/>
              <w:left w:val="single" w:sz="4" w:space="0" w:color="000000"/>
              <w:bottom w:val="single" w:sz="2" w:space="0" w:color="auto"/>
              <w:right w:val="single" w:sz="4" w:space="0" w:color="000000"/>
            </w:tcBorders>
            <w:shd w:val="clear" w:color="auto" w:fill="FFFFFF"/>
          </w:tcPr>
          <w:p w14:paraId="4CAE5F3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5887E479"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tcPr>
          <w:p w14:paraId="7054DCD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right w:val="single" w:sz="2" w:space="0" w:color="auto"/>
            </w:tcBorders>
          </w:tcPr>
          <w:p w14:paraId="02A8C048"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7C1C325"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D2F2DD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2" w:space="0" w:color="auto"/>
              <w:right w:val="single" w:sz="2" w:space="0" w:color="auto"/>
            </w:tcBorders>
            <w:shd w:val="clear" w:color="auto" w:fill="auto"/>
          </w:tcPr>
          <w:p w14:paraId="75FF8173"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貨物稅條例第十二條及第十二條之三條文修正草案</w:t>
            </w:r>
            <w:r w:rsidRPr="00BA0BFF">
              <w:rPr>
                <w:rFonts w:ascii="標楷體" w:eastAsia="標楷體" w:hAnsi="標楷體" w:hint="eastAsia"/>
                <w:kern w:val="2"/>
                <w:szCs w:val="24"/>
              </w:rPr>
              <w:tab/>
            </w:r>
          </w:p>
        </w:tc>
        <w:tc>
          <w:tcPr>
            <w:tcW w:w="1416" w:type="dxa"/>
            <w:tcBorders>
              <w:top w:val="single" w:sz="2" w:space="0" w:color="auto"/>
              <w:left w:val="single" w:sz="2" w:space="0" w:color="auto"/>
              <w:bottom w:val="single" w:sz="2" w:space="0" w:color="auto"/>
              <w:right w:val="single" w:sz="2" w:space="0" w:color="auto"/>
            </w:tcBorders>
            <w:shd w:val="clear" w:color="auto" w:fill="auto"/>
          </w:tcPr>
          <w:p w14:paraId="661616E1"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顏寬恒等16人</w:t>
            </w:r>
            <w:r w:rsidRPr="00BA0BFF">
              <w:rPr>
                <w:rFonts w:ascii="標楷體" w:eastAsia="標楷體" w:hAnsi="標楷體" w:hint="eastAsia"/>
                <w:kern w:val="2"/>
                <w:szCs w:val="24"/>
              </w:rPr>
              <w:tab/>
            </w:r>
          </w:p>
        </w:tc>
        <w:tc>
          <w:tcPr>
            <w:tcW w:w="1693" w:type="dxa"/>
            <w:tcBorders>
              <w:top w:val="single" w:sz="2" w:space="0" w:color="auto"/>
              <w:left w:val="single" w:sz="4" w:space="0" w:color="000000"/>
              <w:bottom w:val="single" w:sz="2" w:space="0" w:color="auto"/>
              <w:right w:val="single" w:sz="4" w:space="0" w:color="000000"/>
            </w:tcBorders>
            <w:shd w:val="clear" w:color="auto" w:fill="FFFFFF"/>
          </w:tcPr>
          <w:p w14:paraId="7878AA8C"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第11屆第2會期第3次院會(113.10.4)決定：「交財政委員會審查」</w:t>
            </w:r>
          </w:p>
        </w:tc>
        <w:tc>
          <w:tcPr>
            <w:tcW w:w="1735" w:type="dxa"/>
            <w:vMerge/>
            <w:tcBorders>
              <w:left w:val="single" w:sz="2" w:space="0" w:color="auto"/>
              <w:bottom w:val="single" w:sz="12" w:space="0" w:color="auto"/>
              <w:right w:val="single" w:sz="4" w:space="0" w:color="auto"/>
            </w:tcBorders>
            <w:shd w:val="clear" w:color="auto" w:fill="FFFFFF"/>
            <w:vAlign w:val="center"/>
          </w:tcPr>
          <w:p w14:paraId="4833C3E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04EE74D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4B06323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7225D58"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6F6847B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2" w:space="0" w:color="auto"/>
              <w:left w:val="single" w:sz="2" w:space="0" w:color="auto"/>
              <w:bottom w:val="single" w:sz="12" w:space="0" w:color="auto"/>
              <w:right w:val="single" w:sz="2" w:space="0" w:color="auto"/>
            </w:tcBorders>
            <w:shd w:val="clear" w:color="auto" w:fill="auto"/>
          </w:tcPr>
          <w:p w14:paraId="0E95340B"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貨物稅條例第十二條及第十二條之六條文修正草案</w:t>
            </w:r>
            <w:r w:rsidRPr="00BA0BFF">
              <w:rPr>
                <w:rFonts w:ascii="標楷體" w:eastAsia="標楷體" w:hAnsi="標楷體" w:hint="eastAsia"/>
                <w:kern w:val="2"/>
                <w:szCs w:val="24"/>
              </w:rPr>
              <w:tab/>
            </w:r>
          </w:p>
        </w:tc>
        <w:tc>
          <w:tcPr>
            <w:tcW w:w="1416" w:type="dxa"/>
            <w:tcBorders>
              <w:top w:val="single" w:sz="2" w:space="0" w:color="auto"/>
              <w:left w:val="single" w:sz="2" w:space="0" w:color="auto"/>
              <w:bottom w:val="single" w:sz="12" w:space="0" w:color="auto"/>
              <w:right w:val="single" w:sz="2" w:space="0" w:color="auto"/>
            </w:tcBorders>
            <w:shd w:val="clear" w:color="auto" w:fill="auto"/>
          </w:tcPr>
          <w:p w14:paraId="0CFA52C1"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郭國文等16人</w:t>
            </w:r>
          </w:p>
        </w:tc>
        <w:tc>
          <w:tcPr>
            <w:tcW w:w="1693" w:type="dxa"/>
            <w:tcBorders>
              <w:top w:val="single" w:sz="2" w:space="0" w:color="auto"/>
              <w:left w:val="single" w:sz="4" w:space="0" w:color="000000"/>
              <w:bottom w:val="single" w:sz="12" w:space="0" w:color="auto"/>
              <w:right w:val="single" w:sz="4" w:space="0" w:color="000000"/>
            </w:tcBorders>
            <w:shd w:val="clear" w:color="auto" w:fill="FFFFFF"/>
          </w:tcPr>
          <w:p w14:paraId="7A4577E6" w14:textId="77777777" w:rsidR="007D160C" w:rsidRPr="00BA0BFF"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第11屆第2會期第4次院會(113.10.11)決定：「交財政委員會審查」</w:t>
            </w:r>
          </w:p>
        </w:tc>
        <w:tc>
          <w:tcPr>
            <w:tcW w:w="1735" w:type="dxa"/>
            <w:vMerge/>
            <w:tcBorders>
              <w:left w:val="single" w:sz="2" w:space="0" w:color="auto"/>
              <w:bottom w:val="single" w:sz="12" w:space="0" w:color="auto"/>
              <w:right w:val="single" w:sz="4" w:space="0" w:color="auto"/>
            </w:tcBorders>
            <w:shd w:val="clear" w:color="auto" w:fill="FFFFFF"/>
            <w:vAlign w:val="center"/>
          </w:tcPr>
          <w:p w14:paraId="56159ED3"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12" w:space="0" w:color="auto"/>
              <w:right w:val="single" w:sz="4" w:space="0" w:color="auto"/>
            </w:tcBorders>
          </w:tcPr>
          <w:p w14:paraId="167AF0A0"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right w:val="single" w:sz="2" w:space="0" w:color="auto"/>
            </w:tcBorders>
          </w:tcPr>
          <w:p w14:paraId="056DFA27"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19729DF"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2C63D522"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0CF43CD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證券交易稅條例部分條文修正草案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0CFB70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台灣民眾黨黨團</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0BACC7E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1735" w:type="dxa"/>
            <w:vMerge w:val="restart"/>
            <w:tcBorders>
              <w:top w:val="single" w:sz="4" w:space="0" w:color="auto"/>
              <w:left w:val="single" w:sz="4" w:space="0" w:color="000000"/>
              <w:bottom w:val="single" w:sz="12" w:space="0" w:color="auto"/>
              <w:right w:val="single" w:sz="4" w:space="0" w:color="auto"/>
            </w:tcBorders>
            <w:shd w:val="clear" w:color="auto" w:fill="auto"/>
          </w:tcPr>
          <w:p w14:paraId="7E7EC721" w14:textId="77777777" w:rsidR="007D160C" w:rsidRPr="00472D39" w:rsidRDefault="007D160C" w:rsidP="00D22FEE">
            <w:pPr>
              <w:overflowPunct w:val="0"/>
              <w:jc w:val="both"/>
              <w:rPr>
                <w:rFonts w:ascii="標楷體" w:eastAsia="標楷體" w:hAnsi="標楷體"/>
                <w:color w:val="FF0000"/>
                <w:kern w:val="2"/>
                <w:szCs w:val="24"/>
              </w:rPr>
            </w:pPr>
            <w:r w:rsidRPr="00827540">
              <w:rPr>
                <w:rFonts w:ascii="標楷體" w:eastAsia="標楷體" w:hAnsi="標楷體" w:hint="eastAsia"/>
                <w:szCs w:val="24"/>
              </w:rPr>
              <w:t>第11屆第2會期財政委員會第5次全體委員會議</w:t>
            </w:r>
            <w:r w:rsidRPr="008A37DB">
              <w:rPr>
                <w:rFonts w:ascii="標楷體" w:eastAsia="標楷體" w:hAnsi="標楷體" w:hint="eastAsia"/>
                <w:spacing w:val="-48"/>
                <w:szCs w:val="24"/>
              </w:rPr>
              <w:t>(113.10.30)</w:t>
            </w:r>
          </w:p>
        </w:tc>
        <w:tc>
          <w:tcPr>
            <w:tcW w:w="1617" w:type="dxa"/>
            <w:vMerge w:val="restart"/>
            <w:tcBorders>
              <w:top w:val="single" w:sz="4" w:space="0" w:color="auto"/>
              <w:left w:val="single" w:sz="4" w:space="0" w:color="auto"/>
              <w:bottom w:val="single" w:sz="4" w:space="0" w:color="auto"/>
              <w:right w:val="single" w:sz="4" w:space="0" w:color="auto"/>
            </w:tcBorders>
            <w:shd w:val="clear" w:color="auto" w:fill="auto"/>
          </w:tcPr>
          <w:p w14:paraId="60AA3CBD" w14:textId="77777777" w:rsidR="007D160C" w:rsidRPr="00472D39" w:rsidRDefault="007D160C" w:rsidP="00D22FEE">
            <w:pPr>
              <w:overflowPunct w:val="0"/>
              <w:jc w:val="both"/>
              <w:rPr>
                <w:rFonts w:ascii="標楷體" w:eastAsia="標楷體" w:hAnsi="標楷體"/>
                <w:bCs/>
                <w:color w:val="FF0000"/>
                <w:szCs w:val="24"/>
              </w:rPr>
            </w:pPr>
            <w:r w:rsidRPr="00827540">
              <w:rPr>
                <w:rFonts w:ascii="標楷體" w:eastAsia="標楷體" w:hAnsi="標楷體" w:hint="eastAsia"/>
                <w:szCs w:val="24"/>
              </w:rPr>
              <w:t>第11屆第2</w:t>
            </w:r>
            <w:r w:rsidRPr="00827540">
              <w:rPr>
                <w:rFonts w:ascii="標楷體" w:eastAsia="標楷體" w:hAnsi="標楷體" w:hint="eastAsia"/>
                <w:spacing w:val="-20"/>
                <w:szCs w:val="24"/>
              </w:rPr>
              <w:t>會期第15次院會</w:t>
            </w:r>
            <w:r w:rsidRPr="00827540">
              <w:rPr>
                <w:rFonts w:ascii="標楷體" w:eastAsia="標楷體" w:hAnsi="標楷體" w:hint="eastAsia"/>
                <w:szCs w:val="24"/>
              </w:rPr>
              <w:t>(113.12.31</w:t>
            </w:r>
            <w:r w:rsidRPr="00827540">
              <w:rPr>
                <w:rFonts w:ascii="標楷體" w:eastAsia="標楷體" w:hAnsi="標楷體"/>
                <w:szCs w:val="24"/>
              </w:rPr>
              <w:t>)</w:t>
            </w:r>
          </w:p>
        </w:tc>
        <w:tc>
          <w:tcPr>
            <w:tcW w:w="1520" w:type="dxa"/>
            <w:vMerge w:val="restart"/>
            <w:tcBorders>
              <w:top w:val="single" w:sz="4" w:space="0" w:color="auto"/>
              <w:left w:val="single" w:sz="4" w:space="0" w:color="auto"/>
              <w:bottom w:val="single" w:sz="4" w:space="0" w:color="auto"/>
            </w:tcBorders>
          </w:tcPr>
          <w:p w14:paraId="7DE91352" w14:textId="15A69839" w:rsidR="007D160C" w:rsidRPr="00BA2D3C" w:rsidRDefault="007D160C" w:rsidP="00D22FEE">
            <w:pPr>
              <w:overflowPunct w:val="0"/>
              <w:jc w:val="both"/>
              <w:rPr>
                <w:rFonts w:ascii="標楷體" w:eastAsia="標楷體" w:hAnsi="標楷體"/>
                <w:color w:val="FF0000"/>
                <w:szCs w:val="24"/>
              </w:rPr>
            </w:pPr>
            <w:r w:rsidRPr="00FB0892">
              <w:rPr>
                <w:rFonts w:ascii="標楷體" w:eastAsia="標楷體" w:hAnsi="標楷體" w:hint="eastAsia"/>
                <w:szCs w:val="24"/>
              </w:rPr>
              <w:t>總統令中華民國11</w:t>
            </w:r>
            <w:r w:rsidR="00FB0892" w:rsidRPr="00FB0892">
              <w:rPr>
                <w:rFonts w:ascii="標楷體" w:eastAsia="標楷體" w:hAnsi="標楷體" w:hint="eastAsia"/>
                <w:szCs w:val="24"/>
              </w:rPr>
              <w:t>4</w:t>
            </w:r>
            <w:r w:rsidRPr="00FB0892">
              <w:rPr>
                <w:rFonts w:ascii="標楷體" w:eastAsia="標楷體" w:hAnsi="標楷體" w:hint="eastAsia"/>
                <w:szCs w:val="24"/>
              </w:rPr>
              <w:t>年</w:t>
            </w:r>
            <w:r w:rsidR="00FB0892" w:rsidRPr="00FB0892">
              <w:rPr>
                <w:rFonts w:ascii="標楷體" w:eastAsia="標楷體" w:hAnsi="標楷體" w:hint="eastAsia"/>
                <w:szCs w:val="24"/>
              </w:rPr>
              <w:t>1</w:t>
            </w:r>
            <w:r w:rsidRPr="00FB0892">
              <w:rPr>
                <w:rFonts w:ascii="標楷體" w:eastAsia="標楷體" w:hAnsi="標楷體" w:hint="eastAsia"/>
                <w:szCs w:val="24"/>
              </w:rPr>
              <w:t>月</w:t>
            </w:r>
            <w:r w:rsidR="00FB0892" w:rsidRPr="00FB0892">
              <w:rPr>
                <w:rFonts w:ascii="標楷體" w:eastAsia="標楷體" w:hAnsi="標楷體" w:hint="eastAsia"/>
                <w:szCs w:val="24"/>
              </w:rPr>
              <w:t>2</w:t>
            </w:r>
            <w:r w:rsidRPr="00FB0892">
              <w:rPr>
                <w:rFonts w:ascii="標楷體" w:eastAsia="標楷體" w:hAnsi="標楷體" w:hint="eastAsia"/>
                <w:szCs w:val="24"/>
              </w:rPr>
              <w:t>日華總一</w:t>
            </w:r>
            <w:r w:rsidR="00745C93">
              <w:rPr>
                <w:rFonts w:ascii="標楷體" w:eastAsia="標楷體" w:hAnsi="標楷體" w:hint="eastAsia"/>
                <w:szCs w:val="24"/>
              </w:rPr>
              <w:t>經</w:t>
            </w:r>
            <w:r w:rsidRPr="00FB0892">
              <w:rPr>
                <w:rFonts w:ascii="標楷體" w:eastAsia="標楷體" w:hAnsi="標楷體" w:hint="eastAsia"/>
                <w:szCs w:val="24"/>
              </w:rPr>
              <w:t>字第</w:t>
            </w:r>
            <w:r w:rsidRPr="008A37DB">
              <w:rPr>
                <w:rFonts w:ascii="標楷體" w:eastAsia="標楷體" w:hAnsi="標楷體" w:cs="Helvetica" w:hint="eastAsia"/>
                <w:spacing w:val="-30"/>
                <w:szCs w:val="24"/>
              </w:rPr>
              <w:t>11300</w:t>
            </w:r>
            <w:r w:rsidR="00FB0892" w:rsidRPr="008A37DB">
              <w:rPr>
                <w:rFonts w:ascii="標楷體" w:eastAsia="標楷體" w:hAnsi="標楷體" w:cs="Helvetica" w:hint="eastAsia"/>
                <w:spacing w:val="-30"/>
                <w:szCs w:val="24"/>
              </w:rPr>
              <w:t>128651</w:t>
            </w:r>
            <w:r w:rsidRPr="008A37DB">
              <w:rPr>
                <w:rFonts w:ascii="標楷體" w:eastAsia="標楷體" w:hAnsi="標楷體" w:cs="Helvetica" w:hint="eastAsia"/>
                <w:spacing w:val="-30"/>
                <w:szCs w:val="24"/>
              </w:rPr>
              <w:t>號</w:t>
            </w:r>
          </w:p>
        </w:tc>
      </w:tr>
      <w:tr w:rsidR="007D160C" w:rsidRPr="00370BEC" w14:paraId="2A633D6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F2E3E3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3C163EC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3C72BD2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行政院</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18CFFDE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第11屆第2會期第1次院會(113.9.20)決定：「交財政委員會審查」</w:t>
            </w:r>
          </w:p>
        </w:tc>
        <w:tc>
          <w:tcPr>
            <w:tcW w:w="1735" w:type="dxa"/>
            <w:vMerge/>
            <w:tcBorders>
              <w:left w:val="single" w:sz="2" w:space="0" w:color="auto"/>
              <w:bottom w:val="single" w:sz="12" w:space="0" w:color="auto"/>
              <w:right w:val="single" w:sz="4" w:space="0" w:color="auto"/>
            </w:tcBorders>
            <w:shd w:val="clear" w:color="auto" w:fill="FFFFFF"/>
          </w:tcPr>
          <w:p w14:paraId="7E4C543E"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5148B9B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shd w:val="clear" w:color="auto" w:fill="auto"/>
          </w:tcPr>
          <w:p w14:paraId="6E0AAB87"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5DFC6FBA" w14:textId="77777777" w:rsidTr="004E1C6E">
        <w:trPr>
          <w:trHeight w:val="558"/>
          <w:jc w:val="center"/>
        </w:trPr>
        <w:tc>
          <w:tcPr>
            <w:tcW w:w="657" w:type="dxa"/>
            <w:tcBorders>
              <w:top w:val="single" w:sz="2" w:space="0" w:color="auto"/>
              <w:bottom w:val="single" w:sz="4" w:space="0" w:color="auto"/>
              <w:right w:val="single" w:sz="2" w:space="0" w:color="auto"/>
            </w:tcBorders>
            <w:shd w:val="clear" w:color="auto" w:fill="auto"/>
          </w:tcPr>
          <w:p w14:paraId="3C374680"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auto"/>
              <w:right w:val="single" w:sz="4" w:space="0" w:color="auto"/>
            </w:tcBorders>
            <w:shd w:val="clear" w:color="auto" w:fill="auto"/>
          </w:tcPr>
          <w:p w14:paraId="2F986B2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000000"/>
              <w:left w:val="single" w:sz="4" w:space="0" w:color="auto"/>
              <w:bottom w:val="single" w:sz="4" w:space="0" w:color="auto"/>
              <w:right w:val="single" w:sz="4" w:space="0" w:color="auto"/>
            </w:tcBorders>
            <w:shd w:val="clear" w:color="auto" w:fill="auto"/>
          </w:tcPr>
          <w:p w14:paraId="05546C8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羅明才等20人</w:t>
            </w:r>
          </w:p>
        </w:tc>
        <w:tc>
          <w:tcPr>
            <w:tcW w:w="1693" w:type="dxa"/>
            <w:tcBorders>
              <w:top w:val="single" w:sz="4" w:space="0" w:color="000000"/>
              <w:left w:val="single" w:sz="4" w:space="0" w:color="auto"/>
              <w:bottom w:val="single" w:sz="4" w:space="0" w:color="auto"/>
              <w:right w:val="single" w:sz="4" w:space="0" w:color="auto"/>
            </w:tcBorders>
            <w:shd w:val="clear" w:color="auto" w:fill="auto"/>
          </w:tcPr>
          <w:p w14:paraId="12D5107A"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第11屆第1會期第7次院會(113.3.29)決定：「交財政委員會審查」</w:t>
            </w:r>
          </w:p>
        </w:tc>
        <w:tc>
          <w:tcPr>
            <w:tcW w:w="1735" w:type="dxa"/>
            <w:vMerge/>
            <w:tcBorders>
              <w:left w:val="single" w:sz="2" w:space="0" w:color="auto"/>
              <w:bottom w:val="single" w:sz="4" w:space="0" w:color="auto"/>
              <w:right w:val="single" w:sz="4" w:space="0" w:color="auto"/>
            </w:tcBorders>
            <w:shd w:val="clear" w:color="auto" w:fill="FFFFFF"/>
          </w:tcPr>
          <w:p w14:paraId="12E5D517"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shd w:val="clear" w:color="auto" w:fill="auto"/>
          </w:tcPr>
          <w:p w14:paraId="162C92B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shd w:val="clear" w:color="auto" w:fill="auto"/>
          </w:tcPr>
          <w:p w14:paraId="4706767D"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9DFE68B" w14:textId="77777777" w:rsidTr="004E1C6E">
        <w:trPr>
          <w:trHeight w:val="558"/>
          <w:jc w:val="center"/>
        </w:trPr>
        <w:tc>
          <w:tcPr>
            <w:tcW w:w="657" w:type="dxa"/>
            <w:tcBorders>
              <w:top w:val="single" w:sz="4" w:space="0" w:color="auto"/>
              <w:bottom w:val="single" w:sz="4" w:space="0" w:color="auto"/>
              <w:right w:val="single" w:sz="4" w:space="0" w:color="auto"/>
            </w:tcBorders>
            <w:shd w:val="clear" w:color="auto" w:fill="auto"/>
          </w:tcPr>
          <w:p w14:paraId="38571600"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7FF3D94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8E2C25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林楚茵等19人</w:t>
            </w:r>
          </w:p>
        </w:tc>
        <w:tc>
          <w:tcPr>
            <w:tcW w:w="1693" w:type="dxa"/>
            <w:tcBorders>
              <w:top w:val="single" w:sz="4" w:space="0" w:color="auto"/>
              <w:left w:val="single" w:sz="4" w:space="0" w:color="auto"/>
              <w:bottom w:val="single" w:sz="4" w:space="0" w:color="auto"/>
              <w:right w:val="single" w:sz="4" w:space="0" w:color="auto"/>
            </w:tcBorders>
            <w:shd w:val="clear" w:color="auto" w:fill="auto"/>
          </w:tcPr>
          <w:p w14:paraId="3E459BA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第11屆第2會期第4次院會(113.10.11)決定：「交財政委員會審查」</w:t>
            </w:r>
          </w:p>
        </w:tc>
        <w:tc>
          <w:tcPr>
            <w:tcW w:w="1735" w:type="dxa"/>
            <w:vMerge/>
            <w:tcBorders>
              <w:top w:val="single" w:sz="4" w:space="0" w:color="auto"/>
              <w:left w:val="single" w:sz="4" w:space="0" w:color="auto"/>
              <w:bottom w:val="single" w:sz="4" w:space="0" w:color="auto"/>
              <w:right w:val="single" w:sz="4" w:space="0" w:color="auto"/>
            </w:tcBorders>
            <w:shd w:val="clear" w:color="auto" w:fill="FFFFFF"/>
          </w:tcPr>
          <w:p w14:paraId="0F723E87"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shd w:val="clear" w:color="auto" w:fill="auto"/>
          </w:tcPr>
          <w:p w14:paraId="2CD56C2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shd w:val="clear" w:color="auto" w:fill="auto"/>
          </w:tcPr>
          <w:p w14:paraId="12A1F27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87FF320" w14:textId="77777777" w:rsidTr="004E1C6E">
        <w:trPr>
          <w:trHeight w:val="558"/>
          <w:jc w:val="center"/>
        </w:trPr>
        <w:tc>
          <w:tcPr>
            <w:tcW w:w="657" w:type="dxa"/>
            <w:tcBorders>
              <w:top w:val="single" w:sz="4" w:space="0" w:color="auto"/>
              <w:bottom w:val="single" w:sz="2" w:space="0" w:color="auto"/>
              <w:right w:val="single" w:sz="2" w:space="0" w:color="auto"/>
            </w:tcBorders>
            <w:shd w:val="clear" w:color="auto" w:fill="auto"/>
          </w:tcPr>
          <w:p w14:paraId="4D9C537D"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000000"/>
              <w:bottom w:val="single" w:sz="4" w:space="0" w:color="000000"/>
              <w:right w:val="single" w:sz="4" w:space="0" w:color="auto"/>
            </w:tcBorders>
            <w:shd w:val="clear" w:color="auto" w:fill="auto"/>
          </w:tcPr>
          <w:p w14:paraId="013BB8F5"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證券交易稅條例第二條之二條文修正草案</w:t>
            </w:r>
          </w:p>
        </w:tc>
        <w:tc>
          <w:tcPr>
            <w:tcW w:w="1416" w:type="dxa"/>
            <w:tcBorders>
              <w:top w:val="single" w:sz="4" w:space="0" w:color="auto"/>
              <w:left w:val="single" w:sz="4" w:space="0" w:color="auto"/>
              <w:bottom w:val="single" w:sz="4" w:space="0" w:color="000000"/>
              <w:right w:val="single" w:sz="4" w:space="0" w:color="auto"/>
            </w:tcBorders>
            <w:shd w:val="clear" w:color="auto" w:fill="auto"/>
          </w:tcPr>
          <w:p w14:paraId="6B333A9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李坤城等22人</w:t>
            </w:r>
          </w:p>
        </w:tc>
        <w:tc>
          <w:tcPr>
            <w:tcW w:w="1693" w:type="dxa"/>
            <w:tcBorders>
              <w:top w:val="single" w:sz="4" w:space="0" w:color="auto"/>
              <w:left w:val="single" w:sz="4" w:space="0" w:color="auto"/>
              <w:bottom w:val="single" w:sz="4" w:space="0" w:color="000000"/>
              <w:right w:val="single" w:sz="4" w:space="0" w:color="auto"/>
            </w:tcBorders>
            <w:shd w:val="clear" w:color="auto" w:fill="auto"/>
          </w:tcPr>
          <w:p w14:paraId="275C67F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tcPr>
          <w:p w14:paraId="1F0C2B8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shd w:val="clear" w:color="auto" w:fill="auto"/>
          </w:tcPr>
          <w:p w14:paraId="30EF46A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right w:val="single" w:sz="2" w:space="0" w:color="auto"/>
            </w:tcBorders>
            <w:shd w:val="clear" w:color="auto" w:fill="auto"/>
          </w:tcPr>
          <w:p w14:paraId="6676D96C"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1BF227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F9F0C3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73A52C2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229B52D2"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賴士葆等25人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3BC511F0"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bottom w:val="single" w:sz="4" w:space="0" w:color="auto"/>
              <w:right w:val="single" w:sz="4" w:space="0" w:color="auto"/>
            </w:tcBorders>
            <w:shd w:val="clear" w:color="auto" w:fill="FFFFFF"/>
            <w:vAlign w:val="center"/>
          </w:tcPr>
          <w:p w14:paraId="124E014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tcPr>
          <w:p w14:paraId="5592BEA7"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tcPr>
          <w:p w14:paraId="79A8F4A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544DB25"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7C99B05A"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2F0F6256"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7C3C379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34529D">
              <w:rPr>
                <w:rFonts w:ascii="標楷體" w:eastAsia="標楷體" w:hAnsi="標楷體" w:hint="eastAsia"/>
                <w:kern w:val="2"/>
                <w:szCs w:val="24"/>
              </w:rPr>
              <w:t>等19人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2D2E489E"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第11屆第2會期第2次院會(113.9.27)決定：「交財政委員會審查」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63A4B36E"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40848197"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366C56A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553825E"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D980729"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7C579F4F"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48879DC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賴惠員等37人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15BD7DF1"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第11屆第2會期第4次院會(113.10.11)決定：「交財政委員會審查」</w:t>
            </w:r>
          </w:p>
        </w:tc>
        <w:tc>
          <w:tcPr>
            <w:tcW w:w="1735" w:type="dxa"/>
            <w:vMerge/>
            <w:tcBorders>
              <w:top w:val="single" w:sz="4" w:space="0" w:color="auto"/>
              <w:left w:val="single" w:sz="2" w:space="0" w:color="auto"/>
              <w:bottom w:val="single" w:sz="4" w:space="0" w:color="auto"/>
              <w:right w:val="single" w:sz="4" w:space="0" w:color="auto"/>
            </w:tcBorders>
            <w:shd w:val="clear" w:color="auto" w:fill="FFFFFF"/>
            <w:vAlign w:val="center"/>
          </w:tcPr>
          <w:p w14:paraId="2195506F"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4" w:space="0" w:color="auto"/>
              <w:right w:val="single" w:sz="4" w:space="0" w:color="auto"/>
            </w:tcBorders>
          </w:tcPr>
          <w:p w14:paraId="783B698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4" w:space="0" w:color="auto"/>
              <w:right w:val="single" w:sz="2" w:space="0" w:color="auto"/>
            </w:tcBorders>
          </w:tcPr>
          <w:p w14:paraId="1A4CF4AE"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0FF0B8E2"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FBD0AB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auto"/>
            </w:tcBorders>
            <w:shd w:val="clear" w:color="auto" w:fill="auto"/>
          </w:tcPr>
          <w:p w14:paraId="5251F683"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證券交易稅條例第二條之二及第十二條條文修正草案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2D6AD11D"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蔡易餘等16人</w:t>
            </w:r>
          </w:p>
        </w:tc>
        <w:tc>
          <w:tcPr>
            <w:tcW w:w="1693" w:type="dxa"/>
            <w:tcBorders>
              <w:top w:val="single" w:sz="4" w:space="0" w:color="000000"/>
              <w:left w:val="single" w:sz="4" w:space="0" w:color="auto"/>
              <w:bottom w:val="single" w:sz="4" w:space="0" w:color="000000"/>
              <w:right w:val="single" w:sz="4" w:space="0" w:color="auto"/>
            </w:tcBorders>
            <w:shd w:val="clear" w:color="auto" w:fill="auto"/>
          </w:tcPr>
          <w:p w14:paraId="75E510FC"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第11屆第2會期第5次院會(113.10.18)決定：「交財政委員會審查」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6FC9906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tcPr>
          <w:p w14:paraId="22B4A46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right w:val="single" w:sz="2" w:space="0" w:color="auto"/>
            </w:tcBorders>
          </w:tcPr>
          <w:p w14:paraId="0713715D"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5F28614F" w14:textId="77777777" w:rsidTr="004E1C6E">
        <w:trPr>
          <w:trHeight w:val="558"/>
          <w:jc w:val="center"/>
        </w:trPr>
        <w:tc>
          <w:tcPr>
            <w:tcW w:w="657" w:type="dxa"/>
            <w:tcBorders>
              <w:top w:val="single" w:sz="2" w:space="0" w:color="auto"/>
              <w:bottom w:val="single" w:sz="4" w:space="0" w:color="auto"/>
              <w:right w:val="single" w:sz="2" w:space="0" w:color="auto"/>
            </w:tcBorders>
            <w:shd w:val="clear" w:color="auto" w:fill="auto"/>
          </w:tcPr>
          <w:p w14:paraId="20F15D24"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auto"/>
              <w:right w:val="single" w:sz="4" w:space="0" w:color="auto"/>
            </w:tcBorders>
            <w:shd w:val="clear" w:color="auto" w:fill="auto"/>
          </w:tcPr>
          <w:p w14:paraId="668EF9E7"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證券交易稅條例第十二條條文修正草案</w:t>
            </w:r>
          </w:p>
        </w:tc>
        <w:tc>
          <w:tcPr>
            <w:tcW w:w="1416" w:type="dxa"/>
            <w:tcBorders>
              <w:top w:val="single" w:sz="4" w:space="0" w:color="000000"/>
              <w:left w:val="single" w:sz="4" w:space="0" w:color="auto"/>
              <w:bottom w:val="single" w:sz="4" w:space="0" w:color="auto"/>
              <w:right w:val="single" w:sz="4" w:space="0" w:color="auto"/>
            </w:tcBorders>
            <w:shd w:val="clear" w:color="auto" w:fill="auto"/>
          </w:tcPr>
          <w:p w14:paraId="16160C3B"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邱志偉等19人</w:t>
            </w:r>
          </w:p>
        </w:tc>
        <w:tc>
          <w:tcPr>
            <w:tcW w:w="1693" w:type="dxa"/>
            <w:tcBorders>
              <w:top w:val="single" w:sz="4" w:space="0" w:color="000000"/>
              <w:left w:val="single" w:sz="4" w:space="0" w:color="auto"/>
              <w:bottom w:val="single" w:sz="4" w:space="0" w:color="auto"/>
              <w:right w:val="single" w:sz="4" w:space="0" w:color="auto"/>
            </w:tcBorders>
            <w:shd w:val="clear" w:color="auto" w:fill="auto"/>
          </w:tcPr>
          <w:p w14:paraId="66DFE9D4" w14:textId="77777777" w:rsidR="007D160C" w:rsidRPr="0034529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529D">
              <w:rPr>
                <w:rFonts w:ascii="標楷體" w:eastAsia="標楷體" w:hAnsi="標楷體" w:hint="eastAsia"/>
                <w:kern w:val="2"/>
                <w:szCs w:val="24"/>
              </w:rPr>
              <w:t>第11屆第1會期第8次院會(113.4.9)決定：「交財政委員會審查」</w:t>
            </w:r>
          </w:p>
        </w:tc>
        <w:tc>
          <w:tcPr>
            <w:tcW w:w="1735" w:type="dxa"/>
            <w:vMerge/>
            <w:tcBorders>
              <w:left w:val="single" w:sz="2" w:space="0" w:color="auto"/>
              <w:bottom w:val="single" w:sz="4" w:space="0" w:color="auto"/>
              <w:right w:val="single" w:sz="4" w:space="0" w:color="auto"/>
            </w:tcBorders>
            <w:shd w:val="clear" w:color="auto" w:fill="FFFFFF"/>
            <w:vAlign w:val="center"/>
          </w:tcPr>
          <w:p w14:paraId="371A6546"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tcPr>
          <w:p w14:paraId="0AAC008E"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4" w:space="0" w:color="auto"/>
              <w:right w:val="single" w:sz="2" w:space="0" w:color="auto"/>
            </w:tcBorders>
          </w:tcPr>
          <w:p w14:paraId="039DFE10"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F5B5E80" w14:textId="77777777" w:rsidTr="00E84CE5">
        <w:trPr>
          <w:trHeight w:val="558"/>
          <w:jc w:val="center"/>
        </w:trPr>
        <w:tc>
          <w:tcPr>
            <w:tcW w:w="657" w:type="dxa"/>
            <w:tcBorders>
              <w:top w:val="single" w:sz="4" w:space="0" w:color="auto"/>
              <w:bottom w:val="single" w:sz="12" w:space="0" w:color="auto"/>
              <w:right w:val="single" w:sz="4" w:space="0" w:color="auto"/>
            </w:tcBorders>
            <w:shd w:val="clear" w:color="auto" w:fill="auto"/>
          </w:tcPr>
          <w:p w14:paraId="2B2A0810"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06842B0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證券交易稅條例第二條之二條文修正草案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17735D8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郭國文等17人</w:t>
            </w:r>
            <w:r w:rsidRPr="00570525">
              <w:rPr>
                <w:rFonts w:ascii="標楷體" w:eastAsia="標楷體" w:hAnsi="標楷體" w:hint="eastAsia"/>
                <w:kern w:val="2"/>
                <w:szCs w:val="24"/>
              </w:rPr>
              <w:tab/>
            </w:r>
          </w:p>
        </w:tc>
        <w:tc>
          <w:tcPr>
            <w:tcW w:w="1693" w:type="dxa"/>
            <w:tcBorders>
              <w:top w:val="single" w:sz="4" w:space="0" w:color="auto"/>
              <w:left w:val="single" w:sz="4" w:space="0" w:color="auto"/>
              <w:bottom w:val="single" w:sz="12" w:space="0" w:color="auto"/>
              <w:right w:val="single" w:sz="4" w:space="0" w:color="auto"/>
            </w:tcBorders>
            <w:shd w:val="clear" w:color="auto" w:fill="FFFFFF"/>
          </w:tcPr>
          <w:p w14:paraId="3FD797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70525">
              <w:rPr>
                <w:rFonts w:ascii="標楷體" w:eastAsia="標楷體" w:hAnsi="標楷體" w:hint="eastAsia"/>
                <w:kern w:val="2"/>
                <w:szCs w:val="24"/>
              </w:rPr>
              <w:t>第11屆第2會期第9次院會(113.11.15)決定：「</w:t>
            </w:r>
            <w:r>
              <w:rPr>
                <w:rFonts w:ascii="標楷體" w:eastAsia="標楷體" w:hAnsi="標楷體" w:hint="eastAsia"/>
                <w:kern w:val="2"/>
                <w:szCs w:val="24"/>
              </w:rPr>
              <w:t>逕付二讀，與相關提案併案協商</w:t>
            </w:r>
            <w:r w:rsidRPr="00570525">
              <w:rPr>
                <w:rFonts w:ascii="標楷體" w:eastAsia="標楷體" w:hAnsi="標楷體" w:hint="eastAsia"/>
                <w:kern w:val="2"/>
                <w:szCs w:val="24"/>
              </w:rPr>
              <w:t>」</w:t>
            </w:r>
          </w:p>
        </w:tc>
        <w:tc>
          <w:tcPr>
            <w:tcW w:w="1735" w:type="dxa"/>
            <w:vMerge/>
            <w:tcBorders>
              <w:top w:val="single" w:sz="4" w:space="0" w:color="auto"/>
              <w:left w:val="single" w:sz="4" w:space="0" w:color="auto"/>
              <w:bottom w:val="single" w:sz="12" w:space="0" w:color="auto"/>
              <w:right w:val="single" w:sz="4" w:space="0" w:color="auto"/>
            </w:tcBorders>
            <w:shd w:val="clear" w:color="auto" w:fill="FFFFFF"/>
            <w:vAlign w:val="center"/>
          </w:tcPr>
          <w:p w14:paraId="4CCB92FC"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38D2BAA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bottom w:val="single" w:sz="12" w:space="0" w:color="auto"/>
              <w:right w:val="single" w:sz="2" w:space="0" w:color="auto"/>
            </w:tcBorders>
          </w:tcPr>
          <w:p w14:paraId="074F1167"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FB0892" w:rsidRPr="00370BEC" w14:paraId="65BC4914" w14:textId="77777777" w:rsidTr="00E84CE5">
        <w:trPr>
          <w:trHeight w:val="558"/>
          <w:jc w:val="center"/>
        </w:trPr>
        <w:tc>
          <w:tcPr>
            <w:tcW w:w="657" w:type="dxa"/>
            <w:tcBorders>
              <w:top w:val="single" w:sz="12" w:space="0" w:color="auto"/>
              <w:bottom w:val="single" w:sz="4" w:space="0" w:color="auto"/>
              <w:right w:val="single" w:sz="2" w:space="0" w:color="auto"/>
            </w:tcBorders>
            <w:shd w:val="clear" w:color="auto" w:fill="auto"/>
          </w:tcPr>
          <w:p w14:paraId="6F455CA4"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5300016E"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w:t>
            </w:r>
            <w:r w:rsidRPr="00B95A07">
              <w:rPr>
                <w:rFonts w:ascii="標楷體" w:eastAsia="標楷體" w:hAnsi="標楷體" w:hint="eastAsia"/>
                <w:kern w:val="2"/>
                <w:szCs w:val="24"/>
              </w:rPr>
              <w:lastRenderedPageBreak/>
              <w:t>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4243AA8F"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國民黨黨團</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38F3025F"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w:t>
            </w:r>
            <w:r w:rsidRPr="00B95A07">
              <w:rPr>
                <w:rFonts w:ascii="標楷體" w:eastAsia="標楷體" w:hAnsi="標楷體" w:hint="eastAsia"/>
                <w:kern w:val="2"/>
                <w:szCs w:val="24"/>
              </w:rPr>
              <w:lastRenderedPageBreak/>
              <w:t>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5DAEC8DB" w14:textId="77777777" w:rsidR="00FB0892" w:rsidRPr="00472D39" w:rsidRDefault="00FB0892" w:rsidP="00F470A8">
            <w:pPr>
              <w:overflowPunct w:val="0"/>
              <w:jc w:val="both"/>
              <w:rPr>
                <w:rFonts w:ascii="標楷體" w:eastAsia="標楷體" w:hAnsi="標楷體"/>
                <w:color w:val="FF0000"/>
                <w:kern w:val="2"/>
                <w:szCs w:val="24"/>
              </w:rPr>
            </w:pPr>
            <w:r w:rsidRPr="00827540">
              <w:rPr>
                <w:rFonts w:ascii="標楷體" w:eastAsia="標楷體" w:hAnsi="標楷體" w:hint="eastAsia"/>
                <w:szCs w:val="24"/>
              </w:rPr>
              <w:lastRenderedPageBreak/>
              <w:t>第11屆第2會期財政委員會</w:t>
            </w:r>
            <w:r w:rsidRPr="00827540">
              <w:rPr>
                <w:rFonts w:ascii="標楷體" w:eastAsia="標楷體" w:hAnsi="標楷體" w:hint="eastAsia"/>
                <w:szCs w:val="24"/>
              </w:rPr>
              <w:lastRenderedPageBreak/>
              <w:t>第</w:t>
            </w:r>
            <w:r>
              <w:rPr>
                <w:rFonts w:ascii="標楷體" w:eastAsia="標楷體" w:hAnsi="標楷體" w:hint="eastAsia"/>
                <w:szCs w:val="24"/>
              </w:rPr>
              <w:t>6</w:t>
            </w:r>
            <w:r w:rsidRPr="00827540">
              <w:rPr>
                <w:rFonts w:ascii="標楷體" w:eastAsia="標楷體" w:hAnsi="標楷體" w:hint="eastAsia"/>
                <w:szCs w:val="24"/>
              </w:rPr>
              <w:t>次全體委員會議</w:t>
            </w:r>
            <w:r w:rsidRPr="008A37DB">
              <w:rPr>
                <w:rFonts w:ascii="標楷體" w:eastAsia="標楷體" w:hAnsi="標楷體" w:hint="eastAsia"/>
                <w:spacing w:val="-48"/>
                <w:szCs w:val="24"/>
              </w:rPr>
              <w:t>(113.11.6)</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155C6B4D" w14:textId="6175C406" w:rsidR="00FB0892" w:rsidRPr="00472D39" w:rsidRDefault="00FB0892" w:rsidP="00F470A8">
            <w:pPr>
              <w:overflowPunct w:val="0"/>
              <w:jc w:val="both"/>
              <w:rPr>
                <w:rFonts w:ascii="標楷體" w:eastAsia="標楷體" w:hAnsi="標楷體"/>
                <w:bCs/>
                <w:color w:val="FF0000"/>
                <w:szCs w:val="24"/>
              </w:rPr>
            </w:pPr>
            <w:r w:rsidRPr="00E22CE9">
              <w:rPr>
                <w:rFonts w:ascii="標楷體" w:eastAsia="標楷體" w:hAnsi="標楷體" w:hint="eastAsia"/>
                <w:szCs w:val="24"/>
              </w:rPr>
              <w:lastRenderedPageBreak/>
              <w:t>第11屆第2</w:t>
            </w:r>
            <w:r w:rsidRPr="00E22CE9">
              <w:rPr>
                <w:rFonts w:ascii="標楷體" w:eastAsia="標楷體" w:hAnsi="標楷體" w:hint="eastAsia"/>
                <w:spacing w:val="-20"/>
                <w:szCs w:val="24"/>
              </w:rPr>
              <w:t>會期第1</w:t>
            </w:r>
            <w:r w:rsidR="00E22CE9" w:rsidRPr="00E22CE9">
              <w:rPr>
                <w:rFonts w:ascii="標楷體" w:eastAsia="標楷體" w:hAnsi="標楷體" w:hint="eastAsia"/>
                <w:spacing w:val="-20"/>
                <w:szCs w:val="24"/>
              </w:rPr>
              <w:t>4</w:t>
            </w:r>
            <w:r w:rsidRPr="00E22CE9">
              <w:rPr>
                <w:rFonts w:ascii="標楷體" w:eastAsia="標楷體" w:hAnsi="標楷體" w:hint="eastAsia"/>
                <w:spacing w:val="-20"/>
                <w:szCs w:val="24"/>
              </w:rPr>
              <w:t>次院會</w:t>
            </w:r>
            <w:r w:rsidRPr="00E22CE9">
              <w:rPr>
                <w:rFonts w:ascii="標楷體" w:eastAsia="標楷體" w:hAnsi="標楷體" w:hint="eastAsia"/>
                <w:szCs w:val="24"/>
              </w:rPr>
              <w:t>(113.12.</w:t>
            </w:r>
            <w:r w:rsidR="00E22CE9" w:rsidRPr="00E22CE9">
              <w:rPr>
                <w:rFonts w:ascii="標楷體" w:eastAsia="標楷體" w:hAnsi="標楷體" w:hint="eastAsia"/>
                <w:szCs w:val="24"/>
              </w:rPr>
              <w:t>20</w:t>
            </w:r>
            <w:r w:rsidRPr="00E22CE9">
              <w:rPr>
                <w:rFonts w:ascii="標楷體" w:eastAsia="標楷體" w:hAnsi="標楷體"/>
                <w:szCs w:val="24"/>
              </w:rPr>
              <w:t>)</w:t>
            </w:r>
          </w:p>
        </w:tc>
        <w:tc>
          <w:tcPr>
            <w:tcW w:w="1520" w:type="dxa"/>
            <w:vMerge w:val="restart"/>
            <w:tcBorders>
              <w:top w:val="single" w:sz="12" w:space="0" w:color="auto"/>
              <w:left w:val="single" w:sz="4" w:space="0" w:color="auto"/>
              <w:bottom w:val="single" w:sz="4" w:space="0" w:color="auto"/>
            </w:tcBorders>
          </w:tcPr>
          <w:p w14:paraId="158D3879" w14:textId="32968D34" w:rsidR="00FB0892" w:rsidRPr="00BA2D3C" w:rsidRDefault="00FB0892" w:rsidP="00F470A8">
            <w:pPr>
              <w:overflowPunct w:val="0"/>
              <w:jc w:val="both"/>
              <w:rPr>
                <w:rFonts w:ascii="標楷體" w:eastAsia="標楷體" w:hAnsi="標楷體"/>
                <w:color w:val="FF0000"/>
                <w:szCs w:val="24"/>
              </w:rPr>
            </w:pPr>
          </w:p>
        </w:tc>
      </w:tr>
      <w:tr w:rsidR="00FB0892" w:rsidRPr="00370BEC" w14:paraId="7D1980E9" w14:textId="77777777" w:rsidTr="00E84CE5">
        <w:trPr>
          <w:trHeight w:val="558"/>
          <w:jc w:val="center"/>
        </w:trPr>
        <w:tc>
          <w:tcPr>
            <w:tcW w:w="657" w:type="dxa"/>
            <w:tcBorders>
              <w:top w:val="single" w:sz="4" w:space="0" w:color="auto"/>
              <w:bottom w:val="single" w:sz="2" w:space="0" w:color="auto"/>
              <w:right w:val="single" w:sz="2" w:space="0" w:color="auto"/>
            </w:tcBorders>
            <w:shd w:val="clear" w:color="auto" w:fill="auto"/>
          </w:tcPr>
          <w:p w14:paraId="034C7D47"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000000"/>
              <w:right w:val="single" w:sz="4" w:space="0" w:color="auto"/>
            </w:tcBorders>
            <w:shd w:val="clear" w:color="auto" w:fill="auto"/>
          </w:tcPr>
          <w:p w14:paraId="286ECDAF"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財政收支劃分法第三條條文修正草案</w:t>
            </w:r>
          </w:p>
        </w:tc>
        <w:tc>
          <w:tcPr>
            <w:tcW w:w="1416" w:type="dxa"/>
            <w:tcBorders>
              <w:top w:val="single" w:sz="4" w:space="0" w:color="auto"/>
              <w:left w:val="single" w:sz="4" w:space="0" w:color="auto"/>
              <w:bottom w:val="single" w:sz="4" w:space="0" w:color="000000"/>
              <w:right w:val="single" w:sz="4" w:space="0" w:color="auto"/>
            </w:tcBorders>
            <w:shd w:val="clear" w:color="auto" w:fill="auto"/>
          </w:tcPr>
          <w:p w14:paraId="3DD57197"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伍麗華</w:t>
            </w:r>
            <w:r w:rsidRPr="000201AE">
              <w:rPr>
                <w:rFonts w:ascii="標楷體" w:eastAsia="標楷體" w:hAnsi="標楷體" w:hint="eastAsia"/>
                <w:spacing w:val="-28"/>
                <w:kern w:val="2"/>
                <w:szCs w:val="24"/>
              </w:rPr>
              <w:t>Saidhai Tahovecahe</w:t>
            </w:r>
            <w:r w:rsidRPr="00B95A07">
              <w:rPr>
                <w:rFonts w:ascii="標楷體" w:eastAsia="標楷體" w:hAnsi="標楷體" w:hint="eastAsia"/>
                <w:kern w:val="2"/>
                <w:szCs w:val="24"/>
              </w:rPr>
              <w:t>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073957B"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tcPr>
          <w:p w14:paraId="2D3A718B"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shd w:val="clear" w:color="auto" w:fill="auto"/>
          </w:tcPr>
          <w:p w14:paraId="36229D84"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top w:val="single" w:sz="4" w:space="0" w:color="auto"/>
              <w:left w:val="single" w:sz="4" w:space="0" w:color="auto"/>
            </w:tcBorders>
            <w:shd w:val="clear" w:color="auto" w:fill="auto"/>
          </w:tcPr>
          <w:p w14:paraId="69019762"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4219E320" w14:textId="77777777" w:rsidTr="00FB0892">
        <w:trPr>
          <w:trHeight w:val="558"/>
          <w:jc w:val="center"/>
        </w:trPr>
        <w:tc>
          <w:tcPr>
            <w:tcW w:w="657" w:type="dxa"/>
            <w:tcBorders>
              <w:top w:val="single" w:sz="2" w:space="0" w:color="auto"/>
              <w:bottom w:val="single" w:sz="2" w:space="0" w:color="auto"/>
              <w:right w:val="single" w:sz="2" w:space="0" w:color="auto"/>
            </w:tcBorders>
            <w:shd w:val="clear" w:color="auto" w:fill="auto"/>
          </w:tcPr>
          <w:p w14:paraId="56736394"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auto"/>
              <w:bottom w:val="single" w:sz="4" w:space="0" w:color="000000"/>
              <w:right w:val="single" w:sz="4" w:space="0" w:color="auto"/>
            </w:tcBorders>
            <w:shd w:val="clear" w:color="auto" w:fill="auto"/>
          </w:tcPr>
          <w:p w14:paraId="23C00533"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auto"/>
              <w:bottom w:val="single" w:sz="4" w:space="0" w:color="000000"/>
              <w:right w:val="single" w:sz="4" w:space="0" w:color="auto"/>
            </w:tcBorders>
            <w:shd w:val="clear" w:color="auto" w:fill="auto"/>
          </w:tcPr>
          <w:p w14:paraId="1894469A"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賴瑞隆等16人</w:t>
            </w:r>
          </w:p>
        </w:tc>
        <w:tc>
          <w:tcPr>
            <w:tcW w:w="1693" w:type="dxa"/>
            <w:tcBorders>
              <w:top w:val="single" w:sz="4" w:space="0" w:color="000000"/>
              <w:left w:val="single" w:sz="4" w:space="0" w:color="000000"/>
              <w:bottom w:val="single" w:sz="4" w:space="0" w:color="000000"/>
              <w:right w:val="single" w:sz="4" w:space="0" w:color="000000"/>
            </w:tcBorders>
            <w:shd w:val="clear" w:color="auto" w:fill="FFFFFF"/>
          </w:tcPr>
          <w:p w14:paraId="0B6549F4"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735" w:type="dxa"/>
            <w:vMerge/>
            <w:tcBorders>
              <w:left w:val="single" w:sz="2" w:space="0" w:color="auto"/>
              <w:bottom w:val="single" w:sz="4" w:space="0" w:color="auto"/>
              <w:right w:val="single" w:sz="4" w:space="0" w:color="auto"/>
            </w:tcBorders>
            <w:shd w:val="clear" w:color="auto" w:fill="FFFFFF"/>
          </w:tcPr>
          <w:p w14:paraId="47D2DE79"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7FAD90B5"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shd w:val="clear" w:color="auto" w:fill="auto"/>
          </w:tcPr>
          <w:p w14:paraId="40957E45"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0694EBFC" w14:textId="77777777" w:rsidTr="00FB0892">
        <w:trPr>
          <w:trHeight w:val="558"/>
          <w:jc w:val="center"/>
        </w:trPr>
        <w:tc>
          <w:tcPr>
            <w:tcW w:w="657" w:type="dxa"/>
            <w:tcBorders>
              <w:top w:val="single" w:sz="2" w:space="0" w:color="auto"/>
              <w:bottom w:val="single" w:sz="2" w:space="0" w:color="auto"/>
              <w:right w:val="single" w:sz="2" w:space="0" w:color="auto"/>
            </w:tcBorders>
            <w:shd w:val="clear" w:color="auto" w:fill="auto"/>
          </w:tcPr>
          <w:p w14:paraId="762B1618"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000000"/>
              <w:right w:val="single" w:sz="4" w:space="0" w:color="000000"/>
            </w:tcBorders>
            <w:shd w:val="clear" w:color="auto" w:fill="auto"/>
          </w:tcPr>
          <w:p w14:paraId="6DFB7DE4"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財政收支劃分法第十六條之一條文修正草案</w:t>
            </w:r>
          </w:p>
        </w:tc>
        <w:tc>
          <w:tcPr>
            <w:tcW w:w="1416" w:type="dxa"/>
            <w:tcBorders>
              <w:top w:val="single" w:sz="4" w:space="0" w:color="000000"/>
              <w:left w:val="single" w:sz="4" w:space="0" w:color="000000"/>
              <w:bottom w:val="single" w:sz="4" w:space="0" w:color="000000"/>
              <w:right w:val="single" w:sz="4" w:space="0" w:color="000000"/>
            </w:tcBorders>
            <w:shd w:val="clear" w:color="auto" w:fill="auto"/>
          </w:tcPr>
          <w:p w14:paraId="641998AD"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w:t>
            </w:r>
            <w:r w:rsidRPr="00B95A07">
              <w:rPr>
                <w:rFonts w:ascii="標楷體" w:eastAsia="標楷體" w:hAnsi="標楷體"/>
                <w:kern w:val="2"/>
                <w:szCs w:val="24"/>
              </w:rPr>
              <w:t>16人</w:t>
            </w:r>
          </w:p>
        </w:tc>
        <w:tc>
          <w:tcPr>
            <w:tcW w:w="1693" w:type="dxa"/>
            <w:tcBorders>
              <w:top w:val="single" w:sz="4" w:space="0" w:color="auto"/>
              <w:left w:val="single" w:sz="4" w:space="0" w:color="000000"/>
              <w:bottom w:val="single" w:sz="4" w:space="0" w:color="000000"/>
              <w:right w:val="single" w:sz="4" w:space="0" w:color="000000"/>
            </w:tcBorders>
            <w:shd w:val="clear" w:color="auto" w:fill="FFFFFF"/>
          </w:tcPr>
          <w:p w14:paraId="450300A3" w14:textId="77777777" w:rsidR="00FB0892" w:rsidRPr="00B95A07"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735" w:type="dxa"/>
            <w:vMerge/>
            <w:tcBorders>
              <w:top w:val="single" w:sz="4" w:space="0" w:color="auto"/>
              <w:left w:val="single" w:sz="4" w:space="0" w:color="auto"/>
              <w:bottom w:val="single" w:sz="4" w:space="0" w:color="auto"/>
              <w:right w:val="single" w:sz="4" w:space="0" w:color="auto"/>
            </w:tcBorders>
            <w:shd w:val="clear" w:color="auto" w:fill="FFFFFF"/>
          </w:tcPr>
          <w:p w14:paraId="1F3C3440"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shd w:val="clear" w:color="auto" w:fill="auto"/>
          </w:tcPr>
          <w:p w14:paraId="63AD3637"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shd w:val="clear" w:color="auto" w:fill="auto"/>
          </w:tcPr>
          <w:p w14:paraId="0705DA50"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2687A79D" w14:textId="77777777" w:rsidTr="00FB0892">
        <w:trPr>
          <w:trHeight w:val="558"/>
          <w:jc w:val="center"/>
        </w:trPr>
        <w:tc>
          <w:tcPr>
            <w:tcW w:w="657" w:type="dxa"/>
            <w:tcBorders>
              <w:top w:val="single" w:sz="2" w:space="0" w:color="auto"/>
              <w:bottom w:val="single" w:sz="4" w:space="0" w:color="auto"/>
              <w:right w:val="single" w:sz="2" w:space="0" w:color="auto"/>
            </w:tcBorders>
            <w:shd w:val="clear" w:color="auto" w:fill="auto"/>
          </w:tcPr>
          <w:p w14:paraId="1A2DC983"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000000"/>
              <w:bottom w:val="single" w:sz="4" w:space="0" w:color="auto"/>
              <w:right w:val="single" w:sz="4" w:space="0" w:color="000000"/>
            </w:tcBorders>
            <w:shd w:val="clear" w:color="auto" w:fill="auto"/>
          </w:tcPr>
          <w:p w14:paraId="69986B72" w14:textId="77777777" w:rsidR="00FB0892" w:rsidRPr="00D043C5"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財政收支劃分法部分條文修正草案</w:t>
            </w:r>
            <w:r w:rsidRPr="00BA0BFF">
              <w:rPr>
                <w:rFonts w:ascii="標楷體" w:eastAsia="標楷體" w:hAnsi="標楷體" w:hint="eastAsia"/>
                <w:kern w:val="2"/>
                <w:szCs w:val="24"/>
              </w:rPr>
              <w:tab/>
            </w:r>
          </w:p>
        </w:tc>
        <w:tc>
          <w:tcPr>
            <w:tcW w:w="1416" w:type="dxa"/>
            <w:tcBorders>
              <w:top w:val="single" w:sz="4" w:space="0" w:color="000000"/>
              <w:left w:val="single" w:sz="4" w:space="0" w:color="000000"/>
              <w:bottom w:val="single" w:sz="4" w:space="0" w:color="auto"/>
              <w:right w:val="single" w:sz="4" w:space="0" w:color="000000"/>
            </w:tcBorders>
            <w:shd w:val="clear" w:color="auto" w:fill="auto"/>
          </w:tcPr>
          <w:p w14:paraId="175EF1D9" w14:textId="77777777" w:rsidR="00FB0892" w:rsidRPr="00D043C5" w:rsidRDefault="00FB0892" w:rsidP="00F470A8">
            <w:pPr>
              <w:widowControl w:val="0"/>
              <w:overflowPunct w:val="0"/>
              <w:autoSpaceDN/>
              <w:spacing w:line="320" w:lineRule="exact"/>
              <w:jc w:val="both"/>
              <w:textAlignment w:val="auto"/>
              <w:rPr>
                <w:rFonts w:ascii="標楷體" w:eastAsia="標楷體" w:hAnsi="標楷體"/>
                <w:kern w:val="2"/>
                <w:szCs w:val="24"/>
              </w:rPr>
            </w:pPr>
            <w:r w:rsidRPr="00BA0BFF">
              <w:rPr>
                <w:rFonts w:ascii="標楷體" w:eastAsia="標楷體" w:hAnsi="標楷體" w:hint="eastAsia"/>
                <w:kern w:val="2"/>
                <w:szCs w:val="24"/>
              </w:rPr>
              <w:t>台灣民眾黨黨團</w:t>
            </w:r>
          </w:p>
        </w:tc>
        <w:tc>
          <w:tcPr>
            <w:tcW w:w="1693" w:type="dxa"/>
            <w:tcBorders>
              <w:top w:val="single" w:sz="4" w:space="0" w:color="000000"/>
              <w:left w:val="single" w:sz="4" w:space="0" w:color="000000"/>
              <w:bottom w:val="single" w:sz="4" w:space="0" w:color="auto"/>
              <w:right w:val="single" w:sz="4" w:space="0" w:color="000000"/>
            </w:tcBorders>
            <w:shd w:val="clear" w:color="auto" w:fill="FFFFFF"/>
          </w:tcPr>
          <w:p w14:paraId="3070C7DB" w14:textId="77777777" w:rsidR="00FB0892" w:rsidRPr="00D043C5" w:rsidRDefault="00FB0892" w:rsidP="00F470A8">
            <w:pPr>
              <w:widowControl w:val="0"/>
              <w:overflowPunct w:val="0"/>
              <w:autoSpaceDN/>
              <w:spacing w:line="320" w:lineRule="exact"/>
              <w:jc w:val="both"/>
              <w:textAlignment w:val="auto"/>
              <w:rPr>
                <w:rFonts w:ascii="標楷體" w:eastAsia="標楷體" w:hAnsi="標楷體"/>
                <w:kern w:val="2"/>
                <w:szCs w:val="24"/>
              </w:rPr>
            </w:pPr>
            <w:r w:rsidRPr="00F0305B">
              <w:rPr>
                <w:rFonts w:ascii="標楷體" w:eastAsia="標楷體" w:hAnsi="標楷體" w:hint="eastAsia"/>
                <w:kern w:val="2"/>
                <w:szCs w:val="24"/>
              </w:rPr>
              <w:t>第11屆第2會期第9次院會(113.11.15)決定：「逕付二讀，與相關提案併案協商」</w:t>
            </w:r>
          </w:p>
        </w:tc>
        <w:tc>
          <w:tcPr>
            <w:tcW w:w="1735" w:type="dxa"/>
            <w:tcBorders>
              <w:top w:val="single" w:sz="4" w:space="0" w:color="auto"/>
              <w:left w:val="single" w:sz="2" w:space="0" w:color="auto"/>
              <w:bottom w:val="single" w:sz="4" w:space="0" w:color="auto"/>
              <w:right w:val="single" w:sz="4" w:space="0" w:color="auto"/>
            </w:tcBorders>
            <w:shd w:val="clear" w:color="auto" w:fill="FFFFFF"/>
          </w:tcPr>
          <w:p w14:paraId="71AFF4F9"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4" w:space="0" w:color="auto"/>
              <w:right w:val="single" w:sz="4" w:space="0" w:color="auto"/>
            </w:tcBorders>
            <w:shd w:val="clear" w:color="auto" w:fill="auto"/>
          </w:tcPr>
          <w:p w14:paraId="0655DB30"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shd w:val="clear" w:color="auto" w:fill="auto"/>
          </w:tcPr>
          <w:p w14:paraId="26C6751D"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3ABB45F2" w14:textId="77777777" w:rsidTr="00FB0892">
        <w:trPr>
          <w:trHeight w:val="558"/>
          <w:jc w:val="center"/>
        </w:trPr>
        <w:tc>
          <w:tcPr>
            <w:tcW w:w="657" w:type="dxa"/>
            <w:tcBorders>
              <w:top w:val="single" w:sz="4" w:space="0" w:color="auto"/>
              <w:bottom w:val="single" w:sz="2" w:space="0" w:color="auto"/>
              <w:right w:val="single" w:sz="2" w:space="0" w:color="auto"/>
            </w:tcBorders>
            <w:shd w:val="clear" w:color="auto" w:fill="auto"/>
          </w:tcPr>
          <w:p w14:paraId="3D35EFDA"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000000"/>
              <w:bottom w:val="single" w:sz="4" w:space="0" w:color="000000"/>
              <w:right w:val="single" w:sz="4" w:space="0" w:color="000000"/>
            </w:tcBorders>
            <w:shd w:val="clear" w:color="auto" w:fill="auto"/>
          </w:tcPr>
          <w:p w14:paraId="593F526A" w14:textId="77777777" w:rsidR="00FB0892" w:rsidRPr="00BA0BFF" w:rsidRDefault="00FB0892"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財政收支劃分法部分條文修正草案</w:t>
            </w:r>
            <w:r w:rsidRPr="00D53C28">
              <w:rPr>
                <w:rFonts w:ascii="標楷體" w:eastAsia="標楷體" w:hAnsi="標楷體" w:hint="eastAsia"/>
                <w:kern w:val="2"/>
                <w:szCs w:val="24"/>
              </w:rPr>
              <w:tab/>
            </w:r>
          </w:p>
        </w:tc>
        <w:tc>
          <w:tcPr>
            <w:tcW w:w="1416" w:type="dxa"/>
            <w:tcBorders>
              <w:top w:val="single" w:sz="4" w:space="0" w:color="auto"/>
              <w:left w:val="single" w:sz="4" w:space="0" w:color="000000"/>
              <w:bottom w:val="single" w:sz="4" w:space="0" w:color="000000"/>
              <w:right w:val="single" w:sz="4" w:space="0" w:color="000000"/>
            </w:tcBorders>
            <w:shd w:val="clear" w:color="auto" w:fill="auto"/>
          </w:tcPr>
          <w:p w14:paraId="6D498CA3" w14:textId="77777777" w:rsidR="00FB0892" w:rsidRPr="00BA0BFF" w:rsidRDefault="00FB0892"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高金素梅等17人</w:t>
            </w:r>
          </w:p>
        </w:tc>
        <w:tc>
          <w:tcPr>
            <w:tcW w:w="1693" w:type="dxa"/>
            <w:tcBorders>
              <w:top w:val="single" w:sz="4" w:space="0" w:color="auto"/>
              <w:left w:val="single" w:sz="4" w:space="0" w:color="000000"/>
              <w:bottom w:val="single" w:sz="4" w:space="0" w:color="000000"/>
              <w:right w:val="single" w:sz="4" w:space="0" w:color="000000"/>
            </w:tcBorders>
            <w:shd w:val="clear" w:color="auto" w:fill="FFFFFF"/>
          </w:tcPr>
          <w:p w14:paraId="39A54B24" w14:textId="77777777" w:rsidR="00FB0892" w:rsidRPr="00F0305B" w:rsidRDefault="00FB0892" w:rsidP="00F470A8">
            <w:pPr>
              <w:widowControl w:val="0"/>
              <w:overflowPunct w:val="0"/>
              <w:autoSpaceDN/>
              <w:spacing w:line="320" w:lineRule="exact"/>
              <w:jc w:val="both"/>
              <w:textAlignment w:val="auto"/>
              <w:rPr>
                <w:rFonts w:ascii="標楷體" w:eastAsia="標楷體" w:hAnsi="標楷體"/>
                <w:kern w:val="2"/>
                <w:szCs w:val="24"/>
              </w:rPr>
            </w:pPr>
            <w:r w:rsidRPr="00D53C28">
              <w:rPr>
                <w:rFonts w:ascii="標楷體" w:eastAsia="標楷體" w:hAnsi="標楷體" w:hint="eastAsia"/>
                <w:kern w:val="2"/>
                <w:szCs w:val="24"/>
              </w:rPr>
              <w:t>第11屆第2會期第11次院會(113.11.29)決定：「</w:t>
            </w:r>
            <w:r w:rsidRPr="00F0305B">
              <w:rPr>
                <w:rFonts w:ascii="標楷體" w:eastAsia="標楷體" w:hAnsi="標楷體" w:hint="eastAsia"/>
                <w:kern w:val="2"/>
                <w:szCs w:val="24"/>
              </w:rPr>
              <w:t>逕付二讀，與相關提案併案協商</w:t>
            </w:r>
            <w:r w:rsidRPr="00D53C28">
              <w:rPr>
                <w:rFonts w:ascii="標楷體" w:eastAsia="標楷體" w:hAnsi="標楷體" w:hint="eastAsia"/>
                <w:kern w:val="2"/>
                <w:szCs w:val="24"/>
              </w:rPr>
              <w:t>」</w:t>
            </w:r>
          </w:p>
        </w:tc>
        <w:tc>
          <w:tcPr>
            <w:tcW w:w="1735" w:type="dxa"/>
            <w:tcBorders>
              <w:top w:val="single" w:sz="4" w:space="0" w:color="auto"/>
              <w:left w:val="single" w:sz="2" w:space="0" w:color="auto"/>
              <w:bottom w:val="single" w:sz="4" w:space="0" w:color="auto"/>
              <w:right w:val="single" w:sz="4" w:space="0" w:color="auto"/>
            </w:tcBorders>
            <w:shd w:val="clear" w:color="auto" w:fill="FFFFFF"/>
            <w:vAlign w:val="center"/>
          </w:tcPr>
          <w:p w14:paraId="15407CB9"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right w:val="single" w:sz="4" w:space="0" w:color="auto"/>
            </w:tcBorders>
          </w:tcPr>
          <w:p w14:paraId="65FD741C"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tcBorders>
          </w:tcPr>
          <w:p w14:paraId="475C4B23"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FB0892" w:rsidRPr="00370BEC" w14:paraId="34D971FB" w14:textId="77777777" w:rsidTr="00E84CE5">
        <w:trPr>
          <w:trHeight w:val="558"/>
          <w:jc w:val="center"/>
        </w:trPr>
        <w:tc>
          <w:tcPr>
            <w:tcW w:w="657" w:type="dxa"/>
            <w:tcBorders>
              <w:top w:val="single" w:sz="2" w:space="0" w:color="auto"/>
              <w:bottom w:val="single" w:sz="12" w:space="0" w:color="auto"/>
              <w:right w:val="single" w:sz="2" w:space="0" w:color="auto"/>
            </w:tcBorders>
            <w:shd w:val="clear" w:color="auto" w:fill="auto"/>
          </w:tcPr>
          <w:p w14:paraId="3D7732A6" w14:textId="77777777" w:rsidR="00FB0892" w:rsidRPr="00370BEC" w:rsidRDefault="00FB0892"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000000"/>
              <w:left w:val="single" w:sz="4" w:space="0" w:color="auto"/>
              <w:bottom w:val="single" w:sz="12" w:space="0" w:color="auto"/>
              <w:right w:val="single" w:sz="4" w:space="0" w:color="auto"/>
            </w:tcBorders>
            <w:shd w:val="clear" w:color="auto" w:fill="auto"/>
          </w:tcPr>
          <w:p w14:paraId="20DEED10" w14:textId="77777777" w:rsidR="00FB0892" w:rsidRPr="001869CE" w:rsidRDefault="00FB0892"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財政收支劃分法第十二條條文修正草案</w:t>
            </w:r>
          </w:p>
        </w:tc>
        <w:tc>
          <w:tcPr>
            <w:tcW w:w="1416" w:type="dxa"/>
            <w:tcBorders>
              <w:top w:val="single" w:sz="4" w:space="0" w:color="000000"/>
              <w:left w:val="single" w:sz="4" w:space="0" w:color="auto"/>
              <w:bottom w:val="single" w:sz="12" w:space="0" w:color="auto"/>
              <w:right w:val="single" w:sz="4" w:space="0" w:color="auto"/>
            </w:tcBorders>
            <w:shd w:val="clear" w:color="auto" w:fill="auto"/>
          </w:tcPr>
          <w:p w14:paraId="233941BA" w14:textId="77777777" w:rsidR="00FB0892" w:rsidRPr="001869CE" w:rsidRDefault="00FB0892"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葉元之等19人</w:t>
            </w:r>
          </w:p>
        </w:tc>
        <w:tc>
          <w:tcPr>
            <w:tcW w:w="1693" w:type="dxa"/>
            <w:tcBorders>
              <w:top w:val="single" w:sz="4" w:space="0" w:color="000000"/>
              <w:left w:val="single" w:sz="4" w:space="0" w:color="000000"/>
              <w:bottom w:val="single" w:sz="12" w:space="0" w:color="auto"/>
              <w:right w:val="single" w:sz="4" w:space="0" w:color="000000"/>
            </w:tcBorders>
            <w:shd w:val="clear" w:color="auto" w:fill="FFFFFF"/>
          </w:tcPr>
          <w:p w14:paraId="669B37E9" w14:textId="77777777" w:rsidR="00FB0892" w:rsidRPr="001869CE" w:rsidRDefault="00FB0892" w:rsidP="00F470A8">
            <w:pPr>
              <w:widowControl w:val="0"/>
              <w:overflowPunct w:val="0"/>
              <w:spacing w:line="320" w:lineRule="exact"/>
              <w:jc w:val="both"/>
              <w:rPr>
                <w:rFonts w:ascii="標楷體" w:eastAsia="標楷體" w:hAnsi="標楷體"/>
                <w:kern w:val="2"/>
                <w:szCs w:val="24"/>
              </w:rPr>
            </w:pPr>
            <w:r w:rsidRPr="001869CE">
              <w:rPr>
                <w:rFonts w:ascii="標楷體" w:eastAsia="標楷體" w:hAnsi="標楷體" w:hint="eastAsia"/>
                <w:kern w:val="2"/>
                <w:szCs w:val="24"/>
              </w:rPr>
              <w:t>第11屆第2會期第12次院會(113.12.6)決定：「逕付二讀，與相關提案併案協商」</w:t>
            </w:r>
          </w:p>
        </w:tc>
        <w:tc>
          <w:tcPr>
            <w:tcW w:w="1735" w:type="dxa"/>
            <w:tcBorders>
              <w:top w:val="single" w:sz="4" w:space="0" w:color="auto"/>
              <w:left w:val="single" w:sz="2" w:space="0" w:color="auto"/>
              <w:bottom w:val="single" w:sz="12" w:space="0" w:color="auto"/>
              <w:right w:val="single" w:sz="4" w:space="0" w:color="auto"/>
            </w:tcBorders>
            <w:shd w:val="clear" w:color="auto" w:fill="FFFFFF"/>
            <w:vAlign w:val="center"/>
          </w:tcPr>
          <w:p w14:paraId="6BBCE073" w14:textId="77777777" w:rsidR="00FB0892" w:rsidRPr="00B61EA1" w:rsidRDefault="00FB0892"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12" w:space="0" w:color="auto"/>
              <w:right w:val="single" w:sz="4" w:space="0" w:color="auto"/>
            </w:tcBorders>
          </w:tcPr>
          <w:p w14:paraId="47FB90D1" w14:textId="77777777" w:rsidR="00FB0892" w:rsidRPr="00370BEC" w:rsidRDefault="00FB0892"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18EF7147" w14:textId="77777777" w:rsidR="00FB0892" w:rsidRPr="00370BEC" w:rsidRDefault="00FB0892" w:rsidP="00F470A8">
            <w:pPr>
              <w:overflowPunct w:val="0"/>
              <w:spacing w:line="320" w:lineRule="exact"/>
              <w:jc w:val="both"/>
              <w:rPr>
                <w:rFonts w:ascii="標楷體" w:eastAsia="標楷體" w:hAnsi="標楷體"/>
                <w:color w:val="FF0000"/>
                <w:szCs w:val="24"/>
              </w:rPr>
            </w:pPr>
          </w:p>
        </w:tc>
      </w:tr>
      <w:tr w:rsidR="007D160C" w:rsidRPr="00370BEC" w14:paraId="3F5AF13A" w14:textId="77777777" w:rsidTr="00E84CE5">
        <w:trPr>
          <w:trHeight w:val="558"/>
          <w:jc w:val="center"/>
        </w:trPr>
        <w:tc>
          <w:tcPr>
            <w:tcW w:w="657" w:type="dxa"/>
            <w:tcBorders>
              <w:top w:val="single" w:sz="12" w:space="0" w:color="auto"/>
              <w:bottom w:val="single" w:sz="4" w:space="0" w:color="auto"/>
              <w:right w:val="single" w:sz="2" w:space="0" w:color="auto"/>
            </w:tcBorders>
            <w:shd w:val="clear" w:color="auto" w:fill="auto"/>
          </w:tcPr>
          <w:p w14:paraId="14F6851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2" w:space="0" w:color="auto"/>
              <w:bottom w:val="single" w:sz="4" w:space="0" w:color="auto"/>
              <w:right w:val="single" w:sz="2" w:space="0" w:color="auto"/>
            </w:tcBorders>
            <w:shd w:val="clear" w:color="auto" w:fill="auto"/>
          </w:tcPr>
          <w:p w14:paraId="505BEA0A"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地方稅法通則第四條條文修正草案</w:t>
            </w:r>
          </w:p>
        </w:tc>
        <w:tc>
          <w:tcPr>
            <w:tcW w:w="1416" w:type="dxa"/>
            <w:tcBorders>
              <w:top w:val="single" w:sz="12" w:space="0" w:color="auto"/>
              <w:left w:val="single" w:sz="2" w:space="0" w:color="auto"/>
              <w:bottom w:val="single" w:sz="4" w:space="0" w:color="auto"/>
              <w:right w:val="single" w:sz="2" w:space="0" w:color="auto"/>
            </w:tcBorders>
            <w:shd w:val="clear" w:color="auto" w:fill="auto"/>
          </w:tcPr>
          <w:p w14:paraId="712E6E0D"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賴士葆等22人</w:t>
            </w:r>
          </w:p>
        </w:tc>
        <w:tc>
          <w:tcPr>
            <w:tcW w:w="1693" w:type="dxa"/>
            <w:tcBorders>
              <w:top w:val="single" w:sz="12" w:space="0" w:color="auto"/>
              <w:left w:val="single" w:sz="2" w:space="0" w:color="auto"/>
              <w:bottom w:val="single" w:sz="4" w:space="0" w:color="auto"/>
              <w:right w:val="single" w:sz="2" w:space="0" w:color="auto"/>
            </w:tcBorders>
            <w:shd w:val="clear" w:color="auto" w:fill="auto"/>
          </w:tcPr>
          <w:p w14:paraId="1D40E28F"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第11屆第1會期第5次院會(113.3.15)決定：「交財</w:t>
            </w:r>
            <w:r w:rsidRPr="002359DB">
              <w:rPr>
                <w:rFonts w:ascii="標楷體" w:eastAsia="標楷體" w:hAnsi="標楷體" w:hint="eastAsia"/>
                <w:szCs w:val="24"/>
              </w:rPr>
              <w:lastRenderedPageBreak/>
              <w:t>政、內政兩委員會審查」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5D4048E9" w14:textId="77777777" w:rsidR="007D160C" w:rsidRPr="00B80F7F" w:rsidRDefault="007D160C" w:rsidP="00F470A8">
            <w:pPr>
              <w:overflowPunct w:val="0"/>
              <w:jc w:val="both"/>
              <w:rPr>
                <w:rFonts w:ascii="標楷體" w:eastAsia="標楷體" w:hAnsi="標楷體"/>
                <w:kern w:val="2"/>
                <w:szCs w:val="24"/>
              </w:rPr>
            </w:pPr>
            <w:r w:rsidRPr="00B80F7F">
              <w:rPr>
                <w:rFonts w:ascii="標楷體" w:eastAsia="標楷體" w:hAnsi="標楷體" w:hint="eastAsia"/>
                <w:szCs w:val="24"/>
              </w:rPr>
              <w:lastRenderedPageBreak/>
              <w:t>第11屆第1會期財政、內政委員會第1次</w:t>
            </w:r>
            <w:r w:rsidRPr="001E2DBB">
              <w:rPr>
                <w:rFonts w:ascii="標楷體" w:eastAsia="標楷體" w:hAnsi="標楷體" w:hint="eastAsia"/>
                <w:spacing w:val="-42"/>
                <w:szCs w:val="24"/>
              </w:rPr>
              <w:t>聯</w:t>
            </w:r>
            <w:r w:rsidRPr="004761BB">
              <w:rPr>
                <w:rFonts w:ascii="標楷體" w:eastAsia="標楷體" w:hAnsi="標楷體" w:hint="eastAsia"/>
                <w:spacing w:val="-40"/>
                <w:szCs w:val="24"/>
              </w:rPr>
              <w:t>席會議(113.5.6)</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0639FEFF"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t>第11屆第2</w:t>
            </w:r>
            <w:r w:rsidRPr="00B80F7F">
              <w:rPr>
                <w:rFonts w:ascii="標楷體" w:eastAsia="標楷體" w:hAnsi="標楷體" w:hint="eastAsia"/>
                <w:spacing w:val="-20"/>
                <w:szCs w:val="24"/>
              </w:rPr>
              <w:t>會期第13次院會</w:t>
            </w:r>
            <w:r w:rsidRPr="00B80F7F">
              <w:rPr>
                <w:rFonts w:ascii="標楷體" w:eastAsia="標楷體" w:hAnsi="標楷體" w:hint="eastAsia"/>
                <w:szCs w:val="24"/>
              </w:rPr>
              <w:t>(113.12.13</w:t>
            </w:r>
            <w:r w:rsidRPr="00B80F7F">
              <w:rPr>
                <w:rFonts w:ascii="標楷體" w:eastAsia="標楷體" w:hAnsi="標楷體"/>
                <w:szCs w:val="24"/>
              </w:rPr>
              <w:t>)</w:t>
            </w:r>
          </w:p>
        </w:tc>
        <w:tc>
          <w:tcPr>
            <w:tcW w:w="1520" w:type="dxa"/>
            <w:vMerge w:val="restart"/>
            <w:tcBorders>
              <w:top w:val="single" w:sz="12" w:space="0" w:color="auto"/>
              <w:left w:val="single" w:sz="4" w:space="0" w:color="auto"/>
            </w:tcBorders>
          </w:tcPr>
          <w:p w14:paraId="79F822C6" w14:textId="7F9B4319" w:rsidR="007D160C" w:rsidRPr="00BA2D3C" w:rsidRDefault="007D160C"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w:t>
            </w:r>
            <w:r w:rsidR="00F92700" w:rsidRPr="008F2BE7">
              <w:rPr>
                <w:rFonts w:ascii="標楷體" w:eastAsia="標楷體" w:hAnsi="標楷體" w:hint="eastAsia"/>
                <w:szCs w:val="24"/>
              </w:rPr>
              <w:t>4</w:t>
            </w:r>
            <w:r w:rsidRPr="008F2BE7">
              <w:rPr>
                <w:rFonts w:ascii="標楷體" w:eastAsia="標楷體" w:hAnsi="標楷體" w:hint="eastAsia"/>
                <w:szCs w:val="24"/>
              </w:rPr>
              <w:t>年</w:t>
            </w:r>
            <w:r w:rsidR="00F92700" w:rsidRPr="008F2BE7">
              <w:rPr>
                <w:rFonts w:ascii="標楷體" w:eastAsia="標楷體" w:hAnsi="標楷體" w:hint="eastAsia"/>
                <w:szCs w:val="24"/>
              </w:rPr>
              <w:t>1</w:t>
            </w:r>
            <w:r w:rsidRPr="008F2BE7">
              <w:rPr>
                <w:rFonts w:ascii="標楷體" w:eastAsia="標楷體" w:hAnsi="標楷體" w:hint="eastAsia"/>
                <w:szCs w:val="24"/>
              </w:rPr>
              <w:t>月</w:t>
            </w:r>
            <w:r w:rsidR="008F2BE7" w:rsidRPr="008F2BE7">
              <w:rPr>
                <w:rFonts w:ascii="標楷體" w:eastAsia="標楷體" w:hAnsi="標楷體" w:hint="eastAsia"/>
                <w:szCs w:val="24"/>
              </w:rPr>
              <w:t>3</w:t>
            </w:r>
            <w:r w:rsidRPr="008F2BE7">
              <w:rPr>
                <w:rFonts w:ascii="標楷體" w:eastAsia="標楷體" w:hAnsi="標楷體" w:hint="eastAsia"/>
                <w:szCs w:val="24"/>
              </w:rPr>
              <w:t>日華總</w:t>
            </w:r>
            <w:r w:rsidRPr="008F2BE7">
              <w:rPr>
                <w:rFonts w:ascii="標楷體" w:eastAsia="標楷體" w:hAnsi="標楷體" w:hint="eastAsia"/>
                <w:szCs w:val="24"/>
              </w:rPr>
              <w:lastRenderedPageBreak/>
              <w:t>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11300</w:t>
            </w:r>
            <w:r w:rsidR="008F2BE7" w:rsidRPr="001E2DBB">
              <w:rPr>
                <w:rFonts w:ascii="標楷體" w:eastAsia="標楷體" w:hAnsi="標楷體" w:cs="Helvetica" w:hint="eastAsia"/>
                <w:spacing w:val="-30"/>
                <w:szCs w:val="24"/>
              </w:rPr>
              <w:t>126201</w:t>
            </w:r>
            <w:r w:rsidRPr="001E2DBB">
              <w:rPr>
                <w:rFonts w:ascii="標楷體" w:eastAsia="標楷體" w:hAnsi="標楷體" w:cs="Helvetica" w:hint="eastAsia"/>
                <w:spacing w:val="-30"/>
                <w:szCs w:val="24"/>
              </w:rPr>
              <w:t>號</w:t>
            </w:r>
          </w:p>
        </w:tc>
      </w:tr>
      <w:tr w:rsidR="007D160C" w:rsidRPr="00370BEC" w14:paraId="4609DE4A" w14:textId="77777777" w:rsidTr="004E1C6E">
        <w:trPr>
          <w:trHeight w:val="558"/>
          <w:jc w:val="center"/>
        </w:trPr>
        <w:tc>
          <w:tcPr>
            <w:tcW w:w="657" w:type="dxa"/>
            <w:tcBorders>
              <w:top w:val="single" w:sz="4" w:space="0" w:color="auto"/>
              <w:bottom w:val="single" w:sz="12" w:space="0" w:color="auto"/>
              <w:right w:val="single" w:sz="2" w:space="0" w:color="auto"/>
            </w:tcBorders>
            <w:shd w:val="clear" w:color="auto" w:fill="auto"/>
          </w:tcPr>
          <w:p w14:paraId="1EE51C1C"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2" w:space="0" w:color="auto"/>
              <w:bottom w:val="single" w:sz="12" w:space="0" w:color="auto"/>
              <w:right w:val="single" w:sz="2" w:space="0" w:color="auto"/>
            </w:tcBorders>
            <w:shd w:val="clear" w:color="auto" w:fill="auto"/>
          </w:tcPr>
          <w:p w14:paraId="56741013"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地方稅法通則第四條條文修正草案</w:t>
            </w:r>
          </w:p>
        </w:tc>
        <w:tc>
          <w:tcPr>
            <w:tcW w:w="1416" w:type="dxa"/>
            <w:tcBorders>
              <w:top w:val="single" w:sz="4" w:space="0" w:color="auto"/>
              <w:left w:val="single" w:sz="2" w:space="0" w:color="auto"/>
              <w:bottom w:val="single" w:sz="12" w:space="0" w:color="auto"/>
              <w:right w:val="single" w:sz="2" w:space="0" w:color="auto"/>
            </w:tcBorders>
            <w:shd w:val="clear" w:color="auto" w:fill="auto"/>
          </w:tcPr>
          <w:p w14:paraId="3D9981B1"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傅崐萁等</w:t>
            </w:r>
            <w:r w:rsidRPr="002359DB">
              <w:rPr>
                <w:rFonts w:ascii="標楷體" w:eastAsia="標楷體" w:hAnsi="標楷體"/>
                <w:szCs w:val="24"/>
              </w:rPr>
              <w:t>20</w:t>
            </w:r>
            <w:r w:rsidRPr="002359DB">
              <w:rPr>
                <w:rFonts w:ascii="標楷體" w:eastAsia="標楷體" w:hAnsi="標楷體" w:hint="eastAsia"/>
                <w:szCs w:val="24"/>
              </w:rPr>
              <w:t>人</w:t>
            </w:r>
          </w:p>
        </w:tc>
        <w:tc>
          <w:tcPr>
            <w:tcW w:w="1693" w:type="dxa"/>
            <w:tcBorders>
              <w:top w:val="single" w:sz="4" w:space="0" w:color="auto"/>
              <w:left w:val="single" w:sz="2" w:space="0" w:color="auto"/>
              <w:bottom w:val="single" w:sz="12" w:space="0" w:color="auto"/>
              <w:right w:val="single" w:sz="2" w:space="0" w:color="auto"/>
            </w:tcBorders>
            <w:shd w:val="clear" w:color="auto" w:fill="auto"/>
          </w:tcPr>
          <w:p w14:paraId="45114681" w14:textId="77777777" w:rsidR="007D160C" w:rsidRPr="002359DB" w:rsidRDefault="007D160C" w:rsidP="00F470A8">
            <w:pPr>
              <w:overflowPunct w:val="0"/>
              <w:jc w:val="both"/>
              <w:rPr>
                <w:rFonts w:ascii="標楷體" w:eastAsia="標楷體" w:hAnsi="標楷體"/>
                <w:szCs w:val="24"/>
              </w:rPr>
            </w:pPr>
            <w:r w:rsidRPr="002359DB">
              <w:rPr>
                <w:rFonts w:ascii="標楷體" w:eastAsia="標楷體" w:hAnsi="標楷體" w:hint="eastAsia"/>
                <w:szCs w:val="24"/>
              </w:rPr>
              <w:t>第</w:t>
            </w:r>
            <w:r w:rsidRPr="002359DB">
              <w:rPr>
                <w:rFonts w:ascii="標楷體" w:eastAsia="標楷體" w:hAnsi="標楷體"/>
                <w:szCs w:val="24"/>
              </w:rPr>
              <w:t>11</w:t>
            </w:r>
            <w:r w:rsidRPr="002359DB">
              <w:rPr>
                <w:rFonts w:ascii="標楷體" w:eastAsia="標楷體" w:hAnsi="標楷體" w:hint="eastAsia"/>
                <w:szCs w:val="24"/>
              </w:rPr>
              <w:t>屆第</w:t>
            </w:r>
            <w:r w:rsidRPr="002359DB">
              <w:rPr>
                <w:rFonts w:ascii="標楷體" w:eastAsia="標楷體" w:hAnsi="標楷體"/>
                <w:szCs w:val="24"/>
              </w:rPr>
              <w:t>1</w:t>
            </w:r>
            <w:r w:rsidRPr="002359DB">
              <w:rPr>
                <w:rFonts w:ascii="標楷體" w:eastAsia="標楷體" w:hAnsi="標楷體" w:hint="eastAsia"/>
                <w:szCs w:val="24"/>
              </w:rPr>
              <w:t>會期第</w:t>
            </w:r>
            <w:r w:rsidRPr="002359DB">
              <w:rPr>
                <w:rFonts w:ascii="標楷體" w:eastAsia="標楷體" w:hAnsi="標楷體"/>
                <w:szCs w:val="24"/>
              </w:rPr>
              <w:t>8</w:t>
            </w:r>
            <w:r w:rsidRPr="002359DB">
              <w:rPr>
                <w:rFonts w:ascii="標楷體" w:eastAsia="標楷體" w:hAnsi="標楷體" w:hint="eastAsia"/>
                <w:szCs w:val="24"/>
              </w:rPr>
              <w:t>次院會</w:t>
            </w:r>
            <w:r w:rsidRPr="002359DB">
              <w:rPr>
                <w:rFonts w:ascii="標楷體" w:eastAsia="標楷體" w:hAnsi="標楷體"/>
                <w:szCs w:val="24"/>
              </w:rPr>
              <w:t>(113.4.9)</w:t>
            </w:r>
            <w:r w:rsidRPr="002359DB">
              <w:rPr>
                <w:rFonts w:ascii="標楷體" w:eastAsia="標楷體" w:hAnsi="標楷體" w:hint="eastAsia"/>
                <w:szCs w:val="24"/>
              </w:rPr>
              <w:t>決定：「交財政、內政兩委員會審查」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42CAAF96" w14:textId="77777777" w:rsidR="007D160C" w:rsidRPr="002359DB" w:rsidRDefault="007D160C" w:rsidP="00F470A8">
            <w:pPr>
              <w:overflowPunct w:val="0"/>
              <w:jc w:val="both"/>
              <w:rPr>
                <w:rFonts w:ascii="標楷體" w:eastAsia="標楷體" w:hAnsi="標楷體"/>
                <w:szCs w:val="24"/>
              </w:rPr>
            </w:pPr>
          </w:p>
        </w:tc>
        <w:tc>
          <w:tcPr>
            <w:tcW w:w="1617" w:type="dxa"/>
            <w:vMerge/>
            <w:tcBorders>
              <w:top w:val="single" w:sz="4" w:space="0" w:color="auto"/>
              <w:left w:val="single" w:sz="4" w:space="0" w:color="auto"/>
              <w:bottom w:val="single" w:sz="12" w:space="0" w:color="auto"/>
              <w:right w:val="single" w:sz="4" w:space="0" w:color="auto"/>
            </w:tcBorders>
          </w:tcPr>
          <w:p w14:paraId="74BED678"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5836B6A6"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63C66FD"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03A18A8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674B7DF5"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菸酒稅法部分條文修正草案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562C0CF3"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行政院</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72F9A429" w14:textId="77777777" w:rsidR="007D160C" w:rsidRPr="005139B1" w:rsidRDefault="007D160C"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5139B1">
              <w:rPr>
                <w:rFonts w:ascii="標楷體" w:eastAsia="標楷體" w:hAnsi="標楷體" w:hint="eastAsia"/>
                <w:color w:val="000000" w:themeColor="text1"/>
                <w:kern w:val="2"/>
                <w:szCs w:val="24"/>
              </w:rPr>
              <w:t>第11屆第2會期第1次院會(113.9.20)決定：「交財政委員會審查」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6E1BA996" w14:textId="77777777" w:rsidR="007D160C" w:rsidRPr="00472D39" w:rsidRDefault="007D160C" w:rsidP="00F470A8">
            <w:pPr>
              <w:overflowPunct w:val="0"/>
              <w:jc w:val="both"/>
              <w:rPr>
                <w:rFonts w:ascii="標楷體" w:eastAsia="標楷體" w:hAnsi="標楷體"/>
                <w:color w:val="FF0000"/>
                <w:kern w:val="2"/>
                <w:szCs w:val="24"/>
              </w:rPr>
            </w:pPr>
            <w:r w:rsidRPr="0088625E">
              <w:rPr>
                <w:rFonts w:ascii="標楷體" w:eastAsia="標楷體" w:hAnsi="標楷體" w:hint="eastAsia"/>
                <w:szCs w:val="24"/>
              </w:rPr>
              <w:t>第11屆第2會期財政委員會第13次全體委員會議</w:t>
            </w:r>
            <w:r w:rsidRPr="001E2DBB">
              <w:rPr>
                <w:rFonts w:ascii="標楷體" w:eastAsia="標楷體" w:hAnsi="標楷體" w:hint="eastAsia"/>
                <w:spacing w:val="-48"/>
                <w:szCs w:val="24"/>
              </w:rPr>
              <w:t>(113.12.25)</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3645C086"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t>第11屆第2</w:t>
            </w:r>
            <w:r w:rsidRPr="00B80F7F">
              <w:rPr>
                <w:rFonts w:ascii="標楷體" w:eastAsia="標楷體" w:hAnsi="標楷體" w:hint="eastAsia"/>
                <w:spacing w:val="-20"/>
                <w:szCs w:val="24"/>
              </w:rPr>
              <w:t>會期第16次院會</w:t>
            </w:r>
            <w:r w:rsidRPr="00B80F7F">
              <w:rPr>
                <w:rFonts w:ascii="標楷體" w:eastAsia="標楷體" w:hAnsi="標楷體" w:hint="eastAsia"/>
                <w:szCs w:val="24"/>
              </w:rPr>
              <w:t>(114.1.7</w:t>
            </w:r>
            <w:r w:rsidRPr="00B80F7F">
              <w:rPr>
                <w:rFonts w:ascii="標楷體" w:eastAsia="標楷體" w:hAnsi="標楷體"/>
                <w:szCs w:val="24"/>
              </w:rPr>
              <w:t>)</w:t>
            </w:r>
          </w:p>
        </w:tc>
        <w:tc>
          <w:tcPr>
            <w:tcW w:w="1520" w:type="dxa"/>
            <w:vMerge w:val="restart"/>
            <w:tcBorders>
              <w:top w:val="single" w:sz="12" w:space="0" w:color="auto"/>
              <w:left w:val="single" w:sz="4" w:space="0" w:color="auto"/>
            </w:tcBorders>
          </w:tcPr>
          <w:p w14:paraId="2CF7B736" w14:textId="66C09377" w:rsidR="007D160C" w:rsidRPr="00BA2D3C" w:rsidRDefault="007D160C"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w:t>
            </w:r>
            <w:r w:rsidR="008F2BE7" w:rsidRPr="008F2BE7">
              <w:rPr>
                <w:rFonts w:ascii="標楷體" w:eastAsia="標楷體" w:hAnsi="標楷體" w:hint="eastAsia"/>
                <w:szCs w:val="24"/>
              </w:rPr>
              <w:t>4</w:t>
            </w:r>
            <w:r w:rsidRPr="008F2BE7">
              <w:rPr>
                <w:rFonts w:ascii="標楷體" w:eastAsia="標楷體" w:hAnsi="標楷體" w:hint="eastAsia"/>
                <w:szCs w:val="24"/>
              </w:rPr>
              <w:t>年</w:t>
            </w:r>
            <w:r w:rsidR="008F2BE7" w:rsidRPr="008F2BE7">
              <w:rPr>
                <w:rFonts w:ascii="標楷體" w:eastAsia="標楷體" w:hAnsi="標楷體" w:hint="eastAsia"/>
                <w:szCs w:val="24"/>
              </w:rPr>
              <w:t>1</w:t>
            </w:r>
            <w:r w:rsidRPr="008F2BE7">
              <w:rPr>
                <w:rFonts w:ascii="標楷體" w:eastAsia="標楷體" w:hAnsi="標楷體" w:hint="eastAsia"/>
                <w:szCs w:val="24"/>
              </w:rPr>
              <w:t>月</w:t>
            </w:r>
            <w:r w:rsidR="008F2BE7" w:rsidRPr="008F2BE7">
              <w:rPr>
                <w:rFonts w:ascii="標楷體" w:eastAsia="標楷體" w:hAnsi="標楷體" w:hint="eastAsia"/>
                <w:szCs w:val="24"/>
              </w:rPr>
              <w:t>2</w:t>
            </w:r>
            <w:r w:rsidRPr="008F2BE7">
              <w:rPr>
                <w:rFonts w:ascii="標楷體" w:eastAsia="標楷體" w:hAnsi="標楷體" w:hint="eastAsia"/>
                <w:szCs w:val="24"/>
              </w:rPr>
              <w:t>4日華總一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w:t>
            </w:r>
            <w:r w:rsidR="008F2BE7" w:rsidRPr="001E2DBB">
              <w:rPr>
                <w:rFonts w:ascii="標楷體" w:eastAsia="標楷體" w:hAnsi="標楷體" w:cs="Helvetica" w:hint="eastAsia"/>
                <w:spacing w:val="-30"/>
                <w:szCs w:val="24"/>
              </w:rPr>
              <w:t>400008841</w:t>
            </w:r>
            <w:r w:rsidRPr="001E2DBB">
              <w:rPr>
                <w:rFonts w:ascii="標楷體" w:eastAsia="標楷體" w:hAnsi="標楷體" w:cs="Helvetica" w:hint="eastAsia"/>
                <w:spacing w:val="-30"/>
                <w:szCs w:val="24"/>
              </w:rPr>
              <w:t>號</w:t>
            </w:r>
          </w:p>
        </w:tc>
      </w:tr>
      <w:tr w:rsidR="007D160C" w:rsidRPr="00370BEC" w14:paraId="72BD2AC3"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647BF9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498EE3B8"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09C2E316"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1693" w:type="dxa"/>
            <w:tcBorders>
              <w:top w:val="single" w:sz="4" w:space="0" w:color="auto"/>
              <w:left w:val="single" w:sz="4" w:space="0" w:color="000000"/>
              <w:bottom w:val="single" w:sz="4" w:space="0" w:color="auto"/>
              <w:right w:val="single" w:sz="2" w:space="0" w:color="auto"/>
            </w:tcBorders>
            <w:shd w:val="clear" w:color="auto" w:fill="FFFFFF"/>
          </w:tcPr>
          <w:p w14:paraId="148E8349"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3A4F3527"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0BB6E46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0264DE9F"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84D7FE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E1E731A"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1328B6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B19E766"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BCF01C1" w14:textId="77777777" w:rsidR="007D160C" w:rsidRPr="00D043C5"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4" w:space="0" w:color="auto"/>
            </w:tcBorders>
            <w:shd w:val="clear" w:color="auto" w:fill="FFFFFF"/>
            <w:vAlign w:val="center"/>
          </w:tcPr>
          <w:p w14:paraId="5F8330D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46F4846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2D87A83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8A0A02E"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02FA72A"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1F2CDA97"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16CA8EA7"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郭國文等18人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3CF4E31" w14:textId="77777777" w:rsidR="007D160C" w:rsidRPr="00507660"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第11屆第2會期第9次院會(113.11.15)決定：「交財政委員會審查」</w:t>
            </w:r>
          </w:p>
        </w:tc>
        <w:tc>
          <w:tcPr>
            <w:tcW w:w="1735" w:type="dxa"/>
            <w:vMerge/>
            <w:tcBorders>
              <w:left w:val="single" w:sz="2" w:space="0" w:color="auto"/>
              <w:right w:val="single" w:sz="4" w:space="0" w:color="auto"/>
            </w:tcBorders>
            <w:shd w:val="clear" w:color="auto" w:fill="FFFFFF"/>
            <w:vAlign w:val="center"/>
          </w:tcPr>
          <w:p w14:paraId="72F7B079"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233A09C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04958F21"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E862476"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52DF195"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0E99B820"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菸酒稅法部分條文修正草案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A3952AE"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吳琪銘等16人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425B9BF" w14:textId="77777777" w:rsidR="007D160C" w:rsidRPr="007D01C8"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01C8">
              <w:rPr>
                <w:rFonts w:ascii="標楷體" w:eastAsia="標楷體" w:hAnsi="標楷體" w:hint="eastAsia"/>
                <w:kern w:val="2"/>
                <w:szCs w:val="24"/>
              </w:rPr>
              <w:t>第11屆第2會期第13次院會(113.12.13)決定：「交財政委員會審查」</w:t>
            </w:r>
          </w:p>
        </w:tc>
        <w:tc>
          <w:tcPr>
            <w:tcW w:w="1735" w:type="dxa"/>
            <w:vMerge/>
            <w:tcBorders>
              <w:left w:val="single" w:sz="2" w:space="0" w:color="auto"/>
              <w:right w:val="single" w:sz="4" w:space="0" w:color="auto"/>
            </w:tcBorders>
            <w:shd w:val="clear" w:color="auto" w:fill="FFFFFF"/>
            <w:vAlign w:val="center"/>
          </w:tcPr>
          <w:p w14:paraId="7653BABC"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052FC32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145E3E3B"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F18B525"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7B31CA8F"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4034CE5B"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4DD3D05"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徐巧芯等29人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67AB8FD"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4" w:space="0" w:color="auto"/>
            </w:tcBorders>
            <w:shd w:val="clear" w:color="auto" w:fill="FFFFFF"/>
            <w:vAlign w:val="center"/>
          </w:tcPr>
          <w:p w14:paraId="5D17A962"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6FCA0EF5"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35ACBE99"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2F03EDA"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1EA23CF"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7E6C8E18"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w:t>
            </w:r>
            <w:r w:rsidRPr="009C72AA">
              <w:rPr>
                <w:rFonts w:ascii="標楷體" w:eastAsia="標楷體" w:hAnsi="標楷體" w:hint="eastAsia"/>
                <w:kern w:val="2"/>
                <w:szCs w:val="24"/>
              </w:rPr>
              <w:lastRenderedPageBreak/>
              <w:t>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25941D04"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lastRenderedPageBreak/>
              <w:t>賴士葆等27人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E29E451"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w:t>
            </w:r>
            <w:r w:rsidRPr="009C72AA">
              <w:rPr>
                <w:rFonts w:ascii="標楷體" w:eastAsia="標楷體" w:hAnsi="標楷體" w:hint="eastAsia"/>
                <w:kern w:val="2"/>
                <w:szCs w:val="24"/>
              </w:rPr>
              <w:lastRenderedPageBreak/>
              <w:t>定：「交財政委員會審查」</w:t>
            </w:r>
          </w:p>
        </w:tc>
        <w:tc>
          <w:tcPr>
            <w:tcW w:w="1735" w:type="dxa"/>
            <w:vMerge/>
            <w:tcBorders>
              <w:left w:val="single" w:sz="2" w:space="0" w:color="auto"/>
              <w:right w:val="single" w:sz="4" w:space="0" w:color="auto"/>
            </w:tcBorders>
            <w:shd w:val="clear" w:color="auto" w:fill="FFFFFF"/>
            <w:vAlign w:val="center"/>
          </w:tcPr>
          <w:p w14:paraId="6828C44D"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7EFFA5BF"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3086802E"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5F61AA4A"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5A7F861"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7F06A24"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3D24DD2A"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伍麗華</w:t>
            </w:r>
            <w:r w:rsidRPr="00411483">
              <w:rPr>
                <w:rFonts w:ascii="標楷體" w:eastAsia="標楷體" w:hAnsi="標楷體" w:hint="eastAsia"/>
                <w:spacing w:val="-28"/>
                <w:kern w:val="2"/>
                <w:szCs w:val="24"/>
              </w:rPr>
              <w:t>Saidhai Tahovecahe</w:t>
            </w:r>
            <w:r w:rsidRPr="009C72AA">
              <w:rPr>
                <w:rFonts w:ascii="標楷體" w:eastAsia="標楷體" w:hAnsi="標楷體" w:hint="eastAsia"/>
                <w:kern w:val="2"/>
                <w:szCs w:val="24"/>
              </w:rPr>
              <w:t>等20人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A457849" w14:textId="77777777" w:rsidR="007D160C" w:rsidRPr="009C72A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735" w:type="dxa"/>
            <w:vMerge/>
            <w:tcBorders>
              <w:left w:val="single" w:sz="2" w:space="0" w:color="auto"/>
              <w:right w:val="single" w:sz="4" w:space="0" w:color="auto"/>
            </w:tcBorders>
            <w:shd w:val="clear" w:color="auto" w:fill="FFFFFF"/>
            <w:vAlign w:val="center"/>
          </w:tcPr>
          <w:p w14:paraId="6624752A"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1FAFB4A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32B185A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25A66D1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0CEC96D"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8122DB1"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菸酒稅法第十九條及第二十一條條文修正草案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C6FCA00"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張智倫等18人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7A52EA6" w14:textId="77777777" w:rsidR="007D160C" w:rsidRPr="005A07A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4" w:space="0" w:color="auto"/>
            </w:tcBorders>
            <w:shd w:val="clear" w:color="auto" w:fill="FFFFFF"/>
            <w:vAlign w:val="center"/>
          </w:tcPr>
          <w:p w14:paraId="16FB8F8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right w:val="single" w:sz="4" w:space="0" w:color="auto"/>
            </w:tcBorders>
          </w:tcPr>
          <w:p w14:paraId="4BBE771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right w:val="single" w:sz="2" w:space="0" w:color="auto"/>
            </w:tcBorders>
          </w:tcPr>
          <w:p w14:paraId="64EAFAD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1B3B6C20"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7CB2DFE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754523CB"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菸酒稅法第十九條及第二十三條條文修正草案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787B1276"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陳玉珍等19人</w:t>
            </w:r>
          </w:p>
        </w:tc>
        <w:tc>
          <w:tcPr>
            <w:tcW w:w="1693" w:type="dxa"/>
            <w:tcBorders>
              <w:top w:val="single" w:sz="4" w:space="0" w:color="auto"/>
              <w:left w:val="single" w:sz="4" w:space="0" w:color="000000"/>
              <w:bottom w:val="single" w:sz="12" w:space="0" w:color="auto"/>
              <w:right w:val="single" w:sz="4" w:space="0" w:color="000000"/>
            </w:tcBorders>
            <w:shd w:val="clear" w:color="auto" w:fill="FFFFFF"/>
          </w:tcPr>
          <w:p w14:paraId="2480327A" w14:textId="77777777" w:rsidR="007D160C" w:rsidRPr="003445C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1735" w:type="dxa"/>
            <w:vMerge/>
            <w:tcBorders>
              <w:left w:val="single" w:sz="2" w:space="0" w:color="auto"/>
              <w:bottom w:val="single" w:sz="12" w:space="0" w:color="auto"/>
              <w:right w:val="single" w:sz="4" w:space="0" w:color="auto"/>
            </w:tcBorders>
            <w:shd w:val="clear" w:color="auto" w:fill="FFFFFF"/>
            <w:vAlign w:val="center"/>
          </w:tcPr>
          <w:p w14:paraId="651D44AA"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4" w:space="0" w:color="auto"/>
              <w:bottom w:val="single" w:sz="12" w:space="0" w:color="auto"/>
              <w:right w:val="single" w:sz="4" w:space="0" w:color="auto"/>
            </w:tcBorders>
          </w:tcPr>
          <w:p w14:paraId="2EE01F80"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right w:val="single" w:sz="2" w:space="0" w:color="auto"/>
            </w:tcBorders>
          </w:tcPr>
          <w:p w14:paraId="672540FF"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01C988A"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51AFDA45"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6255705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02C2B8CF"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0338877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2AB17E6E" w14:textId="77777777" w:rsidR="007D160C" w:rsidRPr="0088625E" w:rsidRDefault="007D160C" w:rsidP="00F470A8">
            <w:pPr>
              <w:overflowPunct w:val="0"/>
              <w:jc w:val="both"/>
              <w:rPr>
                <w:rFonts w:ascii="標楷體" w:eastAsia="標楷體" w:hAnsi="標楷體"/>
                <w:kern w:val="2"/>
                <w:szCs w:val="24"/>
              </w:rPr>
            </w:pPr>
            <w:r w:rsidRPr="0088625E">
              <w:rPr>
                <w:rFonts w:ascii="標楷體" w:eastAsia="標楷體" w:hAnsi="標楷體" w:hint="eastAsia"/>
                <w:szCs w:val="24"/>
              </w:rPr>
              <w:t>第11屆第2會期財政委員會第13次全體委員會議</w:t>
            </w:r>
            <w:r w:rsidRPr="001E2DBB">
              <w:rPr>
                <w:rFonts w:ascii="標楷體" w:eastAsia="標楷體" w:hAnsi="標楷體" w:hint="eastAsia"/>
                <w:spacing w:val="-48"/>
                <w:szCs w:val="24"/>
              </w:rPr>
              <w:t>(113.12.25)</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764C1426"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t>第11屆第2會期第16次院會(114.1.7)</w:t>
            </w:r>
          </w:p>
        </w:tc>
        <w:tc>
          <w:tcPr>
            <w:tcW w:w="1520" w:type="dxa"/>
            <w:vMerge w:val="restart"/>
            <w:tcBorders>
              <w:top w:val="single" w:sz="12" w:space="0" w:color="auto"/>
              <w:left w:val="single" w:sz="4" w:space="0" w:color="auto"/>
            </w:tcBorders>
          </w:tcPr>
          <w:p w14:paraId="5FADF854" w14:textId="4FAD6FB6" w:rsidR="007D160C" w:rsidRPr="00BA2D3C" w:rsidRDefault="008F2BE7"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總統令中華民國114年1月24日華總一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11400008861號</w:t>
            </w:r>
          </w:p>
        </w:tc>
      </w:tr>
      <w:tr w:rsidR="007D160C" w:rsidRPr="00370BEC" w14:paraId="26237B42"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5414C0CC"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3B3523B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00A7A92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賴士葆等24人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B11F5B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3B0B790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422F75F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31CD257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3138FB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A3C66D2"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3A4169F2"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7A8A32B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陳菁徽等17人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22C8937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2" w:space="0" w:color="auto"/>
            </w:tcBorders>
            <w:shd w:val="clear" w:color="auto" w:fill="FFFFFF"/>
            <w:vAlign w:val="center"/>
          </w:tcPr>
          <w:p w14:paraId="03CDEED0"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0E4F45F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123C6C4D"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584C7B4"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107CBC0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1C46A8B2" w14:textId="77777777" w:rsidR="007D160C" w:rsidRPr="004D52D2" w:rsidRDefault="007D160C" w:rsidP="00F470A8">
            <w:pPr>
              <w:overflowPunct w:val="0"/>
            </w:pPr>
            <w:r w:rsidRPr="004D52D2">
              <w:rPr>
                <w:rFonts w:ascii="標楷體" w:eastAsia="標楷體" w:hAnsi="標楷體" w:hint="eastAsia"/>
                <w:kern w:val="2"/>
                <w:szCs w:val="24"/>
              </w:rPr>
              <w:t>使用牌照稅法第二十九條、第三十條及第三十</w:t>
            </w:r>
            <w:r w:rsidRPr="004D52D2">
              <w:rPr>
                <w:rFonts w:ascii="標楷體" w:eastAsia="標楷體" w:hAnsi="標楷體" w:hint="eastAsia"/>
                <w:kern w:val="2"/>
                <w:szCs w:val="24"/>
              </w:rPr>
              <w:lastRenderedPageBreak/>
              <w:t>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DC27F1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lastRenderedPageBreak/>
              <w:t>張智倫等18人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0991972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2" w:space="0" w:color="auto"/>
            </w:tcBorders>
            <w:shd w:val="clear" w:color="auto" w:fill="FFFFFF"/>
            <w:vAlign w:val="center"/>
          </w:tcPr>
          <w:p w14:paraId="316177AF"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0339425B"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46B33F00"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60477B8"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1EE3A07"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1B34FF21"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5B2C4DA2"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陳素月等19人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4DAB25F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2" w:space="0" w:color="auto"/>
            </w:tcBorders>
            <w:shd w:val="clear" w:color="auto" w:fill="FFFFFF"/>
            <w:vAlign w:val="center"/>
          </w:tcPr>
          <w:p w14:paraId="39DCD7C4"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684E3BEA"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1C5D6550"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37F203D"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34719686"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04A873D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D71AF5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1D5F7B9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2" w:space="0" w:color="auto"/>
            </w:tcBorders>
            <w:shd w:val="clear" w:color="auto" w:fill="FFFFFF"/>
            <w:vAlign w:val="center"/>
          </w:tcPr>
          <w:p w14:paraId="7314F61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0630DC72"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1B85B50B"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1CDA417"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6F04BBAB"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23A0848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使用牌照稅法第二十九條、第三十條及第三十一條條文修正草案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009478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郭國文等16人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5F09ABA8"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1735" w:type="dxa"/>
            <w:vMerge/>
            <w:tcBorders>
              <w:left w:val="single" w:sz="2" w:space="0" w:color="auto"/>
              <w:right w:val="single" w:sz="2" w:space="0" w:color="auto"/>
            </w:tcBorders>
            <w:shd w:val="clear" w:color="auto" w:fill="FFFFFF"/>
            <w:vAlign w:val="center"/>
          </w:tcPr>
          <w:p w14:paraId="110B2CE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74C6E186"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0CC6CDB1"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69E4C53D"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091CE751"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34E2C38D"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使用牌照稅法第三十條及第三十一條條文修正草案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7A74C9B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陳玉珍等19人</w:t>
            </w:r>
          </w:p>
        </w:tc>
        <w:tc>
          <w:tcPr>
            <w:tcW w:w="1693" w:type="dxa"/>
            <w:tcBorders>
              <w:top w:val="single" w:sz="4" w:space="0" w:color="auto"/>
              <w:left w:val="single" w:sz="4" w:space="0" w:color="000000"/>
              <w:bottom w:val="single" w:sz="12" w:space="0" w:color="auto"/>
              <w:right w:val="single" w:sz="4" w:space="0" w:color="000000"/>
            </w:tcBorders>
            <w:shd w:val="clear" w:color="auto" w:fill="FFFFFF"/>
          </w:tcPr>
          <w:p w14:paraId="6D6C6FD6"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第11屆第2會期第8次院會(113.11.8)決定：「交財政委員會審查」</w:t>
            </w:r>
          </w:p>
        </w:tc>
        <w:tc>
          <w:tcPr>
            <w:tcW w:w="1735" w:type="dxa"/>
            <w:vMerge/>
            <w:tcBorders>
              <w:left w:val="single" w:sz="2" w:space="0" w:color="auto"/>
              <w:bottom w:val="single" w:sz="12" w:space="0" w:color="auto"/>
              <w:right w:val="single" w:sz="2" w:space="0" w:color="auto"/>
            </w:tcBorders>
            <w:shd w:val="clear" w:color="auto" w:fill="FFFFFF"/>
            <w:vAlign w:val="center"/>
          </w:tcPr>
          <w:p w14:paraId="740B61A5"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bottom w:val="single" w:sz="12" w:space="0" w:color="auto"/>
              <w:right w:val="single" w:sz="2" w:space="0" w:color="auto"/>
            </w:tcBorders>
          </w:tcPr>
          <w:p w14:paraId="73ADEF59"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bottom w:val="single" w:sz="12" w:space="0" w:color="auto"/>
              <w:right w:val="single" w:sz="2" w:space="0" w:color="auto"/>
            </w:tcBorders>
          </w:tcPr>
          <w:p w14:paraId="72C425A3"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3BF9FE92" w14:textId="77777777" w:rsidTr="004E1C6E">
        <w:trPr>
          <w:trHeight w:val="558"/>
          <w:jc w:val="center"/>
        </w:trPr>
        <w:tc>
          <w:tcPr>
            <w:tcW w:w="657" w:type="dxa"/>
            <w:tcBorders>
              <w:top w:val="single" w:sz="12" w:space="0" w:color="auto"/>
              <w:bottom w:val="single" w:sz="2" w:space="0" w:color="auto"/>
              <w:right w:val="single" w:sz="2" w:space="0" w:color="auto"/>
            </w:tcBorders>
            <w:shd w:val="clear" w:color="auto" w:fill="auto"/>
          </w:tcPr>
          <w:p w14:paraId="086FAC1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12" w:space="0" w:color="auto"/>
              <w:left w:val="single" w:sz="4" w:space="0" w:color="auto"/>
              <w:bottom w:val="single" w:sz="4" w:space="0" w:color="auto"/>
              <w:right w:val="single" w:sz="4" w:space="0" w:color="auto"/>
            </w:tcBorders>
            <w:shd w:val="clear" w:color="auto" w:fill="auto"/>
          </w:tcPr>
          <w:p w14:paraId="3F29127E"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12" w:space="0" w:color="auto"/>
              <w:left w:val="single" w:sz="4" w:space="0" w:color="auto"/>
              <w:bottom w:val="single" w:sz="4" w:space="0" w:color="auto"/>
              <w:right w:val="single" w:sz="4" w:space="0" w:color="auto"/>
            </w:tcBorders>
            <w:shd w:val="clear" w:color="auto" w:fill="auto"/>
          </w:tcPr>
          <w:p w14:paraId="25B7517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行政院</w:t>
            </w:r>
          </w:p>
        </w:tc>
        <w:tc>
          <w:tcPr>
            <w:tcW w:w="1693" w:type="dxa"/>
            <w:tcBorders>
              <w:top w:val="single" w:sz="12" w:space="0" w:color="auto"/>
              <w:left w:val="single" w:sz="4" w:space="0" w:color="000000"/>
              <w:bottom w:val="single" w:sz="4" w:space="0" w:color="auto"/>
              <w:right w:val="single" w:sz="4" w:space="0" w:color="000000"/>
            </w:tcBorders>
            <w:shd w:val="clear" w:color="auto" w:fill="FFFFFF"/>
          </w:tcPr>
          <w:p w14:paraId="04BC954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第11屆第2會期第1次院會(113.9.20)決定：「交財政委員會審查」</w:t>
            </w:r>
          </w:p>
        </w:tc>
        <w:tc>
          <w:tcPr>
            <w:tcW w:w="1735" w:type="dxa"/>
            <w:vMerge w:val="restart"/>
            <w:tcBorders>
              <w:top w:val="single" w:sz="12" w:space="0" w:color="auto"/>
              <w:left w:val="single" w:sz="4" w:space="0" w:color="000000"/>
              <w:bottom w:val="single" w:sz="4" w:space="0" w:color="auto"/>
              <w:right w:val="single" w:sz="4" w:space="0" w:color="auto"/>
            </w:tcBorders>
            <w:shd w:val="clear" w:color="auto" w:fill="auto"/>
          </w:tcPr>
          <w:p w14:paraId="51B778DE" w14:textId="77777777" w:rsidR="007D160C" w:rsidRPr="00472D39" w:rsidRDefault="007D160C" w:rsidP="00F470A8">
            <w:pPr>
              <w:overflowPunct w:val="0"/>
              <w:jc w:val="both"/>
              <w:rPr>
                <w:rFonts w:ascii="標楷體" w:eastAsia="標楷體" w:hAnsi="標楷體"/>
                <w:color w:val="FF0000"/>
                <w:kern w:val="2"/>
                <w:szCs w:val="24"/>
              </w:rPr>
            </w:pPr>
            <w:r w:rsidRPr="0088625E">
              <w:rPr>
                <w:rFonts w:ascii="標楷體" w:eastAsia="標楷體" w:hAnsi="標楷體" w:hint="eastAsia"/>
                <w:szCs w:val="24"/>
              </w:rPr>
              <w:t>第11屆第2會期財政委員會第13次全體委員會議</w:t>
            </w:r>
            <w:r w:rsidRPr="001E2DBB">
              <w:rPr>
                <w:rFonts w:ascii="標楷體" w:eastAsia="標楷體" w:hAnsi="標楷體" w:hint="eastAsia"/>
                <w:spacing w:val="-48"/>
                <w:szCs w:val="24"/>
              </w:rPr>
              <w:t>(113.12.25)</w:t>
            </w:r>
          </w:p>
        </w:tc>
        <w:tc>
          <w:tcPr>
            <w:tcW w:w="1617" w:type="dxa"/>
            <w:vMerge w:val="restart"/>
            <w:tcBorders>
              <w:top w:val="single" w:sz="12" w:space="0" w:color="auto"/>
              <w:left w:val="single" w:sz="4" w:space="0" w:color="auto"/>
              <w:bottom w:val="single" w:sz="4" w:space="0" w:color="auto"/>
              <w:right w:val="single" w:sz="4" w:space="0" w:color="auto"/>
            </w:tcBorders>
            <w:shd w:val="clear" w:color="auto" w:fill="auto"/>
          </w:tcPr>
          <w:p w14:paraId="06A4BFB5" w14:textId="77777777" w:rsidR="007D160C" w:rsidRPr="00472D39" w:rsidRDefault="007D160C" w:rsidP="00F470A8">
            <w:pPr>
              <w:overflowPunct w:val="0"/>
              <w:jc w:val="both"/>
              <w:rPr>
                <w:rFonts w:ascii="標楷體" w:eastAsia="標楷體" w:hAnsi="標楷體"/>
                <w:bCs/>
                <w:color w:val="FF0000"/>
                <w:szCs w:val="24"/>
              </w:rPr>
            </w:pPr>
            <w:r w:rsidRPr="00B80F7F">
              <w:rPr>
                <w:rFonts w:ascii="標楷體" w:eastAsia="標楷體" w:hAnsi="標楷體" w:hint="eastAsia"/>
                <w:szCs w:val="24"/>
              </w:rPr>
              <w:t>第11屆第2</w:t>
            </w:r>
            <w:r w:rsidRPr="00B80F7F">
              <w:rPr>
                <w:rFonts w:ascii="標楷體" w:eastAsia="標楷體" w:hAnsi="標楷體" w:hint="eastAsia"/>
                <w:spacing w:val="-20"/>
                <w:szCs w:val="24"/>
              </w:rPr>
              <w:t>會期第16次院會</w:t>
            </w:r>
            <w:r w:rsidRPr="00B80F7F">
              <w:rPr>
                <w:rFonts w:ascii="標楷體" w:eastAsia="標楷體" w:hAnsi="標楷體" w:hint="eastAsia"/>
                <w:szCs w:val="24"/>
              </w:rPr>
              <w:t>(114.1.7</w:t>
            </w:r>
            <w:r w:rsidRPr="00B80F7F">
              <w:rPr>
                <w:rFonts w:ascii="標楷體" w:eastAsia="標楷體" w:hAnsi="標楷體"/>
                <w:szCs w:val="24"/>
              </w:rPr>
              <w:t>)</w:t>
            </w:r>
          </w:p>
        </w:tc>
        <w:tc>
          <w:tcPr>
            <w:tcW w:w="1520" w:type="dxa"/>
            <w:vMerge w:val="restart"/>
            <w:tcBorders>
              <w:top w:val="single" w:sz="12" w:space="0" w:color="auto"/>
              <w:left w:val="single" w:sz="4" w:space="0" w:color="auto"/>
            </w:tcBorders>
          </w:tcPr>
          <w:p w14:paraId="795B3B2C" w14:textId="3F7759C4" w:rsidR="007D160C" w:rsidRPr="00BA2D3C" w:rsidRDefault="008F2BE7" w:rsidP="00F470A8">
            <w:pPr>
              <w:overflowPunct w:val="0"/>
              <w:jc w:val="both"/>
              <w:rPr>
                <w:rFonts w:ascii="標楷體" w:eastAsia="標楷體" w:hAnsi="標楷體"/>
                <w:color w:val="FF0000"/>
                <w:szCs w:val="24"/>
              </w:rPr>
            </w:pPr>
            <w:r w:rsidRPr="008F2BE7">
              <w:rPr>
                <w:rFonts w:ascii="標楷體" w:eastAsia="標楷體" w:hAnsi="標楷體" w:hint="eastAsia"/>
                <w:szCs w:val="24"/>
              </w:rPr>
              <w:t>總統令中華民國114年1月24日華總一</w:t>
            </w:r>
            <w:r w:rsidR="001E2DBB">
              <w:rPr>
                <w:rFonts w:ascii="標楷體" w:eastAsia="標楷體" w:hAnsi="標楷體" w:hint="eastAsia"/>
                <w:szCs w:val="24"/>
              </w:rPr>
              <w:t>經</w:t>
            </w:r>
            <w:r w:rsidRPr="008F2BE7">
              <w:rPr>
                <w:rFonts w:ascii="標楷體" w:eastAsia="標楷體" w:hAnsi="標楷體" w:hint="eastAsia"/>
                <w:szCs w:val="24"/>
              </w:rPr>
              <w:t>字第</w:t>
            </w:r>
            <w:r w:rsidRPr="001E2DBB">
              <w:rPr>
                <w:rFonts w:ascii="標楷體" w:eastAsia="標楷體" w:hAnsi="標楷體" w:cs="Helvetica" w:hint="eastAsia"/>
                <w:spacing w:val="-30"/>
                <w:szCs w:val="24"/>
              </w:rPr>
              <w:t>11400008851號</w:t>
            </w:r>
          </w:p>
        </w:tc>
      </w:tr>
      <w:tr w:rsidR="007D160C" w:rsidRPr="00370BEC" w14:paraId="706F465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00A7FCFC"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47A11023"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08F4D83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賴士葆等21人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3417C8E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第11屆第2會期第2次院會(113.9.27)決定：「交財政委員會審查」</w:t>
            </w:r>
          </w:p>
        </w:tc>
        <w:tc>
          <w:tcPr>
            <w:tcW w:w="1735" w:type="dxa"/>
            <w:vMerge/>
            <w:tcBorders>
              <w:top w:val="single" w:sz="4" w:space="0" w:color="auto"/>
              <w:left w:val="single" w:sz="2" w:space="0" w:color="auto"/>
              <w:bottom w:val="single" w:sz="12" w:space="0" w:color="auto"/>
              <w:right w:val="single" w:sz="4" w:space="0" w:color="auto"/>
            </w:tcBorders>
            <w:shd w:val="clear" w:color="auto" w:fill="FFFFFF"/>
            <w:vAlign w:val="center"/>
          </w:tcPr>
          <w:p w14:paraId="0F839A6B"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top w:val="single" w:sz="4" w:space="0" w:color="auto"/>
              <w:left w:val="single" w:sz="4" w:space="0" w:color="auto"/>
              <w:bottom w:val="single" w:sz="12" w:space="0" w:color="auto"/>
              <w:right w:val="single" w:sz="4" w:space="0" w:color="auto"/>
            </w:tcBorders>
          </w:tcPr>
          <w:p w14:paraId="46C7B371"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4" w:space="0" w:color="auto"/>
              <w:bottom w:val="single" w:sz="12" w:space="0" w:color="auto"/>
            </w:tcBorders>
          </w:tcPr>
          <w:p w14:paraId="763BD53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95506A1"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77E97933"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2DB8965"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B32C8DF"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林楚茵等18人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6510367"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第11屆第2會期第4次院會(113.10.11)決定：「交財政委員會審查」</w:t>
            </w:r>
          </w:p>
        </w:tc>
        <w:tc>
          <w:tcPr>
            <w:tcW w:w="1735" w:type="dxa"/>
            <w:vMerge/>
            <w:tcBorders>
              <w:left w:val="single" w:sz="2" w:space="0" w:color="auto"/>
              <w:right w:val="single" w:sz="2" w:space="0" w:color="auto"/>
            </w:tcBorders>
            <w:shd w:val="clear" w:color="auto" w:fill="FFFFFF"/>
            <w:vAlign w:val="center"/>
          </w:tcPr>
          <w:p w14:paraId="1CFC71F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1BABF734"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2F3758C3"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0C3D554B"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4DEC4DDE"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7D740F6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687F760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徐巧芯等27人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CE09AF9"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第11屆第2會期第6次院會(113.10.25)決定：「交財政委員會審查」</w:t>
            </w:r>
          </w:p>
        </w:tc>
        <w:tc>
          <w:tcPr>
            <w:tcW w:w="1735" w:type="dxa"/>
            <w:vMerge/>
            <w:tcBorders>
              <w:left w:val="single" w:sz="2" w:space="0" w:color="auto"/>
              <w:right w:val="single" w:sz="2" w:space="0" w:color="auto"/>
            </w:tcBorders>
            <w:shd w:val="clear" w:color="auto" w:fill="FFFFFF"/>
            <w:vAlign w:val="center"/>
          </w:tcPr>
          <w:p w14:paraId="4FA642E2"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3860BED4"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7285A5FA"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4321ED8E" w14:textId="77777777" w:rsidTr="004E1C6E">
        <w:trPr>
          <w:trHeight w:val="558"/>
          <w:jc w:val="center"/>
        </w:trPr>
        <w:tc>
          <w:tcPr>
            <w:tcW w:w="657" w:type="dxa"/>
            <w:tcBorders>
              <w:top w:val="single" w:sz="2" w:space="0" w:color="auto"/>
              <w:bottom w:val="single" w:sz="2" w:space="0" w:color="auto"/>
              <w:right w:val="single" w:sz="2" w:space="0" w:color="auto"/>
            </w:tcBorders>
            <w:shd w:val="clear" w:color="auto" w:fill="auto"/>
          </w:tcPr>
          <w:p w14:paraId="27FDE042"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4" w:space="0" w:color="auto"/>
              <w:right w:val="single" w:sz="4" w:space="0" w:color="auto"/>
            </w:tcBorders>
            <w:shd w:val="clear" w:color="auto" w:fill="auto"/>
          </w:tcPr>
          <w:p w14:paraId="51911ECA"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4" w:space="0" w:color="auto"/>
              <w:right w:val="single" w:sz="4" w:space="0" w:color="auto"/>
            </w:tcBorders>
            <w:shd w:val="clear" w:color="auto" w:fill="auto"/>
          </w:tcPr>
          <w:p w14:paraId="47570AE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賴惠員等17人</w:t>
            </w:r>
          </w:p>
        </w:tc>
        <w:tc>
          <w:tcPr>
            <w:tcW w:w="1693" w:type="dxa"/>
            <w:tcBorders>
              <w:top w:val="single" w:sz="4" w:space="0" w:color="auto"/>
              <w:left w:val="single" w:sz="4" w:space="0" w:color="000000"/>
              <w:bottom w:val="single" w:sz="4" w:space="0" w:color="auto"/>
              <w:right w:val="single" w:sz="4" w:space="0" w:color="000000"/>
            </w:tcBorders>
            <w:shd w:val="clear" w:color="auto" w:fill="FFFFFF"/>
          </w:tcPr>
          <w:p w14:paraId="714AA38C"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第11屆第2會期第7次院會(113.11.1)決定：「交財政委員會審查」</w:t>
            </w:r>
          </w:p>
        </w:tc>
        <w:tc>
          <w:tcPr>
            <w:tcW w:w="1735" w:type="dxa"/>
            <w:vMerge/>
            <w:tcBorders>
              <w:left w:val="single" w:sz="2" w:space="0" w:color="auto"/>
              <w:right w:val="single" w:sz="2" w:space="0" w:color="auto"/>
            </w:tcBorders>
            <w:shd w:val="clear" w:color="auto" w:fill="FFFFFF"/>
            <w:vAlign w:val="center"/>
          </w:tcPr>
          <w:p w14:paraId="57712B51"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right w:val="single" w:sz="2" w:space="0" w:color="auto"/>
            </w:tcBorders>
          </w:tcPr>
          <w:p w14:paraId="2B97AD33"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right w:val="single" w:sz="2" w:space="0" w:color="auto"/>
            </w:tcBorders>
          </w:tcPr>
          <w:p w14:paraId="74DC5125" w14:textId="77777777" w:rsidR="007D160C" w:rsidRPr="00370BEC" w:rsidRDefault="007D160C" w:rsidP="00F470A8">
            <w:pPr>
              <w:overflowPunct w:val="0"/>
              <w:spacing w:line="320" w:lineRule="exact"/>
              <w:jc w:val="both"/>
              <w:rPr>
                <w:rFonts w:ascii="標楷體" w:eastAsia="標楷體" w:hAnsi="標楷體"/>
                <w:color w:val="FF0000"/>
                <w:szCs w:val="24"/>
              </w:rPr>
            </w:pPr>
          </w:p>
        </w:tc>
      </w:tr>
      <w:tr w:rsidR="007D160C" w:rsidRPr="00370BEC" w14:paraId="71EB2F09" w14:textId="77777777" w:rsidTr="004E1C6E">
        <w:trPr>
          <w:trHeight w:val="558"/>
          <w:jc w:val="center"/>
        </w:trPr>
        <w:tc>
          <w:tcPr>
            <w:tcW w:w="657" w:type="dxa"/>
            <w:tcBorders>
              <w:top w:val="single" w:sz="2" w:space="0" w:color="auto"/>
              <w:bottom w:val="single" w:sz="12" w:space="0" w:color="auto"/>
              <w:right w:val="single" w:sz="2" w:space="0" w:color="auto"/>
            </w:tcBorders>
            <w:shd w:val="clear" w:color="auto" w:fill="auto"/>
          </w:tcPr>
          <w:p w14:paraId="07A336D5" w14:textId="77777777" w:rsidR="007D160C" w:rsidRPr="00370BEC" w:rsidRDefault="007D160C" w:rsidP="00FA328D">
            <w:pPr>
              <w:numPr>
                <w:ilvl w:val="0"/>
                <w:numId w:val="51"/>
              </w:numPr>
              <w:overflowPunct w:val="0"/>
              <w:spacing w:line="320" w:lineRule="exact"/>
              <w:jc w:val="both"/>
              <w:textAlignment w:val="auto"/>
              <w:rPr>
                <w:rFonts w:ascii="標楷體" w:eastAsia="標楷體" w:hAnsi="標楷體"/>
                <w:b/>
                <w:bCs/>
                <w:color w:val="FF0000"/>
                <w:szCs w:val="24"/>
              </w:rPr>
            </w:pPr>
          </w:p>
        </w:tc>
        <w:tc>
          <w:tcPr>
            <w:tcW w:w="1285" w:type="dxa"/>
            <w:tcBorders>
              <w:top w:val="single" w:sz="4" w:space="0" w:color="auto"/>
              <w:left w:val="single" w:sz="4" w:space="0" w:color="auto"/>
              <w:bottom w:val="single" w:sz="12" w:space="0" w:color="auto"/>
              <w:right w:val="single" w:sz="4" w:space="0" w:color="auto"/>
            </w:tcBorders>
            <w:shd w:val="clear" w:color="auto" w:fill="auto"/>
          </w:tcPr>
          <w:p w14:paraId="1B7B3F7B"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土地稅法第五十四條條文修正草案</w:t>
            </w:r>
          </w:p>
        </w:tc>
        <w:tc>
          <w:tcPr>
            <w:tcW w:w="1416" w:type="dxa"/>
            <w:tcBorders>
              <w:top w:val="single" w:sz="4" w:space="0" w:color="auto"/>
              <w:left w:val="single" w:sz="4" w:space="0" w:color="auto"/>
              <w:bottom w:val="single" w:sz="12" w:space="0" w:color="auto"/>
              <w:right w:val="single" w:sz="4" w:space="0" w:color="auto"/>
            </w:tcBorders>
            <w:shd w:val="clear" w:color="auto" w:fill="auto"/>
          </w:tcPr>
          <w:p w14:paraId="623F0AB4"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郭國文等17人</w:t>
            </w:r>
          </w:p>
        </w:tc>
        <w:tc>
          <w:tcPr>
            <w:tcW w:w="1693" w:type="dxa"/>
            <w:tcBorders>
              <w:top w:val="single" w:sz="4" w:space="0" w:color="auto"/>
              <w:left w:val="single" w:sz="4" w:space="0" w:color="000000"/>
              <w:bottom w:val="single" w:sz="12" w:space="0" w:color="auto"/>
              <w:right w:val="single" w:sz="4" w:space="0" w:color="000000"/>
            </w:tcBorders>
            <w:shd w:val="clear" w:color="auto" w:fill="FFFFFF"/>
          </w:tcPr>
          <w:p w14:paraId="278A7E00" w14:textId="77777777" w:rsidR="007D160C" w:rsidRPr="004D52D2"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D52D2">
              <w:rPr>
                <w:rFonts w:ascii="標楷體" w:eastAsia="標楷體" w:hAnsi="標楷體" w:hint="eastAsia"/>
                <w:kern w:val="2"/>
                <w:szCs w:val="24"/>
              </w:rPr>
              <w:t>第11屆第2會期第9次院會(113.11.15)決定：「交財政委員會審查」</w:t>
            </w:r>
          </w:p>
        </w:tc>
        <w:tc>
          <w:tcPr>
            <w:tcW w:w="1735" w:type="dxa"/>
            <w:vMerge/>
            <w:tcBorders>
              <w:left w:val="single" w:sz="2" w:space="0" w:color="auto"/>
              <w:bottom w:val="single" w:sz="12" w:space="0" w:color="auto"/>
              <w:right w:val="single" w:sz="2" w:space="0" w:color="auto"/>
            </w:tcBorders>
            <w:shd w:val="clear" w:color="auto" w:fill="FFFFFF"/>
            <w:vAlign w:val="center"/>
          </w:tcPr>
          <w:p w14:paraId="07107AFA" w14:textId="77777777" w:rsidR="007D160C" w:rsidRPr="00B61EA1" w:rsidRDefault="007D160C" w:rsidP="00F470A8">
            <w:pPr>
              <w:widowControl w:val="0"/>
              <w:overflowPunct w:val="0"/>
              <w:autoSpaceDN/>
              <w:spacing w:line="340" w:lineRule="exact"/>
              <w:jc w:val="both"/>
              <w:textAlignment w:val="auto"/>
              <w:rPr>
                <w:rFonts w:ascii="標楷體" w:eastAsia="標楷體" w:hAnsi="標楷體"/>
                <w:kern w:val="2"/>
                <w:szCs w:val="24"/>
              </w:rPr>
            </w:pPr>
          </w:p>
        </w:tc>
        <w:tc>
          <w:tcPr>
            <w:tcW w:w="1617" w:type="dxa"/>
            <w:vMerge/>
            <w:tcBorders>
              <w:left w:val="single" w:sz="2" w:space="0" w:color="auto"/>
              <w:bottom w:val="single" w:sz="12" w:space="0" w:color="auto"/>
              <w:right w:val="single" w:sz="2" w:space="0" w:color="auto"/>
            </w:tcBorders>
          </w:tcPr>
          <w:p w14:paraId="1E4A8C68" w14:textId="77777777" w:rsidR="007D160C" w:rsidRPr="00370BEC" w:rsidRDefault="007D160C" w:rsidP="00F470A8">
            <w:pPr>
              <w:overflowPunct w:val="0"/>
              <w:spacing w:line="320" w:lineRule="exact"/>
              <w:jc w:val="both"/>
              <w:rPr>
                <w:rFonts w:ascii="標楷體" w:eastAsia="標楷體" w:hAnsi="標楷體"/>
                <w:color w:val="FF0000"/>
                <w:szCs w:val="24"/>
              </w:rPr>
            </w:pPr>
          </w:p>
        </w:tc>
        <w:tc>
          <w:tcPr>
            <w:tcW w:w="1520" w:type="dxa"/>
            <w:vMerge/>
            <w:tcBorders>
              <w:left w:val="single" w:sz="2" w:space="0" w:color="auto"/>
              <w:bottom w:val="single" w:sz="12" w:space="0" w:color="auto"/>
              <w:right w:val="single" w:sz="2" w:space="0" w:color="auto"/>
            </w:tcBorders>
          </w:tcPr>
          <w:p w14:paraId="2CF9457A" w14:textId="77777777" w:rsidR="007D160C" w:rsidRPr="00370BEC" w:rsidRDefault="007D160C" w:rsidP="00F470A8">
            <w:pPr>
              <w:overflowPunct w:val="0"/>
              <w:spacing w:line="320" w:lineRule="exact"/>
              <w:jc w:val="both"/>
              <w:rPr>
                <w:rFonts w:ascii="標楷體" w:eastAsia="標楷體" w:hAnsi="標楷體"/>
                <w:color w:val="FF0000"/>
                <w:szCs w:val="24"/>
              </w:rPr>
            </w:pPr>
          </w:p>
        </w:tc>
      </w:tr>
    </w:tbl>
    <w:p w14:paraId="667864AD" w14:textId="77777777" w:rsidR="007D160C" w:rsidRPr="00370BEC" w:rsidRDefault="007D160C" w:rsidP="00F470A8">
      <w:pPr>
        <w:overflowPunct w:val="0"/>
        <w:jc w:val="both"/>
        <w:rPr>
          <w:color w:val="FF0000"/>
        </w:rPr>
      </w:pPr>
      <w:r w:rsidRPr="00370BEC">
        <w:rPr>
          <w:color w:val="FF0000"/>
        </w:rPr>
        <w:br w:type="page"/>
      </w:r>
    </w:p>
    <w:p w14:paraId="33BB3D28" w14:textId="37EFAAF1" w:rsidR="007D160C"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49" w:name="_Toc126576790"/>
      <w:bookmarkStart w:id="50" w:name="_Toc143873906"/>
      <w:bookmarkStart w:id="51" w:name="_Toc157095682"/>
      <w:bookmarkStart w:id="52" w:name="_Toc175833572"/>
      <w:bookmarkStart w:id="53" w:name="_Toc189487285"/>
      <w:r w:rsidRPr="00AE2640">
        <w:rPr>
          <w:rFonts w:ascii="標楷體" w:eastAsia="標楷體" w:hAnsi="標楷體" w:hint="eastAsia"/>
          <w:b/>
          <w:bCs/>
          <w:sz w:val="32"/>
          <w:szCs w:val="32"/>
        </w:rPr>
        <w:lastRenderedPageBreak/>
        <w:t>二、預算案(</w:t>
      </w:r>
      <w:r>
        <w:rPr>
          <w:rFonts w:ascii="標楷體" w:eastAsia="標楷體" w:hAnsi="標楷體" w:hint="eastAsia"/>
          <w:b/>
          <w:bCs/>
          <w:sz w:val="32"/>
          <w:szCs w:val="32"/>
        </w:rPr>
        <w:t>1</w:t>
      </w:r>
      <w:r w:rsidR="00CF7959">
        <w:rPr>
          <w:rFonts w:ascii="標楷體" w:eastAsia="標楷體" w:hAnsi="標楷體" w:hint="eastAsia"/>
          <w:b/>
          <w:bCs/>
          <w:sz w:val="32"/>
          <w:szCs w:val="32"/>
        </w:rPr>
        <w:t>4</w:t>
      </w:r>
      <w:r w:rsidRPr="00AE2640">
        <w:rPr>
          <w:rFonts w:ascii="標楷體" w:eastAsia="標楷體" w:hAnsi="標楷體" w:hint="eastAsia"/>
          <w:b/>
          <w:bCs/>
          <w:sz w:val="32"/>
          <w:szCs w:val="32"/>
        </w:rPr>
        <w:t>案)</w:t>
      </w:r>
      <w:bookmarkEnd w:id="49"/>
      <w:bookmarkEnd w:id="50"/>
      <w:bookmarkEnd w:id="51"/>
      <w:bookmarkEnd w:id="52"/>
      <w:bookmarkEnd w:id="53"/>
    </w:p>
    <w:p w14:paraId="3125E81F" w14:textId="05300BCA"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54" w:name="_Toc189487286"/>
      <w:r w:rsidRPr="009523DA">
        <w:rPr>
          <w:rFonts w:ascii="標楷體" w:eastAsia="標楷體" w:hAnsi="標楷體" w:hint="eastAsia"/>
          <w:b/>
          <w:bCs/>
          <w:sz w:val="28"/>
          <w:szCs w:val="28"/>
        </w:rPr>
        <w:t>(一)</w:t>
      </w:r>
      <w:r>
        <w:rPr>
          <w:rFonts w:ascii="標楷體" w:eastAsia="標楷體" w:hAnsi="標楷體" w:hint="eastAsia"/>
          <w:b/>
          <w:bCs/>
          <w:sz w:val="28"/>
          <w:szCs w:val="28"/>
        </w:rPr>
        <w:t>總</w:t>
      </w:r>
      <w:r w:rsidRPr="009523DA">
        <w:rPr>
          <w:rFonts w:ascii="標楷體" w:eastAsia="標楷體" w:hAnsi="標楷體" w:hint="eastAsia"/>
          <w:b/>
          <w:bCs/>
          <w:sz w:val="28"/>
          <w:szCs w:val="28"/>
        </w:rPr>
        <w:t>預算案（</w:t>
      </w:r>
      <w:r w:rsidR="00CF7959">
        <w:rPr>
          <w:rFonts w:ascii="標楷體" w:eastAsia="標楷體" w:hAnsi="標楷體" w:hint="eastAsia"/>
          <w:b/>
          <w:bCs/>
          <w:sz w:val="28"/>
          <w:szCs w:val="28"/>
        </w:rPr>
        <w:t>7</w:t>
      </w:r>
      <w:r w:rsidRPr="009523DA">
        <w:rPr>
          <w:rFonts w:ascii="標楷體" w:eastAsia="標楷體" w:hAnsi="標楷體" w:hint="eastAsia"/>
          <w:b/>
          <w:bCs/>
          <w:sz w:val="28"/>
          <w:szCs w:val="28"/>
        </w:rPr>
        <w:t>案）</w:t>
      </w:r>
      <w:bookmarkEnd w:id="54"/>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843"/>
        <w:gridCol w:w="2410"/>
        <w:gridCol w:w="2551"/>
        <w:gridCol w:w="2268"/>
      </w:tblGrid>
      <w:tr w:rsidR="007D160C" w:rsidRPr="009523DA" w14:paraId="50D6474D"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1646B6C5"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1843" w:type="dxa"/>
            <w:tcBorders>
              <w:top w:val="single" w:sz="12" w:space="0" w:color="auto"/>
              <w:left w:val="single" w:sz="4" w:space="0" w:color="auto"/>
              <w:bottom w:val="single" w:sz="12" w:space="0" w:color="auto"/>
              <w:right w:val="single" w:sz="4" w:space="0" w:color="auto"/>
            </w:tcBorders>
            <w:vAlign w:val="center"/>
          </w:tcPr>
          <w:p w14:paraId="31DE5E50"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410" w:type="dxa"/>
            <w:tcBorders>
              <w:top w:val="single" w:sz="12" w:space="0" w:color="auto"/>
              <w:left w:val="single" w:sz="4" w:space="0" w:color="auto"/>
              <w:bottom w:val="single" w:sz="12" w:space="0" w:color="auto"/>
              <w:right w:val="single" w:sz="4" w:space="0" w:color="auto"/>
            </w:tcBorders>
            <w:vAlign w:val="center"/>
          </w:tcPr>
          <w:p w14:paraId="3AD4E620"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551" w:type="dxa"/>
            <w:tcBorders>
              <w:top w:val="single" w:sz="12" w:space="0" w:color="auto"/>
              <w:left w:val="single" w:sz="4" w:space="0" w:color="auto"/>
              <w:bottom w:val="single" w:sz="12" w:space="0" w:color="auto"/>
              <w:right w:val="single" w:sz="4" w:space="0" w:color="auto"/>
            </w:tcBorders>
          </w:tcPr>
          <w:p w14:paraId="148D22E8" w14:textId="77777777" w:rsidR="007D160C"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審查會審竣</w:t>
            </w:r>
          </w:p>
          <w:p w14:paraId="0580EA7D" w14:textId="77777777" w:rsidR="007D160C" w:rsidRPr="009523DA"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3DB06679" w14:textId="77777777" w:rsidR="007D160C"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院會通過日期</w:t>
            </w:r>
          </w:p>
          <w:p w14:paraId="3357F81D" w14:textId="77777777" w:rsidR="007D160C" w:rsidRPr="009523DA" w:rsidRDefault="007D160C" w:rsidP="00F470A8">
            <w:pPr>
              <w:overflowPunct w:val="0"/>
              <w:jc w:val="center"/>
              <w:rPr>
                <w:rFonts w:ascii="標楷體" w:eastAsia="標楷體" w:hAnsi="標楷體"/>
                <w:b/>
                <w:bCs/>
                <w:szCs w:val="24"/>
              </w:rPr>
            </w:pPr>
            <w:r>
              <w:rPr>
                <w:rFonts w:ascii="標楷體" w:eastAsia="標楷體" w:hAnsi="標楷體" w:hint="eastAsia"/>
                <w:b/>
                <w:bCs/>
                <w:szCs w:val="24"/>
              </w:rPr>
              <w:t>總統公布日期</w:t>
            </w:r>
            <w:r w:rsidRPr="009523DA">
              <w:rPr>
                <w:rFonts w:ascii="標楷體" w:eastAsia="標楷體" w:hAnsi="標楷體" w:hint="eastAsia"/>
                <w:b/>
                <w:bCs/>
                <w:szCs w:val="24"/>
              </w:rPr>
              <w:t>及</w:t>
            </w:r>
            <w:r>
              <w:rPr>
                <w:rFonts w:ascii="標楷體" w:eastAsia="標楷體" w:hAnsi="標楷體" w:hint="eastAsia"/>
                <w:b/>
                <w:bCs/>
                <w:szCs w:val="24"/>
              </w:rPr>
              <w:t>文號</w:t>
            </w:r>
          </w:p>
        </w:tc>
      </w:tr>
      <w:tr w:rsidR="007D160C" w:rsidRPr="009523DA" w14:paraId="69C47669" w14:textId="77777777" w:rsidTr="00127A9E">
        <w:tblPrEx>
          <w:jc w:val="left"/>
        </w:tblPrEx>
        <w:trPr>
          <w:trHeight w:val="2741"/>
        </w:trPr>
        <w:tc>
          <w:tcPr>
            <w:tcW w:w="704" w:type="dxa"/>
            <w:tcBorders>
              <w:top w:val="single" w:sz="12" w:space="0" w:color="auto"/>
              <w:left w:val="single" w:sz="4" w:space="0" w:color="auto"/>
              <w:bottom w:val="single" w:sz="12" w:space="0" w:color="auto"/>
              <w:right w:val="single" w:sz="4" w:space="0" w:color="auto"/>
            </w:tcBorders>
          </w:tcPr>
          <w:p w14:paraId="477A3BD9"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1</w:t>
            </w:r>
          </w:p>
        </w:tc>
        <w:tc>
          <w:tcPr>
            <w:tcW w:w="1843" w:type="dxa"/>
            <w:tcBorders>
              <w:top w:val="single" w:sz="12" w:space="0" w:color="auto"/>
              <w:bottom w:val="single" w:sz="12" w:space="0" w:color="auto"/>
            </w:tcBorders>
          </w:tcPr>
          <w:p w14:paraId="3756DCBC" w14:textId="77777777" w:rsidR="007D160C" w:rsidRPr="002359DB" w:rsidRDefault="007D160C" w:rsidP="00F470A8">
            <w:pPr>
              <w:overflowPunct w:val="0"/>
              <w:spacing w:line="340" w:lineRule="exact"/>
              <w:jc w:val="both"/>
              <w:textAlignment w:val="auto"/>
              <w:rPr>
                <w:rFonts w:ascii="標楷體" w:eastAsia="標楷體" w:hAnsi="標楷體"/>
                <w:szCs w:val="24"/>
              </w:rPr>
            </w:pPr>
            <w:r w:rsidRPr="002359DB">
              <w:rPr>
                <w:rFonts w:ascii="標楷體" w:eastAsia="標楷體" w:hAnsi="標楷體" w:hint="eastAsia"/>
              </w:rPr>
              <w:t>113度中央政府總預算案（營業及非營業部分）</w:t>
            </w:r>
          </w:p>
        </w:tc>
        <w:tc>
          <w:tcPr>
            <w:tcW w:w="2410" w:type="dxa"/>
            <w:tcBorders>
              <w:top w:val="single" w:sz="12" w:space="0" w:color="auto"/>
              <w:bottom w:val="single" w:sz="12" w:space="0" w:color="auto"/>
            </w:tcBorders>
          </w:tcPr>
          <w:p w14:paraId="1A5ED72A" w14:textId="77777777" w:rsidR="007D160C" w:rsidRPr="002359DB" w:rsidRDefault="007D160C" w:rsidP="00F470A8">
            <w:pPr>
              <w:kinsoku w:val="0"/>
              <w:overflowPunct w:val="0"/>
              <w:autoSpaceDE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kern w:val="0"/>
              </w:rPr>
              <w:t>1.</w:t>
            </w:r>
            <w:r w:rsidRPr="002359DB">
              <w:rPr>
                <w:rFonts w:ascii="標楷體" w:eastAsia="標楷體" w:hAnsi="標楷體" w:hint="eastAsia"/>
              </w:rPr>
              <w:t>1</w:t>
            </w:r>
            <w:r w:rsidRPr="002359DB">
              <w:rPr>
                <w:rFonts w:ascii="標楷體" w:eastAsia="標楷體" w:hAnsi="標楷體"/>
              </w:rPr>
              <w:t>1</w:t>
            </w:r>
            <w:r w:rsidRPr="002359DB">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14:paraId="437128F2" w14:textId="77777777" w:rsidR="007D160C" w:rsidRPr="002359DB" w:rsidRDefault="007D160C" w:rsidP="00F470A8">
            <w:pPr>
              <w:overflowPunct w:val="0"/>
              <w:spacing w:line="320" w:lineRule="exact"/>
              <w:ind w:left="240" w:hangingChars="100" w:hanging="240"/>
              <w:contextualSpacing/>
              <w:jc w:val="both"/>
              <w:rPr>
                <w:rFonts w:ascii="標楷體" w:eastAsia="標楷體" w:hAnsi="標楷體"/>
                <w:szCs w:val="24"/>
              </w:rPr>
            </w:pPr>
            <w:r w:rsidRPr="002359DB">
              <w:rPr>
                <w:rFonts w:ascii="標楷體" w:eastAsia="標楷體" w:hAnsi="標楷體"/>
                <w:kern w:val="0"/>
              </w:rPr>
              <w:t>2.</w:t>
            </w:r>
            <w:r w:rsidRPr="002359DB">
              <w:rPr>
                <w:rFonts w:ascii="標楷體" w:eastAsia="標楷體" w:hAnsi="標楷體" w:hint="eastAsia"/>
                <w:szCs w:val="24"/>
              </w:rPr>
              <w:t>第10屆第8會期第2次（112.10.3）邀請行政院院長、主計長、財政部部長列席報告「113年度中央政府總預算案」編製經過並進行質詢後，決定：「113年度中央政府總預算案（含附屬單位預算及綜計表-營業及非營業部分）交財政委員會，依分配表及日程分送各委員會審查」。</w:t>
            </w:r>
          </w:p>
          <w:p w14:paraId="673C98B7" w14:textId="77777777" w:rsidR="007D160C" w:rsidRPr="002359DB" w:rsidRDefault="007D160C" w:rsidP="00F470A8">
            <w:pPr>
              <w:widowControl w:val="0"/>
              <w:suppressLineNumbers/>
              <w:suppressAutoHyphens/>
              <w:overflowPunct w:val="0"/>
              <w:autoSpaceDN/>
              <w:spacing w:line="320" w:lineRule="exact"/>
              <w:jc w:val="both"/>
              <w:textAlignment w:val="auto"/>
              <w:rPr>
                <w:rFonts w:ascii="標楷體" w:eastAsia="標楷體" w:hAnsi="標楷體"/>
                <w:kern w:val="2"/>
                <w:szCs w:val="24"/>
              </w:rPr>
            </w:pPr>
          </w:p>
        </w:tc>
        <w:tc>
          <w:tcPr>
            <w:tcW w:w="2551" w:type="dxa"/>
            <w:tcBorders>
              <w:top w:val="single" w:sz="12" w:space="0" w:color="auto"/>
              <w:bottom w:val="single" w:sz="12" w:space="0" w:color="auto"/>
            </w:tcBorders>
          </w:tcPr>
          <w:p w14:paraId="1ABB854A" w14:textId="77777777" w:rsidR="007D160C" w:rsidRPr="002359DB" w:rsidRDefault="007D160C" w:rsidP="00F470A8">
            <w:pPr>
              <w:overflowPunct w:val="0"/>
              <w:spacing w:line="320" w:lineRule="exact"/>
              <w:ind w:left="240" w:hangingChars="100" w:hanging="240"/>
              <w:contextualSpacing/>
              <w:jc w:val="both"/>
              <w:rPr>
                <w:rFonts w:ascii="標楷體" w:eastAsia="標楷體" w:hAnsi="標楷體"/>
                <w:szCs w:val="24"/>
              </w:rPr>
            </w:pPr>
            <w:r w:rsidRPr="002359DB">
              <w:rPr>
                <w:rFonts w:ascii="標楷體" w:eastAsia="標楷體" w:hAnsi="標楷體" w:hint="eastAsia"/>
                <w:szCs w:val="24"/>
              </w:rPr>
              <w:t>1.本會於112年</w:t>
            </w:r>
            <w:r w:rsidRPr="002359DB">
              <w:rPr>
                <w:rFonts w:ascii="標楷體" w:eastAsia="標楷體" w:hAnsi="標楷體"/>
                <w:szCs w:val="24"/>
              </w:rPr>
              <w:t>9</w:t>
            </w:r>
            <w:r w:rsidRPr="002359DB">
              <w:rPr>
                <w:rFonts w:ascii="標楷體" w:eastAsia="標楷體" w:hAnsi="標楷體" w:hint="eastAsia"/>
                <w:szCs w:val="24"/>
              </w:rPr>
              <w:t>月</w:t>
            </w:r>
            <w:r w:rsidRPr="002359DB">
              <w:rPr>
                <w:rFonts w:ascii="標楷體" w:eastAsia="標楷體" w:hAnsi="標楷體"/>
                <w:szCs w:val="24"/>
              </w:rPr>
              <w:t>2</w:t>
            </w:r>
            <w:r w:rsidRPr="002359DB">
              <w:rPr>
                <w:rFonts w:ascii="標楷體" w:eastAsia="標楷體" w:hAnsi="標楷體" w:hint="eastAsia"/>
                <w:szCs w:val="24"/>
              </w:rPr>
              <w:t>7日舉行第1</w:t>
            </w:r>
            <w:r w:rsidRPr="002359DB">
              <w:rPr>
                <w:rFonts w:ascii="標楷體" w:eastAsia="標楷體" w:hAnsi="標楷體"/>
                <w:szCs w:val="24"/>
              </w:rPr>
              <w:t>0</w:t>
            </w:r>
            <w:r w:rsidRPr="002359DB">
              <w:rPr>
                <w:rFonts w:ascii="標楷體" w:eastAsia="標楷體" w:hAnsi="標楷體" w:hint="eastAsia"/>
                <w:szCs w:val="24"/>
              </w:rPr>
              <w:t>屆第8會期第2次全體委員會議通過「中華民國1</w:t>
            </w:r>
            <w:r w:rsidRPr="002359DB">
              <w:rPr>
                <w:rFonts w:ascii="標楷體" w:eastAsia="標楷體" w:hAnsi="標楷體"/>
                <w:szCs w:val="24"/>
              </w:rPr>
              <w:t>1</w:t>
            </w:r>
            <w:r w:rsidRPr="002359DB">
              <w:rPr>
                <w:rFonts w:ascii="標楷體" w:eastAsia="標楷體" w:hAnsi="標楷體" w:hint="eastAsia"/>
                <w:szCs w:val="24"/>
              </w:rPr>
              <w:t>3年度中央政府總預算案（含附屬單位預算及綜計表－營業及非營業部分）審查日程及審查分配表草案，並提報院會。</w:t>
            </w:r>
          </w:p>
          <w:p w14:paraId="26F5356F" w14:textId="77777777" w:rsidR="007D160C" w:rsidRPr="002359DB" w:rsidRDefault="007D160C" w:rsidP="00F470A8">
            <w:pPr>
              <w:overflowPunct w:val="0"/>
              <w:spacing w:line="340" w:lineRule="exact"/>
              <w:ind w:left="240" w:hangingChars="100" w:hanging="240"/>
              <w:contextualSpacing/>
              <w:jc w:val="both"/>
              <w:rPr>
                <w:rFonts w:ascii="標楷體" w:eastAsia="標楷體" w:hAnsi="標楷體"/>
                <w:szCs w:val="24"/>
              </w:rPr>
            </w:pPr>
            <w:r w:rsidRPr="002359DB">
              <w:rPr>
                <w:rFonts w:ascii="標楷體" w:eastAsia="標楷體" w:hAnsi="標楷體" w:hint="eastAsia"/>
                <w:szCs w:val="24"/>
              </w:rPr>
              <w:t>2.112年1</w:t>
            </w:r>
            <w:r w:rsidRPr="002359DB">
              <w:rPr>
                <w:rFonts w:ascii="標楷體" w:eastAsia="標楷體" w:hAnsi="標楷體"/>
                <w:szCs w:val="24"/>
              </w:rPr>
              <w:t>0</w:t>
            </w:r>
            <w:r w:rsidRPr="002359DB">
              <w:rPr>
                <w:rFonts w:ascii="標楷體" w:eastAsia="標楷體" w:hAnsi="標楷體" w:hint="eastAsia"/>
                <w:szCs w:val="24"/>
              </w:rPr>
              <w:t>月4日、18日、26日、30日、1</w:t>
            </w:r>
            <w:r w:rsidRPr="002359DB">
              <w:rPr>
                <w:rFonts w:ascii="標楷體" w:eastAsia="標楷體" w:hAnsi="標楷體"/>
                <w:szCs w:val="24"/>
              </w:rPr>
              <w:t>1</w:t>
            </w:r>
            <w:r w:rsidRPr="002359DB">
              <w:rPr>
                <w:rFonts w:ascii="標楷體" w:eastAsia="標楷體" w:hAnsi="標楷體" w:hint="eastAsia"/>
                <w:szCs w:val="24"/>
              </w:rPr>
              <w:t>月1日、6日、9日、13日、20日、22日及27日本會舉行全體委員會議，審查中華民國113年度中央政府總預算案（含附屬單位預算及綜計表－營業及非營業部分）有關財政委員會主審部分。</w:t>
            </w:r>
          </w:p>
          <w:p w14:paraId="280FBD17" w14:textId="77777777" w:rsidR="007D160C" w:rsidRPr="002359DB" w:rsidRDefault="007D160C" w:rsidP="00F470A8">
            <w:pPr>
              <w:overflowPunct w:val="0"/>
              <w:spacing w:line="340" w:lineRule="exact"/>
              <w:ind w:left="240" w:hangingChars="100" w:hanging="240"/>
              <w:contextualSpacing/>
              <w:jc w:val="both"/>
              <w:rPr>
                <w:rFonts w:ascii="標楷體" w:eastAsia="標楷體" w:hAnsi="標楷體"/>
                <w:szCs w:val="24"/>
              </w:rPr>
            </w:pPr>
            <w:r w:rsidRPr="002359DB">
              <w:rPr>
                <w:rFonts w:ascii="標楷體" w:eastAsia="標楷體" w:hAnsi="標楷體" w:hint="eastAsia"/>
                <w:szCs w:val="24"/>
              </w:rPr>
              <w:t>3.第10屆第8會期第17次本會全體委員會議(112.11.27)彙總整理提出「中華民國113年度中央政府總預算案附屬單位預算營業及非營業部分審查總報告草案」提報院會案，決議：照草案通過，提報院會討論。</w:t>
            </w:r>
          </w:p>
          <w:p w14:paraId="7ED5E60E" w14:textId="77777777" w:rsidR="007D160C" w:rsidRPr="002359DB" w:rsidRDefault="007D160C" w:rsidP="00F470A8">
            <w:pPr>
              <w:widowControl w:val="0"/>
              <w:overflowPunct w:val="0"/>
              <w:spacing w:line="320" w:lineRule="exact"/>
              <w:contextualSpacing/>
              <w:jc w:val="both"/>
              <w:textAlignment w:val="auto"/>
              <w:rPr>
                <w:rFonts w:ascii="標楷體" w:eastAsia="標楷體" w:hAnsi="標楷體"/>
                <w:spacing w:val="-20"/>
                <w:kern w:val="2"/>
                <w:szCs w:val="24"/>
              </w:rPr>
            </w:pPr>
          </w:p>
        </w:tc>
        <w:tc>
          <w:tcPr>
            <w:tcW w:w="2268" w:type="dxa"/>
            <w:tcBorders>
              <w:top w:val="single" w:sz="12" w:space="0" w:color="auto"/>
              <w:bottom w:val="single" w:sz="12" w:space="0" w:color="auto"/>
            </w:tcBorders>
          </w:tcPr>
          <w:p w14:paraId="6EE7AAF5" w14:textId="77777777" w:rsidR="007D160C" w:rsidRPr="002359DB" w:rsidRDefault="007D160C" w:rsidP="00F470A8">
            <w:pPr>
              <w:kinsoku w:val="0"/>
              <w:overflowPunct w:val="0"/>
              <w:autoSpaceDE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kern w:val="0"/>
              </w:rPr>
              <w:t>1.</w:t>
            </w:r>
            <w:r w:rsidRPr="002359DB">
              <w:rPr>
                <w:rFonts w:ascii="標楷體" w:eastAsia="標楷體" w:hAnsi="標楷體" w:hint="eastAsia"/>
              </w:rPr>
              <w:t>1</w:t>
            </w:r>
            <w:r w:rsidRPr="002359DB">
              <w:rPr>
                <w:rFonts w:ascii="標楷體" w:eastAsia="標楷體" w:hAnsi="標楷體"/>
              </w:rPr>
              <w:t>1</w:t>
            </w:r>
            <w:r w:rsidRPr="002359DB">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14:paraId="48966D38" w14:textId="77777777" w:rsidR="007D160C" w:rsidRPr="002359DB" w:rsidRDefault="007D160C" w:rsidP="00F470A8">
            <w:pPr>
              <w:overflowPunct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szCs w:val="24"/>
              </w:rPr>
              <w:t>2.本會所提「中華民國113年度中央政府總預算案（含附屬單位預算及綜計表－營業及非營業部分）審查日程及審查分配表，經第10屆第8會期第2次院會（112.10.3）決定：「併113年度中央政府總預算案處理」。</w:t>
            </w:r>
          </w:p>
          <w:p w14:paraId="4DE8CCB1" w14:textId="77777777" w:rsidR="007D160C" w:rsidRPr="002359DB" w:rsidRDefault="007D160C" w:rsidP="00F470A8">
            <w:pPr>
              <w:overflowPunct w:val="0"/>
              <w:ind w:left="240" w:hangingChars="100" w:hanging="240"/>
              <w:jc w:val="both"/>
              <w:rPr>
                <w:rFonts w:ascii="標楷體" w:eastAsia="標楷體" w:hAnsi="標楷體"/>
                <w:szCs w:val="24"/>
              </w:rPr>
            </w:pPr>
            <w:r w:rsidRPr="002359DB">
              <w:rPr>
                <w:rFonts w:ascii="標楷體" w:eastAsia="標楷體" w:hAnsi="標楷體" w:hint="eastAsia"/>
                <w:szCs w:val="24"/>
              </w:rPr>
              <w:t>3.112.11.2</w:t>
            </w:r>
            <w:r>
              <w:rPr>
                <w:rFonts w:ascii="標楷體" w:eastAsia="標楷體" w:hAnsi="標楷體" w:hint="eastAsia"/>
                <w:szCs w:val="24"/>
              </w:rPr>
              <w:t>7</w:t>
            </w:r>
            <w:r w:rsidRPr="002359DB">
              <w:rPr>
                <w:rFonts w:ascii="標楷體" w:eastAsia="標楷體" w:hAnsi="標楷體" w:hint="eastAsia"/>
                <w:szCs w:val="24"/>
              </w:rPr>
              <w:t>本會將「中華民國113年度中央政府總預算案附屬單位預算及綜計表－營業及非營業部分審查總報告(不含內政委員會、經濟委員會、財政委員會營業部分、教育及文化委員會、交通委員會)」函送議事處提報院會。</w:t>
            </w:r>
          </w:p>
          <w:p w14:paraId="770189D9" w14:textId="77777777" w:rsidR="007D160C" w:rsidRPr="002359DB" w:rsidRDefault="007D160C" w:rsidP="00F470A8">
            <w:pPr>
              <w:overflowPunct w:val="0"/>
              <w:ind w:left="240" w:hangingChars="100" w:hanging="240"/>
              <w:jc w:val="both"/>
              <w:rPr>
                <w:rFonts w:ascii="標楷體" w:eastAsia="標楷體" w:hAnsi="標楷體"/>
                <w:szCs w:val="24"/>
              </w:rPr>
            </w:pPr>
            <w:r w:rsidRPr="002359DB">
              <w:rPr>
                <w:rFonts w:ascii="標楷體" w:eastAsia="標楷體" w:hAnsi="標楷體" w:hint="eastAsia"/>
                <w:szCs w:val="24"/>
              </w:rPr>
              <w:t>4.112.12.8本會將「內政委員會、財政委員會營業部分、教育及文化委員會、交通委員會</w:t>
            </w:r>
            <w:r w:rsidRPr="002359DB">
              <w:rPr>
                <w:rFonts w:ascii="標楷體" w:eastAsia="標楷體" w:hAnsi="標楷體" w:hint="eastAsia"/>
                <w:szCs w:val="24"/>
              </w:rPr>
              <w:lastRenderedPageBreak/>
              <w:t>113年度附屬單位預算審查報告」函送議事處提報院會。</w:t>
            </w:r>
          </w:p>
          <w:p w14:paraId="11124B16" w14:textId="77777777" w:rsidR="007D160C" w:rsidRDefault="007D160C" w:rsidP="00F470A8">
            <w:pPr>
              <w:overflowPunct w:val="0"/>
              <w:spacing w:line="340" w:lineRule="exact"/>
              <w:ind w:left="240" w:hangingChars="100" w:hanging="240"/>
              <w:jc w:val="both"/>
              <w:rPr>
                <w:rFonts w:ascii="標楷體" w:eastAsia="標楷體" w:hAnsi="標楷體"/>
                <w:szCs w:val="24"/>
              </w:rPr>
            </w:pPr>
            <w:r w:rsidRPr="002359DB">
              <w:rPr>
                <w:rFonts w:ascii="標楷體" w:eastAsia="標楷體" w:hAnsi="標楷體" w:hint="eastAsia"/>
                <w:szCs w:val="24"/>
              </w:rPr>
              <w:t>5.113.5.9本會將「經濟委員會113年度附屬單位預算審查報告」函送議事處提報院會。</w:t>
            </w:r>
          </w:p>
          <w:p w14:paraId="05D74B36" w14:textId="77777777" w:rsidR="007D160C" w:rsidRDefault="007D160C" w:rsidP="00F470A8">
            <w:pPr>
              <w:overflowPunct w:val="0"/>
              <w:spacing w:line="340" w:lineRule="exact"/>
              <w:ind w:left="240" w:hangingChars="100" w:hanging="240"/>
              <w:jc w:val="both"/>
              <w:rPr>
                <w:rFonts w:ascii="標楷體" w:eastAsia="標楷體" w:hAnsi="標楷體"/>
                <w:szCs w:val="24"/>
              </w:rPr>
            </w:pPr>
            <w:r w:rsidRPr="00932F32">
              <w:rPr>
                <w:rFonts w:ascii="標楷體" w:eastAsia="標楷體" w:hAnsi="標楷體" w:hint="eastAsia"/>
                <w:szCs w:val="24"/>
              </w:rPr>
              <w:t>6.113.11.27、28及12.11、12</w:t>
            </w:r>
            <w:r w:rsidRPr="000F1288">
              <w:rPr>
                <w:rFonts w:ascii="標楷體" w:eastAsia="標楷體" w:hAnsi="標楷體" w:hint="eastAsia"/>
                <w:szCs w:val="24"/>
              </w:rPr>
              <w:t>院長召開朝野黨團協商。</w:t>
            </w:r>
          </w:p>
          <w:p w14:paraId="2F6CFD48" w14:textId="3E35C254" w:rsidR="007D160C" w:rsidRPr="00781E35" w:rsidRDefault="007D160C" w:rsidP="00F470A8">
            <w:pPr>
              <w:overflowPunct w:val="0"/>
              <w:spacing w:line="340" w:lineRule="exact"/>
              <w:ind w:left="240" w:hangingChars="100" w:hanging="240"/>
              <w:jc w:val="both"/>
              <w:rPr>
                <w:rFonts w:ascii="標楷體" w:eastAsia="標楷體" w:hAnsi="標楷體"/>
                <w:szCs w:val="24"/>
              </w:rPr>
            </w:pPr>
            <w:r w:rsidRPr="00932F32">
              <w:rPr>
                <w:rFonts w:ascii="標楷體" w:eastAsia="標楷體" w:hAnsi="標楷體" w:hint="eastAsia"/>
                <w:szCs w:val="24"/>
              </w:rPr>
              <w:t>7.</w:t>
            </w:r>
            <w:r w:rsidRPr="00781E35">
              <w:rPr>
                <w:rFonts w:ascii="標楷體" w:eastAsia="標楷體" w:hAnsi="標楷體" w:hint="eastAsia"/>
                <w:szCs w:val="24"/>
              </w:rPr>
              <w:t>第11屆第2會期第13次院會</w:t>
            </w:r>
            <w:r w:rsidRPr="00F76AD3">
              <w:rPr>
                <w:rFonts w:ascii="標楷體" w:eastAsia="標楷體" w:hAnsi="標楷體" w:hint="eastAsia"/>
                <w:spacing w:val="-30"/>
                <w:szCs w:val="24"/>
              </w:rPr>
              <w:t>(11</w:t>
            </w:r>
            <w:r w:rsidR="00875036" w:rsidRPr="00F76AD3">
              <w:rPr>
                <w:rFonts w:ascii="標楷體" w:eastAsia="標楷體" w:hAnsi="標楷體" w:hint="eastAsia"/>
                <w:spacing w:val="-30"/>
                <w:szCs w:val="24"/>
              </w:rPr>
              <w:t>3</w:t>
            </w:r>
            <w:r w:rsidRPr="00F76AD3">
              <w:rPr>
                <w:rFonts w:ascii="標楷體" w:eastAsia="標楷體" w:hAnsi="標楷體" w:hint="eastAsia"/>
                <w:spacing w:val="-30"/>
                <w:szCs w:val="24"/>
              </w:rPr>
              <w:t>.12.13)</w:t>
            </w:r>
            <w:r w:rsidRPr="00781E35">
              <w:rPr>
                <w:rFonts w:ascii="標楷體" w:eastAsia="標楷體" w:hAnsi="標楷體" w:hint="eastAsia"/>
                <w:szCs w:val="24"/>
              </w:rPr>
              <w:t>三讀通過。</w:t>
            </w:r>
          </w:p>
          <w:p w14:paraId="033D8282" w14:textId="55E016CC" w:rsidR="007D160C" w:rsidRPr="002359DB" w:rsidRDefault="007D160C" w:rsidP="00F470A8">
            <w:pPr>
              <w:overflowPunct w:val="0"/>
              <w:spacing w:line="340" w:lineRule="exact"/>
              <w:ind w:left="240" w:hangingChars="100" w:hanging="240"/>
              <w:jc w:val="both"/>
              <w:rPr>
                <w:rFonts w:ascii="標楷體" w:eastAsia="標楷體" w:hAnsi="標楷體"/>
                <w:szCs w:val="24"/>
              </w:rPr>
            </w:pPr>
            <w:r w:rsidRPr="007B4A79">
              <w:rPr>
                <w:rFonts w:ascii="標楷體" w:eastAsia="標楷體" w:hAnsi="標楷體" w:hint="eastAsia"/>
                <w:szCs w:val="24"/>
              </w:rPr>
              <w:t>8.總統令中華民國113年12月31日華總一</w:t>
            </w:r>
            <w:r w:rsidR="00F76AD3">
              <w:rPr>
                <w:rFonts w:ascii="標楷體" w:eastAsia="標楷體" w:hAnsi="標楷體" w:hint="eastAsia"/>
                <w:szCs w:val="24"/>
              </w:rPr>
              <w:t>經</w:t>
            </w:r>
            <w:r w:rsidRPr="007B4A79">
              <w:rPr>
                <w:rFonts w:ascii="標楷體" w:eastAsia="標楷體" w:hAnsi="標楷體" w:hint="eastAsia"/>
                <w:szCs w:val="24"/>
              </w:rPr>
              <w:t>字第</w:t>
            </w:r>
            <w:r w:rsidRPr="00D22FEE">
              <w:rPr>
                <w:rFonts w:ascii="標楷體" w:eastAsia="標楷體" w:hAnsi="標楷體" w:hint="eastAsia"/>
                <w:spacing w:val="-20"/>
                <w:szCs w:val="24"/>
              </w:rPr>
              <w:t>11300127571號</w:t>
            </w:r>
            <w:r w:rsidR="00BC1289" w:rsidRPr="00D22FEE">
              <w:rPr>
                <w:rFonts w:ascii="標楷體" w:eastAsia="標楷體" w:hAnsi="標楷體" w:hint="eastAsia"/>
                <w:spacing w:val="-20"/>
                <w:szCs w:val="24"/>
              </w:rPr>
              <w:t>。</w:t>
            </w:r>
          </w:p>
        </w:tc>
      </w:tr>
      <w:tr w:rsidR="00BC1289" w:rsidRPr="009523DA" w14:paraId="7A53B6A7" w14:textId="77777777" w:rsidTr="00127A9E">
        <w:tblPrEx>
          <w:jc w:val="left"/>
        </w:tblPrEx>
        <w:trPr>
          <w:trHeight w:val="2741"/>
        </w:trPr>
        <w:tc>
          <w:tcPr>
            <w:tcW w:w="704" w:type="dxa"/>
            <w:tcBorders>
              <w:top w:val="single" w:sz="12" w:space="0" w:color="auto"/>
              <w:left w:val="single" w:sz="4" w:space="0" w:color="auto"/>
              <w:bottom w:val="single" w:sz="2" w:space="0" w:color="auto"/>
              <w:right w:val="single" w:sz="4" w:space="0" w:color="auto"/>
            </w:tcBorders>
          </w:tcPr>
          <w:p w14:paraId="27C27A10" w14:textId="10B5A67E" w:rsidR="00BC1289" w:rsidRDefault="00BC128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2</w:t>
            </w:r>
          </w:p>
        </w:tc>
        <w:tc>
          <w:tcPr>
            <w:tcW w:w="1843" w:type="dxa"/>
            <w:tcBorders>
              <w:top w:val="single" w:sz="12" w:space="0" w:color="auto"/>
              <w:bottom w:val="single" w:sz="2" w:space="0" w:color="auto"/>
            </w:tcBorders>
          </w:tcPr>
          <w:p w14:paraId="6AD17986" w14:textId="272AC825" w:rsidR="00BC1289" w:rsidRPr="002359DB" w:rsidRDefault="00BC1289" w:rsidP="00F470A8">
            <w:pPr>
              <w:overflowPunct w:val="0"/>
              <w:spacing w:line="340" w:lineRule="exact"/>
              <w:jc w:val="both"/>
              <w:textAlignment w:val="auto"/>
              <w:rPr>
                <w:rFonts w:ascii="標楷體" w:eastAsia="標楷體" w:hAnsi="標楷體"/>
              </w:rPr>
            </w:pPr>
            <w:r w:rsidRPr="00D043C5">
              <w:rPr>
                <w:rFonts w:ascii="標楷體" w:eastAsia="標楷體" w:hAnsi="標楷體" w:cs="DFKaiShuW5-B5" w:hint="eastAsia"/>
                <w:kern w:val="0"/>
                <w:szCs w:val="24"/>
              </w:rPr>
              <w:t>114年度中央政府總預算案</w:t>
            </w:r>
            <w:r>
              <w:rPr>
                <w:rFonts w:ascii="標楷體" w:eastAsia="標楷體" w:hAnsi="標楷體" w:cs="DFKaiShuW5-B5" w:hint="eastAsia"/>
                <w:kern w:val="0"/>
                <w:szCs w:val="24"/>
              </w:rPr>
              <w:t>(公務預算部分)</w:t>
            </w:r>
          </w:p>
        </w:tc>
        <w:tc>
          <w:tcPr>
            <w:tcW w:w="2410" w:type="dxa"/>
            <w:tcBorders>
              <w:top w:val="single" w:sz="12" w:space="0" w:color="auto"/>
              <w:left w:val="single" w:sz="4" w:space="0" w:color="auto"/>
              <w:bottom w:val="single" w:sz="2" w:space="0" w:color="auto"/>
              <w:right w:val="single" w:sz="4" w:space="0" w:color="auto"/>
            </w:tcBorders>
          </w:tcPr>
          <w:p w14:paraId="40D3648C" w14:textId="77777777" w:rsidR="00BC1289" w:rsidRPr="00D043C5" w:rsidRDefault="00BC128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012FFD60" w14:textId="08C51DFD" w:rsidR="00BC1289" w:rsidRPr="002359DB" w:rsidRDefault="00BC1289" w:rsidP="00F470A8">
            <w:pPr>
              <w:kinsoku w:val="0"/>
              <w:overflowPunct w:val="0"/>
              <w:autoSpaceDE w:val="0"/>
              <w:spacing w:line="340" w:lineRule="exact"/>
              <w:ind w:left="240" w:hangingChars="100" w:hanging="240"/>
              <w:jc w:val="both"/>
              <w:rPr>
                <w:rFonts w:ascii="標楷體" w:eastAsia="標楷體" w:hAnsi="標楷體"/>
                <w:kern w:val="0"/>
              </w:rPr>
            </w:pPr>
            <w:r w:rsidRPr="00D043C5">
              <w:rPr>
                <w:rFonts w:ascii="標楷體" w:eastAsia="標楷體" w:hAnsi="標楷體" w:hint="eastAsia"/>
                <w:kern w:val="2"/>
                <w:szCs w:val="24"/>
              </w:rPr>
              <w:t xml:space="preserve">2.依113年11月8日黨團協商結論，各黨團同意「114年度中央政府總預算案後續處理事項」，增列納入第8次會議議程，於11月8日院會討論事項前處理，將 </w:t>
            </w:r>
            <w:r w:rsidRPr="00D043C5">
              <w:rPr>
                <w:rFonts w:ascii="標楷體" w:eastAsia="標楷體" w:hAnsi="標楷體" w:hint="eastAsia"/>
                <w:kern w:val="2"/>
                <w:szCs w:val="24"/>
              </w:rPr>
              <w:lastRenderedPageBreak/>
              <w:t>「</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」交財政委員會依分配表及日程分送各委員會審查，並不提出復議。</w:t>
            </w:r>
          </w:p>
        </w:tc>
        <w:tc>
          <w:tcPr>
            <w:tcW w:w="2551" w:type="dxa"/>
            <w:tcBorders>
              <w:top w:val="single" w:sz="12" w:space="0" w:color="auto"/>
              <w:left w:val="single" w:sz="4" w:space="0" w:color="auto"/>
              <w:bottom w:val="single" w:sz="2" w:space="0" w:color="auto"/>
              <w:right w:val="single" w:sz="4" w:space="0" w:color="auto"/>
            </w:tcBorders>
          </w:tcPr>
          <w:p w14:paraId="0D1C1F32" w14:textId="77777777" w:rsidR="00BC1289" w:rsidRPr="004158D8" w:rsidRDefault="00BC1289" w:rsidP="00F470A8">
            <w:pPr>
              <w:overflowPunct w:val="0"/>
              <w:spacing w:line="320" w:lineRule="exact"/>
              <w:ind w:left="240" w:hangingChars="100" w:hanging="240"/>
              <w:contextualSpacing/>
              <w:jc w:val="both"/>
              <w:rPr>
                <w:rFonts w:ascii="標楷體" w:eastAsia="標楷體" w:hAnsi="標楷體"/>
                <w:szCs w:val="24"/>
              </w:rPr>
            </w:pPr>
            <w:r w:rsidRPr="004158D8">
              <w:rPr>
                <w:rFonts w:ascii="標楷體" w:eastAsia="標楷體" w:hAnsi="標楷體" w:hint="eastAsia"/>
                <w:szCs w:val="24"/>
              </w:rPr>
              <w:lastRenderedPageBreak/>
              <w:t>1.本會於113年10月30日舉行第11屆第2會期第5次全體委員會議通過「中華民國1</w:t>
            </w:r>
            <w:r w:rsidRPr="004158D8">
              <w:rPr>
                <w:rFonts w:ascii="標楷體" w:eastAsia="標楷體" w:hAnsi="標楷體"/>
                <w:szCs w:val="24"/>
              </w:rPr>
              <w:t>1</w:t>
            </w:r>
            <w:r w:rsidRPr="004158D8">
              <w:rPr>
                <w:rFonts w:ascii="標楷體" w:eastAsia="標楷體" w:hAnsi="標楷體" w:hint="eastAsia"/>
                <w:szCs w:val="24"/>
              </w:rPr>
              <w:t>4年度中央政府總預算案（含附屬單位預算及綜計表－營業及非營業部分）審查日程及審查分配表草案，並提報院會。</w:t>
            </w:r>
          </w:p>
          <w:p w14:paraId="0AE5820E" w14:textId="77777777" w:rsidR="00BC1289" w:rsidRPr="004158D8" w:rsidRDefault="00BC1289" w:rsidP="00F470A8">
            <w:pPr>
              <w:widowControl w:val="0"/>
              <w:overflowPunct w:val="0"/>
              <w:autoSpaceDN/>
              <w:ind w:left="240" w:hangingChars="100" w:hanging="240"/>
              <w:contextualSpacing/>
              <w:jc w:val="both"/>
              <w:textAlignment w:val="auto"/>
              <w:rPr>
                <w:rFonts w:ascii="標楷體" w:eastAsia="標楷體" w:hAnsi="標楷體"/>
                <w:kern w:val="2"/>
                <w:szCs w:val="24"/>
              </w:rPr>
            </w:pPr>
            <w:r w:rsidRPr="004158D8">
              <w:rPr>
                <w:rFonts w:ascii="標楷體" w:eastAsia="標楷體" w:hAnsi="標楷體" w:hint="eastAsia"/>
                <w:kern w:val="2"/>
                <w:szCs w:val="24"/>
              </w:rPr>
              <w:t>2.</w:t>
            </w:r>
            <w:r w:rsidRPr="004158D8">
              <w:rPr>
                <w:rFonts w:ascii="標楷體" w:eastAsia="標楷體" w:hAnsi="標楷體" w:hint="eastAsia"/>
                <w:szCs w:val="24"/>
              </w:rPr>
              <w:t>113年11月13日、14日、18日、25日、28日、12月18日、19日、25日、26日及114年1月2日、6日本會舉行全體委員會議，審查中華民國114年度中央政府總預算案（含附屬單位預算及綜計表－營業及非營業部分）有關財政委員會主審部分。</w:t>
            </w:r>
          </w:p>
          <w:p w14:paraId="2917EA5F" w14:textId="21BB121A" w:rsidR="00BC1289" w:rsidRPr="004158D8" w:rsidRDefault="00BC1289" w:rsidP="00F470A8">
            <w:pPr>
              <w:overflowPunct w:val="0"/>
              <w:spacing w:line="320" w:lineRule="exact"/>
              <w:ind w:left="240" w:hangingChars="100" w:hanging="240"/>
              <w:contextualSpacing/>
              <w:jc w:val="both"/>
              <w:rPr>
                <w:rFonts w:ascii="標楷體" w:eastAsia="標楷體" w:hAnsi="標楷體"/>
                <w:szCs w:val="24"/>
              </w:rPr>
            </w:pPr>
            <w:r w:rsidRPr="004158D8">
              <w:rPr>
                <w:rFonts w:ascii="標楷體" w:eastAsia="標楷體" w:hAnsi="標楷體" w:hint="eastAsia"/>
                <w:szCs w:val="24"/>
              </w:rPr>
              <w:t>3.第11屆第2會期第15次本會全體委員會議</w:t>
            </w:r>
            <w:r w:rsidRPr="004158D8">
              <w:rPr>
                <w:rFonts w:ascii="標楷體" w:eastAsia="標楷體" w:hAnsi="標楷體" w:hint="eastAsia"/>
                <w:szCs w:val="24"/>
              </w:rPr>
              <w:lastRenderedPageBreak/>
              <w:t>(114.1.6)彙總整理提出「中華民國114年度中央政府總預算案審查總報告(公務預算部分)草案」提報院會案，決議：照草案通過，提報院會討論。</w:t>
            </w:r>
          </w:p>
        </w:tc>
        <w:tc>
          <w:tcPr>
            <w:tcW w:w="2268" w:type="dxa"/>
            <w:tcBorders>
              <w:top w:val="single" w:sz="12" w:space="0" w:color="auto"/>
              <w:left w:val="single" w:sz="4" w:space="0" w:color="000000"/>
              <w:bottom w:val="single" w:sz="2" w:space="0" w:color="auto"/>
              <w:right w:val="single" w:sz="4" w:space="0" w:color="000000"/>
            </w:tcBorders>
            <w:vAlign w:val="center"/>
          </w:tcPr>
          <w:p w14:paraId="20B24012" w14:textId="77777777" w:rsidR="00BC1289" w:rsidRPr="004158D8" w:rsidRDefault="00BC1289" w:rsidP="00F470A8">
            <w:pPr>
              <w:kinsoku w:val="0"/>
              <w:overflowPunct w:val="0"/>
              <w:autoSpaceDE w:val="0"/>
              <w:spacing w:line="340" w:lineRule="exact"/>
              <w:ind w:left="240" w:hangingChars="100" w:hanging="240"/>
              <w:jc w:val="both"/>
              <w:rPr>
                <w:rFonts w:ascii="標楷體" w:eastAsia="標楷體" w:hAnsi="標楷體"/>
                <w:szCs w:val="24"/>
              </w:rPr>
            </w:pPr>
            <w:r w:rsidRPr="004158D8">
              <w:rPr>
                <w:rFonts w:ascii="標楷體" w:eastAsia="標楷體" w:hAnsi="標楷體" w:hint="eastAsia"/>
                <w:szCs w:val="24"/>
              </w:rPr>
              <w:lastRenderedPageBreak/>
              <w:t>1.1</w:t>
            </w:r>
            <w:r w:rsidRPr="004158D8">
              <w:rPr>
                <w:rFonts w:ascii="標楷體" w:eastAsia="標楷體" w:hAnsi="標楷體"/>
                <w:szCs w:val="24"/>
              </w:rPr>
              <w:t>1</w:t>
            </w:r>
            <w:r w:rsidRPr="004158D8">
              <w:rPr>
                <w:rFonts w:ascii="標楷體" w:eastAsia="標楷體" w:hAnsi="標楷體" w:hint="eastAsia"/>
                <w:szCs w:val="24"/>
              </w:rPr>
              <w:t>3.10.24朝野黨團協商結論決定：11月1日及5日邀請行政院院長、主計長、財政部部長、國家發展委員會主任委員及相關部會首長列席報告114年度施政計畫、「114年度中央政府總預算案」及「中央政府前瞻基礎建設計畫第5期特別預算案」編製經過並備質詢。</w:t>
            </w:r>
          </w:p>
          <w:p w14:paraId="7150B719" w14:textId="77777777" w:rsidR="00BC1289" w:rsidRPr="004158D8" w:rsidRDefault="00BC1289" w:rsidP="00F470A8">
            <w:pPr>
              <w:kinsoku w:val="0"/>
              <w:overflowPunct w:val="0"/>
              <w:autoSpaceDE w:val="0"/>
              <w:spacing w:line="340" w:lineRule="exact"/>
              <w:ind w:left="240" w:hangingChars="100" w:hanging="240"/>
              <w:jc w:val="both"/>
              <w:rPr>
                <w:rFonts w:ascii="標楷體" w:eastAsia="標楷體" w:hAnsi="標楷體"/>
                <w:szCs w:val="24"/>
              </w:rPr>
            </w:pPr>
            <w:r w:rsidRPr="004158D8">
              <w:rPr>
                <w:rFonts w:ascii="標楷體" w:eastAsia="標楷體" w:hAnsi="標楷體" w:hint="eastAsia"/>
                <w:szCs w:val="24"/>
              </w:rPr>
              <w:t>2.本會所提「中華民國114年度中央政府總預算案（含附屬單位預算及綜計表－營業及非營業部分）審查分配表及日程，經第11屆第2會期第8次院會</w:t>
            </w:r>
            <w:r w:rsidRPr="004158D8">
              <w:rPr>
                <w:rFonts w:ascii="標楷體" w:eastAsia="標楷體" w:hAnsi="標楷體" w:hint="eastAsia"/>
                <w:szCs w:val="24"/>
              </w:rPr>
              <w:lastRenderedPageBreak/>
              <w:t>（113.11.8）決定：「交財政委員會依分配表及日程分送各委員會審查」。</w:t>
            </w:r>
          </w:p>
          <w:p w14:paraId="408D1BA4" w14:textId="1B11647F" w:rsidR="00BC1289" w:rsidRDefault="00BC1289" w:rsidP="00F470A8">
            <w:pPr>
              <w:kinsoku w:val="0"/>
              <w:overflowPunct w:val="0"/>
              <w:autoSpaceDE w:val="0"/>
              <w:spacing w:line="340" w:lineRule="exact"/>
              <w:ind w:left="240" w:hangingChars="100" w:hanging="240"/>
              <w:jc w:val="both"/>
              <w:rPr>
                <w:rFonts w:ascii="標楷體" w:eastAsia="標楷體" w:hAnsi="標楷體"/>
                <w:szCs w:val="24"/>
              </w:rPr>
            </w:pPr>
            <w:r w:rsidRPr="004158D8">
              <w:rPr>
                <w:rFonts w:ascii="標楷體" w:eastAsia="標楷體" w:hAnsi="標楷體"/>
                <w:szCs w:val="24"/>
              </w:rPr>
              <w:t>3</w:t>
            </w:r>
            <w:r w:rsidRPr="004158D8">
              <w:rPr>
                <w:rFonts w:ascii="標楷體" w:eastAsia="標楷體" w:hAnsi="標楷體" w:hint="eastAsia"/>
                <w:szCs w:val="24"/>
              </w:rPr>
              <w:t>.114.1.6本會將「中華民國114年度中央政府總預算案審查總報告(外交及國防委員會)」函送議事處提報院會。</w:t>
            </w:r>
          </w:p>
          <w:p w14:paraId="1FAF7A97" w14:textId="77777777"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4.114.1.10本會將「中華民國114年度中央政府總預算案審查總報告(內政、經濟、財政、教育及文化、交通、社會福利及衛生環境六委員會)」函送議事處提報院會。</w:t>
            </w:r>
          </w:p>
          <w:p w14:paraId="29FEC235" w14:textId="1B04D5B8" w:rsidR="00650CA3" w:rsidRPr="00650CA3" w:rsidRDefault="00650CA3" w:rsidP="00F470A8">
            <w:pPr>
              <w:overflowPunct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5.114.1.1</w:t>
            </w:r>
            <w:r w:rsidR="007F1A3D">
              <w:rPr>
                <w:rFonts w:ascii="標楷體" w:eastAsia="標楷體" w:hAnsi="標楷體" w:hint="eastAsia"/>
                <w:szCs w:val="24"/>
              </w:rPr>
              <w:t>4</w:t>
            </w:r>
            <w:r w:rsidRPr="00650CA3">
              <w:rPr>
                <w:rFonts w:ascii="標楷體" w:eastAsia="標楷體" w:hAnsi="標楷體" w:hint="eastAsia"/>
                <w:szCs w:val="24"/>
              </w:rPr>
              <w:t>本會將「中華民國114年度中央政府總預算案審查總報告(司法及法制委員會)」函送議事處提報院會。</w:t>
            </w:r>
          </w:p>
          <w:p w14:paraId="08522C61" w14:textId="78EFBBA5" w:rsidR="00BC1289" w:rsidRPr="00650CA3" w:rsidRDefault="00650CA3" w:rsidP="00F470A8">
            <w:pPr>
              <w:kinsoku w:val="0"/>
              <w:overflowPunct w:val="0"/>
              <w:autoSpaceDE w:val="0"/>
              <w:spacing w:line="340" w:lineRule="exact"/>
              <w:ind w:left="240" w:hangingChars="100" w:hanging="240"/>
              <w:jc w:val="both"/>
              <w:rPr>
                <w:rFonts w:ascii="標楷體" w:eastAsia="標楷體" w:hAnsi="標楷體"/>
                <w:szCs w:val="24"/>
              </w:rPr>
            </w:pPr>
            <w:r w:rsidRPr="00650CA3">
              <w:rPr>
                <w:rFonts w:ascii="標楷體" w:eastAsia="標楷體" w:hAnsi="標楷體" w:hint="eastAsia"/>
                <w:szCs w:val="24"/>
              </w:rPr>
              <w:t>6</w:t>
            </w:r>
            <w:r w:rsidR="00BC1289" w:rsidRPr="00650CA3">
              <w:rPr>
                <w:rFonts w:ascii="標楷體" w:eastAsia="標楷體" w:hAnsi="標楷體" w:hint="eastAsia"/>
                <w:szCs w:val="24"/>
              </w:rPr>
              <w:t>.11</w:t>
            </w:r>
            <w:r w:rsidRPr="00650CA3">
              <w:rPr>
                <w:rFonts w:ascii="標楷體" w:eastAsia="標楷體" w:hAnsi="標楷體" w:hint="eastAsia"/>
                <w:szCs w:val="24"/>
              </w:rPr>
              <w:t>4</w:t>
            </w:r>
            <w:r w:rsidR="00BC1289" w:rsidRPr="00650CA3">
              <w:rPr>
                <w:rFonts w:ascii="標楷體" w:eastAsia="標楷體" w:hAnsi="標楷體" w:hint="eastAsia"/>
                <w:szCs w:val="24"/>
              </w:rPr>
              <w:t>.</w:t>
            </w:r>
            <w:r w:rsidRPr="00650CA3">
              <w:rPr>
                <w:rFonts w:ascii="標楷體" w:eastAsia="標楷體" w:hAnsi="標楷體" w:hint="eastAsia"/>
                <w:szCs w:val="24"/>
              </w:rPr>
              <w:t>1</w:t>
            </w:r>
            <w:r w:rsidR="00BC1289" w:rsidRPr="00650CA3">
              <w:rPr>
                <w:rFonts w:ascii="標楷體" w:eastAsia="標楷體" w:hAnsi="標楷體" w:hint="eastAsia"/>
                <w:szCs w:val="24"/>
              </w:rPr>
              <w:t>.1</w:t>
            </w:r>
            <w:r w:rsidRPr="00650CA3">
              <w:rPr>
                <w:rFonts w:ascii="標楷體" w:eastAsia="標楷體" w:hAnsi="標楷體" w:hint="eastAsia"/>
                <w:szCs w:val="24"/>
              </w:rPr>
              <w:t>5、1</w:t>
            </w:r>
            <w:r w:rsidRPr="00650CA3">
              <w:rPr>
                <w:rFonts w:ascii="標楷體" w:eastAsia="標楷體" w:hAnsi="標楷體"/>
                <w:szCs w:val="24"/>
              </w:rPr>
              <w:t>.1</w:t>
            </w:r>
            <w:r w:rsidRPr="00650CA3">
              <w:rPr>
                <w:rFonts w:ascii="標楷體" w:eastAsia="標楷體" w:hAnsi="標楷體" w:hint="eastAsia"/>
                <w:szCs w:val="24"/>
              </w:rPr>
              <w:t>6</w:t>
            </w:r>
            <w:r w:rsidR="00BC1289" w:rsidRPr="00650CA3">
              <w:rPr>
                <w:rFonts w:ascii="標楷體" w:eastAsia="標楷體" w:hAnsi="標楷體" w:hint="eastAsia"/>
                <w:szCs w:val="24"/>
              </w:rPr>
              <w:t>院長召開朝野黨團協商。</w:t>
            </w:r>
          </w:p>
          <w:p w14:paraId="15871595" w14:textId="1B3A55EF" w:rsidR="00BC1289" w:rsidRPr="00650CA3" w:rsidRDefault="00650CA3" w:rsidP="00162FE9">
            <w:pPr>
              <w:kinsoku w:val="0"/>
              <w:overflowPunct w:val="0"/>
              <w:autoSpaceDE w:val="0"/>
              <w:spacing w:line="340" w:lineRule="exact"/>
              <w:ind w:left="240" w:hangingChars="100" w:hanging="240"/>
              <w:jc w:val="both"/>
              <w:rPr>
                <w:rFonts w:ascii="標楷體" w:eastAsia="標楷體" w:hAnsi="標楷體"/>
                <w:color w:val="FF0000"/>
                <w:szCs w:val="24"/>
              </w:rPr>
            </w:pPr>
            <w:r w:rsidRPr="00650CA3">
              <w:rPr>
                <w:rFonts w:ascii="標楷體" w:eastAsia="標楷體" w:hAnsi="標楷體" w:hint="eastAsia"/>
                <w:szCs w:val="24"/>
              </w:rPr>
              <w:t>7</w:t>
            </w:r>
            <w:r w:rsidR="00BC1289" w:rsidRPr="00650CA3">
              <w:rPr>
                <w:rFonts w:ascii="標楷體" w:eastAsia="標楷體" w:hAnsi="標楷體" w:hint="eastAsia"/>
                <w:szCs w:val="24"/>
              </w:rPr>
              <w:t>.第11屆第2會期第</w:t>
            </w:r>
            <w:r w:rsidR="00BC1289" w:rsidRPr="00394F2D">
              <w:rPr>
                <w:rFonts w:ascii="標楷體" w:eastAsia="標楷體" w:hAnsi="標楷體" w:hint="eastAsia"/>
                <w:spacing w:val="-20"/>
                <w:szCs w:val="24"/>
              </w:rPr>
              <w:t>1</w:t>
            </w:r>
            <w:r w:rsidR="00162FE9">
              <w:rPr>
                <w:rFonts w:ascii="標楷體" w:eastAsia="標楷體" w:hAnsi="標楷體"/>
                <w:spacing w:val="-20"/>
                <w:szCs w:val="24"/>
              </w:rPr>
              <w:t>8</w:t>
            </w:r>
            <w:r w:rsidR="00BC1289" w:rsidRPr="00394F2D">
              <w:rPr>
                <w:rFonts w:ascii="標楷體" w:eastAsia="標楷體" w:hAnsi="標楷體" w:hint="eastAsia"/>
                <w:spacing w:val="-20"/>
                <w:szCs w:val="24"/>
              </w:rPr>
              <w:t>次院會(11</w:t>
            </w:r>
            <w:r w:rsidR="00162FE9">
              <w:rPr>
                <w:rFonts w:ascii="標楷體" w:eastAsia="標楷體" w:hAnsi="標楷體"/>
                <w:spacing w:val="-20"/>
                <w:szCs w:val="24"/>
              </w:rPr>
              <w:t>4</w:t>
            </w:r>
            <w:r w:rsidR="00BC1289" w:rsidRPr="00394F2D">
              <w:rPr>
                <w:rFonts w:ascii="標楷體" w:eastAsia="標楷體" w:hAnsi="標楷體" w:hint="eastAsia"/>
                <w:spacing w:val="-20"/>
                <w:szCs w:val="24"/>
              </w:rPr>
              <w:t>.1.</w:t>
            </w:r>
            <w:r w:rsidR="00162FE9">
              <w:rPr>
                <w:rFonts w:ascii="標楷體" w:eastAsia="標楷體" w:hAnsi="標楷體"/>
                <w:spacing w:val="-20"/>
                <w:szCs w:val="24"/>
              </w:rPr>
              <w:t>21</w:t>
            </w:r>
            <w:r w:rsidR="00BC1289" w:rsidRPr="00394F2D">
              <w:rPr>
                <w:rFonts w:ascii="標楷體" w:eastAsia="標楷體" w:hAnsi="標楷體" w:hint="eastAsia"/>
                <w:spacing w:val="-20"/>
                <w:szCs w:val="24"/>
              </w:rPr>
              <w:t>)</w:t>
            </w:r>
            <w:r w:rsidR="00BC1289" w:rsidRPr="00650CA3">
              <w:rPr>
                <w:rFonts w:ascii="標楷體" w:eastAsia="標楷體" w:hAnsi="標楷體" w:hint="eastAsia"/>
                <w:szCs w:val="24"/>
              </w:rPr>
              <w:t>三讀通過。</w:t>
            </w:r>
          </w:p>
        </w:tc>
      </w:tr>
      <w:tr w:rsidR="00CF7959" w:rsidRPr="009C72AA" w14:paraId="2D348180" w14:textId="77777777" w:rsidTr="00127A9E">
        <w:tblPrEx>
          <w:jc w:val="left"/>
        </w:tblPrEx>
        <w:trPr>
          <w:trHeight w:val="2741"/>
        </w:trPr>
        <w:tc>
          <w:tcPr>
            <w:tcW w:w="704" w:type="dxa"/>
            <w:tcBorders>
              <w:top w:val="single" w:sz="2" w:space="0" w:color="auto"/>
              <w:left w:val="single" w:sz="4" w:space="0" w:color="auto"/>
              <w:bottom w:val="single" w:sz="2" w:space="0" w:color="auto"/>
              <w:right w:val="single" w:sz="4" w:space="0" w:color="auto"/>
            </w:tcBorders>
          </w:tcPr>
          <w:p w14:paraId="65D51639" w14:textId="0900155F"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lastRenderedPageBreak/>
              <w:t>3</w:t>
            </w:r>
          </w:p>
        </w:tc>
        <w:tc>
          <w:tcPr>
            <w:tcW w:w="1843" w:type="dxa"/>
            <w:tcBorders>
              <w:top w:val="single" w:sz="2" w:space="0" w:color="auto"/>
              <w:left w:val="single" w:sz="4" w:space="0" w:color="auto"/>
              <w:bottom w:val="single" w:sz="2" w:space="0" w:color="auto"/>
              <w:right w:val="single" w:sz="4" w:space="0" w:color="auto"/>
            </w:tcBorders>
          </w:tcPr>
          <w:p w14:paraId="3AC27175"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司法院函送「中華民國114年度中央政府總預算案司法院及所屬機關單位預算勘誤表」案</w:t>
            </w:r>
          </w:p>
        </w:tc>
        <w:tc>
          <w:tcPr>
            <w:tcW w:w="2410" w:type="dxa"/>
            <w:tcBorders>
              <w:top w:val="single" w:sz="2" w:space="0" w:color="auto"/>
              <w:left w:val="single" w:sz="4" w:space="0" w:color="auto"/>
              <w:bottom w:val="single" w:sz="2" w:space="0" w:color="auto"/>
              <w:right w:val="single" w:sz="4" w:space="0" w:color="auto"/>
            </w:tcBorders>
          </w:tcPr>
          <w:p w14:paraId="50876CCB"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第11屆第2會期第2次院會(113.9.27)決定：「交財政、司法及法制兩委員會併114年度中央政府總預算案處理」</w:t>
            </w:r>
          </w:p>
        </w:tc>
        <w:tc>
          <w:tcPr>
            <w:tcW w:w="2551" w:type="dxa"/>
            <w:tcBorders>
              <w:top w:val="single" w:sz="2" w:space="0" w:color="auto"/>
              <w:left w:val="single" w:sz="4" w:space="0" w:color="auto"/>
              <w:bottom w:val="single" w:sz="2" w:space="0" w:color="auto"/>
              <w:right w:val="single" w:sz="4" w:space="0" w:color="auto"/>
            </w:tcBorders>
          </w:tcPr>
          <w:p w14:paraId="76659909"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2" w:space="0" w:color="auto"/>
              <w:left w:val="single" w:sz="4" w:space="0" w:color="000000"/>
              <w:bottom w:val="single" w:sz="2" w:space="0" w:color="auto"/>
              <w:right w:val="single" w:sz="4" w:space="0" w:color="000000"/>
            </w:tcBorders>
            <w:vAlign w:val="center"/>
          </w:tcPr>
          <w:p w14:paraId="32ACE0B0"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9C72AA" w14:paraId="05078AA4" w14:textId="77777777" w:rsidTr="00127A9E">
        <w:tblPrEx>
          <w:jc w:val="left"/>
        </w:tblPrEx>
        <w:trPr>
          <w:trHeight w:val="2741"/>
        </w:trPr>
        <w:tc>
          <w:tcPr>
            <w:tcW w:w="704" w:type="dxa"/>
            <w:tcBorders>
              <w:top w:val="single" w:sz="2" w:space="0" w:color="auto"/>
              <w:left w:val="single" w:sz="4" w:space="0" w:color="auto"/>
              <w:bottom w:val="single" w:sz="4" w:space="0" w:color="auto"/>
              <w:right w:val="single" w:sz="4" w:space="0" w:color="auto"/>
            </w:tcBorders>
          </w:tcPr>
          <w:p w14:paraId="5258E2DE" w14:textId="59F723BD"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4</w:t>
            </w:r>
          </w:p>
        </w:tc>
        <w:tc>
          <w:tcPr>
            <w:tcW w:w="1843" w:type="dxa"/>
            <w:tcBorders>
              <w:top w:val="single" w:sz="2" w:space="0" w:color="auto"/>
              <w:left w:val="single" w:sz="4" w:space="0" w:color="auto"/>
              <w:bottom w:val="single" w:sz="4" w:space="0" w:color="auto"/>
              <w:right w:val="single" w:sz="4" w:space="0" w:color="auto"/>
            </w:tcBorders>
          </w:tcPr>
          <w:p w14:paraId="3704308C"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114年度中央政府總預算案勘誤表」</w:t>
            </w:r>
            <w:r w:rsidRPr="009C72AA">
              <w:rPr>
                <w:rFonts w:ascii="標楷體" w:eastAsia="標楷體" w:hAnsi="標楷體" w:cs="DFKaiShuW5-B5" w:hint="eastAsia"/>
                <w:kern w:val="0"/>
                <w:szCs w:val="24"/>
              </w:rPr>
              <w:t>案</w:t>
            </w:r>
          </w:p>
        </w:tc>
        <w:tc>
          <w:tcPr>
            <w:tcW w:w="2410" w:type="dxa"/>
            <w:tcBorders>
              <w:top w:val="single" w:sz="2" w:space="0" w:color="auto"/>
              <w:left w:val="single" w:sz="4" w:space="0" w:color="auto"/>
              <w:bottom w:val="single" w:sz="4" w:space="0" w:color="auto"/>
              <w:right w:val="single" w:sz="4" w:space="0" w:color="auto"/>
            </w:tcBorders>
          </w:tcPr>
          <w:p w14:paraId="36C732CB"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551" w:type="dxa"/>
            <w:tcBorders>
              <w:top w:val="single" w:sz="2" w:space="0" w:color="auto"/>
              <w:left w:val="single" w:sz="4" w:space="0" w:color="auto"/>
              <w:bottom w:val="single" w:sz="4" w:space="0" w:color="auto"/>
              <w:right w:val="single" w:sz="4" w:space="0" w:color="auto"/>
            </w:tcBorders>
          </w:tcPr>
          <w:p w14:paraId="12F4579C"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2" w:space="0" w:color="auto"/>
              <w:left w:val="single" w:sz="4" w:space="0" w:color="000000"/>
              <w:bottom w:val="single" w:sz="4" w:space="0" w:color="auto"/>
              <w:right w:val="single" w:sz="4" w:space="0" w:color="000000"/>
            </w:tcBorders>
            <w:vAlign w:val="center"/>
          </w:tcPr>
          <w:p w14:paraId="42D1C88C"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9C72AA" w14:paraId="757F163C" w14:textId="77777777" w:rsidTr="00127A9E">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0D5E58A6" w14:textId="4CEFBAF2"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5</w:t>
            </w:r>
          </w:p>
        </w:tc>
        <w:tc>
          <w:tcPr>
            <w:tcW w:w="1843" w:type="dxa"/>
            <w:tcBorders>
              <w:top w:val="single" w:sz="4" w:space="0" w:color="auto"/>
              <w:left w:val="single" w:sz="4" w:space="0" w:color="auto"/>
              <w:bottom w:val="single" w:sz="4" w:space="0" w:color="auto"/>
              <w:right w:val="single" w:sz="4" w:space="0" w:color="auto"/>
            </w:tcBorders>
          </w:tcPr>
          <w:p w14:paraId="777B8C14"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sidRPr="009C72AA">
              <w:rPr>
                <w:rFonts w:ascii="標楷體" w:eastAsia="標楷體" w:hAnsi="標楷體" w:cs="DFKaiShuW5-B5" w:hint="eastAsia"/>
                <w:kern w:val="0"/>
                <w:szCs w:val="24"/>
              </w:rPr>
              <w:t>行政院主計總處函送「中華民國</w:t>
            </w:r>
            <w:r w:rsidRPr="009C72AA">
              <w:rPr>
                <w:rFonts w:ascii="標楷體" w:eastAsia="標楷體" w:hAnsi="標楷體" w:cs="DFKaiShuW5-B5"/>
                <w:kern w:val="0"/>
                <w:szCs w:val="24"/>
              </w:rPr>
              <w:t>114年中央政府總預算案行政院主</w:t>
            </w:r>
            <w:r w:rsidRPr="009C72AA">
              <w:rPr>
                <w:rFonts w:ascii="標楷體" w:eastAsia="標楷體" w:hAnsi="標楷體" w:cs="DFKaiShuW5-B5" w:hint="eastAsia"/>
                <w:kern w:val="0"/>
                <w:szCs w:val="24"/>
              </w:rPr>
              <w:t>計總處單位預算勘誤表」案</w:t>
            </w:r>
          </w:p>
        </w:tc>
        <w:tc>
          <w:tcPr>
            <w:tcW w:w="2410" w:type="dxa"/>
            <w:tcBorders>
              <w:top w:val="single" w:sz="4" w:space="0" w:color="auto"/>
              <w:left w:val="single" w:sz="4" w:space="0" w:color="auto"/>
              <w:bottom w:val="single" w:sz="4" w:space="0" w:color="auto"/>
              <w:right w:val="single" w:sz="4" w:space="0" w:color="auto"/>
            </w:tcBorders>
          </w:tcPr>
          <w:p w14:paraId="59B9C8CF"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第11屆第2會期第2次院會(113.9.27)決定：「交財政委員會併114年度中央政府總預算案處理」</w:t>
            </w:r>
          </w:p>
        </w:tc>
        <w:tc>
          <w:tcPr>
            <w:tcW w:w="2551" w:type="dxa"/>
            <w:tcBorders>
              <w:top w:val="single" w:sz="4" w:space="0" w:color="auto"/>
              <w:left w:val="single" w:sz="4" w:space="0" w:color="auto"/>
              <w:bottom w:val="single" w:sz="4" w:space="0" w:color="auto"/>
              <w:right w:val="single" w:sz="4" w:space="0" w:color="auto"/>
            </w:tcBorders>
          </w:tcPr>
          <w:p w14:paraId="47599C9E"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4" w:space="0" w:color="auto"/>
              <w:left w:val="single" w:sz="4" w:space="0" w:color="000000"/>
              <w:bottom w:val="single" w:sz="4" w:space="0" w:color="auto"/>
              <w:right w:val="single" w:sz="4" w:space="0" w:color="000000"/>
            </w:tcBorders>
            <w:vAlign w:val="center"/>
          </w:tcPr>
          <w:p w14:paraId="53DA370F"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9C72AA" w14:paraId="6848876E" w14:textId="77777777" w:rsidTr="00127A9E">
        <w:tblPrEx>
          <w:jc w:val="left"/>
        </w:tblPrEx>
        <w:trPr>
          <w:trHeight w:val="2741"/>
        </w:trPr>
        <w:tc>
          <w:tcPr>
            <w:tcW w:w="704" w:type="dxa"/>
            <w:tcBorders>
              <w:top w:val="single" w:sz="4" w:space="0" w:color="auto"/>
              <w:left w:val="single" w:sz="4" w:space="0" w:color="auto"/>
              <w:bottom w:val="single" w:sz="4" w:space="0" w:color="auto"/>
              <w:right w:val="single" w:sz="4" w:space="0" w:color="auto"/>
            </w:tcBorders>
          </w:tcPr>
          <w:p w14:paraId="2784E932" w14:textId="18FDF40E"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6</w:t>
            </w:r>
          </w:p>
        </w:tc>
        <w:tc>
          <w:tcPr>
            <w:tcW w:w="1843" w:type="dxa"/>
            <w:tcBorders>
              <w:top w:val="single" w:sz="4" w:space="0" w:color="auto"/>
              <w:left w:val="single" w:sz="4" w:space="0" w:color="auto"/>
              <w:bottom w:val="single" w:sz="4" w:space="0" w:color="auto"/>
              <w:right w:val="single" w:sz="4" w:space="0" w:color="auto"/>
            </w:tcBorders>
          </w:tcPr>
          <w:p w14:paraId="30F2DE22" w14:textId="77777777" w:rsidR="00CF7959" w:rsidRPr="009C72AA" w:rsidRDefault="00CF7959" w:rsidP="00F470A8">
            <w:pPr>
              <w:overflowPunct w:val="0"/>
              <w:spacing w:line="340" w:lineRule="exact"/>
              <w:jc w:val="both"/>
              <w:textAlignment w:val="auto"/>
              <w:rPr>
                <w:rFonts w:ascii="標楷體" w:eastAsia="標楷體" w:hAnsi="標楷體" w:cs="DFKaiShuW5-B5"/>
                <w:kern w:val="0"/>
                <w:szCs w:val="24"/>
              </w:rPr>
            </w:pPr>
            <w:r>
              <w:rPr>
                <w:rFonts w:ascii="標楷體" w:eastAsia="標楷體" w:hAnsi="標楷體" w:cs="DFKaiShuW5-B5" w:hint="eastAsia"/>
                <w:kern w:val="0"/>
                <w:szCs w:val="24"/>
              </w:rPr>
              <w:t>國防部</w:t>
            </w:r>
            <w:r w:rsidRPr="009C72AA">
              <w:rPr>
                <w:rFonts w:ascii="標楷體" w:eastAsia="標楷體" w:hAnsi="標楷體" w:cs="DFKaiShuW5-B5" w:hint="eastAsia"/>
                <w:kern w:val="0"/>
                <w:szCs w:val="24"/>
              </w:rPr>
              <w:t>函送「中華民國</w:t>
            </w:r>
            <w:r w:rsidRPr="009C72AA">
              <w:rPr>
                <w:rFonts w:ascii="標楷體" w:eastAsia="標楷體" w:hAnsi="標楷體" w:cs="DFKaiShuW5-B5"/>
                <w:kern w:val="0"/>
                <w:szCs w:val="24"/>
              </w:rPr>
              <w:t>114年中央政府總預算案</w:t>
            </w:r>
            <w:r>
              <w:rPr>
                <w:rFonts w:ascii="標楷體" w:eastAsia="標楷體" w:hAnsi="標楷體" w:cs="DFKaiShuW5-B5" w:hint="eastAsia"/>
                <w:kern w:val="0"/>
                <w:szCs w:val="24"/>
              </w:rPr>
              <w:t>國防部所屬</w:t>
            </w:r>
            <w:r w:rsidRPr="009C72AA">
              <w:rPr>
                <w:rFonts w:ascii="標楷體" w:eastAsia="標楷體" w:hAnsi="標楷體" w:cs="DFKaiShuW5-B5" w:hint="eastAsia"/>
                <w:kern w:val="0"/>
                <w:szCs w:val="24"/>
              </w:rPr>
              <w:t>單位預算勘誤表」案</w:t>
            </w:r>
          </w:p>
        </w:tc>
        <w:tc>
          <w:tcPr>
            <w:tcW w:w="2410" w:type="dxa"/>
            <w:tcBorders>
              <w:top w:val="single" w:sz="4" w:space="0" w:color="auto"/>
              <w:left w:val="single" w:sz="4" w:space="0" w:color="auto"/>
              <w:bottom w:val="single" w:sz="4" w:space="0" w:color="auto"/>
              <w:right w:val="single" w:sz="4" w:space="0" w:color="auto"/>
            </w:tcBorders>
          </w:tcPr>
          <w:p w14:paraId="70409651" w14:textId="77777777" w:rsidR="00CF7959" w:rsidRPr="009C72AA"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第11屆第2會期第2次院會(113.9.27)決定：「交財政、外交及國防兩委員會併114年度中央政府總預算案處理」</w:t>
            </w:r>
          </w:p>
        </w:tc>
        <w:tc>
          <w:tcPr>
            <w:tcW w:w="2551" w:type="dxa"/>
            <w:tcBorders>
              <w:top w:val="single" w:sz="4" w:space="0" w:color="auto"/>
              <w:left w:val="single" w:sz="4" w:space="0" w:color="auto"/>
              <w:bottom w:val="single" w:sz="4" w:space="0" w:color="auto"/>
              <w:right w:val="single" w:sz="4" w:space="0" w:color="auto"/>
            </w:tcBorders>
          </w:tcPr>
          <w:p w14:paraId="78D384B4"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4" w:space="0" w:color="auto"/>
              <w:left w:val="single" w:sz="4" w:space="0" w:color="000000"/>
              <w:bottom w:val="single" w:sz="4" w:space="0" w:color="auto"/>
              <w:right w:val="single" w:sz="4" w:space="0" w:color="000000"/>
            </w:tcBorders>
            <w:vAlign w:val="center"/>
          </w:tcPr>
          <w:p w14:paraId="6596E127"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r w:rsidR="00CF7959" w:rsidRPr="005A07A3" w14:paraId="121B0594" w14:textId="77777777" w:rsidTr="00127A9E">
        <w:tblPrEx>
          <w:jc w:val="left"/>
        </w:tblPrEx>
        <w:trPr>
          <w:trHeight w:val="2741"/>
        </w:trPr>
        <w:tc>
          <w:tcPr>
            <w:tcW w:w="704" w:type="dxa"/>
            <w:tcBorders>
              <w:top w:val="single" w:sz="4" w:space="0" w:color="auto"/>
              <w:left w:val="single" w:sz="4" w:space="0" w:color="auto"/>
              <w:bottom w:val="single" w:sz="12" w:space="0" w:color="auto"/>
              <w:right w:val="single" w:sz="4" w:space="0" w:color="auto"/>
            </w:tcBorders>
          </w:tcPr>
          <w:p w14:paraId="4180873D" w14:textId="32930718" w:rsidR="00CF7959" w:rsidRPr="00BA300B" w:rsidRDefault="00CF7959" w:rsidP="00F470A8">
            <w:pPr>
              <w:widowControl w:val="0"/>
              <w:overflowPunct w:val="0"/>
              <w:autoSpaceDN/>
              <w:ind w:left="142"/>
              <w:textAlignment w:val="auto"/>
              <w:rPr>
                <w:rFonts w:ascii="標楷體" w:eastAsia="標楷體" w:hAnsi="標楷體"/>
                <w:b/>
                <w:szCs w:val="24"/>
              </w:rPr>
            </w:pPr>
            <w:r>
              <w:rPr>
                <w:rFonts w:ascii="標楷體" w:eastAsia="標楷體" w:hAnsi="標楷體" w:hint="eastAsia"/>
                <w:b/>
                <w:szCs w:val="24"/>
              </w:rPr>
              <w:t>7</w:t>
            </w:r>
          </w:p>
        </w:tc>
        <w:tc>
          <w:tcPr>
            <w:tcW w:w="1843" w:type="dxa"/>
            <w:tcBorders>
              <w:top w:val="single" w:sz="4" w:space="0" w:color="auto"/>
              <w:left w:val="single" w:sz="4" w:space="0" w:color="auto"/>
              <w:bottom w:val="single" w:sz="12" w:space="0" w:color="auto"/>
              <w:right w:val="single" w:sz="4" w:space="0" w:color="auto"/>
            </w:tcBorders>
          </w:tcPr>
          <w:p w14:paraId="7AD107CC" w14:textId="77777777" w:rsidR="00CF7959" w:rsidRPr="005A07A3" w:rsidRDefault="00CF7959" w:rsidP="00F470A8">
            <w:pPr>
              <w:overflowPunct w:val="0"/>
              <w:spacing w:line="340" w:lineRule="exact"/>
              <w:jc w:val="both"/>
              <w:textAlignment w:val="auto"/>
              <w:rPr>
                <w:rFonts w:ascii="標楷體" w:eastAsia="標楷體" w:hAnsi="標楷體" w:cs="DFKaiShuW5-B5"/>
                <w:kern w:val="0"/>
                <w:szCs w:val="24"/>
              </w:rPr>
            </w:pPr>
            <w:r w:rsidRPr="005A07A3">
              <w:rPr>
                <w:rFonts w:ascii="標楷體" w:eastAsia="標楷體" w:hAnsi="標楷體" w:cs="DFKaiShuW5-B5" w:hint="eastAsia"/>
                <w:kern w:val="0"/>
                <w:szCs w:val="24"/>
              </w:rPr>
              <w:t>外交部函送「中華民國114年度中央政府總預算案外交部外交及國際事務學院單位預算勘誤表」暨勘誤正確內容，請查照案。</w:t>
            </w:r>
          </w:p>
        </w:tc>
        <w:tc>
          <w:tcPr>
            <w:tcW w:w="2410" w:type="dxa"/>
            <w:tcBorders>
              <w:top w:val="single" w:sz="4" w:space="0" w:color="auto"/>
              <w:left w:val="single" w:sz="4" w:space="0" w:color="auto"/>
              <w:bottom w:val="single" w:sz="12" w:space="0" w:color="auto"/>
              <w:right w:val="single" w:sz="4" w:space="0" w:color="auto"/>
            </w:tcBorders>
          </w:tcPr>
          <w:p w14:paraId="402518BE" w14:textId="77777777" w:rsidR="00CF7959" w:rsidRPr="005A07A3" w:rsidRDefault="00CF7959"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第11屆第2會期第6次院會(113.10.25)決定：「交財政、外交及國防兩委員會併114年度中央政府總預算案處理」</w:t>
            </w:r>
          </w:p>
        </w:tc>
        <w:tc>
          <w:tcPr>
            <w:tcW w:w="2551" w:type="dxa"/>
            <w:tcBorders>
              <w:top w:val="single" w:sz="4" w:space="0" w:color="auto"/>
              <w:left w:val="single" w:sz="4" w:space="0" w:color="auto"/>
              <w:bottom w:val="single" w:sz="12" w:space="0" w:color="auto"/>
              <w:right w:val="single" w:sz="4" w:space="0" w:color="auto"/>
            </w:tcBorders>
          </w:tcPr>
          <w:p w14:paraId="6A32FFC5" w14:textId="77777777" w:rsidR="00CF7959" w:rsidRPr="00395536" w:rsidRDefault="00CF7959" w:rsidP="00F470A8">
            <w:pPr>
              <w:overflowPunct w:val="0"/>
              <w:spacing w:line="320" w:lineRule="exact"/>
              <w:ind w:left="240" w:hangingChars="100" w:hanging="240"/>
              <w:contextualSpacing/>
              <w:jc w:val="both"/>
              <w:rPr>
                <w:rFonts w:ascii="標楷體" w:eastAsia="標楷體" w:hAnsi="標楷體"/>
                <w:szCs w:val="24"/>
              </w:rPr>
            </w:pPr>
          </w:p>
        </w:tc>
        <w:tc>
          <w:tcPr>
            <w:tcW w:w="2268" w:type="dxa"/>
            <w:tcBorders>
              <w:top w:val="single" w:sz="4" w:space="0" w:color="auto"/>
              <w:left w:val="single" w:sz="4" w:space="0" w:color="000000"/>
              <w:bottom w:val="single" w:sz="12" w:space="0" w:color="auto"/>
              <w:right w:val="single" w:sz="4" w:space="0" w:color="000000"/>
            </w:tcBorders>
            <w:vAlign w:val="center"/>
          </w:tcPr>
          <w:p w14:paraId="418B2519" w14:textId="77777777" w:rsidR="00CF7959" w:rsidRPr="00CF7959" w:rsidRDefault="00CF7959" w:rsidP="00F470A8">
            <w:pPr>
              <w:kinsoku w:val="0"/>
              <w:overflowPunct w:val="0"/>
              <w:autoSpaceDE w:val="0"/>
              <w:spacing w:line="340" w:lineRule="exact"/>
              <w:ind w:left="240" w:hangingChars="100" w:hanging="240"/>
              <w:jc w:val="both"/>
              <w:rPr>
                <w:rFonts w:ascii="標楷體" w:eastAsia="標楷體" w:hAnsi="標楷體"/>
                <w:szCs w:val="24"/>
              </w:rPr>
            </w:pPr>
            <w:r w:rsidRPr="00CF7959">
              <w:rPr>
                <w:rFonts w:ascii="標楷體" w:eastAsia="標楷體" w:hAnsi="標楷體" w:hint="eastAsia"/>
                <w:szCs w:val="24"/>
              </w:rPr>
              <w:t>併案處理完竣</w:t>
            </w:r>
          </w:p>
        </w:tc>
      </w:tr>
    </w:tbl>
    <w:p w14:paraId="52BA427A" w14:textId="77777777" w:rsidR="00B92E77" w:rsidRDefault="00B92E77" w:rsidP="00F470A8">
      <w:pPr>
        <w:overflowPunct w:val="0"/>
        <w:autoSpaceDN/>
        <w:textAlignment w:val="auto"/>
        <w:rPr>
          <w:rFonts w:ascii="標楷體" w:eastAsia="標楷體" w:hAnsi="標楷體"/>
          <w:b/>
          <w:bCs/>
          <w:sz w:val="28"/>
          <w:szCs w:val="28"/>
        </w:rPr>
      </w:pPr>
      <w:bookmarkStart w:id="55" w:name="_Toc126576792"/>
      <w:bookmarkStart w:id="56" w:name="_Toc143873908"/>
      <w:bookmarkStart w:id="57" w:name="_Toc157095684"/>
      <w:bookmarkStart w:id="58" w:name="_Toc175833573"/>
      <w:r>
        <w:rPr>
          <w:rFonts w:ascii="標楷體" w:eastAsia="標楷體" w:hAnsi="標楷體"/>
          <w:b/>
          <w:bCs/>
          <w:sz w:val="28"/>
          <w:szCs w:val="28"/>
        </w:rPr>
        <w:br w:type="page"/>
      </w:r>
    </w:p>
    <w:p w14:paraId="2123BC01" w14:textId="77777777" w:rsidR="007D160C" w:rsidRPr="009523DA"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59" w:name="_Toc189487287"/>
      <w:r w:rsidRPr="009523DA">
        <w:rPr>
          <w:rFonts w:ascii="標楷體" w:eastAsia="標楷體" w:hAnsi="標楷體" w:hint="eastAsia"/>
          <w:b/>
          <w:bCs/>
          <w:sz w:val="28"/>
          <w:szCs w:val="28"/>
        </w:rPr>
        <w:lastRenderedPageBreak/>
        <w:t>(</w:t>
      </w:r>
      <w:r>
        <w:rPr>
          <w:rFonts w:ascii="標楷體" w:eastAsia="標楷體" w:hAnsi="標楷體" w:hint="eastAsia"/>
          <w:b/>
          <w:bCs/>
          <w:sz w:val="28"/>
          <w:szCs w:val="28"/>
        </w:rPr>
        <w:t>二</w:t>
      </w:r>
      <w:r w:rsidRPr="009523DA">
        <w:rPr>
          <w:rFonts w:ascii="標楷體" w:eastAsia="標楷體" w:hAnsi="標楷體" w:hint="eastAsia"/>
          <w:b/>
          <w:bCs/>
          <w:sz w:val="28"/>
          <w:szCs w:val="28"/>
        </w:rPr>
        <w:t>)財團法人預算案（</w:t>
      </w:r>
      <w:r>
        <w:rPr>
          <w:rFonts w:ascii="標楷體" w:eastAsia="標楷體" w:hAnsi="標楷體" w:hint="eastAsia"/>
          <w:b/>
          <w:bCs/>
          <w:sz w:val="28"/>
          <w:szCs w:val="28"/>
        </w:rPr>
        <w:t>6</w:t>
      </w:r>
      <w:r w:rsidRPr="009523DA">
        <w:rPr>
          <w:rFonts w:ascii="標楷體" w:eastAsia="標楷體" w:hAnsi="標楷體" w:hint="eastAsia"/>
          <w:b/>
          <w:bCs/>
          <w:sz w:val="28"/>
          <w:szCs w:val="28"/>
        </w:rPr>
        <w:t>案）</w:t>
      </w:r>
      <w:bookmarkEnd w:id="59"/>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3686"/>
        <w:gridCol w:w="2412"/>
        <w:gridCol w:w="2412"/>
      </w:tblGrid>
      <w:tr w:rsidR="007D160C" w:rsidRPr="009523DA" w14:paraId="65C83332" w14:textId="77777777" w:rsidTr="004E1C6E">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14:paraId="72F039B1"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序號</w:t>
            </w:r>
          </w:p>
        </w:tc>
        <w:tc>
          <w:tcPr>
            <w:tcW w:w="3686" w:type="dxa"/>
            <w:tcBorders>
              <w:top w:val="single" w:sz="12" w:space="0" w:color="auto"/>
              <w:left w:val="single" w:sz="4" w:space="0" w:color="auto"/>
              <w:bottom w:val="single" w:sz="12" w:space="0" w:color="auto"/>
              <w:right w:val="single" w:sz="4" w:space="0" w:color="auto"/>
            </w:tcBorders>
            <w:vAlign w:val="center"/>
          </w:tcPr>
          <w:p w14:paraId="04E23883"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議案名稱</w:t>
            </w:r>
          </w:p>
        </w:tc>
        <w:tc>
          <w:tcPr>
            <w:tcW w:w="2412" w:type="dxa"/>
            <w:tcBorders>
              <w:top w:val="single" w:sz="12" w:space="0" w:color="auto"/>
              <w:left w:val="single" w:sz="4" w:space="0" w:color="auto"/>
              <w:bottom w:val="single" w:sz="12" w:space="0" w:color="auto"/>
              <w:right w:val="single" w:sz="4" w:space="0" w:color="auto"/>
            </w:tcBorders>
            <w:vAlign w:val="center"/>
          </w:tcPr>
          <w:p w14:paraId="759E9AC8"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院會交付日期及會次</w:t>
            </w:r>
          </w:p>
        </w:tc>
        <w:tc>
          <w:tcPr>
            <w:tcW w:w="2412" w:type="dxa"/>
            <w:tcBorders>
              <w:top w:val="single" w:sz="12" w:space="0" w:color="auto"/>
              <w:left w:val="single" w:sz="4" w:space="0" w:color="auto"/>
              <w:bottom w:val="single" w:sz="12" w:space="0" w:color="auto"/>
              <w:right w:val="single" w:sz="4" w:space="0" w:color="auto"/>
            </w:tcBorders>
            <w:vAlign w:val="center"/>
          </w:tcPr>
          <w:p w14:paraId="60A4D667"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院會通過</w:t>
            </w:r>
          </w:p>
          <w:p w14:paraId="2EC20F0D" w14:textId="77777777" w:rsidR="007D160C" w:rsidRPr="009523DA" w:rsidRDefault="007D160C" w:rsidP="00F470A8">
            <w:pPr>
              <w:overflowPunct w:val="0"/>
              <w:jc w:val="center"/>
              <w:rPr>
                <w:rFonts w:ascii="標楷體" w:eastAsia="標楷體" w:hAnsi="標楷體"/>
                <w:b/>
                <w:bCs/>
                <w:szCs w:val="24"/>
              </w:rPr>
            </w:pPr>
            <w:r w:rsidRPr="009523DA">
              <w:rPr>
                <w:rFonts w:ascii="標楷體" w:eastAsia="標楷體" w:hAnsi="標楷體" w:hint="eastAsia"/>
                <w:b/>
                <w:bCs/>
                <w:szCs w:val="24"/>
              </w:rPr>
              <w:t>日期及會次</w:t>
            </w:r>
          </w:p>
        </w:tc>
      </w:tr>
      <w:tr w:rsidR="007D160C" w:rsidRPr="009523DA" w14:paraId="75E05FE7" w14:textId="77777777" w:rsidTr="004E1C6E">
        <w:tblPrEx>
          <w:jc w:val="left"/>
        </w:tblPrEx>
        <w:trPr>
          <w:trHeight w:val="2457"/>
        </w:trPr>
        <w:tc>
          <w:tcPr>
            <w:tcW w:w="704" w:type="dxa"/>
            <w:tcBorders>
              <w:top w:val="single" w:sz="12" w:space="0" w:color="auto"/>
              <w:left w:val="single" w:sz="4" w:space="0" w:color="auto"/>
              <w:bottom w:val="single" w:sz="4" w:space="0" w:color="auto"/>
              <w:right w:val="single" w:sz="4" w:space="0" w:color="auto"/>
            </w:tcBorders>
          </w:tcPr>
          <w:p w14:paraId="4C60FE53" w14:textId="77777777" w:rsidR="007D160C" w:rsidRPr="009523DA" w:rsidRDefault="007D160C" w:rsidP="00F470A8">
            <w:pPr>
              <w:widowControl w:val="0"/>
              <w:overflowPunct w:val="0"/>
              <w:autoSpaceDN/>
              <w:ind w:left="142"/>
              <w:textAlignment w:val="auto"/>
              <w:rPr>
                <w:rFonts w:ascii="標楷體" w:eastAsia="標楷體" w:hAnsi="標楷體"/>
                <w:b/>
                <w:szCs w:val="24"/>
              </w:rPr>
            </w:pPr>
            <w:r w:rsidRPr="009523DA">
              <w:rPr>
                <w:rFonts w:ascii="標楷體" w:eastAsia="標楷體" w:hAnsi="標楷體" w:hint="eastAsia"/>
                <w:b/>
                <w:szCs w:val="24"/>
              </w:rPr>
              <w:t>1</w:t>
            </w:r>
          </w:p>
        </w:tc>
        <w:tc>
          <w:tcPr>
            <w:tcW w:w="3686" w:type="dxa"/>
            <w:tcBorders>
              <w:top w:val="single" w:sz="12" w:space="0" w:color="auto"/>
              <w:left w:val="single" w:sz="4" w:space="0" w:color="auto"/>
              <w:bottom w:val="single" w:sz="4" w:space="0" w:color="auto"/>
              <w:right w:val="single" w:sz="4" w:space="0" w:color="auto"/>
            </w:tcBorders>
          </w:tcPr>
          <w:p w14:paraId="400984FA"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9523DA">
              <w:rPr>
                <w:rFonts w:ascii="標楷體" w:eastAsia="標楷體" w:hAnsi="標楷體" w:hint="eastAsia"/>
                <w:kern w:val="2"/>
                <w:szCs w:val="24"/>
              </w:rPr>
              <w:t>金融監督管理委員會函送財團法人台灣金融研訓院等7家財團法人111年度預算書案。</w:t>
            </w:r>
          </w:p>
          <w:p w14:paraId="483F47F5"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p>
        </w:tc>
        <w:tc>
          <w:tcPr>
            <w:tcW w:w="2412" w:type="dxa"/>
            <w:tcBorders>
              <w:top w:val="single" w:sz="12" w:space="0" w:color="auto"/>
              <w:left w:val="single" w:sz="4" w:space="0" w:color="auto"/>
              <w:bottom w:val="single" w:sz="4" w:space="0" w:color="auto"/>
              <w:right w:val="single" w:sz="4" w:space="0" w:color="auto"/>
            </w:tcBorders>
          </w:tcPr>
          <w:p w14:paraId="3EB85360" w14:textId="77777777" w:rsidR="007D160C" w:rsidRPr="009523DA" w:rsidRDefault="007D160C" w:rsidP="00F470A8">
            <w:pPr>
              <w:widowControl w:val="0"/>
              <w:overflowPunct w:val="0"/>
              <w:autoSpaceDN/>
              <w:spacing w:line="320" w:lineRule="exact"/>
              <w:jc w:val="both"/>
              <w:textAlignment w:val="auto"/>
              <w:rPr>
                <w:rFonts w:ascii="標楷體" w:eastAsia="標楷體" w:hAnsi="標楷體"/>
                <w:kern w:val="2"/>
                <w:szCs w:val="24"/>
              </w:rPr>
            </w:pPr>
            <w:r w:rsidRPr="009523DA">
              <w:rPr>
                <w:rFonts w:ascii="標楷體" w:eastAsia="標楷體" w:hAnsi="標楷體" w:hint="eastAsia"/>
                <w:kern w:val="2"/>
                <w:szCs w:val="24"/>
              </w:rPr>
              <w:t>第10屆第4會期第2次院會（110.9.24）決定：「交財政委員會審查」</w:t>
            </w:r>
          </w:p>
        </w:tc>
        <w:tc>
          <w:tcPr>
            <w:tcW w:w="2412" w:type="dxa"/>
            <w:tcBorders>
              <w:top w:val="single" w:sz="12" w:space="0" w:color="auto"/>
              <w:left w:val="single" w:sz="4" w:space="0" w:color="auto"/>
              <w:bottom w:val="single" w:sz="4" w:space="0" w:color="auto"/>
              <w:right w:val="single" w:sz="4" w:space="0" w:color="auto"/>
            </w:tcBorders>
          </w:tcPr>
          <w:p w14:paraId="40636DC1" w14:textId="77777777" w:rsidR="007D160C" w:rsidRPr="00EB3D27" w:rsidRDefault="007D160C" w:rsidP="00F470A8">
            <w:pPr>
              <w:overflowPunct w:val="0"/>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sidRPr="00EB3D27">
              <w:rPr>
                <w:rFonts w:ascii="標楷體" w:eastAsia="標楷體" w:hAnsi="標楷體" w:hint="eastAsia"/>
                <w:kern w:val="2"/>
                <w:szCs w:val="24"/>
              </w:rPr>
              <w:t>1</w:t>
            </w:r>
            <w:r w:rsidRPr="00EB3D27">
              <w:rPr>
                <w:rFonts w:ascii="標楷體" w:eastAsia="標楷體" w:hAnsi="標楷體"/>
                <w:kern w:val="2"/>
                <w:szCs w:val="24"/>
              </w:rPr>
              <w:t>1</w:t>
            </w:r>
            <w:r w:rsidRPr="00EB3D27">
              <w:rPr>
                <w:rFonts w:ascii="標楷體" w:eastAsia="標楷體" w:hAnsi="標楷體" w:hint="eastAsia"/>
                <w:kern w:val="2"/>
                <w:szCs w:val="24"/>
              </w:rPr>
              <w:t>3.9.26本會函送議事處提報院會。(已逾年度預算執行期間)</w:t>
            </w:r>
          </w:p>
          <w:p w14:paraId="417663D3" w14:textId="77777777" w:rsidR="007D160C" w:rsidRPr="009523DA" w:rsidRDefault="007D160C" w:rsidP="00F470A8">
            <w:pPr>
              <w:overflowPunct w:val="0"/>
              <w:ind w:left="240" w:hangingChars="100" w:hanging="240"/>
              <w:jc w:val="both"/>
              <w:rPr>
                <w:rFonts w:ascii="標楷體" w:eastAsia="標楷體" w:hAnsi="標楷體"/>
                <w:spacing w:val="-8"/>
                <w:kern w:val="2"/>
                <w:szCs w:val="24"/>
              </w:rPr>
            </w:pPr>
            <w:r w:rsidRPr="00EB3D27">
              <w:rPr>
                <w:rFonts w:ascii="標楷體" w:eastAsia="標楷體" w:hAnsi="標楷體" w:hint="eastAsia"/>
                <w:kern w:val="2"/>
                <w:szCs w:val="24"/>
              </w:rPr>
              <w:t>2.第11屆第2會期第4次院會(</w:t>
            </w:r>
            <w:r w:rsidRPr="00EB3D27">
              <w:rPr>
                <w:rFonts w:ascii="標楷體" w:eastAsia="標楷體" w:hAnsi="標楷體"/>
                <w:kern w:val="2"/>
                <w:szCs w:val="24"/>
              </w:rPr>
              <w:t>11</w:t>
            </w:r>
            <w:r w:rsidRPr="00EB3D27">
              <w:rPr>
                <w:rFonts w:ascii="標楷體" w:eastAsia="標楷體" w:hAnsi="標楷體" w:hint="eastAsia"/>
                <w:kern w:val="2"/>
                <w:szCs w:val="24"/>
              </w:rPr>
              <w:t>3</w:t>
            </w:r>
            <w:r w:rsidRPr="00EB3D27">
              <w:rPr>
                <w:rFonts w:ascii="標楷體" w:eastAsia="標楷體" w:hAnsi="標楷體"/>
                <w:kern w:val="2"/>
                <w:szCs w:val="24"/>
              </w:rPr>
              <w:t>.</w:t>
            </w:r>
            <w:r w:rsidRPr="00EB3D27">
              <w:rPr>
                <w:rFonts w:ascii="標楷體" w:eastAsia="標楷體" w:hAnsi="標楷體" w:hint="eastAsia"/>
                <w:kern w:val="2"/>
                <w:szCs w:val="24"/>
              </w:rPr>
              <w:t>10</w:t>
            </w:r>
            <w:r w:rsidRPr="00EB3D27">
              <w:rPr>
                <w:rFonts w:ascii="標楷體" w:eastAsia="標楷體" w:hAnsi="標楷體"/>
                <w:kern w:val="2"/>
                <w:szCs w:val="24"/>
              </w:rPr>
              <w:t>.</w:t>
            </w:r>
            <w:r w:rsidRPr="00EB3D27">
              <w:rPr>
                <w:rFonts w:ascii="標楷體" w:eastAsia="標楷體" w:hAnsi="標楷體" w:hint="eastAsia"/>
                <w:kern w:val="2"/>
                <w:szCs w:val="24"/>
              </w:rPr>
              <w:t>11)決定：准予備查。</w:t>
            </w:r>
          </w:p>
        </w:tc>
      </w:tr>
      <w:tr w:rsidR="007D160C" w:rsidRPr="006E65ED" w14:paraId="6A2FDA29" w14:textId="77777777" w:rsidTr="004E1C6E">
        <w:tblPrEx>
          <w:jc w:val="left"/>
        </w:tblPrEx>
        <w:trPr>
          <w:trHeight w:val="2457"/>
        </w:trPr>
        <w:tc>
          <w:tcPr>
            <w:tcW w:w="704" w:type="dxa"/>
            <w:tcBorders>
              <w:top w:val="single" w:sz="4" w:space="0" w:color="auto"/>
              <w:left w:val="single" w:sz="4" w:space="0" w:color="auto"/>
              <w:bottom w:val="single" w:sz="4" w:space="0" w:color="auto"/>
              <w:right w:val="single" w:sz="4" w:space="0" w:color="auto"/>
            </w:tcBorders>
          </w:tcPr>
          <w:p w14:paraId="3BCC2158"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2</w:t>
            </w:r>
          </w:p>
        </w:tc>
        <w:tc>
          <w:tcPr>
            <w:tcW w:w="3686" w:type="dxa"/>
            <w:tcBorders>
              <w:top w:val="single" w:sz="4" w:space="0" w:color="000000"/>
              <w:left w:val="single" w:sz="4" w:space="0" w:color="000000"/>
              <w:bottom w:val="single" w:sz="4" w:space="0" w:color="000000"/>
              <w:right w:val="single" w:sz="4" w:space="0" w:color="000000"/>
            </w:tcBorders>
          </w:tcPr>
          <w:p w14:paraId="212813B3"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cs="DFKaiShuW5-B5"/>
                <w:kern w:val="0"/>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412" w:type="dxa"/>
            <w:tcBorders>
              <w:top w:val="single" w:sz="4" w:space="0" w:color="000000"/>
              <w:left w:val="single" w:sz="4" w:space="0" w:color="000000"/>
              <w:bottom w:val="single" w:sz="4" w:space="0" w:color="000000"/>
              <w:right w:val="single" w:sz="4" w:space="0" w:color="000000"/>
            </w:tcBorders>
          </w:tcPr>
          <w:p w14:paraId="19886EA1"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第9屆第2會期第1次院會（105.9.13）決定：「交財政委員會審查」</w:t>
            </w:r>
          </w:p>
        </w:tc>
        <w:tc>
          <w:tcPr>
            <w:tcW w:w="2412" w:type="dxa"/>
            <w:tcBorders>
              <w:top w:val="single" w:sz="4" w:space="0" w:color="000000"/>
              <w:left w:val="single" w:sz="4" w:space="0" w:color="000000"/>
              <w:bottom w:val="single" w:sz="4" w:space="0" w:color="000000"/>
              <w:right w:val="single" w:sz="4" w:space="0" w:color="000000"/>
            </w:tcBorders>
          </w:tcPr>
          <w:p w14:paraId="2208DD99"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4929F885"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5D23DED6" w14:textId="77777777" w:rsidTr="004E1C6E">
        <w:tblPrEx>
          <w:jc w:val="left"/>
        </w:tblPrEx>
        <w:trPr>
          <w:trHeight w:val="2457"/>
        </w:trPr>
        <w:tc>
          <w:tcPr>
            <w:tcW w:w="704" w:type="dxa"/>
            <w:tcBorders>
              <w:top w:val="single" w:sz="4" w:space="0" w:color="auto"/>
              <w:left w:val="single" w:sz="4" w:space="0" w:color="auto"/>
              <w:bottom w:val="single" w:sz="4" w:space="0" w:color="auto"/>
              <w:right w:val="single" w:sz="4" w:space="0" w:color="auto"/>
            </w:tcBorders>
          </w:tcPr>
          <w:p w14:paraId="48D13A8D"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3</w:t>
            </w:r>
          </w:p>
        </w:tc>
        <w:tc>
          <w:tcPr>
            <w:tcW w:w="3686" w:type="dxa"/>
            <w:tcBorders>
              <w:top w:val="single" w:sz="4" w:space="0" w:color="000000"/>
              <w:left w:val="single" w:sz="4" w:space="0" w:color="000000"/>
              <w:bottom w:val="single" w:sz="4" w:space="0" w:color="000000"/>
              <w:right w:val="single" w:sz="4" w:space="0" w:color="000000"/>
            </w:tcBorders>
          </w:tcPr>
          <w:p w14:paraId="1DBFFD08"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w:t>
            </w:r>
            <w:r w:rsidRPr="006E65ED">
              <w:rPr>
                <w:rFonts w:ascii="標楷體" w:eastAsia="標楷體" w:hAnsi="標楷體"/>
                <w:kern w:val="2"/>
                <w:szCs w:val="24"/>
              </w:rPr>
              <w:t>107年度預算書案。</w:t>
            </w:r>
          </w:p>
        </w:tc>
        <w:tc>
          <w:tcPr>
            <w:tcW w:w="2412" w:type="dxa"/>
            <w:tcBorders>
              <w:top w:val="single" w:sz="4" w:space="0" w:color="000000"/>
              <w:left w:val="single" w:sz="4" w:space="0" w:color="000000"/>
              <w:bottom w:val="single" w:sz="4" w:space="0" w:color="000000"/>
              <w:right w:val="single" w:sz="4" w:space="0" w:color="000000"/>
            </w:tcBorders>
          </w:tcPr>
          <w:p w14:paraId="695ACC28"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第9屆第4會期第1次院會（106.9.22）決定：「交財政委員會審查」</w:t>
            </w:r>
          </w:p>
          <w:p w14:paraId="5B5719D5" w14:textId="77777777" w:rsidR="007D160C" w:rsidRPr="006E65ED"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c>
          <w:tcPr>
            <w:tcW w:w="2412" w:type="dxa"/>
            <w:tcBorders>
              <w:top w:val="single" w:sz="4" w:space="0" w:color="000000"/>
              <w:left w:val="single" w:sz="4" w:space="0" w:color="000000"/>
              <w:bottom w:val="single" w:sz="4" w:space="0" w:color="000000"/>
              <w:right w:val="single" w:sz="4" w:space="0" w:color="000000"/>
            </w:tcBorders>
          </w:tcPr>
          <w:p w14:paraId="3786F185"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4EEC5FCB"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6EF589DF" w14:textId="77777777" w:rsidTr="004E1C6E">
        <w:tblPrEx>
          <w:jc w:val="left"/>
        </w:tblPrEx>
        <w:trPr>
          <w:trHeight w:val="2457"/>
        </w:trPr>
        <w:tc>
          <w:tcPr>
            <w:tcW w:w="704" w:type="dxa"/>
            <w:tcBorders>
              <w:top w:val="single" w:sz="4" w:space="0" w:color="auto"/>
              <w:left w:val="single" w:sz="4" w:space="0" w:color="auto"/>
              <w:bottom w:val="single" w:sz="4" w:space="0" w:color="auto"/>
              <w:right w:val="single" w:sz="4" w:space="0" w:color="auto"/>
            </w:tcBorders>
          </w:tcPr>
          <w:p w14:paraId="4428ADC1"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4</w:t>
            </w:r>
          </w:p>
        </w:tc>
        <w:tc>
          <w:tcPr>
            <w:tcW w:w="3686" w:type="dxa"/>
            <w:tcBorders>
              <w:top w:val="single" w:sz="4" w:space="0" w:color="000000"/>
              <w:left w:val="single" w:sz="4" w:space="0" w:color="000000"/>
              <w:bottom w:val="single" w:sz="4" w:space="0" w:color="000000"/>
              <w:right w:val="single" w:sz="4" w:space="0" w:color="000000"/>
            </w:tcBorders>
          </w:tcPr>
          <w:p w14:paraId="679EA22C"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暨財團法人金融消費評議中心等7家財團法人108年度預算書案。</w:t>
            </w:r>
          </w:p>
        </w:tc>
        <w:tc>
          <w:tcPr>
            <w:tcW w:w="2412" w:type="dxa"/>
            <w:tcBorders>
              <w:top w:val="single" w:sz="4" w:space="0" w:color="000000"/>
              <w:left w:val="single" w:sz="4" w:space="0" w:color="000000"/>
              <w:bottom w:val="single" w:sz="4" w:space="0" w:color="000000"/>
              <w:right w:val="single" w:sz="4" w:space="0" w:color="000000"/>
            </w:tcBorders>
          </w:tcPr>
          <w:p w14:paraId="4BC062C0"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第9屆第6會期第2次院會（107.10.2）決定：「交財政委員會審查」</w:t>
            </w:r>
          </w:p>
          <w:p w14:paraId="2E9947C0"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412" w:type="dxa"/>
            <w:tcBorders>
              <w:top w:val="single" w:sz="4" w:space="0" w:color="000000"/>
              <w:left w:val="single" w:sz="4" w:space="0" w:color="000000"/>
              <w:bottom w:val="single" w:sz="4" w:space="0" w:color="000000"/>
              <w:right w:val="single" w:sz="4" w:space="0" w:color="000000"/>
            </w:tcBorders>
          </w:tcPr>
          <w:p w14:paraId="49626F16"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604C6CC4"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054F9557" w14:textId="77777777" w:rsidTr="004761BB">
        <w:tblPrEx>
          <w:jc w:val="left"/>
        </w:tblPrEx>
        <w:trPr>
          <w:trHeight w:val="840"/>
        </w:trPr>
        <w:tc>
          <w:tcPr>
            <w:tcW w:w="704" w:type="dxa"/>
            <w:tcBorders>
              <w:top w:val="single" w:sz="4" w:space="0" w:color="auto"/>
              <w:left w:val="single" w:sz="4" w:space="0" w:color="auto"/>
              <w:bottom w:val="single" w:sz="4" w:space="0" w:color="auto"/>
              <w:right w:val="single" w:sz="4" w:space="0" w:color="auto"/>
            </w:tcBorders>
          </w:tcPr>
          <w:p w14:paraId="5CB714B7"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5</w:t>
            </w:r>
          </w:p>
        </w:tc>
        <w:tc>
          <w:tcPr>
            <w:tcW w:w="3686" w:type="dxa"/>
            <w:tcBorders>
              <w:top w:val="single" w:sz="4" w:space="0" w:color="000000"/>
              <w:left w:val="single" w:sz="4" w:space="0" w:color="000000"/>
              <w:bottom w:val="single" w:sz="4" w:space="0" w:color="000000"/>
              <w:right w:val="single" w:sz="4" w:space="0" w:color="000000"/>
            </w:tcBorders>
          </w:tcPr>
          <w:p w14:paraId="76A28F1D"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w:t>
            </w:r>
            <w:r w:rsidRPr="006E65ED">
              <w:rPr>
                <w:rFonts w:ascii="標楷體" w:eastAsia="標楷體" w:hAnsi="標楷體" w:hint="eastAsia"/>
                <w:kern w:val="2"/>
                <w:szCs w:val="24"/>
              </w:rPr>
              <w:lastRenderedPageBreak/>
              <w:t>評議中心等7家109年度預算書案。</w:t>
            </w:r>
          </w:p>
        </w:tc>
        <w:tc>
          <w:tcPr>
            <w:tcW w:w="2412" w:type="dxa"/>
            <w:tcBorders>
              <w:top w:val="single" w:sz="4" w:space="0" w:color="000000"/>
              <w:left w:val="single" w:sz="4" w:space="0" w:color="000000"/>
              <w:bottom w:val="single" w:sz="4" w:space="0" w:color="000000"/>
              <w:right w:val="single" w:sz="4" w:space="0" w:color="000000"/>
            </w:tcBorders>
          </w:tcPr>
          <w:p w14:paraId="5559352F"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E65ED">
              <w:rPr>
                <w:rFonts w:ascii="標楷體" w:eastAsia="標楷體" w:hAnsi="標楷體" w:hint="eastAsia"/>
                <w:kern w:val="2"/>
                <w:szCs w:val="24"/>
              </w:rPr>
              <w:lastRenderedPageBreak/>
              <w:t>第9屆第8會期第4次院會（10</w:t>
            </w:r>
            <w:r w:rsidRPr="006E65ED">
              <w:rPr>
                <w:rFonts w:ascii="標楷體" w:eastAsia="標楷體" w:hAnsi="標楷體"/>
                <w:kern w:val="2"/>
                <w:szCs w:val="24"/>
              </w:rPr>
              <w:t>8</w:t>
            </w:r>
            <w:r w:rsidRPr="006E65ED">
              <w:rPr>
                <w:rFonts w:ascii="標楷體" w:eastAsia="標楷體" w:hAnsi="標楷體" w:hint="eastAsia"/>
                <w:kern w:val="2"/>
                <w:szCs w:val="24"/>
              </w:rPr>
              <w:t>.10.</w:t>
            </w:r>
            <w:r w:rsidRPr="006E65ED">
              <w:rPr>
                <w:rFonts w:ascii="標楷體" w:eastAsia="標楷體" w:hAnsi="標楷體"/>
                <w:kern w:val="2"/>
                <w:szCs w:val="24"/>
              </w:rPr>
              <w:t>4</w:t>
            </w:r>
            <w:r w:rsidRPr="006E65ED">
              <w:rPr>
                <w:rFonts w:ascii="標楷體" w:eastAsia="標楷體" w:hAnsi="標楷體" w:hint="eastAsia"/>
                <w:kern w:val="2"/>
                <w:szCs w:val="24"/>
              </w:rPr>
              <w:t>）決定：「交財政委員會審查」</w:t>
            </w:r>
          </w:p>
          <w:p w14:paraId="5A5A2A68" w14:textId="77777777" w:rsidR="007D160C" w:rsidRPr="006E65ED"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412" w:type="dxa"/>
            <w:tcBorders>
              <w:top w:val="single" w:sz="4" w:space="0" w:color="000000"/>
              <w:left w:val="single" w:sz="4" w:space="0" w:color="000000"/>
              <w:bottom w:val="single" w:sz="4" w:space="0" w:color="000000"/>
              <w:right w:val="single" w:sz="4" w:space="0" w:color="000000"/>
            </w:tcBorders>
          </w:tcPr>
          <w:p w14:paraId="5019CBEB"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08B0E50B"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r w:rsidR="007D160C" w:rsidRPr="006E65ED" w14:paraId="7692D22E" w14:textId="77777777" w:rsidTr="004761BB">
        <w:tblPrEx>
          <w:jc w:val="left"/>
        </w:tblPrEx>
        <w:trPr>
          <w:trHeight w:val="2457"/>
        </w:trPr>
        <w:tc>
          <w:tcPr>
            <w:tcW w:w="704" w:type="dxa"/>
            <w:tcBorders>
              <w:top w:val="single" w:sz="4" w:space="0" w:color="auto"/>
              <w:left w:val="single" w:sz="4" w:space="0" w:color="auto"/>
              <w:bottom w:val="single" w:sz="12" w:space="0" w:color="auto"/>
              <w:right w:val="single" w:sz="4" w:space="0" w:color="auto"/>
            </w:tcBorders>
          </w:tcPr>
          <w:p w14:paraId="5920E2E0" w14:textId="77777777" w:rsidR="007D160C" w:rsidRPr="006E65ED" w:rsidRDefault="007D160C" w:rsidP="00F470A8">
            <w:pPr>
              <w:widowControl w:val="0"/>
              <w:overflowPunct w:val="0"/>
              <w:autoSpaceDN/>
              <w:ind w:left="142"/>
              <w:textAlignment w:val="auto"/>
              <w:rPr>
                <w:rFonts w:ascii="標楷體" w:eastAsia="標楷體" w:hAnsi="標楷體"/>
                <w:b/>
                <w:szCs w:val="24"/>
              </w:rPr>
            </w:pPr>
            <w:r w:rsidRPr="006E65ED">
              <w:rPr>
                <w:rFonts w:ascii="標楷體" w:eastAsia="標楷體" w:hAnsi="標楷體" w:hint="eastAsia"/>
                <w:b/>
                <w:szCs w:val="24"/>
              </w:rPr>
              <w:t>6</w:t>
            </w:r>
          </w:p>
        </w:tc>
        <w:tc>
          <w:tcPr>
            <w:tcW w:w="3686" w:type="dxa"/>
            <w:tcBorders>
              <w:top w:val="single" w:sz="4" w:space="0" w:color="000000"/>
              <w:left w:val="single" w:sz="4" w:space="0" w:color="000000"/>
              <w:bottom w:val="single" w:sz="12" w:space="0" w:color="auto"/>
              <w:right w:val="single" w:sz="4" w:space="0" w:color="000000"/>
            </w:tcBorders>
          </w:tcPr>
          <w:p w14:paraId="5DAC9506"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rPr>
            </w:pPr>
            <w:r w:rsidRPr="006E65ED">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w:t>
            </w:r>
            <w:r w:rsidRPr="006E65ED">
              <w:rPr>
                <w:rFonts w:ascii="標楷體" w:eastAsia="標楷體" w:hAnsi="標楷體" w:hint="eastAsia"/>
                <w:kern w:val="2"/>
              </w:rPr>
              <w:t>1</w:t>
            </w:r>
            <w:r w:rsidRPr="006E65ED">
              <w:rPr>
                <w:rFonts w:ascii="標楷體" w:eastAsia="標楷體" w:hAnsi="標楷體"/>
                <w:kern w:val="2"/>
              </w:rPr>
              <w:t>10</w:t>
            </w:r>
            <w:r w:rsidRPr="006E65ED">
              <w:rPr>
                <w:rFonts w:ascii="標楷體" w:eastAsia="標楷體" w:hAnsi="標楷體" w:hint="eastAsia"/>
                <w:kern w:val="2"/>
              </w:rPr>
              <w:t>年度預算書案。</w:t>
            </w:r>
          </w:p>
        </w:tc>
        <w:tc>
          <w:tcPr>
            <w:tcW w:w="2412" w:type="dxa"/>
            <w:tcBorders>
              <w:top w:val="single" w:sz="4" w:space="0" w:color="000000"/>
              <w:left w:val="single" w:sz="4" w:space="0" w:color="000000"/>
              <w:bottom w:val="single" w:sz="12" w:space="0" w:color="auto"/>
              <w:right w:val="single" w:sz="4" w:space="0" w:color="000000"/>
            </w:tcBorders>
          </w:tcPr>
          <w:p w14:paraId="40DDE55D"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rPr>
            </w:pPr>
            <w:r w:rsidRPr="006E65ED">
              <w:rPr>
                <w:rFonts w:ascii="標楷體" w:eastAsia="標楷體" w:hAnsi="標楷體" w:hint="eastAsia"/>
                <w:kern w:val="2"/>
              </w:rPr>
              <w:t>第10屆第2會期第3次院會（10</w:t>
            </w:r>
            <w:r w:rsidRPr="006E65ED">
              <w:rPr>
                <w:rFonts w:ascii="標楷體" w:eastAsia="標楷體" w:hAnsi="標楷體"/>
                <w:kern w:val="2"/>
              </w:rPr>
              <w:t>9</w:t>
            </w:r>
            <w:r w:rsidRPr="006E65ED">
              <w:rPr>
                <w:rFonts w:ascii="標楷體" w:eastAsia="標楷體" w:hAnsi="標楷體" w:hint="eastAsia"/>
                <w:kern w:val="2"/>
              </w:rPr>
              <w:t>.10.</w:t>
            </w:r>
            <w:r w:rsidRPr="006E65ED">
              <w:rPr>
                <w:rFonts w:ascii="標楷體" w:eastAsia="標楷體" w:hAnsi="標楷體"/>
                <w:kern w:val="2"/>
              </w:rPr>
              <w:t>6</w:t>
            </w:r>
            <w:r w:rsidRPr="006E65ED">
              <w:rPr>
                <w:rFonts w:ascii="標楷體" w:eastAsia="標楷體" w:hAnsi="標楷體" w:hint="eastAsia"/>
                <w:kern w:val="2"/>
              </w:rPr>
              <w:t>）決定：「交財政委員會審查」</w:t>
            </w:r>
          </w:p>
          <w:p w14:paraId="1BB506FD" w14:textId="77777777" w:rsidR="007D160C" w:rsidRPr="006E65ED" w:rsidRDefault="007D160C" w:rsidP="00F470A8">
            <w:pPr>
              <w:widowControl w:val="0"/>
              <w:overflowPunct w:val="0"/>
              <w:autoSpaceDN/>
              <w:spacing w:line="340" w:lineRule="exact"/>
              <w:jc w:val="both"/>
              <w:textAlignment w:val="auto"/>
              <w:rPr>
                <w:rFonts w:ascii="標楷體" w:eastAsia="標楷體" w:hAnsi="標楷體"/>
                <w:kern w:val="2"/>
              </w:rPr>
            </w:pPr>
          </w:p>
        </w:tc>
        <w:tc>
          <w:tcPr>
            <w:tcW w:w="2412" w:type="dxa"/>
            <w:tcBorders>
              <w:top w:val="single" w:sz="4" w:space="0" w:color="000000"/>
              <w:left w:val="single" w:sz="4" w:space="0" w:color="000000"/>
              <w:bottom w:val="single" w:sz="12" w:space="0" w:color="auto"/>
              <w:right w:val="single" w:sz="4" w:space="0" w:color="000000"/>
            </w:tcBorders>
          </w:tcPr>
          <w:p w14:paraId="0AD9E876"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1.1</w:t>
            </w:r>
            <w:r w:rsidRPr="006E65ED">
              <w:rPr>
                <w:rFonts w:ascii="標楷體" w:eastAsia="標楷體" w:hAnsi="標楷體"/>
                <w:kern w:val="2"/>
                <w:szCs w:val="24"/>
              </w:rPr>
              <w:t>1</w:t>
            </w:r>
            <w:r w:rsidRPr="006E65ED">
              <w:rPr>
                <w:rFonts w:ascii="標楷體" w:eastAsia="標楷體" w:hAnsi="標楷體" w:hint="eastAsia"/>
                <w:kern w:val="2"/>
                <w:szCs w:val="24"/>
              </w:rPr>
              <w:t>3.5.14本會函送議事處提報院會。(已逾年度預算執行期間)</w:t>
            </w:r>
          </w:p>
          <w:p w14:paraId="64B7B475" w14:textId="77777777" w:rsidR="007D160C" w:rsidRPr="006E65ED" w:rsidRDefault="007D160C" w:rsidP="00F470A8">
            <w:pPr>
              <w:overflowPunct w:val="0"/>
              <w:ind w:left="240" w:hangingChars="100" w:hanging="240"/>
              <w:jc w:val="both"/>
              <w:rPr>
                <w:rFonts w:ascii="標楷體" w:eastAsia="標楷體" w:hAnsi="標楷體"/>
                <w:kern w:val="2"/>
                <w:szCs w:val="24"/>
              </w:rPr>
            </w:pPr>
            <w:r w:rsidRPr="006E65ED">
              <w:rPr>
                <w:rFonts w:ascii="標楷體" w:eastAsia="標楷體" w:hAnsi="標楷體" w:hint="eastAsia"/>
                <w:kern w:val="2"/>
                <w:szCs w:val="24"/>
              </w:rPr>
              <w:t>2.第11屆第2會期第9次院會(</w:t>
            </w:r>
            <w:r w:rsidRPr="006E65ED">
              <w:rPr>
                <w:rFonts w:ascii="標楷體" w:eastAsia="標楷體" w:hAnsi="標楷體"/>
                <w:kern w:val="2"/>
                <w:szCs w:val="24"/>
              </w:rPr>
              <w:t>11</w:t>
            </w:r>
            <w:r w:rsidRPr="006E65ED">
              <w:rPr>
                <w:rFonts w:ascii="標楷體" w:eastAsia="標楷體" w:hAnsi="標楷體" w:hint="eastAsia"/>
                <w:kern w:val="2"/>
                <w:szCs w:val="24"/>
              </w:rPr>
              <w:t>3</w:t>
            </w:r>
            <w:r w:rsidRPr="006E65ED">
              <w:rPr>
                <w:rFonts w:ascii="標楷體" w:eastAsia="標楷體" w:hAnsi="標楷體"/>
                <w:kern w:val="2"/>
                <w:szCs w:val="24"/>
              </w:rPr>
              <w:t>.</w:t>
            </w:r>
            <w:r w:rsidRPr="006E65ED">
              <w:rPr>
                <w:rFonts w:ascii="標楷體" w:eastAsia="標楷體" w:hAnsi="標楷體" w:hint="eastAsia"/>
                <w:kern w:val="2"/>
                <w:szCs w:val="24"/>
              </w:rPr>
              <w:t>11</w:t>
            </w:r>
            <w:r w:rsidRPr="006E65ED">
              <w:rPr>
                <w:rFonts w:ascii="標楷體" w:eastAsia="標楷體" w:hAnsi="標楷體"/>
                <w:kern w:val="2"/>
                <w:szCs w:val="24"/>
              </w:rPr>
              <w:t>.</w:t>
            </w:r>
            <w:r w:rsidRPr="006E65ED">
              <w:rPr>
                <w:rFonts w:ascii="標楷體" w:eastAsia="標楷體" w:hAnsi="標楷體" w:hint="eastAsia"/>
                <w:kern w:val="2"/>
                <w:szCs w:val="24"/>
              </w:rPr>
              <w:t>15)決定：准予備查。</w:t>
            </w:r>
          </w:p>
        </w:tc>
      </w:tr>
    </w:tbl>
    <w:p w14:paraId="79961B34" w14:textId="77777777" w:rsidR="007D160C" w:rsidRDefault="007D160C" w:rsidP="00F470A8">
      <w:pPr>
        <w:overflowPunct w:val="0"/>
        <w:autoSpaceDN/>
        <w:textAlignment w:val="auto"/>
        <w:rPr>
          <w:rFonts w:ascii="標楷體" w:eastAsia="標楷體" w:hAnsi="標楷體"/>
          <w:b/>
          <w:bCs/>
          <w:sz w:val="28"/>
          <w:szCs w:val="28"/>
        </w:rPr>
      </w:pPr>
      <w:r>
        <w:rPr>
          <w:rFonts w:ascii="標楷體" w:eastAsia="標楷體" w:hAnsi="標楷體"/>
          <w:b/>
          <w:bCs/>
          <w:sz w:val="28"/>
          <w:szCs w:val="28"/>
        </w:rPr>
        <w:br w:type="page"/>
      </w:r>
    </w:p>
    <w:p w14:paraId="0E9E9AB2" w14:textId="77777777" w:rsidR="007D160C" w:rsidRPr="00C560BE" w:rsidRDefault="007D160C"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60" w:name="_Toc189487288"/>
      <w:r w:rsidRPr="00C560BE">
        <w:rPr>
          <w:rFonts w:ascii="標楷體" w:eastAsia="標楷體" w:hAnsi="標楷體" w:hint="eastAsia"/>
          <w:b/>
          <w:bCs/>
          <w:sz w:val="28"/>
          <w:szCs w:val="28"/>
        </w:rPr>
        <w:lastRenderedPageBreak/>
        <w:t>(</w:t>
      </w:r>
      <w:r>
        <w:rPr>
          <w:rFonts w:ascii="標楷體" w:eastAsia="標楷體" w:hAnsi="標楷體" w:hint="eastAsia"/>
          <w:b/>
          <w:bCs/>
          <w:sz w:val="28"/>
          <w:szCs w:val="28"/>
        </w:rPr>
        <w:t>三</w:t>
      </w:r>
      <w:r w:rsidRPr="00C560BE">
        <w:rPr>
          <w:rFonts w:ascii="標楷體" w:eastAsia="標楷體" w:hAnsi="標楷體" w:hint="eastAsia"/>
          <w:b/>
          <w:bCs/>
          <w:sz w:val="28"/>
          <w:szCs w:val="28"/>
        </w:rPr>
        <w:t>)預算解凍案(</w:t>
      </w:r>
      <w:r>
        <w:rPr>
          <w:rFonts w:ascii="標楷體" w:eastAsia="標楷體" w:hAnsi="標楷體" w:hint="eastAsia"/>
          <w:b/>
          <w:bCs/>
          <w:sz w:val="28"/>
          <w:szCs w:val="28"/>
        </w:rPr>
        <w:t>1</w:t>
      </w:r>
      <w:r w:rsidRPr="00C560BE">
        <w:rPr>
          <w:rFonts w:ascii="標楷體" w:eastAsia="標楷體" w:hAnsi="標楷體" w:hint="eastAsia"/>
          <w:b/>
          <w:bCs/>
          <w:sz w:val="28"/>
          <w:szCs w:val="28"/>
        </w:rPr>
        <w:t>案)</w:t>
      </w:r>
      <w:bookmarkEnd w:id="55"/>
      <w:bookmarkEnd w:id="56"/>
      <w:bookmarkEnd w:id="57"/>
      <w:bookmarkEnd w:id="58"/>
      <w:bookmarkEnd w:id="60"/>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3860"/>
        <w:gridCol w:w="2410"/>
        <w:gridCol w:w="2410"/>
      </w:tblGrid>
      <w:tr w:rsidR="007D160C" w:rsidRPr="00C560BE" w14:paraId="5A09FFA0" w14:textId="77777777" w:rsidTr="001B1EFB">
        <w:trPr>
          <w:cantSplit/>
          <w:trHeight w:val="627"/>
          <w:jc w:val="center"/>
        </w:trPr>
        <w:tc>
          <w:tcPr>
            <w:tcW w:w="671" w:type="dxa"/>
            <w:tcBorders>
              <w:top w:val="single" w:sz="12" w:space="0" w:color="auto"/>
              <w:bottom w:val="single" w:sz="12" w:space="0" w:color="auto"/>
            </w:tcBorders>
            <w:shd w:val="clear" w:color="auto" w:fill="auto"/>
            <w:vAlign w:val="center"/>
          </w:tcPr>
          <w:p w14:paraId="75A15B6E" w14:textId="77777777" w:rsidR="007D160C" w:rsidRPr="00C560BE" w:rsidRDefault="007D160C" w:rsidP="00F470A8">
            <w:pPr>
              <w:overflowPunct w:val="0"/>
              <w:spacing w:line="340" w:lineRule="exact"/>
              <w:jc w:val="center"/>
              <w:rPr>
                <w:rFonts w:ascii="標楷體" w:eastAsia="標楷體" w:hAnsi="標楷體"/>
                <w:b/>
                <w:spacing w:val="-20"/>
                <w:szCs w:val="24"/>
              </w:rPr>
            </w:pPr>
            <w:r w:rsidRPr="00C560BE">
              <w:rPr>
                <w:rFonts w:ascii="標楷體" w:eastAsia="標楷體" w:hAnsi="標楷體" w:hint="eastAsia"/>
                <w:b/>
                <w:spacing w:val="-20"/>
                <w:szCs w:val="24"/>
              </w:rPr>
              <w:t>序號</w:t>
            </w:r>
          </w:p>
        </w:tc>
        <w:tc>
          <w:tcPr>
            <w:tcW w:w="3860" w:type="dxa"/>
            <w:tcBorders>
              <w:top w:val="single" w:sz="12" w:space="0" w:color="auto"/>
              <w:bottom w:val="single" w:sz="12" w:space="0" w:color="auto"/>
            </w:tcBorders>
            <w:shd w:val="clear" w:color="auto" w:fill="auto"/>
            <w:vAlign w:val="center"/>
          </w:tcPr>
          <w:p w14:paraId="4A3D70B7" w14:textId="77777777" w:rsidR="007D160C" w:rsidRPr="00C560BE" w:rsidRDefault="007D160C" w:rsidP="00F470A8">
            <w:pPr>
              <w:overflowPunct w:val="0"/>
              <w:spacing w:line="340" w:lineRule="exact"/>
              <w:jc w:val="center"/>
              <w:rPr>
                <w:rFonts w:ascii="標楷體" w:eastAsia="標楷體" w:hAnsi="標楷體"/>
                <w:b/>
                <w:szCs w:val="24"/>
              </w:rPr>
            </w:pPr>
            <w:r w:rsidRPr="00C560BE">
              <w:rPr>
                <w:rFonts w:ascii="標楷體" w:eastAsia="標楷體" w:hAnsi="標楷體" w:hint="eastAsia"/>
                <w:b/>
                <w:szCs w:val="24"/>
              </w:rPr>
              <w:t>議案名稱</w:t>
            </w:r>
          </w:p>
        </w:tc>
        <w:tc>
          <w:tcPr>
            <w:tcW w:w="2410" w:type="dxa"/>
            <w:tcBorders>
              <w:top w:val="single" w:sz="12" w:space="0" w:color="auto"/>
              <w:bottom w:val="single" w:sz="12" w:space="0" w:color="auto"/>
            </w:tcBorders>
            <w:shd w:val="clear" w:color="auto" w:fill="auto"/>
            <w:vAlign w:val="center"/>
          </w:tcPr>
          <w:p w14:paraId="3219E9BC" w14:textId="77777777" w:rsidR="007D160C" w:rsidRPr="00C560BE" w:rsidRDefault="007D160C" w:rsidP="00F470A8">
            <w:pPr>
              <w:overflowPunct w:val="0"/>
              <w:spacing w:line="340" w:lineRule="exact"/>
              <w:jc w:val="center"/>
              <w:rPr>
                <w:rFonts w:ascii="標楷體" w:eastAsia="標楷體" w:hAnsi="標楷體"/>
                <w:b/>
                <w:szCs w:val="24"/>
              </w:rPr>
            </w:pPr>
            <w:r w:rsidRPr="00C560BE">
              <w:rPr>
                <w:rFonts w:ascii="標楷體" w:eastAsia="標楷體" w:hAnsi="標楷體" w:hint="eastAsia"/>
                <w:b/>
                <w:szCs w:val="24"/>
              </w:rPr>
              <w:t>院會交付日期及會次</w:t>
            </w:r>
          </w:p>
        </w:tc>
        <w:tc>
          <w:tcPr>
            <w:tcW w:w="2410" w:type="dxa"/>
            <w:tcBorders>
              <w:top w:val="single" w:sz="12" w:space="0" w:color="auto"/>
              <w:bottom w:val="single" w:sz="12" w:space="0" w:color="auto"/>
            </w:tcBorders>
            <w:shd w:val="clear" w:color="auto" w:fill="auto"/>
            <w:vAlign w:val="center"/>
          </w:tcPr>
          <w:p w14:paraId="27288F31" w14:textId="77777777" w:rsidR="007D160C" w:rsidRPr="00C560BE" w:rsidRDefault="007D160C" w:rsidP="00F470A8">
            <w:pPr>
              <w:overflowPunct w:val="0"/>
              <w:spacing w:line="340" w:lineRule="exact"/>
              <w:jc w:val="center"/>
              <w:rPr>
                <w:rFonts w:ascii="標楷體" w:eastAsia="標楷體" w:hAnsi="標楷體"/>
                <w:b/>
                <w:szCs w:val="24"/>
              </w:rPr>
            </w:pPr>
            <w:r w:rsidRPr="00C560BE">
              <w:rPr>
                <w:rFonts w:ascii="標楷體" w:eastAsia="標楷體" w:hAnsi="標楷體" w:hint="eastAsia"/>
                <w:b/>
                <w:szCs w:val="24"/>
              </w:rPr>
              <w:t>備     註</w:t>
            </w:r>
          </w:p>
        </w:tc>
      </w:tr>
      <w:tr w:rsidR="007D160C" w:rsidRPr="00C560BE" w14:paraId="43540FA7" w14:textId="77777777" w:rsidTr="001B1EFB">
        <w:trPr>
          <w:trHeight w:val="556"/>
          <w:jc w:val="center"/>
        </w:trPr>
        <w:tc>
          <w:tcPr>
            <w:tcW w:w="9351" w:type="dxa"/>
            <w:gridSpan w:val="4"/>
            <w:tcBorders>
              <w:top w:val="single" w:sz="12" w:space="0" w:color="auto"/>
              <w:bottom w:val="single" w:sz="12" w:space="0" w:color="auto"/>
            </w:tcBorders>
            <w:shd w:val="clear" w:color="auto" w:fill="auto"/>
            <w:vAlign w:val="center"/>
          </w:tcPr>
          <w:p w14:paraId="4CA07923" w14:textId="334DB340" w:rsidR="007D160C" w:rsidRPr="00C560BE" w:rsidRDefault="007D160C" w:rsidP="00F470A8">
            <w:pPr>
              <w:overflowPunct w:val="0"/>
              <w:spacing w:line="320" w:lineRule="exact"/>
              <w:jc w:val="both"/>
              <w:rPr>
                <w:rFonts w:ascii="標楷體" w:eastAsia="標楷體" w:hAnsi="標楷體"/>
                <w:b/>
                <w:szCs w:val="24"/>
              </w:rPr>
            </w:pPr>
            <w:r w:rsidRPr="00C560BE">
              <w:rPr>
                <w:rFonts w:ascii="標楷體" w:eastAsia="標楷體" w:hAnsi="標楷體" w:hint="eastAsia"/>
                <w:b/>
                <w:sz w:val="28"/>
                <w:szCs w:val="28"/>
              </w:rPr>
              <w:t>1.財政部主管(</w:t>
            </w:r>
            <w:r w:rsidR="00182D58">
              <w:rPr>
                <w:rFonts w:ascii="標楷體" w:eastAsia="標楷體" w:hAnsi="標楷體" w:hint="eastAsia"/>
                <w:b/>
                <w:sz w:val="28"/>
                <w:szCs w:val="28"/>
              </w:rPr>
              <w:t>1</w:t>
            </w:r>
            <w:r w:rsidRPr="00C560BE">
              <w:rPr>
                <w:rFonts w:ascii="標楷體" w:eastAsia="標楷體" w:hAnsi="標楷體" w:hint="eastAsia"/>
                <w:b/>
                <w:sz w:val="28"/>
                <w:szCs w:val="28"/>
              </w:rPr>
              <w:t>案)</w:t>
            </w:r>
          </w:p>
        </w:tc>
      </w:tr>
      <w:tr w:rsidR="007D160C" w:rsidRPr="00C560BE" w14:paraId="3316D684" w14:textId="77777777" w:rsidTr="001B1EFB">
        <w:trPr>
          <w:jc w:val="center"/>
        </w:trPr>
        <w:tc>
          <w:tcPr>
            <w:tcW w:w="671" w:type="dxa"/>
            <w:tcBorders>
              <w:top w:val="single" w:sz="12" w:space="0" w:color="auto"/>
              <w:left w:val="single" w:sz="4" w:space="0" w:color="auto"/>
              <w:bottom w:val="single" w:sz="12" w:space="0" w:color="auto"/>
              <w:right w:val="single" w:sz="4" w:space="0" w:color="auto"/>
            </w:tcBorders>
            <w:shd w:val="clear" w:color="auto" w:fill="auto"/>
          </w:tcPr>
          <w:p w14:paraId="0AE94EA4" w14:textId="77777777" w:rsidR="007D160C" w:rsidRPr="00C560BE" w:rsidRDefault="007D160C" w:rsidP="00F470A8">
            <w:pPr>
              <w:widowControl w:val="0"/>
              <w:numPr>
                <w:ilvl w:val="0"/>
                <w:numId w:val="49"/>
              </w:numPr>
              <w:tabs>
                <w:tab w:val="left" w:pos="284"/>
              </w:tabs>
              <w:overflowPunct w:val="0"/>
              <w:autoSpaceDN/>
              <w:spacing w:line="340" w:lineRule="exact"/>
              <w:ind w:left="482" w:hanging="482"/>
              <w:jc w:val="both"/>
              <w:textAlignment w:val="auto"/>
              <w:rPr>
                <w:rFonts w:ascii="標楷體" w:eastAsia="標楷體" w:hAnsi="標楷體"/>
                <w:b/>
                <w:szCs w:val="24"/>
              </w:rPr>
            </w:pPr>
          </w:p>
        </w:tc>
        <w:tc>
          <w:tcPr>
            <w:tcW w:w="3860" w:type="dxa"/>
            <w:tcBorders>
              <w:top w:val="single" w:sz="4" w:space="0" w:color="auto"/>
              <w:left w:val="single" w:sz="4" w:space="0" w:color="auto"/>
              <w:bottom w:val="single" w:sz="12" w:space="0" w:color="auto"/>
              <w:right w:val="single" w:sz="4" w:space="0" w:color="auto"/>
            </w:tcBorders>
            <w:shd w:val="clear" w:color="auto" w:fill="auto"/>
          </w:tcPr>
          <w:p w14:paraId="337A9C4E" w14:textId="77777777" w:rsidR="007D160C" w:rsidRPr="00C560BE"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CD4936">
              <w:rPr>
                <w:rFonts w:ascii="標楷體" w:eastAsia="標楷體" w:hAnsi="標楷體" w:hint="eastAsia"/>
                <w:kern w:val="2"/>
                <w:szCs w:val="24"/>
              </w:rPr>
              <w:t>財政部函為107年度中央政府總預算附屬單位預算決議，檢送臺灣金融控股公司新增決議第1項慶富聯貸案貸款損害預算凍結五分之一專案報告案。</w:t>
            </w:r>
          </w:p>
        </w:tc>
        <w:tc>
          <w:tcPr>
            <w:tcW w:w="2410" w:type="dxa"/>
            <w:tcBorders>
              <w:top w:val="single" w:sz="4" w:space="0" w:color="auto"/>
              <w:left w:val="single" w:sz="4" w:space="0" w:color="auto"/>
              <w:bottom w:val="single" w:sz="12" w:space="0" w:color="auto"/>
              <w:right w:val="single" w:sz="4" w:space="0" w:color="auto"/>
            </w:tcBorders>
            <w:shd w:val="clear" w:color="auto" w:fill="auto"/>
          </w:tcPr>
          <w:p w14:paraId="01CB350E" w14:textId="77777777" w:rsidR="007D160C" w:rsidRPr="00C560BE" w:rsidRDefault="007D160C" w:rsidP="00F470A8">
            <w:pPr>
              <w:widowControl w:val="0"/>
              <w:overflowPunct w:val="0"/>
              <w:autoSpaceDN/>
              <w:spacing w:line="300" w:lineRule="exact"/>
              <w:jc w:val="both"/>
              <w:textAlignment w:val="auto"/>
              <w:rPr>
                <w:rFonts w:ascii="標楷體" w:eastAsia="標楷體" w:hAnsi="標楷體"/>
                <w:kern w:val="2"/>
                <w:szCs w:val="24"/>
              </w:rPr>
            </w:pPr>
            <w:r w:rsidRPr="00CD4936">
              <w:rPr>
                <w:rFonts w:ascii="標楷體" w:eastAsia="標楷體" w:hAnsi="標楷體" w:hint="eastAsia"/>
                <w:kern w:val="2"/>
                <w:szCs w:val="24"/>
              </w:rPr>
              <w:t>第9屆第7會期第7次院會（108.3.29）決定：「交財政委員會審查」</w:t>
            </w:r>
          </w:p>
        </w:tc>
        <w:tc>
          <w:tcPr>
            <w:tcW w:w="2410" w:type="dxa"/>
            <w:tcBorders>
              <w:top w:val="single" w:sz="12" w:space="0" w:color="auto"/>
              <w:left w:val="single" w:sz="4" w:space="0" w:color="auto"/>
              <w:bottom w:val="single" w:sz="12" w:space="0" w:color="auto"/>
              <w:right w:val="single" w:sz="4" w:space="0" w:color="auto"/>
            </w:tcBorders>
            <w:shd w:val="clear" w:color="auto" w:fill="auto"/>
          </w:tcPr>
          <w:p w14:paraId="6BBF0FF5" w14:textId="77777777" w:rsidR="007D160C" w:rsidRPr="00C560BE" w:rsidRDefault="007D160C" w:rsidP="00F470A8">
            <w:pPr>
              <w:overflowPunct w:val="0"/>
              <w:ind w:left="240" w:hangingChars="100" w:hanging="240"/>
              <w:jc w:val="both"/>
              <w:rPr>
                <w:rFonts w:ascii="標楷體" w:eastAsia="標楷體" w:hAnsi="標楷體"/>
                <w:szCs w:val="24"/>
              </w:rPr>
            </w:pPr>
            <w:r w:rsidRPr="00C560BE">
              <w:rPr>
                <w:rFonts w:ascii="標楷體" w:eastAsia="標楷體" w:hAnsi="標楷體" w:hint="eastAsia"/>
                <w:szCs w:val="24"/>
              </w:rPr>
              <w:t>1.</w:t>
            </w:r>
            <w:r w:rsidRPr="00CD4936">
              <w:rPr>
                <w:rFonts w:ascii="標楷體" w:eastAsia="標楷體" w:hAnsi="標楷體" w:hint="eastAsia"/>
                <w:kern w:val="2"/>
                <w:szCs w:val="24"/>
              </w:rPr>
              <w:t>因逾年度預算執行期間，本會於113.7.8函議事處提報院會准予備查。</w:t>
            </w:r>
          </w:p>
          <w:p w14:paraId="1BD41ADA" w14:textId="77777777" w:rsidR="007D160C" w:rsidRPr="00C560BE" w:rsidRDefault="007D160C" w:rsidP="00F470A8">
            <w:pPr>
              <w:overflowPunct w:val="0"/>
              <w:ind w:left="240" w:hangingChars="100" w:hanging="240"/>
              <w:jc w:val="both"/>
              <w:rPr>
                <w:rFonts w:ascii="標楷體" w:eastAsia="標楷體" w:hAnsi="標楷體"/>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bl>
    <w:p w14:paraId="0E305E12" w14:textId="77777777" w:rsidR="007D160C" w:rsidRPr="002359DB" w:rsidRDefault="007D160C" w:rsidP="00F470A8">
      <w:pPr>
        <w:pStyle w:val="2"/>
        <w:numPr>
          <w:ilvl w:val="0"/>
          <w:numId w:val="0"/>
        </w:numPr>
        <w:overflowPunct w:val="0"/>
        <w:spacing w:line="480" w:lineRule="exact"/>
        <w:ind w:left="927" w:hanging="567"/>
        <w:rPr>
          <w:rFonts w:ascii="標楷體" w:eastAsia="標楷體" w:hAnsi="標楷體"/>
          <w:sz w:val="32"/>
          <w:szCs w:val="32"/>
        </w:rPr>
      </w:pPr>
      <w:r w:rsidRPr="00370BEC">
        <w:rPr>
          <w:rFonts w:ascii="標楷體" w:eastAsia="標楷體" w:hAnsi="標楷體"/>
          <w:color w:val="FF0000"/>
          <w:sz w:val="36"/>
          <w:szCs w:val="36"/>
        </w:rPr>
        <w:br w:type="page"/>
      </w:r>
      <w:bookmarkStart w:id="61" w:name="_Toc175833583"/>
      <w:bookmarkStart w:id="62" w:name="_Toc189487289"/>
      <w:r w:rsidRPr="002359DB">
        <w:rPr>
          <w:rFonts w:ascii="標楷體" w:eastAsia="標楷體" w:hAnsi="標楷體" w:hint="eastAsia"/>
          <w:sz w:val="32"/>
          <w:szCs w:val="32"/>
        </w:rPr>
        <w:lastRenderedPageBreak/>
        <w:t>三、動支第二預備金案(</w:t>
      </w:r>
      <w:r>
        <w:rPr>
          <w:rFonts w:ascii="標楷體" w:eastAsia="標楷體" w:hAnsi="標楷體" w:hint="eastAsia"/>
          <w:sz w:val="32"/>
          <w:szCs w:val="32"/>
        </w:rPr>
        <w:t>73</w:t>
      </w:r>
      <w:r w:rsidRPr="002359DB">
        <w:rPr>
          <w:rFonts w:ascii="標楷體" w:eastAsia="標楷體" w:hAnsi="標楷體" w:hint="eastAsia"/>
          <w:sz w:val="32"/>
          <w:szCs w:val="32"/>
        </w:rPr>
        <w:t>案)</w:t>
      </w:r>
      <w:bookmarkEnd w:id="61"/>
      <w:bookmarkEnd w:id="62"/>
    </w:p>
    <w:tbl>
      <w:tblPr>
        <w:tblW w:w="9465" w:type="dxa"/>
        <w:tblInd w:w="28" w:type="dxa"/>
        <w:tblBorders>
          <w:top w:val="single" w:sz="12"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676"/>
        <w:gridCol w:w="3719"/>
        <w:gridCol w:w="2518"/>
        <w:gridCol w:w="2552"/>
      </w:tblGrid>
      <w:tr w:rsidR="007D160C" w:rsidRPr="002359DB" w14:paraId="5C93AFFF" w14:textId="77777777" w:rsidTr="001B1EFB">
        <w:trPr>
          <w:trHeight w:val="496"/>
        </w:trPr>
        <w:tc>
          <w:tcPr>
            <w:tcW w:w="676" w:type="dxa"/>
            <w:tcMar>
              <w:top w:w="0" w:type="dxa"/>
              <w:left w:w="28" w:type="dxa"/>
              <w:bottom w:w="0" w:type="dxa"/>
              <w:right w:w="28" w:type="dxa"/>
            </w:tcMar>
            <w:vAlign w:val="center"/>
          </w:tcPr>
          <w:p w14:paraId="7095A364" w14:textId="77777777" w:rsidR="007D160C" w:rsidRPr="002359DB" w:rsidRDefault="007D160C" w:rsidP="00F470A8">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hint="eastAsia"/>
                <w:b/>
                <w:bCs/>
                <w:szCs w:val="24"/>
              </w:rPr>
              <w:t>序</w:t>
            </w:r>
            <w:r w:rsidRPr="002359DB">
              <w:rPr>
                <w:rFonts w:ascii="標楷體" w:eastAsia="標楷體" w:hAnsi="標楷體"/>
                <w:b/>
                <w:bCs/>
                <w:szCs w:val="24"/>
              </w:rPr>
              <w:t>號</w:t>
            </w:r>
          </w:p>
        </w:tc>
        <w:tc>
          <w:tcPr>
            <w:tcW w:w="3719" w:type="dxa"/>
            <w:tcMar>
              <w:top w:w="0" w:type="dxa"/>
              <w:left w:w="28" w:type="dxa"/>
              <w:bottom w:w="0" w:type="dxa"/>
              <w:right w:w="28" w:type="dxa"/>
            </w:tcMar>
            <w:vAlign w:val="center"/>
          </w:tcPr>
          <w:p w14:paraId="37AA1EC7" w14:textId="77777777" w:rsidR="007D160C" w:rsidRPr="002359DB" w:rsidRDefault="007D160C" w:rsidP="00F470A8">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b/>
                <w:bCs/>
                <w:szCs w:val="24"/>
              </w:rPr>
              <w:t>議</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案</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名</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稱</w:t>
            </w:r>
          </w:p>
        </w:tc>
        <w:tc>
          <w:tcPr>
            <w:tcW w:w="2518" w:type="dxa"/>
            <w:tcMar>
              <w:top w:w="0" w:type="dxa"/>
              <w:left w:w="28" w:type="dxa"/>
              <w:bottom w:w="0" w:type="dxa"/>
              <w:right w:w="28" w:type="dxa"/>
            </w:tcMar>
          </w:tcPr>
          <w:p w14:paraId="146B7E0E" w14:textId="77777777" w:rsidR="007D160C" w:rsidRDefault="007D160C" w:rsidP="00F470A8">
            <w:pPr>
              <w:widowControl w:val="0"/>
              <w:overflowPunct w:val="0"/>
              <w:spacing w:line="300" w:lineRule="exact"/>
              <w:jc w:val="center"/>
              <w:textAlignment w:val="auto"/>
              <w:rPr>
                <w:rFonts w:ascii="標楷體" w:eastAsia="標楷體" w:hAnsi="標楷體"/>
                <w:b/>
                <w:bCs/>
                <w:spacing w:val="102"/>
                <w:kern w:val="2"/>
                <w:szCs w:val="24"/>
              </w:rPr>
            </w:pPr>
            <w:r w:rsidRPr="002359DB">
              <w:rPr>
                <w:rFonts w:ascii="標楷體" w:eastAsia="標楷體" w:hAnsi="標楷體"/>
                <w:b/>
                <w:bCs/>
                <w:spacing w:val="102"/>
                <w:kern w:val="2"/>
                <w:szCs w:val="24"/>
              </w:rPr>
              <w:t>院會交付</w:t>
            </w:r>
          </w:p>
          <w:p w14:paraId="7ACF96AE" w14:textId="77777777" w:rsidR="007D160C" w:rsidRPr="00143260" w:rsidRDefault="007D160C" w:rsidP="00F470A8">
            <w:pPr>
              <w:widowControl w:val="0"/>
              <w:overflowPunct w:val="0"/>
              <w:spacing w:line="300" w:lineRule="exact"/>
              <w:jc w:val="center"/>
              <w:textAlignment w:val="auto"/>
              <w:rPr>
                <w:rFonts w:ascii="標楷體" w:eastAsia="標楷體" w:hAnsi="標楷體"/>
                <w:b/>
                <w:bCs/>
                <w:spacing w:val="102"/>
                <w:kern w:val="2"/>
                <w:szCs w:val="24"/>
              </w:rPr>
            </w:pPr>
            <w:r w:rsidRPr="002359DB">
              <w:rPr>
                <w:rFonts w:ascii="標楷體" w:eastAsia="標楷體" w:hAnsi="標楷體" w:hint="eastAsia"/>
                <w:b/>
                <w:bCs/>
                <w:spacing w:val="20"/>
                <w:szCs w:val="24"/>
              </w:rPr>
              <w:t>日</w:t>
            </w:r>
            <w:r w:rsidRPr="002359DB">
              <w:rPr>
                <w:rFonts w:ascii="標楷體" w:eastAsia="標楷體" w:hAnsi="標楷體"/>
                <w:b/>
                <w:bCs/>
                <w:spacing w:val="20"/>
                <w:szCs w:val="24"/>
              </w:rPr>
              <w:t>期</w:t>
            </w:r>
            <w:r w:rsidRPr="002359DB">
              <w:rPr>
                <w:rFonts w:ascii="標楷體" w:eastAsia="標楷體" w:hAnsi="標楷體" w:hint="eastAsia"/>
                <w:b/>
                <w:bCs/>
                <w:spacing w:val="20"/>
                <w:szCs w:val="24"/>
              </w:rPr>
              <w:t>及</w:t>
            </w:r>
            <w:r w:rsidRPr="002359DB">
              <w:rPr>
                <w:rFonts w:ascii="標楷體" w:eastAsia="標楷體" w:hAnsi="標楷體"/>
                <w:b/>
                <w:bCs/>
                <w:spacing w:val="20"/>
                <w:szCs w:val="24"/>
              </w:rPr>
              <w:t>會次</w:t>
            </w:r>
          </w:p>
        </w:tc>
        <w:tc>
          <w:tcPr>
            <w:tcW w:w="2552" w:type="dxa"/>
            <w:tcMar>
              <w:top w:w="0" w:type="dxa"/>
              <w:left w:w="28" w:type="dxa"/>
              <w:bottom w:w="0" w:type="dxa"/>
              <w:right w:w="28" w:type="dxa"/>
            </w:tcMar>
            <w:vAlign w:val="center"/>
          </w:tcPr>
          <w:p w14:paraId="08D488E0" w14:textId="77777777" w:rsidR="007D160C" w:rsidRPr="002359DB"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2359DB">
              <w:rPr>
                <w:rFonts w:ascii="標楷體" w:eastAsia="標楷體" w:hAnsi="標楷體"/>
                <w:b/>
                <w:bCs/>
                <w:spacing w:val="-20"/>
                <w:szCs w:val="24"/>
              </w:rPr>
              <w:t>備      註</w:t>
            </w:r>
          </w:p>
        </w:tc>
      </w:tr>
    </w:tbl>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704"/>
        <w:gridCol w:w="3686"/>
        <w:gridCol w:w="2551"/>
        <w:gridCol w:w="2552"/>
      </w:tblGrid>
      <w:tr w:rsidR="007D160C" w:rsidRPr="00B95A07" w14:paraId="69599005" w14:textId="77777777" w:rsidTr="001B1EFB">
        <w:trPr>
          <w:cantSplit/>
          <w:trHeight w:val="100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D3B370" w14:textId="77777777" w:rsidR="007D160C" w:rsidRPr="00143260"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97957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行政院函請審議「98年度中央政府總預算第二預備金動支數額表」案。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4D146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第7屆第5會期第2次院會（99.2.26）決定：「交財政委員會會同相關委員會審查」</w:t>
            </w:r>
          </w:p>
        </w:tc>
        <w:tc>
          <w:tcPr>
            <w:tcW w:w="2552" w:type="dxa"/>
            <w:vMerge w:val="restart"/>
            <w:tcBorders>
              <w:top w:val="single" w:sz="4" w:space="0" w:color="000000"/>
              <w:left w:val="single" w:sz="4" w:space="0" w:color="000000"/>
              <w:bottom w:val="single" w:sz="4" w:space="0" w:color="000000"/>
              <w:right w:val="single" w:sz="4" w:space="0" w:color="000000"/>
            </w:tcBorders>
          </w:tcPr>
          <w:p w14:paraId="2E13782C" w14:textId="77777777" w:rsidR="007D160C" w:rsidRDefault="007D160C" w:rsidP="00F470A8">
            <w:pPr>
              <w:widowControl w:val="0"/>
              <w:overflowPunct w:val="0"/>
              <w:autoSpaceDN/>
              <w:spacing w:line="340" w:lineRule="exact"/>
              <w:ind w:left="240" w:hangingChars="100" w:hanging="240"/>
              <w:jc w:val="both"/>
              <w:textAlignment w:val="auto"/>
              <w:rPr>
                <w:rFonts w:ascii="標楷體" w:eastAsia="標楷體" w:hAnsi="標楷體"/>
                <w:color w:val="000000" w:themeColor="text1"/>
                <w:szCs w:val="24"/>
              </w:rPr>
            </w:pPr>
            <w:r>
              <w:rPr>
                <w:rFonts w:ascii="標楷體" w:eastAsia="標楷體" w:hAnsi="標楷體" w:hint="eastAsia"/>
                <w:color w:val="000000" w:themeColor="text1"/>
                <w:szCs w:val="24"/>
              </w:rPr>
              <w:t>1.</w:t>
            </w:r>
            <w:r w:rsidRPr="00547CAC">
              <w:rPr>
                <w:rFonts w:ascii="標楷體" w:eastAsia="標楷體" w:hAnsi="標楷體" w:hint="eastAsia"/>
                <w:color w:val="000000" w:themeColor="text1"/>
                <w:szCs w:val="24"/>
              </w:rPr>
              <w:t>因逾</w:t>
            </w:r>
            <w:r>
              <w:rPr>
                <w:rFonts w:ascii="標楷體" w:eastAsia="標楷體" w:hAnsi="標楷體" w:hint="eastAsia"/>
                <w:color w:val="000000" w:themeColor="text1"/>
                <w:szCs w:val="24"/>
              </w:rPr>
              <w:t>各該</w:t>
            </w:r>
            <w:r w:rsidRPr="00547CAC">
              <w:rPr>
                <w:rFonts w:ascii="標楷體" w:eastAsia="標楷體" w:hAnsi="標楷體" w:hint="eastAsia"/>
                <w:color w:val="000000" w:themeColor="text1"/>
                <w:szCs w:val="24"/>
              </w:rPr>
              <w:t>年度預算執行期間，本會於113.</w:t>
            </w:r>
            <w:r>
              <w:rPr>
                <w:rFonts w:ascii="標楷體" w:eastAsia="標楷體" w:hAnsi="標楷體" w:hint="eastAsia"/>
                <w:color w:val="000000" w:themeColor="text1"/>
                <w:szCs w:val="24"/>
              </w:rPr>
              <w:t>8</w:t>
            </w:r>
            <w:r w:rsidRPr="00547CAC">
              <w:rPr>
                <w:rFonts w:ascii="標楷體" w:eastAsia="標楷體" w:hAnsi="標楷體" w:hint="eastAsia"/>
                <w:color w:val="000000" w:themeColor="text1"/>
                <w:szCs w:val="24"/>
              </w:rPr>
              <w:t>.</w:t>
            </w:r>
            <w:r>
              <w:rPr>
                <w:rFonts w:ascii="標楷體" w:eastAsia="標楷體" w:hAnsi="標楷體" w:hint="eastAsia"/>
                <w:color w:val="000000" w:themeColor="text1"/>
                <w:szCs w:val="24"/>
              </w:rPr>
              <w:t>16</w:t>
            </w:r>
            <w:r w:rsidRPr="00547CAC">
              <w:rPr>
                <w:rFonts w:ascii="標楷體" w:eastAsia="標楷體" w:hAnsi="標楷體" w:hint="eastAsia"/>
                <w:color w:val="000000" w:themeColor="text1"/>
                <w:szCs w:val="24"/>
              </w:rPr>
              <w:t>函議事處提報院會准予備查。</w:t>
            </w:r>
          </w:p>
          <w:p w14:paraId="3BF60CE5" w14:textId="77777777" w:rsidR="007D160C" w:rsidRPr="00B95A07" w:rsidRDefault="007D160C" w:rsidP="00F470A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B95A07" w14:paraId="63C7342F"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2BF7000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CA1D0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DC8B717"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第7屆第3會期第7次院會（98.4.3）決定：「交財政、司法及法制兩委員會審查」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824B882"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5259FDDB"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6C29CA8F"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4CC7D6"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9B283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第7屆第3會期第10次院會</w:t>
            </w:r>
            <w:r w:rsidRPr="004761BB">
              <w:rPr>
                <w:rFonts w:ascii="標楷體" w:eastAsia="標楷體" w:hAnsi="標楷體"/>
                <w:spacing w:val="-20"/>
                <w:kern w:val="2"/>
                <w:szCs w:val="24"/>
              </w:rPr>
              <w:t>（98.4.28）</w:t>
            </w:r>
            <w:r w:rsidRPr="00B95A07">
              <w:rPr>
                <w:rFonts w:ascii="標楷體" w:eastAsia="標楷體" w:hAnsi="標楷體"/>
                <w:kern w:val="2"/>
                <w:szCs w:val="24"/>
              </w:rPr>
              <w:t>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161DCA1"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54E2C8E9"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616C8DA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832A5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行政院函為行政院勞工委員會辦理勞工權益基金相關計畫所需經費5,000 萬元，動支98年度中央政府總預算第二預備金支應，茲檢送第二預備金動支數額機關別表案。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FD24C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第7屆第4會期第6次院會（98.10.23）決定：「交財政、社會福利及衛生環境兩委員會審查」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0799F59"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0943EC89"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1B42799A"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3FB78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71755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第7屆第4會期第8次院會（98.11.6）決定：「交財政、經濟兩委員會審查」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6AE56C8"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23110B7D"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0DD5E7E3"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2DB81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行政院函為法務部辦理「易服社會勞動計畫」，相關經費1億3,500萬元，動支98年度中央政府總預算第二預備金支應，茲檢送第二預備金動支數額機關別表案。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FB64C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第7屆第4會期第8次院會（98.11.6）決定：「交財政、司法及法制兩委員會審查」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D550E43"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595A98D9" w14:textId="77777777" w:rsidTr="004761BB">
        <w:trPr>
          <w:cantSplit/>
          <w:trHeight w:val="423"/>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5FF28A82"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B87DB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行政院函為衛生署因應H1N1新型流感疫情，採購H1N1新型流感疫苗、抗病毒藥劑及防護裝備等所需經費17億元，動支本（98）年度中央政府總預算第二預備金支應，茲檢送第二預備金動支數額機關別</w:t>
            </w:r>
            <w:r w:rsidRPr="00B95A07">
              <w:rPr>
                <w:rFonts w:ascii="標楷體" w:eastAsia="標楷體" w:hAnsi="標楷體"/>
                <w:kern w:val="2"/>
                <w:szCs w:val="24"/>
              </w:rPr>
              <w:lastRenderedPageBreak/>
              <w:t>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BC6D5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第7屆第4會期第12次院會（98.12.4）決定：「交財政、社會福利及衛生環境兩委員會審查」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DBB6691"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23CDA247" w14:textId="77777777" w:rsidTr="001B1EFB">
        <w:trPr>
          <w:cantSplit/>
          <w:trHeight w:val="114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03A6A45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FA3E9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行政院函為內政部役政署辦理「97－98年短期促進就業措施」，增加徵集7,200名替代役役男入營服役，98年度辦理替代役工作經費不敷1億9,500萬元，茲檢送第二預備金動支數額機關別表案</w:t>
            </w:r>
            <w:r w:rsidRPr="00B95A07">
              <w:rPr>
                <w:rFonts w:ascii="標楷體" w:eastAsia="標楷體" w:hAnsi="標楷體" w:hint="eastAsia"/>
                <w:kern w:val="2"/>
                <w:szCs w:val="24"/>
              </w:rPr>
              <w:t>。</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411E0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第7屆第4會期第16次院會（99.1.5）決定：「交財政、內政兩委員會審查」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62991DD" w14:textId="77777777" w:rsidR="007D160C" w:rsidRPr="00B95A07" w:rsidRDefault="007D160C" w:rsidP="00F470A8">
            <w:pPr>
              <w:widowControl w:val="0"/>
              <w:overflowPunct w:val="0"/>
              <w:autoSpaceDN/>
              <w:spacing w:line="340" w:lineRule="exact"/>
              <w:ind w:left="238" w:hanging="238"/>
              <w:jc w:val="both"/>
              <w:textAlignment w:val="auto"/>
              <w:rPr>
                <w:rFonts w:ascii="標楷體" w:eastAsia="標楷體" w:hAnsi="標楷體"/>
                <w:kern w:val="2"/>
                <w:szCs w:val="24"/>
              </w:rPr>
            </w:pPr>
          </w:p>
        </w:tc>
      </w:tr>
      <w:tr w:rsidR="007D160C" w:rsidRPr="00B95A07" w14:paraId="24936530" w14:textId="77777777" w:rsidTr="001B1EFB">
        <w:trPr>
          <w:cantSplit/>
          <w:trHeight w:val="1612"/>
        </w:trPr>
        <w:tc>
          <w:tcPr>
            <w:tcW w:w="704"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22D75337"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A01B2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行政院函送該院海岸巡防署海岸巡防總局及所屬98年度人事費不敷1億6,458萬9,000元，動支本年度中央政府總預算第二預備金支應，茲檢送第二預備金動支數額機關別表案。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3E8D8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第7屆第4會期第16次院會（99.1.5）決定：「交財政、內政兩委員會審查」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0C805C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bCs/>
                <w:kern w:val="2"/>
                <w:szCs w:val="24"/>
              </w:rPr>
            </w:pPr>
          </w:p>
        </w:tc>
      </w:tr>
      <w:tr w:rsidR="007D160C" w:rsidRPr="00B95A07" w14:paraId="591A2EBA" w14:textId="77777777" w:rsidTr="001B1EFB">
        <w:trPr>
          <w:cantSplit/>
          <w:trHeight w:val="191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9DA28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6FEDF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08813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第7屆第4會期第17次院會（99.1.7）決定：「交財政、經濟兩委員會審查」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1529B3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bCs/>
                <w:kern w:val="2"/>
                <w:szCs w:val="24"/>
              </w:rPr>
            </w:pPr>
          </w:p>
        </w:tc>
      </w:tr>
      <w:tr w:rsidR="007D160C" w:rsidRPr="00B95A07" w14:paraId="387B96D4" w14:textId="77777777" w:rsidTr="001B1EFB">
        <w:trPr>
          <w:cantSplit/>
          <w:trHeight w:val="156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7F7EE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34F18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21F6E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第7屆第4會期第17次院會（99.1.7）決定：「交財政、司法及法制兩委員會審查」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60993E6"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8472A51" w14:textId="77777777" w:rsidTr="00160EAD">
        <w:trPr>
          <w:cantSplit/>
          <w:trHeight w:val="135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56064C" w14:textId="77777777" w:rsidR="007D160C" w:rsidRPr="001931B5"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3C962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行政院函請審議「99年度中央政府總預算第二預備金動支數額表」案。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5962D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第7屆第7會期第1次院會（100.2.22）決定：「交財政委員會會同有關委員會審查」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23076B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spacing w:val="-6"/>
                <w:kern w:val="2"/>
                <w:szCs w:val="24"/>
              </w:rPr>
            </w:pPr>
          </w:p>
        </w:tc>
      </w:tr>
      <w:tr w:rsidR="007D160C" w:rsidRPr="00B95A07" w14:paraId="5795B56F" w14:textId="77777777" w:rsidTr="001B1EFB">
        <w:trPr>
          <w:cantSplit/>
          <w:trHeight w:val="93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2F251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AFB28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行政院函請審議「100年度中央政府總預算第二預備金動支數額表」案。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60116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第8屆第1會期第6次院會（101.4.6）決定：「交財政委員會</w:t>
            </w:r>
            <w:r>
              <w:rPr>
                <w:rFonts w:ascii="標楷體" w:eastAsia="標楷體" w:hAnsi="標楷體" w:hint="eastAsia"/>
                <w:kern w:val="2"/>
                <w:szCs w:val="24"/>
              </w:rPr>
              <w:t>會同有關委員會</w:t>
            </w:r>
            <w:r w:rsidRPr="00B95A07">
              <w:rPr>
                <w:rFonts w:ascii="標楷體" w:eastAsia="標楷體" w:hAnsi="標楷體"/>
                <w:kern w:val="2"/>
                <w:szCs w:val="24"/>
              </w:rPr>
              <w:t>審查」</w:t>
            </w:r>
          </w:p>
        </w:tc>
        <w:tc>
          <w:tcPr>
            <w:tcW w:w="2552" w:type="dxa"/>
            <w:vMerge/>
            <w:tcBorders>
              <w:top w:val="single" w:sz="4" w:space="0" w:color="000000"/>
              <w:left w:val="single" w:sz="4" w:space="0" w:color="000000"/>
              <w:bottom w:val="single" w:sz="4" w:space="0" w:color="000000"/>
              <w:right w:val="single" w:sz="4" w:space="0" w:color="000000"/>
            </w:tcBorders>
          </w:tcPr>
          <w:p w14:paraId="2789412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806D6F5" w14:textId="77777777" w:rsidTr="001B1EFB">
        <w:trPr>
          <w:cantSplit/>
          <w:trHeight w:val="135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5E409D" w14:textId="77777777" w:rsidR="007D160C" w:rsidRPr="00DF4C7F"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E17FF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F79BD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第8屆第1會期第10次院會（101.5.4）決定：「交財政、外交及國防兩委員會審查」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A21A6C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D3FE00E" w14:textId="77777777" w:rsidTr="001B1EFB">
        <w:trPr>
          <w:cantSplit/>
          <w:trHeight w:val="157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71729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045A87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5C3A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第8屆第1會期第10次院會（101.5.4）決定：「交財政、司法及法制兩委員會審查」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C35F68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F18F2C9" w14:textId="77777777" w:rsidTr="001B1EFB">
        <w:trPr>
          <w:cantSplit/>
          <w:trHeight w:val="157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833D59"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D5450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行政院函為該院體育委員會為補助臺北市政府辦理「2017年世界大學運動會」所需權利金，動支100年度中央政府總預算第二預備金1億元支應，檢送第二預備金動支數額機關別表案。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C5817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第8屆第1會期第11次院會（101.5.11）決定：「交財政、教育及文化兩委員會審查」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F03C7E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03B2182" w14:textId="77777777" w:rsidTr="001B1EFB">
        <w:trPr>
          <w:cantSplit/>
          <w:trHeight w:val="1256"/>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26EB4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1BD51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行政院函請審議「102年度中央政府總預算第二預備金動支數額表」案。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CB6B5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第8屆第5會期第1次院會（103.2.21）決定：「交財政委員會會同有關委員會審查」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BE2A0A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74F5A82"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813A16"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9E513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9F3A9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第8屆第3會期第15次院會（102.5.31）決定：「交財政、經濟兩委員會審查」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697C43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8292E07"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4FEF9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A831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行政院函為中央研究院為「國家生技研究園區」開發計畫土地徵收不足款6億5,500萬元，動支102年度中央政府總預算第二預備金支應，檢送第二預備金動</w:t>
            </w:r>
          </w:p>
          <w:p w14:paraId="4A792E7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支數額機關別表案</w:t>
            </w:r>
            <w:r w:rsidRPr="00B95A07">
              <w:rPr>
                <w:rFonts w:ascii="標楷體" w:eastAsia="標楷體" w:hAnsi="標楷體" w:hint="eastAsia"/>
                <w:kern w:val="2"/>
                <w:szCs w:val="24"/>
              </w:rPr>
              <w:t>。</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F7977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第8屆第4會期第6次院會（102.10.18）決定：「交財政、教育及文化兩委員會審查」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67A981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7C1EAC7"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D7988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0493D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行政院函為內政部為辦理「我國長期照顧十年計畫」所需經費不敷7億3,000萬元，動支102年度中央政府總預算第二預備金支應，檢送第二預備金動支數額機關別表案。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A9977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第8屆第4會期第6次院會（102.10.18）決定：「交財政、社會福利及衛生環境兩委員會審查」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724BF0B"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C3BD134"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58AFB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597D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290F4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C3BC68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9D03121"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D59F8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556CC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行政院函為該院衛生署為因應H7N9流感疫情，相關防疫工作所需經費不敷5億4,809萬8,000元，動支102年度中央政府總預算第二預備金支應，檢送第二預備金動支數額機關別表案。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3C239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52DD1A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1463C9D"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F9B3C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73A02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行政院函為衛生福利部（原行政院衛生署）為因應狂犬病疫情，相關防疫工作所需經費不敷9,633萬元，動支102年度中央政府總預算第二預備金支應，檢送第二預備金動支數額機關別表案。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D2F7F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E7FA0B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5EF5F57"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903798"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B16C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9E4F1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第8屆第4會期第9次院會（102.11.8）決定：「交財政、社會福利及衛生環境兩委員會審查」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64DE8F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2907608" w14:textId="77777777" w:rsidTr="001B1EFB">
        <w:trPr>
          <w:cantSplit/>
          <w:trHeight w:val="182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29600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54C03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5E93C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第8屆第4會期第16次院會（102.12.27）決定：「交財政、教育及文化兩委員會審查」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2585A6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8B85974" w14:textId="77777777" w:rsidTr="001B1EFB">
        <w:trPr>
          <w:cantSplit/>
          <w:trHeight w:val="225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0D0A9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5C1C1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行政院函為教育部體育署為頒發東亞運動會等績優運動選手獎勵金不敷，動支102年度中央政府總預算第二預備金1億1,206萬6,000元支應，檢送第二預備金動支數額機關別表案。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AEAB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第8屆第4會期第16次院會（102.12.27）決定：「交財政、教育及文化兩委員會審查」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DF12F8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329D1FE" w14:textId="77777777" w:rsidTr="001B1EFB">
        <w:trPr>
          <w:cantSplit/>
          <w:trHeight w:val="225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4C9F1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D7F26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F6746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第8屆第4會期第17次院會（103.1.3）決定：「交財政、內政兩委員會審查」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6DC0E9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E7A4D33" w14:textId="77777777" w:rsidTr="001B1EFB">
        <w:trPr>
          <w:cantSplit/>
          <w:trHeight w:val="153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69A3C9"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BD3DC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行政院函為行政院農業委員會為本（102）年度公糧稻穀收購所需經費不敷9億元，動支102年度中央政府總預算第二預備金撥充農業發展基金辦理，檢送第二預備金動支數額機關別表案。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FF89B8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第8屆第4會期第18次院會（103.1.9）決定：「交財政、經濟兩委員會審查」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F73F49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1FB5977"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F04DE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1EA8A5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行政院函請審議「105年度中央政府總預算第二預備金動支數額表」案。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C9EE2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第9屆第3會期第1次院會（106.2.17）決定：「交財政委員會會同有關委員會審查」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6C1C04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0B9DE862"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A3D7B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9744C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行政院函為海岸巡防署海岸巡防總局及所屬本年度人事費不敷，動支105年度中央政府總預算第二預備金10億9,645萬4,000元支應，檢送第二預備金動支數額機關別表案。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3640B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第9屆第2會期第6次院會（105.10.14）決定：「交財政、內政兩委員會審查」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C5E6037"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10577B2"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E8A8F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A7738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行政院函為海岸巡防署海洋巡防總局艦艇油料及養護經費不敷，動支105年度中央政府總預算第二預備金1億4,273萬元支應，檢送第二預備金動支數額機關別表案。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090EA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第9屆第2會期第9次院會（105.11.8）決定：「交財政、內政兩委員會審查」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4836D5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D1F6022"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CDB52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AAF8E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11A783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第9屆第2會期第12次院會（105.11.25）決定：「交財政、外交及國防兩委員會審查」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F8219A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01A9E39" w14:textId="77777777" w:rsidTr="001B1EFB">
        <w:trPr>
          <w:cantSplit/>
          <w:trHeight w:val="127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B7B5DF"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C8E4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行政院函為財政部國有財產署及所屬繳納經管國有非公用房地地價稅預算不敷，動支105年度中央政府總預算第二預備金1億6,669萬元支應，檢送第二預備金動支數額機關別表案。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EED67A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第9屆第2會期第16次院會（105.12.23）決定：「交財政委員會審查」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4AF31E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AFC22F8" w14:textId="77777777" w:rsidTr="001B1EFB">
        <w:trPr>
          <w:cantSplit/>
          <w:trHeight w:val="192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834BDBD"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5FA4A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3C357D"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第9屆第3會期第2次院會（106.2.24）決定：「交財政、經濟兩委員會審查」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ADCFDA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5C108A6" w14:textId="77777777" w:rsidTr="001B1EFB">
        <w:trPr>
          <w:cantSplit/>
          <w:trHeight w:val="134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D6777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B29F6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行政院函請審議「106年度中央政府總預算第二預備金動支數額表」案。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99CD3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第9屆第5會期第3次院會（107.3.9）決定：「交財政委員會會同有關委員會審查」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1639E6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3694C45" w14:textId="77777777" w:rsidTr="001B1EFB">
        <w:trPr>
          <w:cantSplit/>
          <w:trHeight w:val="145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758E5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E3594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行政院函為銓敘部106年度預算「公務人員退休撫卹給付」科目經費不敷，動支106年度中央政府總預算第二預備金5億7,304萬元支應，茲檢送第二預備金動支數額機關別表案。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E3F9F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第9屆第4會期第3次院會（106.10.6）決定：「交財政、司法及法制兩委員會審查」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5F8588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0A5B4D2" w14:textId="77777777" w:rsidTr="001B1EFB">
        <w:trPr>
          <w:cantSplit/>
          <w:trHeight w:val="56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9FDE5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2273D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C2178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第9屆第4會期第3次院會（106.10.6）決定：「交財政、社會福利及衛生環境兩委員會審查」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20E7B87"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0009CE9" w14:textId="77777777" w:rsidTr="001B1EFB">
        <w:trPr>
          <w:cantSplit/>
          <w:trHeight w:val="69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16C0C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EE0F4B"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CDA643"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第9屆第4會期第6次院會（106.10.27）決定：「交財政委員會審查」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2700F1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E0834B4" w14:textId="77777777" w:rsidTr="00160EAD">
        <w:trPr>
          <w:cantSplit/>
          <w:trHeight w:val="42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90542A"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F99E9C"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行政院函為財政部關務署辦理海運X光貨櫃檢查儀汰舊換新計畫經費不敷1億870萬8,000元，動支106年度中央政府總預算第二預備金支應，茲檢送第二預備金動支數額機</w:t>
            </w:r>
            <w:r w:rsidRPr="00B95A07">
              <w:rPr>
                <w:rFonts w:ascii="標楷體" w:eastAsia="標楷體" w:hAnsi="標楷體"/>
                <w:kern w:val="2"/>
                <w:szCs w:val="24"/>
              </w:rPr>
              <w:lastRenderedPageBreak/>
              <w:t>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4687D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第9屆第4會期第6次院會（106.10.27）決定：「交財政委員會審查」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0D6DDD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4A16952" w14:textId="77777777" w:rsidTr="001B1EFB">
        <w:trPr>
          <w:trHeight w:val="170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DAA372"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BD463F"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13CC61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第9屆第4會期第6次院會（106.10.27）決定：「交財政、內政兩委員會審查」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387324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3E7B721" w14:textId="77777777" w:rsidTr="001B1EFB">
        <w:trPr>
          <w:cantSplit/>
          <w:trHeight w:val="155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52553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9C046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行政院函為海岸巡防署海洋巡防總局艦船艇特別檢驗（大修）經費不敷，動支106年度中央政府總預算第二預備金1億3,221萬4,000元支應，茲檢送第二預備金動支數額機關別表案。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62EDEB"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第9屆第4會期第7次院會（106.11.3）決定：「交財政、內政兩委員會審查」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E4E10C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B9AFD0D" w14:textId="77777777" w:rsidTr="001B1EFB">
        <w:trPr>
          <w:cantSplit/>
          <w:trHeight w:val="149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B695656"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32209E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行政院函為交通部為辦理「因應陸客縮減衝擊國內旅遊措施」所需經費，動支106年度中央政府總預算第二預備金1億2,909萬7,000元支應，茲檢送第二預備金動支數額機關別表案。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BE34CC6"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第9屆第4會期第10次院會（106.11.24）決定：「交財政、交通兩委員會審查」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A04F79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DA778AC" w14:textId="77777777" w:rsidTr="001B1EFB">
        <w:trPr>
          <w:cantSplit/>
          <w:trHeight w:val="70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EAA12E"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364A2A"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C7E8D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第9屆第4會期第14次院會（106.12.22）決定：「交財政委員會審查」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5C3BD00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94C9499" w14:textId="77777777" w:rsidTr="001B1EFB">
        <w:trPr>
          <w:cantSplit/>
          <w:trHeight w:val="124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CCD552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49480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行政院函請審議「107年度中央政府總預算第二預備金動支數額表」案。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5D4CF2"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第9屆第7會期第1次院會（108.2.15）決定：「交財政委員會會同有關委員會審查」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05DCB4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A0C73F7" w14:textId="77777777" w:rsidTr="001B1EFB">
        <w:trPr>
          <w:cantSplit/>
          <w:trHeight w:val="141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ED8CB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93B6C1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行政院函為中央選舉委員會為辦理10案全國性公民投票，動支107年度中央政府總預算第二預備金14億2,423萬4,000元支應，茲檢送第二預備金動支數額機關別表案。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AEB00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第9屆第6會期第10次院會（107.11.23）決定：「交財政、內政兩委員會審查」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3A4F309"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4EDC2299" w14:textId="77777777" w:rsidTr="001B1EFB">
        <w:trPr>
          <w:cantSplit/>
          <w:trHeight w:val="98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C9A073"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1D2DD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行政院函為該院農業委員會水土保持局為因應活化中興新村及進駐辦公廳舍整修、搬遷等相關費用需要，動支107年度中央政府總預算</w:t>
            </w:r>
            <w:r w:rsidRPr="00B95A07">
              <w:rPr>
                <w:rFonts w:ascii="標楷體" w:eastAsia="標楷體" w:hAnsi="標楷體"/>
                <w:kern w:val="2"/>
                <w:szCs w:val="24"/>
              </w:rPr>
              <w:lastRenderedPageBreak/>
              <w:t>第二預備金1億6,334萬4,000元支應，茲檢送第二預備金動支數額機關別表案。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73CD85"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第9屆第6會期第11次院會（107.11.30）決定：「交財政、經濟兩委員會審查」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BA0474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76644598" w14:textId="77777777" w:rsidTr="001B1EFB">
        <w:trPr>
          <w:cantSplit/>
          <w:trHeight w:val="141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28285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9F720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E594C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第9屆第7會期第6次院會（108.3.22）決定：「交財政委員會審查」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288D51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3F9605E3" w14:textId="77777777" w:rsidTr="001B1EFB">
        <w:trPr>
          <w:cantSplit/>
          <w:trHeight w:val="1246"/>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CEE1C9"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B8C8B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行政院函請審議「108年度中央政府總預算第二預備金動支數額表」案。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F9EA1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1</w:t>
            </w:r>
            <w:r w:rsidRPr="00B95A07">
              <w:rPr>
                <w:rFonts w:ascii="標楷體" w:eastAsia="標楷體" w:hAnsi="標楷體"/>
                <w:kern w:val="2"/>
                <w:szCs w:val="24"/>
              </w:rPr>
              <w:t>會期第1次院會（109.2.21）決定：「交財政委員會會同有關委員會審查」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7B95DEEC"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64457D20"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6C9C92"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BF755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行政院函為經濟部為辦理「促進夜市消費方案」所需經費，動支108年度中央政府總預算第二預備金5億4,007萬2,000元支應，茲檢送第二預備金動支數額機關別表案。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055E74"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會期第8</w:t>
            </w:r>
            <w:r w:rsidRPr="00B95A07">
              <w:rPr>
                <w:rFonts w:ascii="標楷體" w:eastAsia="標楷體" w:hAnsi="標楷體" w:hint="eastAsia"/>
                <w:kern w:val="2"/>
                <w:szCs w:val="24"/>
              </w:rPr>
              <w:t>次</w:t>
            </w:r>
            <w:r w:rsidRPr="00B95A07">
              <w:rPr>
                <w:rFonts w:ascii="標楷體" w:eastAsia="標楷體" w:hAnsi="標楷體"/>
                <w:kern w:val="2"/>
                <w:szCs w:val="24"/>
              </w:rPr>
              <w:t>院會（108.11.1）決定：「交財政、經濟兩委員會審查」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B05456F"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C7A8EE8"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8DE319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21E03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A4C20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會期第8</w:t>
            </w:r>
            <w:r w:rsidRPr="00B95A07">
              <w:rPr>
                <w:rFonts w:ascii="標楷體" w:eastAsia="標楷體" w:hAnsi="標楷體" w:hint="eastAsia"/>
                <w:kern w:val="2"/>
                <w:szCs w:val="24"/>
              </w:rPr>
              <w:t>次</w:t>
            </w:r>
            <w:r w:rsidRPr="00B95A07">
              <w:rPr>
                <w:rFonts w:ascii="標楷體" w:eastAsia="標楷體" w:hAnsi="標楷體"/>
                <w:kern w:val="2"/>
                <w:szCs w:val="24"/>
              </w:rPr>
              <w:t>院會（108.11.1）決定：「交財政、經濟兩委員會審查」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8B46B0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42CA7C0"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4C9504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A1A2A4F"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行政院函為該院農業委員會漁業署核發自願性休漁獎勵金經費不敷，動支108年度中央政府總預算第二預備金1億8,840萬元支應，茲檢送第二預備金動支數額機關別表案。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D5E31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11次</w:t>
            </w:r>
            <w:r w:rsidRPr="00B95A07">
              <w:rPr>
                <w:rFonts w:ascii="標楷體" w:eastAsia="標楷體" w:hAnsi="標楷體"/>
                <w:kern w:val="2"/>
                <w:szCs w:val="24"/>
              </w:rPr>
              <w:t>院會（108.11.22）決定：「交財政、經濟兩委員會審查」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076447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1B882A4" w14:textId="77777777" w:rsidTr="001B1EFB">
        <w:trPr>
          <w:cantSplit/>
          <w:trHeight w:val="131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2C3E8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67895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行政院函為海洋委員會海巡署及所屬本(108)年度人事費不敷，動支本年度中央政府總預算第二預備金5億3,643萬元支應，茲檢送第二預備金動支數額機關別表案。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B0D000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內政</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3CC737E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5FF012C5"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78B2BB"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6D920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行政院函為國防部所屬本(108)年度人事費不敷，動支本年度中央政府總預算第二預備金17億5,000萬元支應，茲檢送第二預備金動支數額機關別表案。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877461"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外交及國防</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6488674E"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DEE37D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0CFDF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576A905"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行政院函為飛航安全調查委員會改制為國家運輸安全調查委員會之業務運作，前動支108年度中央政府總預算第二預備金1億1,324萬7,000元支應一案，茲檢送第二預備金動支數額機關別修正表案。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3EED9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交通</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D2CE23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6876C88"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E1C665"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84D18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r w:rsidRPr="00B95A07">
              <w:rPr>
                <w:rFonts w:ascii="標楷體" w:eastAsia="標楷體" w:hAnsi="標楷體"/>
                <w:kern w:val="2"/>
                <w:szCs w:val="24"/>
              </w:rPr>
              <w:t>109年度中央政府總預算第二預備金動支數額表」案。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866204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3</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院會（110.3.5）決定：「交財政委員會</w:t>
            </w:r>
            <w:r w:rsidRPr="00B95A07">
              <w:rPr>
                <w:rFonts w:ascii="標楷體" w:eastAsia="標楷體" w:hAnsi="標楷體" w:hint="eastAsia"/>
                <w:kern w:val="2"/>
                <w:szCs w:val="24"/>
              </w:rPr>
              <w:t>會同有關委員會審查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50F0F22C"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D99337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5B827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A9AA2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行政院函行政院農業委員會林務局辦理「向海致敬－海岸清潔維護計畫」經費不敷，動支</w:t>
            </w:r>
            <w:r w:rsidRPr="00B95A07">
              <w:rPr>
                <w:rFonts w:ascii="標楷體" w:eastAsia="標楷體" w:hAnsi="標楷體"/>
                <w:kern w:val="2"/>
                <w:szCs w:val="24"/>
              </w:rPr>
              <w:t>109年度中央政府總預算第二預備金1億2,804萬4,000元支應，茲檢送第二預備金動支數額機關別表案。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F1BBF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1CC3C63F"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659857E"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58D24C"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88749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行政院函為行政院農業委員會漁業署辦理「向海致敬－海岸清潔維護計畫」經費不敷，動支</w:t>
            </w:r>
            <w:r w:rsidRPr="00B95A07">
              <w:rPr>
                <w:rFonts w:ascii="標楷體" w:eastAsia="標楷體" w:hAnsi="標楷體"/>
                <w:kern w:val="2"/>
                <w:szCs w:val="24"/>
              </w:rPr>
              <w:t>109年度中央政府總預算第二預備金9,369萬9,000元支應，茲檢送第二預備金動支數額機關別表案。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ECB90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048390E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53E34727"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62FB6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52927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行政院函為促進轉型正義委員會為因應延長任期所需人事費、基本行政工作維持及辦理促進轉型正義相關業務等經費，動支</w:t>
            </w:r>
            <w:r w:rsidRPr="00B95A07">
              <w:rPr>
                <w:rFonts w:ascii="標楷體" w:eastAsia="標楷體" w:hAnsi="標楷體"/>
                <w:kern w:val="2"/>
                <w:szCs w:val="24"/>
              </w:rPr>
              <w:t>109年度中央政府總預算第二預備金5,292萬元支應，茲檢送第二預備金動支數額機關別表案。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C93A4A"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w:t>
            </w:r>
            <w:r w:rsidRPr="00B95A07">
              <w:rPr>
                <w:rFonts w:ascii="標楷體" w:eastAsia="標楷體" w:hAnsi="標楷體" w:hint="eastAsia"/>
                <w:kern w:val="2"/>
                <w:szCs w:val="24"/>
              </w:rPr>
              <w:t>司法及法制</w:t>
            </w:r>
            <w:r w:rsidRPr="00B95A07">
              <w:rPr>
                <w:rFonts w:ascii="標楷體" w:eastAsia="標楷體" w:hAnsi="標楷體"/>
                <w:kern w:val="2"/>
                <w:szCs w:val="24"/>
              </w:rPr>
              <w:t>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3CE1408"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B95A07" w14:paraId="23CA85E2"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2D919D"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3803D5"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行政院函為該院農業委員會辦理農田水利會改制公務機關財產移轉登記所需繳交之規費，動支</w:t>
            </w:r>
            <w:r w:rsidRPr="00B95A07">
              <w:rPr>
                <w:rFonts w:ascii="標楷體" w:eastAsia="標楷體" w:hAnsi="標楷體"/>
                <w:kern w:val="2"/>
                <w:szCs w:val="24"/>
              </w:rPr>
              <w:t>109年度中央政府總預算第二預備金2億1,590萬5,000元支應，茲檢送第二預備金動支數額機關別表案。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BF7ED6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8次</w:t>
            </w:r>
            <w:r w:rsidRPr="00B95A07">
              <w:rPr>
                <w:rFonts w:ascii="標楷體" w:eastAsia="標楷體" w:hAnsi="標楷體"/>
                <w:kern w:val="2"/>
                <w:szCs w:val="24"/>
              </w:rPr>
              <w:t>院會（109.12.18）決定：「交財政、經濟兩委員會審查」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215A646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33A6784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7EE70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70B1C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行政院函為該院農業委員會漁業署核發自願性休漁獎勵金經費不敷，動支</w:t>
            </w:r>
            <w:r w:rsidRPr="00B95A07">
              <w:rPr>
                <w:rFonts w:ascii="標楷體" w:eastAsia="標楷體" w:hAnsi="標楷體"/>
                <w:kern w:val="2"/>
                <w:szCs w:val="24"/>
              </w:rPr>
              <w:t>109年度中央政府總預算第二預備金1億7,726萬元支應，茲檢送第二預備金動支數額機關別表案。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4621EA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8次</w:t>
            </w:r>
            <w:r w:rsidRPr="00B95A07">
              <w:rPr>
                <w:rFonts w:ascii="標楷體" w:eastAsia="標楷體" w:hAnsi="標楷體"/>
                <w:kern w:val="2"/>
                <w:szCs w:val="24"/>
              </w:rPr>
              <w:t>院會（109.12.18）決定：「交財政、經濟兩委員會審查」</w:t>
            </w:r>
          </w:p>
        </w:tc>
        <w:tc>
          <w:tcPr>
            <w:tcW w:w="2552" w:type="dxa"/>
            <w:vMerge/>
            <w:tcBorders>
              <w:top w:val="single" w:sz="4" w:space="0" w:color="000000"/>
              <w:left w:val="single" w:sz="4" w:space="0" w:color="000000"/>
              <w:bottom w:val="single" w:sz="4" w:space="0" w:color="000000"/>
              <w:right w:val="single" w:sz="4" w:space="0" w:color="000000"/>
            </w:tcBorders>
          </w:tcPr>
          <w:p w14:paraId="433DC474"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249EF6FE"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61D38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FBB1D1"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行政院函請審議「110年度中央政府總預算第二預備金動支數額表」案。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E14A0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4</w:t>
            </w:r>
            <w:r w:rsidRPr="00B95A07">
              <w:rPr>
                <w:rFonts w:ascii="標楷體" w:eastAsia="標楷體" w:hAnsi="標楷體"/>
                <w:kern w:val="2"/>
                <w:szCs w:val="24"/>
              </w:rPr>
              <w:t>）決定：「交財政委員會</w:t>
            </w:r>
            <w:r w:rsidRPr="00B95A07">
              <w:rPr>
                <w:rFonts w:ascii="標楷體" w:eastAsia="標楷體" w:hAnsi="標楷體" w:hint="eastAsia"/>
                <w:kern w:val="2"/>
                <w:szCs w:val="24"/>
              </w:rPr>
              <w:t>會同有關委員會審查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26E11993"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73374DA7"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17638E8"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71CC7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行政院函為文化部為辦理衛武營藝術文化中心建築裝修水電空調工程履約爭議求償經費，動支110年度中央政府總預算第二預備金6,663萬元，茲檢送第二預備金動支數額機關別表案。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BD9CD7"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4</w:t>
            </w:r>
            <w:r w:rsidRPr="00B95A07">
              <w:rPr>
                <w:rFonts w:ascii="標楷體" w:eastAsia="標楷體" w:hAnsi="標楷體"/>
                <w:kern w:val="2"/>
                <w:szCs w:val="24"/>
              </w:rPr>
              <w:t>）決定：「交財政</w:t>
            </w:r>
            <w:r w:rsidRPr="00B95A07">
              <w:rPr>
                <w:rFonts w:ascii="標楷體" w:eastAsia="標楷體" w:hAnsi="標楷體" w:hint="eastAsia"/>
                <w:kern w:val="2"/>
                <w:szCs w:val="24"/>
              </w:rPr>
              <w:t>、教育及文化兩委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7436BE8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48D547B1"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AAE40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5F98FD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行政院函為交通部為補助連江縣政府辨理「建造新臺馬輪1艘造船統包工程」所需經費，動支110年度中央政府總預算第二預備金8,413萬3,000元支應，茲檢送第二預備金動支數額機關別表案。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11168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4499516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2595162"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92C38A1"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853E78"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行政院函為交通部觀光局為撥補觀光發展基金減輕其財務負擔所需經費，動支110年度中央政府總預算第二預備金5億元支應，茲檢送第二預備金動支數額機關別表案。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2BA747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061297E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3D794AF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93CA63"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C7EAC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行政院函為交通部公路總局為辦理「公路公共運輸服務升級計畫」所需經費不敷，動支110年度中央政府總預算第二預備金4億1,600萬元支應，茲檢送第二預備金動支數額機關別表案。</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8640E3"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4" w:space="0" w:color="000000"/>
              <w:right w:val="single" w:sz="4" w:space="0" w:color="000000"/>
            </w:tcBorders>
          </w:tcPr>
          <w:p w14:paraId="6C741C94"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569FDC8A" w14:textId="77777777" w:rsidTr="00F40923">
        <w:trPr>
          <w:cantSplit/>
          <w:trHeight w:val="1145"/>
        </w:trPr>
        <w:tc>
          <w:tcPr>
            <w:tcW w:w="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13E6AB4"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2906E56"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行政院函為衛生福利部食品藥物管理署辦理「110年度畜肉安心計畫」所需經費不敷，前動支110年度中央政府總預算第二預備金2億8,414萬7,000元支應一案，茲檢送第二預備金動支數額機關別修正表案。</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9E57EEE"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10次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w:t>
            </w:r>
            <w:r w:rsidRPr="00B95A07">
              <w:rPr>
                <w:rFonts w:ascii="標楷體" w:eastAsia="標楷體" w:hAnsi="標楷體"/>
                <w:kern w:val="2"/>
                <w:szCs w:val="24"/>
              </w:rPr>
              <w:t>9）決定：「交財政</w:t>
            </w:r>
            <w:r w:rsidRPr="00B95A07">
              <w:rPr>
                <w:rFonts w:ascii="標楷體" w:eastAsia="標楷體" w:hAnsi="標楷體" w:hint="eastAsia"/>
                <w:kern w:val="2"/>
                <w:szCs w:val="24"/>
              </w:rPr>
              <w:t>、社會福利及衛生環境兩委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552" w:type="dxa"/>
            <w:vMerge/>
            <w:tcBorders>
              <w:top w:val="single" w:sz="4" w:space="0" w:color="000000"/>
              <w:left w:val="single" w:sz="4" w:space="0" w:color="000000"/>
              <w:bottom w:val="single" w:sz="12" w:space="0" w:color="000000"/>
              <w:right w:val="single" w:sz="4" w:space="0" w:color="000000"/>
            </w:tcBorders>
          </w:tcPr>
          <w:p w14:paraId="74435850"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54B3CBD2" w14:textId="77777777" w:rsidTr="00F40923">
        <w:trPr>
          <w:cantSplit/>
          <w:trHeight w:val="1145"/>
        </w:trPr>
        <w:tc>
          <w:tcPr>
            <w:tcW w:w="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DC6E20"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C79B338" w14:textId="77777777" w:rsidR="007D160C" w:rsidRPr="00064DF0"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行政院函為內政部移民署辦理「內政部擴大查處逾期停(居)留外來人口專案實施計畫」整備作業經費不敷，動支111年度中央政府總預算第二預備金1億432萬6,000元支應，茲檢送第二預備金動支數額機關別表案。</w:t>
            </w:r>
          </w:p>
        </w:tc>
        <w:tc>
          <w:tcPr>
            <w:tcW w:w="255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3DD2CE9" w14:textId="77777777" w:rsidR="007D160C" w:rsidRPr="00064DF0" w:rsidRDefault="007D160C" w:rsidP="00F470A8">
            <w:pPr>
              <w:widowControl w:val="0"/>
              <w:overflowPunct w:val="0"/>
              <w:autoSpaceDN/>
              <w:spacing w:line="300" w:lineRule="exact"/>
              <w:jc w:val="both"/>
              <w:textAlignment w:val="auto"/>
              <w:rPr>
                <w:rFonts w:ascii="標楷體" w:eastAsia="標楷體" w:hAnsi="標楷體"/>
                <w:kern w:val="2"/>
                <w:szCs w:val="24"/>
              </w:rPr>
            </w:pPr>
            <w:r w:rsidRPr="00064DF0">
              <w:rPr>
                <w:rFonts w:ascii="標楷體" w:eastAsia="標楷體" w:hAnsi="標楷體" w:hint="eastAsia"/>
                <w:kern w:val="2"/>
                <w:szCs w:val="24"/>
              </w:rPr>
              <w:t>第10屆第6會期第3次院會(111.10.7</w:t>
            </w:r>
            <w:r w:rsidRPr="00064DF0">
              <w:rPr>
                <w:rFonts w:ascii="標楷體" w:eastAsia="標楷體" w:hAnsi="標楷體"/>
                <w:kern w:val="2"/>
                <w:szCs w:val="24"/>
              </w:rPr>
              <w:t>)</w:t>
            </w:r>
            <w:r w:rsidRPr="00064DF0">
              <w:rPr>
                <w:rFonts w:ascii="標楷體" w:eastAsia="標楷體" w:hAnsi="標楷體" w:hint="eastAsia"/>
                <w:kern w:val="2"/>
                <w:szCs w:val="24"/>
              </w:rPr>
              <w:t>決定：「交財政、內政兩委員會審查」</w:t>
            </w:r>
          </w:p>
        </w:tc>
        <w:tc>
          <w:tcPr>
            <w:tcW w:w="2552" w:type="dxa"/>
            <w:vMerge w:val="restart"/>
            <w:tcBorders>
              <w:top w:val="single" w:sz="12" w:space="0" w:color="000000"/>
              <w:left w:val="single" w:sz="4" w:space="0" w:color="000000"/>
              <w:bottom w:val="single" w:sz="4" w:space="0" w:color="000000"/>
              <w:right w:val="single" w:sz="4" w:space="0" w:color="000000"/>
            </w:tcBorders>
          </w:tcPr>
          <w:p w14:paraId="571097A6" w14:textId="77777777" w:rsidR="007D160C" w:rsidRDefault="007D160C" w:rsidP="00F470A8">
            <w:pPr>
              <w:widowControl w:val="0"/>
              <w:overflowPunct w:val="0"/>
              <w:autoSpaceDN/>
              <w:spacing w:line="340" w:lineRule="exact"/>
              <w:ind w:left="240" w:hangingChars="100" w:hanging="240"/>
              <w:jc w:val="both"/>
              <w:textAlignment w:val="auto"/>
              <w:rPr>
                <w:rFonts w:ascii="標楷體" w:eastAsia="標楷體" w:hAnsi="標楷體"/>
                <w:color w:val="000000" w:themeColor="text1"/>
                <w:szCs w:val="24"/>
              </w:rPr>
            </w:pPr>
            <w:r>
              <w:rPr>
                <w:rFonts w:ascii="標楷體" w:eastAsia="標楷體" w:hAnsi="標楷體" w:hint="eastAsia"/>
                <w:color w:val="000000" w:themeColor="text1"/>
                <w:szCs w:val="24"/>
              </w:rPr>
              <w:t>1.</w:t>
            </w:r>
            <w:r w:rsidRPr="00547CAC">
              <w:rPr>
                <w:rFonts w:ascii="標楷體" w:eastAsia="標楷體" w:hAnsi="標楷體" w:hint="eastAsia"/>
                <w:color w:val="000000" w:themeColor="text1"/>
                <w:szCs w:val="24"/>
              </w:rPr>
              <w:t>因逾</w:t>
            </w:r>
            <w:r>
              <w:rPr>
                <w:rFonts w:ascii="標楷體" w:eastAsia="標楷體" w:hAnsi="標楷體" w:hint="eastAsia"/>
                <w:color w:val="000000" w:themeColor="text1"/>
                <w:szCs w:val="24"/>
              </w:rPr>
              <w:t>各該</w:t>
            </w:r>
            <w:r w:rsidRPr="00547CAC">
              <w:rPr>
                <w:rFonts w:ascii="標楷體" w:eastAsia="標楷體" w:hAnsi="標楷體" w:hint="eastAsia"/>
                <w:color w:val="000000" w:themeColor="text1"/>
                <w:szCs w:val="24"/>
              </w:rPr>
              <w:t>年度預算執行期間，本會於113.</w:t>
            </w:r>
            <w:r>
              <w:rPr>
                <w:rFonts w:ascii="標楷體" w:eastAsia="標楷體" w:hAnsi="標楷體" w:hint="eastAsia"/>
                <w:color w:val="000000" w:themeColor="text1"/>
                <w:szCs w:val="24"/>
              </w:rPr>
              <w:t>9</w:t>
            </w:r>
            <w:r w:rsidRPr="00547CAC">
              <w:rPr>
                <w:rFonts w:ascii="標楷體" w:eastAsia="標楷體" w:hAnsi="標楷體" w:hint="eastAsia"/>
                <w:color w:val="000000" w:themeColor="text1"/>
                <w:szCs w:val="24"/>
              </w:rPr>
              <w:t>.</w:t>
            </w:r>
            <w:r>
              <w:rPr>
                <w:rFonts w:ascii="標楷體" w:eastAsia="標楷體" w:hAnsi="標楷體" w:hint="eastAsia"/>
                <w:color w:val="000000" w:themeColor="text1"/>
                <w:szCs w:val="24"/>
              </w:rPr>
              <w:t>27</w:t>
            </w:r>
            <w:r w:rsidRPr="00547CAC">
              <w:rPr>
                <w:rFonts w:ascii="標楷體" w:eastAsia="標楷體" w:hAnsi="標楷體" w:hint="eastAsia"/>
                <w:color w:val="000000" w:themeColor="text1"/>
                <w:szCs w:val="24"/>
              </w:rPr>
              <w:t>函議事處提報院會准予備查。</w:t>
            </w:r>
          </w:p>
          <w:p w14:paraId="32968D34" w14:textId="77777777" w:rsidR="007D160C" w:rsidRPr="00B95A07" w:rsidRDefault="007D160C" w:rsidP="00F470A8">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5</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10</w:t>
            </w:r>
            <w:r w:rsidRPr="00C560BE">
              <w:rPr>
                <w:rFonts w:ascii="標楷體" w:eastAsia="標楷體" w:hAnsi="標楷體"/>
                <w:szCs w:val="24"/>
              </w:rPr>
              <w:t>.</w:t>
            </w:r>
            <w:r>
              <w:rPr>
                <w:rFonts w:ascii="標楷體" w:eastAsia="標楷體" w:hAnsi="標楷體" w:hint="eastAsia"/>
                <w:szCs w:val="24"/>
              </w:rPr>
              <w:t>18</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B95A07" w14:paraId="7757187C"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9F1F84"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88D7D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行政院函為衛生福利部食品藥物管理署為辦理「食品安全稽查暨輔導擴充計畫」所需經費不敷，動支111年度中央政府總預算第二預備金1億8,521萬4,000元支應，茲檢送第二預備金動支數額機關別表案。</w:t>
            </w:r>
          </w:p>
        </w:tc>
        <w:tc>
          <w:tcPr>
            <w:tcW w:w="255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CCC7C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決定：「交財政、社會福利及衛生環境</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552" w:type="dxa"/>
            <w:vMerge/>
            <w:tcBorders>
              <w:left w:val="single" w:sz="4" w:space="0" w:color="000000"/>
              <w:bottom w:val="single" w:sz="4" w:space="0" w:color="000000"/>
              <w:right w:val="single" w:sz="4" w:space="0" w:color="000000"/>
            </w:tcBorders>
          </w:tcPr>
          <w:p w14:paraId="1219802E"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1792458D"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533A97"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AFBA247"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行政院函為該院設立人權及轉型正義處所需之人事費、基本維運及辦公廳舍裝修等經費5,461萬8,000元，動支111年度中央政府總預算第二預備金支應，茲檢送第二預備金動支數額機關別表案。</w:t>
            </w:r>
          </w:p>
        </w:tc>
        <w:tc>
          <w:tcPr>
            <w:tcW w:w="255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28D3516"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552" w:type="dxa"/>
            <w:vMerge/>
            <w:tcBorders>
              <w:top w:val="single" w:sz="4" w:space="0" w:color="000000"/>
              <w:left w:val="single" w:sz="4" w:space="0" w:color="000000"/>
              <w:right w:val="single" w:sz="4" w:space="0" w:color="000000"/>
            </w:tcBorders>
          </w:tcPr>
          <w:p w14:paraId="2E3A8F25"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3DC4F8CB"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82F428"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7DD9CBC"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行政院函為中央選舉委員會為辦理憲法修正案公民複決，動支111年度中央政府總預算第二預備金5億9</w:t>
            </w:r>
            <w:r>
              <w:rPr>
                <w:rFonts w:ascii="標楷體" w:eastAsia="標楷體" w:hAnsi="標楷體"/>
                <w:kern w:val="2"/>
                <w:szCs w:val="24"/>
              </w:rPr>
              <w:t>,</w:t>
            </w:r>
            <w:r>
              <w:rPr>
                <w:rFonts w:ascii="標楷體" w:eastAsia="標楷體" w:hAnsi="標楷體" w:hint="eastAsia"/>
                <w:kern w:val="2"/>
                <w:szCs w:val="24"/>
              </w:rPr>
              <w:t>55</w:t>
            </w:r>
            <w:r w:rsidRPr="00B95A07">
              <w:rPr>
                <w:rFonts w:ascii="標楷體" w:eastAsia="標楷體" w:hAnsi="標楷體" w:hint="eastAsia"/>
                <w:kern w:val="2"/>
                <w:szCs w:val="24"/>
              </w:rPr>
              <w:t>0萬3千元支應，茲檢送第二預備金動支數額機關別表案。</w:t>
            </w:r>
          </w:p>
        </w:tc>
        <w:tc>
          <w:tcPr>
            <w:tcW w:w="255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D2E251"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第10屆第6會期第3次院會(111.10.7</w:t>
            </w:r>
            <w:r w:rsidRPr="00B95A07">
              <w:rPr>
                <w:rFonts w:ascii="標楷體" w:eastAsia="標楷體" w:hAnsi="標楷體"/>
                <w:kern w:val="2"/>
                <w:szCs w:val="24"/>
              </w:rPr>
              <w:t>)</w:t>
            </w:r>
            <w:r w:rsidRPr="00B95A07">
              <w:rPr>
                <w:rFonts w:ascii="標楷體" w:eastAsia="標楷體" w:hAnsi="標楷體" w:hint="eastAsia"/>
                <w:kern w:val="2"/>
                <w:szCs w:val="24"/>
              </w:rPr>
              <w:t>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552" w:type="dxa"/>
            <w:vMerge/>
            <w:tcBorders>
              <w:left w:val="single" w:sz="4" w:space="0" w:color="000000"/>
              <w:right w:val="single" w:sz="4" w:space="0" w:color="000000"/>
            </w:tcBorders>
          </w:tcPr>
          <w:p w14:paraId="34410762"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023A6D25"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895472"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7964F1"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行政院函為該院辦理數位發展部成立後之人事、業務及設備購置等經費2億3,185萬8,000元，動支111年度中央政府總預算第二預備金支應，茲檢送第二預備金動支數額機關別表案。</w:t>
            </w:r>
          </w:p>
        </w:tc>
        <w:tc>
          <w:tcPr>
            <w:tcW w:w="255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224EFC"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w:t>
            </w:r>
            <w:r w:rsidRPr="00B95A07">
              <w:rPr>
                <w:rFonts w:ascii="標楷體" w:eastAsia="標楷體" w:hAnsi="標楷體"/>
                <w:kern w:val="2"/>
                <w:szCs w:val="24"/>
              </w:rPr>
              <w:t>)</w:t>
            </w:r>
            <w:r w:rsidRPr="00B95A07">
              <w:rPr>
                <w:rFonts w:ascii="標楷體" w:eastAsia="標楷體" w:hAnsi="標楷體" w:hint="eastAsia"/>
                <w:kern w:val="2"/>
                <w:szCs w:val="24"/>
              </w:rPr>
              <w:t>決定：「交財政、交通</w:t>
            </w:r>
            <w:r>
              <w:rPr>
                <w:rFonts w:ascii="標楷體" w:eastAsia="標楷體" w:hAnsi="標楷體" w:hint="eastAsia"/>
                <w:kern w:val="2"/>
                <w:szCs w:val="24"/>
              </w:rPr>
              <w:t>兩委員會</w:t>
            </w:r>
            <w:r w:rsidRPr="00B95A07">
              <w:rPr>
                <w:rFonts w:ascii="標楷體" w:eastAsia="標楷體" w:hAnsi="標楷體" w:hint="eastAsia"/>
                <w:kern w:val="2"/>
                <w:szCs w:val="24"/>
              </w:rPr>
              <w:t>審查」</w:t>
            </w:r>
          </w:p>
        </w:tc>
        <w:tc>
          <w:tcPr>
            <w:tcW w:w="2552" w:type="dxa"/>
            <w:vMerge/>
            <w:tcBorders>
              <w:left w:val="single" w:sz="4" w:space="0" w:color="000000"/>
              <w:right w:val="single" w:sz="4" w:space="0" w:color="000000"/>
            </w:tcBorders>
          </w:tcPr>
          <w:p w14:paraId="2A3D06C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6C65A159" w14:textId="77777777" w:rsidTr="001B1EFB">
        <w:trPr>
          <w:cantSplit/>
          <w:trHeight w:val="11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79DE4A"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51790D"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行政院函為辦理數位發展部成立後所需人事、業務及設備購置等經費，前動支111年度中央政府總預算第二預備金2億3,185萬 8,000元支應一案，茲檢送第二預備金動支數額機關別修正表案。</w:t>
            </w:r>
          </w:p>
        </w:tc>
        <w:tc>
          <w:tcPr>
            <w:tcW w:w="255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C9DD31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第10屆第6會期第15次院會(111.12.9)決定：「交財政、交通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r w:rsidRPr="00B95A07">
              <w:rPr>
                <w:rFonts w:ascii="標楷體" w:eastAsia="標楷體" w:hAnsi="標楷體" w:hint="eastAsia"/>
                <w:kern w:val="2"/>
                <w:szCs w:val="24"/>
              </w:rPr>
              <w:tab/>
            </w:r>
          </w:p>
        </w:tc>
        <w:tc>
          <w:tcPr>
            <w:tcW w:w="2552" w:type="dxa"/>
            <w:vMerge/>
            <w:tcBorders>
              <w:left w:val="single" w:sz="4" w:space="0" w:color="000000"/>
              <w:right w:val="single" w:sz="4" w:space="0" w:color="000000"/>
            </w:tcBorders>
          </w:tcPr>
          <w:p w14:paraId="0DB824BA"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r w:rsidR="007D160C" w:rsidRPr="00B95A07" w14:paraId="7C892EA0" w14:textId="77777777" w:rsidTr="001B1EFB">
        <w:trPr>
          <w:cantSplit/>
          <w:trHeight w:val="1145"/>
        </w:trPr>
        <w:tc>
          <w:tcPr>
            <w:tcW w:w="70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1EBD2DD" w14:textId="77777777" w:rsidR="007D160C" w:rsidRPr="00E51DC6" w:rsidRDefault="007D160C" w:rsidP="00FA328D">
            <w:pPr>
              <w:pStyle w:val="affff0"/>
              <w:widowControl w:val="0"/>
              <w:numPr>
                <w:ilvl w:val="0"/>
                <w:numId w:val="58"/>
              </w:numPr>
              <w:suppressAutoHyphens/>
              <w:overflowPunct w:val="0"/>
              <w:spacing w:line="320" w:lineRule="exact"/>
              <w:jc w:val="center"/>
              <w:textAlignment w:val="auto"/>
              <w:rPr>
                <w:rFonts w:ascii="標楷體" w:eastAsia="標楷體" w:hAnsi="標楷體"/>
                <w:b/>
                <w:bCs/>
                <w:szCs w:val="24"/>
              </w:rPr>
            </w:pPr>
          </w:p>
        </w:tc>
        <w:tc>
          <w:tcPr>
            <w:tcW w:w="368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F0521C2"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行政院函請審議「111年度中央政府總預算第二預備金動支數額表」案。</w:t>
            </w:r>
          </w:p>
        </w:tc>
        <w:tc>
          <w:tcPr>
            <w:tcW w:w="2551"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2ECCF2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6</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）決定：「交財政委員會會同有關委員會審查」</w:t>
            </w:r>
          </w:p>
        </w:tc>
        <w:tc>
          <w:tcPr>
            <w:tcW w:w="2552" w:type="dxa"/>
            <w:vMerge/>
            <w:tcBorders>
              <w:left w:val="single" w:sz="4" w:space="0" w:color="000000"/>
              <w:bottom w:val="single" w:sz="12" w:space="0" w:color="auto"/>
              <w:right w:val="single" w:sz="4" w:space="0" w:color="000000"/>
            </w:tcBorders>
          </w:tcPr>
          <w:p w14:paraId="71D4673B"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p>
        </w:tc>
      </w:tr>
    </w:tbl>
    <w:p w14:paraId="35CEBB6B" w14:textId="77777777" w:rsidR="007D160C" w:rsidRPr="0096452F" w:rsidRDefault="007D160C" w:rsidP="00F470A8">
      <w:pPr>
        <w:pStyle w:val="2"/>
        <w:numPr>
          <w:ilvl w:val="0"/>
          <w:numId w:val="0"/>
        </w:numPr>
        <w:overflowPunct w:val="0"/>
        <w:spacing w:line="480" w:lineRule="exact"/>
        <w:ind w:left="927" w:hanging="567"/>
        <w:rPr>
          <w:rFonts w:ascii="標楷體" w:eastAsia="標楷體" w:hAnsi="標楷體"/>
          <w:sz w:val="32"/>
          <w:szCs w:val="32"/>
        </w:rPr>
      </w:pPr>
      <w:r>
        <w:rPr>
          <w:rFonts w:ascii="標楷體" w:eastAsia="標楷體" w:hAnsi="標楷體"/>
          <w:sz w:val="32"/>
          <w:szCs w:val="32"/>
        </w:rPr>
        <w:br w:type="page"/>
      </w:r>
      <w:bookmarkStart w:id="63" w:name="_Toc175833584"/>
      <w:bookmarkStart w:id="64" w:name="_Toc189487290"/>
      <w:r w:rsidRPr="0096452F">
        <w:rPr>
          <w:rFonts w:ascii="標楷體" w:eastAsia="標楷體" w:hAnsi="標楷體" w:hint="eastAsia"/>
          <w:sz w:val="32"/>
          <w:szCs w:val="32"/>
        </w:rPr>
        <w:lastRenderedPageBreak/>
        <w:t>四、決算案(</w:t>
      </w:r>
      <w:r>
        <w:rPr>
          <w:rFonts w:ascii="標楷體" w:eastAsia="標楷體" w:hAnsi="標楷體" w:hint="eastAsia"/>
          <w:sz w:val="32"/>
          <w:szCs w:val="32"/>
        </w:rPr>
        <w:t>6</w:t>
      </w:r>
      <w:r w:rsidRPr="0096452F">
        <w:rPr>
          <w:rFonts w:ascii="標楷體" w:eastAsia="標楷體" w:hAnsi="標楷體" w:hint="eastAsia"/>
          <w:sz w:val="32"/>
          <w:szCs w:val="32"/>
        </w:rPr>
        <w:t>案</w:t>
      </w:r>
      <w:r w:rsidRPr="0096452F">
        <w:rPr>
          <w:rFonts w:ascii="標楷體" w:eastAsia="標楷體" w:hAnsi="標楷體"/>
          <w:sz w:val="32"/>
          <w:szCs w:val="32"/>
        </w:rPr>
        <w:t>)</w:t>
      </w:r>
      <w:bookmarkEnd w:id="63"/>
      <w:bookmarkEnd w:id="64"/>
    </w:p>
    <w:tbl>
      <w:tblPr>
        <w:tblW w:w="9181" w:type="dxa"/>
        <w:tblInd w:w="170" w:type="dxa"/>
        <w:tblLayout w:type="fixed"/>
        <w:tblCellMar>
          <w:left w:w="10" w:type="dxa"/>
          <w:right w:w="10" w:type="dxa"/>
        </w:tblCellMar>
        <w:tblLook w:val="0000" w:firstRow="0" w:lastRow="0" w:firstColumn="0" w:lastColumn="0" w:noHBand="0" w:noVBand="0"/>
      </w:tblPr>
      <w:tblGrid>
        <w:gridCol w:w="676"/>
        <w:gridCol w:w="3544"/>
        <w:gridCol w:w="2551"/>
        <w:gridCol w:w="2410"/>
      </w:tblGrid>
      <w:tr w:rsidR="007D160C" w:rsidRPr="0096452F" w14:paraId="060A684C" w14:textId="77777777" w:rsidTr="001B1EFB">
        <w:trPr>
          <w:cantSplit/>
          <w:trHeight w:val="496"/>
          <w:tblHeader/>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56F8C51F" w14:textId="77777777" w:rsidR="007D160C" w:rsidRPr="0096452F" w:rsidRDefault="007D160C" w:rsidP="00F470A8">
            <w:pPr>
              <w:widowControl w:val="0"/>
              <w:overflowPunct w:val="0"/>
              <w:spacing w:line="300" w:lineRule="exact"/>
              <w:jc w:val="center"/>
              <w:textAlignment w:val="auto"/>
              <w:rPr>
                <w:rFonts w:ascii="標楷體" w:eastAsia="標楷體" w:hAnsi="標楷體"/>
                <w:b/>
                <w:bCs/>
                <w:szCs w:val="24"/>
              </w:rPr>
            </w:pPr>
            <w:r w:rsidRPr="0096452F">
              <w:rPr>
                <w:rFonts w:ascii="標楷體" w:eastAsia="標楷體" w:hAnsi="標楷體" w:hint="eastAsia"/>
                <w:b/>
                <w:bCs/>
                <w:szCs w:val="24"/>
              </w:rPr>
              <w:t>序</w:t>
            </w:r>
            <w:r w:rsidRPr="0096452F">
              <w:rPr>
                <w:rFonts w:ascii="標楷體" w:eastAsia="標楷體" w:hAnsi="標楷體"/>
                <w:b/>
                <w:bCs/>
                <w:szCs w:val="24"/>
              </w:rPr>
              <w:t>號</w:t>
            </w:r>
          </w:p>
        </w:tc>
        <w:tc>
          <w:tcPr>
            <w:tcW w:w="354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20AF1A85" w14:textId="77777777" w:rsidR="007D160C" w:rsidRPr="0096452F" w:rsidRDefault="007D160C" w:rsidP="00F470A8">
            <w:pPr>
              <w:widowControl w:val="0"/>
              <w:overflowPunct w:val="0"/>
              <w:spacing w:line="300" w:lineRule="exact"/>
              <w:jc w:val="center"/>
              <w:textAlignment w:val="auto"/>
              <w:rPr>
                <w:rFonts w:ascii="標楷體" w:eastAsia="標楷體" w:hAnsi="標楷體"/>
                <w:b/>
                <w:bCs/>
                <w:szCs w:val="24"/>
              </w:rPr>
            </w:pPr>
            <w:r w:rsidRPr="0096452F">
              <w:rPr>
                <w:rFonts w:ascii="標楷體" w:eastAsia="標楷體" w:hAnsi="標楷體"/>
                <w:b/>
                <w:bCs/>
                <w:szCs w:val="24"/>
              </w:rPr>
              <w:t>議</w:t>
            </w:r>
            <w:r w:rsidRPr="0096452F">
              <w:rPr>
                <w:rFonts w:ascii="標楷體" w:eastAsia="標楷體" w:hAnsi="標楷體" w:hint="eastAsia"/>
                <w:b/>
                <w:bCs/>
                <w:szCs w:val="24"/>
              </w:rPr>
              <w:t xml:space="preserve"> </w:t>
            </w:r>
            <w:r w:rsidRPr="0096452F">
              <w:rPr>
                <w:rFonts w:ascii="標楷體" w:eastAsia="標楷體" w:hAnsi="標楷體"/>
                <w:b/>
                <w:bCs/>
                <w:szCs w:val="24"/>
              </w:rPr>
              <w:t xml:space="preserve">  </w:t>
            </w:r>
            <w:r w:rsidRPr="0096452F">
              <w:rPr>
                <w:rFonts w:ascii="標楷體" w:eastAsia="標楷體" w:hAnsi="標楷體" w:hint="eastAsia"/>
                <w:b/>
                <w:bCs/>
                <w:szCs w:val="24"/>
              </w:rPr>
              <w:t xml:space="preserve"> </w:t>
            </w:r>
            <w:r w:rsidRPr="0096452F">
              <w:rPr>
                <w:rFonts w:ascii="標楷體" w:eastAsia="標楷體" w:hAnsi="標楷體"/>
                <w:b/>
                <w:bCs/>
                <w:szCs w:val="24"/>
              </w:rPr>
              <w:t>案</w:t>
            </w:r>
            <w:r w:rsidRPr="0096452F">
              <w:rPr>
                <w:rFonts w:ascii="標楷體" w:eastAsia="標楷體" w:hAnsi="標楷體" w:hint="eastAsia"/>
                <w:b/>
                <w:bCs/>
                <w:szCs w:val="24"/>
              </w:rPr>
              <w:t xml:space="preserve">  </w:t>
            </w:r>
            <w:r w:rsidRPr="0096452F">
              <w:rPr>
                <w:rFonts w:ascii="標楷體" w:eastAsia="標楷體" w:hAnsi="標楷體"/>
                <w:b/>
                <w:bCs/>
                <w:szCs w:val="24"/>
              </w:rPr>
              <w:t xml:space="preserve">  名</w:t>
            </w:r>
            <w:r w:rsidRPr="0096452F">
              <w:rPr>
                <w:rFonts w:ascii="標楷體" w:eastAsia="標楷體" w:hAnsi="標楷體" w:hint="eastAsia"/>
                <w:b/>
                <w:bCs/>
                <w:szCs w:val="24"/>
              </w:rPr>
              <w:t xml:space="preserve"> </w:t>
            </w:r>
            <w:r w:rsidRPr="0096452F">
              <w:rPr>
                <w:rFonts w:ascii="標楷體" w:eastAsia="標楷體" w:hAnsi="標楷體"/>
                <w:b/>
                <w:bCs/>
                <w:szCs w:val="24"/>
              </w:rPr>
              <w:t xml:space="preserve"> </w:t>
            </w:r>
            <w:r w:rsidRPr="0096452F">
              <w:rPr>
                <w:rFonts w:ascii="標楷體" w:eastAsia="標楷體" w:hAnsi="標楷體" w:hint="eastAsia"/>
                <w:b/>
                <w:bCs/>
                <w:szCs w:val="24"/>
              </w:rPr>
              <w:t xml:space="preserve"> </w:t>
            </w:r>
            <w:r w:rsidRPr="0096452F">
              <w:rPr>
                <w:rFonts w:ascii="標楷體" w:eastAsia="標楷體" w:hAnsi="標楷體"/>
                <w:b/>
                <w:bCs/>
                <w:szCs w:val="24"/>
              </w:rPr>
              <w:t>稱</w:t>
            </w:r>
          </w:p>
        </w:tc>
        <w:tc>
          <w:tcPr>
            <w:tcW w:w="2551"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78991523" w14:textId="77777777" w:rsidR="007D160C" w:rsidRPr="0096452F" w:rsidRDefault="007D160C" w:rsidP="00F470A8">
            <w:pPr>
              <w:widowControl w:val="0"/>
              <w:overflowPunct w:val="0"/>
              <w:spacing w:line="300" w:lineRule="exact"/>
              <w:jc w:val="center"/>
              <w:textAlignment w:val="auto"/>
              <w:rPr>
                <w:b/>
              </w:rPr>
            </w:pPr>
            <w:r w:rsidRPr="0096452F">
              <w:rPr>
                <w:rFonts w:ascii="標楷體" w:eastAsia="標楷體" w:hAnsi="標楷體"/>
                <w:b/>
                <w:bCs/>
                <w:spacing w:val="20"/>
                <w:szCs w:val="24"/>
              </w:rPr>
              <w:t>院會交付</w:t>
            </w:r>
            <w:r w:rsidRPr="0096452F">
              <w:rPr>
                <w:rFonts w:ascii="標楷體" w:eastAsia="標楷體" w:hAnsi="標楷體" w:hint="eastAsia"/>
                <w:b/>
                <w:bCs/>
                <w:spacing w:val="20"/>
                <w:szCs w:val="24"/>
              </w:rPr>
              <w:t>日</w:t>
            </w:r>
            <w:r w:rsidRPr="0096452F">
              <w:rPr>
                <w:rFonts w:ascii="標楷體" w:eastAsia="標楷體" w:hAnsi="標楷體"/>
                <w:b/>
                <w:bCs/>
                <w:spacing w:val="20"/>
                <w:szCs w:val="24"/>
              </w:rPr>
              <w:t>期</w:t>
            </w:r>
            <w:r w:rsidRPr="0096452F">
              <w:rPr>
                <w:rFonts w:ascii="標楷體" w:eastAsia="標楷體" w:hAnsi="標楷體" w:hint="eastAsia"/>
                <w:b/>
                <w:bCs/>
                <w:spacing w:val="20"/>
                <w:szCs w:val="24"/>
              </w:rPr>
              <w:t>及</w:t>
            </w:r>
            <w:r w:rsidRPr="0096452F">
              <w:rPr>
                <w:rFonts w:ascii="標楷體" w:eastAsia="標楷體" w:hAnsi="標楷體"/>
                <w:b/>
                <w:bCs/>
                <w:spacing w:val="20"/>
                <w:szCs w:val="24"/>
              </w:rPr>
              <w:t>會次</w:t>
            </w:r>
          </w:p>
        </w:tc>
        <w:tc>
          <w:tcPr>
            <w:tcW w:w="2410"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23CCE218" w14:textId="77777777" w:rsidR="007D160C" w:rsidRPr="0096452F" w:rsidRDefault="007D160C" w:rsidP="00F470A8">
            <w:pPr>
              <w:widowControl w:val="0"/>
              <w:overflowPunct w:val="0"/>
              <w:spacing w:line="300" w:lineRule="exact"/>
              <w:jc w:val="center"/>
              <w:textAlignment w:val="auto"/>
              <w:rPr>
                <w:rFonts w:ascii="標楷體" w:eastAsia="標楷體" w:hAnsi="標楷體"/>
                <w:b/>
                <w:bCs/>
                <w:spacing w:val="-20"/>
                <w:szCs w:val="24"/>
              </w:rPr>
            </w:pPr>
            <w:r w:rsidRPr="0096452F">
              <w:rPr>
                <w:rFonts w:ascii="標楷體" w:eastAsia="標楷體" w:hAnsi="標楷體"/>
                <w:b/>
                <w:bCs/>
                <w:spacing w:val="-20"/>
                <w:szCs w:val="24"/>
              </w:rPr>
              <w:t>備     註</w:t>
            </w:r>
          </w:p>
        </w:tc>
      </w:tr>
      <w:tr w:rsidR="007D160C" w:rsidRPr="0096452F" w14:paraId="1C1EA775" w14:textId="77777777" w:rsidTr="001B1EFB">
        <w:trPr>
          <w:cantSplit/>
        </w:trPr>
        <w:tc>
          <w:tcPr>
            <w:tcW w:w="676"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584FDA37" w14:textId="67C60E2B" w:rsidR="007D160C" w:rsidRPr="003F77A9" w:rsidRDefault="007D160C" w:rsidP="00FA328D">
            <w:pPr>
              <w:pStyle w:val="affff0"/>
              <w:widowControl w:val="0"/>
              <w:numPr>
                <w:ilvl w:val="0"/>
                <w:numId w:val="59"/>
              </w:numPr>
              <w:overflowPunct w:val="0"/>
              <w:spacing w:line="320" w:lineRule="exact"/>
              <w:jc w:val="center"/>
              <w:textAlignment w:val="auto"/>
              <w:rPr>
                <w:rFonts w:ascii="標楷體" w:eastAsia="標楷體" w:hAnsi="標楷體"/>
                <w:b/>
                <w:bCs/>
                <w:szCs w:val="24"/>
              </w:rPr>
            </w:pPr>
          </w:p>
        </w:tc>
        <w:tc>
          <w:tcPr>
            <w:tcW w:w="3544"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0A734913"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zCs w:val="24"/>
              </w:rPr>
            </w:pPr>
            <w:r w:rsidRPr="0096452F">
              <w:rPr>
                <w:rFonts w:ascii="標楷體" w:eastAsia="標楷體" w:hAnsi="標楷體" w:hint="eastAsia"/>
                <w:szCs w:val="24"/>
              </w:rPr>
              <w:t>金融監督管理委員會函送財團法人台灣金融研訓院等7家財團法人109年度決算書案</w:t>
            </w:r>
          </w:p>
        </w:tc>
        <w:tc>
          <w:tcPr>
            <w:tcW w:w="2551"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03C71042"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pacing w:val="-30"/>
                <w:kern w:val="2"/>
                <w:szCs w:val="24"/>
              </w:rPr>
            </w:pPr>
            <w:r w:rsidRPr="0096452F">
              <w:rPr>
                <w:rFonts w:ascii="標楷體" w:eastAsia="標楷體" w:hAnsi="標楷體" w:hint="eastAsia"/>
                <w:szCs w:val="24"/>
              </w:rPr>
              <w:t>第10屆第4會期第2次院會（110.9.24）決定：「交財政委員會審查</w:t>
            </w:r>
          </w:p>
        </w:tc>
        <w:tc>
          <w:tcPr>
            <w:tcW w:w="2410"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06C769DB"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96452F">
              <w:rPr>
                <w:rFonts w:ascii="標楷體" w:eastAsia="標楷體" w:hAnsi="標楷體" w:hint="eastAsia"/>
                <w:szCs w:val="24"/>
              </w:rPr>
              <w:t>因已逾送達後1年內完成審查期限，本會於113.8.8函議事處提報院會准予備查。</w:t>
            </w:r>
          </w:p>
          <w:p w14:paraId="2B349AAD" w14:textId="77777777" w:rsidR="007D160C" w:rsidRPr="0096452F" w:rsidRDefault="007D160C" w:rsidP="00F470A8">
            <w:pPr>
              <w:widowControl w:val="0"/>
              <w:overflowPunct w:val="0"/>
              <w:spacing w:line="340" w:lineRule="exact"/>
              <w:ind w:left="240" w:hangingChars="100" w:hanging="240"/>
              <w:jc w:val="both"/>
              <w:textAlignment w:val="auto"/>
              <w:rPr>
                <w:rFonts w:ascii="標楷體" w:eastAsia="標楷體" w:hAnsi="標楷體"/>
                <w:b/>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96452F" w14:paraId="7FAD6DE8" w14:textId="77777777" w:rsidTr="00127A9E">
        <w:trPr>
          <w:cantSplit/>
        </w:trPr>
        <w:tc>
          <w:tcPr>
            <w:tcW w:w="6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F0AE75A" w14:textId="77777777" w:rsidR="007D160C" w:rsidRPr="003F77A9"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05A5C36"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zCs w:val="24"/>
              </w:rPr>
            </w:pPr>
            <w:r w:rsidRPr="0096452F">
              <w:rPr>
                <w:rFonts w:ascii="標楷體" w:eastAsia="標楷體" w:hAnsi="標楷體" w:hint="eastAsia"/>
                <w:szCs w:val="24"/>
              </w:rPr>
              <w:t>金融監督管理委員會函送財團法人台灣金融研訓院等7家財團法人110年度決算書案</w:t>
            </w:r>
          </w:p>
        </w:tc>
        <w:tc>
          <w:tcPr>
            <w:tcW w:w="255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5904866" w14:textId="77777777" w:rsidR="007D160C" w:rsidRPr="0096452F" w:rsidRDefault="007D160C" w:rsidP="00F470A8">
            <w:pPr>
              <w:widowControl w:val="0"/>
              <w:overflowPunct w:val="0"/>
              <w:snapToGrid w:val="0"/>
              <w:spacing w:line="320" w:lineRule="exact"/>
              <w:jc w:val="both"/>
              <w:textAlignment w:val="auto"/>
              <w:rPr>
                <w:rFonts w:ascii="標楷體" w:eastAsia="標楷體" w:hAnsi="標楷體"/>
                <w:spacing w:val="-30"/>
                <w:kern w:val="2"/>
                <w:szCs w:val="24"/>
              </w:rPr>
            </w:pPr>
            <w:r w:rsidRPr="0096452F">
              <w:rPr>
                <w:rFonts w:ascii="標楷體" w:eastAsia="標楷體" w:hAnsi="標楷體" w:hint="eastAsia"/>
                <w:szCs w:val="24"/>
              </w:rPr>
              <w:t>第10屆第6會期第1次院會（111.9.23）決定：「交財政委員會審查」</w:t>
            </w:r>
          </w:p>
        </w:tc>
        <w:tc>
          <w:tcPr>
            <w:tcW w:w="24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B366784"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96452F">
              <w:rPr>
                <w:rFonts w:ascii="標楷體" w:eastAsia="標楷體" w:hAnsi="標楷體" w:hint="eastAsia"/>
                <w:szCs w:val="24"/>
              </w:rPr>
              <w:t>因已逾送達後1年內完成審查期限，本會於113.8.8函議事處提報院會准予備查。</w:t>
            </w:r>
          </w:p>
          <w:p w14:paraId="212E1377" w14:textId="77777777" w:rsidR="007D160C" w:rsidRPr="0096452F" w:rsidRDefault="007D160C" w:rsidP="00F470A8">
            <w:pPr>
              <w:widowControl w:val="0"/>
              <w:overflowPunct w:val="0"/>
              <w:spacing w:line="340" w:lineRule="exact"/>
              <w:ind w:left="240" w:hangingChars="100" w:hanging="240"/>
              <w:jc w:val="both"/>
              <w:textAlignment w:val="auto"/>
              <w:rPr>
                <w:rFonts w:ascii="標楷體" w:eastAsia="標楷體" w:hAnsi="標楷體"/>
                <w:b/>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96452F" w14:paraId="56DEABF4" w14:textId="77777777" w:rsidTr="00127A9E">
        <w:trPr>
          <w:cantSplit/>
        </w:trPr>
        <w:tc>
          <w:tcPr>
            <w:tcW w:w="6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B5E4788"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AEAF5C3" w14:textId="54E77F8C" w:rsidR="007D160C" w:rsidRPr="0096452F" w:rsidRDefault="007D160C" w:rsidP="00F470A8">
            <w:pPr>
              <w:widowControl w:val="0"/>
              <w:overflowPunct w:val="0"/>
              <w:snapToGrid w:val="0"/>
              <w:spacing w:line="320" w:lineRule="exact"/>
              <w:jc w:val="both"/>
              <w:textAlignment w:val="auto"/>
              <w:rPr>
                <w:rFonts w:ascii="標楷體" w:eastAsia="標楷體" w:hAnsi="標楷體"/>
                <w:szCs w:val="24"/>
              </w:rPr>
            </w:pPr>
            <w:r w:rsidRPr="00DE3E19">
              <w:rPr>
                <w:rFonts w:ascii="標楷體" w:eastAsia="標楷體" w:hAnsi="標楷體" w:hint="eastAsia"/>
                <w:szCs w:val="24"/>
              </w:rPr>
              <w:t>金融監督管理委員會函送財團法人台灣金融研訓院等7家財團法人111年度決算書案</w:t>
            </w:r>
          </w:p>
        </w:tc>
        <w:tc>
          <w:tcPr>
            <w:tcW w:w="255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2E30D03" w14:textId="496C686B" w:rsidR="007D160C" w:rsidRPr="0096452F" w:rsidRDefault="007D160C" w:rsidP="00160EAD">
            <w:pPr>
              <w:widowControl w:val="0"/>
              <w:overflowPunct w:val="0"/>
              <w:snapToGrid w:val="0"/>
              <w:spacing w:line="320" w:lineRule="exact"/>
              <w:jc w:val="both"/>
              <w:textAlignment w:val="auto"/>
              <w:rPr>
                <w:rFonts w:ascii="標楷體" w:eastAsia="標楷體" w:hAnsi="標楷體"/>
                <w:szCs w:val="24"/>
              </w:rPr>
            </w:pPr>
            <w:r w:rsidRPr="00DE3E19">
              <w:rPr>
                <w:rFonts w:ascii="標楷體" w:eastAsia="標楷體" w:hAnsi="標楷體" w:hint="eastAsia"/>
                <w:szCs w:val="24"/>
              </w:rPr>
              <w:t>第10屆第8會期第1次院會（112.9.22）決定：「交財政委員會審查」</w:t>
            </w:r>
          </w:p>
        </w:tc>
        <w:tc>
          <w:tcPr>
            <w:tcW w:w="24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B76F765"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DE3E19">
              <w:rPr>
                <w:rFonts w:ascii="標楷體" w:eastAsia="標楷體" w:hAnsi="標楷體" w:hint="eastAsia"/>
                <w:szCs w:val="24"/>
              </w:rPr>
              <w:t>因已逾送達後1年內完成審查期限，本會於113.9.26函議事處提報院會准予備查。</w:t>
            </w:r>
          </w:p>
          <w:p w14:paraId="0DFDA63A"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kern w:val="2"/>
                <w:szCs w:val="24"/>
              </w:rPr>
              <w:t>2.</w:t>
            </w:r>
            <w:r w:rsidRPr="00EB3D27">
              <w:rPr>
                <w:rFonts w:ascii="標楷體" w:eastAsia="標楷體" w:hAnsi="標楷體" w:hint="eastAsia"/>
                <w:kern w:val="2"/>
                <w:szCs w:val="24"/>
              </w:rPr>
              <w:t>第11屆第2會期第4次院會(</w:t>
            </w:r>
            <w:r w:rsidRPr="00EB3D27">
              <w:rPr>
                <w:rFonts w:ascii="標楷體" w:eastAsia="標楷體" w:hAnsi="標楷體"/>
                <w:kern w:val="2"/>
                <w:szCs w:val="24"/>
              </w:rPr>
              <w:t>11</w:t>
            </w:r>
            <w:r w:rsidRPr="00EB3D27">
              <w:rPr>
                <w:rFonts w:ascii="標楷體" w:eastAsia="標楷體" w:hAnsi="標楷體" w:hint="eastAsia"/>
                <w:kern w:val="2"/>
                <w:szCs w:val="24"/>
              </w:rPr>
              <w:t>3</w:t>
            </w:r>
            <w:r w:rsidRPr="00EB3D27">
              <w:rPr>
                <w:rFonts w:ascii="標楷體" w:eastAsia="標楷體" w:hAnsi="標楷體"/>
                <w:kern w:val="2"/>
                <w:szCs w:val="24"/>
              </w:rPr>
              <w:t>.</w:t>
            </w:r>
            <w:r w:rsidRPr="00EB3D27">
              <w:rPr>
                <w:rFonts w:ascii="標楷體" w:eastAsia="標楷體" w:hAnsi="標楷體" w:hint="eastAsia"/>
                <w:kern w:val="2"/>
                <w:szCs w:val="24"/>
              </w:rPr>
              <w:t>10</w:t>
            </w:r>
            <w:r w:rsidRPr="00EB3D27">
              <w:rPr>
                <w:rFonts w:ascii="標楷體" w:eastAsia="標楷體" w:hAnsi="標楷體"/>
                <w:kern w:val="2"/>
                <w:szCs w:val="24"/>
              </w:rPr>
              <w:t>.</w:t>
            </w:r>
            <w:r w:rsidRPr="00EB3D27">
              <w:rPr>
                <w:rFonts w:ascii="標楷體" w:eastAsia="標楷體" w:hAnsi="標楷體" w:hint="eastAsia"/>
                <w:kern w:val="2"/>
                <w:szCs w:val="24"/>
              </w:rPr>
              <w:t>11)決定：准予備查。</w:t>
            </w:r>
          </w:p>
        </w:tc>
      </w:tr>
      <w:tr w:rsidR="007D160C" w:rsidRPr="0096452F" w14:paraId="1C3E2A54" w14:textId="77777777" w:rsidTr="00127A9E">
        <w:trPr>
          <w:cantSplit/>
        </w:trPr>
        <w:tc>
          <w:tcPr>
            <w:tcW w:w="676"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377781EA"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EBFB26A"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中華民國11</w:t>
            </w:r>
            <w:r w:rsidRPr="004E5043">
              <w:rPr>
                <w:rFonts w:ascii="標楷體" w:eastAsia="標楷體" w:hAnsi="標楷體"/>
                <w:kern w:val="2"/>
                <w:szCs w:val="24"/>
              </w:rPr>
              <w:t>1</w:t>
            </w:r>
            <w:r w:rsidRPr="004E5043">
              <w:rPr>
                <w:rFonts w:ascii="標楷體" w:eastAsia="標楷體" w:hAnsi="標楷體" w:hint="eastAsia"/>
                <w:kern w:val="2"/>
                <w:szCs w:val="24"/>
              </w:rPr>
              <w:t>年度中央政府總決算審核報告</w:t>
            </w:r>
            <w:r>
              <w:rPr>
                <w:rFonts w:ascii="標楷體" w:eastAsia="標楷體" w:hAnsi="標楷體" w:hint="eastAsia"/>
                <w:kern w:val="2"/>
                <w:szCs w:val="24"/>
              </w:rPr>
              <w:t>(含</w:t>
            </w:r>
            <w:r w:rsidRPr="004E5043">
              <w:rPr>
                <w:rFonts w:ascii="標楷體" w:eastAsia="標楷體" w:hAnsi="標楷體" w:hint="eastAsia"/>
                <w:kern w:val="2"/>
                <w:szCs w:val="24"/>
              </w:rPr>
              <w:t>附屬單位決算及綜計表</w:t>
            </w:r>
            <w:r>
              <w:rPr>
                <w:rFonts w:ascii="標楷體" w:eastAsia="標楷體" w:hAnsi="標楷體" w:hint="eastAsia"/>
                <w:kern w:val="2"/>
                <w:szCs w:val="24"/>
              </w:rPr>
              <w:t>)</w:t>
            </w:r>
          </w:p>
        </w:tc>
        <w:tc>
          <w:tcPr>
            <w:tcW w:w="255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B2C867E" w14:textId="77777777" w:rsidR="007D160C" w:rsidRPr="004E5043" w:rsidRDefault="007D160C" w:rsidP="00F470A8">
            <w:pPr>
              <w:widowControl w:val="0"/>
              <w:overflowPunct w:val="0"/>
              <w:autoSpaceDN/>
              <w:spacing w:line="32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410"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6305E87"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w:t>
            </w:r>
            <w:r w:rsidRPr="00394F2D">
              <w:rPr>
                <w:rFonts w:ascii="標楷體" w:eastAsia="標楷體" w:hAnsi="標楷體" w:hint="eastAsia"/>
                <w:spacing w:val="-20"/>
                <w:szCs w:val="24"/>
              </w:rPr>
              <w:t>院會，本會並於113.9.25</w:t>
            </w:r>
            <w:r w:rsidRPr="004E5043">
              <w:rPr>
                <w:rFonts w:ascii="標楷體" w:eastAsia="標楷體" w:hAnsi="標楷體" w:hint="eastAsia"/>
                <w:szCs w:val="24"/>
              </w:rPr>
              <w:t>函議事處提報院會准予備查。</w:t>
            </w:r>
          </w:p>
          <w:p w14:paraId="58A710D9" w14:textId="77777777" w:rsidR="007D160C" w:rsidRPr="004E5043"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B20A59">
              <w:rPr>
                <w:rFonts w:ascii="標楷體" w:eastAsia="標楷體" w:hAnsi="標楷體" w:hint="eastAsia"/>
                <w:szCs w:val="24"/>
              </w:rPr>
              <w:t>第11屆第2會期第</w:t>
            </w:r>
            <w:r>
              <w:rPr>
                <w:rFonts w:ascii="標楷體" w:eastAsia="標楷體" w:hAnsi="標楷體" w:hint="eastAsia"/>
                <w:szCs w:val="24"/>
              </w:rPr>
              <w:t>3</w:t>
            </w:r>
            <w:r w:rsidRPr="00B20A59">
              <w:rPr>
                <w:rFonts w:ascii="標楷體" w:eastAsia="標楷體" w:hAnsi="標楷體" w:hint="eastAsia"/>
                <w:szCs w:val="24"/>
              </w:rPr>
              <w:t>次院會(113.</w:t>
            </w:r>
            <w:r>
              <w:rPr>
                <w:rFonts w:ascii="標楷體" w:eastAsia="標楷體" w:hAnsi="標楷體" w:hint="eastAsia"/>
                <w:szCs w:val="24"/>
              </w:rPr>
              <w:t>10</w:t>
            </w:r>
            <w:r w:rsidRPr="00B20A59">
              <w:rPr>
                <w:rFonts w:ascii="標楷體" w:eastAsia="標楷體" w:hAnsi="標楷體" w:hint="eastAsia"/>
                <w:szCs w:val="24"/>
              </w:rPr>
              <w:t>.</w:t>
            </w:r>
            <w:r>
              <w:rPr>
                <w:rFonts w:ascii="標楷體" w:eastAsia="標楷體" w:hAnsi="標楷體" w:hint="eastAsia"/>
                <w:szCs w:val="24"/>
              </w:rPr>
              <w:t>4</w:t>
            </w:r>
            <w:r w:rsidRPr="00B20A59">
              <w:rPr>
                <w:rFonts w:ascii="標楷體" w:eastAsia="標楷體" w:hAnsi="標楷體" w:hint="eastAsia"/>
                <w:szCs w:val="24"/>
              </w:rPr>
              <w:t>)決定：准予備查。</w:t>
            </w:r>
          </w:p>
        </w:tc>
      </w:tr>
      <w:tr w:rsidR="007D160C" w:rsidRPr="0096452F" w14:paraId="6079CE15" w14:textId="77777777" w:rsidTr="001B1EFB">
        <w:trPr>
          <w:cantSplit/>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14:paraId="17EA95A9"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D7C3044" w14:textId="77777777" w:rsidR="007D160C" w:rsidRPr="004E5043"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4E5043">
              <w:rPr>
                <w:rFonts w:ascii="標楷體" w:eastAsia="標楷體" w:hAnsi="標楷體" w:hint="eastAsia"/>
                <w:kern w:val="2"/>
                <w:szCs w:val="24"/>
              </w:rPr>
              <w:t>中央政府前瞻基礎建設計畫第3期特別決算審核報告(中華民國110年度至111年度)</w:t>
            </w:r>
          </w:p>
        </w:tc>
        <w:tc>
          <w:tcPr>
            <w:tcW w:w="255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0545933" w14:textId="77777777" w:rsidR="007D160C" w:rsidRPr="004E5043" w:rsidRDefault="007D160C" w:rsidP="00160EAD">
            <w:pPr>
              <w:overflowPunct w:val="0"/>
              <w:jc w:val="both"/>
            </w:pPr>
            <w:r w:rsidRPr="004E5043">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241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EEED1B7"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w:t>
            </w:r>
            <w:r w:rsidRPr="00394F2D">
              <w:rPr>
                <w:rFonts w:ascii="標楷體" w:eastAsia="標楷體" w:hAnsi="標楷體" w:hint="eastAsia"/>
                <w:spacing w:val="-20"/>
                <w:szCs w:val="24"/>
              </w:rPr>
              <w:t>院會，本會並於113.9.25</w:t>
            </w:r>
            <w:r w:rsidRPr="004E5043">
              <w:rPr>
                <w:rFonts w:ascii="標楷體" w:eastAsia="標楷體" w:hAnsi="標楷體" w:hint="eastAsia"/>
                <w:szCs w:val="24"/>
              </w:rPr>
              <w:t>函議事處提報院會准予備查。</w:t>
            </w:r>
          </w:p>
          <w:p w14:paraId="2AF051AB" w14:textId="77777777" w:rsidR="007D160C" w:rsidRPr="004E5043"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B20A59">
              <w:rPr>
                <w:rFonts w:ascii="標楷體" w:eastAsia="標楷體" w:hAnsi="標楷體" w:hint="eastAsia"/>
                <w:szCs w:val="24"/>
              </w:rPr>
              <w:t>第11屆第2會期第</w:t>
            </w:r>
            <w:r>
              <w:rPr>
                <w:rFonts w:ascii="標楷體" w:eastAsia="標楷體" w:hAnsi="標楷體" w:hint="eastAsia"/>
                <w:szCs w:val="24"/>
              </w:rPr>
              <w:t>3</w:t>
            </w:r>
            <w:r w:rsidRPr="00B20A59">
              <w:rPr>
                <w:rFonts w:ascii="標楷體" w:eastAsia="標楷體" w:hAnsi="標楷體" w:hint="eastAsia"/>
                <w:szCs w:val="24"/>
              </w:rPr>
              <w:t>次院會(113.</w:t>
            </w:r>
            <w:r>
              <w:rPr>
                <w:rFonts w:ascii="標楷體" w:eastAsia="標楷體" w:hAnsi="標楷體" w:hint="eastAsia"/>
                <w:szCs w:val="24"/>
              </w:rPr>
              <w:t>10</w:t>
            </w:r>
            <w:r w:rsidRPr="00B20A59">
              <w:rPr>
                <w:rFonts w:ascii="標楷體" w:eastAsia="標楷體" w:hAnsi="標楷體" w:hint="eastAsia"/>
                <w:szCs w:val="24"/>
              </w:rPr>
              <w:t>.</w:t>
            </w:r>
            <w:r>
              <w:rPr>
                <w:rFonts w:ascii="標楷體" w:eastAsia="標楷體" w:hAnsi="標楷體" w:hint="eastAsia"/>
                <w:szCs w:val="24"/>
              </w:rPr>
              <w:t>4</w:t>
            </w:r>
            <w:r w:rsidRPr="00B20A59">
              <w:rPr>
                <w:rFonts w:ascii="標楷體" w:eastAsia="標楷體" w:hAnsi="標楷體" w:hint="eastAsia"/>
                <w:szCs w:val="24"/>
              </w:rPr>
              <w:t>)決定：准予備查。</w:t>
            </w:r>
          </w:p>
        </w:tc>
      </w:tr>
      <w:tr w:rsidR="007D160C" w:rsidRPr="0096452F" w14:paraId="0A4742FE" w14:textId="77777777" w:rsidTr="001B1EFB">
        <w:trPr>
          <w:cantSplit/>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tcPr>
          <w:p w14:paraId="3BE3E7FA" w14:textId="77777777" w:rsidR="007D160C" w:rsidRPr="00B92E77" w:rsidRDefault="007D160C" w:rsidP="00FA328D">
            <w:pPr>
              <w:pStyle w:val="affff0"/>
              <w:widowControl w:val="0"/>
              <w:numPr>
                <w:ilvl w:val="0"/>
                <w:numId w:val="59"/>
              </w:numPr>
              <w:overflowPunct w:val="0"/>
              <w:spacing w:line="320" w:lineRule="exact"/>
              <w:textAlignment w:val="auto"/>
              <w:rPr>
                <w:rFonts w:ascii="標楷體" w:eastAsia="標楷體" w:hAnsi="標楷體"/>
                <w:b/>
                <w:bCs/>
                <w:szCs w:val="24"/>
              </w:rPr>
            </w:pPr>
          </w:p>
        </w:tc>
        <w:tc>
          <w:tcPr>
            <w:tcW w:w="354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1472E53" w14:textId="77777777" w:rsidR="007D160C" w:rsidRPr="00593EC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EB608D">
              <w:rPr>
                <w:rFonts w:ascii="標楷體" w:eastAsia="標楷體" w:hAnsi="標楷體" w:hint="eastAsia"/>
                <w:kern w:val="2"/>
                <w:szCs w:val="24"/>
              </w:rPr>
              <w:t>審計部函送中華民國111年度中央政府總預算半年結算報告及查核報告案</w:t>
            </w:r>
          </w:p>
        </w:tc>
        <w:tc>
          <w:tcPr>
            <w:tcW w:w="255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2C8EB17" w14:textId="6C2D0840" w:rsidR="007D160C" w:rsidRPr="00593EC7" w:rsidRDefault="007D160C" w:rsidP="00160EAD">
            <w:pPr>
              <w:overflowPunct w:val="0"/>
              <w:jc w:val="both"/>
              <w:rPr>
                <w:rFonts w:ascii="標楷體" w:eastAsia="標楷體" w:hAnsi="標楷體"/>
                <w:kern w:val="2"/>
                <w:szCs w:val="24"/>
              </w:rPr>
            </w:pPr>
            <w:r w:rsidRPr="00EB608D">
              <w:rPr>
                <w:rFonts w:ascii="標楷體" w:eastAsia="標楷體" w:hAnsi="標楷體" w:hint="eastAsia"/>
                <w:kern w:val="2"/>
                <w:szCs w:val="24"/>
              </w:rPr>
              <w:t>第10屆第6會期第4次院會（111.10.14）決定：「交財政委員會會同有關委員會處理</w:t>
            </w:r>
            <w:r w:rsidR="00160EAD">
              <w:rPr>
                <w:rFonts w:ascii="標楷體" w:eastAsia="標楷體" w:hAnsi="標楷體" w:hint="eastAsia"/>
                <w:kern w:val="2"/>
                <w:szCs w:val="24"/>
              </w:rPr>
              <w:t>」</w:t>
            </w:r>
          </w:p>
        </w:tc>
        <w:tc>
          <w:tcPr>
            <w:tcW w:w="241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0EF8907" w14:textId="77777777" w:rsidR="007D160C"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4E5043">
              <w:rPr>
                <w:rFonts w:ascii="標楷體" w:eastAsia="標楷體" w:hAnsi="標楷體" w:hint="eastAsia"/>
                <w:szCs w:val="24"/>
              </w:rPr>
              <w:t>因已逾送達後1年內完成審查期限，</w:t>
            </w:r>
            <w:r>
              <w:rPr>
                <w:rFonts w:ascii="標楷體" w:eastAsia="標楷體" w:hAnsi="標楷體" w:hint="eastAsia"/>
                <w:szCs w:val="24"/>
              </w:rPr>
              <w:t>經提第11屆第2會期本</w:t>
            </w:r>
            <w:r w:rsidRPr="004E5043">
              <w:rPr>
                <w:rFonts w:ascii="標楷體" w:eastAsia="標楷體" w:hAnsi="標楷體" w:hint="eastAsia"/>
                <w:szCs w:val="24"/>
              </w:rPr>
              <w:t>會</w:t>
            </w:r>
            <w:r>
              <w:rPr>
                <w:rFonts w:ascii="標楷體" w:eastAsia="標楷體" w:hAnsi="標楷體" w:hint="eastAsia"/>
                <w:szCs w:val="24"/>
              </w:rPr>
              <w:t>召集委員第1次會議決定，爰依決算法第28條提報</w:t>
            </w:r>
            <w:r w:rsidRPr="00394F2D">
              <w:rPr>
                <w:rFonts w:ascii="標楷體" w:eastAsia="標楷體" w:hAnsi="標楷體" w:hint="eastAsia"/>
                <w:spacing w:val="-20"/>
                <w:szCs w:val="24"/>
              </w:rPr>
              <w:t>院會，本會並於113.9.26</w:t>
            </w:r>
            <w:r w:rsidRPr="004E5043">
              <w:rPr>
                <w:rFonts w:ascii="標楷體" w:eastAsia="標楷體" w:hAnsi="標楷體" w:hint="eastAsia"/>
                <w:szCs w:val="24"/>
              </w:rPr>
              <w:t>函議事處提報院會准予備查。</w:t>
            </w:r>
          </w:p>
          <w:p w14:paraId="4068A9CF" w14:textId="77777777" w:rsidR="007D160C" w:rsidRPr="004E5043" w:rsidRDefault="007D160C" w:rsidP="00F470A8">
            <w:pPr>
              <w:widowControl w:val="0"/>
              <w:overflowPunct w:val="0"/>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2.</w:t>
            </w:r>
            <w:r w:rsidRPr="00B20A59">
              <w:rPr>
                <w:rFonts w:ascii="標楷體" w:eastAsia="標楷體" w:hAnsi="標楷體" w:hint="eastAsia"/>
                <w:szCs w:val="24"/>
              </w:rPr>
              <w:t>第11屆第2會期第</w:t>
            </w:r>
            <w:r>
              <w:rPr>
                <w:rFonts w:ascii="標楷體" w:eastAsia="標楷體" w:hAnsi="標楷體" w:hint="eastAsia"/>
                <w:szCs w:val="24"/>
              </w:rPr>
              <w:t>3</w:t>
            </w:r>
            <w:r w:rsidRPr="00B20A59">
              <w:rPr>
                <w:rFonts w:ascii="標楷體" w:eastAsia="標楷體" w:hAnsi="標楷體" w:hint="eastAsia"/>
                <w:szCs w:val="24"/>
              </w:rPr>
              <w:t>次院會(113.</w:t>
            </w:r>
            <w:r>
              <w:rPr>
                <w:rFonts w:ascii="標楷體" w:eastAsia="標楷體" w:hAnsi="標楷體" w:hint="eastAsia"/>
                <w:szCs w:val="24"/>
              </w:rPr>
              <w:t>10</w:t>
            </w:r>
            <w:r w:rsidRPr="00B20A59">
              <w:rPr>
                <w:rFonts w:ascii="標楷體" w:eastAsia="標楷體" w:hAnsi="標楷體" w:hint="eastAsia"/>
                <w:szCs w:val="24"/>
              </w:rPr>
              <w:t>.</w:t>
            </w:r>
            <w:r>
              <w:rPr>
                <w:rFonts w:ascii="標楷體" w:eastAsia="標楷體" w:hAnsi="標楷體" w:hint="eastAsia"/>
                <w:szCs w:val="24"/>
              </w:rPr>
              <w:t>4</w:t>
            </w:r>
            <w:r w:rsidRPr="00B20A59">
              <w:rPr>
                <w:rFonts w:ascii="標楷體" w:eastAsia="標楷體" w:hAnsi="標楷體" w:hint="eastAsia"/>
                <w:szCs w:val="24"/>
              </w:rPr>
              <w:t>)決定：准予備查。</w:t>
            </w:r>
          </w:p>
        </w:tc>
      </w:tr>
    </w:tbl>
    <w:p w14:paraId="6AE1C71D" w14:textId="77777777" w:rsidR="007D160C" w:rsidRDefault="007D160C" w:rsidP="00F470A8">
      <w:pPr>
        <w:overflowPunct w:val="0"/>
        <w:autoSpaceDN/>
        <w:textAlignment w:val="auto"/>
        <w:rPr>
          <w:rFonts w:ascii="標楷體" w:eastAsia="標楷體" w:hAnsi="標楷體"/>
          <w:sz w:val="32"/>
          <w:szCs w:val="32"/>
        </w:rPr>
      </w:pPr>
      <w:r>
        <w:rPr>
          <w:rFonts w:ascii="標楷體" w:eastAsia="標楷體" w:hAnsi="標楷體"/>
          <w:sz w:val="32"/>
          <w:szCs w:val="32"/>
        </w:rPr>
        <w:br w:type="page"/>
      </w:r>
    </w:p>
    <w:p w14:paraId="72A09041" w14:textId="5AD6E461" w:rsidR="007D160C" w:rsidRPr="007D3C7B"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65" w:name="_Toc175833574"/>
      <w:bookmarkStart w:id="66" w:name="_Toc189487291"/>
      <w:bookmarkStart w:id="67" w:name="_Toc143873909"/>
      <w:r w:rsidRPr="007D3C7B">
        <w:rPr>
          <w:rFonts w:ascii="標楷體" w:eastAsia="標楷體" w:hAnsi="標楷體" w:hint="eastAsia"/>
          <w:b/>
          <w:bCs/>
          <w:sz w:val="32"/>
          <w:szCs w:val="32"/>
        </w:rPr>
        <w:lastRenderedPageBreak/>
        <w:t>五</w:t>
      </w:r>
      <w:r w:rsidRPr="007D3C7B">
        <w:rPr>
          <w:rFonts w:ascii="標楷體" w:eastAsia="標楷體" w:hAnsi="標楷體"/>
          <w:b/>
          <w:bCs/>
          <w:sz w:val="32"/>
          <w:szCs w:val="32"/>
        </w:rPr>
        <w:t>、行政</w:t>
      </w:r>
      <w:r w:rsidRPr="007D3C7B">
        <w:rPr>
          <w:rFonts w:ascii="標楷體" w:eastAsia="標楷體" w:hAnsi="標楷體" w:hint="eastAsia"/>
          <w:b/>
          <w:bCs/>
          <w:sz w:val="32"/>
          <w:szCs w:val="32"/>
        </w:rPr>
        <w:t>命令案(6</w:t>
      </w:r>
      <w:r w:rsidR="00383C53">
        <w:rPr>
          <w:rFonts w:ascii="標楷體" w:eastAsia="標楷體" w:hAnsi="標楷體" w:hint="eastAsia"/>
          <w:b/>
          <w:bCs/>
          <w:sz w:val="32"/>
          <w:szCs w:val="32"/>
        </w:rPr>
        <w:t>1</w:t>
      </w:r>
      <w:r w:rsidRPr="007D3C7B">
        <w:rPr>
          <w:rFonts w:ascii="標楷體" w:eastAsia="標楷體" w:hAnsi="標楷體" w:hint="eastAsia"/>
          <w:b/>
          <w:bCs/>
          <w:sz w:val="32"/>
          <w:szCs w:val="32"/>
        </w:rPr>
        <w:t>案)</w:t>
      </w:r>
      <w:bookmarkEnd w:id="65"/>
      <w:bookmarkEnd w:id="66"/>
    </w:p>
    <w:tbl>
      <w:tblPr>
        <w:tblW w:w="9351"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3795"/>
        <w:gridCol w:w="2551"/>
        <w:gridCol w:w="2410"/>
      </w:tblGrid>
      <w:tr w:rsidR="007D160C" w:rsidRPr="007D3C7B" w14:paraId="3DD98AF3" w14:textId="77777777" w:rsidTr="00127A9E">
        <w:trPr>
          <w:cantSplit/>
          <w:trHeight w:val="506"/>
          <w:jc w:val="center"/>
        </w:trPr>
        <w:tc>
          <w:tcPr>
            <w:tcW w:w="595"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4CAFD09" w14:textId="77777777" w:rsidR="007D160C" w:rsidRPr="007D3C7B" w:rsidRDefault="007D160C" w:rsidP="00F470A8">
            <w:pPr>
              <w:widowControl w:val="0"/>
              <w:overflowPunct w:val="0"/>
              <w:autoSpaceDN/>
              <w:spacing w:line="340" w:lineRule="exact"/>
              <w:jc w:val="center"/>
              <w:textAlignment w:val="auto"/>
              <w:rPr>
                <w:rFonts w:ascii="標楷體" w:eastAsia="標楷體" w:hAnsi="標楷體"/>
                <w:b/>
                <w:kern w:val="2"/>
                <w:szCs w:val="24"/>
              </w:rPr>
            </w:pPr>
            <w:r w:rsidRPr="007D3C7B">
              <w:rPr>
                <w:rFonts w:ascii="標楷體" w:eastAsia="標楷體" w:hAnsi="標楷體" w:hint="eastAsia"/>
                <w:b/>
                <w:kern w:val="2"/>
                <w:szCs w:val="24"/>
              </w:rPr>
              <w:t>序號</w:t>
            </w:r>
          </w:p>
        </w:tc>
        <w:tc>
          <w:tcPr>
            <w:tcW w:w="3795"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A59F9A4" w14:textId="77777777" w:rsidR="007D160C" w:rsidRPr="007D3C7B" w:rsidRDefault="007D160C" w:rsidP="00F470A8">
            <w:pPr>
              <w:widowControl w:val="0"/>
              <w:overflowPunct w:val="0"/>
              <w:autoSpaceDN/>
              <w:spacing w:line="340" w:lineRule="exact"/>
              <w:jc w:val="center"/>
              <w:textAlignment w:val="auto"/>
              <w:rPr>
                <w:rFonts w:ascii="標楷體" w:eastAsia="標楷體" w:hAnsi="標楷體"/>
                <w:b/>
                <w:kern w:val="2"/>
                <w:szCs w:val="24"/>
              </w:rPr>
            </w:pPr>
            <w:r w:rsidRPr="007D3C7B">
              <w:rPr>
                <w:rFonts w:ascii="標楷體" w:eastAsia="標楷體" w:hAnsi="標楷體" w:hint="eastAsia"/>
                <w:b/>
                <w:kern w:val="2"/>
                <w:szCs w:val="24"/>
              </w:rPr>
              <w:t>議案名稱</w:t>
            </w:r>
          </w:p>
        </w:tc>
        <w:tc>
          <w:tcPr>
            <w:tcW w:w="2551"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8CAEB55" w14:textId="77777777" w:rsidR="007D160C" w:rsidRPr="007D3C7B" w:rsidRDefault="007D160C" w:rsidP="00F470A8">
            <w:pPr>
              <w:widowControl w:val="0"/>
              <w:overflowPunct w:val="0"/>
              <w:autoSpaceDN/>
              <w:spacing w:line="340" w:lineRule="exact"/>
              <w:jc w:val="center"/>
              <w:textAlignment w:val="auto"/>
              <w:rPr>
                <w:rFonts w:ascii="標楷體" w:eastAsia="標楷體" w:hAnsi="標楷體"/>
                <w:b/>
                <w:kern w:val="2"/>
                <w:szCs w:val="24"/>
              </w:rPr>
            </w:pPr>
            <w:r w:rsidRPr="007D3C7B">
              <w:rPr>
                <w:rFonts w:ascii="標楷體" w:eastAsia="標楷體" w:hAnsi="標楷體" w:hint="eastAsia"/>
                <w:b/>
                <w:kern w:val="2"/>
                <w:szCs w:val="24"/>
              </w:rPr>
              <w:t>院會交付日期及會次</w:t>
            </w:r>
          </w:p>
        </w:tc>
        <w:tc>
          <w:tcPr>
            <w:tcW w:w="2410"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BB30528" w14:textId="77777777" w:rsidR="007D160C" w:rsidRPr="007D3C7B" w:rsidRDefault="007D160C" w:rsidP="00F470A8">
            <w:pPr>
              <w:widowControl w:val="0"/>
              <w:overflowPunct w:val="0"/>
              <w:spacing w:line="340" w:lineRule="exact"/>
              <w:jc w:val="center"/>
              <w:rPr>
                <w:rFonts w:ascii="標楷體" w:eastAsia="標楷體" w:hAnsi="標楷體" w:cstheme="minorBidi"/>
                <w:b/>
                <w:kern w:val="2"/>
                <w:szCs w:val="24"/>
              </w:rPr>
            </w:pPr>
            <w:r w:rsidRPr="007D3C7B">
              <w:rPr>
                <w:rFonts w:ascii="標楷體" w:eastAsia="標楷體" w:hAnsi="標楷體" w:cstheme="minorBidi" w:hint="eastAsia"/>
                <w:b/>
                <w:kern w:val="2"/>
                <w:szCs w:val="24"/>
              </w:rPr>
              <w:t>備註</w:t>
            </w:r>
          </w:p>
        </w:tc>
      </w:tr>
      <w:tr w:rsidR="007D160C" w:rsidRPr="007D3C7B" w14:paraId="245781EC" w14:textId="77777777" w:rsidTr="00127A9E">
        <w:tblPrEx>
          <w:jc w:val="left"/>
        </w:tblPrEx>
        <w:trPr>
          <w:cantSplit/>
          <w:trHeight w:val="962"/>
        </w:trPr>
        <w:tc>
          <w:tcPr>
            <w:tcW w:w="595" w:type="dxa"/>
            <w:tcBorders>
              <w:top w:val="single" w:sz="12" w:space="0" w:color="000000"/>
            </w:tcBorders>
            <w:shd w:val="clear" w:color="auto" w:fill="auto"/>
            <w:tcMar>
              <w:top w:w="0" w:type="dxa"/>
              <w:left w:w="28" w:type="dxa"/>
              <w:bottom w:w="0" w:type="dxa"/>
              <w:right w:w="28" w:type="dxa"/>
            </w:tcMar>
          </w:tcPr>
          <w:p w14:paraId="5DB467B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w:t>
            </w:r>
          </w:p>
        </w:tc>
        <w:tc>
          <w:tcPr>
            <w:tcW w:w="3795" w:type="dxa"/>
            <w:tcBorders>
              <w:top w:val="single" w:sz="12" w:space="0" w:color="000000"/>
            </w:tcBorders>
            <w:shd w:val="clear" w:color="auto" w:fill="auto"/>
            <w:tcMar>
              <w:top w:w="0" w:type="dxa"/>
              <w:left w:w="28" w:type="dxa"/>
              <w:bottom w:w="0" w:type="dxa"/>
              <w:right w:w="28" w:type="dxa"/>
            </w:tcMar>
          </w:tcPr>
          <w:p w14:paraId="6CFABBDA"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財政部函為修正「民間參與公共建設甄審委員會組織及評審辦法」部分條文案。</w:t>
            </w:r>
          </w:p>
        </w:tc>
        <w:tc>
          <w:tcPr>
            <w:tcW w:w="2551" w:type="dxa"/>
            <w:tcBorders>
              <w:top w:val="single" w:sz="12" w:space="0" w:color="000000"/>
            </w:tcBorders>
            <w:shd w:val="clear" w:color="auto" w:fill="auto"/>
            <w:tcMar>
              <w:top w:w="0" w:type="dxa"/>
              <w:left w:w="28" w:type="dxa"/>
              <w:bottom w:w="0" w:type="dxa"/>
              <w:right w:w="28" w:type="dxa"/>
            </w:tcMar>
          </w:tcPr>
          <w:p w14:paraId="6A059021"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tcBorders>
            <w:shd w:val="clear" w:color="auto" w:fill="auto"/>
            <w:tcMar>
              <w:top w:w="0" w:type="dxa"/>
              <w:left w:w="28" w:type="dxa"/>
              <w:bottom w:w="0" w:type="dxa"/>
              <w:right w:w="28" w:type="dxa"/>
            </w:tcMar>
          </w:tcPr>
          <w:p w14:paraId="72773E97"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1.依職權行使法規定於112.7.24函議事處(計22案)報請院會存查。</w:t>
            </w:r>
          </w:p>
          <w:p w14:paraId="63A929AE"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szCs w:val="24"/>
              </w:rPr>
            </w:pPr>
            <w:r w:rsidRPr="007D3C7B">
              <w:rPr>
                <w:rFonts w:ascii="標楷體" w:eastAsia="標楷體" w:hAnsi="標楷體" w:hint="eastAsia"/>
                <w:kern w:val="2"/>
                <w:szCs w:val="24"/>
              </w:rPr>
              <w:t>2.</w:t>
            </w:r>
            <w:r w:rsidRPr="007D3C7B">
              <w:rPr>
                <w:rFonts w:ascii="標楷體" w:eastAsia="標楷體" w:hAnsi="標楷體" w:hint="eastAsia"/>
                <w:szCs w:val="24"/>
              </w:rPr>
              <w:t>第10屆第8會期第1次院會(</w:t>
            </w:r>
            <w:r w:rsidRPr="007D3C7B">
              <w:rPr>
                <w:rFonts w:ascii="標楷體" w:eastAsia="標楷體" w:hAnsi="標楷體"/>
                <w:szCs w:val="24"/>
              </w:rPr>
              <w:t>11</w:t>
            </w:r>
            <w:r w:rsidRPr="007D3C7B">
              <w:rPr>
                <w:rFonts w:ascii="標楷體" w:eastAsia="標楷體" w:hAnsi="標楷體" w:hint="eastAsia"/>
                <w:szCs w:val="24"/>
              </w:rPr>
              <w:t>2</w:t>
            </w:r>
            <w:r w:rsidRPr="007D3C7B">
              <w:rPr>
                <w:rFonts w:ascii="標楷體" w:eastAsia="標楷體" w:hAnsi="標楷體"/>
                <w:szCs w:val="24"/>
              </w:rPr>
              <w:t>.</w:t>
            </w:r>
            <w:r w:rsidRPr="007D3C7B">
              <w:rPr>
                <w:rFonts w:ascii="標楷體" w:eastAsia="標楷體" w:hAnsi="標楷體" w:hint="eastAsia"/>
                <w:szCs w:val="24"/>
              </w:rPr>
              <w:t>9</w:t>
            </w:r>
            <w:r w:rsidRPr="007D3C7B">
              <w:rPr>
                <w:rFonts w:ascii="標楷體" w:eastAsia="標楷體" w:hAnsi="標楷體"/>
                <w:szCs w:val="24"/>
              </w:rPr>
              <w:t>.</w:t>
            </w:r>
            <w:r w:rsidRPr="007D3C7B">
              <w:rPr>
                <w:rFonts w:ascii="標楷體" w:eastAsia="標楷體" w:hAnsi="標楷體" w:hint="eastAsia"/>
                <w:szCs w:val="24"/>
              </w:rPr>
              <w:t>22)決定：同意展延審查期限。</w:t>
            </w:r>
          </w:p>
          <w:p w14:paraId="6BB0D7BE"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依職權行使法規定於113.5.9函議事處(計22案)報請院會存查。</w:t>
            </w:r>
          </w:p>
          <w:p w14:paraId="7A51849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3BD81ED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C200D1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w:t>
            </w:r>
          </w:p>
        </w:tc>
        <w:tc>
          <w:tcPr>
            <w:tcW w:w="3795" w:type="dxa"/>
            <w:shd w:val="clear" w:color="auto" w:fill="auto"/>
            <w:tcMar>
              <w:top w:w="0" w:type="dxa"/>
              <w:left w:w="28" w:type="dxa"/>
              <w:bottom w:w="0" w:type="dxa"/>
              <w:right w:w="28" w:type="dxa"/>
            </w:tcMar>
          </w:tcPr>
          <w:p w14:paraId="04A2AA03"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財政部函為修正「公益彩券發行機構個人資料檔案安全維護管理辦法」第六條、第十七條之一及第二十二條條文案。</w:t>
            </w:r>
          </w:p>
        </w:tc>
        <w:tc>
          <w:tcPr>
            <w:tcW w:w="2551" w:type="dxa"/>
            <w:shd w:val="clear" w:color="auto" w:fill="auto"/>
            <w:tcMar>
              <w:top w:w="0" w:type="dxa"/>
              <w:left w:w="28" w:type="dxa"/>
              <w:bottom w:w="0" w:type="dxa"/>
              <w:right w:w="28" w:type="dxa"/>
            </w:tcMar>
          </w:tcPr>
          <w:p w14:paraId="6F60DE39"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723A263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52E55402"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D22D28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w:t>
            </w:r>
          </w:p>
        </w:tc>
        <w:tc>
          <w:tcPr>
            <w:tcW w:w="3795" w:type="dxa"/>
            <w:shd w:val="clear" w:color="auto" w:fill="auto"/>
            <w:tcMar>
              <w:top w:w="0" w:type="dxa"/>
              <w:left w:w="28" w:type="dxa"/>
              <w:bottom w:w="0" w:type="dxa"/>
              <w:right w:w="28" w:type="dxa"/>
            </w:tcMar>
          </w:tcPr>
          <w:p w14:paraId="6BF34B06"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財政部函送「電子支付機構提供稅捐稽徵機關與海關身分資料及必要交易紀錄管理辦法」案。</w:t>
            </w:r>
          </w:p>
        </w:tc>
        <w:tc>
          <w:tcPr>
            <w:tcW w:w="2551" w:type="dxa"/>
            <w:shd w:val="clear" w:color="auto" w:fill="auto"/>
            <w:tcMar>
              <w:top w:w="0" w:type="dxa"/>
              <w:left w:w="28" w:type="dxa"/>
              <w:bottom w:w="0" w:type="dxa"/>
              <w:right w:w="28" w:type="dxa"/>
            </w:tcMar>
          </w:tcPr>
          <w:p w14:paraId="6F921831"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2B7091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62A9D0B"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2D4AC97"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w:t>
            </w:r>
          </w:p>
        </w:tc>
        <w:tc>
          <w:tcPr>
            <w:tcW w:w="3795" w:type="dxa"/>
            <w:shd w:val="clear" w:color="auto" w:fill="auto"/>
            <w:tcMar>
              <w:top w:w="0" w:type="dxa"/>
              <w:left w:w="28" w:type="dxa"/>
              <w:bottom w:w="0" w:type="dxa"/>
              <w:right w:w="28" w:type="dxa"/>
            </w:tcMar>
          </w:tcPr>
          <w:p w14:paraId="73EDEADA"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財政部函為修正「稅務違章案件減免處罰標準」第十五條條文案。</w:t>
            </w:r>
          </w:p>
        </w:tc>
        <w:tc>
          <w:tcPr>
            <w:tcW w:w="2551" w:type="dxa"/>
            <w:shd w:val="clear" w:color="auto" w:fill="auto"/>
            <w:tcMar>
              <w:top w:w="0" w:type="dxa"/>
              <w:left w:w="28" w:type="dxa"/>
              <w:bottom w:w="0" w:type="dxa"/>
              <w:right w:w="28" w:type="dxa"/>
            </w:tcMar>
          </w:tcPr>
          <w:p w14:paraId="0957B0C6"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4254DE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765465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BD767B7"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w:t>
            </w:r>
          </w:p>
        </w:tc>
        <w:tc>
          <w:tcPr>
            <w:tcW w:w="3795" w:type="dxa"/>
            <w:shd w:val="clear" w:color="auto" w:fill="auto"/>
            <w:tcMar>
              <w:top w:w="0" w:type="dxa"/>
              <w:left w:w="28" w:type="dxa"/>
              <w:bottom w:w="0" w:type="dxa"/>
              <w:right w:w="28" w:type="dxa"/>
            </w:tcMar>
          </w:tcPr>
          <w:p w14:paraId="21B2C49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財政部函為修正「海關執行商標權益保護措施實施辦法」第七條及第九條條文案。</w:t>
            </w:r>
          </w:p>
        </w:tc>
        <w:tc>
          <w:tcPr>
            <w:tcW w:w="2551" w:type="dxa"/>
            <w:shd w:val="clear" w:color="auto" w:fill="auto"/>
            <w:tcMar>
              <w:top w:w="0" w:type="dxa"/>
              <w:left w:w="28" w:type="dxa"/>
              <w:bottom w:w="0" w:type="dxa"/>
              <w:right w:w="28" w:type="dxa"/>
            </w:tcMar>
          </w:tcPr>
          <w:p w14:paraId="622C273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2E99E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DCE2B09"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3347467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6</w:t>
            </w:r>
          </w:p>
        </w:tc>
        <w:tc>
          <w:tcPr>
            <w:tcW w:w="3795" w:type="dxa"/>
            <w:shd w:val="clear" w:color="auto" w:fill="auto"/>
            <w:tcMar>
              <w:top w:w="0" w:type="dxa"/>
              <w:left w:w="28" w:type="dxa"/>
              <w:bottom w:w="0" w:type="dxa"/>
              <w:right w:w="28" w:type="dxa"/>
            </w:tcMar>
          </w:tcPr>
          <w:p w14:paraId="506780E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財政部函為修正「所得稅法施行細則」部分條文案。</w:t>
            </w:r>
          </w:p>
        </w:tc>
        <w:tc>
          <w:tcPr>
            <w:tcW w:w="2551" w:type="dxa"/>
            <w:shd w:val="clear" w:color="auto" w:fill="auto"/>
            <w:tcMar>
              <w:top w:w="0" w:type="dxa"/>
              <w:left w:w="28" w:type="dxa"/>
              <w:bottom w:w="0" w:type="dxa"/>
              <w:right w:w="28" w:type="dxa"/>
            </w:tcMar>
          </w:tcPr>
          <w:p w14:paraId="2DC7E0F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80DA05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F5537A9"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955DFE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7</w:t>
            </w:r>
          </w:p>
        </w:tc>
        <w:tc>
          <w:tcPr>
            <w:tcW w:w="3795" w:type="dxa"/>
            <w:shd w:val="clear" w:color="auto" w:fill="auto"/>
            <w:tcMar>
              <w:top w:w="0" w:type="dxa"/>
              <w:left w:w="28" w:type="dxa"/>
              <w:bottom w:w="0" w:type="dxa"/>
              <w:right w:w="28" w:type="dxa"/>
            </w:tcMar>
          </w:tcPr>
          <w:p w14:paraId="0E7B362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財政部函為修正「土地稅法施行細則」部分條文案。</w:t>
            </w:r>
          </w:p>
        </w:tc>
        <w:tc>
          <w:tcPr>
            <w:tcW w:w="2551" w:type="dxa"/>
            <w:shd w:val="clear" w:color="auto" w:fill="auto"/>
            <w:tcMar>
              <w:top w:w="0" w:type="dxa"/>
              <w:left w:w="28" w:type="dxa"/>
              <w:bottom w:w="0" w:type="dxa"/>
              <w:right w:w="28" w:type="dxa"/>
            </w:tcMar>
          </w:tcPr>
          <w:p w14:paraId="27D82C9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B34455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852699F"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344F71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8</w:t>
            </w:r>
          </w:p>
        </w:tc>
        <w:tc>
          <w:tcPr>
            <w:tcW w:w="3795" w:type="dxa"/>
            <w:shd w:val="clear" w:color="auto" w:fill="auto"/>
            <w:tcMar>
              <w:top w:w="0" w:type="dxa"/>
              <w:left w:w="28" w:type="dxa"/>
              <w:bottom w:w="0" w:type="dxa"/>
              <w:right w:w="28" w:type="dxa"/>
            </w:tcMar>
          </w:tcPr>
          <w:p w14:paraId="17C7AC4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財政部函為修正「國有非公用不動產出租管理辦法」第九條、第十三條之三及第三十六條條文案。</w:t>
            </w:r>
          </w:p>
        </w:tc>
        <w:tc>
          <w:tcPr>
            <w:tcW w:w="2551" w:type="dxa"/>
            <w:shd w:val="clear" w:color="auto" w:fill="auto"/>
            <w:tcMar>
              <w:top w:w="0" w:type="dxa"/>
              <w:left w:w="28" w:type="dxa"/>
              <w:bottom w:w="0" w:type="dxa"/>
              <w:right w:w="28" w:type="dxa"/>
            </w:tcMar>
          </w:tcPr>
          <w:p w14:paraId="622A17B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3DC5FC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71EA21A" w14:textId="77777777" w:rsidTr="00127A9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4CAAD1E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9</w:t>
            </w:r>
          </w:p>
        </w:tc>
        <w:tc>
          <w:tcPr>
            <w:tcW w:w="3795" w:type="dxa"/>
            <w:tcBorders>
              <w:bottom w:val="single" w:sz="4" w:space="0" w:color="000000"/>
            </w:tcBorders>
            <w:shd w:val="clear" w:color="auto" w:fill="auto"/>
            <w:tcMar>
              <w:top w:w="0" w:type="dxa"/>
              <w:left w:w="28" w:type="dxa"/>
              <w:bottom w:w="0" w:type="dxa"/>
              <w:right w:w="28" w:type="dxa"/>
            </w:tcMar>
          </w:tcPr>
          <w:p w14:paraId="504450C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財政部函為修正「報關業設置管理辦法」部分條文案。</w:t>
            </w:r>
          </w:p>
        </w:tc>
        <w:tc>
          <w:tcPr>
            <w:tcW w:w="2551" w:type="dxa"/>
            <w:tcBorders>
              <w:bottom w:val="single" w:sz="4" w:space="0" w:color="000000"/>
            </w:tcBorders>
            <w:shd w:val="clear" w:color="auto" w:fill="auto"/>
            <w:tcMar>
              <w:top w:w="0" w:type="dxa"/>
              <w:left w:w="28" w:type="dxa"/>
              <w:bottom w:w="0" w:type="dxa"/>
              <w:right w:w="28" w:type="dxa"/>
            </w:tcMar>
          </w:tcPr>
          <w:p w14:paraId="67DBE0C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794AD6C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7BC4EC1C" w14:textId="77777777" w:rsidTr="00127A9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7D3DAB9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10</w:t>
            </w:r>
          </w:p>
        </w:tc>
        <w:tc>
          <w:tcPr>
            <w:tcW w:w="3795" w:type="dxa"/>
            <w:tcBorders>
              <w:bottom w:val="single" w:sz="4" w:space="0" w:color="000000"/>
            </w:tcBorders>
            <w:shd w:val="clear" w:color="auto" w:fill="auto"/>
            <w:tcMar>
              <w:top w:w="0" w:type="dxa"/>
              <w:left w:w="28" w:type="dxa"/>
              <w:bottom w:w="0" w:type="dxa"/>
              <w:right w:w="28" w:type="dxa"/>
            </w:tcMar>
          </w:tcPr>
          <w:p w14:paraId="41EBB7A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財政部函為修正「民間自行規劃申請參與公共建設作業辦法」案。</w:t>
            </w:r>
          </w:p>
        </w:tc>
        <w:tc>
          <w:tcPr>
            <w:tcW w:w="2551" w:type="dxa"/>
            <w:tcBorders>
              <w:bottom w:val="single" w:sz="4" w:space="0" w:color="000000"/>
            </w:tcBorders>
            <w:shd w:val="clear" w:color="auto" w:fill="auto"/>
            <w:tcMar>
              <w:top w:w="0" w:type="dxa"/>
              <w:left w:w="28" w:type="dxa"/>
              <w:bottom w:w="0" w:type="dxa"/>
              <w:right w:w="28" w:type="dxa"/>
            </w:tcMar>
          </w:tcPr>
          <w:p w14:paraId="0AF0B9A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500F733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79B6C32A" w14:textId="77777777" w:rsidTr="00C44C8E">
        <w:tblPrEx>
          <w:jc w:val="left"/>
        </w:tblPrEx>
        <w:trPr>
          <w:cantSplit/>
          <w:trHeight w:val="962"/>
        </w:trPr>
        <w:tc>
          <w:tcPr>
            <w:tcW w:w="595" w:type="dxa"/>
            <w:tcBorders>
              <w:top w:val="single" w:sz="4" w:space="0" w:color="000000"/>
              <w:bottom w:val="single" w:sz="4" w:space="0" w:color="000000"/>
            </w:tcBorders>
            <w:shd w:val="clear" w:color="auto" w:fill="auto"/>
            <w:tcMar>
              <w:top w:w="0" w:type="dxa"/>
              <w:left w:w="28" w:type="dxa"/>
              <w:bottom w:w="0" w:type="dxa"/>
              <w:right w:w="28" w:type="dxa"/>
            </w:tcMar>
          </w:tcPr>
          <w:p w14:paraId="4CA2DF2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11</w:t>
            </w:r>
          </w:p>
        </w:tc>
        <w:tc>
          <w:tcPr>
            <w:tcW w:w="3795" w:type="dxa"/>
            <w:tcBorders>
              <w:top w:val="single" w:sz="4" w:space="0" w:color="000000"/>
              <w:bottom w:val="single" w:sz="4" w:space="0" w:color="000000"/>
            </w:tcBorders>
            <w:shd w:val="clear" w:color="auto" w:fill="auto"/>
            <w:tcMar>
              <w:top w:w="0" w:type="dxa"/>
              <w:left w:w="28" w:type="dxa"/>
              <w:bottom w:w="0" w:type="dxa"/>
              <w:right w:w="28" w:type="dxa"/>
            </w:tcMar>
          </w:tcPr>
          <w:p w14:paraId="1F5824C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財政部函為修正「統一發票使用辦法」第十五條、第十八條及第三十二條條文及「稅籍登記規則」部分條文案。</w:t>
            </w:r>
          </w:p>
        </w:tc>
        <w:tc>
          <w:tcPr>
            <w:tcW w:w="2551" w:type="dxa"/>
            <w:tcBorders>
              <w:top w:val="single" w:sz="4" w:space="0" w:color="000000"/>
              <w:bottom w:val="single" w:sz="4" w:space="0" w:color="000000"/>
            </w:tcBorders>
            <w:shd w:val="clear" w:color="auto" w:fill="auto"/>
            <w:tcMar>
              <w:top w:w="0" w:type="dxa"/>
              <w:left w:w="28" w:type="dxa"/>
              <w:bottom w:w="0" w:type="dxa"/>
              <w:right w:w="28" w:type="dxa"/>
            </w:tcMar>
          </w:tcPr>
          <w:p w14:paraId="13889E7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7次院</w:t>
            </w:r>
            <w:r w:rsidRPr="007D3C7B">
              <w:rPr>
                <w:rFonts w:ascii="標楷體" w:eastAsia="標楷體" w:hAnsi="標楷體"/>
                <w:kern w:val="2"/>
                <w:szCs w:val="24"/>
              </w:rPr>
              <w:t>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bottom w:val="single" w:sz="4" w:space="0" w:color="000000"/>
            </w:tcBorders>
            <w:shd w:val="clear" w:color="auto" w:fill="auto"/>
            <w:tcMar>
              <w:top w:w="0" w:type="dxa"/>
              <w:left w:w="28" w:type="dxa"/>
              <w:bottom w:w="0" w:type="dxa"/>
              <w:right w:w="28" w:type="dxa"/>
            </w:tcMar>
            <w:vAlign w:val="center"/>
          </w:tcPr>
          <w:p w14:paraId="7B334A4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F9D4F49" w14:textId="77777777" w:rsidTr="00C44C8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736A15D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12</w:t>
            </w:r>
          </w:p>
        </w:tc>
        <w:tc>
          <w:tcPr>
            <w:tcW w:w="3795" w:type="dxa"/>
            <w:tcBorders>
              <w:bottom w:val="single" w:sz="4" w:space="0" w:color="000000"/>
            </w:tcBorders>
            <w:shd w:val="clear" w:color="auto" w:fill="auto"/>
            <w:tcMar>
              <w:top w:w="0" w:type="dxa"/>
              <w:left w:w="28" w:type="dxa"/>
              <w:bottom w:w="0" w:type="dxa"/>
              <w:right w:w="28" w:type="dxa"/>
            </w:tcMar>
          </w:tcPr>
          <w:p w14:paraId="47D5F05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財政部函為修正「菸酒事業個人資料檔案安全維護管理辦法」部分條文案。</w:t>
            </w:r>
          </w:p>
        </w:tc>
        <w:tc>
          <w:tcPr>
            <w:tcW w:w="2551" w:type="dxa"/>
            <w:tcBorders>
              <w:bottom w:val="single" w:sz="4" w:space="0" w:color="000000"/>
            </w:tcBorders>
            <w:shd w:val="clear" w:color="auto" w:fill="auto"/>
            <w:tcMar>
              <w:top w:w="0" w:type="dxa"/>
              <w:left w:w="28" w:type="dxa"/>
              <w:bottom w:w="0" w:type="dxa"/>
              <w:right w:w="28" w:type="dxa"/>
            </w:tcMar>
          </w:tcPr>
          <w:p w14:paraId="75721BD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35A2BF9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12F437F7" w14:textId="77777777" w:rsidTr="00C44C8E">
        <w:tblPrEx>
          <w:jc w:val="left"/>
        </w:tblPrEx>
        <w:trPr>
          <w:cantSplit/>
          <w:trHeight w:val="962"/>
        </w:trPr>
        <w:tc>
          <w:tcPr>
            <w:tcW w:w="595" w:type="dxa"/>
            <w:tcBorders>
              <w:top w:val="single" w:sz="4" w:space="0" w:color="000000"/>
            </w:tcBorders>
            <w:shd w:val="clear" w:color="auto" w:fill="auto"/>
            <w:tcMar>
              <w:top w:w="0" w:type="dxa"/>
              <w:left w:w="28" w:type="dxa"/>
              <w:bottom w:w="0" w:type="dxa"/>
              <w:right w:w="28" w:type="dxa"/>
            </w:tcMar>
          </w:tcPr>
          <w:p w14:paraId="10F78348"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13</w:t>
            </w:r>
          </w:p>
        </w:tc>
        <w:tc>
          <w:tcPr>
            <w:tcW w:w="3795" w:type="dxa"/>
            <w:tcBorders>
              <w:top w:val="single" w:sz="4" w:space="0" w:color="000000"/>
            </w:tcBorders>
            <w:shd w:val="clear" w:color="auto" w:fill="auto"/>
            <w:tcMar>
              <w:top w:w="0" w:type="dxa"/>
              <w:left w:w="28" w:type="dxa"/>
              <w:bottom w:w="0" w:type="dxa"/>
              <w:right w:w="28" w:type="dxa"/>
            </w:tcMar>
          </w:tcPr>
          <w:p w14:paraId="027419E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財政部函為修正「外國特定專業人才減免所得稅辦法」案。</w:t>
            </w:r>
          </w:p>
        </w:tc>
        <w:tc>
          <w:tcPr>
            <w:tcW w:w="2551" w:type="dxa"/>
            <w:tcBorders>
              <w:top w:val="single" w:sz="4" w:space="0" w:color="000000"/>
            </w:tcBorders>
            <w:shd w:val="clear" w:color="auto" w:fill="auto"/>
            <w:tcMar>
              <w:top w:w="0" w:type="dxa"/>
              <w:left w:w="28" w:type="dxa"/>
              <w:bottom w:w="0" w:type="dxa"/>
              <w:right w:w="28" w:type="dxa"/>
            </w:tcMar>
          </w:tcPr>
          <w:p w14:paraId="3B11937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7</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.4.8）</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tcBorders>
            <w:shd w:val="clear" w:color="auto" w:fill="auto"/>
            <w:tcMar>
              <w:top w:w="0" w:type="dxa"/>
              <w:left w:w="28" w:type="dxa"/>
              <w:bottom w:w="0" w:type="dxa"/>
              <w:right w:w="28" w:type="dxa"/>
            </w:tcMar>
            <w:vAlign w:val="center"/>
          </w:tcPr>
          <w:p w14:paraId="2C534E6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0CF806F"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3E13B11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14</w:t>
            </w:r>
          </w:p>
        </w:tc>
        <w:tc>
          <w:tcPr>
            <w:tcW w:w="3795" w:type="dxa"/>
            <w:shd w:val="clear" w:color="auto" w:fill="auto"/>
            <w:tcMar>
              <w:top w:w="0" w:type="dxa"/>
              <w:left w:w="28" w:type="dxa"/>
              <w:bottom w:w="0" w:type="dxa"/>
              <w:right w:w="28" w:type="dxa"/>
            </w:tcMar>
          </w:tcPr>
          <w:p w14:paraId="147D4ED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財政部函為修正金融帳戶屬「低風險規避稅負帳戶」名單案。</w:t>
            </w:r>
          </w:p>
        </w:tc>
        <w:tc>
          <w:tcPr>
            <w:tcW w:w="2551" w:type="dxa"/>
            <w:shd w:val="clear" w:color="auto" w:fill="auto"/>
            <w:tcMar>
              <w:top w:w="0" w:type="dxa"/>
              <w:left w:w="28" w:type="dxa"/>
              <w:bottom w:w="0" w:type="dxa"/>
              <w:right w:w="28" w:type="dxa"/>
            </w:tcMar>
          </w:tcPr>
          <w:p w14:paraId="2647652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.4.22）</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BFF6B9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2B1D56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37EF07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15</w:t>
            </w:r>
          </w:p>
        </w:tc>
        <w:tc>
          <w:tcPr>
            <w:tcW w:w="3795" w:type="dxa"/>
            <w:shd w:val="clear" w:color="auto" w:fill="auto"/>
            <w:tcMar>
              <w:top w:w="0" w:type="dxa"/>
              <w:left w:w="28" w:type="dxa"/>
              <w:bottom w:w="0" w:type="dxa"/>
              <w:right w:w="28" w:type="dxa"/>
            </w:tcMar>
          </w:tcPr>
          <w:p w14:paraId="57DC3D1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財政部函為修正「統一發票給獎辦法」第十五條條文案。</w:t>
            </w:r>
          </w:p>
        </w:tc>
        <w:tc>
          <w:tcPr>
            <w:tcW w:w="2551" w:type="dxa"/>
            <w:shd w:val="clear" w:color="auto" w:fill="auto"/>
            <w:tcMar>
              <w:top w:w="0" w:type="dxa"/>
              <w:left w:w="28" w:type="dxa"/>
              <w:bottom w:w="0" w:type="dxa"/>
              <w:right w:w="28" w:type="dxa"/>
            </w:tcMar>
          </w:tcPr>
          <w:p w14:paraId="372104E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.4.22）</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8C618C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C7C34E9"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B557A7B"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16</w:t>
            </w:r>
          </w:p>
        </w:tc>
        <w:tc>
          <w:tcPr>
            <w:tcW w:w="3795" w:type="dxa"/>
            <w:shd w:val="clear" w:color="auto" w:fill="auto"/>
            <w:tcMar>
              <w:top w:w="0" w:type="dxa"/>
              <w:left w:w="28" w:type="dxa"/>
              <w:bottom w:w="0" w:type="dxa"/>
              <w:right w:w="28" w:type="dxa"/>
            </w:tcMar>
          </w:tcPr>
          <w:p w14:paraId="4948B04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財政部函送「納稅義務人申請加計利息分期繳納稅捐辦法」案。</w:t>
            </w:r>
          </w:p>
        </w:tc>
        <w:tc>
          <w:tcPr>
            <w:tcW w:w="2551" w:type="dxa"/>
            <w:shd w:val="clear" w:color="auto" w:fill="auto"/>
            <w:tcMar>
              <w:top w:w="0" w:type="dxa"/>
              <w:left w:w="28" w:type="dxa"/>
              <w:bottom w:w="0" w:type="dxa"/>
              <w:right w:w="28" w:type="dxa"/>
            </w:tcMar>
          </w:tcPr>
          <w:p w14:paraId="049E72E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w:t>
            </w:r>
            <w:r w:rsidRPr="007D3C7B">
              <w:rPr>
                <w:rFonts w:ascii="標楷體" w:eastAsia="標楷體" w:hAnsi="標楷體" w:hint="eastAsia"/>
                <w:kern w:val="2"/>
                <w:szCs w:val="24"/>
              </w:rPr>
              <w:t>次院</w:t>
            </w:r>
            <w:r w:rsidRPr="007D3C7B">
              <w:rPr>
                <w:rFonts w:ascii="標楷體" w:eastAsia="標楷體" w:hAnsi="標楷體"/>
                <w:kern w:val="2"/>
                <w:szCs w:val="24"/>
              </w:rPr>
              <w:t>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DABA23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1DF700FE"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406A94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17</w:t>
            </w:r>
          </w:p>
        </w:tc>
        <w:tc>
          <w:tcPr>
            <w:tcW w:w="3795" w:type="dxa"/>
            <w:shd w:val="clear" w:color="auto" w:fill="auto"/>
            <w:tcMar>
              <w:top w:w="0" w:type="dxa"/>
              <w:left w:w="28" w:type="dxa"/>
              <w:bottom w:w="0" w:type="dxa"/>
              <w:right w:w="28" w:type="dxa"/>
            </w:tcMar>
          </w:tcPr>
          <w:p w14:paraId="1E9A0D4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財政部函送有關稅捐稽徵機關應於繳款書載明逾期繳納稅捐應加徵滯納金、移送強制執行及行政救濟教示條款等事項之說明案。</w:t>
            </w:r>
          </w:p>
        </w:tc>
        <w:tc>
          <w:tcPr>
            <w:tcW w:w="2551" w:type="dxa"/>
            <w:shd w:val="clear" w:color="auto" w:fill="auto"/>
            <w:tcMar>
              <w:top w:w="0" w:type="dxa"/>
              <w:left w:w="28" w:type="dxa"/>
              <w:bottom w:w="0" w:type="dxa"/>
              <w:right w:w="28" w:type="dxa"/>
            </w:tcMar>
          </w:tcPr>
          <w:p w14:paraId="16FCEF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w:t>
            </w:r>
            <w:r w:rsidRPr="007D3C7B">
              <w:rPr>
                <w:rFonts w:ascii="標楷體" w:eastAsia="標楷體" w:hAnsi="標楷體" w:hint="eastAsia"/>
                <w:kern w:val="2"/>
                <w:szCs w:val="24"/>
              </w:rPr>
              <w:t>次院</w:t>
            </w:r>
            <w:r w:rsidRPr="007D3C7B">
              <w:rPr>
                <w:rFonts w:ascii="標楷體" w:eastAsia="標楷體" w:hAnsi="標楷體"/>
                <w:kern w:val="2"/>
                <w:szCs w:val="24"/>
              </w:rPr>
              <w:t>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06AD84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474696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7EDDFC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18</w:t>
            </w:r>
          </w:p>
        </w:tc>
        <w:tc>
          <w:tcPr>
            <w:tcW w:w="3795" w:type="dxa"/>
            <w:shd w:val="clear" w:color="auto" w:fill="auto"/>
            <w:tcMar>
              <w:top w:w="0" w:type="dxa"/>
              <w:left w:w="28" w:type="dxa"/>
              <w:bottom w:w="0" w:type="dxa"/>
              <w:right w:w="28" w:type="dxa"/>
            </w:tcMar>
          </w:tcPr>
          <w:p w14:paraId="6BAE898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財政部函送「保稅倉庫及物流中心個人資料檔案安全維護管理辦法」案。</w:t>
            </w:r>
          </w:p>
        </w:tc>
        <w:tc>
          <w:tcPr>
            <w:tcW w:w="2551" w:type="dxa"/>
            <w:shd w:val="clear" w:color="auto" w:fill="auto"/>
            <w:tcMar>
              <w:top w:w="0" w:type="dxa"/>
              <w:left w:w="28" w:type="dxa"/>
              <w:bottom w:w="0" w:type="dxa"/>
              <w:right w:w="28" w:type="dxa"/>
            </w:tcMar>
          </w:tcPr>
          <w:p w14:paraId="21DFEDE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6B5B88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A236D4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0FBAEBE"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19</w:t>
            </w:r>
          </w:p>
        </w:tc>
        <w:tc>
          <w:tcPr>
            <w:tcW w:w="3795" w:type="dxa"/>
            <w:shd w:val="clear" w:color="auto" w:fill="auto"/>
            <w:tcMar>
              <w:top w:w="0" w:type="dxa"/>
              <w:left w:w="28" w:type="dxa"/>
              <w:bottom w:w="0" w:type="dxa"/>
              <w:right w:w="28" w:type="dxa"/>
            </w:tcMar>
          </w:tcPr>
          <w:p w14:paraId="726B763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財政部函為修正「所得基本稅額條例施行細則」部分條文案。</w:t>
            </w:r>
          </w:p>
        </w:tc>
        <w:tc>
          <w:tcPr>
            <w:tcW w:w="2551" w:type="dxa"/>
            <w:shd w:val="clear" w:color="auto" w:fill="auto"/>
            <w:tcMar>
              <w:top w:w="0" w:type="dxa"/>
              <w:left w:w="28" w:type="dxa"/>
              <w:bottom w:w="0" w:type="dxa"/>
              <w:right w:w="28" w:type="dxa"/>
            </w:tcMar>
          </w:tcPr>
          <w:p w14:paraId="1FA2982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BB42CB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FB76BC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C24E523"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20</w:t>
            </w:r>
          </w:p>
        </w:tc>
        <w:tc>
          <w:tcPr>
            <w:tcW w:w="3795" w:type="dxa"/>
            <w:shd w:val="clear" w:color="auto" w:fill="auto"/>
            <w:tcMar>
              <w:top w:w="0" w:type="dxa"/>
              <w:left w:w="28" w:type="dxa"/>
              <w:bottom w:w="0" w:type="dxa"/>
              <w:right w:w="28" w:type="dxa"/>
            </w:tcMar>
          </w:tcPr>
          <w:p w14:paraId="7E77321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財政部函為修正「海關管理貨櫃集散站辦法」部分條文案。</w:t>
            </w:r>
          </w:p>
        </w:tc>
        <w:tc>
          <w:tcPr>
            <w:tcW w:w="2551" w:type="dxa"/>
            <w:shd w:val="clear" w:color="auto" w:fill="auto"/>
            <w:tcMar>
              <w:top w:w="0" w:type="dxa"/>
              <w:left w:w="28" w:type="dxa"/>
              <w:bottom w:w="0" w:type="dxa"/>
              <w:right w:w="28" w:type="dxa"/>
            </w:tcMar>
          </w:tcPr>
          <w:p w14:paraId="3DC9E6B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13</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20</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5A5ABA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F8A73F1"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AAE950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21</w:t>
            </w:r>
          </w:p>
        </w:tc>
        <w:tc>
          <w:tcPr>
            <w:tcW w:w="3795" w:type="dxa"/>
            <w:shd w:val="clear" w:color="auto" w:fill="auto"/>
            <w:tcMar>
              <w:top w:w="0" w:type="dxa"/>
              <w:left w:w="28" w:type="dxa"/>
              <w:bottom w:w="0" w:type="dxa"/>
              <w:right w:w="28" w:type="dxa"/>
            </w:tcMar>
          </w:tcPr>
          <w:p w14:paraId="1697D7F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財政部函為修正「空運快遞貨物通關辦法」第十二條之一、第二十六條及第二十九條條文案。</w:t>
            </w:r>
          </w:p>
        </w:tc>
        <w:tc>
          <w:tcPr>
            <w:tcW w:w="2551" w:type="dxa"/>
            <w:shd w:val="clear" w:color="auto" w:fill="auto"/>
            <w:tcMar>
              <w:top w:w="0" w:type="dxa"/>
              <w:left w:w="28" w:type="dxa"/>
              <w:bottom w:w="0" w:type="dxa"/>
              <w:right w:w="28" w:type="dxa"/>
            </w:tcMar>
          </w:tcPr>
          <w:p w14:paraId="5A447E4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0AD9DC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15F3CE1" w14:textId="77777777" w:rsidTr="00127A9E">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2D8EDB8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22</w:t>
            </w:r>
          </w:p>
        </w:tc>
        <w:tc>
          <w:tcPr>
            <w:tcW w:w="3795" w:type="dxa"/>
            <w:tcBorders>
              <w:bottom w:val="single" w:sz="12" w:space="0" w:color="000000"/>
            </w:tcBorders>
            <w:shd w:val="clear" w:color="auto" w:fill="auto"/>
            <w:tcMar>
              <w:top w:w="0" w:type="dxa"/>
              <w:left w:w="28" w:type="dxa"/>
              <w:bottom w:w="0" w:type="dxa"/>
              <w:right w:w="28" w:type="dxa"/>
            </w:tcMar>
          </w:tcPr>
          <w:p w14:paraId="5C8901B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財政部函送「財政部所屬國營事業機構運動選手商業代言辦法」案。</w:t>
            </w:r>
          </w:p>
        </w:tc>
        <w:tc>
          <w:tcPr>
            <w:tcW w:w="2551" w:type="dxa"/>
            <w:tcBorders>
              <w:bottom w:val="single" w:sz="12" w:space="0" w:color="000000"/>
            </w:tcBorders>
            <w:shd w:val="clear" w:color="auto" w:fill="auto"/>
            <w:tcMar>
              <w:top w:w="0" w:type="dxa"/>
              <w:left w:w="28" w:type="dxa"/>
              <w:bottom w:w="0" w:type="dxa"/>
              <w:right w:w="28" w:type="dxa"/>
            </w:tcMar>
          </w:tcPr>
          <w:p w14:paraId="0F12C4D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5E16F26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3E4DA3D" w14:textId="77777777" w:rsidTr="00127A9E">
        <w:tblPrEx>
          <w:jc w:val="left"/>
        </w:tblPrEx>
        <w:trPr>
          <w:cantSplit/>
          <w:trHeight w:val="962"/>
        </w:trPr>
        <w:tc>
          <w:tcPr>
            <w:tcW w:w="595" w:type="dxa"/>
            <w:tcBorders>
              <w:top w:val="single" w:sz="12" w:space="0" w:color="000000"/>
              <w:bottom w:val="single" w:sz="4" w:space="0" w:color="000000"/>
            </w:tcBorders>
            <w:shd w:val="clear" w:color="auto" w:fill="auto"/>
            <w:tcMar>
              <w:top w:w="0" w:type="dxa"/>
              <w:left w:w="28" w:type="dxa"/>
              <w:bottom w:w="0" w:type="dxa"/>
              <w:right w:w="28" w:type="dxa"/>
            </w:tcMar>
          </w:tcPr>
          <w:p w14:paraId="2DAF523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23</w:t>
            </w:r>
          </w:p>
        </w:tc>
        <w:tc>
          <w:tcPr>
            <w:tcW w:w="3795" w:type="dxa"/>
            <w:tcBorders>
              <w:top w:val="single" w:sz="12" w:space="0" w:color="000000"/>
              <w:bottom w:val="single" w:sz="4" w:space="0" w:color="000000"/>
            </w:tcBorders>
            <w:shd w:val="clear" w:color="auto" w:fill="auto"/>
            <w:tcMar>
              <w:top w:w="0" w:type="dxa"/>
              <w:left w:w="28" w:type="dxa"/>
              <w:bottom w:w="0" w:type="dxa"/>
              <w:right w:w="28" w:type="dxa"/>
            </w:tcMar>
          </w:tcPr>
          <w:p w14:paraId="39F0DC18"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財政部、內政部會銜函送「非都市土地供公共設施使用認定及核發證明辦法」案。</w:t>
            </w:r>
          </w:p>
        </w:tc>
        <w:tc>
          <w:tcPr>
            <w:tcW w:w="2551" w:type="dxa"/>
            <w:tcBorders>
              <w:top w:val="single" w:sz="12" w:space="0" w:color="000000"/>
              <w:bottom w:val="single" w:sz="4" w:space="0" w:color="000000"/>
            </w:tcBorders>
            <w:shd w:val="clear" w:color="auto" w:fill="auto"/>
            <w:tcMar>
              <w:top w:w="0" w:type="dxa"/>
              <w:left w:w="28" w:type="dxa"/>
              <w:bottom w:w="0" w:type="dxa"/>
              <w:right w:w="28" w:type="dxa"/>
            </w:tcMar>
          </w:tcPr>
          <w:p w14:paraId="68386AB2"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4</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w:t>
            </w:r>
            <w:r w:rsidRPr="007D3C7B">
              <w:rPr>
                <w:rFonts w:ascii="標楷體" w:eastAsia="標楷體" w:hAnsi="標楷體" w:hint="eastAsia"/>
                <w:kern w:val="2"/>
                <w:szCs w:val="24"/>
              </w:rPr>
              <w:t>、內政兩</w:t>
            </w:r>
            <w:r w:rsidRPr="007D3C7B">
              <w:rPr>
                <w:rFonts w:ascii="標楷體" w:eastAsia="標楷體" w:hAnsi="標楷體"/>
                <w:kern w:val="2"/>
                <w:szCs w:val="24"/>
              </w:rPr>
              <w:t>委員會審查」</w:t>
            </w:r>
          </w:p>
        </w:tc>
        <w:tc>
          <w:tcPr>
            <w:tcW w:w="2410"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576210AB"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1.依職權行使法規定於112.7.24函議事處(計2案)報請院會</w:t>
            </w:r>
            <w:r w:rsidRPr="007D3C7B">
              <w:rPr>
                <w:rFonts w:ascii="標楷體" w:eastAsia="標楷體" w:hAnsi="標楷體" w:cstheme="minorBidi" w:hint="eastAsia"/>
                <w:kern w:val="2"/>
                <w:szCs w:val="24"/>
              </w:rPr>
              <w:lastRenderedPageBreak/>
              <w:t>存查。</w:t>
            </w:r>
          </w:p>
          <w:p w14:paraId="6826607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szCs w:val="24"/>
              </w:rPr>
            </w:pPr>
            <w:r w:rsidRPr="007D3C7B">
              <w:rPr>
                <w:rFonts w:ascii="標楷體" w:eastAsia="標楷體" w:hAnsi="標楷體" w:hint="eastAsia"/>
                <w:kern w:val="2"/>
                <w:szCs w:val="24"/>
              </w:rPr>
              <w:t>2.</w:t>
            </w:r>
            <w:r w:rsidRPr="007D3C7B">
              <w:rPr>
                <w:rFonts w:ascii="標楷體" w:eastAsia="標楷體" w:hAnsi="標楷體" w:hint="eastAsia"/>
                <w:szCs w:val="24"/>
              </w:rPr>
              <w:t>第10屆第8會期第1次院會(</w:t>
            </w:r>
            <w:r w:rsidRPr="007D3C7B">
              <w:rPr>
                <w:rFonts w:ascii="標楷體" w:eastAsia="標楷體" w:hAnsi="標楷體"/>
                <w:szCs w:val="24"/>
              </w:rPr>
              <w:t>11</w:t>
            </w:r>
            <w:r w:rsidRPr="007D3C7B">
              <w:rPr>
                <w:rFonts w:ascii="標楷體" w:eastAsia="標楷體" w:hAnsi="標楷體" w:hint="eastAsia"/>
                <w:szCs w:val="24"/>
              </w:rPr>
              <w:t>2</w:t>
            </w:r>
            <w:r w:rsidRPr="007D3C7B">
              <w:rPr>
                <w:rFonts w:ascii="標楷體" w:eastAsia="標楷體" w:hAnsi="標楷體"/>
                <w:szCs w:val="24"/>
              </w:rPr>
              <w:t>.</w:t>
            </w:r>
            <w:r w:rsidRPr="007D3C7B">
              <w:rPr>
                <w:rFonts w:ascii="標楷體" w:eastAsia="標楷體" w:hAnsi="標楷體" w:hint="eastAsia"/>
                <w:szCs w:val="24"/>
              </w:rPr>
              <w:t>9</w:t>
            </w:r>
            <w:r w:rsidRPr="007D3C7B">
              <w:rPr>
                <w:rFonts w:ascii="標楷體" w:eastAsia="標楷體" w:hAnsi="標楷體"/>
                <w:szCs w:val="24"/>
              </w:rPr>
              <w:t>.</w:t>
            </w:r>
            <w:r w:rsidRPr="007D3C7B">
              <w:rPr>
                <w:rFonts w:ascii="標楷體" w:eastAsia="標楷體" w:hAnsi="標楷體" w:hint="eastAsia"/>
                <w:szCs w:val="24"/>
              </w:rPr>
              <w:t>22)決定：同意展延審查期限。</w:t>
            </w:r>
          </w:p>
          <w:p w14:paraId="234E8D3E"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依職權行使法規定於113.5.9函議事處(計2案)報請院會存查。</w:t>
            </w:r>
          </w:p>
          <w:p w14:paraId="178D5439"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49ED035B" w14:textId="77777777" w:rsidTr="00127A9E">
        <w:tblPrEx>
          <w:jc w:val="left"/>
        </w:tblPrEx>
        <w:trPr>
          <w:cantSplit/>
          <w:trHeight w:val="962"/>
        </w:trPr>
        <w:tc>
          <w:tcPr>
            <w:tcW w:w="595" w:type="dxa"/>
            <w:tcBorders>
              <w:top w:val="single" w:sz="4" w:space="0" w:color="000000"/>
              <w:bottom w:val="single" w:sz="12" w:space="0" w:color="000000"/>
            </w:tcBorders>
            <w:shd w:val="clear" w:color="auto" w:fill="auto"/>
            <w:tcMar>
              <w:top w:w="0" w:type="dxa"/>
              <w:left w:w="28" w:type="dxa"/>
              <w:bottom w:w="0" w:type="dxa"/>
              <w:right w:w="28" w:type="dxa"/>
            </w:tcMar>
          </w:tcPr>
          <w:p w14:paraId="1D950D3C"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24</w:t>
            </w:r>
          </w:p>
        </w:tc>
        <w:tc>
          <w:tcPr>
            <w:tcW w:w="3795" w:type="dxa"/>
            <w:tcBorders>
              <w:top w:val="single" w:sz="4" w:space="0" w:color="000000"/>
              <w:bottom w:val="single" w:sz="12" w:space="0" w:color="000000"/>
            </w:tcBorders>
            <w:shd w:val="clear" w:color="auto" w:fill="auto"/>
            <w:tcMar>
              <w:top w:w="0" w:type="dxa"/>
              <w:left w:w="28" w:type="dxa"/>
              <w:bottom w:w="0" w:type="dxa"/>
              <w:right w:w="28" w:type="dxa"/>
            </w:tcMar>
          </w:tcPr>
          <w:p w14:paraId="7A297DA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財政部、內政部會銜函為修正「民間興辦社會住宅使用公有不動產之出租及設定地上權優惠辦法」第三條及第六條條文案。</w:t>
            </w:r>
          </w:p>
        </w:tc>
        <w:tc>
          <w:tcPr>
            <w:tcW w:w="2551" w:type="dxa"/>
            <w:tcBorders>
              <w:top w:val="single" w:sz="4" w:space="0" w:color="000000"/>
              <w:bottom w:val="single" w:sz="12" w:space="0" w:color="000000"/>
            </w:tcBorders>
            <w:shd w:val="clear" w:color="auto" w:fill="auto"/>
            <w:tcMar>
              <w:top w:w="0" w:type="dxa"/>
              <w:left w:w="28" w:type="dxa"/>
              <w:bottom w:w="0" w:type="dxa"/>
              <w:right w:w="28" w:type="dxa"/>
            </w:tcMar>
          </w:tcPr>
          <w:p w14:paraId="24C74F9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.4.22）決定</w:t>
            </w:r>
            <w:r w:rsidRPr="007D3C7B">
              <w:rPr>
                <w:rFonts w:ascii="標楷體" w:eastAsia="標楷體" w:hAnsi="標楷體" w:hint="eastAsia"/>
                <w:kern w:val="2"/>
                <w:szCs w:val="24"/>
              </w:rPr>
              <w:t>：「</w:t>
            </w:r>
            <w:r w:rsidRPr="007D3C7B">
              <w:rPr>
                <w:rFonts w:ascii="標楷體" w:eastAsia="標楷體" w:hAnsi="標楷體"/>
                <w:kern w:val="2"/>
                <w:szCs w:val="24"/>
              </w:rPr>
              <w:t>交財政</w:t>
            </w:r>
            <w:r w:rsidRPr="007D3C7B">
              <w:rPr>
                <w:rFonts w:ascii="標楷體" w:eastAsia="標楷體" w:hAnsi="標楷體" w:hint="eastAsia"/>
                <w:kern w:val="2"/>
                <w:szCs w:val="24"/>
              </w:rPr>
              <w:t>、內政兩</w:t>
            </w:r>
            <w:r w:rsidRPr="007D3C7B">
              <w:rPr>
                <w:rFonts w:ascii="標楷體" w:eastAsia="標楷體" w:hAnsi="標楷體"/>
                <w:kern w:val="2"/>
                <w:szCs w:val="24"/>
              </w:rPr>
              <w:t>委員會審查」</w:t>
            </w:r>
          </w:p>
        </w:tc>
        <w:tc>
          <w:tcPr>
            <w:tcW w:w="2410" w:type="dxa"/>
            <w:vMerge/>
            <w:tcBorders>
              <w:top w:val="single" w:sz="4" w:space="0" w:color="000000"/>
              <w:bottom w:val="single" w:sz="12" w:space="0" w:color="000000"/>
            </w:tcBorders>
            <w:shd w:val="clear" w:color="auto" w:fill="auto"/>
            <w:tcMar>
              <w:top w:w="0" w:type="dxa"/>
              <w:left w:w="28" w:type="dxa"/>
              <w:bottom w:w="0" w:type="dxa"/>
              <w:right w:w="28" w:type="dxa"/>
            </w:tcMar>
            <w:vAlign w:val="center"/>
          </w:tcPr>
          <w:p w14:paraId="0D45CD9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467D31F" w14:textId="77777777" w:rsidTr="00127A9E">
        <w:tblPrEx>
          <w:jc w:val="left"/>
        </w:tblPrEx>
        <w:trPr>
          <w:cantSplit/>
          <w:trHeight w:val="962"/>
        </w:trPr>
        <w:tc>
          <w:tcPr>
            <w:tcW w:w="595" w:type="dxa"/>
            <w:tcBorders>
              <w:top w:val="single" w:sz="12" w:space="0" w:color="000000"/>
              <w:bottom w:val="single" w:sz="4" w:space="0" w:color="000000"/>
            </w:tcBorders>
            <w:shd w:val="clear" w:color="auto" w:fill="auto"/>
            <w:tcMar>
              <w:top w:w="0" w:type="dxa"/>
              <w:left w:w="28" w:type="dxa"/>
              <w:bottom w:w="0" w:type="dxa"/>
              <w:right w:w="28" w:type="dxa"/>
            </w:tcMar>
          </w:tcPr>
          <w:p w14:paraId="24A68A4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25</w:t>
            </w:r>
          </w:p>
        </w:tc>
        <w:tc>
          <w:tcPr>
            <w:tcW w:w="3795" w:type="dxa"/>
            <w:tcBorders>
              <w:top w:val="single" w:sz="12" w:space="0" w:color="000000"/>
              <w:bottom w:val="single" w:sz="4" w:space="0" w:color="000000"/>
            </w:tcBorders>
            <w:shd w:val="clear" w:color="auto" w:fill="auto"/>
            <w:tcMar>
              <w:top w:w="0" w:type="dxa"/>
              <w:left w:w="28" w:type="dxa"/>
              <w:bottom w:w="0" w:type="dxa"/>
              <w:right w:w="28" w:type="dxa"/>
            </w:tcMar>
          </w:tcPr>
          <w:p w14:paraId="2414C0C8"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金融監督管理委員會函為修正「信託資金集合管理運用管理辦法」第七條、第八條及第八條之一條文案。</w:t>
            </w:r>
          </w:p>
        </w:tc>
        <w:tc>
          <w:tcPr>
            <w:tcW w:w="2551" w:type="dxa"/>
            <w:tcBorders>
              <w:top w:val="single" w:sz="12" w:space="0" w:color="000000"/>
              <w:bottom w:val="single" w:sz="4" w:space="0" w:color="000000"/>
            </w:tcBorders>
            <w:shd w:val="clear" w:color="auto" w:fill="auto"/>
            <w:tcMar>
              <w:top w:w="0" w:type="dxa"/>
              <w:left w:w="28" w:type="dxa"/>
              <w:bottom w:w="0" w:type="dxa"/>
              <w:right w:w="28" w:type="dxa"/>
            </w:tcMar>
          </w:tcPr>
          <w:p w14:paraId="4B348874" w14:textId="77777777" w:rsidR="007D160C" w:rsidRPr="007D3C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2</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4</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3963B524"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1.依職權行使法規定於112.7.24函議事處(計30案)報請院會存查。</w:t>
            </w:r>
          </w:p>
          <w:p w14:paraId="4128E83D"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2.第10屆第8會期第1次院會(</w:t>
            </w:r>
            <w:r w:rsidRPr="007D3C7B">
              <w:rPr>
                <w:rFonts w:ascii="標楷體" w:eastAsia="標楷體" w:hAnsi="標楷體" w:cstheme="minorBidi"/>
                <w:kern w:val="2"/>
                <w:szCs w:val="24"/>
              </w:rPr>
              <w:t>11</w:t>
            </w:r>
            <w:r w:rsidRPr="007D3C7B">
              <w:rPr>
                <w:rFonts w:ascii="標楷體" w:eastAsia="標楷體" w:hAnsi="標楷體" w:cstheme="minorBidi" w:hint="eastAsia"/>
                <w:kern w:val="2"/>
                <w:szCs w:val="24"/>
              </w:rPr>
              <w:t>2</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9</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22)決定：同意展延審查期限。</w:t>
            </w:r>
          </w:p>
          <w:p w14:paraId="596254E9"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依職權行使法規定於113.5.9函議事處(計30案)報請院會存查。</w:t>
            </w:r>
          </w:p>
          <w:p w14:paraId="2C6045F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5BC9571A" w14:textId="77777777" w:rsidTr="00127A9E">
        <w:tblPrEx>
          <w:jc w:val="left"/>
        </w:tblPrEx>
        <w:trPr>
          <w:cantSplit/>
          <w:trHeight w:val="962"/>
        </w:trPr>
        <w:tc>
          <w:tcPr>
            <w:tcW w:w="595" w:type="dxa"/>
            <w:tcBorders>
              <w:top w:val="single" w:sz="4" w:space="0" w:color="000000"/>
            </w:tcBorders>
            <w:shd w:val="clear" w:color="auto" w:fill="auto"/>
            <w:tcMar>
              <w:top w:w="0" w:type="dxa"/>
              <w:left w:w="28" w:type="dxa"/>
              <w:bottom w:w="0" w:type="dxa"/>
              <w:right w:w="28" w:type="dxa"/>
            </w:tcMar>
          </w:tcPr>
          <w:p w14:paraId="1E1AF1F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26</w:t>
            </w:r>
          </w:p>
        </w:tc>
        <w:tc>
          <w:tcPr>
            <w:tcW w:w="3795" w:type="dxa"/>
            <w:tcBorders>
              <w:top w:val="single" w:sz="4" w:space="0" w:color="000000"/>
            </w:tcBorders>
            <w:shd w:val="clear" w:color="auto" w:fill="auto"/>
            <w:tcMar>
              <w:top w:w="0" w:type="dxa"/>
              <w:left w:w="28" w:type="dxa"/>
              <w:bottom w:w="0" w:type="dxa"/>
              <w:right w:w="28" w:type="dxa"/>
            </w:tcMar>
          </w:tcPr>
          <w:p w14:paraId="0AC0DF2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金融監督管理委員會函為修正「保險業內部控制及稽核制度實施辦法」第六條之一、第二十五條及第四十一條條文案。</w:t>
            </w:r>
          </w:p>
        </w:tc>
        <w:tc>
          <w:tcPr>
            <w:tcW w:w="2551" w:type="dxa"/>
            <w:tcBorders>
              <w:top w:val="single" w:sz="4" w:space="0" w:color="000000"/>
            </w:tcBorders>
            <w:shd w:val="clear" w:color="auto" w:fill="auto"/>
            <w:tcMar>
              <w:top w:w="0" w:type="dxa"/>
              <w:left w:w="28" w:type="dxa"/>
              <w:bottom w:w="0" w:type="dxa"/>
              <w:right w:w="28" w:type="dxa"/>
            </w:tcMar>
          </w:tcPr>
          <w:p w14:paraId="243CC56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tcBorders>
            <w:shd w:val="clear" w:color="auto" w:fill="auto"/>
            <w:tcMar>
              <w:top w:w="0" w:type="dxa"/>
              <w:left w:w="28" w:type="dxa"/>
              <w:bottom w:w="0" w:type="dxa"/>
              <w:right w:w="28" w:type="dxa"/>
            </w:tcMar>
            <w:vAlign w:val="center"/>
          </w:tcPr>
          <w:p w14:paraId="4A6D3CFB"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0309747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61F6C3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27</w:t>
            </w:r>
          </w:p>
        </w:tc>
        <w:tc>
          <w:tcPr>
            <w:tcW w:w="3795" w:type="dxa"/>
            <w:shd w:val="clear" w:color="auto" w:fill="auto"/>
            <w:tcMar>
              <w:top w:w="0" w:type="dxa"/>
              <w:left w:w="28" w:type="dxa"/>
              <w:bottom w:w="0" w:type="dxa"/>
              <w:right w:w="28" w:type="dxa"/>
            </w:tcMar>
          </w:tcPr>
          <w:p w14:paraId="0E86754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金融監督管理委員會函為修正「信託業營運範圍受益權轉讓限制風險揭露及行銷訂約管理辦法」第二十五條條文案。</w:t>
            </w:r>
          </w:p>
        </w:tc>
        <w:tc>
          <w:tcPr>
            <w:tcW w:w="2551" w:type="dxa"/>
            <w:shd w:val="clear" w:color="auto" w:fill="auto"/>
            <w:tcMar>
              <w:top w:w="0" w:type="dxa"/>
              <w:left w:w="28" w:type="dxa"/>
              <w:bottom w:w="0" w:type="dxa"/>
              <w:right w:w="28" w:type="dxa"/>
            </w:tcMar>
          </w:tcPr>
          <w:p w14:paraId="574E310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5</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56DBF">
              <w:rPr>
                <w:rFonts w:ascii="標楷體" w:eastAsia="標楷體" w:hAnsi="標楷體" w:hint="eastAsia"/>
                <w:spacing w:val="-20"/>
                <w:kern w:val="2"/>
                <w:szCs w:val="24"/>
              </w:rPr>
              <w:t>3</w:t>
            </w:r>
            <w:r w:rsidRPr="00756DBF">
              <w:rPr>
                <w:rFonts w:ascii="標楷體" w:eastAsia="標楷體" w:hAnsi="標楷體"/>
                <w:spacing w:val="-20"/>
                <w:kern w:val="2"/>
                <w:szCs w:val="24"/>
              </w:rPr>
              <w:t>.25）</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DBCE77C"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7D2531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CC69D6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28</w:t>
            </w:r>
          </w:p>
        </w:tc>
        <w:tc>
          <w:tcPr>
            <w:tcW w:w="3795" w:type="dxa"/>
            <w:shd w:val="clear" w:color="auto" w:fill="auto"/>
            <w:tcMar>
              <w:top w:w="0" w:type="dxa"/>
              <w:left w:w="28" w:type="dxa"/>
              <w:bottom w:w="0" w:type="dxa"/>
              <w:right w:w="28" w:type="dxa"/>
            </w:tcMar>
          </w:tcPr>
          <w:p w14:paraId="0A904E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金融監督管理委員會函為修正「金融控股公司及銀行業內部控制及稽核制度實施辦法」部分條文案。</w:t>
            </w:r>
          </w:p>
        </w:tc>
        <w:tc>
          <w:tcPr>
            <w:tcW w:w="2551" w:type="dxa"/>
            <w:shd w:val="clear" w:color="auto" w:fill="auto"/>
            <w:tcMar>
              <w:top w:w="0" w:type="dxa"/>
              <w:left w:w="28" w:type="dxa"/>
              <w:bottom w:w="0" w:type="dxa"/>
              <w:right w:w="28" w:type="dxa"/>
            </w:tcMar>
          </w:tcPr>
          <w:p w14:paraId="5D0E77C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0F16C6B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A9857AB"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ACB6A4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29</w:t>
            </w:r>
          </w:p>
        </w:tc>
        <w:tc>
          <w:tcPr>
            <w:tcW w:w="3795" w:type="dxa"/>
            <w:shd w:val="clear" w:color="auto" w:fill="auto"/>
            <w:tcMar>
              <w:top w:w="0" w:type="dxa"/>
              <w:left w:w="28" w:type="dxa"/>
              <w:bottom w:w="0" w:type="dxa"/>
              <w:right w:w="28" w:type="dxa"/>
            </w:tcMar>
          </w:tcPr>
          <w:p w14:paraId="48BA2C6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金融監督管理委員會函為修正「證券暨期貨市場各服務事業建立內部控制制度處理準則」第三十六條之二條文案。</w:t>
            </w:r>
          </w:p>
        </w:tc>
        <w:tc>
          <w:tcPr>
            <w:tcW w:w="2551" w:type="dxa"/>
            <w:shd w:val="clear" w:color="auto" w:fill="auto"/>
            <w:tcMar>
              <w:top w:w="0" w:type="dxa"/>
              <w:left w:w="28" w:type="dxa"/>
              <w:bottom w:w="0" w:type="dxa"/>
              <w:right w:w="28" w:type="dxa"/>
            </w:tcMar>
          </w:tcPr>
          <w:p w14:paraId="2945F46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7BBE323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4D43108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1681B4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30</w:t>
            </w:r>
          </w:p>
        </w:tc>
        <w:tc>
          <w:tcPr>
            <w:tcW w:w="3795" w:type="dxa"/>
            <w:shd w:val="clear" w:color="auto" w:fill="auto"/>
            <w:tcMar>
              <w:top w:w="0" w:type="dxa"/>
              <w:left w:w="28" w:type="dxa"/>
              <w:bottom w:w="0" w:type="dxa"/>
              <w:right w:w="28" w:type="dxa"/>
            </w:tcMar>
          </w:tcPr>
          <w:p w14:paraId="21EA682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金融監督管理委員會函為修正「金融消費者保護法第二十九條第二項之一定額度」案。</w:t>
            </w:r>
          </w:p>
        </w:tc>
        <w:tc>
          <w:tcPr>
            <w:tcW w:w="2551" w:type="dxa"/>
            <w:shd w:val="clear" w:color="auto" w:fill="auto"/>
            <w:tcMar>
              <w:top w:w="0" w:type="dxa"/>
              <w:left w:w="28" w:type="dxa"/>
              <w:bottom w:w="0" w:type="dxa"/>
              <w:right w:w="28" w:type="dxa"/>
            </w:tcMar>
          </w:tcPr>
          <w:p w14:paraId="38AB5ED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162257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393B8BA" w14:textId="77777777" w:rsidTr="00C44C8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20DDF8E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31</w:t>
            </w:r>
          </w:p>
        </w:tc>
        <w:tc>
          <w:tcPr>
            <w:tcW w:w="3795" w:type="dxa"/>
            <w:tcBorders>
              <w:bottom w:val="single" w:sz="4" w:space="0" w:color="000000"/>
            </w:tcBorders>
            <w:shd w:val="clear" w:color="auto" w:fill="auto"/>
            <w:tcMar>
              <w:top w:w="0" w:type="dxa"/>
              <w:left w:w="28" w:type="dxa"/>
              <w:bottom w:w="0" w:type="dxa"/>
              <w:right w:w="28" w:type="dxa"/>
            </w:tcMar>
          </w:tcPr>
          <w:p w14:paraId="7EA2013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金融監督管理委員會函為修正「保險業資本適足性管理辦法」案。</w:t>
            </w:r>
          </w:p>
        </w:tc>
        <w:tc>
          <w:tcPr>
            <w:tcW w:w="2551" w:type="dxa"/>
            <w:tcBorders>
              <w:bottom w:val="single" w:sz="4" w:space="0" w:color="000000"/>
            </w:tcBorders>
            <w:shd w:val="clear" w:color="auto" w:fill="auto"/>
            <w:tcMar>
              <w:top w:w="0" w:type="dxa"/>
              <w:left w:w="28" w:type="dxa"/>
              <w:bottom w:w="0" w:type="dxa"/>
              <w:right w:w="28" w:type="dxa"/>
            </w:tcMar>
          </w:tcPr>
          <w:p w14:paraId="28168D2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0430EA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31D18A1D" w14:textId="77777777" w:rsidTr="00C44C8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35229A4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32</w:t>
            </w:r>
          </w:p>
        </w:tc>
        <w:tc>
          <w:tcPr>
            <w:tcW w:w="3795" w:type="dxa"/>
            <w:tcBorders>
              <w:bottom w:val="single" w:sz="4" w:space="0" w:color="000000"/>
            </w:tcBorders>
            <w:shd w:val="clear" w:color="auto" w:fill="auto"/>
            <w:tcMar>
              <w:top w:w="0" w:type="dxa"/>
              <w:left w:w="28" w:type="dxa"/>
              <w:bottom w:w="0" w:type="dxa"/>
              <w:right w:w="28" w:type="dxa"/>
            </w:tcMar>
          </w:tcPr>
          <w:p w14:paraId="0B846B8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金融監督管理委員會函送「保險業辦理不動產投資管理辦法」案。</w:t>
            </w:r>
          </w:p>
        </w:tc>
        <w:tc>
          <w:tcPr>
            <w:tcW w:w="2551" w:type="dxa"/>
            <w:tcBorders>
              <w:bottom w:val="single" w:sz="4" w:space="0" w:color="000000"/>
            </w:tcBorders>
            <w:shd w:val="clear" w:color="auto" w:fill="auto"/>
            <w:tcMar>
              <w:top w:w="0" w:type="dxa"/>
              <w:left w:w="28" w:type="dxa"/>
              <w:bottom w:w="0" w:type="dxa"/>
              <w:right w:w="28" w:type="dxa"/>
            </w:tcMar>
          </w:tcPr>
          <w:p w14:paraId="721F0C6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第10屆第5會期第8次院會</w:t>
            </w:r>
            <w:r w:rsidRPr="00756DBF">
              <w:rPr>
                <w:rFonts w:ascii="標楷體" w:eastAsia="標楷體" w:hAnsi="標楷體" w:hint="eastAsia"/>
                <w:spacing w:val="-20"/>
                <w:kern w:val="2"/>
                <w:szCs w:val="24"/>
              </w:rPr>
              <w:t>（111.4.15）</w:t>
            </w:r>
            <w:r w:rsidRPr="007D3C7B">
              <w:rPr>
                <w:rFonts w:ascii="標楷體" w:eastAsia="標楷體" w:hAnsi="標楷體" w:hint="eastAsia"/>
                <w:kern w:val="2"/>
                <w:szCs w:val="24"/>
              </w:rPr>
              <w:t>決定：「交財政委員會審查」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2C2C129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6DB572DB" w14:textId="77777777" w:rsidTr="00C44C8E">
        <w:tblPrEx>
          <w:jc w:val="left"/>
        </w:tblPrEx>
        <w:trPr>
          <w:cantSplit/>
          <w:trHeight w:val="962"/>
        </w:trPr>
        <w:tc>
          <w:tcPr>
            <w:tcW w:w="595" w:type="dxa"/>
            <w:tcBorders>
              <w:top w:val="single" w:sz="4" w:space="0" w:color="000000"/>
            </w:tcBorders>
            <w:shd w:val="clear" w:color="auto" w:fill="auto"/>
            <w:tcMar>
              <w:top w:w="0" w:type="dxa"/>
              <w:left w:w="28" w:type="dxa"/>
              <w:bottom w:w="0" w:type="dxa"/>
              <w:right w:w="28" w:type="dxa"/>
            </w:tcMar>
          </w:tcPr>
          <w:p w14:paraId="4EAC45E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33</w:t>
            </w:r>
          </w:p>
        </w:tc>
        <w:tc>
          <w:tcPr>
            <w:tcW w:w="3795" w:type="dxa"/>
            <w:tcBorders>
              <w:top w:val="single" w:sz="4" w:space="0" w:color="000000"/>
            </w:tcBorders>
            <w:shd w:val="clear" w:color="auto" w:fill="auto"/>
            <w:tcMar>
              <w:top w:w="0" w:type="dxa"/>
              <w:left w:w="28" w:type="dxa"/>
              <w:bottom w:w="0" w:type="dxa"/>
              <w:right w:w="28" w:type="dxa"/>
            </w:tcMar>
          </w:tcPr>
          <w:p w14:paraId="4202F18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金融監督管理委員會函為修正「證券投資信託事業證券投資顧問事業經營全權委託投資業務管理辦法」第十一條、第十九條及第三十六條條文案。</w:t>
            </w:r>
          </w:p>
        </w:tc>
        <w:tc>
          <w:tcPr>
            <w:tcW w:w="2551" w:type="dxa"/>
            <w:tcBorders>
              <w:top w:val="single" w:sz="4" w:space="0" w:color="000000"/>
            </w:tcBorders>
            <w:shd w:val="clear" w:color="auto" w:fill="auto"/>
            <w:tcMar>
              <w:top w:w="0" w:type="dxa"/>
              <w:left w:w="28" w:type="dxa"/>
              <w:bottom w:w="0" w:type="dxa"/>
              <w:right w:w="28" w:type="dxa"/>
            </w:tcMar>
          </w:tcPr>
          <w:p w14:paraId="05F7D75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9</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.4.22）</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tcBorders>
            <w:shd w:val="clear" w:color="auto" w:fill="auto"/>
            <w:tcMar>
              <w:top w:w="0" w:type="dxa"/>
              <w:left w:w="28" w:type="dxa"/>
              <w:bottom w:w="0" w:type="dxa"/>
              <w:right w:w="28" w:type="dxa"/>
            </w:tcMar>
            <w:vAlign w:val="center"/>
          </w:tcPr>
          <w:p w14:paraId="100D6A5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2D13B01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50420E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34</w:t>
            </w:r>
          </w:p>
        </w:tc>
        <w:tc>
          <w:tcPr>
            <w:tcW w:w="3795" w:type="dxa"/>
            <w:shd w:val="clear" w:color="auto" w:fill="auto"/>
            <w:tcMar>
              <w:top w:w="0" w:type="dxa"/>
              <w:left w:w="28" w:type="dxa"/>
              <w:bottom w:w="0" w:type="dxa"/>
              <w:right w:w="28" w:type="dxa"/>
            </w:tcMar>
          </w:tcPr>
          <w:p w14:paraId="6A7067E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金融監督管理委員會函為修正「金融機構防制洗錢辦法」部分條文及「銀行業及其他經金融監督管理委員會指定之金融機構防制洗錢及打擊資恐內部控制與稽核制度實施辦法」部分條文案。</w:t>
            </w:r>
          </w:p>
        </w:tc>
        <w:tc>
          <w:tcPr>
            <w:tcW w:w="2551" w:type="dxa"/>
            <w:shd w:val="clear" w:color="auto" w:fill="auto"/>
            <w:tcMar>
              <w:top w:w="0" w:type="dxa"/>
              <w:left w:w="28" w:type="dxa"/>
              <w:bottom w:w="0" w:type="dxa"/>
              <w:right w:w="28" w:type="dxa"/>
            </w:tcMar>
          </w:tcPr>
          <w:p w14:paraId="754E3AF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w:t>
            </w:r>
            <w:r w:rsidRPr="00756DBF">
              <w:rPr>
                <w:rFonts w:ascii="標楷體" w:eastAsia="標楷體" w:hAnsi="標楷體"/>
                <w:kern w:val="2"/>
                <w:szCs w:val="24"/>
              </w:rPr>
              <w:t>（11</w:t>
            </w:r>
            <w:r w:rsidRPr="00756DBF">
              <w:rPr>
                <w:rFonts w:ascii="標楷體" w:eastAsia="標楷體" w:hAnsi="標楷體" w:hint="eastAsia"/>
                <w:kern w:val="2"/>
                <w:szCs w:val="24"/>
              </w:rPr>
              <w:t>1</w:t>
            </w:r>
            <w:r w:rsidRPr="00756DBF">
              <w:rPr>
                <w:rFonts w:ascii="標楷體" w:eastAsia="標楷體" w:hAnsi="標楷體"/>
                <w:kern w:val="2"/>
                <w:szCs w:val="24"/>
              </w:rPr>
              <w:t>.4.2</w:t>
            </w:r>
            <w:r w:rsidRPr="00756DBF">
              <w:rPr>
                <w:rFonts w:ascii="標楷體" w:eastAsia="標楷體" w:hAnsi="標楷體" w:hint="eastAsia"/>
                <w:kern w:val="2"/>
                <w:szCs w:val="24"/>
              </w:rPr>
              <w:t>9</w:t>
            </w:r>
            <w:r w:rsidRPr="00756DBF">
              <w:rPr>
                <w:rFonts w:ascii="標楷體" w:eastAsia="標楷體" w:hAnsi="標楷體"/>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539FFB5"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0EAF986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6756A34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35</w:t>
            </w:r>
          </w:p>
        </w:tc>
        <w:tc>
          <w:tcPr>
            <w:tcW w:w="3795" w:type="dxa"/>
            <w:shd w:val="clear" w:color="auto" w:fill="auto"/>
            <w:tcMar>
              <w:top w:w="0" w:type="dxa"/>
              <w:left w:w="28" w:type="dxa"/>
              <w:bottom w:w="0" w:type="dxa"/>
              <w:right w:w="28" w:type="dxa"/>
            </w:tcMar>
          </w:tcPr>
          <w:p w14:paraId="01C243C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金融監督管理委員會函為修正「金融監督管理委員會指定非公務機關個人資料檔案安全維護辦法」第二條及第六條條文案。</w:t>
            </w:r>
          </w:p>
        </w:tc>
        <w:tc>
          <w:tcPr>
            <w:tcW w:w="2551" w:type="dxa"/>
            <w:shd w:val="clear" w:color="auto" w:fill="auto"/>
            <w:tcMar>
              <w:top w:w="0" w:type="dxa"/>
              <w:left w:w="28" w:type="dxa"/>
              <w:bottom w:w="0" w:type="dxa"/>
              <w:right w:w="28" w:type="dxa"/>
            </w:tcMar>
          </w:tcPr>
          <w:p w14:paraId="14AF7F4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BB30ABC"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E133B45"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176738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36</w:t>
            </w:r>
          </w:p>
        </w:tc>
        <w:tc>
          <w:tcPr>
            <w:tcW w:w="3795" w:type="dxa"/>
            <w:shd w:val="clear" w:color="auto" w:fill="auto"/>
            <w:tcMar>
              <w:top w:w="0" w:type="dxa"/>
              <w:left w:w="28" w:type="dxa"/>
              <w:bottom w:w="0" w:type="dxa"/>
              <w:right w:w="28" w:type="dxa"/>
            </w:tcMar>
          </w:tcPr>
          <w:p w14:paraId="383B8A5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金融監督管理委員會函為修正「保險業資金辦理專案運用公共及社會福利事業投資管理辦法」案。</w:t>
            </w:r>
          </w:p>
        </w:tc>
        <w:tc>
          <w:tcPr>
            <w:tcW w:w="2551" w:type="dxa"/>
            <w:shd w:val="clear" w:color="auto" w:fill="auto"/>
            <w:tcMar>
              <w:top w:w="0" w:type="dxa"/>
              <w:left w:w="28" w:type="dxa"/>
              <w:bottom w:w="0" w:type="dxa"/>
              <w:right w:w="28" w:type="dxa"/>
            </w:tcMar>
          </w:tcPr>
          <w:p w14:paraId="5F3611B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852083F"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63CAC6D4"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2D58C8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37</w:t>
            </w:r>
          </w:p>
        </w:tc>
        <w:tc>
          <w:tcPr>
            <w:tcW w:w="3795" w:type="dxa"/>
            <w:shd w:val="clear" w:color="auto" w:fill="auto"/>
            <w:tcMar>
              <w:top w:w="0" w:type="dxa"/>
              <w:left w:w="28" w:type="dxa"/>
              <w:bottom w:w="0" w:type="dxa"/>
              <w:right w:w="28" w:type="dxa"/>
            </w:tcMar>
          </w:tcPr>
          <w:p w14:paraId="557BDA7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金融監督管理委員會函為修正「證券投資信託基金管理辦法」部分條文案。</w:t>
            </w:r>
          </w:p>
        </w:tc>
        <w:tc>
          <w:tcPr>
            <w:tcW w:w="2551" w:type="dxa"/>
            <w:shd w:val="clear" w:color="auto" w:fill="auto"/>
            <w:tcMar>
              <w:top w:w="0" w:type="dxa"/>
              <w:left w:w="28" w:type="dxa"/>
              <w:bottom w:w="0" w:type="dxa"/>
              <w:right w:w="28" w:type="dxa"/>
            </w:tcMar>
          </w:tcPr>
          <w:p w14:paraId="0B78405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F498D9F"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1D20232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53AAA73"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38</w:t>
            </w:r>
          </w:p>
        </w:tc>
        <w:tc>
          <w:tcPr>
            <w:tcW w:w="3795" w:type="dxa"/>
            <w:shd w:val="clear" w:color="auto" w:fill="auto"/>
            <w:tcMar>
              <w:top w:w="0" w:type="dxa"/>
              <w:left w:w="28" w:type="dxa"/>
              <w:bottom w:w="0" w:type="dxa"/>
              <w:right w:w="28" w:type="dxa"/>
            </w:tcMar>
          </w:tcPr>
          <w:p w14:paraId="66A9EC2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金融監督管理委員會函為修正「公開發行公司建立內部控制制度處理準則」第九條之一及第四十七條條文案。</w:t>
            </w:r>
          </w:p>
        </w:tc>
        <w:tc>
          <w:tcPr>
            <w:tcW w:w="2551" w:type="dxa"/>
            <w:shd w:val="clear" w:color="auto" w:fill="auto"/>
            <w:tcMar>
              <w:top w:w="0" w:type="dxa"/>
              <w:left w:w="28" w:type="dxa"/>
              <w:bottom w:w="0" w:type="dxa"/>
              <w:right w:w="28" w:type="dxa"/>
            </w:tcMar>
          </w:tcPr>
          <w:p w14:paraId="1FD536B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10次院</w:t>
            </w:r>
            <w:r w:rsidRPr="007D3C7B">
              <w:rPr>
                <w:rFonts w:ascii="標楷體" w:eastAsia="標楷體" w:hAnsi="標楷體"/>
                <w:kern w:val="2"/>
                <w:szCs w:val="24"/>
              </w:rPr>
              <w:t>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1A0B3D7"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17ABA36"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4F0BBF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39</w:t>
            </w:r>
          </w:p>
        </w:tc>
        <w:tc>
          <w:tcPr>
            <w:tcW w:w="3795" w:type="dxa"/>
            <w:shd w:val="clear" w:color="auto" w:fill="auto"/>
            <w:tcMar>
              <w:top w:w="0" w:type="dxa"/>
              <w:left w:w="28" w:type="dxa"/>
              <w:bottom w:w="0" w:type="dxa"/>
              <w:right w:w="28" w:type="dxa"/>
            </w:tcMar>
          </w:tcPr>
          <w:p w14:paraId="52690E03"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金融監督管理委員會函為修正「電子支付機構業務定型化契約應記載及不得記載事項」及「電子支付機構業務定型化契約範本」案。</w:t>
            </w:r>
          </w:p>
        </w:tc>
        <w:tc>
          <w:tcPr>
            <w:tcW w:w="2551" w:type="dxa"/>
            <w:shd w:val="clear" w:color="auto" w:fill="auto"/>
            <w:tcMar>
              <w:top w:w="0" w:type="dxa"/>
              <w:left w:w="28" w:type="dxa"/>
              <w:bottom w:w="0" w:type="dxa"/>
              <w:right w:w="28" w:type="dxa"/>
            </w:tcMar>
          </w:tcPr>
          <w:p w14:paraId="234B63F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E47545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28231DB"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C467D1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40</w:t>
            </w:r>
          </w:p>
        </w:tc>
        <w:tc>
          <w:tcPr>
            <w:tcW w:w="3795" w:type="dxa"/>
            <w:shd w:val="clear" w:color="auto" w:fill="auto"/>
            <w:tcMar>
              <w:top w:w="0" w:type="dxa"/>
              <w:left w:w="28" w:type="dxa"/>
              <w:bottom w:w="0" w:type="dxa"/>
              <w:right w:w="28" w:type="dxa"/>
            </w:tcMar>
          </w:tcPr>
          <w:p w14:paraId="47399C2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金融監督管理委員會函為修正「公司募集發行有價證券公開說明書應行記載事項準則」部分條文及第二十七條附表五十五、附表五十六案。</w:t>
            </w:r>
          </w:p>
        </w:tc>
        <w:tc>
          <w:tcPr>
            <w:tcW w:w="2551" w:type="dxa"/>
            <w:shd w:val="clear" w:color="auto" w:fill="auto"/>
            <w:tcMar>
              <w:top w:w="0" w:type="dxa"/>
              <w:left w:w="28" w:type="dxa"/>
              <w:bottom w:w="0" w:type="dxa"/>
              <w:right w:w="28" w:type="dxa"/>
            </w:tcMar>
          </w:tcPr>
          <w:p w14:paraId="0828FC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75993A7"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D661865"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7BF5D46"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41</w:t>
            </w:r>
          </w:p>
        </w:tc>
        <w:tc>
          <w:tcPr>
            <w:tcW w:w="3795" w:type="dxa"/>
            <w:shd w:val="clear" w:color="auto" w:fill="auto"/>
            <w:tcMar>
              <w:top w:w="0" w:type="dxa"/>
              <w:left w:w="28" w:type="dxa"/>
              <w:bottom w:w="0" w:type="dxa"/>
              <w:right w:w="28" w:type="dxa"/>
            </w:tcMar>
          </w:tcPr>
          <w:p w14:paraId="136A218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金融監督管理委員會函為修正「發行人募集與發行有價證券處理準則」部分條文案。</w:t>
            </w:r>
          </w:p>
        </w:tc>
        <w:tc>
          <w:tcPr>
            <w:tcW w:w="2551" w:type="dxa"/>
            <w:shd w:val="clear" w:color="auto" w:fill="auto"/>
            <w:tcMar>
              <w:top w:w="0" w:type="dxa"/>
              <w:left w:w="28" w:type="dxa"/>
              <w:bottom w:w="0" w:type="dxa"/>
              <w:right w:w="28" w:type="dxa"/>
            </w:tcMar>
          </w:tcPr>
          <w:p w14:paraId="6995A68A"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2D22DC31"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602B8A61"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40C2B74E"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42</w:t>
            </w:r>
          </w:p>
        </w:tc>
        <w:tc>
          <w:tcPr>
            <w:tcW w:w="3795" w:type="dxa"/>
            <w:shd w:val="clear" w:color="auto" w:fill="auto"/>
            <w:tcMar>
              <w:top w:w="0" w:type="dxa"/>
              <w:left w:w="28" w:type="dxa"/>
              <w:bottom w:w="0" w:type="dxa"/>
              <w:right w:w="28" w:type="dxa"/>
            </w:tcMar>
          </w:tcPr>
          <w:p w14:paraId="08FEF24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金融監督管理委員會函為修正「公開發行公司取得或處分資產處理準則」部分條文案。</w:t>
            </w:r>
          </w:p>
        </w:tc>
        <w:tc>
          <w:tcPr>
            <w:tcW w:w="2551" w:type="dxa"/>
            <w:shd w:val="clear" w:color="auto" w:fill="auto"/>
            <w:tcMar>
              <w:top w:w="0" w:type="dxa"/>
              <w:left w:w="28" w:type="dxa"/>
              <w:bottom w:w="0" w:type="dxa"/>
              <w:right w:w="28" w:type="dxa"/>
            </w:tcMar>
          </w:tcPr>
          <w:p w14:paraId="37A2019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D2499C2"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08B704D3"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168A27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43</w:t>
            </w:r>
          </w:p>
        </w:tc>
        <w:tc>
          <w:tcPr>
            <w:tcW w:w="3795" w:type="dxa"/>
            <w:shd w:val="clear" w:color="auto" w:fill="auto"/>
            <w:tcMar>
              <w:top w:w="0" w:type="dxa"/>
              <w:left w:w="28" w:type="dxa"/>
              <w:bottom w:w="0" w:type="dxa"/>
              <w:right w:w="28" w:type="dxa"/>
            </w:tcMar>
          </w:tcPr>
          <w:p w14:paraId="262CEF3E"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金融監督管理委員會函送公司法第一百七十七條之一第一項授權訂定之公開發行股票公司應採電子投票之適用範圍相關規範發布令案。</w:t>
            </w:r>
          </w:p>
        </w:tc>
        <w:tc>
          <w:tcPr>
            <w:tcW w:w="2551" w:type="dxa"/>
            <w:shd w:val="clear" w:color="auto" w:fill="auto"/>
            <w:tcMar>
              <w:top w:w="0" w:type="dxa"/>
              <w:left w:w="28" w:type="dxa"/>
              <w:bottom w:w="0" w:type="dxa"/>
              <w:right w:w="28" w:type="dxa"/>
            </w:tcMar>
          </w:tcPr>
          <w:p w14:paraId="24E2F2B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1次院會（11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1864FFA"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42F32BD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7040CA0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44</w:t>
            </w:r>
          </w:p>
        </w:tc>
        <w:tc>
          <w:tcPr>
            <w:tcW w:w="3795" w:type="dxa"/>
            <w:shd w:val="clear" w:color="auto" w:fill="auto"/>
            <w:tcMar>
              <w:top w:w="0" w:type="dxa"/>
              <w:left w:w="28" w:type="dxa"/>
              <w:bottom w:w="0" w:type="dxa"/>
              <w:right w:w="28" w:type="dxa"/>
            </w:tcMar>
          </w:tcPr>
          <w:p w14:paraId="00949AE0"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金融監督管理委員會函為修正「保險業辦理國外投資管理辦法」第八條及第十七條條文案。</w:t>
            </w:r>
          </w:p>
        </w:tc>
        <w:tc>
          <w:tcPr>
            <w:tcW w:w="2551" w:type="dxa"/>
            <w:shd w:val="clear" w:color="auto" w:fill="auto"/>
            <w:tcMar>
              <w:top w:w="0" w:type="dxa"/>
              <w:left w:w="28" w:type="dxa"/>
              <w:bottom w:w="0" w:type="dxa"/>
              <w:right w:w="28" w:type="dxa"/>
            </w:tcMar>
          </w:tcPr>
          <w:p w14:paraId="600631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898A4B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78D699F7"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05E49AAA"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45</w:t>
            </w:r>
          </w:p>
        </w:tc>
        <w:tc>
          <w:tcPr>
            <w:tcW w:w="3795" w:type="dxa"/>
            <w:shd w:val="clear" w:color="auto" w:fill="auto"/>
            <w:tcMar>
              <w:top w:w="0" w:type="dxa"/>
              <w:left w:w="28" w:type="dxa"/>
              <w:bottom w:w="0" w:type="dxa"/>
              <w:right w:w="28" w:type="dxa"/>
            </w:tcMar>
          </w:tcPr>
          <w:p w14:paraId="2E0E25E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金融監督管理委員會函為修正「期貨信託事業管理規則」部分條文案。</w:t>
            </w:r>
          </w:p>
        </w:tc>
        <w:tc>
          <w:tcPr>
            <w:tcW w:w="2551" w:type="dxa"/>
            <w:shd w:val="clear" w:color="auto" w:fill="auto"/>
            <w:tcMar>
              <w:top w:w="0" w:type="dxa"/>
              <w:left w:w="28" w:type="dxa"/>
              <w:bottom w:w="0" w:type="dxa"/>
              <w:right w:w="28" w:type="dxa"/>
            </w:tcMar>
          </w:tcPr>
          <w:p w14:paraId="6FD0E6F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w:t>
            </w:r>
            <w:r w:rsidRPr="007D3C7B">
              <w:rPr>
                <w:rFonts w:ascii="標楷體" w:eastAsia="標楷體" w:hAnsi="標楷體"/>
                <w:kern w:val="2"/>
                <w:szCs w:val="24"/>
              </w:rPr>
              <w:t>2次院會（11</w:t>
            </w:r>
            <w:r w:rsidRPr="007D3C7B">
              <w:rPr>
                <w:rFonts w:ascii="標楷體" w:eastAsia="標楷體" w:hAnsi="標楷體" w:hint="eastAsia"/>
                <w:kern w:val="2"/>
                <w:szCs w:val="24"/>
              </w:rPr>
              <w:t>1</w:t>
            </w:r>
            <w:r w:rsidRPr="007D3C7B">
              <w:rPr>
                <w:rFonts w:ascii="標楷體" w:eastAsia="標楷體" w:hAnsi="標楷體"/>
                <w:kern w:val="2"/>
                <w:szCs w:val="24"/>
              </w:rPr>
              <w:t>.5.13）決定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C392F41"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ED41375"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BDD9243"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46</w:t>
            </w:r>
          </w:p>
        </w:tc>
        <w:tc>
          <w:tcPr>
            <w:tcW w:w="3795" w:type="dxa"/>
            <w:shd w:val="clear" w:color="auto" w:fill="auto"/>
            <w:tcMar>
              <w:top w:w="0" w:type="dxa"/>
              <w:left w:w="28" w:type="dxa"/>
              <w:bottom w:w="0" w:type="dxa"/>
              <w:right w:w="28" w:type="dxa"/>
            </w:tcMar>
          </w:tcPr>
          <w:p w14:paraId="5E41062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金融監督管理委員會函為修正金融消費者保護法第二十九條第二項之一定額度案。</w:t>
            </w:r>
          </w:p>
        </w:tc>
        <w:tc>
          <w:tcPr>
            <w:tcW w:w="2551" w:type="dxa"/>
            <w:shd w:val="clear" w:color="auto" w:fill="auto"/>
            <w:tcMar>
              <w:top w:w="0" w:type="dxa"/>
              <w:left w:w="28" w:type="dxa"/>
              <w:bottom w:w="0" w:type="dxa"/>
              <w:right w:w="28" w:type="dxa"/>
            </w:tcMar>
          </w:tcPr>
          <w:p w14:paraId="7F9602F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13</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20</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8FDE201"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1A5AE191"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8FB5A34"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47</w:t>
            </w:r>
          </w:p>
        </w:tc>
        <w:tc>
          <w:tcPr>
            <w:tcW w:w="3795" w:type="dxa"/>
            <w:shd w:val="clear" w:color="auto" w:fill="auto"/>
            <w:tcMar>
              <w:top w:w="0" w:type="dxa"/>
              <w:left w:w="28" w:type="dxa"/>
              <w:bottom w:w="0" w:type="dxa"/>
              <w:right w:w="28" w:type="dxa"/>
            </w:tcMar>
          </w:tcPr>
          <w:p w14:paraId="4DC0498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金融監督管理委員會函送「境內法人於國際金融業務分行開立授信目的帳戶規定」案。</w:t>
            </w:r>
          </w:p>
        </w:tc>
        <w:tc>
          <w:tcPr>
            <w:tcW w:w="2551" w:type="dxa"/>
            <w:shd w:val="clear" w:color="auto" w:fill="auto"/>
            <w:tcMar>
              <w:top w:w="0" w:type="dxa"/>
              <w:left w:w="28" w:type="dxa"/>
              <w:bottom w:w="0" w:type="dxa"/>
              <w:right w:w="28" w:type="dxa"/>
            </w:tcMar>
          </w:tcPr>
          <w:p w14:paraId="64D22C5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6DFCE7F0"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9541B9D"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B8C496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48</w:t>
            </w:r>
          </w:p>
        </w:tc>
        <w:tc>
          <w:tcPr>
            <w:tcW w:w="3795" w:type="dxa"/>
            <w:shd w:val="clear" w:color="auto" w:fill="auto"/>
            <w:tcMar>
              <w:top w:w="0" w:type="dxa"/>
              <w:left w:w="28" w:type="dxa"/>
              <w:bottom w:w="0" w:type="dxa"/>
              <w:right w:w="28" w:type="dxa"/>
            </w:tcMar>
          </w:tcPr>
          <w:p w14:paraId="3FE9949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金融監督管理委員會函為修正「保險商品銷售前程序作業準則」部分條文案。</w:t>
            </w:r>
          </w:p>
        </w:tc>
        <w:tc>
          <w:tcPr>
            <w:tcW w:w="2551" w:type="dxa"/>
            <w:shd w:val="clear" w:color="auto" w:fill="auto"/>
            <w:tcMar>
              <w:top w:w="0" w:type="dxa"/>
              <w:left w:w="28" w:type="dxa"/>
              <w:bottom w:w="0" w:type="dxa"/>
              <w:right w:w="28" w:type="dxa"/>
            </w:tcMar>
          </w:tcPr>
          <w:p w14:paraId="7EF6555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B341D47"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8FA3EDC"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AB4225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49</w:t>
            </w:r>
          </w:p>
        </w:tc>
        <w:tc>
          <w:tcPr>
            <w:tcW w:w="3795" w:type="dxa"/>
            <w:shd w:val="clear" w:color="auto" w:fill="auto"/>
            <w:tcMar>
              <w:top w:w="0" w:type="dxa"/>
              <w:left w:w="28" w:type="dxa"/>
              <w:bottom w:w="0" w:type="dxa"/>
              <w:right w:w="28" w:type="dxa"/>
            </w:tcMar>
          </w:tcPr>
          <w:p w14:paraId="0B952D7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金融監督管理委員會函為修正「保險業招攬及核保理賠辦法」第六條、第七條及第十八條條文案。</w:t>
            </w:r>
          </w:p>
        </w:tc>
        <w:tc>
          <w:tcPr>
            <w:tcW w:w="2551" w:type="dxa"/>
            <w:shd w:val="clear" w:color="auto" w:fill="auto"/>
            <w:tcMar>
              <w:top w:w="0" w:type="dxa"/>
              <w:left w:w="28" w:type="dxa"/>
              <w:bottom w:w="0" w:type="dxa"/>
              <w:right w:w="28" w:type="dxa"/>
            </w:tcMar>
          </w:tcPr>
          <w:p w14:paraId="74FDA58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1C47646"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92565E8"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34A593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50</w:t>
            </w:r>
          </w:p>
        </w:tc>
        <w:tc>
          <w:tcPr>
            <w:tcW w:w="3795" w:type="dxa"/>
            <w:shd w:val="clear" w:color="auto" w:fill="auto"/>
            <w:tcMar>
              <w:top w:w="0" w:type="dxa"/>
              <w:left w:w="28" w:type="dxa"/>
              <w:bottom w:w="0" w:type="dxa"/>
              <w:right w:w="28" w:type="dxa"/>
            </w:tcMar>
          </w:tcPr>
          <w:p w14:paraId="764C430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金融監督管理委員會函為修正「人身保險及財產保險安定基金計提標準」第二條附件及第三條附件案。</w:t>
            </w:r>
          </w:p>
        </w:tc>
        <w:tc>
          <w:tcPr>
            <w:tcW w:w="2551" w:type="dxa"/>
            <w:shd w:val="clear" w:color="auto" w:fill="auto"/>
            <w:tcMar>
              <w:top w:w="0" w:type="dxa"/>
              <w:left w:w="28" w:type="dxa"/>
              <w:bottom w:w="0" w:type="dxa"/>
              <w:right w:w="28" w:type="dxa"/>
            </w:tcMar>
          </w:tcPr>
          <w:p w14:paraId="66B547E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53943E4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3CC47420"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2AC35FC2"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51</w:t>
            </w:r>
          </w:p>
        </w:tc>
        <w:tc>
          <w:tcPr>
            <w:tcW w:w="3795" w:type="dxa"/>
            <w:shd w:val="clear" w:color="auto" w:fill="auto"/>
            <w:tcMar>
              <w:top w:w="0" w:type="dxa"/>
              <w:left w:w="28" w:type="dxa"/>
              <w:bottom w:w="0" w:type="dxa"/>
              <w:right w:w="28" w:type="dxa"/>
            </w:tcMar>
          </w:tcPr>
          <w:p w14:paraId="243D4D4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金融監督管理委員會函為修正「保險代理人公司保險經紀人公司內部控制稽核制度及招攬處理制度實施辦法」第二十三條條文案。</w:t>
            </w:r>
          </w:p>
        </w:tc>
        <w:tc>
          <w:tcPr>
            <w:tcW w:w="2551" w:type="dxa"/>
            <w:shd w:val="clear" w:color="auto" w:fill="auto"/>
            <w:tcMar>
              <w:top w:w="0" w:type="dxa"/>
              <w:left w:w="28" w:type="dxa"/>
              <w:bottom w:w="0" w:type="dxa"/>
              <w:right w:w="28" w:type="dxa"/>
            </w:tcMar>
          </w:tcPr>
          <w:p w14:paraId="5ECB42CF"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36CEF61C"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5C039626"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57A7D54D"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52</w:t>
            </w:r>
          </w:p>
        </w:tc>
        <w:tc>
          <w:tcPr>
            <w:tcW w:w="3795" w:type="dxa"/>
            <w:shd w:val="clear" w:color="auto" w:fill="auto"/>
            <w:tcMar>
              <w:top w:w="0" w:type="dxa"/>
              <w:left w:w="28" w:type="dxa"/>
              <w:bottom w:w="0" w:type="dxa"/>
              <w:right w:w="28" w:type="dxa"/>
            </w:tcMar>
          </w:tcPr>
          <w:p w14:paraId="5CAED77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金融監督管理委員會函為修正「金融監督管理委員會處理違反金融法令重大裁罰措施之對外公布說明辦法」第二條條文案。</w:t>
            </w:r>
          </w:p>
        </w:tc>
        <w:tc>
          <w:tcPr>
            <w:tcW w:w="2551" w:type="dxa"/>
            <w:shd w:val="clear" w:color="auto" w:fill="auto"/>
            <w:tcMar>
              <w:top w:w="0" w:type="dxa"/>
              <w:left w:w="28" w:type="dxa"/>
              <w:bottom w:w="0" w:type="dxa"/>
              <w:right w:w="28" w:type="dxa"/>
            </w:tcMar>
          </w:tcPr>
          <w:p w14:paraId="3A8CF10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4C07A2F6"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7CAF8EF8" w14:textId="77777777" w:rsidTr="00127A9E">
        <w:tblPrEx>
          <w:jc w:val="left"/>
        </w:tblPrEx>
        <w:trPr>
          <w:cantSplit/>
          <w:trHeight w:val="962"/>
        </w:trPr>
        <w:tc>
          <w:tcPr>
            <w:tcW w:w="595" w:type="dxa"/>
            <w:shd w:val="clear" w:color="auto" w:fill="auto"/>
            <w:tcMar>
              <w:top w:w="0" w:type="dxa"/>
              <w:left w:w="28" w:type="dxa"/>
              <w:bottom w:w="0" w:type="dxa"/>
              <w:right w:w="28" w:type="dxa"/>
            </w:tcMar>
          </w:tcPr>
          <w:p w14:paraId="10A4276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53</w:t>
            </w:r>
          </w:p>
        </w:tc>
        <w:tc>
          <w:tcPr>
            <w:tcW w:w="3795" w:type="dxa"/>
            <w:shd w:val="clear" w:color="auto" w:fill="auto"/>
            <w:tcMar>
              <w:top w:w="0" w:type="dxa"/>
              <w:left w:w="28" w:type="dxa"/>
              <w:bottom w:w="0" w:type="dxa"/>
              <w:right w:w="28" w:type="dxa"/>
            </w:tcMar>
          </w:tcPr>
          <w:p w14:paraId="0487FD46"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金融監督管理委員會函為修正「金融控股公司子公司間共同行銷管理辦法」第八條條文案。</w:t>
            </w:r>
          </w:p>
        </w:tc>
        <w:tc>
          <w:tcPr>
            <w:tcW w:w="2551" w:type="dxa"/>
            <w:shd w:val="clear" w:color="auto" w:fill="auto"/>
            <w:tcMar>
              <w:top w:w="0" w:type="dxa"/>
              <w:left w:w="28" w:type="dxa"/>
              <w:bottom w:w="0" w:type="dxa"/>
              <w:right w:w="28" w:type="dxa"/>
            </w:tcMar>
          </w:tcPr>
          <w:p w14:paraId="700C2704"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shd w:val="clear" w:color="auto" w:fill="auto"/>
            <w:tcMar>
              <w:top w:w="0" w:type="dxa"/>
              <w:left w:w="28" w:type="dxa"/>
              <w:bottom w:w="0" w:type="dxa"/>
              <w:right w:w="28" w:type="dxa"/>
            </w:tcMar>
            <w:vAlign w:val="center"/>
          </w:tcPr>
          <w:p w14:paraId="1D41B45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6950C7C7" w14:textId="77777777" w:rsidTr="00127A9E">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760CB07C"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54</w:t>
            </w:r>
          </w:p>
        </w:tc>
        <w:tc>
          <w:tcPr>
            <w:tcW w:w="3795" w:type="dxa"/>
            <w:tcBorders>
              <w:bottom w:val="single" w:sz="12" w:space="0" w:color="000000"/>
            </w:tcBorders>
            <w:shd w:val="clear" w:color="auto" w:fill="auto"/>
            <w:tcMar>
              <w:top w:w="0" w:type="dxa"/>
              <w:left w:w="28" w:type="dxa"/>
              <w:bottom w:w="0" w:type="dxa"/>
              <w:right w:w="28" w:type="dxa"/>
            </w:tcMar>
          </w:tcPr>
          <w:p w14:paraId="5FDB709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金融監督管理委員會函為修正「金融業募集發行有價證券公開說明書應行記載事項準則」部分條文及第二十八條附表五十八、附表五十九案。</w:t>
            </w:r>
          </w:p>
        </w:tc>
        <w:tc>
          <w:tcPr>
            <w:tcW w:w="2551" w:type="dxa"/>
            <w:tcBorders>
              <w:bottom w:val="single" w:sz="12" w:space="0" w:color="000000"/>
            </w:tcBorders>
            <w:shd w:val="clear" w:color="auto" w:fill="auto"/>
            <w:tcMar>
              <w:top w:w="0" w:type="dxa"/>
              <w:left w:w="28" w:type="dxa"/>
              <w:bottom w:w="0" w:type="dxa"/>
              <w:right w:w="28" w:type="dxa"/>
            </w:tcMar>
          </w:tcPr>
          <w:p w14:paraId="007A5DB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14</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w:t>
            </w:r>
            <w:r w:rsidRPr="007D3C7B">
              <w:rPr>
                <w:rFonts w:ascii="標楷體" w:eastAsia="標楷體" w:hAnsi="標楷體" w:hint="eastAsia"/>
                <w:kern w:val="2"/>
                <w:szCs w:val="24"/>
              </w:rPr>
              <w:t>27</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7169222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0E153621" w14:textId="77777777" w:rsidTr="00127A9E">
        <w:tblPrEx>
          <w:jc w:val="left"/>
        </w:tblPrEx>
        <w:trPr>
          <w:cantSplit/>
          <w:trHeight w:val="962"/>
        </w:trPr>
        <w:tc>
          <w:tcPr>
            <w:tcW w:w="595" w:type="dxa"/>
            <w:tcBorders>
              <w:top w:val="single" w:sz="12" w:space="0" w:color="000000"/>
              <w:bottom w:val="single" w:sz="4" w:space="0" w:color="000000"/>
            </w:tcBorders>
            <w:shd w:val="clear" w:color="auto" w:fill="auto"/>
            <w:tcMar>
              <w:top w:w="0" w:type="dxa"/>
              <w:left w:w="28" w:type="dxa"/>
              <w:bottom w:w="0" w:type="dxa"/>
              <w:right w:w="28" w:type="dxa"/>
            </w:tcMar>
          </w:tcPr>
          <w:p w14:paraId="5B0D01EC"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55</w:t>
            </w:r>
          </w:p>
        </w:tc>
        <w:tc>
          <w:tcPr>
            <w:tcW w:w="3795" w:type="dxa"/>
            <w:tcBorders>
              <w:top w:val="single" w:sz="12" w:space="0" w:color="000000"/>
              <w:bottom w:val="single" w:sz="4" w:space="0" w:color="000000"/>
            </w:tcBorders>
            <w:shd w:val="clear" w:color="auto" w:fill="auto"/>
            <w:tcMar>
              <w:top w:w="0" w:type="dxa"/>
              <w:left w:w="28" w:type="dxa"/>
              <w:bottom w:w="0" w:type="dxa"/>
              <w:right w:w="28" w:type="dxa"/>
            </w:tcMar>
          </w:tcPr>
          <w:p w14:paraId="1D0F9267"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中央銀行函為修正「中央銀行對金融機構辦理不動產抵押貸款業務規定」部分規定案。</w:t>
            </w:r>
          </w:p>
        </w:tc>
        <w:tc>
          <w:tcPr>
            <w:tcW w:w="2551" w:type="dxa"/>
            <w:tcBorders>
              <w:top w:val="single" w:sz="12" w:space="0" w:color="000000"/>
              <w:bottom w:val="single" w:sz="4" w:space="0" w:color="000000"/>
            </w:tcBorders>
            <w:shd w:val="clear" w:color="auto" w:fill="auto"/>
            <w:tcMar>
              <w:top w:w="0" w:type="dxa"/>
              <w:left w:w="28" w:type="dxa"/>
              <w:bottom w:w="0" w:type="dxa"/>
              <w:right w:w="28" w:type="dxa"/>
            </w:tcMar>
          </w:tcPr>
          <w:p w14:paraId="797040D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6273BC76"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1.依職權行使法規定於112.7.24函議事處(計4案)報請院會存查。</w:t>
            </w:r>
          </w:p>
          <w:p w14:paraId="0D11E498"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2.第10屆第8會期第1次院會(</w:t>
            </w:r>
            <w:r w:rsidRPr="007D3C7B">
              <w:rPr>
                <w:rFonts w:ascii="標楷體" w:eastAsia="標楷體" w:hAnsi="標楷體" w:cstheme="minorBidi"/>
                <w:kern w:val="2"/>
                <w:szCs w:val="24"/>
              </w:rPr>
              <w:t>11</w:t>
            </w:r>
            <w:r w:rsidRPr="007D3C7B">
              <w:rPr>
                <w:rFonts w:ascii="標楷體" w:eastAsia="標楷體" w:hAnsi="標楷體" w:cstheme="minorBidi" w:hint="eastAsia"/>
                <w:kern w:val="2"/>
                <w:szCs w:val="24"/>
              </w:rPr>
              <w:t>2</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9</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22)決定：同意展延審查期限。</w:t>
            </w:r>
          </w:p>
          <w:p w14:paraId="027B5A03"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依職權行使法規定於113.5.9函議事處(計4案)報請院會存查。</w:t>
            </w:r>
          </w:p>
          <w:p w14:paraId="5138E0CF"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2F77D5AE" w14:textId="77777777" w:rsidTr="00127A9E">
        <w:tblPrEx>
          <w:jc w:val="left"/>
        </w:tblPrEx>
        <w:trPr>
          <w:cantSplit/>
          <w:trHeight w:val="962"/>
        </w:trPr>
        <w:tc>
          <w:tcPr>
            <w:tcW w:w="595" w:type="dxa"/>
            <w:tcBorders>
              <w:top w:val="single" w:sz="4" w:space="0" w:color="000000"/>
            </w:tcBorders>
            <w:shd w:val="clear" w:color="auto" w:fill="auto"/>
            <w:tcMar>
              <w:top w:w="0" w:type="dxa"/>
              <w:left w:w="28" w:type="dxa"/>
              <w:bottom w:w="0" w:type="dxa"/>
              <w:right w:w="28" w:type="dxa"/>
            </w:tcMar>
          </w:tcPr>
          <w:p w14:paraId="5ECA3AB2"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56</w:t>
            </w:r>
          </w:p>
        </w:tc>
        <w:tc>
          <w:tcPr>
            <w:tcW w:w="3795" w:type="dxa"/>
            <w:tcBorders>
              <w:top w:val="single" w:sz="4" w:space="0" w:color="000000"/>
            </w:tcBorders>
            <w:shd w:val="clear" w:color="auto" w:fill="auto"/>
            <w:tcMar>
              <w:top w:w="0" w:type="dxa"/>
              <w:left w:w="28" w:type="dxa"/>
              <w:bottom w:w="0" w:type="dxa"/>
              <w:right w:w="28" w:type="dxa"/>
            </w:tcMar>
          </w:tcPr>
          <w:p w14:paraId="0F3AAD0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中央銀行函為修正「中央銀行對金融機構辦理不動產抵押貸款業務規定」部分規定案。</w:t>
            </w:r>
          </w:p>
        </w:tc>
        <w:tc>
          <w:tcPr>
            <w:tcW w:w="2551" w:type="dxa"/>
            <w:tcBorders>
              <w:top w:val="single" w:sz="4" w:space="0" w:color="000000"/>
            </w:tcBorders>
            <w:shd w:val="clear" w:color="auto" w:fill="auto"/>
            <w:tcMar>
              <w:top w:w="0" w:type="dxa"/>
              <w:left w:w="28" w:type="dxa"/>
              <w:bottom w:w="0" w:type="dxa"/>
              <w:right w:w="28" w:type="dxa"/>
            </w:tcMar>
          </w:tcPr>
          <w:p w14:paraId="590CFB19"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top w:val="single" w:sz="4" w:space="0" w:color="000000"/>
            </w:tcBorders>
            <w:shd w:val="clear" w:color="auto" w:fill="auto"/>
            <w:tcMar>
              <w:top w:w="0" w:type="dxa"/>
              <w:left w:w="28" w:type="dxa"/>
              <w:bottom w:w="0" w:type="dxa"/>
              <w:right w:w="28" w:type="dxa"/>
            </w:tcMar>
            <w:vAlign w:val="center"/>
          </w:tcPr>
          <w:p w14:paraId="6209DD33"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29D87A29" w14:textId="77777777" w:rsidTr="00127A9E">
        <w:tblPrEx>
          <w:jc w:val="left"/>
        </w:tblPrEx>
        <w:trPr>
          <w:cantSplit/>
          <w:trHeight w:val="962"/>
        </w:trPr>
        <w:tc>
          <w:tcPr>
            <w:tcW w:w="595" w:type="dxa"/>
            <w:tcBorders>
              <w:bottom w:val="single" w:sz="4" w:space="0" w:color="000000"/>
            </w:tcBorders>
            <w:shd w:val="clear" w:color="auto" w:fill="auto"/>
            <w:tcMar>
              <w:top w:w="0" w:type="dxa"/>
              <w:left w:w="28" w:type="dxa"/>
              <w:bottom w:w="0" w:type="dxa"/>
              <w:right w:w="28" w:type="dxa"/>
            </w:tcMar>
          </w:tcPr>
          <w:p w14:paraId="234D3A1F"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57</w:t>
            </w:r>
          </w:p>
        </w:tc>
        <w:tc>
          <w:tcPr>
            <w:tcW w:w="3795" w:type="dxa"/>
            <w:tcBorders>
              <w:bottom w:val="single" w:sz="4" w:space="0" w:color="000000"/>
            </w:tcBorders>
            <w:shd w:val="clear" w:color="auto" w:fill="auto"/>
            <w:tcMar>
              <w:top w:w="0" w:type="dxa"/>
              <w:left w:w="28" w:type="dxa"/>
              <w:bottom w:w="0" w:type="dxa"/>
              <w:right w:w="28" w:type="dxa"/>
            </w:tcMar>
          </w:tcPr>
          <w:p w14:paraId="64BB7CC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中央銀行函為修正「票據交換所個人資料檔案安全維護計畫標準辦法」案。</w:t>
            </w:r>
          </w:p>
        </w:tc>
        <w:tc>
          <w:tcPr>
            <w:tcW w:w="2551" w:type="dxa"/>
            <w:tcBorders>
              <w:bottom w:val="single" w:sz="4" w:space="0" w:color="000000"/>
            </w:tcBorders>
            <w:shd w:val="clear" w:color="auto" w:fill="auto"/>
            <w:tcMar>
              <w:top w:w="0" w:type="dxa"/>
              <w:left w:w="28" w:type="dxa"/>
              <w:bottom w:w="0" w:type="dxa"/>
              <w:right w:w="28" w:type="dxa"/>
            </w:tcMar>
          </w:tcPr>
          <w:p w14:paraId="07AF672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10</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.4.2</w:t>
            </w:r>
            <w:r w:rsidRPr="007D3C7B">
              <w:rPr>
                <w:rFonts w:ascii="標楷體" w:eastAsia="標楷體" w:hAnsi="標楷體" w:hint="eastAsia"/>
                <w:kern w:val="2"/>
                <w:szCs w:val="24"/>
              </w:rPr>
              <w:t>9</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4" w:space="0" w:color="000000"/>
            </w:tcBorders>
            <w:shd w:val="clear" w:color="auto" w:fill="auto"/>
            <w:tcMar>
              <w:top w:w="0" w:type="dxa"/>
              <w:left w:w="28" w:type="dxa"/>
              <w:bottom w:w="0" w:type="dxa"/>
              <w:right w:w="28" w:type="dxa"/>
            </w:tcMar>
            <w:vAlign w:val="center"/>
          </w:tcPr>
          <w:p w14:paraId="6F1593EA" w14:textId="77777777" w:rsidR="007D160C" w:rsidRPr="007D3C7B" w:rsidRDefault="007D160C" w:rsidP="00F470A8">
            <w:pPr>
              <w:widowControl w:val="0"/>
              <w:overflowPunct w:val="0"/>
              <w:spacing w:line="340" w:lineRule="exact"/>
              <w:jc w:val="both"/>
              <w:rPr>
                <w:rFonts w:ascii="標楷體" w:eastAsia="標楷體" w:hAnsi="標楷體"/>
                <w:kern w:val="2"/>
                <w:szCs w:val="24"/>
              </w:rPr>
            </w:pPr>
          </w:p>
        </w:tc>
      </w:tr>
      <w:tr w:rsidR="007D160C" w:rsidRPr="007D3C7B" w14:paraId="5EC569CD" w14:textId="77777777" w:rsidTr="00127A9E">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70D33E00"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58</w:t>
            </w:r>
          </w:p>
        </w:tc>
        <w:tc>
          <w:tcPr>
            <w:tcW w:w="3795" w:type="dxa"/>
            <w:tcBorders>
              <w:bottom w:val="single" w:sz="12" w:space="0" w:color="000000"/>
            </w:tcBorders>
            <w:shd w:val="clear" w:color="auto" w:fill="auto"/>
            <w:tcMar>
              <w:top w:w="0" w:type="dxa"/>
              <w:left w:w="28" w:type="dxa"/>
              <w:bottom w:w="0" w:type="dxa"/>
              <w:right w:w="28" w:type="dxa"/>
            </w:tcMar>
          </w:tcPr>
          <w:p w14:paraId="72FE6E4C"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中央銀行函為修正「外幣收兌處設置及管理辦法」案。</w:t>
            </w:r>
          </w:p>
        </w:tc>
        <w:tc>
          <w:tcPr>
            <w:tcW w:w="2551" w:type="dxa"/>
            <w:tcBorders>
              <w:bottom w:val="single" w:sz="12" w:space="0" w:color="000000"/>
            </w:tcBorders>
            <w:shd w:val="clear" w:color="auto" w:fill="auto"/>
            <w:tcMar>
              <w:top w:w="0" w:type="dxa"/>
              <w:left w:w="28" w:type="dxa"/>
              <w:bottom w:w="0" w:type="dxa"/>
              <w:right w:w="28" w:type="dxa"/>
            </w:tcMar>
          </w:tcPr>
          <w:p w14:paraId="25DA53D2"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11</w:t>
            </w:r>
            <w:r w:rsidRPr="007D3C7B">
              <w:rPr>
                <w:rFonts w:ascii="標楷體" w:eastAsia="標楷體" w:hAnsi="標楷體"/>
                <w:kern w:val="2"/>
                <w:szCs w:val="24"/>
              </w:rPr>
              <w:t>次院會（11</w:t>
            </w:r>
            <w:r w:rsidRPr="007D3C7B">
              <w:rPr>
                <w:rFonts w:ascii="標楷體" w:eastAsia="標楷體" w:hAnsi="標楷體" w:hint="eastAsia"/>
                <w:kern w:val="2"/>
                <w:szCs w:val="24"/>
              </w:rPr>
              <w:t>1</w:t>
            </w:r>
            <w:r w:rsidRPr="007D3C7B">
              <w:rPr>
                <w:rFonts w:ascii="標楷體" w:eastAsia="標楷體" w:hAnsi="標楷體"/>
                <w:kern w:val="2"/>
                <w:szCs w:val="24"/>
              </w:rPr>
              <w:t>.5.6）決定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43CE5CA8"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7D160C" w:rsidRPr="007D3C7B" w14:paraId="17D5DCE0" w14:textId="77777777" w:rsidTr="00127A9E">
        <w:tblPrEx>
          <w:jc w:val="left"/>
        </w:tblPrEx>
        <w:trPr>
          <w:cantSplit/>
          <w:trHeight w:val="962"/>
        </w:trPr>
        <w:tc>
          <w:tcPr>
            <w:tcW w:w="595" w:type="dxa"/>
            <w:tcBorders>
              <w:top w:val="single" w:sz="12" w:space="0" w:color="000000"/>
            </w:tcBorders>
            <w:shd w:val="clear" w:color="auto" w:fill="auto"/>
            <w:tcMar>
              <w:top w:w="0" w:type="dxa"/>
              <w:left w:w="28" w:type="dxa"/>
              <w:bottom w:w="0" w:type="dxa"/>
              <w:right w:w="28" w:type="dxa"/>
            </w:tcMar>
          </w:tcPr>
          <w:p w14:paraId="5678D655"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t>59</w:t>
            </w:r>
          </w:p>
        </w:tc>
        <w:tc>
          <w:tcPr>
            <w:tcW w:w="3795" w:type="dxa"/>
            <w:tcBorders>
              <w:top w:val="single" w:sz="12" w:space="0" w:color="000000"/>
            </w:tcBorders>
            <w:shd w:val="clear" w:color="auto" w:fill="auto"/>
            <w:tcMar>
              <w:top w:w="0" w:type="dxa"/>
              <w:left w:w="28" w:type="dxa"/>
              <w:bottom w:w="0" w:type="dxa"/>
              <w:right w:w="28" w:type="dxa"/>
            </w:tcMar>
          </w:tcPr>
          <w:p w14:paraId="74C35431"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行政院函為修正「中央政府非營業特種基金裁撤機制辦法」第二條、第四條及第六條條文案。</w:t>
            </w:r>
          </w:p>
        </w:tc>
        <w:tc>
          <w:tcPr>
            <w:tcW w:w="2551" w:type="dxa"/>
            <w:tcBorders>
              <w:top w:val="single" w:sz="12" w:space="0" w:color="000000"/>
            </w:tcBorders>
            <w:shd w:val="clear" w:color="auto" w:fill="auto"/>
            <w:tcMar>
              <w:top w:w="0" w:type="dxa"/>
              <w:left w:w="28" w:type="dxa"/>
              <w:bottom w:w="0" w:type="dxa"/>
              <w:right w:w="28" w:type="dxa"/>
            </w:tcMar>
          </w:tcPr>
          <w:p w14:paraId="0481C96D"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val="restart"/>
            <w:tcBorders>
              <w:top w:val="single" w:sz="12" w:space="0" w:color="000000"/>
            </w:tcBorders>
            <w:shd w:val="clear" w:color="auto" w:fill="auto"/>
            <w:tcMar>
              <w:top w:w="0" w:type="dxa"/>
              <w:left w:w="28" w:type="dxa"/>
              <w:bottom w:w="0" w:type="dxa"/>
              <w:right w:w="28" w:type="dxa"/>
            </w:tcMar>
          </w:tcPr>
          <w:p w14:paraId="02190430"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1.依職權行使法規定於112.7.24函議事處(計2案)報請院會</w:t>
            </w:r>
            <w:r w:rsidRPr="007D3C7B">
              <w:rPr>
                <w:rFonts w:ascii="標楷體" w:eastAsia="標楷體" w:hAnsi="標楷體" w:cstheme="minorBidi" w:hint="eastAsia"/>
                <w:kern w:val="2"/>
                <w:szCs w:val="24"/>
              </w:rPr>
              <w:lastRenderedPageBreak/>
              <w:t>存查。</w:t>
            </w:r>
          </w:p>
          <w:p w14:paraId="14C251A6"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cstheme="minorBidi" w:hint="eastAsia"/>
                <w:kern w:val="2"/>
                <w:szCs w:val="24"/>
              </w:rPr>
              <w:t>2.第10屆第8會期第1次院會(</w:t>
            </w:r>
            <w:r w:rsidRPr="007D3C7B">
              <w:rPr>
                <w:rFonts w:ascii="標楷體" w:eastAsia="標楷體" w:hAnsi="標楷體" w:cstheme="minorBidi"/>
                <w:kern w:val="2"/>
                <w:szCs w:val="24"/>
              </w:rPr>
              <w:t>11</w:t>
            </w:r>
            <w:r w:rsidRPr="007D3C7B">
              <w:rPr>
                <w:rFonts w:ascii="標楷體" w:eastAsia="標楷體" w:hAnsi="標楷體" w:cstheme="minorBidi" w:hint="eastAsia"/>
                <w:kern w:val="2"/>
                <w:szCs w:val="24"/>
              </w:rPr>
              <w:t>2</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9</w:t>
            </w:r>
            <w:r w:rsidRPr="007D3C7B">
              <w:rPr>
                <w:rFonts w:ascii="標楷體" w:eastAsia="標楷體" w:hAnsi="標楷體" w:cstheme="minorBidi"/>
                <w:kern w:val="2"/>
                <w:szCs w:val="24"/>
              </w:rPr>
              <w:t>.</w:t>
            </w:r>
            <w:r w:rsidRPr="007D3C7B">
              <w:rPr>
                <w:rFonts w:ascii="標楷體" w:eastAsia="標楷體" w:hAnsi="標楷體" w:cstheme="minorBidi" w:hint="eastAsia"/>
                <w:kern w:val="2"/>
                <w:szCs w:val="24"/>
              </w:rPr>
              <w:t>22)決定：同意展延審查期限。</w:t>
            </w:r>
          </w:p>
          <w:p w14:paraId="7DC30739"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szCs w:val="24"/>
              </w:rPr>
              <w:t>3.</w:t>
            </w:r>
            <w:r w:rsidRPr="007D3C7B">
              <w:rPr>
                <w:rFonts w:ascii="標楷體" w:eastAsia="標楷體" w:hAnsi="標楷體" w:cstheme="minorBidi" w:hint="eastAsia"/>
                <w:kern w:val="2"/>
                <w:szCs w:val="24"/>
              </w:rPr>
              <w:t>依職權行使法規定於113.5.9函議事處(計2案)報請院會存查。</w:t>
            </w:r>
          </w:p>
          <w:p w14:paraId="3DF91636" w14:textId="77777777" w:rsidR="007D160C" w:rsidRPr="007D3C7B" w:rsidRDefault="007D160C" w:rsidP="00F470A8">
            <w:pPr>
              <w:widowControl w:val="0"/>
              <w:overflowPunct w:val="0"/>
              <w:spacing w:line="340" w:lineRule="exact"/>
              <w:ind w:left="240" w:hangingChars="100" w:hanging="240"/>
              <w:jc w:val="both"/>
              <w:rPr>
                <w:rFonts w:ascii="標楷體" w:eastAsia="標楷體" w:hAnsi="標楷體" w:cstheme="minorBidi"/>
                <w:kern w:val="2"/>
                <w:szCs w:val="24"/>
              </w:rPr>
            </w:pPr>
            <w:r w:rsidRPr="007D3C7B">
              <w:rPr>
                <w:rFonts w:ascii="標楷體" w:eastAsia="標楷體" w:hAnsi="標楷體" w:hint="eastAsia"/>
                <w:kern w:val="2"/>
                <w:szCs w:val="24"/>
              </w:rPr>
              <w:t>4.第11屆第2會期第9次院會(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11</w:t>
            </w:r>
            <w:r w:rsidRPr="007D3C7B">
              <w:rPr>
                <w:rFonts w:ascii="標楷體" w:eastAsia="標楷體" w:hAnsi="標楷體"/>
                <w:kern w:val="2"/>
                <w:szCs w:val="24"/>
              </w:rPr>
              <w:t>.</w:t>
            </w:r>
            <w:r w:rsidRPr="007D3C7B">
              <w:rPr>
                <w:rFonts w:ascii="標楷體" w:eastAsia="標楷體" w:hAnsi="標楷體" w:hint="eastAsia"/>
                <w:kern w:val="2"/>
                <w:szCs w:val="24"/>
              </w:rPr>
              <w:t>15)決定：准予備查。</w:t>
            </w:r>
          </w:p>
        </w:tc>
      </w:tr>
      <w:tr w:rsidR="007D160C" w:rsidRPr="007D3C7B" w14:paraId="612C37D2" w14:textId="77777777" w:rsidTr="0077043E">
        <w:tblPrEx>
          <w:jc w:val="left"/>
        </w:tblPrEx>
        <w:trPr>
          <w:cantSplit/>
          <w:trHeight w:val="962"/>
        </w:trPr>
        <w:tc>
          <w:tcPr>
            <w:tcW w:w="595" w:type="dxa"/>
            <w:tcBorders>
              <w:bottom w:val="single" w:sz="12" w:space="0" w:color="000000"/>
            </w:tcBorders>
            <w:shd w:val="clear" w:color="auto" w:fill="auto"/>
            <w:tcMar>
              <w:top w:w="0" w:type="dxa"/>
              <w:left w:w="28" w:type="dxa"/>
              <w:bottom w:w="0" w:type="dxa"/>
              <w:right w:w="28" w:type="dxa"/>
            </w:tcMar>
          </w:tcPr>
          <w:p w14:paraId="02874D41" w14:textId="77777777" w:rsidR="007D160C" w:rsidRPr="007D3C7B" w:rsidRDefault="007D160C" w:rsidP="00F470A8">
            <w:pPr>
              <w:widowControl w:val="0"/>
              <w:overflowPunct w:val="0"/>
              <w:autoSpaceDN/>
              <w:ind w:left="142"/>
              <w:jc w:val="both"/>
              <w:textAlignment w:val="auto"/>
              <w:rPr>
                <w:rFonts w:ascii="標楷體" w:eastAsia="標楷體" w:hAnsi="標楷體"/>
                <w:b/>
                <w:szCs w:val="24"/>
              </w:rPr>
            </w:pPr>
            <w:r w:rsidRPr="007D3C7B">
              <w:rPr>
                <w:rFonts w:ascii="標楷體" w:eastAsia="標楷體" w:hAnsi="標楷體" w:hint="eastAsia"/>
                <w:b/>
                <w:szCs w:val="24"/>
              </w:rPr>
              <w:lastRenderedPageBreak/>
              <w:t>60</w:t>
            </w:r>
          </w:p>
        </w:tc>
        <w:tc>
          <w:tcPr>
            <w:tcW w:w="3795" w:type="dxa"/>
            <w:tcBorders>
              <w:bottom w:val="single" w:sz="12" w:space="0" w:color="000000"/>
            </w:tcBorders>
            <w:shd w:val="clear" w:color="auto" w:fill="auto"/>
            <w:tcMar>
              <w:top w:w="0" w:type="dxa"/>
              <w:left w:w="28" w:type="dxa"/>
              <w:bottom w:w="0" w:type="dxa"/>
              <w:right w:w="28" w:type="dxa"/>
            </w:tcMar>
          </w:tcPr>
          <w:p w14:paraId="1BAB5BD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hint="eastAsia"/>
                <w:kern w:val="2"/>
                <w:szCs w:val="24"/>
              </w:rPr>
              <w:t>行政院函為修正「中央政府特種基金管理準則」案。</w:t>
            </w:r>
          </w:p>
        </w:tc>
        <w:tc>
          <w:tcPr>
            <w:tcW w:w="2551" w:type="dxa"/>
            <w:tcBorders>
              <w:bottom w:val="single" w:sz="12" w:space="0" w:color="000000"/>
            </w:tcBorders>
            <w:shd w:val="clear" w:color="auto" w:fill="auto"/>
            <w:tcMar>
              <w:top w:w="0" w:type="dxa"/>
              <w:left w:w="28" w:type="dxa"/>
              <w:bottom w:w="0" w:type="dxa"/>
              <w:right w:w="28" w:type="dxa"/>
            </w:tcMar>
          </w:tcPr>
          <w:p w14:paraId="17EF9E9B"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7D3C7B">
              <w:rPr>
                <w:rFonts w:ascii="標楷體" w:eastAsia="標楷體" w:hAnsi="標楷體"/>
                <w:kern w:val="2"/>
                <w:szCs w:val="24"/>
              </w:rPr>
              <w:t>第</w:t>
            </w:r>
            <w:r w:rsidRPr="007D3C7B">
              <w:rPr>
                <w:rFonts w:ascii="標楷體" w:eastAsia="標楷體" w:hAnsi="標楷體" w:hint="eastAsia"/>
                <w:kern w:val="2"/>
                <w:szCs w:val="24"/>
              </w:rPr>
              <w:t>1</w:t>
            </w:r>
            <w:r w:rsidRPr="007D3C7B">
              <w:rPr>
                <w:rFonts w:ascii="標楷體" w:eastAsia="標楷體" w:hAnsi="標楷體"/>
                <w:kern w:val="2"/>
                <w:szCs w:val="24"/>
              </w:rPr>
              <w:t>0屆第</w:t>
            </w:r>
            <w:r w:rsidRPr="007D3C7B">
              <w:rPr>
                <w:rFonts w:ascii="標楷體" w:eastAsia="標楷體" w:hAnsi="標楷體" w:hint="eastAsia"/>
                <w:kern w:val="2"/>
                <w:szCs w:val="24"/>
              </w:rPr>
              <w:t>5</w:t>
            </w:r>
            <w:r w:rsidRPr="007D3C7B">
              <w:rPr>
                <w:rFonts w:ascii="標楷體" w:eastAsia="標楷體" w:hAnsi="標楷體"/>
                <w:kern w:val="2"/>
                <w:szCs w:val="24"/>
              </w:rPr>
              <w:t>會期第</w:t>
            </w:r>
            <w:r w:rsidRPr="007D3C7B">
              <w:rPr>
                <w:rFonts w:ascii="標楷體" w:eastAsia="標楷體" w:hAnsi="標楷體" w:hint="eastAsia"/>
                <w:kern w:val="2"/>
                <w:szCs w:val="24"/>
              </w:rPr>
              <w:t>6</w:t>
            </w:r>
            <w:r w:rsidRPr="007D3C7B">
              <w:rPr>
                <w:rFonts w:ascii="標楷體" w:eastAsia="標楷體" w:hAnsi="標楷體"/>
                <w:kern w:val="2"/>
                <w:szCs w:val="24"/>
              </w:rPr>
              <w:t>次院會</w:t>
            </w:r>
            <w:r w:rsidRPr="00756DBF">
              <w:rPr>
                <w:rFonts w:ascii="標楷體" w:eastAsia="標楷體" w:hAnsi="標楷體"/>
                <w:spacing w:val="-20"/>
                <w:kern w:val="2"/>
                <w:szCs w:val="24"/>
              </w:rPr>
              <w:t>（11</w:t>
            </w:r>
            <w:r w:rsidRPr="00756DBF">
              <w:rPr>
                <w:rFonts w:ascii="標楷體" w:eastAsia="標楷體" w:hAnsi="標楷體" w:hint="eastAsia"/>
                <w:spacing w:val="-20"/>
                <w:kern w:val="2"/>
                <w:szCs w:val="24"/>
              </w:rPr>
              <w:t>1</w:t>
            </w:r>
            <w:r w:rsidRPr="00756DBF">
              <w:rPr>
                <w:rFonts w:ascii="標楷體" w:eastAsia="標楷體" w:hAnsi="標楷體"/>
                <w:spacing w:val="-20"/>
                <w:kern w:val="2"/>
                <w:szCs w:val="24"/>
              </w:rPr>
              <w:t>.4.1）</w:t>
            </w:r>
            <w:r w:rsidRPr="007D3C7B">
              <w:rPr>
                <w:rFonts w:ascii="標楷體" w:eastAsia="標楷體" w:hAnsi="標楷體"/>
                <w:kern w:val="2"/>
                <w:szCs w:val="24"/>
              </w:rPr>
              <w:t>決定</w:t>
            </w:r>
            <w:r w:rsidRPr="007D3C7B">
              <w:rPr>
                <w:rFonts w:ascii="標楷體" w:eastAsia="標楷體" w:hAnsi="標楷體" w:hint="eastAsia"/>
                <w:kern w:val="2"/>
                <w:szCs w:val="24"/>
              </w:rPr>
              <w:t>：「</w:t>
            </w:r>
            <w:r w:rsidRPr="007D3C7B">
              <w:rPr>
                <w:rFonts w:ascii="標楷體" w:eastAsia="標楷體" w:hAnsi="標楷體"/>
                <w:kern w:val="2"/>
                <w:szCs w:val="24"/>
              </w:rPr>
              <w:t>交財政委員會審查」</w:t>
            </w:r>
          </w:p>
        </w:tc>
        <w:tc>
          <w:tcPr>
            <w:tcW w:w="2410" w:type="dxa"/>
            <w:vMerge/>
            <w:tcBorders>
              <w:bottom w:val="single" w:sz="12" w:space="0" w:color="000000"/>
            </w:tcBorders>
            <w:shd w:val="clear" w:color="auto" w:fill="auto"/>
            <w:tcMar>
              <w:top w:w="0" w:type="dxa"/>
              <w:left w:w="28" w:type="dxa"/>
              <w:bottom w:w="0" w:type="dxa"/>
              <w:right w:w="28" w:type="dxa"/>
            </w:tcMar>
            <w:vAlign w:val="center"/>
          </w:tcPr>
          <w:p w14:paraId="5EA453B5" w14:textId="77777777" w:rsidR="007D160C" w:rsidRPr="007D3C7B" w:rsidRDefault="007D160C" w:rsidP="00F470A8">
            <w:pPr>
              <w:widowControl w:val="0"/>
              <w:overflowPunct w:val="0"/>
              <w:autoSpaceDN/>
              <w:spacing w:line="340" w:lineRule="exact"/>
              <w:jc w:val="both"/>
              <w:textAlignment w:val="auto"/>
              <w:rPr>
                <w:rFonts w:ascii="標楷體" w:eastAsia="標楷體" w:hAnsi="標楷體"/>
                <w:kern w:val="2"/>
                <w:szCs w:val="24"/>
              </w:rPr>
            </w:pPr>
          </w:p>
        </w:tc>
      </w:tr>
      <w:tr w:rsidR="001B1EFB" w:rsidRPr="007D3C7B" w14:paraId="004CB6B9" w14:textId="77777777" w:rsidTr="00127A9E">
        <w:tblPrEx>
          <w:jc w:val="left"/>
        </w:tblPrEx>
        <w:trPr>
          <w:cantSplit/>
          <w:trHeight w:val="3070"/>
        </w:trPr>
        <w:tc>
          <w:tcPr>
            <w:tcW w:w="595" w:type="dxa"/>
            <w:tcBorders>
              <w:top w:val="single" w:sz="12" w:space="0" w:color="000000"/>
              <w:bottom w:val="single" w:sz="12" w:space="0" w:color="000000"/>
            </w:tcBorders>
            <w:shd w:val="clear" w:color="auto" w:fill="auto"/>
            <w:tcMar>
              <w:top w:w="0" w:type="dxa"/>
              <w:left w:w="28" w:type="dxa"/>
              <w:bottom w:w="0" w:type="dxa"/>
              <w:right w:w="28" w:type="dxa"/>
            </w:tcMar>
          </w:tcPr>
          <w:p w14:paraId="46E7C30A" w14:textId="20F7F398" w:rsidR="001B1EFB" w:rsidRPr="007D3C7B" w:rsidRDefault="001B1EFB" w:rsidP="00F470A8">
            <w:pPr>
              <w:widowControl w:val="0"/>
              <w:overflowPunct w:val="0"/>
              <w:autoSpaceDN/>
              <w:ind w:left="142"/>
              <w:jc w:val="both"/>
              <w:textAlignment w:val="auto"/>
              <w:rPr>
                <w:rFonts w:ascii="標楷體" w:eastAsia="標楷體" w:hAnsi="標楷體"/>
                <w:b/>
                <w:szCs w:val="24"/>
              </w:rPr>
            </w:pPr>
            <w:r>
              <w:rPr>
                <w:rFonts w:ascii="標楷體" w:eastAsia="標楷體" w:hAnsi="標楷體" w:hint="eastAsia"/>
                <w:b/>
                <w:szCs w:val="24"/>
              </w:rPr>
              <w:t>61</w:t>
            </w:r>
          </w:p>
        </w:tc>
        <w:tc>
          <w:tcPr>
            <w:tcW w:w="3795" w:type="dxa"/>
            <w:tcBorders>
              <w:top w:val="single" w:sz="12" w:space="0" w:color="000000"/>
              <w:bottom w:val="single" w:sz="12" w:space="0" w:color="000000"/>
            </w:tcBorders>
            <w:shd w:val="clear" w:color="auto" w:fill="auto"/>
            <w:tcMar>
              <w:top w:w="0" w:type="dxa"/>
              <w:left w:w="28" w:type="dxa"/>
              <w:bottom w:w="0" w:type="dxa"/>
              <w:right w:w="28" w:type="dxa"/>
            </w:tcMar>
          </w:tcPr>
          <w:p w14:paraId="44321F03" w14:textId="41C06DC3" w:rsidR="001B1EFB" w:rsidRPr="007D3C7B" w:rsidRDefault="001B1EFB" w:rsidP="00F470A8">
            <w:pPr>
              <w:widowControl w:val="0"/>
              <w:overflowPunct w:val="0"/>
              <w:autoSpaceDN/>
              <w:spacing w:line="340" w:lineRule="exact"/>
              <w:jc w:val="both"/>
              <w:textAlignment w:val="auto"/>
              <w:rPr>
                <w:rFonts w:ascii="標楷體" w:eastAsia="標楷體" w:hAnsi="標楷體"/>
                <w:kern w:val="2"/>
                <w:szCs w:val="24"/>
              </w:rPr>
            </w:pPr>
            <w:r w:rsidRPr="00383C53">
              <w:rPr>
                <w:rFonts w:ascii="標楷體" w:eastAsia="標楷體" w:hAnsi="標楷體" w:hint="eastAsia"/>
                <w:kern w:val="2"/>
                <w:szCs w:val="24"/>
              </w:rPr>
              <w:t>金融監督管理委員會函送「延長調降當日沖銷交易稅之稅式支出評估報告」及「研商延長調降當沖交易證券交易稅實施期間」公聽會之會議紀錄案。</w:t>
            </w:r>
          </w:p>
        </w:tc>
        <w:tc>
          <w:tcPr>
            <w:tcW w:w="2551" w:type="dxa"/>
            <w:tcBorders>
              <w:top w:val="single" w:sz="12" w:space="0" w:color="000000"/>
              <w:bottom w:val="single" w:sz="12" w:space="0" w:color="000000"/>
            </w:tcBorders>
            <w:shd w:val="clear" w:color="auto" w:fill="auto"/>
            <w:tcMar>
              <w:top w:w="0" w:type="dxa"/>
              <w:left w:w="28" w:type="dxa"/>
              <w:bottom w:w="0" w:type="dxa"/>
              <w:right w:w="28" w:type="dxa"/>
            </w:tcMar>
          </w:tcPr>
          <w:p w14:paraId="51DCA1C3" w14:textId="035C86C2" w:rsidR="001B1EFB" w:rsidRPr="007D3C7B" w:rsidRDefault="001B1EFB" w:rsidP="00F470A8">
            <w:pPr>
              <w:widowControl w:val="0"/>
              <w:overflowPunct w:val="0"/>
              <w:autoSpaceDN/>
              <w:spacing w:line="340" w:lineRule="exact"/>
              <w:jc w:val="both"/>
              <w:textAlignment w:val="auto"/>
              <w:rPr>
                <w:rFonts w:ascii="標楷體" w:eastAsia="標楷體" w:hAnsi="標楷體"/>
                <w:kern w:val="2"/>
                <w:szCs w:val="24"/>
              </w:rPr>
            </w:pPr>
            <w:r w:rsidRPr="00383C53">
              <w:rPr>
                <w:rFonts w:ascii="標楷體" w:eastAsia="標楷體" w:hAnsi="標楷體" w:hint="eastAsia"/>
                <w:kern w:val="2"/>
                <w:szCs w:val="24"/>
              </w:rPr>
              <w:t>第11屆第2會期第4次院會</w:t>
            </w:r>
            <w:r w:rsidRPr="00756DBF">
              <w:rPr>
                <w:rFonts w:ascii="標楷體" w:eastAsia="標楷體" w:hAnsi="標楷體" w:hint="eastAsia"/>
                <w:spacing w:val="-20"/>
                <w:kern w:val="2"/>
                <w:szCs w:val="24"/>
              </w:rPr>
              <w:t>(113.10.11)</w:t>
            </w:r>
            <w:r w:rsidRPr="00383C53">
              <w:rPr>
                <w:rFonts w:ascii="標楷體" w:eastAsia="標楷體" w:hAnsi="標楷體" w:hint="eastAsia"/>
                <w:kern w:val="2"/>
                <w:szCs w:val="24"/>
              </w:rPr>
              <w:t>決定：「交財政委員會審查」</w:t>
            </w:r>
          </w:p>
        </w:tc>
        <w:tc>
          <w:tcPr>
            <w:tcW w:w="2410"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B3CF63B" w14:textId="77777777" w:rsidR="001B1EFB" w:rsidRPr="007D3C7B" w:rsidRDefault="001B1EFB" w:rsidP="00F470A8">
            <w:pPr>
              <w:widowControl w:val="0"/>
              <w:overflowPunct w:val="0"/>
              <w:spacing w:line="34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sidRPr="00683798">
              <w:rPr>
                <w:rFonts w:ascii="標楷體" w:eastAsia="標楷體" w:hAnsi="標楷體" w:hint="eastAsia"/>
                <w:kern w:val="2"/>
                <w:szCs w:val="24"/>
              </w:rPr>
              <w:t>.</w:t>
            </w:r>
            <w:r w:rsidRPr="0019700B">
              <w:rPr>
                <w:rFonts w:ascii="標楷體" w:eastAsia="標楷體" w:hAnsi="標楷體" w:hint="eastAsia"/>
                <w:kern w:val="2"/>
                <w:szCs w:val="24"/>
              </w:rPr>
              <w:t>第11屆第2會期財政委員會第5次全體委員會議(113.10.30)</w:t>
            </w:r>
            <w:r>
              <w:rPr>
                <w:rFonts w:ascii="標楷體" w:eastAsia="標楷體" w:hAnsi="標楷體" w:hint="eastAsia"/>
                <w:kern w:val="2"/>
                <w:szCs w:val="24"/>
              </w:rPr>
              <w:t>審查完竣。</w:t>
            </w:r>
          </w:p>
          <w:p w14:paraId="1836905B" w14:textId="2CBF0A54" w:rsidR="001B1EFB" w:rsidRPr="007D3C7B" w:rsidRDefault="001B1EFB" w:rsidP="00F470A8">
            <w:pPr>
              <w:widowControl w:val="0"/>
              <w:overflowPunct w:val="0"/>
              <w:spacing w:line="34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2.</w:t>
            </w:r>
            <w:r w:rsidRPr="007B03AB">
              <w:rPr>
                <w:rFonts w:ascii="標楷體" w:eastAsia="標楷體" w:hAnsi="標楷體"/>
                <w:kern w:val="2"/>
                <w:szCs w:val="24"/>
              </w:rPr>
              <w:t>業</w:t>
            </w:r>
            <w:r w:rsidRPr="007B03AB">
              <w:rPr>
                <w:rFonts w:ascii="標楷體" w:eastAsia="標楷體" w:hAnsi="標楷體" w:hint="eastAsia"/>
                <w:kern w:val="2"/>
                <w:szCs w:val="24"/>
              </w:rPr>
              <w:t>併法</w:t>
            </w:r>
            <w:r w:rsidRPr="007B03AB">
              <w:rPr>
                <w:rFonts w:ascii="標楷體" w:eastAsia="標楷體" w:hAnsi="標楷體"/>
                <w:kern w:val="2"/>
                <w:szCs w:val="24"/>
              </w:rPr>
              <w:t>案辦理</w:t>
            </w:r>
            <w:r w:rsidRPr="007B03AB">
              <w:rPr>
                <w:rFonts w:ascii="標楷體" w:eastAsia="標楷體" w:hAnsi="標楷體" w:hint="eastAsia"/>
                <w:kern w:val="2"/>
                <w:szCs w:val="24"/>
              </w:rPr>
              <w:t>，法案於</w:t>
            </w:r>
            <w:r w:rsidRPr="007D3C7B">
              <w:rPr>
                <w:rFonts w:ascii="標楷體" w:eastAsia="標楷體" w:hAnsi="標楷體" w:hint="eastAsia"/>
                <w:kern w:val="2"/>
                <w:szCs w:val="24"/>
              </w:rPr>
              <w:t>第11屆第2會期第</w:t>
            </w:r>
            <w:r>
              <w:rPr>
                <w:rFonts w:ascii="標楷體" w:eastAsia="標楷體" w:hAnsi="標楷體" w:hint="eastAsia"/>
                <w:kern w:val="2"/>
                <w:szCs w:val="24"/>
              </w:rPr>
              <w:t>15</w:t>
            </w:r>
            <w:r w:rsidRPr="007D3C7B">
              <w:rPr>
                <w:rFonts w:ascii="標楷體" w:eastAsia="標楷體" w:hAnsi="標楷體" w:hint="eastAsia"/>
                <w:kern w:val="2"/>
                <w:szCs w:val="24"/>
              </w:rPr>
              <w:t>次院會(</w:t>
            </w:r>
            <w:r w:rsidRPr="007D3C7B">
              <w:rPr>
                <w:rFonts w:ascii="標楷體" w:eastAsia="標楷體" w:hAnsi="標楷體"/>
                <w:kern w:val="2"/>
                <w:szCs w:val="24"/>
              </w:rPr>
              <w:t>11</w:t>
            </w:r>
            <w:r w:rsidRPr="007D3C7B">
              <w:rPr>
                <w:rFonts w:ascii="標楷體" w:eastAsia="標楷體" w:hAnsi="標楷體" w:hint="eastAsia"/>
                <w:kern w:val="2"/>
                <w:szCs w:val="24"/>
              </w:rPr>
              <w:t>3</w:t>
            </w:r>
            <w:r w:rsidRPr="007D3C7B">
              <w:rPr>
                <w:rFonts w:ascii="標楷體" w:eastAsia="標楷體" w:hAnsi="標楷體"/>
                <w:kern w:val="2"/>
                <w:szCs w:val="24"/>
              </w:rPr>
              <w:t>.</w:t>
            </w:r>
            <w:r w:rsidRPr="007D3C7B">
              <w:rPr>
                <w:rFonts w:ascii="標楷體" w:eastAsia="標楷體" w:hAnsi="標楷體" w:hint="eastAsia"/>
                <w:kern w:val="2"/>
                <w:szCs w:val="24"/>
              </w:rPr>
              <w:t>1</w:t>
            </w:r>
            <w:r>
              <w:rPr>
                <w:rFonts w:ascii="標楷體" w:eastAsia="標楷體" w:hAnsi="標楷體" w:hint="eastAsia"/>
                <w:kern w:val="2"/>
                <w:szCs w:val="24"/>
              </w:rPr>
              <w:t>2</w:t>
            </w:r>
            <w:r w:rsidRPr="007D3C7B">
              <w:rPr>
                <w:rFonts w:ascii="標楷體" w:eastAsia="標楷體" w:hAnsi="標楷體"/>
                <w:kern w:val="2"/>
                <w:szCs w:val="24"/>
              </w:rPr>
              <w:t>.</w:t>
            </w:r>
            <w:r>
              <w:rPr>
                <w:rFonts w:ascii="標楷體" w:eastAsia="標楷體" w:hAnsi="標楷體" w:hint="eastAsia"/>
                <w:kern w:val="2"/>
                <w:szCs w:val="24"/>
              </w:rPr>
              <w:t>31</w:t>
            </w:r>
            <w:r w:rsidRPr="007D3C7B">
              <w:rPr>
                <w:rFonts w:ascii="標楷體" w:eastAsia="標楷體" w:hAnsi="標楷體" w:hint="eastAsia"/>
                <w:kern w:val="2"/>
                <w:szCs w:val="24"/>
              </w:rPr>
              <w:t>)</w:t>
            </w:r>
            <w:r w:rsidRPr="007B03AB">
              <w:rPr>
                <w:rFonts w:ascii="標楷體" w:eastAsia="標楷體" w:hAnsi="標楷體" w:hint="eastAsia"/>
                <w:kern w:val="2"/>
                <w:szCs w:val="24"/>
              </w:rPr>
              <w:t>完成三讀。</w:t>
            </w:r>
          </w:p>
        </w:tc>
      </w:tr>
    </w:tbl>
    <w:p w14:paraId="08369654" w14:textId="0EB53612" w:rsidR="007D160C" w:rsidRPr="002E68D5" w:rsidRDefault="007D160C" w:rsidP="002E68D5">
      <w:pPr>
        <w:widowControl w:val="0"/>
        <w:overflowPunct w:val="0"/>
        <w:autoSpaceDN/>
        <w:spacing w:line="500" w:lineRule="exact"/>
        <w:ind w:leftChars="59" w:left="644" w:hangingChars="157" w:hanging="502"/>
        <w:jc w:val="both"/>
        <w:textAlignment w:val="auto"/>
        <w:outlineLvl w:val="1"/>
        <w:rPr>
          <w:rFonts w:ascii="標楷體" w:eastAsia="標楷體" w:hAnsi="標楷體"/>
          <w:b/>
          <w:bCs/>
          <w:kern w:val="2"/>
          <w:sz w:val="32"/>
          <w:szCs w:val="32"/>
        </w:rPr>
      </w:pPr>
      <w:r w:rsidRPr="00CB1AED">
        <w:rPr>
          <w:rFonts w:ascii="標楷體" w:eastAsia="標楷體" w:hAnsi="標楷體"/>
          <w:color w:val="FF0000"/>
          <w:sz w:val="32"/>
          <w:szCs w:val="32"/>
        </w:rPr>
        <w:br w:type="page"/>
      </w:r>
      <w:bookmarkStart w:id="68" w:name="_Toc175833575"/>
      <w:bookmarkStart w:id="69" w:name="_Toc189487292"/>
      <w:bookmarkEnd w:id="67"/>
      <w:r w:rsidRPr="0096452F">
        <w:rPr>
          <w:rFonts w:ascii="標楷體" w:eastAsia="標楷體" w:hAnsi="標楷體" w:hint="eastAsia"/>
          <w:b/>
          <w:bCs/>
          <w:kern w:val="2"/>
          <w:sz w:val="32"/>
          <w:szCs w:val="32"/>
        </w:rPr>
        <w:lastRenderedPageBreak/>
        <w:t>六</w:t>
      </w:r>
      <w:r w:rsidRPr="00AE2640">
        <w:rPr>
          <w:rFonts w:ascii="標楷體" w:eastAsia="標楷體" w:hAnsi="標楷體" w:hint="eastAsia"/>
          <w:b/>
          <w:bCs/>
          <w:kern w:val="2"/>
          <w:sz w:val="32"/>
          <w:szCs w:val="32"/>
        </w:rPr>
        <w:t>、</w:t>
      </w:r>
      <w:r w:rsidR="002E68D5">
        <w:rPr>
          <w:rFonts w:ascii="標楷體" w:eastAsia="標楷體" w:hAnsi="標楷體" w:hint="eastAsia"/>
          <w:b/>
          <w:bCs/>
          <w:kern w:val="2"/>
          <w:sz w:val="32"/>
          <w:szCs w:val="32"/>
        </w:rPr>
        <w:t>預算報告</w:t>
      </w:r>
      <w:r w:rsidRPr="00176422">
        <w:rPr>
          <w:rFonts w:ascii="標楷體" w:eastAsia="標楷體" w:hAnsi="標楷體" w:hint="eastAsia"/>
          <w:b/>
          <w:bCs/>
          <w:kern w:val="2"/>
          <w:sz w:val="32"/>
          <w:szCs w:val="32"/>
        </w:rPr>
        <w:t>案</w:t>
      </w:r>
      <w:r w:rsidRPr="00176422">
        <w:rPr>
          <w:rFonts w:ascii="標楷體" w:eastAsia="標楷體" w:hAnsi="標楷體"/>
          <w:b/>
          <w:bCs/>
          <w:kern w:val="2"/>
          <w:sz w:val="32"/>
          <w:szCs w:val="32"/>
        </w:rPr>
        <w:t>(</w:t>
      </w:r>
      <w:r w:rsidR="00383C53">
        <w:rPr>
          <w:rFonts w:ascii="標楷體" w:eastAsia="標楷體" w:hAnsi="標楷體" w:hint="eastAsia"/>
          <w:b/>
          <w:bCs/>
          <w:kern w:val="2"/>
          <w:sz w:val="32"/>
          <w:szCs w:val="32"/>
        </w:rPr>
        <w:t>234</w:t>
      </w:r>
      <w:r w:rsidRPr="00176422">
        <w:rPr>
          <w:rFonts w:ascii="標楷體" w:eastAsia="標楷體" w:hAnsi="標楷體"/>
          <w:b/>
          <w:bCs/>
          <w:kern w:val="2"/>
          <w:sz w:val="32"/>
          <w:szCs w:val="32"/>
        </w:rPr>
        <w:t>案</w:t>
      </w:r>
      <w:r w:rsidRPr="00176422">
        <w:rPr>
          <w:rFonts w:ascii="標楷體" w:eastAsia="標楷體" w:hAnsi="標楷體" w:hint="eastAsia"/>
          <w:b/>
          <w:bCs/>
          <w:kern w:val="2"/>
          <w:sz w:val="32"/>
          <w:szCs w:val="32"/>
        </w:rPr>
        <w:t>)</w:t>
      </w:r>
      <w:bookmarkEnd w:id="68"/>
      <w:bookmarkEnd w:id="69"/>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4253"/>
        <w:gridCol w:w="2551"/>
        <w:gridCol w:w="2268"/>
      </w:tblGrid>
      <w:tr w:rsidR="007D160C" w:rsidRPr="00D9107B" w14:paraId="0039FF69" w14:textId="77777777" w:rsidTr="001B1EFB">
        <w:trPr>
          <w:trHeight w:val="491"/>
          <w:jc w:val="center"/>
        </w:trPr>
        <w:tc>
          <w:tcPr>
            <w:tcW w:w="562" w:type="dxa"/>
            <w:tcBorders>
              <w:top w:val="single" w:sz="12" w:space="0" w:color="auto"/>
              <w:left w:val="single" w:sz="4" w:space="0" w:color="auto"/>
              <w:bottom w:val="single" w:sz="12" w:space="0" w:color="auto"/>
              <w:right w:val="single" w:sz="4" w:space="0" w:color="auto"/>
            </w:tcBorders>
            <w:vAlign w:val="center"/>
          </w:tcPr>
          <w:p w14:paraId="3131BD81" w14:textId="77777777" w:rsidR="007D160C" w:rsidRPr="00D9107B"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D9107B">
              <w:rPr>
                <w:rFonts w:ascii="標楷體" w:eastAsia="標楷體" w:hAnsi="標楷體" w:hint="eastAsia"/>
                <w:b/>
                <w:spacing w:val="-20"/>
                <w:kern w:val="2"/>
                <w:szCs w:val="24"/>
              </w:rPr>
              <w:t>序號</w:t>
            </w:r>
          </w:p>
        </w:tc>
        <w:tc>
          <w:tcPr>
            <w:tcW w:w="4253" w:type="dxa"/>
            <w:tcBorders>
              <w:top w:val="single" w:sz="12" w:space="0" w:color="auto"/>
              <w:left w:val="single" w:sz="4" w:space="0" w:color="auto"/>
              <w:bottom w:val="single" w:sz="12" w:space="0" w:color="auto"/>
              <w:right w:val="single" w:sz="4" w:space="0" w:color="auto"/>
            </w:tcBorders>
            <w:vAlign w:val="center"/>
          </w:tcPr>
          <w:p w14:paraId="5C3FBF0D" w14:textId="77777777" w:rsidR="007D160C" w:rsidRPr="00D9107B" w:rsidRDefault="007D160C" w:rsidP="00F470A8">
            <w:pPr>
              <w:widowControl w:val="0"/>
              <w:tabs>
                <w:tab w:val="left" w:pos="567"/>
              </w:tabs>
              <w:overflowPunct w:val="0"/>
              <w:autoSpaceDN/>
              <w:spacing w:line="300" w:lineRule="exact"/>
              <w:jc w:val="center"/>
              <w:textAlignment w:val="auto"/>
              <w:rPr>
                <w:rFonts w:ascii="標楷體" w:eastAsia="標楷體" w:hAnsi="標楷體"/>
                <w:b/>
                <w:kern w:val="2"/>
                <w:szCs w:val="24"/>
              </w:rPr>
            </w:pPr>
            <w:r w:rsidRPr="00D9107B">
              <w:rPr>
                <w:rFonts w:ascii="標楷體" w:eastAsia="標楷體" w:hAnsi="標楷體" w:hint="eastAsia"/>
                <w:b/>
                <w:kern w:val="2"/>
                <w:szCs w:val="24"/>
              </w:rPr>
              <w:t>議案名稱</w:t>
            </w:r>
          </w:p>
        </w:tc>
        <w:tc>
          <w:tcPr>
            <w:tcW w:w="2551" w:type="dxa"/>
            <w:tcBorders>
              <w:top w:val="single" w:sz="12" w:space="0" w:color="auto"/>
              <w:left w:val="single" w:sz="4" w:space="0" w:color="auto"/>
              <w:bottom w:val="single" w:sz="12" w:space="0" w:color="auto"/>
              <w:right w:val="single" w:sz="4" w:space="0" w:color="auto"/>
            </w:tcBorders>
            <w:vAlign w:val="center"/>
          </w:tcPr>
          <w:p w14:paraId="1491309D" w14:textId="77777777" w:rsidR="007D160C" w:rsidRPr="00D9107B" w:rsidRDefault="007D160C" w:rsidP="00F470A8">
            <w:pPr>
              <w:widowControl w:val="0"/>
              <w:tabs>
                <w:tab w:val="left" w:pos="567"/>
              </w:tabs>
              <w:overflowPunct w:val="0"/>
              <w:autoSpaceDN/>
              <w:snapToGrid w:val="0"/>
              <w:spacing w:line="320" w:lineRule="exact"/>
              <w:jc w:val="center"/>
              <w:textAlignment w:val="auto"/>
              <w:rPr>
                <w:rFonts w:ascii="標楷體" w:eastAsia="標楷體" w:hAnsi="標楷體"/>
                <w:b/>
                <w:spacing w:val="-20"/>
                <w:kern w:val="2"/>
                <w:szCs w:val="24"/>
              </w:rPr>
            </w:pPr>
            <w:r w:rsidRPr="00D9107B">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2102B72D" w14:textId="77777777" w:rsidR="007D160C" w:rsidRPr="00D9107B" w:rsidRDefault="007D160C"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D9107B">
              <w:rPr>
                <w:rFonts w:ascii="標楷體" w:eastAsia="標楷體" w:hAnsi="標楷體" w:hint="eastAsia"/>
                <w:b/>
                <w:spacing w:val="-20"/>
                <w:kern w:val="2"/>
                <w:szCs w:val="24"/>
              </w:rPr>
              <w:t>備    註</w:t>
            </w:r>
          </w:p>
        </w:tc>
      </w:tr>
      <w:tr w:rsidR="007D160C" w:rsidRPr="00D9107B" w14:paraId="6BCADA6D" w14:textId="77777777" w:rsidTr="001B1EFB">
        <w:trPr>
          <w:trHeight w:val="491"/>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4C080C40"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1.財政部主管（</w:t>
            </w:r>
            <w:r>
              <w:rPr>
                <w:rFonts w:ascii="標楷體" w:eastAsia="標楷體" w:hAnsi="標楷體" w:hint="eastAsia"/>
                <w:b/>
                <w:kern w:val="2"/>
                <w:sz w:val="28"/>
                <w:szCs w:val="28"/>
              </w:rPr>
              <w:t>84</w:t>
            </w:r>
            <w:r w:rsidRPr="00D9107B">
              <w:rPr>
                <w:rFonts w:ascii="標楷體" w:eastAsia="標楷體" w:hAnsi="標楷體" w:hint="eastAsia"/>
                <w:b/>
                <w:kern w:val="2"/>
                <w:sz w:val="28"/>
                <w:szCs w:val="28"/>
              </w:rPr>
              <w:t>案）</w:t>
            </w:r>
          </w:p>
        </w:tc>
      </w:tr>
      <w:tr w:rsidR="007D160C" w:rsidRPr="00D9107B" w14:paraId="3B5968E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02A746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7C016A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財政部函送該部主管</w:t>
            </w:r>
            <w:r w:rsidRPr="00D9107B">
              <w:rPr>
                <w:rFonts w:ascii="標楷體" w:eastAsia="標楷體" w:hAnsi="標楷體"/>
                <w:kern w:val="2"/>
                <w:szCs w:val="24"/>
              </w:rPr>
              <w:t>110年度預算案所編「財政部共用資料中心資源擴充計畫」等4項計畫之選擇方案及替代方案成本效益分析報告與相關財源籌措及資金運用說明案。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7F31642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屆第2會期第4次</w:t>
            </w:r>
            <w:r w:rsidRPr="005B15FA">
              <w:rPr>
                <w:rFonts w:ascii="標楷體" w:eastAsia="標楷體" w:hAnsi="標楷體" w:hint="eastAsia"/>
                <w:kern w:val="2"/>
                <w:szCs w:val="24"/>
              </w:rPr>
              <w:t>院會（10</w:t>
            </w:r>
            <w:r w:rsidRPr="005B15FA">
              <w:rPr>
                <w:rFonts w:ascii="標楷體" w:eastAsia="標楷體" w:hAnsi="標楷體"/>
                <w:kern w:val="2"/>
                <w:szCs w:val="24"/>
              </w:rPr>
              <w:t>9</w:t>
            </w:r>
            <w:r w:rsidRPr="005B15FA">
              <w:rPr>
                <w:rFonts w:ascii="標楷體" w:eastAsia="標楷體" w:hAnsi="標楷體" w:hint="eastAsia"/>
                <w:kern w:val="2"/>
                <w:szCs w:val="24"/>
              </w:rPr>
              <w:t>.</w:t>
            </w:r>
            <w:r w:rsidRPr="005B15FA">
              <w:rPr>
                <w:rFonts w:ascii="標楷體" w:eastAsia="標楷體" w:hAnsi="標楷體"/>
                <w:kern w:val="2"/>
                <w:szCs w:val="24"/>
              </w:rPr>
              <w:t>10</w:t>
            </w:r>
            <w:r w:rsidRPr="005B15FA">
              <w:rPr>
                <w:rFonts w:ascii="標楷體" w:eastAsia="標楷體" w:hAnsi="標楷體" w:hint="eastAsia"/>
                <w:kern w:val="2"/>
                <w:szCs w:val="24"/>
              </w:rPr>
              <w:t>.</w:t>
            </w:r>
            <w:r w:rsidRPr="005B15FA">
              <w:rPr>
                <w:rFonts w:ascii="標楷體" w:eastAsia="標楷體" w:hAnsi="標楷體"/>
                <w:kern w:val="2"/>
                <w:szCs w:val="24"/>
              </w:rPr>
              <w:t>23</w:t>
            </w:r>
            <w:r w:rsidRPr="005B15FA">
              <w:rPr>
                <w:rFonts w:ascii="標楷體" w:eastAsia="標楷體" w:hAnsi="標楷體" w:hint="eastAsia"/>
                <w:kern w:val="2"/>
                <w:szCs w:val="24"/>
              </w:rPr>
              <w:t>）決定：「交財政委員會審查」</w:t>
            </w:r>
          </w:p>
        </w:tc>
        <w:tc>
          <w:tcPr>
            <w:tcW w:w="2268" w:type="dxa"/>
            <w:vMerge w:val="restart"/>
            <w:tcBorders>
              <w:top w:val="single" w:sz="4" w:space="0" w:color="auto"/>
              <w:left w:val="single" w:sz="4" w:space="0" w:color="auto"/>
              <w:right w:val="single" w:sz="4" w:space="0" w:color="auto"/>
            </w:tcBorders>
          </w:tcPr>
          <w:p w14:paraId="24DBE617"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D9107B">
              <w:rPr>
                <w:rFonts w:ascii="標楷體" w:eastAsia="標楷體" w:hAnsi="標楷體" w:hint="eastAsia"/>
                <w:szCs w:val="24"/>
              </w:rPr>
              <w:t>1.因逾年度預算執行期間，本會於113.7.8函議事處提報院會准予備查。</w:t>
            </w:r>
          </w:p>
          <w:p w14:paraId="2316C391"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08631C4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019DD2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45F158"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110年度中央政府總預算決議，檢送財政收支劃分法修法專案報告案。</w:t>
            </w:r>
          </w:p>
        </w:tc>
        <w:tc>
          <w:tcPr>
            <w:tcW w:w="2551" w:type="dxa"/>
            <w:tcBorders>
              <w:top w:val="single" w:sz="4" w:space="0" w:color="auto"/>
              <w:left w:val="single" w:sz="4" w:space="0" w:color="auto"/>
              <w:bottom w:val="single" w:sz="4" w:space="0" w:color="auto"/>
              <w:right w:val="single" w:sz="4" w:space="0" w:color="auto"/>
            </w:tcBorders>
          </w:tcPr>
          <w:p w14:paraId="35487E3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屆第3會期第7次院會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10</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4</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9</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決定：「交財政委員會處理」</w:t>
            </w:r>
          </w:p>
        </w:tc>
        <w:tc>
          <w:tcPr>
            <w:tcW w:w="2268" w:type="dxa"/>
            <w:vMerge/>
            <w:tcBorders>
              <w:left w:val="single" w:sz="4" w:space="0" w:color="auto"/>
              <w:right w:val="single" w:sz="4" w:space="0" w:color="auto"/>
            </w:tcBorders>
            <w:vAlign w:val="center"/>
          </w:tcPr>
          <w:p w14:paraId="391F7F4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1D8EA1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D402322"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000000"/>
              <w:right w:val="single" w:sz="4" w:space="0" w:color="auto"/>
            </w:tcBorders>
          </w:tcPr>
          <w:p w14:paraId="0090C5A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110年度中央政府總預算決議，檢送行政院公營事業民營化基金退場計畫專案報告案。</w:t>
            </w:r>
          </w:p>
        </w:tc>
        <w:tc>
          <w:tcPr>
            <w:tcW w:w="2551" w:type="dxa"/>
            <w:tcBorders>
              <w:top w:val="single" w:sz="4" w:space="0" w:color="auto"/>
              <w:left w:val="single" w:sz="4" w:space="0" w:color="auto"/>
              <w:bottom w:val="single" w:sz="4" w:space="0" w:color="000000"/>
              <w:right w:val="single" w:sz="4" w:space="0" w:color="auto"/>
            </w:tcBorders>
          </w:tcPr>
          <w:p w14:paraId="4CFBDD5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屆第3會期第9次院會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10</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4</w:t>
            </w:r>
            <w:r w:rsidRPr="005B15FA">
              <w:rPr>
                <w:rFonts w:ascii="標楷體" w:eastAsia="標楷體" w:hAnsi="標楷體" w:hint="eastAsia"/>
                <w:spacing w:val="-20"/>
                <w:kern w:val="2"/>
                <w:szCs w:val="24"/>
              </w:rPr>
              <w:t>.23）</w:t>
            </w:r>
            <w:r w:rsidRPr="00D9107B">
              <w:rPr>
                <w:rFonts w:ascii="標楷體" w:eastAsia="標楷體" w:hAnsi="標楷體" w:hint="eastAsia"/>
                <w:kern w:val="2"/>
                <w:szCs w:val="24"/>
              </w:rPr>
              <w:t>決定：「交財政委員會處理」</w:t>
            </w:r>
          </w:p>
        </w:tc>
        <w:tc>
          <w:tcPr>
            <w:tcW w:w="2268" w:type="dxa"/>
            <w:vMerge/>
            <w:tcBorders>
              <w:left w:val="single" w:sz="4" w:space="0" w:color="auto"/>
              <w:right w:val="single" w:sz="4" w:space="0" w:color="auto"/>
            </w:tcBorders>
            <w:vAlign w:val="center"/>
          </w:tcPr>
          <w:p w14:paraId="7566BFC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B2DB9A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998A33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FBA0CF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110年度中央政府總預算決議，檢送提升臺灣土地銀行公司資本適足率具體措施書面報告案。</w:t>
            </w:r>
          </w:p>
        </w:tc>
        <w:tc>
          <w:tcPr>
            <w:tcW w:w="2551" w:type="dxa"/>
            <w:tcBorders>
              <w:top w:val="single" w:sz="4" w:space="0" w:color="auto"/>
              <w:left w:val="single" w:sz="4" w:space="0" w:color="auto"/>
              <w:bottom w:val="single" w:sz="4" w:space="0" w:color="auto"/>
              <w:right w:val="single" w:sz="4" w:space="0" w:color="auto"/>
            </w:tcBorders>
          </w:tcPr>
          <w:p w14:paraId="4F9008B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0</w:t>
            </w:r>
            <w:r w:rsidRPr="00D9107B">
              <w:rPr>
                <w:rFonts w:ascii="標楷體" w:eastAsia="標楷體" w:hAnsi="標楷體" w:hint="eastAsia"/>
                <w:kern w:val="2"/>
                <w:szCs w:val="24"/>
              </w:rPr>
              <w:t>次院會</w:t>
            </w:r>
            <w:r w:rsidRPr="005B15FA">
              <w:rPr>
                <w:rFonts w:ascii="標楷體" w:eastAsia="標楷體" w:hAnsi="標楷體" w:hint="eastAsia"/>
                <w:kern w:val="2"/>
                <w:szCs w:val="24"/>
              </w:rPr>
              <w:t>（1</w:t>
            </w:r>
            <w:r w:rsidRPr="005B15FA">
              <w:rPr>
                <w:rFonts w:ascii="標楷體" w:eastAsia="標楷體" w:hAnsi="標楷體"/>
                <w:kern w:val="2"/>
                <w:szCs w:val="24"/>
              </w:rPr>
              <w:t>10</w:t>
            </w:r>
            <w:r w:rsidRPr="005B15FA">
              <w:rPr>
                <w:rFonts w:ascii="標楷體" w:eastAsia="標楷體" w:hAnsi="標楷體" w:hint="eastAsia"/>
                <w:kern w:val="2"/>
                <w:szCs w:val="24"/>
              </w:rPr>
              <w:t>.</w:t>
            </w:r>
            <w:r w:rsidRPr="005B15FA">
              <w:rPr>
                <w:rFonts w:ascii="標楷體" w:eastAsia="標楷體" w:hAnsi="標楷體"/>
                <w:kern w:val="2"/>
                <w:szCs w:val="24"/>
              </w:rPr>
              <w:t>4</w:t>
            </w:r>
            <w:r w:rsidRPr="005B15FA">
              <w:rPr>
                <w:rFonts w:ascii="標楷體" w:eastAsia="標楷體" w:hAnsi="標楷體" w:hint="eastAsia"/>
                <w:kern w:val="2"/>
                <w:szCs w:val="24"/>
              </w:rPr>
              <w:t>.</w:t>
            </w:r>
            <w:r w:rsidRPr="005B15FA">
              <w:rPr>
                <w:rFonts w:ascii="標楷體" w:eastAsia="標楷體" w:hAnsi="標楷體"/>
                <w:kern w:val="2"/>
                <w:szCs w:val="24"/>
              </w:rPr>
              <w:t>30</w:t>
            </w:r>
            <w:r w:rsidRPr="005B15FA">
              <w:rPr>
                <w:rFonts w:ascii="標楷體" w:eastAsia="標楷體" w:hAnsi="標楷體" w:hint="eastAsia"/>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3AB3C1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CB14AA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4389123"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924D88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110年度中央政府總預算決議，檢送囤房稅具體政策規劃內容書面報告案。</w:t>
            </w:r>
          </w:p>
        </w:tc>
        <w:tc>
          <w:tcPr>
            <w:tcW w:w="2551" w:type="dxa"/>
            <w:tcBorders>
              <w:top w:val="single" w:sz="4" w:space="0" w:color="auto"/>
              <w:left w:val="single" w:sz="4" w:space="0" w:color="auto"/>
              <w:bottom w:val="single" w:sz="4" w:space="0" w:color="auto"/>
              <w:right w:val="single" w:sz="4" w:space="0" w:color="auto"/>
            </w:tcBorders>
          </w:tcPr>
          <w:p w14:paraId="4592E98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屆第3會期第11會（1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5.7）決定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301625B5"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907ED9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88A91F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70F40C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110年度中央政府總預算決議，檢送落實加強預售屋交易所得查核書面報告案。</w:t>
            </w:r>
          </w:p>
        </w:tc>
        <w:tc>
          <w:tcPr>
            <w:tcW w:w="2551" w:type="dxa"/>
            <w:tcBorders>
              <w:top w:val="single" w:sz="4" w:space="0" w:color="auto"/>
              <w:left w:val="single" w:sz="4" w:space="0" w:color="auto"/>
              <w:bottom w:val="single" w:sz="4" w:space="0" w:color="auto"/>
              <w:right w:val="single" w:sz="4" w:space="0" w:color="auto"/>
            </w:tcBorders>
          </w:tcPr>
          <w:p w14:paraId="3F359A3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屆第3會期第11會（1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5.7）決定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0669199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0670E7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0322F4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04D12A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110年度中央政府總預算決議，檢送督促地方政府適當調整房屋稅稅基書面報告案。</w:t>
            </w:r>
          </w:p>
        </w:tc>
        <w:tc>
          <w:tcPr>
            <w:tcW w:w="2551" w:type="dxa"/>
            <w:tcBorders>
              <w:top w:val="single" w:sz="4" w:space="0" w:color="auto"/>
              <w:left w:val="single" w:sz="4" w:space="0" w:color="auto"/>
              <w:bottom w:val="single" w:sz="4" w:space="0" w:color="auto"/>
              <w:right w:val="single" w:sz="4" w:space="0" w:color="auto"/>
            </w:tcBorders>
          </w:tcPr>
          <w:p w14:paraId="57D0A82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屆第3會期第11會（1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5.7）決定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7ACF5E7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E418F7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CA19C0F"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EEC95D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110年度中央政府總預算決議，檢送「稅捐稽徵作業績效類考核」新增多屋者評分之可行性書面報告案。</w:t>
            </w:r>
          </w:p>
        </w:tc>
        <w:tc>
          <w:tcPr>
            <w:tcW w:w="2551" w:type="dxa"/>
            <w:tcBorders>
              <w:top w:val="single" w:sz="4" w:space="0" w:color="auto"/>
              <w:left w:val="single" w:sz="4" w:space="0" w:color="auto"/>
              <w:bottom w:val="single" w:sz="4" w:space="0" w:color="auto"/>
              <w:right w:val="single" w:sz="4" w:space="0" w:color="auto"/>
            </w:tcBorders>
          </w:tcPr>
          <w:p w14:paraId="453DF9C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5A4CC6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9A635C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42A77C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416D6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110年度中央政府總預算決議，檢送推動稅務用途</w:t>
            </w:r>
            <w:r w:rsidRPr="00D9107B">
              <w:rPr>
                <w:rFonts w:ascii="標楷體" w:eastAsia="標楷體" w:hAnsi="標楷體" w:hint="eastAsia"/>
                <w:kern w:val="2"/>
                <w:szCs w:val="24"/>
              </w:rPr>
              <w:t>資訊(</w:t>
            </w:r>
            <w:r w:rsidRPr="00D9107B">
              <w:rPr>
                <w:rFonts w:ascii="標楷體" w:eastAsia="標楷體" w:hAnsi="標楷體"/>
                <w:kern w:val="2"/>
                <w:szCs w:val="24"/>
              </w:rPr>
              <w:t>金融帳戶資訊</w:t>
            </w:r>
            <w:r w:rsidRPr="00D9107B">
              <w:rPr>
                <w:rFonts w:ascii="標楷體" w:eastAsia="標楷體" w:hAnsi="標楷體" w:hint="eastAsia"/>
                <w:kern w:val="2"/>
                <w:szCs w:val="24"/>
              </w:rPr>
              <w:t>及國別報告)</w:t>
            </w:r>
            <w:r w:rsidRPr="00D9107B">
              <w:rPr>
                <w:rFonts w:ascii="標楷體" w:eastAsia="標楷體" w:hAnsi="標楷體"/>
                <w:kern w:val="2"/>
                <w:szCs w:val="24"/>
              </w:rPr>
              <w:t>交換進展及後續規劃書面報告案。</w:t>
            </w:r>
          </w:p>
        </w:tc>
        <w:tc>
          <w:tcPr>
            <w:tcW w:w="2551" w:type="dxa"/>
            <w:tcBorders>
              <w:top w:val="single" w:sz="4" w:space="0" w:color="auto"/>
              <w:left w:val="single" w:sz="4" w:space="0" w:color="auto"/>
              <w:bottom w:val="single" w:sz="4" w:space="0" w:color="auto"/>
              <w:right w:val="single" w:sz="4" w:space="0" w:color="auto"/>
            </w:tcBorders>
          </w:tcPr>
          <w:p w14:paraId="650DC72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5C9EF83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1A5236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86998D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619348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110年度中央政府總預算決議，檢送賦稅署擬定虛擬通貨相關稅收框架書面報告案。</w:t>
            </w:r>
          </w:p>
        </w:tc>
        <w:tc>
          <w:tcPr>
            <w:tcW w:w="2551" w:type="dxa"/>
            <w:tcBorders>
              <w:top w:val="single" w:sz="4" w:space="0" w:color="auto"/>
              <w:left w:val="single" w:sz="4" w:space="0" w:color="auto"/>
              <w:bottom w:val="single" w:sz="4" w:space="0" w:color="auto"/>
              <w:right w:val="single" w:sz="4" w:space="0" w:color="auto"/>
            </w:tcBorders>
          </w:tcPr>
          <w:p w14:paraId="70007F9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5E2AF92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E15FE6D"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74C4F9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596CCB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110年度中央政府總預算決議，檢送臺北國稅局疏減訟源及納保案件辦理情形書面報告案。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753784E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DF2939E"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68A6E6B"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CCE4FF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1DEDC0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110年度中央政府總預算決議，檢送高雄國稅局疏減訟源及納保案件辦理情形書面報告案。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2DABA0A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C3E2126"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14C289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7BAE0E0"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51E1B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110年度中央政府總預算決議，檢送北區國稅局疏減訟源及納保案件辦理情形書面報告案。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6B4C27D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3A1CD4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E9AF25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1BD9A2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1D04CC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110年度中央政府總預算決議，檢送中區國稅局疏減訟源及納保案件辦理情形書面報告案。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7F1D0F3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8DE2E1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3C64D3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94EA54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9267F5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110年度中央政府總預算決議，檢送南區國稅局疏減訟源及納保案件辦理情形書面報告案。</w:t>
            </w:r>
          </w:p>
        </w:tc>
        <w:tc>
          <w:tcPr>
            <w:tcW w:w="2551" w:type="dxa"/>
            <w:tcBorders>
              <w:top w:val="single" w:sz="4" w:space="0" w:color="auto"/>
              <w:left w:val="single" w:sz="4" w:space="0" w:color="auto"/>
              <w:bottom w:val="single" w:sz="4" w:space="0" w:color="auto"/>
              <w:right w:val="single" w:sz="4" w:space="0" w:color="auto"/>
            </w:tcBorders>
          </w:tcPr>
          <w:p w14:paraId="74EEEB96"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CD0DD4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ADD34F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98C9E4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29FFFB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w:t>
            </w:r>
            <w:r w:rsidRPr="00D9107B">
              <w:rPr>
                <w:rFonts w:ascii="標楷體" w:eastAsia="標楷體" w:hAnsi="標楷體"/>
                <w:kern w:val="2"/>
                <w:szCs w:val="24"/>
              </w:rPr>
              <w:t>110年第1季統計表案。</w:t>
            </w:r>
          </w:p>
        </w:tc>
        <w:tc>
          <w:tcPr>
            <w:tcW w:w="2551" w:type="dxa"/>
            <w:tcBorders>
              <w:top w:val="single" w:sz="4" w:space="0" w:color="auto"/>
              <w:left w:val="single" w:sz="4" w:space="0" w:color="auto"/>
              <w:bottom w:val="single" w:sz="4" w:space="0" w:color="auto"/>
              <w:right w:val="single" w:sz="4" w:space="0" w:color="auto"/>
            </w:tcBorders>
          </w:tcPr>
          <w:p w14:paraId="1F2158E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5D99A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A06488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3452379"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E6EA0A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110年度中央政府總預算決議，檢送「彰化商業銀行與臺灣中小企業銀行授信資產品質檢討改善報告」案。</w:t>
            </w:r>
          </w:p>
        </w:tc>
        <w:tc>
          <w:tcPr>
            <w:tcW w:w="2551" w:type="dxa"/>
            <w:tcBorders>
              <w:top w:val="single" w:sz="4" w:space="0" w:color="auto"/>
              <w:left w:val="single" w:sz="4" w:space="0" w:color="auto"/>
              <w:bottom w:val="single" w:sz="4" w:space="0" w:color="auto"/>
              <w:right w:val="single" w:sz="4" w:space="0" w:color="auto"/>
            </w:tcBorders>
          </w:tcPr>
          <w:p w14:paraId="05166D1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863718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DA01BA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E18C3F2"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7220C8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110年度中央政府總預算決議，檢送關貿網路股份有限公司爭議事項書面報告案</w:t>
            </w:r>
            <w:r w:rsidRPr="00D9107B">
              <w:rPr>
                <w:rFonts w:ascii="標楷體" w:eastAsia="標楷體" w:hAnsi="標楷體" w:hint="eastAsia"/>
                <w:kern w:val="2"/>
                <w:szCs w:val="24"/>
              </w:rPr>
              <w:t>。</w:t>
            </w:r>
          </w:p>
        </w:tc>
        <w:tc>
          <w:tcPr>
            <w:tcW w:w="2551" w:type="dxa"/>
            <w:tcBorders>
              <w:top w:val="single" w:sz="4" w:space="0" w:color="auto"/>
              <w:left w:val="single" w:sz="4" w:space="0" w:color="auto"/>
              <w:bottom w:val="single" w:sz="4" w:space="0" w:color="auto"/>
              <w:right w:val="single" w:sz="4" w:space="0" w:color="auto"/>
            </w:tcBorders>
          </w:tcPr>
          <w:p w14:paraId="604698C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F6054C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57C342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251773D"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A58210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110年度中央政府總預算決議，檢送國庫署強化債務管理書面報告案。</w:t>
            </w:r>
          </w:p>
        </w:tc>
        <w:tc>
          <w:tcPr>
            <w:tcW w:w="2551" w:type="dxa"/>
            <w:tcBorders>
              <w:top w:val="single" w:sz="4" w:space="0" w:color="auto"/>
              <w:left w:val="single" w:sz="4" w:space="0" w:color="auto"/>
              <w:bottom w:val="single" w:sz="4" w:space="0" w:color="auto"/>
              <w:right w:val="single" w:sz="4" w:space="0" w:color="auto"/>
            </w:tcBorders>
          </w:tcPr>
          <w:p w14:paraId="71F7B00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w:t>
            </w:r>
            <w:r w:rsidRPr="00D9107B">
              <w:rPr>
                <w:rFonts w:ascii="標楷體" w:eastAsia="標楷體" w:hAnsi="標楷體"/>
                <w:kern w:val="2"/>
                <w:szCs w:val="24"/>
              </w:rPr>
              <w:t>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62A07D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A5623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8E97C9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05E283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110年度中央政府總預算決議，檢送五區國稅局稅務獎勵金核發情形及法制化作業辦理情形書面報告案。</w:t>
            </w:r>
          </w:p>
        </w:tc>
        <w:tc>
          <w:tcPr>
            <w:tcW w:w="2551" w:type="dxa"/>
            <w:tcBorders>
              <w:top w:val="single" w:sz="4" w:space="0" w:color="auto"/>
              <w:left w:val="single" w:sz="4" w:space="0" w:color="auto"/>
              <w:bottom w:val="single" w:sz="4" w:space="0" w:color="auto"/>
              <w:right w:val="single" w:sz="4" w:space="0" w:color="auto"/>
            </w:tcBorders>
          </w:tcPr>
          <w:p w14:paraId="473A958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.5.21）決定：「交財政委員會審查」</w:t>
            </w:r>
          </w:p>
        </w:tc>
        <w:tc>
          <w:tcPr>
            <w:tcW w:w="2268" w:type="dxa"/>
            <w:vMerge/>
            <w:tcBorders>
              <w:left w:val="single" w:sz="4" w:space="0" w:color="auto"/>
              <w:right w:val="single" w:sz="4" w:space="0" w:color="auto"/>
            </w:tcBorders>
            <w:vAlign w:val="center"/>
          </w:tcPr>
          <w:p w14:paraId="2D8684E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2C6DE5B"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FB6B393"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F13DA1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110年度中央政府總預算決議，檢送關務署「海關巡緝艇汰舊換新計畫」書面報告案。</w:t>
            </w:r>
          </w:p>
        </w:tc>
        <w:tc>
          <w:tcPr>
            <w:tcW w:w="2551" w:type="dxa"/>
            <w:tcBorders>
              <w:top w:val="single" w:sz="4" w:space="0" w:color="auto"/>
              <w:left w:val="single" w:sz="4" w:space="0" w:color="auto"/>
              <w:bottom w:val="single" w:sz="4" w:space="0" w:color="auto"/>
              <w:right w:val="single" w:sz="4" w:space="0" w:color="auto"/>
            </w:tcBorders>
          </w:tcPr>
          <w:p w14:paraId="67A21CA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51317E4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6E34BB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24D4477"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48695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110年度中央政府總預算決議，檢送財政資訊中心智能稅務服務計畫總經費等資訊書面報告案。</w:t>
            </w:r>
          </w:p>
        </w:tc>
        <w:tc>
          <w:tcPr>
            <w:tcW w:w="2551" w:type="dxa"/>
            <w:tcBorders>
              <w:top w:val="single" w:sz="4" w:space="0" w:color="auto"/>
              <w:left w:val="single" w:sz="4" w:space="0" w:color="auto"/>
              <w:bottom w:val="single" w:sz="4" w:space="0" w:color="auto"/>
              <w:right w:val="single" w:sz="4" w:space="0" w:color="auto"/>
            </w:tcBorders>
          </w:tcPr>
          <w:p w14:paraId="69FEF058"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74575EF8"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953B8C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8DCED5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E8938F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110年度中央政府總預算決議，檢送財政資訊中心補列智能稅務服務計畫總經費等資訊書面報告案。</w:t>
            </w:r>
          </w:p>
        </w:tc>
        <w:tc>
          <w:tcPr>
            <w:tcW w:w="2551" w:type="dxa"/>
            <w:tcBorders>
              <w:top w:val="single" w:sz="4" w:space="0" w:color="auto"/>
              <w:left w:val="single" w:sz="4" w:space="0" w:color="auto"/>
              <w:bottom w:val="single" w:sz="4" w:space="0" w:color="auto"/>
              <w:right w:val="single" w:sz="4" w:space="0" w:color="auto"/>
            </w:tcBorders>
          </w:tcPr>
          <w:p w14:paraId="715AE47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46FCBFB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A33846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BE3A5D2"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75D3DB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110年度中央政府總預算決議，檢送關貿網路股份有限公司辦理109年振興三倍券預購等檢討書面報告案。</w:t>
            </w:r>
          </w:p>
        </w:tc>
        <w:tc>
          <w:tcPr>
            <w:tcW w:w="2551" w:type="dxa"/>
            <w:tcBorders>
              <w:top w:val="single" w:sz="4" w:space="0" w:color="auto"/>
              <w:left w:val="single" w:sz="4" w:space="0" w:color="auto"/>
              <w:bottom w:val="single" w:sz="4" w:space="0" w:color="auto"/>
              <w:right w:val="single" w:sz="4" w:space="0" w:color="auto"/>
            </w:tcBorders>
          </w:tcPr>
          <w:p w14:paraId="4F1623F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w:t>
            </w:r>
            <w:r w:rsidRPr="00D9107B">
              <w:rPr>
                <w:rFonts w:ascii="標楷體" w:eastAsia="標楷體" w:hAnsi="標楷體"/>
                <w:kern w:val="2"/>
                <w:szCs w:val="24"/>
              </w:rPr>
              <w:t>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F6ED6C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524034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56AA4D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4325C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財政部函為110年度中央政府總預算決議，檢送建立「房地交易逃漏稅查詢系統」書面報告案。</w:t>
            </w:r>
          </w:p>
        </w:tc>
        <w:tc>
          <w:tcPr>
            <w:tcW w:w="2551" w:type="dxa"/>
            <w:tcBorders>
              <w:top w:val="single" w:sz="4" w:space="0" w:color="auto"/>
              <w:left w:val="single" w:sz="4" w:space="0" w:color="auto"/>
              <w:bottom w:val="single" w:sz="4" w:space="0" w:color="auto"/>
              <w:right w:val="single" w:sz="4" w:space="0" w:color="auto"/>
            </w:tcBorders>
          </w:tcPr>
          <w:p w14:paraId="360CE9F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w:t>
            </w:r>
            <w:r w:rsidRPr="00D9107B">
              <w:rPr>
                <w:rFonts w:ascii="標楷體" w:eastAsia="標楷體" w:hAnsi="標楷體"/>
                <w:kern w:val="2"/>
                <w:szCs w:val="24"/>
              </w:rPr>
              <w:t>0</w:t>
            </w:r>
            <w:r w:rsidRPr="00D9107B">
              <w:rPr>
                <w:rFonts w:ascii="標楷體" w:eastAsia="標楷體" w:hAnsi="標楷體" w:hint="eastAsia"/>
                <w:kern w:val="2"/>
                <w:szCs w:val="24"/>
              </w:rPr>
              <w:t>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11.19）決定</w:t>
            </w:r>
            <w:r w:rsidRPr="00D9107B">
              <w:rPr>
                <w:rFonts w:ascii="標楷體" w:eastAsia="標楷體" w:hAnsi="標楷體" w:hint="eastAsia"/>
                <w:kern w:val="2"/>
                <w:szCs w:val="24"/>
              </w:rPr>
              <w:t>：「交財政委員會審查」</w:t>
            </w:r>
          </w:p>
        </w:tc>
        <w:tc>
          <w:tcPr>
            <w:tcW w:w="2268" w:type="dxa"/>
            <w:vMerge/>
            <w:tcBorders>
              <w:left w:val="single" w:sz="4" w:space="0" w:color="auto"/>
              <w:right w:val="single" w:sz="4" w:space="0" w:color="auto"/>
            </w:tcBorders>
            <w:vAlign w:val="center"/>
          </w:tcPr>
          <w:p w14:paraId="28782B5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BD7AEF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19D62C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DE32C6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財政部函送「協助各機關推動民間參與公共建</w:t>
            </w:r>
          </w:p>
          <w:p w14:paraId="4F2C646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設計畫(111年－114年)」之選擇方案及替代方案成本效益分析，暨相關財源籌措及資金運用說明案。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7513D71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屆第4會期第11次院會（1</w:t>
            </w:r>
            <w:r w:rsidRPr="00D9107B">
              <w:rPr>
                <w:rFonts w:ascii="標楷體" w:eastAsia="標楷體" w:hAnsi="標楷體"/>
                <w:kern w:val="2"/>
                <w:szCs w:val="24"/>
              </w:rPr>
              <w:t>10</w:t>
            </w:r>
            <w:r w:rsidRPr="00D9107B">
              <w:rPr>
                <w:rFonts w:ascii="標楷體" w:eastAsia="標楷體" w:hAnsi="標楷體" w:hint="eastAsia"/>
                <w:kern w:val="2"/>
                <w:szCs w:val="24"/>
              </w:rPr>
              <w:t>.11.26）決定：「交財政委員會審查」</w:t>
            </w:r>
          </w:p>
        </w:tc>
        <w:tc>
          <w:tcPr>
            <w:tcW w:w="2268" w:type="dxa"/>
            <w:vMerge/>
            <w:tcBorders>
              <w:left w:val="single" w:sz="4" w:space="0" w:color="auto"/>
              <w:right w:val="single" w:sz="4" w:space="0" w:color="auto"/>
            </w:tcBorders>
            <w:vAlign w:val="center"/>
          </w:tcPr>
          <w:p w14:paraId="152EB4B8"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39ECED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C601571"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D23767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財政部函送國有財產署「辦公廳舍取得案」之選擇方案及替代方案成本效益分析與相關財源籌措及資金運用說明案。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04850BC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屆第4會期第11次院會（1</w:t>
            </w:r>
            <w:r w:rsidRPr="00D9107B">
              <w:rPr>
                <w:rFonts w:ascii="標楷體" w:eastAsia="標楷體" w:hAnsi="標楷體"/>
                <w:kern w:val="2"/>
                <w:szCs w:val="24"/>
              </w:rPr>
              <w:t>10</w:t>
            </w:r>
            <w:r w:rsidRPr="00D9107B">
              <w:rPr>
                <w:rFonts w:ascii="標楷體" w:eastAsia="標楷體" w:hAnsi="標楷體" w:hint="eastAsia"/>
                <w:kern w:val="2"/>
                <w:szCs w:val="24"/>
              </w:rPr>
              <w:t>.11.26）決定：「交財政委員會審查」</w:t>
            </w:r>
          </w:p>
        </w:tc>
        <w:tc>
          <w:tcPr>
            <w:tcW w:w="2268" w:type="dxa"/>
            <w:vMerge/>
            <w:tcBorders>
              <w:left w:val="single" w:sz="4" w:space="0" w:color="auto"/>
              <w:right w:val="single" w:sz="4" w:space="0" w:color="auto"/>
            </w:tcBorders>
            <w:vAlign w:val="center"/>
          </w:tcPr>
          <w:p w14:paraId="7F2182A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F4EB9E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E72A7C3"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F9AB58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財政部函送國有財產署「國有非公用文化資產修復及管理維護計畫」之選擇方案及替代方案成本效益分析，暨相關財源籌措及資金運用說明案。</w:t>
            </w:r>
          </w:p>
        </w:tc>
        <w:tc>
          <w:tcPr>
            <w:tcW w:w="2551" w:type="dxa"/>
            <w:tcBorders>
              <w:top w:val="single" w:sz="4" w:space="0" w:color="auto"/>
              <w:left w:val="single" w:sz="4" w:space="0" w:color="auto"/>
              <w:bottom w:val="single" w:sz="4" w:space="0" w:color="auto"/>
              <w:right w:val="single" w:sz="4" w:space="0" w:color="auto"/>
            </w:tcBorders>
          </w:tcPr>
          <w:p w14:paraId="7D323BF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屆第4會期第11次院會（1</w:t>
            </w:r>
            <w:r w:rsidRPr="00D9107B">
              <w:rPr>
                <w:rFonts w:ascii="標楷體" w:eastAsia="標楷體" w:hAnsi="標楷體"/>
                <w:kern w:val="2"/>
                <w:szCs w:val="24"/>
              </w:rPr>
              <w:t>10</w:t>
            </w:r>
            <w:r w:rsidRPr="00D9107B">
              <w:rPr>
                <w:rFonts w:ascii="標楷體" w:eastAsia="標楷體" w:hAnsi="標楷體" w:hint="eastAsia"/>
                <w:kern w:val="2"/>
                <w:szCs w:val="24"/>
              </w:rPr>
              <w:t>.11.26）決定：「交財政委員會審查」</w:t>
            </w:r>
          </w:p>
        </w:tc>
        <w:tc>
          <w:tcPr>
            <w:tcW w:w="2268" w:type="dxa"/>
            <w:vMerge/>
            <w:tcBorders>
              <w:left w:val="single" w:sz="4" w:space="0" w:color="auto"/>
              <w:right w:val="single" w:sz="4" w:space="0" w:color="auto"/>
            </w:tcBorders>
            <w:vAlign w:val="center"/>
          </w:tcPr>
          <w:p w14:paraId="0B33DA6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25706F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A3E788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A2DA4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財政部函送「110年度中央政府債務控管情形報告」案。</w:t>
            </w:r>
          </w:p>
        </w:tc>
        <w:tc>
          <w:tcPr>
            <w:tcW w:w="2551" w:type="dxa"/>
            <w:tcBorders>
              <w:top w:val="single" w:sz="4" w:space="0" w:color="auto"/>
              <w:left w:val="single" w:sz="4" w:space="0" w:color="auto"/>
              <w:bottom w:val="single" w:sz="4" w:space="0" w:color="auto"/>
              <w:right w:val="single" w:sz="4" w:space="0" w:color="auto"/>
            </w:tcBorders>
          </w:tcPr>
          <w:p w14:paraId="779D1D66"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w:t>
            </w:r>
            <w:r w:rsidRPr="00D9107B">
              <w:rPr>
                <w:rFonts w:ascii="標楷體" w:eastAsia="標楷體" w:hAnsi="標楷體"/>
                <w:kern w:val="2"/>
                <w:szCs w:val="24"/>
              </w:rPr>
              <w:t>10</w:t>
            </w:r>
            <w:r w:rsidRPr="00D9107B">
              <w:rPr>
                <w:rFonts w:ascii="標楷體" w:eastAsia="標楷體" w:hAnsi="標楷體" w:hint="eastAsia"/>
                <w:kern w:val="2"/>
                <w:szCs w:val="24"/>
              </w:rPr>
              <w:t>.12.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617DCE0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186AF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FB312B0"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3E0C56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財政部函送公股銀行紓困案件數、產業別及金額110年第2季統計表案。</w:t>
            </w:r>
          </w:p>
        </w:tc>
        <w:tc>
          <w:tcPr>
            <w:tcW w:w="2551" w:type="dxa"/>
            <w:tcBorders>
              <w:top w:val="single" w:sz="4" w:space="0" w:color="auto"/>
              <w:left w:val="single" w:sz="4" w:space="0" w:color="auto"/>
              <w:bottom w:val="single" w:sz="4" w:space="0" w:color="auto"/>
              <w:right w:val="single" w:sz="4" w:space="0" w:color="auto"/>
            </w:tcBorders>
          </w:tcPr>
          <w:p w14:paraId="0102B82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w:t>
            </w:r>
            <w:r w:rsidRPr="00D9107B">
              <w:rPr>
                <w:rFonts w:ascii="標楷體" w:eastAsia="標楷體" w:hAnsi="標楷體"/>
                <w:kern w:val="2"/>
                <w:szCs w:val="24"/>
              </w:rPr>
              <w:t>10</w:t>
            </w:r>
            <w:r w:rsidRPr="00D9107B">
              <w:rPr>
                <w:rFonts w:ascii="標楷體" w:eastAsia="標楷體" w:hAnsi="標楷體" w:hint="eastAsia"/>
                <w:kern w:val="2"/>
                <w:szCs w:val="24"/>
              </w:rPr>
              <w:t>.12.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605E48B6"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92A8D5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FCBC2BE"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6FAE46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財政部函送公股銀行紓困案件數、產業別及金額110年第3季統計表案。</w:t>
            </w:r>
          </w:p>
        </w:tc>
        <w:tc>
          <w:tcPr>
            <w:tcW w:w="2551" w:type="dxa"/>
            <w:tcBorders>
              <w:top w:val="single" w:sz="4" w:space="0" w:color="auto"/>
              <w:left w:val="single" w:sz="4" w:space="0" w:color="auto"/>
              <w:bottom w:val="single" w:sz="4" w:space="0" w:color="auto"/>
              <w:right w:val="single" w:sz="4" w:space="0" w:color="auto"/>
            </w:tcBorders>
          </w:tcPr>
          <w:p w14:paraId="1218A36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w:t>
            </w:r>
            <w:r w:rsidRPr="00D9107B">
              <w:rPr>
                <w:rFonts w:ascii="標楷體" w:eastAsia="標楷體" w:hAnsi="標楷體"/>
                <w:kern w:val="2"/>
                <w:szCs w:val="24"/>
              </w:rPr>
              <w:t>10</w:t>
            </w:r>
            <w:r w:rsidRPr="00D9107B">
              <w:rPr>
                <w:rFonts w:ascii="標楷體" w:eastAsia="標楷體" w:hAnsi="標楷體" w:hint="eastAsia"/>
                <w:kern w:val="2"/>
                <w:szCs w:val="24"/>
              </w:rPr>
              <w:t>.12.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56425102"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443293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07D5E1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48F21C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財政部函為110年度中央政府總預算決議，檢送國有財產署廢棄物棄置案件處理情形書面報告案。</w:t>
            </w:r>
          </w:p>
        </w:tc>
        <w:tc>
          <w:tcPr>
            <w:tcW w:w="2551" w:type="dxa"/>
            <w:tcBorders>
              <w:top w:val="single" w:sz="4" w:space="0" w:color="auto"/>
              <w:left w:val="single" w:sz="4" w:space="0" w:color="auto"/>
              <w:bottom w:val="single" w:sz="4" w:space="0" w:color="auto"/>
              <w:right w:val="single" w:sz="4" w:space="0" w:color="auto"/>
            </w:tcBorders>
          </w:tcPr>
          <w:p w14:paraId="6210649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屆第5會期第2次院會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1.3.4）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9F056E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6805706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F913DDC"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1FEE5B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110年度中央政府總預算決議，檢送賦稅署</w:t>
            </w:r>
            <w:r w:rsidRPr="00D9107B">
              <w:rPr>
                <w:rFonts w:ascii="標楷體" w:eastAsia="標楷體" w:hAnsi="標楷體" w:hint="eastAsia"/>
                <w:kern w:val="2"/>
                <w:szCs w:val="24"/>
              </w:rPr>
              <w:t>督導各地區國稅局針對預售屋交易加強查核</w:t>
            </w:r>
            <w:r w:rsidRPr="00D9107B">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tcPr>
          <w:p w14:paraId="4ABF20DA"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1.3.25）</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15C2BB5"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FCDC3D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3B71636"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1DBDED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110年度中央政府總預算決議，檢送關務署</w:t>
            </w:r>
            <w:r w:rsidRPr="00D9107B">
              <w:rPr>
                <w:rFonts w:ascii="標楷體" w:eastAsia="標楷體" w:hAnsi="標楷體" w:hint="eastAsia"/>
                <w:kern w:val="2"/>
                <w:szCs w:val="24"/>
              </w:rPr>
              <w:t>延長監控錄影系統保存期限</w:t>
            </w:r>
            <w:r w:rsidRPr="00D9107B">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tcPr>
          <w:p w14:paraId="3B0009E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3</w:t>
            </w:r>
            <w:r w:rsidRPr="005B15FA">
              <w:rPr>
                <w:rFonts w:ascii="標楷體" w:eastAsia="標楷體" w:hAnsi="標楷體" w:hint="eastAsia"/>
                <w:spacing w:val="-20"/>
                <w:kern w:val="2"/>
                <w:szCs w:val="24"/>
              </w:rPr>
              <w:t>.2</w:t>
            </w:r>
            <w:r w:rsidRPr="005B15FA">
              <w:rPr>
                <w:rFonts w:ascii="標楷體" w:eastAsia="標楷體" w:hAnsi="標楷體"/>
                <w:spacing w:val="-20"/>
                <w:kern w:val="2"/>
                <w:szCs w:val="24"/>
              </w:rPr>
              <w:t>5</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B881D0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8D11E18"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3E01C4E"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7AA8B2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財政部函為110年度中央政府總預算附屬單位預算決議，檢送臺灣金融控股股份有限公司決議第17項書面報告案。</w:t>
            </w:r>
          </w:p>
        </w:tc>
        <w:tc>
          <w:tcPr>
            <w:tcW w:w="2551" w:type="dxa"/>
            <w:tcBorders>
              <w:top w:val="single" w:sz="4" w:space="0" w:color="auto"/>
              <w:left w:val="single" w:sz="4" w:space="0" w:color="auto"/>
              <w:bottom w:val="single" w:sz="4" w:space="0" w:color="auto"/>
              <w:right w:val="single" w:sz="4" w:space="0" w:color="auto"/>
            </w:tcBorders>
          </w:tcPr>
          <w:p w14:paraId="04A9B84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屆第5會期第8次院會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11.4</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15</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E0E61F6"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FB8BD8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97C3EC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81641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財政部函送公股銀行紓困案件數、產業別及金額110年第4季統計表案。</w:t>
            </w:r>
          </w:p>
        </w:tc>
        <w:tc>
          <w:tcPr>
            <w:tcW w:w="2551" w:type="dxa"/>
            <w:tcBorders>
              <w:top w:val="single" w:sz="4" w:space="0" w:color="auto"/>
              <w:left w:val="single" w:sz="4" w:space="0" w:color="auto"/>
              <w:bottom w:val="single" w:sz="4" w:space="0" w:color="auto"/>
              <w:right w:val="single" w:sz="4" w:space="0" w:color="auto"/>
            </w:tcBorders>
          </w:tcPr>
          <w:p w14:paraId="14EA5DC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屆第5會期第9次院會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4</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22</w:t>
            </w:r>
            <w:r w:rsidRPr="005B15FA">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E1BE8A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158E5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D4B0DA7"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35788F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財政部函110年度中央政府總預算附屬單位預算決議，檢送臺灣金融控股股份有限公司決議第22項以KYB角度落實保護消費者書面報告案。</w:t>
            </w:r>
          </w:p>
        </w:tc>
        <w:tc>
          <w:tcPr>
            <w:tcW w:w="2551" w:type="dxa"/>
            <w:tcBorders>
              <w:top w:val="single" w:sz="4" w:space="0" w:color="auto"/>
              <w:left w:val="single" w:sz="4" w:space="0" w:color="auto"/>
              <w:bottom w:val="single" w:sz="4" w:space="0" w:color="auto"/>
              <w:right w:val="single" w:sz="4" w:space="0" w:color="auto"/>
            </w:tcBorders>
          </w:tcPr>
          <w:p w14:paraId="502D9E7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屆第5會期第1</w:t>
            </w:r>
            <w:r w:rsidRPr="00D9107B">
              <w:rPr>
                <w:rFonts w:ascii="標楷體" w:eastAsia="標楷體" w:hAnsi="標楷體"/>
                <w:kern w:val="2"/>
                <w:szCs w:val="24"/>
              </w:rPr>
              <w:t>0</w:t>
            </w:r>
            <w:r w:rsidRPr="00D9107B">
              <w:rPr>
                <w:rFonts w:ascii="標楷體" w:eastAsia="標楷體" w:hAnsi="標楷體" w:hint="eastAsia"/>
                <w:kern w:val="2"/>
                <w:szCs w:val="24"/>
              </w:rPr>
              <w:t>次院會（1</w:t>
            </w:r>
            <w:r w:rsidRPr="00D9107B">
              <w:rPr>
                <w:rFonts w:ascii="標楷體" w:eastAsia="標楷體" w:hAnsi="標楷體"/>
                <w:kern w:val="2"/>
                <w:szCs w:val="24"/>
              </w:rPr>
              <w:t>11.4</w:t>
            </w:r>
            <w:r w:rsidRPr="00D9107B">
              <w:rPr>
                <w:rFonts w:ascii="標楷體" w:eastAsia="標楷體" w:hAnsi="標楷體" w:hint="eastAsia"/>
                <w:kern w:val="2"/>
                <w:szCs w:val="24"/>
              </w:rPr>
              <w:t>.</w:t>
            </w:r>
            <w:r w:rsidRPr="00D9107B">
              <w:rPr>
                <w:rFonts w:ascii="標楷體" w:eastAsia="標楷體" w:hAnsi="標楷體"/>
                <w:kern w:val="2"/>
                <w:szCs w:val="24"/>
              </w:rPr>
              <w:t>29</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125A41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35C2D3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202034A"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44D38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財政部函為110年度中央政府總預算附屬單位預算決議，檢送臺灣金融控股公司決議第19項提升經營效率報告案。</w:t>
            </w:r>
          </w:p>
        </w:tc>
        <w:tc>
          <w:tcPr>
            <w:tcW w:w="2551" w:type="dxa"/>
            <w:tcBorders>
              <w:top w:val="single" w:sz="4" w:space="0" w:color="auto"/>
              <w:left w:val="single" w:sz="4" w:space="0" w:color="auto"/>
              <w:bottom w:val="single" w:sz="4" w:space="0" w:color="auto"/>
              <w:right w:val="single" w:sz="4" w:space="0" w:color="auto"/>
            </w:tcBorders>
          </w:tcPr>
          <w:p w14:paraId="4573FFF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屆第6會期第2次院會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9.30）</w:t>
            </w:r>
            <w:r w:rsidRPr="00D9107B">
              <w:rPr>
                <w:rFonts w:ascii="標楷體" w:eastAsia="標楷體" w:hAnsi="標楷體" w:hint="eastAsia"/>
                <w:kern w:val="2"/>
                <w:szCs w:val="24"/>
              </w:rPr>
              <w:t>決定：「交財政委員會處理」</w:t>
            </w:r>
          </w:p>
        </w:tc>
        <w:tc>
          <w:tcPr>
            <w:tcW w:w="2268" w:type="dxa"/>
            <w:vMerge/>
            <w:tcBorders>
              <w:left w:val="single" w:sz="4" w:space="0" w:color="auto"/>
              <w:right w:val="single" w:sz="4" w:space="0" w:color="auto"/>
            </w:tcBorders>
            <w:vAlign w:val="center"/>
          </w:tcPr>
          <w:p w14:paraId="0E2F304A"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D39CF8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240A3BA"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D5E83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w:t>
            </w:r>
            <w:r w:rsidRPr="00D9107B">
              <w:rPr>
                <w:rFonts w:ascii="標楷體" w:eastAsia="標楷體" w:hAnsi="標楷體"/>
                <w:kern w:val="2"/>
                <w:szCs w:val="24"/>
              </w:rPr>
              <w:t>110年度中央政府總預算決議，檢送公股金融機構進用香港金融人才去識別化資料案。</w:t>
            </w:r>
          </w:p>
        </w:tc>
        <w:tc>
          <w:tcPr>
            <w:tcW w:w="2551" w:type="dxa"/>
            <w:tcBorders>
              <w:top w:val="single" w:sz="4" w:space="0" w:color="auto"/>
              <w:left w:val="single" w:sz="4" w:space="0" w:color="auto"/>
              <w:bottom w:val="single" w:sz="4" w:space="0" w:color="auto"/>
              <w:right w:val="single" w:sz="4" w:space="0" w:color="auto"/>
            </w:tcBorders>
          </w:tcPr>
          <w:p w14:paraId="5D3B6BE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4BA7BE3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E0116A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DDC2034"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0CC258F"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財政部函為110年度中央政府總預算決議，檢送「臺美基礎建設計畫融資」及「離岸風電融資項目」去識別化資料案。</w:t>
            </w:r>
          </w:p>
        </w:tc>
        <w:tc>
          <w:tcPr>
            <w:tcW w:w="2551" w:type="dxa"/>
            <w:tcBorders>
              <w:top w:val="single" w:sz="4" w:space="0" w:color="auto"/>
              <w:left w:val="single" w:sz="4" w:space="0" w:color="auto"/>
              <w:bottom w:val="single" w:sz="4" w:space="0" w:color="auto"/>
              <w:right w:val="single" w:sz="4" w:space="0" w:color="auto"/>
            </w:tcBorders>
          </w:tcPr>
          <w:p w14:paraId="62C9C16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710D8054"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B855CF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ACE82CB"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F7C913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財政部函為110年度中央政府總預算附屬單位預算決議，檢送臺灣金融控股股份有限公司決議第24項臺銀人壽「IFRS17造成財務衝擊之因應措施」書面報告案。</w:t>
            </w:r>
          </w:p>
        </w:tc>
        <w:tc>
          <w:tcPr>
            <w:tcW w:w="2551" w:type="dxa"/>
            <w:tcBorders>
              <w:top w:val="single" w:sz="4" w:space="0" w:color="auto"/>
              <w:left w:val="single" w:sz="4" w:space="0" w:color="auto"/>
              <w:bottom w:val="single" w:sz="4" w:space="0" w:color="auto"/>
              <w:right w:val="single" w:sz="4" w:space="0" w:color="auto"/>
            </w:tcBorders>
          </w:tcPr>
          <w:p w14:paraId="48DAF0E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12596BB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F89F51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64C2648" w14:textId="77777777" w:rsidR="007D160C" w:rsidRPr="00D9107B"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26554A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財政部函為110年度中央政府總預算附屬單位預算決議，檢送中央政府債務基金決議第7項分析各年期公債申購情形書面報告案。</w:t>
            </w:r>
          </w:p>
        </w:tc>
        <w:tc>
          <w:tcPr>
            <w:tcW w:w="2551" w:type="dxa"/>
            <w:tcBorders>
              <w:top w:val="single" w:sz="4" w:space="0" w:color="auto"/>
              <w:left w:val="single" w:sz="4" w:space="0" w:color="auto"/>
              <w:bottom w:val="single" w:sz="4" w:space="0" w:color="auto"/>
              <w:right w:val="single" w:sz="4" w:space="0" w:color="auto"/>
            </w:tcBorders>
          </w:tcPr>
          <w:p w14:paraId="046C480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bottom w:val="single" w:sz="4" w:space="0" w:color="auto"/>
              <w:right w:val="single" w:sz="4" w:space="0" w:color="auto"/>
            </w:tcBorders>
            <w:vAlign w:val="center"/>
          </w:tcPr>
          <w:p w14:paraId="49132BF3"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359578E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A8C4C85"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3606A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財政部函為111年度中央政府總預算決議，檢送歲入部分第1款第1項決議第7項「調降汽機車貨物稅之可能性」書面報告案。</w:t>
            </w:r>
          </w:p>
        </w:tc>
        <w:tc>
          <w:tcPr>
            <w:tcW w:w="2551" w:type="dxa"/>
            <w:tcBorders>
              <w:top w:val="single" w:sz="4" w:space="0" w:color="auto"/>
              <w:left w:val="single" w:sz="4" w:space="0" w:color="auto"/>
              <w:bottom w:val="single" w:sz="4" w:space="0" w:color="auto"/>
              <w:right w:val="single" w:sz="4" w:space="0" w:color="auto"/>
            </w:tcBorders>
          </w:tcPr>
          <w:p w14:paraId="44D519DB" w14:textId="77777777" w:rsidR="007D160C" w:rsidRPr="006D3699"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D3699">
              <w:rPr>
                <w:rFonts w:ascii="標楷體" w:eastAsia="標楷體" w:hAnsi="標楷體" w:hint="eastAsia"/>
                <w:kern w:val="2"/>
                <w:szCs w:val="24"/>
              </w:rPr>
              <w:t>第10屆第5會期第14次院會（111.5.27）決定：「交財政委員會審查」</w:t>
            </w:r>
            <w:r w:rsidRPr="006D3699">
              <w:rPr>
                <w:rFonts w:ascii="標楷體" w:eastAsia="標楷體" w:hAnsi="標楷體" w:hint="eastAsia"/>
                <w:kern w:val="2"/>
                <w:szCs w:val="24"/>
              </w:rPr>
              <w:tab/>
            </w:r>
          </w:p>
        </w:tc>
        <w:tc>
          <w:tcPr>
            <w:tcW w:w="2268" w:type="dxa"/>
            <w:vMerge w:val="restart"/>
            <w:tcBorders>
              <w:top w:val="single" w:sz="4" w:space="0" w:color="auto"/>
              <w:left w:val="single" w:sz="4" w:space="0" w:color="auto"/>
              <w:right w:val="single" w:sz="4" w:space="0" w:color="auto"/>
            </w:tcBorders>
          </w:tcPr>
          <w:p w14:paraId="3E4DCF89"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1.因逾年度預算執行期間，本會於113.10.7函議事處提報院會准予備查。</w:t>
            </w:r>
          </w:p>
          <w:p w14:paraId="4A1F809A"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szCs w:val="24"/>
              </w:rPr>
              <w:t>2.第11屆第2會期第5次院會</w:t>
            </w:r>
            <w:r w:rsidRPr="00394F2D">
              <w:rPr>
                <w:rFonts w:ascii="標楷體" w:eastAsia="標楷體" w:hAnsi="標楷體" w:hint="eastAsia"/>
                <w:spacing w:val="-20"/>
                <w:szCs w:val="24"/>
              </w:rPr>
              <w:t>(113.10.18)</w:t>
            </w:r>
            <w:r w:rsidRPr="006D3699">
              <w:rPr>
                <w:rFonts w:ascii="標楷體" w:eastAsia="標楷體" w:hAnsi="標楷體" w:hint="eastAsia"/>
                <w:szCs w:val="24"/>
              </w:rPr>
              <w:t>決定：准予備查。</w:t>
            </w:r>
          </w:p>
        </w:tc>
      </w:tr>
      <w:tr w:rsidR="007D160C" w:rsidRPr="00B95A07" w14:paraId="380EE25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24AF68D"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0E15C8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w:t>
            </w:r>
            <w:r>
              <w:rPr>
                <w:rFonts w:ascii="標楷體" w:eastAsia="標楷體" w:hAnsi="標楷體" w:hint="eastAsia"/>
                <w:kern w:val="2"/>
                <w:szCs w:val="24"/>
              </w:rPr>
              <w:t>送公股銀行紓困案件數、產業別及金額111年第1季統計表</w:t>
            </w:r>
            <w:r w:rsidRPr="00B95A07">
              <w:rPr>
                <w:rFonts w:ascii="標楷體" w:eastAsia="標楷體" w:hAnsi="標楷體" w:hint="eastAsia"/>
                <w:kern w:val="2"/>
                <w:szCs w:val="24"/>
              </w:rPr>
              <w:t>案。</w:t>
            </w:r>
          </w:p>
        </w:tc>
        <w:tc>
          <w:tcPr>
            <w:tcW w:w="2551" w:type="dxa"/>
            <w:tcBorders>
              <w:top w:val="single" w:sz="4" w:space="0" w:color="auto"/>
              <w:left w:val="single" w:sz="4" w:space="0" w:color="auto"/>
              <w:bottom w:val="single" w:sz="4" w:space="0" w:color="auto"/>
              <w:right w:val="single" w:sz="4" w:space="0" w:color="auto"/>
            </w:tcBorders>
          </w:tcPr>
          <w:p w14:paraId="70A6C688" w14:textId="5EDB9D40" w:rsidR="007D160C" w:rsidRPr="006D3699" w:rsidRDefault="007D160C" w:rsidP="00F470A8">
            <w:pPr>
              <w:widowControl w:val="0"/>
              <w:overflowPunct w:val="0"/>
              <w:autoSpaceDN/>
              <w:spacing w:line="320" w:lineRule="exact"/>
              <w:jc w:val="both"/>
              <w:textAlignment w:val="auto"/>
              <w:rPr>
                <w:rFonts w:ascii="標楷體" w:eastAsia="標楷體" w:hAnsi="標楷體"/>
                <w:kern w:val="2"/>
                <w:szCs w:val="24"/>
              </w:rPr>
            </w:pPr>
            <w:r w:rsidRPr="006D3699">
              <w:rPr>
                <w:rFonts w:ascii="標楷體" w:eastAsia="標楷體" w:hAnsi="標楷體" w:hint="eastAsia"/>
                <w:kern w:val="2"/>
                <w:szCs w:val="24"/>
              </w:rPr>
              <w:t>第10屆第</w:t>
            </w:r>
            <w:r w:rsidRPr="006D3699">
              <w:rPr>
                <w:rFonts w:ascii="標楷體" w:eastAsia="標楷體" w:hAnsi="標楷體"/>
                <w:kern w:val="2"/>
                <w:szCs w:val="24"/>
              </w:rPr>
              <w:t>6</w:t>
            </w:r>
            <w:r w:rsidRPr="006D3699">
              <w:rPr>
                <w:rFonts w:ascii="標楷體" w:eastAsia="標楷體" w:hAnsi="標楷體" w:hint="eastAsia"/>
                <w:kern w:val="2"/>
                <w:szCs w:val="24"/>
              </w:rPr>
              <w:t>會期第</w:t>
            </w:r>
            <w:r w:rsidRPr="006D3699">
              <w:rPr>
                <w:rFonts w:ascii="標楷體" w:eastAsia="標楷體" w:hAnsi="標楷體"/>
                <w:kern w:val="2"/>
                <w:szCs w:val="24"/>
              </w:rPr>
              <w:t>2</w:t>
            </w:r>
            <w:r w:rsidRPr="006D3699">
              <w:rPr>
                <w:rFonts w:ascii="標楷體" w:eastAsia="標楷體" w:hAnsi="標楷體" w:hint="eastAsia"/>
                <w:kern w:val="2"/>
                <w:szCs w:val="24"/>
              </w:rPr>
              <w:t>次院會</w:t>
            </w:r>
            <w:r w:rsidRPr="005B15FA">
              <w:rPr>
                <w:rFonts w:ascii="標楷體" w:eastAsia="標楷體" w:hAnsi="標楷體" w:hint="eastAsia"/>
                <w:spacing w:val="-20"/>
                <w:kern w:val="2"/>
                <w:szCs w:val="24"/>
              </w:rPr>
              <w:t>（111.</w:t>
            </w:r>
            <w:r w:rsidRPr="005B15FA">
              <w:rPr>
                <w:rFonts w:ascii="標楷體" w:eastAsia="標楷體" w:hAnsi="標楷體"/>
                <w:spacing w:val="-20"/>
                <w:kern w:val="2"/>
                <w:szCs w:val="24"/>
              </w:rPr>
              <w:t>9</w:t>
            </w:r>
            <w:r w:rsidRPr="005B15FA">
              <w:rPr>
                <w:rFonts w:ascii="標楷體" w:eastAsia="標楷體" w:hAnsi="標楷體" w:hint="eastAsia"/>
                <w:spacing w:val="-20"/>
                <w:kern w:val="2"/>
                <w:szCs w:val="24"/>
              </w:rPr>
              <w:t>.</w:t>
            </w:r>
            <w:r w:rsidRPr="005B15FA">
              <w:rPr>
                <w:rFonts w:ascii="標楷體" w:eastAsia="標楷體" w:hAnsi="標楷體"/>
                <w:spacing w:val="-20"/>
                <w:kern w:val="2"/>
                <w:szCs w:val="24"/>
              </w:rPr>
              <w:t>30</w:t>
            </w:r>
            <w:r w:rsidRPr="005B15FA">
              <w:rPr>
                <w:rFonts w:ascii="標楷體" w:eastAsia="標楷體" w:hAnsi="標楷體" w:hint="eastAsia"/>
                <w:spacing w:val="-20"/>
                <w:kern w:val="2"/>
                <w:szCs w:val="24"/>
              </w:rPr>
              <w:t>）</w:t>
            </w:r>
            <w:r w:rsidRPr="006D3699">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91B5168" w14:textId="77777777" w:rsidR="007D160C" w:rsidRPr="006D3699"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E90D517"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E0D079B"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E9986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財政部函為111年度中央政府總預算決議，檢送歲出部分第10款第1項決議（三十三）縣市合併升格後財政收支計算書面報告案。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5088921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225A558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41971B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54BCF84"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864ADA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財政部函為111年度中央政府總預算決議，檢送歲出部分第10款第2項決議（十八）國庫署新竹縣市等地方政府財務現況書面報告案。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6967C4E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4CFA945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B264DA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F2C8ED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B6F9BC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財政部函為111年度中央政府總預算決議，檢送歲出部分第10款第1項決議（四十四）現行所有稅制無法有效合理管控房價書面報告案。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53B7EF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5269AD3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3F9E53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77CD3A2"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ACFC5E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財政部函為111年度中央政府總預算決議，檢送歲出部分第10款第2項決議（十六）潤寅案等金融案件檢討及責任追究書面報告案。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FE7A61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64DB167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E082798"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4DA5C58"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8158A1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財政部函為111年度中央政府總預算決議，檢送歲入部分第1款第1項決議（六）「貨物稅改革」書面報告案。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5D6054D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53A2F7C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F3EDDD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9E3C2B2"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1B0DD4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財政部函為111年度中央政府總預算決議，檢送歲出部分第10款第3項決議（二十一）賦稅署虛擬通貨課稅可行方案書面報告案。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7926235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11</w:t>
            </w:r>
            <w:r w:rsidRPr="005B15FA">
              <w:rPr>
                <w:rFonts w:ascii="標楷體" w:eastAsia="標楷體" w:hAnsi="標楷體" w:hint="eastAsia"/>
                <w:spacing w:val="-20"/>
                <w:kern w:val="2"/>
                <w:szCs w:val="24"/>
              </w:rPr>
              <w:t>.10.28</w:t>
            </w:r>
            <w:r w:rsidRPr="005B15FA">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4725C68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8FCAEB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9D0AFE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5F84E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財政部函為111年度中央政府總預算決議，檢送歲出部分第10款第10項決議第22項國有財產署捐贈、出租、讓售移轉予國家住宅及都市更新中心之土地使用進度書面報告案。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31F54A9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A3AB34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ADDD48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0C883D9"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776C0A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財政部函為111年度中央政府總預算決議，檢送歲出部分第10款第1項決議第47項轉投資事業公股代表董事改派與健全治理書面報告案。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11C874B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2329DD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4A5A8C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B2FF10D"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93F52A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財政部函為111年度中央政府總預算決議，檢送歲出部分第10款第10項決議第18項國有財產署國有非公用交通、水利用地標售作業改善措施書面報告案。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3D5346E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ED320F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21029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247F75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DE793E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財政部函為111年度中央政府總預算決議，檢送歲出部分第10款第1項決議第7項檢討改進促參案件前置作業費用補助作業書面報告案。</w:t>
            </w:r>
          </w:p>
        </w:tc>
        <w:tc>
          <w:tcPr>
            <w:tcW w:w="2551" w:type="dxa"/>
            <w:tcBorders>
              <w:top w:val="single" w:sz="4" w:space="0" w:color="auto"/>
              <w:left w:val="single" w:sz="4" w:space="0" w:color="000000"/>
              <w:bottom w:val="single" w:sz="4" w:space="0" w:color="auto"/>
              <w:right w:val="single" w:sz="4" w:space="0" w:color="auto"/>
            </w:tcBorders>
            <w:shd w:val="clear" w:color="auto" w:fill="auto"/>
          </w:tcPr>
          <w:p w14:paraId="7822B91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723D14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3E3AB3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616D144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0AEBA5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財政部函為111年度中央政府總預算決議，檢送歲出部分第10款第1項決議第8項精簡促進民間參與公共建設案件前置作業補助經費書面報告案。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A2F3BF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11CAB4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C1EC5AE"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02D4B4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AECAB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財政部函為111年度中央政府總預算決議，檢送歲出部分第10款第2項決議第5項國庫署評估建立編列債務還本機制書面報告案。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0A4F24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2F069F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F84CC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3929BF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758DC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財政部函為111年度中央政府總預算決議，檢送歲出部分第2款第1項決議第96項各特別預算舉債情形制定還款規劃書面報告案。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ACDA0C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9CD73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BC7DEA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4A6C0F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46A16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財政部函為111年度中央政府總預算決議，檢送歲出部分第10款第1項決議第31項追討欠稅大戶策略書面報告案。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CAB7B3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9A28B5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53281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DB54492"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E146CC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111年度中央政府總預算決議，檢送歲出部分第10款第1項決議第19項輔導主辦機關落實促參預評估書面報告案。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09E030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8E723B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DABB5E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F34A0D7"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10B26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財政部函為111年度中央政府總預算決議，檢送歲出部分第10款第1項決議第18項有效減債措施書面報告案。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3CA56A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46A50D5"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21FAB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F6E0D1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F867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財政部函為111年度中央政府總預算決議，檢送歲出部分第10款第10項決議第24項國有財產署督導各機關長期閒置、低度利用國有公用土地進行處理書面報告案。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3A930F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CC7415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914128D"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99B6DE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AD5398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財政部函為111年度中央政府總預算決議，檢送歲出部分第10款第10項決議第25項國有財產署對中央及地方機關國有公用財產管理情形增加檢核次數書面報告案。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10D93E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0EF581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264536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2185FAC"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C1B290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財政部函為111年度中央政府總預算決議，檢送歲出部分第10款第2項決議第17項國庫署新興菸品之管理書面報告案。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9016EF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70BFFE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541EF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DDF4E6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AD0D9E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財政部函為111年度中央政府總預算決議，檢送歲出部分第10款第1項決議第16項「促參案解約案件原因分析及檢討」書面報告案。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94379C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CA2EC6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F229EC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3347A7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F4A07E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財政部函為111年度中央政府總預算決議，檢送歲出部分第10款第1項決議第22項國有財產署國有非公用土地遭違規使用等改善措施書面報告案。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61F2F3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563578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A63937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E31267C"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E9E2AE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財政部函為111年度中央政府總預算決議，檢送歲入部分第1款第1項決議第3項公股董監事行使職權時對於ESG之相關建言書面報告案。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4E0C12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D5FAC5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2C941FC"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91C5069"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E4597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財政部函為111年度中央政府總預算決議，檢送歲出部分第10款第10項決議第26項國有財產署政府機關占用國有非公用土地執行改善方案書面報告案。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0ECCFF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970430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5BDBD56"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DF5287A"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11EB8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財政部函為111年度中央政府總預算決議，檢送歲出部分第26款第1項決議第7項精進直轄市及縣市政府財政紀律方案書面報告案。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229A9FB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5B15FA">
              <w:rPr>
                <w:rFonts w:ascii="標楷體" w:eastAsia="標楷體" w:hAnsi="標楷體" w:hint="eastAsia"/>
                <w:spacing w:val="-20"/>
                <w:kern w:val="2"/>
                <w:szCs w:val="24"/>
              </w:rPr>
              <w:t>（1</w:t>
            </w:r>
            <w:r w:rsidRPr="005B15FA">
              <w:rPr>
                <w:rFonts w:ascii="標楷體" w:eastAsia="標楷體" w:hAnsi="標楷體"/>
                <w:spacing w:val="-20"/>
                <w:kern w:val="2"/>
                <w:szCs w:val="24"/>
              </w:rPr>
              <w:t>1</w:t>
            </w:r>
            <w:r w:rsidRPr="005B15FA">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0EED71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6D3B96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B154004"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945C6F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財政部函為111年度中央政府總預算決議，檢送精簡委託研究經費書面報告案。</w:t>
            </w:r>
          </w:p>
        </w:tc>
        <w:tc>
          <w:tcPr>
            <w:tcW w:w="2551" w:type="dxa"/>
            <w:tcBorders>
              <w:top w:val="single" w:sz="4" w:space="0" w:color="auto"/>
              <w:left w:val="single" w:sz="4" w:space="0" w:color="auto"/>
              <w:bottom w:val="single" w:sz="4" w:space="0" w:color="auto"/>
              <w:right w:val="single" w:sz="4" w:space="0" w:color="auto"/>
            </w:tcBorders>
          </w:tcPr>
          <w:p w14:paraId="64F013E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w:t>
            </w:r>
            <w:r w:rsidRPr="005B15FA">
              <w:rPr>
                <w:rFonts w:ascii="標楷體" w:eastAsia="標楷體" w:hAnsi="標楷體" w:hint="eastAsia"/>
                <w:spacing w:val="-20"/>
                <w:kern w:val="2"/>
                <w:szCs w:val="24"/>
              </w:rPr>
              <w:t>（111.12.2）</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9387B01"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1F42D2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737C1DF9"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96C1D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財政部函為111年度中央政府總預算決議，檢送旅客行李檢查及貨物查緝處理經費書面報告案。</w:t>
            </w:r>
          </w:p>
        </w:tc>
        <w:tc>
          <w:tcPr>
            <w:tcW w:w="2551" w:type="dxa"/>
            <w:tcBorders>
              <w:top w:val="single" w:sz="4" w:space="0" w:color="auto"/>
              <w:left w:val="single" w:sz="4" w:space="0" w:color="auto"/>
              <w:bottom w:val="single" w:sz="4" w:space="0" w:color="auto"/>
              <w:right w:val="single" w:sz="4" w:space="0" w:color="auto"/>
            </w:tcBorders>
          </w:tcPr>
          <w:p w14:paraId="6196E34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2268" w:type="dxa"/>
            <w:vMerge/>
            <w:tcBorders>
              <w:left w:val="single" w:sz="4" w:space="0" w:color="auto"/>
              <w:right w:val="single" w:sz="4" w:space="0" w:color="auto"/>
            </w:tcBorders>
            <w:vAlign w:val="center"/>
          </w:tcPr>
          <w:p w14:paraId="74998E4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5103915"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4F76336C"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49F9DC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財政部函為111年度中央政府總預算決議，檢送跨縣市置產之房屋稅率累進計算公式可行性書面報告案。</w:t>
            </w:r>
          </w:p>
        </w:tc>
        <w:tc>
          <w:tcPr>
            <w:tcW w:w="2551" w:type="dxa"/>
            <w:tcBorders>
              <w:top w:val="single" w:sz="4" w:space="0" w:color="auto"/>
              <w:left w:val="single" w:sz="4" w:space="0" w:color="auto"/>
              <w:bottom w:val="single" w:sz="4" w:space="0" w:color="auto"/>
              <w:right w:val="single" w:sz="4" w:space="0" w:color="auto"/>
            </w:tcBorders>
          </w:tcPr>
          <w:p w14:paraId="7A7502E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第10屆第6會期第10次院會（111.12.2）決定：「交財政委員會審查」</w:t>
            </w:r>
          </w:p>
        </w:tc>
        <w:tc>
          <w:tcPr>
            <w:tcW w:w="2268" w:type="dxa"/>
            <w:vMerge/>
            <w:tcBorders>
              <w:left w:val="single" w:sz="4" w:space="0" w:color="auto"/>
              <w:right w:val="single" w:sz="4" w:space="0" w:color="auto"/>
            </w:tcBorders>
            <w:vAlign w:val="center"/>
          </w:tcPr>
          <w:p w14:paraId="75FD64C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C9884BF"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2A6A87D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3E8FE5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財政部函送「111年度中央政府債務控管情形報告」案。</w:t>
            </w:r>
          </w:p>
        </w:tc>
        <w:tc>
          <w:tcPr>
            <w:tcW w:w="2551" w:type="dxa"/>
            <w:tcBorders>
              <w:top w:val="single" w:sz="4" w:space="0" w:color="auto"/>
              <w:left w:val="single" w:sz="4" w:space="0" w:color="auto"/>
              <w:bottom w:val="single" w:sz="4" w:space="0" w:color="auto"/>
              <w:right w:val="single" w:sz="4" w:space="0" w:color="auto"/>
            </w:tcBorders>
          </w:tcPr>
          <w:p w14:paraId="2C72504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屆第6會期第13次院會（1</w:t>
            </w:r>
            <w:r w:rsidRPr="00B95A07">
              <w:rPr>
                <w:rFonts w:ascii="標楷體" w:eastAsia="標楷體" w:hAnsi="標楷體"/>
                <w:kern w:val="2"/>
                <w:szCs w:val="24"/>
              </w:rPr>
              <w:t>1</w:t>
            </w:r>
            <w:r w:rsidRPr="00B95A07">
              <w:rPr>
                <w:rFonts w:ascii="標楷體" w:eastAsia="標楷體" w:hAnsi="標楷體" w:hint="eastAsia"/>
                <w:kern w:val="2"/>
                <w:szCs w:val="24"/>
              </w:rPr>
              <w:t>1.12.23）決定：「交財政委員會審查」</w:t>
            </w:r>
          </w:p>
        </w:tc>
        <w:tc>
          <w:tcPr>
            <w:tcW w:w="2268" w:type="dxa"/>
            <w:vMerge/>
            <w:tcBorders>
              <w:left w:val="single" w:sz="4" w:space="0" w:color="auto"/>
              <w:right w:val="single" w:sz="4" w:space="0" w:color="auto"/>
            </w:tcBorders>
            <w:vAlign w:val="center"/>
          </w:tcPr>
          <w:p w14:paraId="387DC91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6CFA801"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22963DD"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8E8CBE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財政部函為111年度中央政府總預算決議，檢送歲出部分第10款第10項決議第20項國有非公用不動產占用處理改善措施書面報告案。</w:t>
            </w:r>
          </w:p>
        </w:tc>
        <w:tc>
          <w:tcPr>
            <w:tcW w:w="2551" w:type="dxa"/>
            <w:tcBorders>
              <w:top w:val="single" w:sz="4" w:space="0" w:color="auto"/>
              <w:left w:val="single" w:sz="4" w:space="0" w:color="auto"/>
              <w:bottom w:val="single" w:sz="4" w:space="0" w:color="auto"/>
              <w:right w:val="single" w:sz="4" w:space="0" w:color="auto"/>
            </w:tcBorders>
          </w:tcPr>
          <w:p w14:paraId="75E36D1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30DC846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9C1702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76CE044"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6E469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財政部函為111年度中央政府總預算決議，檢送歲出部分第10款第1項決議第48項公股銀行「董事薪酬資訊透明化及合理訂定」書面報告案。</w:t>
            </w:r>
          </w:p>
          <w:p w14:paraId="63AFE9F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c>
          <w:tcPr>
            <w:tcW w:w="2551" w:type="dxa"/>
            <w:tcBorders>
              <w:top w:val="single" w:sz="4" w:space="0" w:color="auto"/>
              <w:left w:val="single" w:sz="4" w:space="0" w:color="auto"/>
              <w:bottom w:val="single" w:sz="4" w:space="0" w:color="auto"/>
              <w:right w:val="single" w:sz="4" w:space="0" w:color="auto"/>
            </w:tcBorders>
          </w:tcPr>
          <w:p w14:paraId="6EB0088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7244857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B8A111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CF8C2D1"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5691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財政部函為111年度中央政府總預算決議，檢送歲出部分第10款第1項決議第36項囤房稅之房屋稅條例修正可行性評估書面報告案。</w:t>
            </w:r>
          </w:p>
        </w:tc>
        <w:tc>
          <w:tcPr>
            <w:tcW w:w="2551" w:type="dxa"/>
            <w:tcBorders>
              <w:top w:val="single" w:sz="4" w:space="0" w:color="auto"/>
              <w:left w:val="single" w:sz="4" w:space="0" w:color="auto"/>
              <w:bottom w:val="single" w:sz="4" w:space="0" w:color="auto"/>
              <w:right w:val="single" w:sz="4" w:space="0" w:color="auto"/>
            </w:tcBorders>
          </w:tcPr>
          <w:p w14:paraId="2A11652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78637B9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1D0D32"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ABDD40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F7CE1D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財政部函為111年度中央政府總預算決議，檢送歲出部分第10款第3項決議第20項施行全球企業最低稅負制政策白皮書之必要性及可行性書面報告案。</w:t>
            </w:r>
          </w:p>
        </w:tc>
        <w:tc>
          <w:tcPr>
            <w:tcW w:w="2551" w:type="dxa"/>
            <w:tcBorders>
              <w:top w:val="single" w:sz="4" w:space="0" w:color="auto"/>
              <w:left w:val="single" w:sz="4" w:space="0" w:color="auto"/>
              <w:bottom w:val="single" w:sz="4" w:space="0" w:color="auto"/>
              <w:right w:val="single" w:sz="4" w:space="0" w:color="auto"/>
            </w:tcBorders>
          </w:tcPr>
          <w:p w14:paraId="74F1F81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01C82AC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4B24BCD"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090244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4CBFAE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財政部函為111年度中央政府總預算決議，檢送改善債務狀況書面報告案。</w:t>
            </w:r>
          </w:p>
        </w:tc>
        <w:tc>
          <w:tcPr>
            <w:tcW w:w="2551" w:type="dxa"/>
            <w:tcBorders>
              <w:top w:val="single" w:sz="4" w:space="0" w:color="auto"/>
              <w:left w:val="single" w:sz="4" w:space="0" w:color="auto"/>
              <w:bottom w:val="single" w:sz="4" w:space="0" w:color="auto"/>
              <w:right w:val="single" w:sz="4" w:space="0" w:color="auto"/>
            </w:tcBorders>
          </w:tcPr>
          <w:p w14:paraId="406449B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626D430E"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2C6FA13"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1712B78A"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17E83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財政部函為111年度中央政府總預算決議，檢送加入跨太平洋夥伴全面進步協定(CPTPP)稅損評估書面報告案。</w:t>
            </w:r>
          </w:p>
        </w:tc>
        <w:tc>
          <w:tcPr>
            <w:tcW w:w="2551" w:type="dxa"/>
            <w:tcBorders>
              <w:top w:val="single" w:sz="4" w:space="0" w:color="auto"/>
              <w:left w:val="single" w:sz="4" w:space="0" w:color="auto"/>
              <w:bottom w:val="single" w:sz="4" w:space="0" w:color="auto"/>
              <w:right w:val="single" w:sz="4" w:space="0" w:color="auto"/>
            </w:tcBorders>
          </w:tcPr>
          <w:p w14:paraId="6434AA4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2268" w:type="dxa"/>
            <w:vMerge/>
            <w:tcBorders>
              <w:left w:val="single" w:sz="4" w:space="0" w:color="auto"/>
              <w:right w:val="single" w:sz="4" w:space="0" w:color="auto"/>
            </w:tcBorders>
            <w:vAlign w:val="center"/>
          </w:tcPr>
          <w:p w14:paraId="53760C6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043E59A"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56749440"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168441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財政部函為111年度中央政府總預算附屬單位預算決議，檢送臺灣金融控股公司決議第6項臺灣銀行信用卡業務績效欠佳書面報告案。</w:t>
            </w:r>
          </w:p>
        </w:tc>
        <w:tc>
          <w:tcPr>
            <w:tcW w:w="2551" w:type="dxa"/>
            <w:tcBorders>
              <w:top w:val="single" w:sz="4" w:space="0" w:color="auto"/>
              <w:left w:val="single" w:sz="4" w:space="0" w:color="auto"/>
              <w:bottom w:val="single" w:sz="4" w:space="0" w:color="auto"/>
              <w:right w:val="single" w:sz="4" w:space="0" w:color="auto"/>
            </w:tcBorders>
          </w:tcPr>
          <w:p w14:paraId="28086B2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w:t>
            </w:r>
            <w:r w:rsidRPr="005B15FA">
              <w:rPr>
                <w:rFonts w:ascii="標楷體" w:eastAsia="標楷體" w:hAnsi="標楷體" w:hint="eastAsia"/>
                <w:spacing w:val="-20"/>
                <w:kern w:val="2"/>
                <w:szCs w:val="24"/>
              </w:rPr>
              <w:t>（112.3.24）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603F11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F21774"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7CC2947"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E58449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財政部函為111年度中央政府總預算附屬單位預算決議，檢送臺灣菸酒公司決議第16項「若亞洲物流公司解散運輸業務之調配」書面報告案。</w:t>
            </w:r>
          </w:p>
        </w:tc>
        <w:tc>
          <w:tcPr>
            <w:tcW w:w="2551" w:type="dxa"/>
            <w:tcBorders>
              <w:top w:val="single" w:sz="4" w:space="0" w:color="auto"/>
              <w:left w:val="single" w:sz="4" w:space="0" w:color="auto"/>
              <w:bottom w:val="single" w:sz="4" w:space="0" w:color="auto"/>
              <w:right w:val="single" w:sz="4" w:space="0" w:color="auto"/>
            </w:tcBorders>
          </w:tcPr>
          <w:p w14:paraId="5B4C066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第10屆第7會期第5次院會</w:t>
            </w:r>
            <w:r w:rsidRPr="005B15FA">
              <w:rPr>
                <w:rFonts w:ascii="標楷體" w:eastAsia="標楷體" w:hAnsi="標楷體" w:hint="eastAsia"/>
                <w:spacing w:val="-20"/>
                <w:kern w:val="2"/>
                <w:szCs w:val="24"/>
              </w:rPr>
              <w:t>（112.3.24）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E9DB9E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5A7876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97AA7F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18B6F8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財政部函送公股金融機構進用香港金融人才去識別化資料111年12月相關資料案。</w:t>
            </w:r>
          </w:p>
        </w:tc>
        <w:tc>
          <w:tcPr>
            <w:tcW w:w="2551" w:type="dxa"/>
            <w:tcBorders>
              <w:top w:val="single" w:sz="4" w:space="0" w:color="auto"/>
              <w:left w:val="single" w:sz="4" w:space="0" w:color="auto"/>
              <w:bottom w:val="single" w:sz="4" w:space="0" w:color="auto"/>
              <w:right w:val="single" w:sz="4" w:space="0" w:color="auto"/>
            </w:tcBorders>
          </w:tcPr>
          <w:p w14:paraId="1D414C2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w:t>
            </w:r>
            <w:r w:rsidRPr="005B15FA">
              <w:rPr>
                <w:rFonts w:ascii="標楷體" w:eastAsia="標楷體" w:hAnsi="標楷體" w:hint="eastAsia"/>
                <w:spacing w:val="-20"/>
                <w:kern w:val="2"/>
                <w:szCs w:val="24"/>
              </w:rPr>
              <w:t>（112.4.14）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D126487"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11C641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3701634A"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B4AD9A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財政部函送「臺美基礎建設計畫融資」及「離岸風電融資項目」去識別化資料截至111年12月相關資料案。</w:t>
            </w:r>
          </w:p>
        </w:tc>
        <w:tc>
          <w:tcPr>
            <w:tcW w:w="2551" w:type="dxa"/>
            <w:tcBorders>
              <w:top w:val="single" w:sz="4" w:space="0" w:color="auto"/>
              <w:left w:val="single" w:sz="4" w:space="0" w:color="auto"/>
              <w:bottom w:val="single" w:sz="4" w:space="0" w:color="auto"/>
              <w:right w:val="single" w:sz="4" w:space="0" w:color="auto"/>
            </w:tcBorders>
          </w:tcPr>
          <w:p w14:paraId="118C0E3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w:t>
            </w:r>
            <w:r w:rsidRPr="005B15FA">
              <w:rPr>
                <w:rFonts w:ascii="標楷體" w:eastAsia="標楷體" w:hAnsi="標楷體" w:hint="eastAsia"/>
                <w:spacing w:val="-20"/>
                <w:kern w:val="2"/>
                <w:szCs w:val="24"/>
              </w:rPr>
              <w:t>（112.4.14）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5094EA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DC2D5C9"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938C25E"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18534D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財政部函送國有財產署捐贈、出租、讓售移轉予國家住宅及都市更新中心之土地使用進度112年2月書面報告案。</w:t>
            </w:r>
          </w:p>
        </w:tc>
        <w:tc>
          <w:tcPr>
            <w:tcW w:w="2551" w:type="dxa"/>
            <w:tcBorders>
              <w:top w:val="single" w:sz="4" w:space="0" w:color="auto"/>
              <w:left w:val="single" w:sz="4" w:space="0" w:color="auto"/>
              <w:bottom w:val="single" w:sz="4" w:space="0" w:color="auto"/>
              <w:right w:val="single" w:sz="4" w:space="0" w:color="auto"/>
            </w:tcBorders>
          </w:tcPr>
          <w:p w14:paraId="4E49DC4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w:t>
            </w:r>
            <w:r w:rsidRPr="005B15FA">
              <w:rPr>
                <w:rFonts w:ascii="標楷體" w:eastAsia="標楷體" w:hAnsi="標楷體" w:hint="eastAsia"/>
                <w:spacing w:val="-20"/>
                <w:kern w:val="2"/>
                <w:szCs w:val="24"/>
              </w:rPr>
              <w:t>（112.4.14）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294490B"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B90A420" w14:textId="77777777" w:rsidTr="001B1EFB">
        <w:trPr>
          <w:cantSplit/>
          <w:jc w:val="center"/>
        </w:trPr>
        <w:tc>
          <w:tcPr>
            <w:tcW w:w="562" w:type="dxa"/>
            <w:tcBorders>
              <w:top w:val="single" w:sz="4" w:space="0" w:color="auto"/>
              <w:left w:val="single" w:sz="4" w:space="0" w:color="auto"/>
              <w:bottom w:val="single" w:sz="4" w:space="0" w:color="auto"/>
              <w:right w:val="single" w:sz="4" w:space="0" w:color="auto"/>
            </w:tcBorders>
          </w:tcPr>
          <w:p w14:paraId="069028A3" w14:textId="77777777" w:rsidR="007D160C" w:rsidRPr="00B95A07" w:rsidRDefault="007D160C" w:rsidP="00FA328D">
            <w:pPr>
              <w:widowControl w:val="0"/>
              <w:numPr>
                <w:ilvl w:val="0"/>
                <w:numId w:val="53"/>
              </w:numPr>
              <w:overflowPunct w:val="0"/>
              <w:autoSpaceDN/>
              <w:spacing w:line="320" w:lineRule="exact"/>
              <w:ind w:left="0" w:firstLineChars="100" w:firstLine="240"/>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373AA9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財政部函送網路交易稅籍登記與會員交易紀錄記載及保存新制書面報告案。</w:t>
            </w:r>
          </w:p>
        </w:tc>
        <w:tc>
          <w:tcPr>
            <w:tcW w:w="2551" w:type="dxa"/>
            <w:tcBorders>
              <w:top w:val="single" w:sz="4" w:space="0" w:color="auto"/>
              <w:left w:val="single" w:sz="4" w:space="0" w:color="auto"/>
              <w:bottom w:val="single" w:sz="4" w:space="0" w:color="auto"/>
              <w:right w:val="single" w:sz="4" w:space="0" w:color="auto"/>
            </w:tcBorders>
          </w:tcPr>
          <w:p w14:paraId="67633CB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w:t>
            </w:r>
            <w:r w:rsidRPr="005B15FA">
              <w:rPr>
                <w:rFonts w:ascii="標楷體" w:eastAsia="標楷體" w:hAnsi="標楷體" w:hint="eastAsia"/>
                <w:kern w:val="2"/>
                <w:szCs w:val="24"/>
              </w:rPr>
              <w:t>（112.5.12）</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651E041C"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A9BA588" w14:textId="77777777" w:rsidTr="00C56C43">
        <w:trPr>
          <w:trHeight w:val="491"/>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06F5466E"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2.金融監督管理委員會主管（</w:t>
            </w:r>
            <w:r>
              <w:rPr>
                <w:rFonts w:ascii="標楷體" w:eastAsia="標楷體" w:hAnsi="標楷體" w:hint="eastAsia"/>
                <w:b/>
                <w:kern w:val="2"/>
                <w:sz w:val="28"/>
                <w:szCs w:val="28"/>
              </w:rPr>
              <w:t>38</w:t>
            </w:r>
            <w:r w:rsidRPr="00D9107B">
              <w:rPr>
                <w:rFonts w:ascii="標楷體" w:eastAsia="標楷體" w:hAnsi="標楷體" w:hint="eastAsia"/>
                <w:b/>
                <w:kern w:val="2"/>
                <w:sz w:val="28"/>
                <w:szCs w:val="28"/>
              </w:rPr>
              <w:t>案）</w:t>
            </w:r>
          </w:p>
        </w:tc>
      </w:tr>
      <w:tr w:rsidR="007D160C" w:rsidRPr="00D9107B" w14:paraId="1CE178DE" w14:textId="77777777" w:rsidTr="001B1EFB">
        <w:trPr>
          <w:trHeight w:val="491"/>
          <w:jc w:val="center"/>
        </w:trPr>
        <w:tc>
          <w:tcPr>
            <w:tcW w:w="562" w:type="dxa"/>
            <w:tcBorders>
              <w:top w:val="single" w:sz="12" w:space="0" w:color="auto"/>
              <w:left w:val="single" w:sz="4" w:space="0" w:color="auto"/>
              <w:bottom w:val="single" w:sz="4" w:space="0" w:color="auto"/>
              <w:right w:val="single" w:sz="4" w:space="0" w:color="auto"/>
            </w:tcBorders>
            <w:vAlign w:val="center"/>
          </w:tcPr>
          <w:p w14:paraId="102A1565"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shd w:val="clear" w:color="auto" w:fill="auto"/>
          </w:tcPr>
          <w:p w14:paraId="39838601" w14:textId="77777777" w:rsidR="007D160C" w:rsidRPr="00D9107B" w:rsidRDefault="007D160C" w:rsidP="00F470A8">
            <w:pPr>
              <w:widowControl w:val="0"/>
              <w:overflowPunct w:val="0"/>
              <w:autoSpaceDN/>
              <w:snapToGrid w:val="0"/>
              <w:spacing w:line="340" w:lineRule="atLeas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金融監督管理委員會函為110年度中央政府總預算決議，檢送該會決議（三十八）專案報告案。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05B8A4B1" w14:textId="77777777" w:rsidR="007D160C" w:rsidRPr="00D9107B" w:rsidRDefault="007D160C" w:rsidP="00F470A8">
            <w:pPr>
              <w:widowControl w:val="0"/>
              <w:overflowPunct w:val="0"/>
              <w:autoSpaceDN/>
              <w:snapToGrid w:val="0"/>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第10屆第4會期第2次</w:t>
            </w:r>
            <w:r w:rsidRPr="00D9107B">
              <w:rPr>
                <w:rFonts w:ascii="標楷體" w:eastAsia="標楷體" w:hAnsi="標楷體" w:hint="eastAsia"/>
                <w:spacing w:val="-6"/>
                <w:kern w:val="2"/>
                <w:szCs w:val="24"/>
              </w:rPr>
              <w:t>院會</w:t>
            </w:r>
            <w:r w:rsidRPr="005B15FA">
              <w:rPr>
                <w:rFonts w:ascii="標楷體" w:eastAsia="標楷體" w:hAnsi="標楷體" w:hint="eastAsia"/>
                <w:spacing w:val="-20"/>
                <w:kern w:val="2"/>
                <w:szCs w:val="24"/>
              </w:rPr>
              <w:t>（110.9.24）</w:t>
            </w:r>
            <w:r w:rsidRPr="00D9107B">
              <w:rPr>
                <w:rFonts w:ascii="標楷體" w:eastAsia="標楷體" w:hAnsi="標楷體" w:hint="eastAsia"/>
                <w:spacing w:val="-6"/>
                <w:kern w:val="2"/>
                <w:szCs w:val="24"/>
              </w:rPr>
              <w:t>決</w:t>
            </w:r>
            <w:r w:rsidRPr="00D9107B">
              <w:rPr>
                <w:rFonts w:ascii="標楷體" w:eastAsia="標楷體" w:hAnsi="標楷體" w:hint="eastAsia"/>
                <w:kern w:val="2"/>
                <w:szCs w:val="24"/>
              </w:rPr>
              <w:t>定：「交財政委員會處理」</w:t>
            </w:r>
          </w:p>
        </w:tc>
        <w:tc>
          <w:tcPr>
            <w:tcW w:w="2268" w:type="dxa"/>
            <w:tcBorders>
              <w:top w:val="single" w:sz="12" w:space="0" w:color="auto"/>
              <w:left w:val="single" w:sz="4" w:space="0" w:color="auto"/>
              <w:bottom w:val="single" w:sz="4" w:space="0" w:color="auto"/>
              <w:right w:val="single" w:sz="4" w:space="0" w:color="auto"/>
            </w:tcBorders>
            <w:shd w:val="clear" w:color="auto" w:fill="auto"/>
            <w:vAlign w:val="center"/>
          </w:tcPr>
          <w:p w14:paraId="1792C2FD" w14:textId="77777777" w:rsidR="007D160C" w:rsidRPr="008D6C48" w:rsidRDefault="007D160C" w:rsidP="00F470A8">
            <w:pPr>
              <w:widowControl w:val="0"/>
              <w:overflowPunct w:val="0"/>
              <w:spacing w:line="320" w:lineRule="exact"/>
              <w:ind w:left="240" w:hangingChars="100" w:hanging="240"/>
              <w:jc w:val="both"/>
              <w:rPr>
                <w:rFonts w:ascii="標楷體" w:eastAsia="標楷體" w:hAnsi="標楷體"/>
                <w:szCs w:val="24"/>
              </w:rPr>
            </w:pPr>
            <w:r w:rsidRPr="008D6C48">
              <w:rPr>
                <w:rFonts w:ascii="標楷體" w:eastAsia="標楷體" w:hAnsi="標楷體" w:hint="eastAsia"/>
                <w:szCs w:val="24"/>
              </w:rPr>
              <w:t>1.</w:t>
            </w:r>
            <w:r w:rsidRPr="00D9107B">
              <w:rPr>
                <w:rFonts w:ascii="標楷體" w:eastAsia="標楷體" w:hAnsi="標楷體" w:hint="eastAsia"/>
                <w:szCs w:val="24"/>
              </w:rPr>
              <w:t>因逾年度預算執行期間，本會於113.7.8函議事處提報院會准予備查。</w:t>
            </w:r>
          </w:p>
          <w:p w14:paraId="744F2F96"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4498807D" w14:textId="77777777" w:rsidTr="001B1EFB">
        <w:trPr>
          <w:cantSplit/>
          <w:trHeight w:val="1059"/>
          <w:jc w:val="center"/>
        </w:trPr>
        <w:tc>
          <w:tcPr>
            <w:tcW w:w="562" w:type="dxa"/>
            <w:tcBorders>
              <w:top w:val="single" w:sz="4" w:space="0" w:color="auto"/>
              <w:left w:val="single" w:sz="4" w:space="0" w:color="auto"/>
              <w:bottom w:val="single" w:sz="4" w:space="0" w:color="auto"/>
              <w:right w:val="single" w:sz="4" w:space="0" w:color="auto"/>
            </w:tcBorders>
          </w:tcPr>
          <w:p w14:paraId="10E69B5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E319E5"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金融監督管理委員會函送全球人壽承受國華人壽案相關補助款運用情形書面報告案。</w:t>
            </w:r>
          </w:p>
        </w:tc>
        <w:tc>
          <w:tcPr>
            <w:tcW w:w="2551" w:type="dxa"/>
            <w:tcBorders>
              <w:top w:val="single" w:sz="4" w:space="0" w:color="auto"/>
              <w:left w:val="single" w:sz="4" w:space="0" w:color="auto"/>
              <w:bottom w:val="single" w:sz="4" w:space="0" w:color="auto"/>
              <w:right w:val="single" w:sz="4" w:space="0" w:color="auto"/>
            </w:tcBorders>
          </w:tcPr>
          <w:p w14:paraId="1865619A"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屆第1會期第12次院會（10</w:t>
            </w:r>
            <w:r w:rsidRPr="00D9107B">
              <w:rPr>
                <w:rFonts w:ascii="標楷體" w:eastAsia="標楷體" w:hAnsi="標楷體"/>
                <w:kern w:val="2"/>
                <w:szCs w:val="24"/>
              </w:rPr>
              <w:t>9</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8</w:t>
            </w:r>
            <w:r w:rsidRPr="00D9107B">
              <w:rPr>
                <w:rFonts w:ascii="標楷體" w:eastAsia="標楷體" w:hAnsi="標楷體" w:hint="eastAsia"/>
                <w:kern w:val="2"/>
                <w:szCs w:val="24"/>
              </w:rPr>
              <w:t>）決定：「交財政委員會審查」</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14:paraId="045E0AB8"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8D6C48">
              <w:rPr>
                <w:rFonts w:ascii="標楷體" w:eastAsia="標楷體" w:hAnsi="標楷體" w:hint="eastAsia"/>
                <w:szCs w:val="24"/>
              </w:rPr>
              <w:t>1.</w:t>
            </w:r>
            <w:r w:rsidRPr="00D9107B">
              <w:rPr>
                <w:rFonts w:ascii="標楷體" w:eastAsia="標楷體" w:hAnsi="標楷體" w:hint="eastAsia"/>
                <w:szCs w:val="24"/>
              </w:rPr>
              <w:t>因逾年度預算執行期間，本會於113.7.5函議事處提報院會准予備查。</w:t>
            </w:r>
          </w:p>
          <w:p w14:paraId="26CDEA0B"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5C289BC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98602B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52409DE"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110年度中央政府總預算決議，檢送該會決議（十四）書面報告案。</w:t>
            </w:r>
          </w:p>
        </w:tc>
        <w:tc>
          <w:tcPr>
            <w:tcW w:w="2551" w:type="dxa"/>
            <w:tcBorders>
              <w:top w:val="single" w:sz="4" w:space="0" w:color="auto"/>
              <w:left w:val="single" w:sz="4" w:space="0" w:color="auto"/>
              <w:bottom w:val="single" w:sz="4" w:space="0" w:color="auto"/>
              <w:right w:val="single" w:sz="4" w:space="0" w:color="auto"/>
            </w:tcBorders>
          </w:tcPr>
          <w:p w14:paraId="229B5122"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B8443C4"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1E54B60"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1CEE135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69B557"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110年度中央政府總預算決議，檢送該會決議（十</w:t>
            </w:r>
            <w:r w:rsidRPr="00D9107B">
              <w:rPr>
                <w:rFonts w:ascii="標楷體" w:eastAsia="標楷體" w:hAnsi="標楷體" w:hint="eastAsia"/>
                <w:kern w:val="2"/>
                <w:szCs w:val="24"/>
              </w:rPr>
              <w:t>七</w:t>
            </w:r>
            <w:r w:rsidRPr="00D9107B">
              <w:rPr>
                <w:rFonts w:ascii="標楷體" w:eastAsia="標楷體" w:hAnsi="標楷體"/>
                <w:kern w:val="2"/>
                <w:szCs w:val="24"/>
              </w:rPr>
              <w:t>）「上市櫃公司需進行高齡化暨少子化企業社會責任相關資訊揭露」書面報告案。</w:t>
            </w:r>
          </w:p>
        </w:tc>
        <w:tc>
          <w:tcPr>
            <w:tcW w:w="2551" w:type="dxa"/>
            <w:tcBorders>
              <w:top w:val="single" w:sz="4" w:space="0" w:color="auto"/>
              <w:left w:val="single" w:sz="4" w:space="0" w:color="auto"/>
              <w:bottom w:val="single" w:sz="4" w:space="0" w:color="auto"/>
              <w:right w:val="single" w:sz="4" w:space="0" w:color="auto"/>
            </w:tcBorders>
          </w:tcPr>
          <w:p w14:paraId="165ED3A7"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4EEA69AF"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31B267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4894B76"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220C070"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110年度中央政府總預算決議，檢送該會決議（十八）書面報告案。</w:t>
            </w:r>
          </w:p>
        </w:tc>
        <w:tc>
          <w:tcPr>
            <w:tcW w:w="2551" w:type="dxa"/>
            <w:tcBorders>
              <w:top w:val="single" w:sz="4" w:space="0" w:color="auto"/>
              <w:left w:val="single" w:sz="4" w:space="0" w:color="auto"/>
              <w:bottom w:val="single" w:sz="4" w:space="0" w:color="auto"/>
              <w:right w:val="single" w:sz="4" w:space="0" w:color="auto"/>
            </w:tcBorders>
          </w:tcPr>
          <w:p w14:paraId="7D8368F8"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55EDB98"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AE302D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139F91A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BA469A5"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110年度中央政府總預算決議，檢送該會決議（四十二）書面報告案。</w:t>
            </w:r>
          </w:p>
        </w:tc>
        <w:tc>
          <w:tcPr>
            <w:tcW w:w="2551" w:type="dxa"/>
            <w:tcBorders>
              <w:top w:val="single" w:sz="4" w:space="0" w:color="auto"/>
              <w:left w:val="single" w:sz="4" w:space="0" w:color="auto"/>
              <w:bottom w:val="single" w:sz="4" w:space="0" w:color="auto"/>
              <w:right w:val="single" w:sz="4" w:space="0" w:color="auto"/>
            </w:tcBorders>
          </w:tcPr>
          <w:p w14:paraId="1D75C9F1"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4AD0E4B6"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2D163580"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01F1D5F2"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5A9497B"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110年度中央政府總預算決議，檢送保險局決議（六）書面報告案。</w:t>
            </w:r>
          </w:p>
        </w:tc>
        <w:tc>
          <w:tcPr>
            <w:tcW w:w="2551" w:type="dxa"/>
            <w:tcBorders>
              <w:top w:val="single" w:sz="4" w:space="0" w:color="auto"/>
              <w:left w:val="single" w:sz="4" w:space="0" w:color="auto"/>
              <w:bottom w:val="single" w:sz="4" w:space="0" w:color="auto"/>
              <w:right w:val="single" w:sz="4" w:space="0" w:color="auto"/>
            </w:tcBorders>
          </w:tcPr>
          <w:p w14:paraId="3A74BFBD"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2BEC8E2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08F88F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80F4657"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D0A6574"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110年度中央政府總預算決議，檢送保險局決議（九）書面報告案。</w:t>
            </w:r>
          </w:p>
        </w:tc>
        <w:tc>
          <w:tcPr>
            <w:tcW w:w="2551" w:type="dxa"/>
            <w:tcBorders>
              <w:top w:val="single" w:sz="4" w:space="0" w:color="auto"/>
              <w:left w:val="single" w:sz="4" w:space="0" w:color="auto"/>
              <w:bottom w:val="single" w:sz="4" w:space="0" w:color="auto"/>
              <w:right w:val="single" w:sz="4" w:space="0" w:color="auto"/>
            </w:tcBorders>
          </w:tcPr>
          <w:p w14:paraId="62E2D18E"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屆第3會期第12次院會（1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14）決定：「交財政委員會審查」</w:t>
            </w:r>
          </w:p>
        </w:tc>
        <w:tc>
          <w:tcPr>
            <w:tcW w:w="2268" w:type="dxa"/>
            <w:vMerge/>
            <w:tcBorders>
              <w:left w:val="single" w:sz="4" w:space="0" w:color="auto"/>
              <w:right w:val="single" w:sz="4" w:space="0" w:color="auto"/>
            </w:tcBorders>
            <w:vAlign w:val="center"/>
          </w:tcPr>
          <w:p w14:paraId="328E1A31"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C0C430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D864A4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3DCDB9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110年度中央政府總預算決議，檢送證券期貨周邊單位董事長及總經理薪酬書面報告案。</w:t>
            </w:r>
          </w:p>
        </w:tc>
        <w:tc>
          <w:tcPr>
            <w:tcW w:w="2551" w:type="dxa"/>
            <w:tcBorders>
              <w:top w:val="single" w:sz="4" w:space="0" w:color="auto"/>
              <w:left w:val="single" w:sz="4" w:space="0" w:color="auto"/>
              <w:bottom w:val="single" w:sz="4" w:space="0" w:color="auto"/>
              <w:right w:val="single" w:sz="4" w:space="0" w:color="auto"/>
            </w:tcBorders>
          </w:tcPr>
          <w:p w14:paraId="5AE005B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F474418"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2CE9FBD7"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0D745C7B"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40C949A"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w:t>
            </w:r>
            <w:r w:rsidRPr="00D9107B">
              <w:rPr>
                <w:rFonts w:ascii="標楷體" w:eastAsia="標楷體" w:hAnsi="標楷體" w:hint="eastAsia"/>
                <w:kern w:val="2"/>
                <w:szCs w:val="24"/>
              </w:rPr>
              <w:t>銀行</w:t>
            </w:r>
            <w:r w:rsidRPr="00D9107B">
              <w:rPr>
                <w:rFonts w:ascii="標楷體" w:eastAsia="標楷體" w:hAnsi="標楷體"/>
                <w:kern w:val="2"/>
                <w:szCs w:val="24"/>
              </w:rPr>
              <w:t>局決議（六）書面報告案。</w:t>
            </w:r>
          </w:p>
        </w:tc>
        <w:tc>
          <w:tcPr>
            <w:tcW w:w="2551" w:type="dxa"/>
            <w:tcBorders>
              <w:top w:val="single" w:sz="4" w:space="0" w:color="auto"/>
              <w:left w:val="single" w:sz="4" w:space="0" w:color="auto"/>
              <w:bottom w:val="single" w:sz="4" w:space="0" w:color="auto"/>
              <w:right w:val="single" w:sz="4" w:space="0" w:color="auto"/>
            </w:tcBorders>
          </w:tcPr>
          <w:p w14:paraId="31ADC172"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屆第3會期第13次院會（1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.21）決定：「交財政委員會審查」</w:t>
            </w:r>
          </w:p>
        </w:tc>
        <w:tc>
          <w:tcPr>
            <w:tcW w:w="2268" w:type="dxa"/>
            <w:vMerge/>
            <w:tcBorders>
              <w:left w:val="single" w:sz="4" w:space="0" w:color="auto"/>
              <w:right w:val="single" w:sz="4" w:space="0" w:color="auto"/>
            </w:tcBorders>
            <w:vAlign w:val="center"/>
          </w:tcPr>
          <w:p w14:paraId="71E302A9"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19D856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76F370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09FE6A7"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110年度中央政府總預算決議，檢送「如何因應全球性金融科技服務的發展，強化跨國監理合作」書面報告案。</w:t>
            </w:r>
          </w:p>
        </w:tc>
        <w:tc>
          <w:tcPr>
            <w:tcW w:w="2551" w:type="dxa"/>
            <w:tcBorders>
              <w:top w:val="single" w:sz="4" w:space="0" w:color="auto"/>
              <w:left w:val="single" w:sz="4" w:space="0" w:color="auto"/>
              <w:bottom w:val="single" w:sz="4" w:space="0" w:color="auto"/>
              <w:right w:val="single" w:sz="4" w:space="0" w:color="auto"/>
            </w:tcBorders>
          </w:tcPr>
          <w:p w14:paraId="41609B50"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23335A3"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60F25C84"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314B749"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CC83BC5"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110年度中央政府總預算決議，檢送「如何透過監理科技運用以達精準監理」書面報告案。</w:t>
            </w:r>
          </w:p>
        </w:tc>
        <w:tc>
          <w:tcPr>
            <w:tcW w:w="2551" w:type="dxa"/>
            <w:tcBorders>
              <w:top w:val="single" w:sz="4" w:space="0" w:color="auto"/>
              <w:left w:val="single" w:sz="4" w:space="0" w:color="auto"/>
              <w:bottom w:val="single" w:sz="4" w:space="0" w:color="auto"/>
              <w:right w:val="single" w:sz="4" w:space="0" w:color="auto"/>
            </w:tcBorders>
          </w:tcPr>
          <w:p w14:paraId="78A9BCA5"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2B6FC1B"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D736BA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CD42372"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160B10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110年度中央政府總預算決議，檢送遴選我國金融科技監理人才規劃書面報告案。</w:t>
            </w:r>
          </w:p>
        </w:tc>
        <w:tc>
          <w:tcPr>
            <w:tcW w:w="2551" w:type="dxa"/>
            <w:tcBorders>
              <w:top w:val="single" w:sz="4" w:space="0" w:color="auto"/>
              <w:left w:val="single" w:sz="4" w:space="0" w:color="auto"/>
              <w:bottom w:val="single" w:sz="4" w:space="0" w:color="auto"/>
              <w:right w:val="single" w:sz="4" w:space="0" w:color="auto"/>
            </w:tcBorders>
          </w:tcPr>
          <w:p w14:paraId="7574CAA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C8FA32B"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DDEF0B1"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FF6E1D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D435AC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110年度中央政府總預算決議，檢送「元大原油正2期貨ETF及TDR等事件之投資人保護強化措施」書面報告案。</w:t>
            </w:r>
          </w:p>
        </w:tc>
        <w:tc>
          <w:tcPr>
            <w:tcW w:w="2551" w:type="dxa"/>
            <w:tcBorders>
              <w:top w:val="single" w:sz="4" w:space="0" w:color="auto"/>
              <w:left w:val="single" w:sz="4" w:space="0" w:color="auto"/>
              <w:bottom w:val="single" w:sz="4" w:space="0" w:color="auto"/>
              <w:right w:val="single" w:sz="4" w:space="0" w:color="auto"/>
            </w:tcBorders>
          </w:tcPr>
          <w:p w14:paraId="3BFDBA4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FDF8ADD"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8F01D5F"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CC476D1"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80EF276"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110年度中央政府總預算決議，檢送「研議開放純網路券商的可行性評估」書面報告案。</w:t>
            </w:r>
          </w:p>
        </w:tc>
        <w:tc>
          <w:tcPr>
            <w:tcW w:w="2551" w:type="dxa"/>
            <w:tcBorders>
              <w:top w:val="single" w:sz="4" w:space="0" w:color="auto"/>
              <w:left w:val="single" w:sz="4" w:space="0" w:color="auto"/>
              <w:bottom w:val="single" w:sz="4" w:space="0" w:color="auto"/>
              <w:right w:val="single" w:sz="4" w:space="0" w:color="auto"/>
            </w:tcBorders>
          </w:tcPr>
          <w:p w14:paraId="50787E18"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98A47C5"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64C8774"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EA37FF4"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170A78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110年度中央政府總預算決議，檢送「建構有利環境永續之綠色金融市場」書面報告案。</w:t>
            </w:r>
          </w:p>
        </w:tc>
        <w:tc>
          <w:tcPr>
            <w:tcW w:w="2551" w:type="dxa"/>
            <w:tcBorders>
              <w:top w:val="single" w:sz="4" w:space="0" w:color="auto"/>
              <w:left w:val="single" w:sz="4" w:space="0" w:color="auto"/>
              <w:bottom w:val="single" w:sz="4" w:space="0" w:color="auto"/>
              <w:right w:val="single" w:sz="4" w:space="0" w:color="auto"/>
            </w:tcBorders>
          </w:tcPr>
          <w:p w14:paraId="39D8CC6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D274345"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1994FF3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0F561B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0B30EB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w:t>
            </w:r>
            <w:r w:rsidRPr="00D9107B">
              <w:rPr>
                <w:rFonts w:ascii="標楷體" w:eastAsia="標楷體" w:hAnsi="標楷體"/>
                <w:kern w:val="2"/>
                <w:szCs w:val="24"/>
              </w:rPr>
              <w:t>110年度中央政府總預算決議，檢送「強化對投資民眾之預警制度及落實投資人金融知識宣導」書面報告案。</w:t>
            </w:r>
          </w:p>
        </w:tc>
        <w:tc>
          <w:tcPr>
            <w:tcW w:w="2551" w:type="dxa"/>
            <w:tcBorders>
              <w:top w:val="single" w:sz="4" w:space="0" w:color="auto"/>
              <w:left w:val="single" w:sz="4" w:space="0" w:color="auto"/>
              <w:bottom w:val="single" w:sz="4" w:space="0" w:color="auto"/>
              <w:right w:val="single" w:sz="4" w:space="0" w:color="auto"/>
            </w:tcBorders>
          </w:tcPr>
          <w:p w14:paraId="404741F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屆第3會期第1</w:t>
            </w:r>
            <w:r w:rsidRPr="00D9107B">
              <w:rPr>
                <w:rFonts w:ascii="標楷體" w:eastAsia="標楷體" w:hAnsi="標楷體"/>
                <w:kern w:val="2"/>
                <w:szCs w:val="24"/>
              </w:rPr>
              <w:t>3</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w:t>
            </w:r>
            <w:r w:rsidRPr="00D9107B">
              <w:rPr>
                <w:rFonts w:ascii="標楷體" w:eastAsia="標楷體" w:hAnsi="標楷體"/>
                <w:kern w:val="2"/>
                <w:szCs w:val="24"/>
              </w:rPr>
              <w:t>5</w:t>
            </w:r>
            <w:r w:rsidRPr="00D9107B">
              <w:rPr>
                <w:rFonts w:ascii="標楷體" w:eastAsia="標楷體" w:hAnsi="標楷體" w:hint="eastAsia"/>
                <w:kern w:val="2"/>
                <w:szCs w:val="24"/>
              </w:rPr>
              <w:t>.</w:t>
            </w:r>
            <w:r w:rsidRPr="00D9107B">
              <w:rPr>
                <w:rFonts w:ascii="標楷體" w:eastAsia="標楷體" w:hAnsi="標楷體"/>
                <w:kern w:val="2"/>
                <w:szCs w:val="24"/>
              </w:rPr>
              <w:t>21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8BB6EC4"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0A3D7F4"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04109D2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C6AB545"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金融監督管理委員會函送全球人壽承受國華人壽案相關補助款運用情形書面報告案。</w:t>
            </w:r>
          </w:p>
        </w:tc>
        <w:tc>
          <w:tcPr>
            <w:tcW w:w="2551" w:type="dxa"/>
            <w:tcBorders>
              <w:top w:val="single" w:sz="4" w:space="0" w:color="auto"/>
              <w:left w:val="single" w:sz="4" w:space="0" w:color="auto"/>
              <w:bottom w:val="single" w:sz="4" w:space="0" w:color="auto"/>
              <w:right w:val="single" w:sz="4" w:space="0" w:color="auto"/>
            </w:tcBorders>
          </w:tcPr>
          <w:p w14:paraId="74B8DD72" w14:textId="77777777" w:rsidR="007D160C" w:rsidRPr="00D9107B" w:rsidRDefault="007D160C" w:rsidP="00F470A8">
            <w:pPr>
              <w:widowControl w:val="0"/>
              <w:overflowPunct w:val="0"/>
              <w:autoSpaceDN/>
              <w:snapToGrid w:val="0"/>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屆第4會期第14次院會（110.12.17）決定：「交財政委員會審查」</w:t>
            </w:r>
          </w:p>
        </w:tc>
        <w:tc>
          <w:tcPr>
            <w:tcW w:w="2268" w:type="dxa"/>
            <w:vMerge/>
            <w:tcBorders>
              <w:left w:val="single" w:sz="4" w:space="0" w:color="auto"/>
              <w:right w:val="single" w:sz="4" w:space="0" w:color="auto"/>
            </w:tcBorders>
            <w:vAlign w:val="center"/>
          </w:tcPr>
          <w:p w14:paraId="73146642"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625E9FE8"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8A08DB8"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69C335"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金融監督管理委員會函送推動金融科技發展相關法規調適110年上半年度檢討報告案。</w:t>
            </w:r>
          </w:p>
        </w:tc>
        <w:tc>
          <w:tcPr>
            <w:tcW w:w="2551" w:type="dxa"/>
            <w:tcBorders>
              <w:top w:val="single" w:sz="4" w:space="0" w:color="auto"/>
              <w:left w:val="single" w:sz="4" w:space="0" w:color="auto"/>
              <w:bottom w:val="single" w:sz="4" w:space="0" w:color="auto"/>
              <w:right w:val="single" w:sz="4" w:space="0" w:color="auto"/>
            </w:tcBorders>
          </w:tcPr>
          <w:p w14:paraId="4E72894B" w14:textId="77777777" w:rsidR="007D160C" w:rsidRPr="00D9107B" w:rsidRDefault="007D160C" w:rsidP="00F470A8">
            <w:pPr>
              <w:widowControl w:val="0"/>
              <w:overflowPunct w:val="0"/>
              <w:autoSpaceDN/>
              <w:snapToGrid w:val="0"/>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第10屆第4會期第14次院會（110.</w:t>
            </w:r>
            <w:r w:rsidRPr="00D9107B">
              <w:rPr>
                <w:rFonts w:ascii="標楷體" w:eastAsia="標楷體" w:hAnsi="標楷體"/>
                <w:kern w:val="2"/>
                <w:szCs w:val="24"/>
              </w:rPr>
              <w:t>1</w:t>
            </w:r>
            <w:r w:rsidRPr="00D9107B">
              <w:rPr>
                <w:rFonts w:ascii="標楷體" w:eastAsia="標楷體" w:hAnsi="標楷體" w:hint="eastAsia"/>
                <w:kern w:val="2"/>
                <w:szCs w:val="24"/>
              </w:rPr>
              <w:t>2.</w:t>
            </w:r>
            <w:r w:rsidRPr="00D9107B">
              <w:rPr>
                <w:rFonts w:ascii="標楷體" w:eastAsia="標楷體" w:hAnsi="標楷體"/>
                <w:kern w:val="2"/>
                <w:szCs w:val="24"/>
              </w:rPr>
              <w:t>1</w:t>
            </w:r>
            <w:r w:rsidRPr="00D9107B">
              <w:rPr>
                <w:rFonts w:ascii="標楷體" w:eastAsia="標楷體" w:hAnsi="標楷體" w:hint="eastAsia"/>
                <w:kern w:val="2"/>
                <w:szCs w:val="24"/>
              </w:rPr>
              <w:t>7）決定：「交財政委員會審查」</w:t>
            </w:r>
          </w:p>
        </w:tc>
        <w:tc>
          <w:tcPr>
            <w:tcW w:w="2268" w:type="dxa"/>
            <w:vMerge/>
            <w:tcBorders>
              <w:left w:val="single" w:sz="4" w:space="0" w:color="auto"/>
              <w:right w:val="single" w:sz="4" w:space="0" w:color="auto"/>
            </w:tcBorders>
            <w:vAlign w:val="center"/>
          </w:tcPr>
          <w:p w14:paraId="1B09CF33"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0184BD5"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32972F4"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82BD527"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金融監督管理委員會函為110年度中央政府總預算附屬單位預算決議，檢送金融監督管理基金決議第18項書面報告案。</w:t>
            </w:r>
          </w:p>
        </w:tc>
        <w:tc>
          <w:tcPr>
            <w:tcW w:w="2551" w:type="dxa"/>
            <w:tcBorders>
              <w:top w:val="single" w:sz="4" w:space="0" w:color="auto"/>
              <w:left w:val="single" w:sz="4" w:space="0" w:color="auto"/>
              <w:bottom w:val="single" w:sz="4" w:space="0" w:color="auto"/>
              <w:right w:val="single" w:sz="4" w:space="0" w:color="auto"/>
            </w:tcBorders>
          </w:tcPr>
          <w:p w14:paraId="549D233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第10屆第5會期第13次院會（1</w:t>
            </w:r>
            <w:r w:rsidRPr="00D9107B">
              <w:rPr>
                <w:rFonts w:ascii="標楷體" w:eastAsia="標楷體" w:hAnsi="標楷體"/>
                <w:kern w:val="2"/>
                <w:szCs w:val="24"/>
              </w:rPr>
              <w:t>1</w:t>
            </w:r>
            <w:r w:rsidRPr="00D9107B">
              <w:rPr>
                <w:rFonts w:ascii="標楷體" w:eastAsia="標楷體" w:hAnsi="標楷體" w:hint="eastAsia"/>
                <w:kern w:val="2"/>
                <w:szCs w:val="24"/>
              </w:rPr>
              <w:t>1.</w:t>
            </w:r>
            <w:r w:rsidRPr="00D9107B">
              <w:rPr>
                <w:rFonts w:ascii="標楷體" w:eastAsia="標楷體" w:hAnsi="標楷體"/>
                <w:kern w:val="2"/>
                <w:szCs w:val="24"/>
              </w:rPr>
              <w:t>5</w:t>
            </w:r>
            <w:r w:rsidRPr="00D9107B">
              <w:rPr>
                <w:rFonts w:ascii="標楷體" w:eastAsia="標楷體" w:hAnsi="標楷體" w:hint="eastAsia"/>
                <w:kern w:val="2"/>
                <w:szCs w:val="24"/>
              </w:rPr>
              <w:t>.20）決定：「交財政委員會審查」</w:t>
            </w:r>
          </w:p>
        </w:tc>
        <w:tc>
          <w:tcPr>
            <w:tcW w:w="2268" w:type="dxa"/>
            <w:vMerge/>
            <w:tcBorders>
              <w:left w:val="single" w:sz="4" w:space="0" w:color="auto"/>
              <w:right w:val="single" w:sz="4" w:space="0" w:color="auto"/>
            </w:tcBorders>
            <w:vAlign w:val="center"/>
          </w:tcPr>
          <w:p w14:paraId="2B5BE97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51F98A0F"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F21D670"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02C590A"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金融監督管理委員會函送金融科技最新發展與政策110年下半年度檢討報告案。</w:t>
            </w:r>
          </w:p>
        </w:tc>
        <w:tc>
          <w:tcPr>
            <w:tcW w:w="2551" w:type="dxa"/>
            <w:tcBorders>
              <w:top w:val="single" w:sz="4" w:space="0" w:color="auto"/>
              <w:left w:val="single" w:sz="4" w:space="0" w:color="auto"/>
              <w:bottom w:val="single" w:sz="4" w:space="0" w:color="auto"/>
              <w:right w:val="single" w:sz="4" w:space="0" w:color="auto"/>
            </w:tcBorders>
          </w:tcPr>
          <w:p w14:paraId="1060874A" w14:textId="77777777" w:rsidR="007D160C" w:rsidRPr="00D9107B" w:rsidRDefault="007D160C" w:rsidP="00F470A8">
            <w:pPr>
              <w:widowControl w:val="0"/>
              <w:overflowPunct w:val="0"/>
              <w:autoSpaceDN/>
              <w:spacing w:line="34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232CD44"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4C2F8DB3"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D3251E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E7D708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金融監督管理委員會函為110年度中央政府總預算附屬單位預算決議，檢送金融監督管理基金決議第24項書面報告案。</w:t>
            </w:r>
          </w:p>
        </w:tc>
        <w:tc>
          <w:tcPr>
            <w:tcW w:w="2551" w:type="dxa"/>
            <w:tcBorders>
              <w:top w:val="single" w:sz="4" w:space="0" w:color="auto"/>
              <w:left w:val="single" w:sz="4" w:space="0" w:color="auto"/>
              <w:bottom w:val="single" w:sz="4" w:space="0" w:color="auto"/>
              <w:right w:val="single" w:sz="4" w:space="0" w:color="auto"/>
            </w:tcBorders>
          </w:tcPr>
          <w:p w14:paraId="6D51A6F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屆第6會期第3次院會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.10.7）</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07ED14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3542AC70"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75BDE13"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A6354C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金融監督管理委員會函為110年度中央政府總預算附屬單位預算決議，檢送「強化揭露公開發行公司最終或實質受益人相關機制」書面報告案。</w:t>
            </w:r>
          </w:p>
        </w:tc>
        <w:tc>
          <w:tcPr>
            <w:tcW w:w="2551" w:type="dxa"/>
            <w:tcBorders>
              <w:top w:val="single" w:sz="4" w:space="0" w:color="auto"/>
              <w:left w:val="single" w:sz="4" w:space="0" w:color="auto"/>
              <w:bottom w:val="single" w:sz="4" w:space="0" w:color="auto"/>
              <w:right w:val="single" w:sz="4" w:space="0" w:color="auto"/>
            </w:tcBorders>
          </w:tcPr>
          <w:p w14:paraId="4FB7E98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屆第6會期第3次院會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.10.7）</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8793EC"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054D10CA"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59DE0726"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5C51B11"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金融監督管理委員會函為110年度中央政府總預算附屬單位預算決議，檢送金融監督管理基金決議第23項書面報告案。</w:t>
            </w:r>
          </w:p>
        </w:tc>
        <w:tc>
          <w:tcPr>
            <w:tcW w:w="2551" w:type="dxa"/>
            <w:tcBorders>
              <w:top w:val="single" w:sz="4" w:space="0" w:color="auto"/>
              <w:left w:val="single" w:sz="4" w:space="0" w:color="auto"/>
              <w:bottom w:val="single" w:sz="4" w:space="0" w:color="auto"/>
              <w:right w:val="single" w:sz="4" w:space="0" w:color="auto"/>
            </w:tcBorders>
          </w:tcPr>
          <w:p w14:paraId="65AC21F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w:t>
            </w:r>
            <w:r w:rsidRPr="00D9107B">
              <w:rPr>
                <w:rFonts w:ascii="標楷體" w:eastAsia="標楷體" w:hAnsi="標楷體"/>
                <w:kern w:val="2"/>
                <w:szCs w:val="24"/>
              </w:rPr>
              <w:t>0</w:t>
            </w:r>
            <w:r w:rsidRPr="00D9107B">
              <w:rPr>
                <w:rFonts w:ascii="標楷體" w:eastAsia="標楷體" w:hAnsi="標楷體" w:hint="eastAsia"/>
                <w:kern w:val="2"/>
                <w:szCs w:val="24"/>
              </w:rPr>
              <w:t>屆第6會期第4次院會（1</w:t>
            </w:r>
            <w:r w:rsidRPr="00D9107B">
              <w:rPr>
                <w:rFonts w:ascii="標楷體" w:eastAsia="標楷體" w:hAnsi="標楷體"/>
                <w:kern w:val="2"/>
                <w:szCs w:val="24"/>
              </w:rPr>
              <w:t>11</w:t>
            </w:r>
            <w:r w:rsidRPr="00D9107B">
              <w:rPr>
                <w:rFonts w:ascii="標楷體" w:eastAsia="標楷體" w:hAnsi="標楷體" w:hint="eastAsia"/>
                <w:kern w:val="2"/>
                <w:szCs w:val="24"/>
              </w:rPr>
              <w:t>.10.14）決定：「交財政委員會審查」</w:t>
            </w:r>
          </w:p>
        </w:tc>
        <w:tc>
          <w:tcPr>
            <w:tcW w:w="2268" w:type="dxa"/>
            <w:vMerge/>
            <w:tcBorders>
              <w:left w:val="single" w:sz="4" w:space="0" w:color="auto"/>
              <w:right w:val="single" w:sz="4" w:space="0" w:color="auto"/>
            </w:tcBorders>
            <w:vAlign w:val="center"/>
          </w:tcPr>
          <w:p w14:paraId="17A08CFA"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70259A27"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889D12C"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A2A833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(密）金融監督管理委員會函送所屬周邊單位之董事長、總經理，及專任人員由公務員退休轉任者之薪資、獎金、月退俸及優惠存款等資料案。</w:t>
            </w:r>
          </w:p>
        </w:tc>
        <w:tc>
          <w:tcPr>
            <w:tcW w:w="2551" w:type="dxa"/>
            <w:tcBorders>
              <w:top w:val="single" w:sz="4" w:space="0" w:color="auto"/>
              <w:left w:val="single" w:sz="4" w:space="0" w:color="auto"/>
              <w:bottom w:val="single" w:sz="4" w:space="0" w:color="auto"/>
              <w:right w:val="single" w:sz="4" w:space="0" w:color="auto"/>
            </w:tcBorders>
          </w:tcPr>
          <w:p w14:paraId="2BF9978C"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第10屆第1會期第10次院會</w:t>
            </w:r>
            <w:r w:rsidRPr="007D6FF3">
              <w:rPr>
                <w:rFonts w:ascii="標楷體" w:eastAsia="標楷體" w:hAnsi="標楷體" w:hint="eastAsia"/>
                <w:kern w:val="2"/>
                <w:szCs w:val="24"/>
              </w:rPr>
              <w:t>（10</w:t>
            </w:r>
            <w:r w:rsidRPr="007D6FF3">
              <w:rPr>
                <w:rFonts w:ascii="標楷體" w:eastAsia="標楷體" w:hAnsi="標楷體"/>
                <w:kern w:val="2"/>
                <w:szCs w:val="24"/>
              </w:rPr>
              <w:t>9</w:t>
            </w:r>
            <w:r w:rsidRPr="007D6FF3">
              <w:rPr>
                <w:rFonts w:ascii="標楷體" w:eastAsia="標楷體" w:hAnsi="標楷體" w:hint="eastAsia"/>
                <w:kern w:val="2"/>
                <w:szCs w:val="24"/>
              </w:rPr>
              <w:t>.</w:t>
            </w:r>
            <w:r w:rsidRPr="007D6FF3">
              <w:rPr>
                <w:rFonts w:ascii="標楷體" w:eastAsia="標楷體" w:hAnsi="標楷體"/>
                <w:kern w:val="2"/>
                <w:szCs w:val="24"/>
              </w:rPr>
              <w:t>4</w:t>
            </w:r>
            <w:r w:rsidRPr="007D6FF3">
              <w:rPr>
                <w:rFonts w:ascii="標楷體" w:eastAsia="標楷體" w:hAnsi="標楷體" w:hint="eastAsia"/>
                <w:kern w:val="2"/>
                <w:szCs w:val="24"/>
              </w:rPr>
              <w:t>.</w:t>
            </w:r>
            <w:r w:rsidRPr="007D6FF3">
              <w:rPr>
                <w:rFonts w:ascii="標楷體" w:eastAsia="標楷體" w:hAnsi="標楷體"/>
                <w:kern w:val="2"/>
                <w:szCs w:val="24"/>
              </w:rPr>
              <w:t>24</w:t>
            </w:r>
            <w:r w:rsidRPr="007D6FF3">
              <w:rPr>
                <w:rFonts w:ascii="標楷體" w:eastAsia="標楷體" w:hAnsi="標楷體" w:hint="eastAsia"/>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2137AE47" w14:textId="77777777" w:rsidR="007D160C" w:rsidRPr="00D9107B" w:rsidRDefault="007D160C" w:rsidP="00F470A8">
            <w:pPr>
              <w:widowControl w:val="0"/>
              <w:overflowPunct w:val="0"/>
              <w:spacing w:line="320" w:lineRule="exact"/>
              <w:jc w:val="both"/>
              <w:rPr>
                <w:rFonts w:ascii="標楷體" w:eastAsia="標楷體" w:hAnsi="標楷體"/>
                <w:kern w:val="2"/>
                <w:szCs w:val="24"/>
              </w:rPr>
            </w:pPr>
          </w:p>
        </w:tc>
      </w:tr>
      <w:tr w:rsidR="007D160C" w:rsidRPr="00D9107B" w14:paraId="675B47F5" w14:textId="77777777" w:rsidTr="00C56C43">
        <w:trPr>
          <w:cantSplit/>
          <w:trHeight w:val="1020"/>
          <w:jc w:val="center"/>
        </w:trPr>
        <w:tc>
          <w:tcPr>
            <w:tcW w:w="562" w:type="dxa"/>
            <w:tcBorders>
              <w:top w:val="single" w:sz="4" w:space="0" w:color="auto"/>
              <w:left w:val="single" w:sz="4" w:space="0" w:color="auto"/>
              <w:bottom w:val="single" w:sz="12" w:space="0" w:color="auto"/>
              <w:right w:val="single" w:sz="4" w:space="0" w:color="auto"/>
            </w:tcBorders>
          </w:tcPr>
          <w:p w14:paraId="6D97CB7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73668E6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(密）金融監督管理委員會</w:t>
            </w:r>
            <w:r w:rsidRPr="00D9107B">
              <w:rPr>
                <w:rFonts w:ascii="標楷體" w:eastAsia="標楷體" w:hAnsi="標楷體"/>
                <w:kern w:val="2"/>
                <w:szCs w:val="24"/>
              </w:rPr>
              <w:t>函送所屬周邊單位之董事長、總經理，及專任人員由公務員退休轉任者之薪資、獎金、月退俸及優惠存款等資料案。</w:t>
            </w:r>
          </w:p>
        </w:tc>
        <w:tc>
          <w:tcPr>
            <w:tcW w:w="2551" w:type="dxa"/>
            <w:tcBorders>
              <w:top w:val="single" w:sz="4" w:space="0" w:color="auto"/>
              <w:left w:val="single" w:sz="4" w:space="0" w:color="auto"/>
              <w:bottom w:val="single" w:sz="12" w:space="0" w:color="auto"/>
              <w:right w:val="single" w:sz="4" w:space="0" w:color="auto"/>
            </w:tcBorders>
          </w:tcPr>
          <w:p w14:paraId="407188A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第10屆第3會期第6次院會</w:t>
            </w:r>
            <w:r w:rsidRPr="007D6FF3">
              <w:rPr>
                <w:rFonts w:ascii="標楷體" w:eastAsia="標楷體" w:hAnsi="標楷體" w:hint="eastAsia"/>
                <w:spacing w:val="-20"/>
                <w:kern w:val="2"/>
                <w:szCs w:val="24"/>
              </w:rPr>
              <w:t>（110.</w:t>
            </w:r>
            <w:r w:rsidRPr="007D6FF3">
              <w:rPr>
                <w:rFonts w:ascii="標楷體" w:eastAsia="標楷體" w:hAnsi="標楷體"/>
                <w:spacing w:val="-20"/>
                <w:kern w:val="2"/>
                <w:szCs w:val="24"/>
              </w:rPr>
              <w:t>4</w:t>
            </w:r>
            <w:r w:rsidRPr="007D6FF3">
              <w:rPr>
                <w:rFonts w:ascii="標楷體" w:eastAsia="標楷體" w:hAnsi="標楷體" w:hint="eastAsia"/>
                <w:spacing w:val="-20"/>
                <w:kern w:val="2"/>
                <w:szCs w:val="24"/>
              </w:rPr>
              <w:t>.6）</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12" w:space="0" w:color="auto"/>
              <w:right w:val="single" w:sz="4" w:space="0" w:color="auto"/>
            </w:tcBorders>
            <w:vAlign w:val="center"/>
          </w:tcPr>
          <w:p w14:paraId="5E93CE3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B95A07" w14:paraId="6D8BDB90" w14:textId="77777777" w:rsidTr="00C56C43">
        <w:trPr>
          <w:cantSplit/>
          <w:trHeight w:val="1020"/>
          <w:jc w:val="center"/>
        </w:trPr>
        <w:tc>
          <w:tcPr>
            <w:tcW w:w="562" w:type="dxa"/>
            <w:tcBorders>
              <w:top w:val="single" w:sz="12" w:space="0" w:color="auto"/>
              <w:left w:val="single" w:sz="4" w:space="0" w:color="auto"/>
              <w:bottom w:val="single" w:sz="4" w:space="0" w:color="auto"/>
              <w:right w:val="single" w:sz="4" w:space="0" w:color="auto"/>
            </w:tcBorders>
          </w:tcPr>
          <w:p w14:paraId="33E46762"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5C5EEB3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金融監督管理委員會函為111年度中央政府總預算決議，檢送檢查局決議（八）、（十一）及（十六）書面報告案。</w:t>
            </w:r>
          </w:p>
        </w:tc>
        <w:tc>
          <w:tcPr>
            <w:tcW w:w="2551" w:type="dxa"/>
            <w:tcBorders>
              <w:top w:val="single" w:sz="12" w:space="0" w:color="auto"/>
              <w:left w:val="single" w:sz="4" w:space="0" w:color="auto"/>
              <w:bottom w:val="single" w:sz="4" w:space="0" w:color="auto"/>
              <w:right w:val="single" w:sz="4" w:space="0" w:color="auto"/>
            </w:tcBorders>
          </w:tcPr>
          <w:p w14:paraId="4072D4A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val="restart"/>
            <w:tcBorders>
              <w:top w:val="single" w:sz="12" w:space="0" w:color="auto"/>
              <w:left w:val="single" w:sz="4" w:space="0" w:color="auto"/>
              <w:right w:val="single" w:sz="4" w:space="0" w:color="auto"/>
            </w:tcBorders>
          </w:tcPr>
          <w:p w14:paraId="1054060C"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1.因逾年度預算執行期間，本會於113.9.30函議事處提報院會准予備查。</w:t>
            </w:r>
          </w:p>
          <w:p w14:paraId="0278C0DF"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szCs w:val="24"/>
              </w:rPr>
              <w:t>2.第11屆第2會期第5次院會</w:t>
            </w:r>
            <w:r w:rsidRPr="00394F2D">
              <w:rPr>
                <w:rFonts w:ascii="標楷體" w:eastAsia="標楷體" w:hAnsi="標楷體" w:hint="eastAsia"/>
                <w:spacing w:val="-20"/>
                <w:szCs w:val="24"/>
              </w:rPr>
              <w:t>(113.10.18)</w:t>
            </w:r>
            <w:r w:rsidRPr="006D3699">
              <w:rPr>
                <w:rFonts w:ascii="標楷體" w:eastAsia="標楷體" w:hAnsi="標楷體" w:hint="eastAsia"/>
                <w:szCs w:val="24"/>
              </w:rPr>
              <w:t>決定：准予備查。</w:t>
            </w:r>
          </w:p>
        </w:tc>
      </w:tr>
      <w:tr w:rsidR="007D160C" w:rsidRPr="00B95A07" w14:paraId="6222B7B3"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9731821"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F717B4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金融監督管理委員會函為111年度中央政府總預算決議，檢送保險業務招攬違規行為書面報告案。</w:t>
            </w:r>
          </w:p>
        </w:tc>
        <w:tc>
          <w:tcPr>
            <w:tcW w:w="2551" w:type="dxa"/>
            <w:tcBorders>
              <w:top w:val="single" w:sz="4" w:space="0" w:color="auto"/>
              <w:left w:val="single" w:sz="4" w:space="0" w:color="auto"/>
              <w:bottom w:val="single" w:sz="4" w:space="0" w:color="auto"/>
              <w:right w:val="single" w:sz="4" w:space="0" w:color="auto"/>
            </w:tcBorders>
          </w:tcPr>
          <w:p w14:paraId="7F937C6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8196AC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B657AB6"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68EE3294"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5174ED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金融監督管理委員會函為111年度中央政府總預算決議，檢送「研議加強檢查金融控股公司之共同行銷、個人資料保護等相關規範」書面報告案。</w:t>
            </w:r>
          </w:p>
        </w:tc>
        <w:tc>
          <w:tcPr>
            <w:tcW w:w="2551" w:type="dxa"/>
            <w:tcBorders>
              <w:top w:val="single" w:sz="4" w:space="0" w:color="auto"/>
              <w:left w:val="single" w:sz="4" w:space="0" w:color="auto"/>
              <w:bottom w:val="single" w:sz="4" w:space="0" w:color="auto"/>
              <w:right w:val="single" w:sz="4" w:space="0" w:color="auto"/>
            </w:tcBorders>
          </w:tcPr>
          <w:p w14:paraId="3A37E68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D943FE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E4D40E"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F214526"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66A30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金融監督管理委員會函為111年度中央政府總預算決議，檢送金融機構之內稽內控規範與外部監理懲處書面報告案。</w:t>
            </w:r>
          </w:p>
        </w:tc>
        <w:tc>
          <w:tcPr>
            <w:tcW w:w="2551" w:type="dxa"/>
            <w:tcBorders>
              <w:top w:val="single" w:sz="4" w:space="0" w:color="auto"/>
              <w:left w:val="single" w:sz="4" w:space="0" w:color="auto"/>
              <w:bottom w:val="single" w:sz="4" w:space="0" w:color="auto"/>
              <w:right w:val="single" w:sz="4" w:space="0" w:color="auto"/>
            </w:tcBorders>
          </w:tcPr>
          <w:p w14:paraId="5E888C9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787842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3F3D883"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9A816C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07E5CC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金融監督管理委員會函為111年度中央政府總預算決議，檢送「保單借款優惠利率紓困方案比照勞保紓困貸款常態化之研議結果」書面報告案。</w:t>
            </w:r>
          </w:p>
        </w:tc>
        <w:tc>
          <w:tcPr>
            <w:tcW w:w="2551" w:type="dxa"/>
            <w:tcBorders>
              <w:top w:val="single" w:sz="4" w:space="0" w:color="auto"/>
              <w:left w:val="single" w:sz="4" w:space="0" w:color="auto"/>
              <w:bottom w:val="single" w:sz="4" w:space="0" w:color="auto"/>
              <w:right w:val="single" w:sz="4" w:space="0" w:color="auto"/>
            </w:tcBorders>
          </w:tcPr>
          <w:p w14:paraId="0ABB317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A665C6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094C6FB"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4CC5E9C3"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FA5C5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金融監督管理委員會函送111年度第1季「辦理政策及業務宣導之執行情形表」案。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758F885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1E6E8298"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02DBAF6"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36A242C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9E8C3F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金融監督管理委員會函送111年度第1季「對民間團體及個人補（捐）助經費彙總表」案。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41B2448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6EFCB80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65AF206"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56A737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FDC7F0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490352B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F882E0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74A4DA9"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A03B97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BEE78D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金融監督管理委員會函為111年度中央政府總預算決議，檢送該會主管第1項決議（三十）書面報告案。</w:t>
            </w:r>
          </w:p>
        </w:tc>
        <w:tc>
          <w:tcPr>
            <w:tcW w:w="2551" w:type="dxa"/>
            <w:tcBorders>
              <w:top w:val="single" w:sz="4" w:space="0" w:color="auto"/>
              <w:left w:val="single" w:sz="4" w:space="0" w:color="auto"/>
              <w:bottom w:val="single" w:sz="4" w:space="0" w:color="auto"/>
              <w:right w:val="single" w:sz="4" w:space="0" w:color="auto"/>
            </w:tcBorders>
          </w:tcPr>
          <w:p w14:paraId="369EF14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A9AFF8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558554D"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892483F"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EEAA2D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金融監督管理委員會函為111年度中央政府總預算決議，檢送該會主管第1項決議（七十二）書面報告案。</w:t>
            </w:r>
          </w:p>
        </w:tc>
        <w:tc>
          <w:tcPr>
            <w:tcW w:w="2551" w:type="dxa"/>
            <w:tcBorders>
              <w:top w:val="single" w:sz="4" w:space="0" w:color="auto"/>
              <w:left w:val="single" w:sz="4" w:space="0" w:color="auto"/>
              <w:bottom w:val="single" w:sz="4" w:space="0" w:color="auto"/>
              <w:right w:val="single" w:sz="4" w:space="0" w:color="auto"/>
            </w:tcBorders>
          </w:tcPr>
          <w:p w14:paraId="2A75884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9FA609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02C5D8D"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78CD39B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2C445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金融監督管理委員會函為111年度中央政府總預算決議，檢送該會主管第1項決議（六十八）書面報告案。</w:t>
            </w:r>
          </w:p>
        </w:tc>
        <w:tc>
          <w:tcPr>
            <w:tcW w:w="2551" w:type="dxa"/>
            <w:tcBorders>
              <w:top w:val="single" w:sz="4" w:space="0" w:color="auto"/>
              <w:left w:val="single" w:sz="4" w:space="0" w:color="auto"/>
              <w:bottom w:val="single" w:sz="4" w:space="0" w:color="auto"/>
              <w:right w:val="single" w:sz="4" w:space="0" w:color="auto"/>
            </w:tcBorders>
          </w:tcPr>
          <w:p w14:paraId="6147EC8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F497579"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24651E1" w14:textId="77777777" w:rsidTr="001B1EFB">
        <w:trPr>
          <w:cantSplit/>
          <w:trHeight w:val="1020"/>
          <w:jc w:val="center"/>
        </w:trPr>
        <w:tc>
          <w:tcPr>
            <w:tcW w:w="562" w:type="dxa"/>
            <w:tcBorders>
              <w:top w:val="single" w:sz="4" w:space="0" w:color="auto"/>
              <w:left w:val="single" w:sz="4" w:space="0" w:color="auto"/>
              <w:bottom w:val="single" w:sz="4" w:space="0" w:color="auto"/>
              <w:right w:val="single" w:sz="4" w:space="0" w:color="auto"/>
            </w:tcBorders>
          </w:tcPr>
          <w:p w14:paraId="210DC5B6"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866A8A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金融監督管理委員會函為111年度中央政府總預算決議，檢送該會主管第1項決議（七十）書面報告案。</w:t>
            </w:r>
          </w:p>
        </w:tc>
        <w:tc>
          <w:tcPr>
            <w:tcW w:w="2551" w:type="dxa"/>
            <w:tcBorders>
              <w:top w:val="single" w:sz="4" w:space="0" w:color="auto"/>
              <w:left w:val="single" w:sz="4" w:space="0" w:color="auto"/>
              <w:bottom w:val="single" w:sz="4" w:space="0" w:color="auto"/>
              <w:right w:val="single" w:sz="4" w:space="0" w:color="auto"/>
            </w:tcBorders>
          </w:tcPr>
          <w:p w14:paraId="0560670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5E5D745F"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590B135" w14:textId="77777777" w:rsidTr="001B1EFB">
        <w:trPr>
          <w:trHeight w:val="491"/>
          <w:jc w:val="center"/>
        </w:trPr>
        <w:tc>
          <w:tcPr>
            <w:tcW w:w="9634" w:type="dxa"/>
            <w:gridSpan w:val="4"/>
            <w:tcBorders>
              <w:top w:val="single" w:sz="12" w:space="0" w:color="auto"/>
              <w:left w:val="single" w:sz="2" w:space="0" w:color="auto"/>
              <w:bottom w:val="single" w:sz="12" w:space="0" w:color="auto"/>
              <w:right w:val="single" w:sz="4" w:space="0" w:color="auto"/>
            </w:tcBorders>
            <w:vAlign w:val="center"/>
          </w:tcPr>
          <w:p w14:paraId="1EBFF7C3"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3.行政院主計總處主管（</w:t>
            </w:r>
            <w:r>
              <w:rPr>
                <w:rFonts w:ascii="標楷體" w:eastAsia="標楷體" w:hAnsi="標楷體" w:hint="eastAsia"/>
                <w:b/>
                <w:kern w:val="2"/>
                <w:sz w:val="28"/>
                <w:szCs w:val="28"/>
              </w:rPr>
              <w:t>31</w:t>
            </w:r>
            <w:r w:rsidRPr="00D9107B">
              <w:rPr>
                <w:rFonts w:ascii="標楷體" w:eastAsia="標楷體" w:hAnsi="標楷體" w:hint="eastAsia"/>
                <w:b/>
                <w:kern w:val="2"/>
                <w:sz w:val="28"/>
                <w:szCs w:val="28"/>
              </w:rPr>
              <w:t>案）</w:t>
            </w:r>
          </w:p>
        </w:tc>
      </w:tr>
      <w:tr w:rsidR="007D160C" w:rsidRPr="00D9107B" w14:paraId="6EAD438B"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5AEB0F06"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6AC520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行政院主計總處函為</w:t>
            </w:r>
            <w:r w:rsidRPr="00D9107B">
              <w:rPr>
                <w:rFonts w:ascii="標楷體" w:eastAsia="標楷體" w:hAnsi="標楷體"/>
                <w:kern w:val="2"/>
                <w:szCs w:val="24"/>
              </w:rPr>
              <w:t>110年度中央政府總預算決議，檢送內部組織人員編制運用合理性書面報告案。</w:t>
            </w:r>
          </w:p>
        </w:tc>
        <w:tc>
          <w:tcPr>
            <w:tcW w:w="2551" w:type="dxa"/>
            <w:tcBorders>
              <w:top w:val="single" w:sz="4" w:space="0" w:color="auto"/>
              <w:left w:val="single" w:sz="4" w:space="0" w:color="auto"/>
              <w:bottom w:val="single" w:sz="4" w:space="0" w:color="auto"/>
              <w:right w:val="single" w:sz="4" w:space="0" w:color="auto"/>
            </w:tcBorders>
          </w:tcPr>
          <w:p w14:paraId="1BD422F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第10屆第3會期第9次院會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10</w:t>
            </w:r>
            <w:r w:rsidRPr="007D6FF3">
              <w:rPr>
                <w:rFonts w:ascii="標楷體" w:eastAsia="標楷體" w:hAnsi="標楷體" w:hint="eastAsia"/>
                <w:spacing w:val="-20"/>
                <w:kern w:val="2"/>
                <w:szCs w:val="24"/>
              </w:rPr>
              <w:t>.</w:t>
            </w:r>
            <w:r w:rsidRPr="007D6FF3">
              <w:rPr>
                <w:rFonts w:ascii="標楷體" w:eastAsia="標楷體" w:hAnsi="標楷體"/>
                <w:spacing w:val="-20"/>
                <w:kern w:val="2"/>
                <w:szCs w:val="24"/>
              </w:rPr>
              <w:t>4</w:t>
            </w:r>
            <w:r w:rsidRPr="007D6FF3">
              <w:rPr>
                <w:rFonts w:ascii="標楷體" w:eastAsia="標楷體" w:hAnsi="標楷體" w:hint="eastAsia"/>
                <w:spacing w:val="-20"/>
                <w:kern w:val="2"/>
                <w:szCs w:val="24"/>
              </w:rPr>
              <w:t>.</w:t>
            </w:r>
            <w:r w:rsidRPr="007D6FF3">
              <w:rPr>
                <w:rFonts w:ascii="標楷體" w:eastAsia="標楷體" w:hAnsi="標楷體"/>
                <w:spacing w:val="-20"/>
                <w:kern w:val="2"/>
                <w:szCs w:val="24"/>
              </w:rPr>
              <w:t>23</w:t>
            </w:r>
            <w:r w:rsidRPr="007D6FF3">
              <w:rPr>
                <w:rFonts w:ascii="標楷體" w:eastAsia="標楷體" w:hAnsi="標楷體" w:hint="eastAsia"/>
                <w:spacing w:val="-20"/>
                <w:kern w:val="2"/>
                <w:szCs w:val="24"/>
              </w:rPr>
              <w:t>）</w:t>
            </w:r>
            <w:r w:rsidRPr="00D9107B">
              <w:rPr>
                <w:rFonts w:ascii="標楷體" w:eastAsia="標楷體" w:hAnsi="標楷體" w:hint="eastAsia"/>
                <w:kern w:val="2"/>
                <w:szCs w:val="24"/>
              </w:rPr>
              <w:t>決定：「交財政委員會審查」</w:t>
            </w:r>
          </w:p>
        </w:tc>
        <w:tc>
          <w:tcPr>
            <w:tcW w:w="2268" w:type="dxa"/>
            <w:vMerge w:val="restart"/>
            <w:tcBorders>
              <w:top w:val="single" w:sz="4" w:space="0" w:color="auto"/>
              <w:left w:val="single" w:sz="4" w:space="0" w:color="auto"/>
              <w:right w:val="single" w:sz="4" w:space="0" w:color="auto"/>
            </w:tcBorders>
          </w:tcPr>
          <w:p w14:paraId="344D8B89"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szCs w:val="24"/>
              </w:rPr>
            </w:pPr>
            <w:r w:rsidRPr="00317A96">
              <w:rPr>
                <w:rFonts w:ascii="標楷體" w:eastAsia="標楷體" w:hAnsi="標楷體" w:hint="eastAsia"/>
                <w:szCs w:val="24"/>
              </w:rPr>
              <w:t>1.</w:t>
            </w:r>
            <w:r w:rsidRPr="00D9107B">
              <w:rPr>
                <w:rFonts w:ascii="標楷體" w:eastAsia="標楷體" w:hAnsi="標楷體" w:hint="eastAsia"/>
                <w:szCs w:val="24"/>
              </w:rPr>
              <w:t>因逾年度預算執行期間，本會於113.7.5函議事處提報院會准予備查。</w:t>
            </w:r>
          </w:p>
          <w:p w14:paraId="1DEED6A5"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3DE9E2F0"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08050FE7"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53FD3A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行政院主計總處函為</w:t>
            </w:r>
            <w:r w:rsidRPr="00D9107B">
              <w:rPr>
                <w:rFonts w:ascii="標楷體" w:eastAsia="標楷體" w:hAnsi="標楷體"/>
                <w:kern w:val="2"/>
                <w:szCs w:val="24"/>
              </w:rPr>
              <w:t>110年度中央政府總預算決議，檢送研議精進CPI房屋租金指數調查書面報告案。</w:t>
            </w:r>
          </w:p>
        </w:tc>
        <w:tc>
          <w:tcPr>
            <w:tcW w:w="2551" w:type="dxa"/>
            <w:tcBorders>
              <w:top w:val="single" w:sz="4" w:space="0" w:color="auto"/>
              <w:left w:val="single" w:sz="4" w:space="0" w:color="auto"/>
              <w:bottom w:val="single" w:sz="4" w:space="0" w:color="auto"/>
              <w:right w:val="single" w:sz="4" w:space="0" w:color="auto"/>
            </w:tcBorders>
          </w:tcPr>
          <w:p w14:paraId="3CA88DFB"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第10屆第3會期第1</w:t>
            </w:r>
            <w:r w:rsidRPr="00D9107B">
              <w:rPr>
                <w:rFonts w:ascii="標楷體" w:eastAsia="標楷體" w:hAnsi="標楷體"/>
                <w:kern w:val="2"/>
                <w:szCs w:val="24"/>
              </w:rPr>
              <w:t>2</w:t>
            </w:r>
            <w:r w:rsidRPr="00D9107B">
              <w:rPr>
                <w:rFonts w:ascii="標楷體" w:eastAsia="標楷體" w:hAnsi="標楷體" w:hint="eastAsia"/>
                <w:kern w:val="2"/>
                <w:szCs w:val="24"/>
              </w:rPr>
              <w:t>次院會（1</w:t>
            </w:r>
            <w:r w:rsidRPr="00D9107B">
              <w:rPr>
                <w:rFonts w:ascii="標楷體" w:eastAsia="標楷體" w:hAnsi="標楷體"/>
                <w:kern w:val="2"/>
                <w:szCs w:val="24"/>
              </w:rPr>
              <w:t>10</w:t>
            </w:r>
            <w:r w:rsidRPr="00D9107B">
              <w:rPr>
                <w:rFonts w:ascii="標楷體" w:eastAsia="標楷體" w:hAnsi="標楷體" w:hint="eastAsia"/>
                <w:kern w:val="2"/>
                <w:szCs w:val="24"/>
              </w:rPr>
              <w:t>.5.</w:t>
            </w:r>
            <w:r w:rsidRPr="00D9107B">
              <w:rPr>
                <w:rFonts w:ascii="標楷體" w:eastAsia="標楷體" w:hAnsi="標楷體"/>
                <w:kern w:val="2"/>
                <w:szCs w:val="24"/>
              </w:rPr>
              <w:t>14</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295BB2D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34FE9EB4"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0B3E76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0C2436D"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行政院函為110年度中央政府總預算附屬單位預算決議，檢送「非營業特種基金存續與整併」專案報告案。</w:t>
            </w:r>
          </w:p>
        </w:tc>
        <w:tc>
          <w:tcPr>
            <w:tcW w:w="2551" w:type="dxa"/>
            <w:tcBorders>
              <w:top w:val="single" w:sz="4" w:space="0" w:color="auto"/>
              <w:left w:val="single" w:sz="4" w:space="0" w:color="auto"/>
              <w:bottom w:val="single" w:sz="4" w:space="0" w:color="auto"/>
              <w:right w:val="single" w:sz="4" w:space="0" w:color="auto"/>
            </w:tcBorders>
          </w:tcPr>
          <w:p w14:paraId="57A1659E"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第10屆第5會期第3次院會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1.3.11）</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5C44101"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DDAE847"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271B22FA"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5719A484"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內政部函送110年度對直轄市及縣（市）政府補助書面報告案。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DC931A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A836587"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4FB97CF"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720DA58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09560E1"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衛生福利部函為110年度中央政府總預算決議，檢送申請動支第二預備金含有萊克多巴胺豬肉稽查書面報告案。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DB24A04" w14:textId="77777777" w:rsidR="007D160C" w:rsidRPr="00D9107B" w:rsidRDefault="007D160C" w:rsidP="00F470A8">
            <w:pPr>
              <w:widowControl w:val="0"/>
              <w:overflowPunct w:val="0"/>
              <w:autoSpaceDN/>
              <w:spacing w:line="300" w:lineRule="exact"/>
              <w:jc w:val="both"/>
              <w:textAlignment w:val="auto"/>
              <w:rPr>
                <w:rFonts w:ascii="標楷體" w:eastAsia="標楷體" w:hAnsi="標楷體"/>
                <w:kern w:val="2"/>
                <w:szCs w:val="24"/>
              </w:rPr>
            </w:pPr>
            <w:r w:rsidRPr="00D9107B">
              <w:rPr>
                <w:rFonts w:ascii="標楷體" w:eastAsia="標楷體" w:hAnsi="標楷體"/>
                <w:kern w:val="2"/>
                <w:szCs w:val="24"/>
              </w:rPr>
              <w:t>第</w:t>
            </w:r>
            <w:r w:rsidRPr="00D9107B">
              <w:rPr>
                <w:rFonts w:ascii="標楷體" w:eastAsia="標楷體" w:hAnsi="標楷體" w:hint="eastAsia"/>
                <w:kern w:val="2"/>
                <w:szCs w:val="24"/>
              </w:rPr>
              <w:t>10</w:t>
            </w:r>
            <w:r w:rsidRPr="00D9107B">
              <w:rPr>
                <w:rFonts w:ascii="標楷體" w:eastAsia="標楷體" w:hAnsi="標楷體"/>
                <w:kern w:val="2"/>
                <w:szCs w:val="24"/>
              </w:rPr>
              <w:t>屆第</w:t>
            </w:r>
            <w:r w:rsidRPr="00D9107B">
              <w:rPr>
                <w:rFonts w:ascii="標楷體" w:eastAsia="標楷體" w:hAnsi="標楷體" w:hint="eastAsia"/>
                <w:kern w:val="2"/>
                <w:szCs w:val="24"/>
              </w:rPr>
              <w:t>4</w:t>
            </w:r>
            <w:r w:rsidRPr="00D9107B">
              <w:rPr>
                <w:rFonts w:ascii="標楷體" w:eastAsia="標楷體" w:hAnsi="標楷體"/>
                <w:kern w:val="2"/>
                <w:szCs w:val="24"/>
              </w:rPr>
              <w:t>會期第</w:t>
            </w:r>
            <w:r w:rsidRPr="00D9107B">
              <w:rPr>
                <w:rFonts w:ascii="標楷體" w:eastAsia="標楷體" w:hAnsi="標楷體" w:hint="eastAsia"/>
                <w:kern w:val="2"/>
                <w:szCs w:val="24"/>
              </w:rPr>
              <w:t>9次</w:t>
            </w:r>
            <w:r w:rsidRPr="00D9107B">
              <w:rPr>
                <w:rFonts w:ascii="標楷體" w:eastAsia="標楷體" w:hAnsi="標楷體"/>
                <w:kern w:val="2"/>
                <w:szCs w:val="24"/>
              </w:rPr>
              <w:t>院會</w:t>
            </w:r>
            <w:r w:rsidRPr="007D6FF3">
              <w:rPr>
                <w:rFonts w:ascii="標楷體" w:eastAsia="標楷體" w:hAnsi="標楷體"/>
                <w:kern w:val="2"/>
                <w:szCs w:val="24"/>
              </w:rPr>
              <w:t>（110.</w:t>
            </w:r>
            <w:r w:rsidRPr="007D6FF3">
              <w:rPr>
                <w:rFonts w:ascii="標楷體" w:eastAsia="標楷體" w:hAnsi="標楷體" w:hint="eastAsia"/>
                <w:kern w:val="2"/>
                <w:szCs w:val="24"/>
              </w:rPr>
              <w:t>11</w:t>
            </w:r>
            <w:r w:rsidRPr="007D6FF3">
              <w:rPr>
                <w:rFonts w:ascii="標楷體" w:eastAsia="標楷體" w:hAnsi="標楷體"/>
                <w:kern w:val="2"/>
                <w:szCs w:val="24"/>
              </w:rPr>
              <w:t>.</w:t>
            </w:r>
            <w:r w:rsidRPr="007D6FF3">
              <w:rPr>
                <w:rFonts w:ascii="標楷體" w:eastAsia="標楷體" w:hAnsi="標楷體" w:hint="eastAsia"/>
                <w:kern w:val="2"/>
                <w:szCs w:val="24"/>
              </w:rPr>
              <w:t>12</w:t>
            </w:r>
            <w:r w:rsidRPr="007D6FF3">
              <w:rPr>
                <w:rFonts w:ascii="標楷體" w:eastAsia="標楷體" w:hAnsi="標楷體"/>
                <w:kern w:val="2"/>
                <w:szCs w:val="24"/>
              </w:rPr>
              <w:t>）</w:t>
            </w:r>
            <w:r w:rsidRPr="00D9107B">
              <w:rPr>
                <w:rFonts w:ascii="標楷體" w:eastAsia="標楷體" w:hAnsi="標楷體"/>
                <w:kern w:val="2"/>
                <w:szCs w:val="24"/>
              </w:rPr>
              <w:t>決定：「交財政委員會</w:t>
            </w:r>
            <w:r w:rsidRPr="00D9107B">
              <w:rPr>
                <w:rFonts w:ascii="標楷體" w:eastAsia="標楷體" w:hAnsi="標楷體" w:hint="eastAsia"/>
                <w:kern w:val="2"/>
                <w:szCs w:val="24"/>
              </w:rPr>
              <w:t>審查</w:t>
            </w:r>
            <w:r w:rsidRPr="00D9107B">
              <w:rPr>
                <w:rFonts w:ascii="標楷體" w:eastAsia="標楷體" w:hAnsi="標楷體"/>
                <w:kern w:val="2"/>
                <w:szCs w:val="24"/>
              </w:rPr>
              <w:t>」</w:t>
            </w:r>
          </w:p>
        </w:tc>
        <w:tc>
          <w:tcPr>
            <w:tcW w:w="2268" w:type="dxa"/>
            <w:vMerge/>
            <w:tcBorders>
              <w:left w:val="single" w:sz="4" w:space="0" w:color="auto"/>
              <w:right w:val="single" w:sz="4" w:space="0" w:color="auto"/>
            </w:tcBorders>
            <w:vAlign w:val="center"/>
          </w:tcPr>
          <w:p w14:paraId="4BCE50B9"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D9107B" w14:paraId="7BBD9F6E"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02FBA86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B7961B3"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衛生福利部函送</w:t>
            </w:r>
            <w:r w:rsidRPr="00D9107B">
              <w:rPr>
                <w:rFonts w:ascii="標楷體" w:eastAsia="標楷體" w:hAnsi="標楷體"/>
                <w:kern w:val="2"/>
                <w:szCs w:val="24"/>
              </w:rPr>
              <w:t>1</w:t>
            </w:r>
            <w:r w:rsidRPr="00D9107B">
              <w:rPr>
                <w:rFonts w:ascii="標楷體" w:eastAsia="標楷體" w:hAnsi="標楷體" w:hint="eastAsia"/>
                <w:kern w:val="2"/>
                <w:szCs w:val="24"/>
              </w:rPr>
              <w:t>10</w:t>
            </w:r>
            <w:r w:rsidRPr="00D9107B">
              <w:rPr>
                <w:rFonts w:ascii="標楷體" w:eastAsia="標楷體" w:hAnsi="標楷體"/>
                <w:kern w:val="2"/>
                <w:szCs w:val="24"/>
              </w:rPr>
              <w:t>年度對直轄市</w:t>
            </w:r>
            <w:r w:rsidRPr="00D9107B">
              <w:rPr>
                <w:rFonts w:ascii="標楷體" w:eastAsia="標楷體" w:hAnsi="標楷體" w:hint="eastAsia"/>
                <w:kern w:val="2"/>
                <w:szCs w:val="24"/>
              </w:rPr>
              <w:t>或</w:t>
            </w:r>
            <w:r w:rsidRPr="00D9107B">
              <w:rPr>
                <w:rFonts w:ascii="標楷體" w:eastAsia="標楷體" w:hAnsi="標楷體"/>
                <w:kern w:val="2"/>
                <w:szCs w:val="24"/>
              </w:rPr>
              <w:t>縣市政府</w:t>
            </w:r>
            <w:r w:rsidRPr="00D9107B">
              <w:rPr>
                <w:rFonts w:ascii="標楷體" w:eastAsia="標楷體" w:hAnsi="標楷體" w:hint="eastAsia"/>
                <w:kern w:val="2"/>
                <w:szCs w:val="24"/>
              </w:rPr>
              <w:t>計畫型</w:t>
            </w:r>
            <w:r w:rsidRPr="00D9107B">
              <w:rPr>
                <w:rFonts w:ascii="標楷體" w:eastAsia="標楷體" w:hAnsi="標楷體"/>
                <w:kern w:val="2"/>
                <w:szCs w:val="24"/>
              </w:rPr>
              <w:t>補助</w:t>
            </w:r>
            <w:r w:rsidRPr="00D9107B">
              <w:rPr>
                <w:rFonts w:ascii="標楷體" w:eastAsia="標楷體" w:hAnsi="標楷體" w:hint="eastAsia"/>
                <w:kern w:val="2"/>
                <w:szCs w:val="24"/>
              </w:rPr>
              <w:t>情形</w:t>
            </w:r>
            <w:r w:rsidRPr="00D9107B">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tcPr>
          <w:p w14:paraId="4AA5CC6C" w14:textId="77777777" w:rsidR="007D160C" w:rsidRPr="00D9107B" w:rsidRDefault="007D160C" w:rsidP="00F470A8">
            <w:pPr>
              <w:widowControl w:val="0"/>
              <w:overflowPunct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第10屆第5會期第14次院會（1</w:t>
            </w:r>
            <w:r w:rsidRPr="00D9107B">
              <w:rPr>
                <w:rFonts w:ascii="標楷體" w:eastAsia="標楷體" w:hAnsi="標楷體"/>
                <w:kern w:val="2"/>
                <w:szCs w:val="24"/>
              </w:rPr>
              <w:t>1</w:t>
            </w:r>
            <w:r w:rsidRPr="00D9107B">
              <w:rPr>
                <w:rFonts w:ascii="標楷體" w:eastAsia="標楷體" w:hAnsi="標楷體" w:hint="eastAsia"/>
                <w:kern w:val="2"/>
                <w:szCs w:val="24"/>
              </w:rPr>
              <w:t>1.5.27）決定：「交財政委員會審查」</w:t>
            </w:r>
          </w:p>
        </w:tc>
        <w:tc>
          <w:tcPr>
            <w:tcW w:w="2268" w:type="dxa"/>
            <w:vMerge/>
            <w:tcBorders>
              <w:left w:val="single" w:sz="4" w:space="0" w:color="auto"/>
              <w:right w:val="single" w:sz="4" w:space="0" w:color="auto"/>
            </w:tcBorders>
            <w:vAlign w:val="center"/>
          </w:tcPr>
          <w:p w14:paraId="55A0252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D9107B" w14:paraId="4499868D"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349A387F"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B762B98"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經濟部函送110年度對直轄市及縣（市）政府補助書面報告案。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1F731653"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D2C3928"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1C8DD178"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0CBB2F4"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319D0B6A"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國家發展委員會函送110年度對直轄市及縣（市）政府補助書面報告案。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70CBB40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1C563A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2AF6D03E"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07A9B879"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15169F33"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行政院農業委員會函送110年度對直轄市及縣（市）政府補助書面報告案。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1FE62592"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B3C14CD"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7B47F1A4"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99FB735"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5F44608B"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國家通訊傳播委員會函送110年度對直轄市及縣（市）政府補助書面報告案。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5D388AB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第10屆第6會期第2次院會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1.9.30）</w:t>
            </w:r>
            <w:r w:rsidRPr="00D9107B">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D2F511F"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518FF827"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120E298D"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445CBB32"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行政院環境保護署函送110年度對直轄市及縣（市）政府補助書面報告案。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3486571D"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shd w:val="clear" w:color="auto" w:fill="auto"/>
            <w:vAlign w:val="center"/>
          </w:tcPr>
          <w:p w14:paraId="20C8C73B"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4C8789F4" w14:textId="77777777" w:rsidTr="00C56C43">
        <w:trPr>
          <w:cantSplit/>
          <w:trHeight w:val="934"/>
          <w:jc w:val="center"/>
        </w:trPr>
        <w:tc>
          <w:tcPr>
            <w:tcW w:w="562" w:type="dxa"/>
            <w:tcBorders>
              <w:top w:val="single" w:sz="4" w:space="0" w:color="auto"/>
              <w:left w:val="single" w:sz="4" w:space="0" w:color="auto"/>
              <w:bottom w:val="single" w:sz="12" w:space="0" w:color="auto"/>
              <w:right w:val="single" w:sz="4" w:space="0" w:color="auto"/>
            </w:tcBorders>
          </w:tcPr>
          <w:p w14:paraId="1B2FC238"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shd w:val="clear" w:color="auto" w:fill="auto"/>
          </w:tcPr>
          <w:p w14:paraId="123A8DDA" w14:textId="77777777" w:rsidR="007D160C" w:rsidRPr="00D9107B"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勞動部函送110年度對直轄市及縣（市）政府補助書面報告案。</w:t>
            </w:r>
          </w:p>
        </w:tc>
        <w:tc>
          <w:tcPr>
            <w:tcW w:w="2551" w:type="dxa"/>
            <w:tcBorders>
              <w:top w:val="single" w:sz="4" w:space="0" w:color="auto"/>
              <w:left w:val="single" w:sz="4" w:space="0" w:color="auto"/>
              <w:bottom w:val="single" w:sz="12" w:space="0" w:color="auto"/>
              <w:right w:val="single" w:sz="4" w:space="0" w:color="auto"/>
            </w:tcBorders>
            <w:shd w:val="clear" w:color="auto" w:fill="FFFFFF"/>
          </w:tcPr>
          <w:p w14:paraId="6B609DD0" w14:textId="77777777" w:rsidR="007D160C" w:rsidRPr="00D9107B" w:rsidRDefault="007D160C" w:rsidP="00F470A8">
            <w:pPr>
              <w:widowControl w:val="0"/>
              <w:overflowPunct w:val="0"/>
              <w:autoSpaceDN/>
              <w:spacing w:line="32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第10屆第6會期第5次院會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11</w:t>
            </w:r>
            <w:r w:rsidRPr="007D6FF3">
              <w:rPr>
                <w:rFonts w:ascii="標楷體" w:eastAsia="標楷體" w:hAnsi="標楷體" w:hint="eastAsia"/>
                <w:spacing w:val="-20"/>
                <w:kern w:val="2"/>
                <w:szCs w:val="24"/>
              </w:rPr>
              <w:t>.10.28</w:t>
            </w:r>
            <w:r w:rsidRPr="007D6FF3">
              <w:rPr>
                <w:rFonts w:ascii="標楷體" w:eastAsia="標楷體" w:hAnsi="標楷體"/>
                <w:spacing w:val="-20"/>
                <w:kern w:val="2"/>
                <w:szCs w:val="24"/>
              </w:rPr>
              <w:t>)</w:t>
            </w:r>
            <w:r w:rsidRPr="00D9107B">
              <w:rPr>
                <w:rFonts w:ascii="標楷體" w:eastAsia="標楷體" w:hAnsi="標楷體" w:hint="eastAsia"/>
                <w:kern w:val="2"/>
                <w:szCs w:val="24"/>
              </w:rPr>
              <w:t>決定：「交財政委員會審查」</w:t>
            </w:r>
          </w:p>
        </w:tc>
        <w:tc>
          <w:tcPr>
            <w:tcW w:w="2268" w:type="dxa"/>
            <w:vMerge/>
            <w:tcBorders>
              <w:left w:val="single" w:sz="4" w:space="0" w:color="auto"/>
              <w:bottom w:val="single" w:sz="12" w:space="0" w:color="auto"/>
              <w:right w:val="single" w:sz="4" w:space="0" w:color="auto"/>
            </w:tcBorders>
            <w:shd w:val="clear" w:color="auto" w:fill="auto"/>
            <w:vAlign w:val="center"/>
          </w:tcPr>
          <w:p w14:paraId="7493288C" w14:textId="77777777" w:rsidR="007D160C" w:rsidRPr="00D9107B"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1AB72601" w14:textId="77777777" w:rsidTr="00C56C43">
        <w:trPr>
          <w:cantSplit/>
          <w:trHeight w:val="978"/>
          <w:jc w:val="center"/>
        </w:trPr>
        <w:tc>
          <w:tcPr>
            <w:tcW w:w="562" w:type="dxa"/>
            <w:tcBorders>
              <w:top w:val="single" w:sz="12" w:space="0" w:color="auto"/>
              <w:left w:val="single" w:sz="4" w:space="0" w:color="auto"/>
              <w:bottom w:val="single" w:sz="4" w:space="0" w:color="auto"/>
              <w:right w:val="single" w:sz="4" w:space="0" w:color="auto"/>
            </w:tcBorders>
          </w:tcPr>
          <w:p w14:paraId="06C442AA"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23E324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行政院主計總處函為111年度中央政府總預算決議，檢送經費來源移用以前年度歲計賸餘書面報告案。</w:t>
            </w:r>
          </w:p>
        </w:tc>
        <w:tc>
          <w:tcPr>
            <w:tcW w:w="2551" w:type="dxa"/>
            <w:tcBorders>
              <w:top w:val="single" w:sz="12" w:space="0" w:color="auto"/>
              <w:left w:val="single" w:sz="4" w:space="0" w:color="auto"/>
              <w:bottom w:val="single" w:sz="4" w:space="0" w:color="auto"/>
              <w:right w:val="single" w:sz="4" w:space="0" w:color="auto"/>
            </w:tcBorders>
          </w:tcPr>
          <w:p w14:paraId="171A877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val="restart"/>
            <w:tcBorders>
              <w:top w:val="single" w:sz="12" w:space="0" w:color="auto"/>
              <w:left w:val="single" w:sz="4" w:space="0" w:color="auto"/>
              <w:right w:val="single" w:sz="4" w:space="0" w:color="auto"/>
            </w:tcBorders>
          </w:tcPr>
          <w:p w14:paraId="6FCB74E8"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1.因逾年度預算執行期間，本會於113.9.30函議事處提報院會准予備查。</w:t>
            </w:r>
          </w:p>
          <w:p w14:paraId="6B50ED94"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szCs w:val="24"/>
              </w:rPr>
              <w:t>2.第11屆第2會期第5次院會</w:t>
            </w:r>
            <w:r w:rsidRPr="00394F2D">
              <w:rPr>
                <w:rFonts w:ascii="標楷體" w:eastAsia="標楷體" w:hAnsi="標楷體" w:hint="eastAsia"/>
                <w:spacing w:val="-20"/>
                <w:szCs w:val="24"/>
              </w:rPr>
              <w:t>(</w:t>
            </w:r>
            <w:r w:rsidRPr="00394F2D">
              <w:rPr>
                <w:rFonts w:ascii="標楷體" w:eastAsia="標楷體" w:hAnsi="標楷體"/>
                <w:spacing w:val="-20"/>
                <w:szCs w:val="24"/>
              </w:rPr>
              <w:t>11</w:t>
            </w:r>
            <w:r w:rsidRPr="00394F2D">
              <w:rPr>
                <w:rFonts w:ascii="標楷體" w:eastAsia="標楷體" w:hAnsi="標楷體" w:hint="eastAsia"/>
                <w:spacing w:val="-20"/>
                <w:szCs w:val="24"/>
              </w:rPr>
              <w:t>3</w:t>
            </w:r>
            <w:r w:rsidRPr="00394F2D">
              <w:rPr>
                <w:rFonts w:ascii="標楷體" w:eastAsia="標楷體" w:hAnsi="標楷體"/>
                <w:spacing w:val="-20"/>
                <w:szCs w:val="24"/>
              </w:rPr>
              <w:t>.</w:t>
            </w:r>
            <w:r w:rsidRPr="00394F2D">
              <w:rPr>
                <w:rFonts w:ascii="標楷體" w:eastAsia="標楷體" w:hAnsi="標楷體" w:hint="eastAsia"/>
                <w:spacing w:val="-20"/>
                <w:szCs w:val="24"/>
              </w:rPr>
              <w:t>10</w:t>
            </w:r>
            <w:r w:rsidRPr="00394F2D">
              <w:rPr>
                <w:rFonts w:ascii="標楷體" w:eastAsia="標楷體" w:hAnsi="標楷體"/>
                <w:spacing w:val="-20"/>
                <w:szCs w:val="24"/>
              </w:rPr>
              <w:t>.</w:t>
            </w:r>
            <w:r w:rsidRPr="00394F2D">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59217510"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7F39A2BE"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61253D9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行政院主計總處函為111年度中央政府總預算決議，檢送地方預算編列及執行預警缺失改善成效書面報告案。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CB7EF4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6762ECC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E39E9E2"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7394D58E"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2FD19442"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行政院主計總處函為111年度中央政府總預算決議，檢送編列「災害準備金」統籌科目必要性書面報告案。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1631829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2</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046ABF4F"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32C13C8"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5ECE2EB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26E2CB05"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行政院主計總處函為111年度中央政府總預算決議，檢送降低財政赤字書面報告案。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5933C8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5C870733"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F6BFD2C"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0CFFBAD9"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49AFCC7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行政院主計總處函為111年度中央政府總預算決議，檢送揭露政策宣導預算執行全貌書面報告案。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7844669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321B6B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5C025DA1"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1CDC67B7"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4E838C28"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行政院主計總處函為111年度中央政府總預算決議，檢送改善歲出結構僵化情形書面報告案。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27A4A89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2E5267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BFF3D45"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61CEC99F"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5519B453"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行政院主計總處函為111年度中央政府總預算決議，檢送督促非營業特種基金檢討各項固定資產建設改良擴充計畫執行情形書面報告案。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5627ACA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B16FD46"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FC8ACB4"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19DE6DEA"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052B686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行政院主計總處函為111年度中央政府總預算決議，檢送強化基金財務責任書面報告案。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D51DCD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7891E34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D4F582A"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209638C1"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3E0C02E7"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行政院主計總處函為111年度中央政府總預算決議，檢送10年期財政收支健全書面報告案。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6DD839F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第10屆第6會期第6次院會</w:t>
            </w:r>
            <w:r w:rsidRPr="007D6FF3">
              <w:rPr>
                <w:rFonts w:ascii="標楷體" w:eastAsia="標楷體" w:hAnsi="標楷體" w:hint="eastAsia"/>
                <w:spacing w:val="-20"/>
                <w:kern w:val="2"/>
                <w:szCs w:val="24"/>
              </w:rPr>
              <w:t>（1</w:t>
            </w:r>
            <w:r w:rsidRPr="007D6FF3">
              <w:rPr>
                <w:rFonts w:ascii="標楷體" w:eastAsia="標楷體" w:hAnsi="標楷體"/>
                <w:spacing w:val="-20"/>
                <w:kern w:val="2"/>
                <w:szCs w:val="24"/>
              </w:rPr>
              <w:t>1</w:t>
            </w:r>
            <w:r w:rsidRPr="007D6FF3">
              <w:rPr>
                <w:rFonts w:ascii="標楷體" w:eastAsia="標楷體" w:hAnsi="標楷體" w:hint="eastAsia"/>
                <w:spacing w:val="-20"/>
                <w:kern w:val="2"/>
                <w:szCs w:val="24"/>
              </w:rPr>
              <w:t>1.11.4）</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1B35E2E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4E61CE03"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67F63AB1"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6C3686D1"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行政院主計總處函為111年度中央政府總預算決議，檢送部分縣市財務收支與資產負債評估書面報告案。</w:t>
            </w:r>
          </w:p>
        </w:tc>
        <w:tc>
          <w:tcPr>
            <w:tcW w:w="2551" w:type="dxa"/>
            <w:tcBorders>
              <w:top w:val="single" w:sz="4" w:space="0" w:color="auto"/>
              <w:left w:val="single" w:sz="4" w:space="0" w:color="auto"/>
              <w:bottom w:val="single" w:sz="4" w:space="0" w:color="auto"/>
              <w:right w:val="single" w:sz="4" w:space="0" w:color="auto"/>
            </w:tcBorders>
          </w:tcPr>
          <w:p w14:paraId="02DEFD0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3F9EE91D"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244E73EF" w14:textId="77777777" w:rsidTr="001B1EFB">
        <w:trPr>
          <w:cantSplit/>
          <w:trHeight w:val="978"/>
          <w:jc w:val="center"/>
        </w:trPr>
        <w:tc>
          <w:tcPr>
            <w:tcW w:w="562" w:type="dxa"/>
            <w:tcBorders>
              <w:top w:val="single" w:sz="4" w:space="0" w:color="auto"/>
              <w:left w:val="single" w:sz="4" w:space="0" w:color="auto"/>
              <w:bottom w:val="single" w:sz="4" w:space="0" w:color="auto"/>
              <w:right w:val="single" w:sz="4" w:space="0" w:color="auto"/>
            </w:tcBorders>
          </w:tcPr>
          <w:p w14:paraId="192916B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4" w:space="0" w:color="auto"/>
              <w:right w:val="single" w:sz="4" w:space="0" w:color="000000"/>
            </w:tcBorders>
            <w:shd w:val="clear" w:color="auto" w:fill="auto"/>
          </w:tcPr>
          <w:p w14:paraId="58594B36"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行政院主計總處函為111年度中央政府總預算決議，檢送決算實地查核書面報告案。</w:t>
            </w:r>
          </w:p>
        </w:tc>
        <w:tc>
          <w:tcPr>
            <w:tcW w:w="2551" w:type="dxa"/>
            <w:tcBorders>
              <w:top w:val="single" w:sz="4" w:space="0" w:color="auto"/>
              <w:left w:val="single" w:sz="4" w:space="0" w:color="auto"/>
              <w:bottom w:val="single" w:sz="4" w:space="0" w:color="auto"/>
              <w:right w:val="single" w:sz="4" w:space="0" w:color="auto"/>
            </w:tcBorders>
          </w:tcPr>
          <w:p w14:paraId="74A7438F"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FD7C932"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76680E0F" w14:textId="77777777" w:rsidTr="001B1EFB">
        <w:trPr>
          <w:cantSplit/>
          <w:trHeight w:val="978"/>
          <w:jc w:val="center"/>
        </w:trPr>
        <w:tc>
          <w:tcPr>
            <w:tcW w:w="562" w:type="dxa"/>
            <w:tcBorders>
              <w:top w:val="single" w:sz="4" w:space="0" w:color="auto"/>
              <w:left w:val="single" w:sz="4" w:space="0" w:color="auto"/>
              <w:bottom w:val="single" w:sz="12" w:space="0" w:color="auto"/>
              <w:right w:val="single" w:sz="4" w:space="0" w:color="auto"/>
            </w:tcBorders>
          </w:tcPr>
          <w:p w14:paraId="70C2597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000000"/>
              <w:bottom w:val="single" w:sz="12" w:space="0" w:color="auto"/>
              <w:right w:val="single" w:sz="4" w:space="0" w:color="000000"/>
            </w:tcBorders>
            <w:shd w:val="clear" w:color="auto" w:fill="auto"/>
          </w:tcPr>
          <w:p w14:paraId="6AEEE233"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行政院主計總處函為111年度中央政府總預算決議，檢送強化特別預算編列規範書面報告案。</w:t>
            </w:r>
          </w:p>
        </w:tc>
        <w:tc>
          <w:tcPr>
            <w:tcW w:w="2551" w:type="dxa"/>
            <w:tcBorders>
              <w:top w:val="single" w:sz="4" w:space="0" w:color="auto"/>
              <w:left w:val="single" w:sz="4" w:space="0" w:color="auto"/>
              <w:bottom w:val="single" w:sz="12" w:space="0" w:color="auto"/>
              <w:right w:val="single" w:sz="4" w:space="0" w:color="auto"/>
            </w:tcBorders>
          </w:tcPr>
          <w:p w14:paraId="6968B2B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12" w:space="0" w:color="auto"/>
              <w:right w:val="single" w:sz="4" w:space="0" w:color="auto"/>
            </w:tcBorders>
            <w:vAlign w:val="center"/>
          </w:tcPr>
          <w:p w14:paraId="709DF25F"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B95A07" w14:paraId="12D5BE6B" w14:textId="77777777" w:rsidTr="001B1EFB">
        <w:trPr>
          <w:cantSplit/>
          <w:trHeight w:val="934"/>
          <w:jc w:val="center"/>
        </w:trPr>
        <w:tc>
          <w:tcPr>
            <w:tcW w:w="562" w:type="dxa"/>
            <w:tcBorders>
              <w:top w:val="single" w:sz="12" w:space="0" w:color="auto"/>
              <w:left w:val="single" w:sz="4" w:space="0" w:color="auto"/>
              <w:bottom w:val="single" w:sz="4" w:space="0" w:color="auto"/>
              <w:right w:val="single" w:sz="4" w:space="0" w:color="auto"/>
            </w:tcBorders>
          </w:tcPr>
          <w:p w14:paraId="10F056DB"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6F40B75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銓敘部函為111年度中央政府總預算決議，檢送「公務人員或遺族定期退撫給與給付金額調整書面報告」案。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20C6961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.10.28）決定：「交財政及相關委員會審查」</w:t>
            </w:r>
          </w:p>
        </w:tc>
        <w:tc>
          <w:tcPr>
            <w:tcW w:w="2268" w:type="dxa"/>
            <w:tcBorders>
              <w:top w:val="single" w:sz="12" w:space="0" w:color="auto"/>
              <w:left w:val="single" w:sz="4" w:space="0" w:color="auto"/>
              <w:bottom w:val="single" w:sz="4" w:space="0" w:color="auto"/>
              <w:right w:val="single" w:sz="4" w:space="0" w:color="auto"/>
            </w:tcBorders>
            <w:shd w:val="clear" w:color="auto" w:fill="auto"/>
            <w:vAlign w:val="center"/>
          </w:tcPr>
          <w:p w14:paraId="7D79CD25"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1.因逾年度預算執行期間，本會於113.10.8函議事處提報院會准予備查。</w:t>
            </w:r>
          </w:p>
          <w:p w14:paraId="44BFF2E3"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2.第11屆第2會期第5次院會</w:t>
            </w:r>
            <w:r w:rsidRPr="00C057F4">
              <w:rPr>
                <w:rFonts w:ascii="標楷體" w:eastAsia="標楷體" w:hAnsi="標楷體" w:hint="eastAsia"/>
                <w:spacing w:val="-20"/>
                <w:szCs w:val="24"/>
              </w:rPr>
              <w:t>(</w:t>
            </w:r>
            <w:r w:rsidRPr="00C057F4">
              <w:rPr>
                <w:rFonts w:ascii="標楷體" w:eastAsia="標楷體" w:hAnsi="標楷體"/>
                <w:spacing w:val="-20"/>
                <w:szCs w:val="24"/>
              </w:rPr>
              <w:t>11</w:t>
            </w:r>
            <w:r w:rsidRPr="00C057F4">
              <w:rPr>
                <w:rFonts w:ascii="標楷體" w:eastAsia="標楷體" w:hAnsi="標楷體" w:hint="eastAsia"/>
                <w:spacing w:val="-20"/>
                <w:szCs w:val="24"/>
              </w:rPr>
              <w:t>3</w:t>
            </w:r>
            <w:r w:rsidRPr="00C057F4">
              <w:rPr>
                <w:rFonts w:ascii="標楷體" w:eastAsia="標楷體" w:hAnsi="標楷體"/>
                <w:spacing w:val="-20"/>
                <w:szCs w:val="24"/>
              </w:rPr>
              <w:t>.</w:t>
            </w:r>
            <w:r w:rsidRPr="00C057F4">
              <w:rPr>
                <w:rFonts w:ascii="標楷體" w:eastAsia="標楷體" w:hAnsi="標楷體" w:hint="eastAsia"/>
                <w:spacing w:val="-20"/>
                <w:szCs w:val="24"/>
              </w:rPr>
              <w:t>10</w:t>
            </w:r>
            <w:r w:rsidRPr="00C057F4">
              <w:rPr>
                <w:rFonts w:ascii="標楷體" w:eastAsia="標楷體" w:hAnsi="標楷體"/>
                <w:spacing w:val="-20"/>
                <w:szCs w:val="24"/>
              </w:rPr>
              <w:t>.</w:t>
            </w:r>
            <w:r w:rsidRPr="00C057F4">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7745E379"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2CF6BB15"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073CE8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行政院人事行政總處函為111年度中央政府總預算決議，檢送第29款決議（一）軍公教員工待遇調整公式書面報告案。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5C7BA5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.12.2）決定：「交財政委員會審查」</w:t>
            </w:r>
          </w:p>
        </w:tc>
        <w:tc>
          <w:tcPr>
            <w:tcW w:w="2268" w:type="dxa"/>
            <w:vMerge w:val="restart"/>
            <w:tcBorders>
              <w:top w:val="single" w:sz="4" w:space="0" w:color="auto"/>
              <w:left w:val="single" w:sz="4" w:space="0" w:color="auto"/>
              <w:right w:val="single" w:sz="4" w:space="0" w:color="auto"/>
            </w:tcBorders>
            <w:shd w:val="clear" w:color="auto" w:fill="auto"/>
          </w:tcPr>
          <w:p w14:paraId="1A452BAC"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1.因逾年度預算執行期間，本會於113.9.30函議事處提報院會准予備查。</w:t>
            </w:r>
          </w:p>
          <w:p w14:paraId="6AA92D90"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szCs w:val="24"/>
              </w:rPr>
            </w:pPr>
            <w:r w:rsidRPr="006D3699">
              <w:rPr>
                <w:rFonts w:ascii="標楷體" w:eastAsia="標楷體" w:hAnsi="標楷體" w:hint="eastAsia"/>
                <w:szCs w:val="24"/>
              </w:rPr>
              <w:t>2.第11屆第2會期第5次院會</w:t>
            </w:r>
            <w:r w:rsidRPr="00C057F4">
              <w:rPr>
                <w:rFonts w:ascii="標楷體" w:eastAsia="標楷體" w:hAnsi="標楷體" w:hint="eastAsia"/>
                <w:spacing w:val="-20"/>
                <w:szCs w:val="24"/>
              </w:rPr>
              <w:t>(</w:t>
            </w:r>
            <w:r w:rsidRPr="00C057F4">
              <w:rPr>
                <w:rFonts w:ascii="標楷體" w:eastAsia="標楷體" w:hAnsi="標楷體"/>
                <w:spacing w:val="-20"/>
                <w:szCs w:val="24"/>
              </w:rPr>
              <w:t>11</w:t>
            </w:r>
            <w:r w:rsidRPr="00C057F4">
              <w:rPr>
                <w:rFonts w:ascii="標楷體" w:eastAsia="標楷體" w:hAnsi="標楷體" w:hint="eastAsia"/>
                <w:spacing w:val="-20"/>
                <w:szCs w:val="24"/>
              </w:rPr>
              <w:t>3</w:t>
            </w:r>
            <w:r w:rsidRPr="00C057F4">
              <w:rPr>
                <w:rFonts w:ascii="標楷體" w:eastAsia="標楷體" w:hAnsi="標楷體"/>
                <w:spacing w:val="-20"/>
                <w:szCs w:val="24"/>
              </w:rPr>
              <w:t>.</w:t>
            </w:r>
            <w:r w:rsidRPr="00C057F4">
              <w:rPr>
                <w:rFonts w:ascii="標楷體" w:eastAsia="標楷體" w:hAnsi="標楷體" w:hint="eastAsia"/>
                <w:spacing w:val="-20"/>
                <w:szCs w:val="24"/>
              </w:rPr>
              <w:t>10</w:t>
            </w:r>
            <w:r w:rsidRPr="00C057F4">
              <w:rPr>
                <w:rFonts w:ascii="標楷體" w:eastAsia="標楷體" w:hAnsi="標楷體"/>
                <w:spacing w:val="-20"/>
                <w:szCs w:val="24"/>
              </w:rPr>
              <w:t>.</w:t>
            </w:r>
            <w:r w:rsidRPr="00C057F4">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31B6C2BF"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4F3483F4"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B7102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行政院人事行政總處函為111年度中央政府總預算決議，檢送第29款決議（二）軍公教員工待遇調整建立客觀指標書面報告案。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5F40403"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w:t>
            </w:r>
            <w:r w:rsidRPr="00B95A07">
              <w:rPr>
                <w:rFonts w:ascii="標楷體" w:eastAsia="標楷體" w:hAnsi="標楷體"/>
                <w:kern w:val="2"/>
                <w:szCs w:val="24"/>
              </w:rPr>
              <w:t>11</w:t>
            </w:r>
            <w:r w:rsidRPr="00B95A07">
              <w:rPr>
                <w:rFonts w:ascii="標楷體" w:eastAsia="標楷體" w:hAnsi="標楷體" w:hint="eastAsia"/>
                <w:kern w:val="2"/>
                <w:szCs w:val="24"/>
              </w:rPr>
              <w:t>.12.23）決定：「交財政委員會審查」</w:t>
            </w:r>
          </w:p>
        </w:tc>
        <w:tc>
          <w:tcPr>
            <w:tcW w:w="2268" w:type="dxa"/>
            <w:vMerge/>
            <w:tcBorders>
              <w:left w:val="single" w:sz="4" w:space="0" w:color="auto"/>
              <w:right w:val="single" w:sz="4" w:space="0" w:color="auto"/>
            </w:tcBorders>
            <w:shd w:val="clear" w:color="auto" w:fill="auto"/>
            <w:vAlign w:val="center"/>
          </w:tcPr>
          <w:p w14:paraId="7D4A9804"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06456B28"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4B59E570"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2C3E18A"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年度對直轄市</w:t>
            </w:r>
            <w:r w:rsidRPr="00B95A07">
              <w:rPr>
                <w:rFonts w:ascii="標楷體" w:eastAsia="標楷體" w:hAnsi="標楷體" w:hint="eastAsia"/>
                <w:kern w:val="2"/>
                <w:szCs w:val="24"/>
              </w:rPr>
              <w:t>及</w:t>
            </w:r>
            <w:r w:rsidRPr="00B95A07">
              <w:rPr>
                <w:rFonts w:ascii="標楷體" w:eastAsia="標楷體" w:hAnsi="標楷體"/>
                <w:kern w:val="2"/>
                <w:szCs w:val="24"/>
              </w:rPr>
              <w:t>縣市政府補助書面報告案。</w:t>
            </w:r>
          </w:p>
        </w:tc>
        <w:tc>
          <w:tcPr>
            <w:tcW w:w="2551" w:type="dxa"/>
            <w:tcBorders>
              <w:top w:val="single" w:sz="4" w:space="0" w:color="auto"/>
              <w:left w:val="single" w:sz="4" w:space="0" w:color="auto"/>
              <w:bottom w:val="single" w:sz="4" w:space="0" w:color="auto"/>
              <w:right w:val="single" w:sz="4" w:space="0" w:color="auto"/>
            </w:tcBorders>
          </w:tcPr>
          <w:p w14:paraId="3FB03B88" w14:textId="77777777" w:rsidR="007D160C" w:rsidRPr="00B95A07" w:rsidRDefault="007D160C"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1.5.12）決定：「交財政委員會審查」</w:t>
            </w:r>
          </w:p>
        </w:tc>
        <w:tc>
          <w:tcPr>
            <w:tcW w:w="2268" w:type="dxa"/>
            <w:vMerge/>
            <w:tcBorders>
              <w:left w:val="single" w:sz="4" w:space="0" w:color="auto"/>
              <w:right w:val="single" w:sz="4" w:space="0" w:color="auto"/>
            </w:tcBorders>
            <w:vAlign w:val="center"/>
          </w:tcPr>
          <w:p w14:paraId="66E8A66C"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64779085"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302CA2EB"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3B72CC7D"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文化部函送111年度對直轄市及縣（市）政府補助書面報告案。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E1BBD5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2268" w:type="dxa"/>
            <w:vMerge/>
            <w:tcBorders>
              <w:left w:val="single" w:sz="4" w:space="0" w:color="auto"/>
              <w:right w:val="single" w:sz="4" w:space="0" w:color="auto"/>
            </w:tcBorders>
            <w:vAlign w:val="center"/>
          </w:tcPr>
          <w:p w14:paraId="493A811A"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12C71839" w14:textId="77777777" w:rsidTr="001B1EFB">
        <w:trPr>
          <w:cantSplit/>
          <w:trHeight w:val="934"/>
          <w:jc w:val="center"/>
        </w:trPr>
        <w:tc>
          <w:tcPr>
            <w:tcW w:w="562" w:type="dxa"/>
            <w:tcBorders>
              <w:top w:val="single" w:sz="4" w:space="0" w:color="auto"/>
              <w:left w:val="single" w:sz="4" w:space="0" w:color="auto"/>
              <w:bottom w:val="single" w:sz="4" w:space="0" w:color="auto"/>
              <w:right w:val="single" w:sz="4" w:space="0" w:color="auto"/>
            </w:tcBorders>
          </w:tcPr>
          <w:p w14:paraId="59F0227F"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6C68365B"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教育部函送111年度對直轄市及縣（市）政府補助書面報告案。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4FA213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2268" w:type="dxa"/>
            <w:vMerge/>
            <w:tcBorders>
              <w:left w:val="single" w:sz="4" w:space="0" w:color="auto"/>
              <w:right w:val="single" w:sz="4" w:space="0" w:color="auto"/>
            </w:tcBorders>
            <w:vAlign w:val="center"/>
          </w:tcPr>
          <w:p w14:paraId="3AD83070" w14:textId="77777777" w:rsidR="007D160C" w:rsidRPr="00B95A07" w:rsidRDefault="007D160C" w:rsidP="00F470A8">
            <w:pPr>
              <w:widowControl w:val="0"/>
              <w:overflowPunct w:val="0"/>
              <w:spacing w:line="320" w:lineRule="exact"/>
              <w:contextualSpacing/>
              <w:jc w:val="both"/>
              <w:rPr>
                <w:rFonts w:ascii="標楷體" w:eastAsia="標楷體" w:hAnsi="標楷體"/>
                <w:kern w:val="2"/>
                <w:szCs w:val="24"/>
              </w:rPr>
            </w:pPr>
          </w:p>
        </w:tc>
      </w:tr>
      <w:tr w:rsidR="007D160C" w:rsidRPr="00B95A07" w14:paraId="3CA786C4" w14:textId="77777777" w:rsidTr="00C56C43">
        <w:trPr>
          <w:cantSplit/>
          <w:trHeight w:val="934"/>
          <w:jc w:val="center"/>
        </w:trPr>
        <w:tc>
          <w:tcPr>
            <w:tcW w:w="562" w:type="dxa"/>
            <w:tcBorders>
              <w:top w:val="single" w:sz="4" w:space="0" w:color="auto"/>
              <w:left w:val="single" w:sz="4" w:space="0" w:color="auto"/>
              <w:bottom w:val="single" w:sz="12" w:space="0" w:color="auto"/>
              <w:right w:val="single" w:sz="4" w:space="0" w:color="auto"/>
            </w:tcBorders>
          </w:tcPr>
          <w:p w14:paraId="7AF90CE2"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shd w:val="clear" w:color="auto" w:fill="auto"/>
          </w:tcPr>
          <w:p w14:paraId="3F703390" w14:textId="77777777" w:rsidR="007D160C" w:rsidRPr="00B95A07" w:rsidRDefault="007D160C" w:rsidP="00F470A8">
            <w:pPr>
              <w:widowControl w:val="0"/>
              <w:overflowPunct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國家通訊傳播委員會函送111年度對直轄市及縣（市）政府補助書面報告案。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4E76DFB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第10屆第7會期第12次院會(112.5.19)決定：「交財政委員會審查」</w:t>
            </w:r>
          </w:p>
        </w:tc>
        <w:tc>
          <w:tcPr>
            <w:tcW w:w="2268" w:type="dxa"/>
            <w:vMerge/>
            <w:tcBorders>
              <w:left w:val="single" w:sz="4" w:space="0" w:color="auto"/>
              <w:bottom w:val="single" w:sz="12" w:space="0" w:color="auto"/>
              <w:right w:val="single" w:sz="4" w:space="0" w:color="auto"/>
            </w:tcBorders>
            <w:vAlign w:val="center"/>
          </w:tcPr>
          <w:p w14:paraId="41718FD4" w14:textId="77777777" w:rsidR="007D160C" w:rsidRPr="00B95A07" w:rsidRDefault="007D160C"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7D160C" w:rsidRPr="00D9107B" w14:paraId="04C48902" w14:textId="77777777" w:rsidTr="00C56C43">
        <w:trPr>
          <w:trHeight w:val="491"/>
          <w:jc w:val="center"/>
        </w:trPr>
        <w:tc>
          <w:tcPr>
            <w:tcW w:w="9634" w:type="dxa"/>
            <w:gridSpan w:val="4"/>
            <w:tcBorders>
              <w:top w:val="single" w:sz="12" w:space="0" w:color="auto"/>
              <w:left w:val="single" w:sz="2" w:space="0" w:color="auto"/>
              <w:bottom w:val="single" w:sz="12" w:space="0" w:color="auto"/>
              <w:right w:val="single" w:sz="4" w:space="0" w:color="auto"/>
            </w:tcBorders>
            <w:vAlign w:val="center"/>
          </w:tcPr>
          <w:p w14:paraId="01E9E360"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4.審計部主管（</w:t>
            </w:r>
            <w:r>
              <w:rPr>
                <w:rFonts w:ascii="標楷體" w:eastAsia="標楷體" w:hAnsi="標楷體" w:hint="eastAsia"/>
                <w:b/>
                <w:kern w:val="2"/>
                <w:sz w:val="28"/>
                <w:szCs w:val="28"/>
              </w:rPr>
              <w:t>4</w:t>
            </w:r>
            <w:r w:rsidRPr="00D9107B">
              <w:rPr>
                <w:rFonts w:ascii="標楷體" w:eastAsia="標楷體" w:hAnsi="標楷體" w:hint="eastAsia"/>
                <w:b/>
                <w:kern w:val="2"/>
                <w:sz w:val="28"/>
                <w:szCs w:val="28"/>
              </w:rPr>
              <w:t>案）</w:t>
            </w:r>
          </w:p>
        </w:tc>
      </w:tr>
      <w:tr w:rsidR="007D160C" w:rsidRPr="00D9107B" w14:paraId="677DABDE" w14:textId="77777777" w:rsidTr="00C56C43">
        <w:trPr>
          <w:cantSplit/>
          <w:trHeight w:val="1016"/>
          <w:jc w:val="center"/>
        </w:trPr>
        <w:tc>
          <w:tcPr>
            <w:tcW w:w="562" w:type="dxa"/>
            <w:tcBorders>
              <w:top w:val="single" w:sz="12" w:space="0" w:color="auto"/>
              <w:left w:val="single" w:sz="4" w:space="0" w:color="auto"/>
              <w:bottom w:val="single" w:sz="12" w:space="0" w:color="auto"/>
              <w:right w:val="single" w:sz="4" w:space="0" w:color="auto"/>
            </w:tcBorders>
          </w:tcPr>
          <w:p w14:paraId="02C8CEE0"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12" w:space="0" w:color="auto"/>
              <w:right w:val="single" w:sz="4" w:space="0" w:color="auto"/>
            </w:tcBorders>
          </w:tcPr>
          <w:p w14:paraId="6CB513DF"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審計部函為</w:t>
            </w:r>
            <w:r w:rsidRPr="00D9107B">
              <w:rPr>
                <w:rFonts w:ascii="標楷體" w:eastAsia="標楷體" w:hAnsi="標楷體"/>
                <w:kern w:val="2"/>
                <w:szCs w:val="24"/>
              </w:rPr>
              <w:t>110</w:t>
            </w:r>
            <w:r w:rsidRPr="00D9107B">
              <w:rPr>
                <w:rFonts w:ascii="標楷體" w:eastAsia="標楷體" w:hAnsi="標楷體" w:hint="eastAsia"/>
                <w:kern w:val="2"/>
                <w:szCs w:val="24"/>
              </w:rPr>
              <w:t>年度中央政府總預算決議，檢送近</w:t>
            </w:r>
            <w:r w:rsidRPr="00D9107B">
              <w:rPr>
                <w:rFonts w:ascii="標楷體" w:eastAsia="標楷體" w:hAnsi="標楷體"/>
                <w:kern w:val="2"/>
                <w:szCs w:val="24"/>
              </w:rPr>
              <w:t>3</w:t>
            </w:r>
            <w:r w:rsidRPr="00D9107B">
              <w:rPr>
                <w:rFonts w:ascii="標楷體" w:eastAsia="標楷體" w:hAnsi="標楷體" w:hint="eastAsia"/>
                <w:kern w:val="2"/>
                <w:szCs w:val="24"/>
              </w:rPr>
              <w:t>年各地方政府閒置資產活化情況書面報告案。</w:t>
            </w:r>
          </w:p>
        </w:tc>
        <w:tc>
          <w:tcPr>
            <w:tcW w:w="2551" w:type="dxa"/>
            <w:tcBorders>
              <w:top w:val="single" w:sz="12" w:space="0" w:color="auto"/>
              <w:left w:val="single" w:sz="4" w:space="0" w:color="auto"/>
              <w:bottom w:val="single" w:sz="12" w:space="0" w:color="auto"/>
              <w:right w:val="single" w:sz="4" w:space="0" w:color="auto"/>
            </w:tcBorders>
          </w:tcPr>
          <w:p w14:paraId="79C83EE9"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第10屆第3會期第9次院會</w:t>
            </w:r>
            <w:r w:rsidRPr="007D6FF3">
              <w:rPr>
                <w:rFonts w:ascii="標楷體" w:eastAsia="標楷體" w:hAnsi="標楷體" w:hint="eastAsia"/>
                <w:spacing w:val="-20"/>
                <w:kern w:val="2"/>
                <w:szCs w:val="24"/>
              </w:rPr>
              <w:t>（110.4.23）</w:t>
            </w:r>
            <w:r w:rsidRPr="00D9107B">
              <w:rPr>
                <w:rFonts w:ascii="標楷體" w:eastAsia="標楷體" w:hAnsi="標楷體" w:hint="eastAsia"/>
                <w:kern w:val="2"/>
                <w:szCs w:val="24"/>
              </w:rPr>
              <w:t>決定：「交財政委員會審查」</w:t>
            </w:r>
          </w:p>
        </w:tc>
        <w:tc>
          <w:tcPr>
            <w:tcW w:w="2268" w:type="dxa"/>
            <w:tcBorders>
              <w:top w:val="single" w:sz="12" w:space="0" w:color="auto"/>
              <w:left w:val="single" w:sz="4" w:space="0" w:color="auto"/>
              <w:bottom w:val="single" w:sz="12" w:space="0" w:color="auto"/>
              <w:right w:val="single" w:sz="4" w:space="0" w:color="auto"/>
            </w:tcBorders>
            <w:vAlign w:val="center"/>
          </w:tcPr>
          <w:p w14:paraId="1222660F" w14:textId="77777777" w:rsidR="007D160C" w:rsidRPr="008A1835" w:rsidRDefault="007D160C" w:rsidP="00F470A8">
            <w:pPr>
              <w:widowControl w:val="0"/>
              <w:overflowPunct w:val="0"/>
              <w:spacing w:line="320" w:lineRule="exact"/>
              <w:ind w:left="240" w:hangingChars="100" w:hanging="240"/>
              <w:jc w:val="both"/>
              <w:rPr>
                <w:rFonts w:ascii="標楷體" w:eastAsia="標楷體" w:hAnsi="標楷體"/>
                <w:szCs w:val="24"/>
              </w:rPr>
            </w:pPr>
            <w:r>
              <w:rPr>
                <w:rFonts w:ascii="標楷體" w:eastAsia="標楷體" w:hAnsi="標楷體" w:hint="eastAsia"/>
                <w:kern w:val="2"/>
                <w:szCs w:val="24"/>
              </w:rPr>
              <w:t>1</w:t>
            </w:r>
            <w:r w:rsidRPr="008A1835">
              <w:rPr>
                <w:rFonts w:ascii="標楷體" w:eastAsia="標楷體" w:hAnsi="標楷體" w:hint="eastAsia"/>
                <w:szCs w:val="24"/>
              </w:rPr>
              <w:t>.</w:t>
            </w:r>
            <w:r w:rsidRPr="00D9107B">
              <w:rPr>
                <w:rFonts w:ascii="標楷體" w:eastAsia="標楷體" w:hAnsi="標楷體" w:hint="eastAsia"/>
                <w:szCs w:val="24"/>
              </w:rPr>
              <w:t>因逾年度預算執行期間，本會於113.7.5函議事處提報院會准予備查。</w:t>
            </w:r>
          </w:p>
          <w:p w14:paraId="4CB21934"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B95A07" w14:paraId="6C70A8D2" w14:textId="77777777" w:rsidTr="00C56C43">
        <w:trPr>
          <w:cantSplit/>
          <w:trHeight w:val="1016"/>
          <w:jc w:val="center"/>
        </w:trPr>
        <w:tc>
          <w:tcPr>
            <w:tcW w:w="562" w:type="dxa"/>
            <w:tcBorders>
              <w:top w:val="single" w:sz="12" w:space="0" w:color="auto"/>
              <w:left w:val="single" w:sz="4" w:space="0" w:color="auto"/>
              <w:bottom w:val="single" w:sz="4" w:space="0" w:color="auto"/>
              <w:right w:val="single" w:sz="4" w:space="0" w:color="auto"/>
            </w:tcBorders>
          </w:tcPr>
          <w:p w14:paraId="5B374488"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724CE9EC"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審計部函為111年度中央政府總預算決議，檢送加強查核各單位對內部稽（審）核書面報告案。</w:t>
            </w:r>
          </w:p>
        </w:tc>
        <w:tc>
          <w:tcPr>
            <w:tcW w:w="2551" w:type="dxa"/>
            <w:tcBorders>
              <w:top w:val="single" w:sz="12" w:space="0" w:color="auto"/>
              <w:left w:val="single" w:sz="4" w:space="0" w:color="auto"/>
              <w:bottom w:val="single" w:sz="4" w:space="0" w:color="auto"/>
              <w:right w:val="single" w:sz="4" w:space="0" w:color="auto"/>
            </w:tcBorders>
          </w:tcPr>
          <w:p w14:paraId="0BB6FEBF"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第10屆第5會期第12次院會（11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13</w:t>
            </w:r>
            <w:r w:rsidRPr="00B95A07">
              <w:rPr>
                <w:rFonts w:ascii="標楷體" w:eastAsia="標楷體" w:hAnsi="標楷體" w:hint="eastAsia"/>
                <w:kern w:val="2"/>
                <w:szCs w:val="24"/>
              </w:rPr>
              <w:t>）決定：「交財政委員會審查」</w:t>
            </w:r>
          </w:p>
        </w:tc>
        <w:tc>
          <w:tcPr>
            <w:tcW w:w="2268" w:type="dxa"/>
            <w:vMerge w:val="restart"/>
            <w:tcBorders>
              <w:top w:val="single" w:sz="12" w:space="0" w:color="auto"/>
              <w:left w:val="single" w:sz="4" w:space="0" w:color="auto"/>
              <w:right w:val="single" w:sz="4" w:space="0" w:color="auto"/>
            </w:tcBorders>
          </w:tcPr>
          <w:p w14:paraId="06578A2E" w14:textId="77777777" w:rsidR="007D160C" w:rsidRDefault="007D160C" w:rsidP="00F470A8">
            <w:pPr>
              <w:widowControl w:val="0"/>
              <w:overflowPunct w:val="0"/>
              <w:spacing w:line="32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7401BB">
              <w:rPr>
                <w:rFonts w:ascii="標楷體" w:eastAsia="標楷體" w:hAnsi="標楷體" w:hint="eastAsia"/>
                <w:szCs w:val="24"/>
              </w:rPr>
              <w:t>因逾年度預算執行期間，本會於113.10.1函議事處提報院會准予備查。</w:t>
            </w:r>
          </w:p>
          <w:p w14:paraId="675CC14E" w14:textId="77777777" w:rsidR="007D160C" w:rsidRPr="004E5043" w:rsidRDefault="007D160C" w:rsidP="00F470A8">
            <w:pPr>
              <w:widowControl w:val="0"/>
              <w:overflowPunct w:val="0"/>
              <w:spacing w:line="320" w:lineRule="exact"/>
              <w:ind w:left="240" w:hangingChars="100" w:hanging="240"/>
              <w:jc w:val="both"/>
              <w:rPr>
                <w:rFonts w:ascii="標楷體" w:eastAsia="標楷體" w:hAnsi="標楷體"/>
                <w:color w:val="FF0000"/>
                <w:kern w:val="2"/>
                <w:szCs w:val="24"/>
              </w:rPr>
            </w:pPr>
            <w:r w:rsidRPr="00C560BE">
              <w:rPr>
                <w:rFonts w:ascii="標楷體" w:eastAsia="標楷體" w:hAnsi="標楷體" w:hint="eastAsia"/>
                <w:szCs w:val="24"/>
              </w:rPr>
              <w:t>2.</w:t>
            </w:r>
            <w:r w:rsidRPr="006D3699">
              <w:rPr>
                <w:rFonts w:ascii="標楷體" w:eastAsia="標楷體" w:hAnsi="標楷體" w:hint="eastAsia"/>
                <w:szCs w:val="24"/>
              </w:rPr>
              <w:t>第11屆第2會期第5次院會</w:t>
            </w:r>
            <w:r w:rsidRPr="00C057F4">
              <w:rPr>
                <w:rFonts w:ascii="標楷體" w:eastAsia="標楷體" w:hAnsi="標楷體" w:hint="eastAsia"/>
                <w:spacing w:val="-20"/>
                <w:szCs w:val="24"/>
              </w:rPr>
              <w:t>(</w:t>
            </w:r>
            <w:r w:rsidRPr="00C057F4">
              <w:rPr>
                <w:rFonts w:ascii="標楷體" w:eastAsia="標楷體" w:hAnsi="標楷體"/>
                <w:spacing w:val="-20"/>
                <w:szCs w:val="24"/>
              </w:rPr>
              <w:t>11</w:t>
            </w:r>
            <w:r w:rsidRPr="00C057F4">
              <w:rPr>
                <w:rFonts w:ascii="標楷體" w:eastAsia="標楷體" w:hAnsi="標楷體" w:hint="eastAsia"/>
                <w:spacing w:val="-20"/>
                <w:szCs w:val="24"/>
              </w:rPr>
              <w:t>3</w:t>
            </w:r>
            <w:r w:rsidRPr="00C057F4">
              <w:rPr>
                <w:rFonts w:ascii="標楷體" w:eastAsia="標楷體" w:hAnsi="標楷體"/>
                <w:spacing w:val="-20"/>
                <w:szCs w:val="24"/>
              </w:rPr>
              <w:t>.</w:t>
            </w:r>
            <w:r w:rsidRPr="00C057F4">
              <w:rPr>
                <w:rFonts w:ascii="標楷體" w:eastAsia="標楷體" w:hAnsi="標楷體" w:hint="eastAsia"/>
                <w:spacing w:val="-20"/>
                <w:szCs w:val="24"/>
              </w:rPr>
              <w:t>10</w:t>
            </w:r>
            <w:r w:rsidRPr="00C057F4">
              <w:rPr>
                <w:rFonts w:ascii="標楷體" w:eastAsia="標楷體" w:hAnsi="標楷體"/>
                <w:spacing w:val="-20"/>
                <w:szCs w:val="24"/>
              </w:rPr>
              <w:t>.</w:t>
            </w:r>
            <w:r w:rsidRPr="00C057F4">
              <w:rPr>
                <w:rFonts w:ascii="標楷體" w:eastAsia="標楷體" w:hAnsi="標楷體" w:hint="eastAsia"/>
                <w:spacing w:val="-20"/>
                <w:szCs w:val="24"/>
              </w:rPr>
              <w:t>18)</w:t>
            </w:r>
            <w:r w:rsidRPr="006D3699">
              <w:rPr>
                <w:rFonts w:ascii="標楷體" w:eastAsia="標楷體" w:hAnsi="標楷體" w:hint="eastAsia"/>
                <w:szCs w:val="24"/>
              </w:rPr>
              <w:t>決定：准予備查。</w:t>
            </w:r>
          </w:p>
        </w:tc>
      </w:tr>
      <w:tr w:rsidR="007D160C" w:rsidRPr="00B95A07" w14:paraId="42CB859B" w14:textId="77777777" w:rsidTr="001B1EFB">
        <w:trPr>
          <w:cantSplit/>
          <w:trHeight w:val="1016"/>
          <w:jc w:val="center"/>
        </w:trPr>
        <w:tc>
          <w:tcPr>
            <w:tcW w:w="562" w:type="dxa"/>
            <w:tcBorders>
              <w:top w:val="single" w:sz="4" w:space="0" w:color="auto"/>
              <w:left w:val="single" w:sz="4" w:space="0" w:color="auto"/>
              <w:bottom w:val="single" w:sz="4" w:space="0" w:color="auto"/>
              <w:right w:val="single" w:sz="4" w:space="0" w:color="auto"/>
            </w:tcBorders>
          </w:tcPr>
          <w:p w14:paraId="3909782D"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B5421CD"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審計部函為111年度中央政府總預算決議，檢送軍事採購及特別預算執行之監督機制及審計作為書面報告案。</w:t>
            </w:r>
          </w:p>
        </w:tc>
        <w:tc>
          <w:tcPr>
            <w:tcW w:w="2551" w:type="dxa"/>
            <w:tcBorders>
              <w:top w:val="single" w:sz="4" w:space="0" w:color="auto"/>
              <w:left w:val="single" w:sz="4" w:space="0" w:color="auto"/>
              <w:bottom w:val="single" w:sz="4" w:space="0" w:color="auto"/>
              <w:right w:val="single" w:sz="4" w:space="0" w:color="auto"/>
            </w:tcBorders>
          </w:tcPr>
          <w:p w14:paraId="25A18BF1"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vAlign w:val="center"/>
          </w:tcPr>
          <w:p w14:paraId="4182678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1A9396F" w14:textId="77777777" w:rsidTr="001B1EFB">
        <w:trPr>
          <w:cantSplit/>
          <w:trHeight w:val="1016"/>
          <w:jc w:val="center"/>
        </w:trPr>
        <w:tc>
          <w:tcPr>
            <w:tcW w:w="562" w:type="dxa"/>
            <w:tcBorders>
              <w:top w:val="single" w:sz="4" w:space="0" w:color="auto"/>
              <w:left w:val="single" w:sz="4" w:space="0" w:color="auto"/>
              <w:bottom w:val="single" w:sz="4" w:space="0" w:color="auto"/>
              <w:right w:val="single" w:sz="4" w:space="0" w:color="auto"/>
            </w:tcBorders>
          </w:tcPr>
          <w:p w14:paraId="14D16F0B" w14:textId="77777777" w:rsidR="007D160C" w:rsidRPr="00B95A07"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19DA368"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審計部函為111年度中央政府總預算決議，檢送特別預算審核工作結果書面報告案。</w:t>
            </w:r>
          </w:p>
        </w:tc>
        <w:tc>
          <w:tcPr>
            <w:tcW w:w="2551" w:type="dxa"/>
            <w:tcBorders>
              <w:top w:val="single" w:sz="4" w:space="0" w:color="auto"/>
              <w:left w:val="single" w:sz="4" w:space="0" w:color="auto"/>
              <w:bottom w:val="single" w:sz="4" w:space="0" w:color="auto"/>
              <w:right w:val="single" w:sz="4" w:space="0" w:color="auto"/>
            </w:tcBorders>
          </w:tcPr>
          <w:p w14:paraId="57929F47" w14:textId="77777777" w:rsidR="007D160C" w:rsidRPr="00B95A07" w:rsidRDefault="007D160C" w:rsidP="00F470A8">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w:t>
            </w:r>
            <w:r w:rsidRPr="00B95A07">
              <w:rPr>
                <w:rFonts w:ascii="標楷體" w:eastAsia="標楷體" w:hAnsi="標楷體"/>
                <w:kern w:val="2"/>
                <w:szCs w:val="24"/>
              </w:rPr>
              <w:t>1</w:t>
            </w:r>
            <w:r w:rsidRPr="00B95A07">
              <w:rPr>
                <w:rFonts w:ascii="標楷體" w:eastAsia="標楷體" w:hAnsi="標楷體" w:hint="eastAsia"/>
                <w:kern w:val="2"/>
                <w:szCs w:val="24"/>
              </w:rPr>
              <w:t>.12.2</w:t>
            </w:r>
            <w:r w:rsidRPr="00B95A07">
              <w:rPr>
                <w:rFonts w:ascii="標楷體" w:eastAsia="標楷體" w:hAnsi="標楷體"/>
                <w:kern w:val="2"/>
                <w:szCs w:val="24"/>
              </w:rPr>
              <w:t>3</w:t>
            </w:r>
            <w:r w:rsidRPr="00B95A07">
              <w:rPr>
                <w:rFonts w:ascii="標楷體" w:eastAsia="標楷體" w:hAnsi="標楷體" w:hint="eastAsia"/>
                <w:kern w:val="2"/>
                <w:szCs w:val="24"/>
              </w:rPr>
              <w:t>）決定：「交財政委員會審查」</w:t>
            </w:r>
          </w:p>
        </w:tc>
        <w:tc>
          <w:tcPr>
            <w:tcW w:w="2268" w:type="dxa"/>
            <w:vMerge/>
            <w:tcBorders>
              <w:left w:val="single" w:sz="4" w:space="0" w:color="auto"/>
              <w:bottom w:val="single" w:sz="4" w:space="0" w:color="auto"/>
              <w:right w:val="single" w:sz="4" w:space="0" w:color="auto"/>
            </w:tcBorders>
            <w:vAlign w:val="center"/>
          </w:tcPr>
          <w:p w14:paraId="2EF5401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r w:rsidR="007D160C" w:rsidRPr="00D9107B" w14:paraId="21E5DD59" w14:textId="77777777" w:rsidTr="001B1EFB">
        <w:trPr>
          <w:trHeight w:val="491"/>
          <w:jc w:val="center"/>
        </w:trPr>
        <w:tc>
          <w:tcPr>
            <w:tcW w:w="9634" w:type="dxa"/>
            <w:gridSpan w:val="4"/>
            <w:tcBorders>
              <w:top w:val="single" w:sz="12" w:space="0" w:color="auto"/>
              <w:left w:val="single" w:sz="2" w:space="0" w:color="auto"/>
              <w:bottom w:val="single" w:sz="12" w:space="0" w:color="auto"/>
              <w:right w:val="single" w:sz="4" w:space="0" w:color="auto"/>
            </w:tcBorders>
            <w:vAlign w:val="center"/>
          </w:tcPr>
          <w:p w14:paraId="240D00D6" w14:textId="77777777" w:rsidR="007D160C" w:rsidRPr="00D9107B" w:rsidRDefault="007D160C"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D9107B">
              <w:rPr>
                <w:rFonts w:ascii="標楷體" w:eastAsia="標楷體" w:hAnsi="標楷體" w:hint="eastAsia"/>
                <w:b/>
                <w:kern w:val="2"/>
                <w:sz w:val="28"/>
                <w:szCs w:val="28"/>
              </w:rPr>
              <w:t>5.中央銀行主管（</w:t>
            </w:r>
            <w:r>
              <w:rPr>
                <w:rFonts w:ascii="標楷體" w:eastAsia="標楷體" w:hAnsi="標楷體" w:hint="eastAsia"/>
                <w:b/>
                <w:kern w:val="2"/>
                <w:sz w:val="28"/>
                <w:szCs w:val="28"/>
              </w:rPr>
              <w:t>2</w:t>
            </w:r>
            <w:r w:rsidRPr="00D9107B">
              <w:rPr>
                <w:rFonts w:ascii="標楷體" w:eastAsia="標楷體" w:hAnsi="標楷體" w:hint="eastAsia"/>
                <w:b/>
                <w:kern w:val="2"/>
                <w:sz w:val="28"/>
                <w:szCs w:val="28"/>
              </w:rPr>
              <w:t>案）</w:t>
            </w:r>
          </w:p>
        </w:tc>
      </w:tr>
      <w:tr w:rsidR="007D160C" w:rsidRPr="00D9107B" w14:paraId="11B27C74" w14:textId="77777777" w:rsidTr="001B1EFB">
        <w:trPr>
          <w:cantSplit/>
          <w:trHeight w:val="1016"/>
          <w:jc w:val="center"/>
        </w:trPr>
        <w:tc>
          <w:tcPr>
            <w:tcW w:w="562" w:type="dxa"/>
            <w:tcBorders>
              <w:top w:val="single" w:sz="12" w:space="0" w:color="auto"/>
              <w:left w:val="single" w:sz="4" w:space="0" w:color="auto"/>
              <w:bottom w:val="single" w:sz="4" w:space="0" w:color="auto"/>
              <w:right w:val="single" w:sz="4" w:space="0" w:color="auto"/>
            </w:tcBorders>
          </w:tcPr>
          <w:p w14:paraId="0A695D60"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072FEEA4"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中央銀行函為110年度中央政府總預算附屬單位預算決議，檢送幣面上蔣中正頭像之轉型規劃書面報告案。</w:t>
            </w:r>
          </w:p>
        </w:tc>
        <w:tc>
          <w:tcPr>
            <w:tcW w:w="2551" w:type="dxa"/>
            <w:tcBorders>
              <w:top w:val="single" w:sz="12" w:space="0" w:color="auto"/>
              <w:left w:val="single" w:sz="4" w:space="0" w:color="auto"/>
              <w:bottom w:val="single" w:sz="4" w:space="0" w:color="auto"/>
              <w:right w:val="single" w:sz="4" w:space="0" w:color="auto"/>
            </w:tcBorders>
          </w:tcPr>
          <w:p w14:paraId="54E2B6FC"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D9107B">
              <w:rPr>
                <w:rFonts w:ascii="標楷體" w:eastAsia="標楷體" w:hAnsi="標楷體" w:hint="eastAsia"/>
                <w:kern w:val="2"/>
                <w:szCs w:val="24"/>
              </w:rPr>
              <w:t>第10屆第6會期第4次院會（111.</w:t>
            </w:r>
            <w:r w:rsidRPr="00D9107B">
              <w:rPr>
                <w:rFonts w:ascii="標楷體" w:eastAsia="標楷體" w:hAnsi="標楷體"/>
                <w:kern w:val="2"/>
                <w:szCs w:val="24"/>
              </w:rPr>
              <w:t>1</w:t>
            </w:r>
            <w:r w:rsidRPr="00D9107B">
              <w:rPr>
                <w:rFonts w:ascii="標楷體" w:eastAsia="標楷體" w:hAnsi="標楷體" w:hint="eastAsia"/>
                <w:kern w:val="2"/>
                <w:szCs w:val="24"/>
              </w:rPr>
              <w:t>0.1</w:t>
            </w:r>
            <w:r w:rsidRPr="00D9107B">
              <w:rPr>
                <w:rFonts w:ascii="標楷體" w:eastAsia="標楷體" w:hAnsi="標楷體"/>
                <w:kern w:val="2"/>
                <w:szCs w:val="24"/>
              </w:rPr>
              <w:t>4）</w:t>
            </w:r>
            <w:r w:rsidRPr="00D9107B">
              <w:rPr>
                <w:rFonts w:ascii="標楷體" w:eastAsia="標楷體" w:hAnsi="標楷體" w:hint="eastAsia"/>
                <w:kern w:val="2"/>
                <w:szCs w:val="24"/>
              </w:rPr>
              <w:t>決定：「交財政委員會審查」</w:t>
            </w:r>
          </w:p>
        </w:tc>
        <w:tc>
          <w:tcPr>
            <w:tcW w:w="2268" w:type="dxa"/>
            <w:tcBorders>
              <w:top w:val="single" w:sz="12" w:space="0" w:color="auto"/>
              <w:left w:val="single" w:sz="4" w:space="0" w:color="auto"/>
              <w:bottom w:val="single" w:sz="4" w:space="0" w:color="auto"/>
              <w:right w:val="single" w:sz="4" w:space="0" w:color="auto"/>
            </w:tcBorders>
            <w:vAlign w:val="center"/>
          </w:tcPr>
          <w:p w14:paraId="1892BE3C" w14:textId="77777777" w:rsidR="007D160C" w:rsidRPr="008A1835" w:rsidRDefault="007D160C" w:rsidP="00F470A8">
            <w:pPr>
              <w:widowControl w:val="0"/>
              <w:overflowPunct w:val="0"/>
              <w:spacing w:line="320" w:lineRule="exact"/>
              <w:ind w:left="240" w:hangingChars="100" w:hanging="240"/>
              <w:jc w:val="both"/>
              <w:rPr>
                <w:rFonts w:ascii="標楷體" w:eastAsia="標楷體" w:hAnsi="標楷體"/>
                <w:szCs w:val="24"/>
              </w:rPr>
            </w:pPr>
            <w:r>
              <w:rPr>
                <w:rFonts w:ascii="標楷體" w:eastAsia="標楷體" w:hAnsi="標楷體" w:hint="eastAsia"/>
                <w:kern w:val="2"/>
                <w:szCs w:val="24"/>
              </w:rPr>
              <w:t>1</w:t>
            </w:r>
            <w:r w:rsidRPr="008A1835">
              <w:rPr>
                <w:rFonts w:ascii="標楷體" w:eastAsia="標楷體" w:hAnsi="標楷體" w:hint="eastAsia"/>
                <w:szCs w:val="24"/>
              </w:rPr>
              <w:t>.</w:t>
            </w:r>
            <w:r w:rsidRPr="00D9107B">
              <w:rPr>
                <w:rFonts w:ascii="標楷體" w:eastAsia="標楷體" w:hAnsi="標楷體" w:hint="eastAsia"/>
                <w:szCs w:val="24"/>
              </w:rPr>
              <w:t>因逾年度預算執行期間，本會於113.7.8函議事處提報院會准予備查。</w:t>
            </w:r>
          </w:p>
          <w:p w14:paraId="5098D1B9"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D9107B" w14:paraId="70A34200" w14:textId="77777777" w:rsidTr="001B1EFB">
        <w:trPr>
          <w:cantSplit/>
          <w:trHeight w:val="1016"/>
          <w:jc w:val="center"/>
        </w:trPr>
        <w:tc>
          <w:tcPr>
            <w:tcW w:w="562" w:type="dxa"/>
            <w:tcBorders>
              <w:top w:val="single" w:sz="4" w:space="0" w:color="auto"/>
              <w:left w:val="single" w:sz="4" w:space="0" w:color="auto"/>
              <w:bottom w:val="single" w:sz="12" w:space="0" w:color="auto"/>
              <w:right w:val="single" w:sz="4" w:space="0" w:color="auto"/>
            </w:tcBorders>
          </w:tcPr>
          <w:p w14:paraId="075D243E"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B44178C" w14:textId="77777777" w:rsidR="007D160C" w:rsidRPr="00557630" w:rsidRDefault="007D160C" w:rsidP="00F470A8">
            <w:pPr>
              <w:widowControl w:val="0"/>
              <w:overflowPunct w:val="0"/>
              <w:autoSpaceDN/>
              <w:spacing w:line="360" w:lineRule="exact"/>
              <w:jc w:val="both"/>
              <w:textAlignment w:val="auto"/>
              <w:rPr>
                <w:rFonts w:ascii="標楷體" w:eastAsia="標楷體" w:hAnsi="標楷體"/>
                <w:kern w:val="2"/>
                <w:szCs w:val="24"/>
              </w:rPr>
            </w:pPr>
            <w:r w:rsidRPr="00557630">
              <w:rPr>
                <w:rFonts w:ascii="標楷體" w:eastAsia="標楷體" w:hAnsi="標楷體" w:hint="eastAsia"/>
                <w:kern w:val="2"/>
                <w:szCs w:val="24"/>
              </w:rPr>
              <w:t>中央銀行函為111年度中央政府總預算附屬單位預算決議，檢送如何處置國幣之圖像問題書面報告案。</w:t>
            </w:r>
          </w:p>
        </w:tc>
        <w:tc>
          <w:tcPr>
            <w:tcW w:w="2551" w:type="dxa"/>
            <w:tcBorders>
              <w:top w:val="single" w:sz="4" w:space="0" w:color="auto"/>
              <w:left w:val="single" w:sz="4" w:space="0" w:color="000000"/>
              <w:bottom w:val="single" w:sz="4" w:space="0" w:color="auto"/>
              <w:right w:val="single" w:sz="4" w:space="0" w:color="000000"/>
            </w:tcBorders>
            <w:shd w:val="clear" w:color="auto" w:fill="auto"/>
          </w:tcPr>
          <w:p w14:paraId="1E48121B" w14:textId="77777777" w:rsidR="007D160C" w:rsidRPr="006D3699" w:rsidRDefault="007D160C" w:rsidP="00F470A8">
            <w:pPr>
              <w:widowControl w:val="0"/>
              <w:overflowPunct w:val="0"/>
              <w:autoSpaceDN/>
              <w:spacing w:line="340" w:lineRule="exact"/>
              <w:jc w:val="both"/>
              <w:textAlignment w:val="auto"/>
              <w:rPr>
                <w:rFonts w:ascii="標楷體" w:eastAsia="標楷體" w:hAnsi="標楷體"/>
                <w:kern w:val="2"/>
                <w:szCs w:val="24"/>
              </w:rPr>
            </w:pPr>
            <w:r w:rsidRPr="006D3699">
              <w:rPr>
                <w:rFonts w:ascii="標楷體" w:eastAsia="標楷體" w:hAnsi="標楷體" w:hint="eastAsia"/>
                <w:kern w:val="2"/>
                <w:szCs w:val="24"/>
              </w:rPr>
              <w:t>第10屆第7會期第9次院會(112.4.28)決定：「交財政委員會審查」</w:t>
            </w:r>
          </w:p>
        </w:tc>
        <w:tc>
          <w:tcPr>
            <w:tcW w:w="2268" w:type="dxa"/>
            <w:tcBorders>
              <w:top w:val="single" w:sz="4" w:space="0" w:color="auto"/>
              <w:left w:val="single" w:sz="4" w:space="0" w:color="auto"/>
              <w:bottom w:val="single" w:sz="12" w:space="0" w:color="auto"/>
              <w:right w:val="single" w:sz="4" w:space="0" w:color="auto"/>
            </w:tcBorders>
            <w:vAlign w:val="center"/>
          </w:tcPr>
          <w:p w14:paraId="4DEB4AC8"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kern w:val="2"/>
                <w:szCs w:val="24"/>
              </w:rPr>
              <w:t>1.因逾年度預算執行期間，本會於113.10.1函議事處提報院會准予備查。</w:t>
            </w:r>
          </w:p>
          <w:p w14:paraId="56A0C49B" w14:textId="77777777" w:rsidR="007D160C" w:rsidRPr="006D3699"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6D3699">
              <w:rPr>
                <w:rFonts w:ascii="標楷體" w:eastAsia="標楷體" w:hAnsi="標楷體" w:hint="eastAsia"/>
                <w:kern w:val="2"/>
                <w:szCs w:val="24"/>
              </w:rPr>
              <w:t>2.第11屆第2會期第5次院會</w:t>
            </w:r>
            <w:r w:rsidRPr="00C057F4">
              <w:rPr>
                <w:rFonts w:ascii="標楷體" w:eastAsia="標楷體" w:hAnsi="標楷體" w:hint="eastAsia"/>
                <w:spacing w:val="-20"/>
                <w:kern w:val="2"/>
                <w:szCs w:val="24"/>
              </w:rPr>
              <w:t>(113.10.18)</w:t>
            </w:r>
            <w:r w:rsidRPr="006D3699">
              <w:rPr>
                <w:rFonts w:ascii="標楷體" w:eastAsia="標楷體" w:hAnsi="標楷體" w:hint="eastAsia"/>
                <w:kern w:val="2"/>
                <w:szCs w:val="24"/>
              </w:rPr>
              <w:t>決定：准予備查。</w:t>
            </w:r>
          </w:p>
        </w:tc>
      </w:tr>
      <w:tr w:rsidR="007D160C" w:rsidRPr="008A1835" w14:paraId="121855AE" w14:textId="77777777" w:rsidTr="001B1EFB">
        <w:trPr>
          <w:cantSplit/>
          <w:trHeight w:val="559"/>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4227F615" w14:textId="77777777" w:rsidR="007D160C" w:rsidRPr="008A1835" w:rsidRDefault="007D160C" w:rsidP="00F470A8">
            <w:pPr>
              <w:widowControl w:val="0"/>
              <w:tabs>
                <w:tab w:val="left" w:pos="567"/>
              </w:tabs>
              <w:overflowPunct w:val="0"/>
              <w:autoSpaceDN/>
              <w:spacing w:line="300" w:lineRule="exact"/>
              <w:textAlignment w:val="auto"/>
              <w:rPr>
                <w:rFonts w:ascii="標楷體" w:eastAsia="標楷體" w:hAnsi="標楷體"/>
                <w:b/>
                <w:kern w:val="2"/>
                <w:sz w:val="28"/>
                <w:szCs w:val="28"/>
              </w:rPr>
            </w:pPr>
            <w:r w:rsidRPr="008A1835">
              <w:rPr>
                <w:rFonts w:ascii="標楷體" w:eastAsia="標楷體" w:hAnsi="標楷體" w:hint="eastAsia"/>
                <w:b/>
                <w:kern w:val="2"/>
                <w:sz w:val="28"/>
                <w:szCs w:val="28"/>
              </w:rPr>
              <w:t>6.</w:t>
            </w:r>
            <w:r w:rsidRPr="00687F4D">
              <w:rPr>
                <w:rFonts w:ascii="標楷體" w:eastAsia="標楷體" w:hAnsi="標楷體" w:hint="eastAsia"/>
                <w:b/>
                <w:kern w:val="2"/>
                <w:sz w:val="28"/>
                <w:szCs w:val="28"/>
              </w:rPr>
              <w:t>中央政府流域綜合治理計畫第1期特別預算</w:t>
            </w:r>
            <w:r w:rsidRPr="00D9107B">
              <w:rPr>
                <w:rFonts w:ascii="標楷體" w:eastAsia="標楷體" w:hAnsi="標楷體" w:hint="eastAsia"/>
                <w:b/>
                <w:kern w:val="2"/>
                <w:sz w:val="28"/>
                <w:szCs w:val="28"/>
              </w:rPr>
              <w:t>（1案）</w:t>
            </w:r>
          </w:p>
        </w:tc>
      </w:tr>
      <w:tr w:rsidR="007D160C" w:rsidRPr="00D9107B" w14:paraId="6B0F98E6" w14:textId="77777777" w:rsidTr="001B1EFB">
        <w:trPr>
          <w:cantSplit/>
          <w:trHeight w:val="1016"/>
          <w:jc w:val="center"/>
        </w:trPr>
        <w:tc>
          <w:tcPr>
            <w:tcW w:w="562" w:type="dxa"/>
            <w:tcBorders>
              <w:top w:val="single" w:sz="12" w:space="0" w:color="auto"/>
              <w:left w:val="single" w:sz="4" w:space="0" w:color="auto"/>
              <w:bottom w:val="single" w:sz="12" w:space="0" w:color="auto"/>
              <w:right w:val="single" w:sz="4" w:space="0" w:color="auto"/>
            </w:tcBorders>
          </w:tcPr>
          <w:p w14:paraId="4A9BA3B7" w14:textId="77777777" w:rsidR="007D160C" w:rsidRPr="00D9107B"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12" w:space="0" w:color="auto"/>
              <w:right w:val="single" w:sz="4" w:space="0" w:color="auto"/>
            </w:tcBorders>
          </w:tcPr>
          <w:p w14:paraId="4FE48377"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審計部函送中央政府流域綜合治理計畫第1期特別預算截至103年度第3季執行情形審核報告案</w:t>
            </w:r>
            <w:r>
              <w:rPr>
                <w:rFonts w:ascii="標楷體" w:eastAsia="標楷體" w:hAnsi="標楷體" w:hint="eastAsia"/>
                <w:kern w:val="2"/>
                <w:szCs w:val="24"/>
              </w:rPr>
              <w:t>。</w:t>
            </w:r>
          </w:p>
        </w:tc>
        <w:tc>
          <w:tcPr>
            <w:tcW w:w="2551" w:type="dxa"/>
            <w:tcBorders>
              <w:top w:val="single" w:sz="12" w:space="0" w:color="auto"/>
              <w:left w:val="single" w:sz="4" w:space="0" w:color="auto"/>
              <w:bottom w:val="single" w:sz="12" w:space="0" w:color="auto"/>
              <w:right w:val="single" w:sz="4" w:space="0" w:color="auto"/>
            </w:tcBorders>
          </w:tcPr>
          <w:p w14:paraId="0C9439DC" w14:textId="77777777" w:rsidR="007D160C" w:rsidRPr="00D9107B" w:rsidRDefault="007D160C" w:rsidP="00F470A8">
            <w:pPr>
              <w:widowControl w:val="0"/>
              <w:overflowPunct w:val="0"/>
              <w:autoSpaceDN/>
              <w:spacing w:line="360" w:lineRule="exact"/>
              <w:jc w:val="both"/>
              <w:textAlignment w:val="auto"/>
              <w:rPr>
                <w:rFonts w:ascii="標楷體" w:eastAsia="標楷體" w:hAnsi="標楷體"/>
                <w:kern w:val="2"/>
                <w:szCs w:val="24"/>
              </w:rPr>
            </w:pPr>
            <w:r w:rsidRPr="00687F4D">
              <w:rPr>
                <w:rFonts w:ascii="標楷體" w:eastAsia="標楷體" w:hAnsi="標楷體" w:hint="eastAsia"/>
                <w:kern w:val="2"/>
                <w:szCs w:val="24"/>
              </w:rPr>
              <w:t>第8屆第6會期第17次院會</w:t>
            </w:r>
            <w:r w:rsidRPr="00400D41">
              <w:rPr>
                <w:rFonts w:ascii="標楷體" w:eastAsia="標楷體" w:hAnsi="標楷體" w:hint="eastAsia"/>
                <w:spacing w:val="-20"/>
                <w:kern w:val="2"/>
                <w:szCs w:val="24"/>
              </w:rPr>
              <w:t>（104.1.9）</w:t>
            </w:r>
            <w:r w:rsidRPr="00687F4D">
              <w:rPr>
                <w:rFonts w:ascii="標楷體" w:eastAsia="標楷體" w:hAnsi="標楷體" w:hint="eastAsia"/>
                <w:kern w:val="2"/>
                <w:szCs w:val="24"/>
              </w:rPr>
              <w:t>決定：「交財政委員會審查」</w:t>
            </w:r>
          </w:p>
        </w:tc>
        <w:tc>
          <w:tcPr>
            <w:tcW w:w="2268" w:type="dxa"/>
            <w:tcBorders>
              <w:top w:val="single" w:sz="12" w:space="0" w:color="auto"/>
              <w:left w:val="single" w:sz="4" w:space="0" w:color="auto"/>
              <w:bottom w:val="single" w:sz="12" w:space="0" w:color="auto"/>
              <w:right w:val="single" w:sz="4" w:space="0" w:color="auto"/>
            </w:tcBorders>
            <w:vAlign w:val="center"/>
          </w:tcPr>
          <w:p w14:paraId="2D7C674B" w14:textId="77777777" w:rsidR="007D160C" w:rsidRPr="00D9107B" w:rsidRDefault="007D160C" w:rsidP="006801D6">
            <w:pPr>
              <w:widowControl w:val="0"/>
              <w:overflowPunct w:val="0"/>
              <w:spacing w:line="320" w:lineRule="exact"/>
              <w:ind w:left="240" w:hangingChars="100" w:hanging="240"/>
              <w:jc w:val="both"/>
              <w:rPr>
                <w:rFonts w:ascii="標楷體" w:eastAsia="標楷體" w:hAnsi="標楷體"/>
                <w:szCs w:val="24"/>
              </w:rPr>
            </w:pPr>
            <w:r w:rsidRPr="00317A96">
              <w:rPr>
                <w:rFonts w:ascii="標楷體" w:eastAsia="標楷體" w:hAnsi="標楷體" w:hint="eastAsia"/>
                <w:szCs w:val="24"/>
              </w:rPr>
              <w:t>1.</w:t>
            </w:r>
            <w:r w:rsidRPr="00D9107B">
              <w:rPr>
                <w:rFonts w:ascii="標楷體" w:eastAsia="標楷體" w:hAnsi="標楷體" w:hint="eastAsia"/>
                <w:szCs w:val="24"/>
              </w:rPr>
              <w:t>因逾年度預算執行期間，本會於113.</w:t>
            </w:r>
            <w:r>
              <w:rPr>
                <w:rFonts w:ascii="標楷體" w:eastAsia="標楷體" w:hAnsi="標楷體" w:hint="eastAsia"/>
                <w:szCs w:val="24"/>
              </w:rPr>
              <w:t>9</w:t>
            </w:r>
            <w:r w:rsidRPr="00D9107B">
              <w:rPr>
                <w:rFonts w:ascii="標楷體" w:eastAsia="標楷體" w:hAnsi="標楷體" w:hint="eastAsia"/>
                <w:szCs w:val="24"/>
              </w:rPr>
              <w:t>.</w:t>
            </w:r>
            <w:r>
              <w:rPr>
                <w:rFonts w:ascii="標楷體" w:eastAsia="標楷體" w:hAnsi="標楷體" w:hint="eastAsia"/>
                <w:szCs w:val="24"/>
              </w:rPr>
              <w:t>2</w:t>
            </w:r>
            <w:r w:rsidRPr="00D9107B">
              <w:rPr>
                <w:rFonts w:ascii="標楷體" w:eastAsia="標楷體" w:hAnsi="標楷體" w:hint="eastAsia"/>
                <w:szCs w:val="24"/>
              </w:rPr>
              <w:t>函議事處提報院會准予備查。</w:t>
            </w:r>
          </w:p>
          <w:p w14:paraId="18936ED5" w14:textId="77777777" w:rsidR="007D160C" w:rsidRPr="00D9107B" w:rsidRDefault="007D160C" w:rsidP="00F470A8">
            <w:pPr>
              <w:widowControl w:val="0"/>
              <w:overflowPunct w:val="0"/>
              <w:spacing w:line="320" w:lineRule="exact"/>
              <w:ind w:left="240" w:hangingChars="100" w:hanging="240"/>
              <w:jc w:val="both"/>
              <w:rPr>
                <w:rFonts w:ascii="標楷體" w:eastAsia="標楷體" w:hAnsi="標楷體"/>
                <w:kern w:val="2"/>
                <w:szCs w:val="24"/>
              </w:rPr>
            </w:pPr>
            <w:r w:rsidRPr="00C560BE">
              <w:rPr>
                <w:rFonts w:ascii="標楷體" w:eastAsia="標楷體" w:hAnsi="標楷體" w:hint="eastAsia"/>
                <w:szCs w:val="24"/>
              </w:rPr>
              <w:t>2.第11屆第</w:t>
            </w:r>
            <w:r>
              <w:rPr>
                <w:rFonts w:ascii="標楷體" w:eastAsia="標楷體" w:hAnsi="標楷體" w:hint="eastAsia"/>
                <w:szCs w:val="24"/>
              </w:rPr>
              <w:t>2</w:t>
            </w:r>
            <w:r w:rsidRPr="00C560BE">
              <w:rPr>
                <w:rFonts w:ascii="標楷體" w:eastAsia="標楷體" w:hAnsi="標楷體" w:hint="eastAsia"/>
                <w:szCs w:val="24"/>
              </w:rPr>
              <w:t>會期第</w:t>
            </w:r>
            <w:r>
              <w:rPr>
                <w:rFonts w:ascii="標楷體" w:eastAsia="標楷體" w:hAnsi="標楷體" w:hint="eastAsia"/>
                <w:szCs w:val="24"/>
              </w:rPr>
              <w:t>1</w:t>
            </w:r>
            <w:r w:rsidRPr="00C560BE">
              <w:rPr>
                <w:rFonts w:ascii="標楷體" w:eastAsia="標楷體" w:hAnsi="標楷體" w:hint="eastAsia"/>
                <w:szCs w:val="24"/>
              </w:rPr>
              <w:t>次院會(</w:t>
            </w:r>
            <w:r w:rsidRPr="00C560BE">
              <w:rPr>
                <w:rFonts w:ascii="標楷體" w:eastAsia="標楷體" w:hAnsi="標楷體"/>
                <w:szCs w:val="24"/>
              </w:rPr>
              <w:t>11</w:t>
            </w:r>
            <w:r w:rsidRPr="00C560BE">
              <w:rPr>
                <w:rFonts w:ascii="標楷體" w:eastAsia="標楷體" w:hAnsi="標楷體" w:hint="eastAsia"/>
                <w:szCs w:val="24"/>
              </w:rPr>
              <w:t>3</w:t>
            </w:r>
            <w:r w:rsidRPr="00C560BE">
              <w:rPr>
                <w:rFonts w:ascii="標楷體" w:eastAsia="標楷體" w:hAnsi="標楷體"/>
                <w:szCs w:val="24"/>
              </w:rPr>
              <w:t>.</w:t>
            </w:r>
            <w:r>
              <w:rPr>
                <w:rFonts w:ascii="標楷體" w:eastAsia="標楷體" w:hAnsi="標楷體" w:hint="eastAsia"/>
                <w:szCs w:val="24"/>
              </w:rPr>
              <w:t>9</w:t>
            </w:r>
            <w:r w:rsidRPr="00C560BE">
              <w:rPr>
                <w:rFonts w:ascii="標楷體" w:eastAsia="標楷體" w:hAnsi="標楷體"/>
                <w:szCs w:val="24"/>
              </w:rPr>
              <w:t>.</w:t>
            </w:r>
            <w:r>
              <w:rPr>
                <w:rFonts w:ascii="標楷體" w:eastAsia="標楷體" w:hAnsi="標楷體" w:hint="eastAsia"/>
                <w:szCs w:val="24"/>
              </w:rPr>
              <w:t>20</w:t>
            </w:r>
            <w:r w:rsidRPr="00C560BE">
              <w:rPr>
                <w:rFonts w:ascii="標楷體" w:eastAsia="標楷體" w:hAnsi="標楷體" w:hint="eastAsia"/>
                <w:szCs w:val="24"/>
              </w:rPr>
              <w:t>)決定：准予</w:t>
            </w:r>
            <w:r>
              <w:rPr>
                <w:rFonts w:ascii="標楷體" w:eastAsia="標楷體" w:hAnsi="標楷體" w:hint="eastAsia"/>
                <w:szCs w:val="24"/>
              </w:rPr>
              <w:t>備查</w:t>
            </w:r>
            <w:r w:rsidRPr="00C560BE">
              <w:rPr>
                <w:rFonts w:ascii="標楷體" w:eastAsia="標楷體" w:hAnsi="標楷體" w:hint="eastAsia"/>
                <w:szCs w:val="24"/>
              </w:rPr>
              <w:t>。</w:t>
            </w:r>
          </w:p>
        </w:tc>
      </w:tr>
      <w:tr w:rsidR="007D160C" w:rsidRPr="00655D64" w14:paraId="7F3571EA" w14:textId="77777777" w:rsidTr="001B1EFB">
        <w:trPr>
          <w:cantSplit/>
          <w:trHeight w:val="765"/>
          <w:jc w:val="center"/>
        </w:trPr>
        <w:tc>
          <w:tcPr>
            <w:tcW w:w="9634" w:type="dxa"/>
            <w:gridSpan w:val="4"/>
            <w:tcBorders>
              <w:top w:val="single" w:sz="12" w:space="0" w:color="auto"/>
              <w:left w:val="single" w:sz="4" w:space="0" w:color="auto"/>
              <w:bottom w:val="single" w:sz="12" w:space="0" w:color="auto"/>
              <w:right w:val="single" w:sz="4" w:space="0" w:color="auto"/>
            </w:tcBorders>
            <w:vAlign w:val="center"/>
          </w:tcPr>
          <w:p w14:paraId="5069A03F" w14:textId="357AC223" w:rsidR="007D160C" w:rsidRPr="00655D64" w:rsidRDefault="00B60158" w:rsidP="00F470A8">
            <w:pPr>
              <w:widowControl w:val="0"/>
              <w:overflowPunct w:val="0"/>
              <w:autoSpaceDN/>
              <w:spacing w:line="320" w:lineRule="exact"/>
              <w:jc w:val="both"/>
              <w:textAlignment w:val="auto"/>
              <w:rPr>
                <w:rFonts w:ascii="標楷體" w:eastAsia="標楷體" w:hAnsi="標楷體"/>
                <w:b/>
                <w:kern w:val="2"/>
                <w:sz w:val="28"/>
                <w:szCs w:val="28"/>
              </w:rPr>
            </w:pPr>
            <w:r>
              <w:rPr>
                <w:rFonts w:ascii="標楷體" w:eastAsia="標楷體" w:hAnsi="標楷體" w:hint="eastAsia"/>
                <w:b/>
                <w:kern w:val="2"/>
                <w:sz w:val="28"/>
                <w:szCs w:val="28"/>
              </w:rPr>
              <w:t>7</w:t>
            </w:r>
            <w:r w:rsidR="007D160C" w:rsidRPr="00655D64">
              <w:rPr>
                <w:rFonts w:ascii="標楷體" w:eastAsia="標楷體" w:hAnsi="標楷體"/>
                <w:b/>
                <w:kern w:val="2"/>
                <w:sz w:val="28"/>
                <w:szCs w:val="28"/>
              </w:rPr>
              <w:t>.</w:t>
            </w:r>
            <w:r w:rsidR="007D160C" w:rsidRPr="00655D64">
              <w:rPr>
                <w:rFonts w:ascii="標楷體" w:eastAsia="標楷體" w:hAnsi="標楷體" w:hint="eastAsia"/>
                <w:b/>
                <w:kern w:val="2"/>
                <w:sz w:val="28"/>
                <w:szCs w:val="28"/>
              </w:rPr>
              <w:t>中央政府前瞻基礎建設計畫第3期特別預算(</w:t>
            </w:r>
            <w:r w:rsidR="007D160C">
              <w:rPr>
                <w:rFonts w:ascii="標楷體" w:eastAsia="標楷體" w:hAnsi="標楷體" w:hint="eastAsia"/>
                <w:b/>
                <w:kern w:val="2"/>
                <w:sz w:val="28"/>
                <w:szCs w:val="28"/>
              </w:rPr>
              <w:t>74</w:t>
            </w:r>
            <w:r w:rsidR="007D160C" w:rsidRPr="00655D64">
              <w:rPr>
                <w:rFonts w:ascii="標楷體" w:eastAsia="標楷體" w:hAnsi="標楷體" w:hint="eastAsia"/>
                <w:b/>
                <w:kern w:val="2"/>
                <w:sz w:val="28"/>
                <w:szCs w:val="28"/>
              </w:rPr>
              <w:t>案)</w:t>
            </w:r>
          </w:p>
        </w:tc>
      </w:tr>
      <w:tr w:rsidR="007D160C" w:rsidRPr="00B95A07" w14:paraId="5E7031EB" w14:textId="77777777" w:rsidTr="00C56C43">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406026D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43BE609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行政院函為中央政府前瞻基礎建設計畫第</w:t>
            </w:r>
            <w:r w:rsidRPr="00B95A07">
              <w:rPr>
                <w:rFonts w:ascii="標楷體" w:eastAsia="標楷體" w:hAnsi="標楷體"/>
                <w:kern w:val="2"/>
                <w:szCs w:val="24"/>
              </w:rPr>
              <w:t>3期特別預算決議，檢送危害國家資通安全產品廠商清單辦理情形書面報告案。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798B747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val="restart"/>
            <w:tcBorders>
              <w:top w:val="single" w:sz="12" w:space="0" w:color="auto"/>
              <w:left w:val="single" w:sz="4" w:space="0" w:color="auto"/>
              <w:bottom w:val="single" w:sz="4" w:space="0" w:color="auto"/>
              <w:right w:val="single" w:sz="4" w:space="0" w:color="auto"/>
            </w:tcBorders>
            <w:shd w:val="clear" w:color="auto" w:fill="auto"/>
          </w:tcPr>
          <w:p w14:paraId="75FEDDC0" w14:textId="704C2E1F" w:rsidR="007D160C" w:rsidRPr="00EF2994" w:rsidRDefault="007D160C" w:rsidP="006801D6">
            <w:pPr>
              <w:widowControl w:val="0"/>
              <w:overflowPunct w:val="0"/>
              <w:spacing w:line="320" w:lineRule="exact"/>
              <w:ind w:left="240" w:hangingChars="100" w:hanging="240"/>
              <w:jc w:val="both"/>
              <w:rPr>
                <w:rFonts w:ascii="標楷體" w:eastAsia="標楷體" w:hAnsi="標楷體"/>
                <w:kern w:val="2"/>
                <w:szCs w:val="24"/>
              </w:rPr>
            </w:pPr>
            <w:r w:rsidRPr="00EF2994">
              <w:rPr>
                <w:rFonts w:ascii="標楷體" w:eastAsia="標楷體" w:hAnsi="標楷體" w:hint="eastAsia"/>
                <w:kern w:val="2"/>
                <w:szCs w:val="24"/>
              </w:rPr>
              <w:t>1.因均逾年度預算執行期間，本會會同</w:t>
            </w:r>
            <w:r>
              <w:rPr>
                <w:rFonts w:ascii="標楷體" w:eastAsia="標楷體" w:hAnsi="標楷體" w:hint="eastAsia"/>
                <w:kern w:val="2"/>
                <w:szCs w:val="24"/>
              </w:rPr>
              <w:t>各相關</w:t>
            </w:r>
            <w:r w:rsidRPr="00EF2994">
              <w:rPr>
                <w:rFonts w:ascii="標楷體" w:eastAsia="標楷體" w:hAnsi="標楷體" w:hint="eastAsia"/>
                <w:kern w:val="2"/>
                <w:szCs w:val="24"/>
              </w:rPr>
              <w:t>委員會於113.</w:t>
            </w:r>
            <w:r>
              <w:rPr>
                <w:rFonts w:ascii="標楷體" w:eastAsia="標楷體" w:hAnsi="標楷體" w:hint="eastAsia"/>
                <w:kern w:val="2"/>
                <w:szCs w:val="24"/>
              </w:rPr>
              <w:t>9</w:t>
            </w:r>
            <w:r w:rsidRPr="00EF2994">
              <w:rPr>
                <w:rFonts w:ascii="標楷體" w:eastAsia="標楷體" w:hAnsi="標楷體" w:hint="eastAsia"/>
                <w:kern w:val="2"/>
                <w:szCs w:val="24"/>
              </w:rPr>
              <w:t>.</w:t>
            </w:r>
            <w:r>
              <w:rPr>
                <w:rFonts w:ascii="標楷體" w:eastAsia="標楷體" w:hAnsi="標楷體" w:hint="eastAsia"/>
                <w:kern w:val="2"/>
                <w:szCs w:val="24"/>
              </w:rPr>
              <w:t>26</w:t>
            </w:r>
            <w:r w:rsidRPr="00EF2994">
              <w:rPr>
                <w:rFonts w:ascii="標楷體" w:eastAsia="標楷體" w:hAnsi="標楷體" w:hint="eastAsia"/>
                <w:kern w:val="2"/>
                <w:szCs w:val="24"/>
              </w:rPr>
              <w:t>函議事處提報院會准予備查。</w:t>
            </w:r>
          </w:p>
          <w:p w14:paraId="4D8E12B3" w14:textId="77777777" w:rsidR="007D160C" w:rsidRPr="007B5E8B" w:rsidRDefault="007D160C" w:rsidP="006801D6">
            <w:pPr>
              <w:widowControl w:val="0"/>
              <w:overflowPunct w:val="0"/>
              <w:spacing w:line="320" w:lineRule="exact"/>
              <w:ind w:left="240" w:hangingChars="100" w:hanging="240"/>
              <w:jc w:val="both"/>
              <w:rPr>
                <w:rFonts w:ascii="標楷體" w:eastAsia="標楷體" w:hAnsi="標楷體"/>
                <w:kern w:val="2"/>
                <w:szCs w:val="24"/>
              </w:rPr>
            </w:pPr>
            <w:r w:rsidRPr="00EF2994">
              <w:rPr>
                <w:rFonts w:ascii="標楷體" w:eastAsia="標楷體" w:hAnsi="標楷體" w:hint="eastAsia"/>
                <w:kern w:val="2"/>
                <w:szCs w:val="24"/>
              </w:rPr>
              <w:t>2</w:t>
            </w:r>
            <w:r w:rsidRPr="00145D4F">
              <w:rPr>
                <w:rFonts w:ascii="標楷體" w:eastAsia="標楷體" w:hAnsi="標楷體" w:hint="eastAsia"/>
                <w:kern w:val="2"/>
                <w:szCs w:val="24"/>
              </w:rPr>
              <w:t>.第11屆第2會期第3次院會(113.10.4)決定：准予備查。</w:t>
            </w:r>
          </w:p>
        </w:tc>
      </w:tr>
      <w:tr w:rsidR="007D160C" w:rsidRPr="00B95A07" w14:paraId="321088B4" w14:textId="77777777" w:rsidTr="00C56C43">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137FCD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EC3A6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3期特別預算決議，檢送污水系統建置執行情形書面報告案。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089108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top w:val="single" w:sz="4" w:space="0" w:color="auto"/>
              <w:left w:val="single" w:sz="4" w:space="0" w:color="auto"/>
              <w:right w:val="single" w:sz="4" w:space="0" w:color="auto"/>
            </w:tcBorders>
            <w:shd w:val="clear" w:color="auto" w:fill="auto"/>
            <w:vAlign w:val="center"/>
          </w:tcPr>
          <w:p w14:paraId="454CE59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751937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F5939B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D089AB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3期特別預算決議，檢送警政署「智慧XR警勤訓練建置案細部規劃」書面報告案。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E235763"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1CDC37B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5784EF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F93E48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B1BDE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3期特別預算決議，檢送警政署「建置智慧化交通事故處理系統」書面報告案。</w:t>
            </w:r>
          </w:p>
        </w:tc>
        <w:tc>
          <w:tcPr>
            <w:tcW w:w="2551" w:type="dxa"/>
            <w:tcBorders>
              <w:top w:val="single" w:sz="4" w:space="0" w:color="auto"/>
              <w:left w:val="single" w:sz="4" w:space="0" w:color="auto"/>
              <w:bottom w:val="single" w:sz="4" w:space="0" w:color="auto"/>
              <w:right w:val="single" w:sz="4" w:space="0" w:color="auto"/>
            </w:tcBorders>
          </w:tcPr>
          <w:p w14:paraId="48CFBBC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2268" w:type="dxa"/>
            <w:vMerge/>
            <w:tcBorders>
              <w:left w:val="single" w:sz="4" w:space="0" w:color="auto"/>
              <w:right w:val="single" w:sz="4" w:space="0" w:color="auto"/>
            </w:tcBorders>
            <w:vAlign w:val="center"/>
          </w:tcPr>
          <w:p w14:paraId="6463D892"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56BA4D38"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37AA2E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C8B98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3期特別預算決議，檢送警政署「智慧化交通事故處理系統建置規劃」書面報告案。</w:t>
            </w:r>
          </w:p>
        </w:tc>
        <w:tc>
          <w:tcPr>
            <w:tcW w:w="2551" w:type="dxa"/>
            <w:tcBorders>
              <w:top w:val="single" w:sz="4" w:space="0" w:color="auto"/>
              <w:left w:val="single" w:sz="4" w:space="0" w:color="auto"/>
              <w:bottom w:val="single" w:sz="4" w:space="0" w:color="auto"/>
              <w:right w:val="single" w:sz="4" w:space="0" w:color="auto"/>
            </w:tcBorders>
          </w:tcPr>
          <w:p w14:paraId="09827E0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第10屆第3會期第13次院會（1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.21）決定：「交財政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2268" w:type="dxa"/>
            <w:vMerge/>
            <w:tcBorders>
              <w:left w:val="single" w:sz="4" w:space="0" w:color="auto"/>
              <w:right w:val="single" w:sz="4" w:space="0" w:color="auto"/>
            </w:tcBorders>
            <w:vAlign w:val="center"/>
          </w:tcPr>
          <w:p w14:paraId="6E29DAC3" w14:textId="77777777" w:rsidR="007D160C" w:rsidRPr="00B95A07" w:rsidRDefault="007D160C" w:rsidP="00F470A8">
            <w:pPr>
              <w:widowControl w:val="0"/>
              <w:overflowPunct w:val="0"/>
              <w:spacing w:line="320" w:lineRule="exact"/>
              <w:jc w:val="both"/>
              <w:rPr>
                <w:rFonts w:ascii="標楷體" w:eastAsia="標楷體" w:hAnsi="標楷體"/>
                <w:spacing w:val="-40"/>
                <w:kern w:val="2"/>
                <w:szCs w:val="24"/>
              </w:rPr>
            </w:pPr>
          </w:p>
        </w:tc>
      </w:tr>
      <w:tr w:rsidR="007D160C" w:rsidRPr="00B95A07" w14:paraId="12ABF4CC"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44314A3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1F8F6E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w:t>
            </w:r>
            <w:r w:rsidRPr="00B95A07">
              <w:rPr>
                <w:rFonts w:ascii="標楷體" w:eastAsia="標楷體" w:hAnsi="標楷體"/>
                <w:kern w:val="2"/>
                <w:szCs w:val="24"/>
              </w:rPr>
              <w:t>函為中央政府前瞻基礎建設計畫第3期特別預算決議，檢送「中興新村地方創生青年創業服務平台」相關設置辦法書面報告案。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3724A40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13B49B0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0440F62"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9DAF1C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F79431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國家發展委員會函為中央政府前瞻基礎建設計畫第3期特別預算決議，檢送「縮短雙語教育城鄉差距之相關措施」書面報告案。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A0EC7B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41121A1"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20AEDB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E0ED9A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AC188B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國家發展委員會函為中央政府前瞻基礎建設計畫第3期特別預算決議，檢送「加強運用雙語節目推動雙語人才培育及英語生活化」書面報告案。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DA74FB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6A9FAE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F39EC11"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84F880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229E6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國家發展委員會函為中央政府前瞻基礎建設計畫第3期特別預算決議，檢送「評估制定地方創生專法之可行性」書面報告案。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123CD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3582350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5617024"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C2238C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7E99DC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國家發展委員會函為中央政府前瞻基礎建設計畫第3期特別預算決議，檢送「營造工作場域及日常生活中運用英語之情境」書面報告案。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857F4C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156435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12A2128"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617D64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B83C99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國家發展委員會函，中央政府前瞻基礎建設計畫第3期特別預算決議，檢送「臺美合作推動雙語國家政策」書面報告案。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9D98C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9EA6B7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F8B9CE3"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846BC5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CB45A6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國家發展委員會函為中央政府前瞻基礎建設計畫第3期特別預算決議，檢送「長期規劃及務實推動雙語國家政策」書面報告案。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DFC0FF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9FDFAC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09E56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A0E611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4AFAB2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國家發展委員會函為中央政府前瞻基礎建設計畫第3期特別預算決議，檢送「參考相關國家做法以推動雙語國家政策」書面報告案。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2453A4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4D88F9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FC9F0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DB388A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8F14E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國家發展委員會函為中央政府前瞻基礎建設計畫第3期特別預算決議，檢送地方政府自償能力及債務風險控管書面報告案。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B221419"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2268" w:type="dxa"/>
            <w:vMerge/>
            <w:tcBorders>
              <w:left w:val="single" w:sz="4" w:space="0" w:color="auto"/>
              <w:right w:val="single" w:sz="4" w:space="0" w:color="auto"/>
            </w:tcBorders>
            <w:shd w:val="clear" w:color="auto" w:fill="auto"/>
            <w:vAlign w:val="center"/>
          </w:tcPr>
          <w:p w14:paraId="2569DAD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70056F8"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3E6DA93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002268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3期特別預算決議，檢送「國家綠能標準檢測驗證計畫推動期程及效益」專案報告案。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3D8D110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第10屆第3會期第7次院會（1</w:t>
            </w:r>
            <w:r w:rsidRPr="00B95A07">
              <w:rPr>
                <w:rFonts w:ascii="標楷體" w:eastAsia="標楷體" w:hAnsi="標楷體"/>
                <w:kern w:val="2"/>
                <w:szCs w:val="24"/>
              </w:rPr>
              <w:t>10</w:t>
            </w:r>
            <w:r w:rsidRPr="00B95A07">
              <w:rPr>
                <w:rFonts w:ascii="標楷體" w:eastAsia="標楷體" w:hAnsi="標楷體" w:hint="eastAsia"/>
                <w:kern w:val="2"/>
                <w:szCs w:val="24"/>
              </w:rPr>
              <w:t>.4.9）決定：「交財政及相關委員會處理」</w:t>
            </w:r>
          </w:p>
        </w:tc>
        <w:tc>
          <w:tcPr>
            <w:tcW w:w="2268" w:type="dxa"/>
            <w:vMerge/>
            <w:tcBorders>
              <w:left w:val="single" w:sz="4" w:space="0" w:color="auto"/>
              <w:right w:val="single" w:sz="4" w:space="0" w:color="auto"/>
            </w:tcBorders>
            <w:shd w:val="clear" w:color="auto" w:fill="auto"/>
            <w:vAlign w:val="center"/>
          </w:tcPr>
          <w:p w14:paraId="67D37A1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1406052"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31536E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FE8B28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3期特別預算決議，檢送「加強後續受補助法人計畫之執行監督及研發成果落實運用」書面報告案。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D14F69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8452F9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D2064B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DBBEBC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D51F24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3期特別預算決議，檢送「全國水資源用水情形及精進」書面報告</w:t>
            </w:r>
            <w:r w:rsidRPr="00B95A07">
              <w:rPr>
                <w:rFonts w:ascii="標楷體" w:eastAsia="標楷體" w:hAnsi="標楷體" w:hint="eastAsia"/>
                <w:kern w:val="2"/>
                <w:szCs w:val="24"/>
              </w:rPr>
              <w:t>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BC8BA0D"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E96755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578200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EC5BA9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2933BF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w:t>
            </w:r>
            <w:r w:rsidRPr="00B95A07">
              <w:rPr>
                <w:rFonts w:ascii="標楷體" w:eastAsia="標楷體" w:hAnsi="標楷體" w:hint="eastAsia"/>
                <w:kern w:val="2"/>
                <w:szCs w:val="24"/>
              </w:rPr>
              <w:t>伏流水工程疑慮</w:t>
            </w:r>
            <w:r w:rsidRPr="00B95A07">
              <w:rPr>
                <w:rFonts w:ascii="標楷體" w:eastAsia="標楷體" w:hAnsi="標楷體"/>
                <w:kern w:val="2"/>
                <w:szCs w:val="24"/>
              </w:rPr>
              <w:t>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56F82B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31F66B1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6182E6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C72C83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A7723D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3期特別預算決議，檢送「加工出口區勞力短缺及土地使用權因應對策」書面報告案。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7A5FA4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57FE24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2C05D57"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8BA291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8C7769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3期特別預算決議，檢送「推動再生能源發電系統併網技術期程及效益」書面報告案。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71CE51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A8D1DE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D3EFD9B"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8C99E3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9C73BA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3期特別預算決議，檢送「水資源開發總盤點計畫」書面報告案。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B48852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.21）決定：「交財政及相關委員會審查」</w:t>
            </w:r>
          </w:p>
        </w:tc>
        <w:tc>
          <w:tcPr>
            <w:tcW w:w="2268" w:type="dxa"/>
            <w:vMerge/>
            <w:tcBorders>
              <w:left w:val="single" w:sz="4" w:space="0" w:color="auto"/>
              <w:right w:val="single" w:sz="4" w:space="0" w:color="auto"/>
            </w:tcBorders>
            <w:shd w:val="clear" w:color="auto" w:fill="auto"/>
            <w:vAlign w:val="center"/>
          </w:tcPr>
          <w:p w14:paraId="5829236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DBA7913"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493F41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079C20" w14:textId="77777777" w:rsidR="007D160C" w:rsidRPr="00B95A07" w:rsidRDefault="007D160C"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w:t>
            </w:r>
            <w:r w:rsidRPr="00B95A07">
              <w:rPr>
                <w:rFonts w:ascii="標楷體" w:eastAsia="標楷體" w:hAnsi="標楷體"/>
                <w:kern w:val="2"/>
                <w:szCs w:val="24"/>
              </w:rPr>
              <w:t>3期特別預算決議，檢送增加重點產業人才之質與量書面報告案。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DFD50F0"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第10屆第3會期第13次院會（110.5.21）決定：「交財政及相關委員會審查」</w:t>
            </w:r>
          </w:p>
        </w:tc>
        <w:tc>
          <w:tcPr>
            <w:tcW w:w="2268" w:type="dxa"/>
            <w:vMerge/>
            <w:tcBorders>
              <w:left w:val="single" w:sz="4" w:space="0" w:color="auto"/>
              <w:right w:val="single" w:sz="4" w:space="0" w:color="auto"/>
            </w:tcBorders>
            <w:shd w:val="clear" w:color="auto" w:fill="auto"/>
            <w:vAlign w:val="center"/>
          </w:tcPr>
          <w:p w14:paraId="5A16F4C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8EDDAB4"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5C3998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BE4CE4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經濟部函為中央政府前瞻基礎建設計畫第3期特別預算決議，檢送「水下基礎銲接技術產業擴散效益」說明資料案。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3C9EFD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5026BC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8B571B1"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7EC1FC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88B0C6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經濟部函為中央政府前瞻基礎建設計畫第3期特別預算決議，檢送「建構水下基礎銲接技術訓練與檢測驗證中心推動期程及效益」說明資料案。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967845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034DBF6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12BED4"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43D77CE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3CDE8B9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經濟部函為中央政府前瞻基礎建設計畫第3期特別預算決議，檢送「離岸風電推動政策及辦理情形」書面報告案。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409E277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0E5D445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85D6606"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92F97F8"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01E5CD7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3期特別預算決議，檢送水土保持局原鄉部落水庫崩塌、野溪治理及水土災害書面報告案。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680886A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A21A901"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E495FD"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621FEC2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7DB2F37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行政院農業委員會函為中央政府前瞻基礎建設計畫第</w:t>
            </w:r>
            <w:r w:rsidRPr="00B95A07">
              <w:rPr>
                <w:rFonts w:ascii="標楷體" w:eastAsia="標楷體" w:hAnsi="標楷體"/>
                <w:kern w:val="2"/>
                <w:szCs w:val="24"/>
              </w:rPr>
              <w:t>3期特別預算決議，檢送水土保持局縣市管河川及區域排水整體改善計畫工程進度未如預期書面報告案。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553447D8"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1B51B4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F2BBC89"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7B5AD5E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66CD450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財政部函為中央政府前瞻基礎建設計畫第</w:t>
            </w:r>
            <w:r w:rsidRPr="00B95A07">
              <w:rPr>
                <w:rFonts w:ascii="標楷體" w:eastAsia="標楷體" w:hAnsi="標楷體"/>
                <w:kern w:val="2"/>
                <w:szCs w:val="24"/>
              </w:rPr>
              <w:t>3期特別預算決議，檢送公共債務未償餘額妥善規劃償債計畫書面報告案。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6BDE014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w:t>
            </w:r>
            <w:r w:rsidRPr="00400D41">
              <w:rPr>
                <w:rFonts w:ascii="標楷體" w:eastAsia="標楷體" w:hAnsi="標楷體" w:hint="eastAsia"/>
                <w:spacing w:val="-20"/>
                <w:kern w:val="2"/>
                <w:szCs w:val="24"/>
              </w:rPr>
              <w:t>（1</w:t>
            </w:r>
            <w:r w:rsidRPr="00400D41">
              <w:rPr>
                <w:rFonts w:ascii="標楷體" w:eastAsia="標楷體" w:hAnsi="標楷體"/>
                <w:spacing w:val="-20"/>
                <w:kern w:val="2"/>
                <w:szCs w:val="24"/>
              </w:rPr>
              <w:t>10</w:t>
            </w:r>
            <w:r w:rsidRPr="00400D41">
              <w:rPr>
                <w:rFonts w:ascii="標楷體" w:eastAsia="標楷體" w:hAnsi="標楷體" w:hint="eastAsia"/>
                <w:spacing w:val="-20"/>
                <w:kern w:val="2"/>
                <w:szCs w:val="24"/>
              </w:rPr>
              <w:t>.4.</w:t>
            </w:r>
            <w:r w:rsidRPr="00400D41">
              <w:rPr>
                <w:rFonts w:ascii="標楷體" w:eastAsia="標楷體" w:hAnsi="標楷體"/>
                <w:spacing w:val="-20"/>
                <w:kern w:val="2"/>
                <w:szCs w:val="24"/>
              </w:rPr>
              <w:t>16</w:t>
            </w:r>
            <w:r w:rsidRPr="00400D4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2268" w:type="dxa"/>
            <w:vMerge/>
            <w:tcBorders>
              <w:left w:val="single" w:sz="4" w:space="0" w:color="auto"/>
              <w:right w:val="single" w:sz="4" w:space="0" w:color="auto"/>
            </w:tcBorders>
            <w:shd w:val="clear" w:color="auto" w:fill="auto"/>
            <w:vAlign w:val="center"/>
          </w:tcPr>
          <w:p w14:paraId="3EE3AB3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A5E661B"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BECBB06"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3CF943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國立故宮博物院函為中央政府前瞻基礎建設計畫第3期特別預算決議，檢送決議（二）落實5G傳輸能力擴增文化體驗書面報告案。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1D7512CA"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2F5E93F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127B2F3"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728006A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48D182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w:t>
            </w:r>
            <w:r w:rsidRPr="00B95A07">
              <w:rPr>
                <w:rFonts w:ascii="標楷體" w:eastAsia="標楷體" w:hAnsi="標楷體"/>
                <w:kern w:val="2"/>
                <w:szCs w:val="24"/>
              </w:rPr>
              <w:t>3期特別預算決議，檢送「地方創生如何落實由下而上之政策執行」書面報告案。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23E3787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890415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29BDA8A"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B08CFE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C1D5AB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教育部函為中央政府前瞻基礎建設計畫第3期特別預算決議，檢送「縮短雙語教育城鄉差距相關措施」書面報告案。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D2D021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2B69C6D"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049200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01BAAE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078912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教育部函為中央政府前瞻基礎建設計畫第3期特別預算決議，檢送「加強運用雙語節目推動雙語人才培育及英語生活化」書面報告案。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C6442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D527B1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BE9D044"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05FBF3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437335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教育部函為中央政府前瞻基礎建設計畫第3期特別預算決議，檢送「長期規劃及務實推動雙語國家政策」書面報告案。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4B9575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65586A1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61EE5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3E77C2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2918CAE"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教育部函為中央政府前瞻基礎建設計畫第3期特別預算決議，檢送「臺美合作推動雙語國家政策」書面報告案。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4CE936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26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3F9A5F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D3F25A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70277F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4C14D8A"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教育部函為中央政府前瞻基礎建設計畫第3期特別預算決議，檢送「縮短雙語教育城鄉差距」書面報告案。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6C8AF47"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2268" w:type="dxa"/>
            <w:vMerge/>
            <w:tcBorders>
              <w:left w:val="single" w:sz="4" w:space="0" w:color="auto"/>
              <w:right w:val="single" w:sz="4" w:space="0" w:color="auto"/>
            </w:tcBorders>
            <w:shd w:val="clear" w:color="auto" w:fill="auto"/>
            <w:vAlign w:val="center"/>
          </w:tcPr>
          <w:p w14:paraId="4BF9124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49EAB56" w14:textId="77777777" w:rsidTr="001B1EFB">
        <w:trPr>
          <w:cantSplit/>
          <w:trHeight w:val="1077"/>
          <w:jc w:val="center"/>
        </w:trPr>
        <w:tc>
          <w:tcPr>
            <w:tcW w:w="562" w:type="dxa"/>
            <w:tcBorders>
              <w:top w:val="single" w:sz="12" w:space="0" w:color="auto"/>
              <w:left w:val="single" w:sz="4" w:space="0" w:color="auto"/>
              <w:bottom w:val="single" w:sz="12" w:space="0" w:color="auto"/>
              <w:right w:val="single" w:sz="4" w:space="0" w:color="auto"/>
            </w:tcBorders>
          </w:tcPr>
          <w:p w14:paraId="6A954FA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12" w:space="0" w:color="auto"/>
              <w:right w:val="single" w:sz="4" w:space="0" w:color="auto"/>
            </w:tcBorders>
          </w:tcPr>
          <w:p w14:paraId="7D1E0339"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文化部函為中央政府前瞻基礎建設計畫第</w:t>
            </w:r>
            <w:r w:rsidRPr="00B95A07">
              <w:rPr>
                <w:rFonts w:ascii="標楷體" w:eastAsia="標楷體" w:hAnsi="標楷體"/>
                <w:kern w:val="2"/>
                <w:szCs w:val="24"/>
              </w:rPr>
              <w:t>3期特別預算決議，檢送「國家文化記憶庫計畫2.0」書面報告案。</w:t>
            </w:r>
          </w:p>
        </w:tc>
        <w:tc>
          <w:tcPr>
            <w:tcW w:w="2551" w:type="dxa"/>
            <w:tcBorders>
              <w:top w:val="single" w:sz="12" w:space="0" w:color="auto"/>
              <w:left w:val="single" w:sz="4" w:space="0" w:color="auto"/>
              <w:bottom w:val="single" w:sz="12" w:space="0" w:color="auto"/>
              <w:right w:val="single" w:sz="4" w:space="0" w:color="auto"/>
            </w:tcBorders>
            <w:shd w:val="clear" w:color="auto" w:fill="auto"/>
          </w:tcPr>
          <w:p w14:paraId="036E931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40D12F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86F5DE5"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161FCEE6"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5D50FA1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3期特別預算決議，檢送該會決議（一）引導電信業者強化及提升偏鄉寬頻涵蓋率書面報告案。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06960D9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594CC5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77C4FA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37220E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C657B43"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3期特別預算決議，檢送該會決議（八）5G偏鄉人口涵蓋率書面報告案。</w:t>
            </w:r>
          </w:p>
        </w:tc>
        <w:tc>
          <w:tcPr>
            <w:tcW w:w="2551" w:type="dxa"/>
            <w:tcBorders>
              <w:top w:val="single" w:sz="4" w:space="0" w:color="auto"/>
              <w:left w:val="single" w:sz="4" w:space="0" w:color="auto"/>
              <w:bottom w:val="single" w:sz="4" w:space="0" w:color="auto"/>
              <w:right w:val="single" w:sz="4" w:space="0" w:color="auto"/>
            </w:tcBorders>
          </w:tcPr>
          <w:p w14:paraId="4C36936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64C1BCF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997330B"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708FC1B"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EBC7F7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3期特別預算決議，檢送該會決議（二）加速執行網路建設書面報告案。</w:t>
            </w:r>
          </w:p>
        </w:tc>
        <w:tc>
          <w:tcPr>
            <w:tcW w:w="2551" w:type="dxa"/>
            <w:tcBorders>
              <w:top w:val="single" w:sz="4" w:space="0" w:color="auto"/>
              <w:left w:val="single" w:sz="4" w:space="0" w:color="auto"/>
              <w:bottom w:val="single" w:sz="4" w:space="0" w:color="auto"/>
              <w:right w:val="single" w:sz="4" w:space="0" w:color="auto"/>
            </w:tcBorders>
          </w:tcPr>
          <w:p w14:paraId="1071A742"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732A51F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3A0DCC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88DFD6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A3EE1B5"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3期特別預算決議，檢送該會決議（六）加速強化山林區域通訊品質改善書面報告案。</w:t>
            </w:r>
          </w:p>
        </w:tc>
        <w:tc>
          <w:tcPr>
            <w:tcW w:w="2551" w:type="dxa"/>
            <w:tcBorders>
              <w:top w:val="single" w:sz="4" w:space="0" w:color="auto"/>
              <w:left w:val="single" w:sz="4" w:space="0" w:color="auto"/>
              <w:bottom w:val="single" w:sz="4" w:space="0" w:color="auto"/>
              <w:right w:val="single" w:sz="4" w:space="0" w:color="auto"/>
            </w:tcBorders>
          </w:tcPr>
          <w:p w14:paraId="5965CAA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311D144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61ED76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D42ECCE"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B834FE2"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3期特別預算決議，檢送該會決議（十）建置5G關鍵基礎設施規範書面報告案。</w:t>
            </w:r>
          </w:p>
        </w:tc>
        <w:tc>
          <w:tcPr>
            <w:tcW w:w="2551" w:type="dxa"/>
            <w:tcBorders>
              <w:top w:val="single" w:sz="4" w:space="0" w:color="auto"/>
              <w:left w:val="single" w:sz="4" w:space="0" w:color="auto"/>
              <w:bottom w:val="single" w:sz="4" w:space="0" w:color="auto"/>
              <w:right w:val="single" w:sz="4" w:space="0" w:color="auto"/>
            </w:tcBorders>
          </w:tcPr>
          <w:p w14:paraId="579C820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2A34C96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F271E3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83B18C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E31B21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檢送該會決議（十二）優化偏鄉與山區寬頻網路訊號品質書面報告案。</w:t>
            </w:r>
          </w:p>
        </w:tc>
        <w:tc>
          <w:tcPr>
            <w:tcW w:w="2551" w:type="dxa"/>
            <w:tcBorders>
              <w:top w:val="single" w:sz="4" w:space="0" w:color="auto"/>
              <w:left w:val="single" w:sz="4" w:space="0" w:color="auto"/>
              <w:bottom w:val="single" w:sz="4" w:space="0" w:color="auto"/>
              <w:right w:val="single" w:sz="4" w:space="0" w:color="auto"/>
            </w:tcBorders>
          </w:tcPr>
          <w:p w14:paraId="538A714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0129798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0458568"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ABFAB8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62352A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3期特別預算決議，檢送該會決議（十四）加強監督得標業者落實執行5G基地臺等相關建設書面報告案。</w:t>
            </w:r>
          </w:p>
        </w:tc>
        <w:tc>
          <w:tcPr>
            <w:tcW w:w="2551" w:type="dxa"/>
            <w:tcBorders>
              <w:top w:val="single" w:sz="4" w:space="0" w:color="auto"/>
              <w:left w:val="single" w:sz="4" w:space="0" w:color="auto"/>
              <w:bottom w:val="single" w:sz="4" w:space="0" w:color="auto"/>
              <w:right w:val="single" w:sz="4" w:space="0" w:color="auto"/>
            </w:tcBorders>
          </w:tcPr>
          <w:p w14:paraId="4427EB7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4A80F50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023546A"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61BBB8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0F5EE3A"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檢送該會決議（十</w:t>
            </w:r>
            <w:r w:rsidRPr="00B95A07">
              <w:rPr>
                <w:rFonts w:ascii="標楷體" w:eastAsia="標楷體" w:hAnsi="標楷體" w:hint="eastAsia"/>
                <w:kern w:val="2"/>
                <w:szCs w:val="24"/>
              </w:rPr>
              <w:t>五</w:t>
            </w:r>
            <w:r w:rsidRPr="00B95A07">
              <w:rPr>
                <w:rFonts w:ascii="標楷體" w:eastAsia="標楷體" w:hAnsi="標楷體"/>
                <w:kern w:val="2"/>
                <w:szCs w:val="24"/>
              </w:rPr>
              <w:t>）優化偏鄉與山區寬頻網路訊號品質書面報告案。</w:t>
            </w:r>
          </w:p>
        </w:tc>
        <w:tc>
          <w:tcPr>
            <w:tcW w:w="2551" w:type="dxa"/>
            <w:tcBorders>
              <w:top w:val="single" w:sz="4" w:space="0" w:color="auto"/>
              <w:left w:val="single" w:sz="4" w:space="0" w:color="auto"/>
              <w:bottom w:val="single" w:sz="4" w:space="0" w:color="auto"/>
              <w:right w:val="single" w:sz="4" w:space="0" w:color="auto"/>
            </w:tcBorders>
          </w:tcPr>
          <w:p w14:paraId="35C10C26"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49FBE8E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2BC79F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66A469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621FD4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3期特別預算決議，檢送該會決議（十七）非都會區及偏鄉地區5G網路建設書面報告案。</w:t>
            </w:r>
          </w:p>
        </w:tc>
        <w:tc>
          <w:tcPr>
            <w:tcW w:w="2551" w:type="dxa"/>
            <w:tcBorders>
              <w:top w:val="single" w:sz="4" w:space="0" w:color="auto"/>
              <w:left w:val="single" w:sz="4" w:space="0" w:color="auto"/>
              <w:bottom w:val="single" w:sz="4" w:space="0" w:color="auto"/>
              <w:right w:val="single" w:sz="4" w:space="0" w:color="auto"/>
            </w:tcBorders>
          </w:tcPr>
          <w:p w14:paraId="10FE1CA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7F9F062A"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B4C925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63A094C8"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278AD80"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國家通訊傳播委員會函為中央政府前瞻基礎建設計畫第</w:t>
            </w:r>
            <w:r w:rsidRPr="00B95A07">
              <w:rPr>
                <w:rFonts w:ascii="標楷體" w:eastAsia="標楷體" w:hAnsi="標楷體"/>
                <w:kern w:val="2"/>
                <w:szCs w:val="24"/>
              </w:rPr>
              <w:t>3期特別預算決議，檢送該會決議（十九）場域實證之法規調適及應用書面報告案。</w:t>
            </w:r>
          </w:p>
        </w:tc>
        <w:tc>
          <w:tcPr>
            <w:tcW w:w="2551" w:type="dxa"/>
            <w:tcBorders>
              <w:top w:val="single" w:sz="4" w:space="0" w:color="auto"/>
              <w:left w:val="single" w:sz="4" w:space="0" w:color="auto"/>
              <w:bottom w:val="single" w:sz="4" w:space="0" w:color="auto"/>
              <w:right w:val="single" w:sz="4" w:space="0" w:color="auto"/>
            </w:tcBorders>
          </w:tcPr>
          <w:p w14:paraId="0AA4D01C"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vAlign w:val="center"/>
          </w:tcPr>
          <w:p w14:paraId="6FD07605"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C0BFD99"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33968BB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317BA8BA"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行政院公共工程委員會函為中央政府前瞻基礎建設計畫第3期特別預算決議，檢送通案決議（十）落實國車國造軌道建設優先使用臺灣製產品書面報告案。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7004C3F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01DE666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78F0FF3"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30CB18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90425F9"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3期特別預算決議，檢送該部決議（五）前瞻軌道建設17項計畫預算編列方式與期程書面報告案。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4F317A54"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382ED43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431A7EA"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663C74D"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CE1AFB5"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3期特別預算決議，檢送鐵道局決議（六）綜合規劃與環境影響評估期末報告審查前召開公聽會書面報告案。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91EB1A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2268" w:type="dxa"/>
            <w:vMerge/>
            <w:tcBorders>
              <w:left w:val="single" w:sz="4" w:space="0" w:color="auto"/>
              <w:right w:val="single" w:sz="4" w:space="0" w:color="auto"/>
            </w:tcBorders>
            <w:shd w:val="clear" w:color="auto" w:fill="auto"/>
            <w:vAlign w:val="center"/>
          </w:tcPr>
          <w:p w14:paraId="2993550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CB3BE07"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003829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1B5B8B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3期特別預算決議，檢送該部決議（九）檢討瑞芳猴硐路段坍方事件書面報告案。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37D1B5B"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2268" w:type="dxa"/>
            <w:vMerge/>
            <w:tcBorders>
              <w:left w:val="single" w:sz="4" w:space="0" w:color="auto"/>
              <w:right w:val="single" w:sz="4" w:space="0" w:color="auto"/>
            </w:tcBorders>
            <w:shd w:val="clear" w:color="auto" w:fill="auto"/>
            <w:vAlign w:val="center"/>
          </w:tcPr>
          <w:p w14:paraId="118F2CB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542117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68DDFF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BD512B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w:t>
            </w:r>
            <w:r w:rsidRPr="00B95A07">
              <w:rPr>
                <w:rFonts w:ascii="標楷體" w:eastAsia="標楷體" w:hAnsi="標楷體"/>
                <w:kern w:val="2"/>
                <w:szCs w:val="24"/>
              </w:rPr>
              <w:t>3期特別預算決議，檢送鐵道局決議（二）儘速籌設財團法人鐵道技術研究及驗證中心書面報告案。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83CD5F8"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2268" w:type="dxa"/>
            <w:vMerge/>
            <w:tcBorders>
              <w:left w:val="single" w:sz="4" w:space="0" w:color="auto"/>
              <w:right w:val="single" w:sz="4" w:space="0" w:color="auto"/>
            </w:tcBorders>
            <w:shd w:val="clear" w:color="auto" w:fill="auto"/>
            <w:vAlign w:val="center"/>
          </w:tcPr>
          <w:p w14:paraId="30E967DB"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8F459A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2A4614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734242E"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交通部函為中央政府前瞻基礎建設計畫第3期特別預算決議，檢送通案決議（二）預算編列評估書面報告案。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65CAE35"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5C941B9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BA9D2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1216DE3"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8152BD"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交通部函為中央政府前瞻基礎建設計畫第3期特別預算決議，檢送通案決議（十）軌道建設優先使用臺灣製產品書面報告案。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E4FFC1E"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3D87F47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1288F2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492C8B4F"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CE925DF"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交通部函為中央政府前瞻基礎建設計畫第3期特別預算決議，檢送該部決議（二）「海洋觀光計畫」相關配套措施書面報告案。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75EC37D"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797E665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8D1A3D8"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0C081DD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2E6D78B4" w14:textId="77777777" w:rsidR="007D160C" w:rsidRPr="00B95A07" w:rsidRDefault="007D160C"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交通部函為中央政府前瞻基礎建設計畫第3期特別預算決議，檢送該部決議（二十二）高鐵嘉義站聯外輕軌運輸系統書面報告案。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38BC6E3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2268" w:type="dxa"/>
            <w:vMerge/>
            <w:tcBorders>
              <w:left w:val="single" w:sz="4" w:space="0" w:color="auto"/>
              <w:right w:val="single" w:sz="4" w:space="0" w:color="auto"/>
            </w:tcBorders>
            <w:shd w:val="clear" w:color="auto" w:fill="auto"/>
            <w:vAlign w:val="center"/>
          </w:tcPr>
          <w:p w14:paraId="2FDC130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7B43B41"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0D875BD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CDA9D0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3期特別預算決議，檢送邊境查驗自動化系統建置情形書面報告案。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09C5B95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.5.7）決定：「交財政及相關委員會審查」</w:t>
            </w:r>
          </w:p>
        </w:tc>
        <w:tc>
          <w:tcPr>
            <w:tcW w:w="2268" w:type="dxa"/>
            <w:vMerge/>
            <w:tcBorders>
              <w:left w:val="single" w:sz="4" w:space="0" w:color="auto"/>
              <w:right w:val="single" w:sz="4" w:space="0" w:color="auto"/>
            </w:tcBorders>
            <w:shd w:val="clear" w:color="auto" w:fill="auto"/>
            <w:vAlign w:val="center"/>
          </w:tcPr>
          <w:p w14:paraId="0163AB6E"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B5BD9AB"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8521179"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F74FA44"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3期特別預算決議，檢送健保醫療資訊雲端查詢系統提升方案書面報告案。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5B1DC1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235552F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AB81C4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DBA411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D603CF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3期特別預算決議，檢送強化醫療資訊雲端之整合與運用書面報告案。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00FA440"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031D00E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4F46B5C"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4215D0F"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1EFBD8B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3期特別預算決議，檢送「因應少子化友善育兒空間建設」改善發包率辦理情形案。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EB4B719"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35E107C9"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204F50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FC76AE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05C3E5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3期特別預算決議，檢送如何達成公托普及目標及城鄉資源分配辦理情形案。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DD13CBF"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2F141F6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23B25535"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339D6A2"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CEBAF5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w:t>
            </w:r>
            <w:r w:rsidRPr="00B95A07">
              <w:rPr>
                <w:rFonts w:ascii="標楷體" w:eastAsia="標楷體" w:hAnsi="標楷體"/>
                <w:kern w:val="2"/>
                <w:szCs w:val="24"/>
              </w:rPr>
              <w:t>3期特別預算決議，檢送「建構0－2歲兒童社區公共托育計畫」執行率低落改善辦理情形案。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8B24FB5"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right w:val="single" w:sz="4" w:space="0" w:color="auto"/>
            </w:tcBorders>
            <w:shd w:val="clear" w:color="auto" w:fill="auto"/>
            <w:vAlign w:val="center"/>
          </w:tcPr>
          <w:p w14:paraId="4BA8BEF3"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15B48EF"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B7B9F6F"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0A01C4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衛生福利部函為中央政府前瞻基礎建設計畫第3期特別預算決議，檢送「國人慢性病病患及潛在病患之慢性病防治與追蹤具體規劃」書面報告案。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9687C32"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87165C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7DF4EC9"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609BC3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0E853C3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28645F2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DA32C18"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582CCD3"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7CDE6C7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BF38C82"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衛生福利部函為中央政府前瞻基礎建設計畫第3期特別預算決議，檢送補助三重區、蘆洲區與五股區之托育資源中心教玩具汰換辦理情形案。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962467F"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A3745EF"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43A62F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5F87CD0"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38D92050"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衛生福利部函為中央政府前瞻基礎建設計畫第3期特別預算決議，檢送受補助單位儘速發包加強趕辦辦理情案。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CB9745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71B191F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51E41756"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EF35F4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99B979D"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衛生福利部函為中央政府前瞻基礎建設計畫第3期特別預算決議，檢送公辦民營托嬰中心提升補助金額辦理情形案。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11433E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0F191FC2"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7A959CEE"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3660317C"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23572376"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衛生福利部函為中央政府前瞻基礎建設計畫第3期特別預算決議，檢送預算編列及執行情形檢討書面報告案。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0F82F4C"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C3B50C0"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0E59A44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58B245B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4A29E6B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衛生福利部函為中央政府前瞻基礎建設計畫第3期特別預算決議，檢送執行率不佳書面報告案。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4857EE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06358F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63C7F830"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2000CEE7"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5A0E3ED8"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衛生福利部函為中央政府前瞻基礎建設計畫第3期特別預算決議，檢送城鄉建設預算分配情形表案。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F8DD6E2"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2F7983F4"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49AD3F8D" w14:textId="77777777" w:rsidTr="001B1EFB">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09892D65"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6E9F3B01"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衛生福利部函為中央政府前瞻基礎建設計畫第3期特別預算決議，檢送促進偏鄉離島醫療照護服務資訊化規劃書面報告案。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DA781DB"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4E2DAF5C"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CA2CD6E"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166BE9FA"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44FBE8EC"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衛生福利部函為中央政府前瞻基礎建設計畫第3期特別預算決議，檢送「導入5G及智慧科技以提升醫療與健康照護計畫」書面報告案。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0F237C0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.2</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F5AE22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8D74215" w14:textId="77777777" w:rsidTr="001B1EFB">
        <w:trPr>
          <w:cantSplit/>
          <w:trHeight w:val="1077"/>
          <w:jc w:val="center"/>
        </w:trPr>
        <w:tc>
          <w:tcPr>
            <w:tcW w:w="562" w:type="dxa"/>
            <w:tcBorders>
              <w:top w:val="single" w:sz="12" w:space="0" w:color="auto"/>
              <w:left w:val="single" w:sz="4" w:space="0" w:color="auto"/>
              <w:bottom w:val="single" w:sz="4" w:space="0" w:color="auto"/>
              <w:right w:val="single" w:sz="4" w:space="0" w:color="auto"/>
            </w:tcBorders>
          </w:tcPr>
          <w:p w14:paraId="4CAFD7F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12" w:space="0" w:color="auto"/>
              <w:left w:val="single" w:sz="4" w:space="0" w:color="auto"/>
              <w:bottom w:val="single" w:sz="4" w:space="0" w:color="auto"/>
              <w:right w:val="single" w:sz="4" w:space="0" w:color="auto"/>
            </w:tcBorders>
          </w:tcPr>
          <w:p w14:paraId="10FC105F"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3期特別預算決議，檢送水質改善及污水設施無法有效發包及達成水質改善書面報告案。</w:t>
            </w:r>
          </w:p>
        </w:tc>
        <w:tc>
          <w:tcPr>
            <w:tcW w:w="2551" w:type="dxa"/>
            <w:tcBorders>
              <w:top w:val="single" w:sz="12" w:space="0" w:color="auto"/>
              <w:left w:val="single" w:sz="4" w:space="0" w:color="auto"/>
              <w:bottom w:val="single" w:sz="4" w:space="0" w:color="auto"/>
              <w:right w:val="single" w:sz="4" w:space="0" w:color="auto"/>
            </w:tcBorders>
            <w:shd w:val="clear" w:color="auto" w:fill="auto"/>
          </w:tcPr>
          <w:p w14:paraId="310CBB7E"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right w:val="single" w:sz="4" w:space="0" w:color="auto"/>
            </w:tcBorders>
            <w:shd w:val="clear" w:color="auto" w:fill="auto"/>
            <w:vAlign w:val="center"/>
          </w:tcPr>
          <w:p w14:paraId="5081A657"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3B143884" w14:textId="77777777" w:rsidTr="00C56C43">
        <w:trPr>
          <w:cantSplit/>
          <w:trHeight w:val="1077"/>
          <w:jc w:val="center"/>
        </w:trPr>
        <w:tc>
          <w:tcPr>
            <w:tcW w:w="562" w:type="dxa"/>
            <w:tcBorders>
              <w:top w:val="single" w:sz="4" w:space="0" w:color="auto"/>
              <w:left w:val="single" w:sz="4" w:space="0" w:color="auto"/>
              <w:bottom w:val="single" w:sz="4" w:space="0" w:color="auto"/>
              <w:right w:val="single" w:sz="4" w:space="0" w:color="auto"/>
            </w:tcBorders>
          </w:tcPr>
          <w:p w14:paraId="150ED761"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4" w:space="0" w:color="auto"/>
              <w:right w:val="single" w:sz="4" w:space="0" w:color="auto"/>
            </w:tcBorders>
          </w:tcPr>
          <w:p w14:paraId="75695D1B"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3期特別預算決議，檢送水庫集水區淨化水質設施改善方案書面報告案。</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625CFD7"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.4.</w:t>
            </w:r>
            <w:r w:rsidRPr="00B95A07">
              <w:rPr>
                <w:rFonts w:ascii="標楷體" w:eastAsia="標楷體" w:hAnsi="標楷體"/>
                <w:kern w:val="2"/>
                <w:szCs w:val="24"/>
              </w:rPr>
              <w:t>16</w:t>
            </w:r>
            <w:r w:rsidRPr="00B95A07">
              <w:rPr>
                <w:rFonts w:ascii="標楷體" w:eastAsia="標楷體" w:hAnsi="標楷體" w:hint="eastAsia"/>
                <w:kern w:val="2"/>
                <w:szCs w:val="24"/>
              </w:rPr>
              <w:t>）決定：「交財政及相關委員會審查」</w:t>
            </w:r>
          </w:p>
        </w:tc>
        <w:tc>
          <w:tcPr>
            <w:tcW w:w="2268" w:type="dxa"/>
            <w:vMerge/>
            <w:tcBorders>
              <w:left w:val="single" w:sz="4" w:space="0" w:color="auto"/>
              <w:bottom w:val="single" w:sz="4" w:space="0" w:color="auto"/>
              <w:right w:val="single" w:sz="4" w:space="0" w:color="auto"/>
            </w:tcBorders>
            <w:shd w:val="clear" w:color="auto" w:fill="auto"/>
            <w:vAlign w:val="center"/>
          </w:tcPr>
          <w:p w14:paraId="53A34ED6" w14:textId="77777777" w:rsidR="007D160C" w:rsidRPr="00B95A07" w:rsidRDefault="007D160C" w:rsidP="00F470A8">
            <w:pPr>
              <w:widowControl w:val="0"/>
              <w:overflowPunct w:val="0"/>
              <w:spacing w:line="320" w:lineRule="exact"/>
              <w:jc w:val="both"/>
              <w:rPr>
                <w:rFonts w:ascii="標楷體" w:eastAsia="標楷體" w:hAnsi="標楷體"/>
                <w:kern w:val="2"/>
                <w:szCs w:val="24"/>
              </w:rPr>
            </w:pPr>
          </w:p>
        </w:tc>
      </w:tr>
      <w:tr w:rsidR="007D160C" w:rsidRPr="00B95A07" w14:paraId="1F367845" w14:textId="77777777" w:rsidTr="001B1EFB">
        <w:trPr>
          <w:cantSplit/>
          <w:trHeight w:val="1077"/>
          <w:jc w:val="center"/>
        </w:trPr>
        <w:tc>
          <w:tcPr>
            <w:tcW w:w="562" w:type="dxa"/>
            <w:tcBorders>
              <w:top w:val="single" w:sz="4" w:space="0" w:color="auto"/>
              <w:left w:val="single" w:sz="4" w:space="0" w:color="auto"/>
              <w:bottom w:val="single" w:sz="12" w:space="0" w:color="auto"/>
              <w:right w:val="single" w:sz="4" w:space="0" w:color="auto"/>
            </w:tcBorders>
          </w:tcPr>
          <w:p w14:paraId="11C8F274" w14:textId="77777777" w:rsidR="007D160C" w:rsidRPr="00D94861" w:rsidRDefault="007D160C" w:rsidP="00FA328D">
            <w:pPr>
              <w:widowControl w:val="0"/>
              <w:numPr>
                <w:ilvl w:val="0"/>
                <w:numId w:val="53"/>
              </w:numPr>
              <w:overflowPunct w:val="0"/>
              <w:autoSpaceDN/>
              <w:spacing w:line="320" w:lineRule="exact"/>
              <w:jc w:val="center"/>
              <w:textAlignment w:val="auto"/>
              <w:rPr>
                <w:rFonts w:ascii="標楷體" w:eastAsia="標楷體" w:hAnsi="標楷體"/>
                <w:b/>
                <w:kern w:val="2"/>
                <w:szCs w:val="24"/>
              </w:rPr>
            </w:pPr>
          </w:p>
        </w:tc>
        <w:tc>
          <w:tcPr>
            <w:tcW w:w="4253" w:type="dxa"/>
            <w:tcBorders>
              <w:top w:val="single" w:sz="4" w:space="0" w:color="auto"/>
              <w:left w:val="single" w:sz="4" w:space="0" w:color="auto"/>
              <w:bottom w:val="single" w:sz="12" w:space="0" w:color="auto"/>
              <w:right w:val="single" w:sz="4" w:space="0" w:color="auto"/>
            </w:tcBorders>
          </w:tcPr>
          <w:p w14:paraId="6509FF17" w14:textId="77777777" w:rsidR="007D160C" w:rsidRPr="00B95A07" w:rsidRDefault="007D160C" w:rsidP="00F470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w:t>
            </w:r>
            <w:r w:rsidRPr="00B95A07">
              <w:rPr>
                <w:rFonts w:ascii="標楷體" w:eastAsia="標楷體" w:hAnsi="標楷體"/>
                <w:kern w:val="2"/>
                <w:szCs w:val="24"/>
              </w:rPr>
              <w:t>3期特別預算決議</w:t>
            </w:r>
            <w:r w:rsidRPr="00B95A07">
              <w:rPr>
                <w:rFonts w:ascii="標楷體" w:eastAsia="標楷體" w:hAnsi="標楷體" w:hint="eastAsia"/>
                <w:kern w:val="2"/>
                <w:szCs w:val="24"/>
              </w:rPr>
              <w:t>，</w:t>
            </w:r>
            <w:r w:rsidRPr="00B95A07">
              <w:rPr>
                <w:rFonts w:ascii="標楷體" w:eastAsia="標楷體" w:hAnsi="標楷體"/>
                <w:kern w:val="2"/>
                <w:szCs w:val="24"/>
              </w:rPr>
              <w:t>檢送水庫集水區淨化水質設施改善方案書面報告案。</w:t>
            </w:r>
          </w:p>
        </w:tc>
        <w:tc>
          <w:tcPr>
            <w:tcW w:w="2551" w:type="dxa"/>
            <w:tcBorders>
              <w:top w:val="single" w:sz="4" w:space="0" w:color="auto"/>
              <w:left w:val="single" w:sz="4" w:space="0" w:color="auto"/>
              <w:bottom w:val="single" w:sz="12" w:space="0" w:color="auto"/>
              <w:right w:val="single" w:sz="4" w:space="0" w:color="auto"/>
            </w:tcBorders>
            <w:shd w:val="clear" w:color="auto" w:fill="auto"/>
          </w:tcPr>
          <w:p w14:paraId="4B8C02FA" w14:textId="77777777" w:rsidR="007D160C" w:rsidRPr="00B95A07" w:rsidRDefault="007D160C"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.5.21）決定：「交財政及相關委員會審查」</w:t>
            </w:r>
          </w:p>
        </w:tc>
        <w:tc>
          <w:tcPr>
            <w:tcW w:w="2268" w:type="dxa"/>
            <w:vMerge/>
            <w:tcBorders>
              <w:left w:val="single" w:sz="4" w:space="0" w:color="auto"/>
              <w:bottom w:val="single" w:sz="12" w:space="0" w:color="auto"/>
              <w:right w:val="single" w:sz="4" w:space="0" w:color="auto"/>
            </w:tcBorders>
            <w:shd w:val="clear" w:color="auto" w:fill="auto"/>
            <w:vAlign w:val="center"/>
          </w:tcPr>
          <w:p w14:paraId="555B00B1" w14:textId="77777777" w:rsidR="007D160C" w:rsidRPr="00B95A07" w:rsidRDefault="007D160C" w:rsidP="00F470A8">
            <w:pPr>
              <w:widowControl w:val="0"/>
              <w:overflowPunct w:val="0"/>
              <w:autoSpaceDN/>
              <w:spacing w:line="320" w:lineRule="exact"/>
              <w:jc w:val="both"/>
              <w:textAlignment w:val="auto"/>
              <w:rPr>
                <w:rFonts w:ascii="標楷體" w:eastAsia="標楷體" w:hAnsi="標楷體"/>
                <w:kern w:val="2"/>
                <w:szCs w:val="24"/>
              </w:rPr>
            </w:pPr>
          </w:p>
        </w:tc>
      </w:tr>
    </w:tbl>
    <w:p w14:paraId="07B0AD1C" w14:textId="77777777" w:rsidR="007D160C" w:rsidRPr="00D9107B" w:rsidRDefault="007D160C" w:rsidP="00F470A8">
      <w:pPr>
        <w:overflowPunct w:val="0"/>
        <w:autoSpaceDN/>
        <w:textAlignment w:val="auto"/>
        <w:rPr>
          <w:rFonts w:ascii="標楷體" w:eastAsia="標楷體" w:hAnsi="標楷體"/>
          <w:b/>
          <w:sz w:val="36"/>
          <w:szCs w:val="36"/>
        </w:rPr>
      </w:pPr>
      <w:r w:rsidRPr="00D9107B">
        <w:rPr>
          <w:rFonts w:ascii="標楷體" w:eastAsia="標楷體" w:hAnsi="標楷體"/>
          <w:bCs/>
          <w:sz w:val="36"/>
          <w:szCs w:val="36"/>
        </w:rPr>
        <w:br w:type="page"/>
      </w:r>
    </w:p>
    <w:p w14:paraId="1688530B" w14:textId="497D9B63" w:rsidR="006714B7" w:rsidRPr="00130C3A" w:rsidRDefault="006714B7" w:rsidP="00F470A8">
      <w:pPr>
        <w:pStyle w:val="1"/>
        <w:numPr>
          <w:ilvl w:val="0"/>
          <w:numId w:val="0"/>
        </w:numPr>
        <w:overflowPunct w:val="0"/>
        <w:spacing w:line="480" w:lineRule="exact"/>
        <w:ind w:left="425" w:hanging="425"/>
        <w:rPr>
          <w:rStyle w:val="12"/>
          <w:rFonts w:ascii="標楷體" w:eastAsia="標楷體" w:hAnsi="標楷體"/>
          <w:b/>
          <w:sz w:val="36"/>
        </w:rPr>
      </w:pPr>
      <w:bookmarkStart w:id="70" w:name="_Toc189487294"/>
      <w:r w:rsidRPr="00130C3A">
        <w:rPr>
          <w:rStyle w:val="12"/>
          <w:rFonts w:ascii="標楷體" w:eastAsia="標楷體" w:hAnsi="標楷體" w:hint="eastAsia"/>
          <w:b/>
          <w:sz w:val="36"/>
        </w:rPr>
        <w:lastRenderedPageBreak/>
        <w:t>伍、尚待院會審議之議案(</w:t>
      </w:r>
      <w:r w:rsidR="002E68D5">
        <w:rPr>
          <w:rStyle w:val="12"/>
          <w:rFonts w:ascii="標楷體" w:eastAsia="標楷體" w:hAnsi="標楷體" w:hint="eastAsia"/>
          <w:b/>
          <w:sz w:val="36"/>
        </w:rPr>
        <w:t>60</w:t>
      </w:r>
      <w:r w:rsidRPr="00130C3A">
        <w:rPr>
          <w:rStyle w:val="12"/>
          <w:rFonts w:ascii="標楷體" w:eastAsia="標楷體" w:hAnsi="標楷體" w:hint="eastAsia"/>
          <w:b/>
          <w:sz w:val="36"/>
        </w:rPr>
        <w:t>案)</w:t>
      </w:r>
      <w:bookmarkEnd w:id="70"/>
    </w:p>
    <w:p w14:paraId="06E67F47" w14:textId="6B91D08F" w:rsidR="006714B7" w:rsidRPr="00C0585C" w:rsidRDefault="006714B7"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71" w:name="_Toc189487295"/>
      <w:r w:rsidRPr="00C0585C">
        <w:rPr>
          <w:rFonts w:ascii="標楷體" w:eastAsia="標楷體" w:hAnsi="標楷體" w:hint="eastAsia"/>
          <w:bCs w:val="0"/>
          <w:kern w:val="2"/>
          <w:sz w:val="32"/>
          <w:szCs w:val="32"/>
        </w:rPr>
        <w:t>一、</w:t>
      </w:r>
      <w:r w:rsidRPr="00C0585C">
        <w:rPr>
          <w:rFonts w:ascii="標楷體" w:eastAsia="標楷體" w:hAnsi="標楷體"/>
          <w:bCs w:val="0"/>
          <w:kern w:val="2"/>
          <w:sz w:val="32"/>
          <w:szCs w:val="32"/>
        </w:rPr>
        <w:t>法律案</w:t>
      </w:r>
      <w:r w:rsidRPr="00C0585C">
        <w:rPr>
          <w:rFonts w:ascii="標楷體" w:eastAsia="標楷體" w:hAnsi="標楷體" w:hint="eastAsia"/>
          <w:bCs w:val="0"/>
          <w:kern w:val="2"/>
          <w:sz w:val="32"/>
          <w:szCs w:val="32"/>
        </w:rPr>
        <w:t>及本院內規</w:t>
      </w:r>
      <w:r w:rsidR="0034494F" w:rsidRPr="00C0585C">
        <w:rPr>
          <w:rFonts w:ascii="標楷體" w:eastAsia="標楷體" w:hAnsi="標楷體" w:hint="eastAsia"/>
          <w:bCs w:val="0"/>
          <w:kern w:val="2"/>
          <w:sz w:val="32"/>
          <w:szCs w:val="32"/>
        </w:rPr>
        <w:t>(</w:t>
      </w:r>
      <w:r w:rsidRPr="00C0585C">
        <w:rPr>
          <w:rFonts w:ascii="標楷體" w:eastAsia="標楷體" w:hAnsi="標楷體" w:hint="eastAsia"/>
          <w:bCs w:val="0"/>
          <w:kern w:val="2"/>
          <w:sz w:val="32"/>
          <w:szCs w:val="32"/>
        </w:rPr>
        <w:t>1</w:t>
      </w:r>
      <w:r w:rsidR="00C0585C" w:rsidRPr="00C0585C">
        <w:rPr>
          <w:rFonts w:ascii="標楷體" w:eastAsia="標楷體" w:hAnsi="標楷體" w:hint="eastAsia"/>
          <w:bCs w:val="0"/>
          <w:kern w:val="2"/>
          <w:sz w:val="32"/>
          <w:szCs w:val="32"/>
        </w:rPr>
        <w:t>3</w:t>
      </w:r>
      <w:r w:rsidRPr="00C0585C">
        <w:rPr>
          <w:rFonts w:ascii="標楷體" w:eastAsia="標楷體" w:hAnsi="標楷體" w:hint="eastAsia"/>
          <w:bCs w:val="0"/>
          <w:kern w:val="2"/>
          <w:sz w:val="32"/>
          <w:szCs w:val="32"/>
        </w:rPr>
        <w:t>案</w:t>
      </w:r>
      <w:r w:rsidRPr="00C0585C">
        <w:rPr>
          <w:rFonts w:ascii="標楷體" w:eastAsia="標楷體" w:hAnsi="標楷體"/>
          <w:bCs w:val="0"/>
          <w:kern w:val="2"/>
          <w:sz w:val="32"/>
          <w:szCs w:val="32"/>
        </w:rPr>
        <w:t>）</w:t>
      </w:r>
      <w:bookmarkEnd w:id="71"/>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
        <w:gridCol w:w="2695"/>
        <w:gridCol w:w="1480"/>
        <w:gridCol w:w="1697"/>
        <w:gridCol w:w="1818"/>
        <w:gridCol w:w="1673"/>
      </w:tblGrid>
      <w:tr w:rsidR="004E2CA4" w:rsidRPr="004E2CA4" w14:paraId="50C6273D" w14:textId="77777777" w:rsidTr="008D542F">
        <w:trPr>
          <w:trHeight w:val="473"/>
          <w:jc w:val="center"/>
        </w:trPr>
        <w:tc>
          <w:tcPr>
            <w:tcW w:w="702" w:type="dxa"/>
            <w:tcBorders>
              <w:top w:val="single" w:sz="12" w:space="0" w:color="auto"/>
              <w:bottom w:val="single" w:sz="12" w:space="0" w:color="auto"/>
              <w:right w:val="single" w:sz="4" w:space="0" w:color="auto"/>
            </w:tcBorders>
            <w:vAlign w:val="center"/>
          </w:tcPr>
          <w:p w14:paraId="53AD75B2"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序號</w:t>
            </w:r>
          </w:p>
        </w:tc>
        <w:tc>
          <w:tcPr>
            <w:tcW w:w="2695" w:type="dxa"/>
            <w:tcBorders>
              <w:top w:val="single" w:sz="12" w:space="0" w:color="auto"/>
              <w:left w:val="single" w:sz="4" w:space="0" w:color="auto"/>
              <w:bottom w:val="single" w:sz="12" w:space="0" w:color="auto"/>
            </w:tcBorders>
            <w:vAlign w:val="center"/>
          </w:tcPr>
          <w:p w14:paraId="408922A1"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法案名稱</w:t>
            </w:r>
          </w:p>
        </w:tc>
        <w:tc>
          <w:tcPr>
            <w:tcW w:w="1480" w:type="dxa"/>
            <w:tcBorders>
              <w:top w:val="single" w:sz="12" w:space="0" w:color="auto"/>
              <w:left w:val="single" w:sz="4" w:space="0" w:color="auto"/>
              <w:bottom w:val="single" w:sz="12" w:space="0" w:color="auto"/>
            </w:tcBorders>
            <w:vAlign w:val="center"/>
          </w:tcPr>
          <w:p w14:paraId="680242B8"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提案機關或</w:t>
            </w:r>
          </w:p>
          <w:p w14:paraId="39C66A94"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委員</w:t>
            </w:r>
          </w:p>
        </w:tc>
        <w:tc>
          <w:tcPr>
            <w:tcW w:w="1697" w:type="dxa"/>
            <w:tcBorders>
              <w:top w:val="single" w:sz="12" w:space="0" w:color="auto"/>
              <w:bottom w:val="single" w:sz="12" w:space="0" w:color="auto"/>
            </w:tcBorders>
            <w:vAlign w:val="center"/>
          </w:tcPr>
          <w:p w14:paraId="0BF39286"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院會交付</w:t>
            </w:r>
          </w:p>
          <w:p w14:paraId="1A48E198"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日期及會次</w:t>
            </w:r>
          </w:p>
        </w:tc>
        <w:tc>
          <w:tcPr>
            <w:tcW w:w="1818" w:type="dxa"/>
            <w:tcBorders>
              <w:top w:val="single" w:sz="12" w:space="0" w:color="auto"/>
              <w:bottom w:val="single" w:sz="12" w:space="0" w:color="auto"/>
            </w:tcBorders>
            <w:vAlign w:val="center"/>
          </w:tcPr>
          <w:p w14:paraId="79033F8F"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審查會審竣</w:t>
            </w:r>
          </w:p>
          <w:p w14:paraId="0CAA4BC3"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日期及會次</w:t>
            </w:r>
          </w:p>
        </w:tc>
        <w:tc>
          <w:tcPr>
            <w:tcW w:w="1673" w:type="dxa"/>
            <w:tcBorders>
              <w:top w:val="single" w:sz="12" w:space="0" w:color="auto"/>
              <w:bottom w:val="single" w:sz="12" w:space="0" w:color="auto"/>
            </w:tcBorders>
            <w:vAlign w:val="center"/>
          </w:tcPr>
          <w:p w14:paraId="7C292039" w14:textId="77777777" w:rsidR="006714B7" w:rsidRPr="004E2CA4" w:rsidRDefault="006714B7" w:rsidP="00F470A8">
            <w:pPr>
              <w:overflowPunct w:val="0"/>
              <w:jc w:val="center"/>
              <w:rPr>
                <w:rFonts w:ascii="標楷體" w:eastAsia="標楷體" w:hAnsi="標楷體"/>
                <w:b/>
                <w:bCs/>
                <w:szCs w:val="24"/>
              </w:rPr>
            </w:pPr>
            <w:r w:rsidRPr="004E2CA4">
              <w:rPr>
                <w:rFonts w:ascii="標楷體" w:eastAsia="標楷體" w:hAnsi="標楷體" w:hint="eastAsia"/>
                <w:b/>
                <w:bCs/>
                <w:szCs w:val="24"/>
              </w:rPr>
              <w:t>備   註</w:t>
            </w:r>
          </w:p>
        </w:tc>
      </w:tr>
      <w:tr w:rsidR="004E2CA4" w:rsidRPr="004E2CA4" w14:paraId="0261BC0F" w14:textId="77777777" w:rsidTr="008D542F">
        <w:trPr>
          <w:trHeight w:val="983"/>
          <w:jc w:val="center"/>
        </w:trPr>
        <w:tc>
          <w:tcPr>
            <w:tcW w:w="702" w:type="dxa"/>
            <w:tcBorders>
              <w:top w:val="single" w:sz="12" w:space="0" w:color="auto"/>
              <w:bottom w:val="single" w:sz="4" w:space="0" w:color="auto"/>
              <w:right w:val="single" w:sz="4" w:space="0" w:color="auto"/>
            </w:tcBorders>
          </w:tcPr>
          <w:p w14:paraId="467C7A4F"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14:paraId="306D13D9"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不動產證券化條例部分條文修正草案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14:paraId="639F3BEE"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郭國文等16人</w:t>
            </w:r>
          </w:p>
        </w:tc>
        <w:tc>
          <w:tcPr>
            <w:tcW w:w="1697" w:type="dxa"/>
            <w:tcBorders>
              <w:top w:val="single" w:sz="12" w:space="0" w:color="auto"/>
              <w:left w:val="single" w:sz="4" w:space="0" w:color="000000"/>
              <w:bottom w:val="single" w:sz="4" w:space="0" w:color="auto"/>
              <w:right w:val="single" w:sz="4" w:space="0" w:color="000000"/>
            </w:tcBorders>
            <w:shd w:val="clear" w:color="auto" w:fill="FFFFFF"/>
          </w:tcPr>
          <w:p w14:paraId="6ECAF9F7"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第11屆第1會期第7次院會(113.3.29)決定：「交財政委員會審查」</w:t>
            </w:r>
          </w:p>
        </w:tc>
        <w:tc>
          <w:tcPr>
            <w:tcW w:w="1818" w:type="dxa"/>
            <w:tcBorders>
              <w:top w:val="single" w:sz="12" w:space="0" w:color="auto"/>
              <w:left w:val="single" w:sz="4" w:space="0" w:color="000000"/>
              <w:bottom w:val="single" w:sz="4" w:space="0" w:color="auto"/>
              <w:right w:val="single" w:sz="4" w:space="0" w:color="000000"/>
            </w:tcBorders>
            <w:shd w:val="clear" w:color="auto" w:fill="auto"/>
          </w:tcPr>
          <w:p w14:paraId="7BE47722" w14:textId="77777777" w:rsidR="006714B7" w:rsidRPr="004E2CA4" w:rsidRDefault="006714B7" w:rsidP="00F470A8">
            <w:pPr>
              <w:overflowPunct w:val="0"/>
              <w:jc w:val="both"/>
              <w:rPr>
                <w:rFonts w:ascii="標楷體" w:eastAsia="標楷體" w:hAnsi="標楷體"/>
                <w:kern w:val="2"/>
                <w:szCs w:val="24"/>
              </w:rPr>
            </w:pPr>
            <w:r w:rsidRPr="004E2CA4">
              <w:rPr>
                <w:rFonts w:ascii="標楷體" w:eastAsia="標楷體" w:hAnsi="標楷體" w:hint="eastAsia"/>
                <w:szCs w:val="24"/>
              </w:rPr>
              <w:t>第11屆第1會期第12次</w:t>
            </w:r>
            <w:r w:rsidRPr="00CD133E">
              <w:rPr>
                <w:rFonts w:ascii="標楷體" w:eastAsia="標楷體" w:hAnsi="標楷體" w:hint="eastAsia"/>
                <w:spacing w:val="-20"/>
                <w:szCs w:val="24"/>
              </w:rPr>
              <w:t>全體委員會議(113.5.15)</w:t>
            </w:r>
          </w:p>
        </w:tc>
        <w:tc>
          <w:tcPr>
            <w:tcW w:w="1673" w:type="dxa"/>
            <w:vMerge w:val="restart"/>
            <w:tcBorders>
              <w:top w:val="single" w:sz="12" w:space="0" w:color="auto"/>
              <w:left w:val="single" w:sz="4" w:space="0" w:color="auto"/>
              <w:right w:val="single" w:sz="4" w:space="0" w:color="000000"/>
            </w:tcBorders>
            <w:shd w:val="clear" w:color="auto" w:fill="auto"/>
          </w:tcPr>
          <w:p w14:paraId="06BB3DAE"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1.審查完竣，須交由黨團協商。</w:t>
            </w:r>
          </w:p>
          <w:p w14:paraId="5839E618"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2.113.5.23本會將審查報告函送議事處。</w:t>
            </w:r>
          </w:p>
          <w:p w14:paraId="403D152A"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3.113.6.26進行朝野黨團協商。</w:t>
            </w:r>
          </w:p>
        </w:tc>
      </w:tr>
      <w:tr w:rsidR="004E2CA4" w:rsidRPr="004E2CA4" w14:paraId="5FD7A122" w14:textId="77777777" w:rsidTr="008D542F">
        <w:trPr>
          <w:trHeight w:val="983"/>
          <w:jc w:val="center"/>
        </w:trPr>
        <w:tc>
          <w:tcPr>
            <w:tcW w:w="702" w:type="dxa"/>
            <w:tcBorders>
              <w:top w:val="single" w:sz="4" w:space="0" w:color="auto"/>
              <w:bottom w:val="single" w:sz="12" w:space="0" w:color="auto"/>
              <w:right w:val="single" w:sz="4" w:space="0" w:color="auto"/>
            </w:tcBorders>
          </w:tcPr>
          <w:p w14:paraId="7A785015"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auto"/>
              <w:bottom w:val="single" w:sz="12" w:space="0" w:color="auto"/>
              <w:right w:val="single" w:sz="4" w:space="0" w:color="auto"/>
            </w:tcBorders>
            <w:shd w:val="clear" w:color="auto" w:fill="auto"/>
          </w:tcPr>
          <w:p w14:paraId="74A51E27"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不動產證券化條例第六十二條及第六十四條條文修正草案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14:paraId="7D82BDEB"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郭國文等19人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14:paraId="1BBCD509"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第11屆第1會期第17次院會(113.6.7)決定：「逕付二讀，與相關提案併案協商」</w:t>
            </w:r>
          </w:p>
        </w:tc>
        <w:tc>
          <w:tcPr>
            <w:tcW w:w="1818" w:type="dxa"/>
            <w:tcBorders>
              <w:top w:val="single" w:sz="4" w:space="0" w:color="auto"/>
              <w:left w:val="single" w:sz="4" w:space="0" w:color="000000"/>
              <w:bottom w:val="single" w:sz="12" w:space="0" w:color="auto"/>
              <w:right w:val="single" w:sz="4" w:space="0" w:color="000000"/>
            </w:tcBorders>
            <w:shd w:val="clear" w:color="auto" w:fill="FFFFFF"/>
            <w:vAlign w:val="center"/>
          </w:tcPr>
          <w:p w14:paraId="36458D11" w14:textId="77777777" w:rsidR="006714B7" w:rsidRPr="004E2CA4" w:rsidRDefault="006714B7" w:rsidP="00F470A8">
            <w:pPr>
              <w:widowControl w:val="0"/>
              <w:overflowPunct w:val="0"/>
              <w:autoSpaceDN/>
              <w:spacing w:line="34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抽出逕付二讀</w:t>
            </w:r>
          </w:p>
        </w:tc>
        <w:tc>
          <w:tcPr>
            <w:tcW w:w="1673" w:type="dxa"/>
            <w:vMerge/>
            <w:tcBorders>
              <w:left w:val="single" w:sz="4" w:space="0" w:color="auto"/>
              <w:bottom w:val="single" w:sz="12" w:space="0" w:color="auto"/>
              <w:right w:val="single" w:sz="4" w:space="0" w:color="000000"/>
            </w:tcBorders>
            <w:shd w:val="clear" w:color="auto" w:fill="auto"/>
          </w:tcPr>
          <w:p w14:paraId="25419401" w14:textId="77777777" w:rsidR="006714B7" w:rsidRPr="004E2CA4" w:rsidRDefault="006714B7" w:rsidP="00F470A8">
            <w:pPr>
              <w:overflowPunct w:val="0"/>
              <w:ind w:left="240" w:hangingChars="100" w:hanging="240"/>
              <w:jc w:val="both"/>
              <w:rPr>
                <w:rFonts w:ascii="標楷體" w:eastAsia="標楷體" w:hAnsi="標楷體"/>
                <w:bCs/>
                <w:szCs w:val="24"/>
              </w:rPr>
            </w:pPr>
          </w:p>
        </w:tc>
      </w:tr>
      <w:tr w:rsidR="004E2CA4" w:rsidRPr="004E2CA4" w14:paraId="2D76F3BB" w14:textId="77777777" w:rsidTr="008D542F">
        <w:trPr>
          <w:trHeight w:val="983"/>
          <w:jc w:val="center"/>
        </w:trPr>
        <w:tc>
          <w:tcPr>
            <w:tcW w:w="702" w:type="dxa"/>
            <w:tcBorders>
              <w:top w:val="single" w:sz="12" w:space="0" w:color="auto"/>
              <w:bottom w:val="single" w:sz="4" w:space="0" w:color="auto"/>
              <w:right w:val="single" w:sz="4" w:space="0" w:color="auto"/>
            </w:tcBorders>
          </w:tcPr>
          <w:p w14:paraId="6E4D8D16"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14:paraId="302A68DF"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證券投資信託及顧問法部分條文修正草案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14:paraId="660611CB"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行政院</w:t>
            </w:r>
          </w:p>
        </w:tc>
        <w:tc>
          <w:tcPr>
            <w:tcW w:w="1697" w:type="dxa"/>
            <w:tcBorders>
              <w:top w:val="single" w:sz="12" w:space="0" w:color="auto"/>
              <w:left w:val="single" w:sz="4" w:space="0" w:color="000000"/>
              <w:bottom w:val="single" w:sz="4" w:space="0" w:color="auto"/>
              <w:right w:val="single" w:sz="4" w:space="0" w:color="000000"/>
            </w:tcBorders>
            <w:shd w:val="clear" w:color="auto" w:fill="FFFFFF"/>
          </w:tcPr>
          <w:p w14:paraId="11E59056"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第11屆第1會期第6次院會(113.3.22)決定：「交財政委員會審查」</w:t>
            </w:r>
          </w:p>
        </w:tc>
        <w:tc>
          <w:tcPr>
            <w:tcW w:w="1818" w:type="dxa"/>
            <w:vMerge w:val="restart"/>
            <w:tcBorders>
              <w:top w:val="single" w:sz="12" w:space="0" w:color="auto"/>
              <w:left w:val="single" w:sz="4" w:space="0" w:color="000000"/>
              <w:right w:val="single" w:sz="4" w:space="0" w:color="000000"/>
            </w:tcBorders>
            <w:shd w:val="clear" w:color="auto" w:fill="auto"/>
          </w:tcPr>
          <w:p w14:paraId="2EDEE2D3" w14:textId="77777777" w:rsidR="006714B7" w:rsidRPr="004E2CA4" w:rsidRDefault="006714B7" w:rsidP="00F470A8">
            <w:pPr>
              <w:overflowPunct w:val="0"/>
              <w:jc w:val="both"/>
              <w:rPr>
                <w:rFonts w:ascii="標楷體" w:eastAsia="標楷體" w:hAnsi="標楷體"/>
                <w:kern w:val="2"/>
                <w:szCs w:val="24"/>
              </w:rPr>
            </w:pPr>
            <w:r w:rsidRPr="004E2CA4">
              <w:rPr>
                <w:rFonts w:ascii="標楷體" w:eastAsia="標楷體" w:hAnsi="標楷體" w:hint="eastAsia"/>
                <w:szCs w:val="24"/>
              </w:rPr>
              <w:t>第11屆第1會期第12次</w:t>
            </w:r>
            <w:r w:rsidRPr="00CD133E">
              <w:rPr>
                <w:rFonts w:ascii="標楷體" w:eastAsia="標楷體" w:hAnsi="標楷體" w:hint="eastAsia"/>
                <w:spacing w:val="-20"/>
                <w:szCs w:val="24"/>
              </w:rPr>
              <w:t>全體委員會議(113.5.15)</w:t>
            </w:r>
          </w:p>
        </w:tc>
        <w:tc>
          <w:tcPr>
            <w:tcW w:w="1673" w:type="dxa"/>
            <w:vMerge w:val="restart"/>
            <w:tcBorders>
              <w:top w:val="single" w:sz="12" w:space="0" w:color="auto"/>
              <w:left w:val="single" w:sz="4" w:space="0" w:color="auto"/>
              <w:right w:val="single" w:sz="4" w:space="0" w:color="000000"/>
            </w:tcBorders>
            <w:shd w:val="clear" w:color="auto" w:fill="auto"/>
          </w:tcPr>
          <w:p w14:paraId="37B0793E"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1.審查完竣，須交由黨團協商。</w:t>
            </w:r>
          </w:p>
          <w:p w14:paraId="08280908"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2.113.5.28本會將審查報告函送議事處。</w:t>
            </w:r>
          </w:p>
          <w:p w14:paraId="02EF32A7"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3.113.6.26進行朝野黨團協商。</w:t>
            </w:r>
          </w:p>
        </w:tc>
      </w:tr>
      <w:tr w:rsidR="004E2CA4" w:rsidRPr="004E2CA4" w14:paraId="13F70BBB" w14:textId="77777777" w:rsidTr="008D542F">
        <w:trPr>
          <w:trHeight w:val="983"/>
          <w:jc w:val="center"/>
        </w:trPr>
        <w:tc>
          <w:tcPr>
            <w:tcW w:w="702" w:type="dxa"/>
            <w:tcBorders>
              <w:top w:val="single" w:sz="4" w:space="0" w:color="auto"/>
              <w:bottom w:val="single" w:sz="4" w:space="0" w:color="auto"/>
              <w:right w:val="single" w:sz="4" w:space="0" w:color="auto"/>
            </w:tcBorders>
          </w:tcPr>
          <w:p w14:paraId="47711637"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000000"/>
              <w:left w:val="single" w:sz="4" w:space="0" w:color="auto"/>
              <w:bottom w:val="single" w:sz="4" w:space="0" w:color="auto"/>
              <w:right w:val="single" w:sz="4" w:space="0" w:color="auto"/>
            </w:tcBorders>
            <w:shd w:val="clear" w:color="auto" w:fill="auto"/>
          </w:tcPr>
          <w:p w14:paraId="586E1F2F"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證券投資信託及顧問法部分條文修正草案</w:t>
            </w:r>
          </w:p>
        </w:tc>
        <w:tc>
          <w:tcPr>
            <w:tcW w:w="1480" w:type="dxa"/>
            <w:tcBorders>
              <w:top w:val="single" w:sz="4" w:space="0" w:color="000000"/>
              <w:left w:val="single" w:sz="4" w:space="0" w:color="auto"/>
              <w:bottom w:val="single" w:sz="4" w:space="0" w:color="auto"/>
              <w:right w:val="single" w:sz="4" w:space="0" w:color="auto"/>
            </w:tcBorders>
            <w:shd w:val="clear" w:color="auto" w:fill="auto"/>
          </w:tcPr>
          <w:p w14:paraId="13AF3ACC"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郭國文等16人</w:t>
            </w:r>
          </w:p>
        </w:tc>
        <w:tc>
          <w:tcPr>
            <w:tcW w:w="1697" w:type="dxa"/>
            <w:tcBorders>
              <w:top w:val="single" w:sz="4" w:space="0" w:color="auto"/>
              <w:left w:val="single" w:sz="4" w:space="0" w:color="000000"/>
              <w:bottom w:val="single" w:sz="4" w:space="0" w:color="auto"/>
              <w:right w:val="single" w:sz="4" w:space="0" w:color="000000"/>
            </w:tcBorders>
            <w:shd w:val="clear" w:color="auto" w:fill="FFFFFF"/>
          </w:tcPr>
          <w:p w14:paraId="446F6D17"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第11屆第1會期第7次院會(113.3.29)決定：「交財政委員會審查」</w:t>
            </w:r>
          </w:p>
        </w:tc>
        <w:tc>
          <w:tcPr>
            <w:tcW w:w="1818" w:type="dxa"/>
            <w:vMerge/>
            <w:tcBorders>
              <w:left w:val="single" w:sz="4" w:space="0" w:color="000000"/>
              <w:right w:val="single" w:sz="4" w:space="0" w:color="auto"/>
            </w:tcBorders>
            <w:shd w:val="clear" w:color="auto" w:fill="FFFFFF"/>
          </w:tcPr>
          <w:p w14:paraId="01B8E20D" w14:textId="77777777" w:rsidR="006714B7" w:rsidRPr="004E2CA4" w:rsidRDefault="006714B7" w:rsidP="00F470A8">
            <w:pPr>
              <w:overflowPunct w:val="0"/>
              <w:jc w:val="both"/>
              <w:rPr>
                <w:rFonts w:ascii="標楷體" w:eastAsia="標楷體" w:hAnsi="標楷體"/>
                <w:szCs w:val="24"/>
              </w:rPr>
            </w:pPr>
          </w:p>
        </w:tc>
        <w:tc>
          <w:tcPr>
            <w:tcW w:w="1673" w:type="dxa"/>
            <w:vMerge/>
            <w:tcBorders>
              <w:left w:val="single" w:sz="4" w:space="0" w:color="auto"/>
              <w:right w:val="single" w:sz="4" w:space="0" w:color="000000"/>
            </w:tcBorders>
            <w:shd w:val="clear" w:color="auto" w:fill="auto"/>
          </w:tcPr>
          <w:p w14:paraId="2CC4C645" w14:textId="77777777" w:rsidR="006714B7" w:rsidRPr="004E2CA4" w:rsidRDefault="006714B7" w:rsidP="00F470A8">
            <w:pPr>
              <w:overflowPunct w:val="0"/>
              <w:ind w:left="240" w:hangingChars="100" w:hanging="240"/>
              <w:jc w:val="both"/>
              <w:rPr>
                <w:rFonts w:ascii="標楷體" w:eastAsia="標楷體" w:hAnsi="標楷體"/>
                <w:bCs/>
                <w:szCs w:val="24"/>
              </w:rPr>
            </w:pPr>
          </w:p>
        </w:tc>
      </w:tr>
      <w:tr w:rsidR="004E2CA4" w:rsidRPr="004E2CA4" w14:paraId="65F4D18A" w14:textId="77777777" w:rsidTr="008D542F">
        <w:trPr>
          <w:trHeight w:val="983"/>
          <w:jc w:val="center"/>
        </w:trPr>
        <w:tc>
          <w:tcPr>
            <w:tcW w:w="702" w:type="dxa"/>
            <w:tcBorders>
              <w:top w:val="single" w:sz="4" w:space="0" w:color="auto"/>
              <w:bottom w:val="single" w:sz="12" w:space="0" w:color="auto"/>
              <w:right w:val="single" w:sz="4" w:space="0" w:color="auto"/>
            </w:tcBorders>
          </w:tcPr>
          <w:p w14:paraId="0789B411"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000000"/>
              <w:left w:val="single" w:sz="4" w:space="0" w:color="auto"/>
              <w:bottom w:val="single" w:sz="12" w:space="0" w:color="auto"/>
              <w:right w:val="single" w:sz="4" w:space="0" w:color="auto"/>
            </w:tcBorders>
            <w:shd w:val="clear" w:color="auto" w:fill="auto"/>
          </w:tcPr>
          <w:p w14:paraId="48CDAD51"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證券投資信託及顧問法第一條、第二條及第三條之一條文修正草案</w:t>
            </w:r>
          </w:p>
        </w:tc>
        <w:tc>
          <w:tcPr>
            <w:tcW w:w="1480" w:type="dxa"/>
            <w:tcBorders>
              <w:top w:val="single" w:sz="4" w:space="0" w:color="000000"/>
              <w:left w:val="single" w:sz="4" w:space="0" w:color="auto"/>
              <w:bottom w:val="single" w:sz="12" w:space="0" w:color="auto"/>
              <w:right w:val="single" w:sz="4" w:space="0" w:color="auto"/>
            </w:tcBorders>
            <w:shd w:val="clear" w:color="auto" w:fill="auto"/>
          </w:tcPr>
          <w:p w14:paraId="157EDEA9"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林楚茵等17人</w:t>
            </w:r>
          </w:p>
        </w:tc>
        <w:tc>
          <w:tcPr>
            <w:tcW w:w="1697" w:type="dxa"/>
            <w:tcBorders>
              <w:top w:val="single" w:sz="4" w:space="0" w:color="auto"/>
              <w:left w:val="single" w:sz="4" w:space="0" w:color="000000"/>
              <w:bottom w:val="single" w:sz="12" w:space="0" w:color="auto"/>
              <w:right w:val="single" w:sz="4" w:space="0" w:color="000000"/>
            </w:tcBorders>
            <w:shd w:val="clear" w:color="auto" w:fill="FFFFFF"/>
          </w:tcPr>
          <w:p w14:paraId="3F30B1E4"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第11屆第1會期第6次院會(113.3.22)決定：「交財政委員會審查」</w:t>
            </w:r>
          </w:p>
        </w:tc>
        <w:tc>
          <w:tcPr>
            <w:tcW w:w="1818" w:type="dxa"/>
            <w:vMerge/>
            <w:tcBorders>
              <w:left w:val="single" w:sz="4" w:space="0" w:color="000000"/>
              <w:bottom w:val="single" w:sz="12" w:space="0" w:color="auto"/>
              <w:right w:val="single" w:sz="4" w:space="0" w:color="auto"/>
            </w:tcBorders>
            <w:shd w:val="clear" w:color="auto" w:fill="FFFFFF"/>
          </w:tcPr>
          <w:p w14:paraId="4A255005" w14:textId="77777777" w:rsidR="006714B7" w:rsidRPr="004E2CA4" w:rsidRDefault="006714B7" w:rsidP="00F470A8">
            <w:pPr>
              <w:overflowPunct w:val="0"/>
              <w:jc w:val="both"/>
              <w:rPr>
                <w:rFonts w:ascii="標楷體" w:eastAsia="標楷體" w:hAnsi="標楷體"/>
                <w:szCs w:val="24"/>
              </w:rPr>
            </w:pPr>
          </w:p>
        </w:tc>
        <w:tc>
          <w:tcPr>
            <w:tcW w:w="1673" w:type="dxa"/>
            <w:vMerge/>
            <w:tcBorders>
              <w:left w:val="single" w:sz="4" w:space="0" w:color="auto"/>
              <w:bottom w:val="single" w:sz="12" w:space="0" w:color="auto"/>
              <w:right w:val="single" w:sz="4" w:space="0" w:color="000000"/>
            </w:tcBorders>
            <w:shd w:val="clear" w:color="auto" w:fill="auto"/>
          </w:tcPr>
          <w:p w14:paraId="147BA1A4" w14:textId="77777777" w:rsidR="006714B7" w:rsidRPr="004E2CA4" w:rsidRDefault="006714B7" w:rsidP="00F470A8">
            <w:pPr>
              <w:overflowPunct w:val="0"/>
              <w:ind w:left="240" w:hangingChars="100" w:hanging="240"/>
              <w:jc w:val="both"/>
              <w:rPr>
                <w:rFonts w:ascii="標楷體" w:eastAsia="標楷體" w:hAnsi="標楷體"/>
                <w:bCs/>
                <w:szCs w:val="24"/>
              </w:rPr>
            </w:pPr>
          </w:p>
        </w:tc>
      </w:tr>
      <w:tr w:rsidR="004E2CA4" w:rsidRPr="004E2CA4" w14:paraId="56FBB7BE" w14:textId="77777777" w:rsidTr="008D542F">
        <w:trPr>
          <w:trHeight w:val="983"/>
          <w:jc w:val="center"/>
        </w:trPr>
        <w:tc>
          <w:tcPr>
            <w:tcW w:w="702" w:type="dxa"/>
            <w:tcBorders>
              <w:top w:val="single" w:sz="12" w:space="0" w:color="auto"/>
              <w:bottom w:val="single" w:sz="4" w:space="0" w:color="auto"/>
              <w:right w:val="single" w:sz="4" w:space="0" w:color="auto"/>
            </w:tcBorders>
          </w:tcPr>
          <w:p w14:paraId="7C17877A"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14:paraId="2DB54630"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加值型及非加值型營業稅法第六條之一及第八條條文修正草案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14:paraId="1E526473"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張宏陸等22人</w:t>
            </w:r>
          </w:p>
        </w:tc>
        <w:tc>
          <w:tcPr>
            <w:tcW w:w="1697" w:type="dxa"/>
            <w:tcBorders>
              <w:top w:val="single" w:sz="12" w:space="0" w:color="auto"/>
              <w:left w:val="single" w:sz="4" w:space="0" w:color="000000"/>
              <w:bottom w:val="single" w:sz="4" w:space="0" w:color="auto"/>
              <w:right w:val="single" w:sz="4" w:space="0" w:color="000000"/>
            </w:tcBorders>
            <w:shd w:val="clear" w:color="auto" w:fill="FFFFFF"/>
          </w:tcPr>
          <w:p w14:paraId="59E44E6B"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第11屆第1會期第14次院會(113.5.17)決定：「交財政委員會審查」</w:t>
            </w:r>
          </w:p>
        </w:tc>
        <w:tc>
          <w:tcPr>
            <w:tcW w:w="1818" w:type="dxa"/>
            <w:vMerge w:val="restart"/>
            <w:tcBorders>
              <w:top w:val="single" w:sz="12" w:space="0" w:color="auto"/>
              <w:left w:val="single" w:sz="4" w:space="0" w:color="000000"/>
              <w:right w:val="single" w:sz="4" w:space="0" w:color="000000"/>
            </w:tcBorders>
            <w:shd w:val="clear" w:color="auto" w:fill="auto"/>
          </w:tcPr>
          <w:p w14:paraId="26A13304" w14:textId="77777777" w:rsidR="006714B7" w:rsidRPr="004E2CA4" w:rsidRDefault="006714B7" w:rsidP="00F470A8">
            <w:pPr>
              <w:overflowPunct w:val="0"/>
              <w:jc w:val="both"/>
              <w:rPr>
                <w:rFonts w:ascii="標楷體" w:eastAsia="標楷體" w:hAnsi="標楷體"/>
                <w:szCs w:val="24"/>
              </w:rPr>
            </w:pPr>
            <w:r w:rsidRPr="004E2CA4">
              <w:rPr>
                <w:rFonts w:ascii="標楷體" w:eastAsia="標楷體" w:hAnsi="標楷體" w:hint="eastAsia"/>
                <w:szCs w:val="24"/>
              </w:rPr>
              <w:t>第11屆第1會期第18次</w:t>
            </w:r>
            <w:r w:rsidRPr="00CD133E">
              <w:rPr>
                <w:rFonts w:ascii="標楷體" w:eastAsia="標楷體" w:hAnsi="標楷體" w:hint="eastAsia"/>
                <w:spacing w:val="-20"/>
                <w:szCs w:val="24"/>
              </w:rPr>
              <w:t>全體委員會議(113.6.17)</w:t>
            </w:r>
          </w:p>
        </w:tc>
        <w:tc>
          <w:tcPr>
            <w:tcW w:w="1673" w:type="dxa"/>
            <w:vMerge w:val="restart"/>
            <w:tcBorders>
              <w:top w:val="single" w:sz="12" w:space="0" w:color="auto"/>
              <w:left w:val="single" w:sz="4" w:space="0" w:color="auto"/>
              <w:right w:val="single" w:sz="4" w:space="0" w:color="000000"/>
            </w:tcBorders>
            <w:shd w:val="clear" w:color="auto" w:fill="auto"/>
          </w:tcPr>
          <w:p w14:paraId="112EF99F"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1.審查完竣，須交由黨團協商。</w:t>
            </w:r>
          </w:p>
          <w:p w14:paraId="522B0215" w14:textId="77777777" w:rsidR="006714B7" w:rsidRPr="004E2CA4" w:rsidRDefault="006714B7" w:rsidP="00F470A8">
            <w:pPr>
              <w:overflowPunct w:val="0"/>
              <w:ind w:left="240" w:hangingChars="100" w:hanging="240"/>
              <w:jc w:val="both"/>
              <w:rPr>
                <w:rFonts w:ascii="標楷體" w:eastAsia="標楷體" w:hAnsi="標楷體"/>
                <w:bCs/>
                <w:szCs w:val="24"/>
              </w:rPr>
            </w:pPr>
            <w:r w:rsidRPr="004E2CA4">
              <w:rPr>
                <w:rFonts w:ascii="標楷體" w:eastAsia="標楷體" w:hAnsi="標楷體" w:hint="eastAsia"/>
                <w:bCs/>
                <w:szCs w:val="24"/>
              </w:rPr>
              <w:t>2.113.6.26本會將審查報告函送議事處。</w:t>
            </w:r>
          </w:p>
        </w:tc>
      </w:tr>
      <w:tr w:rsidR="004E2CA4" w:rsidRPr="004E2CA4" w14:paraId="606CC2E3" w14:textId="77777777" w:rsidTr="008D542F">
        <w:trPr>
          <w:trHeight w:val="983"/>
          <w:jc w:val="center"/>
        </w:trPr>
        <w:tc>
          <w:tcPr>
            <w:tcW w:w="702" w:type="dxa"/>
            <w:tcBorders>
              <w:top w:val="single" w:sz="4" w:space="0" w:color="auto"/>
              <w:bottom w:val="single" w:sz="4" w:space="0" w:color="auto"/>
              <w:right w:val="single" w:sz="4" w:space="0" w:color="auto"/>
            </w:tcBorders>
          </w:tcPr>
          <w:p w14:paraId="11C4E53E"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14:paraId="499B409B"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14:paraId="640A6647"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台灣民眾黨黨團</w:t>
            </w:r>
          </w:p>
        </w:tc>
        <w:tc>
          <w:tcPr>
            <w:tcW w:w="1697" w:type="dxa"/>
            <w:tcBorders>
              <w:top w:val="single" w:sz="4" w:space="0" w:color="auto"/>
              <w:left w:val="single" w:sz="4" w:space="0" w:color="auto"/>
              <w:bottom w:val="single" w:sz="4" w:space="0" w:color="auto"/>
              <w:right w:val="single" w:sz="4" w:space="0" w:color="auto"/>
            </w:tcBorders>
            <w:shd w:val="clear" w:color="auto" w:fill="auto"/>
          </w:tcPr>
          <w:p w14:paraId="7E02A82D"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第11屆第1會期第3次院會(113.3.</w:t>
            </w:r>
            <w:r w:rsidRPr="004E2CA4">
              <w:rPr>
                <w:rFonts w:ascii="標楷體" w:eastAsia="標楷體" w:hAnsi="標楷體"/>
                <w:kern w:val="2"/>
                <w:szCs w:val="24"/>
              </w:rPr>
              <w:t>1)</w:t>
            </w:r>
            <w:r w:rsidRPr="004E2CA4">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auto"/>
            </w:tcBorders>
            <w:shd w:val="clear" w:color="auto" w:fill="FFFFFF"/>
          </w:tcPr>
          <w:p w14:paraId="46FAC640"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vAlign w:val="center"/>
          </w:tcPr>
          <w:p w14:paraId="1D94617D" w14:textId="77777777" w:rsidR="006714B7" w:rsidRPr="004E2CA4" w:rsidRDefault="006714B7" w:rsidP="00F470A8">
            <w:pPr>
              <w:widowControl w:val="0"/>
              <w:overflowPunct w:val="0"/>
              <w:autoSpaceDN/>
              <w:spacing w:line="340" w:lineRule="exact"/>
              <w:jc w:val="both"/>
              <w:textAlignment w:val="auto"/>
              <w:rPr>
                <w:rFonts w:ascii="標楷體" w:eastAsia="標楷體" w:hAnsi="標楷體"/>
                <w:kern w:val="2"/>
                <w:szCs w:val="24"/>
              </w:rPr>
            </w:pPr>
          </w:p>
        </w:tc>
      </w:tr>
      <w:tr w:rsidR="004E2CA4" w:rsidRPr="004E2CA4" w14:paraId="1C31B36C" w14:textId="77777777" w:rsidTr="008D542F">
        <w:trPr>
          <w:trHeight w:val="983"/>
          <w:jc w:val="center"/>
        </w:trPr>
        <w:tc>
          <w:tcPr>
            <w:tcW w:w="702" w:type="dxa"/>
            <w:tcBorders>
              <w:top w:val="single" w:sz="4" w:space="0" w:color="auto"/>
              <w:bottom w:val="single" w:sz="4" w:space="0" w:color="auto"/>
              <w:right w:val="single" w:sz="4" w:space="0" w:color="auto"/>
            </w:tcBorders>
          </w:tcPr>
          <w:p w14:paraId="477D6D6F"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14:paraId="31DC158A"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14:paraId="63331D48"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黃捷等17人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14:paraId="3AF73E4E"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第11屆第1會期第7次院會(113.3.29)決定：「交財政委員會審查」</w:t>
            </w:r>
          </w:p>
        </w:tc>
        <w:tc>
          <w:tcPr>
            <w:tcW w:w="1818" w:type="dxa"/>
            <w:vMerge/>
            <w:tcBorders>
              <w:left w:val="single" w:sz="4" w:space="0" w:color="000000"/>
              <w:right w:val="single" w:sz="4" w:space="0" w:color="auto"/>
            </w:tcBorders>
            <w:shd w:val="clear" w:color="auto" w:fill="FFFFFF"/>
          </w:tcPr>
          <w:p w14:paraId="3A1E066F"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vAlign w:val="center"/>
          </w:tcPr>
          <w:p w14:paraId="2CE9B0D5" w14:textId="77777777" w:rsidR="006714B7" w:rsidRPr="004E2CA4" w:rsidRDefault="006714B7" w:rsidP="00F470A8">
            <w:pPr>
              <w:widowControl w:val="0"/>
              <w:overflowPunct w:val="0"/>
              <w:autoSpaceDN/>
              <w:spacing w:line="340" w:lineRule="exact"/>
              <w:jc w:val="both"/>
              <w:textAlignment w:val="auto"/>
              <w:rPr>
                <w:rFonts w:ascii="標楷體" w:eastAsia="標楷體" w:hAnsi="標楷體"/>
                <w:kern w:val="2"/>
                <w:szCs w:val="24"/>
              </w:rPr>
            </w:pPr>
          </w:p>
        </w:tc>
      </w:tr>
      <w:tr w:rsidR="004E2CA4" w:rsidRPr="004E2CA4" w14:paraId="0B781CD9" w14:textId="77777777" w:rsidTr="008D542F">
        <w:trPr>
          <w:trHeight w:val="983"/>
          <w:jc w:val="center"/>
        </w:trPr>
        <w:tc>
          <w:tcPr>
            <w:tcW w:w="702" w:type="dxa"/>
            <w:tcBorders>
              <w:top w:val="single" w:sz="4" w:space="0" w:color="auto"/>
              <w:bottom w:val="single" w:sz="4" w:space="0" w:color="auto"/>
              <w:right w:val="single" w:sz="4" w:space="0" w:color="auto"/>
            </w:tcBorders>
          </w:tcPr>
          <w:p w14:paraId="39BCFA1F"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14:paraId="21D44078"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14:paraId="66BA00D3"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吳宗憲等18人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14:paraId="08BE9890"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第11屆第1會期第7次院會(113.3.29)決定：「交財政委員會審查」</w:t>
            </w:r>
          </w:p>
        </w:tc>
        <w:tc>
          <w:tcPr>
            <w:tcW w:w="1818" w:type="dxa"/>
            <w:vMerge/>
            <w:tcBorders>
              <w:left w:val="single" w:sz="4" w:space="0" w:color="000000"/>
              <w:right w:val="single" w:sz="4" w:space="0" w:color="auto"/>
            </w:tcBorders>
            <w:shd w:val="clear" w:color="auto" w:fill="FFFFFF"/>
          </w:tcPr>
          <w:p w14:paraId="12EF9419"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vAlign w:val="center"/>
          </w:tcPr>
          <w:p w14:paraId="0C113703" w14:textId="77777777" w:rsidR="006714B7" w:rsidRPr="004E2CA4" w:rsidRDefault="006714B7" w:rsidP="00F470A8">
            <w:pPr>
              <w:widowControl w:val="0"/>
              <w:overflowPunct w:val="0"/>
              <w:autoSpaceDN/>
              <w:spacing w:line="340" w:lineRule="exact"/>
              <w:jc w:val="both"/>
              <w:textAlignment w:val="auto"/>
              <w:rPr>
                <w:rFonts w:ascii="標楷體" w:eastAsia="標楷體" w:hAnsi="標楷體"/>
                <w:kern w:val="2"/>
                <w:szCs w:val="24"/>
              </w:rPr>
            </w:pPr>
          </w:p>
        </w:tc>
      </w:tr>
      <w:tr w:rsidR="004E2CA4" w:rsidRPr="004E2CA4" w14:paraId="65CB1F25" w14:textId="77777777" w:rsidTr="008D542F">
        <w:trPr>
          <w:trHeight w:val="983"/>
          <w:jc w:val="center"/>
        </w:trPr>
        <w:tc>
          <w:tcPr>
            <w:tcW w:w="702" w:type="dxa"/>
            <w:tcBorders>
              <w:top w:val="single" w:sz="4" w:space="0" w:color="auto"/>
              <w:bottom w:val="single" w:sz="4" w:space="0" w:color="auto"/>
              <w:right w:val="single" w:sz="4" w:space="0" w:color="auto"/>
            </w:tcBorders>
          </w:tcPr>
          <w:p w14:paraId="19F7717F"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14:paraId="44C9E59C"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14:paraId="107A6EA9"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林思銘等27人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14:paraId="43F40CD5"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第11屆第1會期第8次院會(113.4.9)決定：「交財政委員會審查」</w:t>
            </w:r>
          </w:p>
        </w:tc>
        <w:tc>
          <w:tcPr>
            <w:tcW w:w="1818" w:type="dxa"/>
            <w:vMerge/>
            <w:tcBorders>
              <w:left w:val="single" w:sz="4" w:space="0" w:color="000000"/>
              <w:right w:val="single" w:sz="4" w:space="0" w:color="auto"/>
            </w:tcBorders>
            <w:shd w:val="clear" w:color="auto" w:fill="FFFFFF"/>
          </w:tcPr>
          <w:p w14:paraId="049D0D24"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vAlign w:val="center"/>
          </w:tcPr>
          <w:p w14:paraId="180DD5AD" w14:textId="77777777" w:rsidR="006714B7" w:rsidRPr="004E2CA4" w:rsidRDefault="006714B7" w:rsidP="00F470A8">
            <w:pPr>
              <w:widowControl w:val="0"/>
              <w:overflowPunct w:val="0"/>
              <w:autoSpaceDN/>
              <w:spacing w:line="340" w:lineRule="exact"/>
              <w:jc w:val="both"/>
              <w:textAlignment w:val="auto"/>
              <w:rPr>
                <w:rFonts w:ascii="標楷體" w:eastAsia="標楷體" w:hAnsi="標楷體"/>
                <w:kern w:val="2"/>
                <w:szCs w:val="24"/>
              </w:rPr>
            </w:pPr>
          </w:p>
        </w:tc>
      </w:tr>
      <w:tr w:rsidR="004E2CA4" w:rsidRPr="004E2CA4" w14:paraId="7FDEBD9B" w14:textId="77777777" w:rsidTr="008D542F">
        <w:trPr>
          <w:trHeight w:val="983"/>
          <w:jc w:val="center"/>
        </w:trPr>
        <w:tc>
          <w:tcPr>
            <w:tcW w:w="702" w:type="dxa"/>
            <w:tcBorders>
              <w:top w:val="single" w:sz="4" w:space="0" w:color="auto"/>
              <w:bottom w:val="single" w:sz="4" w:space="0" w:color="auto"/>
              <w:right w:val="single" w:sz="4" w:space="0" w:color="auto"/>
            </w:tcBorders>
          </w:tcPr>
          <w:p w14:paraId="3C76AB5A"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14:paraId="2F987E87"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14:paraId="083ACAED"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洪孟楷等18人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14:paraId="52879D52"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第11屆第1會期第10次院會(113.4.19)決定：「交財政委員會審查」</w:t>
            </w:r>
          </w:p>
        </w:tc>
        <w:tc>
          <w:tcPr>
            <w:tcW w:w="1818" w:type="dxa"/>
            <w:vMerge/>
            <w:tcBorders>
              <w:left w:val="single" w:sz="4" w:space="0" w:color="000000"/>
              <w:right w:val="single" w:sz="4" w:space="0" w:color="auto"/>
            </w:tcBorders>
            <w:shd w:val="clear" w:color="auto" w:fill="FFFFFF"/>
          </w:tcPr>
          <w:p w14:paraId="37AB279C"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14:paraId="3C1B56D3" w14:textId="77777777" w:rsidR="006714B7" w:rsidRPr="004E2CA4" w:rsidRDefault="006714B7" w:rsidP="00F470A8">
            <w:pPr>
              <w:widowControl w:val="0"/>
              <w:overflowPunct w:val="0"/>
              <w:spacing w:line="340" w:lineRule="exact"/>
              <w:jc w:val="both"/>
              <w:rPr>
                <w:rFonts w:ascii="標楷體" w:eastAsia="標楷體" w:hAnsi="標楷體"/>
                <w:kern w:val="2"/>
                <w:szCs w:val="24"/>
              </w:rPr>
            </w:pPr>
          </w:p>
        </w:tc>
      </w:tr>
      <w:tr w:rsidR="004E2CA4" w:rsidRPr="004E2CA4" w14:paraId="21BD7658" w14:textId="77777777" w:rsidTr="008D542F">
        <w:trPr>
          <w:trHeight w:val="983"/>
          <w:jc w:val="center"/>
        </w:trPr>
        <w:tc>
          <w:tcPr>
            <w:tcW w:w="702" w:type="dxa"/>
            <w:tcBorders>
              <w:top w:val="single" w:sz="4" w:space="0" w:color="auto"/>
              <w:bottom w:val="single" w:sz="4" w:space="0" w:color="auto"/>
              <w:right w:val="single" w:sz="4" w:space="0" w:color="auto"/>
            </w:tcBorders>
          </w:tcPr>
          <w:p w14:paraId="1F1CE529"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14:paraId="3290277E"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14:paraId="5F47DF31"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郭昱晴等18人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14:paraId="634A5382"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第11屆第1會期第10次院會(113.4.19)決定：「交財政委員會審查」</w:t>
            </w:r>
          </w:p>
        </w:tc>
        <w:tc>
          <w:tcPr>
            <w:tcW w:w="1818" w:type="dxa"/>
            <w:vMerge/>
            <w:tcBorders>
              <w:left w:val="single" w:sz="4" w:space="0" w:color="000000"/>
              <w:bottom w:val="single" w:sz="4" w:space="0" w:color="auto"/>
              <w:right w:val="single" w:sz="4" w:space="0" w:color="auto"/>
            </w:tcBorders>
            <w:shd w:val="clear" w:color="auto" w:fill="FFFFFF"/>
          </w:tcPr>
          <w:p w14:paraId="357293F8"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bottom w:val="single" w:sz="4" w:space="0" w:color="auto"/>
              <w:right w:val="single" w:sz="4" w:space="0" w:color="000000"/>
            </w:tcBorders>
            <w:shd w:val="clear" w:color="auto" w:fill="auto"/>
            <w:vAlign w:val="center"/>
          </w:tcPr>
          <w:p w14:paraId="07A36099" w14:textId="77777777" w:rsidR="006714B7" w:rsidRPr="004E2CA4" w:rsidRDefault="006714B7" w:rsidP="00F470A8">
            <w:pPr>
              <w:widowControl w:val="0"/>
              <w:overflowPunct w:val="0"/>
              <w:spacing w:line="340" w:lineRule="exact"/>
              <w:jc w:val="both"/>
              <w:rPr>
                <w:rFonts w:ascii="標楷體" w:eastAsia="標楷體" w:hAnsi="標楷體"/>
                <w:kern w:val="2"/>
                <w:szCs w:val="24"/>
              </w:rPr>
            </w:pPr>
          </w:p>
        </w:tc>
      </w:tr>
      <w:tr w:rsidR="004E2CA4" w:rsidRPr="004E2CA4" w14:paraId="274F7B5F" w14:textId="77777777" w:rsidTr="008D542F">
        <w:trPr>
          <w:trHeight w:val="983"/>
          <w:jc w:val="center"/>
        </w:trPr>
        <w:tc>
          <w:tcPr>
            <w:tcW w:w="702" w:type="dxa"/>
            <w:tcBorders>
              <w:top w:val="single" w:sz="4" w:space="0" w:color="auto"/>
              <w:bottom w:val="single" w:sz="12" w:space="0" w:color="auto"/>
              <w:right w:val="single" w:sz="4" w:space="0" w:color="auto"/>
            </w:tcBorders>
          </w:tcPr>
          <w:p w14:paraId="7C71E09C" w14:textId="77777777" w:rsidR="006714B7" w:rsidRPr="004E2CA4" w:rsidRDefault="006714B7" w:rsidP="00FA328D">
            <w:pPr>
              <w:numPr>
                <w:ilvl w:val="0"/>
                <w:numId w:val="54"/>
              </w:numPr>
              <w:overflowPunct w:val="0"/>
              <w:jc w:val="both"/>
              <w:rPr>
                <w:rFonts w:ascii="標楷體" w:eastAsia="標楷體" w:hAnsi="標楷體"/>
                <w:b/>
                <w:bCs/>
                <w:szCs w:val="24"/>
              </w:rPr>
            </w:pPr>
          </w:p>
        </w:tc>
        <w:tc>
          <w:tcPr>
            <w:tcW w:w="2695" w:type="dxa"/>
            <w:tcBorders>
              <w:top w:val="single" w:sz="4" w:space="0" w:color="auto"/>
              <w:left w:val="single" w:sz="4" w:space="0" w:color="000000"/>
              <w:bottom w:val="single" w:sz="12" w:space="0" w:color="auto"/>
              <w:right w:val="single" w:sz="4" w:space="0" w:color="auto"/>
            </w:tcBorders>
            <w:shd w:val="clear" w:color="auto" w:fill="auto"/>
          </w:tcPr>
          <w:p w14:paraId="37C2CE4A"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14:paraId="4770AC0C"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陳菁徽等17人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14:paraId="488526EB"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r w:rsidRPr="004E2CA4">
              <w:rPr>
                <w:rFonts w:ascii="標楷體" w:eastAsia="標楷體" w:hAnsi="標楷體" w:hint="eastAsia"/>
                <w:kern w:val="2"/>
                <w:szCs w:val="24"/>
              </w:rPr>
              <w:t>第11屆第1會期第16次院會(113.5.31)決定：「交財政委員會審查」</w:t>
            </w:r>
          </w:p>
        </w:tc>
        <w:tc>
          <w:tcPr>
            <w:tcW w:w="1818" w:type="dxa"/>
            <w:vMerge/>
            <w:tcBorders>
              <w:left w:val="single" w:sz="4" w:space="0" w:color="000000"/>
              <w:bottom w:val="single" w:sz="12" w:space="0" w:color="auto"/>
              <w:right w:val="single" w:sz="4" w:space="0" w:color="auto"/>
            </w:tcBorders>
            <w:shd w:val="clear" w:color="auto" w:fill="FFFFFF"/>
          </w:tcPr>
          <w:p w14:paraId="3732E80D" w14:textId="77777777" w:rsidR="006714B7" w:rsidRPr="004E2CA4" w:rsidRDefault="006714B7" w:rsidP="00F470A8">
            <w:pPr>
              <w:widowControl w:val="0"/>
              <w:overflowPunct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14:paraId="36FD1D08" w14:textId="77777777" w:rsidR="006714B7" w:rsidRPr="004E2CA4" w:rsidRDefault="006714B7" w:rsidP="00F470A8">
            <w:pPr>
              <w:widowControl w:val="0"/>
              <w:overflowPunct w:val="0"/>
              <w:autoSpaceDN/>
              <w:spacing w:line="340" w:lineRule="exact"/>
              <w:jc w:val="both"/>
              <w:textAlignment w:val="auto"/>
              <w:rPr>
                <w:rFonts w:ascii="標楷體" w:eastAsia="標楷體" w:hAnsi="標楷體"/>
                <w:kern w:val="2"/>
                <w:szCs w:val="24"/>
              </w:rPr>
            </w:pPr>
          </w:p>
        </w:tc>
      </w:tr>
    </w:tbl>
    <w:p w14:paraId="2F3CBF95" w14:textId="77777777" w:rsidR="006714B7" w:rsidRPr="00464A6F" w:rsidRDefault="006714B7" w:rsidP="00F470A8">
      <w:pPr>
        <w:overflowPunct w:val="0"/>
        <w:jc w:val="both"/>
        <w:rPr>
          <w:b/>
          <w:color w:val="FF0000"/>
        </w:rPr>
      </w:pPr>
      <w:r w:rsidRPr="00464A6F">
        <w:rPr>
          <w:b/>
          <w:color w:val="FF0000"/>
        </w:rPr>
        <w:br w:type="page"/>
      </w:r>
    </w:p>
    <w:p w14:paraId="488E8953" w14:textId="62F5662D" w:rsidR="006714B7" w:rsidRPr="00C0585C" w:rsidRDefault="006714B7" w:rsidP="00F470A8">
      <w:pPr>
        <w:pStyle w:val="2"/>
        <w:numPr>
          <w:ilvl w:val="0"/>
          <w:numId w:val="0"/>
        </w:numPr>
        <w:overflowPunct w:val="0"/>
        <w:spacing w:line="480" w:lineRule="exact"/>
        <w:ind w:left="927" w:hanging="567"/>
        <w:rPr>
          <w:rFonts w:ascii="標楷體" w:eastAsia="標楷體" w:hAnsi="標楷體"/>
          <w:sz w:val="32"/>
          <w:szCs w:val="32"/>
        </w:rPr>
      </w:pPr>
      <w:bookmarkStart w:id="72" w:name="_Toc189487296"/>
      <w:r w:rsidRPr="00C0585C">
        <w:rPr>
          <w:rFonts w:ascii="標楷體" w:eastAsia="標楷體" w:hAnsi="標楷體" w:hint="eastAsia"/>
          <w:sz w:val="32"/>
          <w:szCs w:val="32"/>
        </w:rPr>
        <w:lastRenderedPageBreak/>
        <w:t>二、預算案(</w:t>
      </w:r>
      <w:r w:rsidR="00406B52">
        <w:rPr>
          <w:rFonts w:ascii="標楷體" w:eastAsia="標楷體" w:hAnsi="標楷體" w:hint="eastAsia"/>
          <w:sz w:val="32"/>
          <w:szCs w:val="32"/>
        </w:rPr>
        <w:t>10</w:t>
      </w:r>
      <w:r w:rsidRPr="00C0585C">
        <w:rPr>
          <w:rFonts w:ascii="標楷體" w:eastAsia="標楷體" w:hAnsi="標楷體" w:hint="eastAsia"/>
          <w:sz w:val="32"/>
          <w:szCs w:val="32"/>
        </w:rPr>
        <w:t>案)</w:t>
      </w:r>
      <w:bookmarkEnd w:id="72"/>
    </w:p>
    <w:p w14:paraId="1F3718F6" w14:textId="3D1A3129" w:rsidR="006714B7" w:rsidRPr="00481FED" w:rsidRDefault="006714B7"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73" w:name="_Toc143873900"/>
      <w:bookmarkStart w:id="74" w:name="_Toc157095676"/>
      <w:bookmarkStart w:id="75" w:name="_Toc189487297"/>
      <w:r w:rsidRPr="00481FED">
        <w:rPr>
          <w:rFonts w:ascii="標楷體" w:eastAsia="標楷體" w:hAnsi="標楷體"/>
          <w:b/>
          <w:bCs/>
          <w:sz w:val="28"/>
          <w:szCs w:val="28"/>
        </w:rPr>
        <w:t>(</w:t>
      </w:r>
      <w:r w:rsidRPr="00481FED">
        <w:rPr>
          <w:rFonts w:ascii="標楷體" w:eastAsia="標楷體" w:hAnsi="標楷體" w:hint="eastAsia"/>
          <w:b/>
          <w:bCs/>
          <w:sz w:val="28"/>
          <w:szCs w:val="28"/>
        </w:rPr>
        <w:t>一</w:t>
      </w:r>
      <w:r w:rsidRPr="00481FED">
        <w:rPr>
          <w:rFonts w:ascii="標楷體" w:eastAsia="標楷體" w:hAnsi="標楷體"/>
          <w:b/>
          <w:bCs/>
          <w:sz w:val="28"/>
          <w:szCs w:val="28"/>
        </w:rPr>
        <w:t>)</w:t>
      </w:r>
      <w:r w:rsidRPr="00481FED">
        <w:rPr>
          <w:rFonts w:ascii="標楷體" w:eastAsia="標楷體" w:hAnsi="標楷體" w:hint="eastAsia"/>
          <w:b/>
          <w:bCs/>
          <w:sz w:val="28"/>
          <w:szCs w:val="28"/>
        </w:rPr>
        <w:t>總預算案</w:t>
      </w:r>
      <w:r w:rsidR="002E68D5">
        <w:rPr>
          <w:rFonts w:ascii="標楷體" w:eastAsia="標楷體" w:hAnsi="標楷體" w:hint="eastAsia"/>
          <w:b/>
          <w:bCs/>
          <w:sz w:val="28"/>
          <w:szCs w:val="28"/>
        </w:rPr>
        <w:t>、特別預算案及追加預算(4</w:t>
      </w:r>
      <w:r w:rsidRPr="00481FED">
        <w:rPr>
          <w:rFonts w:ascii="標楷體" w:eastAsia="標楷體" w:hAnsi="標楷體" w:hint="eastAsia"/>
          <w:b/>
          <w:bCs/>
          <w:sz w:val="28"/>
          <w:szCs w:val="28"/>
        </w:rPr>
        <w:t>案)</w:t>
      </w:r>
      <w:bookmarkEnd w:id="73"/>
      <w:bookmarkEnd w:id="74"/>
      <w:bookmarkEnd w:id="75"/>
    </w:p>
    <w:tbl>
      <w:tblPr>
        <w:tblW w:w="9809" w:type="dxa"/>
        <w:tblInd w:w="170" w:type="dxa"/>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610"/>
        <w:gridCol w:w="2225"/>
        <w:gridCol w:w="2268"/>
        <w:gridCol w:w="2269"/>
        <w:gridCol w:w="2437"/>
      </w:tblGrid>
      <w:tr w:rsidR="00464A6F" w:rsidRPr="00464A6F" w14:paraId="2ED00CDA" w14:textId="77777777" w:rsidTr="00406B52">
        <w:trPr>
          <w:trHeight w:val="494"/>
        </w:trPr>
        <w:tc>
          <w:tcPr>
            <w:tcW w:w="610" w:type="dxa"/>
            <w:tcBorders>
              <w:bottom w:val="single" w:sz="4" w:space="0" w:color="000000"/>
            </w:tcBorders>
            <w:tcMar>
              <w:top w:w="0" w:type="dxa"/>
              <w:left w:w="28" w:type="dxa"/>
              <w:bottom w:w="0" w:type="dxa"/>
              <w:right w:w="28" w:type="dxa"/>
            </w:tcMar>
            <w:vAlign w:val="center"/>
          </w:tcPr>
          <w:p w14:paraId="1FC546BF" w14:textId="77777777" w:rsidR="006714B7" w:rsidRPr="00481FED" w:rsidRDefault="006714B7" w:rsidP="00F470A8">
            <w:pPr>
              <w:widowControl w:val="0"/>
              <w:overflowPunct w:val="0"/>
              <w:jc w:val="center"/>
              <w:textAlignment w:val="auto"/>
              <w:rPr>
                <w:rFonts w:ascii="標楷體" w:eastAsia="標楷體" w:hAnsi="標楷體"/>
                <w:b/>
                <w:szCs w:val="24"/>
              </w:rPr>
            </w:pPr>
            <w:r w:rsidRPr="00481FED">
              <w:rPr>
                <w:rFonts w:ascii="標楷體" w:eastAsia="標楷體" w:hAnsi="標楷體" w:hint="eastAsia"/>
                <w:b/>
                <w:szCs w:val="24"/>
              </w:rPr>
              <w:t>序</w:t>
            </w:r>
            <w:r w:rsidRPr="00481FED">
              <w:rPr>
                <w:rFonts w:ascii="標楷體" w:eastAsia="標楷體" w:hAnsi="標楷體"/>
                <w:b/>
                <w:szCs w:val="24"/>
              </w:rPr>
              <w:t>號</w:t>
            </w:r>
          </w:p>
        </w:tc>
        <w:tc>
          <w:tcPr>
            <w:tcW w:w="2225" w:type="dxa"/>
            <w:tcBorders>
              <w:bottom w:val="single" w:sz="4" w:space="0" w:color="000000"/>
            </w:tcBorders>
            <w:tcMar>
              <w:top w:w="0" w:type="dxa"/>
              <w:left w:w="28" w:type="dxa"/>
              <w:bottom w:w="0" w:type="dxa"/>
              <w:right w:w="28" w:type="dxa"/>
            </w:tcMar>
            <w:vAlign w:val="center"/>
          </w:tcPr>
          <w:p w14:paraId="6E37DBC2" w14:textId="77777777" w:rsidR="006714B7" w:rsidRPr="00481FED" w:rsidRDefault="006714B7" w:rsidP="00F470A8">
            <w:pPr>
              <w:widowControl w:val="0"/>
              <w:overflowPunct w:val="0"/>
              <w:jc w:val="center"/>
              <w:textAlignment w:val="auto"/>
              <w:rPr>
                <w:rFonts w:ascii="標楷體" w:eastAsia="標楷體" w:hAnsi="標楷體"/>
                <w:b/>
                <w:szCs w:val="24"/>
              </w:rPr>
            </w:pPr>
            <w:r w:rsidRPr="00481FED">
              <w:rPr>
                <w:rFonts w:ascii="標楷體" w:eastAsia="標楷體" w:hAnsi="標楷體"/>
                <w:b/>
                <w:szCs w:val="24"/>
              </w:rPr>
              <w:t>議  案  名  稱</w:t>
            </w:r>
          </w:p>
        </w:tc>
        <w:tc>
          <w:tcPr>
            <w:tcW w:w="2268" w:type="dxa"/>
            <w:tcBorders>
              <w:bottom w:val="single" w:sz="4" w:space="0" w:color="000000"/>
            </w:tcBorders>
            <w:tcMar>
              <w:top w:w="0" w:type="dxa"/>
              <w:left w:w="28" w:type="dxa"/>
              <w:bottom w:w="0" w:type="dxa"/>
              <w:right w:w="28" w:type="dxa"/>
            </w:tcMar>
            <w:vAlign w:val="center"/>
          </w:tcPr>
          <w:p w14:paraId="6FF6A187" w14:textId="77777777" w:rsidR="006714B7" w:rsidRPr="00481FED" w:rsidRDefault="006714B7" w:rsidP="00F470A8">
            <w:pPr>
              <w:widowControl w:val="0"/>
              <w:overflowPunct w:val="0"/>
              <w:jc w:val="center"/>
              <w:textAlignment w:val="auto"/>
              <w:rPr>
                <w:rFonts w:ascii="標楷體" w:eastAsia="標楷體" w:hAnsi="標楷體"/>
                <w:b/>
                <w:spacing w:val="64"/>
                <w:szCs w:val="24"/>
              </w:rPr>
            </w:pPr>
            <w:r w:rsidRPr="00481FED">
              <w:rPr>
                <w:rFonts w:ascii="標楷體" w:eastAsia="標楷體" w:hAnsi="標楷體"/>
                <w:b/>
                <w:spacing w:val="64"/>
                <w:szCs w:val="24"/>
              </w:rPr>
              <w:t>院會交付</w:t>
            </w:r>
          </w:p>
          <w:p w14:paraId="639FA237" w14:textId="77777777" w:rsidR="006714B7" w:rsidRPr="00481FED" w:rsidRDefault="006714B7" w:rsidP="00F470A8">
            <w:pPr>
              <w:widowControl w:val="0"/>
              <w:overflowPunct w:val="0"/>
              <w:ind w:leftChars="-70" w:left="-48" w:hangingChars="50" w:hanging="120"/>
              <w:jc w:val="center"/>
              <w:textAlignment w:val="auto"/>
              <w:rPr>
                <w:rFonts w:ascii="標楷體" w:eastAsia="標楷體" w:hAnsi="標楷體"/>
                <w:b/>
                <w:szCs w:val="24"/>
              </w:rPr>
            </w:pPr>
            <w:r w:rsidRPr="00481FED">
              <w:rPr>
                <w:rFonts w:ascii="標楷體" w:eastAsia="標楷體" w:hAnsi="標楷體" w:hint="eastAsia"/>
                <w:b/>
                <w:szCs w:val="24"/>
              </w:rPr>
              <w:t>日</w:t>
            </w:r>
            <w:r w:rsidRPr="00481FED">
              <w:rPr>
                <w:rFonts w:ascii="標楷體" w:eastAsia="標楷體" w:hAnsi="標楷體"/>
                <w:b/>
                <w:szCs w:val="24"/>
              </w:rPr>
              <w:t>期</w:t>
            </w:r>
            <w:r w:rsidRPr="00481FED">
              <w:rPr>
                <w:rFonts w:ascii="標楷體" w:eastAsia="標楷體" w:hAnsi="標楷體" w:hint="eastAsia"/>
                <w:b/>
                <w:szCs w:val="24"/>
              </w:rPr>
              <w:t>及</w:t>
            </w:r>
            <w:r w:rsidRPr="00481FED">
              <w:rPr>
                <w:rFonts w:ascii="標楷體" w:eastAsia="標楷體" w:hAnsi="標楷體"/>
                <w:b/>
                <w:szCs w:val="24"/>
              </w:rPr>
              <w:t>會次</w:t>
            </w:r>
          </w:p>
        </w:tc>
        <w:tc>
          <w:tcPr>
            <w:tcW w:w="2269" w:type="dxa"/>
            <w:tcBorders>
              <w:bottom w:val="single" w:sz="4" w:space="0" w:color="000000"/>
            </w:tcBorders>
            <w:tcMar>
              <w:top w:w="0" w:type="dxa"/>
              <w:left w:w="28" w:type="dxa"/>
              <w:bottom w:w="0" w:type="dxa"/>
              <w:right w:w="28" w:type="dxa"/>
            </w:tcMar>
            <w:vAlign w:val="center"/>
          </w:tcPr>
          <w:p w14:paraId="7E1F00A7" w14:textId="77777777" w:rsidR="006714B7" w:rsidRPr="00481FED" w:rsidRDefault="006714B7" w:rsidP="00F470A8">
            <w:pPr>
              <w:widowControl w:val="0"/>
              <w:overflowPunct w:val="0"/>
              <w:jc w:val="center"/>
              <w:textAlignment w:val="auto"/>
              <w:rPr>
                <w:rFonts w:ascii="標楷體" w:eastAsia="標楷體" w:hAnsi="標楷體"/>
                <w:b/>
                <w:spacing w:val="20"/>
                <w:szCs w:val="24"/>
              </w:rPr>
            </w:pPr>
            <w:r w:rsidRPr="00481FED">
              <w:rPr>
                <w:rFonts w:ascii="標楷體" w:eastAsia="標楷體" w:hAnsi="標楷體"/>
                <w:b/>
                <w:spacing w:val="20"/>
                <w:szCs w:val="24"/>
              </w:rPr>
              <w:t>審查會審竣</w:t>
            </w:r>
          </w:p>
          <w:p w14:paraId="0668FD5C" w14:textId="77777777" w:rsidR="006714B7" w:rsidRPr="00481FED" w:rsidRDefault="006714B7" w:rsidP="00F470A8">
            <w:pPr>
              <w:widowControl w:val="0"/>
              <w:overflowPunct w:val="0"/>
              <w:jc w:val="center"/>
              <w:textAlignment w:val="auto"/>
              <w:rPr>
                <w:b/>
              </w:rPr>
            </w:pPr>
            <w:r w:rsidRPr="00481FED">
              <w:rPr>
                <w:rFonts w:ascii="標楷體" w:eastAsia="標楷體" w:hAnsi="標楷體"/>
                <w:b/>
                <w:spacing w:val="20"/>
                <w:szCs w:val="24"/>
              </w:rPr>
              <w:t>日期及會次</w:t>
            </w:r>
          </w:p>
        </w:tc>
        <w:tc>
          <w:tcPr>
            <w:tcW w:w="2437" w:type="dxa"/>
            <w:tcBorders>
              <w:bottom w:val="single" w:sz="4" w:space="0" w:color="000000"/>
            </w:tcBorders>
            <w:tcMar>
              <w:top w:w="0" w:type="dxa"/>
              <w:left w:w="28" w:type="dxa"/>
              <w:bottom w:w="0" w:type="dxa"/>
              <w:right w:w="28" w:type="dxa"/>
            </w:tcMar>
            <w:vAlign w:val="center"/>
          </w:tcPr>
          <w:p w14:paraId="04CC5B1D" w14:textId="77777777" w:rsidR="006714B7" w:rsidRPr="00481FED" w:rsidRDefault="006714B7" w:rsidP="00F470A8">
            <w:pPr>
              <w:widowControl w:val="0"/>
              <w:overflowPunct w:val="0"/>
              <w:jc w:val="center"/>
              <w:textAlignment w:val="auto"/>
              <w:rPr>
                <w:rFonts w:ascii="標楷體" w:eastAsia="標楷體" w:hAnsi="標楷體"/>
                <w:b/>
                <w:szCs w:val="24"/>
              </w:rPr>
            </w:pPr>
            <w:r w:rsidRPr="00481FED">
              <w:rPr>
                <w:rFonts w:ascii="標楷體" w:eastAsia="標楷體" w:hAnsi="標楷體"/>
                <w:b/>
                <w:szCs w:val="24"/>
              </w:rPr>
              <w:t>備          註</w:t>
            </w:r>
          </w:p>
        </w:tc>
      </w:tr>
      <w:tr w:rsidR="00464A6F" w:rsidRPr="00464A6F" w14:paraId="157F5D9E" w14:textId="77777777" w:rsidTr="00406B52">
        <w:trPr>
          <w:trHeight w:val="2835"/>
        </w:trPr>
        <w:tc>
          <w:tcPr>
            <w:tcW w:w="610" w:type="dxa"/>
            <w:tcBorders>
              <w:top w:val="single" w:sz="4" w:space="0" w:color="000000"/>
              <w:bottom w:val="single" w:sz="4" w:space="0" w:color="000000"/>
            </w:tcBorders>
            <w:tcMar>
              <w:top w:w="0" w:type="dxa"/>
              <w:left w:w="28" w:type="dxa"/>
              <w:bottom w:w="0" w:type="dxa"/>
              <w:right w:w="28" w:type="dxa"/>
            </w:tcMar>
          </w:tcPr>
          <w:p w14:paraId="7E89CC33" w14:textId="77777777" w:rsidR="006714B7" w:rsidRPr="00481FED" w:rsidRDefault="006714B7" w:rsidP="00F470A8">
            <w:pPr>
              <w:overflowPunct w:val="0"/>
              <w:spacing w:line="320" w:lineRule="exact"/>
              <w:jc w:val="both"/>
              <w:textAlignment w:val="auto"/>
              <w:rPr>
                <w:rFonts w:ascii="標楷體" w:eastAsia="標楷體" w:hAnsi="標楷體"/>
                <w:b/>
                <w:bCs/>
                <w:szCs w:val="24"/>
              </w:rPr>
            </w:pPr>
            <w:r w:rsidRPr="00481FED">
              <w:rPr>
                <w:rFonts w:ascii="標楷體" w:eastAsia="標楷體" w:hAnsi="標楷體" w:hint="eastAsia"/>
                <w:b/>
                <w:bCs/>
                <w:szCs w:val="24"/>
              </w:rPr>
              <w:t xml:space="preserve">  1</w:t>
            </w:r>
          </w:p>
        </w:tc>
        <w:tc>
          <w:tcPr>
            <w:tcW w:w="2225" w:type="dxa"/>
            <w:tcBorders>
              <w:top w:val="single" w:sz="4" w:space="0" w:color="000000"/>
              <w:bottom w:val="single" w:sz="4" w:space="0" w:color="000000"/>
            </w:tcBorders>
            <w:tcMar>
              <w:top w:w="0" w:type="dxa"/>
              <w:left w:w="28" w:type="dxa"/>
              <w:bottom w:w="0" w:type="dxa"/>
              <w:right w:w="28" w:type="dxa"/>
            </w:tcMar>
          </w:tcPr>
          <w:p w14:paraId="076BCBE6" w14:textId="77777777" w:rsidR="006714B7" w:rsidRPr="00481FED" w:rsidRDefault="006714B7" w:rsidP="00F470A8">
            <w:pPr>
              <w:widowControl w:val="0"/>
              <w:overflowPunct w:val="0"/>
              <w:spacing w:line="340" w:lineRule="exact"/>
              <w:jc w:val="both"/>
              <w:textAlignment w:val="auto"/>
              <w:rPr>
                <w:rFonts w:ascii="標楷體" w:eastAsia="標楷體" w:hAnsi="標楷體"/>
                <w:bCs/>
                <w:kern w:val="2"/>
                <w:szCs w:val="24"/>
              </w:rPr>
            </w:pPr>
            <w:r w:rsidRPr="00481FED">
              <w:rPr>
                <w:rFonts w:ascii="標楷體" w:eastAsia="標楷體" w:hAnsi="標楷體"/>
                <w:bCs/>
                <w:kern w:val="2"/>
                <w:szCs w:val="24"/>
              </w:rPr>
              <w:t>行政院函請審議「102年度中央政府總預算案（含附屬單位預算及綜計表─營業及非營業部分）」</w:t>
            </w:r>
          </w:p>
        </w:tc>
        <w:tc>
          <w:tcPr>
            <w:tcW w:w="2268" w:type="dxa"/>
            <w:tcBorders>
              <w:top w:val="single" w:sz="4" w:space="0" w:color="000000"/>
              <w:bottom w:val="single" w:sz="4" w:space="0" w:color="000000"/>
            </w:tcBorders>
            <w:tcMar>
              <w:top w:w="0" w:type="dxa"/>
              <w:left w:w="28" w:type="dxa"/>
              <w:bottom w:w="0" w:type="dxa"/>
              <w:right w:w="28" w:type="dxa"/>
            </w:tcMar>
          </w:tcPr>
          <w:p w14:paraId="4D79E456" w14:textId="77777777" w:rsidR="006714B7" w:rsidRPr="00481FED" w:rsidRDefault="006714B7" w:rsidP="00F470A8">
            <w:pPr>
              <w:widowControl w:val="0"/>
              <w:overflowPunct w:val="0"/>
              <w:spacing w:line="340" w:lineRule="exact"/>
              <w:ind w:left="240" w:hangingChars="100" w:hanging="240"/>
              <w:jc w:val="both"/>
              <w:textAlignment w:val="auto"/>
              <w:rPr>
                <w:rFonts w:ascii="標楷體" w:eastAsia="標楷體" w:hAnsi="標楷體"/>
                <w:szCs w:val="24"/>
              </w:rPr>
            </w:pPr>
            <w:r w:rsidRPr="00481FED">
              <w:rPr>
                <w:rFonts w:ascii="標楷體" w:eastAsia="標楷體" w:hAnsi="標楷體" w:hint="eastAsia"/>
                <w:szCs w:val="24"/>
              </w:rPr>
              <w:t>1.第8屆第2會期第2</w:t>
            </w:r>
            <w:r w:rsidRPr="00481FED">
              <w:rPr>
                <w:rFonts w:ascii="標楷體" w:eastAsia="標楷體" w:hAnsi="標楷體" w:hint="eastAsia"/>
                <w:spacing w:val="-30"/>
                <w:szCs w:val="24"/>
              </w:rPr>
              <w:t>次院會（101.9.28）決</w:t>
            </w:r>
            <w:r w:rsidRPr="00481FED">
              <w:rPr>
                <w:rFonts w:ascii="標楷體" w:eastAsia="標楷體" w:hAnsi="標楷體" w:hint="eastAsia"/>
                <w:szCs w:val="24"/>
              </w:rPr>
              <w:t>定：「擬請院會將本案定期舉行本院會議」。</w:t>
            </w:r>
          </w:p>
          <w:p w14:paraId="58399068" w14:textId="77777777" w:rsidR="006714B7" w:rsidRPr="00481FED" w:rsidRDefault="006714B7" w:rsidP="00F470A8">
            <w:pPr>
              <w:widowControl w:val="0"/>
              <w:overflowPunct w:val="0"/>
              <w:spacing w:line="340" w:lineRule="exact"/>
              <w:ind w:left="240" w:hangingChars="100" w:hanging="240"/>
              <w:jc w:val="both"/>
              <w:textAlignment w:val="auto"/>
              <w:rPr>
                <w:rFonts w:ascii="標楷體" w:eastAsia="標楷體" w:hAnsi="標楷體"/>
                <w:szCs w:val="24"/>
              </w:rPr>
            </w:pPr>
            <w:r w:rsidRPr="00481FED">
              <w:rPr>
                <w:rFonts w:ascii="標楷體" w:eastAsia="標楷體" w:hAnsi="標楷體" w:hint="eastAsia"/>
                <w:szCs w:val="24"/>
              </w:rPr>
              <w:t>2.101.10.2朝野黨團協商，決定：於第4次院會101.10.15及16上午邀請行政院院長、主計長、財政部部長列席報告「中華民國102年度中央政府總預算案」編製經過並備質詢。</w:t>
            </w:r>
          </w:p>
          <w:p w14:paraId="3365C577" w14:textId="77777777" w:rsidR="006714B7" w:rsidRPr="00481FED" w:rsidRDefault="006714B7" w:rsidP="00F470A8">
            <w:pPr>
              <w:widowControl w:val="0"/>
              <w:overflowPunct w:val="0"/>
              <w:spacing w:line="380" w:lineRule="exact"/>
              <w:jc w:val="both"/>
              <w:textAlignment w:val="auto"/>
              <w:rPr>
                <w:rFonts w:ascii="標楷體" w:eastAsia="標楷體" w:hAnsi="標楷體"/>
                <w:szCs w:val="24"/>
              </w:rPr>
            </w:pPr>
          </w:p>
        </w:tc>
        <w:tc>
          <w:tcPr>
            <w:tcW w:w="2269" w:type="dxa"/>
            <w:vMerge w:val="restart"/>
            <w:tcBorders>
              <w:top w:val="single" w:sz="4" w:space="0" w:color="000000"/>
              <w:bottom w:val="single" w:sz="4" w:space="0" w:color="000000"/>
            </w:tcBorders>
            <w:tcMar>
              <w:top w:w="0" w:type="dxa"/>
              <w:left w:w="28" w:type="dxa"/>
              <w:bottom w:w="0" w:type="dxa"/>
              <w:right w:w="28" w:type="dxa"/>
            </w:tcMar>
          </w:tcPr>
          <w:p w14:paraId="62553E58" w14:textId="77777777" w:rsidR="006714B7" w:rsidRPr="00481FED" w:rsidRDefault="006714B7" w:rsidP="00F470A8">
            <w:pPr>
              <w:widowControl w:val="0"/>
              <w:overflowPunct w:val="0"/>
              <w:spacing w:line="340" w:lineRule="exact"/>
              <w:ind w:left="240" w:hangingChars="100" w:hanging="240"/>
              <w:jc w:val="both"/>
              <w:textAlignment w:val="auto"/>
              <w:rPr>
                <w:rFonts w:ascii="標楷體" w:eastAsia="標楷體" w:hAnsi="標楷體"/>
                <w:bCs/>
                <w:szCs w:val="24"/>
              </w:rPr>
            </w:pPr>
            <w:r w:rsidRPr="00481FED">
              <w:rPr>
                <w:rFonts w:ascii="標楷體" w:eastAsia="標楷體" w:hAnsi="標楷體"/>
                <w:bCs/>
                <w:szCs w:val="24"/>
              </w:rPr>
              <w:t>1.</w:t>
            </w:r>
            <w:r w:rsidRPr="00481FED">
              <w:rPr>
                <w:rFonts w:ascii="標楷體" w:eastAsia="標楷體" w:hAnsi="標楷體"/>
                <w:bCs/>
                <w:spacing w:val="-20"/>
                <w:szCs w:val="24"/>
              </w:rPr>
              <w:t>101年11月15、21、22、28日，12月12日</w:t>
            </w:r>
            <w:r w:rsidRPr="00481FED">
              <w:rPr>
                <w:rFonts w:ascii="標楷體" w:eastAsia="標楷體" w:hAnsi="標楷體" w:hint="eastAsia"/>
                <w:bCs/>
                <w:szCs w:val="24"/>
              </w:rPr>
              <w:t>及</w:t>
            </w:r>
            <w:r w:rsidRPr="00481FED">
              <w:rPr>
                <w:rFonts w:ascii="標楷體" w:eastAsia="標楷體" w:hAnsi="標楷體"/>
                <w:bCs/>
                <w:szCs w:val="24"/>
              </w:rPr>
              <w:t>102年3月21日(第8屆第3會期)舉行</w:t>
            </w:r>
            <w:r w:rsidRPr="00481FED">
              <w:rPr>
                <w:rFonts w:ascii="標楷體" w:eastAsia="標楷體" w:hAnsi="標楷體" w:hint="eastAsia"/>
                <w:bCs/>
                <w:szCs w:val="24"/>
              </w:rPr>
              <w:t>本會</w:t>
            </w:r>
            <w:r w:rsidRPr="00481FED">
              <w:rPr>
                <w:rFonts w:ascii="標楷體" w:eastAsia="標楷體" w:hAnsi="標楷體"/>
                <w:bCs/>
                <w:szCs w:val="24"/>
              </w:rPr>
              <w:t>全體委員會議</w:t>
            </w:r>
            <w:r w:rsidRPr="00481FED">
              <w:rPr>
                <w:rFonts w:ascii="標楷體" w:eastAsia="標楷體" w:hAnsi="標楷體" w:hint="eastAsia"/>
                <w:bCs/>
                <w:szCs w:val="24"/>
              </w:rPr>
              <w:t>，</w:t>
            </w:r>
            <w:r w:rsidRPr="00481FED">
              <w:rPr>
                <w:rFonts w:ascii="標楷體" w:eastAsia="標楷體" w:hAnsi="標楷體"/>
                <w:bCs/>
                <w:szCs w:val="24"/>
              </w:rPr>
              <w:t>審查中華民國102年度中央政府總預算案附屬單位預算及綜計表營業及非營業部分有關財政委員會主審部分</w:t>
            </w:r>
            <w:r w:rsidRPr="00481FED">
              <w:rPr>
                <w:rFonts w:ascii="標楷體" w:eastAsia="標楷體" w:hAnsi="標楷體" w:hint="eastAsia"/>
                <w:bCs/>
                <w:szCs w:val="24"/>
              </w:rPr>
              <w:t>，全案審查完竣。</w:t>
            </w:r>
          </w:p>
          <w:p w14:paraId="7B45A72F" w14:textId="77777777" w:rsidR="006714B7" w:rsidRPr="00481FED" w:rsidRDefault="006714B7" w:rsidP="00F470A8">
            <w:pPr>
              <w:widowControl w:val="0"/>
              <w:overflowPunct w:val="0"/>
              <w:spacing w:line="340" w:lineRule="exact"/>
              <w:ind w:left="240" w:hangingChars="100" w:hanging="240"/>
              <w:jc w:val="both"/>
              <w:textAlignment w:val="auto"/>
              <w:rPr>
                <w:rFonts w:ascii="標楷體" w:eastAsia="標楷體" w:hAnsi="標楷體"/>
                <w:szCs w:val="24"/>
              </w:rPr>
            </w:pPr>
            <w:r w:rsidRPr="00481FED">
              <w:rPr>
                <w:rFonts w:ascii="標楷體" w:eastAsia="標楷體" w:hAnsi="標楷體" w:hint="eastAsia"/>
                <w:bCs/>
                <w:szCs w:val="24"/>
              </w:rPr>
              <w:t>2.</w:t>
            </w:r>
            <w:r w:rsidRPr="00481FED">
              <w:rPr>
                <w:rFonts w:ascii="標楷體" w:eastAsia="標楷體" w:hAnsi="標楷體"/>
                <w:szCs w:val="24"/>
              </w:rPr>
              <w:t>第8屆第3會期</w:t>
            </w:r>
            <w:r w:rsidRPr="00481FED">
              <w:rPr>
                <w:rFonts w:ascii="標楷體" w:eastAsia="標楷體" w:hAnsi="標楷體" w:hint="eastAsia"/>
                <w:szCs w:val="24"/>
              </w:rPr>
              <w:t>本會</w:t>
            </w:r>
            <w:r w:rsidRPr="00481FED">
              <w:rPr>
                <w:rFonts w:ascii="標楷體" w:eastAsia="標楷體" w:hAnsi="標楷體"/>
                <w:szCs w:val="24"/>
              </w:rPr>
              <w:t>第4次全體委員會議</w:t>
            </w:r>
            <w:r w:rsidRPr="00481FED">
              <w:rPr>
                <w:rFonts w:ascii="標楷體" w:eastAsia="標楷體" w:hAnsi="標楷體" w:hint="eastAsia"/>
                <w:szCs w:val="24"/>
              </w:rPr>
              <w:t>(</w:t>
            </w:r>
            <w:r w:rsidRPr="00481FED">
              <w:rPr>
                <w:rFonts w:ascii="標楷體" w:eastAsia="標楷體" w:hAnsi="標楷體"/>
                <w:szCs w:val="24"/>
              </w:rPr>
              <w:t>102.3.28</w:t>
            </w:r>
            <w:r w:rsidRPr="00481FED">
              <w:rPr>
                <w:rFonts w:ascii="標楷體" w:eastAsia="標楷體" w:hAnsi="標楷體" w:hint="eastAsia"/>
                <w:szCs w:val="24"/>
              </w:rPr>
              <w:t>)彙總</w:t>
            </w:r>
            <w:r w:rsidRPr="00481FED">
              <w:rPr>
                <w:rFonts w:ascii="標楷體" w:eastAsia="標楷體" w:hAnsi="標楷體"/>
                <w:szCs w:val="24"/>
              </w:rPr>
              <w:t>整理</w:t>
            </w:r>
            <w:r w:rsidRPr="00481FED">
              <w:rPr>
                <w:rFonts w:ascii="標楷體" w:eastAsia="標楷體" w:hAnsi="標楷體" w:hint="eastAsia"/>
                <w:szCs w:val="24"/>
              </w:rPr>
              <w:t>提出</w:t>
            </w:r>
            <w:r w:rsidRPr="00481FED">
              <w:rPr>
                <w:rFonts w:ascii="標楷體" w:eastAsia="標楷體" w:hAnsi="標楷體"/>
                <w:szCs w:val="24"/>
              </w:rPr>
              <w:t>「中華民國102年度中央政府總預算案附屬單位預算營業及非營業部分案審查總報</w:t>
            </w:r>
            <w:r w:rsidRPr="00481FED">
              <w:rPr>
                <w:rFonts w:ascii="標楷體" w:eastAsia="標楷體" w:hAnsi="標楷體"/>
                <w:spacing w:val="30"/>
                <w:szCs w:val="24"/>
              </w:rPr>
              <w:t>告</w:t>
            </w:r>
            <w:r w:rsidRPr="00481FED">
              <w:rPr>
                <w:rFonts w:ascii="標楷體" w:eastAsia="標楷體" w:hAnsi="標楷體" w:hint="eastAsia"/>
                <w:spacing w:val="30"/>
                <w:szCs w:val="24"/>
              </w:rPr>
              <w:t>草案</w:t>
            </w:r>
            <w:r w:rsidRPr="00481FED">
              <w:rPr>
                <w:rFonts w:ascii="標楷體" w:eastAsia="標楷體" w:hAnsi="標楷體"/>
                <w:spacing w:val="30"/>
                <w:szCs w:val="24"/>
              </w:rPr>
              <w:t>」；</w:t>
            </w:r>
            <w:r w:rsidRPr="00481FED">
              <w:rPr>
                <w:rFonts w:ascii="標楷體" w:eastAsia="標楷體" w:hAnsi="標楷體"/>
                <w:spacing w:val="30"/>
                <w:kern w:val="0"/>
                <w:szCs w:val="24"/>
              </w:rPr>
              <w:t>並函</w:t>
            </w:r>
            <w:r w:rsidRPr="00481FED">
              <w:rPr>
                <w:rFonts w:ascii="標楷體" w:eastAsia="標楷體" w:hAnsi="標楷體"/>
                <w:spacing w:val="16"/>
                <w:kern w:val="0"/>
                <w:szCs w:val="24"/>
              </w:rPr>
              <w:t>議事處提</w:t>
            </w:r>
            <w:r w:rsidRPr="00481FED">
              <w:rPr>
                <w:rFonts w:ascii="標楷體" w:eastAsia="標楷體" w:hAnsi="標楷體"/>
                <w:spacing w:val="-20"/>
                <w:kern w:val="2"/>
                <w:szCs w:val="24"/>
              </w:rPr>
              <w:t>報院會</w:t>
            </w:r>
            <w:r w:rsidRPr="00481FED">
              <w:rPr>
                <w:rFonts w:ascii="標楷體" w:eastAsia="標楷體" w:hAnsi="標楷體" w:hint="eastAsia"/>
                <w:spacing w:val="-20"/>
                <w:kern w:val="2"/>
                <w:szCs w:val="24"/>
              </w:rPr>
              <w:t>(內政</w:t>
            </w:r>
            <w:r w:rsidRPr="00481FED">
              <w:rPr>
                <w:rFonts w:ascii="標楷體" w:eastAsia="標楷體" w:hAnsi="標楷體"/>
                <w:spacing w:val="-20"/>
                <w:kern w:val="2"/>
                <w:szCs w:val="24"/>
              </w:rPr>
              <w:t>、外交及國防、經濟、</w:t>
            </w:r>
            <w:r w:rsidRPr="00481FED">
              <w:rPr>
                <w:rFonts w:ascii="標楷體" w:eastAsia="標楷體" w:hAnsi="標楷體"/>
                <w:szCs w:val="24"/>
              </w:rPr>
              <w:t>教育及文、交通、社會福利及衛生環境委</w:t>
            </w:r>
            <w:r w:rsidRPr="00481FED">
              <w:rPr>
                <w:rFonts w:ascii="標楷體" w:eastAsia="標楷體" w:hAnsi="標楷體"/>
                <w:spacing w:val="-20"/>
                <w:kern w:val="2"/>
                <w:szCs w:val="24"/>
              </w:rPr>
              <w:t>員會迄102.3.22尚未</w:t>
            </w:r>
            <w:r w:rsidRPr="00481FED">
              <w:rPr>
                <w:rFonts w:ascii="標楷體" w:eastAsia="標楷體" w:hAnsi="標楷體"/>
                <w:szCs w:val="24"/>
              </w:rPr>
              <w:t>審查完竣，致未及列入審查總報告)</w:t>
            </w:r>
            <w:r w:rsidRPr="00481FED">
              <w:rPr>
                <w:rFonts w:ascii="標楷體" w:eastAsia="標楷體" w:hAnsi="標楷體" w:hint="eastAsia"/>
                <w:szCs w:val="24"/>
              </w:rPr>
              <w:t>。</w:t>
            </w:r>
          </w:p>
          <w:p w14:paraId="3A2BA186" w14:textId="77777777" w:rsidR="006714B7" w:rsidRPr="00481FED" w:rsidRDefault="006714B7" w:rsidP="00F470A8">
            <w:pPr>
              <w:widowControl w:val="0"/>
              <w:overflowPunct w:val="0"/>
              <w:spacing w:line="340" w:lineRule="exact"/>
              <w:ind w:left="240" w:hangingChars="100" w:hanging="240"/>
              <w:jc w:val="both"/>
              <w:rPr>
                <w:rFonts w:ascii="標楷體" w:eastAsia="標楷體" w:hAnsi="標楷體"/>
                <w:bCs/>
                <w:szCs w:val="24"/>
              </w:rPr>
            </w:pPr>
          </w:p>
        </w:tc>
        <w:tc>
          <w:tcPr>
            <w:tcW w:w="2437" w:type="dxa"/>
            <w:vMerge w:val="restart"/>
            <w:tcBorders>
              <w:top w:val="single" w:sz="4" w:space="0" w:color="000000"/>
              <w:bottom w:val="single" w:sz="4" w:space="0" w:color="000000"/>
            </w:tcBorders>
            <w:tcMar>
              <w:top w:w="0" w:type="dxa"/>
              <w:left w:w="28" w:type="dxa"/>
              <w:bottom w:w="0" w:type="dxa"/>
              <w:right w:w="28" w:type="dxa"/>
            </w:tcMar>
          </w:tcPr>
          <w:p w14:paraId="36E05770" w14:textId="77777777" w:rsidR="006714B7" w:rsidRPr="00481FED" w:rsidRDefault="006714B7" w:rsidP="00F470A8">
            <w:pPr>
              <w:widowControl w:val="0"/>
              <w:overflowPunct w:val="0"/>
              <w:spacing w:line="320" w:lineRule="exact"/>
              <w:ind w:left="240" w:hangingChars="100" w:hanging="240"/>
              <w:contextualSpacing/>
              <w:jc w:val="both"/>
              <w:textAlignment w:val="auto"/>
              <w:rPr>
                <w:rFonts w:ascii="標楷體" w:eastAsia="標楷體" w:hAnsi="標楷體"/>
                <w:szCs w:val="24"/>
              </w:rPr>
            </w:pPr>
            <w:r w:rsidRPr="00481FED">
              <w:rPr>
                <w:rFonts w:ascii="標楷體" w:eastAsia="標楷體" w:hAnsi="標楷體"/>
                <w:szCs w:val="24"/>
              </w:rPr>
              <w:t>1</w:t>
            </w:r>
            <w:r w:rsidRPr="00481FED">
              <w:rPr>
                <w:rFonts w:ascii="標楷體" w:eastAsia="標楷體" w:hAnsi="標楷體" w:hint="eastAsia"/>
                <w:szCs w:val="24"/>
              </w:rPr>
              <w:t>.101.10.16議事處函本會將「中華民國102年度中央政府總預算案（含附屬單位預算及綜計表─營業及非營業部分）」交財政委員會依分配表及日程分送各委員會審查」。</w:t>
            </w:r>
          </w:p>
          <w:p w14:paraId="578741A5" w14:textId="77777777" w:rsidR="006714B7" w:rsidRPr="00481FED" w:rsidRDefault="006714B7" w:rsidP="00F470A8">
            <w:pPr>
              <w:widowControl w:val="0"/>
              <w:overflowPunct w:val="0"/>
              <w:spacing w:line="320" w:lineRule="exact"/>
              <w:ind w:left="240" w:hangingChars="100" w:hanging="240"/>
              <w:contextualSpacing/>
              <w:jc w:val="both"/>
              <w:textAlignment w:val="auto"/>
              <w:rPr>
                <w:rFonts w:ascii="標楷體" w:eastAsia="標楷體" w:hAnsi="標楷體"/>
                <w:szCs w:val="24"/>
              </w:rPr>
            </w:pPr>
            <w:r w:rsidRPr="00481FED">
              <w:rPr>
                <w:rFonts w:ascii="標楷體" w:eastAsia="標楷體" w:hAnsi="標楷體"/>
                <w:szCs w:val="24"/>
              </w:rPr>
              <w:t>2.101.10.17本會函知各委員會，依審查分配表及日程進行審查中華民國102年度中央政府總預算案（含附屬單位預算及綜計表－營業及非營業部分）。</w:t>
            </w:r>
          </w:p>
          <w:p w14:paraId="7AEE4E99" w14:textId="77777777" w:rsidR="006714B7" w:rsidRPr="00481FED" w:rsidRDefault="006714B7" w:rsidP="00F470A8">
            <w:pPr>
              <w:widowControl w:val="0"/>
              <w:overflowPunct w:val="0"/>
              <w:spacing w:line="340" w:lineRule="exact"/>
              <w:ind w:left="240" w:hangingChars="100" w:hanging="240"/>
              <w:contextualSpacing/>
              <w:jc w:val="both"/>
              <w:textAlignment w:val="auto"/>
              <w:rPr>
                <w:rFonts w:ascii="標楷體" w:eastAsia="標楷體" w:hAnsi="標楷體"/>
                <w:szCs w:val="24"/>
              </w:rPr>
            </w:pPr>
            <w:r w:rsidRPr="00481FED">
              <w:rPr>
                <w:rFonts w:ascii="標楷體" w:eastAsia="標楷體" w:hAnsi="標楷體" w:hint="eastAsia"/>
                <w:szCs w:val="24"/>
              </w:rPr>
              <w:t>3.</w:t>
            </w:r>
            <w:r w:rsidRPr="00481FED">
              <w:rPr>
                <w:rFonts w:ascii="標楷體" w:eastAsia="標楷體" w:hAnsi="標楷體"/>
                <w:szCs w:val="24"/>
              </w:rPr>
              <w:t>第8屆第3會期第8</w:t>
            </w:r>
            <w:r w:rsidRPr="00481FED">
              <w:rPr>
                <w:rFonts w:ascii="標楷體" w:eastAsia="標楷體" w:hAnsi="標楷體"/>
                <w:spacing w:val="-24"/>
                <w:szCs w:val="24"/>
              </w:rPr>
              <w:t>次院會</w:t>
            </w:r>
            <w:r w:rsidRPr="00481FED">
              <w:rPr>
                <w:rFonts w:ascii="標楷體" w:eastAsia="標楷體" w:hAnsi="標楷體" w:hint="eastAsia"/>
                <w:spacing w:val="-24"/>
                <w:szCs w:val="24"/>
              </w:rPr>
              <w:t>(</w:t>
            </w:r>
            <w:r w:rsidRPr="00481FED">
              <w:rPr>
                <w:rFonts w:ascii="標楷體" w:eastAsia="標楷體" w:hAnsi="標楷體"/>
                <w:spacing w:val="-24"/>
                <w:szCs w:val="24"/>
              </w:rPr>
              <w:t>102.4.16</w:t>
            </w:r>
            <w:r w:rsidRPr="00481FED">
              <w:rPr>
                <w:rFonts w:ascii="標楷體" w:eastAsia="標楷體" w:hAnsi="標楷體" w:hint="eastAsia"/>
                <w:spacing w:val="-24"/>
                <w:szCs w:val="24"/>
              </w:rPr>
              <w:t>)，</w:t>
            </w:r>
            <w:r w:rsidRPr="00481FED">
              <w:rPr>
                <w:rFonts w:ascii="標楷體" w:eastAsia="標楷體" w:hAnsi="標楷體"/>
                <w:spacing w:val="-24"/>
                <w:szCs w:val="24"/>
              </w:rPr>
              <w:t>決</w:t>
            </w:r>
            <w:r w:rsidRPr="00481FED">
              <w:rPr>
                <w:rFonts w:ascii="標楷體" w:eastAsia="標楷體" w:hAnsi="標楷體"/>
                <w:szCs w:val="24"/>
              </w:rPr>
              <w:t>議：請王院長召集協商，協商後再行處理。</w:t>
            </w:r>
          </w:p>
          <w:p w14:paraId="234A46DC" w14:textId="77777777" w:rsidR="006714B7" w:rsidRPr="00481FED" w:rsidRDefault="006714B7" w:rsidP="00F470A8">
            <w:pPr>
              <w:widowControl w:val="0"/>
              <w:overflowPunct w:val="0"/>
              <w:spacing w:line="320" w:lineRule="exact"/>
              <w:ind w:left="255" w:hanging="238"/>
              <w:jc w:val="both"/>
              <w:textAlignment w:val="auto"/>
              <w:rPr>
                <w:rFonts w:ascii="標楷體" w:eastAsia="標楷體" w:hAnsi="標楷體"/>
                <w:spacing w:val="-20"/>
                <w:kern w:val="2"/>
                <w:szCs w:val="24"/>
              </w:rPr>
            </w:pPr>
            <w:r w:rsidRPr="00481FED">
              <w:rPr>
                <w:rFonts w:ascii="標楷體" w:eastAsia="標楷體" w:hAnsi="標楷體" w:hint="eastAsia"/>
                <w:szCs w:val="24"/>
              </w:rPr>
              <w:t>4.</w:t>
            </w:r>
            <w:r w:rsidRPr="00481FED">
              <w:rPr>
                <w:rFonts w:ascii="標楷體" w:eastAsia="標楷體" w:hAnsi="標楷體"/>
                <w:szCs w:val="24"/>
              </w:rPr>
              <w:t>102.5.16</w:t>
            </w:r>
            <w:r w:rsidRPr="00481FED">
              <w:rPr>
                <w:rFonts w:ascii="標楷體" w:eastAsia="標楷體" w:hAnsi="標楷體" w:hint="eastAsia"/>
                <w:szCs w:val="24"/>
              </w:rPr>
              <w:t>本會</w:t>
            </w:r>
            <w:r w:rsidRPr="00481FED">
              <w:rPr>
                <w:rFonts w:ascii="標楷體" w:eastAsia="標楷體" w:hAnsi="標楷體"/>
                <w:szCs w:val="24"/>
              </w:rPr>
              <w:t>將交</w:t>
            </w:r>
            <w:r w:rsidRPr="00481FED">
              <w:rPr>
                <w:rFonts w:ascii="標楷體" w:eastAsia="標楷體" w:hAnsi="標楷體"/>
                <w:spacing w:val="22"/>
                <w:kern w:val="2"/>
                <w:szCs w:val="24"/>
              </w:rPr>
              <w:t>通委員會營業及非</w:t>
            </w:r>
            <w:r w:rsidRPr="00481FED">
              <w:rPr>
                <w:rFonts w:ascii="標楷體" w:eastAsia="標楷體" w:hAnsi="標楷體"/>
                <w:spacing w:val="-6"/>
                <w:kern w:val="2"/>
                <w:szCs w:val="24"/>
              </w:rPr>
              <w:t>營業預算部分，內</w:t>
            </w:r>
            <w:r w:rsidRPr="00481FED">
              <w:rPr>
                <w:rFonts w:ascii="標楷體" w:eastAsia="標楷體" w:hAnsi="標楷體" w:hint="eastAsia"/>
                <w:spacing w:val="-6"/>
                <w:kern w:val="2"/>
                <w:szCs w:val="24"/>
              </w:rPr>
              <w:t>政</w:t>
            </w:r>
            <w:r w:rsidRPr="00481FED">
              <w:rPr>
                <w:rFonts w:ascii="標楷體" w:eastAsia="標楷體" w:hAnsi="標楷體"/>
                <w:szCs w:val="24"/>
              </w:rPr>
              <w:t>、外交及國防委員會之非營業預算部分審查報告函議</w:t>
            </w:r>
            <w:r w:rsidRPr="00481FED">
              <w:rPr>
                <w:rFonts w:ascii="標楷體" w:eastAsia="標楷體" w:hAnsi="標楷體"/>
                <w:spacing w:val="26"/>
                <w:szCs w:val="24"/>
              </w:rPr>
              <w:t>事處</w:t>
            </w:r>
            <w:r w:rsidRPr="00481FED">
              <w:rPr>
                <w:rFonts w:ascii="標楷體" w:eastAsia="標楷體" w:hAnsi="標楷體" w:hint="eastAsia"/>
                <w:spacing w:val="26"/>
                <w:szCs w:val="24"/>
              </w:rPr>
              <w:t>，</w:t>
            </w:r>
            <w:r w:rsidRPr="00481FED">
              <w:rPr>
                <w:rFonts w:ascii="標楷體" w:eastAsia="標楷體" w:hAnsi="標楷體"/>
                <w:spacing w:val="26"/>
                <w:szCs w:val="24"/>
              </w:rPr>
              <w:t>提報院會併</w:t>
            </w:r>
            <w:r w:rsidRPr="00481FED">
              <w:rPr>
                <w:rFonts w:ascii="標楷體" w:eastAsia="標楷體" w:hAnsi="標楷體"/>
                <w:spacing w:val="10"/>
                <w:kern w:val="2"/>
                <w:szCs w:val="24"/>
              </w:rPr>
              <w:t>「中華民國102年度</w:t>
            </w:r>
            <w:r w:rsidRPr="00481FED">
              <w:rPr>
                <w:rFonts w:ascii="標楷體" w:eastAsia="標楷體" w:hAnsi="標楷體"/>
                <w:szCs w:val="24"/>
              </w:rPr>
              <w:t>中央政府總預算案附屬單位預算營業及非營業部分審查總報告」討論</w:t>
            </w:r>
            <w:r w:rsidRPr="00481FED">
              <w:rPr>
                <w:rFonts w:ascii="標楷體" w:eastAsia="標楷體" w:hAnsi="標楷體" w:hint="eastAsia"/>
                <w:szCs w:val="24"/>
              </w:rPr>
              <w:t>。</w:t>
            </w:r>
          </w:p>
          <w:p w14:paraId="738D2263" w14:textId="77777777" w:rsidR="006714B7" w:rsidRPr="00481FED" w:rsidRDefault="006714B7" w:rsidP="00F470A8">
            <w:pPr>
              <w:widowControl w:val="0"/>
              <w:overflowPunct w:val="0"/>
              <w:spacing w:line="360" w:lineRule="exact"/>
              <w:ind w:left="240" w:hangingChars="100" w:hanging="240"/>
              <w:jc w:val="both"/>
              <w:textAlignment w:val="auto"/>
              <w:rPr>
                <w:rFonts w:ascii="標楷體" w:eastAsia="標楷體" w:hAnsi="標楷體"/>
                <w:szCs w:val="24"/>
              </w:rPr>
            </w:pPr>
            <w:r w:rsidRPr="00481FED">
              <w:rPr>
                <w:rFonts w:ascii="標楷體" w:eastAsia="標楷體" w:hAnsi="標楷體"/>
                <w:szCs w:val="24"/>
              </w:rPr>
              <w:t>5.</w:t>
            </w:r>
            <w:r w:rsidRPr="00481FED">
              <w:rPr>
                <w:rFonts w:ascii="標楷體" w:eastAsia="標楷體" w:hAnsi="標楷體"/>
                <w:spacing w:val="-4"/>
                <w:kern w:val="2"/>
                <w:szCs w:val="24"/>
              </w:rPr>
              <w:t>第8屆第3會期第14</w:t>
            </w:r>
            <w:r w:rsidRPr="00481FED">
              <w:rPr>
                <w:rFonts w:ascii="標楷體" w:eastAsia="標楷體" w:hAnsi="標楷體"/>
                <w:spacing w:val="-20"/>
                <w:kern w:val="2"/>
                <w:szCs w:val="24"/>
              </w:rPr>
              <w:t>次院會</w:t>
            </w:r>
            <w:r w:rsidRPr="00481FED">
              <w:rPr>
                <w:rFonts w:ascii="標楷體" w:eastAsia="標楷體" w:hAnsi="標楷體" w:hint="eastAsia"/>
                <w:spacing w:val="-20"/>
                <w:szCs w:val="24"/>
              </w:rPr>
              <w:t>(</w:t>
            </w:r>
            <w:r w:rsidRPr="00481FED">
              <w:rPr>
                <w:rFonts w:ascii="標楷體" w:eastAsia="標楷體" w:hAnsi="標楷體"/>
                <w:spacing w:val="-20"/>
                <w:szCs w:val="24"/>
              </w:rPr>
              <w:t>102.5.28</w:t>
            </w:r>
            <w:r w:rsidRPr="00481FED">
              <w:rPr>
                <w:rFonts w:ascii="標楷體" w:eastAsia="標楷體" w:hAnsi="標楷體" w:hint="eastAsia"/>
                <w:spacing w:val="-20"/>
                <w:szCs w:val="24"/>
              </w:rPr>
              <w:t>)，</w:t>
            </w:r>
            <w:r w:rsidRPr="00481FED">
              <w:rPr>
                <w:rFonts w:ascii="標楷體" w:eastAsia="標楷體" w:hAnsi="標楷體"/>
                <w:spacing w:val="-20"/>
                <w:szCs w:val="24"/>
              </w:rPr>
              <w:t>決</w:t>
            </w:r>
            <w:r w:rsidRPr="00481FED">
              <w:rPr>
                <w:rFonts w:ascii="標楷體" w:eastAsia="標楷體" w:hAnsi="標楷體"/>
                <w:szCs w:val="24"/>
              </w:rPr>
              <w:t>議：請王院長召集協商，協商後再行</w:t>
            </w:r>
            <w:r w:rsidRPr="00481FED">
              <w:rPr>
                <w:rFonts w:ascii="標楷體" w:eastAsia="標楷體" w:hAnsi="標楷體"/>
                <w:szCs w:val="24"/>
              </w:rPr>
              <w:lastRenderedPageBreak/>
              <w:t>處理。</w:t>
            </w:r>
          </w:p>
          <w:p w14:paraId="086D2036" w14:textId="77777777" w:rsidR="006714B7" w:rsidRPr="00481FED" w:rsidRDefault="006714B7" w:rsidP="00F470A8">
            <w:pPr>
              <w:widowControl w:val="0"/>
              <w:overflowPunct w:val="0"/>
              <w:spacing w:line="360" w:lineRule="exact"/>
              <w:ind w:left="240" w:hangingChars="100" w:hanging="240"/>
              <w:jc w:val="both"/>
              <w:textAlignment w:val="auto"/>
              <w:rPr>
                <w:rFonts w:ascii="標楷體" w:eastAsia="標楷體" w:hAnsi="標楷體"/>
                <w:szCs w:val="24"/>
              </w:rPr>
            </w:pPr>
            <w:r w:rsidRPr="00481FED">
              <w:rPr>
                <w:rFonts w:ascii="標楷體" w:eastAsia="標楷體" w:hAnsi="標楷體" w:hint="eastAsia"/>
                <w:szCs w:val="24"/>
              </w:rPr>
              <w:t>6.</w:t>
            </w:r>
            <w:r w:rsidRPr="00481FED">
              <w:rPr>
                <w:rFonts w:ascii="標楷體" w:eastAsia="標楷體" w:hAnsi="標楷體"/>
                <w:szCs w:val="24"/>
              </w:rPr>
              <w:t>102.5.30</w:t>
            </w:r>
            <w:r w:rsidRPr="00481FED">
              <w:rPr>
                <w:rFonts w:ascii="標楷體" w:eastAsia="標楷體" w:hAnsi="標楷體" w:hint="eastAsia"/>
                <w:szCs w:val="24"/>
              </w:rPr>
              <w:t>本會</w:t>
            </w:r>
            <w:r w:rsidRPr="00481FED">
              <w:rPr>
                <w:rFonts w:ascii="標楷體" w:eastAsia="標楷體" w:hAnsi="標楷體"/>
                <w:szCs w:val="24"/>
              </w:rPr>
              <w:t>將經濟、社會福利及衛</w:t>
            </w:r>
            <w:r w:rsidRPr="00481FED">
              <w:rPr>
                <w:rFonts w:ascii="標楷體" w:eastAsia="標楷體" w:hAnsi="標楷體"/>
                <w:spacing w:val="26"/>
                <w:szCs w:val="24"/>
              </w:rPr>
              <w:t>生環境委員會營業</w:t>
            </w:r>
            <w:r w:rsidRPr="00481FED">
              <w:rPr>
                <w:rFonts w:ascii="標楷體" w:eastAsia="標楷體" w:hAnsi="標楷體"/>
                <w:szCs w:val="24"/>
              </w:rPr>
              <w:t>分</w:t>
            </w:r>
            <w:r w:rsidRPr="00481FED">
              <w:rPr>
                <w:rFonts w:ascii="標楷體" w:eastAsia="標楷體" w:hAnsi="標楷體" w:hint="eastAsia"/>
                <w:szCs w:val="24"/>
              </w:rPr>
              <w:t>、</w:t>
            </w:r>
            <w:r w:rsidRPr="00481FED">
              <w:rPr>
                <w:rFonts w:ascii="標楷體" w:eastAsia="標楷體" w:hAnsi="標楷體"/>
                <w:szCs w:val="24"/>
              </w:rPr>
              <w:t>教育及文化委員會之非營業預算部分審查報告函議事處</w:t>
            </w:r>
            <w:r w:rsidRPr="00481FED">
              <w:rPr>
                <w:rFonts w:ascii="標楷體" w:eastAsia="標楷體" w:hAnsi="標楷體" w:hint="eastAsia"/>
                <w:szCs w:val="24"/>
              </w:rPr>
              <w:t>，</w:t>
            </w:r>
            <w:r w:rsidRPr="00481FED">
              <w:rPr>
                <w:rFonts w:ascii="標楷體" w:eastAsia="標楷體" w:hAnsi="標楷體"/>
                <w:szCs w:val="24"/>
              </w:rPr>
              <w:t>提報院會併「中華民國102年度中央政府總預算案附屬單位預算營業及非營業部分審查總報告」討論</w:t>
            </w:r>
            <w:r w:rsidRPr="00481FED">
              <w:rPr>
                <w:rFonts w:ascii="標楷體" w:eastAsia="標楷體" w:hAnsi="標楷體" w:hint="eastAsia"/>
                <w:szCs w:val="24"/>
              </w:rPr>
              <w:t>。</w:t>
            </w:r>
          </w:p>
          <w:p w14:paraId="5D796EFD" w14:textId="77777777" w:rsidR="006714B7" w:rsidRPr="00481FED" w:rsidRDefault="006714B7" w:rsidP="00F470A8">
            <w:pPr>
              <w:widowControl w:val="0"/>
              <w:overflowPunct w:val="0"/>
              <w:spacing w:line="360" w:lineRule="exact"/>
              <w:ind w:left="240" w:hangingChars="100" w:hanging="240"/>
              <w:jc w:val="both"/>
              <w:textAlignment w:val="auto"/>
              <w:rPr>
                <w:rFonts w:ascii="標楷體" w:eastAsia="標楷體" w:hAnsi="標楷體"/>
                <w:kern w:val="2"/>
                <w:szCs w:val="24"/>
              </w:rPr>
            </w:pPr>
            <w:r w:rsidRPr="00481FED">
              <w:rPr>
                <w:rFonts w:ascii="標楷體" w:eastAsia="標楷體" w:hAnsi="標楷體" w:hint="eastAsia"/>
                <w:szCs w:val="24"/>
              </w:rPr>
              <w:t>7.</w:t>
            </w:r>
            <w:r w:rsidRPr="00481FED">
              <w:rPr>
                <w:rFonts w:ascii="標楷體" w:eastAsia="標楷體" w:hAnsi="標楷體"/>
                <w:spacing w:val="-4"/>
                <w:kern w:val="2"/>
                <w:szCs w:val="24"/>
              </w:rPr>
              <w:t>第8屆第3會期第15</w:t>
            </w:r>
            <w:r w:rsidRPr="00481FED">
              <w:rPr>
                <w:rFonts w:ascii="標楷體" w:eastAsia="標楷體" w:hAnsi="標楷體"/>
                <w:spacing w:val="-20"/>
                <w:kern w:val="2"/>
                <w:szCs w:val="24"/>
              </w:rPr>
              <w:t>次院會</w:t>
            </w:r>
            <w:r w:rsidRPr="00481FED">
              <w:rPr>
                <w:rFonts w:ascii="標楷體" w:eastAsia="標楷體" w:hAnsi="標楷體" w:hint="eastAsia"/>
                <w:spacing w:val="-20"/>
                <w:kern w:val="2"/>
                <w:szCs w:val="24"/>
              </w:rPr>
              <w:t>(</w:t>
            </w:r>
            <w:r w:rsidRPr="00481FED">
              <w:rPr>
                <w:rFonts w:ascii="標楷體" w:eastAsia="標楷體" w:hAnsi="標楷體"/>
                <w:spacing w:val="-20"/>
                <w:kern w:val="2"/>
                <w:szCs w:val="24"/>
              </w:rPr>
              <w:t>102.5.31)</w:t>
            </w:r>
            <w:r w:rsidRPr="00481FED">
              <w:rPr>
                <w:rFonts w:ascii="標楷體" w:eastAsia="標楷體" w:hAnsi="標楷體" w:hint="eastAsia"/>
                <w:spacing w:val="-20"/>
                <w:kern w:val="2"/>
                <w:szCs w:val="24"/>
              </w:rPr>
              <w:t>，</w:t>
            </w:r>
            <w:r w:rsidRPr="00481FED">
              <w:rPr>
                <w:rFonts w:ascii="標楷體" w:eastAsia="標楷體" w:hAnsi="標楷體"/>
                <w:spacing w:val="-20"/>
                <w:kern w:val="2"/>
                <w:szCs w:val="24"/>
              </w:rPr>
              <w:t>決</w:t>
            </w:r>
            <w:r w:rsidRPr="00481FED">
              <w:rPr>
                <w:rFonts w:ascii="標楷體" w:eastAsia="標楷體" w:hAnsi="標楷體"/>
                <w:kern w:val="2"/>
                <w:szCs w:val="24"/>
              </w:rPr>
              <w:t>議：請王院長召集協商，協商後再行處理。</w:t>
            </w:r>
          </w:p>
          <w:p w14:paraId="16A3C2AB" w14:textId="77777777" w:rsidR="006714B7" w:rsidRPr="00481FED" w:rsidRDefault="006714B7" w:rsidP="00F470A8">
            <w:pPr>
              <w:widowControl w:val="0"/>
              <w:overflowPunct w:val="0"/>
              <w:spacing w:line="360" w:lineRule="exact"/>
              <w:ind w:left="240" w:hangingChars="100" w:hanging="240"/>
              <w:jc w:val="both"/>
              <w:textAlignment w:val="auto"/>
              <w:rPr>
                <w:rFonts w:ascii="標楷體" w:eastAsia="標楷體" w:hAnsi="標楷體"/>
                <w:kern w:val="2"/>
                <w:szCs w:val="24"/>
              </w:rPr>
            </w:pPr>
            <w:r w:rsidRPr="00481FED">
              <w:rPr>
                <w:rFonts w:ascii="標楷體" w:eastAsia="標楷體" w:hAnsi="標楷體"/>
                <w:kern w:val="2"/>
                <w:szCs w:val="24"/>
              </w:rPr>
              <w:t>8.</w:t>
            </w:r>
            <w:r w:rsidRPr="00481FED">
              <w:rPr>
                <w:rFonts w:ascii="標楷體" w:eastAsia="標楷體" w:hAnsi="標楷體"/>
                <w:spacing w:val="-4"/>
                <w:kern w:val="2"/>
                <w:szCs w:val="24"/>
              </w:rPr>
              <w:t>第8屆第5會期第10</w:t>
            </w:r>
            <w:r w:rsidRPr="00481FED">
              <w:rPr>
                <w:rFonts w:ascii="標楷體" w:eastAsia="標楷體" w:hAnsi="標楷體"/>
                <w:spacing w:val="-20"/>
                <w:kern w:val="2"/>
                <w:szCs w:val="24"/>
              </w:rPr>
              <w:t>次院會</w:t>
            </w:r>
            <w:r w:rsidRPr="00481FED">
              <w:rPr>
                <w:rFonts w:ascii="標楷體" w:eastAsia="標楷體" w:hAnsi="標楷體" w:hint="eastAsia"/>
                <w:spacing w:val="-20"/>
                <w:kern w:val="2"/>
                <w:szCs w:val="24"/>
              </w:rPr>
              <w:t>(</w:t>
            </w:r>
            <w:r w:rsidRPr="00481FED">
              <w:rPr>
                <w:rFonts w:ascii="標楷體" w:eastAsia="標楷體" w:hAnsi="標楷體"/>
                <w:spacing w:val="-20"/>
                <w:kern w:val="2"/>
                <w:szCs w:val="24"/>
              </w:rPr>
              <w:t>103.5.16</w:t>
            </w:r>
            <w:r w:rsidRPr="00481FED">
              <w:rPr>
                <w:rFonts w:ascii="標楷體" w:eastAsia="標楷體" w:hAnsi="標楷體" w:hint="eastAsia"/>
                <w:spacing w:val="-20"/>
                <w:kern w:val="2"/>
                <w:szCs w:val="24"/>
              </w:rPr>
              <w:t>)，</w:t>
            </w:r>
            <w:r w:rsidRPr="00481FED">
              <w:rPr>
                <w:rFonts w:ascii="標楷體" w:eastAsia="標楷體" w:hAnsi="標楷體"/>
                <w:spacing w:val="-20"/>
                <w:kern w:val="2"/>
                <w:szCs w:val="24"/>
              </w:rPr>
              <w:t>決</w:t>
            </w:r>
            <w:r w:rsidRPr="00481FED">
              <w:rPr>
                <w:rFonts w:ascii="標楷體" w:eastAsia="標楷體" w:hAnsi="標楷體"/>
                <w:kern w:val="2"/>
                <w:szCs w:val="24"/>
              </w:rPr>
              <w:t>議：協商後再行處理</w:t>
            </w:r>
            <w:r w:rsidRPr="00481FED">
              <w:rPr>
                <w:rFonts w:ascii="標楷體" w:eastAsia="標楷體" w:hAnsi="標楷體" w:hint="eastAsia"/>
                <w:kern w:val="2"/>
                <w:szCs w:val="24"/>
              </w:rPr>
              <w:t>。</w:t>
            </w:r>
          </w:p>
          <w:p w14:paraId="236FDD09" w14:textId="77777777" w:rsidR="006714B7" w:rsidRPr="00481FED" w:rsidRDefault="006714B7" w:rsidP="00F470A8">
            <w:pPr>
              <w:widowControl w:val="0"/>
              <w:overflowPunct w:val="0"/>
              <w:spacing w:line="360" w:lineRule="exact"/>
              <w:ind w:left="240" w:hangingChars="100" w:hanging="240"/>
              <w:contextualSpacing/>
              <w:jc w:val="both"/>
              <w:rPr>
                <w:rFonts w:ascii="標楷體" w:eastAsia="標楷體" w:hAnsi="標楷體"/>
                <w:spacing w:val="-20"/>
                <w:kern w:val="2"/>
                <w:szCs w:val="24"/>
              </w:rPr>
            </w:pPr>
            <w:r w:rsidRPr="00481FED">
              <w:rPr>
                <w:rFonts w:ascii="標楷體" w:eastAsia="標楷體" w:hAnsi="標楷體"/>
                <w:kern w:val="2"/>
                <w:szCs w:val="24"/>
              </w:rPr>
              <w:t>9.</w:t>
            </w:r>
            <w:r w:rsidRPr="00481FED">
              <w:rPr>
                <w:rFonts w:ascii="標楷體" w:eastAsia="標楷體" w:hAnsi="標楷體"/>
                <w:spacing w:val="-4"/>
                <w:kern w:val="2"/>
                <w:szCs w:val="24"/>
              </w:rPr>
              <w:t>第8屆第5會期第12</w:t>
            </w:r>
            <w:r w:rsidRPr="00481FED">
              <w:rPr>
                <w:rFonts w:ascii="標楷體" w:eastAsia="標楷體" w:hAnsi="標楷體"/>
                <w:spacing w:val="-20"/>
                <w:kern w:val="2"/>
                <w:szCs w:val="24"/>
              </w:rPr>
              <w:t>次院會</w:t>
            </w:r>
            <w:r w:rsidRPr="00481FED">
              <w:rPr>
                <w:rFonts w:ascii="標楷體" w:eastAsia="標楷體" w:hAnsi="標楷體" w:hint="eastAsia"/>
                <w:spacing w:val="-20"/>
                <w:kern w:val="2"/>
                <w:szCs w:val="24"/>
              </w:rPr>
              <w:t>(</w:t>
            </w:r>
            <w:r w:rsidRPr="00481FED">
              <w:rPr>
                <w:rFonts w:ascii="標楷體" w:eastAsia="標楷體" w:hAnsi="標楷體"/>
                <w:spacing w:val="-20"/>
                <w:kern w:val="2"/>
                <w:szCs w:val="24"/>
              </w:rPr>
              <w:t>103.5.30</w:t>
            </w:r>
            <w:r w:rsidRPr="00481FED">
              <w:rPr>
                <w:rFonts w:ascii="標楷體" w:eastAsia="標楷體" w:hAnsi="標楷體" w:hint="eastAsia"/>
                <w:spacing w:val="-20"/>
                <w:kern w:val="2"/>
                <w:szCs w:val="24"/>
              </w:rPr>
              <w:t>)，</w:t>
            </w:r>
            <w:r w:rsidRPr="00481FED">
              <w:rPr>
                <w:rFonts w:ascii="標楷體" w:eastAsia="標楷體" w:hAnsi="標楷體"/>
                <w:spacing w:val="-20"/>
                <w:kern w:val="2"/>
                <w:szCs w:val="24"/>
              </w:rPr>
              <w:t>決</w:t>
            </w:r>
            <w:r w:rsidRPr="00481FED">
              <w:rPr>
                <w:rFonts w:ascii="標楷體" w:eastAsia="標楷體" w:hAnsi="標楷體"/>
                <w:kern w:val="2"/>
                <w:szCs w:val="24"/>
              </w:rPr>
              <w:t>議：協商後再行處理。</w:t>
            </w:r>
          </w:p>
        </w:tc>
      </w:tr>
      <w:tr w:rsidR="00464A6F" w:rsidRPr="00464A6F" w14:paraId="28C61400" w14:textId="77777777" w:rsidTr="00406B52">
        <w:trPr>
          <w:trHeight w:val="6513"/>
        </w:trPr>
        <w:tc>
          <w:tcPr>
            <w:tcW w:w="610" w:type="dxa"/>
            <w:tcBorders>
              <w:top w:val="single" w:sz="4" w:space="0" w:color="000000"/>
              <w:bottom w:val="single" w:sz="12" w:space="0" w:color="000000"/>
            </w:tcBorders>
            <w:tcMar>
              <w:top w:w="0" w:type="dxa"/>
              <w:left w:w="28" w:type="dxa"/>
              <w:bottom w:w="0" w:type="dxa"/>
              <w:right w:w="28" w:type="dxa"/>
            </w:tcMar>
          </w:tcPr>
          <w:p w14:paraId="5237247B" w14:textId="77777777" w:rsidR="006714B7" w:rsidRPr="00481FED" w:rsidRDefault="006714B7" w:rsidP="00F470A8">
            <w:pPr>
              <w:overflowPunct w:val="0"/>
              <w:spacing w:line="320" w:lineRule="exact"/>
              <w:jc w:val="both"/>
              <w:textAlignment w:val="auto"/>
              <w:rPr>
                <w:rFonts w:ascii="標楷體" w:eastAsia="標楷體" w:hAnsi="標楷體"/>
                <w:b/>
                <w:bCs/>
                <w:szCs w:val="24"/>
              </w:rPr>
            </w:pPr>
            <w:r w:rsidRPr="00481FED">
              <w:rPr>
                <w:rFonts w:ascii="標楷體" w:eastAsia="標楷體" w:hAnsi="標楷體" w:hint="eastAsia"/>
                <w:b/>
                <w:bCs/>
                <w:szCs w:val="24"/>
              </w:rPr>
              <w:t xml:space="preserve">  2</w:t>
            </w:r>
          </w:p>
        </w:tc>
        <w:tc>
          <w:tcPr>
            <w:tcW w:w="2225" w:type="dxa"/>
            <w:tcBorders>
              <w:top w:val="single" w:sz="4" w:space="0" w:color="000000"/>
              <w:bottom w:val="single" w:sz="12" w:space="0" w:color="000000"/>
            </w:tcBorders>
            <w:tcMar>
              <w:top w:w="0" w:type="dxa"/>
              <w:left w:w="28" w:type="dxa"/>
              <w:bottom w:w="0" w:type="dxa"/>
              <w:right w:w="28" w:type="dxa"/>
            </w:tcMar>
          </w:tcPr>
          <w:p w14:paraId="287F515C" w14:textId="77777777" w:rsidR="006714B7" w:rsidRPr="00481FED" w:rsidRDefault="006714B7" w:rsidP="00F470A8">
            <w:pPr>
              <w:overflowPunct w:val="0"/>
              <w:spacing w:line="340" w:lineRule="exact"/>
              <w:jc w:val="both"/>
              <w:textAlignment w:val="auto"/>
              <w:rPr>
                <w:rFonts w:ascii="標楷體" w:eastAsia="標楷體" w:hAnsi="標楷體"/>
                <w:szCs w:val="24"/>
              </w:rPr>
            </w:pPr>
            <w:r w:rsidRPr="00481FED">
              <w:rPr>
                <w:rFonts w:ascii="標楷體" w:eastAsia="標楷體" w:hAnsi="標楷體"/>
                <w:szCs w:val="24"/>
              </w:rPr>
              <w:t>本會函送「中華民國102年度中央政府總預算案（含附屬單位預算及綜計表－營業及非營業部分）審查日程</w:t>
            </w:r>
            <w:r w:rsidRPr="00481FED">
              <w:rPr>
                <w:rFonts w:ascii="標楷體" w:eastAsia="標楷體" w:hAnsi="標楷體" w:hint="eastAsia"/>
                <w:szCs w:val="24"/>
              </w:rPr>
              <w:t>暨</w:t>
            </w:r>
            <w:r w:rsidRPr="00481FED">
              <w:rPr>
                <w:rFonts w:ascii="標楷體" w:eastAsia="標楷體" w:hAnsi="標楷體"/>
                <w:szCs w:val="24"/>
              </w:rPr>
              <w:t>審查分配表</w:t>
            </w:r>
            <w:r w:rsidRPr="00481FED">
              <w:rPr>
                <w:rFonts w:ascii="標楷體" w:eastAsia="標楷體" w:hAnsi="標楷體" w:hint="eastAsia"/>
                <w:szCs w:val="24"/>
              </w:rPr>
              <w:t>。</w:t>
            </w:r>
          </w:p>
          <w:p w14:paraId="3761059F" w14:textId="77777777" w:rsidR="006714B7" w:rsidRPr="00481FED" w:rsidRDefault="006714B7" w:rsidP="00F470A8">
            <w:pPr>
              <w:overflowPunct w:val="0"/>
              <w:spacing w:line="400" w:lineRule="exact"/>
              <w:jc w:val="both"/>
              <w:textAlignment w:val="auto"/>
              <w:rPr>
                <w:rFonts w:ascii="標楷體" w:eastAsia="標楷體" w:hAnsi="標楷體"/>
                <w:szCs w:val="24"/>
              </w:rPr>
            </w:pPr>
          </w:p>
        </w:tc>
        <w:tc>
          <w:tcPr>
            <w:tcW w:w="2268" w:type="dxa"/>
            <w:tcBorders>
              <w:top w:val="single" w:sz="4" w:space="0" w:color="000000"/>
              <w:bottom w:val="single" w:sz="12" w:space="0" w:color="000000"/>
            </w:tcBorders>
            <w:tcMar>
              <w:top w:w="0" w:type="dxa"/>
              <w:left w:w="28" w:type="dxa"/>
              <w:bottom w:w="0" w:type="dxa"/>
              <w:right w:w="28" w:type="dxa"/>
            </w:tcMar>
          </w:tcPr>
          <w:p w14:paraId="20217E61" w14:textId="77777777" w:rsidR="006714B7" w:rsidRPr="00481FED" w:rsidRDefault="006714B7" w:rsidP="00F470A8">
            <w:pPr>
              <w:overflowPunct w:val="0"/>
              <w:spacing w:line="360" w:lineRule="exact"/>
              <w:ind w:left="-57"/>
              <w:jc w:val="both"/>
              <w:textAlignment w:val="auto"/>
              <w:rPr>
                <w:rFonts w:ascii="標楷體" w:eastAsia="標楷體" w:hAnsi="標楷體"/>
                <w:szCs w:val="24"/>
              </w:rPr>
            </w:pPr>
            <w:r w:rsidRPr="00481FED">
              <w:rPr>
                <w:rFonts w:ascii="標楷體" w:eastAsia="標楷體" w:hAnsi="標楷體"/>
                <w:szCs w:val="24"/>
              </w:rPr>
              <w:t>第8屆第2會期第4次院會（101.10.12）決定：「交財政委員會併102年度中央政府總預算案處理」</w:t>
            </w:r>
          </w:p>
        </w:tc>
        <w:tc>
          <w:tcPr>
            <w:tcW w:w="2269" w:type="dxa"/>
            <w:vMerge/>
            <w:tcBorders>
              <w:top w:val="single" w:sz="4" w:space="0" w:color="000000"/>
              <w:bottom w:val="single" w:sz="12" w:space="0" w:color="000000"/>
            </w:tcBorders>
            <w:tcMar>
              <w:top w:w="0" w:type="dxa"/>
              <w:left w:w="28" w:type="dxa"/>
              <w:bottom w:w="0" w:type="dxa"/>
              <w:right w:w="28" w:type="dxa"/>
            </w:tcMar>
          </w:tcPr>
          <w:p w14:paraId="3FFA0C01" w14:textId="77777777" w:rsidR="006714B7" w:rsidRPr="00464A6F" w:rsidRDefault="006714B7" w:rsidP="00F470A8">
            <w:pPr>
              <w:widowControl w:val="0"/>
              <w:overflowPunct w:val="0"/>
              <w:spacing w:line="340" w:lineRule="exact"/>
              <w:ind w:left="224" w:hangingChars="100" w:hanging="224"/>
              <w:jc w:val="both"/>
              <w:textAlignment w:val="auto"/>
              <w:rPr>
                <w:rFonts w:ascii="標楷體" w:eastAsia="標楷體" w:hAnsi="標楷體"/>
                <w:bCs/>
                <w:color w:val="FF0000"/>
                <w:spacing w:val="-16"/>
                <w:szCs w:val="24"/>
              </w:rPr>
            </w:pPr>
          </w:p>
        </w:tc>
        <w:tc>
          <w:tcPr>
            <w:tcW w:w="2437" w:type="dxa"/>
            <w:vMerge/>
            <w:tcBorders>
              <w:top w:val="single" w:sz="4" w:space="0" w:color="000000"/>
              <w:bottom w:val="single" w:sz="12" w:space="0" w:color="000000"/>
            </w:tcBorders>
            <w:tcMar>
              <w:top w:w="0" w:type="dxa"/>
              <w:left w:w="28" w:type="dxa"/>
              <w:bottom w:w="0" w:type="dxa"/>
              <w:right w:w="28" w:type="dxa"/>
            </w:tcMar>
          </w:tcPr>
          <w:p w14:paraId="76AB681D" w14:textId="77777777" w:rsidR="006714B7" w:rsidRPr="00464A6F" w:rsidRDefault="006714B7" w:rsidP="00F470A8">
            <w:pPr>
              <w:widowControl w:val="0"/>
              <w:overflowPunct w:val="0"/>
              <w:spacing w:line="360" w:lineRule="exact"/>
              <w:ind w:left="220" w:hangingChars="100" w:hanging="220"/>
              <w:contextualSpacing/>
              <w:jc w:val="both"/>
              <w:textAlignment w:val="auto"/>
              <w:rPr>
                <w:rFonts w:ascii="標楷體" w:eastAsia="標楷體" w:hAnsi="標楷體"/>
                <w:color w:val="FF0000"/>
                <w:spacing w:val="-20"/>
                <w:kern w:val="2"/>
                <w:szCs w:val="24"/>
              </w:rPr>
            </w:pPr>
          </w:p>
        </w:tc>
      </w:tr>
      <w:tr w:rsidR="00406B52" w:rsidRPr="00464A6F" w14:paraId="6D7DDE2E" w14:textId="77777777" w:rsidTr="00406B52">
        <w:trPr>
          <w:trHeight w:val="5214"/>
        </w:trPr>
        <w:tc>
          <w:tcPr>
            <w:tcW w:w="610" w:type="dxa"/>
            <w:tcBorders>
              <w:top w:val="single" w:sz="12" w:space="0" w:color="000000"/>
              <w:bottom w:val="single" w:sz="12" w:space="0" w:color="000000"/>
            </w:tcBorders>
            <w:tcMar>
              <w:top w:w="0" w:type="dxa"/>
              <w:left w:w="28" w:type="dxa"/>
              <w:bottom w:w="0" w:type="dxa"/>
              <w:right w:w="28" w:type="dxa"/>
            </w:tcMar>
          </w:tcPr>
          <w:p w14:paraId="511AADF1" w14:textId="7DF42CD2" w:rsidR="00406B52" w:rsidRPr="00481FED" w:rsidRDefault="00406B52" w:rsidP="00406B52">
            <w:pPr>
              <w:overflowPunct w:val="0"/>
              <w:spacing w:line="320" w:lineRule="exact"/>
              <w:jc w:val="both"/>
              <w:textAlignment w:val="auto"/>
              <w:rPr>
                <w:rFonts w:ascii="標楷體" w:eastAsia="標楷體" w:hAnsi="標楷體"/>
                <w:b/>
                <w:bCs/>
                <w:szCs w:val="24"/>
              </w:rPr>
            </w:pPr>
            <w:r>
              <w:rPr>
                <w:rFonts w:ascii="標楷體" w:eastAsia="標楷體" w:hAnsi="標楷體" w:hint="eastAsia"/>
                <w:b/>
                <w:bCs/>
                <w:szCs w:val="24"/>
              </w:rPr>
              <w:lastRenderedPageBreak/>
              <w:t xml:space="preserve">  3</w:t>
            </w:r>
          </w:p>
        </w:tc>
        <w:tc>
          <w:tcPr>
            <w:tcW w:w="2225"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078FE513" w14:textId="5A1445E1" w:rsidR="00406B52" w:rsidRPr="00481FED" w:rsidRDefault="00406B52" w:rsidP="00406B52">
            <w:pPr>
              <w:overflowPunct w:val="0"/>
              <w:spacing w:line="340" w:lineRule="exact"/>
              <w:jc w:val="both"/>
              <w:textAlignment w:val="auto"/>
              <w:rPr>
                <w:rFonts w:ascii="標楷體" w:eastAsia="標楷體" w:hAnsi="標楷體"/>
                <w:szCs w:val="24"/>
              </w:rPr>
            </w:pPr>
            <w:r w:rsidRPr="00D96EB3">
              <w:rPr>
                <w:rFonts w:ascii="標楷體" w:eastAsia="標楷體" w:hAnsi="標楷體" w:cs="DFKaiShuW5-B5" w:hint="eastAsia"/>
                <w:kern w:val="0"/>
                <w:szCs w:val="24"/>
              </w:rPr>
              <w:t>113年度中央政府總預算追加預算案</w:t>
            </w:r>
            <w:r>
              <w:rPr>
                <w:rFonts w:ascii="標楷體" w:eastAsia="標楷體" w:hAnsi="標楷體" w:cs="DFKaiShuW5-B5" w:hint="eastAsia"/>
                <w:kern w:val="0"/>
                <w:szCs w:val="24"/>
              </w:rPr>
              <w:t>。</w:t>
            </w:r>
          </w:p>
        </w:tc>
        <w:tc>
          <w:tcPr>
            <w:tcW w:w="2268"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56C99E15" w14:textId="77777777" w:rsidR="00406B52" w:rsidRPr="00D96EB3"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96EB3">
              <w:rPr>
                <w:rFonts w:ascii="標楷體" w:eastAsia="標楷體" w:hAnsi="標楷體" w:hint="eastAsia"/>
                <w:kern w:val="2"/>
                <w:szCs w:val="24"/>
              </w:rPr>
              <w:t>1.依113年1</w:t>
            </w:r>
            <w:r>
              <w:rPr>
                <w:rFonts w:ascii="標楷體" w:eastAsia="標楷體" w:hAnsi="標楷體" w:hint="eastAsia"/>
                <w:kern w:val="2"/>
                <w:szCs w:val="24"/>
              </w:rPr>
              <w:t>1</w:t>
            </w:r>
            <w:r w:rsidRPr="00D96EB3">
              <w:rPr>
                <w:rFonts w:ascii="標楷體" w:eastAsia="標楷體" w:hAnsi="標楷體" w:hint="eastAsia"/>
                <w:kern w:val="2"/>
                <w:szCs w:val="24"/>
              </w:rPr>
              <w:t>月</w:t>
            </w:r>
            <w:r>
              <w:rPr>
                <w:rFonts w:ascii="標楷體" w:eastAsia="標楷體" w:hAnsi="標楷體" w:hint="eastAsia"/>
                <w:kern w:val="2"/>
                <w:szCs w:val="24"/>
              </w:rPr>
              <w:t>12</w:t>
            </w:r>
            <w:r w:rsidRPr="00D96EB3">
              <w:rPr>
                <w:rFonts w:ascii="標楷體" w:eastAsia="標楷體" w:hAnsi="標楷體" w:hint="eastAsia"/>
                <w:kern w:val="2"/>
                <w:szCs w:val="24"/>
              </w:rPr>
              <w:t>日黨團協商結論，定於11月1</w:t>
            </w:r>
            <w:r>
              <w:rPr>
                <w:rFonts w:ascii="標楷體" w:eastAsia="標楷體" w:hAnsi="標楷體" w:hint="eastAsia"/>
                <w:kern w:val="2"/>
                <w:szCs w:val="24"/>
              </w:rPr>
              <w:t>9日邀請行政院院長、主計長、財政部部長</w:t>
            </w:r>
            <w:r w:rsidRPr="00D96EB3">
              <w:rPr>
                <w:rFonts w:ascii="標楷體" w:eastAsia="標楷體" w:hAnsi="標楷體" w:hint="eastAsia"/>
                <w:kern w:val="2"/>
                <w:szCs w:val="24"/>
              </w:rPr>
              <w:t>及相關部會首長列席報告「11</w:t>
            </w:r>
            <w:r>
              <w:rPr>
                <w:rFonts w:ascii="標楷體" w:eastAsia="標楷體" w:hAnsi="標楷體" w:hint="eastAsia"/>
                <w:kern w:val="2"/>
                <w:szCs w:val="24"/>
              </w:rPr>
              <w:t>3</w:t>
            </w:r>
            <w:r w:rsidRPr="00D96EB3">
              <w:rPr>
                <w:rFonts w:ascii="標楷體" w:eastAsia="標楷體" w:hAnsi="標楷體" w:hint="eastAsia"/>
                <w:kern w:val="2"/>
                <w:szCs w:val="24"/>
              </w:rPr>
              <w:t>年度中央政府總預算</w:t>
            </w:r>
            <w:r>
              <w:rPr>
                <w:rFonts w:ascii="標楷體" w:eastAsia="標楷體" w:hAnsi="標楷體" w:hint="eastAsia"/>
                <w:kern w:val="2"/>
                <w:szCs w:val="24"/>
              </w:rPr>
              <w:t>追加預算</w:t>
            </w:r>
            <w:r w:rsidRPr="00D96EB3">
              <w:rPr>
                <w:rFonts w:ascii="標楷體" w:eastAsia="標楷體" w:hAnsi="標楷體" w:hint="eastAsia"/>
                <w:kern w:val="2"/>
                <w:szCs w:val="24"/>
              </w:rPr>
              <w:t>案」編製經過並備質詢。</w:t>
            </w:r>
          </w:p>
          <w:p w14:paraId="3653BA4F" w14:textId="0FC26133" w:rsidR="00406B52" w:rsidRPr="00406B52"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96EB3">
              <w:rPr>
                <w:rFonts w:ascii="標楷體" w:eastAsia="標楷體" w:hAnsi="標楷體" w:hint="eastAsia"/>
                <w:kern w:val="2"/>
                <w:szCs w:val="24"/>
              </w:rPr>
              <w:t>2.第11屆第2會期第</w:t>
            </w:r>
            <w:r>
              <w:rPr>
                <w:rFonts w:ascii="標楷體" w:eastAsia="標楷體" w:hAnsi="標楷體" w:hint="eastAsia"/>
                <w:kern w:val="2"/>
                <w:szCs w:val="24"/>
              </w:rPr>
              <w:t>9</w:t>
            </w:r>
            <w:r w:rsidRPr="00D96EB3">
              <w:rPr>
                <w:rFonts w:ascii="標楷體" w:eastAsia="標楷體" w:hAnsi="標楷體" w:hint="eastAsia"/>
                <w:kern w:val="2"/>
                <w:szCs w:val="24"/>
              </w:rPr>
              <w:t>次院會</w:t>
            </w:r>
            <w:r w:rsidRPr="00406B52">
              <w:rPr>
                <w:rFonts w:ascii="標楷體" w:eastAsia="標楷體" w:hAnsi="標楷體" w:hint="eastAsia"/>
                <w:spacing w:val="-20"/>
                <w:kern w:val="2"/>
                <w:szCs w:val="24"/>
              </w:rPr>
              <w:t>(113.11.19)</w:t>
            </w:r>
            <w:r w:rsidRPr="00D96EB3">
              <w:rPr>
                <w:rFonts w:ascii="標楷體" w:eastAsia="標楷體" w:hAnsi="標楷體" w:hint="eastAsia"/>
                <w:kern w:val="2"/>
                <w:szCs w:val="24"/>
              </w:rPr>
              <w:t>決定：「交財政委員會會同有關委員會審查」</w:t>
            </w:r>
          </w:p>
        </w:tc>
        <w:tc>
          <w:tcPr>
            <w:tcW w:w="2269"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451F2936" w14:textId="2F17A5A3" w:rsidR="00406B52" w:rsidRPr="00464A6F" w:rsidRDefault="00406B52" w:rsidP="00406B52">
            <w:pPr>
              <w:widowControl w:val="0"/>
              <w:overflowPunct w:val="0"/>
              <w:spacing w:line="340" w:lineRule="exact"/>
              <w:jc w:val="both"/>
              <w:textAlignment w:val="auto"/>
              <w:rPr>
                <w:rFonts w:ascii="標楷體" w:eastAsia="標楷體" w:hAnsi="標楷體"/>
                <w:bCs/>
                <w:color w:val="FF0000"/>
                <w:spacing w:val="-16"/>
                <w:szCs w:val="24"/>
              </w:rPr>
            </w:pPr>
            <w:r w:rsidRPr="00516B27">
              <w:rPr>
                <w:rFonts w:ascii="標楷體" w:eastAsia="標楷體" w:hAnsi="標楷體" w:hint="eastAsia"/>
                <w:szCs w:val="24"/>
              </w:rPr>
              <w:t>第11屆第2會期財政</w:t>
            </w:r>
            <w:r>
              <w:rPr>
                <w:rFonts w:ascii="標楷體" w:eastAsia="標楷體" w:hAnsi="標楷體" w:hint="eastAsia"/>
                <w:szCs w:val="24"/>
              </w:rPr>
              <w:t>、經濟</w:t>
            </w:r>
            <w:r w:rsidRPr="00516B27">
              <w:rPr>
                <w:rFonts w:ascii="標楷體" w:eastAsia="標楷體" w:hAnsi="標楷體" w:hint="eastAsia"/>
                <w:szCs w:val="24"/>
              </w:rPr>
              <w:t>委員會</w:t>
            </w:r>
            <w:r w:rsidRPr="00CD133E">
              <w:rPr>
                <w:rFonts w:ascii="標楷體" w:eastAsia="標楷體" w:hAnsi="標楷體" w:hint="eastAsia"/>
                <w:spacing w:val="-20"/>
                <w:szCs w:val="24"/>
              </w:rPr>
              <w:t>第1次聯席會議(113.11.27)</w:t>
            </w:r>
          </w:p>
        </w:tc>
        <w:tc>
          <w:tcPr>
            <w:tcW w:w="2437"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393A3C53" w14:textId="77777777" w:rsidR="00406B52" w:rsidRPr="006D3F43"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bCs/>
                <w:szCs w:val="24"/>
              </w:rPr>
            </w:pPr>
            <w:r w:rsidRPr="006D3F43">
              <w:rPr>
                <w:rFonts w:ascii="標楷體" w:eastAsia="標楷體" w:hAnsi="標楷體" w:hint="eastAsia"/>
                <w:bCs/>
                <w:szCs w:val="24"/>
              </w:rPr>
              <w:t>1.審查完竣，須交由黨團協商。</w:t>
            </w:r>
          </w:p>
          <w:p w14:paraId="577CE584" w14:textId="019E9243" w:rsidR="00406B52" w:rsidRPr="00406B52"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F00446">
              <w:rPr>
                <w:rFonts w:ascii="標楷體" w:eastAsia="標楷體" w:hAnsi="標楷體" w:hint="eastAsia"/>
                <w:kern w:val="2"/>
                <w:szCs w:val="24"/>
              </w:rPr>
              <w:t>2.1</w:t>
            </w:r>
            <w:r w:rsidRPr="00F00446">
              <w:rPr>
                <w:rFonts w:ascii="標楷體" w:eastAsia="標楷體" w:hAnsi="標楷體"/>
                <w:kern w:val="2"/>
                <w:szCs w:val="24"/>
              </w:rPr>
              <w:t>1</w:t>
            </w:r>
            <w:r w:rsidRPr="00F00446">
              <w:rPr>
                <w:rFonts w:ascii="標楷體" w:eastAsia="標楷體" w:hAnsi="標楷體" w:hint="eastAsia"/>
                <w:kern w:val="2"/>
                <w:szCs w:val="24"/>
              </w:rPr>
              <w:t>3.12.2本會</w:t>
            </w:r>
            <w:r w:rsidRPr="00F00446">
              <w:rPr>
                <w:rFonts w:ascii="標楷體" w:eastAsia="標楷體" w:hAnsi="標楷體" w:hint="eastAsia"/>
                <w:bCs/>
                <w:szCs w:val="24"/>
              </w:rPr>
              <w:t>將審查報告</w:t>
            </w:r>
            <w:r w:rsidRPr="00F00446">
              <w:rPr>
                <w:rFonts w:ascii="標楷體" w:eastAsia="標楷體" w:hAnsi="標楷體" w:hint="eastAsia"/>
                <w:kern w:val="2"/>
                <w:szCs w:val="24"/>
              </w:rPr>
              <w:t>函送議事處提報院會。</w:t>
            </w:r>
          </w:p>
        </w:tc>
      </w:tr>
      <w:tr w:rsidR="00406B52" w:rsidRPr="00464A6F" w14:paraId="33953650" w14:textId="77777777" w:rsidTr="00406B52">
        <w:trPr>
          <w:trHeight w:val="6513"/>
        </w:trPr>
        <w:tc>
          <w:tcPr>
            <w:tcW w:w="610" w:type="dxa"/>
            <w:tcBorders>
              <w:top w:val="single" w:sz="12" w:space="0" w:color="000000"/>
              <w:bottom w:val="single" w:sz="12" w:space="0" w:color="000000"/>
            </w:tcBorders>
            <w:tcMar>
              <w:top w:w="0" w:type="dxa"/>
              <w:left w:w="28" w:type="dxa"/>
              <w:bottom w:w="0" w:type="dxa"/>
              <w:right w:w="28" w:type="dxa"/>
            </w:tcMar>
          </w:tcPr>
          <w:p w14:paraId="62365DE8" w14:textId="5C7BD2DC" w:rsidR="00406B52" w:rsidRPr="00481FED" w:rsidRDefault="00406B52" w:rsidP="00406B52">
            <w:pPr>
              <w:overflowPunct w:val="0"/>
              <w:spacing w:line="320" w:lineRule="exact"/>
              <w:jc w:val="both"/>
              <w:textAlignment w:val="auto"/>
              <w:rPr>
                <w:rFonts w:ascii="標楷體" w:eastAsia="標楷體" w:hAnsi="標楷體"/>
                <w:b/>
                <w:bCs/>
                <w:szCs w:val="24"/>
              </w:rPr>
            </w:pPr>
            <w:r>
              <w:rPr>
                <w:rFonts w:ascii="標楷體" w:eastAsia="標楷體" w:hAnsi="標楷體" w:hint="eastAsia"/>
                <w:b/>
                <w:bCs/>
                <w:szCs w:val="24"/>
              </w:rPr>
              <w:t xml:space="preserve">  4</w:t>
            </w:r>
          </w:p>
        </w:tc>
        <w:tc>
          <w:tcPr>
            <w:tcW w:w="2225"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5ABD80F8" w14:textId="660C79A2" w:rsidR="00406B52" w:rsidRPr="00481FED" w:rsidRDefault="00406B52" w:rsidP="00406B52">
            <w:pPr>
              <w:overflowPunct w:val="0"/>
              <w:spacing w:line="340" w:lineRule="exact"/>
              <w:jc w:val="both"/>
              <w:textAlignment w:val="auto"/>
              <w:rPr>
                <w:rFonts w:ascii="標楷體" w:eastAsia="標楷體" w:hAnsi="標楷體"/>
                <w:szCs w:val="24"/>
              </w:rPr>
            </w:pPr>
            <w:r w:rsidRPr="00303C1C">
              <w:rPr>
                <w:rFonts w:ascii="標楷體" w:eastAsia="標楷體" w:hAnsi="標楷體" w:cs="DFKaiShuW5-B5" w:hint="eastAsia"/>
                <w:kern w:val="0"/>
                <w:szCs w:val="24"/>
              </w:rPr>
              <w:t>中央政府前瞻基礎建設計畫第5期特別預算案</w:t>
            </w:r>
          </w:p>
        </w:tc>
        <w:tc>
          <w:tcPr>
            <w:tcW w:w="2268"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07A31F6F" w14:textId="77777777" w:rsidR="00406B52" w:rsidRPr="00303C1C"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303C1C">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114年度中央政府總預算案」及「中央政府前瞻基礎建設計畫第5期特別預算案」編製經過並備質詢。</w:t>
            </w:r>
          </w:p>
          <w:p w14:paraId="33099551" w14:textId="17F9A82A" w:rsidR="00406B52" w:rsidRPr="00481FED"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szCs w:val="24"/>
              </w:rPr>
            </w:pPr>
            <w:r w:rsidRPr="00303C1C">
              <w:rPr>
                <w:rFonts w:ascii="標楷體" w:eastAsia="標楷體" w:hAnsi="標楷體" w:hint="eastAsia"/>
                <w:kern w:val="2"/>
                <w:szCs w:val="24"/>
              </w:rPr>
              <w:t>2.第11屆第2會期第7次院會</w:t>
            </w:r>
            <w:r w:rsidRPr="00406B52">
              <w:rPr>
                <w:rFonts w:ascii="標楷體" w:eastAsia="標楷體" w:hAnsi="標楷體" w:hint="eastAsia"/>
                <w:spacing w:val="-20"/>
                <w:kern w:val="2"/>
                <w:szCs w:val="24"/>
              </w:rPr>
              <w:t>(113.11.1)</w:t>
            </w:r>
            <w:r w:rsidRPr="00303C1C">
              <w:rPr>
                <w:rFonts w:ascii="標楷體" w:eastAsia="標楷體" w:hAnsi="標楷體" w:hint="eastAsia"/>
                <w:kern w:val="2"/>
                <w:szCs w:val="24"/>
              </w:rPr>
              <w:t>決定：「交財政委員會會同有關委員會審查」</w:t>
            </w:r>
            <w:r w:rsidRPr="00303C1C">
              <w:rPr>
                <w:rFonts w:ascii="標楷體" w:eastAsia="標楷體" w:hAnsi="標楷體" w:hint="eastAsia"/>
                <w:kern w:val="2"/>
                <w:szCs w:val="24"/>
              </w:rPr>
              <w:tab/>
            </w:r>
          </w:p>
        </w:tc>
        <w:tc>
          <w:tcPr>
            <w:tcW w:w="2269"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11B21B7F" w14:textId="5FB507A2" w:rsidR="00406B52" w:rsidRPr="00464A6F" w:rsidRDefault="00406B52" w:rsidP="00406B52">
            <w:pPr>
              <w:widowControl w:val="0"/>
              <w:overflowPunct w:val="0"/>
              <w:spacing w:line="340" w:lineRule="exact"/>
              <w:jc w:val="both"/>
              <w:textAlignment w:val="auto"/>
              <w:rPr>
                <w:rFonts w:ascii="標楷體" w:eastAsia="標楷體" w:hAnsi="標楷體"/>
                <w:bCs/>
                <w:color w:val="FF0000"/>
                <w:spacing w:val="-16"/>
                <w:szCs w:val="24"/>
              </w:rPr>
            </w:pPr>
            <w:r w:rsidRPr="00516B27">
              <w:rPr>
                <w:rFonts w:ascii="標楷體" w:eastAsia="標楷體" w:hAnsi="標楷體" w:hint="eastAsia"/>
                <w:szCs w:val="24"/>
              </w:rPr>
              <w:t>第11屆第2會期財政</w:t>
            </w:r>
            <w:r>
              <w:rPr>
                <w:rFonts w:ascii="標楷體" w:eastAsia="標楷體" w:hAnsi="標楷體" w:hint="eastAsia"/>
                <w:szCs w:val="24"/>
              </w:rPr>
              <w:t>、內政、經濟、教育及文化、交通、社會福利及衛生環境</w:t>
            </w:r>
            <w:r w:rsidRPr="00516B27">
              <w:rPr>
                <w:rFonts w:ascii="標楷體" w:eastAsia="標楷體" w:hAnsi="標楷體" w:hint="eastAsia"/>
                <w:szCs w:val="24"/>
              </w:rPr>
              <w:t>委員會第</w:t>
            </w:r>
            <w:r>
              <w:rPr>
                <w:rFonts w:ascii="標楷體" w:eastAsia="標楷體" w:hAnsi="標楷體" w:hint="eastAsia"/>
                <w:szCs w:val="24"/>
              </w:rPr>
              <w:t>2</w:t>
            </w:r>
            <w:r w:rsidRPr="00516B27">
              <w:rPr>
                <w:rFonts w:ascii="標楷體" w:eastAsia="標楷體" w:hAnsi="標楷體" w:hint="eastAsia"/>
                <w:szCs w:val="24"/>
              </w:rPr>
              <w:t>次</w:t>
            </w:r>
            <w:r>
              <w:rPr>
                <w:rFonts w:ascii="標楷體" w:eastAsia="標楷體" w:hAnsi="標楷體" w:hint="eastAsia"/>
                <w:szCs w:val="24"/>
              </w:rPr>
              <w:t>聯席</w:t>
            </w:r>
            <w:r w:rsidRPr="00516B27">
              <w:rPr>
                <w:rFonts w:ascii="標楷體" w:eastAsia="標楷體" w:hAnsi="標楷體" w:hint="eastAsia"/>
                <w:szCs w:val="24"/>
              </w:rPr>
              <w:t>會議</w:t>
            </w:r>
            <w:r w:rsidRPr="00EB423B">
              <w:rPr>
                <w:rFonts w:ascii="標楷體" w:eastAsia="標楷體" w:hAnsi="標楷體" w:hint="eastAsia"/>
                <w:szCs w:val="24"/>
              </w:rPr>
              <w:t>(113.12.16)</w:t>
            </w:r>
          </w:p>
        </w:tc>
        <w:tc>
          <w:tcPr>
            <w:tcW w:w="2437" w:type="dxa"/>
            <w:tcBorders>
              <w:top w:val="single" w:sz="12" w:space="0" w:color="000000"/>
              <w:left w:val="single" w:sz="4" w:space="0" w:color="auto"/>
              <w:bottom w:val="single" w:sz="12" w:space="0" w:color="000000"/>
              <w:right w:val="single" w:sz="4" w:space="0" w:color="auto"/>
            </w:tcBorders>
            <w:tcMar>
              <w:top w:w="0" w:type="dxa"/>
              <w:left w:w="28" w:type="dxa"/>
              <w:bottom w:w="0" w:type="dxa"/>
              <w:right w:w="28" w:type="dxa"/>
            </w:tcMar>
          </w:tcPr>
          <w:p w14:paraId="3EF2AA6B" w14:textId="77777777" w:rsidR="00406B52" w:rsidRPr="00CD133E"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CD133E">
              <w:rPr>
                <w:rFonts w:ascii="標楷體" w:eastAsia="標楷體" w:hAnsi="標楷體" w:hint="eastAsia"/>
                <w:kern w:val="2"/>
                <w:szCs w:val="24"/>
              </w:rPr>
              <w:t>1.審查完竣，須交由黨團協商。</w:t>
            </w:r>
          </w:p>
          <w:p w14:paraId="78D58D28" w14:textId="56487A86" w:rsidR="00406B52" w:rsidRPr="00406B52" w:rsidRDefault="00406B52" w:rsidP="00406B52">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color w:val="FF0000"/>
                <w:kern w:val="2"/>
                <w:szCs w:val="24"/>
              </w:rPr>
            </w:pPr>
            <w:r w:rsidRPr="00F04D30">
              <w:rPr>
                <w:rFonts w:ascii="標楷體" w:eastAsia="標楷體" w:hAnsi="標楷體" w:hint="eastAsia"/>
                <w:kern w:val="2"/>
                <w:szCs w:val="24"/>
              </w:rPr>
              <w:t>2.1</w:t>
            </w:r>
            <w:r w:rsidRPr="00F04D30">
              <w:rPr>
                <w:rFonts w:ascii="標楷體" w:eastAsia="標楷體" w:hAnsi="標楷體"/>
                <w:kern w:val="2"/>
                <w:szCs w:val="24"/>
              </w:rPr>
              <w:t>1</w:t>
            </w:r>
            <w:r w:rsidRPr="00F04D30">
              <w:rPr>
                <w:rFonts w:ascii="標楷體" w:eastAsia="標楷體" w:hAnsi="標楷體" w:hint="eastAsia"/>
                <w:kern w:val="2"/>
                <w:szCs w:val="24"/>
              </w:rPr>
              <w:t>3.12</w:t>
            </w:r>
            <w:r w:rsidRPr="006E03C4">
              <w:rPr>
                <w:rFonts w:ascii="標楷體" w:eastAsia="標楷體" w:hAnsi="標楷體" w:hint="eastAsia"/>
                <w:kern w:val="2"/>
                <w:szCs w:val="24"/>
              </w:rPr>
              <w:t>.17本會</w:t>
            </w:r>
            <w:r w:rsidRPr="006E03C4">
              <w:rPr>
                <w:rFonts w:ascii="標楷體" w:eastAsia="標楷體" w:hAnsi="標楷體" w:hint="eastAsia"/>
                <w:bCs/>
                <w:szCs w:val="24"/>
              </w:rPr>
              <w:t>將審查報告</w:t>
            </w:r>
            <w:r w:rsidRPr="006E03C4">
              <w:rPr>
                <w:rFonts w:ascii="標楷體" w:eastAsia="標楷體" w:hAnsi="標楷體" w:hint="eastAsia"/>
                <w:kern w:val="2"/>
                <w:szCs w:val="24"/>
              </w:rPr>
              <w:t>函送議事處提報院會。</w:t>
            </w:r>
          </w:p>
        </w:tc>
      </w:tr>
    </w:tbl>
    <w:p w14:paraId="510E5AED" w14:textId="77777777" w:rsidR="006714B7" w:rsidRPr="00464A6F" w:rsidRDefault="006714B7" w:rsidP="00F470A8">
      <w:pPr>
        <w:overflowPunct w:val="0"/>
        <w:rPr>
          <w:color w:val="FF0000"/>
        </w:rPr>
      </w:pPr>
      <w:r w:rsidRPr="00464A6F">
        <w:rPr>
          <w:color w:val="FF0000"/>
        </w:rPr>
        <w:br w:type="page"/>
      </w:r>
    </w:p>
    <w:p w14:paraId="2EC305BF" w14:textId="2B7B6272" w:rsidR="006714B7" w:rsidRPr="00C0585C" w:rsidRDefault="006714B7"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76" w:name="_Toc189487298"/>
      <w:r w:rsidRPr="00C0585C">
        <w:rPr>
          <w:rFonts w:ascii="標楷體" w:eastAsia="標楷體" w:hAnsi="標楷體" w:hint="eastAsia"/>
          <w:b/>
          <w:bCs/>
          <w:sz w:val="28"/>
          <w:szCs w:val="28"/>
        </w:rPr>
        <w:lastRenderedPageBreak/>
        <w:t>(二)財團法人預算案（</w:t>
      </w:r>
      <w:r w:rsidR="00C0585C">
        <w:rPr>
          <w:rFonts w:ascii="標楷體" w:eastAsia="標楷體" w:hAnsi="標楷體" w:hint="eastAsia"/>
          <w:b/>
          <w:bCs/>
          <w:sz w:val="28"/>
          <w:szCs w:val="28"/>
        </w:rPr>
        <w:t>6</w:t>
      </w:r>
      <w:r w:rsidRPr="00C0585C">
        <w:rPr>
          <w:rFonts w:ascii="標楷體" w:eastAsia="標楷體" w:hAnsi="標楷體" w:hint="eastAsia"/>
          <w:b/>
          <w:bCs/>
          <w:sz w:val="28"/>
          <w:szCs w:val="28"/>
        </w:rPr>
        <w:t>案）</w:t>
      </w:r>
      <w:bookmarkEnd w:id="76"/>
    </w:p>
    <w:tbl>
      <w:tblPr>
        <w:tblW w:w="9809" w:type="dxa"/>
        <w:tblInd w:w="170" w:type="dxa"/>
        <w:tblLayout w:type="fixed"/>
        <w:tblCellMar>
          <w:left w:w="10" w:type="dxa"/>
          <w:right w:w="10" w:type="dxa"/>
        </w:tblCellMar>
        <w:tblLook w:val="0000" w:firstRow="0" w:lastRow="0" w:firstColumn="0" w:lastColumn="0" w:noHBand="0" w:noVBand="0"/>
      </w:tblPr>
      <w:tblGrid>
        <w:gridCol w:w="610"/>
        <w:gridCol w:w="2225"/>
        <w:gridCol w:w="2268"/>
        <w:gridCol w:w="2269"/>
        <w:gridCol w:w="2437"/>
      </w:tblGrid>
      <w:tr w:rsidR="00C0585C" w:rsidRPr="00C0585C" w14:paraId="154035DC" w14:textId="77777777" w:rsidTr="008D542F">
        <w:trPr>
          <w:cantSplit/>
          <w:trHeight w:val="494"/>
        </w:trPr>
        <w:tc>
          <w:tcPr>
            <w:tcW w:w="610"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14:paraId="0AC04D74" w14:textId="77777777" w:rsidR="006714B7" w:rsidRPr="00C0585C" w:rsidRDefault="006714B7" w:rsidP="00F470A8">
            <w:pPr>
              <w:widowControl w:val="0"/>
              <w:overflowPunct w:val="0"/>
              <w:jc w:val="center"/>
              <w:textAlignment w:val="auto"/>
              <w:rPr>
                <w:rFonts w:ascii="標楷體" w:eastAsia="標楷體" w:hAnsi="標楷體"/>
                <w:b/>
                <w:szCs w:val="24"/>
              </w:rPr>
            </w:pPr>
            <w:r w:rsidRPr="00C0585C">
              <w:rPr>
                <w:rFonts w:ascii="標楷體" w:eastAsia="標楷體" w:hAnsi="標楷體" w:hint="eastAsia"/>
                <w:b/>
                <w:szCs w:val="24"/>
              </w:rPr>
              <w:t>序</w:t>
            </w:r>
            <w:r w:rsidRPr="00C0585C">
              <w:rPr>
                <w:rFonts w:ascii="標楷體" w:eastAsia="標楷體" w:hAnsi="標楷體"/>
                <w:b/>
                <w:szCs w:val="24"/>
              </w:rPr>
              <w:t>號</w:t>
            </w:r>
          </w:p>
        </w:tc>
        <w:tc>
          <w:tcPr>
            <w:tcW w:w="2225"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14:paraId="0E67FF2F" w14:textId="77777777" w:rsidR="006714B7" w:rsidRPr="00C0585C" w:rsidRDefault="006714B7" w:rsidP="00F470A8">
            <w:pPr>
              <w:widowControl w:val="0"/>
              <w:overflowPunct w:val="0"/>
              <w:jc w:val="center"/>
              <w:textAlignment w:val="auto"/>
              <w:rPr>
                <w:rFonts w:ascii="標楷體" w:eastAsia="標楷體" w:hAnsi="標楷體"/>
                <w:b/>
                <w:szCs w:val="24"/>
              </w:rPr>
            </w:pPr>
            <w:r w:rsidRPr="00C0585C">
              <w:rPr>
                <w:rFonts w:ascii="標楷體" w:eastAsia="標楷體" w:hAnsi="標楷體"/>
                <w:b/>
                <w:szCs w:val="24"/>
              </w:rPr>
              <w:t>議  案  名  稱</w:t>
            </w:r>
          </w:p>
        </w:tc>
        <w:tc>
          <w:tcPr>
            <w:tcW w:w="2268"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14:paraId="46B56FB6" w14:textId="77777777" w:rsidR="006714B7" w:rsidRPr="00C0585C" w:rsidRDefault="006714B7" w:rsidP="00F470A8">
            <w:pPr>
              <w:widowControl w:val="0"/>
              <w:overflowPunct w:val="0"/>
              <w:jc w:val="center"/>
              <w:textAlignment w:val="auto"/>
              <w:rPr>
                <w:rFonts w:ascii="標楷體" w:eastAsia="標楷體" w:hAnsi="標楷體"/>
                <w:b/>
                <w:spacing w:val="64"/>
                <w:szCs w:val="24"/>
              </w:rPr>
            </w:pPr>
            <w:r w:rsidRPr="00C0585C">
              <w:rPr>
                <w:rFonts w:ascii="標楷體" w:eastAsia="標楷體" w:hAnsi="標楷體"/>
                <w:b/>
                <w:spacing w:val="64"/>
                <w:szCs w:val="24"/>
              </w:rPr>
              <w:t>院會交付</w:t>
            </w:r>
          </w:p>
          <w:p w14:paraId="398B7774" w14:textId="77777777" w:rsidR="006714B7" w:rsidRPr="00C0585C" w:rsidRDefault="006714B7" w:rsidP="00F470A8">
            <w:pPr>
              <w:widowControl w:val="0"/>
              <w:overflowPunct w:val="0"/>
              <w:ind w:leftChars="-70" w:left="-48" w:hangingChars="50" w:hanging="120"/>
              <w:jc w:val="center"/>
              <w:textAlignment w:val="auto"/>
              <w:rPr>
                <w:rFonts w:ascii="標楷體" w:eastAsia="標楷體" w:hAnsi="標楷體"/>
                <w:b/>
                <w:szCs w:val="24"/>
              </w:rPr>
            </w:pPr>
            <w:r w:rsidRPr="00C0585C">
              <w:rPr>
                <w:rFonts w:ascii="標楷體" w:eastAsia="標楷體" w:hAnsi="標楷體" w:hint="eastAsia"/>
                <w:b/>
                <w:szCs w:val="24"/>
              </w:rPr>
              <w:t>日</w:t>
            </w:r>
            <w:r w:rsidRPr="00C0585C">
              <w:rPr>
                <w:rFonts w:ascii="標楷體" w:eastAsia="標楷體" w:hAnsi="標楷體"/>
                <w:b/>
                <w:szCs w:val="24"/>
              </w:rPr>
              <w:t>期</w:t>
            </w:r>
            <w:r w:rsidRPr="00C0585C">
              <w:rPr>
                <w:rFonts w:ascii="標楷體" w:eastAsia="標楷體" w:hAnsi="標楷體" w:hint="eastAsia"/>
                <w:b/>
                <w:szCs w:val="24"/>
              </w:rPr>
              <w:t>及</w:t>
            </w:r>
            <w:r w:rsidRPr="00C0585C">
              <w:rPr>
                <w:rFonts w:ascii="標楷體" w:eastAsia="標楷體" w:hAnsi="標楷體"/>
                <w:b/>
                <w:szCs w:val="24"/>
              </w:rPr>
              <w:t>會次</w:t>
            </w:r>
          </w:p>
        </w:tc>
        <w:tc>
          <w:tcPr>
            <w:tcW w:w="2269"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14:paraId="36726AEB" w14:textId="77777777" w:rsidR="006714B7" w:rsidRPr="00C0585C" w:rsidRDefault="006714B7" w:rsidP="00F470A8">
            <w:pPr>
              <w:widowControl w:val="0"/>
              <w:overflowPunct w:val="0"/>
              <w:jc w:val="center"/>
              <w:textAlignment w:val="auto"/>
              <w:rPr>
                <w:rFonts w:ascii="標楷體" w:eastAsia="標楷體" w:hAnsi="標楷體"/>
                <w:b/>
                <w:spacing w:val="20"/>
                <w:szCs w:val="24"/>
              </w:rPr>
            </w:pPr>
            <w:r w:rsidRPr="00C0585C">
              <w:rPr>
                <w:rFonts w:ascii="標楷體" w:eastAsia="標楷體" w:hAnsi="標楷體"/>
                <w:b/>
                <w:spacing w:val="20"/>
                <w:szCs w:val="24"/>
              </w:rPr>
              <w:t>審查會審竣</w:t>
            </w:r>
          </w:p>
          <w:p w14:paraId="5E7C81AD" w14:textId="77777777" w:rsidR="006714B7" w:rsidRPr="00C0585C" w:rsidRDefault="006714B7" w:rsidP="00F470A8">
            <w:pPr>
              <w:widowControl w:val="0"/>
              <w:overflowPunct w:val="0"/>
              <w:jc w:val="center"/>
              <w:textAlignment w:val="auto"/>
              <w:rPr>
                <w:b/>
              </w:rPr>
            </w:pPr>
            <w:r w:rsidRPr="00C0585C">
              <w:rPr>
                <w:rFonts w:ascii="標楷體" w:eastAsia="標楷體" w:hAnsi="標楷體"/>
                <w:b/>
                <w:spacing w:val="20"/>
                <w:szCs w:val="24"/>
              </w:rPr>
              <w:t>日期及會次</w:t>
            </w:r>
          </w:p>
        </w:tc>
        <w:tc>
          <w:tcPr>
            <w:tcW w:w="2437"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14:paraId="6987AE8D" w14:textId="77777777" w:rsidR="006714B7" w:rsidRPr="00C0585C" w:rsidRDefault="006714B7" w:rsidP="00F470A8">
            <w:pPr>
              <w:widowControl w:val="0"/>
              <w:overflowPunct w:val="0"/>
              <w:jc w:val="center"/>
              <w:textAlignment w:val="auto"/>
              <w:rPr>
                <w:rFonts w:ascii="標楷體" w:eastAsia="標楷體" w:hAnsi="標楷體"/>
                <w:b/>
                <w:szCs w:val="24"/>
              </w:rPr>
            </w:pPr>
            <w:r w:rsidRPr="00C0585C">
              <w:rPr>
                <w:rFonts w:ascii="標楷體" w:eastAsia="標楷體" w:hAnsi="標楷體"/>
                <w:b/>
                <w:szCs w:val="24"/>
              </w:rPr>
              <w:t>備          註</w:t>
            </w:r>
          </w:p>
        </w:tc>
      </w:tr>
      <w:tr w:rsidR="00C0585C" w:rsidRPr="00C0585C" w14:paraId="6974DCB1" w14:textId="77777777" w:rsidTr="008D542F">
        <w:trPr>
          <w:cantSplit/>
          <w:trHeight w:val="1255"/>
          <w:tblHeader/>
        </w:trPr>
        <w:tc>
          <w:tcPr>
            <w:tcW w:w="610"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14:paraId="5B5EFC35" w14:textId="77777777" w:rsidR="006714B7" w:rsidRPr="00C0585C" w:rsidRDefault="006714B7" w:rsidP="00F470A8">
            <w:pPr>
              <w:overflowPunct w:val="0"/>
              <w:spacing w:line="320" w:lineRule="exact"/>
              <w:jc w:val="both"/>
              <w:textAlignment w:val="auto"/>
              <w:rPr>
                <w:rFonts w:ascii="標楷體" w:eastAsia="標楷體" w:hAnsi="標楷體"/>
                <w:b/>
                <w:bCs/>
                <w:szCs w:val="24"/>
              </w:rPr>
            </w:pPr>
            <w:r w:rsidRPr="00C0585C">
              <w:rPr>
                <w:rFonts w:ascii="標楷體" w:eastAsia="標楷體" w:hAnsi="標楷體" w:hint="eastAsia"/>
                <w:b/>
                <w:bCs/>
                <w:szCs w:val="24"/>
              </w:rPr>
              <w:t xml:space="preserve">  1</w:t>
            </w:r>
          </w:p>
        </w:tc>
        <w:tc>
          <w:tcPr>
            <w:tcW w:w="2225"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14:paraId="65FE5B70" w14:textId="77777777" w:rsidR="006714B7" w:rsidRPr="00C0585C" w:rsidRDefault="006714B7" w:rsidP="00F470A8">
            <w:pPr>
              <w:overflowPunct w:val="0"/>
              <w:spacing w:line="320" w:lineRule="exact"/>
              <w:jc w:val="both"/>
              <w:textAlignment w:val="auto"/>
              <w:rPr>
                <w:rFonts w:ascii="標楷體" w:eastAsia="標楷體" w:hAnsi="標楷體"/>
                <w:bCs/>
                <w:szCs w:val="24"/>
              </w:rPr>
            </w:pPr>
            <w:r w:rsidRPr="00C0585C">
              <w:rPr>
                <w:rFonts w:ascii="標楷體" w:eastAsia="標楷體" w:hAnsi="標楷體"/>
                <w:bCs/>
                <w:szCs w:val="24"/>
              </w:rPr>
              <w:t>行政院金融監督管理委員會函送財團法人海外信用保證基金98年度預算書案</w:t>
            </w:r>
          </w:p>
        </w:tc>
        <w:tc>
          <w:tcPr>
            <w:tcW w:w="2268"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14:paraId="6A06BDE3" w14:textId="77777777" w:rsidR="006714B7" w:rsidRPr="00C0585C" w:rsidRDefault="006714B7" w:rsidP="00F470A8">
            <w:pPr>
              <w:overflowPunct w:val="0"/>
              <w:spacing w:line="320" w:lineRule="exact"/>
              <w:jc w:val="both"/>
              <w:textAlignment w:val="auto"/>
              <w:rPr>
                <w:rFonts w:ascii="標楷體" w:eastAsia="標楷體" w:hAnsi="標楷體"/>
                <w:bCs/>
                <w:szCs w:val="24"/>
              </w:rPr>
            </w:pPr>
            <w:r w:rsidRPr="00C0585C">
              <w:rPr>
                <w:rFonts w:ascii="標楷體" w:eastAsia="標楷體" w:hAnsi="標楷體"/>
                <w:bCs/>
                <w:szCs w:val="24"/>
              </w:rPr>
              <w:t>第7屆第2會期第7次院會（97.10.31）決定：「交財政委員會審查」</w:t>
            </w:r>
          </w:p>
        </w:tc>
        <w:tc>
          <w:tcPr>
            <w:tcW w:w="2269"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14:paraId="1FAFA461" w14:textId="03F4544C" w:rsidR="006714B7" w:rsidRPr="00C0585C" w:rsidRDefault="006714B7" w:rsidP="00F470A8">
            <w:pPr>
              <w:overflowPunct w:val="0"/>
              <w:spacing w:line="320" w:lineRule="exact"/>
              <w:jc w:val="both"/>
              <w:textAlignment w:val="auto"/>
              <w:rPr>
                <w:rFonts w:ascii="標楷體" w:eastAsia="標楷體" w:hAnsi="標楷體"/>
                <w:bCs/>
                <w:szCs w:val="24"/>
              </w:rPr>
            </w:pPr>
            <w:r w:rsidRPr="00C0585C">
              <w:rPr>
                <w:rFonts w:ascii="標楷體" w:eastAsia="標楷體" w:hAnsi="標楷體"/>
                <w:bCs/>
                <w:szCs w:val="24"/>
              </w:rPr>
              <w:t>第7屆第2會期</w:t>
            </w:r>
            <w:r w:rsidR="00665321">
              <w:rPr>
                <w:rFonts w:ascii="標楷體" w:eastAsia="標楷體" w:hAnsi="標楷體" w:hint="eastAsia"/>
                <w:bCs/>
                <w:szCs w:val="24"/>
              </w:rPr>
              <w:t>財政委員會</w:t>
            </w:r>
            <w:r w:rsidRPr="00C0585C">
              <w:rPr>
                <w:rFonts w:ascii="標楷體" w:eastAsia="標楷體" w:hAnsi="標楷體"/>
                <w:bCs/>
                <w:szCs w:val="24"/>
              </w:rPr>
              <w:t>第21次</w:t>
            </w:r>
            <w:r w:rsidRPr="00CD133E">
              <w:rPr>
                <w:rFonts w:ascii="標楷體" w:eastAsia="標楷體" w:hAnsi="標楷體"/>
                <w:bCs/>
                <w:spacing w:val="-20"/>
                <w:szCs w:val="24"/>
              </w:rPr>
              <w:t>全體委員會議</w:t>
            </w:r>
            <w:r w:rsidRPr="00CD133E">
              <w:rPr>
                <w:rFonts w:ascii="標楷體" w:eastAsia="標楷體" w:hAnsi="標楷體" w:hint="eastAsia"/>
                <w:bCs/>
                <w:spacing w:val="-20"/>
                <w:szCs w:val="24"/>
              </w:rPr>
              <w:t>(</w:t>
            </w:r>
            <w:r w:rsidRPr="00CD133E">
              <w:rPr>
                <w:rFonts w:ascii="標楷體" w:eastAsia="標楷體" w:hAnsi="標楷體"/>
                <w:bCs/>
                <w:spacing w:val="-20"/>
                <w:szCs w:val="24"/>
              </w:rPr>
              <w:t>97.12.10</w:t>
            </w:r>
            <w:r w:rsidRPr="00CD133E">
              <w:rPr>
                <w:rFonts w:ascii="標楷體" w:eastAsia="標楷體" w:hAnsi="標楷體" w:hint="eastAsia"/>
                <w:bCs/>
                <w:spacing w:val="-20"/>
                <w:szCs w:val="24"/>
              </w:rPr>
              <w:t>)</w:t>
            </w:r>
          </w:p>
        </w:tc>
        <w:tc>
          <w:tcPr>
            <w:tcW w:w="2437" w:type="dxa"/>
            <w:tcBorders>
              <w:top w:val="single" w:sz="12" w:space="0" w:color="auto"/>
              <w:left w:val="single" w:sz="4" w:space="0" w:color="000000"/>
              <w:bottom w:val="single" w:sz="4" w:space="0" w:color="000000"/>
              <w:right w:val="single" w:sz="4" w:space="0" w:color="000000"/>
            </w:tcBorders>
            <w:tcMar>
              <w:top w:w="0" w:type="dxa"/>
              <w:left w:w="28" w:type="dxa"/>
              <w:bottom w:w="0" w:type="dxa"/>
              <w:right w:w="28" w:type="dxa"/>
            </w:tcMar>
          </w:tcPr>
          <w:p w14:paraId="3041DAD5" w14:textId="77777777" w:rsidR="006714B7" w:rsidRPr="00C0585C" w:rsidRDefault="006714B7" w:rsidP="00F470A8">
            <w:pPr>
              <w:overflowPunct w:val="0"/>
              <w:spacing w:line="320" w:lineRule="exact"/>
              <w:jc w:val="both"/>
              <w:textAlignment w:val="auto"/>
              <w:rPr>
                <w:rFonts w:ascii="標楷體" w:eastAsia="標楷體" w:hAnsi="標楷體"/>
                <w:bCs/>
                <w:szCs w:val="24"/>
              </w:rPr>
            </w:pPr>
            <w:r w:rsidRPr="00C0585C">
              <w:rPr>
                <w:rFonts w:ascii="標楷體" w:eastAsia="標楷體" w:hAnsi="標楷體"/>
                <w:bCs/>
                <w:szCs w:val="24"/>
              </w:rPr>
              <w:t>第7屆第2會期第15次院會</w:t>
            </w:r>
            <w:r w:rsidRPr="00C0585C">
              <w:rPr>
                <w:rFonts w:ascii="標楷體" w:eastAsia="標楷體" w:hAnsi="標楷體" w:hint="eastAsia"/>
                <w:bCs/>
                <w:szCs w:val="24"/>
              </w:rPr>
              <w:t>(</w:t>
            </w:r>
            <w:r w:rsidRPr="00C0585C">
              <w:rPr>
                <w:rFonts w:ascii="標楷體" w:eastAsia="標楷體" w:hAnsi="標楷體"/>
                <w:bCs/>
                <w:szCs w:val="24"/>
              </w:rPr>
              <w:t>97.12.30</w:t>
            </w:r>
            <w:r w:rsidRPr="00C0585C">
              <w:rPr>
                <w:rFonts w:ascii="標楷體" w:eastAsia="標楷體" w:hAnsi="標楷體" w:hint="eastAsia"/>
                <w:bCs/>
                <w:szCs w:val="24"/>
              </w:rPr>
              <w:t>)，決議：</w:t>
            </w:r>
            <w:r w:rsidRPr="00C0585C">
              <w:rPr>
                <w:rFonts w:ascii="標楷體" w:eastAsia="標楷體" w:hAnsi="標楷體"/>
                <w:bCs/>
                <w:szCs w:val="24"/>
              </w:rPr>
              <w:t>交付黨團協商。</w:t>
            </w:r>
          </w:p>
        </w:tc>
      </w:tr>
      <w:tr w:rsidR="00C0585C" w:rsidRPr="00C0585C" w14:paraId="61259E38" w14:textId="77777777" w:rsidTr="008D542F">
        <w:trPr>
          <w:cantSplit/>
          <w:trHeight w:val="2062"/>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3435ECC" w14:textId="77777777" w:rsidR="006714B7" w:rsidRPr="00C0585C" w:rsidRDefault="006714B7" w:rsidP="00F470A8">
            <w:pPr>
              <w:overflowPunct w:val="0"/>
              <w:spacing w:line="320" w:lineRule="exact"/>
              <w:jc w:val="both"/>
              <w:textAlignment w:val="auto"/>
              <w:rPr>
                <w:rFonts w:ascii="標楷體" w:eastAsia="標楷體" w:hAnsi="標楷體"/>
                <w:b/>
                <w:bCs/>
                <w:szCs w:val="24"/>
              </w:rPr>
            </w:pPr>
            <w:r w:rsidRPr="00C0585C">
              <w:rPr>
                <w:rFonts w:ascii="標楷體" w:eastAsia="標楷體" w:hAnsi="標楷體" w:hint="eastAsia"/>
                <w:b/>
                <w:bCs/>
                <w:szCs w:val="24"/>
              </w:rPr>
              <w:t xml:space="preserve">  2</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A98928D" w14:textId="77777777" w:rsidR="006714B7" w:rsidRPr="00C0585C" w:rsidRDefault="006714B7" w:rsidP="00F470A8">
            <w:pPr>
              <w:widowControl w:val="0"/>
              <w:overflowPunct w:val="0"/>
              <w:spacing w:line="340" w:lineRule="exact"/>
              <w:jc w:val="both"/>
              <w:textAlignment w:val="auto"/>
              <w:rPr>
                <w:rFonts w:ascii="標楷體" w:eastAsia="標楷體" w:hAnsi="標楷體"/>
                <w:kern w:val="0"/>
                <w:szCs w:val="24"/>
              </w:rPr>
            </w:pPr>
            <w:r w:rsidRPr="00C0585C">
              <w:rPr>
                <w:rFonts w:ascii="標楷體" w:eastAsia="標楷體" w:hAnsi="標楷體"/>
                <w:kern w:val="0"/>
                <w:szCs w:val="24"/>
              </w:rPr>
              <w:t>行政院金融監督管理委員會函送財團法人台灣金融研訓院、汽車交通事故特別補償基金、住宅地震保險基金、保險安定基金、證券投資人及期貨交易人保護中心暨保險事業發展中心等100年度預算書案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A3AE7EB" w14:textId="77777777" w:rsidR="006714B7" w:rsidRPr="00C0585C" w:rsidRDefault="006714B7" w:rsidP="00F470A8">
            <w:pPr>
              <w:widowControl w:val="0"/>
              <w:overflowPunct w:val="0"/>
              <w:spacing w:line="380" w:lineRule="exact"/>
              <w:jc w:val="both"/>
              <w:textAlignment w:val="auto"/>
              <w:rPr>
                <w:rFonts w:ascii="標楷體" w:eastAsia="標楷體" w:hAnsi="標楷體"/>
                <w:szCs w:val="24"/>
              </w:rPr>
            </w:pPr>
            <w:r w:rsidRPr="00C0585C">
              <w:rPr>
                <w:rFonts w:ascii="標楷體" w:eastAsia="標楷體" w:hAnsi="標楷體"/>
                <w:szCs w:val="24"/>
              </w:rPr>
              <w:t>第7屆第6會期第5次院會（99.10.22）決定：「交財政委員會審查」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0DFDACA" w14:textId="12AC5646" w:rsidR="006714B7" w:rsidRPr="00C0585C" w:rsidRDefault="006714B7" w:rsidP="00F470A8">
            <w:pPr>
              <w:widowControl w:val="0"/>
              <w:overflowPunct w:val="0"/>
              <w:spacing w:line="380" w:lineRule="exact"/>
              <w:jc w:val="both"/>
              <w:textAlignment w:val="auto"/>
              <w:rPr>
                <w:rFonts w:ascii="標楷體" w:eastAsia="標楷體" w:hAnsi="標楷體"/>
                <w:bCs/>
                <w:szCs w:val="24"/>
              </w:rPr>
            </w:pPr>
            <w:r w:rsidRPr="00C0585C">
              <w:rPr>
                <w:rFonts w:ascii="標楷體" w:eastAsia="標楷體" w:hAnsi="標楷體"/>
                <w:bCs/>
                <w:szCs w:val="24"/>
              </w:rPr>
              <w:t>第7屆第6會期</w:t>
            </w:r>
            <w:r w:rsidR="00665321">
              <w:rPr>
                <w:rFonts w:ascii="標楷體" w:eastAsia="標楷體" w:hAnsi="標楷體" w:hint="eastAsia"/>
                <w:bCs/>
                <w:szCs w:val="24"/>
              </w:rPr>
              <w:t>財政委員會</w:t>
            </w:r>
            <w:r w:rsidRPr="00C0585C">
              <w:rPr>
                <w:rFonts w:ascii="標楷體" w:eastAsia="標楷體" w:hAnsi="標楷體"/>
                <w:bCs/>
                <w:szCs w:val="24"/>
              </w:rPr>
              <w:t>第10次全體委員會議</w:t>
            </w:r>
            <w:r w:rsidRPr="00C0585C">
              <w:rPr>
                <w:rFonts w:ascii="標楷體" w:eastAsia="標楷體" w:hAnsi="標楷體" w:hint="eastAsia"/>
                <w:szCs w:val="24"/>
              </w:rPr>
              <w:t>(</w:t>
            </w:r>
            <w:r w:rsidRPr="00C0585C">
              <w:rPr>
                <w:rFonts w:ascii="標楷體" w:eastAsia="標楷體" w:hAnsi="標楷體"/>
                <w:szCs w:val="24"/>
              </w:rPr>
              <w:t>99.11.15</w:t>
            </w:r>
            <w:r w:rsidRPr="00C0585C">
              <w:rPr>
                <w:rFonts w:ascii="標楷體" w:eastAsia="標楷體" w:hAnsi="標楷體" w:hint="eastAsia"/>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6D96EF9" w14:textId="77777777" w:rsidR="006714B7" w:rsidRPr="00C0585C" w:rsidRDefault="006714B7" w:rsidP="00F470A8">
            <w:pPr>
              <w:widowControl w:val="0"/>
              <w:overflowPunct w:val="0"/>
              <w:spacing w:line="340" w:lineRule="exact"/>
              <w:ind w:leftChars="-100" w:left="240" w:hangingChars="200" w:hanging="480"/>
              <w:jc w:val="both"/>
              <w:textAlignment w:val="auto"/>
              <w:rPr>
                <w:rFonts w:ascii="標楷體" w:eastAsia="標楷體" w:hAnsi="標楷體"/>
                <w:bCs/>
                <w:szCs w:val="24"/>
              </w:rPr>
            </w:pPr>
            <w:r w:rsidRPr="00C0585C">
              <w:rPr>
                <w:rFonts w:ascii="標楷體" w:eastAsia="標楷體" w:hAnsi="標楷體"/>
                <w:bCs/>
                <w:szCs w:val="24"/>
              </w:rPr>
              <w:t>1.</w:t>
            </w:r>
            <w:r w:rsidRPr="00C0585C">
              <w:rPr>
                <w:rFonts w:ascii="標楷體" w:eastAsia="標楷體" w:hAnsi="標楷體" w:hint="eastAsia"/>
                <w:bCs/>
                <w:szCs w:val="24"/>
              </w:rPr>
              <w:t>1.</w:t>
            </w:r>
            <w:r w:rsidRPr="00C0585C">
              <w:rPr>
                <w:rFonts w:ascii="標楷體" w:eastAsia="標楷體" w:hAnsi="標楷體"/>
                <w:bCs/>
                <w:szCs w:val="24"/>
              </w:rPr>
              <w:t>99.11.19函議事處，審查會決議</w:t>
            </w:r>
            <w:r w:rsidRPr="00C0585C">
              <w:rPr>
                <w:rFonts w:ascii="標楷體" w:eastAsia="標楷體" w:hAnsi="標楷體" w:hint="eastAsia"/>
                <w:bCs/>
                <w:szCs w:val="24"/>
              </w:rPr>
              <w:t>：</w:t>
            </w:r>
            <w:r w:rsidRPr="00C0585C">
              <w:rPr>
                <w:rFonts w:ascii="標楷體" w:eastAsia="標楷體" w:hAnsi="標楷體"/>
                <w:bCs/>
                <w:szCs w:val="24"/>
              </w:rPr>
              <w:t>不須交由黨團協商</w:t>
            </w:r>
            <w:r w:rsidRPr="00C0585C">
              <w:rPr>
                <w:rFonts w:ascii="標楷體" w:eastAsia="標楷體" w:hAnsi="標楷體" w:hint="eastAsia"/>
                <w:bCs/>
                <w:szCs w:val="24"/>
              </w:rPr>
              <w:t>。</w:t>
            </w:r>
          </w:p>
          <w:p w14:paraId="5E82F609" w14:textId="77777777" w:rsidR="006714B7" w:rsidRPr="00C0585C" w:rsidRDefault="006714B7" w:rsidP="00F470A8">
            <w:pPr>
              <w:widowControl w:val="0"/>
              <w:overflowPunct w:val="0"/>
              <w:spacing w:line="340" w:lineRule="exact"/>
              <w:ind w:leftChars="-100" w:left="240" w:hangingChars="200" w:hanging="480"/>
              <w:jc w:val="both"/>
              <w:textAlignment w:val="auto"/>
              <w:rPr>
                <w:rFonts w:ascii="標楷體" w:eastAsia="標楷體" w:hAnsi="標楷體"/>
                <w:bCs/>
                <w:szCs w:val="24"/>
              </w:rPr>
            </w:pPr>
            <w:r w:rsidRPr="00C0585C">
              <w:rPr>
                <w:rFonts w:ascii="標楷體" w:eastAsia="標楷體" w:hAnsi="標楷體"/>
                <w:bCs/>
                <w:szCs w:val="24"/>
              </w:rPr>
              <w:t>2.</w:t>
            </w:r>
            <w:r w:rsidRPr="00C0585C">
              <w:rPr>
                <w:rFonts w:ascii="標楷體" w:eastAsia="標楷體" w:hAnsi="標楷體" w:hint="eastAsia"/>
                <w:szCs w:val="24"/>
              </w:rPr>
              <w:t>2.</w:t>
            </w:r>
            <w:r w:rsidRPr="00C0585C">
              <w:rPr>
                <w:rFonts w:ascii="標楷體" w:eastAsia="標楷體" w:hAnsi="標楷體"/>
                <w:spacing w:val="-18"/>
                <w:kern w:val="2"/>
                <w:szCs w:val="24"/>
              </w:rPr>
              <w:t>第7屆第6會期第11次院會</w:t>
            </w:r>
            <w:r w:rsidRPr="00C0585C">
              <w:rPr>
                <w:rFonts w:ascii="標楷體" w:eastAsia="標楷體" w:hAnsi="標楷體" w:hint="eastAsia"/>
                <w:szCs w:val="24"/>
              </w:rPr>
              <w:t>(</w:t>
            </w:r>
            <w:r w:rsidRPr="00C0585C">
              <w:rPr>
                <w:rFonts w:ascii="標楷體" w:eastAsia="標楷體" w:hAnsi="標楷體"/>
                <w:szCs w:val="24"/>
              </w:rPr>
              <w:t>99.12.14</w:t>
            </w:r>
            <w:r w:rsidRPr="00C0585C">
              <w:rPr>
                <w:rFonts w:ascii="標楷體" w:eastAsia="標楷體" w:hAnsi="標楷體" w:hint="eastAsia"/>
                <w:szCs w:val="24"/>
              </w:rPr>
              <w:t>)，決議：</w:t>
            </w:r>
            <w:r w:rsidRPr="00C0585C">
              <w:rPr>
                <w:rFonts w:ascii="標楷體" w:eastAsia="標楷體" w:hAnsi="標楷體"/>
                <w:szCs w:val="24"/>
              </w:rPr>
              <w:t>交付黨團協商。</w:t>
            </w:r>
          </w:p>
        </w:tc>
      </w:tr>
      <w:tr w:rsidR="00C0585C" w:rsidRPr="00C0585C" w14:paraId="4383EE3F" w14:textId="77777777" w:rsidTr="008D542F">
        <w:trPr>
          <w:cantSplit/>
          <w:trHeight w:val="2062"/>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B33BA35" w14:textId="77777777" w:rsidR="006714B7" w:rsidRPr="00C0585C" w:rsidRDefault="006714B7" w:rsidP="00F470A8">
            <w:pPr>
              <w:overflowPunct w:val="0"/>
              <w:spacing w:line="320" w:lineRule="exact"/>
              <w:jc w:val="both"/>
              <w:textAlignment w:val="auto"/>
              <w:rPr>
                <w:rFonts w:ascii="標楷體" w:eastAsia="標楷體" w:hAnsi="標楷體"/>
                <w:b/>
                <w:bCs/>
                <w:szCs w:val="24"/>
              </w:rPr>
            </w:pPr>
            <w:r w:rsidRPr="00C0585C">
              <w:rPr>
                <w:rFonts w:ascii="標楷體" w:eastAsia="標楷體" w:hAnsi="標楷體" w:hint="eastAsia"/>
                <w:b/>
                <w:bCs/>
                <w:szCs w:val="24"/>
              </w:rPr>
              <w:t xml:space="preserve">  3</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A7B8ABA" w14:textId="77777777" w:rsidR="006714B7" w:rsidRPr="00C0585C" w:rsidRDefault="006714B7" w:rsidP="00F470A8">
            <w:pPr>
              <w:widowControl w:val="0"/>
              <w:overflowPunct w:val="0"/>
              <w:spacing w:line="340" w:lineRule="exact"/>
              <w:jc w:val="both"/>
              <w:textAlignment w:val="auto"/>
              <w:rPr>
                <w:rFonts w:ascii="標楷體" w:eastAsia="標楷體" w:hAnsi="標楷體"/>
                <w:kern w:val="0"/>
                <w:szCs w:val="24"/>
              </w:rPr>
            </w:pPr>
            <w:r w:rsidRPr="00C0585C">
              <w:rPr>
                <w:rFonts w:ascii="標楷體" w:eastAsia="標楷體" w:hAnsi="標楷體"/>
                <w:kern w:val="0"/>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101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085C4A2" w14:textId="77777777" w:rsidR="006714B7" w:rsidRPr="00C0585C" w:rsidRDefault="006714B7" w:rsidP="00F470A8">
            <w:pPr>
              <w:widowControl w:val="0"/>
              <w:overflowPunct w:val="0"/>
              <w:spacing w:line="380" w:lineRule="exact"/>
              <w:jc w:val="both"/>
              <w:textAlignment w:val="auto"/>
              <w:rPr>
                <w:rFonts w:ascii="標楷體" w:eastAsia="標楷體" w:hAnsi="標楷體"/>
                <w:szCs w:val="24"/>
              </w:rPr>
            </w:pPr>
            <w:r w:rsidRPr="00C0585C">
              <w:rPr>
                <w:rFonts w:ascii="標楷體" w:eastAsia="標楷體" w:hAnsi="標楷體"/>
                <w:szCs w:val="24"/>
              </w:rPr>
              <w:t>第7屆第8會期第2次院會（100.9.23）決定：「交財政委員會審查」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6D54421" w14:textId="085ABC0C" w:rsidR="006714B7" w:rsidRPr="00C0585C" w:rsidRDefault="006714B7" w:rsidP="00F470A8">
            <w:pPr>
              <w:widowControl w:val="0"/>
              <w:overflowPunct w:val="0"/>
              <w:spacing w:line="340" w:lineRule="exact"/>
              <w:jc w:val="both"/>
              <w:textAlignment w:val="auto"/>
              <w:rPr>
                <w:rFonts w:ascii="標楷體" w:eastAsia="標楷體" w:hAnsi="標楷體"/>
                <w:bCs/>
                <w:kern w:val="2"/>
                <w:szCs w:val="24"/>
              </w:rPr>
            </w:pPr>
            <w:r w:rsidRPr="00C0585C">
              <w:rPr>
                <w:rFonts w:ascii="標楷體" w:eastAsia="標楷體" w:hAnsi="標楷體"/>
                <w:bCs/>
                <w:szCs w:val="24"/>
              </w:rPr>
              <w:t>第8屆第1會期</w:t>
            </w:r>
            <w:r w:rsidR="00665321">
              <w:rPr>
                <w:rFonts w:ascii="標楷體" w:eastAsia="標楷體" w:hAnsi="標楷體" w:hint="eastAsia"/>
                <w:bCs/>
                <w:szCs w:val="24"/>
              </w:rPr>
              <w:t>財政委員</w:t>
            </w:r>
            <w:r w:rsidRPr="00C0585C">
              <w:rPr>
                <w:rFonts w:ascii="標楷體" w:eastAsia="標楷體" w:hAnsi="標楷體"/>
                <w:bCs/>
                <w:szCs w:val="24"/>
              </w:rPr>
              <w:t>會第4次(第1日)</w:t>
            </w:r>
            <w:r w:rsidRPr="00665321">
              <w:rPr>
                <w:rFonts w:ascii="標楷體" w:eastAsia="標楷體" w:hAnsi="標楷體"/>
                <w:bCs/>
                <w:spacing w:val="-20"/>
                <w:szCs w:val="24"/>
              </w:rPr>
              <w:t>全體委員會議</w:t>
            </w:r>
            <w:r w:rsidRPr="00665321">
              <w:rPr>
                <w:rFonts w:ascii="標楷體" w:eastAsia="標楷體" w:hAnsi="標楷體" w:hint="eastAsia"/>
                <w:bCs/>
                <w:spacing w:val="-20"/>
                <w:szCs w:val="24"/>
              </w:rPr>
              <w:t>(</w:t>
            </w:r>
            <w:r w:rsidRPr="00665321">
              <w:rPr>
                <w:rFonts w:ascii="標楷體" w:eastAsia="標楷體" w:hAnsi="標楷體"/>
                <w:bCs/>
                <w:spacing w:val="-20"/>
                <w:szCs w:val="24"/>
              </w:rPr>
              <w:t>101.3.21</w:t>
            </w:r>
            <w:r w:rsidRPr="00665321">
              <w:rPr>
                <w:rFonts w:ascii="標楷體" w:eastAsia="標楷體" w:hAnsi="標楷體" w:hint="eastAsia"/>
                <w:bCs/>
                <w:spacing w:val="-20"/>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EA3988E" w14:textId="77777777" w:rsidR="006714B7" w:rsidRPr="00C0585C" w:rsidRDefault="006714B7" w:rsidP="00F470A8">
            <w:pPr>
              <w:widowControl w:val="0"/>
              <w:overflowPunct w:val="0"/>
              <w:spacing w:line="340" w:lineRule="exact"/>
              <w:ind w:leftChars="-100" w:left="240" w:hangingChars="200" w:hanging="480"/>
              <w:jc w:val="both"/>
              <w:textAlignment w:val="auto"/>
              <w:rPr>
                <w:rFonts w:ascii="標楷體" w:eastAsia="標楷體" w:hAnsi="標楷體"/>
                <w:szCs w:val="24"/>
              </w:rPr>
            </w:pPr>
            <w:r w:rsidRPr="00C0585C">
              <w:rPr>
                <w:rFonts w:ascii="標楷體" w:eastAsia="標楷體" w:hAnsi="標楷體"/>
                <w:szCs w:val="24"/>
              </w:rPr>
              <w:t>1.</w:t>
            </w:r>
            <w:r w:rsidRPr="00C0585C">
              <w:rPr>
                <w:rFonts w:ascii="標楷體" w:eastAsia="標楷體" w:hAnsi="標楷體" w:hint="eastAsia"/>
                <w:szCs w:val="24"/>
              </w:rPr>
              <w:t>1.</w:t>
            </w:r>
            <w:r w:rsidRPr="00C0585C">
              <w:rPr>
                <w:rFonts w:ascii="標楷體" w:eastAsia="標楷體" w:hAnsi="標楷體"/>
                <w:szCs w:val="24"/>
              </w:rPr>
              <w:t>101.3.28函議事處，審查會決議</w:t>
            </w:r>
            <w:r w:rsidRPr="00C0585C">
              <w:rPr>
                <w:rFonts w:ascii="標楷體" w:eastAsia="標楷體" w:hAnsi="標楷體" w:hint="eastAsia"/>
                <w:szCs w:val="24"/>
              </w:rPr>
              <w:t>：</w:t>
            </w:r>
            <w:r w:rsidRPr="00C0585C">
              <w:rPr>
                <w:rFonts w:ascii="標楷體" w:eastAsia="標楷體" w:hAnsi="標楷體"/>
                <w:szCs w:val="24"/>
              </w:rPr>
              <w:t>不須交由黨團協商</w:t>
            </w:r>
            <w:r w:rsidRPr="00C0585C">
              <w:rPr>
                <w:rFonts w:ascii="標楷體" w:eastAsia="標楷體" w:hAnsi="標楷體" w:hint="eastAsia"/>
                <w:szCs w:val="24"/>
              </w:rPr>
              <w:t>。</w:t>
            </w:r>
          </w:p>
          <w:p w14:paraId="05204F04" w14:textId="77777777" w:rsidR="006714B7" w:rsidRPr="00C0585C" w:rsidRDefault="006714B7" w:rsidP="00F470A8">
            <w:pPr>
              <w:widowControl w:val="0"/>
              <w:overflowPunct w:val="0"/>
              <w:spacing w:line="340" w:lineRule="exact"/>
              <w:ind w:leftChars="-100" w:left="240" w:hangingChars="200" w:hanging="480"/>
              <w:jc w:val="both"/>
              <w:textAlignment w:val="auto"/>
            </w:pPr>
            <w:r w:rsidRPr="00C0585C">
              <w:rPr>
                <w:rFonts w:ascii="標楷體" w:eastAsia="標楷體" w:hAnsi="標楷體"/>
                <w:bCs/>
                <w:szCs w:val="24"/>
              </w:rPr>
              <w:t>2.</w:t>
            </w:r>
            <w:r w:rsidRPr="00C0585C">
              <w:rPr>
                <w:rFonts w:ascii="標楷體" w:eastAsia="標楷體" w:hAnsi="標楷體" w:hint="eastAsia"/>
                <w:bCs/>
                <w:szCs w:val="24"/>
              </w:rPr>
              <w:t>2.</w:t>
            </w:r>
            <w:r w:rsidRPr="00C0585C">
              <w:rPr>
                <w:rFonts w:ascii="標楷體" w:eastAsia="標楷體" w:hAnsi="標楷體"/>
                <w:bCs/>
                <w:szCs w:val="24"/>
              </w:rPr>
              <w:t>第8屆第1會期第8</w:t>
            </w:r>
            <w:r w:rsidRPr="00C0585C">
              <w:rPr>
                <w:rFonts w:ascii="標楷體" w:eastAsia="標楷體" w:hAnsi="標楷體"/>
                <w:bCs/>
                <w:spacing w:val="-22"/>
                <w:szCs w:val="24"/>
              </w:rPr>
              <w:t>次院會</w:t>
            </w:r>
            <w:r w:rsidRPr="00C0585C">
              <w:rPr>
                <w:rFonts w:ascii="標楷體" w:eastAsia="標楷體" w:hAnsi="標楷體" w:hint="eastAsia"/>
                <w:bCs/>
                <w:spacing w:val="-22"/>
                <w:szCs w:val="24"/>
              </w:rPr>
              <w:t>(</w:t>
            </w:r>
            <w:r w:rsidRPr="00C0585C">
              <w:rPr>
                <w:rFonts w:ascii="標楷體" w:eastAsia="標楷體" w:hAnsi="標楷體"/>
                <w:bCs/>
                <w:spacing w:val="-22"/>
                <w:szCs w:val="24"/>
              </w:rPr>
              <w:t>101.4.20</w:t>
            </w:r>
            <w:r w:rsidRPr="00C0585C">
              <w:rPr>
                <w:rFonts w:ascii="標楷體" w:eastAsia="標楷體" w:hAnsi="標楷體" w:hint="eastAsia"/>
                <w:bCs/>
                <w:spacing w:val="-22"/>
                <w:szCs w:val="24"/>
              </w:rPr>
              <w:t>)，</w:t>
            </w:r>
            <w:r w:rsidRPr="00C0585C">
              <w:rPr>
                <w:rFonts w:ascii="標楷體" w:eastAsia="標楷體" w:hAnsi="標楷體"/>
                <w:bCs/>
                <w:spacing w:val="-22"/>
                <w:szCs w:val="24"/>
              </w:rPr>
              <w:t>決</w:t>
            </w:r>
            <w:r w:rsidRPr="00C0585C">
              <w:rPr>
                <w:rFonts w:ascii="標楷體" w:eastAsia="標楷體" w:hAnsi="標楷體"/>
                <w:bCs/>
                <w:szCs w:val="24"/>
              </w:rPr>
              <w:t>議</w:t>
            </w:r>
            <w:r w:rsidRPr="00C0585C">
              <w:rPr>
                <w:rFonts w:ascii="標楷體" w:eastAsia="標楷體" w:hAnsi="標楷體" w:hint="eastAsia"/>
                <w:bCs/>
                <w:szCs w:val="24"/>
              </w:rPr>
              <w:t>：</w:t>
            </w:r>
            <w:r w:rsidRPr="00C0585C">
              <w:rPr>
                <w:rFonts w:ascii="標楷體" w:eastAsia="標楷體" w:hAnsi="標楷體"/>
                <w:bCs/>
                <w:szCs w:val="24"/>
              </w:rPr>
              <w:t>交付黨團協商</w:t>
            </w:r>
            <w:r w:rsidRPr="00C0585C">
              <w:rPr>
                <w:rFonts w:ascii="標楷體" w:eastAsia="標楷體" w:hAnsi="標楷體"/>
                <w:szCs w:val="24"/>
              </w:rPr>
              <w:t>。</w:t>
            </w:r>
          </w:p>
        </w:tc>
      </w:tr>
      <w:tr w:rsidR="00C0585C" w:rsidRPr="00C0585C" w14:paraId="024B3428" w14:textId="77777777" w:rsidTr="008D542F">
        <w:trPr>
          <w:trHeight w:val="2062"/>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757BDA8" w14:textId="77777777" w:rsidR="006714B7" w:rsidRPr="00C0585C" w:rsidRDefault="006714B7" w:rsidP="00F470A8">
            <w:pPr>
              <w:overflowPunct w:val="0"/>
              <w:spacing w:line="320" w:lineRule="exact"/>
              <w:jc w:val="both"/>
              <w:textAlignment w:val="auto"/>
              <w:rPr>
                <w:rFonts w:ascii="標楷體" w:eastAsia="標楷體" w:hAnsi="標楷體"/>
                <w:b/>
                <w:bCs/>
                <w:szCs w:val="24"/>
              </w:rPr>
            </w:pPr>
            <w:r w:rsidRPr="00C0585C">
              <w:rPr>
                <w:rFonts w:ascii="標楷體" w:eastAsia="標楷體" w:hAnsi="標楷體" w:hint="eastAsia"/>
                <w:b/>
                <w:bCs/>
                <w:szCs w:val="24"/>
              </w:rPr>
              <w:t xml:space="preserve">  4</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C13968C" w14:textId="77777777" w:rsidR="006714B7" w:rsidRPr="00C0585C" w:rsidRDefault="006714B7" w:rsidP="00F470A8">
            <w:pPr>
              <w:widowControl w:val="0"/>
              <w:overflowPunct w:val="0"/>
              <w:spacing w:line="340" w:lineRule="exact"/>
              <w:jc w:val="both"/>
              <w:textAlignment w:val="auto"/>
              <w:rPr>
                <w:rFonts w:ascii="標楷體" w:eastAsia="標楷體" w:hAnsi="標楷體"/>
                <w:szCs w:val="24"/>
              </w:rPr>
            </w:pPr>
            <w:r w:rsidRPr="00C0585C">
              <w:rPr>
                <w:rFonts w:ascii="標楷體" w:eastAsia="標楷體" w:hAnsi="標楷體"/>
                <w:szCs w:val="24"/>
              </w:rPr>
              <w:t>行政院金融監督管理委員會函送財團法人金融消費評議中心100年度預算書案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6833B65" w14:textId="77777777" w:rsidR="006714B7" w:rsidRPr="00C0585C" w:rsidRDefault="006714B7" w:rsidP="00F470A8">
            <w:pPr>
              <w:widowControl w:val="0"/>
              <w:overflowPunct w:val="0"/>
              <w:spacing w:line="380" w:lineRule="exact"/>
              <w:jc w:val="both"/>
              <w:textAlignment w:val="auto"/>
              <w:rPr>
                <w:rFonts w:ascii="標楷體" w:eastAsia="標楷體" w:hAnsi="標楷體"/>
                <w:spacing w:val="-10"/>
                <w:szCs w:val="24"/>
              </w:rPr>
            </w:pPr>
            <w:r w:rsidRPr="00C0585C">
              <w:rPr>
                <w:rFonts w:ascii="標楷體" w:eastAsia="標楷體" w:hAnsi="標楷體"/>
                <w:spacing w:val="-10"/>
                <w:szCs w:val="24"/>
              </w:rPr>
              <w:t>第7屆第8會期第11次院會（100.11.25）決定：「交財政委員會審查」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38A76EC" w14:textId="2C43FD2E" w:rsidR="006714B7" w:rsidRPr="00C0585C" w:rsidRDefault="006714B7" w:rsidP="00F470A8">
            <w:pPr>
              <w:widowControl w:val="0"/>
              <w:overflowPunct w:val="0"/>
              <w:spacing w:line="340" w:lineRule="exact"/>
              <w:jc w:val="both"/>
              <w:textAlignment w:val="auto"/>
              <w:rPr>
                <w:rFonts w:ascii="標楷體" w:eastAsia="標楷體" w:hAnsi="標楷體"/>
                <w:bCs/>
                <w:szCs w:val="24"/>
              </w:rPr>
            </w:pPr>
            <w:r w:rsidRPr="00C0585C">
              <w:rPr>
                <w:rFonts w:ascii="標楷體" w:eastAsia="標楷體" w:hAnsi="標楷體"/>
                <w:bCs/>
                <w:szCs w:val="24"/>
              </w:rPr>
              <w:t>第8屆第1會期</w:t>
            </w:r>
            <w:r w:rsidR="00665321">
              <w:rPr>
                <w:rFonts w:ascii="標楷體" w:eastAsia="標楷體" w:hAnsi="標楷體" w:hint="eastAsia"/>
                <w:bCs/>
                <w:szCs w:val="24"/>
              </w:rPr>
              <w:t>財政委員</w:t>
            </w:r>
            <w:r w:rsidRPr="00C0585C">
              <w:rPr>
                <w:rFonts w:ascii="標楷體" w:eastAsia="標楷體" w:hAnsi="標楷體"/>
                <w:bCs/>
                <w:szCs w:val="24"/>
              </w:rPr>
              <w:t>會第4次(第1日)</w:t>
            </w:r>
            <w:r w:rsidRPr="00665321">
              <w:rPr>
                <w:rFonts w:ascii="標楷體" w:eastAsia="標楷體" w:hAnsi="標楷體"/>
                <w:bCs/>
                <w:spacing w:val="-20"/>
                <w:szCs w:val="24"/>
              </w:rPr>
              <w:t>全體委員會議</w:t>
            </w:r>
            <w:r w:rsidRPr="00665321">
              <w:rPr>
                <w:rFonts w:ascii="標楷體" w:eastAsia="標楷體" w:hAnsi="標楷體" w:hint="eastAsia"/>
                <w:spacing w:val="-20"/>
                <w:kern w:val="2"/>
                <w:szCs w:val="24"/>
              </w:rPr>
              <w:t>(</w:t>
            </w:r>
            <w:r w:rsidRPr="00665321">
              <w:rPr>
                <w:rFonts w:ascii="標楷體" w:eastAsia="標楷體" w:hAnsi="標楷體"/>
                <w:spacing w:val="-20"/>
                <w:kern w:val="2"/>
                <w:szCs w:val="24"/>
              </w:rPr>
              <w:t>101.3.21</w:t>
            </w:r>
            <w:r w:rsidRPr="00665321">
              <w:rPr>
                <w:rFonts w:ascii="標楷體" w:eastAsia="標楷體" w:hAnsi="標楷體" w:hint="eastAsia"/>
                <w:spacing w:val="-20"/>
                <w:kern w:val="2"/>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200FE6B" w14:textId="77777777" w:rsidR="006714B7" w:rsidRPr="00C0585C" w:rsidRDefault="006714B7" w:rsidP="00F470A8">
            <w:pPr>
              <w:widowControl w:val="0"/>
              <w:overflowPunct w:val="0"/>
              <w:spacing w:line="340" w:lineRule="exact"/>
              <w:ind w:leftChars="-100" w:left="240" w:hangingChars="200" w:hanging="480"/>
              <w:jc w:val="both"/>
              <w:textAlignment w:val="auto"/>
              <w:rPr>
                <w:rFonts w:ascii="標楷體" w:eastAsia="標楷體" w:hAnsi="標楷體"/>
                <w:szCs w:val="24"/>
              </w:rPr>
            </w:pPr>
            <w:r w:rsidRPr="00C0585C">
              <w:rPr>
                <w:rFonts w:ascii="標楷體" w:eastAsia="標楷體" w:hAnsi="標楷體"/>
                <w:szCs w:val="24"/>
              </w:rPr>
              <w:t>1.</w:t>
            </w:r>
            <w:r w:rsidRPr="00C0585C">
              <w:rPr>
                <w:rFonts w:ascii="標楷體" w:eastAsia="標楷體" w:hAnsi="標楷體" w:hint="eastAsia"/>
                <w:szCs w:val="24"/>
              </w:rPr>
              <w:t>1.</w:t>
            </w:r>
            <w:r w:rsidRPr="00C0585C">
              <w:rPr>
                <w:rFonts w:ascii="標楷體" w:eastAsia="標楷體" w:hAnsi="標楷體"/>
                <w:szCs w:val="24"/>
              </w:rPr>
              <w:t>101.3.30函議事處，審查會決議</w:t>
            </w:r>
            <w:r w:rsidRPr="00C0585C">
              <w:rPr>
                <w:rFonts w:ascii="標楷體" w:eastAsia="標楷體" w:hAnsi="標楷體" w:hint="eastAsia"/>
                <w:szCs w:val="24"/>
              </w:rPr>
              <w:t>：</w:t>
            </w:r>
            <w:r w:rsidRPr="00C0585C">
              <w:rPr>
                <w:rFonts w:ascii="標楷體" w:eastAsia="標楷體" w:hAnsi="標楷體"/>
                <w:szCs w:val="24"/>
              </w:rPr>
              <w:t>不須交由黨團協商</w:t>
            </w:r>
            <w:r w:rsidRPr="00C0585C">
              <w:rPr>
                <w:rFonts w:ascii="標楷體" w:eastAsia="標楷體" w:hAnsi="標楷體" w:hint="eastAsia"/>
                <w:szCs w:val="24"/>
              </w:rPr>
              <w:t>。</w:t>
            </w:r>
          </w:p>
          <w:p w14:paraId="2B2D420A" w14:textId="77777777" w:rsidR="006714B7" w:rsidRPr="00C0585C" w:rsidRDefault="006714B7" w:rsidP="00F470A8">
            <w:pPr>
              <w:widowControl w:val="0"/>
              <w:overflowPunct w:val="0"/>
              <w:spacing w:line="340" w:lineRule="exact"/>
              <w:ind w:leftChars="-100" w:left="240" w:hangingChars="200" w:hanging="480"/>
              <w:jc w:val="both"/>
              <w:textAlignment w:val="auto"/>
              <w:rPr>
                <w:rFonts w:ascii="標楷體" w:eastAsia="標楷體" w:hAnsi="標楷體"/>
                <w:szCs w:val="24"/>
              </w:rPr>
            </w:pPr>
            <w:r w:rsidRPr="00C0585C">
              <w:rPr>
                <w:rFonts w:ascii="標楷體" w:eastAsia="標楷體" w:hAnsi="標楷體"/>
                <w:szCs w:val="24"/>
              </w:rPr>
              <w:t>2.</w:t>
            </w:r>
            <w:r w:rsidRPr="00C0585C">
              <w:rPr>
                <w:rFonts w:ascii="標楷體" w:eastAsia="標楷體" w:hAnsi="標楷體" w:hint="eastAsia"/>
                <w:szCs w:val="24"/>
              </w:rPr>
              <w:t>2.</w:t>
            </w:r>
            <w:r w:rsidRPr="00C0585C">
              <w:rPr>
                <w:rFonts w:ascii="標楷體" w:eastAsia="標楷體" w:hAnsi="標楷體"/>
                <w:bCs/>
                <w:kern w:val="2"/>
                <w:szCs w:val="24"/>
              </w:rPr>
              <w:t>第8屆第1會期第8次院會</w:t>
            </w:r>
            <w:r w:rsidRPr="00C0585C">
              <w:rPr>
                <w:rFonts w:ascii="標楷體" w:eastAsia="標楷體" w:hAnsi="標楷體" w:hint="eastAsia"/>
                <w:bCs/>
                <w:kern w:val="2"/>
                <w:szCs w:val="24"/>
              </w:rPr>
              <w:t>(</w:t>
            </w:r>
            <w:r w:rsidRPr="00C0585C">
              <w:rPr>
                <w:rFonts w:ascii="標楷體" w:eastAsia="標楷體" w:hAnsi="標楷體"/>
                <w:bCs/>
                <w:kern w:val="2"/>
                <w:szCs w:val="24"/>
              </w:rPr>
              <w:t>101.4.20</w:t>
            </w:r>
            <w:r w:rsidRPr="00C0585C">
              <w:rPr>
                <w:rFonts w:ascii="標楷體" w:eastAsia="標楷體" w:hAnsi="標楷體" w:hint="eastAsia"/>
                <w:bCs/>
                <w:kern w:val="2"/>
                <w:szCs w:val="24"/>
              </w:rPr>
              <w:t>)，</w:t>
            </w:r>
            <w:r w:rsidRPr="00C0585C">
              <w:rPr>
                <w:rFonts w:ascii="標楷體" w:eastAsia="標楷體" w:hAnsi="標楷體"/>
                <w:bCs/>
                <w:kern w:val="2"/>
                <w:szCs w:val="24"/>
              </w:rPr>
              <w:t>決議</w:t>
            </w:r>
            <w:r w:rsidRPr="00C0585C">
              <w:rPr>
                <w:rFonts w:ascii="標楷體" w:eastAsia="標楷體" w:hAnsi="標楷體" w:hint="eastAsia"/>
                <w:bCs/>
                <w:kern w:val="2"/>
                <w:szCs w:val="24"/>
              </w:rPr>
              <w:t>：</w:t>
            </w:r>
            <w:r w:rsidRPr="00C0585C">
              <w:rPr>
                <w:rFonts w:ascii="標楷體" w:eastAsia="標楷體" w:hAnsi="標楷體"/>
                <w:bCs/>
                <w:kern w:val="2"/>
                <w:szCs w:val="24"/>
              </w:rPr>
              <w:t>交付黨團協商。</w:t>
            </w:r>
          </w:p>
        </w:tc>
      </w:tr>
      <w:tr w:rsidR="00C0585C" w:rsidRPr="00C0585C" w14:paraId="49AA60C2" w14:textId="77777777" w:rsidTr="00E47402">
        <w:trPr>
          <w:trHeight w:val="1268"/>
          <w:tblHeader/>
        </w:trPr>
        <w:tc>
          <w:tcPr>
            <w:tcW w:w="6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A1C90B1" w14:textId="77777777" w:rsidR="006714B7" w:rsidRPr="00C0585C" w:rsidRDefault="006714B7" w:rsidP="00F470A8">
            <w:pPr>
              <w:overflowPunct w:val="0"/>
              <w:spacing w:line="320" w:lineRule="exact"/>
              <w:jc w:val="both"/>
              <w:textAlignment w:val="auto"/>
              <w:rPr>
                <w:rFonts w:ascii="標楷體" w:eastAsia="標楷體" w:hAnsi="標楷體"/>
                <w:b/>
                <w:bCs/>
                <w:szCs w:val="24"/>
              </w:rPr>
            </w:pPr>
            <w:r w:rsidRPr="00C0585C">
              <w:rPr>
                <w:rFonts w:ascii="標楷體" w:eastAsia="標楷體" w:hAnsi="標楷體" w:hint="eastAsia"/>
                <w:b/>
                <w:bCs/>
                <w:szCs w:val="24"/>
              </w:rPr>
              <w:t xml:space="preserve"> </w:t>
            </w:r>
            <w:r w:rsidRPr="00C0585C">
              <w:rPr>
                <w:rFonts w:ascii="標楷體" w:eastAsia="標楷體" w:hAnsi="標楷體"/>
                <w:b/>
                <w:bCs/>
                <w:szCs w:val="24"/>
              </w:rPr>
              <w:t xml:space="preserve"> 5</w:t>
            </w:r>
          </w:p>
        </w:tc>
        <w:tc>
          <w:tcPr>
            <w:tcW w:w="222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4E78595" w14:textId="77777777" w:rsidR="006714B7" w:rsidRPr="00C0585C" w:rsidRDefault="006714B7" w:rsidP="00F470A8">
            <w:pPr>
              <w:widowControl w:val="0"/>
              <w:overflowPunct w:val="0"/>
              <w:jc w:val="both"/>
              <w:textAlignment w:val="auto"/>
              <w:rPr>
                <w:rFonts w:ascii="標楷體" w:eastAsia="標楷體" w:hAnsi="標楷體"/>
                <w:bCs/>
                <w:kern w:val="2"/>
                <w:szCs w:val="24"/>
              </w:rPr>
            </w:pPr>
            <w:r w:rsidRPr="00C0585C">
              <w:rPr>
                <w:rFonts w:ascii="標楷體" w:eastAsia="標楷體" w:hAnsi="標楷體"/>
                <w:bCs/>
                <w:kern w:val="2"/>
                <w:szCs w:val="24"/>
              </w:rPr>
              <w:t>行政院金融監督管理委員會函送財團法人金融消費評議中心101年度預算書案</w:t>
            </w:r>
          </w:p>
        </w:tc>
        <w:tc>
          <w:tcPr>
            <w:tcW w:w="22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0FC8736" w14:textId="77777777" w:rsidR="006714B7" w:rsidRPr="00C0585C" w:rsidRDefault="006714B7" w:rsidP="00F470A8">
            <w:pPr>
              <w:widowControl w:val="0"/>
              <w:overflowPunct w:val="0"/>
              <w:jc w:val="both"/>
              <w:textAlignment w:val="auto"/>
              <w:rPr>
                <w:rFonts w:ascii="標楷體" w:eastAsia="標楷體" w:hAnsi="標楷體"/>
                <w:bCs/>
                <w:kern w:val="2"/>
                <w:szCs w:val="24"/>
              </w:rPr>
            </w:pPr>
            <w:r w:rsidRPr="00C0585C">
              <w:rPr>
                <w:rFonts w:ascii="標楷體" w:eastAsia="標楷體" w:hAnsi="標楷體"/>
                <w:bCs/>
                <w:kern w:val="2"/>
                <w:szCs w:val="24"/>
              </w:rPr>
              <w:t>第7屆第8會期第11次院會（100.11.25）決定：「交財政委員會審查」</w:t>
            </w:r>
          </w:p>
        </w:tc>
        <w:tc>
          <w:tcPr>
            <w:tcW w:w="22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2DBF38B" w14:textId="048B870E" w:rsidR="006714B7" w:rsidRPr="00C0585C" w:rsidRDefault="006714B7" w:rsidP="00F470A8">
            <w:pPr>
              <w:widowControl w:val="0"/>
              <w:overflowPunct w:val="0"/>
              <w:jc w:val="both"/>
              <w:textAlignment w:val="auto"/>
              <w:rPr>
                <w:rFonts w:ascii="標楷體" w:eastAsia="標楷體" w:hAnsi="標楷體"/>
                <w:bCs/>
                <w:kern w:val="2"/>
                <w:szCs w:val="24"/>
              </w:rPr>
            </w:pPr>
            <w:r w:rsidRPr="00C0585C">
              <w:rPr>
                <w:rFonts w:ascii="標楷體" w:eastAsia="標楷體" w:hAnsi="標楷體"/>
                <w:bCs/>
                <w:kern w:val="2"/>
                <w:szCs w:val="24"/>
              </w:rPr>
              <w:t>第8屆第1會期</w:t>
            </w:r>
            <w:r w:rsidR="00665321">
              <w:rPr>
                <w:rFonts w:ascii="標楷體" w:eastAsia="標楷體" w:hAnsi="標楷體" w:hint="eastAsia"/>
                <w:bCs/>
                <w:kern w:val="2"/>
                <w:szCs w:val="24"/>
              </w:rPr>
              <w:t>財政委員</w:t>
            </w:r>
            <w:r w:rsidRPr="00C0585C">
              <w:rPr>
                <w:rFonts w:ascii="標楷體" w:eastAsia="標楷體" w:hAnsi="標楷體"/>
                <w:bCs/>
                <w:kern w:val="2"/>
                <w:szCs w:val="24"/>
              </w:rPr>
              <w:t>會第4次(第1日)全體委員會議</w:t>
            </w:r>
            <w:r w:rsidRPr="00665321">
              <w:rPr>
                <w:rFonts w:ascii="標楷體" w:eastAsia="標楷體" w:hAnsi="標楷體" w:hint="eastAsia"/>
                <w:bCs/>
                <w:spacing w:val="-20"/>
                <w:kern w:val="2"/>
                <w:szCs w:val="24"/>
              </w:rPr>
              <w:t>(</w:t>
            </w:r>
            <w:r w:rsidRPr="00665321">
              <w:rPr>
                <w:rFonts w:ascii="標楷體" w:eastAsia="標楷體" w:hAnsi="標楷體"/>
                <w:bCs/>
                <w:spacing w:val="-20"/>
                <w:kern w:val="2"/>
                <w:szCs w:val="24"/>
              </w:rPr>
              <w:t>101.3.21</w:t>
            </w:r>
            <w:r w:rsidRPr="00665321">
              <w:rPr>
                <w:rFonts w:ascii="標楷體" w:eastAsia="標楷體" w:hAnsi="標楷體" w:hint="eastAsia"/>
                <w:bCs/>
                <w:spacing w:val="-20"/>
                <w:kern w:val="2"/>
                <w:szCs w:val="24"/>
              </w:rPr>
              <w:t>)</w:t>
            </w:r>
          </w:p>
        </w:tc>
        <w:tc>
          <w:tcPr>
            <w:tcW w:w="243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B1AD591" w14:textId="77777777" w:rsidR="006714B7" w:rsidRPr="00C0585C" w:rsidRDefault="006714B7" w:rsidP="00F470A8">
            <w:pPr>
              <w:widowControl w:val="0"/>
              <w:overflowPunct w:val="0"/>
              <w:spacing w:line="340" w:lineRule="exact"/>
              <w:ind w:leftChars="-100" w:left="240" w:hangingChars="200" w:hanging="480"/>
              <w:jc w:val="both"/>
              <w:textAlignment w:val="auto"/>
              <w:rPr>
                <w:rFonts w:ascii="標楷體" w:eastAsia="標楷體" w:hAnsi="標楷體"/>
                <w:szCs w:val="24"/>
              </w:rPr>
            </w:pPr>
            <w:r w:rsidRPr="00C0585C">
              <w:rPr>
                <w:rFonts w:ascii="標楷體" w:eastAsia="標楷體" w:hAnsi="標楷體" w:hint="eastAsia"/>
                <w:szCs w:val="24"/>
              </w:rPr>
              <w:t>1.</w:t>
            </w:r>
            <w:r w:rsidRPr="00C0585C">
              <w:rPr>
                <w:rFonts w:ascii="標楷體" w:eastAsia="標楷體" w:hAnsi="標楷體"/>
                <w:szCs w:val="24"/>
              </w:rPr>
              <w:t>1.101.3.30函議事處，審查會決議</w:t>
            </w:r>
            <w:r w:rsidRPr="00C0585C">
              <w:rPr>
                <w:rFonts w:ascii="標楷體" w:eastAsia="標楷體" w:hAnsi="標楷體" w:hint="eastAsia"/>
                <w:szCs w:val="24"/>
              </w:rPr>
              <w:t>：</w:t>
            </w:r>
            <w:r w:rsidRPr="00C0585C">
              <w:rPr>
                <w:rFonts w:ascii="標楷體" w:eastAsia="標楷體" w:hAnsi="標楷體"/>
                <w:szCs w:val="24"/>
              </w:rPr>
              <w:t>不須交由黨團協商</w:t>
            </w:r>
            <w:r w:rsidRPr="00C0585C">
              <w:rPr>
                <w:rFonts w:ascii="標楷體" w:eastAsia="標楷體" w:hAnsi="標楷體" w:hint="eastAsia"/>
                <w:szCs w:val="24"/>
              </w:rPr>
              <w:t>。</w:t>
            </w:r>
          </w:p>
          <w:p w14:paraId="5F7FECC0" w14:textId="77777777" w:rsidR="006714B7" w:rsidRPr="00C0585C" w:rsidRDefault="006714B7" w:rsidP="00F470A8">
            <w:pPr>
              <w:widowControl w:val="0"/>
              <w:overflowPunct w:val="0"/>
              <w:ind w:left="240" w:right="1" w:hangingChars="100" w:hanging="240"/>
              <w:jc w:val="both"/>
              <w:textAlignment w:val="auto"/>
              <w:rPr>
                <w:rFonts w:ascii="標楷體" w:eastAsia="標楷體" w:hAnsi="標楷體"/>
                <w:bCs/>
                <w:kern w:val="2"/>
                <w:szCs w:val="24"/>
              </w:rPr>
            </w:pPr>
            <w:r w:rsidRPr="00C0585C">
              <w:rPr>
                <w:rFonts w:ascii="標楷體" w:eastAsia="標楷體" w:hAnsi="標楷體" w:hint="eastAsia"/>
                <w:szCs w:val="24"/>
              </w:rPr>
              <w:t>2.</w:t>
            </w:r>
            <w:r w:rsidRPr="00C0585C">
              <w:rPr>
                <w:rFonts w:ascii="標楷體" w:eastAsia="標楷體" w:hAnsi="標楷體"/>
                <w:bCs/>
                <w:kern w:val="2"/>
                <w:szCs w:val="24"/>
              </w:rPr>
              <w:t>第8屆第1會期第8次</w:t>
            </w:r>
            <w:r w:rsidRPr="00C0585C">
              <w:rPr>
                <w:rFonts w:ascii="標楷體" w:eastAsia="標楷體" w:hAnsi="標楷體"/>
                <w:bCs/>
                <w:kern w:val="2"/>
                <w:szCs w:val="24"/>
              </w:rPr>
              <w:lastRenderedPageBreak/>
              <w:t>院會</w:t>
            </w:r>
            <w:r w:rsidRPr="00C0585C">
              <w:rPr>
                <w:rFonts w:ascii="標楷體" w:eastAsia="標楷體" w:hAnsi="標楷體" w:hint="eastAsia"/>
                <w:bCs/>
                <w:kern w:val="2"/>
                <w:szCs w:val="24"/>
              </w:rPr>
              <w:t>(</w:t>
            </w:r>
            <w:r w:rsidRPr="00C0585C">
              <w:rPr>
                <w:rFonts w:ascii="標楷體" w:eastAsia="標楷體" w:hAnsi="標楷體"/>
                <w:bCs/>
                <w:kern w:val="2"/>
                <w:szCs w:val="24"/>
              </w:rPr>
              <w:t>101.4.20</w:t>
            </w:r>
            <w:r w:rsidRPr="00C0585C">
              <w:rPr>
                <w:rFonts w:ascii="標楷體" w:eastAsia="標楷體" w:hAnsi="標楷體" w:hint="eastAsia"/>
                <w:bCs/>
                <w:kern w:val="2"/>
                <w:szCs w:val="24"/>
              </w:rPr>
              <w:t>)，</w:t>
            </w:r>
            <w:r w:rsidRPr="00C0585C">
              <w:rPr>
                <w:rFonts w:ascii="標楷體" w:eastAsia="標楷體" w:hAnsi="標楷體"/>
                <w:bCs/>
                <w:kern w:val="2"/>
                <w:szCs w:val="24"/>
              </w:rPr>
              <w:t>決議</w:t>
            </w:r>
            <w:r w:rsidRPr="00C0585C">
              <w:rPr>
                <w:rFonts w:ascii="標楷體" w:eastAsia="標楷體" w:hAnsi="標楷體" w:hint="eastAsia"/>
                <w:bCs/>
                <w:kern w:val="2"/>
                <w:szCs w:val="24"/>
              </w:rPr>
              <w:t>：</w:t>
            </w:r>
            <w:r w:rsidRPr="00C0585C">
              <w:rPr>
                <w:rFonts w:ascii="標楷體" w:eastAsia="標楷體" w:hAnsi="標楷體"/>
                <w:bCs/>
                <w:kern w:val="2"/>
                <w:szCs w:val="24"/>
              </w:rPr>
              <w:t>交付黨團協商。</w:t>
            </w:r>
          </w:p>
        </w:tc>
      </w:tr>
      <w:tr w:rsidR="00C0585C" w:rsidRPr="00C0585C" w14:paraId="303335B1" w14:textId="77777777" w:rsidTr="00E47402">
        <w:trPr>
          <w:trHeight w:val="2835"/>
          <w:tblHeader/>
        </w:trPr>
        <w:tc>
          <w:tcPr>
            <w:tcW w:w="610"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284ED89B" w14:textId="77777777" w:rsidR="006714B7" w:rsidRPr="00C0585C" w:rsidRDefault="006714B7" w:rsidP="00F470A8">
            <w:pPr>
              <w:overflowPunct w:val="0"/>
              <w:spacing w:line="320" w:lineRule="exact"/>
              <w:jc w:val="both"/>
              <w:textAlignment w:val="auto"/>
              <w:rPr>
                <w:rFonts w:ascii="標楷體" w:eastAsia="標楷體" w:hAnsi="標楷體"/>
                <w:b/>
                <w:bCs/>
                <w:szCs w:val="24"/>
              </w:rPr>
            </w:pPr>
            <w:r w:rsidRPr="00C0585C">
              <w:rPr>
                <w:rFonts w:ascii="標楷體" w:eastAsia="標楷體" w:hAnsi="標楷體" w:hint="eastAsia"/>
                <w:b/>
                <w:bCs/>
                <w:szCs w:val="24"/>
              </w:rPr>
              <w:lastRenderedPageBreak/>
              <w:t xml:space="preserve">  6</w:t>
            </w:r>
          </w:p>
        </w:tc>
        <w:tc>
          <w:tcPr>
            <w:tcW w:w="2225"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73D87BE3" w14:textId="77777777" w:rsidR="006714B7" w:rsidRPr="00C0585C" w:rsidRDefault="006714B7" w:rsidP="00D023ED">
            <w:pPr>
              <w:widowControl w:val="0"/>
              <w:overflowPunct w:val="0"/>
              <w:spacing w:line="340" w:lineRule="exact"/>
              <w:jc w:val="both"/>
              <w:textAlignment w:val="auto"/>
              <w:rPr>
                <w:rFonts w:ascii="標楷體" w:eastAsia="標楷體" w:hAnsi="標楷體"/>
                <w:szCs w:val="24"/>
              </w:rPr>
            </w:pPr>
            <w:r w:rsidRPr="00C0585C">
              <w:rPr>
                <w:rFonts w:ascii="標楷體" w:eastAsia="標楷體" w:hAnsi="標楷體"/>
                <w:bCs/>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暨財團法人金融消費評議中心等103年度預算書案</w:t>
            </w:r>
          </w:p>
        </w:tc>
        <w:tc>
          <w:tcPr>
            <w:tcW w:w="2268"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53159B8A" w14:textId="77777777" w:rsidR="006714B7" w:rsidRPr="00C0585C" w:rsidRDefault="006714B7" w:rsidP="00F470A8">
            <w:pPr>
              <w:widowControl w:val="0"/>
              <w:overflowPunct w:val="0"/>
              <w:spacing w:line="380" w:lineRule="exact"/>
              <w:jc w:val="both"/>
              <w:textAlignment w:val="auto"/>
              <w:rPr>
                <w:rFonts w:ascii="標楷體" w:eastAsia="標楷體" w:hAnsi="標楷體"/>
                <w:szCs w:val="24"/>
              </w:rPr>
            </w:pPr>
            <w:r w:rsidRPr="00C0585C">
              <w:rPr>
                <w:rFonts w:ascii="標楷體" w:eastAsia="標楷體" w:hAnsi="標楷體"/>
                <w:szCs w:val="24"/>
              </w:rPr>
              <w:t>第8屆第4會期第4次院會（102.10.4）決定：「交財政委員會審查」</w:t>
            </w:r>
          </w:p>
        </w:tc>
        <w:tc>
          <w:tcPr>
            <w:tcW w:w="2269"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7EFCE282" w14:textId="24F63DB4" w:rsidR="006714B7" w:rsidRPr="00C0585C" w:rsidRDefault="006714B7" w:rsidP="00F470A8">
            <w:pPr>
              <w:widowControl w:val="0"/>
              <w:overflowPunct w:val="0"/>
              <w:spacing w:line="340" w:lineRule="exact"/>
              <w:jc w:val="both"/>
              <w:textAlignment w:val="auto"/>
              <w:rPr>
                <w:rFonts w:ascii="標楷體" w:eastAsia="標楷體" w:hAnsi="標楷體"/>
                <w:bCs/>
                <w:szCs w:val="24"/>
              </w:rPr>
            </w:pPr>
            <w:r w:rsidRPr="00C0585C">
              <w:rPr>
                <w:rFonts w:ascii="標楷體" w:eastAsia="標楷體" w:hAnsi="標楷體"/>
                <w:bCs/>
                <w:szCs w:val="24"/>
              </w:rPr>
              <w:t>第8屆第4會期</w:t>
            </w:r>
            <w:r w:rsidR="00665321">
              <w:rPr>
                <w:rFonts w:ascii="標楷體" w:eastAsia="標楷體" w:hAnsi="標楷體" w:hint="eastAsia"/>
                <w:bCs/>
                <w:szCs w:val="24"/>
              </w:rPr>
              <w:t>財政委員會</w:t>
            </w:r>
            <w:r w:rsidRPr="00C0585C">
              <w:rPr>
                <w:rFonts w:ascii="標楷體" w:eastAsia="標楷體" w:hAnsi="標楷體"/>
                <w:bCs/>
                <w:szCs w:val="24"/>
              </w:rPr>
              <w:t>第12次(第1日)全體委員會議</w:t>
            </w:r>
            <w:r w:rsidRPr="00665321">
              <w:rPr>
                <w:rFonts w:ascii="標楷體" w:eastAsia="標楷體" w:hAnsi="標楷體" w:hint="eastAsia"/>
                <w:bCs/>
                <w:szCs w:val="24"/>
              </w:rPr>
              <w:t>(</w:t>
            </w:r>
            <w:r w:rsidRPr="00665321">
              <w:rPr>
                <w:rFonts w:ascii="標楷體" w:eastAsia="標楷體" w:hAnsi="標楷體"/>
                <w:bCs/>
                <w:szCs w:val="24"/>
              </w:rPr>
              <w:t>102.12.9</w:t>
            </w:r>
            <w:r w:rsidRPr="00665321">
              <w:rPr>
                <w:rFonts w:ascii="標楷體" w:eastAsia="標楷體" w:hAnsi="標楷體" w:hint="eastAsia"/>
                <w:bCs/>
                <w:szCs w:val="24"/>
              </w:rPr>
              <w:t>)</w:t>
            </w:r>
          </w:p>
        </w:tc>
        <w:tc>
          <w:tcPr>
            <w:tcW w:w="2437"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468A8C36" w14:textId="77777777" w:rsidR="006714B7" w:rsidRPr="00C0585C" w:rsidRDefault="006714B7" w:rsidP="00F470A8">
            <w:pPr>
              <w:widowControl w:val="0"/>
              <w:overflowPunct w:val="0"/>
              <w:spacing w:line="380" w:lineRule="exact"/>
              <w:ind w:left="240" w:hanging="238"/>
              <w:jc w:val="both"/>
              <w:textAlignment w:val="auto"/>
              <w:rPr>
                <w:rFonts w:ascii="標楷體" w:eastAsia="標楷體" w:hAnsi="標楷體"/>
                <w:spacing w:val="-20"/>
                <w:kern w:val="2"/>
                <w:szCs w:val="24"/>
              </w:rPr>
            </w:pPr>
            <w:r w:rsidRPr="00C0585C">
              <w:rPr>
                <w:rFonts w:ascii="標楷體" w:eastAsia="標楷體" w:hAnsi="標楷體"/>
                <w:spacing w:val="-20"/>
                <w:kern w:val="2"/>
                <w:szCs w:val="24"/>
              </w:rPr>
              <w:t>1.102.12.18函議事處，審查會決議</w:t>
            </w:r>
            <w:r w:rsidRPr="00C0585C">
              <w:rPr>
                <w:rFonts w:ascii="標楷體" w:eastAsia="標楷體" w:hAnsi="標楷體" w:hint="eastAsia"/>
                <w:spacing w:val="-20"/>
                <w:kern w:val="2"/>
                <w:szCs w:val="24"/>
              </w:rPr>
              <w:t>：</w:t>
            </w:r>
            <w:r w:rsidRPr="00C0585C">
              <w:rPr>
                <w:rFonts w:ascii="標楷體" w:eastAsia="標楷體" w:hAnsi="標楷體"/>
                <w:spacing w:val="-20"/>
                <w:kern w:val="2"/>
                <w:szCs w:val="24"/>
              </w:rPr>
              <w:t>不須交由黨團協商</w:t>
            </w:r>
            <w:r w:rsidRPr="00C0585C">
              <w:rPr>
                <w:rFonts w:ascii="標楷體" w:eastAsia="標楷體" w:hAnsi="標楷體" w:hint="eastAsia"/>
                <w:spacing w:val="-20"/>
                <w:kern w:val="2"/>
                <w:szCs w:val="24"/>
              </w:rPr>
              <w:t>。</w:t>
            </w:r>
          </w:p>
          <w:p w14:paraId="4C31DE8A" w14:textId="77777777" w:rsidR="006714B7" w:rsidRPr="00C0585C" w:rsidRDefault="006714B7" w:rsidP="00F470A8">
            <w:pPr>
              <w:widowControl w:val="0"/>
              <w:overflowPunct w:val="0"/>
              <w:spacing w:line="380" w:lineRule="exact"/>
              <w:ind w:left="253" w:hanging="238"/>
              <w:jc w:val="both"/>
              <w:textAlignment w:val="auto"/>
              <w:rPr>
                <w:rFonts w:ascii="標楷體" w:eastAsia="標楷體" w:hAnsi="標楷體"/>
                <w:szCs w:val="24"/>
              </w:rPr>
            </w:pPr>
            <w:r w:rsidRPr="00C0585C">
              <w:rPr>
                <w:rFonts w:ascii="標楷體" w:eastAsia="標楷體" w:hAnsi="標楷體"/>
                <w:spacing w:val="-20"/>
                <w:kern w:val="2"/>
                <w:szCs w:val="24"/>
              </w:rPr>
              <w:t>2.</w:t>
            </w:r>
            <w:r w:rsidRPr="00C0585C">
              <w:rPr>
                <w:rFonts w:ascii="標楷體" w:eastAsia="標楷體" w:hAnsi="標楷體"/>
                <w:bCs/>
                <w:spacing w:val="-20"/>
                <w:kern w:val="2"/>
                <w:szCs w:val="24"/>
              </w:rPr>
              <w:t>第8屆第4會期第16次院</w:t>
            </w:r>
            <w:r w:rsidRPr="00C0585C">
              <w:rPr>
                <w:rFonts w:ascii="標楷體" w:eastAsia="標楷體" w:hAnsi="標楷體"/>
                <w:bCs/>
                <w:kern w:val="2"/>
                <w:szCs w:val="24"/>
              </w:rPr>
              <w:t>會</w:t>
            </w:r>
            <w:r w:rsidRPr="00C0585C">
              <w:rPr>
                <w:rFonts w:ascii="標楷體" w:eastAsia="標楷體" w:hAnsi="標楷體" w:hint="eastAsia"/>
                <w:bCs/>
                <w:kern w:val="2"/>
                <w:szCs w:val="24"/>
              </w:rPr>
              <w:t>(</w:t>
            </w:r>
            <w:r w:rsidRPr="00C0585C">
              <w:rPr>
                <w:rFonts w:ascii="標楷體" w:eastAsia="標楷體" w:hAnsi="標楷體"/>
                <w:bCs/>
                <w:kern w:val="2"/>
                <w:szCs w:val="24"/>
              </w:rPr>
              <w:t>102.12.31</w:t>
            </w:r>
            <w:r w:rsidRPr="00C0585C">
              <w:rPr>
                <w:rFonts w:ascii="標楷體" w:eastAsia="標楷體" w:hAnsi="標楷體" w:hint="eastAsia"/>
                <w:bCs/>
                <w:kern w:val="2"/>
                <w:szCs w:val="24"/>
              </w:rPr>
              <w:t>)，</w:t>
            </w:r>
            <w:r w:rsidRPr="00C0585C">
              <w:rPr>
                <w:rFonts w:ascii="標楷體" w:eastAsia="標楷體" w:hAnsi="標楷體"/>
                <w:bCs/>
                <w:kern w:val="2"/>
                <w:szCs w:val="24"/>
              </w:rPr>
              <w:t>決議：交黨團協商。</w:t>
            </w:r>
          </w:p>
        </w:tc>
      </w:tr>
    </w:tbl>
    <w:p w14:paraId="3D16FC58" w14:textId="77777777" w:rsidR="006714B7" w:rsidRPr="00464A6F" w:rsidRDefault="006714B7" w:rsidP="00F470A8">
      <w:pPr>
        <w:overflowPunct w:val="0"/>
        <w:autoSpaceDN/>
        <w:textAlignment w:val="auto"/>
        <w:rPr>
          <w:color w:val="FF0000"/>
          <w:sz w:val="28"/>
          <w:szCs w:val="28"/>
        </w:rPr>
      </w:pPr>
      <w:r w:rsidRPr="00464A6F">
        <w:rPr>
          <w:color w:val="FF0000"/>
          <w:sz w:val="28"/>
          <w:szCs w:val="28"/>
        </w:rPr>
        <w:br w:type="page"/>
      </w:r>
    </w:p>
    <w:p w14:paraId="56772B70" w14:textId="77777777" w:rsidR="006714B7" w:rsidRPr="00464A6F" w:rsidRDefault="006714B7" w:rsidP="00F470A8">
      <w:pPr>
        <w:overflowPunct w:val="0"/>
        <w:autoSpaceDN/>
        <w:textAlignment w:val="auto"/>
        <w:rPr>
          <w:color w:val="FF0000"/>
          <w:sz w:val="28"/>
          <w:szCs w:val="28"/>
        </w:rPr>
      </w:pPr>
    </w:p>
    <w:p w14:paraId="4D4974D6" w14:textId="291343CC" w:rsidR="006714B7" w:rsidRPr="00640FAB" w:rsidRDefault="006714B7" w:rsidP="00F470A8">
      <w:pPr>
        <w:pStyle w:val="2"/>
        <w:numPr>
          <w:ilvl w:val="0"/>
          <w:numId w:val="0"/>
        </w:numPr>
        <w:overflowPunct w:val="0"/>
        <w:spacing w:line="480" w:lineRule="exact"/>
        <w:ind w:left="927" w:hanging="567"/>
        <w:rPr>
          <w:rFonts w:ascii="標楷體" w:eastAsia="標楷體" w:hAnsi="標楷體"/>
          <w:sz w:val="32"/>
          <w:szCs w:val="32"/>
        </w:rPr>
      </w:pPr>
      <w:bookmarkStart w:id="77" w:name="_Toc189487299"/>
      <w:r w:rsidRPr="00640FAB">
        <w:rPr>
          <w:rFonts w:ascii="標楷體" w:eastAsia="標楷體" w:hAnsi="標楷體" w:hint="eastAsia"/>
          <w:sz w:val="32"/>
          <w:szCs w:val="32"/>
        </w:rPr>
        <w:t>三、動支第二預備金案(</w:t>
      </w:r>
      <w:r w:rsidR="00640FAB" w:rsidRPr="00640FAB">
        <w:rPr>
          <w:rFonts w:ascii="標楷體" w:eastAsia="標楷體" w:hAnsi="標楷體" w:hint="eastAsia"/>
          <w:sz w:val="32"/>
          <w:szCs w:val="32"/>
        </w:rPr>
        <w:t>34</w:t>
      </w:r>
      <w:r w:rsidRPr="00640FAB">
        <w:rPr>
          <w:rFonts w:ascii="標楷體" w:eastAsia="標楷體" w:hAnsi="標楷體" w:hint="eastAsia"/>
          <w:sz w:val="32"/>
          <w:szCs w:val="32"/>
        </w:rPr>
        <w:t>案)</w:t>
      </w:r>
      <w:bookmarkEnd w:id="77"/>
    </w:p>
    <w:tbl>
      <w:tblPr>
        <w:tblW w:w="9781" w:type="dxa"/>
        <w:tblInd w:w="28" w:type="dxa"/>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676"/>
        <w:gridCol w:w="3719"/>
        <w:gridCol w:w="1842"/>
        <w:gridCol w:w="1701"/>
        <w:gridCol w:w="1843"/>
      </w:tblGrid>
      <w:tr w:rsidR="00640FAB" w:rsidRPr="00640FAB" w14:paraId="05048A74" w14:textId="77777777" w:rsidTr="00D023ED">
        <w:trPr>
          <w:trHeight w:val="496"/>
        </w:trPr>
        <w:tc>
          <w:tcPr>
            <w:tcW w:w="676" w:type="dxa"/>
            <w:tcBorders>
              <w:top w:val="single" w:sz="12" w:space="0" w:color="000000"/>
              <w:bottom w:val="single" w:sz="12" w:space="0" w:color="000000"/>
            </w:tcBorders>
            <w:tcMar>
              <w:top w:w="0" w:type="dxa"/>
              <w:left w:w="28" w:type="dxa"/>
              <w:bottom w:w="0" w:type="dxa"/>
              <w:right w:w="28" w:type="dxa"/>
            </w:tcMar>
            <w:vAlign w:val="center"/>
          </w:tcPr>
          <w:p w14:paraId="16141847" w14:textId="77777777" w:rsidR="006714B7" w:rsidRPr="00640FAB" w:rsidRDefault="006714B7" w:rsidP="00F470A8">
            <w:pPr>
              <w:widowControl w:val="0"/>
              <w:overflowPunct w:val="0"/>
              <w:spacing w:line="300" w:lineRule="exact"/>
              <w:jc w:val="center"/>
              <w:textAlignment w:val="auto"/>
              <w:rPr>
                <w:rFonts w:ascii="標楷體" w:eastAsia="標楷體" w:hAnsi="標楷體"/>
                <w:b/>
                <w:bCs/>
                <w:szCs w:val="24"/>
              </w:rPr>
            </w:pPr>
            <w:r w:rsidRPr="00640FAB">
              <w:rPr>
                <w:rFonts w:ascii="標楷體" w:eastAsia="標楷體" w:hAnsi="標楷體" w:hint="eastAsia"/>
                <w:b/>
                <w:bCs/>
                <w:szCs w:val="24"/>
              </w:rPr>
              <w:t>序</w:t>
            </w:r>
            <w:r w:rsidRPr="00640FAB">
              <w:rPr>
                <w:rFonts w:ascii="標楷體" w:eastAsia="標楷體" w:hAnsi="標楷體"/>
                <w:b/>
                <w:bCs/>
                <w:szCs w:val="24"/>
              </w:rPr>
              <w:t>號</w:t>
            </w:r>
          </w:p>
        </w:tc>
        <w:tc>
          <w:tcPr>
            <w:tcW w:w="3719" w:type="dxa"/>
            <w:tcBorders>
              <w:top w:val="single" w:sz="12" w:space="0" w:color="000000"/>
              <w:bottom w:val="single" w:sz="12" w:space="0" w:color="000000"/>
            </w:tcBorders>
            <w:tcMar>
              <w:top w:w="0" w:type="dxa"/>
              <w:left w:w="28" w:type="dxa"/>
              <w:bottom w:w="0" w:type="dxa"/>
              <w:right w:w="28" w:type="dxa"/>
            </w:tcMar>
            <w:vAlign w:val="center"/>
          </w:tcPr>
          <w:p w14:paraId="1BF409CD" w14:textId="77777777" w:rsidR="006714B7" w:rsidRPr="00640FAB" w:rsidRDefault="006714B7" w:rsidP="00F470A8">
            <w:pPr>
              <w:widowControl w:val="0"/>
              <w:overflowPunct w:val="0"/>
              <w:spacing w:line="300" w:lineRule="exact"/>
              <w:jc w:val="center"/>
              <w:textAlignment w:val="auto"/>
              <w:rPr>
                <w:rFonts w:ascii="標楷體" w:eastAsia="標楷體" w:hAnsi="標楷體"/>
                <w:b/>
                <w:bCs/>
                <w:szCs w:val="24"/>
              </w:rPr>
            </w:pPr>
            <w:r w:rsidRPr="00640FAB">
              <w:rPr>
                <w:rFonts w:ascii="標楷體" w:eastAsia="標楷體" w:hAnsi="標楷體"/>
                <w:b/>
                <w:bCs/>
                <w:szCs w:val="24"/>
              </w:rPr>
              <w:t>議</w:t>
            </w:r>
            <w:r w:rsidRPr="00640FAB">
              <w:rPr>
                <w:rFonts w:ascii="標楷體" w:eastAsia="標楷體" w:hAnsi="標楷體" w:hint="eastAsia"/>
                <w:b/>
                <w:bCs/>
                <w:szCs w:val="24"/>
              </w:rPr>
              <w:t xml:space="preserve"> </w:t>
            </w:r>
            <w:r w:rsidRPr="00640FAB">
              <w:rPr>
                <w:rFonts w:ascii="標楷體" w:eastAsia="標楷體" w:hAnsi="標楷體"/>
                <w:b/>
                <w:bCs/>
                <w:szCs w:val="24"/>
              </w:rPr>
              <w:t xml:space="preserve">  案</w:t>
            </w:r>
            <w:r w:rsidRPr="00640FAB">
              <w:rPr>
                <w:rFonts w:ascii="標楷體" w:eastAsia="標楷體" w:hAnsi="標楷體" w:hint="eastAsia"/>
                <w:b/>
                <w:bCs/>
                <w:szCs w:val="24"/>
              </w:rPr>
              <w:t xml:space="preserve"> </w:t>
            </w:r>
            <w:r w:rsidRPr="00640FAB">
              <w:rPr>
                <w:rFonts w:ascii="標楷體" w:eastAsia="標楷體" w:hAnsi="標楷體"/>
                <w:b/>
                <w:bCs/>
                <w:szCs w:val="24"/>
              </w:rPr>
              <w:t xml:space="preserve">  名</w:t>
            </w:r>
            <w:r w:rsidRPr="00640FAB">
              <w:rPr>
                <w:rFonts w:ascii="標楷體" w:eastAsia="標楷體" w:hAnsi="標楷體" w:hint="eastAsia"/>
                <w:b/>
                <w:bCs/>
                <w:szCs w:val="24"/>
              </w:rPr>
              <w:t xml:space="preserve"> </w:t>
            </w:r>
            <w:r w:rsidRPr="00640FAB">
              <w:rPr>
                <w:rFonts w:ascii="標楷體" w:eastAsia="標楷體" w:hAnsi="標楷體"/>
                <w:b/>
                <w:bCs/>
                <w:szCs w:val="24"/>
              </w:rPr>
              <w:t xml:space="preserve">  稱</w:t>
            </w:r>
          </w:p>
        </w:tc>
        <w:tc>
          <w:tcPr>
            <w:tcW w:w="1842" w:type="dxa"/>
            <w:tcBorders>
              <w:top w:val="single" w:sz="12" w:space="0" w:color="000000"/>
              <w:bottom w:val="single" w:sz="12" w:space="0" w:color="000000"/>
            </w:tcBorders>
            <w:tcMar>
              <w:top w:w="0" w:type="dxa"/>
              <w:left w:w="28" w:type="dxa"/>
              <w:bottom w:w="0" w:type="dxa"/>
              <w:right w:w="28" w:type="dxa"/>
            </w:tcMar>
          </w:tcPr>
          <w:p w14:paraId="7C28C52D" w14:textId="77777777" w:rsidR="006714B7" w:rsidRPr="00640FAB" w:rsidRDefault="006714B7" w:rsidP="00F470A8">
            <w:pPr>
              <w:widowControl w:val="0"/>
              <w:overflowPunct w:val="0"/>
              <w:spacing w:line="300" w:lineRule="exact"/>
              <w:jc w:val="center"/>
              <w:textAlignment w:val="auto"/>
              <w:rPr>
                <w:rFonts w:ascii="標楷體" w:eastAsia="標楷體" w:hAnsi="標楷體"/>
                <w:b/>
                <w:bCs/>
                <w:spacing w:val="102"/>
                <w:kern w:val="2"/>
                <w:szCs w:val="24"/>
              </w:rPr>
            </w:pPr>
            <w:r w:rsidRPr="00640FAB">
              <w:rPr>
                <w:rFonts w:ascii="標楷體" w:eastAsia="標楷體" w:hAnsi="標楷體"/>
                <w:b/>
                <w:bCs/>
                <w:spacing w:val="102"/>
                <w:kern w:val="2"/>
                <w:szCs w:val="24"/>
              </w:rPr>
              <w:t>院會交付</w:t>
            </w:r>
          </w:p>
          <w:p w14:paraId="43214908" w14:textId="77777777" w:rsidR="006714B7" w:rsidRPr="00640FAB" w:rsidRDefault="006714B7" w:rsidP="00F470A8">
            <w:pPr>
              <w:widowControl w:val="0"/>
              <w:overflowPunct w:val="0"/>
              <w:spacing w:line="300" w:lineRule="exact"/>
              <w:ind w:firstLineChars="70" w:firstLine="182"/>
              <w:jc w:val="both"/>
              <w:textAlignment w:val="auto"/>
              <w:rPr>
                <w:b/>
              </w:rPr>
            </w:pPr>
            <w:r w:rsidRPr="00640FAB">
              <w:rPr>
                <w:rFonts w:ascii="標楷體" w:eastAsia="標楷體" w:hAnsi="標楷體" w:hint="eastAsia"/>
                <w:b/>
                <w:bCs/>
                <w:spacing w:val="20"/>
                <w:szCs w:val="24"/>
              </w:rPr>
              <w:t>日</w:t>
            </w:r>
            <w:r w:rsidRPr="00640FAB">
              <w:rPr>
                <w:rFonts w:ascii="標楷體" w:eastAsia="標楷體" w:hAnsi="標楷體"/>
                <w:b/>
                <w:bCs/>
                <w:spacing w:val="20"/>
                <w:szCs w:val="24"/>
              </w:rPr>
              <w:t>期</w:t>
            </w:r>
            <w:r w:rsidRPr="00640FAB">
              <w:rPr>
                <w:rFonts w:ascii="標楷體" w:eastAsia="標楷體" w:hAnsi="標楷體" w:hint="eastAsia"/>
                <w:b/>
                <w:bCs/>
                <w:spacing w:val="20"/>
                <w:szCs w:val="24"/>
              </w:rPr>
              <w:t>及</w:t>
            </w:r>
            <w:r w:rsidRPr="00640FAB">
              <w:rPr>
                <w:rFonts w:ascii="標楷體" w:eastAsia="標楷體" w:hAnsi="標楷體"/>
                <w:b/>
                <w:bCs/>
                <w:spacing w:val="20"/>
                <w:szCs w:val="24"/>
              </w:rPr>
              <w:t>會次</w:t>
            </w:r>
          </w:p>
        </w:tc>
        <w:tc>
          <w:tcPr>
            <w:tcW w:w="1701" w:type="dxa"/>
            <w:tcBorders>
              <w:top w:val="single" w:sz="12" w:space="0" w:color="000000"/>
              <w:bottom w:val="single" w:sz="12" w:space="0" w:color="000000"/>
            </w:tcBorders>
            <w:tcMar>
              <w:top w:w="0" w:type="dxa"/>
              <w:left w:w="28" w:type="dxa"/>
              <w:bottom w:w="0" w:type="dxa"/>
              <w:right w:w="28" w:type="dxa"/>
            </w:tcMar>
            <w:vAlign w:val="center"/>
          </w:tcPr>
          <w:p w14:paraId="6EFB9125" w14:textId="77777777" w:rsidR="006714B7" w:rsidRPr="00640FAB" w:rsidRDefault="006714B7" w:rsidP="00F470A8">
            <w:pPr>
              <w:widowControl w:val="0"/>
              <w:overflowPunct w:val="0"/>
              <w:snapToGrid w:val="0"/>
              <w:spacing w:line="300" w:lineRule="exact"/>
              <w:jc w:val="center"/>
              <w:textAlignment w:val="auto"/>
              <w:rPr>
                <w:rFonts w:ascii="標楷體" w:eastAsia="標楷體" w:hAnsi="標楷體"/>
                <w:b/>
                <w:spacing w:val="-20"/>
                <w:szCs w:val="24"/>
              </w:rPr>
            </w:pPr>
            <w:r w:rsidRPr="00640FAB">
              <w:rPr>
                <w:rFonts w:ascii="標楷體" w:eastAsia="標楷體" w:hAnsi="標楷體"/>
                <w:b/>
                <w:spacing w:val="-20"/>
                <w:szCs w:val="24"/>
              </w:rPr>
              <w:t>審 查 會 審 竣</w:t>
            </w:r>
          </w:p>
          <w:p w14:paraId="43FC1F18" w14:textId="77777777" w:rsidR="006714B7" w:rsidRPr="00640FAB" w:rsidRDefault="006714B7" w:rsidP="00F470A8">
            <w:pPr>
              <w:widowControl w:val="0"/>
              <w:overflowPunct w:val="0"/>
              <w:spacing w:line="300" w:lineRule="exact"/>
              <w:jc w:val="center"/>
              <w:textAlignment w:val="auto"/>
              <w:rPr>
                <w:b/>
              </w:rPr>
            </w:pPr>
            <w:r w:rsidRPr="00640FAB">
              <w:rPr>
                <w:rFonts w:ascii="標楷體" w:eastAsia="標楷體" w:hAnsi="標楷體"/>
                <w:b/>
                <w:spacing w:val="-20"/>
                <w:szCs w:val="24"/>
              </w:rPr>
              <w:t>日 期 及 會 次</w:t>
            </w:r>
          </w:p>
        </w:tc>
        <w:tc>
          <w:tcPr>
            <w:tcW w:w="1843" w:type="dxa"/>
            <w:tcBorders>
              <w:top w:val="single" w:sz="12" w:space="0" w:color="000000"/>
              <w:bottom w:val="single" w:sz="12" w:space="0" w:color="000000"/>
            </w:tcBorders>
            <w:tcMar>
              <w:top w:w="0" w:type="dxa"/>
              <w:left w:w="28" w:type="dxa"/>
              <w:bottom w:w="0" w:type="dxa"/>
              <w:right w:w="28" w:type="dxa"/>
            </w:tcMar>
            <w:vAlign w:val="center"/>
          </w:tcPr>
          <w:p w14:paraId="3A41AFDD" w14:textId="77777777" w:rsidR="006714B7" w:rsidRPr="00640FAB" w:rsidRDefault="006714B7" w:rsidP="00F470A8">
            <w:pPr>
              <w:widowControl w:val="0"/>
              <w:overflowPunct w:val="0"/>
              <w:spacing w:line="300" w:lineRule="exact"/>
              <w:jc w:val="center"/>
              <w:textAlignment w:val="auto"/>
              <w:rPr>
                <w:rFonts w:ascii="標楷體" w:eastAsia="標楷體" w:hAnsi="標楷體"/>
                <w:b/>
                <w:bCs/>
                <w:spacing w:val="-20"/>
                <w:szCs w:val="24"/>
              </w:rPr>
            </w:pPr>
            <w:r w:rsidRPr="00640FAB">
              <w:rPr>
                <w:rFonts w:ascii="標楷體" w:eastAsia="標楷體" w:hAnsi="標楷體"/>
                <w:b/>
                <w:bCs/>
                <w:spacing w:val="-20"/>
                <w:szCs w:val="24"/>
              </w:rPr>
              <w:t>備      註</w:t>
            </w:r>
          </w:p>
        </w:tc>
      </w:tr>
      <w:tr w:rsidR="00E47402" w:rsidRPr="00640FAB" w14:paraId="4E252F5E" w14:textId="77777777" w:rsidTr="00D023ED">
        <w:trPr>
          <w:cantSplit/>
          <w:trHeight w:val="2001"/>
        </w:trPr>
        <w:tc>
          <w:tcPr>
            <w:tcW w:w="676" w:type="dxa"/>
            <w:tcBorders>
              <w:top w:val="single" w:sz="12" w:space="0" w:color="000000"/>
            </w:tcBorders>
            <w:tcMar>
              <w:top w:w="0" w:type="dxa"/>
              <w:left w:w="28" w:type="dxa"/>
              <w:bottom w:w="0" w:type="dxa"/>
              <w:right w:w="28" w:type="dxa"/>
            </w:tcMar>
          </w:tcPr>
          <w:p w14:paraId="1A403D77"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w:t>
            </w:r>
          </w:p>
        </w:tc>
        <w:tc>
          <w:tcPr>
            <w:tcW w:w="3719" w:type="dxa"/>
            <w:tcBorders>
              <w:top w:val="single" w:sz="12" w:space="0" w:color="000000"/>
            </w:tcBorders>
            <w:tcMar>
              <w:top w:w="0" w:type="dxa"/>
              <w:left w:w="28" w:type="dxa"/>
              <w:bottom w:w="0" w:type="dxa"/>
              <w:right w:w="28" w:type="dxa"/>
            </w:tcMar>
          </w:tcPr>
          <w:p w14:paraId="2D82AFFC" w14:textId="77777777" w:rsidR="00E47402" w:rsidRPr="00640FAB" w:rsidRDefault="00E47402" w:rsidP="00D023ED">
            <w:pPr>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行政院函請審議「95年度中央政府總預算第二預備金動支數額表」案（另含第二預備金動支數額機關別表12案）</w:t>
            </w:r>
            <w:r w:rsidRPr="00640FAB">
              <w:rPr>
                <w:rFonts w:ascii="標楷體" w:eastAsia="標楷體" w:hAnsi="標楷體" w:hint="eastAsia"/>
                <w:szCs w:val="24"/>
              </w:rPr>
              <w:t>。</w:t>
            </w:r>
          </w:p>
        </w:tc>
        <w:tc>
          <w:tcPr>
            <w:tcW w:w="1842" w:type="dxa"/>
            <w:tcBorders>
              <w:top w:val="single" w:sz="12" w:space="0" w:color="000000"/>
            </w:tcBorders>
            <w:tcMar>
              <w:top w:w="0" w:type="dxa"/>
              <w:left w:w="28" w:type="dxa"/>
              <w:bottom w:w="0" w:type="dxa"/>
              <w:right w:w="28" w:type="dxa"/>
            </w:tcMar>
          </w:tcPr>
          <w:p w14:paraId="09A62167" w14:textId="77777777" w:rsidR="00E47402" w:rsidRPr="00640FAB" w:rsidRDefault="00E47402" w:rsidP="00D023ED">
            <w:pPr>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pacing w:val="-20"/>
                <w:szCs w:val="24"/>
              </w:rPr>
              <w:t>第6屆第5會期第1次院會(96.2.27)決</w:t>
            </w:r>
            <w:r w:rsidRPr="00640FAB">
              <w:rPr>
                <w:rFonts w:ascii="標楷體" w:eastAsia="標楷體" w:hAnsi="標楷體"/>
                <w:szCs w:val="24"/>
              </w:rPr>
              <w:t>定：「交預算及決算委員會會同有關委員會審查」</w:t>
            </w:r>
          </w:p>
        </w:tc>
        <w:tc>
          <w:tcPr>
            <w:tcW w:w="1701" w:type="dxa"/>
            <w:vMerge w:val="restart"/>
            <w:tcBorders>
              <w:top w:val="single" w:sz="12" w:space="0" w:color="000000"/>
              <w:bottom w:val="single" w:sz="4" w:space="0" w:color="000000"/>
            </w:tcBorders>
            <w:tcMar>
              <w:top w:w="0" w:type="dxa"/>
              <w:left w:w="28" w:type="dxa"/>
              <w:bottom w:w="0" w:type="dxa"/>
              <w:right w:w="28" w:type="dxa"/>
            </w:tcMar>
          </w:tcPr>
          <w:p w14:paraId="455C3180" w14:textId="77777777" w:rsidR="00E47402" w:rsidRPr="00640FAB" w:rsidRDefault="00E47402" w:rsidP="00D023ED">
            <w:pPr>
              <w:widowControl w:val="0"/>
              <w:overflowPunct w:val="0"/>
              <w:spacing w:line="340" w:lineRule="exact"/>
              <w:jc w:val="both"/>
              <w:textAlignment w:val="auto"/>
              <w:rPr>
                <w:rFonts w:ascii="標楷體" w:eastAsia="標楷體" w:hAnsi="標楷體"/>
              </w:rPr>
            </w:pPr>
            <w:r w:rsidRPr="00640FAB">
              <w:rPr>
                <w:rFonts w:ascii="標楷體" w:eastAsia="標楷體" w:hAnsi="標楷體" w:hint="eastAsia"/>
                <w:spacing w:val="-16"/>
                <w:szCs w:val="24"/>
              </w:rPr>
              <w:t>第7屆第1會期</w:t>
            </w:r>
            <w:r w:rsidRPr="00640FAB">
              <w:rPr>
                <w:rFonts w:ascii="標楷體" w:eastAsia="標楷體" w:hAnsi="標楷體"/>
                <w:spacing w:val="-16"/>
                <w:szCs w:val="24"/>
              </w:rPr>
              <w:t>財政、</w:t>
            </w:r>
            <w:r w:rsidRPr="00640FAB">
              <w:rPr>
                <w:rFonts w:ascii="標楷體" w:eastAsia="標楷體" w:hAnsi="標楷體"/>
                <w:spacing w:val="-20"/>
                <w:szCs w:val="24"/>
              </w:rPr>
              <w:t>內政、外交及國防、經濟、教育及文化、交通、司法及法制、衛生環境及勞工委員會</w:t>
            </w:r>
            <w:r w:rsidRPr="00640FAB">
              <w:rPr>
                <w:rFonts w:ascii="標楷體" w:eastAsia="標楷體" w:hAnsi="標楷體"/>
                <w:szCs w:val="24"/>
              </w:rPr>
              <w:t>舉行第1次聯席會議</w:t>
            </w:r>
            <w:r w:rsidRPr="00640FAB">
              <w:rPr>
                <w:rFonts w:ascii="標楷體" w:eastAsia="標楷體" w:hAnsi="標楷體" w:hint="eastAsia"/>
                <w:szCs w:val="24"/>
              </w:rPr>
              <w:t>(</w:t>
            </w:r>
            <w:r w:rsidRPr="00640FAB">
              <w:rPr>
                <w:rFonts w:ascii="標楷體" w:eastAsia="標楷體" w:hAnsi="標楷體"/>
                <w:spacing w:val="-16"/>
                <w:szCs w:val="24"/>
              </w:rPr>
              <w:t>97.4.9</w:t>
            </w:r>
            <w:r w:rsidRPr="00640FAB">
              <w:rPr>
                <w:rFonts w:ascii="標楷體" w:eastAsia="標楷體" w:hAnsi="標楷體" w:hint="eastAsia"/>
                <w:szCs w:val="24"/>
              </w:rPr>
              <w:t>)</w:t>
            </w:r>
          </w:p>
          <w:p w14:paraId="7CE3E778"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rPr>
            </w:pPr>
          </w:p>
        </w:tc>
        <w:tc>
          <w:tcPr>
            <w:tcW w:w="1843" w:type="dxa"/>
            <w:vMerge w:val="restart"/>
            <w:tcBorders>
              <w:top w:val="single" w:sz="12" w:space="0" w:color="000000"/>
              <w:bottom w:val="single" w:sz="4" w:space="0" w:color="000000"/>
            </w:tcBorders>
            <w:tcMar>
              <w:top w:w="0" w:type="dxa"/>
              <w:left w:w="28" w:type="dxa"/>
              <w:bottom w:w="0" w:type="dxa"/>
              <w:right w:w="28" w:type="dxa"/>
            </w:tcMar>
          </w:tcPr>
          <w:p w14:paraId="4E33DCFB" w14:textId="77777777" w:rsidR="00E47402" w:rsidRPr="00640FAB" w:rsidRDefault="00E47402" w:rsidP="00D023ED">
            <w:pPr>
              <w:widowControl w:val="0"/>
              <w:overflowPunct w:val="0"/>
              <w:spacing w:line="340" w:lineRule="exact"/>
              <w:jc w:val="both"/>
              <w:textAlignment w:val="auto"/>
              <w:rPr>
                <w:rFonts w:ascii="標楷體" w:eastAsia="標楷體" w:hAnsi="標楷體"/>
              </w:rPr>
            </w:pPr>
            <w:r w:rsidRPr="00640FAB">
              <w:rPr>
                <w:rFonts w:ascii="標楷體" w:eastAsia="標楷體" w:hAnsi="標楷體"/>
                <w:spacing w:val="-20"/>
                <w:szCs w:val="24"/>
              </w:rPr>
              <w:t>97.4.14</w:t>
            </w:r>
            <w:r w:rsidRPr="00640FAB">
              <w:rPr>
                <w:rFonts w:ascii="標楷體" w:eastAsia="標楷體" w:hAnsi="標楷體"/>
                <w:szCs w:val="24"/>
              </w:rPr>
              <w:t>函議事處</w:t>
            </w:r>
            <w:r w:rsidRPr="00640FAB">
              <w:rPr>
                <w:rFonts w:ascii="標楷體" w:eastAsia="標楷體" w:hAnsi="標楷體" w:hint="eastAsia"/>
                <w:szCs w:val="24"/>
              </w:rPr>
              <w:t>(計27案)</w:t>
            </w:r>
            <w:r w:rsidRPr="00640FAB">
              <w:rPr>
                <w:rFonts w:ascii="標楷體" w:eastAsia="標楷體" w:hAnsi="標楷體"/>
                <w:szCs w:val="24"/>
              </w:rPr>
              <w:t>，聯席會決議</w:t>
            </w:r>
            <w:r w:rsidRPr="00640FAB">
              <w:rPr>
                <w:rFonts w:ascii="標楷體" w:eastAsia="標楷體" w:hAnsi="標楷體" w:hint="eastAsia"/>
                <w:szCs w:val="24"/>
              </w:rPr>
              <w:t>：</w:t>
            </w:r>
            <w:r w:rsidRPr="00640FAB">
              <w:rPr>
                <w:rFonts w:ascii="標楷體" w:eastAsia="標楷體" w:hAnsi="標楷體"/>
                <w:szCs w:val="24"/>
              </w:rPr>
              <w:t>不須交由黨團協商。</w:t>
            </w:r>
          </w:p>
          <w:p w14:paraId="36B162B9"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rPr>
            </w:pPr>
          </w:p>
        </w:tc>
      </w:tr>
      <w:tr w:rsidR="00E47402" w:rsidRPr="00640FAB" w14:paraId="60D33305" w14:textId="77777777" w:rsidTr="00D023ED">
        <w:trPr>
          <w:cantSplit/>
          <w:trHeight w:val="1718"/>
        </w:trPr>
        <w:tc>
          <w:tcPr>
            <w:tcW w:w="676" w:type="dxa"/>
            <w:tcMar>
              <w:top w:w="0" w:type="dxa"/>
              <w:left w:w="28" w:type="dxa"/>
              <w:bottom w:w="0" w:type="dxa"/>
              <w:right w:w="28" w:type="dxa"/>
            </w:tcMar>
          </w:tcPr>
          <w:p w14:paraId="03971307"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w:t>
            </w:r>
          </w:p>
        </w:tc>
        <w:tc>
          <w:tcPr>
            <w:tcW w:w="3719" w:type="dxa"/>
            <w:tcMar>
              <w:top w:w="0" w:type="dxa"/>
              <w:left w:w="28" w:type="dxa"/>
              <w:bottom w:w="0" w:type="dxa"/>
              <w:right w:w="28" w:type="dxa"/>
            </w:tcMar>
          </w:tcPr>
          <w:p w14:paraId="55C199E8"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6"/>
                <w:szCs w:val="24"/>
              </w:rPr>
            </w:pPr>
            <w:r w:rsidRPr="00640FAB">
              <w:rPr>
                <w:rFonts w:ascii="標楷體" w:eastAsia="標楷體" w:hAnsi="標楷體"/>
                <w:spacing w:val="-6"/>
                <w:szCs w:val="24"/>
              </w:rPr>
              <w:t>行政院函送第二預備金動支數額機關別表，有關內政部入出國及移民署成立所需開辦費不敷4億8,016萬8,000元，動支95年度中央政府總預算第二預備金支應案</w:t>
            </w:r>
            <w:r w:rsidRPr="00640FAB">
              <w:rPr>
                <w:rFonts w:ascii="標楷體" w:eastAsia="標楷體" w:hAnsi="標楷體" w:hint="eastAsia"/>
                <w:spacing w:val="-6"/>
                <w:szCs w:val="24"/>
              </w:rPr>
              <w:t>。</w:t>
            </w:r>
          </w:p>
        </w:tc>
        <w:tc>
          <w:tcPr>
            <w:tcW w:w="1842" w:type="dxa"/>
            <w:tcMar>
              <w:top w:w="0" w:type="dxa"/>
              <w:left w:w="28" w:type="dxa"/>
              <w:bottom w:w="0" w:type="dxa"/>
              <w:right w:w="28" w:type="dxa"/>
            </w:tcMar>
          </w:tcPr>
          <w:p w14:paraId="7F3A331E"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第6屆第4會期第14次院會(95.12.29)決定：「交預算及決算、內政及民族兩委員會審查」</w:t>
            </w:r>
          </w:p>
        </w:tc>
        <w:tc>
          <w:tcPr>
            <w:tcW w:w="1701" w:type="dxa"/>
            <w:vMerge/>
            <w:tcBorders>
              <w:top w:val="single" w:sz="4" w:space="0" w:color="000000"/>
              <w:bottom w:val="single" w:sz="4" w:space="0" w:color="000000"/>
            </w:tcBorders>
            <w:tcMar>
              <w:top w:w="0" w:type="dxa"/>
              <w:left w:w="28" w:type="dxa"/>
              <w:bottom w:w="0" w:type="dxa"/>
              <w:right w:w="28" w:type="dxa"/>
            </w:tcMar>
          </w:tcPr>
          <w:p w14:paraId="76C7FDEE" w14:textId="77777777" w:rsidR="00E47402" w:rsidRPr="00640FAB" w:rsidRDefault="00E47402" w:rsidP="00D023ED">
            <w:pPr>
              <w:widowControl w:val="0"/>
              <w:overflowPunct w:val="0"/>
              <w:spacing w:line="340" w:lineRule="exact"/>
              <w:jc w:val="both"/>
              <w:textAlignment w:val="auto"/>
              <w:rPr>
                <w:rFonts w:ascii="標楷體" w:eastAsia="標楷體" w:hAnsi="標楷體"/>
                <w:spacing w:val="-16"/>
                <w:szCs w:val="24"/>
              </w:rPr>
            </w:pPr>
          </w:p>
        </w:tc>
        <w:tc>
          <w:tcPr>
            <w:tcW w:w="1843" w:type="dxa"/>
            <w:vMerge/>
            <w:tcBorders>
              <w:top w:val="single" w:sz="4" w:space="0" w:color="000000"/>
              <w:bottom w:val="single" w:sz="4" w:space="0" w:color="000000"/>
            </w:tcBorders>
            <w:tcMar>
              <w:top w:w="0" w:type="dxa"/>
              <w:left w:w="28" w:type="dxa"/>
              <w:bottom w:w="0" w:type="dxa"/>
              <w:right w:w="28" w:type="dxa"/>
            </w:tcMar>
          </w:tcPr>
          <w:p w14:paraId="7165935C" w14:textId="77777777" w:rsidR="00E47402" w:rsidRPr="00640FAB" w:rsidRDefault="00E47402" w:rsidP="00D023ED">
            <w:pPr>
              <w:widowControl w:val="0"/>
              <w:overflowPunct w:val="0"/>
              <w:spacing w:line="340" w:lineRule="exact"/>
              <w:jc w:val="both"/>
              <w:textAlignment w:val="auto"/>
              <w:rPr>
                <w:rFonts w:ascii="標楷體" w:eastAsia="標楷體" w:hAnsi="標楷體"/>
                <w:spacing w:val="-20"/>
                <w:szCs w:val="24"/>
              </w:rPr>
            </w:pPr>
          </w:p>
        </w:tc>
      </w:tr>
      <w:tr w:rsidR="00E47402" w:rsidRPr="00640FAB" w14:paraId="1459799D" w14:textId="77777777" w:rsidTr="00D023ED">
        <w:trPr>
          <w:cantSplit/>
          <w:trHeight w:val="2082"/>
        </w:trPr>
        <w:tc>
          <w:tcPr>
            <w:tcW w:w="676" w:type="dxa"/>
            <w:tcMar>
              <w:top w:w="0" w:type="dxa"/>
              <w:left w:w="28" w:type="dxa"/>
              <w:bottom w:w="0" w:type="dxa"/>
              <w:right w:w="28" w:type="dxa"/>
            </w:tcMar>
          </w:tcPr>
          <w:p w14:paraId="215937BC"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3</w:t>
            </w:r>
          </w:p>
        </w:tc>
        <w:tc>
          <w:tcPr>
            <w:tcW w:w="3719" w:type="dxa"/>
            <w:tcMar>
              <w:top w:w="0" w:type="dxa"/>
              <w:left w:w="28" w:type="dxa"/>
              <w:bottom w:w="0" w:type="dxa"/>
              <w:right w:w="28" w:type="dxa"/>
            </w:tcMar>
          </w:tcPr>
          <w:p w14:paraId="76BBF6DE"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行政院函送第二預備金動支數額機關別表，有關內政部</w:t>
            </w:r>
            <w:r w:rsidRPr="00640FAB">
              <w:rPr>
                <w:rFonts w:ascii="標楷體" w:eastAsia="標楷體" w:hAnsi="標楷體" w:hint="eastAsia"/>
                <w:szCs w:val="24"/>
              </w:rPr>
              <w:t>辦理「台北都會區環河快速道路系統整體發展計畫」因業務量增加致經費不敷</w:t>
            </w:r>
            <w:r w:rsidRPr="00640FAB">
              <w:rPr>
                <w:rFonts w:ascii="標楷體" w:eastAsia="標楷體" w:hAnsi="標楷體"/>
                <w:szCs w:val="24"/>
              </w:rPr>
              <w:t>5億</w:t>
            </w:r>
            <w:r w:rsidRPr="00640FAB">
              <w:rPr>
                <w:rFonts w:ascii="標楷體" w:eastAsia="標楷體" w:hAnsi="標楷體" w:hint="eastAsia"/>
                <w:szCs w:val="24"/>
              </w:rPr>
              <w:t>5</w:t>
            </w:r>
            <w:r w:rsidRPr="00640FAB">
              <w:rPr>
                <w:rFonts w:ascii="標楷體" w:eastAsia="標楷體" w:hAnsi="標楷體"/>
                <w:szCs w:val="24"/>
              </w:rPr>
              <w:t>,000萬元，動支中央政府總預算第二預備金支應案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23FA9F1B"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第6屆第4會期第15次院會(96.1.5)決定：「交預算及決算、</w:t>
            </w:r>
            <w:r w:rsidRPr="00640FAB">
              <w:rPr>
                <w:rFonts w:ascii="標楷體" w:eastAsia="標楷體" w:hAnsi="標楷體" w:hint="eastAsia"/>
                <w:spacing w:val="-20"/>
                <w:szCs w:val="24"/>
              </w:rPr>
              <w:t>內政</w:t>
            </w:r>
            <w:r w:rsidRPr="00640FAB">
              <w:rPr>
                <w:rFonts w:ascii="標楷體" w:eastAsia="標楷體" w:hAnsi="標楷體"/>
                <w:spacing w:val="-20"/>
                <w:szCs w:val="24"/>
              </w:rPr>
              <w:t>兩委員會審查」</w:t>
            </w:r>
          </w:p>
        </w:tc>
        <w:tc>
          <w:tcPr>
            <w:tcW w:w="1701" w:type="dxa"/>
            <w:vMerge/>
            <w:tcBorders>
              <w:top w:val="single" w:sz="4" w:space="0" w:color="000000"/>
              <w:bottom w:val="single" w:sz="4" w:space="0" w:color="000000"/>
            </w:tcBorders>
            <w:tcMar>
              <w:top w:w="0" w:type="dxa"/>
              <w:left w:w="28" w:type="dxa"/>
              <w:bottom w:w="0" w:type="dxa"/>
              <w:right w:w="28" w:type="dxa"/>
            </w:tcMar>
          </w:tcPr>
          <w:p w14:paraId="60B69D68" w14:textId="77777777" w:rsidR="00E47402" w:rsidRPr="00640FAB" w:rsidRDefault="00E47402" w:rsidP="00D023ED">
            <w:pPr>
              <w:widowControl w:val="0"/>
              <w:overflowPunct w:val="0"/>
              <w:spacing w:line="340" w:lineRule="exact"/>
              <w:jc w:val="both"/>
              <w:textAlignment w:val="auto"/>
              <w:rPr>
                <w:rFonts w:ascii="標楷體" w:eastAsia="標楷體" w:hAnsi="標楷體"/>
                <w:spacing w:val="-16"/>
                <w:szCs w:val="24"/>
              </w:rPr>
            </w:pPr>
          </w:p>
        </w:tc>
        <w:tc>
          <w:tcPr>
            <w:tcW w:w="1843" w:type="dxa"/>
            <w:vMerge/>
            <w:tcBorders>
              <w:top w:val="single" w:sz="4" w:space="0" w:color="000000"/>
              <w:bottom w:val="single" w:sz="4" w:space="0" w:color="000000"/>
            </w:tcBorders>
            <w:tcMar>
              <w:top w:w="0" w:type="dxa"/>
              <w:left w:w="28" w:type="dxa"/>
              <w:bottom w:w="0" w:type="dxa"/>
              <w:right w:w="28" w:type="dxa"/>
            </w:tcMar>
          </w:tcPr>
          <w:p w14:paraId="58C18D60" w14:textId="77777777" w:rsidR="00E47402" w:rsidRPr="00640FAB" w:rsidRDefault="00E47402" w:rsidP="00D023ED">
            <w:pPr>
              <w:widowControl w:val="0"/>
              <w:overflowPunct w:val="0"/>
              <w:spacing w:line="340" w:lineRule="exact"/>
              <w:jc w:val="both"/>
              <w:textAlignment w:val="auto"/>
              <w:rPr>
                <w:rFonts w:ascii="標楷體" w:eastAsia="標楷體" w:hAnsi="標楷體"/>
                <w:spacing w:val="-20"/>
                <w:szCs w:val="24"/>
              </w:rPr>
            </w:pPr>
          </w:p>
        </w:tc>
      </w:tr>
      <w:tr w:rsidR="00E47402" w:rsidRPr="00640FAB" w14:paraId="547E3F26" w14:textId="77777777" w:rsidTr="00D023ED">
        <w:trPr>
          <w:cantSplit/>
          <w:trHeight w:val="2000"/>
        </w:trPr>
        <w:tc>
          <w:tcPr>
            <w:tcW w:w="676" w:type="dxa"/>
            <w:tcMar>
              <w:top w:w="0" w:type="dxa"/>
              <w:left w:w="28" w:type="dxa"/>
              <w:bottom w:w="0" w:type="dxa"/>
              <w:right w:w="28" w:type="dxa"/>
            </w:tcMar>
          </w:tcPr>
          <w:p w14:paraId="479B386D"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4</w:t>
            </w:r>
          </w:p>
        </w:tc>
        <w:tc>
          <w:tcPr>
            <w:tcW w:w="3719" w:type="dxa"/>
            <w:tcMar>
              <w:top w:w="0" w:type="dxa"/>
              <w:left w:w="28" w:type="dxa"/>
              <w:bottom w:w="0" w:type="dxa"/>
              <w:right w:w="28" w:type="dxa"/>
            </w:tcMar>
          </w:tcPr>
          <w:p w14:paraId="28D096E0"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6"/>
                <w:szCs w:val="24"/>
              </w:rPr>
            </w:pPr>
            <w:r w:rsidRPr="00640FAB">
              <w:rPr>
                <w:rFonts w:ascii="標楷體" w:eastAsia="標楷體" w:hAnsi="標楷體"/>
                <w:spacing w:val="-6"/>
                <w:szCs w:val="24"/>
              </w:rPr>
              <w:t>行政院函送第二預備金動支數額機關別表，有關行政院國軍退除役官兵輔導委員會因就養榮民人數遞減趨勢減緩，致原列就養費不敷，動支本（95）年度中央政府總預算第二預備金2億元支應案</w:t>
            </w:r>
            <w:r w:rsidRPr="00640FAB">
              <w:rPr>
                <w:rFonts w:ascii="標楷體" w:eastAsia="標楷體" w:hAnsi="標楷體" w:hint="eastAsia"/>
                <w:spacing w:val="-6"/>
                <w:szCs w:val="24"/>
              </w:rPr>
              <w:t>。</w:t>
            </w:r>
          </w:p>
        </w:tc>
        <w:tc>
          <w:tcPr>
            <w:tcW w:w="1842" w:type="dxa"/>
            <w:tcMar>
              <w:top w:w="0" w:type="dxa"/>
              <w:left w:w="28" w:type="dxa"/>
              <w:bottom w:w="0" w:type="dxa"/>
              <w:right w:w="28" w:type="dxa"/>
            </w:tcMar>
          </w:tcPr>
          <w:p w14:paraId="6538CAB7"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第6屆第4會期第14次院會(95.12.29）決定：「交預算及決算、國防兩委員會審查」</w:t>
            </w:r>
          </w:p>
        </w:tc>
        <w:tc>
          <w:tcPr>
            <w:tcW w:w="1701" w:type="dxa"/>
            <w:vMerge/>
            <w:tcBorders>
              <w:top w:val="single" w:sz="4" w:space="0" w:color="000000"/>
              <w:bottom w:val="single" w:sz="4" w:space="0" w:color="000000"/>
            </w:tcBorders>
            <w:tcMar>
              <w:top w:w="0" w:type="dxa"/>
              <w:left w:w="28" w:type="dxa"/>
              <w:bottom w:w="0" w:type="dxa"/>
              <w:right w:w="28" w:type="dxa"/>
            </w:tcMar>
          </w:tcPr>
          <w:p w14:paraId="4EC5C94A" w14:textId="77777777" w:rsidR="00E47402" w:rsidRPr="00640FAB" w:rsidRDefault="00E47402" w:rsidP="00D023ED">
            <w:pPr>
              <w:widowControl w:val="0"/>
              <w:overflowPunct w:val="0"/>
              <w:spacing w:line="340" w:lineRule="exact"/>
              <w:jc w:val="both"/>
              <w:textAlignment w:val="auto"/>
              <w:rPr>
                <w:rFonts w:ascii="標楷體" w:eastAsia="標楷體" w:hAnsi="標楷體"/>
                <w:spacing w:val="-16"/>
                <w:szCs w:val="24"/>
              </w:rPr>
            </w:pPr>
          </w:p>
        </w:tc>
        <w:tc>
          <w:tcPr>
            <w:tcW w:w="1843" w:type="dxa"/>
            <w:vMerge/>
            <w:tcBorders>
              <w:top w:val="single" w:sz="4" w:space="0" w:color="000000"/>
              <w:bottom w:val="single" w:sz="4" w:space="0" w:color="000000"/>
            </w:tcBorders>
            <w:tcMar>
              <w:top w:w="0" w:type="dxa"/>
              <w:left w:w="28" w:type="dxa"/>
              <w:bottom w:w="0" w:type="dxa"/>
              <w:right w:w="28" w:type="dxa"/>
            </w:tcMar>
          </w:tcPr>
          <w:p w14:paraId="14C7EA8F" w14:textId="77777777" w:rsidR="00E47402" w:rsidRPr="00640FAB" w:rsidRDefault="00E47402" w:rsidP="00D023ED">
            <w:pPr>
              <w:widowControl w:val="0"/>
              <w:overflowPunct w:val="0"/>
              <w:spacing w:line="340" w:lineRule="exact"/>
              <w:jc w:val="both"/>
              <w:textAlignment w:val="auto"/>
              <w:rPr>
                <w:rFonts w:ascii="標楷體" w:eastAsia="標楷體" w:hAnsi="標楷體"/>
                <w:spacing w:val="-20"/>
                <w:szCs w:val="24"/>
              </w:rPr>
            </w:pPr>
          </w:p>
        </w:tc>
      </w:tr>
      <w:tr w:rsidR="00E47402" w:rsidRPr="00640FAB" w14:paraId="108BC70B" w14:textId="77777777" w:rsidTr="00D023ED">
        <w:trPr>
          <w:cantSplit/>
          <w:trHeight w:val="2024"/>
        </w:trPr>
        <w:tc>
          <w:tcPr>
            <w:tcW w:w="676" w:type="dxa"/>
            <w:tcBorders>
              <w:bottom w:val="single" w:sz="4" w:space="0" w:color="000000"/>
            </w:tcBorders>
            <w:tcMar>
              <w:top w:w="0" w:type="dxa"/>
              <w:left w:w="28" w:type="dxa"/>
              <w:bottom w:w="0" w:type="dxa"/>
              <w:right w:w="28" w:type="dxa"/>
            </w:tcMar>
          </w:tcPr>
          <w:p w14:paraId="0A496E6C"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5</w:t>
            </w:r>
          </w:p>
        </w:tc>
        <w:tc>
          <w:tcPr>
            <w:tcW w:w="3719" w:type="dxa"/>
            <w:tcBorders>
              <w:bottom w:val="single" w:sz="4" w:space="0" w:color="000000"/>
            </w:tcBorders>
            <w:tcMar>
              <w:top w:w="0" w:type="dxa"/>
              <w:left w:w="28" w:type="dxa"/>
              <w:bottom w:w="0" w:type="dxa"/>
              <w:right w:w="28" w:type="dxa"/>
            </w:tcMar>
          </w:tcPr>
          <w:p w14:paraId="3E1DE200"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
                <w:szCs w:val="24"/>
              </w:rPr>
            </w:pPr>
            <w:r w:rsidRPr="00640FAB">
              <w:rPr>
                <w:rFonts w:ascii="標楷體" w:eastAsia="標楷體" w:hAnsi="標楷體"/>
                <w:spacing w:val="-2"/>
                <w:szCs w:val="24"/>
              </w:rPr>
              <w:t>行政院函送第二預備金動支數額機關別表，有關該院農業委員會為防範高病原性家禽流行性感冒之發生，95年度下半年所需架設防鳥圍網經費4億元，動支中央政府總預算第二預備金支應案</w:t>
            </w:r>
            <w:r w:rsidRPr="00640FAB">
              <w:rPr>
                <w:rFonts w:ascii="標楷體" w:eastAsia="標楷體" w:hAnsi="標楷體" w:hint="eastAsia"/>
                <w:szCs w:val="24"/>
              </w:rPr>
              <w:t>。</w:t>
            </w:r>
          </w:p>
        </w:tc>
        <w:tc>
          <w:tcPr>
            <w:tcW w:w="1842" w:type="dxa"/>
            <w:tcBorders>
              <w:bottom w:val="single" w:sz="4" w:space="0" w:color="000000"/>
            </w:tcBorders>
            <w:tcMar>
              <w:top w:w="0" w:type="dxa"/>
              <w:left w:w="28" w:type="dxa"/>
              <w:bottom w:w="0" w:type="dxa"/>
              <w:right w:w="28" w:type="dxa"/>
            </w:tcMar>
          </w:tcPr>
          <w:p w14:paraId="1B73FFC1"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第6屆第4會期第10次院會(95.12.1)決定：「交預算及決算、經濟及能源兩委員會審查」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4C275C37"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1D09804D"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6E850C3E" w14:textId="77777777" w:rsidTr="00D023ED">
        <w:trPr>
          <w:cantSplit/>
          <w:trHeight w:val="2024"/>
        </w:trPr>
        <w:tc>
          <w:tcPr>
            <w:tcW w:w="676" w:type="dxa"/>
            <w:tcBorders>
              <w:top w:val="single" w:sz="4" w:space="0" w:color="000000"/>
              <w:bottom w:val="single" w:sz="4" w:space="0" w:color="000000"/>
            </w:tcBorders>
            <w:tcMar>
              <w:top w:w="0" w:type="dxa"/>
              <w:left w:w="28" w:type="dxa"/>
              <w:bottom w:w="0" w:type="dxa"/>
              <w:right w:w="28" w:type="dxa"/>
            </w:tcMar>
          </w:tcPr>
          <w:p w14:paraId="5D5FA5E5"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6</w:t>
            </w:r>
          </w:p>
        </w:tc>
        <w:tc>
          <w:tcPr>
            <w:tcW w:w="3719" w:type="dxa"/>
            <w:tcBorders>
              <w:top w:val="single" w:sz="4" w:space="0" w:color="000000"/>
              <w:bottom w:val="single" w:sz="4" w:space="0" w:color="000000"/>
            </w:tcBorders>
            <w:tcMar>
              <w:top w:w="0" w:type="dxa"/>
              <w:left w:w="28" w:type="dxa"/>
              <w:bottom w:w="0" w:type="dxa"/>
              <w:right w:w="28" w:type="dxa"/>
            </w:tcMar>
          </w:tcPr>
          <w:p w14:paraId="396C252C"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行政院函送第二預備金動支數額機關別表，有關經濟部中小企業處為充實中小企業信用保證基金承保能量，加強協助中小企業取得融資，對該基金捐助所需經費5億元，動支95年度中央政府總預算第二預備金支應案</w:t>
            </w:r>
            <w:r w:rsidRPr="00640FAB">
              <w:rPr>
                <w:rFonts w:ascii="標楷體" w:eastAsia="標楷體" w:hAnsi="標楷體" w:hint="eastAsia"/>
                <w:szCs w:val="24"/>
              </w:rPr>
              <w:t>。</w:t>
            </w:r>
          </w:p>
        </w:tc>
        <w:tc>
          <w:tcPr>
            <w:tcW w:w="1842" w:type="dxa"/>
            <w:tcBorders>
              <w:top w:val="single" w:sz="4" w:space="0" w:color="000000"/>
              <w:bottom w:val="single" w:sz="4" w:space="0" w:color="000000"/>
            </w:tcBorders>
            <w:tcMar>
              <w:top w:w="0" w:type="dxa"/>
              <w:left w:w="28" w:type="dxa"/>
              <w:bottom w:w="0" w:type="dxa"/>
              <w:right w:w="28" w:type="dxa"/>
            </w:tcMar>
          </w:tcPr>
          <w:p w14:paraId="04DAE0CE"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第6屆第4會期第16次院會(96.1.12)決定：「交預算及決算、經濟及能源兩委員會審查」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5BEEEDD1"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7826407E"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4AEB306A" w14:textId="77777777" w:rsidTr="00D023ED">
        <w:trPr>
          <w:cantSplit/>
          <w:trHeight w:val="2024"/>
        </w:trPr>
        <w:tc>
          <w:tcPr>
            <w:tcW w:w="676" w:type="dxa"/>
            <w:tcBorders>
              <w:top w:val="single" w:sz="4" w:space="0" w:color="000000"/>
            </w:tcBorders>
            <w:tcMar>
              <w:top w:w="0" w:type="dxa"/>
              <w:left w:w="28" w:type="dxa"/>
              <w:bottom w:w="0" w:type="dxa"/>
              <w:right w:w="28" w:type="dxa"/>
            </w:tcMar>
          </w:tcPr>
          <w:p w14:paraId="0133AB13"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lastRenderedPageBreak/>
              <w:t>7</w:t>
            </w:r>
          </w:p>
        </w:tc>
        <w:tc>
          <w:tcPr>
            <w:tcW w:w="3719" w:type="dxa"/>
            <w:tcBorders>
              <w:top w:val="single" w:sz="4" w:space="0" w:color="000000"/>
            </w:tcBorders>
            <w:tcMar>
              <w:top w:w="0" w:type="dxa"/>
              <w:left w:w="28" w:type="dxa"/>
              <w:bottom w:w="0" w:type="dxa"/>
              <w:right w:w="28" w:type="dxa"/>
            </w:tcMar>
          </w:tcPr>
          <w:p w14:paraId="3636B7D1"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行政院函送第二預備金動支數額機關別表，有關財政部關稅總局及所屬辦理「海關建置機動式貨櫃檢查儀計畫」，其中2部所需經費2億4,702萬6,000元，動支本（95）年度中央政府總預算第二預備金支應案</w:t>
            </w:r>
            <w:r w:rsidRPr="00640FAB">
              <w:rPr>
                <w:rFonts w:ascii="標楷體" w:eastAsia="標楷體" w:hAnsi="標楷體" w:hint="eastAsia"/>
                <w:szCs w:val="24"/>
              </w:rPr>
              <w:t>。</w:t>
            </w:r>
          </w:p>
        </w:tc>
        <w:tc>
          <w:tcPr>
            <w:tcW w:w="1842" w:type="dxa"/>
            <w:tcBorders>
              <w:top w:val="single" w:sz="4" w:space="0" w:color="000000"/>
            </w:tcBorders>
            <w:tcMar>
              <w:top w:w="0" w:type="dxa"/>
              <w:left w:w="28" w:type="dxa"/>
              <w:bottom w:w="0" w:type="dxa"/>
              <w:right w:w="28" w:type="dxa"/>
            </w:tcMar>
          </w:tcPr>
          <w:p w14:paraId="6C36A471"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第6屆第4會期第8次院會(95.11.17)決定：「交預算及決算、財政兩委員會審查」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074F6E5A"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0D492A5F"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7F6C2099" w14:textId="77777777" w:rsidTr="00D023ED">
        <w:trPr>
          <w:cantSplit/>
          <w:trHeight w:val="1553"/>
        </w:trPr>
        <w:tc>
          <w:tcPr>
            <w:tcW w:w="676" w:type="dxa"/>
            <w:tcMar>
              <w:top w:w="0" w:type="dxa"/>
              <w:left w:w="28" w:type="dxa"/>
              <w:bottom w:w="0" w:type="dxa"/>
              <w:right w:w="28" w:type="dxa"/>
            </w:tcMar>
          </w:tcPr>
          <w:p w14:paraId="3BAD2B4C"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8</w:t>
            </w:r>
          </w:p>
        </w:tc>
        <w:tc>
          <w:tcPr>
            <w:tcW w:w="3719" w:type="dxa"/>
            <w:tcMar>
              <w:top w:w="0" w:type="dxa"/>
              <w:left w:w="28" w:type="dxa"/>
              <w:bottom w:w="0" w:type="dxa"/>
              <w:right w:w="28" w:type="dxa"/>
            </w:tcMar>
          </w:tcPr>
          <w:p w14:paraId="7D62E5D0"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行政院函送第二預備金動支數額機關別表，有關財政部國庫署辦理私劣菸品查緝業務，所需經費動支本（95）年度中央政府總預算第二預備金8,960萬元支應案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56174948"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第6屆第4會期第11次院會(95.12.12)決定：「交預算及決算、財政兩委員會審查」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56633E93"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38646B10"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7A748AC5" w14:textId="77777777" w:rsidTr="00D023ED">
        <w:trPr>
          <w:cantSplit/>
          <w:trHeight w:val="1668"/>
        </w:trPr>
        <w:tc>
          <w:tcPr>
            <w:tcW w:w="676" w:type="dxa"/>
            <w:tcMar>
              <w:top w:w="0" w:type="dxa"/>
              <w:left w:w="28" w:type="dxa"/>
              <w:bottom w:w="0" w:type="dxa"/>
              <w:right w:w="28" w:type="dxa"/>
            </w:tcMar>
          </w:tcPr>
          <w:p w14:paraId="722B7AF9"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9</w:t>
            </w:r>
          </w:p>
        </w:tc>
        <w:tc>
          <w:tcPr>
            <w:tcW w:w="3719" w:type="dxa"/>
            <w:tcMar>
              <w:top w:w="0" w:type="dxa"/>
              <w:left w:w="28" w:type="dxa"/>
              <w:bottom w:w="0" w:type="dxa"/>
              <w:right w:w="28" w:type="dxa"/>
            </w:tcMar>
          </w:tcPr>
          <w:p w14:paraId="0919AA28"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國立故宮博物院因辦理該院「正館公共空間、展覽動線調整與周邊環境改善工程暨正館建築物耐震補強工程」調整計畫，所需經費1億4,800萬元動支本（95）年度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38A17236"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第6屆第4會期第12次院會(95.12.15)決定：「交預算及決算、教育及文化兩委員會審查」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24A74581"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40222F12"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27FDA965" w14:textId="77777777" w:rsidTr="00D023ED">
        <w:trPr>
          <w:cantSplit/>
          <w:trHeight w:val="1668"/>
        </w:trPr>
        <w:tc>
          <w:tcPr>
            <w:tcW w:w="676" w:type="dxa"/>
            <w:tcMar>
              <w:top w:w="0" w:type="dxa"/>
              <w:left w:w="28" w:type="dxa"/>
              <w:bottom w:w="0" w:type="dxa"/>
              <w:right w:w="28" w:type="dxa"/>
            </w:tcMar>
          </w:tcPr>
          <w:p w14:paraId="63FCA179"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10</w:t>
            </w:r>
          </w:p>
        </w:tc>
        <w:tc>
          <w:tcPr>
            <w:tcW w:w="3719" w:type="dxa"/>
            <w:tcMar>
              <w:top w:w="0" w:type="dxa"/>
              <w:left w:w="28" w:type="dxa"/>
              <w:bottom w:w="0" w:type="dxa"/>
              <w:right w:w="28" w:type="dxa"/>
            </w:tcMar>
          </w:tcPr>
          <w:p w14:paraId="6DCB8D2D"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4"/>
                <w:szCs w:val="24"/>
              </w:rPr>
            </w:pPr>
            <w:r w:rsidRPr="00640FAB">
              <w:rPr>
                <w:rFonts w:ascii="標楷體" w:eastAsia="標楷體" w:hAnsi="標楷體"/>
                <w:spacing w:val="-4"/>
                <w:szCs w:val="24"/>
              </w:rPr>
              <w:t>行政院函送第二預備金動支數額機關別表，有關銓敘部本（95）年度「公務人員退休撫卹給付」科目經費，因辦理退休（職）人數增加，致原列預算不敷9億4,802萬8,000元，動支本年度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34F3D89B"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30"/>
                <w:szCs w:val="24"/>
              </w:rPr>
              <w:t>第6屆第4會期第8次院會（95.11.17）決</w:t>
            </w:r>
            <w:r w:rsidRPr="00640FAB">
              <w:rPr>
                <w:rFonts w:ascii="標楷體" w:eastAsia="標楷體" w:hAnsi="標楷體"/>
                <w:spacing w:val="-20"/>
                <w:szCs w:val="24"/>
              </w:rPr>
              <w:t>定：「交預算及決算、法制兩委員會審查」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09C98376"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12C4EE7B"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6D29D7C6" w14:textId="77777777" w:rsidTr="00D023ED">
        <w:trPr>
          <w:cantSplit/>
          <w:trHeight w:val="1516"/>
        </w:trPr>
        <w:tc>
          <w:tcPr>
            <w:tcW w:w="676" w:type="dxa"/>
            <w:tcMar>
              <w:top w:w="0" w:type="dxa"/>
              <w:left w:w="28" w:type="dxa"/>
              <w:bottom w:w="0" w:type="dxa"/>
              <w:right w:w="28" w:type="dxa"/>
            </w:tcMar>
          </w:tcPr>
          <w:p w14:paraId="495850D2"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11</w:t>
            </w:r>
          </w:p>
        </w:tc>
        <w:tc>
          <w:tcPr>
            <w:tcW w:w="3719" w:type="dxa"/>
            <w:tcMar>
              <w:top w:w="0" w:type="dxa"/>
              <w:left w:w="28" w:type="dxa"/>
              <w:bottom w:w="0" w:type="dxa"/>
              <w:right w:w="28" w:type="dxa"/>
            </w:tcMar>
          </w:tcPr>
          <w:p w14:paraId="5C216CEB"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行政院函送第二預備金動支數額機關別表，有關法務部補助各縣市成立毒品危害防制中心，所需經費5,690萬4,000元，動支95年度中央政府總預算第二預備金支應案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095C4B0A"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第6屆第4會期第11次院會(95.12.12)決定：「交預算及決算、司法兩委員會審查」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34B7860A"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7F9E0B71"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104758BD" w14:textId="77777777" w:rsidTr="00D023ED">
        <w:trPr>
          <w:cantSplit/>
        </w:trPr>
        <w:tc>
          <w:tcPr>
            <w:tcW w:w="676" w:type="dxa"/>
            <w:tcBorders>
              <w:bottom w:val="single" w:sz="4" w:space="0" w:color="000000"/>
            </w:tcBorders>
            <w:tcMar>
              <w:top w:w="0" w:type="dxa"/>
              <w:left w:w="28" w:type="dxa"/>
              <w:bottom w:w="0" w:type="dxa"/>
              <w:right w:w="28" w:type="dxa"/>
            </w:tcMar>
          </w:tcPr>
          <w:p w14:paraId="7947AC28"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12</w:t>
            </w:r>
          </w:p>
        </w:tc>
        <w:tc>
          <w:tcPr>
            <w:tcW w:w="3719" w:type="dxa"/>
            <w:tcBorders>
              <w:bottom w:val="single" w:sz="4" w:space="0" w:color="000000"/>
            </w:tcBorders>
            <w:tcMar>
              <w:top w:w="0" w:type="dxa"/>
              <w:left w:w="28" w:type="dxa"/>
              <w:bottom w:w="0" w:type="dxa"/>
              <w:right w:w="28" w:type="dxa"/>
            </w:tcMar>
          </w:tcPr>
          <w:p w14:paraId="4DA463A8"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6"/>
                <w:szCs w:val="24"/>
              </w:rPr>
            </w:pPr>
            <w:r w:rsidRPr="00640FAB">
              <w:rPr>
                <w:rFonts w:ascii="標楷體" w:eastAsia="標楷體" w:hAnsi="標楷體"/>
                <w:spacing w:val="-6"/>
                <w:szCs w:val="24"/>
              </w:rPr>
              <w:t>行政院函送第二預備金動支數額機關別表，有關法務部及所屬臺灣高等法院檢察署收容人給養經費預算不敷9,984萬1,000元，動支95年度中央政府總預算第二預備金支應案</w:t>
            </w:r>
            <w:r w:rsidRPr="00640FAB">
              <w:rPr>
                <w:rFonts w:ascii="標楷體" w:eastAsia="標楷體" w:hAnsi="標楷體" w:hint="eastAsia"/>
                <w:spacing w:val="-6"/>
                <w:szCs w:val="24"/>
              </w:rPr>
              <w:t>。</w:t>
            </w:r>
          </w:p>
        </w:tc>
        <w:tc>
          <w:tcPr>
            <w:tcW w:w="1842" w:type="dxa"/>
            <w:tcBorders>
              <w:bottom w:val="single" w:sz="4" w:space="0" w:color="000000"/>
            </w:tcBorders>
            <w:tcMar>
              <w:top w:w="0" w:type="dxa"/>
              <w:left w:w="28" w:type="dxa"/>
              <w:bottom w:w="0" w:type="dxa"/>
              <w:right w:w="28" w:type="dxa"/>
            </w:tcMar>
          </w:tcPr>
          <w:p w14:paraId="368FF7E0"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第6屆第4會期第13次院會(95.12.22)決定：「交預算及決算、司法兩委員會審查」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4C253007"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49B06CB6"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134ECC9C" w14:textId="77777777" w:rsidTr="00D023ED">
        <w:trPr>
          <w:cantSplit/>
          <w:trHeight w:val="58"/>
        </w:trPr>
        <w:tc>
          <w:tcPr>
            <w:tcW w:w="676" w:type="dxa"/>
            <w:tcBorders>
              <w:top w:val="single" w:sz="4" w:space="0" w:color="000000"/>
              <w:bottom w:val="single" w:sz="12" w:space="0" w:color="000000"/>
            </w:tcBorders>
            <w:tcMar>
              <w:top w:w="0" w:type="dxa"/>
              <w:left w:w="28" w:type="dxa"/>
              <w:bottom w:w="0" w:type="dxa"/>
              <w:right w:w="28" w:type="dxa"/>
            </w:tcMar>
          </w:tcPr>
          <w:p w14:paraId="1C23FD3D"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lastRenderedPageBreak/>
              <w:t>13</w:t>
            </w:r>
          </w:p>
        </w:tc>
        <w:tc>
          <w:tcPr>
            <w:tcW w:w="3719" w:type="dxa"/>
            <w:tcBorders>
              <w:top w:val="single" w:sz="4" w:space="0" w:color="000000"/>
              <w:bottom w:val="single" w:sz="12" w:space="0" w:color="000000"/>
            </w:tcBorders>
            <w:tcMar>
              <w:top w:w="0" w:type="dxa"/>
              <w:left w:w="28" w:type="dxa"/>
              <w:bottom w:w="0" w:type="dxa"/>
              <w:right w:w="28" w:type="dxa"/>
            </w:tcMar>
          </w:tcPr>
          <w:p w14:paraId="2BB6D7F1"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行政院函送第二預備金動支數額機關別表，有關內政部95年度因請領敬老福利生活津貼人數高於原預估人數，不敷經費5億3,000萬元，動支中央政府總預算第二預備金支應案</w:t>
            </w:r>
            <w:r w:rsidRPr="00640FAB">
              <w:rPr>
                <w:rFonts w:ascii="標楷體" w:eastAsia="標楷體" w:hAnsi="標楷體" w:hint="eastAsia"/>
                <w:szCs w:val="24"/>
              </w:rPr>
              <w:t>。</w:t>
            </w:r>
          </w:p>
        </w:tc>
        <w:tc>
          <w:tcPr>
            <w:tcW w:w="1842" w:type="dxa"/>
            <w:tcBorders>
              <w:top w:val="single" w:sz="4" w:space="0" w:color="000000"/>
              <w:bottom w:val="single" w:sz="12" w:space="0" w:color="000000"/>
            </w:tcBorders>
            <w:tcMar>
              <w:top w:w="0" w:type="dxa"/>
              <w:left w:w="28" w:type="dxa"/>
              <w:bottom w:w="0" w:type="dxa"/>
              <w:right w:w="28" w:type="dxa"/>
            </w:tcMar>
          </w:tcPr>
          <w:p w14:paraId="2086F6AB"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第6屆第4會期第15次院會(96.1.5)決定：「交預算及決算、衛生環境及社會福利兩委員會審查」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74B1C7D9" w14:textId="77777777" w:rsidR="00E47402" w:rsidRPr="00640FAB" w:rsidRDefault="00E47402" w:rsidP="00D023ED">
            <w:pPr>
              <w:keepLines/>
              <w:widowControl w:val="0"/>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634CC5D8" w14:textId="77777777" w:rsidR="00E47402" w:rsidRPr="00640FAB" w:rsidRDefault="00E47402" w:rsidP="00D023ED">
            <w:pPr>
              <w:keepLines/>
              <w:widowControl w:val="0"/>
              <w:overflowPunct w:val="0"/>
              <w:spacing w:line="340" w:lineRule="exact"/>
              <w:jc w:val="center"/>
              <w:textAlignment w:val="auto"/>
              <w:rPr>
                <w:rFonts w:ascii="標楷體" w:eastAsia="標楷體" w:hAnsi="標楷體"/>
                <w:szCs w:val="24"/>
              </w:rPr>
            </w:pPr>
          </w:p>
        </w:tc>
      </w:tr>
      <w:tr w:rsidR="00E47402" w:rsidRPr="00640FAB" w14:paraId="43B3C7B4" w14:textId="77777777" w:rsidTr="00D023ED">
        <w:trPr>
          <w:cantSplit/>
        </w:trPr>
        <w:tc>
          <w:tcPr>
            <w:tcW w:w="676" w:type="dxa"/>
            <w:tcBorders>
              <w:top w:val="single" w:sz="12" w:space="0" w:color="000000"/>
            </w:tcBorders>
            <w:tcMar>
              <w:top w:w="0" w:type="dxa"/>
              <w:left w:w="28" w:type="dxa"/>
              <w:bottom w:w="0" w:type="dxa"/>
              <w:right w:w="28" w:type="dxa"/>
            </w:tcMar>
          </w:tcPr>
          <w:p w14:paraId="510C27AE"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14</w:t>
            </w:r>
          </w:p>
        </w:tc>
        <w:tc>
          <w:tcPr>
            <w:tcW w:w="3719" w:type="dxa"/>
            <w:tcBorders>
              <w:top w:val="single" w:sz="12" w:space="0" w:color="000000"/>
            </w:tcBorders>
            <w:tcMar>
              <w:top w:w="0" w:type="dxa"/>
              <w:left w:w="28" w:type="dxa"/>
              <w:bottom w:w="0" w:type="dxa"/>
              <w:right w:w="28" w:type="dxa"/>
            </w:tcMar>
          </w:tcPr>
          <w:p w14:paraId="5A5B2217"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行政院函請審議「96年度中央政府總預算第二預備金動支數額表」案（另含第二預備金動支數額機關別表13案）</w:t>
            </w:r>
            <w:r w:rsidRPr="00640FAB">
              <w:rPr>
                <w:rFonts w:ascii="標楷體" w:eastAsia="標楷體" w:hAnsi="標楷體" w:hint="eastAsia"/>
                <w:szCs w:val="24"/>
              </w:rPr>
              <w:t>。</w:t>
            </w:r>
          </w:p>
        </w:tc>
        <w:tc>
          <w:tcPr>
            <w:tcW w:w="1842" w:type="dxa"/>
            <w:tcBorders>
              <w:top w:val="single" w:sz="12" w:space="0" w:color="000000"/>
            </w:tcBorders>
            <w:tcMar>
              <w:top w:w="0" w:type="dxa"/>
              <w:left w:w="28" w:type="dxa"/>
              <w:bottom w:w="0" w:type="dxa"/>
              <w:right w:w="28" w:type="dxa"/>
            </w:tcMar>
          </w:tcPr>
          <w:p w14:paraId="7537AB10"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第7屆第1會期第2次院會(97.2.29)決定：「交財政委員會會同有關委員會審查」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73AA756D"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6D67D719"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09F7C5FB" w14:textId="77777777" w:rsidTr="00D023ED">
        <w:trPr>
          <w:cantSplit/>
        </w:trPr>
        <w:tc>
          <w:tcPr>
            <w:tcW w:w="676" w:type="dxa"/>
            <w:tcMar>
              <w:top w:w="0" w:type="dxa"/>
              <w:left w:w="28" w:type="dxa"/>
              <w:bottom w:w="0" w:type="dxa"/>
              <w:right w:w="28" w:type="dxa"/>
            </w:tcMar>
          </w:tcPr>
          <w:p w14:paraId="63011456"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15</w:t>
            </w:r>
          </w:p>
        </w:tc>
        <w:tc>
          <w:tcPr>
            <w:tcW w:w="3719" w:type="dxa"/>
            <w:tcMar>
              <w:top w:w="0" w:type="dxa"/>
              <w:left w:w="28" w:type="dxa"/>
              <w:bottom w:w="0" w:type="dxa"/>
              <w:right w:w="28" w:type="dxa"/>
            </w:tcMar>
          </w:tcPr>
          <w:p w14:paraId="3B76202D"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行政院函為財政部國有財產局及所屬（96)年度稅捐預算不敷支應該局經管國有非公用房地之地價稅，動支中央政府總預算第二預備金7,501萬1,000元支應案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3DBD3EA2"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第7屆第1會期第5次院會(97.3.28)決定：「交財政委員會審查」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20188FFD"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6958AD28"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15FD0348" w14:textId="77777777" w:rsidTr="00D023ED">
        <w:trPr>
          <w:cantSplit/>
        </w:trPr>
        <w:tc>
          <w:tcPr>
            <w:tcW w:w="676" w:type="dxa"/>
            <w:tcMar>
              <w:top w:w="0" w:type="dxa"/>
              <w:left w:w="28" w:type="dxa"/>
              <w:bottom w:w="0" w:type="dxa"/>
              <w:right w:w="28" w:type="dxa"/>
            </w:tcMar>
          </w:tcPr>
          <w:p w14:paraId="0172D7A0"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16</w:t>
            </w:r>
          </w:p>
        </w:tc>
        <w:tc>
          <w:tcPr>
            <w:tcW w:w="3719" w:type="dxa"/>
            <w:tcMar>
              <w:top w:w="0" w:type="dxa"/>
              <w:left w:w="28" w:type="dxa"/>
              <w:bottom w:w="0" w:type="dxa"/>
              <w:right w:w="28" w:type="dxa"/>
            </w:tcMar>
          </w:tcPr>
          <w:p w14:paraId="2DC6B366"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行政院函送第二預備金動支數額機關別表，有關內政部營建署辦理嘉義市「二二八國家紀念公園開發計畫」不敷經費2億1,700萬元，動支96年度中央政府總預算第二預備金支應案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3ADD1238"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第6屆第6會期第12次院會(96.11.23）決定：「交預算及決算、內政及民族兩委員會審查」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4E10BC3B"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73120955"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2DD491AD" w14:textId="77777777" w:rsidTr="00D023ED">
        <w:trPr>
          <w:cantSplit/>
        </w:trPr>
        <w:tc>
          <w:tcPr>
            <w:tcW w:w="676" w:type="dxa"/>
            <w:tcMar>
              <w:top w:w="0" w:type="dxa"/>
              <w:left w:w="28" w:type="dxa"/>
              <w:bottom w:w="0" w:type="dxa"/>
              <w:right w:w="28" w:type="dxa"/>
            </w:tcMar>
          </w:tcPr>
          <w:p w14:paraId="2673AF4F"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17</w:t>
            </w:r>
          </w:p>
        </w:tc>
        <w:tc>
          <w:tcPr>
            <w:tcW w:w="3719" w:type="dxa"/>
            <w:tcMar>
              <w:top w:w="0" w:type="dxa"/>
              <w:left w:w="28" w:type="dxa"/>
              <w:bottom w:w="0" w:type="dxa"/>
              <w:right w:w="28" w:type="dxa"/>
            </w:tcMar>
          </w:tcPr>
          <w:p w14:paraId="3F192E7C"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6"/>
                <w:szCs w:val="24"/>
              </w:rPr>
            </w:pPr>
            <w:r w:rsidRPr="00640FAB">
              <w:rPr>
                <w:rFonts w:ascii="標楷體" w:eastAsia="標楷體" w:hAnsi="標楷體"/>
                <w:spacing w:val="-6"/>
                <w:szCs w:val="24"/>
              </w:rPr>
              <w:t>行政院函送第二預備金動支數額機關別表，有關中央選舉委員會因辦理行政院公民投票審議委員會業務、全國性公民投票連署人名冊查對作業及第7屆立法委員選舉相關選務所需經費不敷7,012萬2,000元，動支96年度中央政府總預算第二預備金支應案</w:t>
            </w:r>
            <w:r w:rsidRPr="00640FAB">
              <w:rPr>
                <w:rFonts w:ascii="標楷體" w:eastAsia="標楷體" w:hAnsi="標楷體" w:hint="eastAsia"/>
                <w:spacing w:val="-6"/>
                <w:szCs w:val="24"/>
              </w:rPr>
              <w:t>。</w:t>
            </w:r>
          </w:p>
        </w:tc>
        <w:tc>
          <w:tcPr>
            <w:tcW w:w="1842" w:type="dxa"/>
            <w:tcMar>
              <w:top w:w="0" w:type="dxa"/>
              <w:left w:w="28" w:type="dxa"/>
              <w:bottom w:w="0" w:type="dxa"/>
              <w:right w:w="28" w:type="dxa"/>
            </w:tcMar>
          </w:tcPr>
          <w:p w14:paraId="44191B25"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第6屆第6會期第13次院會(96.11.30)決定：「交預算及決算、內政及民族兩委員會審查」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12333AF4"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52695451"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71AF49B6" w14:textId="77777777" w:rsidTr="00D023ED">
        <w:trPr>
          <w:cantSplit/>
        </w:trPr>
        <w:tc>
          <w:tcPr>
            <w:tcW w:w="676" w:type="dxa"/>
            <w:tcBorders>
              <w:bottom w:val="single" w:sz="4" w:space="0" w:color="000000"/>
            </w:tcBorders>
            <w:tcMar>
              <w:top w:w="0" w:type="dxa"/>
              <w:left w:w="28" w:type="dxa"/>
              <w:bottom w:w="0" w:type="dxa"/>
              <w:right w:w="28" w:type="dxa"/>
            </w:tcMar>
          </w:tcPr>
          <w:p w14:paraId="4EE5630D"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18</w:t>
            </w:r>
          </w:p>
        </w:tc>
        <w:tc>
          <w:tcPr>
            <w:tcW w:w="3719" w:type="dxa"/>
            <w:tcBorders>
              <w:bottom w:val="single" w:sz="4" w:space="0" w:color="000000"/>
            </w:tcBorders>
            <w:tcMar>
              <w:top w:w="0" w:type="dxa"/>
              <w:left w:w="28" w:type="dxa"/>
              <w:bottom w:w="0" w:type="dxa"/>
              <w:right w:w="28" w:type="dxa"/>
            </w:tcMar>
          </w:tcPr>
          <w:p w14:paraId="5115D552"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6"/>
                <w:szCs w:val="24"/>
              </w:rPr>
            </w:pPr>
            <w:r w:rsidRPr="00640FAB">
              <w:rPr>
                <w:rFonts w:ascii="標楷體" w:eastAsia="標楷體" w:hAnsi="標楷體"/>
                <w:spacing w:val="-6"/>
                <w:szCs w:val="24"/>
              </w:rPr>
              <w:t>行政院函送第二預備金動支數額機關別表，有關中央選舉委員會為第3案及第4案全國性公民投票案與第7屆立法委員選舉合併辦理，預算不敷4億8,284萬7,000元，動支96年度中央政府總預算第二預備金支應案</w:t>
            </w:r>
            <w:r w:rsidRPr="00640FAB">
              <w:rPr>
                <w:rFonts w:ascii="標楷體" w:eastAsia="標楷體" w:hAnsi="標楷體" w:hint="eastAsia"/>
                <w:spacing w:val="-6"/>
                <w:szCs w:val="24"/>
              </w:rPr>
              <w:t>。</w:t>
            </w:r>
          </w:p>
        </w:tc>
        <w:tc>
          <w:tcPr>
            <w:tcW w:w="1842" w:type="dxa"/>
            <w:tcBorders>
              <w:bottom w:val="single" w:sz="4" w:space="0" w:color="000000"/>
            </w:tcBorders>
            <w:tcMar>
              <w:top w:w="0" w:type="dxa"/>
              <w:left w:w="28" w:type="dxa"/>
              <w:bottom w:w="0" w:type="dxa"/>
              <w:right w:w="28" w:type="dxa"/>
            </w:tcMar>
          </w:tcPr>
          <w:p w14:paraId="4DA57E55"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第6屆第6會期第16次院會(96.12.19)決定：「交預算及決算、內政及民族兩委員會審查」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60EC7106"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69B8CD77"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2928BEEE" w14:textId="77777777" w:rsidTr="00D023ED">
        <w:trPr>
          <w:cantSplit/>
        </w:trPr>
        <w:tc>
          <w:tcPr>
            <w:tcW w:w="676" w:type="dxa"/>
            <w:tcBorders>
              <w:top w:val="single" w:sz="4" w:space="0" w:color="000000"/>
              <w:bottom w:val="single" w:sz="4" w:space="0" w:color="000000"/>
            </w:tcBorders>
            <w:tcMar>
              <w:top w:w="0" w:type="dxa"/>
              <w:left w:w="28" w:type="dxa"/>
              <w:bottom w:w="0" w:type="dxa"/>
              <w:right w:w="28" w:type="dxa"/>
            </w:tcMar>
          </w:tcPr>
          <w:p w14:paraId="6CABB224"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19</w:t>
            </w:r>
          </w:p>
        </w:tc>
        <w:tc>
          <w:tcPr>
            <w:tcW w:w="3719" w:type="dxa"/>
            <w:tcBorders>
              <w:top w:val="single" w:sz="4" w:space="0" w:color="000000"/>
              <w:bottom w:val="single" w:sz="4" w:space="0" w:color="000000"/>
            </w:tcBorders>
            <w:tcMar>
              <w:top w:w="0" w:type="dxa"/>
              <w:left w:w="28" w:type="dxa"/>
              <w:bottom w:w="0" w:type="dxa"/>
              <w:right w:w="28" w:type="dxa"/>
            </w:tcMar>
          </w:tcPr>
          <w:p w14:paraId="11DE05FE"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行政院函為內政部96年度因請領敬老福利生活津貼人數高於原預估人數，不敷經費3億3,000萬元，動支96年度中央政府總預算第二預備金支應案</w:t>
            </w:r>
            <w:r w:rsidRPr="00640FAB">
              <w:rPr>
                <w:rFonts w:ascii="標楷體" w:eastAsia="標楷體" w:hAnsi="標楷體" w:hint="eastAsia"/>
                <w:szCs w:val="24"/>
              </w:rPr>
              <w:t>。</w:t>
            </w:r>
          </w:p>
        </w:tc>
        <w:tc>
          <w:tcPr>
            <w:tcW w:w="1842" w:type="dxa"/>
            <w:tcBorders>
              <w:top w:val="single" w:sz="4" w:space="0" w:color="000000"/>
              <w:bottom w:val="single" w:sz="4" w:space="0" w:color="000000"/>
            </w:tcBorders>
            <w:tcMar>
              <w:top w:w="0" w:type="dxa"/>
              <w:left w:w="28" w:type="dxa"/>
              <w:bottom w:w="0" w:type="dxa"/>
              <w:right w:w="28" w:type="dxa"/>
            </w:tcMar>
          </w:tcPr>
          <w:p w14:paraId="0D989EF1"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第7屆第1會期第5次院會(97.3.28)決定：「交財政、內政兩委員會審查」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331649D6"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791B58C0"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2AF59715" w14:textId="77777777" w:rsidTr="00D023ED">
        <w:trPr>
          <w:cantSplit/>
        </w:trPr>
        <w:tc>
          <w:tcPr>
            <w:tcW w:w="676" w:type="dxa"/>
            <w:tcBorders>
              <w:top w:val="single" w:sz="4" w:space="0" w:color="000000"/>
            </w:tcBorders>
            <w:tcMar>
              <w:top w:w="0" w:type="dxa"/>
              <w:left w:w="28" w:type="dxa"/>
              <w:bottom w:w="0" w:type="dxa"/>
              <w:right w:w="28" w:type="dxa"/>
            </w:tcMar>
          </w:tcPr>
          <w:p w14:paraId="1B3169A2"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lastRenderedPageBreak/>
              <w:t>20</w:t>
            </w:r>
          </w:p>
        </w:tc>
        <w:tc>
          <w:tcPr>
            <w:tcW w:w="3719" w:type="dxa"/>
            <w:tcBorders>
              <w:top w:val="single" w:sz="4" w:space="0" w:color="000000"/>
            </w:tcBorders>
            <w:tcMar>
              <w:top w:w="0" w:type="dxa"/>
              <w:left w:w="28" w:type="dxa"/>
              <w:bottom w:w="0" w:type="dxa"/>
              <w:right w:w="28" w:type="dxa"/>
            </w:tcMar>
          </w:tcPr>
          <w:p w14:paraId="51AE3608"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行政院函送第二預備金動支數額機關別表，有關外交部為加強推動友邦國家雙邊合作計畫，致原列對外之捐助經費不敷支應，動支本（96）年度中央政府總預算第二預備金12億元支應案</w:t>
            </w:r>
            <w:r w:rsidRPr="00640FAB">
              <w:rPr>
                <w:rFonts w:ascii="標楷體" w:eastAsia="標楷體" w:hAnsi="標楷體" w:hint="eastAsia"/>
                <w:szCs w:val="24"/>
              </w:rPr>
              <w:t>。</w:t>
            </w:r>
          </w:p>
        </w:tc>
        <w:tc>
          <w:tcPr>
            <w:tcW w:w="1842" w:type="dxa"/>
            <w:tcBorders>
              <w:top w:val="single" w:sz="4" w:space="0" w:color="000000"/>
            </w:tcBorders>
            <w:tcMar>
              <w:top w:w="0" w:type="dxa"/>
              <w:left w:w="28" w:type="dxa"/>
              <w:bottom w:w="0" w:type="dxa"/>
              <w:right w:w="28" w:type="dxa"/>
            </w:tcMar>
          </w:tcPr>
          <w:p w14:paraId="235BA401"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第6屆第6會期第16次(96.12.19)院會決定：「交預算及決算、外交及僑務兩委員會審查」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0DAF7EB4"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209C65AE"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30713927" w14:textId="77777777" w:rsidTr="00D023ED">
        <w:trPr>
          <w:cantSplit/>
          <w:trHeight w:val="1833"/>
        </w:trPr>
        <w:tc>
          <w:tcPr>
            <w:tcW w:w="676" w:type="dxa"/>
            <w:tcMar>
              <w:top w:w="0" w:type="dxa"/>
              <w:left w:w="28" w:type="dxa"/>
              <w:bottom w:w="0" w:type="dxa"/>
              <w:right w:w="28" w:type="dxa"/>
            </w:tcMar>
          </w:tcPr>
          <w:p w14:paraId="2AB1D66C"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21</w:t>
            </w:r>
          </w:p>
        </w:tc>
        <w:tc>
          <w:tcPr>
            <w:tcW w:w="3719" w:type="dxa"/>
            <w:tcMar>
              <w:top w:w="0" w:type="dxa"/>
              <w:left w:w="28" w:type="dxa"/>
              <w:bottom w:w="0" w:type="dxa"/>
              <w:right w:w="28" w:type="dxa"/>
            </w:tcMar>
          </w:tcPr>
          <w:p w14:paraId="037BC641"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行政院函送第二預備金動支數額機關別表，有關國防部因辦理「太平專案」，96年度所需經費7億1,544萬5,000元，動支中央政府總預算第二預備金支應案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3E7156FF"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第6屆第6會期第11次院會(96.11.16)決定：「交預算及決算、國防兩委員會審查」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1D2354FF"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6F8084BD"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1FE323FF" w14:textId="77777777" w:rsidTr="00D023ED">
        <w:trPr>
          <w:cantSplit/>
          <w:trHeight w:val="2113"/>
        </w:trPr>
        <w:tc>
          <w:tcPr>
            <w:tcW w:w="676" w:type="dxa"/>
            <w:tcMar>
              <w:top w:w="0" w:type="dxa"/>
              <w:left w:w="28" w:type="dxa"/>
              <w:bottom w:w="0" w:type="dxa"/>
              <w:right w:w="28" w:type="dxa"/>
            </w:tcMar>
          </w:tcPr>
          <w:p w14:paraId="02AA55A1"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22</w:t>
            </w:r>
          </w:p>
        </w:tc>
        <w:tc>
          <w:tcPr>
            <w:tcW w:w="3719" w:type="dxa"/>
            <w:tcMar>
              <w:top w:w="0" w:type="dxa"/>
              <w:left w:w="28" w:type="dxa"/>
              <w:bottom w:w="0" w:type="dxa"/>
              <w:right w:w="28" w:type="dxa"/>
            </w:tcMar>
          </w:tcPr>
          <w:p w14:paraId="5BA3A767"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行政院函送第二預備金動支數額機關別表，有關經濟部辦理自中國以外地區進口天然砂及機械製砂之差價補助所需經費6,441萬3,000元，動支96年度中央政府總預算第二預備金支應案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3059F0D0"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第6屆第6會期第15次院會(96.12.14)決定：「交預算及決算、經濟及能源兩委員會審查」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0578369B"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6FD38005"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23B6E1E0" w14:textId="77777777" w:rsidTr="00D023ED">
        <w:trPr>
          <w:cantSplit/>
        </w:trPr>
        <w:tc>
          <w:tcPr>
            <w:tcW w:w="676" w:type="dxa"/>
            <w:tcMar>
              <w:top w:w="0" w:type="dxa"/>
              <w:left w:w="28" w:type="dxa"/>
              <w:bottom w:w="0" w:type="dxa"/>
              <w:right w:w="28" w:type="dxa"/>
            </w:tcMar>
          </w:tcPr>
          <w:p w14:paraId="67E8C1EE"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23</w:t>
            </w:r>
          </w:p>
        </w:tc>
        <w:tc>
          <w:tcPr>
            <w:tcW w:w="3719" w:type="dxa"/>
            <w:tcMar>
              <w:top w:w="0" w:type="dxa"/>
              <w:left w:w="28" w:type="dxa"/>
              <w:bottom w:w="0" w:type="dxa"/>
              <w:right w:w="28" w:type="dxa"/>
            </w:tcMar>
          </w:tcPr>
          <w:p w14:paraId="6764AE8F"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行政院函，為教育部因辦理私立技專校院學生學雜費減免，不足經費6,000萬元，動支96年度中央政府總預算第二預備金支應案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1C89A1C2"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第7屆第1會期第5次院會(97.3.28）決定：「交財政、教育及文化兩委員會審查」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670F41FA"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4F62FDFE"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353E1482" w14:textId="77777777" w:rsidTr="00D023ED">
        <w:trPr>
          <w:cantSplit/>
        </w:trPr>
        <w:tc>
          <w:tcPr>
            <w:tcW w:w="676" w:type="dxa"/>
            <w:tcMar>
              <w:top w:w="0" w:type="dxa"/>
              <w:left w:w="28" w:type="dxa"/>
              <w:bottom w:w="0" w:type="dxa"/>
              <w:right w:w="28" w:type="dxa"/>
            </w:tcMar>
          </w:tcPr>
          <w:p w14:paraId="3A0417BB"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24</w:t>
            </w:r>
          </w:p>
        </w:tc>
        <w:tc>
          <w:tcPr>
            <w:tcW w:w="3719" w:type="dxa"/>
            <w:tcMar>
              <w:top w:w="0" w:type="dxa"/>
              <w:left w:w="28" w:type="dxa"/>
              <w:bottom w:w="0" w:type="dxa"/>
              <w:right w:w="28" w:type="dxa"/>
            </w:tcMar>
          </w:tcPr>
          <w:p w14:paraId="4A0F341B"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rPr>
            </w:pPr>
            <w:r w:rsidRPr="00640FAB">
              <w:rPr>
                <w:rFonts w:ascii="標楷體" w:eastAsia="標楷體" w:hAnsi="標楷體"/>
                <w:spacing w:val="-4"/>
                <w:szCs w:val="24"/>
              </w:rPr>
              <w:t>行政院函送第二預備金動支數額機關別表，有關司法院籌設智慧財產法院所需相關經費1億2,558萬7,000元，動支96年度中</w:t>
            </w:r>
            <w:r w:rsidRPr="00640FAB">
              <w:rPr>
                <w:rFonts w:ascii="標楷體" w:eastAsia="標楷體" w:hAnsi="標楷體"/>
                <w:szCs w:val="24"/>
              </w:rPr>
              <w:t>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444EBB1D"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第6屆第6會期第11次院會(96.11.16)決定：「交預算及決算、司法兩委員會審查」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1B6D1011"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420E2F6C"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00626681" w14:textId="77777777" w:rsidTr="00D023ED">
        <w:trPr>
          <w:cantSplit/>
          <w:trHeight w:val="2108"/>
        </w:trPr>
        <w:tc>
          <w:tcPr>
            <w:tcW w:w="676" w:type="dxa"/>
            <w:tcMar>
              <w:top w:w="0" w:type="dxa"/>
              <w:left w:w="28" w:type="dxa"/>
              <w:bottom w:w="0" w:type="dxa"/>
              <w:right w:w="28" w:type="dxa"/>
            </w:tcMar>
          </w:tcPr>
          <w:p w14:paraId="29A583A3"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25</w:t>
            </w:r>
          </w:p>
        </w:tc>
        <w:tc>
          <w:tcPr>
            <w:tcW w:w="3719" w:type="dxa"/>
            <w:tcMar>
              <w:top w:w="0" w:type="dxa"/>
              <w:left w:w="28" w:type="dxa"/>
              <w:bottom w:w="0" w:type="dxa"/>
              <w:right w:w="28" w:type="dxa"/>
            </w:tcMar>
          </w:tcPr>
          <w:p w14:paraId="4DB7D7D6"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行政院函送第二預備金動支數額機關別表，有關法務部補助各縣市政府毒品危害防制中心辦理毒品犯個案追蹤輔導及戒癮治療等相關經費5,431萬9,000元，動支96年度中央政府總預算第二預備金支應案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20DFFB7E"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第6屆第6會期第12次院會(96.11.23）決定：「交預算及決算、司法兩委員會審查」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4BBFE6F1"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1C0B810C"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62BAF413" w14:textId="77777777" w:rsidTr="00EC4B41">
        <w:trPr>
          <w:cantSplit/>
          <w:trHeight w:val="2179"/>
        </w:trPr>
        <w:tc>
          <w:tcPr>
            <w:tcW w:w="676" w:type="dxa"/>
            <w:tcBorders>
              <w:bottom w:val="single" w:sz="4" w:space="0" w:color="000000"/>
            </w:tcBorders>
            <w:tcMar>
              <w:top w:w="0" w:type="dxa"/>
              <w:left w:w="28" w:type="dxa"/>
              <w:bottom w:w="0" w:type="dxa"/>
              <w:right w:w="28" w:type="dxa"/>
            </w:tcMar>
          </w:tcPr>
          <w:p w14:paraId="5A031EBB"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26</w:t>
            </w:r>
          </w:p>
        </w:tc>
        <w:tc>
          <w:tcPr>
            <w:tcW w:w="3719" w:type="dxa"/>
            <w:tcBorders>
              <w:bottom w:val="single" w:sz="4" w:space="0" w:color="000000"/>
            </w:tcBorders>
            <w:tcMar>
              <w:top w:w="0" w:type="dxa"/>
              <w:left w:w="28" w:type="dxa"/>
              <w:bottom w:w="0" w:type="dxa"/>
              <w:right w:w="28" w:type="dxa"/>
            </w:tcMar>
          </w:tcPr>
          <w:p w14:paraId="44BECACB"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行政院函送第二預備金動支數額機關別表，有關法務部所屬最高法院檢察署及調查局辦理第7屆立法委員選舉查察賄選業務所需經費7,778萬5,000元，動支96年度中央政府總預算第二預備金支應案</w:t>
            </w:r>
            <w:r w:rsidRPr="00640FAB">
              <w:rPr>
                <w:rFonts w:ascii="標楷體" w:eastAsia="標楷體" w:hAnsi="標楷體" w:hint="eastAsia"/>
                <w:szCs w:val="24"/>
              </w:rPr>
              <w:t>。</w:t>
            </w:r>
          </w:p>
        </w:tc>
        <w:tc>
          <w:tcPr>
            <w:tcW w:w="1842" w:type="dxa"/>
            <w:tcBorders>
              <w:bottom w:val="single" w:sz="4" w:space="0" w:color="000000"/>
            </w:tcBorders>
            <w:tcMar>
              <w:top w:w="0" w:type="dxa"/>
              <w:left w:w="28" w:type="dxa"/>
              <w:bottom w:w="0" w:type="dxa"/>
              <w:right w:w="28" w:type="dxa"/>
            </w:tcMar>
          </w:tcPr>
          <w:p w14:paraId="6676B452"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第6屆第6會期第13次院會(96.11.30）決定：「交預算及決算、司法兩委員會審查」</w:t>
            </w:r>
          </w:p>
        </w:tc>
        <w:tc>
          <w:tcPr>
            <w:tcW w:w="1701" w:type="dxa"/>
            <w:vMerge/>
            <w:tcBorders>
              <w:top w:val="single" w:sz="4" w:space="0" w:color="000000"/>
              <w:bottom w:val="single" w:sz="4" w:space="0" w:color="000000"/>
            </w:tcBorders>
            <w:tcMar>
              <w:top w:w="0" w:type="dxa"/>
              <w:left w:w="28" w:type="dxa"/>
              <w:bottom w:w="0" w:type="dxa"/>
              <w:right w:w="28" w:type="dxa"/>
            </w:tcMar>
            <w:vAlign w:val="center"/>
          </w:tcPr>
          <w:p w14:paraId="72F0A12D"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4" w:space="0" w:color="000000"/>
            </w:tcBorders>
            <w:tcMar>
              <w:top w:w="0" w:type="dxa"/>
              <w:left w:w="28" w:type="dxa"/>
              <w:bottom w:w="0" w:type="dxa"/>
              <w:right w:w="28" w:type="dxa"/>
            </w:tcMar>
            <w:vAlign w:val="center"/>
          </w:tcPr>
          <w:p w14:paraId="14643110" w14:textId="77777777" w:rsidR="00E47402" w:rsidRPr="00640FAB" w:rsidRDefault="00E47402" w:rsidP="00D023ED">
            <w:pPr>
              <w:keepLines/>
              <w:widowControl w:val="0"/>
              <w:suppressAutoHyphens/>
              <w:overflowPunct w:val="0"/>
              <w:spacing w:line="340" w:lineRule="exact"/>
              <w:jc w:val="center"/>
              <w:textAlignment w:val="auto"/>
              <w:rPr>
                <w:rFonts w:ascii="標楷體" w:eastAsia="標楷體" w:hAnsi="標楷體"/>
                <w:szCs w:val="24"/>
              </w:rPr>
            </w:pPr>
          </w:p>
        </w:tc>
      </w:tr>
      <w:tr w:rsidR="00E47402" w:rsidRPr="00640FAB" w14:paraId="43AF83F7" w14:textId="77777777" w:rsidTr="00EC4B41">
        <w:trPr>
          <w:cantSplit/>
          <w:trHeight w:val="1968"/>
        </w:trPr>
        <w:tc>
          <w:tcPr>
            <w:tcW w:w="676" w:type="dxa"/>
            <w:tcBorders>
              <w:top w:val="single" w:sz="4" w:space="0" w:color="000000"/>
              <w:bottom w:val="single" w:sz="12" w:space="0" w:color="000000"/>
            </w:tcBorders>
            <w:tcMar>
              <w:top w:w="0" w:type="dxa"/>
              <w:left w:w="28" w:type="dxa"/>
              <w:bottom w:w="0" w:type="dxa"/>
              <w:right w:w="28" w:type="dxa"/>
            </w:tcMar>
          </w:tcPr>
          <w:p w14:paraId="39325EC2" w14:textId="77777777" w:rsidR="00E47402" w:rsidRPr="00640FAB" w:rsidRDefault="00E47402"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lastRenderedPageBreak/>
              <w:t>27</w:t>
            </w:r>
          </w:p>
        </w:tc>
        <w:tc>
          <w:tcPr>
            <w:tcW w:w="3719" w:type="dxa"/>
            <w:tcBorders>
              <w:top w:val="single" w:sz="4" w:space="0" w:color="000000"/>
              <w:bottom w:val="single" w:sz="12" w:space="0" w:color="000000"/>
            </w:tcBorders>
            <w:tcMar>
              <w:top w:w="0" w:type="dxa"/>
              <w:left w:w="28" w:type="dxa"/>
              <w:bottom w:w="0" w:type="dxa"/>
              <w:right w:w="28" w:type="dxa"/>
            </w:tcMar>
          </w:tcPr>
          <w:p w14:paraId="5C6A1ADB"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行政院函送第二預備金動支數額機關別表，有關國史館因應機關搬遷及業務推動需要，辦理辦公廳舍整</w:t>
            </w:r>
          </w:p>
          <w:p w14:paraId="6D95305A" w14:textId="77777777" w:rsidR="00E47402" w:rsidRPr="00640FAB" w:rsidRDefault="00E47402" w:rsidP="00D023ED">
            <w:pPr>
              <w:keepLines/>
              <w:widowControl w:val="0"/>
              <w:suppressAutoHyphens/>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建及展場設計施作所需經費1億1,708萬6,000元，動支96年度中央政府總預算第二預備金支應案</w:t>
            </w:r>
            <w:r w:rsidRPr="00640FAB">
              <w:rPr>
                <w:rFonts w:ascii="標楷體" w:eastAsia="標楷體" w:hAnsi="標楷體" w:hint="eastAsia"/>
                <w:szCs w:val="24"/>
              </w:rPr>
              <w:t>。</w:t>
            </w:r>
          </w:p>
        </w:tc>
        <w:tc>
          <w:tcPr>
            <w:tcW w:w="1842" w:type="dxa"/>
            <w:tcBorders>
              <w:top w:val="single" w:sz="4" w:space="0" w:color="000000"/>
              <w:bottom w:val="single" w:sz="12" w:space="0" w:color="000000"/>
            </w:tcBorders>
            <w:tcMar>
              <w:top w:w="0" w:type="dxa"/>
              <w:left w:w="28" w:type="dxa"/>
              <w:bottom w:w="0" w:type="dxa"/>
              <w:right w:w="28" w:type="dxa"/>
            </w:tcMar>
          </w:tcPr>
          <w:p w14:paraId="0F6CE303" w14:textId="77777777" w:rsidR="00E47402" w:rsidRPr="00640FAB" w:rsidRDefault="00E47402"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 xml:space="preserve">第6屆第6會期第12次院會(96.11.23) </w:t>
            </w:r>
          </w:p>
          <w:p w14:paraId="5F4D965F" w14:textId="77777777" w:rsidR="00E47402" w:rsidRPr="00640FAB" w:rsidRDefault="00E47402" w:rsidP="00D023ED">
            <w:pPr>
              <w:keepLines/>
              <w:widowControl w:val="0"/>
              <w:suppressAutoHyphens/>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20"/>
                <w:szCs w:val="24"/>
              </w:rPr>
              <w:t>決定：「交預算及決算、法制兩委員會審查」</w:t>
            </w:r>
          </w:p>
        </w:tc>
        <w:tc>
          <w:tcPr>
            <w:tcW w:w="1701" w:type="dxa"/>
            <w:vMerge/>
            <w:tcBorders>
              <w:top w:val="single" w:sz="4" w:space="0" w:color="000000"/>
              <w:bottom w:val="single" w:sz="12" w:space="0" w:color="000000"/>
            </w:tcBorders>
            <w:tcMar>
              <w:top w:w="0" w:type="dxa"/>
              <w:left w:w="28" w:type="dxa"/>
              <w:bottom w:w="0" w:type="dxa"/>
              <w:right w:w="28" w:type="dxa"/>
            </w:tcMar>
            <w:vAlign w:val="center"/>
          </w:tcPr>
          <w:p w14:paraId="3E8EA1C3" w14:textId="77777777" w:rsidR="00E47402" w:rsidRPr="00640FAB" w:rsidRDefault="00E47402" w:rsidP="00D023ED">
            <w:pPr>
              <w:keepLines/>
              <w:widowControl w:val="0"/>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bottom w:val="single" w:sz="12" w:space="0" w:color="000000"/>
            </w:tcBorders>
            <w:tcMar>
              <w:top w:w="0" w:type="dxa"/>
              <w:left w:w="28" w:type="dxa"/>
              <w:bottom w:w="0" w:type="dxa"/>
              <w:right w:w="28" w:type="dxa"/>
            </w:tcMar>
            <w:vAlign w:val="center"/>
          </w:tcPr>
          <w:p w14:paraId="00E09B39" w14:textId="77777777" w:rsidR="00E47402" w:rsidRPr="00640FAB" w:rsidRDefault="00E47402" w:rsidP="00D023ED">
            <w:pPr>
              <w:keepLines/>
              <w:widowControl w:val="0"/>
              <w:overflowPunct w:val="0"/>
              <w:spacing w:line="340" w:lineRule="exact"/>
              <w:jc w:val="center"/>
              <w:textAlignment w:val="auto"/>
              <w:rPr>
                <w:rFonts w:ascii="標楷體" w:eastAsia="標楷體" w:hAnsi="標楷體"/>
                <w:szCs w:val="24"/>
              </w:rPr>
            </w:pPr>
          </w:p>
        </w:tc>
      </w:tr>
      <w:tr w:rsidR="00640FAB" w:rsidRPr="00640FAB" w14:paraId="66FE2A67" w14:textId="77777777" w:rsidTr="00EC4B41">
        <w:trPr>
          <w:cantSplit/>
          <w:trHeight w:val="1418"/>
        </w:trPr>
        <w:tc>
          <w:tcPr>
            <w:tcW w:w="676" w:type="dxa"/>
            <w:tcBorders>
              <w:top w:val="single" w:sz="12" w:space="0" w:color="000000"/>
              <w:bottom w:val="single" w:sz="4" w:space="0" w:color="000000"/>
            </w:tcBorders>
            <w:tcMar>
              <w:top w:w="0" w:type="dxa"/>
              <w:left w:w="28" w:type="dxa"/>
              <w:bottom w:w="0" w:type="dxa"/>
              <w:right w:w="28" w:type="dxa"/>
            </w:tcMar>
          </w:tcPr>
          <w:p w14:paraId="3F6685A8" w14:textId="77777777" w:rsidR="006714B7" w:rsidRPr="00640FAB" w:rsidRDefault="00DF4C7F"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28</w:t>
            </w:r>
          </w:p>
        </w:tc>
        <w:tc>
          <w:tcPr>
            <w:tcW w:w="3719" w:type="dxa"/>
            <w:tcBorders>
              <w:top w:val="single" w:sz="12" w:space="0" w:color="000000"/>
              <w:bottom w:val="single" w:sz="4" w:space="0" w:color="000000"/>
            </w:tcBorders>
            <w:tcMar>
              <w:top w:w="0" w:type="dxa"/>
              <w:left w:w="28" w:type="dxa"/>
              <w:bottom w:w="0" w:type="dxa"/>
              <w:right w:w="28" w:type="dxa"/>
            </w:tcMar>
          </w:tcPr>
          <w:p w14:paraId="5B2244B0"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rPr>
            </w:pPr>
            <w:r w:rsidRPr="00640FAB">
              <w:rPr>
                <w:rFonts w:ascii="標楷體" w:eastAsia="標楷體" w:hAnsi="標楷體"/>
                <w:szCs w:val="24"/>
              </w:rPr>
              <w:t>行政院函請審議「97年度中央政府總預算第二預備金動支數額表」案</w:t>
            </w:r>
            <w:r w:rsidRPr="00640FAB">
              <w:rPr>
                <w:rFonts w:ascii="標楷體" w:eastAsia="標楷體" w:hAnsi="標楷體"/>
                <w:spacing w:val="-4"/>
                <w:szCs w:val="24"/>
              </w:rPr>
              <w:t>（另含第二預備金動支數額機關別表4案）</w:t>
            </w:r>
            <w:r w:rsidRPr="00640FAB">
              <w:rPr>
                <w:rFonts w:ascii="標楷體" w:eastAsia="標楷體" w:hAnsi="標楷體" w:hint="eastAsia"/>
                <w:spacing w:val="-4"/>
                <w:szCs w:val="24"/>
              </w:rPr>
              <w:t>。</w:t>
            </w:r>
          </w:p>
        </w:tc>
        <w:tc>
          <w:tcPr>
            <w:tcW w:w="1842" w:type="dxa"/>
            <w:tcBorders>
              <w:top w:val="single" w:sz="12" w:space="0" w:color="000000"/>
              <w:bottom w:val="single" w:sz="4" w:space="0" w:color="000000"/>
            </w:tcBorders>
            <w:tcMar>
              <w:top w:w="0" w:type="dxa"/>
              <w:left w:w="28" w:type="dxa"/>
              <w:bottom w:w="0" w:type="dxa"/>
              <w:right w:w="28" w:type="dxa"/>
            </w:tcMar>
          </w:tcPr>
          <w:p w14:paraId="4CB1F8CA"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rPr>
            </w:pPr>
            <w:r w:rsidRPr="00640FAB">
              <w:rPr>
                <w:rFonts w:ascii="標楷體" w:eastAsia="標楷體" w:hAnsi="標楷體"/>
                <w:spacing w:val="-30"/>
                <w:szCs w:val="24"/>
              </w:rPr>
              <w:t>第7屆第3會期第1次院會（98.2.20）決</w:t>
            </w:r>
            <w:r w:rsidRPr="00640FAB">
              <w:rPr>
                <w:rFonts w:ascii="標楷體" w:eastAsia="標楷體" w:hAnsi="標楷體"/>
                <w:spacing w:val="-4"/>
                <w:szCs w:val="24"/>
              </w:rPr>
              <w:t>定：「交財政委員會審查」</w:t>
            </w:r>
          </w:p>
        </w:tc>
        <w:tc>
          <w:tcPr>
            <w:tcW w:w="1701" w:type="dxa"/>
            <w:vMerge w:val="restart"/>
            <w:tcBorders>
              <w:top w:val="single" w:sz="12" w:space="0" w:color="000000"/>
              <w:bottom w:val="single" w:sz="4" w:space="0" w:color="000000"/>
            </w:tcBorders>
            <w:tcMar>
              <w:top w:w="0" w:type="dxa"/>
              <w:left w:w="28" w:type="dxa"/>
              <w:bottom w:w="0" w:type="dxa"/>
              <w:right w:w="28" w:type="dxa"/>
            </w:tcMar>
          </w:tcPr>
          <w:p w14:paraId="62A249F4"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rPr>
            </w:pPr>
            <w:r w:rsidRPr="00640FAB">
              <w:rPr>
                <w:rFonts w:ascii="標楷體" w:eastAsia="標楷體" w:hAnsi="標楷體"/>
                <w:spacing w:val="-20"/>
                <w:szCs w:val="24"/>
              </w:rPr>
              <w:t>第</w:t>
            </w:r>
            <w:r w:rsidRPr="00640FAB">
              <w:rPr>
                <w:rFonts w:ascii="標楷體" w:eastAsia="標楷體" w:hAnsi="標楷體" w:hint="eastAsia"/>
                <w:spacing w:val="-20"/>
                <w:szCs w:val="24"/>
              </w:rPr>
              <w:t>7</w:t>
            </w:r>
            <w:r w:rsidRPr="00640FAB">
              <w:rPr>
                <w:rFonts w:ascii="標楷體" w:eastAsia="標楷體" w:hAnsi="標楷體"/>
                <w:spacing w:val="-20"/>
                <w:szCs w:val="24"/>
              </w:rPr>
              <w:t>屆第</w:t>
            </w:r>
            <w:r w:rsidRPr="00640FAB">
              <w:rPr>
                <w:rFonts w:ascii="標楷體" w:eastAsia="標楷體" w:hAnsi="標楷體" w:hint="eastAsia"/>
                <w:spacing w:val="-20"/>
                <w:szCs w:val="24"/>
              </w:rPr>
              <w:t>3</w:t>
            </w:r>
            <w:r w:rsidRPr="00640FAB">
              <w:rPr>
                <w:rFonts w:ascii="標楷體" w:eastAsia="標楷體" w:hAnsi="標楷體"/>
                <w:spacing w:val="-20"/>
                <w:szCs w:val="24"/>
              </w:rPr>
              <w:t>會期財政、內政、經濟、教育及文化、交通、司法及法制、社會福利及衛生環境</w:t>
            </w:r>
            <w:r w:rsidRPr="00640FAB">
              <w:rPr>
                <w:rFonts w:ascii="標楷體" w:eastAsia="標楷體" w:hAnsi="標楷體"/>
                <w:szCs w:val="24"/>
              </w:rPr>
              <w:t>委員會第3次聯席會議</w:t>
            </w:r>
            <w:r w:rsidRPr="00640FAB">
              <w:rPr>
                <w:rFonts w:ascii="標楷體" w:eastAsia="標楷體" w:hAnsi="標楷體" w:hint="eastAsia"/>
                <w:spacing w:val="-16"/>
                <w:szCs w:val="24"/>
              </w:rPr>
              <w:t>(</w:t>
            </w:r>
            <w:r w:rsidRPr="00640FAB">
              <w:rPr>
                <w:rFonts w:ascii="標楷體" w:eastAsia="標楷體" w:hAnsi="標楷體"/>
                <w:spacing w:val="-16"/>
                <w:szCs w:val="24"/>
              </w:rPr>
              <w:t>9</w:t>
            </w:r>
            <w:r w:rsidRPr="00640FAB">
              <w:rPr>
                <w:rFonts w:ascii="標楷體" w:eastAsia="標楷體" w:hAnsi="標楷體" w:hint="eastAsia"/>
                <w:spacing w:val="-16"/>
                <w:szCs w:val="24"/>
              </w:rPr>
              <w:t>8</w:t>
            </w:r>
            <w:r w:rsidRPr="00640FAB">
              <w:rPr>
                <w:rFonts w:ascii="標楷體" w:eastAsia="標楷體" w:hAnsi="標楷體"/>
                <w:spacing w:val="-16"/>
                <w:szCs w:val="24"/>
              </w:rPr>
              <w:t>.</w:t>
            </w:r>
            <w:r w:rsidRPr="00640FAB">
              <w:rPr>
                <w:rFonts w:ascii="標楷體" w:eastAsia="標楷體" w:hAnsi="標楷體" w:hint="eastAsia"/>
                <w:spacing w:val="-16"/>
                <w:szCs w:val="24"/>
              </w:rPr>
              <w:t>5</w:t>
            </w:r>
            <w:r w:rsidRPr="00640FAB">
              <w:rPr>
                <w:rFonts w:ascii="標楷體" w:eastAsia="標楷體" w:hAnsi="標楷體"/>
                <w:spacing w:val="-16"/>
                <w:szCs w:val="24"/>
              </w:rPr>
              <w:t>.</w:t>
            </w:r>
            <w:r w:rsidRPr="00640FAB">
              <w:rPr>
                <w:rFonts w:ascii="標楷體" w:eastAsia="標楷體" w:hAnsi="標楷體" w:hint="eastAsia"/>
                <w:spacing w:val="-16"/>
                <w:szCs w:val="24"/>
              </w:rPr>
              <w:t>4)</w:t>
            </w:r>
          </w:p>
        </w:tc>
        <w:tc>
          <w:tcPr>
            <w:tcW w:w="1843" w:type="dxa"/>
            <w:vMerge w:val="restart"/>
            <w:tcBorders>
              <w:top w:val="single" w:sz="12" w:space="0" w:color="000000"/>
              <w:bottom w:val="single" w:sz="4" w:space="0" w:color="000000"/>
            </w:tcBorders>
            <w:tcMar>
              <w:top w:w="0" w:type="dxa"/>
              <w:left w:w="28" w:type="dxa"/>
              <w:bottom w:w="0" w:type="dxa"/>
              <w:right w:w="28" w:type="dxa"/>
            </w:tcMar>
          </w:tcPr>
          <w:p w14:paraId="06FBF70D" w14:textId="77777777" w:rsidR="006714B7" w:rsidRPr="00640FAB" w:rsidRDefault="006714B7" w:rsidP="00D023ED">
            <w:pPr>
              <w:keepLines/>
              <w:widowControl w:val="0"/>
              <w:overflowPunct w:val="0"/>
              <w:spacing w:line="340" w:lineRule="exact"/>
              <w:ind w:left="206" w:hangingChars="100" w:hanging="206"/>
              <w:jc w:val="both"/>
              <w:textAlignment w:val="auto"/>
              <w:rPr>
                <w:rFonts w:ascii="標楷體" w:eastAsia="標楷體" w:hAnsi="標楷體"/>
                <w:szCs w:val="24"/>
              </w:rPr>
            </w:pPr>
            <w:r w:rsidRPr="00640FAB">
              <w:rPr>
                <w:rFonts w:ascii="標楷體" w:eastAsia="標楷體" w:hAnsi="標楷體" w:hint="eastAsia"/>
                <w:spacing w:val="-34"/>
                <w:szCs w:val="24"/>
              </w:rPr>
              <w:t>1</w:t>
            </w:r>
            <w:r w:rsidRPr="00640FAB">
              <w:rPr>
                <w:rFonts w:ascii="標楷體" w:eastAsia="標楷體" w:hAnsi="標楷體" w:hint="eastAsia"/>
                <w:szCs w:val="24"/>
              </w:rPr>
              <w:t>.</w:t>
            </w:r>
            <w:r w:rsidRPr="00640FAB">
              <w:rPr>
                <w:rFonts w:ascii="標楷體" w:eastAsia="標楷體" w:hAnsi="標楷體"/>
                <w:spacing w:val="-12"/>
                <w:szCs w:val="24"/>
              </w:rPr>
              <w:t>98.5.7函議事處</w:t>
            </w:r>
            <w:r w:rsidRPr="00640FAB">
              <w:rPr>
                <w:rFonts w:ascii="標楷體" w:eastAsia="標楷體" w:hAnsi="標楷體" w:hint="eastAsia"/>
                <w:spacing w:val="-12"/>
                <w:szCs w:val="24"/>
              </w:rPr>
              <w:t>(計5案)</w:t>
            </w:r>
            <w:r w:rsidRPr="00640FAB">
              <w:rPr>
                <w:rFonts w:ascii="標楷體" w:eastAsia="標楷體" w:hAnsi="標楷體"/>
                <w:spacing w:val="-12"/>
                <w:szCs w:val="24"/>
              </w:rPr>
              <w:t>，聯席會決議</w:t>
            </w:r>
            <w:r w:rsidRPr="00640FAB">
              <w:rPr>
                <w:rFonts w:ascii="標楷體" w:eastAsia="標楷體" w:hAnsi="標楷體" w:hint="eastAsia"/>
                <w:spacing w:val="-12"/>
                <w:szCs w:val="24"/>
              </w:rPr>
              <w:t>：</w:t>
            </w:r>
            <w:r w:rsidRPr="00640FAB">
              <w:rPr>
                <w:rFonts w:ascii="標楷體" w:eastAsia="標楷體" w:hAnsi="標楷體"/>
                <w:spacing w:val="-12"/>
                <w:szCs w:val="24"/>
              </w:rPr>
              <w:t>不須交由黨團協商</w:t>
            </w:r>
            <w:r w:rsidRPr="00640FAB">
              <w:rPr>
                <w:rFonts w:ascii="標楷體" w:eastAsia="標楷體" w:hAnsi="標楷體" w:hint="eastAsia"/>
                <w:spacing w:val="-12"/>
                <w:szCs w:val="24"/>
              </w:rPr>
              <w:t>。</w:t>
            </w:r>
          </w:p>
          <w:p w14:paraId="0B41664C" w14:textId="77777777" w:rsidR="006714B7" w:rsidRPr="00640FAB" w:rsidRDefault="006714B7" w:rsidP="00D023ED">
            <w:pPr>
              <w:keepLines/>
              <w:widowControl w:val="0"/>
              <w:overflowPunct w:val="0"/>
              <w:spacing w:line="340" w:lineRule="exact"/>
              <w:ind w:left="240" w:hangingChars="100" w:hanging="240"/>
              <w:jc w:val="both"/>
              <w:textAlignment w:val="auto"/>
              <w:rPr>
                <w:rFonts w:ascii="標楷體" w:eastAsia="標楷體" w:hAnsi="標楷體"/>
                <w:szCs w:val="24"/>
              </w:rPr>
            </w:pPr>
            <w:r w:rsidRPr="00640FAB">
              <w:rPr>
                <w:rFonts w:ascii="標楷體" w:eastAsia="標楷體" w:hAnsi="標楷體" w:hint="eastAsia"/>
                <w:szCs w:val="24"/>
              </w:rPr>
              <w:t>2.</w:t>
            </w:r>
            <w:r w:rsidRPr="00640FAB">
              <w:rPr>
                <w:rFonts w:ascii="標楷體" w:eastAsia="標楷體" w:hAnsi="標楷體"/>
                <w:szCs w:val="24"/>
              </w:rPr>
              <w:t>第7屆第3會期第13次院會</w:t>
            </w:r>
            <w:r w:rsidRPr="00640FAB">
              <w:rPr>
                <w:rFonts w:ascii="標楷體" w:eastAsia="標楷體" w:hAnsi="標楷體" w:hint="eastAsia"/>
                <w:spacing w:val="20"/>
                <w:szCs w:val="24"/>
              </w:rPr>
              <w:t>(</w:t>
            </w:r>
            <w:r w:rsidRPr="00640FAB">
              <w:rPr>
                <w:rFonts w:ascii="標楷體" w:eastAsia="標楷體" w:hAnsi="標楷體"/>
                <w:spacing w:val="20"/>
                <w:szCs w:val="24"/>
              </w:rPr>
              <w:t>98.5.15</w:t>
            </w:r>
            <w:r w:rsidRPr="00640FAB">
              <w:rPr>
                <w:rFonts w:ascii="標楷體" w:eastAsia="標楷體" w:hAnsi="標楷體" w:hint="eastAsia"/>
                <w:spacing w:val="20"/>
                <w:szCs w:val="24"/>
              </w:rPr>
              <w:t>)</w:t>
            </w:r>
            <w:r w:rsidRPr="00640FAB">
              <w:rPr>
                <w:rFonts w:ascii="標楷體" w:eastAsia="標楷體" w:hAnsi="標楷體" w:hint="eastAsia"/>
                <w:szCs w:val="24"/>
              </w:rPr>
              <w:t>，決議：</w:t>
            </w:r>
            <w:r w:rsidRPr="00640FAB">
              <w:rPr>
                <w:rFonts w:ascii="標楷體" w:eastAsia="標楷體" w:hAnsi="標楷體"/>
                <w:szCs w:val="24"/>
              </w:rPr>
              <w:t>交付協商。</w:t>
            </w:r>
          </w:p>
        </w:tc>
      </w:tr>
      <w:tr w:rsidR="00640FAB" w:rsidRPr="00640FAB" w14:paraId="27F5D25D" w14:textId="77777777" w:rsidTr="00EC4B41">
        <w:trPr>
          <w:cantSplit/>
        </w:trPr>
        <w:tc>
          <w:tcPr>
            <w:tcW w:w="676" w:type="dxa"/>
            <w:tcBorders>
              <w:top w:val="single" w:sz="4" w:space="0" w:color="000000"/>
            </w:tcBorders>
            <w:tcMar>
              <w:top w:w="0" w:type="dxa"/>
              <w:left w:w="28" w:type="dxa"/>
              <w:bottom w:w="0" w:type="dxa"/>
              <w:right w:w="28" w:type="dxa"/>
            </w:tcMar>
          </w:tcPr>
          <w:p w14:paraId="3FADA57B" w14:textId="77777777" w:rsidR="006714B7" w:rsidRPr="00640FAB" w:rsidRDefault="00DF4C7F"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29</w:t>
            </w:r>
          </w:p>
        </w:tc>
        <w:tc>
          <w:tcPr>
            <w:tcW w:w="3719" w:type="dxa"/>
            <w:tcBorders>
              <w:top w:val="single" w:sz="4" w:space="0" w:color="000000"/>
            </w:tcBorders>
            <w:tcMar>
              <w:top w:w="0" w:type="dxa"/>
              <w:left w:w="28" w:type="dxa"/>
              <w:bottom w:w="0" w:type="dxa"/>
              <w:right w:w="28" w:type="dxa"/>
            </w:tcMar>
          </w:tcPr>
          <w:p w14:paraId="03B24763"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行政院函為內政部推動「工作所得補助方案」經費不敷50億6,647萬1,375元，動支97年度中央政府總預算第二預備金支應，茲檢送第二預備金動支數額機關別表案</w:t>
            </w:r>
            <w:r w:rsidRPr="00640FAB">
              <w:rPr>
                <w:rFonts w:ascii="標楷體" w:eastAsia="標楷體" w:hAnsi="標楷體" w:hint="eastAsia"/>
                <w:szCs w:val="24"/>
              </w:rPr>
              <w:t>。</w:t>
            </w:r>
          </w:p>
        </w:tc>
        <w:tc>
          <w:tcPr>
            <w:tcW w:w="1842" w:type="dxa"/>
            <w:tcBorders>
              <w:top w:val="single" w:sz="4" w:space="0" w:color="000000"/>
            </w:tcBorders>
            <w:tcMar>
              <w:top w:w="0" w:type="dxa"/>
              <w:left w:w="28" w:type="dxa"/>
              <w:bottom w:w="0" w:type="dxa"/>
              <w:right w:w="28" w:type="dxa"/>
            </w:tcMar>
          </w:tcPr>
          <w:p w14:paraId="6969636D"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pacing w:val="-30"/>
                <w:szCs w:val="24"/>
              </w:rPr>
            </w:pPr>
            <w:r w:rsidRPr="00640FAB">
              <w:rPr>
                <w:rFonts w:ascii="標楷體" w:eastAsia="標楷體" w:hAnsi="標楷體"/>
                <w:spacing w:val="-30"/>
                <w:szCs w:val="24"/>
              </w:rPr>
              <w:t>第7屆第2會期第10次院會（97.11.21）決定：「交財政、內政兩委員會審查」</w:t>
            </w:r>
          </w:p>
        </w:tc>
        <w:tc>
          <w:tcPr>
            <w:tcW w:w="1701" w:type="dxa"/>
            <w:vMerge/>
            <w:tcBorders>
              <w:top w:val="single" w:sz="4" w:space="0" w:color="000000"/>
            </w:tcBorders>
            <w:tcMar>
              <w:top w:w="0" w:type="dxa"/>
              <w:left w:w="28" w:type="dxa"/>
              <w:bottom w:w="0" w:type="dxa"/>
              <w:right w:w="28" w:type="dxa"/>
            </w:tcMar>
            <w:vAlign w:val="center"/>
          </w:tcPr>
          <w:p w14:paraId="0B182ADC" w14:textId="77777777" w:rsidR="006714B7" w:rsidRPr="00640FAB" w:rsidRDefault="006714B7"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Borders>
              <w:top w:val="single" w:sz="4" w:space="0" w:color="000000"/>
            </w:tcBorders>
            <w:tcMar>
              <w:top w:w="0" w:type="dxa"/>
              <w:left w:w="28" w:type="dxa"/>
              <w:bottom w:w="0" w:type="dxa"/>
              <w:right w:w="28" w:type="dxa"/>
            </w:tcMar>
            <w:vAlign w:val="center"/>
          </w:tcPr>
          <w:p w14:paraId="393100BB" w14:textId="77777777" w:rsidR="006714B7" w:rsidRPr="00640FAB" w:rsidRDefault="006714B7" w:rsidP="00D023ED">
            <w:pPr>
              <w:keepLines/>
              <w:widowControl w:val="0"/>
              <w:suppressAutoHyphens/>
              <w:overflowPunct w:val="0"/>
              <w:spacing w:line="340" w:lineRule="exact"/>
              <w:jc w:val="center"/>
              <w:textAlignment w:val="auto"/>
              <w:rPr>
                <w:rFonts w:ascii="標楷體" w:eastAsia="標楷體" w:hAnsi="標楷體"/>
                <w:szCs w:val="24"/>
              </w:rPr>
            </w:pPr>
          </w:p>
        </w:tc>
      </w:tr>
      <w:tr w:rsidR="00640FAB" w:rsidRPr="00640FAB" w14:paraId="2180099E" w14:textId="77777777" w:rsidTr="00D023ED">
        <w:trPr>
          <w:cantSplit/>
          <w:trHeight w:val="2560"/>
        </w:trPr>
        <w:tc>
          <w:tcPr>
            <w:tcW w:w="676" w:type="dxa"/>
            <w:tcMar>
              <w:top w:w="0" w:type="dxa"/>
              <w:left w:w="28" w:type="dxa"/>
              <w:bottom w:w="0" w:type="dxa"/>
              <w:right w:w="28" w:type="dxa"/>
            </w:tcMar>
          </w:tcPr>
          <w:p w14:paraId="1C93F7C1" w14:textId="77777777" w:rsidR="006714B7" w:rsidRPr="00640FAB" w:rsidRDefault="00DF4C7F"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30</w:t>
            </w:r>
          </w:p>
        </w:tc>
        <w:tc>
          <w:tcPr>
            <w:tcW w:w="3719" w:type="dxa"/>
            <w:tcMar>
              <w:top w:w="0" w:type="dxa"/>
              <w:left w:w="28" w:type="dxa"/>
              <w:bottom w:w="0" w:type="dxa"/>
              <w:right w:w="28" w:type="dxa"/>
            </w:tcMar>
          </w:tcPr>
          <w:p w14:paraId="739462E7"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行政院函為內政部推動「工作所得補助方案」經費不敷50億6,647萬1,375元,前動支97年度中央政府總預算第二預備金支應，茲依實際執行狀況，註銷18億元，爰請修正動</w:t>
            </w:r>
          </w:p>
          <w:p w14:paraId="1EA3362D" w14:textId="77777777" w:rsidR="006714B7" w:rsidRPr="00640FAB" w:rsidRDefault="006714B7" w:rsidP="00D023ED">
            <w:pPr>
              <w:keepLines/>
              <w:widowControl w:val="0"/>
              <w:suppressAutoHyphens/>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支為32億6,647萬1,375元，並檢送修正後之第二預備金動支數額機關別表案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7662125E"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pacing w:val="-30"/>
                <w:szCs w:val="24"/>
              </w:rPr>
              <w:t>第7屆第2會期第16次院會（98.1.6）決定：「交財政、內政兩委員會審查」</w:t>
            </w:r>
          </w:p>
        </w:tc>
        <w:tc>
          <w:tcPr>
            <w:tcW w:w="1701" w:type="dxa"/>
            <w:vMerge/>
            <w:tcMar>
              <w:top w:w="0" w:type="dxa"/>
              <w:left w:w="28" w:type="dxa"/>
              <w:bottom w:w="0" w:type="dxa"/>
              <w:right w:w="28" w:type="dxa"/>
            </w:tcMar>
            <w:vAlign w:val="center"/>
          </w:tcPr>
          <w:p w14:paraId="2B679EEE" w14:textId="77777777" w:rsidR="006714B7" w:rsidRPr="00640FAB" w:rsidRDefault="006714B7" w:rsidP="00D023ED">
            <w:pPr>
              <w:keepLines/>
              <w:widowControl w:val="0"/>
              <w:suppressAutoHyphens/>
              <w:overflowPunct w:val="0"/>
              <w:spacing w:line="340" w:lineRule="exact"/>
              <w:jc w:val="center"/>
              <w:textAlignment w:val="auto"/>
              <w:rPr>
                <w:rFonts w:ascii="標楷體" w:eastAsia="標楷體" w:hAnsi="標楷體"/>
                <w:szCs w:val="24"/>
              </w:rPr>
            </w:pPr>
          </w:p>
        </w:tc>
        <w:tc>
          <w:tcPr>
            <w:tcW w:w="1843" w:type="dxa"/>
            <w:vMerge/>
            <w:tcMar>
              <w:top w:w="0" w:type="dxa"/>
              <w:left w:w="28" w:type="dxa"/>
              <w:bottom w:w="0" w:type="dxa"/>
              <w:right w:w="28" w:type="dxa"/>
            </w:tcMar>
            <w:vAlign w:val="center"/>
          </w:tcPr>
          <w:p w14:paraId="4148D0D3" w14:textId="77777777" w:rsidR="006714B7" w:rsidRPr="00640FAB" w:rsidRDefault="006714B7" w:rsidP="00D023ED">
            <w:pPr>
              <w:keepLines/>
              <w:widowControl w:val="0"/>
              <w:suppressAutoHyphens/>
              <w:overflowPunct w:val="0"/>
              <w:spacing w:line="340" w:lineRule="exact"/>
              <w:jc w:val="center"/>
              <w:textAlignment w:val="auto"/>
              <w:rPr>
                <w:rFonts w:ascii="標楷體" w:eastAsia="標楷體" w:hAnsi="標楷體"/>
                <w:szCs w:val="24"/>
              </w:rPr>
            </w:pPr>
          </w:p>
        </w:tc>
      </w:tr>
      <w:tr w:rsidR="00640FAB" w:rsidRPr="00640FAB" w14:paraId="6E2DE8E8" w14:textId="77777777" w:rsidTr="00D023ED">
        <w:trPr>
          <w:cantSplit/>
        </w:trPr>
        <w:tc>
          <w:tcPr>
            <w:tcW w:w="676" w:type="dxa"/>
            <w:tcMar>
              <w:top w:w="0" w:type="dxa"/>
              <w:left w:w="28" w:type="dxa"/>
              <w:bottom w:w="0" w:type="dxa"/>
              <w:right w:w="28" w:type="dxa"/>
            </w:tcMar>
          </w:tcPr>
          <w:p w14:paraId="47FDB981" w14:textId="77777777" w:rsidR="006714B7" w:rsidRPr="00640FAB" w:rsidRDefault="00DF4C7F"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31</w:t>
            </w:r>
          </w:p>
        </w:tc>
        <w:tc>
          <w:tcPr>
            <w:tcW w:w="3719" w:type="dxa"/>
            <w:tcMar>
              <w:top w:w="0" w:type="dxa"/>
              <w:left w:w="28" w:type="dxa"/>
              <w:bottom w:w="0" w:type="dxa"/>
              <w:right w:w="28" w:type="dxa"/>
            </w:tcMar>
          </w:tcPr>
          <w:p w14:paraId="6BC27229"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行政院函為經濟部辦理「因應景氣振興經濟方案」，提供民眾購置節能標章產品補助，97年度所需經費2億元，動支97年度中央政府總預算第二預備金支應，茲檢送第二預備金動支數額機關別表案</w:t>
            </w:r>
            <w:r w:rsidRPr="00640FAB">
              <w:rPr>
                <w:rFonts w:ascii="標楷體" w:eastAsia="標楷體" w:hAnsi="標楷體" w:hint="eastAsia"/>
                <w:szCs w:val="24"/>
              </w:rPr>
              <w:t>。</w:t>
            </w:r>
          </w:p>
        </w:tc>
        <w:tc>
          <w:tcPr>
            <w:tcW w:w="1842" w:type="dxa"/>
            <w:tcMar>
              <w:top w:w="0" w:type="dxa"/>
              <w:left w:w="28" w:type="dxa"/>
              <w:bottom w:w="0" w:type="dxa"/>
              <w:right w:w="28" w:type="dxa"/>
            </w:tcMar>
          </w:tcPr>
          <w:p w14:paraId="1DA2891B"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pacing w:val="-30"/>
                <w:szCs w:val="24"/>
              </w:rPr>
            </w:pPr>
            <w:r w:rsidRPr="00640FAB">
              <w:rPr>
                <w:rFonts w:ascii="標楷體" w:eastAsia="標楷體" w:hAnsi="標楷體"/>
                <w:spacing w:val="-30"/>
                <w:szCs w:val="24"/>
              </w:rPr>
              <w:t>第7屆第2會期第17次院會（98.1.9）決定：「交財政、經濟兩委員會審查」</w:t>
            </w:r>
          </w:p>
        </w:tc>
        <w:tc>
          <w:tcPr>
            <w:tcW w:w="1701" w:type="dxa"/>
            <w:vMerge/>
            <w:tcMar>
              <w:top w:w="0" w:type="dxa"/>
              <w:left w:w="28" w:type="dxa"/>
              <w:bottom w:w="0" w:type="dxa"/>
              <w:right w:w="28" w:type="dxa"/>
            </w:tcMar>
            <w:vAlign w:val="center"/>
          </w:tcPr>
          <w:p w14:paraId="7F728E2C"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p>
        </w:tc>
        <w:tc>
          <w:tcPr>
            <w:tcW w:w="1843" w:type="dxa"/>
            <w:vMerge/>
            <w:tcMar>
              <w:top w:w="0" w:type="dxa"/>
              <w:left w:w="28" w:type="dxa"/>
              <w:bottom w:w="0" w:type="dxa"/>
              <w:right w:w="28" w:type="dxa"/>
            </w:tcMar>
            <w:vAlign w:val="center"/>
          </w:tcPr>
          <w:p w14:paraId="68C5251E"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p>
        </w:tc>
      </w:tr>
      <w:tr w:rsidR="00640FAB" w:rsidRPr="00640FAB" w14:paraId="1FAC8AFA" w14:textId="77777777" w:rsidTr="00EC4B41">
        <w:trPr>
          <w:cantSplit/>
        </w:trPr>
        <w:tc>
          <w:tcPr>
            <w:tcW w:w="676" w:type="dxa"/>
            <w:tcBorders>
              <w:bottom w:val="single" w:sz="12" w:space="0" w:color="000000"/>
            </w:tcBorders>
            <w:tcMar>
              <w:top w:w="0" w:type="dxa"/>
              <w:left w:w="28" w:type="dxa"/>
              <w:bottom w:w="0" w:type="dxa"/>
              <w:right w:w="28" w:type="dxa"/>
            </w:tcMar>
          </w:tcPr>
          <w:p w14:paraId="724CF388" w14:textId="77777777" w:rsidR="006714B7" w:rsidRPr="00640FAB" w:rsidRDefault="00DF4C7F"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32</w:t>
            </w:r>
          </w:p>
        </w:tc>
        <w:tc>
          <w:tcPr>
            <w:tcW w:w="3719" w:type="dxa"/>
            <w:tcBorders>
              <w:bottom w:val="single" w:sz="12" w:space="0" w:color="000000"/>
            </w:tcBorders>
            <w:tcMar>
              <w:top w:w="0" w:type="dxa"/>
              <w:left w:w="28" w:type="dxa"/>
              <w:bottom w:w="0" w:type="dxa"/>
              <w:right w:w="28" w:type="dxa"/>
            </w:tcMar>
          </w:tcPr>
          <w:p w14:paraId="0D278DF0"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行政院函為衛生署因協助經濟弱勢民眾繳納其健保欠費，所需經費4億元，動支本（97）年度中央政府總預算第二預備金支應，茲檢送第二預備金動支數額機關別表案</w:t>
            </w:r>
            <w:r w:rsidRPr="00640FAB">
              <w:rPr>
                <w:rFonts w:ascii="標楷體" w:eastAsia="標楷體" w:hAnsi="標楷體" w:hint="eastAsia"/>
                <w:szCs w:val="24"/>
              </w:rPr>
              <w:t>。</w:t>
            </w:r>
          </w:p>
        </w:tc>
        <w:tc>
          <w:tcPr>
            <w:tcW w:w="1842" w:type="dxa"/>
            <w:tcBorders>
              <w:bottom w:val="single" w:sz="12" w:space="0" w:color="000000"/>
            </w:tcBorders>
            <w:tcMar>
              <w:top w:w="0" w:type="dxa"/>
              <w:left w:w="28" w:type="dxa"/>
              <w:bottom w:w="0" w:type="dxa"/>
              <w:right w:w="28" w:type="dxa"/>
            </w:tcMar>
          </w:tcPr>
          <w:p w14:paraId="417CE875"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pacing w:val="-30"/>
                <w:szCs w:val="24"/>
              </w:rPr>
            </w:pPr>
            <w:r w:rsidRPr="00640FAB">
              <w:rPr>
                <w:rFonts w:ascii="標楷體" w:eastAsia="標楷體" w:hAnsi="標楷體"/>
                <w:spacing w:val="-30"/>
                <w:szCs w:val="24"/>
              </w:rPr>
              <w:t>第7屆第1會期第11次院會（97.5.16）決定：「交財政、衛生環境及勞工兩委員會審查」</w:t>
            </w:r>
          </w:p>
        </w:tc>
        <w:tc>
          <w:tcPr>
            <w:tcW w:w="1701" w:type="dxa"/>
            <w:vMerge/>
            <w:tcBorders>
              <w:bottom w:val="single" w:sz="12" w:space="0" w:color="000000"/>
            </w:tcBorders>
            <w:tcMar>
              <w:top w:w="0" w:type="dxa"/>
              <w:left w:w="28" w:type="dxa"/>
              <w:bottom w:w="0" w:type="dxa"/>
              <w:right w:w="28" w:type="dxa"/>
            </w:tcMar>
            <w:vAlign w:val="center"/>
          </w:tcPr>
          <w:p w14:paraId="6FEEBA26"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p>
        </w:tc>
        <w:tc>
          <w:tcPr>
            <w:tcW w:w="1843" w:type="dxa"/>
            <w:vMerge/>
            <w:tcBorders>
              <w:bottom w:val="single" w:sz="12" w:space="0" w:color="000000"/>
            </w:tcBorders>
            <w:tcMar>
              <w:top w:w="0" w:type="dxa"/>
              <w:left w:w="28" w:type="dxa"/>
              <w:bottom w:w="0" w:type="dxa"/>
              <w:right w:w="28" w:type="dxa"/>
            </w:tcMar>
            <w:vAlign w:val="center"/>
          </w:tcPr>
          <w:p w14:paraId="3468485B"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p>
        </w:tc>
      </w:tr>
      <w:tr w:rsidR="00640FAB" w:rsidRPr="00640FAB" w14:paraId="4527F306" w14:textId="77777777" w:rsidTr="00EC4B41">
        <w:trPr>
          <w:cantSplit/>
        </w:trPr>
        <w:tc>
          <w:tcPr>
            <w:tcW w:w="676" w:type="dxa"/>
            <w:tcBorders>
              <w:top w:val="single" w:sz="12" w:space="0" w:color="000000"/>
              <w:bottom w:val="single" w:sz="4" w:space="0" w:color="000000"/>
            </w:tcBorders>
            <w:tcMar>
              <w:top w:w="0" w:type="dxa"/>
              <w:left w:w="28" w:type="dxa"/>
              <w:bottom w:w="0" w:type="dxa"/>
              <w:right w:w="28" w:type="dxa"/>
            </w:tcMar>
          </w:tcPr>
          <w:p w14:paraId="395C49F9" w14:textId="77777777" w:rsidR="006714B7" w:rsidRPr="00640FAB" w:rsidRDefault="00DF4C7F"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t>33</w:t>
            </w:r>
          </w:p>
        </w:tc>
        <w:tc>
          <w:tcPr>
            <w:tcW w:w="3719" w:type="dxa"/>
            <w:tcBorders>
              <w:top w:val="single" w:sz="12" w:space="0" w:color="000000"/>
              <w:bottom w:val="single" w:sz="4" w:space="0" w:color="000000"/>
            </w:tcBorders>
            <w:tcMar>
              <w:top w:w="0" w:type="dxa"/>
              <w:left w:w="28" w:type="dxa"/>
              <w:bottom w:w="0" w:type="dxa"/>
              <w:right w:w="28" w:type="dxa"/>
            </w:tcMar>
          </w:tcPr>
          <w:p w14:paraId="248EB54B"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行政院函請審議「101年度中央政府總預算第二預備金動支數額表」案</w:t>
            </w:r>
            <w:r w:rsidRPr="00640FAB">
              <w:rPr>
                <w:rFonts w:ascii="標楷體" w:eastAsia="標楷體" w:hAnsi="標楷體" w:hint="eastAsia"/>
                <w:szCs w:val="24"/>
              </w:rPr>
              <w:t>。</w:t>
            </w:r>
          </w:p>
        </w:tc>
        <w:tc>
          <w:tcPr>
            <w:tcW w:w="1842" w:type="dxa"/>
            <w:tcBorders>
              <w:top w:val="single" w:sz="12" w:space="0" w:color="000000"/>
              <w:bottom w:val="single" w:sz="4" w:space="0" w:color="000000"/>
            </w:tcBorders>
            <w:tcMar>
              <w:top w:w="0" w:type="dxa"/>
              <w:left w:w="28" w:type="dxa"/>
              <w:bottom w:w="0" w:type="dxa"/>
              <w:right w:w="28" w:type="dxa"/>
            </w:tcMar>
          </w:tcPr>
          <w:p w14:paraId="11CDBDF0"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pacing w:val="-30"/>
                <w:szCs w:val="24"/>
              </w:rPr>
            </w:pPr>
            <w:r w:rsidRPr="00640FAB">
              <w:rPr>
                <w:rFonts w:ascii="標楷體" w:eastAsia="標楷體" w:hAnsi="標楷體"/>
                <w:spacing w:val="-30"/>
                <w:szCs w:val="24"/>
              </w:rPr>
              <w:t>第8屆第3會期第1次院會（102.2.26）決定：「交財政委員會會同有關委員會審查」</w:t>
            </w:r>
          </w:p>
        </w:tc>
        <w:tc>
          <w:tcPr>
            <w:tcW w:w="1701" w:type="dxa"/>
            <w:vMerge w:val="restart"/>
            <w:tcBorders>
              <w:top w:val="single" w:sz="12" w:space="0" w:color="000000"/>
              <w:bottom w:val="single" w:sz="4" w:space="0" w:color="000000"/>
            </w:tcBorders>
            <w:tcMar>
              <w:top w:w="0" w:type="dxa"/>
              <w:left w:w="28" w:type="dxa"/>
              <w:bottom w:w="0" w:type="dxa"/>
              <w:right w:w="28" w:type="dxa"/>
            </w:tcMar>
          </w:tcPr>
          <w:p w14:paraId="1CFC62CD" w14:textId="77777777" w:rsidR="006714B7" w:rsidRPr="00C057F4" w:rsidRDefault="006714B7" w:rsidP="00D023ED">
            <w:pPr>
              <w:keepLines/>
              <w:widowControl w:val="0"/>
              <w:overflowPunct w:val="0"/>
              <w:spacing w:line="340" w:lineRule="exact"/>
              <w:jc w:val="both"/>
              <w:textAlignment w:val="auto"/>
              <w:rPr>
                <w:rFonts w:ascii="標楷體" w:eastAsia="標楷體" w:hAnsi="標楷體"/>
                <w:spacing w:val="-20"/>
                <w:szCs w:val="24"/>
              </w:rPr>
            </w:pPr>
            <w:r w:rsidRPr="00640FAB">
              <w:rPr>
                <w:rFonts w:ascii="標楷體" w:eastAsia="標楷體" w:hAnsi="標楷體"/>
                <w:spacing w:val="-6"/>
                <w:szCs w:val="24"/>
              </w:rPr>
              <w:t>第8屆第3會期</w:t>
            </w:r>
            <w:r w:rsidRPr="00640FAB">
              <w:rPr>
                <w:rFonts w:ascii="標楷體" w:eastAsia="標楷體" w:hAnsi="標楷體"/>
                <w:spacing w:val="4"/>
                <w:szCs w:val="24"/>
              </w:rPr>
              <w:t>財政、內政</w:t>
            </w:r>
            <w:r w:rsidRPr="00640FAB">
              <w:rPr>
                <w:rFonts w:ascii="標楷體" w:eastAsia="標楷體" w:hAnsi="標楷體"/>
                <w:spacing w:val="-6"/>
                <w:szCs w:val="24"/>
              </w:rPr>
              <w:t>、外交及國防、經濟、教育及文化、司法及法制、社會福利及</w:t>
            </w:r>
            <w:r w:rsidRPr="00C057F4">
              <w:rPr>
                <w:rFonts w:ascii="標楷體" w:eastAsia="標楷體" w:hAnsi="標楷體"/>
                <w:spacing w:val="-20"/>
                <w:szCs w:val="24"/>
              </w:rPr>
              <w:t>衛生環境委員會第1次聯席會議</w:t>
            </w:r>
          </w:p>
          <w:p w14:paraId="1967184F"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rPr>
            </w:pPr>
            <w:r w:rsidRPr="00C057F4">
              <w:rPr>
                <w:rFonts w:ascii="標楷體" w:eastAsia="標楷體" w:hAnsi="標楷體" w:hint="eastAsia"/>
                <w:spacing w:val="-20"/>
                <w:szCs w:val="24"/>
              </w:rPr>
              <w:t>(</w:t>
            </w:r>
            <w:r w:rsidRPr="00C057F4">
              <w:rPr>
                <w:rFonts w:ascii="標楷體" w:eastAsia="標楷體" w:hAnsi="標楷體"/>
                <w:spacing w:val="-20"/>
                <w:szCs w:val="24"/>
              </w:rPr>
              <w:t>102.5.2</w:t>
            </w:r>
            <w:r w:rsidRPr="00C057F4">
              <w:rPr>
                <w:rFonts w:ascii="標楷體" w:eastAsia="標楷體" w:hAnsi="標楷體" w:hint="eastAsia"/>
                <w:spacing w:val="-20"/>
                <w:szCs w:val="24"/>
              </w:rPr>
              <w:t>)</w:t>
            </w:r>
          </w:p>
        </w:tc>
        <w:tc>
          <w:tcPr>
            <w:tcW w:w="1843" w:type="dxa"/>
            <w:vMerge w:val="restart"/>
            <w:tcBorders>
              <w:top w:val="single" w:sz="12" w:space="0" w:color="000000"/>
              <w:bottom w:val="single" w:sz="4" w:space="0" w:color="000000"/>
            </w:tcBorders>
            <w:tcMar>
              <w:top w:w="0" w:type="dxa"/>
              <w:left w:w="28" w:type="dxa"/>
              <w:bottom w:w="0" w:type="dxa"/>
              <w:right w:w="28" w:type="dxa"/>
            </w:tcMar>
          </w:tcPr>
          <w:p w14:paraId="231C4D44" w14:textId="77777777" w:rsidR="006714B7" w:rsidRPr="00640FAB" w:rsidRDefault="006714B7" w:rsidP="00D023ED">
            <w:pPr>
              <w:keepLines/>
              <w:widowControl w:val="0"/>
              <w:overflowPunct w:val="0"/>
              <w:spacing w:line="340" w:lineRule="exact"/>
              <w:ind w:left="221" w:hangingChars="92" w:hanging="221"/>
              <w:jc w:val="both"/>
              <w:textAlignment w:val="auto"/>
              <w:rPr>
                <w:rFonts w:ascii="標楷體" w:eastAsia="標楷體" w:hAnsi="標楷體"/>
              </w:rPr>
            </w:pPr>
            <w:r w:rsidRPr="00640FAB">
              <w:rPr>
                <w:rFonts w:ascii="標楷體" w:eastAsia="標楷體" w:hAnsi="標楷體"/>
                <w:szCs w:val="24"/>
              </w:rPr>
              <w:t>1.102.5.9函議事處</w:t>
            </w:r>
            <w:r w:rsidRPr="00640FAB">
              <w:rPr>
                <w:rFonts w:ascii="標楷體" w:eastAsia="標楷體" w:hAnsi="標楷體" w:hint="eastAsia"/>
                <w:szCs w:val="24"/>
              </w:rPr>
              <w:t>(計2案)</w:t>
            </w:r>
            <w:r w:rsidRPr="00640FAB">
              <w:rPr>
                <w:rFonts w:ascii="標楷體" w:eastAsia="標楷體" w:hAnsi="標楷體"/>
                <w:szCs w:val="24"/>
              </w:rPr>
              <w:t>，</w:t>
            </w:r>
            <w:r w:rsidRPr="00640FAB">
              <w:rPr>
                <w:rFonts w:ascii="標楷體" w:eastAsia="標楷體" w:hAnsi="標楷體"/>
                <w:spacing w:val="-24"/>
                <w:kern w:val="2"/>
                <w:szCs w:val="24"/>
              </w:rPr>
              <w:t>聯席會決</w:t>
            </w:r>
            <w:r w:rsidRPr="00640FAB">
              <w:rPr>
                <w:rFonts w:ascii="標楷體" w:eastAsia="標楷體" w:hAnsi="標楷體"/>
                <w:szCs w:val="24"/>
              </w:rPr>
              <w:t>議</w:t>
            </w:r>
            <w:r w:rsidRPr="00640FAB">
              <w:rPr>
                <w:rFonts w:ascii="標楷體" w:eastAsia="標楷體" w:hAnsi="標楷體" w:hint="eastAsia"/>
                <w:szCs w:val="24"/>
              </w:rPr>
              <w:t>：</w:t>
            </w:r>
            <w:r w:rsidRPr="00640FAB">
              <w:rPr>
                <w:rFonts w:ascii="標楷體" w:eastAsia="標楷體" w:hAnsi="標楷體"/>
                <w:szCs w:val="24"/>
              </w:rPr>
              <w:t>不須交由黨團協商。</w:t>
            </w:r>
          </w:p>
          <w:p w14:paraId="0FCCF6E2" w14:textId="77777777" w:rsidR="006714B7" w:rsidRPr="00640FAB" w:rsidRDefault="006714B7" w:rsidP="00D023ED">
            <w:pPr>
              <w:keepLines/>
              <w:widowControl w:val="0"/>
              <w:overflowPunct w:val="0"/>
              <w:spacing w:line="340" w:lineRule="exact"/>
              <w:ind w:left="240" w:hangingChars="100" w:hanging="240"/>
              <w:jc w:val="both"/>
              <w:textAlignment w:val="auto"/>
              <w:rPr>
                <w:rFonts w:ascii="標楷體" w:eastAsia="標楷體" w:hAnsi="標楷體"/>
              </w:rPr>
            </w:pPr>
            <w:r w:rsidRPr="00640FAB">
              <w:rPr>
                <w:rFonts w:ascii="標楷體" w:eastAsia="標楷體" w:hAnsi="標楷體"/>
                <w:szCs w:val="24"/>
              </w:rPr>
              <w:lastRenderedPageBreak/>
              <w:t>2.</w:t>
            </w:r>
            <w:r w:rsidRPr="00640FAB">
              <w:rPr>
                <w:rFonts w:ascii="標楷體" w:eastAsia="標楷體" w:hAnsi="標楷體"/>
                <w:spacing w:val="-12"/>
                <w:szCs w:val="24"/>
              </w:rPr>
              <w:t>第8屆第3會期第13次院會</w:t>
            </w:r>
            <w:r w:rsidRPr="00640FAB">
              <w:rPr>
                <w:rFonts w:ascii="標楷體" w:eastAsia="標楷體" w:hAnsi="標楷體" w:hint="eastAsia"/>
                <w:spacing w:val="-12"/>
                <w:kern w:val="2"/>
                <w:szCs w:val="24"/>
              </w:rPr>
              <w:t>(</w:t>
            </w:r>
            <w:r w:rsidRPr="00640FAB">
              <w:rPr>
                <w:rFonts w:ascii="標楷體" w:eastAsia="標楷體" w:hAnsi="標楷體"/>
                <w:spacing w:val="-12"/>
                <w:kern w:val="2"/>
                <w:szCs w:val="24"/>
              </w:rPr>
              <w:t>102.5.21</w:t>
            </w:r>
            <w:r w:rsidRPr="00640FAB">
              <w:rPr>
                <w:rFonts w:ascii="標楷體" w:eastAsia="標楷體" w:hAnsi="標楷體" w:hint="eastAsia"/>
                <w:spacing w:val="-12"/>
                <w:kern w:val="2"/>
                <w:szCs w:val="24"/>
              </w:rPr>
              <w:t>)，</w:t>
            </w:r>
            <w:r w:rsidRPr="00640FAB">
              <w:rPr>
                <w:rFonts w:ascii="標楷體" w:eastAsia="標楷體" w:hAnsi="標楷體"/>
                <w:spacing w:val="-12"/>
                <w:kern w:val="2"/>
                <w:szCs w:val="24"/>
              </w:rPr>
              <w:t>決議：交黨</w:t>
            </w:r>
            <w:r w:rsidRPr="00640FAB">
              <w:rPr>
                <w:rFonts w:ascii="標楷體" w:eastAsia="標楷體" w:hAnsi="標楷體"/>
                <w:spacing w:val="-12"/>
                <w:szCs w:val="24"/>
              </w:rPr>
              <w:t>團協商。</w:t>
            </w:r>
          </w:p>
        </w:tc>
      </w:tr>
      <w:tr w:rsidR="00640FAB" w:rsidRPr="00640FAB" w14:paraId="650034CD" w14:textId="77777777" w:rsidTr="00EC4B41">
        <w:trPr>
          <w:cantSplit/>
          <w:trHeight w:val="2176"/>
        </w:trPr>
        <w:tc>
          <w:tcPr>
            <w:tcW w:w="676" w:type="dxa"/>
            <w:tcBorders>
              <w:top w:val="single" w:sz="4" w:space="0" w:color="000000"/>
            </w:tcBorders>
            <w:tcMar>
              <w:top w:w="0" w:type="dxa"/>
              <w:left w:w="28" w:type="dxa"/>
              <w:bottom w:w="0" w:type="dxa"/>
              <w:right w:w="28" w:type="dxa"/>
            </w:tcMar>
          </w:tcPr>
          <w:p w14:paraId="28A30C7D" w14:textId="77777777" w:rsidR="006714B7" w:rsidRPr="00640FAB" w:rsidRDefault="00DF4C7F" w:rsidP="00F470A8">
            <w:pPr>
              <w:widowControl w:val="0"/>
              <w:suppressAutoHyphens/>
              <w:overflowPunct w:val="0"/>
              <w:spacing w:line="320" w:lineRule="exact"/>
              <w:jc w:val="center"/>
              <w:textAlignment w:val="auto"/>
              <w:rPr>
                <w:rFonts w:ascii="標楷體" w:eastAsia="標楷體" w:hAnsi="標楷體"/>
                <w:b/>
                <w:bCs/>
                <w:szCs w:val="24"/>
              </w:rPr>
            </w:pPr>
            <w:r w:rsidRPr="00640FAB">
              <w:rPr>
                <w:rFonts w:ascii="標楷體" w:eastAsia="標楷體" w:hAnsi="標楷體" w:hint="eastAsia"/>
                <w:b/>
                <w:bCs/>
                <w:szCs w:val="24"/>
              </w:rPr>
              <w:lastRenderedPageBreak/>
              <w:t>34</w:t>
            </w:r>
          </w:p>
        </w:tc>
        <w:tc>
          <w:tcPr>
            <w:tcW w:w="3719" w:type="dxa"/>
            <w:tcBorders>
              <w:top w:val="single" w:sz="4" w:space="0" w:color="000000"/>
            </w:tcBorders>
            <w:tcMar>
              <w:top w:w="0" w:type="dxa"/>
              <w:left w:w="28" w:type="dxa"/>
              <w:bottom w:w="0" w:type="dxa"/>
              <w:right w:w="28" w:type="dxa"/>
            </w:tcMar>
          </w:tcPr>
          <w:p w14:paraId="1222F30D"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行政院函為該院體育委員會為補助臺北市政府辦理「2017年世界大學運動會」所需權利金，動支本（101）年度中央政府總預算第二預備金2億8,725萬620元支應，檢送第二預備金動支數額機關別表案</w:t>
            </w:r>
            <w:r w:rsidRPr="00640FAB">
              <w:rPr>
                <w:rFonts w:ascii="標楷體" w:eastAsia="標楷體" w:hAnsi="標楷體" w:hint="eastAsia"/>
                <w:szCs w:val="24"/>
              </w:rPr>
              <w:t>。</w:t>
            </w:r>
          </w:p>
        </w:tc>
        <w:tc>
          <w:tcPr>
            <w:tcW w:w="1842" w:type="dxa"/>
            <w:tcBorders>
              <w:top w:val="single" w:sz="4" w:space="0" w:color="000000"/>
            </w:tcBorders>
            <w:tcMar>
              <w:top w:w="0" w:type="dxa"/>
              <w:left w:w="28" w:type="dxa"/>
              <w:bottom w:w="0" w:type="dxa"/>
              <w:right w:w="28" w:type="dxa"/>
            </w:tcMar>
          </w:tcPr>
          <w:p w14:paraId="61D2F2D1" w14:textId="77777777" w:rsidR="006714B7" w:rsidRPr="00640FAB" w:rsidRDefault="006714B7" w:rsidP="00D023ED">
            <w:pPr>
              <w:keepLines/>
              <w:widowControl w:val="0"/>
              <w:overflowPunct w:val="0"/>
              <w:spacing w:line="340" w:lineRule="exact"/>
              <w:jc w:val="both"/>
              <w:textAlignment w:val="auto"/>
              <w:rPr>
                <w:rFonts w:ascii="標楷體" w:eastAsia="標楷體" w:hAnsi="標楷體"/>
                <w:spacing w:val="-30"/>
                <w:szCs w:val="24"/>
              </w:rPr>
            </w:pPr>
            <w:r w:rsidRPr="00640FAB">
              <w:rPr>
                <w:rFonts w:ascii="標楷體" w:eastAsia="標楷體" w:hAnsi="標楷體"/>
                <w:spacing w:val="-30"/>
                <w:szCs w:val="24"/>
              </w:rPr>
              <w:t>第8屆第2會期第3次院會（101.10.5）決定：「交財政、教育及文化兩委員會審查」</w:t>
            </w:r>
          </w:p>
        </w:tc>
        <w:tc>
          <w:tcPr>
            <w:tcW w:w="1701" w:type="dxa"/>
            <w:vMerge/>
            <w:tcBorders>
              <w:top w:val="single" w:sz="4" w:space="0" w:color="000000"/>
            </w:tcBorders>
            <w:tcMar>
              <w:top w:w="0" w:type="dxa"/>
              <w:left w:w="28" w:type="dxa"/>
              <w:bottom w:w="0" w:type="dxa"/>
              <w:right w:w="28" w:type="dxa"/>
            </w:tcMar>
          </w:tcPr>
          <w:p w14:paraId="74BA257F" w14:textId="77777777" w:rsidR="006714B7" w:rsidRPr="00640FAB" w:rsidRDefault="006714B7" w:rsidP="00F470A8">
            <w:pPr>
              <w:keepLines/>
              <w:widowControl w:val="0"/>
              <w:overflowPunct w:val="0"/>
              <w:spacing w:line="300" w:lineRule="exact"/>
              <w:jc w:val="both"/>
              <w:textAlignment w:val="auto"/>
              <w:rPr>
                <w:rFonts w:ascii="標楷體" w:eastAsia="標楷體" w:hAnsi="標楷體"/>
                <w:b/>
                <w:spacing w:val="-6"/>
                <w:szCs w:val="24"/>
              </w:rPr>
            </w:pPr>
          </w:p>
        </w:tc>
        <w:tc>
          <w:tcPr>
            <w:tcW w:w="1843" w:type="dxa"/>
            <w:vMerge/>
            <w:tcBorders>
              <w:top w:val="single" w:sz="4" w:space="0" w:color="000000"/>
            </w:tcBorders>
            <w:tcMar>
              <w:top w:w="0" w:type="dxa"/>
              <w:left w:w="28" w:type="dxa"/>
              <w:bottom w:w="0" w:type="dxa"/>
              <w:right w:w="28" w:type="dxa"/>
            </w:tcMar>
          </w:tcPr>
          <w:p w14:paraId="243D76B8" w14:textId="77777777" w:rsidR="006714B7" w:rsidRPr="00640FAB" w:rsidRDefault="006714B7" w:rsidP="00F470A8">
            <w:pPr>
              <w:keepLines/>
              <w:widowControl w:val="0"/>
              <w:overflowPunct w:val="0"/>
              <w:spacing w:line="300" w:lineRule="exact"/>
              <w:ind w:left="221" w:hangingChars="92" w:hanging="221"/>
              <w:jc w:val="both"/>
              <w:textAlignment w:val="auto"/>
              <w:rPr>
                <w:rFonts w:ascii="標楷體" w:eastAsia="標楷體" w:hAnsi="標楷體"/>
                <w:b/>
                <w:szCs w:val="24"/>
              </w:rPr>
            </w:pPr>
          </w:p>
        </w:tc>
      </w:tr>
    </w:tbl>
    <w:p w14:paraId="0690D583" w14:textId="77777777" w:rsidR="00D023ED" w:rsidRDefault="00D023ED">
      <w:pPr>
        <w:autoSpaceDN/>
        <w:textAlignment w:val="auto"/>
        <w:rPr>
          <w:rFonts w:ascii="標楷體" w:eastAsia="標楷體" w:hAnsi="標楷體"/>
          <w:b/>
          <w:bCs/>
          <w:sz w:val="32"/>
          <w:szCs w:val="32"/>
        </w:rPr>
      </w:pPr>
      <w:bookmarkStart w:id="78" w:name="_Toc189487300"/>
      <w:r>
        <w:rPr>
          <w:rFonts w:ascii="標楷體" w:eastAsia="標楷體" w:hAnsi="標楷體"/>
          <w:sz w:val="32"/>
          <w:szCs w:val="32"/>
        </w:rPr>
        <w:br w:type="page"/>
      </w:r>
    </w:p>
    <w:p w14:paraId="0A16F705" w14:textId="3B06950D" w:rsidR="006714B7" w:rsidRPr="00640FAB" w:rsidRDefault="006714B7" w:rsidP="00F470A8">
      <w:pPr>
        <w:pStyle w:val="2"/>
        <w:numPr>
          <w:ilvl w:val="0"/>
          <w:numId w:val="0"/>
        </w:numPr>
        <w:overflowPunct w:val="0"/>
        <w:spacing w:line="480" w:lineRule="exact"/>
        <w:ind w:left="927" w:hanging="567"/>
        <w:rPr>
          <w:rFonts w:ascii="標楷體" w:eastAsia="標楷體" w:hAnsi="標楷體"/>
          <w:sz w:val="32"/>
          <w:szCs w:val="32"/>
        </w:rPr>
      </w:pPr>
      <w:r w:rsidRPr="00640FAB">
        <w:rPr>
          <w:rFonts w:ascii="標楷體" w:eastAsia="標楷體" w:hAnsi="標楷體" w:hint="eastAsia"/>
          <w:sz w:val="32"/>
          <w:szCs w:val="32"/>
        </w:rPr>
        <w:lastRenderedPageBreak/>
        <w:t>四、決算案(</w:t>
      </w:r>
      <w:r w:rsidR="00640FAB" w:rsidRPr="00640FAB">
        <w:rPr>
          <w:rFonts w:ascii="標楷體" w:eastAsia="標楷體" w:hAnsi="標楷體" w:hint="eastAsia"/>
          <w:sz w:val="32"/>
          <w:szCs w:val="32"/>
        </w:rPr>
        <w:t>2</w:t>
      </w:r>
      <w:r w:rsidRPr="00640FAB">
        <w:rPr>
          <w:rFonts w:ascii="標楷體" w:eastAsia="標楷體" w:hAnsi="標楷體" w:hint="eastAsia"/>
          <w:sz w:val="32"/>
          <w:szCs w:val="32"/>
        </w:rPr>
        <w:t>案</w:t>
      </w:r>
      <w:r w:rsidRPr="00640FAB">
        <w:rPr>
          <w:rFonts w:ascii="標楷體" w:eastAsia="標楷體" w:hAnsi="標楷體"/>
          <w:sz w:val="32"/>
          <w:szCs w:val="32"/>
        </w:rPr>
        <w:t>)</w:t>
      </w:r>
      <w:bookmarkEnd w:id="78"/>
    </w:p>
    <w:tbl>
      <w:tblPr>
        <w:tblW w:w="9781" w:type="dxa"/>
        <w:tblInd w:w="170" w:type="dxa"/>
        <w:tblLayout w:type="fixed"/>
        <w:tblCellMar>
          <w:left w:w="10" w:type="dxa"/>
          <w:right w:w="10" w:type="dxa"/>
        </w:tblCellMar>
        <w:tblLook w:val="0000" w:firstRow="0" w:lastRow="0" w:firstColumn="0" w:lastColumn="0" w:noHBand="0" w:noVBand="0"/>
      </w:tblPr>
      <w:tblGrid>
        <w:gridCol w:w="676"/>
        <w:gridCol w:w="4994"/>
        <w:gridCol w:w="2410"/>
        <w:gridCol w:w="1701"/>
      </w:tblGrid>
      <w:tr w:rsidR="00640FAB" w:rsidRPr="00640FAB" w14:paraId="62CD002B" w14:textId="77777777" w:rsidTr="008D542F">
        <w:trPr>
          <w:cantSplit/>
          <w:trHeight w:val="496"/>
          <w:tblHeader/>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2E0F3453" w14:textId="77777777" w:rsidR="006714B7" w:rsidRPr="00640FAB" w:rsidRDefault="006714B7" w:rsidP="00F470A8">
            <w:pPr>
              <w:widowControl w:val="0"/>
              <w:overflowPunct w:val="0"/>
              <w:spacing w:line="300" w:lineRule="exact"/>
              <w:jc w:val="center"/>
              <w:textAlignment w:val="auto"/>
              <w:rPr>
                <w:rFonts w:ascii="標楷體" w:eastAsia="標楷體" w:hAnsi="標楷體"/>
                <w:b/>
                <w:bCs/>
                <w:szCs w:val="24"/>
              </w:rPr>
            </w:pPr>
            <w:r w:rsidRPr="00640FAB">
              <w:rPr>
                <w:rFonts w:ascii="標楷體" w:eastAsia="標楷體" w:hAnsi="標楷體" w:hint="eastAsia"/>
                <w:b/>
                <w:bCs/>
                <w:szCs w:val="24"/>
              </w:rPr>
              <w:t>序</w:t>
            </w:r>
            <w:r w:rsidRPr="00640FAB">
              <w:rPr>
                <w:rFonts w:ascii="標楷體" w:eastAsia="標楷體" w:hAnsi="標楷體"/>
                <w:b/>
                <w:bCs/>
                <w:szCs w:val="24"/>
              </w:rPr>
              <w:t>號</w:t>
            </w:r>
          </w:p>
        </w:tc>
        <w:tc>
          <w:tcPr>
            <w:tcW w:w="499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18572A83" w14:textId="77777777" w:rsidR="006714B7" w:rsidRPr="00640FAB" w:rsidRDefault="006714B7" w:rsidP="00F470A8">
            <w:pPr>
              <w:widowControl w:val="0"/>
              <w:overflowPunct w:val="0"/>
              <w:spacing w:line="300" w:lineRule="exact"/>
              <w:jc w:val="center"/>
              <w:textAlignment w:val="auto"/>
              <w:rPr>
                <w:rFonts w:ascii="標楷體" w:eastAsia="標楷體" w:hAnsi="標楷體"/>
                <w:b/>
                <w:bCs/>
                <w:szCs w:val="24"/>
              </w:rPr>
            </w:pPr>
            <w:r w:rsidRPr="00640FAB">
              <w:rPr>
                <w:rFonts w:ascii="標楷體" w:eastAsia="標楷體" w:hAnsi="標楷體"/>
                <w:b/>
                <w:bCs/>
                <w:szCs w:val="24"/>
              </w:rPr>
              <w:t>議</w:t>
            </w:r>
            <w:r w:rsidRPr="00640FAB">
              <w:rPr>
                <w:rFonts w:ascii="標楷體" w:eastAsia="標楷體" w:hAnsi="標楷體" w:hint="eastAsia"/>
                <w:b/>
                <w:bCs/>
                <w:szCs w:val="24"/>
              </w:rPr>
              <w:t xml:space="preserve"> </w:t>
            </w:r>
            <w:r w:rsidRPr="00640FAB">
              <w:rPr>
                <w:rFonts w:ascii="標楷體" w:eastAsia="標楷體" w:hAnsi="標楷體"/>
                <w:b/>
                <w:bCs/>
                <w:szCs w:val="24"/>
              </w:rPr>
              <w:t xml:space="preserve">  </w:t>
            </w:r>
            <w:r w:rsidRPr="00640FAB">
              <w:rPr>
                <w:rFonts w:ascii="標楷體" w:eastAsia="標楷體" w:hAnsi="標楷體" w:hint="eastAsia"/>
                <w:b/>
                <w:bCs/>
                <w:szCs w:val="24"/>
              </w:rPr>
              <w:t xml:space="preserve"> </w:t>
            </w:r>
            <w:r w:rsidRPr="00640FAB">
              <w:rPr>
                <w:rFonts w:ascii="標楷體" w:eastAsia="標楷體" w:hAnsi="標楷體"/>
                <w:b/>
                <w:bCs/>
                <w:szCs w:val="24"/>
              </w:rPr>
              <w:t>案</w:t>
            </w:r>
            <w:r w:rsidRPr="00640FAB">
              <w:rPr>
                <w:rFonts w:ascii="標楷體" w:eastAsia="標楷體" w:hAnsi="標楷體" w:hint="eastAsia"/>
                <w:b/>
                <w:bCs/>
                <w:szCs w:val="24"/>
              </w:rPr>
              <w:t xml:space="preserve">  </w:t>
            </w:r>
            <w:r w:rsidRPr="00640FAB">
              <w:rPr>
                <w:rFonts w:ascii="標楷體" w:eastAsia="標楷體" w:hAnsi="標楷體"/>
                <w:b/>
                <w:bCs/>
                <w:szCs w:val="24"/>
              </w:rPr>
              <w:t xml:space="preserve">  名</w:t>
            </w:r>
            <w:r w:rsidRPr="00640FAB">
              <w:rPr>
                <w:rFonts w:ascii="標楷體" w:eastAsia="標楷體" w:hAnsi="標楷體" w:hint="eastAsia"/>
                <w:b/>
                <w:bCs/>
                <w:szCs w:val="24"/>
              </w:rPr>
              <w:t xml:space="preserve"> </w:t>
            </w:r>
            <w:r w:rsidRPr="00640FAB">
              <w:rPr>
                <w:rFonts w:ascii="標楷體" w:eastAsia="標楷體" w:hAnsi="標楷體"/>
                <w:b/>
                <w:bCs/>
                <w:szCs w:val="24"/>
              </w:rPr>
              <w:t xml:space="preserve"> </w:t>
            </w:r>
            <w:r w:rsidRPr="00640FAB">
              <w:rPr>
                <w:rFonts w:ascii="標楷體" w:eastAsia="標楷體" w:hAnsi="標楷體" w:hint="eastAsia"/>
                <w:b/>
                <w:bCs/>
                <w:szCs w:val="24"/>
              </w:rPr>
              <w:t xml:space="preserve"> </w:t>
            </w:r>
            <w:r w:rsidRPr="00640FAB">
              <w:rPr>
                <w:rFonts w:ascii="標楷體" w:eastAsia="標楷體" w:hAnsi="標楷體"/>
                <w:b/>
                <w:bCs/>
                <w:szCs w:val="24"/>
              </w:rPr>
              <w:t>稱</w:t>
            </w:r>
          </w:p>
        </w:tc>
        <w:tc>
          <w:tcPr>
            <w:tcW w:w="2410"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630690F5" w14:textId="77777777" w:rsidR="006714B7" w:rsidRPr="00640FAB" w:rsidRDefault="006714B7" w:rsidP="00F470A8">
            <w:pPr>
              <w:widowControl w:val="0"/>
              <w:overflowPunct w:val="0"/>
              <w:spacing w:line="300" w:lineRule="exact"/>
              <w:jc w:val="both"/>
              <w:textAlignment w:val="auto"/>
              <w:rPr>
                <w:b/>
              </w:rPr>
            </w:pPr>
            <w:r w:rsidRPr="00640FAB">
              <w:rPr>
                <w:rFonts w:ascii="標楷體" w:eastAsia="標楷體" w:hAnsi="標楷體"/>
                <w:b/>
                <w:bCs/>
                <w:spacing w:val="20"/>
                <w:szCs w:val="24"/>
              </w:rPr>
              <w:t>院會交付</w:t>
            </w:r>
            <w:r w:rsidRPr="00640FAB">
              <w:rPr>
                <w:rFonts w:ascii="標楷體" w:eastAsia="標楷體" w:hAnsi="標楷體" w:hint="eastAsia"/>
                <w:b/>
                <w:bCs/>
                <w:spacing w:val="20"/>
                <w:szCs w:val="24"/>
              </w:rPr>
              <w:t>日</w:t>
            </w:r>
            <w:r w:rsidRPr="00640FAB">
              <w:rPr>
                <w:rFonts w:ascii="標楷體" w:eastAsia="標楷體" w:hAnsi="標楷體"/>
                <w:b/>
                <w:bCs/>
                <w:spacing w:val="20"/>
                <w:szCs w:val="24"/>
              </w:rPr>
              <w:t>期</w:t>
            </w:r>
            <w:r w:rsidRPr="00640FAB">
              <w:rPr>
                <w:rFonts w:ascii="標楷體" w:eastAsia="標楷體" w:hAnsi="標楷體" w:hint="eastAsia"/>
                <w:b/>
                <w:bCs/>
                <w:spacing w:val="20"/>
                <w:szCs w:val="24"/>
              </w:rPr>
              <w:t>及</w:t>
            </w:r>
            <w:r w:rsidRPr="00640FAB">
              <w:rPr>
                <w:rFonts w:ascii="標楷體" w:eastAsia="標楷體" w:hAnsi="標楷體"/>
                <w:b/>
                <w:bCs/>
                <w:spacing w:val="20"/>
                <w:szCs w:val="24"/>
              </w:rPr>
              <w:t>會次</w:t>
            </w:r>
          </w:p>
        </w:tc>
        <w:tc>
          <w:tcPr>
            <w:tcW w:w="1701"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14:paraId="0DF3F364" w14:textId="77777777" w:rsidR="006714B7" w:rsidRPr="00640FAB" w:rsidRDefault="006714B7" w:rsidP="00F470A8">
            <w:pPr>
              <w:widowControl w:val="0"/>
              <w:overflowPunct w:val="0"/>
              <w:spacing w:line="300" w:lineRule="exact"/>
              <w:jc w:val="center"/>
              <w:textAlignment w:val="auto"/>
              <w:rPr>
                <w:rFonts w:ascii="標楷體" w:eastAsia="標楷體" w:hAnsi="標楷體"/>
                <w:b/>
                <w:bCs/>
                <w:spacing w:val="-20"/>
                <w:szCs w:val="24"/>
              </w:rPr>
            </w:pPr>
            <w:r w:rsidRPr="00640FAB">
              <w:rPr>
                <w:rFonts w:ascii="標楷體" w:eastAsia="標楷體" w:hAnsi="標楷體"/>
                <w:b/>
                <w:bCs/>
                <w:spacing w:val="-20"/>
                <w:szCs w:val="24"/>
              </w:rPr>
              <w:t>備     註</w:t>
            </w:r>
          </w:p>
        </w:tc>
      </w:tr>
      <w:tr w:rsidR="00640FAB" w:rsidRPr="00640FAB" w14:paraId="1EDB38CE" w14:textId="77777777" w:rsidTr="008D542F">
        <w:trPr>
          <w:cantSplit/>
        </w:trPr>
        <w:tc>
          <w:tcPr>
            <w:tcW w:w="676"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6D8C5E57" w14:textId="77777777" w:rsidR="006714B7" w:rsidRPr="00640FAB" w:rsidRDefault="006714B7" w:rsidP="00F470A8">
            <w:pPr>
              <w:widowControl w:val="0"/>
              <w:overflowPunct w:val="0"/>
              <w:spacing w:line="320" w:lineRule="exact"/>
              <w:ind w:right="120"/>
              <w:jc w:val="center"/>
              <w:textAlignment w:val="auto"/>
              <w:rPr>
                <w:rFonts w:ascii="標楷體" w:eastAsia="標楷體" w:hAnsi="標楷體"/>
                <w:b/>
                <w:bCs/>
                <w:szCs w:val="24"/>
              </w:rPr>
            </w:pPr>
            <w:r w:rsidRPr="00640FAB">
              <w:rPr>
                <w:rFonts w:ascii="標楷體" w:eastAsia="標楷體" w:hAnsi="標楷體"/>
                <w:b/>
                <w:bCs/>
                <w:szCs w:val="24"/>
              </w:rPr>
              <w:t>1</w:t>
            </w:r>
          </w:p>
        </w:tc>
        <w:tc>
          <w:tcPr>
            <w:tcW w:w="4994"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3D0C1EF3" w14:textId="77777777" w:rsidR="006714B7" w:rsidRPr="00640FAB" w:rsidRDefault="006714B7" w:rsidP="00F470A8">
            <w:pPr>
              <w:widowControl w:val="0"/>
              <w:overflowPunct w:val="0"/>
              <w:snapToGrid w:val="0"/>
              <w:spacing w:line="320" w:lineRule="exact"/>
              <w:jc w:val="both"/>
              <w:textAlignment w:val="auto"/>
              <w:rPr>
                <w:rFonts w:ascii="標楷體" w:eastAsia="標楷體" w:hAnsi="標楷體"/>
                <w:szCs w:val="24"/>
              </w:rPr>
            </w:pPr>
            <w:r w:rsidRPr="00640FAB">
              <w:rPr>
                <w:rFonts w:ascii="標楷體" w:eastAsia="標楷體" w:hAnsi="標楷體"/>
                <w:szCs w:val="24"/>
              </w:rPr>
              <w:t>審計部函送中華民國101年度中央政府總預算半年結算及查核報告(含附屬單位預算營業及非營業部分)案</w:t>
            </w:r>
          </w:p>
        </w:tc>
        <w:tc>
          <w:tcPr>
            <w:tcW w:w="2410"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14:paraId="150C271F" w14:textId="77777777" w:rsidR="006714B7" w:rsidRPr="00640FAB" w:rsidRDefault="006714B7" w:rsidP="00F470A8">
            <w:pPr>
              <w:widowControl w:val="0"/>
              <w:overflowPunct w:val="0"/>
              <w:snapToGrid w:val="0"/>
              <w:spacing w:line="320" w:lineRule="exact"/>
              <w:jc w:val="both"/>
              <w:textAlignment w:val="auto"/>
              <w:rPr>
                <w:rFonts w:ascii="標楷體" w:eastAsia="標楷體" w:hAnsi="標楷體"/>
                <w:szCs w:val="24"/>
              </w:rPr>
            </w:pPr>
            <w:r w:rsidRPr="00640FAB">
              <w:rPr>
                <w:rFonts w:ascii="標楷體" w:eastAsia="標楷體" w:hAnsi="標楷體"/>
                <w:spacing w:val="-28"/>
                <w:szCs w:val="24"/>
              </w:rPr>
              <w:t>第8屆第2會期第4次院會（101.10.12）</w:t>
            </w:r>
            <w:r w:rsidRPr="00640FAB">
              <w:rPr>
                <w:rFonts w:ascii="標楷體" w:eastAsia="標楷體" w:hAnsi="標楷體"/>
                <w:szCs w:val="24"/>
              </w:rPr>
              <w:t>決定：「交財政委員會會同有關委員會處理」</w:t>
            </w:r>
          </w:p>
        </w:tc>
        <w:tc>
          <w:tcPr>
            <w:tcW w:w="1701" w:type="dxa"/>
            <w:vMerge w:val="restart"/>
            <w:tcBorders>
              <w:top w:val="single" w:sz="12" w:space="0" w:color="000000"/>
              <w:left w:val="single" w:sz="4" w:space="0" w:color="000000"/>
              <w:right w:val="single" w:sz="4" w:space="0" w:color="000000"/>
            </w:tcBorders>
            <w:tcMar>
              <w:top w:w="0" w:type="dxa"/>
              <w:left w:w="28" w:type="dxa"/>
              <w:bottom w:w="0" w:type="dxa"/>
              <w:right w:w="28" w:type="dxa"/>
            </w:tcMar>
          </w:tcPr>
          <w:p w14:paraId="0E4597BF" w14:textId="77777777" w:rsidR="006714B7" w:rsidRPr="00640FAB" w:rsidRDefault="006714B7" w:rsidP="00F470A8">
            <w:pPr>
              <w:widowControl w:val="0"/>
              <w:overflowPunct w:val="0"/>
              <w:spacing w:line="340" w:lineRule="exact"/>
              <w:jc w:val="both"/>
              <w:textAlignment w:val="auto"/>
              <w:rPr>
                <w:rFonts w:ascii="標楷體" w:eastAsia="標楷體" w:hAnsi="標楷體"/>
                <w:szCs w:val="24"/>
              </w:rPr>
            </w:pPr>
            <w:r w:rsidRPr="00640FAB">
              <w:rPr>
                <w:rFonts w:ascii="標楷體" w:eastAsia="標楷體" w:hAnsi="標楷體"/>
                <w:szCs w:val="24"/>
              </w:rPr>
              <w:t>104.3.20提報第8屆第7會期第5次院會</w:t>
            </w:r>
            <w:r w:rsidRPr="00640FAB">
              <w:rPr>
                <w:rFonts w:ascii="標楷體" w:eastAsia="標楷體" w:hAnsi="標楷體" w:hint="eastAsia"/>
                <w:szCs w:val="24"/>
              </w:rPr>
              <w:t>。</w:t>
            </w:r>
          </w:p>
        </w:tc>
      </w:tr>
      <w:tr w:rsidR="00640FAB" w:rsidRPr="00640FAB" w14:paraId="777BDEF1" w14:textId="77777777" w:rsidTr="00460324">
        <w:trPr>
          <w:cantSplit/>
        </w:trPr>
        <w:tc>
          <w:tcPr>
            <w:tcW w:w="676"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5B1EF613" w14:textId="77777777" w:rsidR="006714B7" w:rsidRPr="00640FAB" w:rsidRDefault="006714B7" w:rsidP="00F470A8">
            <w:pPr>
              <w:widowControl w:val="0"/>
              <w:overflowPunct w:val="0"/>
              <w:spacing w:line="320" w:lineRule="exact"/>
              <w:ind w:right="120"/>
              <w:jc w:val="center"/>
              <w:textAlignment w:val="auto"/>
              <w:rPr>
                <w:rFonts w:ascii="標楷體" w:eastAsia="標楷體" w:hAnsi="標楷體"/>
                <w:b/>
                <w:bCs/>
                <w:szCs w:val="24"/>
              </w:rPr>
            </w:pPr>
            <w:r w:rsidRPr="00640FAB">
              <w:rPr>
                <w:rFonts w:ascii="標楷體" w:eastAsia="標楷體" w:hAnsi="標楷體"/>
                <w:b/>
                <w:bCs/>
                <w:szCs w:val="24"/>
              </w:rPr>
              <w:t>2</w:t>
            </w:r>
          </w:p>
        </w:tc>
        <w:tc>
          <w:tcPr>
            <w:tcW w:w="4994"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4DD31C6E" w14:textId="77777777" w:rsidR="006714B7" w:rsidRPr="00640FAB" w:rsidRDefault="006714B7" w:rsidP="00F470A8">
            <w:pPr>
              <w:widowControl w:val="0"/>
              <w:overflowPunct w:val="0"/>
              <w:snapToGrid w:val="0"/>
              <w:spacing w:line="320" w:lineRule="exact"/>
              <w:jc w:val="both"/>
              <w:textAlignment w:val="auto"/>
              <w:rPr>
                <w:rFonts w:ascii="標楷體" w:eastAsia="標楷體" w:hAnsi="標楷體"/>
                <w:szCs w:val="24"/>
              </w:rPr>
            </w:pPr>
            <w:r w:rsidRPr="00640FAB">
              <w:rPr>
                <w:rFonts w:ascii="標楷體" w:eastAsia="標楷體" w:hAnsi="標楷體"/>
                <w:szCs w:val="24"/>
              </w:rPr>
              <w:t>審計部函送中華民國102年度中央政府總預算半年結算及查核報告(含附屬單位預算營業及非營業部分)案</w:t>
            </w:r>
          </w:p>
        </w:tc>
        <w:tc>
          <w:tcPr>
            <w:tcW w:w="2410"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14:paraId="36F68685" w14:textId="77777777" w:rsidR="006714B7" w:rsidRPr="00640FAB" w:rsidRDefault="006714B7" w:rsidP="00F470A8">
            <w:pPr>
              <w:widowControl w:val="0"/>
              <w:overflowPunct w:val="0"/>
              <w:snapToGrid w:val="0"/>
              <w:spacing w:line="320" w:lineRule="exact"/>
              <w:jc w:val="both"/>
              <w:textAlignment w:val="auto"/>
              <w:rPr>
                <w:rFonts w:ascii="標楷體" w:eastAsia="標楷體" w:hAnsi="標楷體"/>
                <w:szCs w:val="24"/>
              </w:rPr>
            </w:pPr>
            <w:r w:rsidRPr="00640FAB">
              <w:rPr>
                <w:rFonts w:ascii="標楷體" w:eastAsia="標楷體" w:hAnsi="標楷體"/>
                <w:spacing w:val="-30"/>
                <w:kern w:val="2"/>
                <w:szCs w:val="24"/>
              </w:rPr>
              <w:t>第8屆第4會期第6次院會（102.10.18）</w:t>
            </w:r>
            <w:r w:rsidRPr="00640FAB">
              <w:rPr>
                <w:rFonts w:ascii="標楷體" w:eastAsia="標楷體" w:hAnsi="標楷體"/>
                <w:szCs w:val="24"/>
              </w:rPr>
              <w:t>決定：「交財政委員會會同有關委員會處理」</w:t>
            </w:r>
          </w:p>
        </w:tc>
        <w:tc>
          <w:tcPr>
            <w:tcW w:w="1701" w:type="dxa"/>
            <w:vMerge/>
            <w:tcBorders>
              <w:left w:val="single" w:sz="4" w:space="0" w:color="000000"/>
              <w:bottom w:val="single" w:sz="12" w:space="0" w:color="000000"/>
              <w:right w:val="single" w:sz="4" w:space="0" w:color="000000"/>
            </w:tcBorders>
            <w:tcMar>
              <w:top w:w="0" w:type="dxa"/>
              <w:left w:w="28" w:type="dxa"/>
              <w:bottom w:w="0" w:type="dxa"/>
              <w:right w:w="28" w:type="dxa"/>
            </w:tcMar>
          </w:tcPr>
          <w:p w14:paraId="2A937F00" w14:textId="77777777" w:rsidR="006714B7" w:rsidRPr="00640FAB" w:rsidRDefault="006714B7" w:rsidP="00F470A8">
            <w:pPr>
              <w:widowControl w:val="0"/>
              <w:overflowPunct w:val="0"/>
              <w:spacing w:line="340" w:lineRule="exact"/>
              <w:jc w:val="both"/>
              <w:textAlignment w:val="auto"/>
              <w:rPr>
                <w:rFonts w:ascii="標楷體" w:eastAsia="標楷體" w:hAnsi="標楷體"/>
                <w:b/>
                <w:szCs w:val="24"/>
              </w:rPr>
            </w:pPr>
          </w:p>
        </w:tc>
      </w:tr>
    </w:tbl>
    <w:p w14:paraId="37159950" w14:textId="07F9E050" w:rsidR="006714B7" w:rsidRPr="00640FAB" w:rsidRDefault="006714B7" w:rsidP="00F470A8">
      <w:pPr>
        <w:overflowPunct w:val="0"/>
        <w:autoSpaceDN/>
        <w:textAlignment w:val="auto"/>
        <w:rPr>
          <w:rFonts w:ascii="標楷體" w:eastAsia="標楷體" w:hAnsi="標楷體"/>
          <w:color w:val="FF0000"/>
          <w:sz w:val="32"/>
          <w:szCs w:val="32"/>
        </w:rPr>
      </w:pPr>
      <w:r w:rsidRPr="00464A6F">
        <w:rPr>
          <w:rFonts w:ascii="標楷體" w:eastAsia="標楷體" w:hAnsi="標楷體"/>
          <w:color w:val="FF0000"/>
          <w:sz w:val="32"/>
          <w:szCs w:val="32"/>
        </w:rPr>
        <w:br w:type="page"/>
      </w:r>
    </w:p>
    <w:p w14:paraId="35E549C7" w14:textId="4474B791" w:rsidR="006714B7" w:rsidRPr="002E68D5" w:rsidRDefault="00640FAB" w:rsidP="002E68D5">
      <w:pPr>
        <w:pStyle w:val="2"/>
        <w:numPr>
          <w:ilvl w:val="0"/>
          <w:numId w:val="0"/>
        </w:numPr>
        <w:overflowPunct w:val="0"/>
        <w:spacing w:line="480" w:lineRule="exact"/>
        <w:ind w:left="927" w:hanging="567"/>
        <w:rPr>
          <w:rFonts w:ascii="標楷體" w:eastAsia="標楷體" w:hAnsi="標楷體"/>
          <w:sz w:val="32"/>
          <w:szCs w:val="32"/>
        </w:rPr>
      </w:pPr>
      <w:bookmarkStart w:id="79" w:name="_Toc189487301"/>
      <w:r w:rsidRPr="00783F52">
        <w:rPr>
          <w:rFonts w:ascii="標楷體" w:eastAsia="標楷體" w:hAnsi="標楷體" w:hint="eastAsia"/>
          <w:sz w:val="32"/>
          <w:szCs w:val="32"/>
        </w:rPr>
        <w:lastRenderedPageBreak/>
        <w:t>五、</w:t>
      </w:r>
      <w:r w:rsidR="002E68D5">
        <w:rPr>
          <w:rFonts w:ascii="標楷體" w:eastAsia="標楷體" w:hAnsi="標楷體" w:hint="eastAsia"/>
          <w:sz w:val="32"/>
          <w:szCs w:val="32"/>
        </w:rPr>
        <w:t>預算報告</w:t>
      </w:r>
      <w:r w:rsidRPr="00783F52">
        <w:rPr>
          <w:rFonts w:ascii="標楷體" w:eastAsia="標楷體" w:hAnsi="標楷體" w:hint="eastAsia"/>
          <w:sz w:val="32"/>
          <w:szCs w:val="32"/>
        </w:rPr>
        <w:t>案(</w:t>
      </w:r>
      <w:r w:rsidR="00F07321" w:rsidRPr="00783F52">
        <w:rPr>
          <w:rFonts w:ascii="標楷體" w:eastAsia="標楷體" w:hAnsi="標楷體" w:hint="eastAsia"/>
          <w:sz w:val="32"/>
          <w:szCs w:val="32"/>
        </w:rPr>
        <w:t>1</w:t>
      </w:r>
      <w:r w:rsidRPr="00783F52">
        <w:rPr>
          <w:rFonts w:ascii="標楷體" w:eastAsia="標楷體" w:hAnsi="標楷體" w:hint="eastAsia"/>
          <w:sz w:val="32"/>
          <w:szCs w:val="32"/>
        </w:rPr>
        <w:t>案)</w:t>
      </w:r>
      <w:bookmarkEnd w:id="79"/>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4642"/>
        <w:gridCol w:w="2871"/>
        <w:gridCol w:w="1985"/>
      </w:tblGrid>
      <w:tr w:rsidR="00783F52" w:rsidRPr="00783F52" w14:paraId="498EF810" w14:textId="77777777" w:rsidTr="00AD5885">
        <w:trPr>
          <w:trHeight w:val="491"/>
          <w:jc w:val="center"/>
        </w:trPr>
        <w:tc>
          <w:tcPr>
            <w:tcW w:w="562" w:type="dxa"/>
            <w:tcBorders>
              <w:top w:val="single" w:sz="12" w:space="0" w:color="auto"/>
              <w:left w:val="single" w:sz="4" w:space="0" w:color="auto"/>
              <w:bottom w:val="single" w:sz="12" w:space="0" w:color="auto"/>
              <w:right w:val="single" w:sz="4" w:space="0" w:color="auto"/>
            </w:tcBorders>
            <w:vAlign w:val="center"/>
          </w:tcPr>
          <w:p w14:paraId="384C2033" w14:textId="77777777" w:rsidR="006714B7" w:rsidRPr="00783F52" w:rsidRDefault="006714B7"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783F52">
              <w:rPr>
                <w:rFonts w:ascii="標楷體" w:eastAsia="標楷體" w:hAnsi="標楷體" w:hint="eastAsia"/>
                <w:b/>
                <w:spacing w:val="-20"/>
                <w:kern w:val="2"/>
                <w:szCs w:val="24"/>
              </w:rPr>
              <w:t>序號</w:t>
            </w:r>
          </w:p>
        </w:tc>
        <w:tc>
          <w:tcPr>
            <w:tcW w:w="4642" w:type="dxa"/>
            <w:tcBorders>
              <w:top w:val="single" w:sz="12" w:space="0" w:color="auto"/>
              <w:left w:val="single" w:sz="4" w:space="0" w:color="auto"/>
              <w:bottom w:val="single" w:sz="12" w:space="0" w:color="auto"/>
              <w:right w:val="single" w:sz="4" w:space="0" w:color="auto"/>
            </w:tcBorders>
            <w:vAlign w:val="center"/>
          </w:tcPr>
          <w:p w14:paraId="5B7C1440" w14:textId="77777777" w:rsidR="006714B7" w:rsidRPr="00783F52" w:rsidRDefault="006714B7" w:rsidP="00F470A8">
            <w:pPr>
              <w:widowControl w:val="0"/>
              <w:tabs>
                <w:tab w:val="left" w:pos="567"/>
              </w:tabs>
              <w:overflowPunct w:val="0"/>
              <w:autoSpaceDN/>
              <w:spacing w:line="300" w:lineRule="exact"/>
              <w:jc w:val="center"/>
              <w:textAlignment w:val="auto"/>
              <w:rPr>
                <w:rFonts w:ascii="標楷體" w:eastAsia="標楷體" w:hAnsi="標楷體"/>
                <w:b/>
                <w:kern w:val="2"/>
                <w:szCs w:val="24"/>
              </w:rPr>
            </w:pPr>
            <w:r w:rsidRPr="00783F52">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4221BF48" w14:textId="77777777" w:rsidR="006714B7" w:rsidRPr="00783F52" w:rsidRDefault="006714B7" w:rsidP="00F470A8">
            <w:pPr>
              <w:widowControl w:val="0"/>
              <w:tabs>
                <w:tab w:val="left" w:pos="567"/>
              </w:tabs>
              <w:overflowPunct w:val="0"/>
              <w:autoSpaceDN/>
              <w:snapToGrid w:val="0"/>
              <w:spacing w:line="320" w:lineRule="exact"/>
              <w:jc w:val="center"/>
              <w:textAlignment w:val="auto"/>
              <w:rPr>
                <w:rFonts w:ascii="標楷體" w:eastAsia="標楷體" w:hAnsi="標楷體"/>
                <w:b/>
                <w:spacing w:val="-20"/>
                <w:kern w:val="2"/>
                <w:szCs w:val="24"/>
              </w:rPr>
            </w:pPr>
            <w:r w:rsidRPr="00783F52">
              <w:rPr>
                <w:rFonts w:ascii="標楷體" w:eastAsia="標楷體" w:hAnsi="標楷體" w:hint="eastAsia"/>
                <w:b/>
                <w:kern w:val="2"/>
                <w:szCs w:val="24"/>
              </w:rPr>
              <w:t>院會交付日期及會次</w:t>
            </w:r>
          </w:p>
        </w:tc>
        <w:tc>
          <w:tcPr>
            <w:tcW w:w="1985" w:type="dxa"/>
            <w:tcBorders>
              <w:top w:val="single" w:sz="12" w:space="0" w:color="auto"/>
              <w:left w:val="single" w:sz="4" w:space="0" w:color="auto"/>
              <w:bottom w:val="single" w:sz="12" w:space="0" w:color="auto"/>
              <w:right w:val="single" w:sz="4" w:space="0" w:color="auto"/>
            </w:tcBorders>
            <w:vAlign w:val="center"/>
          </w:tcPr>
          <w:p w14:paraId="23B3F371" w14:textId="77777777" w:rsidR="006714B7" w:rsidRPr="00783F52" w:rsidRDefault="006714B7"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783F52">
              <w:rPr>
                <w:rFonts w:ascii="標楷體" w:eastAsia="標楷體" w:hAnsi="標楷體" w:hint="eastAsia"/>
                <w:b/>
                <w:spacing w:val="-20"/>
                <w:kern w:val="2"/>
                <w:szCs w:val="24"/>
              </w:rPr>
              <w:t>備    註</w:t>
            </w:r>
          </w:p>
        </w:tc>
      </w:tr>
      <w:tr w:rsidR="00783F52" w:rsidRPr="00783F52" w14:paraId="0987D1AA" w14:textId="77777777" w:rsidTr="00F07321">
        <w:trPr>
          <w:trHeight w:val="491"/>
          <w:jc w:val="center"/>
        </w:trPr>
        <w:tc>
          <w:tcPr>
            <w:tcW w:w="10060" w:type="dxa"/>
            <w:gridSpan w:val="4"/>
            <w:tcBorders>
              <w:top w:val="single" w:sz="12" w:space="0" w:color="auto"/>
              <w:left w:val="single" w:sz="4" w:space="0" w:color="auto"/>
              <w:bottom w:val="single" w:sz="4" w:space="0" w:color="auto"/>
              <w:right w:val="single" w:sz="4" w:space="0" w:color="auto"/>
            </w:tcBorders>
            <w:vAlign w:val="center"/>
          </w:tcPr>
          <w:p w14:paraId="0CCF58A1" w14:textId="75521B1F" w:rsidR="006714B7" w:rsidRPr="00783F52" w:rsidRDefault="006714B7" w:rsidP="00F470A8">
            <w:pPr>
              <w:widowControl w:val="0"/>
              <w:tabs>
                <w:tab w:val="left" w:pos="567"/>
              </w:tabs>
              <w:overflowPunct w:val="0"/>
              <w:autoSpaceDN/>
              <w:spacing w:line="300" w:lineRule="exact"/>
              <w:textAlignment w:val="auto"/>
              <w:rPr>
                <w:rFonts w:ascii="標楷體" w:eastAsia="標楷體" w:hAnsi="標楷體"/>
                <w:b/>
                <w:spacing w:val="-20"/>
                <w:kern w:val="2"/>
                <w:szCs w:val="24"/>
              </w:rPr>
            </w:pPr>
            <w:r w:rsidRPr="00783F52">
              <w:rPr>
                <w:rFonts w:ascii="標楷體" w:eastAsia="標楷體" w:hAnsi="標楷體" w:hint="eastAsia"/>
                <w:b/>
                <w:kern w:val="2"/>
                <w:sz w:val="28"/>
                <w:szCs w:val="28"/>
              </w:rPr>
              <w:t>1.財政部主管（</w:t>
            </w:r>
            <w:r w:rsidR="00F07321" w:rsidRPr="00783F52">
              <w:rPr>
                <w:rFonts w:ascii="標楷體" w:eastAsia="標楷體" w:hAnsi="標楷體" w:hint="eastAsia"/>
                <w:b/>
                <w:kern w:val="2"/>
                <w:sz w:val="28"/>
                <w:szCs w:val="28"/>
              </w:rPr>
              <w:t>1</w:t>
            </w:r>
            <w:r w:rsidRPr="00783F52">
              <w:rPr>
                <w:rFonts w:ascii="標楷體" w:eastAsia="標楷體" w:hAnsi="標楷體" w:hint="eastAsia"/>
                <w:b/>
                <w:kern w:val="2"/>
                <w:sz w:val="28"/>
                <w:szCs w:val="28"/>
              </w:rPr>
              <w:t>案）</w:t>
            </w:r>
          </w:p>
        </w:tc>
      </w:tr>
      <w:tr w:rsidR="00783F52" w:rsidRPr="00783F52" w14:paraId="454AAF1B" w14:textId="77777777" w:rsidTr="00F07321">
        <w:trPr>
          <w:cantSplit/>
          <w:jc w:val="center"/>
        </w:trPr>
        <w:tc>
          <w:tcPr>
            <w:tcW w:w="562" w:type="dxa"/>
            <w:tcBorders>
              <w:top w:val="single" w:sz="4" w:space="0" w:color="auto"/>
              <w:left w:val="single" w:sz="4" w:space="0" w:color="auto"/>
              <w:bottom w:val="single" w:sz="12" w:space="0" w:color="auto"/>
              <w:right w:val="single" w:sz="4" w:space="0" w:color="auto"/>
            </w:tcBorders>
          </w:tcPr>
          <w:p w14:paraId="3A830A93" w14:textId="4C533A7A" w:rsidR="006714B7" w:rsidRPr="00783F52" w:rsidRDefault="00640FAB" w:rsidP="00F470A8">
            <w:pPr>
              <w:widowControl w:val="0"/>
              <w:overflowPunct w:val="0"/>
              <w:autoSpaceDN/>
              <w:spacing w:line="320" w:lineRule="exact"/>
              <w:ind w:left="284"/>
              <w:textAlignment w:val="auto"/>
              <w:rPr>
                <w:rFonts w:ascii="標楷體" w:eastAsia="標楷體" w:hAnsi="標楷體"/>
                <w:b/>
                <w:kern w:val="2"/>
                <w:szCs w:val="24"/>
              </w:rPr>
            </w:pPr>
            <w:r w:rsidRPr="00783F52">
              <w:rPr>
                <w:rFonts w:ascii="標楷體" w:eastAsia="標楷體" w:hAnsi="標楷體" w:hint="eastAsia"/>
                <w:b/>
                <w:kern w:val="2"/>
                <w:szCs w:val="24"/>
              </w:rPr>
              <w:t>1</w:t>
            </w:r>
          </w:p>
        </w:tc>
        <w:tc>
          <w:tcPr>
            <w:tcW w:w="4642" w:type="dxa"/>
            <w:tcBorders>
              <w:top w:val="single" w:sz="4" w:space="0" w:color="auto"/>
              <w:left w:val="single" w:sz="4" w:space="0" w:color="auto"/>
              <w:bottom w:val="single" w:sz="12" w:space="0" w:color="auto"/>
              <w:right w:val="single" w:sz="4" w:space="0" w:color="auto"/>
            </w:tcBorders>
          </w:tcPr>
          <w:p w14:paraId="50397C7F" w14:textId="77777777" w:rsidR="006714B7" w:rsidRPr="00783F52" w:rsidRDefault="006714B7" w:rsidP="00F470A8">
            <w:pPr>
              <w:widowControl w:val="0"/>
              <w:overflowPunct w:val="0"/>
              <w:autoSpaceDN/>
              <w:spacing w:line="320" w:lineRule="exact"/>
              <w:jc w:val="both"/>
              <w:textAlignment w:val="auto"/>
              <w:rPr>
                <w:rFonts w:ascii="標楷體" w:eastAsia="標楷體" w:hAnsi="標楷體"/>
                <w:kern w:val="2"/>
                <w:szCs w:val="24"/>
              </w:rPr>
            </w:pPr>
            <w:r w:rsidRPr="00783F52">
              <w:rPr>
                <w:rFonts w:ascii="標楷體" w:eastAsia="標楷體" w:hAnsi="標楷體"/>
                <w:szCs w:val="24"/>
              </w:rPr>
              <w:t>財政部函送「財政部暨所屬投資或經營之其他事業九十七年度營運及資金運用計畫」案</w:t>
            </w:r>
            <w:r w:rsidRPr="00783F52">
              <w:rPr>
                <w:rFonts w:ascii="標楷體" w:eastAsia="標楷體" w:hAnsi="標楷體" w:hint="eastAsia"/>
                <w:szCs w:val="24"/>
              </w:rPr>
              <w:t>。</w:t>
            </w:r>
          </w:p>
        </w:tc>
        <w:tc>
          <w:tcPr>
            <w:tcW w:w="2871" w:type="dxa"/>
            <w:tcBorders>
              <w:top w:val="single" w:sz="4" w:space="0" w:color="auto"/>
              <w:left w:val="single" w:sz="4" w:space="0" w:color="auto"/>
              <w:bottom w:val="single" w:sz="12" w:space="0" w:color="auto"/>
              <w:right w:val="single" w:sz="4" w:space="0" w:color="auto"/>
            </w:tcBorders>
          </w:tcPr>
          <w:p w14:paraId="4869FED6" w14:textId="77777777" w:rsidR="006714B7" w:rsidRPr="00783F52" w:rsidRDefault="006714B7" w:rsidP="00F470A8">
            <w:pPr>
              <w:widowControl w:val="0"/>
              <w:overflowPunct w:val="0"/>
              <w:spacing w:line="300" w:lineRule="exact"/>
              <w:jc w:val="both"/>
              <w:textAlignment w:val="auto"/>
              <w:rPr>
                <w:rFonts w:ascii="標楷體" w:eastAsia="標楷體" w:hAnsi="標楷體"/>
                <w:szCs w:val="24"/>
              </w:rPr>
            </w:pPr>
            <w:r w:rsidRPr="00783F52">
              <w:rPr>
                <w:rFonts w:ascii="標楷體" w:eastAsia="標楷體" w:hAnsi="標楷體"/>
                <w:szCs w:val="24"/>
              </w:rPr>
              <w:t>第7屆第2會期第9次院會（97.11.14）決定：「交財政委員會審查」</w:t>
            </w:r>
          </w:p>
        </w:tc>
        <w:tc>
          <w:tcPr>
            <w:tcW w:w="1985" w:type="dxa"/>
            <w:tcBorders>
              <w:top w:val="single" w:sz="4" w:space="0" w:color="auto"/>
              <w:left w:val="single" w:sz="4" w:space="0" w:color="auto"/>
              <w:bottom w:val="single" w:sz="12" w:space="0" w:color="auto"/>
              <w:right w:val="single" w:sz="4" w:space="0" w:color="auto"/>
            </w:tcBorders>
          </w:tcPr>
          <w:p w14:paraId="25622465" w14:textId="77777777" w:rsidR="006714B7" w:rsidRPr="00783F52" w:rsidRDefault="006714B7" w:rsidP="00F470A8">
            <w:pPr>
              <w:widowControl w:val="0"/>
              <w:overflowPunct w:val="0"/>
              <w:ind w:left="232" w:hangingChars="100" w:hanging="232"/>
              <w:jc w:val="both"/>
              <w:textAlignment w:val="auto"/>
              <w:rPr>
                <w:rFonts w:ascii="標楷體" w:eastAsia="標楷體" w:hAnsi="標楷體"/>
                <w:bCs/>
                <w:spacing w:val="-8"/>
                <w:szCs w:val="24"/>
              </w:rPr>
            </w:pPr>
            <w:r w:rsidRPr="00783F52">
              <w:rPr>
                <w:rFonts w:ascii="標楷體" w:eastAsia="標楷體" w:hAnsi="標楷體" w:hint="eastAsia"/>
                <w:bCs/>
                <w:spacing w:val="-8"/>
                <w:szCs w:val="24"/>
              </w:rPr>
              <w:t>1</w:t>
            </w:r>
            <w:r w:rsidRPr="00783F52">
              <w:rPr>
                <w:rFonts w:ascii="標楷體" w:eastAsia="標楷體" w:hAnsi="標楷體"/>
                <w:bCs/>
                <w:spacing w:val="-8"/>
                <w:szCs w:val="24"/>
              </w:rPr>
              <w:t>.第7屆第2會期第20次全體委員會議</w:t>
            </w:r>
            <w:r w:rsidRPr="00783F52">
              <w:rPr>
                <w:rFonts w:ascii="標楷體" w:eastAsia="標楷體" w:hAnsi="標楷體" w:hint="eastAsia"/>
                <w:bCs/>
                <w:spacing w:val="-8"/>
                <w:szCs w:val="24"/>
              </w:rPr>
              <w:t>審查完竣(97</w:t>
            </w:r>
            <w:r w:rsidRPr="00783F52">
              <w:rPr>
                <w:rFonts w:ascii="標楷體" w:eastAsia="標楷體" w:hAnsi="標楷體"/>
                <w:bCs/>
                <w:spacing w:val="-8"/>
                <w:szCs w:val="24"/>
              </w:rPr>
              <w:t>.</w:t>
            </w:r>
            <w:r w:rsidRPr="00783F52">
              <w:rPr>
                <w:rFonts w:ascii="標楷體" w:eastAsia="標楷體" w:hAnsi="標楷體" w:hint="eastAsia"/>
                <w:bCs/>
                <w:spacing w:val="-8"/>
                <w:szCs w:val="24"/>
              </w:rPr>
              <w:t>12</w:t>
            </w:r>
            <w:r w:rsidRPr="00783F52">
              <w:rPr>
                <w:rFonts w:ascii="標楷體" w:eastAsia="標楷體" w:hAnsi="標楷體"/>
                <w:bCs/>
                <w:spacing w:val="-8"/>
                <w:szCs w:val="24"/>
              </w:rPr>
              <w:t>.8</w:t>
            </w:r>
            <w:r w:rsidRPr="00783F52">
              <w:rPr>
                <w:rFonts w:ascii="標楷體" w:eastAsia="標楷體" w:hAnsi="標楷體" w:hint="eastAsia"/>
                <w:bCs/>
                <w:spacing w:val="-8"/>
                <w:szCs w:val="24"/>
              </w:rPr>
              <w:t>)</w:t>
            </w:r>
          </w:p>
          <w:p w14:paraId="411B0990" w14:textId="77777777" w:rsidR="006714B7" w:rsidRPr="00783F52" w:rsidRDefault="006714B7" w:rsidP="00F470A8">
            <w:pPr>
              <w:widowControl w:val="0"/>
              <w:overflowPunct w:val="0"/>
              <w:ind w:left="232" w:hangingChars="100" w:hanging="232"/>
              <w:jc w:val="both"/>
              <w:textAlignment w:val="auto"/>
              <w:rPr>
                <w:spacing w:val="-8"/>
              </w:rPr>
            </w:pPr>
            <w:r w:rsidRPr="00783F52">
              <w:rPr>
                <w:rFonts w:ascii="標楷體" w:eastAsia="標楷體" w:hAnsi="標楷體"/>
                <w:bCs/>
                <w:spacing w:val="-8"/>
                <w:szCs w:val="24"/>
              </w:rPr>
              <w:t>2.97.12.18</w:t>
            </w:r>
            <w:r w:rsidRPr="00783F52">
              <w:rPr>
                <w:rFonts w:ascii="標楷體" w:eastAsia="標楷體" w:hAnsi="標楷體"/>
                <w:spacing w:val="-8"/>
                <w:szCs w:val="24"/>
              </w:rPr>
              <w:t>函議事處，審查會決議</w:t>
            </w:r>
            <w:r w:rsidRPr="00783F52">
              <w:rPr>
                <w:rFonts w:ascii="標楷體" w:eastAsia="標楷體" w:hAnsi="標楷體" w:hint="eastAsia"/>
                <w:spacing w:val="-8"/>
                <w:szCs w:val="24"/>
              </w:rPr>
              <w:t>：</w:t>
            </w:r>
            <w:r w:rsidRPr="00783F52">
              <w:rPr>
                <w:rFonts w:ascii="標楷體" w:eastAsia="標楷體" w:hAnsi="標楷體"/>
                <w:spacing w:val="-8"/>
                <w:szCs w:val="24"/>
              </w:rPr>
              <w:t>須交由黨團協商。</w:t>
            </w:r>
          </w:p>
        </w:tc>
      </w:tr>
    </w:tbl>
    <w:p w14:paraId="6CA17ACA" w14:textId="77777777" w:rsidR="006714B7" w:rsidRPr="00464A6F" w:rsidRDefault="006714B7" w:rsidP="00F470A8">
      <w:pPr>
        <w:overflowPunct w:val="0"/>
        <w:autoSpaceDN/>
        <w:textAlignment w:val="auto"/>
        <w:rPr>
          <w:rFonts w:ascii="標楷體" w:eastAsia="標楷體" w:hAnsi="標楷體"/>
          <w:b/>
          <w:color w:val="FF0000"/>
          <w:sz w:val="36"/>
          <w:szCs w:val="36"/>
        </w:rPr>
      </w:pPr>
      <w:r w:rsidRPr="00464A6F">
        <w:rPr>
          <w:rFonts w:ascii="標楷體" w:eastAsia="標楷體" w:hAnsi="標楷體"/>
          <w:bCs/>
          <w:color w:val="FF0000"/>
          <w:sz w:val="36"/>
          <w:szCs w:val="36"/>
        </w:rPr>
        <w:br w:type="page"/>
      </w:r>
    </w:p>
    <w:p w14:paraId="09F0830F" w14:textId="23F40D98" w:rsidR="00A30C6D" w:rsidRPr="00F13171" w:rsidRDefault="00BD5B13"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80" w:name="_Toc189487303"/>
      <w:r w:rsidRPr="00F13171">
        <w:rPr>
          <w:rFonts w:ascii="標楷體" w:eastAsia="標楷體" w:hAnsi="標楷體" w:hint="eastAsia"/>
          <w:bCs w:val="0"/>
          <w:sz w:val="36"/>
          <w:szCs w:val="36"/>
        </w:rPr>
        <w:lastRenderedPageBreak/>
        <w:t>陸、</w:t>
      </w:r>
      <w:r w:rsidR="00B4753C" w:rsidRPr="00F13171">
        <w:rPr>
          <w:rFonts w:ascii="標楷體" w:eastAsia="標楷體" w:hAnsi="標楷體" w:hint="eastAsia"/>
          <w:bCs w:val="0"/>
          <w:sz w:val="36"/>
          <w:szCs w:val="36"/>
        </w:rPr>
        <w:t>本會待審(處理)之議案(1</w:t>
      </w:r>
      <w:r w:rsidR="00852D02" w:rsidRPr="00F13171">
        <w:rPr>
          <w:rFonts w:ascii="標楷體" w:eastAsia="標楷體" w:hAnsi="標楷體" w:hint="eastAsia"/>
          <w:bCs w:val="0"/>
          <w:sz w:val="28"/>
          <w:szCs w:val="28"/>
        </w:rPr>
        <w:t>,</w:t>
      </w:r>
      <w:r w:rsidR="0034494F" w:rsidRPr="00F13171">
        <w:rPr>
          <w:rFonts w:ascii="標楷體" w:eastAsia="標楷體" w:hAnsi="標楷體" w:hint="eastAsia"/>
          <w:bCs w:val="0"/>
          <w:sz w:val="36"/>
          <w:szCs w:val="36"/>
        </w:rPr>
        <w:t>0</w:t>
      </w:r>
      <w:r w:rsidR="00993A58" w:rsidRPr="00F13171">
        <w:rPr>
          <w:rFonts w:ascii="標楷體" w:eastAsia="標楷體" w:hAnsi="標楷體" w:hint="eastAsia"/>
          <w:bCs w:val="0"/>
          <w:sz w:val="36"/>
          <w:szCs w:val="36"/>
        </w:rPr>
        <w:t>36</w:t>
      </w:r>
      <w:r w:rsidR="00B4753C" w:rsidRPr="00F13171">
        <w:rPr>
          <w:rFonts w:ascii="標楷體" w:eastAsia="標楷體" w:hAnsi="標楷體" w:hint="eastAsia"/>
          <w:bCs w:val="0"/>
          <w:sz w:val="36"/>
          <w:szCs w:val="36"/>
        </w:rPr>
        <w:t>案)</w:t>
      </w:r>
      <w:bookmarkEnd w:id="80"/>
    </w:p>
    <w:p w14:paraId="40E73520" w14:textId="7E4F284F" w:rsidR="00993A58" w:rsidRPr="00D85661" w:rsidRDefault="00D85661" w:rsidP="00F470A8">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81" w:name="_Toc126576803"/>
      <w:bookmarkStart w:id="82" w:name="_Toc143873921"/>
      <w:bookmarkStart w:id="83" w:name="_Toc157095694"/>
      <w:bookmarkStart w:id="84" w:name="_Toc175833589"/>
      <w:bookmarkStart w:id="85" w:name="_Toc189487304"/>
      <w:r w:rsidRPr="00D85661">
        <w:rPr>
          <w:rFonts w:ascii="標楷體" w:eastAsia="標楷體" w:hAnsi="標楷體" w:hint="eastAsia"/>
          <w:bCs w:val="0"/>
          <w:kern w:val="2"/>
          <w:sz w:val="32"/>
          <w:szCs w:val="32"/>
        </w:rPr>
        <w:t>一、法律案(2</w:t>
      </w:r>
      <w:r w:rsidRPr="00D85661">
        <w:rPr>
          <w:rFonts w:ascii="標楷體" w:eastAsia="標楷體" w:hAnsi="標楷體"/>
          <w:bCs w:val="0"/>
          <w:kern w:val="2"/>
          <w:sz w:val="32"/>
          <w:szCs w:val="32"/>
        </w:rPr>
        <w:t>0</w:t>
      </w:r>
      <w:r w:rsidRPr="00D85661">
        <w:rPr>
          <w:rFonts w:ascii="標楷體" w:eastAsia="標楷體" w:hAnsi="標楷體" w:hint="eastAsia"/>
          <w:bCs w:val="0"/>
          <w:kern w:val="2"/>
          <w:sz w:val="32"/>
          <w:szCs w:val="32"/>
        </w:rPr>
        <w:t>3案)</w:t>
      </w:r>
      <w:bookmarkEnd w:id="81"/>
      <w:bookmarkEnd w:id="82"/>
      <w:bookmarkEnd w:id="83"/>
      <w:bookmarkEnd w:id="84"/>
      <w:bookmarkEnd w:id="85"/>
    </w:p>
    <w:tbl>
      <w:tblPr>
        <w:tblW w:w="1020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984"/>
      </w:tblGrid>
      <w:tr w:rsidR="00993A58" w:rsidRPr="00B95A07" w14:paraId="236431FC"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0EDF59B"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spacing w:val="-16"/>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3F3DAC7"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D1CE938"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592C0859"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委　　　員</w:t>
            </w:r>
          </w:p>
        </w:tc>
        <w:tc>
          <w:tcPr>
            <w:tcW w:w="2552"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94913AE"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5384A96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4B88447B" w14:textId="77777777" w:rsidTr="000D2E36">
        <w:trPr>
          <w:trHeight w:val="616"/>
          <w:jc w:val="center"/>
        </w:trPr>
        <w:tc>
          <w:tcPr>
            <w:tcW w:w="10206" w:type="dxa"/>
            <w:gridSpan w:val="5"/>
            <w:tcBorders>
              <w:top w:val="single" w:sz="12" w:space="0" w:color="000000"/>
            </w:tcBorders>
            <w:shd w:val="clear" w:color="auto" w:fill="auto"/>
            <w:tcMar>
              <w:top w:w="0" w:type="dxa"/>
              <w:left w:w="28" w:type="dxa"/>
              <w:bottom w:w="0" w:type="dxa"/>
              <w:right w:w="28" w:type="dxa"/>
            </w:tcMar>
            <w:vAlign w:val="center"/>
          </w:tcPr>
          <w:p w14:paraId="55DE484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一</w:t>
            </w:r>
            <w:r w:rsidRPr="00B95A07">
              <w:rPr>
                <w:rFonts w:ascii="標楷體" w:eastAsia="標楷體" w:hAnsi="標楷體"/>
                <w:b/>
                <w:kern w:val="2"/>
                <w:sz w:val="28"/>
                <w:szCs w:val="28"/>
              </w:rPr>
              <w:t>)財政部主管（</w:t>
            </w:r>
            <w:r>
              <w:rPr>
                <w:rFonts w:ascii="標楷體" w:eastAsia="標楷體" w:hAnsi="標楷體" w:hint="eastAsia"/>
                <w:b/>
                <w:kern w:val="2"/>
                <w:sz w:val="28"/>
                <w:szCs w:val="28"/>
              </w:rPr>
              <w:t>1</w:t>
            </w:r>
            <w:r>
              <w:rPr>
                <w:rFonts w:ascii="標楷體" w:eastAsia="標楷體" w:hAnsi="標楷體"/>
                <w:b/>
                <w:kern w:val="2"/>
                <w:sz w:val="28"/>
                <w:szCs w:val="28"/>
              </w:rPr>
              <w:t>4</w:t>
            </w:r>
            <w:r>
              <w:rPr>
                <w:rFonts w:ascii="標楷體" w:eastAsia="標楷體" w:hAnsi="標楷體" w:hint="eastAsia"/>
                <w:b/>
                <w:kern w:val="2"/>
                <w:sz w:val="28"/>
                <w:szCs w:val="28"/>
              </w:rPr>
              <w:t>8</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993A58" w:rsidRPr="00B95A07" w14:paraId="2BA71CAB" w14:textId="77777777" w:rsidTr="000D2E36">
        <w:trPr>
          <w:jc w:val="center"/>
        </w:trPr>
        <w:tc>
          <w:tcPr>
            <w:tcW w:w="514" w:type="dxa"/>
            <w:shd w:val="clear" w:color="auto" w:fill="auto"/>
            <w:tcMar>
              <w:top w:w="0" w:type="dxa"/>
              <w:left w:w="28" w:type="dxa"/>
              <w:bottom w:w="0" w:type="dxa"/>
              <w:right w:w="28" w:type="dxa"/>
            </w:tcMar>
          </w:tcPr>
          <w:p w14:paraId="45B7F75A"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D991B4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納稅者權利保護法部分條文修正草案</w:t>
            </w:r>
          </w:p>
        </w:tc>
        <w:tc>
          <w:tcPr>
            <w:tcW w:w="1559" w:type="dxa"/>
            <w:shd w:val="clear" w:color="auto" w:fill="auto"/>
            <w:tcMar>
              <w:top w:w="0" w:type="dxa"/>
              <w:left w:w="28" w:type="dxa"/>
              <w:bottom w:w="0" w:type="dxa"/>
              <w:right w:w="28" w:type="dxa"/>
            </w:tcMar>
          </w:tcPr>
          <w:p w14:paraId="35B835A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shd w:val="clear" w:color="auto" w:fill="FFFFFF"/>
            <w:tcMar>
              <w:top w:w="0" w:type="dxa"/>
              <w:left w:w="28" w:type="dxa"/>
              <w:bottom w:w="0" w:type="dxa"/>
              <w:right w:w="28" w:type="dxa"/>
            </w:tcMar>
          </w:tcPr>
          <w:p w14:paraId="76EE3C3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2C8955A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2A81A15" w14:textId="77777777" w:rsidTr="000D2E36">
        <w:trPr>
          <w:jc w:val="center"/>
        </w:trPr>
        <w:tc>
          <w:tcPr>
            <w:tcW w:w="514" w:type="dxa"/>
            <w:shd w:val="clear" w:color="auto" w:fill="auto"/>
            <w:tcMar>
              <w:top w:w="0" w:type="dxa"/>
              <w:left w:w="28" w:type="dxa"/>
              <w:bottom w:w="0" w:type="dxa"/>
              <w:right w:w="28" w:type="dxa"/>
            </w:tcMar>
          </w:tcPr>
          <w:p w14:paraId="4503866A"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348767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納稅者權利保護法第四條條文修正草案</w:t>
            </w:r>
          </w:p>
        </w:tc>
        <w:tc>
          <w:tcPr>
            <w:tcW w:w="1559" w:type="dxa"/>
            <w:shd w:val="clear" w:color="auto" w:fill="auto"/>
            <w:tcMar>
              <w:top w:w="0" w:type="dxa"/>
              <w:left w:w="28" w:type="dxa"/>
              <w:bottom w:w="0" w:type="dxa"/>
              <w:right w:w="28" w:type="dxa"/>
            </w:tcMar>
          </w:tcPr>
          <w:p w14:paraId="7DF6550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羅廷瑋等18人</w:t>
            </w:r>
          </w:p>
        </w:tc>
        <w:tc>
          <w:tcPr>
            <w:tcW w:w="2552" w:type="dxa"/>
            <w:shd w:val="clear" w:color="auto" w:fill="FFFFFF"/>
            <w:tcMar>
              <w:top w:w="0" w:type="dxa"/>
              <w:left w:w="28" w:type="dxa"/>
              <w:bottom w:w="0" w:type="dxa"/>
              <w:right w:w="28" w:type="dxa"/>
            </w:tcMar>
          </w:tcPr>
          <w:p w14:paraId="6E29C40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shd w:val="clear" w:color="auto" w:fill="auto"/>
            <w:tcMar>
              <w:top w:w="0" w:type="dxa"/>
              <w:left w:w="28" w:type="dxa"/>
              <w:bottom w:w="0" w:type="dxa"/>
              <w:right w:w="28" w:type="dxa"/>
            </w:tcMar>
            <w:vAlign w:val="center"/>
          </w:tcPr>
          <w:p w14:paraId="5352984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C42469"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25FD6601"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53F0E0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納稅者權利保護法第七條及第二十一條條文修正草案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5F0AF2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bottom w:val="single" w:sz="4" w:space="0" w:color="000000"/>
            </w:tcBorders>
            <w:shd w:val="clear" w:color="auto" w:fill="FFFFFF"/>
            <w:tcMar>
              <w:top w:w="0" w:type="dxa"/>
              <w:left w:w="28" w:type="dxa"/>
              <w:bottom w:w="0" w:type="dxa"/>
              <w:right w:w="28" w:type="dxa"/>
            </w:tcMar>
          </w:tcPr>
          <w:p w14:paraId="421243E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0109E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1C4823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A74C827"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51B5C555"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45602B04" w14:textId="77777777" w:rsidR="00993A58" w:rsidRPr="00B15225"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納稅者權利保護法第二十一條條文修正草案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155F09D4" w14:textId="77777777" w:rsidR="00993A58" w:rsidRPr="00B15225"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林思銘等18人</w:t>
            </w:r>
          </w:p>
        </w:tc>
        <w:tc>
          <w:tcPr>
            <w:tcW w:w="2552" w:type="dxa"/>
            <w:tcBorders>
              <w:bottom w:val="single" w:sz="12" w:space="0" w:color="000000"/>
            </w:tcBorders>
            <w:shd w:val="clear" w:color="auto" w:fill="FFFFFF"/>
            <w:tcMar>
              <w:top w:w="0" w:type="dxa"/>
              <w:left w:w="28" w:type="dxa"/>
              <w:bottom w:w="0" w:type="dxa"/>
              <w:right w:w="28" w:type="dxa"/>
            </w:tcMar>
          </w:tcPr>
          <w:p w14:paraId="7A08C787" w14:textId="77777777" w:rsidR="00993A58" w:rsidRPr="00B15225"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第11屆第2會期第10次院會</w:t>
            </w:r>
            <w:r w:rsidRPr="00E42D5E">
              <w:rPr>
                <w:rFonts w:ascii="標楷體" w:eastAsia="標楷體" w:hAnsi="標楷體" w:hint="eastAsia"/>
                <w:spacing w:val="-20"/>
                <w:kern w:val="2"/>
                <w:szCs w:val="24"/>
              </w:rPr>
              <w:t>(113.11.22)決定：</w:t>
            </w:r>
            <w:r w:rsidRPr="00B15225">
              <w:rPr>
                <w:rFonts w:ascii="標楷體" w:eastAsia="標楷體" w:hAnsi="標楷體" w:hint="eastAsia"/>
                <w:kern w:val="2"/>
                <w:szCs w:val="24"/>
              </w:rPr>
              <w:t>「交財政委員會審查」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3DDB8B1E" w14:textId="77777777" w:rsidR="00993A58" w:rsidRPr="00B1522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15225">
              <w:rPr>
                <w:rFonts w:ascii="標楷體" w:eastAsia="標楷體" w:hAnsi="標楷體" w:hint="eastAsia"/>
                <w:kern w:val="2"/>
                <w:szCs w:val="24"/>
              </w:rPr>
              <w:t>尚未審查</w:t>
            </w:r>
          </w:p>
        </w:tc>
      </w:tr>
      <w:tr w:rsidR="00993A58" w:rsidRPr="00B95A07" w14:paraId="70DD6985" w14:textId="77777777" w:rsidTr="000D2E36">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5D2F5A3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CA5700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稅捐稽徵法第二十八條條文修正草案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1C6F01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w:t>
            </w:r>
            <w:r w:rsidRPr="00B95A07">
              <w:rPr>
                <w:rFonts w:ascii="標楷體" w:eastAsia="標楷體" w:hAnsi="標楷體"/>
                <w:kern w:val="2"/>
                <w:szCs w:val="24"/>
              </w:rPr>
              <w:t>22人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7F67E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6561E8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0FFB9C"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7925FCAA"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415AEE9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tcBorders>
              <w:top w:val="single" w:sz="12" w:space="0" w:color="000000"/>
            </w:tcBorders>
            <w:shd w:val="clear" w:color="auto" w:fill="auto"/>
            <w:tcMar>
              <w:top w:w="0" w:type="dxa"/>
              <w:left w:w="28" w:type="dxa"/>
              <w:bottom w:w="0" w:type="dxa"/>
              <w:right w:w="28" w:type="dxa"/>
            </w:tcMar>
          </w:tcPr>
          <w:p w14:paraId="587FA87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賴士葆等24人</w:t>
            </w:r>
          </w:p>
        </w:tc>
        <w:tc>
          <w:tcPr>
            <w:tcW w:w="2552" w:type="dxa"/>
            <w:tcBorders>
              <w:top w:val="single" w:sz="12" w:space="0" w:color="000000"/>
            </w:tcBorders>
            <w:shd w:val="clear" w:color="auto" w:fill="FFFFFF"/>
            <w:tcMar>
              <w:top w:w="0" w:type="dxa"/>
              <w:left w:w="28" w:type="dxa"/>
              <w:bottom w:w="0" w:type="dxa"/>
              <w:right w:w="28" w:type="dxa"/>
            </w:tcMar>
          </w:tcPr>
          <w:p w14:paraId="346EAB0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14A3340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2F8914B" w14:textId="77777777" w:rsidTr="000D2E36">
        <w:trPr>
          <w:jc w:val="center"/>
        </w:trPr>
        <w:tc>
          <w:tcPr>
            <w:tcW w:w="514" w:type="dxa"/>
            <w:shd w:val="clear" w:color="auto" w:fill="auto"/>
            <w:tcMar>
              <w:top w:w="0" w:type="dxa"/>
              <w:left w:w="28" w:type="dxa"/>
              <w:bottom w:w="0" w:type="dxa"/>
              <w:right w:w="28" w:type="dxa"/>
            </w:tcMar>
          </w:tcPr>
          <w:p w14:paraId="04346E4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788FF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shd w:val="clear" w:color="auto" w:fill="auto"/>
            <w:tcMar>
              <w:top w:w="0" w:type="dxa"/>
              <w:left w:w="28" w:type="dxa"/>
              <w:bottom w:w="0" w:type="dxa"/>
              <w:right w:w="28" w:type="dxa"/>
            </w:tcMar>
          </w:tcPr>
          <w:p w14:paraId="2E3894B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shd w:val="clear" w:color="auto" w:fill="FFFFFF"/>
            <w:tcMar>
              <w:top w:w="0" w:type="dxa"/>
              <w:left w:w="28" w:type="dxa"/>
              <w:bottom w:w="0" w:type="dxa"/>
              <w:right w:w="28" w:type="dxa"/>
            </w:tcMar>
          </w:tcPr>
          <w:p w14:paraId="4BAEB02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shd w:val="clear" w:color="auto" w:fill="auto"/>
            <w:tcMar>
              <w:top w:w="0" w:type="dxa"/>
              <w:left w:w="28" w:type="dxa"/>
              <w:bottom w:w="0" w:type="dxa"/>
              <w:right w:w="28" w:type="dxa"/>
            </w:tcMar>
            <w:vAlign w:val="center"/>
          </w:tcPr>
          <w:p w14:paraId="07A7FF4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ECAB054" w14:textId="77777777" w:rsidTr="000D2E36">
        <w:trPr>
          <w:jc w:val="center"/>
        </w:trPr>
        <w:tc>
          <w:tcPr>
            <w:tcW w:w="514" w:type="dxa"/>
            <w:shd w:val="clear" w:color="auto" w:fill="auto"/>
            <w:tcMar>
              <w:top w:w="0" w:type="dxa"/>
              <w:left w:w="28" w:type="dxa"/>
              <w:bottom w:w="0" w:type="dxa"/>
              <w:right w:w="28" w:type="dxa"/>
            </w:tcMar>
          </w:tcPr>
          <w:p w14:paraId="24EACFE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F377D3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所得稅法第五條條文修正草案</w:t>
            </w:r>
          </w:p>
        </w:tc>
        <w:tc>
          <w:tcPr>
            <w:tcW w:w="1559" w:type="dxa"/>
            <w:shd w:val="clear" w:color="auto" w:fill="auto"/>
            <w:tcMar>
              <w:top w:w="0" w:type="dxa"/>
              <w:left w:w="28" w:type="dxa"/>
              <w:bottom w:w="0" w:type="dxa"/>
              <w:right w:w="28" w:type="dxa"/>
            </w:tcMar>
          </w:tcPr>
          <w:p w14:paraId="6ECC1AD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顏寬恒等2</w:t>
            </w:r>
            <w:r>
              <w:rPr>
                <w:rFonts w:ascii="標楷體" w:eastAsia="標楷體" w:hAnsi="標楷體" w:hint="eastAsia"/>
                <w:kern w:val="2"/>
                <w:szCs w:val="24"/>
              </w:rPr>
              <w:t>2</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72FC0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shd w:val="clear" w:color="auto" w:fill="auto"/>
            <w:tcMar>
              <w:top w:w="0" w:type="dxa"/>
              <w:left w:w="28" w:type="dxa"/>
              <w:bottom w:w="0" w:type="dxa"/>
              <w:right w:w="28" w:type="dxa"/>
            </w:tcMar>
            <w:vAlign w:val="center"/>
          </w:tcPr>
          <w:p w14:paraId="6DE82B1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F4DD3B0" w14:textId="77777777" w:rsidTr="000D2E36">
        <w:trPr>
          <w:jc w:val="center"/>
        </w:trPr>
        <w:tc>
          <w:tcPr>
            <w:tcW w:w="514" w:type="dxa"/>
            <w:shd w:val="clear" w:color="auto" w:fill="auto"/>
            <w:tcMar>
              <w:top w:w="0" w:type="dxa"/>
              <w:left w:w="28" w:type="dxa"/>
              <w:bottom w:w="0" w:type="dxa"/>
              <w:right w:w="28" w:type="dxa"/>
            </w:tcMar>
          </w:tcPr>
          <w:p w14:paraId="40DB7AB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F002748" w14:textId="77777777" w:rsidR="00993A58" w:rsidRPr="0050766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所得稅法第五條條文修正草案</w:t>
            </w:r>
          </w:p>
        </w:tc>
        <w:tc>
          <w:tcPr>
            <w:tcW w:w="1559" w:type="dxa"/>
            <w:shd w:val="clear" w:color="auto" w:fill="auto"/>
            <w:tcMar>
              <w:top w:w="0" w:type="dxa"/>
              <w:left w:w="28" w:type="dxa"/>
              <w:bottom w:w="0" w:type="dxa"/>
              <w:right w:w="28" w:type="dxa"/>
            </w:tcMar>
          </w:tcPr>
          <w:p w14:paraId="03EFDCB6" w14:textId="77777777" w:rsidR="00993A58" w:rsidRPr="0050766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23F2E6A5" w14:textId="77777777" w:rsidR="00993A58" w:rsidRPr="0050766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E42D5E">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38870815" w14:textId="77777777" w:rsidR="00993A58" w:rsidRPr="0050766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993A58" w:rsidRPr="00B95A07" w14:paraId="0A71FA31"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57BEDA6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FCDAEF5" w14:textId="77777777" w:rsidR="00993A58" w:rsidRPr="00C85D18"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所得稅法第五條、第五條之一及第十四條條文修正草案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0BDCB6A" w14:textId="77777777" w:rsidR="00993A58" w:rsidRPr="00C85D18"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陳亭妃等16人</w:t>
            </w:r>
          </w:p>
        </w:tc>
        <w:tc>
          <w:tcPr>
            <w:tcW w:w="2552" w:type="dxa"/>
            <w:tcBorders>
              <w:bottom w:val="single" w:sz="4" w:space="0" w:color="000000"/>
            </w:tcBorders>
            <w:shd w:val="clear" w:color="auto" w:fill="FFFFFF"/>
            <w:tcMar>
              <w:top w:w="0" w:type="dxa"/>
              <w:left w:w="28" w:type="dxa"/>
              <w:bottom w:w="0" w:type="dxa"/>
              <w:right w:w="28" w:type="dxa"/>
            </w:tcMar>
          </w:tcPr>
          <w:p w14:paraId="2C317641" w14:textId="77777777" w:rsidR="00993A58" w:rsidRPr="00C85D18"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第11屆第2會期第3次院會(113.10.4)決定：「交財政委員會審查」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0925FCD" w14:textId="77777777" w:rsidR="00993A58" w:rsidRPr="00C85D18" w:rsidRDefault="00993A58" w:rsidP="00F470A8">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尚未審查</w:t>
            </w:r>
          </w:p>
        </w:tc>
      </w:tr>
      <w:tr w:rsidR="00993A58" w:rsidRPr="00B95A07" w14:paraId="6497B063" w14:textId="77777777" w:rsidTr="00E42D5E">
        <w:trPr>
          <w:jc w:val="center"/>
        </w:trPr>
        <w:tc>
          <w:tcPr>
            <w:tcW w:w="514" w:type="dxa"/>
            <w:tcBorders>
              <w:bottom w:val="single" w:sz="4" w:space="0" w:color="000000"/>
            </w:tcBorders>
            <w:shd w:val="clear" w:color="auto" w:fill="auto"/>
            <w:tcMar>
              <w:top w:w="0" w:type="dxa"/>
              <w:left w:w="28" w:type="dxa"/>
              <w:bottom w:w="0" w:type="dxa"/>
              <w:right w:w="28" w:type="dxa"/>
            </w:tcMar>
          </w:tcPr>
          <w:p w14:paraId="5197DE8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A41A7C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所得稅法第五條之一及第十七條條文修正草案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53CDF8F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郭國文等19人</w:t>
            </w:r>
          </w:p>
        </w:tc>
        <w:tc>
          <w:tcPr>
            <w:tcW w:w="2552" w:type="dxa"/>
            <w:tcBorders>
              <w:bottom w:val="single" w:sz="4" w:space="0" w:color="000000"/>
            </w:tcBorders>
            <w:shd w:val="clear" w:color="auto" w:fill="FFFFFF"/>
            <w:tcMar>
              <w:top w:w="0" w:type="dxa"/>
              <w:left w:w="28" w:type="dxa"/>
              <w:bottom w:w="0" w:type="dxa"/>
              <w:right w:w="28" w:type="dxa"/>
            </w:tcMar>
          </w:tcPr>
          <w:p w14:paraId="1FD4479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E42D5E">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DCB200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5520EB0" w14:textId="77777777" w:rsidTr="00E42D5E">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2A56A0A1"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85D121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所得稅法第五條之一及第十七條條文修正草案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58BA86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賴惠員等25人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9C8BCD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第11屆第1會期第16次院會(113.5.31)決定：「交財政委員會審查」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0501E8F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0A0949D" w14:textId="77777777" w:rsidTr="00E42D5E">
        <w:trPr>
          <w:jc w:val="center"/>
        </w:trPr>
        <w:tc>
          <w:tcPr>
            <w:tcW w:w="514" w:type="dxa"/>
            <w:tcBorders>
              <w:top w:val="single" w:sz="4" w:space="0" w:color="000000"/>
            </w:tcBorders>
            <w:shd w:val="clear" w:color="auto" w:fill="auto"/>
            <w:tcMar>
              <w:top w:w="0" w:type="dxa"/>
              <w:left w:w="28" w:type="dxa"/>
              <w:bottom w:w="0" w:type="dxa"/>
              <w:right w:w="28" w:type="dxa"/>
            </w:tcMar>
          </w:tcPr>
          <w:p w14:paraId="280A4510"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D084976" w14:textId="77777777" w:rsidR="00993A58" w:rsidRPr="005A07A3"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所得稅法第十一條條文修正草案</w:t>
            </w:r>
          </w:p>
        </w:tc>
        <w:tc>
          <w:tcPr>
            <w:tcW w:w="1559" w:type="dxa"/>
            <w:tcBorders>
              <w:top w:val="single" w:sz="4" w:space="0" w:color="000000"/>
            </w:tcBorders>
            <w:shd w:val="clear" w:color="auto" w:fill="auto"/>
            <w:tcMar>
              <w:top w:w="0" w:type="dxa"/>
              <w:left w:w="28" w:type="dxa"/>
              <w:bottom w:w="0" w:type="dxa"/>
              <w:right w:w="28" w:type="dxa"/>
            </w:tcMar>
          </w:tcPr>
          <w:p w14:paraId="31F6F4C2" w14:textId="77777777" w:rsidR="00993A58" w:rsidRPr="005A07A3"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葉元之等19人</w:t>
            </w:r>
          </w:p>
        </w:tc>
        <w:tc>
          <w:tcPr>
            <w:tcW w:w="2552" w:type="dxa"/>
            <w:tcBorders>
              <w:top w:val="single" w:sz="4" w:space="0" w:color="000000"/>
            </w:tcBorders>
            <w:shd w:val="clear" w:color="auto" w:fill="FFFFFF"/>
            <w:tcMar>
              <w:top w:w="0" w:type="dxa"/>
              <w:left w:w="28" w:type="dxa"/>
              <w:bottom w:w="0" w:type="dxa"/>
              <w:right w:w="28" w:type="dxa"/>
            </w:tcMar>
          </w:tcPr>
          <w:p w14:paraId="6A18757D" w14:textId="77777777" w:rsidR="00993A58" w:rsidRPr="005A07A3"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E42D5E">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47603365"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B95A07" w14:paraId="4A8183BE" w14:textId="77777777" w:rsidTr="000D2E36">
        <w:trPr>
          <w:jc w:val="center"/>
        </w:trPr>
        <w:tc>
          <w:tcPr>
            <w:tcW w:w="514" w:type="dxa"/>
            <w:shd w:val="clear" w:color="auto" w:fill="auto"/>
            <w:tcMar>
              <w:top w:w="0" w:type="dxa"/>
              <w:left w:w="28" w:type="dxa"/>
              <w:bottom w:w="0" w:type="dxa"/>
              <w:right w:w="28" w:type="dxa"/>
            </w:tcMar>
          </w:tcPr>
          <w:p w14:paraId="3B722C9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62589B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所得稅法第十四條及第一百二十六條條文修正草案</w:t>
            </w:r>
          </w:p>
        </w:tc>
        <w:tc>
          <w:tcPr>
            <w:tcW w:w="1559" w:type="dxa"/>
            <w:shd w:val="clear" w:color="auto" w:fill="auto"/>
            <w:tcMar>
              <w:top w:w="0" w:type="dxa"/>
              <w:left w:w="28" w:type="dxa"/>
              <w:bottom w:w="0" w:type="dxa"/>
              <w:right w:w="28" w:type="dxa"/>
            </w:tcMar>
          </w:tcPr>
          <w:p w14:paraId="09217B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648B38D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shd w:val="clear" w:color="auto" w:fill="auto"/>
            <w:tcMar>
              <w:top w:w="0" w:type="dxa"/>
              <w:left w:w="28" w:type="dxa"/>
              <w:bottom w:w="0" w:type="dxa"/>
              <w:right w:w="28" w:type="dxa"/>
            </w:tcMar>
            <w:vAlign w:val="center"/>
          </w:tcPr>
          <w:p w14:paraId="4C11309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ADB1330" w14:textId="77777777" w:rsidTr="000D2E36">
        <w:trPr>
          <w:jc w:val="center"/>
        </w:trPr>
        <w:tc>
          <w:tcPr>
            <w:tcW w:w="514" w:type="dxa"/>
            <w:shd w:val="clear" w:color="auto" w:fill="auto"/>
            <w:tcMar>
              <w:top w:w="0" w:type="dxa"/>
              <w:left w:w="28" w:type="dxa"/>
              <w:bottom w:w="0" w:type="dxa"/>
              <w:right w:w="28" w:type="dxa"/>
            </w:tcMar>
          </w:tcPr>
          <w:p w14:paraId="65A7F207"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FCE6D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所得稅法第十四條及第十七條條文修正草案</w:t>
            </w:r>
          </w:p>
        </w:tc>
        <w:tc>
          <w:tcPr>
            <w:tcW w:w="1559" w:type="dxa"/>
            <w:shd w:val="clear" w:color="auto" w:fill="auto"/>
            <w:tcMar>
              <w:top w:w="0" w:type="dxa"/>
              <w:left w:w="28" w:type="dxa"/>
              <w:bottom w:w="0" w:type="dxa"/>
              <w:right w:w="28" w:type="dxa"/>
            </w:tcMar>
          </w:tcPr>
          <w:p w14:paraId="5F316A7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shd w:val="clear" w:color="auto" w:fill="FFFFFF"/>
            <w:tcMar>
              <w:top w:w="0" w:type="dxa"/>
              <w:left w:w="28" w:type="dxa"/>
              <w:bottom w:w="0" w:type="dxa"/>
              <w:right w:w="28" w:type="dxa"/>
            </w:tcMar>
          </w:tcPr>
          <w:p w14:paraId="05CE9B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E42D5E">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2239A1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D37E279" w14:textId="77777777" w:rsidTr="000D2E36">
        <w:trPr>
          <w:jc w:val="center"/>
        </w:trPr>
        <w:tc>
          <w:tcPr>
            <w:tcW w:w="514" w:type="dxa"/>
            <w:shd w:val="clear" w:color="auto" w:fill="auto"/>
            <w:tcMar>
              <w:top w:w="0" w:type="dxa"/>
              <w:left w:w="28" w:type="dxa"/>
              <w:bottom w:w="0" w:type="dxa"/>
              <w:right w:w="28" w:type="dxa"/>
            </w:tcMar>
          </w:tcPr>
          <w:p w14:paraId="117BE012"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84FDEE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所得稅法第十四條及第十七條條文修正草案</w:t>
            </w:r>
          </w:p>
        </w:tc>
        <w:tc>
          <w:tcPr>
            <w:tcW w:w="1559" w:type="dxa"/>
            <w:shd w:val="clear" w:color="auto" w:fill="auto"/>
            <w:tcMar>
              <w:top w:w="0" w:type="dxa"/>
              <w:left w:w="28" w:type="dxa"/>
              <w:bottom w:w="0" w:type="dxa"/>
              <w:right w:w="28" w:type="dxa"/>
            </w:tcMar>
          </w:tcPr>
          <w:p w14:paraId="0B26AE3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柯志恩等19人</w:t>
            </w:r>
          </w:p>
        </w:tc>
        <w:tc>
          <w:tcPr>
            <w:tcW w:w="2552" w:type="dxa"/>
            <w:shd w:val="clear" w:color="auto" w:fill="FFFFFF"/>
            <w:tcMar>
              <w:top w:w="0" w:type="dxa"/>
              <w:left w:w="28" w:type="dxa"/>
              <w:bottom w:w="0" w:type="dxa"/>
              <w:right w:w="28" w:type="dxa"/>
            </w:tcMar>
          </w:tcPr>
          <w:p w14:paraId="65F54DB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w:t>
            </w:r>
            <w:r w:rsidRPr="00E42D5E">
              <w:rPr>
                <w:rFonts w:ascii="標楷體" w:eastAsia="標楷體" w:hAnsi="標楷體" w:hint="eastAsia"/>
                <w:color w:val="000000" w:themeColor="text1"/>
                <w:spacing w:val="-20"/>
                <w:kern w:val="2"/>
                <w:szCs w:val="24"/>
              </w:rPr>
              <w:t>(113.5.17)</w:t>
            </w:r>
            <w:r w:rsidRPr="00B95A07">
              <w:rPr>
                <w:rFonts w:ascii="標楷體" w:eastAsia="標楷體" w:hAnsi="標楷體" w:hint="eastAsia"/>
                <w:color w:val="000000" w:themeColor="text1"/>
                <w:kern w:val="2"/>
                <w:szCs w:val="24"/>
              </w:rPr>
              <w:t>決定：「交財政委員會審查」</w:t>
            </w:r>
          </w:p>
        </w:tc>
        <w:tc>
          <w:tcPr>
            <w:tcW w:w="1984" w:type="dxa"/>
            <w:shd w:val="clear" w:color="auto" w:fill="auto"/>
            <w:tcMar>
              <w:top w:w="0" w:type="dxa"/>
              <w:left w:w="28" w:type="dxa"/>
              <w:bottom w:w="0" w:type="dxa"/>
              <w:right w:w="28" w:type="dxa"/>
            </w:tcMar>
            <w:vAlign w:val="center"/>
          </w:tcPr>
          <w:p w14:paraId="0EB33D0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1348BC85" w14:textId="77777777" w:rsidTr="000D2E36">
        <w:trPr>
          <w:jc w:val="center"/>
        </w:trPr>
        <w:tc>
          <w:tcPr>
            <w:tcW w:w="514" w:type="dxa"/>
            <w:shd w:val="clear" w:color="auto" w:fill="auto"/>
            <w:tcMar>
              <w:top w:w="0" w:type="dxa"/>
              <w:left w:w="28" w:type="dxa"/>
              <w:bottom w:w="0" w:type="dxa"/>
              <w:right w:w="28" w:type="dxa"/>
            </w:tcMar>
          </w:tcPr>
          <w:p w14:paraId="33F7FBA6"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B7DD1E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所得稅法第十四條之四條文修正草案</w:t>
            </w:r>
          </w:p>
        </w:tc>
        <w:tc>
          <w:tcPr>
            <w:tcW w:w="1559" w:type="dxa"/>
            <w:shd w:val="clear" w:color="auto" w:fill="auto"/>
            <w:tcMar>
              <w:top w:w="0" w:type="dxa"/>
              <w:left w:w="28" w:type="dxa"/>
              <w:bottom w:w="0" w:type="dxa"/>
              <w:right w:w="28" w:type="dxa"/>
            </w:tcMar>
          </w:tcPr>
          <w:p w14:paraId="34EAEA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shd w:val="clear" w:color="auto" w:fill="FFFFFF"/>
            <w:tcMar>
              <w:top w:w="0" w:type="dxa"/>
              <w:left w:w="28" w:type="dxa"/>
              <w:bottom w:w="0" w:type="dxa"/>
              <w:right w:w="28" w:type="dxa"/>
            </w:tcMar>
          </w:tcPr>
          <w:p w14:paraId="3327B1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shd w:val="clear" w:color="auto" w:fill="auto"/>
            <w:tcMar>
              <w:top w:w="0" w:type="dxa"/>
              <w:left w:w="28" w:type="dxa"/>
              <w:bottom w:w="0" w:type="dxa"/>
              <w:right w:w="28" w:type="dxa"/>
            </w:tcMar>
            <w:vAlign w:val="center"/>
          </w:tcPr>
          <w:p w14:paraId="14DD927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0604D9C" w14:textId="77777777" w:rsidTr="000D2E36">
        <w:trPr>
          <w:jc w:val="center"/>
        </w:trPr>
        <w:tc>
          <w:tcPr>
            <w:tcW w:w="514" w:type="dxa"/>
            <w:shd w:val="clear" w:color="auto" w:fill="auto"/>
            <w:tcMar>
              <w:top w:w="0" w:type="dxa"/>
              <w:left w:w="28" w:type="dxa"/>
              <w:bottom w:w="0" w:type="dxa"/>
              <w:right w:w="28" w:type="dxa"/>
            </w:tcMar>
          </w:tcPr>
          <w:p w14:paraId="6874F343"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9A52CFA" w14:textId="77777777" w:rsidR="00993A58" w:rsidRPr="002708E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所得稅法第十四條之八條文修正草案</w:t>
            </w:r>
          </w:p>
        </w:tc>
        <w:tc>
          <w:tcPr>
            <w:tcW w:w="1559" w:type="dxa"/>
            <w:shd w:val="clear" w:color="auto" w:fill="auto"/>
            <w:tcMar>
              <w:top w:w="0" w:type="dxa"/>
              <w:left w:w="28" w:type="dxa"/>
              <w:bottom w:w="0" w:type="dxa"/>
              <w:right w:w="28" w:type="dxa"/>
            </w:tcMar>
          </w:tcPr>
          <w:p w14:paraId="00BB5248" w14:textId="77777777" w:rsidR="00993A58" w:rsidRPr="002708E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王鴻薇等16人</w:t>
            </w:r>
          </w:p>
        </w:tc>
        <w:tc>
          <w:tcPr>
            <w:tcW w:w="2552" w:type="dxa"/>
            <w:shd w:val="clear" w:color="auto" w:fill="FFFFFF"/>
            <w:tcMar>
              <w:top w:w="0" w:type="dxa"/>
              <w:left w:w="28" w:type="dxa"/>
              <w:bottom w:w="0" w:type="dxa"/>
              <w:right w:w="28" w:type="dxa"/>
            </w:tcMar>
          </w:tcPr>
          <w:p w14:paraId="2D50575E" w14:textId="77777777" w:rsidR="00993A58" w:rsidRPr="002708E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12585B">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E34885D"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535008CF" w14:textId="77777777" w:rsidTr="000D2E36">
        <w:trPr>
          <w:jc w:val="center"/>
        </w:trPr>
        <w:tc>
          <w:tcPr>
            <w:tcW w:w="514" w:type="dxa"/>
            <w:shd w:val="clear" w:color="auto" w:fill="auto"/>
            <w:tcMar>
              <w:top w:w="0" w:type="dxa"/>
              <w:left w:w="28" w:type="dxa"/>
              <w:bottom w:w="0" w:type="dxa"/>
              <w:right w:w="28" w:type="dxa"/>
            </w:tcMar>
          </w:tcPr>
          <w:p w14:paraId="498E389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01E7177" w14:textId="77777777" w:rsidR="00993A58" w:rsidRPr="008423B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所得稅法第十四條之八條文修正草案</w:t>
            </w:r>
          </w:p>
        </w:tc>
        <w:tc>
          <w:tcPr>
            <w:tcW w:w="1559" w:type="dxa"/>
            <w:shd w:val="clear" w:color="auto" w:fill="auto"/>
            <w:tcMar>
              <w:top w:w="0" w:type="dxa"/>
              <w:left w:w="28" w:type="dxa"/>
              <w:bottom w:w="0" w:type="dxa"/>
              <w:right w:w="28" w:type="dxa"/>
            </w:tcMar>
          </w:tcPr>
          <w:p w14:paraId="5AF3D64B" w14:textId="77777777" w:rsidR="00993A58" w:rsidRPr="008423B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吳秉叡等19人</w:t>
            </w:r>
          </w:p>
        </w:tc>
        <w:tc>
          <w:tcPr>
            <w:tcW w:w="2552" w:type="dxa"/>
            <w:shd w:val="clear" w:color="auto" w:fill="FFFFFF"/>
            <w:tcMar>
              <w:top w:w="0" w:type="dxa"/>
              <w:left w:w="28" w:type="dxa"/>
              <w:bottom w:w="0" w:type="dxa"/>
              <w:right w:w="28" w:type="dxa"/>
            </w:tcMar>
          </w:tcPr>
          <w:p w14:paraId="5770E305" w14:textId="77777777" w:rsidR="00993A58" w:rsidRPr="008423B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第11屆第2會期第13次</w:t>
            </w:r>
            <w:r w:rsidRPr="0012585B">
              <w:rPr>
                <w:rFonts w:ascii="標楷體" w:eastAsia="標楷體" w:hAnsi="標楷體" w:hint="eastAsia"/>
                <w:spacing w:val="-20"/>
                <w:kern w:val="2"/>
                <w:szCs w:val="24"/>
              </w:rPr>
              <w:t>院會(113.12.13)決</w:t>
            </w:r>
            <w:r w:rsidRPr="008423B9">
              <w:rPr>
                <w:rFonts w:ascii="標楷體" w:eastAsia="標楷體" w:hAnsi="標楷體" w:hint="eastAsia"/>
                <w:kern w:val="2"/>
                <w:szCs w:val="24"/>
              </w:rPr>
              <w:t>定：「交財政委員會審查」</w:t>
            </w:r>
          </w:p>
        </w:tc>
        <w:tc>
          <w:tcPr>
            <w:tcW w:w="1984" w:type="dxa"/>
            <w:shd w:val="clear" w:color="auto" w:fill="auto"/>
            <w:tcMar>
              <w:top w:w="0" w:type="dxa"/>
              <w:left w:w="28" w:type="dxa"/>
              <w:bottom w:w="0" w:type="dxa"/>
              <w:right w:w="28" w:type="dxa"/>
            </w:tcMar>
            <w:vAlign w:val="center"/>
          </w:tcPr>
          <w:p w14:paraId="20C2269D" w14:textId="77777777" w:rsidR="00993A58" w:rsidRPr="008423B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尚未審查</w:t>
            </w:r>
          </w:p>
        </w:tc>
      </w:tr>
      <w:tr w:rsidR="00993A58" w:rsidRPr="00B95A07" w14:paraId="4AE000EB" w14:textId="77777777" w:rsidTr="000D2E36">
        <w:trPr>
          <w:jc w:val="center"/>
        </w:trPr>
        <w:tc>
          <w:tcPr>
            <w:tcW w:w="514" w:type="dxa"/>
            <w:shd w:val="clear" w:color="auto" w:fill="auto"/>
            <w:tcMar>
              <w:top w:w="0" w:type="dxa"/>
              <w:left w:w="28" w:type="dxa"/>
              <w:bottom w:w="0" w:type="dxa"/>
              <w:right w:w="28" w:type="dxa"/>
            </w:tcMar>
          </w:tcPr>
          <w:p w14:paraId="406EDAB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7CA9A4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所得稅法第十五條條文修正草案</w:t>
            </w:r>
          </w:p>
        </w:tc>
        <w:tc>
          <w:tcPr>
            <w:tcW w:w="1559" w:type="dxa"/>
            <w:shd w:val="clear" w:color="auto" w:fill="auto"/>
            <w:tcMar>
              <w:top w:w="0" w:type="dxa"/>
              <w:left w:w="28" w:type="dxa"/>
              <w:bottom w:w="0" w:type="dxa"/>
              <w:right w:w="28" w:type="dxa"/>
            </w:tcMar>
          </w:tcPr>
          <w:p w14:paraId="328DFEF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羅明才等23人</w:t>
            </w:r>
          </w:p>
        </w:tc>
        <w:tc>
          <w:tcPr>
            <w:tcW w:w="2552" w:type="dxa"/>
            <w:shd w:val="clear" w:color="auto" w:fill="FFFFFF"/>
            <w:tcMar>
              <w:top w:w="0" w:type="dxa"/>
              <w:left w:w="28" w:type="dxa"/>
              <w:bottom w:w="0" w:type="dxa"/>
              <w:right w:w="28" w:type="dxa"/>
            </w:tcMar>
          </w:tcPr>
          <w:p w14:paraId="0C7B542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val="restart"/>
            <w:shd w:val="clear" w:color="auto" w:fill="auto"/>
            <w:tcMar>
              <w:top w:w="0" w:type="dxa"/>
              <w:left w:w="28" w:type="dxa"/>
              <w:bottom w:w="0" w:type="dxa"/>
              <w:right w:w="28" w:type="dxa"/>
            </w:tcMar>
          </w:tcPr>
          <w:p w14:paraId="725715E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第11屆第1會期第7次全體委員會議(113.4.10)審查，決議：另擇期繼續審查。</w:t>
            </w:r>
          </w:p>
          <w:p w14:paraId="11F04DA9"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5995B72F" w14:textId="77777777" w:rsidTr="000D2E36">
        <w:trPr>
          <w:jc w:val="center"/>
        </w:trPr>
        <w:tc>
          <w:tcPr>
            <w:tcW w:w="514" w:type="dxa"/>
            <w:shd w:val="clear" w:color="auto" w:fill="auto"/>
            <w:tcMar>
              <w:top w:w="0" w:type="dxa"/>
              <w:left w:w="28" w:type="dxa"/>
              <w:bottom w:w="0" w:type="dxa"/>
              <w:right w:w="28" w:type="dxa"/>
            </w:tcMar>
          </w:tcPr>
          <w:p w14:paraId="0E901DE0"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9D6E06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536CD5C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馬文君等16人</w:t>
            </w:r>
          </w:p>
        </w:tc>
        <w:tc>
          <w:tcPr>
            <w:tcW w:w="2552" w:type="dxa"/>
            <w:shd w:val="clear" w:color="auto" w:fill="FFFFFF"/>
            <w:tcMar>
              <w:top w:w="0" w:type="dxa"/>
              <w:left w:w="28" w:type="dxa"/>
              <w:bottom w:w="0" w:type="dxa"/>
              <w:right w:w="28" w:type="dxa"/>
            </w:tcMar>
          </w:tcPr>
          <w:p w14:paraId="1152B3E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shd w:val="clear" w:color="auto" w:fill="auto"/>
            <w:tcMar>
              <w:top w:w="0" w:type="dxa"/>
              <w:left w:w="28" w:type="dxa"/>
              <w:bottom w:w="0" w:type="dxa"/>
              <w:right w:w="28" w:type="dxa"/>
            </w:tcMar>
            <w:vAlign w:val="center"/>
          </w:tcPr>
          <w:p w14:paraId="2CCD4325"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1451E0C7" w14:textId="77777777" w:rsidTr="000D2E36">
        <w:trPr>
          <w:jc w:val="center"/>
        </w:trPr>
        <w:tc>
          <w:tcPr>
            <w:tcW w:w="514" w:type="dxa"/>
            <w:shd w:val="clear" w:color="auto" w:fill="auto"/>
            <w:tcMar>
              <w:top w:w="0" w:type="dxa"/>
              <w:left w:w="28" w:type="dxa"/>
              <w:bottom w:w="0" w:type="dxa"/>
              <w:right w:w="28" w:type="dxa"/>
            </w:tcMar>
          </w:tcPr>
          <w:p w14:paraId="5FA1709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F6A68D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4044DB3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魯明哲等23人</w:t>
            </w:r>
          </w:p>
        </w:tc>
        <w:tc>
          <w:tcPr>
            <w:tcW w:w="2552" w:type="dxa"/>
            <w:shd w:val="clear" w:color="auto" w:fill="FFFFFF"/>
            <w:tcMar>
              <w:top w:w="0" w:type="dxa"/>
              <w:left w:w="28" w:type="dxa"/>
              <w:bottom w:w="0" w:type="dxa"/>
              <w:right w:w="28" w:type="dxa"/>
            </w:tcMar>
          </w:tcPr>
          <w:p w14:paraId="2C9AC86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shd w:val="clear" w:color="auto" w:fill="auto"/>
            <w:tcMar>
              <w:top w:w="0" w:type="dxa"/>
              <w:left w:w="28" w:type="dxa"/>
              <w:bottom w:w="0" w:type="dxa"/>
              <w:right w:w="28" w:type="dxa"/>
            </w:tcMar>
            <w:vAlign w:val="center"/>
          </w:tcPr>
          <w:p w14:paraId="49065E06"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07A303ED"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2428E88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06DE37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2BBB38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謝龍介等20人</w:t>
            </w:r>
          </w:p>
        </w:tc>
        <w:tc>
          <w:tcPr>
            <w:tcW w:w="2552" w:type="dxa"/>
            <w:tcBorders>
              <w:bottom w:val="single" w:sz="4" w:space="0" w:color="000000"/>
            </w:tcBorders>
            <w:shd w:val="clear" w:color="auto" w:fill="FFFFFF"/>
            <w:tcMar>
              <w:top w:w="0" w:type="dxa"/>
              <w:left w:w="28" w:type="dxa"/>
              <w:bottom w:w="0" w:type="dxa"/>
              <w:right w:w="28" w:type="dxa"/>
            </w:tcMar>
          </w:tcPr>
          <w:p w14:paraId="15E237F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2289482F"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6118386E"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3DA4E34"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8F6CFB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F8BB3D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D7F0B7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6DE764F0"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334AE427"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7939CDDE"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399BABC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241A653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tcBorders>
              <w:top w:val="single" w:sz="4" w:space="0" w:color="000000"/>
            </w:tcBorders>
            <w:shd w:val="clear" w:color="auto" w:fill="FFFFFF"/>
            <w:tcMar>
              <w:top w:w="0" w:type="dxa"/>
              <w:left w:w="28" w:type="dxa"/>
              <w:bottom w:w="0" w:type="dxa"/>
              <w:right w:w="28" w:type="dxa"/>
            </w:tcMar>
          </w:tcPr>
          <w:p w14:paraId="23A89F2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top w:val="single" w:sz="4" w:space="0" w:color="000000"/>
            </w:tcBorders>
            <w:shd w:val="clear" w:color="auto" w:fill="auto"/>
            <w:tcMar>
              <w:top w:w="0" w:type="dxa"/>
              <w:left w:w="28" w:type="dxa"/>
              <w:bottom w:w="0" w:type="dxa"/>
              <w:right w:w="28" w:type="dxa"/>
            </w:tcMar>
            <w:vAlign w:val="center"/>
          </w:tcPr>
          <w:p w14:paraId="16ED93C7"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428AE5B9" w14:textId="77777777" w:rsidTr="0012585B">
        <w:trPr>
          <w:jc w:val="center"/>
        </w:trPr>
        <w:tc>
          <w:tcPr>
            <w:tcW w:w="514" w:type="dxa"/>
            <w:tcBorders>
              <w:bottom w:val="single" w:sz="4" w:space="0" w:color="000000"/>
            </w:tcBorders>
            <w:shd w:val="clear" w:color="auto" w:fill="auto"/>
            <w:tcMar>
              <w:top w:w="0" w:type="dxa"/>
              <w:left w:w="28" w:type="dxa"/>
              <w:bottom w:w="0" w:type="dxa"/>
              <w:right w:w="28" w:type="dxa"/>
            </w:tcMar>
          </w:tcPr>
          <w:p w14:paraId="5B1F821C"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2CF531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6B4BC2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林德福等21人</w:t>
            </w:r>
          </w:p>
        </w:tc>
        <w:tc>
          <w:tcPr>
            <w:tcW w:w="2552" w:type="dxa"/>
            <w:tcBorders>
              <w:bottom w:val="single" w:sz="4" w:space="0" w:color="000000"/>
            </w:tcBorders>
            <w:shd w:val="clear" w:color="auto" w:fill="FFFFFF"/>
            <w:tcMar>
              <w:top w:w="0" w:type="dxa"/>
              <w:left w:w="28" w:type="dxa"/>
              <w:bottom w:w="0" w:type="dxa"/>
              <w:right w:w="28" w:type="dxa"/>
            </w:tcMar>
          </w:tcPr>
          <w:p w14:paraId="1EA21F1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4C8FC524"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25FDB325" w14:textId="77777777" w:rsidTr="0012585B">
        <w:trPr>
          <w:jc w:val="center"/>
        </w:trPr>
        <w:tc>
          <w:tcPr>
            <w:tcW w:w="514" w:type="dxa"/>
            <w:tcBorders>
              <w:bottom w:val="single" w:sz="4" w:space="0" w:color="000000"/>
            </w:tcBorders>
            <w:shd w:val="clear" w:color="auto" w:fill="auto"/>
            <w:tcMar>
              <w:top w:w="0" w:type="dxa"/>
              <w:left w:w="28" w:type="dxa"/>
              <w:bottom w:w="0" w:type="dxa"/>
              <w:right w:w="28" w:type="dxa"/>
            </w:tcMar>
          </w:tcPr>
          <w:p w14:paraId="659BB66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1B1A99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7C30E3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楊瓊瓔等16人</w:t>
            </w:r>
          </w:p>
        </w:tc>
        <w:tc>
          <w:tcPr>
            <w:tcW w:w="2552" w:type="dxa"/>
            <w:tcBorders>
              <w:bottom w:val="single" w:sz="4" w:space="0" w:color="000000"/>
            </w:tcBorders>
            <w:shd w:val="clear" w:color="auto" w:fill="FFFFFF"/>
            <w:tcMar>
              <w:top w:w="0" w:type="dxa"/>
              <w:left w:w="28" w:type="dxa"/>
              <w:bottom w:w="0" w:type="dxa"/>
              <w:right w:w="28" w:type="dxa"/>
            </w:tcMar>
          </w:tcPr>
          <w:p w14:paraId="51046AE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31871357"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151CFD6C" w14:textId="77777777" w:rsidTr="0012585B">
        <w:trPr>
          <w:jc w:val="center"/>
        </w:trPr>
        <w:tc>
          <w:tcPr>
            <w:tcW w:w="514" w:type="dxa"/>
            <w:tcBorders>
              <w:top w:val="single" w:sz="4" w:space="0" w:color="000000"/>
            </w:tcBorders>
            <w:shd w:val="clear" w:color="auto" w:fill="auto"/>
            <w:tcMar>
              <w:top w:w="0" w:type="dxa"/>
              <w:left w:w="28" w:type="dxa"/>
              <w:bottom w:w="0" w:type="dxa"/>
              <w:right w:w="28" w:type="dxa"/>
            </w:tcMar>
          </w:tcPr>
          <w:p w14:paraId="10CE514F"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612066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0C8BD0C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tcBorders>
              <w:top w:val="single" w:sz="4" w:space="0" w:color="000000"/>
            </w:tcBorders>
            <w:shd w:val="clear" w:color="auto" w:fill="FFFFFF"/>
            <w:tcMar>
              <w:top w:w="0" w:type="dxa"/>
              <w:left w:w="28" w:type="dxa"/>
              <w:bottom w:w="0" w:type="dxa"/>
              <w:right w:w="28" w:type="dxa"/>
            </w:tcMar>
          </w:tcPr>
          <w:p w14:paraId="6AD4D00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top w:val="single" w:sz="4" w:space="0" w:color="000000"/>
            </w:tcBorders>
            <w:shd w:val="clear" w:color="auto" w:fill="auto"/>
            <w:tcMar>
              <w:top w:w="0" w:type="dxa"/>
              <w:left w:w="28" w:type="dxa"/>
              <w:bottom w:w="0" w:type="dxa"/>
              <w:right w:w="28" w:type="dxa"/>
            </w:tcMar>
            <w:vAlign w:val="center"/>
          </w:tcPr>
          <w:p w14:paraId="013CD0A5"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66BA0FC7" w14:textId="77777777" w:rsidTr="000D2E36">
        <w:trPr>
          <w:jc w:val="center"/>
        </w:trPr>
        <w:tc>
          <w:tcPr>
            <w:tcW w:w="514" w:type="dxa"/>
            <w:shd w:val="clear" w:color="auto" w:fill="auto"/>
            <w:tcMar>
              <w:top w:w="0" w:type="dxa"/>
              <w:left w:w="28" w:type="dxa"/>
              <w:bottom w:w="0" w:type="dxa"/>
              <w:right w:w="28" w:type="dxa"/>
            </w:tcMar>
          </w:tcPr>
          <w:p w14:paraId="1432C38C"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A84906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4AA402D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110DBE5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shd w:val="clear" w:color="auto" w:fill="auto"/>
            <w:tcMar>
              <w:top w:w="0" w:type="dxa"/>
              <w:left w:w="28" w:type="dxa"/>
              <w:bottom w:w="0" w:type="dxa"/>
              <w:right w:w="28" w:type="dxa"/>
            </w:tcMar>
            <w:vAlign w:val="center"/>
          </w:tcPr>
          <w:p w14:paraId="574AAC1F"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2EE2D86B" w14:textId="77777777" w:rsidTr="000D2E36">
        <w:trPr>
          <w:jc w:val="center"/>
        </w:trPr>
        <w:tc>
          <w:tcPr>
            <w:tcW w:w="514" w:type="dxa"/>
            <w:shd w:val="clear" w:color="auto" w:fill="auto"/>
            <w:tcMar>
              <w:top w:w="0" w:type="dxa"/>
              <w:left w:w="28" w:type="dxa"/>
              <w:bottom w:w="0" w:type="dxa"/>
              <w:right w:w="28" w:type="dxa"/>
            </w:tcMar>
          </w:tcPr>
          <w:p w14:paraId="0AFC426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A8D101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60AFEB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國民黨黨團</w:t>
            </w:r>
          </w:p>
        </w:tc>
        <w:tc>
          <w:tcPr>
            <w:tcW w:w="2552" w:type="dxa"/>
            <w:shd w:val="clear" w:color="auto" w:fill="FFFFFF"/>
            <w:tcMar>
              <w:top w:w="0" w:type="dxa"/>
              <w:left w:w="28" w:type="dxa"/>
              <w:bottom w:w="0" w:type="dxa"/>
              <w:right w:w="28" w:type="dxa"/>
            </w:tcMar>
          </w:tcPr>
          <w:p w14:paraId="57D9F6C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shd w:val="clear" w:color="auto" w:fill="auto"/>
            <w:tcMar>
              <w:top w:w="0" w:type="dxa"/>
              <w:left w:w="28" w:type="dxa"/>
              <w:bottom w:w="0" w:type="dxa"/>
              <w:right w:w="28" w:type="dxa"/>
            </w:tcMar>
            <w:vAlign w:val="center"/>
          </w:tcPr>
          <w:p w14:paraId="5FDCA640" w14:textId="77777777" w:rsidR="00993A58" w:rsidRPr="00B95A07" w:rsidRDefault="00993A58" w:rsidP="00F470A8">
            <w:pPr>
              <w:widowControl w:val="0"/>
              <w:overflowPunct w:val="0"/>
              <w:spacing w:line="340" w:lineRule="exact"/>
              <w:jc w:val="both"/>
              <w:rPr>
                <w:rFonts w:ascii="標楷體" w:eastAsia="標楷體" w:hAnsi="標楷體"/>
                <w:kern w:val="2"/>
                <w:szCs w:val="24"/>
              </w:rPr>
            </w:pPr>
          </w:p>
        </w:tc>
      </w:tr>
      <w:tr w:rsidR="00993A58" w:rsidRPr="00B95A07" w14:paraId="179315B3" w14:textId="77777777" w:rsidTr="000D2E36">
        <w:trPr>
          <w:jc w:val="center"/>
        </w:trPr>
        <w:tc>
          <w:tcPr>
            <w:tcW w:w="514" w:type="dxa"/>
            <w:shd w:val="clear" w:color="auto" w:fill="auto"/>
            <w:tcMar>
              <w:top w:w="0" w:type="dxa"/>
              <w:left w:w="28" w:type="dxa"/>
              <w:bottom w:w="0" w:type="dxa"/>
              <w:right w:w="28" w:type="dxa"/>
            </w:tcMar>
          </w:tcPr>
          <w:p w14:paraId="4F953B51"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B115FF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所得稅法第十七條條文修正草案</w:t>
            </w:r>
          </w:p>
        </w:tc>
        <w:tc>
          <w:tcPr>
            <w:tcW w:w="1559" w:type="dxa"/>
            <w:shd w:val="clear" w:color="auto" w:fill="auto"/>
            <w:tcMar>
              <w:top w:w="0" w:type="dxa"/>
              <w:left w:w="28" w:type="dxa"/>
              <w:bottom w:w="0" w:type="dxa"/>
              <w:right w:w="28" w:type="dxa"/>
            </w:tcMar>
          </w:tcPr>
          <w:p w14:paraId="549BD39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林思銘等24人</w:t>
            </w:r>
          </w:p>
        </w:tc>
        <w:tc>
          <w:tcPr>
            <w:tcW w:w="2552" w:type="dxa"/>
            <w:shd w:val="clear" w:color="auto" w:fill="FFFFFF"/>
            <w:tcMar>
              <w:top w:w="0" w:type="dxa"/>
              <w:left w:w="28" w:type="dxa"/>
              <w:bottom w:w="0" w:type="dxa"/>
              <w:right w:w="28" w:type="dxa"/>
            </w:tcMar>
          </w:tcPr>
          <w:p w14:paraId="7910EC3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第11屆第1會期第8次院會(113.4.9)決定：「交財政委員會審查」</w:t>
            </w:r>
          </w:p>
        </w:tc>
        <w:tc>
          <w:tcPr>
            <w:tcW w:w="1984" w:type="dxa"/>
            <w:shd w:val="clear" w:color="auto" w:fill="auto"/>
            <w:tcMar>
              <w:top w:w="0" w:type="dxa"/>
              <w:left w:w="28" w:type="dxa"/>
              <w:bottom w:w="0" w:type="dxa"/>
              <w:right w:w="28" w:type="dxa"/>
            </w:tcMar>
            <w:vAlign w:val="center"/>
          </w:tcPr>
          <w:p w14:paraId="194217A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7740B7F9" w14:textId="77777777" w:rsidTr="000D2E36">
        <w:trPr>
          <w:jc w:val="center"/>
        </w:trPr>
        <w:tc>
          <w:tcPr>
            <w:tcW w:w="514" w:type="dxa"/>
            <w:shd w:val="clear" w:color="auto" w:fill="auto"/>
            <w:tcMar>
              <w:top w:w="0" w:type="dxa"/>
              <w:left w:w="28" w:type="dxa"/>
              <w:bottom w:w="0" w:type="dxa"/>
              <w:right w:w="28" w:type="dxa"/>
            </w:tcMar>
          </w:tcPr>
          <w:p w14:paraId="00B4434E"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E86C18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32BC439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徐巧芯等17人</w:t>
            </w:r>
          </w:p>
        </w:tc>
        <w:tc>
          <w:tcPr>
            <w:tcW w:w="2552" w:type="dxa"/>
            <w:shd w:val="clear" w:color="auto" w:fill="FFFFFF"/>
            <w:tcMar>
              <w:top w:w="0" w:type="dxa"/>
              <w:left w:w="28" w:type="dxa"/>
              <w:bottom w:w="0" w:type="dxa"/>
              <w:right w:w="28" w:type="dxa"/>
            </w:tcMar>
          </w:tcPr>
          <w:p w14:paraId="7B7A0FD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12585B">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14BED0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F467D7D" w14:textId="77777777" w:rsidTr="000D2E36">
        <w:trPr>
          <w:jc w:val="center"/>
        </w:trPr>
        <w:tc>
          <w:tcPr>
            <w:tcW w:w="514" w:type="dxa"/>
            <w:shd w:val="clear" w:color="auto" w:fill="auto"/>
            <w:tcMar>
              <w:top w:w="0" w:type="dxa"/>
              <w:left w:w="28" w:type="dxa"/>
              <w:bottom w:w="0" w:type="dxa"/>
              <w:right w:w="28" w:type="dxa"/>
            </w:tcMar>
          </w:tcPr>
          <w:p w14:paraId="08DEB436"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2B42CB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352381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shd w:val="clear" w:color="auto" w:fill="FFFFFF"/>
            <w:tcMar>
              <w:top w:w="0" w:type="dxa"/>
              <w:left w:w="28" w:type="dxa"/>
              <w:bottom w:w="0" w:type="dxa"/>
              <w:right w:w="28" w:type="dxa"/>
            </w:tcMar>
          </w:tcPr>
          <w:p w14:paraId="2E2D023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12585B">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FBAE09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913437D" w14:textId="77777777" w:rsidTr="000D2E36">
        <w:trPr>
          <w:jc w:val="center"/>
        </w:trPr>
        <w:tc>
          <w:tcPr>
            <w:tcW w:w="514" w:type="dxa"/>
            <w:shd w:val="clear" w:color="auto" w:fill="auto"/>
            <w:tcMar>
              <w:top w:w="0" w:type="dxa"/>
              <w:left w:w="28" w:type="dxa"/>
              <w:bottom w:w="0" w:type="dxa"/>
              <w:right w:w="28" w:type="dxa"/>
            </w:tcMar>
          </w:tcPr>
          <w:p w14:paraId="1E48D13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A8F1C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0F4AD4D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shd w:val="clear" w:color="auto" w:fill="FFFFFF"/>
            <w:tcMar>
              <w:top w:w="0" w:type="dxa"/>
              <w:left w:w="28" w:type="dxa"/>
              <w:bottom w:w="0" w:type="dxa"/>
              <w:right w:w="28" w:type="dxa"/>
            </w:tcMar>
          </w:tcPr>
          <w:p w14:paraId="44D3E8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12585B">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109E042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F5841FF" w14:textId="77777777" w:rsidTr="000D2E36">
        <w:trPr>
          <w:jc w:val="center"/>
        </w:trPr>
        <w:tc>
          <w:tcPr>
            <w:tcW w:w="514" w:type="dxa"/>
            <w:shd w:val="clear" w:color="auto" w:fill="auto"/>
            <w:tcMar>
              <w:top w:w="0" w:type="dxa"/>
              <w:left w:w="28" w:type="dxa"/>
              <w:bottom w:w="0" w:type="dxa"/>
              <w:right w:w="28" w:type="dxa"/>
            </w:tcMar>
          </w:tcPr>
          <w:p w14:paraId="1310BFA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495D1E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02A12E2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林思銘等25人</w:t>
            </w:r>
          </w:p>
        </w:tc>
        <w:tc>
          <w:tcPr>
            <w:tcW w:w="2552" w:type="dxa"/>
            <w:shd w:val="clear" w:color="auto" w:fill="FFFFFF"/>
            <w:tcMar>
              <w:top w:w="0" w:type="dxa"/>
              <w:left w:w="28" w:type="dxa"/>
              <w:bottom w:w="0" w:type="dxa"/>
              <w:right w:w="28" w:type="dxa"/>
            </w:tcMar>
          </w:tcPr>
          <w:p w14:paraId="7C7570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12585B">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405E5E6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6C3E716"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7E8D6C2"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A83CBE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D317D3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馬文君等24人</w:t>
            </w:r>
          </w:p>
        </w:tc>
        <w:tc>
          <w:tcPr>
            <w:tcW w:w="2552" w:type="dxa"/>
            <w:tcBorders>
              <w:bottom w:val="single" w:sz="4" w:space="0" w:color="000000"/>
            </w:tcBorders>
            <w:shd w:val="clear" w:color="auto" w:fill="FFFFFF"/>
            <w:tcMar>
              <w:top w:w="0" w:type="dxa"/>
              <w:left w:w="28" w:type="dxa"/>
              <w:bottom w:w="0" w:type="dxa"/>
              <w:right w:w="28" w:type="dxa"/>
            </w:tcMar>
          </w:tcPr>
          <w:p w14:paraId="1E9E425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12585B">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8649C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3DF222"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2484DF3B"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874A2A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D9131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邱若華等17人</w:t>
            </w:r>
          </w:p>
        </w:tc>
        <w:tc>
          <w:tcPr>
            <w:tcW w:w="2552" w:type="dxa"/>
            <w:tcBorders>
              <w:bottom w:val="single" w:sz="4" w:space="0" w:color="000000"/>
            </w:tcBorders>
            <w:shd w:val="clear" w:color="auto" w:fill="FFFFFF"/>
            <w:tcMar>
              <w:top w:w="0" w:type="dxa"/>
              <w:left w:w="28" w:type="dxa"/>
              <w:bottom w:w="0" w:type="dxa"/>
              <w:right w:w="28" w:type="dxa"/>
            </w:tcMar>
          </w:tcPr>
          <w:p w14:paraId="56249187" w14:textId="2A3DA2ED"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12585B">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3EFD15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30CF91B" w14:textId="77777777" w:rsidTr="0012585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0D7ED6CD"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6031EC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0C0D43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09A41F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12585B">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08E1372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F6CC47A" w14:textId="77777777" w:rsidTr="0012585B">
        <w:trPr>
          <w:jc w:val="center"/>
        </w:trPr>
        <w:tc>
          <w:tcPr>
            <w:tcW w:w="514" w:type="dxa"/>
            <w:tcBorders>
              <w:bottom w:val="single" w:sz="4" w:space="0" w:color="000000"/>
            </w:tcBorders>
            <w:shd w:val="clear" w:color="auto" w:fill="auto"/>
            <w:tcMar>
              <w:top w:w="0" w:type="dxa"/>
              <w:left w:w="28" w:type="dxa"/>
              <w:bottom w:w="0" w:type="dxa"/>
              <w:right w:w="28" w:type="dxa"/>
            </w:tcMar>
          </w:tcPr>
          <w:p w14:paraId="63BD4DE8"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062B9F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684F5C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吳春城等19人</w:t>
            </w:r>
          </w:p>
        </w:tc>
        <w:tc>
          <w:tcPr>
            <w:tcW w:w="2552" w:type="dxa"/>
            <w:tcBorders>
              <w:bottom w:val="single" w:sz="4" w:space="0" w:color="000000"/>
            </w:tcBorders>
            <w:shd w:val="clear" w:color="auto" w:fill="FFFFFF"/>
            <w:tcMar>
              <w:top w:w="0" w:type="dxa"/>
              <w:left w:w="28" w:type="dxa"/>
              <w:bottom w:w="0" w:type="dxa"/>
              <w:right w:w="28" w:type="dxa"/>
            </w:tcMar>
          </w:tcPr>
          <w:p w14:paraId="05D66E7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12585B">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E57F55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A8F4535" w14:textId="77777777" w:rsidTr="0012585B">
        <w:trPr>
          <w:jc w:val="center"/>
        </w:trPr>
        <w:tc>
          <w:tcPr>
            <w:tcW w:w="514" w:type="dxa"/>
            <w:tcBorders>
              <w:top w:val="single" w:sz="4" w:space="0" w:color="000000"/>
            </w:tcBorders>
            <w:shd w:val="clear" w:color="auto" w:fill="auto"/>
            <w:tcMar>
              <w:top w:w="0" w:type="dxa"/>
              <w:left w:w="28" w:type="dxa"/>
              <w:bottom w:w="0" w:type="dxa"/>
              <w:right w:w="28" w:type="dxa"/>
            </w:tcMar>
          </w:tcPr>
          <w:p w14:paraId="6ABA7866" w14:textId="77777777" w:rsidR="00993A58" w:rsidRPr="00B95A07" w:rsidRDefault="00993A58" w:rsidP="00F470A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EA9D978"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2508801A"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4" w:space="0" w:color="000000"/>
            </w:tcBorders>
            <w:shd w:val="clear" w:color="auto" w:fill="FFFFFF"/>
            <w:tcMar>
              <w:top w:w="0" w:type="dxa"/>
              <w:left w:w="28" w:type="dxa"/>
              <w:bottom w:w="0" w:type="dxa"/>
              <w:right w:w="28" w:type="dxa"/>
            </w:tcMar>
          </w:tcPr>
          <w:p w14:paraId="52271F10"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第11屆第2會期第1次院會(113.9.20)決定：「交財政委員會審查」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41DF9CCD" w14:textId="77777777" w:rsidR="00993A58" w:rsidRPr="009C72A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40FFCF35" w14:textId="77777777" w:rsidTr="00917B44">
        <w:trPr>
          <w:jc w:val="center"/>
        </w:trPr>
        <w:tc>
          <w:tcPr>
            <w:tcW w:w="514" w:type="dxa"/>
            <w:tcBorders>
              <w:bottom w:val="single" w:sz="4" w:space="0" w:color="000000"/>
            </w:tcBorders>
            <w:shd w:val="clear" w:color="auto" w:fill="auto"/>
            <w:tcMar>
              <w:top w:w="0" w:type="dxa"/>
              <w:left w:w="28" w:type="dxa"/>
              <w:bottom w:w="0" w:type="dxa"/>
              <w:right w:w="28" w:type="dxa"/>
            </w:tcMar>
          </w:tcPr>
          <w:p w14:paraId="1811EF8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31E911E" w14:textId="0EF6D371"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6B1F088" w14:textId="2E1A4EA0"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tcBorders>
              <w:bottom w:val="single" w:sz="4" w:space="0" w:color="000000"/>
            </w:tcBorders>
            <w:shd w:val="clear" w:color="auto" w:fill="FFFFFF"/>
            <w:tcMar>
              <w:top w:w="0" w:type="dxa"/>
              <w:left w:w="28" w:type="dxa"/>
              <w:bottom w:w="0" w:type="dxa"/>
              <w:right w:w="28" w:type="dxa"/>
            </w:tcMar>
          </w:tcPr>
          <w:p w14:paraId="336579EF" w14:textId="424708EC"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12585B">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7039F36" w14:textId="3A2E1370"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21762C45" w14:textId="77777777" w:rsidTr="00917B44">
        <w:trPr>
          <w:jc w:val="center"/>
        </w:trPr>
        <w:tc>
          <w:tcPr>
            <w:tcW w:w="514" w:type="dxa"/>
            <w:tcBorders>
              <w:bottom w:val="single" w:sz="4" w:space="0" w:color="000000"/>
            </w:tcBorders>
            <w:shd w:val="clear" w:color="auto" w:fill="auto"/>
            <w:tcMar>
              <w:top w:w="0" w:type="dxa"/>
              <w:left w:w="28" w:type="dxa"/>
              <w:bottom w:w="0" w:type="dxa"/>
              <w:right w:w="28" w:type="dxa"/>
            </w:tcMar>
          </w:tcPr>
          <w:p w14:paraId="255EC8D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04B97A1"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F04C5D2"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邱鎮軍等17人</w:t>
            </w:r>
          </w:p>
        </w:tc>
        <w:tc>
          <w:tcPr>
            <w:tcW w:w="2552" w:type="dxa"/>
            <w:tcBorders>
              <w:bottom w:val="single" w:sz="4" w:space="0" w:color="000000"/>
            </w:tcBorders>
            <w:shd w:val="clear" w:color="auto" w:fill="FFFFFF"/>
            <w:tcMar>
              <w:top w:w="0" w:type="dxa"/>
              <w:left w:w="28" w:type="dxa"/>
              <w:bottom w:w="0" w:type="dxa"/>
              <w:right w:w="28" w:type="dxa"/>
            </w:tcMar>
          </w:tcPr>
          <w:p w14:paraId="6525C3F5"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12585B">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4DB7075"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0CBD73E0" w14:textId="77777777" w:rsidTr="00917B44">
        <w:trPr>
          <w:jc w:val="center"/>
        </w:trPr>
        <w:tc>
          <w:tcPr>
            <w:tcW w:w="514" w:type="dxa"/>
            <w:tcBorders>
              <w:top w:val="single" w:sz="4" w:space="0" w:color="000000"/>
            </w:tcBorders>
            <w:shd w:val="clear" w:color="auto" w:fill="auto"/>
            <w:tcMar>
              <w:top w:w="0" w:type="dxa"/>
              <w:left w:w="28" w:type="dxa"/>
              <w:bottom w:w="0" w:type="dxa"/>
              <w:right w:w="28" w:type="dxa"/>
            </w:tcMar>
          </w:tcPr>
          <w:p w14:paraId="3A8D4E2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9FCD0B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所得稅法第十七條條文修正草案</w:t>
            </w:r>
          </w:p>
        </w:tc>
        <w:tc>
          <w:tcPr>
            <w:tcW w:w="1559" w:type="dxa"/>
            <w:tcBorders>
              <w:top w:val="single" w:sz="4" w:space="0" w:color="000000"/>
            </w:tcBorders>
            <w:shd w:val="clear" w:color="auto" w:fill="auto"/>
            <w:tcMar>
              <w:top w:w="0" w:type="dxa"/>
              <w:left w:w="28" w:type="dxa"/>
              <w:bottom w:w="0" w:type="dxa"/>
              <w:right w:w="28" w:type="dxa"/>
            </w:tcMar>
          </w:tcPr>
          <w:p w14:paraId="52E0CBEF"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陳菁徽等17人</w:t>
            </w:r>
          </w:p>
        </w:tc>
        <w:tc>
          <w:tcPr>
            <w:tcW w:w="2552" w:type="dxa"/>
            <w:tcBorders>
              <w:top w:val="single" w:sz="4" w:space="0" w:color="000000"/>
            </w:tcBorders>
            <w:shd w:val="clear" w:color="auto" w:fill="FFFFFF"/>
            <w:tcMar>
              <w:top w:w="0" w:type="dxa"/>
              <w:left w:w="28" w:type="dxa"/>
              <w:bottom w:w="0" w:type="dxa"/>
              <w:right w:w="28" w:type="dxa"/>
            </w:tcMar>
          </w:tcPr>
          <w:p w14:paraId="14FC7189"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12585B">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339C42DA"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6D976168" w14:textId="77777777" w:rsidTr="000D2E36">
        <w:trPr>
          <w:jc w:val="center"/>
        </w:trPr>
        <w:tc>
          <w:tcPr>
            <w:tcW w:w="514" w:type="dxa"/>
            <w:shd w:val="clear" w:color="auto" w:fill="auto"/>
            <w:tcMar>
              <w:top w:w="0" w:type="dxa"/>
              <w:left w:w="28" w:type="dxa"/>
              <w:bottom w:w="0" w:type="dxa"/>
              <w:right w:w="28" w:type="dxa"/>
            </w:tcMar>
          </w:tcPr>
          <w:p w14:paraId="5B13013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3224E3C"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所得稅法第十七條條文修正草案</w:t>
            </w:r>
          </w:p>
        </w:tc>
        <w:tc>
          <w:tcPr>
            <w:tcW w:w="1559" w:type="dxa"/>
            <w:shd w:val="clear" w:color="auto" w:fill="auto"/>
            <w:tcMar>
              <w:top w:w="0" w:type="dxa"/>
              <w:left w:w="28" w:type="dxa"/>
              <w:bottom w:w="0" w:type="dxa"/>
              <w:right w:w="28" w:type="dxa"/>
            </w:tcMar>
          </w:tcPr>
          <w:p w14:paraId="56201090"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陳超明等17人</w:t>
            </w:r>
          </w:p>
        </w:tc>
        <w:tc>
          <w:tcPr>
            <w:tcW w:w="2552" w:type="dxa"/>
            <w:shd w:val="clear" w:color="auto" w:fill="FFFFFF"/>
            <w:tcMar>
              <w:top w:w="0" w:type="dxa"/>
              <w:left w:w="28" w:type="dxa"/>
              <w:bottom w:w="0" w:type="dxa"/>
              <w:right w:w="28" w:type="dxa"/>
            </w:tcMar>
          </w:tcPr>
          <w:p w14:paraId="27284A12"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shd w:val="clear" w:color="auto" w:fill="auto"/>
            <w:tcMar>
              <w:top w:w="0" w:type="dxa"/>
              <w:left w:w="28" w:type="dxa"/>
              <w:bottom w:w="0" w:type="dxa"/>
              <w:right w:w="28" w:type="dxa"/>
            </w:tcMar>
            <w:vAlign w:val="center"/>
          </w:tcPr>
          <w:p w14:paraId="4FAE5248"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0A1A8AF1"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380B70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BFAAF9B"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B2FB742"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羅明才等18人</w:t>
            </w:r>
          </w:p>
        </w:tc>
        <w:tc>
          <w:tcPr>
            <w:tcW w:w="2552" w:type="dxa"/>
            <w:tcBorders>
              <w:bottom w:val="single" w:sz="4" w:space="0" w:color="000000"/>
            </w:tcBorders>
            <w:shd w:val="clear" w:color="auto" w:fill="FFFFFF"/>
            <w:tcMar>
              <w:top w:w="0" w:type="dxa"/>
              <w:left w:w="28" w:type="dxa"/>
              <w:bottom w:w="0" w:type="dxa"/>
              <w:right w:w="28" w:type="dxa"/>
            </w:tcMar>
          </w:tcPr>
          <w:p w14:paraId="309632AC"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12585B">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D22C635"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E5C3C71"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3750EF0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6EFCC12" w14:textId="77777777" w:rsidR="00C057F4" w:rsidRPr="00ED7BC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所得稅法第十七條條文修正草案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28749C2B" w14:textId="77777777" w:rsidR="00C057F4" w:rsidRPr="00ED7BC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葉元之等20人</w:t>
            </w:r>
          </w:p>
        </w:tc>
        <w:tc>
          <w:tcPr>
            <w:tcW w:w="2552" w:type="dxa"/>
            <w:tcBorders>
              <w:bottom w:val="single" w:sz="12" w:space="0" w:color="000000"/>
            </w:tcBorders>
            <w:shd w:val="clear" w:color="auto" w:fill="FFFFFF"/>
            <w:tcMar>
              <w:top w:w="0" w:type="dxa"/>
              <w:left w:w="28" w:type="dxa"/>
              <w:bottom w:w="0" w:type="dxa"/>
              <w:right w:w="28" w:type="dxa"/>
            </w:tcMar>
          </w:tcPr>
          <w:p w14:paraId="1C97D7FE" w14:textId="77777777" w:rsidR="00C057F4" w:rsidRPr="00ED7BC0" w:rsidRDefault="00C057F4" w:rsidP="00C057F4">
            <w:pPr>
              <w:widowControl w:val="0"/>
              <w:overflowPunct w:val="0"/>
              <w:spacing w:line="320" w:lineRule="exact"/>
              <w:jc w:val="both"/>
              <w:rPr>
                <w:rFonts w:ascii="標楷體" w:eastAsia="標楷體" w:hAnsi="標楷體"/>
                <w:kern w:val="2"/>
                <w:szCs w:val="24"/>
              </w:rPr>
            </w:pPr>
            <w:r w:rsidRPr="00ED7BC0">
              <w:rPr>
                <w:rFonts w:ascii="標楷體" w:eastAsia="標楷體" w:hAnsi="標楷體" w:hint="eastAsia"/>
                <w:kern w:val="2"/>
                <w:szCs w:val="24"/>
              </w:rPr>
              <w:t>第11屆第2會期第12次院會(113.12.6)決定：「交財政委員會審查」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0845F1DC" w14:textId="77777777" w:rsidR="00C057F4" w:rsidRPr="00ED7BC0"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C057F4" w:rsidRPr="00B95A07" w14:paraId="5892C654"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3387ABB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76D4790D"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遺產及贈與稅法部分條文修正草案</w:t>
            </w:r>
          </w:p>
        </w:tc>
        <w:tc>
          <w:tcPr>
            <w:tcW w:w="1559" w:type="dxa"/>
            <w:tcBorders>
              <w:top w:val="single" w:sz="12" w:space="0" w:color="000000"/>
            </w:tcBorders>
            <w:shd w:val="clear" w:color="auto" w:fill="auto"/>
            <w:tcMar>
              <w:top w:w="0" w:type="dxa"/>
              <w:left w:w="28" w:type="dxa"/>
              <w:bottom w:w="0" w:type="dxa"/>
              <w:right w:w="28" w:type="dxa"/>
            </w:tcMar>
          </w:tcPr>
          <w:p w14:paraId="5034F08B"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吳秉叡等19人</w:t>
            </w:r>
          </w:p>
        </w:tc>
        <w:tc>
          <w:tcPr>
            <w:tcW w:w="2552" w:type="dxa"/>
            <w:tcBorders>
              <w:top w:val="single" w:sz="12" w:space="0" w:color="000000"/>
            </w:tcBorders>
            <w:shd w:val="clear" w:color="auto" w:fill="FFFFFF"/>
            <w:tcMar>
              <w:top w:w="0" w:type="dxa"/>
              <w:left w:w="28" w:type="dxa"/>
              <w:bottom w:w="0" w:type="dxa"/>
              <w:right w:w="28" w:type="dxa"/>
            </w:tcMar>
          </w:tcPr>
          <w:p w14:paraId="19FCD20D"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第11屆第2會期第13次</w:t>
            </w:r>
            <w:r w:rsidRPr="0012585B">
              <w:rPr>
                <w:rFonts w:ascii="標楷體" w:eastAsia="標楷體" w:hAnsi="標楷體" w:hint="eastAsia"/>
                <w:spacing w:val="-22"/>
                <w:kern w:val="2"/>
                <w:szCs w:val="24"/>
              </w:rPr>
              <w:t>院會(113.12.13)</w:t>
            </w:r>
            <w:r w:rsidRPr="00467D4D">
              <w:rPr>
                <w:rFonts w:ascii="標楷體" w:eastAsia="標楷體" w:hAnsi="標楷體" w:hint="eastAsia"/>
                <w:kern w:val="2"/>
                <w:szCs w:val="24"/>
              </w:rPr>
              <w:t>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1312F020" w14:textId="77777777" w:rsidR="00C057F4" w:rsidRPr="00467D4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C057F4" w:rsidRPr="00B95A07" w14:paraId="3C0DF1AB"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1CF620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BF0746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遺產及贈與稅法第十條條文修正草案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2AE15F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B8D855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F402D1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15D01225"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DFCF6B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C91191A"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遺產及贈與稅法第十五條條文修正草案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57CDFD4"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王鴻薇等18人</w:t>
            </w:r>
          </w:p>
        </w:tc>
        <w:tc>
          <w:tcPr>
            <w:tcW w:w="2552" w:type="dxa"/>
            <w:tcBorders>
              <w:bottom w:val="single" w:sz="4" w:space="0" w:color="000000"/>
            </w:tcBorders>
            <w:shd w:val="clear" w:color="auto" w:fill="FFFFFF"/>
            <w:tcMar>
              <w:top w:w="0" w:type="dxa"/>
              <w:left w:w="28" w:type="dxa"/>
              <w:bottom w:w="0" w:type="dxa"/>
              <w:right w:w="28" w:type="dxa"/>
            </w:tcMar>
          </w:tcPr>
          <w:p w14:paraId="72A37259"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w:t>
            </w:r>
            <w:r w:rsidRPr="00883F61">
              <w:rPr>
                <w:rFonts w:ascii="標楷體" w:eastAsia="標楷體" w:hAnsi="標楷體" w:hint="eastAsia"/>
                <w:spacing w:val="-24"/>
                <w:kern w:val="2"/>
                <w:szCs w:val="24"/>
              </w:rPr>
              <w:t>院會(113.11.22)</w:t>
            </w:r>
            <w:r w:rsidRPr="001C252E">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366B23A"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0B991B35"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6A54DC5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4952F8C"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遺產及贈與稅法第十五條及第十七條之一條文修正草案</w:t>
            </w:r>
          </w:p>
        </w:tc>
        <w:tc>
          <w:tcPr>
            <w:tcW w:w="1559" w:type="dxa"/>
            <w:tcBorders>
              <w:top w:val="single" w:sz="4" w:space="0" w:color="000000"/>
            </w:tcBorders>
            <w:shd w:val="clear" w:color="auto" w:fill="auto"/>
            <w:tcMar>
              <w:top w:w="0" w:type="dxa"/>
              <w:left w:w="28" w:type="dxa"/>
              <w:bottom w:w="0" w:type="dxa"/>
              <w:right w:w="28" w:type="dxa"/>
            </w:tcMar>
          </w:tcPr>
          <w:p w14:paraId="7A4DEE10"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張智倫等17人</w:t>
            </w:r>
          </w:p>
        </w:tc>
        <w:tc>
          <w:tcPr>
            <w:tcW w:w="2552" w:type="dxa"/>
            <w:tcBorders>
              <w:top w:val="single" w:sz="4" w:space="0" w:color="000000"/>
            </w:tcBorders>
            <w:shd w:val="clear" w:color="auto" w:fill="FFFFFF"/>
            <w:tcMar>
              <w:top w:w="0" w:type="dxa"/>
              <w:left w:w="28" w:type="dxa"/>
              <w:bottom w:w="0" w:type="dxa"/>
              <w:right w:w="28" w:type="dxa"/>
            </w:tcMar>
          </w:tcPr>
          <w:p w14:paraId="1AB2E4B6"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第11屆第2會期第16次</w:t>
            </w:r>
            <w:r w:rsidRPr="00883F61">
              <w:rPr>
                <w:rFonts w:ascii="標楷體" w:eastAsia="標楷體" w:hAnsi="標楷體" w:hint="eastAsia"/>
                <w:spacing w:val="-24"/>
                <w:kern w:val="2"/>
                <w:szCs w:val="24"/>
              </w:rPr>
              <w:t>院會(114.1.3)</w:t>
            </w:r>
            <w:r w:rsidRPr="001A5414">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5BFCC832" w14:textId="77777777" w:rsidR="00C057F4" w:rsidRPr="001A5414"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C057F4" w:rsidRPr="00B95A07" w14:paraId="70B65069" w14:textId="77777777" w:rsidTr="000D2E36">
        <w:trPr>
          <w:jc w:val="center"/>
        </w:trPr>
        <w:tc>
          <w:tcPr>
            <w:tcW w:w="514" w:type="dxa"/>
            <w:shd w:val="clear" w:color="auto" w:fill="auto"/>
            <w:tcMar>
              <w:top w:w="0" w:type="dxa"/>
              <w:left w:w="28" w:type="dxa"/>
              <w:bottom w:w="0" w:type="dxa"/>
              <w:right w:w="28" w:type="dxa"/>
            </w:tcMar>
          </w:tcPr>
          <w:p w14:paraId="0BB5691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98D70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遺產及贈與稅法第十六條、第十六條之一及第二十條條文修正草案</w:t>
            </w:r>
          </w:p>
        </w:tc>
        <w:tc>
          <w:tcPr>
            <w:tcW w:w="1559" w:type="dxa"/>
            <w:shd w:val="clear" w:color="auto" w:fill="auto"/>
            <w:tcMar>
              <w:top w:w="0" w:type="dxa"/>
              <w:left w:w="28" w:type="dxa"/>
              <w:bottom w:w="0" w:type="dxa"/>
              <w:right w:w="28" w:type="dxa"/>
            </w:tcMar>
          </w:tcPr>
          <w:p w14:paraId="5233BD3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w:t>
            </w:r>
            <w:r>
              <w:rPr>
                <w:rFonts w:ascii="標楷體" w:eastAsia="標楷體" w:hAnsi="標楷體" w:hint="eastAsia"/>
                <w:kern w:val="2"/>
                <w:szCs w:val="24"/>
              </w:rPr>
              <w:t>4</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5EF197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60B090F7"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B5CCE7A"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D37AF94"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C5775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遺產及贈與稅法第十七條條文修正草案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24CBD9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w:t>
            </w:r>
            <w:r w:rsidRPr="00B95A07">
              <w:rPr>
                <w:rFonts w:ascii="標楷體" w:eastAsia="標楷體" w:hAnsi="標楷體"/>
                <w:color w:val="000000" w:themeColor="text1"/>
                <w:kern w:val="2"/>
                <w:szCs w:val="24"/>
              </w:rPr>
              <w:t>19人</w:t>
            </w:r>
          </w:p>
        </w:tc>
        <w:tc>
          <w:tcPr>
            <w:tcW w:w="2552" w:type="dxa"/>
            <w:tcBorders>
              <w:bottom w:val="single" w:sz="4" w:space="0" w:color="000000"/>
            </w:tcBorders>
            <w:shd w:val="clear" w:color="auto" w:fill="FFFFFF"/>
            <w:tcMar>
              <w:top w:w="0" w:type="dxa"/>
              <w:left w:w="28" w:type="dxa"/>
              <w:bottom w:w="0" w:type="dxa"/>
              <w:right w:w="28" w:type="dxa"/>
            </w:tcMar>
          </w:tcPr>
          <w:p w14:paraId="1512DD8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FC8F49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776591FB"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2269F4F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5E6742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遺產及贈與稅法第三十條及第四十一條條文修正草案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0501E0C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tcBorders>
              <w:bottom w:val="single" w:sz="12" w:space="0" w:color="000000"/>
            </w:tcBorders>
            <w:shd w:val="clear" w:color="auto" w:fill="FFFFFF"/>
            <w:tcMar>
              <w:top w:w="0" w:type="dxa"/>
              <w:left w:w="28" w:type="dxa"/>
              <w:bottom w:w="0" w:type="dxa"/>
              <w:right w:w="28" w:type="dxa"/>
            </w:tcMar>
          </w:tcPr>
          <w:p w14:paraId="3418A3A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304C3A4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D407260"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0E9E4D9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6A14243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貨物稅條例刪除部分條文草案</w:t>
            </w:r>
          </w:p>
        </w:tc>
        <w:tc>
          <w:tcPr>
            <w:tcW w:w="1559" w:type="dxa"/>
            <w:tcBorders>
              <w:top w:val="single" w:sz="12" w:space="0" w:color="000000"/>
            </w:tcBorders>
            <w:shd w:val="clear" w:color="auto" w:fill="auto"/>
            <w:tcMar>
              <w:top w:w="0" w:type="dxa"/>
              <w:left w:w="28" w:type="dxa"/>
              <w:bottom w:w="0" w:type="dxa"/>
              <w:right w:w="28" w:type="dxa"/>
            </w:tcMar>
          </w:tcPr>
          <w:p w14:paraId="21BE94A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葉元之等21人</w:t>
            </w:r>
          </w:p>
        </w:tc>
        <w:tc>
          <w:tcPr>
            <w:tcW w:w="2552" w:type="dxa"/>
            <w:tcBorders>
              <w:top w:val="single" w:sz="12" w:space="0" w:color="000000"/>
            </w:tcBorders>
            <w:shd w:val="clear" w:color="auto" w:fill="FFFFFF"/>
            <w:tcMar>
              <w:top w:w="0" w:type="dxa"/>
              <w:left w:w="28" w:type="dxa"/>
              <w:bottom w:w="0" w:type="dxa"/>
              <w:right w:w="28" w:type="dxa"/>
            </w:tcMar>
          </w:tcPr>
          <w:p w14:paraId="2759540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28F9ABC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CFB2785" w14:textId="77777777" w:rsidTr="00883F61">
        <w:trPr>
          <w:jc w:val="center"/>
        </w:trPr>
        <w:tc>
          <w:tcPr>
            <w:tcW w:w="514" w:type="dxa"/>
            <w:tcBorders>
              <w:bottom w:val="single" w:sz="4" w:space="0" w:color="000000"/>
            </w:tcBorders>
            <w:shd w:val="clear" w:color="auto" w:fill="auto"/>
            <w:tcMar>
              <w:top w:w="0" w:type="dxa"/>
              <w:left w:w="28" w:type="dxa"/>
              <w:bottom w:w="0" w:type="dxa"/>
              <w:right w:w="28" w:type="dxa"/>
            </w:tcMar>
          </w:tcPr>
          <w:p w14:paraId="7C70885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42C608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貨物稅條例刪除第八條條文草案</w:t>
            </w:r>
          </w:p>
        </w:tc>
        <w:tc>
          <w:tcPr>
            <w:tcW w:w="1559" w:type="dxa"/>
            <w:tcBorders>
              <w:bottom w:val="single" w:sz="4" w:space="0" w:color="000000"/>
            </w:tcBorders>
            <w:shd w:val="clear" w:color="auto" w:fill="auto"/>
            <w:tcMar>
              <w:top w:w="0" w:type="dxa"/>
              <w:left w:w="28" w:type="dxa"/>
              <w:bottom w:w="0" w:type="dxa"/>
              <w:right w:w="28" w:type="dxa"/>
            </w:tcMar>
          </w:tcPr>
          <w:p w14:paraId="358007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廖先翔等16人</w:t>
            </w:r>
          </w:p>
        </w:tc>
        <w:tc>
          <w:tcPr>
            <w:tcW w:w="2552" w:type="dxa"/>
            <w:tcBorders>
              <w:bottom w:val="single" w:sz="4" w:space="0" w:color="000000"/>
            </w:tcBorders>
            <w:shd w:val="clear" w:color="auto" w:fill="FFFFFF"/>
            <w:tcMar>
              <w:top w:w="0" w:type="dxa"/>
              <w:left w:w="28" w:type="dxa"/>
              <w:bottom w:w="0" w:type="dxa"/>
              <w:right w:w="28" w:type="dxa"/>
            </w:tcMar>
          </w:tcPr>
          <w:p w14:paraId="0BBC72E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791BC8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C49F7C8" w14:textId="77777777" w:rsidTr="00883F61">
        <w:trPr>
          <w:jc w:val="center"/>
        </w:trPr>
        <w:tc>
          <w:tcPr>
            <w:tcW w:w="514" w:type="dxa"/>
            <w:tcBorders>
              <w:bottom w:val="single" w:sz="4" w:space="0" w:color="000000"/>
            </w:tcBorders>
            <w:shd w:val="clear" w:color="auto" w:fill="auto"/>
            <w:tcMar>
              <w:top w:w="0" w:type="dxa"/>
              <w:left w:w="28" w:type="dxa"/>
              <w:bottom w:w="0" w:type="dxa"/>
              <w:right w:w="28" w:type="dxa"/>
            </w:tcMar>
          </w:tcPr>
          <w:p w14:paraId="1A27D8E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5BA0479" w14:textId="77777777" w:rsidR="00C057F4" w:rsidRPr="00BA058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貨物稅條例第十一條條文修正草案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C4A398C" w14:textId="77777777" w:rsidR="00C057F4" w:rsidRPr="00BA058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邱若華等20人</w:t>
            </w:r>
          </w:p>
        </w:tc>
        <w:tc>
          <w:tcPr>
            <w:tcW w:w="2552" w:type="dxa"/>
            <w:tcBorders>
              <w:bottom w:val="single" w:sz="4" w:space="0" w:color="000000"/>
            </w:tcBorders>
            <w:shd w:val="clear" w:color="auto" w:fill="FFFFFF"/>
            <w:tcMar>
              <w:top w:w="0" w:type="dxa"/>
              <w:left w:w="28" w:type="dxa"/>
              <w:bottom w:w="0" w:type="dxa"/>
              <w:right w:w="28" w:type="dxa"/>
            </w:tcMar>
          </w:tcPr>
          <w:p w14:paraId="568E9469" w14:textId="227C8C94" w:rsidR="00C057F4" w:rsidRPr="00BA058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第11屆第2會期第11次</w:t>
            </w:r>
            <w:r w:rsidRPr="00883F61">
              <w:rPr>
                <w:rFonts w:ascii="標楷體" w:eastAsia="標楷體" w:hAnsi="標楷體" w:hint="eastAsia"/>
                <w:spacing w:val="-24"/>
                <w:kern w:val="2"/>
                <w:szCs w:val="24"/>
              </w:rPr>
              <w:t>院會(113.11.29)</w:t>
            </w:r>
            <w:r w:rsidRPr="00BA0581">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6E07735" w14:textId="77777777" w:rsidR="00C057F4" w:rsidRPr="00BA0581"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A0581">
              <w:rPr>
                <w:rFonts w:ascii="標楷體" w:eastAsia="標楷體" w:hAnsi="標楷體" w:hint="eastAsia"/>
                <w:kern w:val="2"/>
                <w:szCs w:val="24"/>
              </w:rPr>
              <w:t>尚未審查</w:t>
            </w:r>
          </w:p>
        </w:tc>
      </w:tr>
      <w:tr w:rsidR="00C057F4" w:rsidRPr="00B95A07" w14:paraId="49FDC316" w14:textId="77777777" w:rsidTr="00883F61">
        <w:trPr>
          <w:jc w:val="center"/>
        </w:trPr>
        <w:tc>
          <w:tcPr>
            <w:tcW w:w="514" w:type="dxa"/>
            <w:tcBorders>
              <w:top w:val="single" w:sz="4" w:space="0" w:color="000000"/>
            </w:tcBorders>
            <w:shd w:val="clear" w:color="auto" w:fill="auto"/>
            <w:tcMar>
              <w:top w:w="0" w:type="dxa"/>
              <w:left w:w="28" w:type="dxa"/>
              <w:bottom w:w="0" w:type="dxa"/>
              <w:right w:w="28" w:type="dxa"/>
            </w:tcMar>
          </w:tcPr>
          <w:p w14:paraId="1CB3911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FD20C9A"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貨物稅條例第十一條之一條文修</w:t>
            </w:r>
            <w:r w:rsidRPr="003445C2">
              <w:rPr>
                <w:rFonts w:ascii="標楷體" w:eastAsia="標楷體" w:hAnsi="標楷體" w:hint="eastAsia"/>
                <w:kern w:val="2"/>
                <w:szCs w:val="24"/>
              </w:rPr>
              <w:lastRenderedPageBreak/>
              <w:t>正草案</w:t>
            </w:r>
          </w:p>
        </w:tc>
        <w:tc>
          <w:tcPr>
            <w:tcW w:w="1559" w:type="dxa"/>
            <w:tcBorders>
              <w:top w:val="single" w:sz="4" w:space="0" w:color="000000"/>
            </w:tcBorders>
            <w:shd w:val="clear" w:color="auto" w:fill="auto"/>
            <w:tcMar>
              <w:top w:w="0" w:type="dxa"/>
              <w:left w:w="28" w:type="dxa"/>
              <w:bottom w:w="0" w:type="dxa"/>
              <w:right w:w="28" w:type="dxa"/>
            </w:tcMar>
          </w:tcPr>
          <w:p w14:paraId="283A4358"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lastRenderedPageBreak/>
              <w:t>魯明哲等16人</w:t>
            </w:r>
          </w:p>
        </w:tc>
        <w:tc>
          <w:tcPr>
            <w:tcW w:w="2552" w:type="dxa"/>
            <w:tcBorders>
              <w:top w:val="single" w:sz="4" w:space="0" w:color="000000"/>
            </w:tcBorders>
            <w:shd w:val="clear" w:color="auto" w:fill="FFFFFF"/>
            <w:tcMar>
              <w:top w:w="0" w:type="dxa"/>
              <w:left w:w="28" w:type="dxa"/>
              <w:bottom w:w="0" w:type="dxa"/>
              <w:right w:w="28" w:type="dxa"/>
            </w:tcMar>
          </w:tcPr>
          <w:p w14:paraId="5E3640D0"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w:t>
            </w:r>
            <w:r w:rsidRPr="003445C2">
              <w:rPr>
                <w:rFonts w:ascii="標楷體" w:eastAsia="標楷體" w:hAnsi="標楷體" w:hint="eastAsia"/>
                <w:kern w:val="2"/>
                <w:szCs w:val="24"/>
              </w:rPr>
              <w:lastRenderedPageBreak/>
              <w:t>院會(113.11.8)決定：「交財政委員會審查」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62614E17"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lastRenderedPageBreak/>
              <w:t>尚未審查</w:t>
            </w:r>
          </w:p>
        </w:tc>
      </w:tr>
      <w:tr w:rsidR="00C057F4" w:rsidRPr="00B95A07" w14:paraId="25F002F0" w14:textId="77777777" w:rsidTr="000D2E36">
        <w:trPr>
          <w:jc w:val="center"/>
        </w:trPr>
        <w:tc>
          <w:tcPr>
            <w:tcW w:w="514" w:type="dxa"/>
            <w:shd w:val="clear" w:color="auto" w:fill="auto"/>
            <w:tcMar>
              <w:top w:w="0" w:type="dxa"/>
              <w:left w:w="28" w:type="dxa"/>
              <w:bottom w:w="0" w:type="dxa"/>
              <w:right w:w="28" w:type="dxa"/>
            </w:tcMar>
          </w:tcPr>
          <w:p w14:paraId="2732111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6C56622"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1DEBFF98"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鄭天財Sra Kacaw等19人</w:t>
            </w:r>
          </w:p>
        </w:tc>
        <w:tc>
          <w:tcPr>
            <w:tcW w:w="2552" w:type="dxa"/>
            <w:shd w:val="clear" w:color="auto" w:fill="FFFFFF"/>
            <w:tcMar>
              <w:top w:w="0" w:type="dxa"/>
              <w:left w:w="28" w:type="dxa"/>
              <w:bottom w:w="0" w:type="dxa"/>
              <w:right w:w="28" w:type="dxa"/>
            </w:tcMar>
          </w:tcPr>
          <w:p w14:paraId="01B92A83"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第11屆第1會期第7次院會(113.3.29)決定：「交財政委員會審查」</w:t>
            </w:r>
          </w:p>
        </w:tc>
        <w:tc>
          <w:tcPr>
            <w:tcW w:w="1984" w:type="dxa"/>
            <w:shd w:val="clear" w:color="auto" w:fill="auto"/>
            <w:tcMar>
              <w:top w:w="0" w:type="dxa"/>
              <w:left w:w="28" w:type="dxa"/>
              <w:bottom w:w="0" w:type="dxa"/>
              <w:right w:w="28" w:type="dxa"/>
            </w:tcMar>
            <w:vAlign w:val="center"/>
          </w:tcPr>
          <w:p w14:paraId="37A09139"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2E165D14" w14:textId="77777777" w:rsidTr="000D2E36">
        <w:trPr>
          <w:jc w:val="center"/>
        </w:trPr>
        <w:tc>
          <w:tcPr>
            <w:tcW w:w="514" w:type="dxa"/>
            <w:shd w:val="clear" w:color="auto" w:fill="auto"/>
            <w:tcMar>
              <w:top w:w="0" w:type="dxa"/>
              <w:left w:w="28" w:type="dxa"/>
              <w:bottom w:w="0" w:type="dxa"/>
              <w:right w:w="28" w:type="dxa"/>
            </w:tcMar>
          </w:tcPr>
          <w:p w14:paraId="03AD89C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38A7F6A"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6346D83A"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林思銘等19人</w:t>
            </w:r>
          </w:p>
        </w:tc>
        <w:tc>
          <w:tcPr>
            <w:tcW w:w="2552" w:type="dxa"/>
            <w:shd w:val="clear" w:color="auto" w:fill="FFFFFF"/>
            <w:tcMar>
              <w:top w:w="0" w:type="dxa"/>
              <w:left w:w="28" w:type="dxa"/>
              <w:bottom w:w="0" w:type="dxa"/>
              <w:right w:w="28" w:type="dxa"/>
            </w:tcMar>
          </w:tcPr>
          <w:p w14:paraId="2FE2174B"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第11屆第1會期第12次院會</w:t>
            </w:r>
            <w:r w:rsidRPr="00883F61">
              <w:rPr>
                <w:rFonts w:ascii="標楷體" w:eastAsia="標楷體" w:hAnsi="標楷體" w:hint="eastAsia"/>
                <w:spacing w:val="-20"/>
                <w:kern w:val="2"/>
                <w:szCs w:val="24"/>
              </w:rPr>
              <w:t>(113.5.3)</w:t>
            </w:r>
            <w:r w:rsidRPr="003445C2">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FA45325"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5A5859F8" w14:textId="77777777" w:rsidTr="000D2E36">
        <w:trPr>
          <w:jc w:val="center"/>
        </w:trPr>
        <w:tc>
          <w:tcPr>
            <w:tcW w:w="514" w:type="dxa"/>
            <w:shd w:val="clear" w:color="auto" w:fill="auto"/>
            <w:tcMar>
              <w:top w:w="0" w:type="dxa"/>
              <w:left w:w="28" w:type="dxa"/>
              <w:bottom w:w="0" w:type="dxa"/>
              <w:right w:w="28" w:type="dxa"/>
            </w:tcMar>
          </w:tcPr>
          <w:p w14:paraId="2AFD894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B894249"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kern w:val="2"/>
                <w:szCs w:val="24"/>
              </w:rPr>
              <w:t>貨物稅條例第十二條條文修正草案</w:t>
            </w:r>
          </w:p>
        </w:tc>
        <w:tc>
          <w:tcPr>
            <w:tcW w:w="1559" w:type="dxa"/>
            <w:shd w:val="clear" w:color="auto" w:fill="auto"/>
            <w:tcMar>
              <w:top w:w="0" w:type="dxa"/>
              <w:left w:w="28" w:type="dxa"/>
              <w:bottom w:w="0" w:type="dxa"/>
              <w:right w:w="28" w:type="dxa"/>
            </w:tcMar>
          </w:tcPr>
          <w:p w14:paraId="3BC0D944"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涂權吉等</w:t>
            </w:r>
            <w:r w:rsidRPr="003445C2">
              <w:rPr>
                <w:rFonts w:ascii="標楷體" w:eastAsia="標楷體" w:hAnsi="標楷體"/>
                <w:kern w:val="2"/>
                <w:szCs w:val="24"/>
              </w:rPr>
              <w:t>17人</w:t>
            </w:r>
          </w:p>
        </w:tc>
        <w:tc>
          <w:tcPr>
            <w:tcW w:w="2552" w:type="dxa"/>
            <w:shd w:val="clear" w:color="auto" w:fill="FFFFFF"/>
            <w:tcMar>
              <w:top w:w="0" w:type="dxa"/>
              <w:left w:w="28" w:type="dxa"/>
              <w:bottom w:w="0" w:type="dxa"/>
              <w:right w:w="28" w:type="dxa"/>
            </w:tcMar>
          </w:tcPr>
          <w:p w14:paraId="705BCB02" w14:textId="7F1EFD1F"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第11屆第1會期第13次院會</w:t>
            </w:r>
            <w:r w:rsidRPr="00883F61">
              <w:rPr>
                <w:rFonts w:ascii="標楷體" w:eastAsia="標楷體" w:hAnsi="標楷體" w:hint="eastAsia"/>
                <w:spacing w:val="-20"/>
                <w:kern w:val="2"/>
                <w:szCs w:val="24"/>
              </w:rPr>
              <w:t>(113.5.10)</w:t>
            </w:r>
            <w:r w:rsidRPr="003445C2">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C880C9B"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1554AE64"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A8059C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9003912"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89A6054"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陳玉珍等19人</w:t>
            </w:r>
          </w:p>
        </w:tc>
        <w:tc>
          <w:tcPr>
            <w:tcW w:w="2552" w:type="dxa"/>
            <w:tcBorders>
              <w:bottom w:val="single" w:sz="4" w:space="0" w:color="000000"/>
            </w:tcBorders>
            <w:shd w:val="clear" w:color="auto" w:fill="FFFFFF"/>
            <w:tcMar>
              <w:top w:w="0" w:type="dxa"/>
              <w:left w:w="28" w:type="dxa"/>
              <w:bottom w:w="0" w:type="dxa"/>
              <w:right w:w="28" w:type="dxa"/>
            </w:tcMar>
          </w:tcPr>
          <w:p w14:paraId="756E227F"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D2E53E1"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0C3B89E6"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CB2E90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6A27BF3"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279DAFD" w14:textId="7CF07A5E"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馬文君等1</w:t>
            </w:r>
            <w:r>
              <w:rPr>
                <w:rFonts w:ascii="標楷體" w:eastAsia="標楷體" w:hAnsi="標楷體" w:hint="eastAsia"/>
                <w:kern w:val="2"/>
                <w:szCs w:val="24"/>
              </w:rPr>
              <w:t>8</w:t>
            </w:r>
            <w:r w:rsidRPr="003445C2">
              <w:rPr>
                <w:rFonts w:ascii="標楷體" w:eastAsia="標楷體" w:hAnsi="標楷體" w:hint="eastAsia"/>
                <w:kern w:val="2"/>
                <w:szCs w:val="24"/>
              </w:rPr>
              <w:t>人</w:t>
            </w:r>
          </w:p>
        </w:tc>
        <w:tc>
          <w:tcPr>
            <w:tcW w:w="2552" w:type="dxa"/>
            <w:tcBorders>
              <w:bottom w:val="single" w:sz="4" w:space="0" w:color="000000"/>
            </w:tcBorders>
            <w:shd w:val="clear" w:color="auto" w:fill="FFFFFF"/>
            <w:tcMar>
              <w:top w:w="0" w:type="dxa"/>
              <w:left w:w="28" w:type="dxa"/>
              <w:bottom w:w="0" w:type="dxa"/>
              <w:right w:w="28" w:type="dxa"/>
            </w:tcMar>
          </w:tcPr>
          <w:p w14:paraId="57D30136" w14:textId="77777777" w:rsidR="00C057F4" w:rsidRPr="003445C2" w:rsidRDefault="00C057F4" w:rsidP="00C057F4">
            <w:pPr>
              <w:widowControl w:val="0"/>
              <w:overflowPunct w:val="0"/>
              <w:autoSpaceDN/>
              <w:spacing w:line="32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第11屆第2會期第8次院會(113.11.8)決定：「交財政委員會審查」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4E264A2" w14:textId="77777777" w:rsidR="00C057F4" w:rsidRPr="003445C2" w:rsidRDefault="00C057F4" w:rsidP="00C057F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尚未審查</w:t>
            </w:r>
          </w:p>
        </w:tc>
      </w:tr>
      <w:tr w:rsidR="00C057F4" w:rsidRPr="00B95A07" w14:paraId="6856A93D"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6325F75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428FE7E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tcBorders>
              <w:top w:val="single" w:sz="4" w:space="0" w:color="000000"/>
            </w:tcBorders>
            <w:shd w:val="clear" w:color="auto" w:fill="auto"/>
            <w:tcMar>
              <w:top w:w="0" w:type="dxa"/>
              <w:left w:w="28" w:type="dxa"/>
              <w:bottom w:w="0" w:type="dxa"/>
              <w:right w:w="28" w:type="dxa"/>
            </w:tcMar>
          </w:tcPr>
          <w:p w14:paraId="25C07471"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王世堅等19人</w:t>
            </w:r>
          </w:p>
        </w:tc>
        <w:tc>
          <w:tcPr>
            <w:tcW w:w="2552" w:type="dxa"/>
            <w:tcBorders>
              <w:top w:val="single" w:sz="4" w:space="0" w:color="000000"/>
            </w:tcBorders>
            <w:shd w:val="clear" w:color="auto" w:fill="FFFFFF"/>
            <w:tcMar>
              <w:top w:w="0" w:type="dxa"/>
              <w:left w:w="28" w:type="dxa"/>
              <w:bottom w:w="0" w:type="dxa"/>
              <w:right w:w="28" w:type="dxa"/>
            </w:tcMar>
          </w:tcPr>
          <w:p w14:paraId="633FDFA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2472EF65"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68283DAC" w14:textId="77777777" w:rsidTr="000D2E36">
        <w:trPr>
          <w:jc w:val="center"/>
        </w:trPr>
        <w:tc>
          <w:tcPr>
            <w:tcW w:w="514" w:type="dxa"/>
            <w:shd w:val="clear" w:color="auto" w:fill="auto"/>
            <w:tcMar>
              <w:top w:w="0" w:type="dxa"/>
              <w:left w:w="28" w:type="dxa"/>
              <w:bottom w:w="0" w:type="dxa"/>
              <w:right w:w="28" w:type="dxa"/>
            </w:tcMar>
          </w:tcPr>
          <w:p w14:paraId="5FA7882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91F8887"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09C571A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張智倫等25人</w:t>
            </w:r>
          </w:p>
        </w:tc>
        <w:tc>
          <w:tcPr>
            <w:tcW w:w="2552" w:type="dxa"/>
            <w:shd w:val="clear" w:color="auto" w:fill="FFFFFF"/>
            <w:tcMar>
              <w:top w:w="0" w:type="dxa"/>
              <w:left w:w="28" w:type="dxa"/>
              <w:bottom w:w="0" w:type="dxa"/>
              <w:right w:w="28" w:type="dxa"/>
            </w:tcMar>
          </w:tcPr>
          <w:p w14:paraId="76A58F2B"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487268B8"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0A7FC014" w14:textId="77777777" w:rsidTr="000D2E36">
        <w:trPr>
          <w:jc w:val="center"/>
        </w:trPr>
        <w:tc>
          <w:tcPr>
            <w:tcW w:w="514" w:type="dxa"/>
            <w:shd w:val="clear" w:color="auto" w:fill="auto"/>
            <w:tcMar>
              <w:top w:w="0" w:type="dxa"/>
              <w:left w:w="28" w:type="dxa"/>
              <w:bottom w:w="0" w:type="dxa"/>
              <w:right w:w="28" w:type="dxa"/>
            </w:tcMar>
          </w:tcPr>
          <w:p w14:paraId="6AD2DFB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6DDC02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7421936C"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魯明哲等16人</w:t>
            </w:r>
          </w:p>
        </w:tc>
        <w:tc>
          <w:tcPr>
            <w:tcW w:w="2552" w:type="dxa"/>
            <w:shd w:val="clear" w:color="auto" w:fill="FFFFFF"/>
            <w:tcMar>
              <w:top w:w="0" w:type="dxa"/>
              <w:left w:w="28" w:type="dxa"/>
              <w:bottom w:w="0" w:type="dxa"/>
              <w:right w:w="28" w:type="dxa"/>
            </w:tcMar>
          </w:tcPr>
          <w:p w14:paraId="47218EB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D6D05AD"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2174F180" w14:textId="77777777" w:rsidTr="000D2E36">
        <w:trPr>
          <w:jc w:val="center"/>
        </w:trPr>
        <w:tc>
          <w:tcPr>
            <w:tcW w:w="514" w:type="dxa"/>
            <w:shd w:val="clear" w:color="auto" w:fill="auto"/>
            <w:tcMar>
              <w:top w:w="0" w:type="dxa"/>
              <w:left w:w="28" w:type="dxa"/>
              <w:bottom w:w="0" w:type="dxa"/>
              <w:right w:w="28" w:type="dxa"/>
            </w:tcMar>
          </w:tcPr>
          <w:p w14:paraId="61F867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19648E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4D76631C"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王鴻薇等19人</w:t>
            </w:r>
          </w:p>
        </w:tc>
        <w:tc>
          <w:tcPr>
            <w:tcW w:w="2552" w:type="dxa"/>
            <w:shd w:val="clear" w:color="auto" w:fill="FFFFFF"/>
            <w:tcMar>
              <w:top w:w="0" w:type="dxa"/>
              <w:left w:w="28" w:type="dxa"/>
              <w:bottom w:w="0" w:type="dxa"/>
              <w:right w:w="28" w:type="dxa"/>
            </w:tcMar>
          </w:tcPr>
          <w:p w14:paraId="51C509AE"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3F6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F113041"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6D31564" w14:textId="77777777" w:rsidTr="000D2E36">
        <w:trPr>
          <w:jc w:val="center"/>
        </w:trPr>
        <w:tc>
          <w:tcPr>
            <w:tcW w:w="514" w:type="dxa"/>
            <w:shd w:val="clear" w:color="auto" w:fill="auto"/>
            <w:tcMar>
              <w:top w:w="0" w:type="dxa"/>
              <w:left w:w="28" w:type="dxa"/>
              <w:bottom w:w="0" w:type="dxa"/>
              <w:right w:w="28" w:type="dxa"/>
            </w:tcMar>
          </w:tcPr>
          <w:p w14:paraId="1E6184B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E2CD8FD"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398D357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楊瓊瓔等20人</w:t>
            </w:r>
          </w:p>
        </w:tc>
        <w:tc>
          <w:tcPr>
            <w:tcW w:w="2552" w:type="dxa"/>
            <w:shd w:val="clear" w:color="auto" w:fill="FFFFFF"/>
            <w:tcMar>
              <w:top w:w="0" w:type="dxa"/>
              <w:left w:w="28" w:type="dxa"/>
              <w:bottom w:w="0" w:type="dxa"/>
              <w:right w:w="28" w:type="dxa"/>
            </w:tcMar>
          </w:tcPr>
          <w:p w14:paraId="7948914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880666">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FFA77CE"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4ACB43EC" w14:textId="77777777" w:rsidTr="000D2E36">
        <w:trPr>
          <w:jc w:val="center"/>
        </w:trPr>
        <w:tc>
          <w:tcPr>
            <w:tcW w:w="514" w:type="dxa"/>
            <w:shd w:val="clear" w:color="auto" w:fill="auto"/>
            <w:tcMar>
              <w:top w:w="0" w:type="dxa"/>
              <w:left w:w="28" w:type="dxa"/>
              <w:bottom w:w="0" w:type="dxa"/>
              <w:right w:w="28" w:type="dxa"/>
            </w:tcMar>
          </w:tcPr>
          <w:p w14:paraId="1AE88B6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6389B7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貨物稅條例第十二條條文修正草案</w:t>
            </w:r>
          </w:p>
        </w:tc>
        <w:tc>
          <w:tcPr>
            <w:tcW w:w="1559" w:type="dxa"/>
            <w:shd w:val="clear" w:color="auto" w:fill="auto"/>
            <w:tcMar>
              <w:top w:w="0" w:type="dxa"/>
              <w:left w:w="28" w:type="dxa"/>
              <w:bottom w:w="0" w:type="dxa"/>
              <w:right w:w="28" w:type="dxa"/>
            </w:tcMar>
          </w:tcPr>
          <w:p w14:paraId="24B06AFD" w14:textId="04B2A01D"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邱鎮軍等2</w:t>
            </w:r>
            <w:r>
              <w:rPr>
                <w:rFonts w:ascii="標楷體" w:eastAsia="標楷體" w:hAnsi="標楷體" w:hint="eastAsia"/>
                <w:kern w:val="2"/>
                <w:szCs w:val="24"/>
              </w:rPr>
              <w:t>4</w:t>
            </w:r>
            <w:r w:rsidRPr="001C252E">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1F052814"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w:t>
            </w:r>
            <w:r w:rsidRPr="00880666">
              <w:rPr>
                <w:rFonts w:ascii="標楷體" w:eastAsia="標楷體" w:hAnsi="標楷體" w:hint="eastAsia"/>
                <w:spacing w:val="-20"/>
                <w:kern w:val="2"/>
                <w:szCs w:val="24"/>
              </w:rPr>
              <w:t>(113.11.22)</w:t>
            </w:r>
            <w:r w:rsidRPr="001C252E">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23DF5BA3"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368E7A7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2F988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9E55A5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貨物稅條例第十二條條文修正草案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EC708E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萬美玲等18人</w:t>
            </w:r>
          </w:p>
        </w:tc>
        <w:tc>
          <w:tcPr>
            <w:tcW w:w="2552" w:type="dxa"/>
            <w:tcBorders>
              <w:bottom w:val="single" w:sz="4" w:space="0" w:color="000000"/>
            </w:tcBorders>
            <w:shd w:val="clear" w:color="auto" w:fill="FFFFFF"/>
            <w:tcMar>
              <w:top w:w="0" w:type="dxa"/>
              <w:left w:w="28" w:type="dxa"/>
              <w:bottom w:w="0" w:type="dxa"/>
              <w:right w:w="28" w:type="dxa"/>
            </w:tcMar>
          </w:tcPr>
          <w:p w14:paraId="54AC7AB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7EC127F"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52FD9178"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12FBEE8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5FABB0F"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貨物稅條例第十二條條文修正草案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5EE71E9E"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廖偉翔等17人</w:t>
            </w:r>
          </w:p>
        </w:tc>
        <w:tc>
          <w:tcPr>
            <w:tcW w:w="2552" w:type="dxa"/>
            <w:tcBorders>
              <w:bottom w:val="single" w:sz="12" w:space="0" w:color="000000"/>
            </w:tcBorders>
            <w:shd w:val="clear" w:color="auto" w:fill="FFFFFF"/>
            <w:tcMar>
              <w:top w:w="0" w:type="dxa"/>
              <w:left w:w="28" w:type="dxa"/>
              <w:bottom w:w="0" w:type="dxa"/>
              <w:right w:w="28" w:type="dxa"/>
            </w:tcMar>
          </w:tcPr>
          <w:p w14:paraId="638E6A04"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r w:rsidRPr="00111A8D">
              <w:rPr>
                <w:rFonts w:ascii="標楷體" w:eastAsia="標楷體" w:hAnsi="標楷體" w:hint="eastAsia"/>
                <w:kern w:val="2"/>
                <w:szCs w:val="24"/>
              </w:rPr>
              <w:tab/>
            </w:r>
          </w:p>
        </w:tc>
        <w:tc>
          <w:tcPr>
            <w:tcW w:w="1984" w:type="dxa"/>
            <w:tcBorders>
              <w:bottom w:val="single" w:sz="12" w:space="0" w:color="000000"/>
            </w:tcBorders>
            <w:shd w:val="clear" w:color="auto" w:fill="auto"/>
            <w:tcMar>
              <w:top w:w="0" w:type="dxa"/>
              <w:left w:w="28" w:type="dxa"/>
              <w:bottom w:w="0" w:type="dxa"/>
              <w:right w:w="28" w:type="dxa"/>
            </w:tcMar>
            <w:vAlign w:val="center"/>
          </w:tcPr>
          <w:p w14:paraId="6985F464"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C057F4" w:rsidRPr="00B95A07" w14:paraId="7C63567A" w14:textId="77777777" w:rsidTr="000D2E36">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64C28D1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16AADBA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菸酒管理法第三十二條條文修正草案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3B8A580"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魯明哲等16人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DB1FC8F"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4032EAB7"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4BD46CD0" w14:textId="77777777" w:rsidTr="000D2E36">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09F98B0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45570CAB"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證券交易稅條例第二條之二及第十二條條文修正草案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78DCB65"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許宇甄等31人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5C0C246"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CA072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5EE9D670"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356C3EC3" w14:textId="77777777" w:rsidTr="000D2E36">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2F5F578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77ACD7F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CE4F77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鍾佳濱等18人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36F7666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4C2152A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CF3F0D4"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4B088D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37F982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60FD9C8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鍾佳濱等23人</w:t>
            </w:r>
          </w:p>
        </w:tc>
        <w:tc>
          <w:tcPr>
            <w:tcW w:w="2552" w:type="dxa"/>
            <w:tcBorders>
              <w:bottom w:val="single" w:sz="4" w:space="0" w:color="000000"/>
            </w:tcBorders>
            <w:shd w:val="clear" w:color="auto" w:fill="FFFFFF"/>
            <w:tcMar>
              <w:top w:w="0" w:type="dxa"/>
              <w:left w:w="28" w:type="dxa"/>
              <w:bottom w:w="0" w:type="dxa"/>
              <w:right w:w="28" w:type="dxa"/>
            </w:tcMar>
          </w:tcPr>
          <w:p w14:paraId="7C6C0C3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CA0721">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81D73E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E69D74C"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356AF0A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629EDF0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加值型及非加值型營業稅法第八條條文修正草案</w:t>
            </w:r>
          </w:p>
        </w:tc>
        <w:tc>
          <w:tcPr>
            <w:tcW w:w="1559" w:type="dxa"/>
            <w:tcBorders>
              <w:top w:val="single" w:sz="4" w:space="0" w:color="000000"/>
            </w:tcBorders>
            <w:shd w:val="clear" w:color="auto" w:fill="auto"/>
            <w:tcMar>
              <w:top w:w="0" w:type="dxa"/>
              <w:left w:w="28" w:type="dxa"/>
              <w:bottom w:w="0" w:type="dxa"/>
              <w:right w:w="28" w:type="dxa"/>
            </w:tcMar>
          </w:tcPr>
          <w:p w14:paraId="03DFF24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陳超明等18人</w:t>
            </w:r>
          </w:p>
        </w:tc>
        <w:tc>
          <w:tcPr>
            <w:tcW w:w="2552" w:type="dxa"/>
            <w:tcBorders>
              <w:top w:val="single" w:sz="4" w:space="0" w:color="000000"/>
            </w:tcBorders>
            <w:shd w:val="clear" w:color="auto" w:fill="FFFFFF"/>
            <w:tcMar>
              <w:top w:w="0" w:type="dxa"/>
              <w:left w:w="28" w:type="dxa"/>
              <w:bottom w:w="0" w:type="dxa"/>
              <w:right w:w="28" w:type="dxa"/>
            </w:tcMar>
          </w:tcPr>
          <w:p w14:paraId="415D7D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t>次院會</w:t>
            </w:r>
            <w:r w:rsidRPr="00CA0721">
              <w:rPr>
                <w:rFonts w:ascii="標楷體" w:eastAsia="標楷體" w:hAnsi="標楷體" w:hint="eastAsia"/>
                <w:spacing w:val="-20"/>
                <w:kern w:val="2"/>
                <w:szCs w:val="24"/>
              </w:rPr>
              <w:t>(113.</w:t>
            </w:r>
            <w:r w:rsidRPr="00CA0721">
              <w:rPr>
                <w:rFonts w:ascii="標楷體" w:eastAsia="標楷體" w:hAnsi="標楷體"/>
                <w:spacing w:val="-20"/>
                <w:kern w:val="2"/>
                <w:szCs w:val="24"/>
              </w:rPr>
              <w:t>6</w:t>
            </w:r>
            <w:r w:rsidRPr="00CA0721">
              <w:rPr>
                <w:rFonts w:ascii="標楷體" w:eastAsia="標楷體" w:hAnsi="標楷體" w:hint="eastAsia"/>
                <w:spacing w:val="-20"/>
                <w:kern w:val="2"/>
                <w:szCs w:val="24"/>
              </w:rPr>
              <w:t>.</w:t>
            </w:r>
            <w:r w:rsidRPr="00CA0721">
              <w:rPr>
                <w:rFonts w:ascii="標楷體" w:eastAsia="標楷體" w:hAnsi="標楷體"/>
                <w:spacing w:val="-20"/>
                <w:kern w:val="2"/>
                <w:szCs w:val="24"/>
              </w:rPr>
              <w:t>14</w:t>
            </w:r>
            <w:r w:rsidRPr="00CA072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3A95585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75AFE1A"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D75371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4CFDEF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加值型及非加值型營業稅法第八條條文修正草案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5AAD4D3"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邱志偉等16人</w:t>
            </w:r>
          </w:p>
        </w:tc>
        <w:tc>
          <w:tcPr>
            <w:tcW w:w="2552" w:type="dxa"/>
            <w:tcBorders>
              <w:bottom w:val="single" w:sz="4" w:space="0" w:color="000000"/>
            </w:tcBorders>
            <w:shd w:val="clear" w:color="auto" w:fill="FFFFFF"/>
            <w:tcMar>
              <w:top w:w="0" w:type="dxa"/>
              <w:left w:w="28" w:type="dxa"/>
              <w:bottom w:w="0" w:type="dxa"/>
              <w:right w:w="28" w:type="dxa"/>
            </w:tcMar>
          </w:tcPr>
          <w:p w14:paraId="55B3639D"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CA0721">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E016A61"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3996AAFE"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78D316B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51C550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kern w:val="2"/>
                <w:szCs w:val="24"/>
              </w:rPr>
              <w:t>加值型及非加值型營業稅法第十三條條文修正草案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3AF7F8CA"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w:t>
            </w:r>
            <w:r w:rsidRPr="009C72AA">
              <w:rPr>
                <w:rFonts w:ascii="標楷體" w:eastAsia="標楷體" w:hAnsi="標楷體"/>
                <w:kern w:val="2"/>
                <w:szCs w:val="24"/>
              </w:rPr>
              <w:t>25人</w:t>
            </w:r>
          </w:p>
        </w:tc>
        <w:tc>
          <w:tcPr>
            <w:tcW w:w="2552" w:type="dxa"/>
            <w:tcBorders>
              <w:bottom w:val="single" w:sz="12" w:space="0" w:color="000000"/>
            </w:tcBorders>
            <w:shd w:val="clear" w:color="auto" w:fill="FFFFFF"/>
            <w:tcMar>
              <w:top w:w="0" w:type="dxa"/>
              <w:left w:w="28" w:type="dxa"/>
              <w:bottom w:w="0" w:type="dxa"/>
              <w:right w:w="28" w:type="dxa"/>
            </w:tcMar>
          </w:tcPr>
          <w:p w14:paraId="56103D24"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w:t>
            </w:r>
            <w:r w:rsidRPr="009C72AA">
              <w:rPr>
                <w:rFonts w:ascii="標楷體" w:eastAsia="標楷體" w:hAnsi="標楷體"/>
                <w:kern w:val="2"/>
                <w:szCs w:val="24"/>
              </w:rPr>
              <w:t>2</w:t>
            </w:r>
            <w:r w:rsidRPr="009C72AA">
              <w:rPr>
                <w:rFonts w:ascii="標楷體" w:eastAsia="標楷體" w:hAnsi="標楷體" w:hint="eastAsia"/>
                <w:kern w:val="2"/>
                <w:szCs w:val="24"/>
              </w:rPr>
              <w:t>會期第</w:t>
            </w:r>
            <w:r w:rsidRPr="009C72AA">
              <w:rPr>
                <w:rFonts w:ascii="標楷體" w:eastAsia="標楷體" w:hAnsi="標楷體"/>
                <w:kern w:val="2"/>
                <w:szCs w:val="24"/>
              </w:rPr>
              <w:t>2</w:t>
            </w:r>
            <w:r w:rsidRPr="009C72AA">
              <w:rPr>
                <w:rFonts w:ascii="標楷體" w:eastAsia="標楷體" w:hAnsi="標楷體" w:hint="eastAsia"/>
                <w:kern w:val="2"/>
                <w:szCs w:val="24"/>
              </w:rPr>
              <w:t>次院會(113.</w:t>
            </w:r>
            <w:r w:rsidRPr="009C72AA">
              <w:rPr>
                <w:rFonts w:ascii="標楷體" w:eastAsia="標楷體" w:hAnsi="標楷體"/>
                <w:kern w:val="2"/>
                <w:szCs w:val="24"/>
              </w:rPr>
              <w:t>9</w:t>
            </w:r>
            <w:r w:rsidRPr="009C72AA">
              <w:rPr>
                <w:rFonts w:ascii="標楷體" w:eastAsia="標楷體" w:hAnsi="標楷體" w:hint="eastAsia"/>
                <w:kern w:val="2"/>
                <w:szCs w:val="24"/>
              </w:rPr>
              <w:t>.</w:t>
            </w:r>
            <w:r w:rsidRPr="009C72AA">
              <w:rPr>
                <w:rFonts w:ascii="標楷體" w:eastAsia="標楷體" w:hAnsi="標楷體"/>
                <w:kern w:val="2"/>
                <w:szCs w:val="24"/>
              </w:rPr>
              <w:t>27</w:t>
            </w:r>
            <w:r w:rsidRPr="009C72AA">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48066D29"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5B51814D"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642A97B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510BC9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12" w:space="0" w:color="000000"/>
            </w:tcBorders>
            <w:shd w:val="clear" w:color="auto" w:fill="auto"/>
            <w:tcMar>
              <w:top w:w="0" w:type="dxa"/>
              <w:left w:w="28" w:type="dxa"/>
              <w:bottom w:w="0" w:type="dxa"/>
              <w:right w:w="28" w:type="dxa"/>
            </w:tcMar>
          </w:tcPr>
          <w:p w14:paraId="4C3996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黃捷等19人</w:t>
            </w:r>
          </w:p>
        </w:tc>
        <w:tc>
          <w:tcPr>
            <w:tcW w:w="2552" w:type="dxa"/>
            <w:tcBorders>
              <w:top w:val="single" w:sz="12" w:space="0" w:color="000000"/>
            </w:tcBorders>
            <w:shd w:val="clear" w:color="auto" w:fill="FFFFFF"/>
            <w:tcMar>
              <w:top w:w="0" w:type="dxa"/>
              <w:left w:w="28" w:type="dxa"/>
              <w:bottom w:w="0" w:type="dxa"/>
              <w:right w:w="28" w:type="dxa"/>
            </w:tcMar>
          </w:tcPr>
          <w:p w14:paraId="584B090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51A5A90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869A44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0DA3D1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F6583B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4" w:space="0" w:color="000000"/>
            </w:tcBorders>
            <w:shd w:val="clear" w:color="auto" w:fill="auto"/>
            <w:tcMar>
              <w:top w:w="0" w:type="dxa"/>
              <w:left w:w="28" w:type="dxa"/>
              <w:bottom w:w="0" w:type="dxa"/>
              <w:right w:w="28" w:type="dxa"/>
            </w:tcMar>
          </w:tcPr>
          <w:p w14:paraId="647A51A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000000"/>
            </w:tcBorders>
            <w:shd w:val="clear" w:color="auto" w:fill="FFFFFF"/>
            <w:tcMar>
              <w:top w:w="0" w:type="dxa"/>
              <w:left w:w="28" w:type="dxa"/>
              <w:bottom w:w="0" w:type="dxa"/>
              <w:right w:w="28" w:type="dxa"/>
            </w:tcMar>
          </w:tcPr>
          <w:p w14:paraId="439B558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92CD81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B223F8C"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57CED4D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4C7E85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bottom w:val="single" w:sz="12" w:space="0" w:color="000000"/>
            </w:tcBorders>
            <w:shd w:val="clear" w:color="auto" w:fill="auto"/>
            <w:tcMar>
              <w:top w:w="0" w:type="dxa"/>
              <w:left w:w="28" w:type="dxa"/>
              <w:bottom w:w="0" w:type="dxa"/>
              <w:right w:w="28" w:type="dxa"/>
            </w:tcMar>
          </w:tcPr>
          <w:p w14:paraId="7428255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w:t>
            </w:r>
            <w:r>
              <w:rPr>
                <w:rFonts w:ascii="標楷體" w:eastAsia="標楷體" w:hAnsi="標楷體" w:hint="eastAsia"/>
                <w:kern w:val="2"/>
                <w:szCs w:val="24"/>
              </w:rPr>
              <w:t>9</w:t>
            </w:r>
            <w:r w:rsidRPr="00B95A07">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432D8A7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4525EDD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412446E"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4BECD40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578EAED0"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使用牌照稅法部分條文修正草案</w:t>
            </w:r>
          </w:p>
        </w:tc>
        <w:tc>
          <w:tcPr>
            <w:tcW w:w="1559" w:type="dxa"/>
            <w:tcBorders>
              <w:top w:val="single" w:sz="12" w:space="0" w:color="000000"/>
            </w:tcBorders>
            <w:shd w:val="clear" w:color="auto" w:fill="auto"/>
            <w:tcMar>
              <w:top w:w="0" w:type="dxa"/>
              <w:left w:w="28" w:type="dxa"/>
              <w:bottom w:w="0" w:type="dxa"/>
              <w:right w:w="28" w:type="dxa"/>
            </w:tcMar>
          </w:tcPr>
          <w:p w14:paraId="17D54A17"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徐巧芯等27人</w:t>
            </w:r>
          </w:p>
        </w:tc>
        <w:tc>
          <w:tcPr>
            <w:tcW w:w="2552" w:type="dxa"/>
            <w:tcBorders>
              <w:top w:val="single" w:sz="12" w:space="0" w:color="000000"/>
            </w:tcBorders>
            <w:shd w:val="clear" w:color="auto" w:fill="FFFFFF"/>
            <w:tcMar>
              <w:top w:w="0" w:type="dxa"/>
              <w:left w:w="28" w:type="dxa"/>
              <w:bottom w:w="0" w:type="dxa"/>
              <w:right w:w="28" w:type="dxa"/>
            </w:tcMar>
          </w:tcPr>
          <w:p w14:paraId="6C8816B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CA072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3BDD4E51"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658EAB2C"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3BD802F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8F73AE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使用牌照稅法第七條條文修正草案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F9BF3C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牛煦庭等17人</w:t>
            </w:r>
          </w:p>
        </w:tc>
        <w:tc>
          <w:tcPr>
            <w:tcW w:w="2552" w:type="dxa"/>
            <w:tcBorders>
              <w:bottom w:val="single" w:sz="4" w:space="0" w:color="000000"/>
            </w:tcBorders>
            <w:shd w:val="clear" w:color="auto" w:fill="FFFFFF"/>
            <w:tcMar>
              <w:top w:w="0" w:type="dxa"/>
              <w:left w:w="28" w:type="dxa"/>
              <w:bottom w:w="0" w:type="dxa"/>
              <w:right w:w="28" w:type="dxa"/>
            </w:tcMar>
          </w:tcPr>
          <w:p w14:paraId="4CE4122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第11屆第1會期第4次院會(113.3.8)決定：「交財政委員會審查」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64993B8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62F1F3CA" w14:textId="77777777" w:rsidTr="000D2E36">
        <w:trPr>
          <w:jc w:val="center"/>
        </w:trPr>
        <w:tc>
          <w:tcPr>
            <w:tcW w:w="514" w:type="dxa"/>
            <w:tcBorders>
              <w:bottom w:val="single" w:sz="12" w:space="0" w:color="000000"/>
            </w:tcBorders>
            <w:shd w:val="clear" w:color="auto" w:fill="auto"/>
            <w:tcMar>
              <w:top w:w="0" w:type="dxa"/>
              <w:left w:w="28" w:type="dxa"/>
              <w:bottom w:w="0" w:type="dxa"/>
              <w:right w:w="28" w:type="dxa"/>
            </w:tcMar>
          </w:tcPr>
          <w:p w14:paraId="2D49A91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DE9166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使用牌照稅法第七條及第三十八條條文修正草案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720E0E1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廖偉翔等</w:t>
            </w:r>
            <w:r w:rsidRPr="00B95A07">
              <w:rPr>
                <w:rFonts w:ascii="標楷體" w:eastAsia="標楷體" w:hAnsi="標楷體"/>
                <w:color w:val="000000" w:themeColor="text1"/>
                <w:kern w:val="2"/>
                <w:szCs w:val="24"/>
              </w:rPr>
              <w:t>17人</w:t>
            </w:r>
          </w:p>
        </w:tc>
        <w:tc>
          <w:tcPr>
            <w:tcW w:w="2552" w:type="dxa"/>
            <w:tcBorders>
              <w:bottom w:val="single" w:sz="12" w:space="0" w:color="000000"/>
            </w:tcBorders>
            <w:shd w:val="clear" w:color="auto" w:fill="FFFFFF"/>
            <w:tcMar>
              <w:top w:w="0" w:type="dxa"/>
              <w:left w:w="28" w:type="dxa"/>
              <w:bottom w:w="0" w:type="dxa"/>
              <w:right w:w="28" w:type="dxa"/>
            </w:tcMar>
          </w:tcPr>
          <w:p w14:paraId="2040697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第11屆第1會期第10次院會</w:t>
            </w:r>
            <w:r w:rsidRPr="00CA0721">
              <w:rPr>
                <w:rFonts w:ascii="標楷體" w:eastAsia="標楷體" w:hAnsi="標楷體" w:hint="eastAsia"/>
                <w:color w:val="000000" w:themeColor="text1"/>
                <w:spacing w:val="-20"/>
                <w:kern w:val="2"/>
                <w:szCs w:val="24"/>
              </w:rPr>
              <w:t>(113.4.19)</w:t>
            </w:r>
            <w:r w:rsidRPr="00B95A07">
              <w:rPr>
                <w:rFonts w:ascii="標楷體" w:eastAsia="標楷體" w:hAnsi="標楷體" w:hint="eastAsia"/>
                <w:color w:val="000000" w:themeColor="text1"/>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21BE37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22687535" w14:textId="77777777" w:rsidTr="0040262B">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772288F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02EE2E6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土地稅法第六條條文修正草案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0675D20D"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牛煦庭等16人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107E08A"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563DF839"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090368F"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1C65253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F51298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土地稅法第九條條文修正草案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17B25677"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傅崐萁等</w:t>
            </w:r>
            <w:r w:rsidRPr="001C252E">
              <w:rPr>
                <w:rFonts w:ascii="標楷體" w:eastAsia="標楷體" w:hAnsi="標楷體"/>
                <w:kern w:val="2"/>
                <w:szCs w:val="24"/>
              </w:rPr>
              <w:t>17</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2FABDEFC"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F963586"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7D426506" w14:textId="77777777" w:rsidTr="0040262B">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678A06E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537CEF8"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90BCE05"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黃捷等19人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4EB6C10"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第11屆第1會期第7次院會(113.3.29)決定：「交財政委員會審查」</w:t>
            </w:r>
          </w:p>
        </w:tc>
        <w:tc>
          <w:tcPr>
            <w:tcW w:w="1984" w:type="dxa"/>
            <w:vMerge w:val="restart"/>
            <w:tcBorders>
              <w:top w:val="single" w:sz="12" w:space="0" w:color="000000"/>
              <w:bottom w:val="single" w:sz="4" w:space="0" w:color="000000"/>
            </w:tcBorders>
            <w:shd w:val="clear" w:color="auto" w:fill="auto"/>
            <w:tcMar>
              <w:top w:w="0" w:type="dxa"/>
              <w:left w:w="28" w:type="dxa"/>
              <w:bottom w:w="0" w:type="dxa"/>
              <w:right w:w="28" w:type="dxa"/>
            </w:tcMar>
            <w:vAlign w:val="center"/>
          </w:tcPr>
          <w:p w14:paraId="269D57EA" w14:textId="77777777" w:rsidR="00C057F4" w:rsidRPr="009C72AA" w:rsidRDefault="00C057F4" w:rsidP="00C057F4">
            <w:pPr>
              <w:widowControl w:val="0"/>
              <w:overflowPunct w:val="0"/>
              <w:spacing w:line="340" w:lineRule="exact"/>
              <w:jc w:val="both"/>
              <w:rPr>
                <w:rFonts w:ascii="標楷體" w:eastAsia="標楷體" w:hAnsi="標楷體"/>
                <w:kern w:val="2"/>
                <w:szCs w:val="24"/>
              </w:rPr>
            </w:pPr>
            <w:r w:rsidRPr="009C72AA">
              <w:rPr>
                <w:rFonts w:ascii="標楷體" w:eastAsia="標楷體" w:hAnsi="標楷體" w:hint="eastAsia"/>
                <w:kern w:val="2"/>
                <w:szCs w:val="24"/>
              </w:rPr>
              <w:t>第11屆第1會期第10次全體委員會議(113.4.22)審查，決議：另擇期繼續審查。</w:t>
            </w:r>
          </w:p>
        </w:tc>
      </w:tr>
      <w:tr w:rsidR="00C057F4" w:rsidRPr="00B95A07" w14:paraId="579AF6FD"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772AA02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394EAD25"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000000"/>
            </w:tcBorders>
            <w:shd w:val="clear" w:color="auto" w:fill="auto"/>
            <w:tcMar>
              <w:top w:w="0" w:type="dxa"/>
              <w:left w:w="28" w:type="dxa"/>
              <w:bottom w:w="0" w:type="dxa"/>
              <w:right w:w="28" w:type="dxa"/>
            </w:tcMar>
          </w:tcPr>
          <w:p w14:paraId="1A55281B"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羅明才等16人</w:t>
            </w:r>
          </w:p>
        </w:tc>
        <w:tc>
          <w:tcPr>
            <w:tcW w:w="2552" w:type="dxa"/>
            <w:tcBorders>
              <w:top w:val="single" w:sz="4" w:space="0" w:color="000000"/>
            </w:tcBorders>
            <w:shd w:val="clear" w:color="auto" w:fill="FFFFFF"/>
            <w:tcMar>
              <w:top w:w="0" w:type="dxa"/>
              <w:left w:w="28" w:type="dxa"/>
              <w:bottom w:w="0" w:type="dxa"/>
              <w:right w:w="28" w:type="dxa"/>
            </w:tcMar>
          </w:tcPr>
          <w:p w14:paraId="4FF0481C"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第11屆第1會期第9次院會(113.4.12)決定：「交財政委員會審查」</w:t>
            </w:r>
          </w:p>
        </w:tc>
        <w:tc>
          <w:tcPr>
            <w:tcW w:w="1984" w:type="dxa"/>
            <w:vMerge/>
            <w:tcBorders>
              <w:top w:val="single" w:sz="4" w:space="0" w:color="000000"/>
            </w:tcBorders>
            <w:shd w:val="clear" w:color="auto" w:fill="auto"/>
            <w:tcMar>
              <w:top w:w="0" w:type="dxa"/>
              <w:left w:w="28" w:type="dxa"/>
              <w:bottom w:w="0" w:type="dxa"/>
              <w:right w:w="28" w:type="dxa"/>
            </w:tcMar>
            <w:vAlign w:val="center"/>
          </w:tcPr>
          <w:p w14:paraId="500B2BC5"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224A7142" w14:textId="77777777" w:rsidTr="000D2E36">
        <w:trPr>
          <w:jc w:val="center"/>
        </w:trPr>
        <w:tc>
          <w:tcPr>
            <w:tcW w:w="514" w:type="dxa"/>
            <w:shd w:val="clear" w:color="auto" w:fill="auto"/>
            <w:tcMar>
              <w:top w:w="0" w:type="dxa"/>
              <w:left w:w="28" w:type="dxa"/>
              <w:bottom w:w="0" w:type="dxa"/>
              <w:right w:w="28" w:type="dxa"/>
            </w:tcMar>
          </w:tcPr>
          <w:p w14:paraId="6F021A4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EB6215B"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shd w:val="clear" w:color="auto" w:fill="auto"/>
            <w:tcMar>
              <w:top w:w="0" w:type="dxa"/>
              <w:left w:w="28" w:type="dxa"/>
              <w:bottom w:w="0" w:type="dxa"/>
              <w:right w:w="28" w:type="dxa"/>
            </w:tcMar>
          </w:tcPr>
          <w:p w14:paraId="6C2A6FB4"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葉元之等19人</w:t>
            </w:r>
          </w:p>
        </w:tc>
        <w:tc>
          <w:tcPr>
            <w:tcW w:w="2552" w:type="dxa"/>
            <w:shd w:val="clear" w:color="auto" w:fill="FFFFFF"/>
            <w:tcMar>
              <w:top w:w="0" w:type="dxa"/>
              <w:left w:w="28" w:type="dxa"/>
              <w:bottom w:w="0" w:type="dxa"/>
              <w:right w:w="28" w:type="dxa"/>
            </w:tcMar>
          </w:tcPr>
          <w:p w14:paraId="330C4FD1"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第11屆第1會期第11次院會</w:t>
            </w:r>
            <w:r w:rsidRPr="00543397">
              <w:rPr>
                <w:rFonts w:ascii="標楷體" w:eastAsia="標楷體" w:hAnsi="標楷體" w:hint="eastAsia"/>
                <w:spacing w:val="-20"/>
                <w:kern w:val="2"/>
                <w:szCs w:val="24"/>
              </w:rPr>
              <w:t>(113.4.26)</w:t>
            </w:r>
            <w:r w:rsidRPr="009C72A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A5ECF7A"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34382148" w14:textId="77777777" w:rsidTr="000D2E36">
        <w:trPr>
          <w:jc w:val="center"/>
        </w:trPr>
        <w:tc>
          <w:tcPr>
            <w:tcW w:w="514" w:type="dxa"/>
            <w:shd w:val="clear" w:color="auto" w:fill="auto"/>
            <w:tcMar>
              <w:top w:w="0" w:type="dxa"/>
              <w:left w:w="28" w:type="dxa"/>
              <w:bottom w:w="0" w:type="dxa"/>
              <w:right w:w="28" w:type="dxa"/>
            </w:tcMar>
          </w:tcPr>
          <w:p w14:paraId="1CE7C73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2D28BC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624A3D38"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行政院</w:t>
            </w:r>
          </w:p>
        </w:tc>
        <w:tc>
          <w:tcPr>
            <w:tcW w:w="2552" w:type="dxa"/>
            <w:shd w:val="clear" w:color="auto" w:fill="FFFFFF"/>
            <w:tcMar>
              <w:top w:w="0" w:type="dxa"/>
              <w:left w:w="28" w:type="dxa"/>
              <w:bottom w:w="0" w:type="dxa"/>
              <w:right w:w="28" w:type="dxa"/>
            </w:tcMar>
          </w:tcPr>
          <w:p w14:paraId="551B6FF3"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shd w:val="clear" w:color="auto" w:fill="auto"/>
            <w:tcMar>
              <w:top w:w="0" w:type="dxa"/>
              <w:left w:w="28" w:type="dxa"/>
              <w:bottom w:w="0" w:type="dxa"/>
              <w:right w:w="28" w:type="dxa"/>
            </w:tcMar>
            <w:vAlign w:val="center"/>
          </w:tcPr>
          <w:p w14:paraId="18A2AF9F"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49EEB6B9" w14:textId="77777777" w:rsidTr="000D2E36">
        <w:trPr>
          <w:jc w:val="center"/>
        </w:trPr>
        <w:tc>
          <w:tcPr>
            <w:tcW w:w="514" w:type="dxa"/>
            <w:shd w:val="clear" w:color="auto" w:fill="auto"/>
            <w:tcMar>
              <w:top w:w="0" w:type="dxa"/>
              <w:left w:w="28" w:type="dxa"/>
              <w:bottom w:w="0" w:type="dxa"/>
              <w:right w:w="28" w:type="dxa"/>
            </w:tcMar>
          </w:tcPr>
          <w:p w14:paraId="68619BA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39E117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娛樂稅法部分條文修正草案</w:t>
            </w:r>
          </w:p>
        </w:tc>
        <w:tc>
          <w:tcPr>
            <w:tcW w:w="1559" w:type="dxa"/>
            <w:shd w:val="clear" w:color="auto" w:fill="auto"/>
            <w:tcMar>
              <w:top w:w="0" w:type="dxa"/>
              <w:left w:w="28" w:type="dxa"/>
              <w:bottom w:w="0" w:type="dxa"/>
              <w:right w:w="28" w:type="dxa"/>
            </w:tcMar>
          </w:tcPr>
          <w:p w14:paraId="6211D9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w:t>
            </w:r>
            <w:r w:rsidRPr="00B95A07">
              <w:rPr>
                <w:rFonts w:ascii="標楷體" w:eastAsia="標楷體" w:hAnsi="標楷體"/>
                <w:kern w:val="2"/>
                <w:szCs w:val="24"/>
              </w:rPr>
              <w:t>16人</w:t>
            </w:r>
          </w:p>
        </w:tc>
        <w:tc>
          <w:tcPr>
            <w:tcW w:w="2552" w:type="dxa"/>
            <w:shd w:val="clear" w:color="auto" w:fill="FFFFFF"/>
            <w:tcMar>
              <w:top w:w="0" w:type="dxa"/>
              <w:left w:w="28" w:type="dxa"/>
              <w:bottom w:w="0" w:type="dxa"/>
              <w:right w:w="28" w:type="dxa"/>
            </w:tcMar>
          </w:tcPr>
          <w:p w14:paraId="61DF5A2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第11屆第1會期第17次院會</w:t>
            </w:r>
            <w:r w:rsidRPr="00543397">
              <w:rPr>
                <w:rFonts w:ascii="標楷體" w:eastAsia="標楷體" w:hAnsi="標楷體" w:hint="eastAsia"/>
                <w:spacing w:val="-20"/>
                <w:kern w:val="2"/>
                <w:szCs w:val="24"/>
              </w:rPr>
              <w:t>(113.6.7)</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0939CAF"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454C7AF" w14:textId="77777777" w:rsidTr="000D2E36">
        <w:trPr>
          <w:jc w:val="center"/>
        </w:trPr>
        <w:tc>
          <w:tcPr>
            <w:tcW w:w="514" w:type="dxa"/>
            <w:shd w:val="clear" w:color="auto" w:fill="auto"/>
            <w:tcMar>
              <w:top w:w="0" w:type="dxa"/>
              <w:left w:w="28" w:type="dxa"/>
              <w:bottom w:w="0" w:type="dxa"/>
              <w:right w:w="28" w:type="dxa"/>
            </w:tcMar>
          </w:tcPr>
          <w:p w14:paraId="65E4A62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FC81DC9"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0B2B7127"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郭昱晴等17人</w:t>
            </w:r>
          </w:p>
        </w:tc>
        <w:tc>
          <w:tcPr>
            <w:tcW w:w="2552" w:type="dxa"/>
            <w:shd w:val="clear" w:color="auto" w:fill="FFFFFF"/>
            <w:tcMar>
              <w:top w:w="0" w:type="dxa"/>
              <w:left w:w="28" w:type="dxa"/>
              <w:bottom w:w="0" w:type="dxa"/>
              <w:right w:w="28" w:type="dxa"/>
            </w:tcMar>
          </w:tcPr>
          <w:p w14:paraId="1CA0A370"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shd w:val="clear" w:color="auto" w:fill="auto"/>
            <w:tcMar>
              <w:top w:w="0" w:type="dxa"/>
              <w:left w:w="28" w:type="dxa"/>
              <w:bottom w:w="0" w:type="dxa"/>
              <w:right w:w="28" w:type="dxa"/>
            </w:tcMar>
            <w:vAlign w:val="center"/>
          </w:tcPr>
          <w:p w14:paraId="59AAB0FD" w14:textId="77777777" w:rsidR="00C057F4" w:rsidRPr="00C85D18" w:rsidRDefault="00C057F4" w:rsidP="00C057F4">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C057F4" w:rsidRPr="00B95A07" w14:paraId="30743F15" w14:textId="77777777" w:rsidTr="000D2E36">
        <w:trPr>
          <w:jc w:val="center"/>
        </w:trPr>
        <w:tc>
          <w:tcPr>
            <w:tcW w:w="514" w:type="dxa"/>
            <w:shd w:val="clear" w:color="auto" w:fill="auto"/>
            <w:tcMar>
              <w:top w:w="0" w:type="dxa"/>
              <w:left w:w="28" w:type="dxa"/>
              <w:bottom w:w="0" w:type="dxa"/>
              <w:right w:w="28" w:type="dxa"/>
            </w:tcMar>
          </w:tcPr>
          <w:p w14:paraId="437D3C0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674758B"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2CCE144A"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shd w:val="clear" w:color="auto" w:fill="FFFFFF"/>
            <w:tcMar>
              <w:top w:w="0" w:type="dxa"/>
              <w:left w:w="28" w:type="dxa"/>
              <w:bottom w:w="0" w:type="dxa"/>
              <w:right w:w="28" w:type="dxa"/>
            </w:tcMar>
          </w:tcPr>
          <w:p w14:paraId="78ED1699"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D059BC">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3A88E2DE"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1C717A40" w14:textId="77777777" w:rsidTr="000D2E36">
        <w:trPr>
          <w:jc w:val="center"/>
        </w:trPr>
        <w:tc>
          <w:tcPr>
            <w:tcW w:w="514" w:type="dxa"/>
            <w:shd w:val="clear" w:color="auto" w:fill="auto"/>
            <w:tcMar>
              <w:top w:w="0" w:type="dxa"/>
              <w:left w:w="28" w:type="dxa"/>
              <w:bottom w:w="0" w:type="dxa"/>
              <w:right w:w="28" w:type="dxa"/>
            </w:tcMar>
          </w:tcPr>
          <w:p w14:paraId="76A4D9B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D409666"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21D68FF6"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李坤城等23人</w:t>
            </w:r>
          </w:p>
        </w:tc>
        <w:tc>
          <w:tcPr>
            <w:tcW w:w="2552" w:type="dxa"/>
            <w:shd w:val="clear" w:color="auto" w:fill="FFFFFF"/>
            <w:tcMar>
              <w:top w:w="0" w:type="dxa"/>
              <w:left w:w="28" w:type="dxa"/>
              <w:bottom w:w="0" w:type="dxa"/>
              <w:right w:w="28" w:type="dxa"/>
            </w:tcMar>
          </w:tcPr>
          <w:p w14:paraId="3F5DA017"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05D37663"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0DFF590E" w14:textId="77777777" w:rsidTr="000D2E36">
        <w:trPr>
          <w:jc w:val="center"/>
        </w:trPr>
        <w:tc>
          <w:tcPr>
            <w:tcW w:w="514" w:type="dxa"/>
            <w:shd w:val="clear" w:color="auto" w:fill="auto"/>
            <w:tcMar>
              <w:top w:w="0" w:type="dxa"/>
              <w:left w:w="28" w:type="dxa"/>
              <w:bottom w:w="0" w:type="dxa"/>
              <w:right w:w="28" w:type="dxa"/>
            </w:tcMar>
          </w:tcPr>
          <w:p w14:paraId="486BAB4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5960427"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472A2BB4"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鍾佳濱等21人</w:t>
            </w:r>
          </w:p>
        </w:tc>
        <w:tc>
          <w:tcPr>
            <w:tcW w:w="2552" w:type="dxa"/>
            <w:shd w:val="clear" w:color="auto" w:fill="FFFFFF"/>
            <w:tcMar>
              <w:top w:w="0" w:type="dxa"/>
              <w:left w:w="28" w:type="dxa"/>
              <w:bottom w:w="0" w:type="dxa"/>
              <w:right w:w="28" w:type="dxa"/>
            </w:tcMar>
          </w:tcPr>
          <w:p w14:paraId="37DB6292"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6614E22"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2F1AC7C9" w14:textId="77777777" w:rsidTr="000D2E36">
        <w:trPr>
          <w:jc w:val="center"/>
        </w:trPr>
        <w:tc>
          <w:tcPr>
            <w:tcW w:w="514" w:type="dxa"/>
            <w:shd w:val="clear" w:color="auto" w:fill="auto"/>
            <w:tcMar>
              <w:top w:w="0" w:type="dxa"/>
              <w:left w:w="28" w:type="dxa"/>
              <w:bottom w:w="0" w:type="dxa"/>
              <w:right w:w="28" w:type="dxa"/>
            </w:tcMar>
          </w:tcPr>
          <w:p w14:paraId="1808146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90279C0"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3F056A2E"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吳沛憶等24人</w:t>
            </w:r>
          </w:p>
        </w:tc>
        <w:tc>
          <w:tcPr>
            <w:tcW w:w="2552" w:type="dxa"/>
            <w:shd w:val="clear" w:color="auto" w:fill="FFFFFF"/>
            <w:tcMar>
              <w:top w:w="0" w:type="dxa"/>
              <w:left w:w="28" w:type="dxa"/>
              <w:bottom w:w="0" w:type="dxa"/>
              <w:right w:w="28" w:type="dxa"/>
            </w:tcMar>
          </w:tcPr>
          <w:p w14:paraId="4DC73FBA"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D059BC">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FE49451"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7FA4FB22" w14:textId="77777777" w:rsidTr="000D2E36">
        <w:trPr>
          <w:jc w:val="center"/>
        </w:trPr>
        <w:tc>
          <w:tcPr>
            <w:tcW w:w="514" w:type="dxa"/>
            <w:shd w:val="clear" w:color="auto" w:fill="auto"/>
            <w:tcMar>
              <w:top w:w="0" w:type="dxa"/>
              <w:left w:w="28" w:type="dxa"/>
              <w:bottom w:w="0" w:type="dxa"/>
              <w:right w:w="28" w:type="dxa"/>
            </w:tcMar>
          </w:tcPr>
          <w:p w14:paraId="316F344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2353B7F"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1F38375A"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林宜瑾等21人</w:t>
            </w:r>
          </w:p>
        </w:tc>
        <w:tc>
          <w:tcPr>
            <w:tcW w:w="2552" w:type="dxa"/>
            <w:shd w:val="clear" w:color="auto" w:fill="FFFFFF"/>
            <w:tcMar>
              <w:top w:w="0" w:type="dxa"/>
              <w:left w:w="28" w:type="dxa"/>
              <w:bottom w:w="0" w:type="dxa"/>
              <w:right w:w="28" w:type="dxa"/>
            </w:tcMar>
          </w:tcPr>
          <w:p w14:paraId="4AB044B9"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D059BC">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7493C8E"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4D80B59E" w14:textId="77777777" w:rsidTr="000D2E36">
        <w:trPr>
          <w:jc w:val="center"/>
        </w:trPr>
        <w:tc>
          <w:tcPr>
            <w:tcW w:w="514" w:type="dxa"/>
            <w:shd w:val="clear" w:color="auto" w:fill="auto"/>
            <w:tcMar>
              <w:top w:w="0" w:type="dxa"/>
              <w:left w:w="28" w:type="dxa"/>
              <w:bottom w:w="0" w:type="dxa"/>
              <w:right w:w="28" w:type="dxa"/>
            </w:tcMar>
          </w:tcPr>
          <w:p w14:paraId="7743489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B452285"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564A3BC8"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羅美玲等18人</w:t>
            </w:r>
          </w:p>
        </w:tc>
        <w:tc>
          <w:tcPr>
            <w:tcW w:w="2552" w:type="dxa"/>
            <w:shd w:val="clear" w:color="auto" w:fill="FFFFFF"/>
            <w:tcMar>
              <w:top w:w="0" w:type="dxa"/>
              <w:left w:w="28" w:type="dxa"/>
              <w:bottom w:w="0" w:type="dxa"/>
              <w:right w:w="28" w:type="dxa"/>
            </w:tcMar>
          </w:tcPr>
          <w:p w14:paraId="78E43E0C"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shd w:val="clear" w:color="auto" w:fill="auto"/>
            <w:tcMar>
              <w:top w:w="0" w:type="dxa"/>
              <w:left w:w="28" w:type="dxa"/>
              <w:bottom w:w="0" w:type="dxa"/>
              <w:right w:w="28" w:type="dxa"/>
            </w:tcMar>
            <w:vAlign w:val="center"/>
          </w:tcPr>
          <w:p w14:paraId="672D3CC1"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5250D298"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5DC451C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F812D68"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9B7D5E2"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李柏毅等16人</w:t>
            </w:r>
          </w:p>
        </w:tc>
        <w:tc>
          <w:tcPr>
            <w:tcW w:w="2552" w:type="dxa"/>
            <w:tcBorders>
              <w:bottom w:val="single" w:sz="4" w:space="0" w:color="000000"/>
            </w:tcBorders>
            <w:shd w:val="clear" w:color="auto" w:fill="FFFFFF"/>
            <w:tcMar>
              <w:top w:w="0" w:type="dxa"/>
              <w:left w:w="28" w:type="dxa"/>
              <w:bottom w:w="0" w:type="dxa"/>
              <w:right w:w="28" w:type="dxa"/>
            </w:tcMar>
          </w:tcPr>
          <w:p w14:paraId="0C95168C"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4E8EAB5C"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32780EE5"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1ABF9D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D9BB6A5"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娛樂稅法部分條文修正草案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19BAAB1E"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賴惠員等16人</w:t>
            </w:r>
          </w:p>
        </w:tc>
        <w:tc>
          <w:tcPr>
            <w:tcW w:w="2552" w:type="dxa"/>
            <w:tcBorders>
              <w:bottom w:val="single" w:sz="4" w:space="0" w:color="000000"/>
            </w:tcBorders>
            <w:shd w:val="clear" w:color="auto" w:fill="FFFFFF"/>
            <w:tcMar>
              <w:top w:w="0" w:type="dxa"/>
              <w:left w:w="28" w:type="dxa"/>
              <w:bottom w:w="0" w:type="dxa"/>
              <w:right w:w="28" w:type="dxa"/>
            </w:tcMar>
          </w:tcPr>
          <w:p w14:paraId="294359D8"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w:t>
            </w:r>
            <w:r w:rsidRPr="00D043C5">
              <w:rPr>
                <w:rFonts w:ascii="標楷體" w:eastAsia="標楷體" w:hAnsi="標楷體" w:hint="eastAsia"/>
                <w:kern w:val="2"/>
                <w:szCs w:val="24"/>
              </w:rPr>
              <w:lastRenderedPageBreak/>
              <w:t>院會(113.11.1)決定：「交財政委員會審查」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7DA72F0"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lastRenderedPageBreak/>
              <w:t>尚未審查</w:t>
            </w:r>
          </w:p>
        </w:tc>
      </w:tr>
      <w:tr w:rsidR="00C057F4" w:rsidRPr="00B95A07" w14:paraId="596B60F4"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42E0396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F066EC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娛樂稅法部分條文修正草案</w:t>
            </w:r>
          </w:p>
        </w:tc>
        <w:tc>
          <w:tcPr>
            <w:tcW w:w="1559" w:type="dxa"/>
            <w:tcBorders>
              <w:top w:val="single" w:sz="4" w:space="0" w:color="000000"/>
            </w:tcBorders>
            <w:shd w:val="clear" w:color="auto" w:fill="auto"/>
            <w:tcMar>
              <w:top w:w="0" w:type="dxa"/>
              <w:left w:w="28" w:type="dxa"/>
              <w:bottom w:w="0" w:type="dxa"/>
              <w:right w:w="28" w:type="dxa"/>
            </w:tcMar>
          </w:tcPr>
          <w:p w14:paraId="24D4534F"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蔡易餘等16人</w:t>
            </w:r>
          </w:p>
        </w:tc>
        <w:tc>
          <w:tcPr>
            <w:tcW w:w="2552" w:type="dxa"/>
            <w:tcBorders>
              <w:top w:val="single" w:sz="4" w:space="0" w:color="000000"/>
            </w:tcBorders>
            <w:shd w:val="clear" w:color="auto" w:fill="FFFFFF"/>
            <w:tcMar>
              <w:top w:w="0" w:type="dxa"/>
              <w:left w:w="28" w:type="dxa"/>
              <w:bottom w:w="0" w:type="dxa"/>
              <w:right w:w="28" w:type="dxa"/>
            </w:tcMar>
          </w:tcPr>
          <w:p w14:paraId="008CCC14"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D059BC">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347DCE98"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0CD75EDD" w14:textId="77777777" w:rsidTr="000D2E36">
        <w:trPr>
          <w:jc w:val="center"/>
        </w:trPr>
        <w:tc>
          <w:tcPr>
            <w:tcW w:w="514" w:type="dxa"/>
            <w:shd w:val="clear" w:color="auto" w:fill="auto"/>
            <w:tcMar>
              <w:top w:w="0" w:type="dxa"/>
              <w:left w:w="28" w:type="dxa"/>
              <w:bottom w:w="0" w:type="dxa"/>
              <w:right w:w="28" w:type="dxa"/>
            </w:tcMar>
          </w:tcPr>
          <w:p w14:paraId="07735DC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FE15117"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31F0C93B"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莊瑞雄等23人</w:t>
            </w:r>
          </w:p>
        </w:tc>
        <w:tc>
          <w:tcPr>
            <w:tcW w:w="2552" w:type="dxa"/>
            <w:shd w:val="clear" w:color="auto" w:fill="FFFFFF"/>
            <w:tcMar>
              <w:top w:w="0" w:type="dxa"/>
              <w:left w:w="28" w:type="dxa"/>
              <w:bottom w:w="0" w:type="dxa"/>
              <w:right w:w="28" w:type="dxa"/>
            </w:tcMar>
          </w:tcPr>
          <w:p w14:paraId="7D64A93B"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shd w:val="clear" w:color="auto" w:fill="auto"/>
            <w:tcMar>
              <w:top w:w="0" w:type="dxa"/>
              <w:left w:w="28" w:type="dxa"/>
              <w:bottom w:w="0" w:type="dxa"/>
              <w:right w:w="28" w:type="dxa"/>
            </w:tcMar>
            <w:vAlign w:val="center"/>
          </w:tcPr>
          <w:p w14:paraId="19BD439B"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0D5E45A1" w14:textId="77777777" w:rsidTr="000D2E36">
        <w:trPr>
          <w:jc w:val="center"/>
        </w:trPr>
        <w:tc>
          <w:tcPr>
            <w:tcW w:w="514" w:type="dxa"/>
            <w:shd w:val="clear" w:color="auto" w:fill="auto"/>
            <w:tcMar>
              <w:top w:w="0" w:type="dxa"/>
              <w:left w:w="28" w:type="dxa"/>
              <w:bottom w:w="0" w:type="dxa"/>
              <w:right w:w="28" w:type="dxa"/>
            </w:tcMar>
          </w:tcPr>
          <w:p w14:paraId="3D5EF7B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F50E5A3"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5D86A216"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王美惠等18人</w:t>
            </w:r>
          </w:p>
        </w:tc>
        <w:tc>
          <w:tcPr>
            <w:tcW w:w="2552" w:type="dxa"/>
            <w:shd w:val="clear" w:color="auto" w:fill="FFFFFF"/>
            <w:tcMar>
              <w:top w:w="0" w:type="dxa"/>
              <w:left w:w="28" w:type="dxa"/>
              <w:bottom w:w="0" w:type="dxa"/>
              <w:right w:w="28" w:type="dxa"/>
            </w:tcMar>
          </w:tcPr>
          <w:p w14:paraId="11051A36"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shd w:val="clear" w:color="auto" w:fill="auto"/>
            <w:tcMar>
              <w:top w:w="0" w:type="dxa"/>
              <w:left w:w="28" w:type="dxa"/>
              <w:bottom w:w="0" w:type="dxa"/>
              <w:right w:w="28" w:type="dxa"/>
            </w:tcMar>
            <w:vAlign w:val="center"/>
          </w:tcPr>
          <w:p w14:paraId="0BCB3288"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467D4D" w14:paraId="1C9322B8" w14:textId="77777777" w:rsidTr="000D2E36">
        <w:trPr>
          <w:jc w:val="center"/>
        </w:trPr>
        <w:tc>
          <w:tcPr>
            <w:tcW w:w="514" w:type="dxa"/>
            <w:shd w:val="clear" w:color="auto" w:fill="auto"/>
            <w:tcMar>
              <w:top w:w="0" w:type="dxa"/>
              <w:left w:w="28" w:type="dxa"/>
              <w:bottom w:w="0" w:type="dxa"/>
              <w:right w:w="28" w:type="dxa"/>
            </w:tcMar>
          </w:tcPr>
          <w:p w14:paraId="74A1EA22" w14:textId="77777777" w:rsidR="00C057F4" w:rsidRPr="00467D4D"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2A0007C"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娛樂稅法部分條文修正草案</w:t>
            </w:r>
          </w:p>
        </w:tc>
        <w:tc>
          <w:tcPr>
            <w:tcW w:w="1559" w:type="dxa"/>
            <w:shd w:val="clear" w:color="auto" w:fill="auto"/>
            <w:tcMar>
              <w:top w:w="0" w:type="dxa"/>
              <w:left w:w="28" w:type="dxa"/>
              <w:bottom w:w="0" w:type="dxa"/>
              <w:right w:w="28" w:type="dxa"/>
            </w:tcMar>
          </w:tcPr>
          <w:p w14:paraId="4F3F3856"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吳琪銘等16人</w:t>
            </w:r>
          </w:p>
        </w:tc>
        <w:tc>
          <w:tcPr>
            <w:tcW w:w="2552" w:type="dxa"/>
            <w:shd w:val="clear" w:color="auto" w:fill="FFFFFF"/>
            <w:tcMar>
              <w:top w:w="0" w:type="dxa"/>
              <w:left w:w="28" w:type="dxa"/>
              <w:bottom w:w="0" w:type="dxa"/>
              <w:right w:w="28" w:type="dxa"/>
            </w:tcMar>
          </w:tcPr>
          <w:p w14:paraId="47612A4A" w14:textId="77777777" w:rsidR="00C057F4" w:rsidRPr="00467D4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第11屆第2會期第13次院會(113.12.13)決定：「交財政委員會審查」</w:t>
            </w:r>
          </w:p>
        </w:tc>
        <w:tc>
          <w:tcPr>
            <w:tcW w:w="1984" w:type="dxa"/>
            <w:shd w:val="clear" w:color="auto" w:fill="auto"/>
            <w:tcMar>
              <w:top w:w="0" w:type="dxa"/>
              <w:left w:w="28" w:type="dxa"/>
              <w:bottom w:w="0" w:type="dxa"/>
              <w:right w:w="28" w:type="dxa"/>
            </w:tcMar>
            <w:vAlign w:val="center"/>
          </w:tcPr>
          <w:p w14:paraId="75A02AB4" w14:textId="77777777" w:rsidR="00C057F4" w:rsidRPr="00467D4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C057F4" w:rsidRPr="00B95A07" w14:paraId="561469B7" w14:textId="77777777" w:rsidTr="000D2E36">
        <w:trPr>
          <w:jc w:val="center"/>
        </w:trPr>
        <w:tc>
          <w:tcPr>
            <w:tcW w:w="514" w:type="dxa"/>
            <w:shd w:val="clear" w:color="auto" w:fill="auto"/>
            <w:tcMar>
              <w:top w:w="0" w:type="dxa"/>
              <w:left w:w="28" w:type="dxa"/>
              <w:bottom w:w="0" w:type="dxa"/>
              <w:right w:w="28" w:type="dxa"/>
            </w:tcMar>
          </w:tcPr>
          <w:p w14:paraId="53A7B2E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3871B63"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娛樂稅法第二條條文修正草案</w:t>
            </w:r>
          </w:p>
        </w:tc>
        <w:tc>
          <w:tcPr>
            <w:tcW w:w="1559" w:type="dxa"/>
            <w:shd w:val="clear" w:color="auto" w:fill="auto"/>
            <w:tcMar>
              <w:top w:w="0" w:type="dxa"/>
              <w:left w:w="28" w:type="dxa"/>
              <w:bottom w:w="0" w:type="dxa"/>
              <w:right w:w="28" w:type="dxa"/>
            </w:tcMar>
          </w:tcPr>
          <w:p w14:paraId="51328C24" w14:textId="3620C939"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王鴻薇等2</w:t>
            </w:r>
            <w:r>
              <w:rPr>
                <w:rFonts w:ascii="標楷體" w:eastAsia="標楷體" w:hAnsi="標楷體" w:hint="eastAsia"/>
                <w:kern w:val="2"/>
                <w:szCs w:val="24"/>
              </w:rPr>
              <w:t>1</w:t>
            </w:r>
            <w:r w:rsidRPr="00744A39">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1B371F7E"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D059BC">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2CBFD328"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178525C7" w14:textId="77777777" w:rsidTr="000D2E36">
        <w:trPr>
          <w:jc w:val="center"/>
        </w:trPr>
        <w:tc>
          <w:tcPr>
            <w:tcW w:w="514" w:type="dxa"/>
            <w:shd w:val="clear" w:color="auto" w:fill="auto"/>
            <w:tcMar>
              <w:top w:w="0" w:type="dxa"/>
              <w:left w:w="28" w:type="dxa"/>
              <w:bottom w:w="0" w:type="dxa"/>
              <w:right w:w="28" w:type="dxa"/>
            </w:tcMar>
          </w:tcPr>
          <w:p w14:paraId="6828768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359270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shd w:val="clear" w:color="auto" w:fill="auto"/>
            <w:tcMar>
              <w:top w:w="0" w:type="dxa"/>
              <w:left w:w="28" w:type="dxa"/>
              <w:bottom w:w="0" w:type="dxa"/>
              <w:right w:w="28" w:type="dxa"/>
            </w:tcMar>
          </w:tcPr>
          <w:p w14:paraId="3E3C65D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徐富癸等17人</w:t>
            </w:r>
          </w:p>
        </w:tc>
        <w:tc>
          <w:tcPr>
            <w:tcW w:w="2552" w:type="dxa"/>
            <w:shd w:val="clear" w:color="auto" w:fill="FFFFFF"/>
            <w:tcMar>
              <w:top w:w="0" w:type="dxa"/>
              <w:left w:w="28" w:type="dxa"/>
              <w:bottom w:w="0" w:type="dxa"/>
              <w:right w:w="28" w:type="dxa"/>
            </w:tcMar>
          </w:tcPr>
          <w:p w14:paraId="2E1C62B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val="restart"/>
            <w:shd w:val="clear" w:color="auto" w:fill="auto"/>
            <w:tcMar>
              <w:top w:w="0" w:type="dxa"/>
              <w:left w:w="28" w:type="dxa"/>
              <w:bottom w:w="0" w:type="dxa"/>
              <w:right w:w="28" w:type="dxa"/>
            </w:tcMar>
          </w:tcPr>
          <w:p w14:paraId="1202FBDE"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C057F4" w:rsidRPr="00B95A07" w14:paraId="53C85797" w14:textId="77777777" w:rsidTr="000D2E36">
        <w:trPr>
          <w:jc w:val="center"/>
        </w:trPr>
        <w:tc>
          <w:tcPr>
            <w:tcW w:w="514" w:type="dxa"/>
            <w:shd w:val="clear" w:color="auto" w:fill="auto"/>
            <w:tcMar>
              <w:top w:w="0" w:type="dxa"/>
              <w:left w:w="28" w:type="dxa"/>
              <w:bottom w:w="0" w:type="dxa"/>
              <w:right w:w="28" w:type="dxa"/>
            </w:tcMar>
          </w:tcPr>
          <w:p w14:paraId="6A070A9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B2F72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shd w:val="clear" w:color="auto" w:fill="auto"/>
            <w:tcMar>
              <w:top w:w="0" w:type="dxa"/>
              <w:left w:w="28" w:type="dxa"/>
              <w:bottom w:w="0" w:type="dxa"/>
              <w:right w:w="28" w:type="dxa"/>
            </w:tcMar>
          </w:tcPr>
          <w:p w14:paraId="565A5B9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陳秀寳等</w:t>
            </w:r>
            <w:r w:rsidRPr="00B95A07">
              <w:rPr>
                <w:rFonts w:ascii="標楷體" w:eastAsia="標楷體" w:hAnsi="標楷體"/>
                <w:kern w:val="2"/>
                <w:szCs w:val="24"/>
              </w:rPr>
              <w:t>18</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6377FB2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vMerge/>
            <w:shd w:val="clear" w:color="auto" w:fill="auto"/>
            <w:tcMar>
              <w:top w:w="0" w:type="dxa"/>
              <w:left w:w="28" w:type="dxa"/>
              <w:bottom w:w="0" w:type="dxa"/>
              <w:right w:w="28" w:type="dxa"/>
            </w:tcMar>
            <w:vAlign w:val="center"/>
          </w:tcPr>
          <w:p w14:paraId="0CEBF951"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1BB639E7" w14:textId="77777777" w:rsidTr="000D2E36">
        <w:trPr>
          <w:jc w:val="center"/>
        </w:trPr>
        <w:tc>
          <w:tcPr>
            <w:tcW w:w="514" w:type="dxa"/>
            <w:shd w:val="clear" w:color="auto" w:fill="auto"/>
            <w:tcMar>
              <w:top w:w="0" w:type="dxa"/>
              <w:left w:w="28" w:type="dxa"/>
              <w:bottom w:w="0" w:type="dxa"/>
              <w:right w:w="28" w:type="dxa"/>
            </w:tcMar>
          </w:tcPr>
          <w:p w14:paraId="47D51A6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563373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娛樂稅法第二條及第五條條文修正草案</w:t>
            </w:r>
          </w:p>
        </w:tc>
        <w:tc>
          <w:tcPr>
            <w:tcW w:w="1559" w:type="dxa"/>
            <w:shd w:val="clear" w:color="auto" w:fill="auto"/>
            <w:tcMar>
              <w:top w:w="0" w:type="dxa"/>
              <w:left w:w="28" w:type="dxa"/>
              <w:bottom w:w="0" w:type="dxa"/>
              <w:right w:w="28" w:type="dxa"/>
            </w:tcMar>
          </w:tcPr>
          <w:p w14:paraId="5A490EB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羅明才等19人</w:t>
            </w:r>
          </w:p>
        </w:tc>
        <w:tc>
          <w:tcPr>
            <w:tcW w:w="2552" w:type="dxa"/>
            <w:shd w:val="clear" w:color="auto" w:fill="FFFFFF"/>
            <w:tcMar>
              <w:top w:w="0" w:type="dxa"/>
              <w:left w:w="28" w:type="dxa"/>
              <w:bottom w:w="0" w:type="dxa"/>
              <w:right w:w="28" w:type="dxa"/>
            </w:tcMar>
          </w:tcPr>
          <w:p w14:paraId="3FC774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shd w:val="clear" w:color="auto" w:fill="auto"/>
            <w:tcMar>
              <w:top w:w="0" w:type="dxa"/>
              <w:left w:w="28" w:type="dxa"/>
              <w:bottom w:w="0" w:type="dxa"/>
              <w:right w:w="28" w:type="dxa"/>
            </w:tcMar>
            <w:vAlign w:val="center"/>
          </w:tcPr>
          <w:p w14:paraId="61DAA343" w14:textId="77777777" w:rsidR="00C057F4" w:rsidRPr="00B95A07" w:rsidRDefault="00C057F4" w:rsidP="00C057F4">
            <w:pPr>
              <w:widowControl w:val="0"/>
              <w:overflowPunct w:val="0"/>
              <w:spacing w:line="340" w:lineRule="exact"/>
              <w:jc w:val="both"/>
              <w:rPr>
                <w:rFonts w:ascii="標楷體" w:eastAsia="標楷體" w:hAnsi="標楷體"/>
                <w:color w:val="000000" w:themeColor="text1"/>
                <w:kern w:val="2"/>
                <w:szCs w:val="24"/>
              </w:rPr>
            </w:pPr>
          </w:p>
        </w:tc>
      </w:tr>
      <w:tr w:rsidR="00C057F4" w:rsidRPr="00B95A07" w14:paraId="3CD5AF03"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38D8105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3F8712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7D1A26A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bottom w:val="single" w:sz="4" w:space="0" w:color="000000"/>
            </w:tcBorders>
            <w:shd w:val="clear" w:color="auto" w:fill="FFFFFF"/>
            <w:tcMar>
              <w:top w:w="0" w:type="dxa"/>
              <w:left w:w="28" w:type="dxa"/>
              <w:bottom w:w="0" w:type="dxa"/>
              <w:right w:w="28" w:type="dxa"/>
            </w:tcMar>
          </w:tcPr>
          <w:p w14:paraId="6F48EE8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5BF40E4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65D4955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6CA7D66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DD96F8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9998CB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林楚茵等20人</w:t>
            </w:r>
          </w:p>
        </w:tc>
        <w:tc>
          <w:tcPr>
            <w:tcW w:w="2552" w:type="dxa"/>
            <w:tcBorders>
              <w:bottom w:val="single" w:sz="4" w:space="0" w:color="000000"/>
            </w:tcBorders>
            <w:shd w:val="clear" w:color="auto" w:fill="FFFFFF"/>
            <w:tcMar>
              <w:top w:w="0" w:type="dxa"/>
              <w:left w:w="28" w:type="dxa"/>
              <w:bottom w:w="0" w:type="dxa"/>
              <w:right w:w="28" w:type="dxa"/>
            </w:tcMar>
          </w:tcPr>
          <w:p w14:paraId="32B7A17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D059BC">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49B953E7"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D2795BA"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27711A7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9104EF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娛樂稅法第二條及第五條條文修正草案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41B26BD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4DFF896" w14:textId="3ED0B3C5"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D059BC">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4F50786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9530C00"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52A7F50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06F31E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娛樂稅法第二條、第五條及第六條條文修正草案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4DA658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蔡其昌等16人</w:t>
            </w:r>
          </w:p>
        </w:tc>
        <w:tc>
          <w:tcPr>
            <w:tcW w:w="2552" w:type="dxa"/>
            <w:tcBorders>
              <w:bottom w:val="single" w:sz="4" w:space="0" w:color="000000"/>
            </w:tcBorders>
            <w:shd w:val="clear" w:color="auto" w:fill="FFFFFF"/>
            <w:tcMar>
              <w:top w:w="0" w:type="dxa"/>
              <w:left w:w="28" w:type="dxa"/>
              <w:bottom w:w="0" w:type="dxa"/>
              <w:right w:w="28" w:type="dxa"/>
            </w:tcMar>
          </w:tcPr>
          <w:p w14:paraId="1974BFA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w:t>
            </w:r>
            <w:r w:rsidRPr="005E5AA0">
              <w:rPr>
                <w:rFonts w:ascii="標楷體" w:eastAsia="標楷體" w:hAnsi="標楷體" w:hint="eastAsia"/>
                <w:spacing w:val="-20"/>
                <w:kern w:val="2"/>
                <w:szCs w:val="24"/>
              </w:rPr>
              <w:t>(113.4.26)</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EE8856A"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66E1332C" w14:textId="77777777" w:rsidTr="0040262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72002354"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A584AB9"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娛樂稅法第二條、第五條及第六條條文修正草案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83762C3"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伍麗華</w:t>
            </w:r>
            <w:r w:rsidRPr="00545A83">
              <w:rPr>
                <w:rFonts w:ascii="標楷體" w:eastAsia="標楷體" w:hAnsi="標楷體" w:hint="eastAsia"/>
                <w:color w:val="000000" w:themeColor="text1"/>
                <w:spacing w:val="-24"/>
                <w:kern w:val="2"/>
                <w:szCs w:val="24"/>
              </w:rPr>
              <w:t>Saidhai Tahovecahe</w:t>
            </w:r>
            <w:r w:rsidRPr="009C72AA">
              <w:rPr>
                <w:rFonts w:ascii="標楷體" w:eastAsia="標楷體" w:hAnsi="標楷體" w:hint="eastAsia"/>
                <w:color w:val="000000" w:themeColor="text1"/>
                <w:kern w:val="2"/>
                <w:szCs w:val="24"/>
              </w:rPr>
              <w:t>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FD4BE95"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第11屆第2會期第2次院會(113.9.27)決定：「交財政委員會審查」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FA06220"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9C72AA">
              <w:rPr>
                <w:rFonts w:ascii="標楷體" w:eastAsia="標楷體" w:hAnsi="標楷體" w:hint="eastAsia"/>
                <w:color w:val="000000" w:themeColor="text1"/>
                <w:kern w:val="2"/>
                <w:szCs w:val="24"/>
              </w:rPr>
              <w:t>尚未審查</w:t>
            </w:r>
          </w:p>
        </w:tc>
      </w:tr>
      <w:tr w:rsidR="00C057F4" w:rsidRPr="00B95A07" w14:paraId="2EEAD189"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68751F1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037663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娛樂稅法第二條、第五條及第十條條文修正草案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185A0FA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賴士葆等28人</w:t>
            </w:r>
          </w:p>
        </w:tc>
        <w:tc>
          <w:tcPr>
            <w:tcW w:w="2552" w:type="dxa"/>
            <w:tcBorders>
              <w:bottom w:val="single" w:sz="12" w:space="0" w:color="000000"/>
            </w:tcBorders>
            <w:shd w:val="clear" w:color="auto" w:fill="FFFFFF"/>
            <w:tcMar>
              <w:top w:w="0" w:type="dxa"/>
              <w:left w:w="28" w:type="dxa"/>
              <w:bottom w:w="0" w:type="dxa"/>
              <w:right w:w="28" w:type="dxa"/>
            </w:tcMar>
          </w:tcPr>
          <w:p w14:paraId="52180756"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7EDE3D83" w14:textId="77777777" w:rsidR="00C057F4" w:rsidRPr="00C85D18" w:rsidRDefault="00C057F4" w:rsidP="00C057F4">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C057F4" w:rsidRPr="00B95A07" w14:paraId="51E88507" w14:textId="77777777" w:rsidTr="0040262B">
        <w:trPr>
          <w:jc w:val="center"/>
        </w:trPr>
        <w:tc>
          <w:tcPr>
            <w:tcW w:w="514" w:type="dxa"/>
            <w:tcBorders>
              <w:top w:val="single" w:sz="12" w:space="0" w:color="000000"/>
            </w:tcBorders>
            <w:shd w:val="clear" w:color="auto" w:fill="auto"/>
            <w:tcMar>
              <w:top w:w="0" w:type="dxa"/>
              <w:left w:w="28" w:type="dxa"/>
              <w:bottom w:w="0" w:type="dxa"/>
              <w:right w:w="28" w:type="dxa"/>
            </w:tcMar>
          </w:tcPr>
          <w:p w14:paraId="017553D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0D1EBF4B"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海關進口稅則部分稅則修正草案</w:t>
            </w:r>
          </w:p>
        </w:tc>
        <w:tc>
          <w:tcPr>
            <w:tcW w:w="1559" w:type="dxa"/>
            <w:tcBorders>
              <w:top w:val="single" w:sz="12" w:space="0" w:color="000000"/>
            </w:tcBorders>
            <w:shd w:val="clear" w:color="auto" w:fill="auto"/>
            <w:tcMar>
              <w:top w:w="0" w:type="dxa"/>
              <w:left w:w="28" w:type="dxa"/>
              <w:bottom w:w="0" w:type="dxa"/>
              <w:right w:w="28" w:type="dxa"/>
            </w:tcMar>
          </w:tcPr>
          <w:p w14:paraId="6F9D65B4"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行政院</w:t>
            </w:r>
          </w:p>
        </w:tc>
        <w:tc>
          <w:tcPr>
            <w:tcW w:w="2552" w:type="dxa"/>
            <w:tcBorders>
              <w:top w:val="single" w:sz="12" w:space="0" w:color="000000"/>
            </w:tcBorders>
            <w:shd w:val="clear" w:color="auto" w:fill="FFFFFF"/>
            <w:tcMar>
              <w:top w:w="0" w:type="dxa"/>
              <w:left w:w="28" w:type="dxa"/>
              <w:bottom w:w="0" w:type="dxa"/>
              <w:right w:w="28" w:type="dxa"/>
            </w:tcMar>
          </w:tcPr>
          <w:p w14:paraId="04539E59" w14:textId="108E5CE0"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16EE6013"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C057F4" w:rsidRPr="00B95A07" w14:paraId="4BA46089" w14:textId="77777777" w:rsidTr="000D2E36">
        <w:trPr>
          <w:jc w:val="center"/>
        </w:trPr>
        <w:tc>
          <w:tcPr>
            <w:tcW w:w="514" w:type="dxa"/>
            <w:shd w:val="clear" w:color="auto" w:fill="auto"/>
            <w:tcMar>
              <w:top w:w="0" w:type="dxa"/>
              <w:left w:w="28" w:type="dxa"/>
              <w:bottom w:w="0" w:type="dxa"/>
              <w:right w:w="28" w:type="dxa"/>
            </w:tcMar>
          </w:tcPr>
          <w:p w14:paraId="60444C5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732581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2169343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5C04994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shd w:val="clear" w:color="auto" w:fill="auto"/>
            <w:tcMar>
              <w:top w:w="0" w:type="dxa"/>
              <w:left w:w="28" w:type="dxa"/>
              <w:bottom w:w="0" w:type="dxa"/>
              <w:right w:w="28" w:type="dxa"/>
            </w:tcMar>
            <w:vAlign w:val="center"/>
          </w:tcPr>
          <w:p w14:paraId="37798306"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677EB59" w14:textId="77777777" w:rsidTr="000D2E36">
        <w:trPr>
          <w:jc w:val="center"/>
        </w:trPr>
        <w:tc>
          <w:tcPr>
            <w:tcW w:w="514" w:type="dxa"/>
            <w:shd w:val="clear" w:color="auto" w:fill="auto"/>
            <w:tcMar>
              <w:top w:w="0" w:type="dxa"/>
              <w:left w:w="28" w:type="dxa"/>
              <w:bottom w:w="0" w:type="dxa"/>
              <w:right w:w="28" w:type="dxa"/>
            </w:tcMar>
          </w:tcPr>
          <w:p w14:paraId="7C183C0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8C518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4C59A07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呂玉玲等16人</w:t>
            </w:r>
          </w:p>
        </w:tc>
        <w:tc>
          <w:tcPr>
            <w:tcW w:w="2552" w:type="dxa"/>
            <w:shd w:val="clear" w:color="auto" w:fill="FFFFFF"/>
            <w:tcMar>
              <w:top w:w="0" w:type="dxa"/>
              <w:left w:w="28" w:type="dxa"/>
              <w:bottom w:w="0" w:type="dxa"/>
              <w:right w:w="28" w:type="dxa"/>
            </w:tcMar>
          </w:tcPr>
          <w:p w14:paraId="256D34A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5E5AA0">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98961C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62D216C" w14:textId="77777777" w:rsidTr="000D2E36">
        <w:trPr>
          <w:jc w:val="center"/>
        </w:trPr>
        <w:tc>
          <w:tcPr>
            <w:tcW w:w="514" w:type="dxa"/>
            <w:shd w:val="clear" w:color="auto" w:fill="auto"/>
            <w:tcMar>
              <w:top w:w="0" w:type="dxa"/>
              <w:left w:w="28" w:type="dxa"/>
              <w:bottom w:w="0" w:type="dxa"/>
              <w:right w:w="28" w:type="dxa"/>
            </w:tcMar>
          </w:tcPr>
          <w:p w14:paraId="518CA5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BA4B6E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shd w:val="clear" w:color="auto" w:fill="auto"/>
            <w:tcMar>
              <w:top w:w="0" w:type="dxa"/>
              <w:left w:w="28" w:type="dxa"/>
              <w:bottom w:w="0" w:type="dxa"/>
              <w:right w:w="28" w:type="dxa"/>
            </w:tcMar>
          </w:tcPr>
          <w:p w14:paraId="19093A7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葉元之等17人</w:t>
            </w:r>
          </w:p>
        </w:tc>
        <w:tc>
          <w:tcPr>
            <w:tcW w:w="2552" w:type="dxa"/>
            <w:shd w:val="clear" w:color="auto" w:fill="FFFFFF"/>
            <w:tcMar>
              <w:top w:w="0" w:type="dxa"/>
              <w:left w:w="28" w:type="dxa"/>
              <w:bottom w:w="0" w:type="dxa"/>
              <w:right w:w="28" w:type="dxa"/>
            </w:tcMar>
          </w:tcPr>
          <w:p w14:paraId="1215E2A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5E5AA0">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CA58D5D"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0974F2B" w14:textId="77777777" w:rsidTr="0040262B">
        <w:trPr>
          <w:jc w:val="center"/>
        </w:trPr>
        <w:tc>
          <w:tcPr>
            <w:tcW w:w="514" w:type="dxa"/>
            <w:tcBorders>
              <w:bottom w:val="single" w:sz="4" w:space="0" w:color="000000"/>
            </w:tcBorders>
            <w:shd w:val="clear" w:color="auto" w:fill="auto"/>
            <w:tcMar>
              <w:top w:w="0" w:type="dxa"/>
              <w:left w:w="28" w:type="dxa"/>
              <w:bottom w:w="0" w:type="dxa"/>
              <w:right w:w="28" w:type="dxa"/>
            </w:tcMar>
          </w:tcPr>
          <w:p w14:paraId="2C67F0C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A8D7D4E"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海關進口稅則增訂第21069097號草案</w:t>
            </w:r>
          </w:p>
        </w:tc>
        <w:tc>
          <w:tcPr>
            <w:tcW w:w="1559" w:type="dxa"/>
            <w:tcBorders>
              <w:bottom w:val="single" w:sz="4" w:space="0" w:color="000000"/>
            </w:tcBorders>
            <w:shd w:val="clear" w:color="auto" w:fill="auto"/>
            <w:tcMar>
              <w:top w:w="0" w:type="dxa"/>
              <w:left w:w="28" w:type="dxa"/>
              <w:bottom w:w="0" w:type="dxa"/>
              <w:right w:w="28" w:type="dxa"/>
            </w:tcMar>
          </w:tcPr>
          <w:p w14:paraId="110CDFD9"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4" w:space="0" w:color="000000"/>
            </w:tcBorders>
            <w:shd w:val="clear" w:color="auto" w:fill="FFFFFF"/>
            <w:tcMar>
              <w:top w:w="0" w:type="dxa"/>
              <w:left w:w="28" w:type="dxa"/>
              <w:bottom w:w="0" w:type="dxa"/>
              <w:right w:w="28" w:type="dxa"/>
            </w:tcMar>
          </w:tcPr>
          <w:p w14:paraId="35F43863"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5E5AA0">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523FC69"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71672BD3"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47C4E46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77A738B"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海關進口稅則第二十一章增訂增註三草案</w:t>
            </w:r>
          </w:p>
        </w:tc>
        <w:tc>
          <w:tcPr>
            <w:tcW w:w="1559" w:type="dxa"/>
            <w:tcBorders>
              <w:bottom w:val="single" w:sz="12" w:space="0" w:color="000000"/>
            </w:tcBorders>
            <w:shd w:val="clear" w:color="auto" w:fill="auto"/>
            <w:tcMar>
              <w:top w:w="0" w:type="dxa"/>
              <w:left w:w="28" w:type="dxa"/>
              <w:bottom w:w="0" w:type="dxa"/>
              <w:right w:w="28" w:type="dxa"/>
            </w:tcMar>
          </w:tcPr>
          <w:p w14:paraId="5FAF8F09" w14:textId="34B2A921"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蘇清泉等2</w:t>
            </w:r>
            <w:r>
              <w:rPr>
                <w:rFonts w:ascii="標楷體" w:eastAsia="標楷體" w:hAnsi="標楷體" w:hint="eastAsia"/>
                <w:kern w:val="2"/>
                <w:szCs w:val="24"/>
              </w:rPr>
              <w:t>9</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6D0F298E"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79BA0BE4"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202DC103"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E09438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6471427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促進全國住宅使用特別稅條例草案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8101C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4D1DC22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第11屆第1會期第5次院會(113.3.15)決定：「交財政委員會審查」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9AF2BBE"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1838FBCE" w14:textId="77777777" w:rsidTr="0040262B">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1652514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6F04EBA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AD258B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62A22A8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5E5AA0">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vMerge w:val="restart"/>
            <w:tcBorders>
              <w:top w:val="single" w:sz="12" w:space="0" w:color="000000"/>
              <w:bottom w:val="single" w:sz="4" w:space="0" w:color="000000"/>
            </w:tcBorders>
            <w:shd w:val="clear" w:color="auto" w:fill="auto"/>
            <w:tcMar>
              <w:top w:w="0" w:type="dxa"/>
              <w:left w:w="28" w:type="dxa"/>
              <w:bottom w:w="0" w:type="dxa"/>
              <w:right w:w="28" w:type="dxa"/>
            </w:tcMar>
          </w:tcPr>
          <w:p w14:paraId="0246C39B"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w:t>
            </w:r>
            <w:r w:rsidRPr="00222F4B">
              <w:rPr>
                <w:rFonts w:ascii="標楷體" w:eastAsia="標楷體" w:hAnsi="標楷體" w:hint="eastAsia"/>
                <w:spacing w:val="-24"/>
                <w:kern w:val="2"/>
                <w:szCs w:val="24"/>
              </w:rPr>
              <w:t>全體委員會議(113.5.20)審查</w:t>
            </w:r>
            <w:r w:rsidRPr="00B95A07">
              <w:rPr>
                <w:rFonts w:ascii="標楷體" w:eastAsia="標楷體" w:hAnsi="標楷體" w:hint="eastAsia"/>
                <w:kern w:val="2"/>
                <w:szCs w:val="24"/>
              </w:rPr>
              <w:t>，決議：另擇期繼續開會。</w:t>
            </w:r>
          </w:p>
          <w:p w14:paraId="6FCAD21E"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w:t>
            </w:r>
            <w:r w:rsidRPr="00222F4B">
              <w:rPr>
                <w:rFonts w:ascii="標楷體" w:eastAsia="標楷體" w:hAnsi="標楷體" w:hint="eastAsia"/>
                <w:spacing w:val="-24"/>
                <w:kern w:val="2"/>
                <w:szCs w:val="24"/>
              </w:rPr>
              <w:t>全體委員會議(113.6.3)審查</w:t>
            </w:r>
            <w:r w:rsidRPr="00B95A07">
              <w:rPr>
                <w:rFonts w:ascii="標楷體" w:eastAsia="標楷體" w:hAnsi="標楷體" w:hint="eastAsia"/>
                <w:kern w:val="2"/>
                <w:szCs w:val="24"/>
              </w:rPr>
              <w:t>，決議：另擇期繼續審查。</w:t>
            </w:r>
          </w:p>
          <w:p w14:paraId="52EBCDAC"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w:t>
            </w:r>
            <w:r w:rsidRPr="00222F4B">
              <w:rPr>
                <w:rFonts w:ascii="標楷體" w:eastAsia="標楷體" w:hAnsi="標楷體" w:hint="eastAsia"/>
                <w:spacing w:val="-24"/>
                <w:kern w:val="2"/>
                <w:szCs w:val="24"/>
              </w:rPr>
              <w:t>全體委員會議(113.6.19)</w:t>
            </w:r>
            <w:r w:rsidRPr="00B95A07">
              <w:rPr>
                <w:rFonts w:ascii="標楷體" w:eastAsia="標楷體" w:hAnsi="標楷體" w:hint="eastAsia"/>
                <w:kern w:val="2"/>
                <w:szCs w:val="24"/>
              </w:rPr>
              <w:t>審查，決議：另擇期繼續審查。</w:t>
            </w:r>
          </w:p>
          <w:p w14:paraId="3B3E2B4F"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w:t>
            </w:r>
            <w:r w:rsidRPr="00222F4B">
              <w:rPr>
                <w:rFonts w:ascii="標楷體" w:eastAsia="標楷體" w:hAnsi="標楷體" w:hint="eastAsia"/>
                <w:color w:val="000000" w:themeColor="text1"/>
                <w:spacing w:val="-20"/>
                <w:kern w:val="2"/>
                <w:szCs w:val="24"/>
              </w:rPr>
              <w:lastRenderedPageBreak/>
              <w:t>會議(113.10.21)審查，</w:t>
            </w:r>
            <w:r w:rsidRPr="00B306EC">
              <w:rPr>
                <w:rFonts w:ascii="標楷體" w:eastAsia="標楷體" w:hAnsi="標楷體" w:hint="eastAsia"/>
                <w:color w:val="000000" w:themeColor="text1"/>
                <w:kern w:val="2"/>
                <w:szCs w:val="24"/>
              </w:rPr>
              <w:t>決議：另擇期繼續審查。</w:t>
            </w:r>
          </w:p>
          <w:p w14:paraId="5B1037C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222F4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476C08F9" w14:textId="77777777" w:rsidTr="0040262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5D20C2E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4CE1490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9BB146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羅明才等23人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90A166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vMerge/>
            <w:tcBorders>
              <w:top w:val="single" w:sz="4" w:space="0" w:color="000000"/>
              <w:bottom w:val="single" w:sz="4" w:space="0" w:color="000000"/>
            </w:tcBorders>
            <w:shd w:val="clear" w:color="auto" w:fill="auto"/>
            <w:tcMar>
              <w:top w:w="0" w:type="dxa"/>
              <w:left w:w="28" w:type="dxa"/>
              <w:bottom w:w="0" w:type="dxa"/>
              <w:right w:w="28" w:type="dxa"/>
            </w:tcMar>
            <w:vAlign w:val="center"/>
          </w:tcPr>
          <w:p w14:paraId="330AFBD6" w14:textId="77777777" w:rsidR="00C057F4" w:rsidRPr="00B95A07" w:rsidRDefault="00C057F4" w:rsidP="00C057F4">
            <w:pPr>
              <w:widowControl w:val="0"/>
              <w:overflowPunct w:val="0"/>
              <w:spacing w:line="340" w:lineRule="exact"/>
              <w:jc w:val="both"/>
              <w:rPr>
                <w:rFonts w:ascii="標楷體" w:eastAsia="標楷體" w:hAnsi="標楷體"/>
                <w:color w:val="000000" w:themeColor="text1"/>
                <w:kern w:val="2"/>
                <w:szCs w:val="24"/>
              </w:rPr>
            </w:pPr>
          </w:p>
        </w:tc>
      </w:tr>
      <w:tr w:rsidR="00C057F4" w:rsidRPr="00B95A07" w14:paraId="0A574C94" w14:textId="77777777" w:rsidTr="0040262B">
        <w:trPr>
          <w:jc w:val="center"/>
        </w:trPr>
        <w:tc>
          <w:tcPr>
            <w:tcW w:w="514" w:type="dxa"/>
            <w:tcBorders>
              <w:bottom w:val="single" w:sz="4" w:space="0" w:color="000000"/>
            </w:tcBorders>
            <w:shd w:val="clear" w:color="auto" w:fill="auto"/>
            <w:tcMar>
              <w:top w:w="0" w:type="dxa"/>
              <w:left w:w="28" w:type="dxa"/>
              <w:bottom w:w="0" w:type="dxa"/>
              <w:right w:w="28" w:type="dxa"/>
            </w:tcMar>
          </w:tcPr>
          <w:p w14:paraId="16A1163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CDD388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0DCF88D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bottom w:val="single" w:sz="4" w:space="0" w:color="000000"/>
            </w:tcBorders>
            <w:shd w:val="clear" w:color="auto" w:fill="FFFFFF"/>
            <w:tcMar>
              <w:top w:w="0" w:type="dxa"/>
              <w:left w:w="28" w:type="dxa"/>
              <w:bottom w:w="0" w:type="dxa"/>
              <w:right w:w="28" w:type="dxa"/>
            </w:tcMar>
          </w:tcPr>
          <w:p w14:paraId="6DC241A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505C91EF"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00E7A0FE" w14:textId="77777777" w:rsidTr="0040262B">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5221799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941AB8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175E63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許宇甄等16人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B2BC3E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top w:val="single" w:sz="4" w:space="0" w:color="000000"/>
              <w:bottom w:val="single" w:sz="4" w:space="0" w:color="000000"/>
            </w:tcBorders>
            <w:shd w:val="clear" w:color="auto" w:fill="auto"/>
            <w:tcMar>
              <w:top w:w="0" w:type="dxa"/>
              <w:left w:w="28" w:type="dxa"/>
              <w:bottom w:w="0" w:type="dxa"/>
              <w:right w:w="28" w:type="dxa"/>
            </w:tcMar>
            <w:vAlign w:val="center"/>
          </w:tcPr>
          <w:p w14:paraId="7906473B"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067F08D9" w14:textId="77777777" w:rsidTr="000D2E36">
        <w:trPr>
          <w:trHeight w:val="960"/>
          <w:jc w:val="center"/>
        </w:trPr>
        <w:tc>
          <w:tcPr>
            <w:tcW w:w="514" w:type="dxa"/>
            <w:tcBorders>
              <w:bottom w:val="single" w:sz="4" w:space="0" w:color="000000"/>
            </w:tcBorders>
            <w:shd w:val="clear" w:color="auto" w:fill="auto"/>
            <w:tcMar>
              <w:top w:w="0" w:type="dxa"/>
              <w:left w:w="28" w:type="dxa"/>
              <w:bottom w:w="0" w:type="dxa"/>
              <w:right w:w="28" w:type="dxa"/>
            </w:tcMar>
          </w:tcPr>
          <w:p w14:paraId="5117DBC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B585C2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bottom w:val="single" w:sz="4" w:space="0" w:color="000000"/>
            </w:tcBorders>
            <w:shd w:val="clear" w:color="auto" w:fill="auto"/>
            <w:tcMar>
              <w:top w:w="0" w:type="dxa"/>
              <w:left w:w="28" w:type="dxa"/>
              <w:bottom w:w="0" w:type="dxa"/>
              <w:right w:w="28" w:type="dxa"/>
            </w:tcMar>
          </w:tcPr>
          <w:p w14:paraId="27D351A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洪孟楷等22人</w:t>
            </w:r>
          </w:p>
        </w:tc>
        <w:tc>
          <w:tcPr>
            <w:tcW w:w="2552" w:type="dxa"/>
            <w:tcBorders>
              <w:bottom w:val="single" w:sz="4" w:space="0" w:color="000000"/>
            </w:tcBorders>
            <w:shd w:val="clear" w:color="auto" w:fill="FFFFFF"/>
            <w:tcMar>
              <w:top w:w="0" w:type="dxa"/>
              <w:left w:w="28" w:type="dxa"/>
              <w:bottom w:w="0" w:type="dxa"/>
              <w:right w:w="28" w:type="dxa"/>
            </w:tcMar>
          </w:tcPr>
          <w:p w14:paraId="70F145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72F39A9A"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3F328C25"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52832CE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000000" w:themeColor="text1"/>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D5E32A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1C9BB8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丁學忠等17人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32C373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w:t>
            </w:r>
            <w:r w:rsidRPr="005E5AA0">
              <w:rPr>
                <w:rFonts w:ascii="標楷體" w:eastAsia="標楷體" w:hAnsi="標楷體" w:hint="eastAsia"/>
                <w:color w:val="000000" w:themeColor="text1"/>
                <w:spacing w:val="-20"/>
                <w:kern w:val="2"/>
                <w:szCs w:val="24"/>
              </w:rPr>
              <w:t>(113.5.17)</w:t>
            </w:r>
            <w:r w:rsidRPr="00B95A07">
              <w:rPr>
                <w:rFonts w:ascii="標楷體" w:eastAsia="標楷體" w:hAnsi="標楷體" w:hint="eastAsia"/>
                <w:color w:val="000000" w:themeColor="text1"/>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324ECE30"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1.第11屆第1會期第16次</w:t>
            </w:r>
            <w:r w:rsidRPr="00222F4B">
              <w:rPr>
                <w:rFonts w:ascii="標楷體" w:eastAsia="標楷體" w:hAnsi="標楷體" w:hint="eastAsia"/>
                <w:spacing w:val="-20"/>
                <w:kern w:val="2"/>
                <w:szCs w:val="24"/>
              </w:rPr>
              <w:t>全體委員會議(113.6.3)審查，</w:t>
            </w:r>
            <w:r w:rsidRPr="00B95A07">
              <w:rPr>
                <w:rFonts w:ascii="標楷體" w:eastAsia="標楷體" w:hAnsi="標楷體" w:hint="eastAsia"/>
                <w:kern w:val="2"/>
                <w:szCs w:val="24"/>
              </w:rPr>
              <w:t>決議：另擇期繼續審查。</w:t>
            </w:r>
          </w:p>
          <w:p w14:paraId="1448CA6D"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2.第11屆第1會期第18次</w:t>
            </w:r>
            <w:r w:rsidRPr="00222F4B">
              <w:rPr>
                <w:rFonts w:ascii="標楷體" w:eastAsia="標楷體" w:hAnsi="標楷體" w:hint="eastAsia"/>
                <w:spacing w:val="-20"/>
                <w:kern w:val="2"/>
                <w:szCs w:val="24"/>
              </w:rPr>
              <w:t>全體委員會議(113.6.19)審查，</w:t>
            </w:r>
            <w:r w:rsidRPr="00B95A07">
              <w:rPr>
                <w:rFonts w:ascii="標楷體" w:eastAsia="標楷體" w:hAnsi="標楷體" w:hint="eastAsia"/>
                <w:kern w:val="2"/>
                <w:szCs w:val="24"/>
              </w:rPr>
              <w:t>決議：另擇期繼續審查。</w:t>
            </w:r>
          </w:p>
          <w:p w14:paraId="478A79E9"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第2會期第3次全體委員會議(113.10.21)審查，</w:t>
            </w:r>
            <w:r w:rsidRPr="00B306EC">
              <w:rPr>
                <w:rFonts w:ascii="標楷體" w:eastAsia="標楷體" w:hAnsi="標楷體" w:hint="eastAsia"/>
                <w:color w:val="000000" w:themeColor="text1"/>
                <w:kern w:val="2"/>
                <w:szCs w:val="24"/>
              </w:rPr>
              <w:t>決議：另擇期繼續審查。</w:t>
            </w:r>
          </w:p>
          <w:p w14:paraId="2673AFF8"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547F81">
              <w:rPr>
                <w:rFonts w:ascii="標楷體" w:eastAsia="標楷體" w:hAnsi="標楷體" w:hint="eastAsia"/>
                <w:color w:val="000000" w:themeColor="text1"/>
                <w:kern w:val="2"/>
                <w:szCs w:val="24"/>
              </w:rPr>
              <w:t>.第11屆第2會期第6次</w:t>
            </w:r>
            <w:r w:rsidRPr="00222F4B">
              <w:rPr>
                <w:rFonts w:ascii="標楷體" w:eastAsia="標楷體" w:hAnsi="標楷體" w:hint="eastAsia"/>
                <w:color w:val="000000" w:themeColor="text1"/>
                <w:spacing w:val="-20"/>
                <w:kern w:val="2"/>
                <w:szCs w:val="24"/>
              </w:rPr>
              <w:t>全體委員會議(113.11.6)審查，</w:t>
            </w:r>
            <w:r w:rsidRPr="00547F81">
              <w:rPr>
                <w:rFonts w:ascii="標楷體" w:eastAsia="標楷體" w:hAnsi="標楷體" w:hint="eastAsia"/>
                <w:color w:val="000000" w:themeColor="text1"/>
                <w:kern w:val="2"/>
                <w:szCs w:val="24"/>
              </w:rPr>
              <w:t>決議：另擇期繼續審查。</w:t>
            </w:r>
          </w:p>
        </w:tc>
      </w:tr>
      <w:tr w:rsidR="00C057F4" w:rsidRPr="00B95A07" w14:paraId="2B590B16"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1137331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0DB0F14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824C91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6428BB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w:t>
            </w:r>
            <w:r w:rsidRPr="005E5AA0">
              <w:rPr>
                <w:rFonts w:ascii="標楷體" w:eastAsia="標楷體" w:hAnsi="標楷體" w:hint="eastAsia"/>
                <w:spacing w:val="-20"/>
                <w:kern w:val="2"/>
                <w:szCs w:val="24"/>
              </w:rPr>
              <w:t>(113.6.28)</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1F591BE"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1.</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AC2C57">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14E4DF5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AC2C57">
              <w:rPr>
                <w:rFonts w:ascii="標楷體" w:eastAsia="標楷體" w:hAnsi="標楷體" w:hint="eastAsia"/>
                <w:color w:val="000000" w:themeColor="text1"/>
                <w:spacing w:val="-24"/>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2878D542"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120B15D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E51EAE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財政收支劃分法第四條、第八條及第十二條條文修正草案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37ADFEF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張嘉郡等27人</w:t>
            </w:r>
          </w:p>
        </w:tc>
        <w:tc>
          <w:tcPr>
            <w:tcW w:w="2552" w:type="dxa"/>
            <w:tcBorders>
              <w:bottom w:val="single" w:sz="4" w:space="0" w:color="000000"/>
            </w:tcBorders>
            <w:shd w:val="clear" w:color="auto" w:fill="FFFFFF"/>
            <w:tcMar>
              <w:top w:w="0" w:type="dxa"/>
              <w:left w:w="28" w:type="dxa"/>
              <w:bottom w:w="0" w:type="dxa"/>
              <w:right w:w="28" w:type="dxa"/>
            </w:tcMar>
          </w:tcPr>
          <w:p w14:paraId="291BB33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5E5AA0">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6B6D1CC"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sidRPr="00B95A07">
              <w:rPr>
                <w:rFonts w:ascii="標楷體" w:eastAsia="標楷體" w:hAnsi="標楷體" w:hint="eastAsia"/>
                <w:kern w:val="2"/>
                <w:szCs w:val="24"/>
              </w:rPr>
              <w:t>第11屆第1會期</w:t>
            </w:r>
            <w:r w:rsidRPr="00AC2C57">
              <w:rPr>
                <w:rFonts w:ascii="標楷體" w:eastAsia="標楷體" w:hAnsi="標楷體" w:hint="eastAsia"/>
                <w:spacing w:val="-24"/>
                <w:kern w:val="2"/>
                <w:szCs w:val="24"/>
              </w:rPr>
              <w:t>第18次全體委員會議(113.6.19)審查</w:t>
            </w:r>
            <w:r w:rsidRPr="00B95A07">
              <w:rPr>
                <w:rFonts w:ascii="標楷體" w:eastAsia="標楷體" w:hAnsi="標楷體" w:hint="eastAsia"/>
                <w:kern w:val="2"/>
                <w:szCs w:val="24"/>
              </w:rPr>
              <w:t>，決議：另</w:t>
            </w:r>
            <w:r w:rsidRPr="00B95A07">
              <w:rPr>
                <w:rFonts w:ascii="標楷體" w:eastAsia="標楷體" w:hAnsi="標楷體" w:hint="eastAsia"/>
                <w:kern w:val="2"/>
                <w:szCs w:val="24"/>
              </w:rPr>
              <w:lastRenderedPageBreak/>
              <w:t>擇期繼續審查。</w:t>
            </w:r>
          </w:p>
          <w:p w14:paraId="4E9B34E8"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7C24B2">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33499228"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7C24B2">
              <w:rPr>
                <w:rFonts w:ascii="標楷體" w:eastAsia="標楷體" w:hAnsi="標楷體" w:hint="eastAsia"/>
                <w:color w:val="000000" w:themeColor="text1"/>
                <w:spacing w:val="-24"/>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3A6678CD"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3E9A1ED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99D099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58860B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陳玉珍等24人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29861DA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第11屆第1會期第12次院會</w:t>
            </w:r>
            <w:r w:rsidRPr="005E5AA0">
              <w:rPr>
                <w:rFonts w:ascii="標楷體" w:eastAsia="標楷體" w:hAnsi="標楷體" w:hint="eastAsia"/>
                <w:spacing w:val="-20"/>
                <w:kern w:val="2"/>
                <w:szCs w:val="24"/>
              </w:rPr>
              <w:t>(113.5.3)</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92D8E54"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6849FD">
              <w:rPr>
                <w:rFonts w:ascii="標楷體" w:eastAsia="標楷體" w:hAnsi="標楷體" w:hint="eastAsia"/>
                <w:spacing w:val="-20"/>
                <w:kern w:val="2"/>
                <w:szCs w:val="24"/>
              </w:rPr>
              <w:t>第13次全體委員會議(113.5.20)審查，</w:t>
            </w:r>
            <w:r w:rsidRPr="00B95A07">
              <w:rPr>
                <w:rFonts w:ascii="標楷體" w:eastAsia="標楷體" w:hAnsi="標楷體" w:hint="eastAsia"/>
                <w:kern w:val="2"/>
                <w:szCs w:val="24"/>
              </w:rPr>
              <w:t>決議：另擇期繼續開會。</w:t>
            </w:r>
          </w:p>
          <w:p w14:paraId="03B9F87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6849FD">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107EDAA9"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w:t>
            </w:r>
            <w:r w:rsidRPr="006849FD">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6D97338C"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5CA17DDD"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13A878BC"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835316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BB62472"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財政收支劃分法第八條條文修正草案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5A1214D"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鄭正鈐等21人</w:t>
            </w:r>
          </w:p>
        </w:tc>
        <w:tc>
          <w:tcPr>
            <w:tcW w:w="2552" w:type="dxa"/>
            <w:tcBorders>
              <w:bottom w:val="single" w:sz="4" w:space="0" w:color="000000"/>
            </w:tcBorders>
            <w:shd w:val="clear" w:color="auto" w:fill="FFFFFF"/>
            <w:tcMar>
              <w:top w:w="0" w:type="dxa"/>
              <w:left w:w="28" w:type="dxa"/>
              <w:bottom w:w="0" w:type="dxa"/>
              <w:right w:w="28" w:type="dxa"/>
            </w:tcMar>
          </w:tcPr>
          <w:p w14:paraId="6187526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F71F611" w14:textId="77777777" w:rsidR="00C057F4" w:rsidRPr="00547F81"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sidRPr="00547F81">
              <w:rPr>
                <w:rFonts w:ascii="標楷體" w:eastAsia="標楷體" w:hAnsi="標楷體" w:hint="eastAsia"/>
                <w:color w:val="000000" w:themeColor="text1"/>
                <w:kern w:val="2"/>
                <w:szCs w:val="24"/>
              </w:rPr>
              <w:t>1.第11屆第2會期</w:t>
            </w:r>
            <w:r w:rsidRPr="006849FD">
              <w:rPr>
                <w:rFonts w:ascii="標楷體" w:eastAsia="標楷體" w:hAnsi="標楷體" w:hint="eastAsia"/>
                <w:color w:val="000000" w:themeColor="text1"/>
                <w:spacing w:val="-24"/>
                <w:kern w:val="2"/>
                <w:szCs w:val="24"/>
              </w:rPr>
              <w:t>第3次全體委員會議(113.10.21)審查，</w:t>
            </w:r>
            <w:r w:rsidRPr="00547F81">
              <w:rPr>
                <w:rFonts w:ascii="標楷體" w:eastAsia="標楷體" w:hAnsi="標楷體" w:hint="eastAsia"/>
                <w:color w:val="000000" w:themeColor="text1"/>
                <w:kern w:val="2"/>
                <w:szCs w:val="24"/>
              </w:rPr>
              <w:t>決議：另擇期繼續審查。</w:t>
            </w:r>
          </w:p>
          <w:p w14:paraId="71F9B52D" w14:textId="77777777" w:rsidR="00C057F4" w:rsidRPr="00C85D18"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w:t>
            </w:r>
            <w:r w:rsidRPr="00B306EC">
              <w:rPr>
                <w:rFonts w:ascii="標楷體" w:eastAsia="標楷體" w:hAnsi="標楷體" w:hint="eastAsia"/>
                <w:color w:val="000000" w:themeColor="text1"/>
                <w:kern w:val="2"/>
                <w:szCs w:val="24"/>
              </w:rPr>
              <w:lastRenderedPageBreak/>
              <w:t>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1DCDA543"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412C81A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377278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財政收支劃分法第八條及第十二條條文修正草案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D345EE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黃健豪等21人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0D299D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5E5AA0">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081CE0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6849FD">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5ECABEF5"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6849FD">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230CAEF9"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38A14480"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0C5556F6"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7549CF1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B9B41D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財政收支劃分法第八條、第十二條及第三十條條文修正草案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7E3A62E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王鴻薇等24人</w:t>
            </w:r>
          </w:p>
        </w:tc>
        <w:tc>
          <w:tcPr>
            <w:tcW w:w="2552" w:type="dxa"/>
            <w:tcBorders>
              <w:bottom w:val="single" w:sz="4" w:space="0" w:color="000000"/>
            </w:tcBorders>
            <w:shd w:val="clear" w:color="auto" w:fill="FFFFFF"/>
            <w:tcMar>
              <w:top w:w="0" w:type="dxa"/>
              <w:left w:w="28" w:type="dxa"/>
              <w:bottom w:w="0" w:type="dxa"/>
              <w:right w:w="28" w:type="dxa"/>
            </w:tcMar>
          </w:tcPr>
          <w:p w14:paraId="20F1D4F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val="restart"/>
            <w:tcBorders>
              <w:bottom w:val="single" w:sz="4" w:space="0" w:color="000000"/>
            </w:tcBorders>
            <w:shd w:val="clear" w:color="auto" w:fill="auto"/>
            <w:tcMar>
              <w:top w:w="0" w:type="dxa"/>
              <w:left w:w="28" w:type="dxa"/>
              <w:bottom w:w="0" w:type="dxa"/>
              <w:right w:w="28" w:type="dxa"/>
            </w:tcMar>
          </w:tcPr>
          <w:p w14:paraId="78832040"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6849FD">
              <w:rPr>
                <w:rFonts w:ascii="標楷體" w:eastAsia="標楷體" w:hAnsi="標楷體" w:hint="eastAsia"/>
                <w:spacing w:val="-20"/>
                <w:kern w:val="2"/>
                <w:szCs w:val="24"/>
              </w:rPr>
              <w:t>第13次全體委員會議(113.5.20)審查</w:t>
            </w:r>
            <w:r w:rsidRPr="00B95A07">
              <w:rPr>
                <w:rFonts w:ascii="標楷體" w:eastAsia="標楷體" w:hAnsi="標楷體" w:hint="eastAsia"/>
                <w:kern w:val="2"/>
                <w:szCs w:val="24"/>
              </w:rPr>
              <w:t>，決議：另擇期繼續開會。</w:t>
            </w:r>
          </w:p>
          <w:p w14:paraId="59793D5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6849FD">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1B3444C0"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w:t>
            </w:r>
            <w:r w:rsidRPr="006849FD">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3F3E280E"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4"/>
                <w:kern w:val="2"/>
                <w:szCs w:val="24"/>
              </w:rPr>
              <w:t>第3次全體委員會議(113.10.21)</w:t>
            </w:r>
            <w:r w:rsidRPr="006849FD">
              <w:rPr>
                <w:rFonts w:ascii="標楷體" w:eastAsia="標楷體" w:hAnsi="標楷體" w:hint="eastAsia"/>
                <w:color w:val="000000" w:themeColor="text1"/>
                <w:spacing w:val="-24"/>
                <w:kern w:val="2"/>
                <w:szCs w:val="24"/>
              </w:rPr>
              <w:lastRenderedPageBreak/>
              <w:t>審查，</w:t>
            </w:r>
            <w:r w:rsidRPr="00B306EC">
              <w:rPr>
                <w:rFonts w:ascii="標楷體" w:eastAsia="標楷體" w:hAnsi="標楷體" w:hint="eastAsia"/>
                <w:color w:val="000000" w:themeColor="text1"/>
                <w:kern w:val="2"/>
                <w:szCs w:val="24"/>
              </w:rPr>
              <w:t>決議：另擇期繼續審查。</w:t>
            </w:r>
          </w:p>
          <w:p w14:paraId="4E9384AA"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6849FD">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586E35D9"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40F5CFB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312F849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6FE632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82EC84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tcBorders>
              <w:top w:val="single" w:sz="4" w:space="0" w:color="000000"/>
              <w:bottom w:val="single" w:sz="4" w:space="0" w:color="000000"/>
            </w:tcBorders>
            <w:shd w:val="clear" w:color="auto" w:fill="auto"/>
            <w:tcMar>
              <w:top w:w="0" w:type="dxa"/>
              <w:left w:w="28" w:type="dxa"/>
              <w:bottom w:w="0" w:type="dxa"/>
              <w:right w:w="28" w:type="dxa"/>
            </w:tcMar>
            <w:vAlign w:val="center"/>
          </w:tcPr>
          <w:p w14:paraId="65C52D7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2E820772"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1714BD3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11AAE83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財政收支劃分法第八條、第十二條及第十六條之一條文修正草案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49ADFD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邱鎮軍等19人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248A29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5E5AA0">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63745581"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F47FE5">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01011061"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F47FE5">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20DE1CE7"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04077E3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4EAA3BA4"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4D645B1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E08870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財政收支劃分法第八條及第三十七條條文修正草案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4830A96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楊瓊瓔等32人</w:t>
            </w:r>
          </w:p>
        </w:tc>
        <w:tc>
          <w:tcPr>
            <w:tcW w:w="2552" w:type="dxa"/>
            <w:tcBorders>
              <w:bottom w:val="single" w:sz="4" w:space="0" w:color="000000"/>
            </w:tcBorders>
            <w:shd w:val="clear" w:color="auto" w:fill="FFFFFF"/>
            <w:tcMar>
              <w:top w:w="0" w:type="dxa"/>
              <w:left w:w="28" w:type="dxa"/>
              <w:bottom w:w="0" w:type="dxa"/>
              <w:right w:w="28" w:type="dxa"/>
            </w:tcMar>
          </w:tcPr>
          <w:p w14:paraId="0DDEAA8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5E5AA0">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241EBE5"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sidRPr="00B95A07">
              <w:rPr>
                <w:rFonts w:ascii="標楷體" w:eastAsia="標楷體" w:hAnsi="標楷體" w:hint="eastAsia"/>
                <w:kern w:val="2"/>
                <w:szCs w:val="24"/>
              </w:rPr>
              <w:t>第11屆第1會期</w:t>
            </w:r>
            <w:r w:rsidRPr="0040262B">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26036FA8"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6CDF5419"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612A44C8" w14:textId="77777777" w:rsidTr="000D2E36">
        <w:trPr>
          <w:trHeight w:val="1040"/>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73BEE674"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D9BF536" w14:textId="77777777" w:rsidR="00C057F4" w:rsidRPr="00B95A07" w:rsidRDefault="00C057F4" w:rsidP="00C057F4">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31B093C" w14:textId="77777777" w:rsidR="00C057F4" w:rsidRPr="00B95A07" w:rsidRDefault="00C057F4" w:rsidP="00C057F4">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賴士葆等29人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F3E1CF0" w14:textId="77777777" w:rsidR="00C057F4" w:rsidRPr="00B95A07" w:rsidRDefault="00C057F4" w:rsidP="00C057F4">
            <w:pPr>
              <w:widowControl w:val="0"/>
              <w:overflowPunct w:val="0"/>
              <w:spacing w:line="32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第11屆第1會期第12次院會(113.5.3)決定：「交財政委員會審查」</w:t>
            </w:r>
          </w:p>
        </w:tc>
        <w:tc>
          <w:tcPr>
            <w:tcW w:w="1984" w:type="dxa"/>
            <w:vMerge w:val="restart"/>
            <w:tcBorders>
              <w:top w:val="single" w:sz="4" w:space="0" w:color="000000"/>
              <w:bottom w:val="single" w:sz="4" w:space="0" w:color="000000"/>
            </w:tcBorders>
            <w:shd w:val="clear" w:color="auto" w:fill="auto"/>
            <w:tcMar>
              <w:top w:w="0" w:type="dxa"/>
              <w:left w:w="28" w:type="dxa"/>
              <w:bottom w:w="0" w:type="dxa"/>
              <w:right w:w="28" w:type="dxa"/>
            </w:tcMar>
          </w:tcPr>
          <w:p w14:paraId="2CE8EA5F"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w:t>
            </w:r>
            <w:r w:rsidRPr="0040262B">
              <w:rPr>
                <w:rFonts w:ascii="標楷體" w:eastAsia="標楷體" w:hAnsi="標楷體" w:hint="eastAsia"/>
                <w:spacing w:val="-20"/>
                <w:kern w:val="2"/>
                <w:szCs w:val="24"/>
              </w:rPr>
              <w:t>第13次全體委員會議(113.5.20)審查，</w:t>
            </w:r>
            <w:r w:rsidRPr="00B95A07">
              <w:rPr>
                <w:rFonts w:ascii="標楷體" w:eastAsia="標楷體" w:hAnsi="標楷體" w:hint="eastAsia"/>
                <w:kern w:val="2"/>
                <w:szCs w:val="24"/>
              </w:rPr>
              <w:t>決議：另擇期繼續開會。</w:t>
            </w:r>
          </w:p>
          <w:p w14:paraId="7E74076A"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w:t>
            </w:r>
            <w:r w:rsidRPr="0040262B">
              <w:rPr>
                <w:rFonts w:ascii="標楷體" w:eastAsia="標楷體" w:hAnsi="標楷體" w:hint="eastAsia"/>
                <w:spacing w:val="-20"/>
                <w:kern w:val="2"/>
                <w:szCs w:val="24"/>
              </w:rPr>
              <w:t>第16次全體委員會議(113.6.3)審查</w:t>
            </w:r>
            <w:r w:rsidRPr="00B95A07">
              <w:rPr>
                <w:rFonts w:ascii="標楷體" w:eastAsia="標楷體" w:hAnsi="標楷體" w:hint="eastAsia"/>
                <w:kern w:val="2"/>
                <w:szCs w:val="24"/>
              </w:rPr>
              <w:t>，決議：另擇期繼續審查。</w:t>
            </w:r>
          </w:p>
          <w:p w14:paraId="444D6398"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w:t>
            </w:r>
            <w:r w:rsidRPr="0040262B">
              <w:rPr>
                <w:rFonts w:ascii="標楷體" w:eastAsia="標楷體" w:hAnsi="標楷體" w:hint="eastAsia"/>
                <w:spacing w:val="-20"/>
                <w:kern w:val="2"/>
                <w:szCs w:val="24"/>
              </w:rPr>
              <w:t>第18次全體委員會議(113.6.19)審查，</w:t>
            </w:r>
            <w:r w:rsidRPr="00B95A07">
              <w:rPr>
                <w:rFonts w:ascii="標楷體" w:eastAsia="標楷體" w:hAnsi="標楷體" w:hint="eastAsia"/>
                <w:kern w:val="2"/>
                <w:szCs w:val="24"/>
              </w:rPr>
              <w:t>決議：另擇期繼續審查。</w:t>
            </w:r>
          </w:p>
          <w:p w14:paraId="67F2A23F" w14:textId="77777777" w:rsidR="00C057F4" w:rsidRDefault="00C057F4" w:rsidP="00C057F4">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62473788" w14:textId="77777777" w:rsidR="00C057F4" w:rsidRPr="00B95A07" w:rsidRDefault="00C057F4" w:rsidP="00C057F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1D7A225D" w14:textId="77777777" w:rsidTr="0040262B">
        <w:trPr>
          <w:jc w:val="center"/>
        </w:trPr>
        <w:tc>
          <w:tcPr>
            <w:tcW w:w="514" w:type="dxa"/>
            <w:tcBorders>
              <w:bottom w:val="single" w:sz="4" w:space="0" w:color="000000"/>
            </w:tcBorders>
            <w:shd w:val="clear" w:color="auto" w:fill="auto"/>
            <w:tcMar>
              <w:top w:w="0" w:type="dxa"/>
              <w:left w:w="28" w:type="dxa"/>
              <w:bottom w:w="0" w:type="dxa"/>
              <w:right w:w="28" w:type="dxa"/>
            </w:tcMar>
          </w:tcPr>
          <w:p w14:paraId="2D9D877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F62E62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財政收支劃分法第三十八條之一條文修正草案</w:t>
            </w:r>
          </w:p>
        </w:tc>
        <w:tc>
          <w:tcPr>
            <w:tcW w:w="1559" w:type="dxa"/>
            <w:tcBorders>
              <w:bottom w:val="single" w:sz="4" w:space="0" w:color="000000"/>
            </w:tcBorders>
            <w:shd w:val="clear" w:color="auto" w:fill="auto"/>
            <w:tcMar>
              <w:top w:w="0" w:type="dxa"/>
              <w:left w:w="28" w:type="dxa"/>
              <w:bottom w:w="0" w:type="dxa"/>
              <w:right w:w="28" w:type="dxa"/>
            </w:tcMar>
          </w:tcPr>
          <w:p w14:paraId="60234A2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bottom w:val="single" w:sz="4" w:space="0" w:color="000000"/>
            </w:tcBorders>
            <w:shd w:val="clear" w:color="auto" w:fill="FFFFFF"/>
            <w:tcMar>
              <w:top w:w="0" w:type="dxa"/>
              <w:left w:w="28" w:type="dxa"/>
              <w:bottom w:w="0" w:type="dxa"/>
              <w:right w:w="28" w:type="dxa"/>
            </w:tcMar>
          </w:tcPr>
          <w:p w14:paraId="44E126B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vMerge/>
            <w:tcBorders>
              <w:bottom w:val="single" w:sz="4" w:space="0" w:color="000000"/>
            </w:tcBorders>
            <w:shd w:val="clear" w:color="auto" w:fill="auto"/>
            <w:tcMar>
              <w:top w:w="0" w:type="dxa"/>
              <w:left w:w="28" w:type="dxa"/>
              <w:bottom w:w="0" w:type="dxa"/>
              <w:right w:w="28" w:type="dxa"/>
            </w:tcMar>
            <w:vAlign w:val="center"/>
          </w:tcPr>
          <w:p w14:paraId="0C97252F"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p>
        </w:tc>
      </w:tr>
      <w:tr w:rsidR="00C057F4" w:rsidRPr="00B95A07" w14:paraId="338EEA97" w14:textId="77777777" w:rsidTr="0052759A">
        <w:trPr>
          <w:jc w:val="center"/>
        </w:trPr>
        <w:tc>
          <w:tcPr>
            <w:tcW w:w="514" w:type="dxa"/>
            <w:tcBorders>
              <w:top w:val="single" w:sz="4" w:space="0" w:color="000000"/>
              <w:bottom w:val="single" w:sz="12" w:space="0" w:color="000000"/>
            </w:tcBorders>
            <w:shd w:val="clear" w:color="auto" w:fill="auto"/>
            <w:tcMar>
              <w:top w:w="0" w:type="dxa"/>
              <w:left w:w="28" w:type="dxa"/>
              <w:bottom w:w="0" w:type="dxa"/>
              <w:right w:w="28" w:type="dxa"/>
            </w:tcMar>
          </w:tcPr>
          <w:p w14:paraId="71851CA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1AA92ED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財政收支劃分法增訂第三十條之一及第三十條之二條文草案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67762D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鄭天財Sra Kacaw等18人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3BC5AA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w:t>
            </w:r>
            <w:r w:rsidRPr="00B95A07">
              <w:rPr>
                <w:rFonts w:ascii="標楷體" w:eastAsia="標楷體" w:hAnsi="標楷體"/>
                <w:kern w:val="2"/>
                <w:szCs w:val="24"/>
              </w:rPr>
              <w:t>16</w:t>
            </w:r>
            <w:r w:rsidRPr="00B95A07">
              <w:rPr>
                <w:rFonts w:ascii="標楷體" w:eastAsia="標楷體" w:hAnsi="標楷體" w:hint="eastAsia"/>
                <w:kern w:val="2"/>
                <w:szCs w:val="24"/>
              </w:rPr>
              <w:t>次院會</w:t>
            </w:r>
            <w:r w:rsidRPr="000109E1">
              <w:rPr>
                <w:rFonts w:ascii="標楷體" w:eastAsia="標楷體" w:hAnsi="標楷體" w:hint="eastAsia"/>
                <w:spacing w:val="-20"/>
                <w:kern w:val="2"/>
                <w:szCs w:val="24"/>
              </w:rPr>
              <w:t>(113.</w:t>
            </w:r>
            <w:r w:rsidRPr="000109E1">
              <w:rPr>
                <w:rFonts w:ascii="標楷體" w:eastAsia="標楷體" w:hAnsi="標楷體"/>
                <w:spacing w:val="-20"/>
                <w:kern w:val="2"/>
                <w:szCs w:val="24"/>
              </w:rPr>
              <w:t>5</w:t>
            </w:r>
            <w:r w:rsidRPr="000109E1">
              <w:rPr>
                <w:rFonts w:ascii="標楷體" w:eastAsia="標楷體" w:hAnsi="標楷體" w:hint="eastAsia"/>
                <w:spacing w:val="-20"/>
                <w:kern w:val="2"/>
                <w:szCs w:val="24"/>
              </w:rPr>
              <w:t>.</w:t>
            </w:r>
            <w:r w:rsidRPr="000109E1">
              <w:rPr>
                <w:rFonts w:ascii="標楷體" w:eastAsia="標楷體" w:hAnsi="標楷體"/>
                <w:spacing w:val="-20"/>
                <w:kern w:val="2"/>
                <w:szCs w:val="24"/>
              </w:rPr>
              <w:t>31</w:t>
            </w:r>
            <w:r w:rsidRPr="000109E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12" w:space="0" w:color="000000"/>
            </w:tcBorders>
            <w:shd w:val="clear" w:color="auto" w:fill="auto"/>
            <w:tcMar>
              <w:top w:w="0" w:type="dxa"/>
              <w:left w:w="28" w:type="dxa"/>
              <w:bottom w:w="0" w:type="dxa"/>
              <w:right w:w="28" w:type="dxa"/>
            </w:tcMar>
            <w:vAlign w:val="center"/>
          </w:tcPr>
          <w:p w14:paraId="2933F0E6" w14:textId="77777777" w:rsidR="00C057F4" w:rsidRPr="00B306EC" w:rsidRDefault="00C057F4" w:rsidP="00A42328">
            <w:pPr>
              <w:widowControl w:val="0"/>
              <w:overflowPunct w:val="0"/>
              <w:autoSpaceDN/>
              <w:spacing w:line="320" w:lineRule="exact"/>
              <w:ind w:left="240" w:hangingChars="100" w:hanging="240"/>
              <w:jc w:val="both"/>
              <w:textAlignment w:val="auto"/>
              <w:rPr>
                <w:rFonts w:ascii="標楷體" w:eastAsia="標楷體" w:hAnsi="標楷體"/>
                <w:color w:val="000000" w:themeColor="text1"/>
                <w:kern w:val="2"/>
                <w:szCs w:val="24"/>
              </w:rPr>
            </w:pPr>
            <w:r w:rsidRPr="00B306EC">
              <w:rPr>
                <w:rFonts w:ascii="標楷體" w:eastAsia="標楷體" w:hAnsi="標楷體" w:hint="eastAsia"/>
                <w:color w:val="000000" w:themeColor="text1"/>
                <w:kern w:val="2"/>
                <w:szCs w:val="24"/>
              </w:rPr>
              <w:t>1.第11屆第1會期</w:t>
            </w:r>
            <w:r w:rsidRPr="0040262B">
              <w:rPr>
                <w:rFonts w:ascii="標楷體" w:eastAsia="標楷體" w:hAnsi="標楷體" w:hint="eastAsia"/>
                <w:color w:val="000000" w:themeColor="text1"/>
                <w:spacing w:val="-20"/>
                <w:kern w:val="2"/>
                <w:szCs w:val="24"/>
              </w:rPr>
              <w:t>第18次全體委員會議(113.6.19)審查，</w:t>
            </w:r>
            <w:r w:rsidRPr="00B306EC">
              <w:rPr>
                <w:rFonts w:ascii="標楷體" w:eastAsia="標楷體" w:hAnsi="標楷體" w:hint="eastAsia"/>
                <w:color w:val="000000" w:themeColor="text1"/>
                <w:kern w:val="2"/>
                <w:szCs w:val="24"/>
              </w:rPr>
              <w:t>決議：另擇期繼續審查。</w:t>
            </w:r>
          </w:p>
          <w:p w14:paraId="48AD7209" w14:textId="77777777" w:rsidR="00C057F4" w:rsidRDefault="00C057F4" w:rsidP="00A42328">
            <w:pPr>
              <w:widowControl w:val="0"/>
              <w:overflowPunct w:val="0"/>
              <w:autoSpaceDN/>
              <w:spacing w:line="32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4"/>
                <w:kern w:val="2"/>
                <w:szCs w:val="24"/>
              </w:rPr>
              <w:t>第3次全體委員會議(113.10.21)審查，</w:t>
            </w:r>
            <w:r w:rsidRPr="00B306EC">
              <w:rPr>
                <w:rFonts w:ascii="標楷體" w:eastAsia="標楷體" w:hAnsi="標楷體" w:hint="eastAsia"/>
                <w:color w:val="000000" w:themeColor="text1"/>
                <w:kern w:val="2"/>
                <w:szCs w:val="24"/>
              </w:rPr>
              <w:t>決議：另擇期繼續審查。</w:t>
            </w:r>
          </w:p>
          <w:p w14:paraId="40FC8BE0" w14:textId="77777777" w:rsidR="00C057F4" w:rsidRPr="00B95A07" w:rsidRDefault="00C057F4" w:rsidP="00A42328">
            <w:pPr>
              <w:widowControl w:val="0"/>
              <w:overflowPunct w:val="0"/>
              <w:autoSpaceDN/>
              <w:spacing w:line="32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3.</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40262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tc>
      </w:tr>
      <w:tr w:rsidR="00C057F4" w:rsidRPr="00B95A07" w14:paraId="3D0F5864" w14:textId="77777777" w:rsidTr="0052759A">
        <w:trPr>
          <w:jc w:val="center"/>
        </w:trPr>
        <w:tc>
          <w:tcPr>
            <w:tcW w:w="514" w:type="dxa"/>
            <w:tcBorders>
              <w:top w:val="single" w:sz="12" w:space="0" w:color="000000"/>
              <w:left w:val="single" w:sz="4" w:space="0" w:color="000000"/>
              <w:bottom w:val="single" w:sz="12" w:space="0" w:color="000000"/>
            </w:tcBorders>
            <w:shd w:val="clear" w:color="auto" w:fill="auto"/>
            <w:tcMar>
              <w:top w:w="0" w:type="dxa"/>
              <w:left w:w="28" w:type="dxa"/>
              <w:bottom w:w="0" w:type="dxa"/>
              <w:right w:w="28" w:type="dxa"/>
            </w:tcMar>
          </w:tcPr>
          <w:p w14:paraId="0CCA710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4D5E1E8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財政紀律法第六條、第十條及第十二條之一條文修正</w:t>
            </w:r>
            <w:bookmarkStart w:id="86" w:name="_GoBack"/>
            <w:bookmarkEnd w:id="86"/>
            <w:r w:rsidRPr="00B95A07">
              <w:rPr>
                <w:rFonts w:ascii="標楷體" w:eastAsia="標楷體" w:hAnsi="標楷體" w:hint="eastAsia"/>
                <w:kern w:val="2"/>
                <w:szCs w:val="24"/>
              </w:rPr>
              <w:t>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2EC557B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63C1DB7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F0C7C7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42AC2DCC" w14:textId="77777777" w:rsidTr="0052759A">
        <w:trPr>
          <w:jc w:val="center"/>
        </w:trPr>
        <w:tc>
          <w:tcPr>
            <w:tcW w:w="51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BEBD8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79F60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公共債務法增訂第五條之一條文草案</w:t>
            </w:r>
          </w:p>
        </w:tc>
        <w:tc>
          <w:tcPr>
            <w:tcW w:w="155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DF57E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503C4D6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0109E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473345A"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4264926" w14:textId="77777777" w:rsidTr="0052759A">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6265C16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4BA560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公共債務法增訂第五條之一條文草案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2B8325C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614E32F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1006137D"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D0E14F0" w14:textId="77777777" w:rsidTr="0040262B">
        <w:trPr>
          <w:jc w:val="center"/>
        </w:trPr>
        <w:tc>
          <w:tcPr>
            <w:tcW w:w="514" w:type="dxa"/>
            <w:tcBorders>
              <w:bottom w:val="single" w:sz="12" w:space="0" w:color="000000"/>
            </w:tcBorders>
            <w:shd w:val="clear" w:color="auto" w:fill="auto"/>
            <w:tcMar>
              <w:top w:w="0" w:type="dxa"/>
              <w:left w:w="28" w:type="dxa"/>
              <w:bottom w:w="0" w:type="dxa"/>
              <w:right w:w="28" w:type="dxa"/>
            </w:tcMar>
          </w:tcPr>
          <w:p w14:paraId="5BD10D1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DF141B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公共債務法第十二條條文修正草案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2B71FE9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bottom w:val="single" w:sz="12" w:space="0" w:color="000000"/>
            </w:tcBorders>
            <w:shd w:val="clear" w:color="auto" w:fill="FFFFFF"/>
            <w:tcMar>
              <w:top w:w="0" w:type="dxa"/>
              <w:left w:w="28" w:type="dxa"/>
              <w:bottom w:w="0" w:type="dxa"/>
              <w:right w:w="28" w:type="dxa"/>
            </w:tcMar>
          </w:tcPr>
          <w:p w14:paraId="4F3FBD7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5B537DCD"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939FB9D"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046118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6B1A654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國有財產法第五十二條之二條文修正草案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EACC98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蔡其昌等2</w:t>
            </w:r>
            <w:r>
              <w:rPr>
                <w:rFonts w:ascii="標楷體" w:eastAsia="標楷體" w:hAnsi="標楷體" w:hint="eastAsia"/>
                <w:kern w:val="2"/>
                <w:szCs w:val="24"/>
              </w:rPr>
              <w:t>1</w:t>
            </w:r>
            <w:r w:rsidRPr="00B95A07">
              <w:rPr>
                <w:rFonts w:ascii="標楷體" w:eastAsia="標楷體" w:hAnsi="標楷體" w:hint="eastAsia"/>
                <w:kern w:val="2"/>
                <w:szCs w:val="24"/>
              </w:rPr>
              <w:t>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5BB635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0DF7FE3"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EE97D1F"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07668D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29A0B96D"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公有貴重財產文物清點法草案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15F662B7"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葉元之等20人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835D156"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第11屆第2會期第4次院會(113.10.11)決定：「交財政、教育及文化兩委員會審查」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3AC9554"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0F20806F"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5E7204A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7292DD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規費法第十二條條文修正草案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1D093A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9BC715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6D55C98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E83960B"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6CEBCDB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2D3F791D"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公庫法部分條文修正草案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71617C9"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59B7A73"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58B54E24" w14:textId="77777777" w:rsidR="00C057F4" w:rsidRPr="005139B1"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057F4" w:rsidRPr="00B95A07" w14:paraId="07F9C584" w14:textId="77777777" w:rsidTr="0040262B">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591FEB1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388B2CBF"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促進民間參與公共建設法第四十八條之二條文修正草案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4E406F3B"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8F80E17"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w:t>
            </w:r>
            <w:r w:rsidRPr="00523F4D">
              <w:rPr>
                <w:rFonts w:ascii="標楷體" w:eastAsia="標楷體" w:hAnsi="標楷體" w:hint="eastAsia"/>
                <w:spacing w:val="-20"/>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F415228"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41C685DB"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41B0B88" w14:textId="77777777" w:rsidR="00C057F4" w:rsidRPr="00B95A07" w:rsidRDefault="00C057F4" w:rsidP="00A42328">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6C962B2F" w14:textId="77777777" w:rsidR="00C057F4" w:rsidRPr="005139B1" w:rsidRDefault="00C057F4" w:rsidP="00A4232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公益彩券發行條例部分條文修正草案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58038E8D" w14:textId="77777777" w:rsidR="00C057F4" w:rsidRPr="005139B1" w:rsidRDefault="00C057F4" w:rsidP="00A4232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B80A765" w14:textId="77777777" w:rsidR="00C057F4" w:rsidRPr="005139B1" w:rsidRDefault="00C057F4" w:rsidP="00A4232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w:t>
            </w:r>
            <w:r w:rsidRPr="00523F4D">
              <w:rPr>
                <w:rFonts w:ascii="標楷體" w:eastAsia="標楷體" w:hAnsi="標楷體" w:hint="eastAsia"/>
                <w:spacing w:val="-20"/>
                <w:kern w:val="2"/>
                <w:szCs w:val="24"/>
              </w:rPr>
              <w:t>「交財政、社會福利及衛生環境兩委員會審查」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1A27DF2" w14:textId="77777777" w:rsidR="00C057F4" w:rsidRPr="005139B1" w:rsidRDefault="00C057F4" w:rsidP="00A42328">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057F4" w:rsidRPr="00B95A07" w14:paraId="2FE2E0B9" w14:textId="77777777" w:rsidTr="00523F4D">
        <w:trPr>
          <w:trHeight w:val="519"/>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809ED5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二</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金融監督管理委員會</w:t>
            </w:r>
            <w:r w:rsidRPr="00B95A07">
              <w:rPr>
                <w:rFonts w:ascii="標楷體" w:eastAsia="標楷體" w:hAnsi="標楷體"/>
                <w:b/>
                <w:kern w:val="2"/>
                <w:sz w:val="28"/>
                <w:szCs w:val="28"/>
              </w:rPr>
              <w:t>主管（</w:t>
            </w:r>
            <w:r>
              <w:rPr>
                <w:rFonts w:ascii="標楷體" w:eastAsia="標楷體" w:hAnsi="標楷體" w:hint="eastAsia"/>
                <w:b/>
                <w:kern w:val="2"/>
                <w:sz w:val="28"/>
                <w:szCs w:val="28"/>
              </w:rPr>
              <w:t>37</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C057F4" w:rsidRPr="00B95A07" w14:paraId="29BCD936"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2DD3E30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4B8C0B5"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EC5B8B2"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24B4F71"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523F4D">
              <w:rPr>
                <w:rFonts w:ascii="標楷體" w:eastAsia="標楷體" w:hAnsi="標楷體" w:hint="eastAsia"/>
                <w:spacing w:val="-20"/>
                <w:kern w:val="2"/>
                <w:szCs w:val="24"/>
              </w:rPr>
              <w:t>第11屆第1會期第12次</w:t>
            </w:r>
            <w:r w:rsidRPr="00B95A07">
              <w:rPr>
                <w:rFonts w:ascii="標楷體" w:eastAsia="標楷體" w:hAnsi="標楷體" w:hint="eastAsia"/>
                <w:kern w:val="2"/>
                <w:szCs w:val="24"/>
              </w:rPr>
              <w:t>院會(113.5.3)決定：「交財政委員會審查」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4E338687"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B2B5E58" w14:textId="77777777" w:rsidTr="00523F4D">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4CE5C33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257FADBD" w14:textId="77777777" w:rsidR="00C057F4" w:rsidRPr="009C72AA"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9C72AA">
              <w:rPr>
                <w:rFonts w:ascii="標楷體" w:eastAsia="標楷體" w:hAnsi="標楷體" w:hint="eastAsia"/>
                <w:kern w:val="2"/>
                <w:szCs w:val="24"/>
              </w:rPr>
              <w:t>金融消費者保護法第三條及第四條條文修正草案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2E38F671" w14:textId="77777777" w:rsidR="00C057F4" w:rsidRPr="009C72AA"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A530B2A" w14:textId="77777777" w:rsidR="00C057F4" w:rsidRPr="009C72AA"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3EE03A5A" w14:textId="77777777" w:rsidR="00C057F4" w:rsidRPr="009C72AA"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5026789E"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09CF330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CE5844F"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金融消費者保護法第十一條條文修正草案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3C11B2B3"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bottom w:val="single" w:sz="12" w:space="0" w:color="000000"/>
            </w:tcBorders>
            <w:shd w:val="clear" w:color="auto" w:fill="FFFFFF"/>
            <w:tcMar>
              <w:top w:w="0" w:type="dxa"/>
              <w:left w:w="28" w:type="dxa"/>
              <w:bottom w:w="0" w:type="dxa"/>
              <w:right w:w="28" w:type="dxa"/>
            </w:tcMar>
          </w:tcPr>
          <w:p w14:paraId="0E015B5E"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51ACC8F" w14:textId="77777777" w:rsidR="00C057F4" w:rsidRPr="00B95A07" w:rsidRDefault="00C057F4" w:rsidP="00A42328">
            <w:pPr>
              <w:widowControl w:val="0"/>
              <w:overflowPunct w:val="0"/>
              <w:autoSpaceDN/>
              <w:spacing w:line="340" w:lineRule="atLeas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C6DE21E" w14:textId="77777777" w:rsidTr="00005688">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6EEE2A1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41D2061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銀行法增訂部分條文草案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14016F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02BECD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6CCDC0E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110A8D5" w14:textId="77777777" w:rsidTr="00005688">
        <w:trPr>
          <w:jc w:val="center"/>
        </w:trPr>
        <w:tc>
          <w:tcPr>
            <w:tcW w:w="514" w:type="dxa"/>
            <w:tcBorders>
              <w:bottom w:val="single" w:sz="4" w:space="0" w:color="000000"/>
            </w:tcBorders>
            <w:shd w:val="clear" w:color="auto" w:fill="auto"/>
            <w:tcMar>
              <w:top w:w="0" w:type="dxa"/>
              <w:left w:w="28" w:type="dxa"/>
              <w:bottom w:w="0" w:type="dxa"/>
              <w:right w:w="28" w:type="dxa"/>
            </w:tcMar>
          </w:tcPr>
          <w:p w14:paraId="0E886A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2591D5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銀行法第一百二十五條及第一百二十五條之四條文修正草案</w:t>
            </w:r>
          </w:p>
        </w:tc>
        <w:tc>
          <w:tcPr>
            <w:tcW w:w="1559" w:type="dxa"/>
            <w:tcBorders>
              <w:bottom w:val="single" w:sz="4" w:space="0" w:color="000000"/>
            </w:tcBorders>
            <w:shd w:val="clear" w:color="auto" w:fill="auto"/>
            <w:tcMar>
              <w:top w:w="0" w:type="dxa"/>
              <w:left w:w="28" w:type="dxa"/>
              <w:bottom w:w="0" w:type="dxa"/>
              <w:right w:w="28" w:type="dxa"/>
            </w:tcMar>
          </w:tcPr>
          <w:p w14:paraId="4FC730F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蔡易餘等16人</w:t>
            </w:r>
          </w:p>
        </w:tc>
        <w:tc>
          <w:tcPr>
            <w:tcW w:w="2552" w:type="dxa"/>
            <w:tcBorders>
              <w:bottom w:val="single" w:sz="4" w:space="0" w:color="000000"/>
            </w:tcBorders>
            <w:shd w:val="clear" w:color="auto" w:fill="FFFFFF"/>
            <w:tcMar>
              <w:top w:w="0" w:type="dxa"/>
              <w:left w:w="28" w:type="dxa"/>
              <w:bottom w:w="0" w:type="dxa"/>
              <w:right w:w="28" w:type="dxa"/>
            </w:tcMar>
          </w:tcPr>
          <w:p w14:paraId="27ADC9C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8</w:t>
            </w:r>
            <w:r w:rsidRPr="00B95A07">
              <w:rPr>
                <w:rFonts w:ascii="標楷體" w:eastAsia="標楷體" w:hAnsi="標楷體" w:hint="eastAsia"/>
                <w:kern w:val="2"/>
                <w:szCs w:val="24"/>
              </w:rPr>
              <w:t>次院會</w:t>
            </w:r>
            <w:r w:rsidRPr="000109E1">
              <w:rPr>
                <w:rFonts w:ascii="標楷體" w:eastAsia="標楷體" w:hAnsi="標楷體" w:hint="eastAsia"/>
                <w:spacing w:val="-20"/>
                <w:kern w:val="2"/>
                <w:szCs w:val="24"/>
              </w:rPr>
              <w:t>(113.</w:t>
            </w:r>
            <w:r w:rsidRPr="000109E1">
              <w:rPr>
                <w:rFonts w:ascii="標楷體" w:eastAsia="標楷體" w:hAnsi="標楷體"/>
                <w:spacing w:val="-20"/>
                <w:kern w:val="2"/>
                <w:szCs w:val="24"/>
              </w:rPr>
              <w:t>6</w:t>
            </w:r>
            <w:r w:rsidRPr="000109E1">
              <w:rPr>
                <w:rFonts w:ascii="標楷體" w:eastAsia="標楷體" w:hAnsi="標楷體" w:hint="eastAsia"/>
                <w:spacing w:val="-20"/>
                <w:kern w:val="2"/>
                <w:szCs w:val="24"/>
              </w:rPr>
              <w:t>.</w:t>
            </w:r>
            <w:r w:rsidRPr="000109E1">
              <w:rPr>
                <w:rFonts w:ascii="標楷體" w:eastAsia="標楷體" w:hAnsi="標楷體"/>
                <w:spacing w:val="-20"/>
                <w:kern w:val="2"/>
                <w:szCs w:val="24"/>
              </w:rPr>
              <w:t>14</w:t>
            </w:r>
            <w:r w:rsidRPr="000109E1">
              <w:rPr>
                <w:rFonts w:ascii="標楷體" w:eastAsia="標楷體" w:hAnsi="標楷體" w:hint="eastAsia"/>
                <w:spacing w:val="-20"/>
                <w:kern w:val="2"/>
                <w:szCs w:val="24"/>
              </w:rPr>
              <w:t>)</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1226F3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AB0BA0" w14:paraId="3395869B" w14:textId="77777777" w:rsidTr="00005688">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6729BAC9" w14:textId="77777777" w:rsidR="00C057F4" w:rsidRPr="00AB0BA0"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46EF8ED4"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銀行法第一百二十五條及第一百二十五條之四條文修正草案」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F4744BD"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牛煦庭等16人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C24EBD1" w14:textId="77777777" w:rsidR="00C057F4" w:rsidRPr="005139B1"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第11屆第2會期第1次院會(113.9.20)決定：「交財政委員會審查」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4F776CCB" w14:textId="77777777" w:rsidR="00C057F4" w:rsidRPr="005139B1"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057F4" w:rsidRPr="00B95A07" w14:paraId="4012DA3E"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0A59C08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303AC05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銀行法增訂第一百三十三條之二條文草案</w:t>
            </w:r>
          </w:p>
        </w:tc>
        <w:tc>
          <w:tcPr>
            <w:tcW w:w="1559" w:type="dxa"/>
            <w:tcBorders>
              <w:bottom w:val="single" w:sz="12" w:space="0" w:color="000000"/>
            </w:tcBorders>
            <w:shd w:val="clear" w:color="auto" w:fill="auto"/>
            <w:tcMar>
              <w:top w:w="0" w:type="dxa"/>
              <w:left w:w="28" w:type="dxa"/>
              <w:bottom w:w="0" w:type="dxa"/>
              <w:right w:w="28" w:type="dxa"/>
            </w:tcMar>
          </w:tcPr>
          <w:p w14:paraId="58F0F11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bottom w:val="single" w:sz="12" w:space="0" w:color="000000"/>
            </w:tcBorders>
            <w:shd w:val="clear" w:color="auto" w:fill="FFFFFF"/>
            <w:tcMar>
              <w:top w:w="0" w:type="dxa"/>
              <w:left w:w="28" w:type="dxa"/>
              <w:bottom w:w="0" w:type="dxa"/>
              <w:right w:w="28" w:type="dxa"/>
            </w:tcMar>
          </w:tcPr>
          <w:p w14:paraId="2E5ED1E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06A6979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31BD7DD"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2E4B5A8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1BDDF83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電子支付機構管理條例第二十九條條文修正草案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2D882EC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顏寬恒等21人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C771EC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60E45849"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D832F8E"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4E350FF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64B2C9B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證券交易法第十一條條文修正草案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39F1D19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0D0272B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0109E1">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31F7765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42E9D6E4"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2CC45FE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049F4057"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證券交易法第二十二條條文修正草案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6C73F7E9"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陳玉珍等17人</w:t>
            </w:r>
          </w:p>
        </w:tc>
        <w:tc>
          <w:tcPr>
            <w:tcW w:w="2552" w:type="dxa"/>
            <w:tcBorders>
              <w:bottom w:val="single" w:sz="12" w:space="0" w:color="000000"/>
            </w:tcBorders>
            <w:shd w:val="clear" w:color="auto" w:fill="FFFFFF"/>
            <w:tcMar>
              <w:top w:w="0" w:type="dxa"/>
              <w:left w:w="28" w:type="dxa"/>
              <w:bottom w:w="0" w:type="dxa"/>
              <w:right w:w="28" w:type="dxa"/>
            </w:tcMar>
          </w:tcPr>
          <w:p w14:paraId="37FA893A" w14:textId="77777777" w:rsidR="00C057F4" w:rsidRPr="00744A39" w:rsidRDefault="00C057F4" w:rsidP="00C057F4">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w:t>
            </w:r>
            <w:r w:rsidRPr="000109E1">
              <w:rPr>
                <w:rFonts w:ascii="標楷體" w:eastAsia="標楷體" w:hAnsi="標楷體" w:hint="eastAsia"/>
                <w:spacing w:val="-20"/>
                <w:kern w:val="2"/>
                <w:szCs w:val="24"/>
              </w:rPr>
              <w:t>(113.10.11)</w:t>
            </w:r>
            <w:r w:rsidRPr="00744A39">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216F38FC" w14:textId="77777777" w:rsidR="00C057F4" w:rsidRPr="00744A39" w:rsidRDefault="00C057F4" w:rsidP="00C057F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057F4" w:rsidRPr="00B95A07" w14:paraId="7E7DF01F"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1FE5BD4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4B9AF5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證券投資人及期貨交易人保護法第十條之一條文修正草案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12B9DC0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林楚茵等17人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7F3A125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71DE76B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5A8F2A6"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4071CFC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93C91C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證券投資人及期貨交易人保護法第十條之一條文修正草案</w:t>
            </w:r>
          </w:p>
        </w:tc>
        <w:tc>
          <w:tcPr>
            <w:tcW w:w="1559" w:type="dxa"/>
            <w:tcBorders>
              <w:bottom w:val="single" w:sz="12" w:space="0" w:color="000000"/>
            </w:tcBorders>
            <w:shd w:val="clear" w:color="auto" w:fill="auto"/>
            <w:tcMar>
              <w:top w:w="0" w:type="dxa"/>
              <w:left w:w="28" w:type="dxa"/>
              <w:bottom w:w="0" w:type="dxa"/>
              <w:right w:w="28" w:type="dxa"/>
            </w:tcMar>
          </w:tcPr>
          <w:p w14:paraId="53B2727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王鴻薇等19人</w:t>
            </w:r>
          </w:p>
        </w:tc>
        <w:tc>
          <w:tcPr>
            <w:tcW w:w="2552" w:type="dxa"/>
            <w:tcBorders>
              <w:bottom w:val="single" w:sz="12" w:space="0" w:color="000000"/>
            </w:tcBorders>
            <w:shd w:val="clear" w:color="auto" w:fill="FFFFFF"/>
            <w:tcMar>
              <w:top w:w="0" w:type="dxa"/>
              <w:left w:w="28" w:type="dxa"/>
              <w:bottom w:w="0" w:type="dxa"/>
              <w:right w:w="28" w:type="dxa"/>
            </w:tcMar>
          </w:tcPr>
          <w:p w14:paraId="7FDEF96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第11屆第1會期第16次院會</w:t>
            </w:r>
            <w:r w:rsidRPr="00601241">
              <w:rPr>
                <w:rFonts w:ascii="標楷體" w:eastAsia="標楷體" w:hAnsi="標楷體" w:hint="eastAsia"/>
                <w:spacing w:val="-20"/>
                <w:kern w:val="2"/>
                <w:szCs w:val="24"/>
              </w:rPr>
              <w:t>(113.5.31)</w:t>
            </w:r>
            <w:r w:rsidRPr="00B95A07">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2812D603"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2274663"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6D71C80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4113D35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證券投資信託及顧問法第四十條條文修正草案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09EA05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07B1D19" w14:textId="1A0847ED" w:rsidR="00523F4D"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601241">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E1837F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A636129"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57C4070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164E60D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保險法部分條文修正草案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57E54AD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w:t>
            </w:r>
            <w:r w:rsidRPr="00B95A07">
              <w:rPr>
                <w:rFonts w:ascii="標楷體" w:eastAsia="標楷體" w:hAnsi="標楷體"/>
                <w:kern w:val="2"/>
                <w:szCs w:val="24"/>
              </w:rPr>
              <w:t>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27582F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第11屆第1會期第19次院會(113.6.21)</w:t>
            </w:r>
            <w:r w:rsidRPr="00523F4D">
              <w:rPr>
                <w:rFonts w:ascii="標楷體" w:eastAsia="標楷體" w:hAnsi="標楷體" w:hint="eastAsia"/>
                <w:spacing w:val="-24"/>
                <w:kern w:val="2"/>
                <w:szCs w:val="24"/>
              </w:rPr>
              <w:t>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412EC5B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151BB6C" w14:textId="77777777" w:rsidTr="00523F4D">
        <w:trPr>
          <w:jc w:val="center"/>
        </w:trPr>
        <w:tc>
          <w:tcPr>
            <w:tcW w:w="514" w:type="dxa"/>
            <w:tcBorders>
              <w:top w:val="single" w:sz="4" w:space="0" w:color="000000"/>
            </w:tcBorders>
            <w:shd w:val="clear" w:color="auto" w:fill="auto"/>
            <w:tcMar>
              <w:top w:w="0" w:type="dxa"/>
              <w:left w:w="28" w:type="dxa"/>
              <w:bottom w:w="0" w:type="dxa"/>
              <w:right w:w="28" w:type="dxa"/>
            </w:tcMar>
          </w:tcPr>
          <w:p w14:paraId="1193226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549BD8AE"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kern w:val="2"/>
                <w:szCs w:val="24"/>
              </w:rPr>
              <w:t>保險法部分條文修正草案</w:t>
            </w:r>
          </w:p>
        </w:tc>
        <w:tc>
          <w:tcPr>
            <w:tcW w:w="1559" w:type="dxa"/>
            <w:tcBorders>
              <w:top w:val="single" w:sz="4" w:space="0" w:color="000000"/>
            </w:tcBorders>
            <w:shd w:val="clear" w:color="auto" w:fill="auto"/>
            <w:tcMar>
              <w:top w:w="0" w:type="dxa"/>
              <w:left w:w="28" w:type="dxa"/>
              <w:bottom w:w="0" w:type="dxa"/>
              <w:right w:w="28" w:type="dxa"/>
            </w:tcMar>
          </w:tcPr>
          <w:p w14:paraId="79D47070"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羅廷瑋等</w:t>
            </w:r>
            <w:r w:rsidRPr="005A07A3">
              <w:rPr>
                <w:rFonts w:ascii="標楷體" w:eastAsia="標楷體" w:hAnsi="標楷體"/>
                <w:kern w:val="2"/>
                <w:szCs w:val="24"/>
              </w:rPr>
              <w:t>1</w:t>
            </w:r>
            <w:r w:rsidRPr="005A07A3">
              <w:rPr>
                <w:rFonts w:ascii="標楷體" w:eastAsia="標楷體" w:hAnsi="標楷體" w:hint="eastAsia"/>
                <w:kern w:val="2"/>
                <w:szCs w:val="24"/>
              </w:rPr>
              <w:t>6</w:t>
            </w:r>
            <w:r w:rsidRPr="005A07A3">
              <w:rPr>
                <w:rFonts w:ascii="標楷體" w:eastAsia="標楷體" w:hAnsi="標楷體"/>
                <w:kern w:val="2"/>
                <w:szCs w:val="24"/>
              </w:rPr>
              <w:t>人</w:t>
            </w:r>
          </w:p>
        </w:tc>
        <w:tc>
          <w:tcPr>
            <w:tcW w:w="2552" w:type="dxa"/>
            <w:tcBorders>
              <w:top w:val="single" w:sz="4" w:space="0" w:color="000000"/>
            </w:tcBorders>
            <w:shd w:val="clear" w:color="auto" w:fill="FFFFFF"/>
            <w:tcMar>
              <w:top w:w="0" w:type="dxa"/>
              <w:left w:w="28" w:type="dxa"/>
              <w:bottom w:w="0" w:type="dxa"/>
              <w:right w:w="28" w:type="dxa"/>
            </w:tcMar>
          </w:tcPr>
          <w:p w14:paraId="65EA61BC"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601241">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6BB45C9C"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372E7AD7" w14:textId="77777777" w:rsidTr="000D2E36">
        <w:trPr>
          <w:jc w:val="center"/>
        </w:trPr>
        <w:tc>
          <w:tcPr>
            <w:tcW w:w="514" w:type="dxa"/>
            <w:shd w:val="clear" w:color="auto" w:fill="auto"/>
            <w:tcMar>
              <w:top w:w="0" w:type="dxa"/>
              <w:left w:w="28" w:type="dxa"/>
              <w:bottom w:w="0" w:type="dxa"/>
              <w:right w:w="28" w:type="dxa"/>
            </w:tcMar>
          </w:tcPr>
          <w:p w14:paraId="378FBD5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05F27F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保險法部分條文修正草案</w:t>
            </w:r>
          </w:p>
        </w:tc>
        <w:tc>
          <w:tcPr>
            <w:tcW w:w="1559" w:type="dxa"/>
            <w:shd w:val="clear" w:color="auto" w:fill="auto"/>
            <w:tcMar>
              <w:top w:w="0" w:type="dxa"/>
              <w:left w:w="28" w:type="dxa"/>
              <w:bottom w:w="0" w:type="dxa"/>
              <w:right w:w="28" w:type="dxa"/>
            </w:tcMar>
          </w:tcPr>
          <w:p w14:paraId="7D8D1BF9"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王世堅等18人</w:t>
            </w:r>
          </w:p>
        </w:tc>
        <w:tc>
          <w:tcPr>
            <w:tcW w:w="2552" w:type="dxa"/>
            <w:shd w:val="clear" w:color="auto" w:fill="FFFFFF"/>
            <w:tcMar>
              <w:top w:w="0" w:type="dxa"/>
              <w:left w:w="28" w:type="dxa"/>
              <w:bottom w:w="0" w:type="dxa"/>
              <w:right w:w="28" w:type="dxa"/>
            </w:tcMar>
          </w:tcPr>
          <w:p w14:paraId="29771938"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60124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90F3343"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1947C006" w14:textId="77777777" w:rsidTr="000D2E36">
        <w:trPr>
          <w:jc w:val="center"/>
        </w:trPr>
        <w:tc>
          <w:tcPr>
            <w:tcW w:w="514" w:type="dxa"/>
            <w:shd w:val="clear" w:color="auto" w:fill="auto"/>
            <w:tcMar>
              <w:top w:w="0" w:type="dxa"/>
              <w:left w:w="28" w:type="dxa"/>
              <w:bottom w:w="0" w:type="dxa"/>
              <w:right w:w="28" w:type="dxa"/>
            </w:tcMar>
          </w:tcPr>
          <w:p w14:paraId="0D2B5A5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3361D24"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保險法部分條文修正草案</w:t>
            </w:r>
          </w:p>
        </w:tc>
        <w:tc>
          <w:tcPr>
            <w:tcW w:w="1559" w:type="dxa"/>
            <w:shd w:val="clear" w:color="auto" w:fill="auto"/>
            <w:tcMar>
              <w:top w:w="0" w:type="dxa"/>
              <w:left w:w="28" w:type="dxa"/>
              <w:bottom w:w="0" w:type="dxa"/>
              <w:right w:w="28" w:type="dxa"/>
            </w:tcMar>
          </w:tcPr>
          <w:p w14:paraId="5E08BDE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徐富癸等16人</w:t>
            </w:r>
          </w:p>
        </w:tc>
        <w:tc>
          <w:tcPr>
            <w:tcW w:w="2552" w:type="dxa"/>
            <w:shd w:val="clear" w:color="auto" w:fill="FFFFFF"/>
            <w:tcMar>
              <w:top w:w="0" w:type="dxa"/>
              <w:left w:w="28" w:type="dxa"/>
              <w:bottom w:w="0" w:type="dxa"/>
              <w:right w:w="28" w:type="dxa"/>
            </w:tcMar>
          </w:tcPr>
          <w:p w14:paraId="1069256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601241">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2CCB960A"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646772B7" w14:textId="77777777" w:rsidTr="00601241">
        <w:trPr>
          <w:jc w:val="center"/>
        </w:trPr>
        <w:tc>
          <w:tcPr>
            <w:tcW w:w="514" w:type="dxa"/>
            <w:tcBorders>
              <w:bottom w:val="single" w:sz="4" w:space="0" w:color="000000"/>
            </w:tcBorders>
            <w:shd w:val="clear" w:color="auto" w:fill="auto"/>
            <w:tcMar>
              <w:top w:w="0" w:type="dxa"/>
              <w:left w:w="28" w:type="dxa"/>
              <w:bottom w:w="0" w:type="dxa"/>
              <w:right w:w="28" w:type="dxa"/>
            </w:tcMar>
          </w:tcPr>
          <w:p w14:paraId="709E571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58098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保險法增訂第一百二十三條之一條文草案</w:t>
            </w:r>
          </w:p>
        </w:tc>
        <w:tc>
          <w:tcPr>
            <w:tcW w:w="1559" w:type="dxa"/>
            <w:tcBorders>
              <w:bottom w:val="single" w:sz="4" w:space="0" w:color="000000"/>
            </w:tcBorders>
            <w:shd w:val="clear" w:color="auto" w:fill="auto"/>
            <w:tcMar>
              <w:top w:w="0" w:type="dxa"/>
              <w:left w:w="28" w:type="dxa"/>
              <w:bottom w:w="0" w:type="dxa"/>
              <w:right w:w="28" w:type="dxa"/>
            </w:tcMar>
          </w:tcPr>
          <w:p w14:paraId="3157E98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鍾佳濱等21人</w:t>
            </w:r>
          </w:p>
        </w:tc>
        <w:tc>
          <w:tcPr>
            <w:tcW w:w="2552" w:type="dxa"/>
            <w:tcBorders>
              <w:bottom w:val="single" w:sz="4" w:space="0" w:color="000000"/>
            </w:tcBorders>
            <w:shd w:val="clear" w:color="auto" w:fill="FFFFFF"/>
            <w:tcMar>
              <w:top w:w="0" w:type="dxa"/>
              <w:left w:w="28" w:type="dxa"/>
              <w:bottom w:w="0" w:type="dxa"/>
              <w:right w:w="28" w:type="dxa"/>
            </w:tcMar>
          </w:tcPr>
          <w:p w14:paraId="14A594FE" w14:textId="712EC792"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60124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2F517E4F"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9661454" w14:textId="77777777" w:rsidTr="00601241">
        <w:trPr>
          <w:jc w:val="center"/>
        </w:trPr>
        <w:tc>
          <w:tcPr>
            <w:tcW w:w="514" w:type="dxa"/>
            <w:tcBorders>
              <w:bottom w:val="single" w:sz="4" w:space="0" w:color="000000"/>
            </w:tcBorders>
            <w:shd w:val="clear" w:color="auto" w:fill="auto"/>
            <w:tcMar>
              <w:top w:w="0" w:type="dxa"/>
              <w:left w:w="28" w:type="dxa"/>
              <w:bottom w:w="0" w:type="dxa"/>
              <w:right w:w="28" w:type="dxa"/>
            </w:tcMar>
          </w:tcPr>
          <w:p w14:paraId="6FA8C46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88368CD"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保險法第一百二十八條條文修正草案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458621B"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bottom w:val="single" w:sz="4" w:space="0" w:color="000000"/>
            </w:tcBorders>
            <w:shd w:val="clear" w:color="auto" w:fill="FFFFFF"/>
            <w:tcMar>
              <w:top w:w="0" w:type="dxa"/>
              <w:left w:w="28" w:type="dxa"/>
              <w:bottom w:w="0" w:type="dxa"/>
              <w:right w:w="28" w:type="dxa"/>
            </w:tcMar>
          </w:tcPr>
          <w:p w14:paraId="6DB87348"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w:t>
            </w:r>
            <w:r w:rsidRPr="00111A8D">
              <w:rPr>
                <w:rFonts w:ascii="標楷體" w:eastAsia="標楷體" w:hAnsi="標楷體" w:hint="eastAsia"/>
                <w:kern w:val="2"/>
                <w:szCs w:val="24"/>
              </w:rPr>
              <w:lastRenderedPageBreak/>
              <w:t>定：「交財政委員會審查」</w:t>
            </w:r>
            <w:r w:rsidRPr="00111A8D">
              <w:rPr>
                <w:rFonts w:ascii="標楷體" w:eastAsia="標楷體" w:hAnsi="標楷體" w:hint="eastAsia"/>
                <w:kern w:val="2"/>
                <w:szCs w:val="24"/>
              </w:rPr>
              <w:tab/>
            </w:r>
          </w:p>
        </w:tc>
        <w:tc>
          <w:tcPr>
            <w:tcW w:w="1984" w:type="dxa"/>
            <w:tcBorders>
              <w:bottom w:val="single" w:sz="4" w:space="0" w:color="000000"/>
            </w:tcBorders>
            <w:shd w:val="clear" w:color="auto" w:fill="auto"/>
            <w:tcMar>
              <w:top w:w="0" w:type="dxa"/>
              <w:left w:w="28" w:type="dxa"/>
              <w:bottom w:w="0" w:type="dxa"/>
              <w:right w:w="28" w:type="dxa"/>
            </w:tcMar>
            <w:vAlign w:val="center"/>
          </w:tcPr>
          <w:p w14:paraId="582B8A50"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lastRenderedPageBreak/>
              <w:t>尚未審查</w:t>
            </w:r>
          </w:p>
        </w:tc>
      </w:tr>
      <w:tr w:rsidR="00C057F4" w:rsidRPr="00B95A07" w14:paraId="4E44796E" w14:textId="77777777" w:rsidTr="00601241">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7C26984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FABE93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保險法第一百四十六條之四條文修正草案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311F3A6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6103D4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080BF862"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C057F4" w:rsidRPr="00B95A07" w14:paraId="4221A9AC"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33F342C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655D9F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保險法增訂第一百七十四條之二及第一百七十四條之三條文草案</w:t>
            </w:r>
          </w:p>
        </w:tc>
        <w:tc>
          <w:tcPr>
            <w:tcW w:w="1559" w:type="dxa"/>
            <w:tcBorders>
              <w:bottom w:val="single" w:sz="4" w:space="0" w:color="000000"/>
            </w:tcBorders>
            <w:shd w:val="clear" w:color="auto" w:fill="auto"/>
            <w:tcMar>
              <w:top w:w="0" w:type="dxa"/>
              <w:left w:w="28" w:type="dxa"/>
              <w:bottom w:w="0" w:type="dxa"/>
              <w:right w:w="28" w:type="dxa"/>
            </w:tcMar>
          </w:tcPr>
          <w:p w14:paraId="76985E8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bottom w:val="single" w:sz="4" w:space="0" w:color="000000"/>
            </w:tcBorders>
            <w:shd w:val="clear" w:color="auto" w:fill="FFFFFF"/>
            <w:tcMar>
              <w:top w:w="0" w:type="dxa"/>
              <w:left w:w="28" w:type="dxa"/>
              <w:bottom w:w="0" w:type="dxa"/>
              <w:right w:w="28" w:type="dxa"/>
            </w:tcMar>
          </w:tcPr>
          <w:p w14:paraId="4E6F53E8" w14:textId="3CB3CE9B"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60124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FF2D6A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682F9F5" w14:textId="77777777" w:rsidTr="000D2E36">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2076FFA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10399CA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D3B925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416A5ED0" w14:textId="70BF5524"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第11屆第1會期第22次院會</w:t>
            </w:r>
            <w:r w:rsidRPr="00601241">
              <w:rPr>
                <w:rFonts w:ascii="標楷體" w:eastAsia="標楷體" w:hAnsi="標楷體" w:hint="eastAsia"/>
                <w:spacing w:val="-20"/>
                <w:kern w:val="2"/>
                <w:szCs w:val="24"/>
              </w:rPr>
              <w:t>(113.7.12)</w:t>
            </w:r>
            <w:r w:rsidRPr="00B95A07">
              <w:rPr>
                <w:rFonts w:ascii="標楷體" w:eastAsia="標楷體" w:hAnsi="標楷體" w:hint="eastAsia"/>
                <w:kern w:val="2"/>
                <w:szCs w:val="24"/>
              </w:rPr>
              <w:t>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vAlign w:val="center"/>
          </w:tcPr>
          <w:p w14:paraId="28C41C6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49B32CFA" w14:textId="77777777" w:rsidTr="000D2E36">
        <w:trPr>
          <w:jc w:val="center"/>
        </w:trPr>
        <w:tc>
          <w:tcPr>
            <w:tcW w:w="514" w:type="dxa"/>
            <w:tcBorders>
              <w:top w:val="single" w:sz="4" w:space="0" w:color="000000"/>
            </w:tcBorders>
            <w:shd w:val="clear" w:color="auto" w:fill="auto"/>
            <w:tcMar>
              <w:top w:w="0" w:type="dxa"/>
              <w:left w:w="28" w:type="dxa"/>
              <w:bottom w:w="0" w:type="dxa"/>
              <w:right w:w="28" w:type="dxa"/>
            </w:tcMar>
          </w:tcPr>
          <w:p w14:paraId="69BBF19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6A30E40E"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tcBorders>
            <w:shd w:val="clear" w:color="auto" w:fill="auto"/>
            <w:tcMar>
              <w:top w:w="0" w:type="dxa"/>
              <w:left w:w="28" w:type="dxa"/>
              <w:bottom w:w="0" w:type="dxa"/>
              <w:right w:w="28" w:type="dxa"/>
            </w:tcMar>
          </w:tcPr>
          <w:p w14:paraId="70A9ECFC"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羅智強等19人</w:t>
            </w:r>
          </w:p>
        </w:tc>
        <w:tc>
          <w:tcPr>
            <w:tcW w:w="2552" w:type="dxa"/>
            <w:tcBorders>
              <w:top w:val="single" w:sz="4" w:space="0" w:color="000000"/>
            </w:tcBorders>
            <w:shd w:val="clear" w:color="auto" w:fill="FFFFFF"/>
            <w:tcMar>
              <w:top w:w="0" w:type="dxa"/>
              <w:left w:w="28" w:type="dxa"/>
              <w:bottom w:w="0" w:type="dxa"/>
              <w:right w:w="28" w:type="dxa"/>
            </w:tcMar>
          </w:tcPr>
          <w:p w14:paraId="41F58212" w14:textId="77777777" w:rsidR="00C057F4" w:rsidRPr="00C85D18" w:rsidRDefault="00C057F4" w:rsidP="00C057F4">
            <w:pPr>
              <w:widowControl w:val="0"/>
              <w:overflowPunct w:val="0"/>
              <w:autoSpaceDN/>
              <w:spacing w:line="32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第11屆第2會期第3次院會(113.10.4)決定：「交財政委員會審查」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028BD691" w14:textId="77777777" w:rsidR="00C057F4" w:rsidRPr="00C85D18" w:rsidRDefault="00C057F4" w:rsidP="00C057F4">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C057F4" w:rsidRPr="00B95A07" w14:paraId="24CE4A21" w14:textId="77777777" w:rsidTr="00523F4D">
        <w:trPr>
          <w:jc w:val="center"/>
        </w:trPr>
        <w:tc>
          <w:tcPr>
            <w:tcW w:w="514" w:type="dxa"/>
            <w:tcBorders>
              <w:bottom w:val="single" w:sz="4" w:space="0" w:color="000000"/>
            </w:tcBorders>
            <w:shd w:val="clear" w:color="auto" w:fill="auto"/>
            <w:tcMar>
              <w:top w:w="0" w:type="dxa"/>
              <w:left w:w="28" w:type="dxa"/>
              <w:bottom w:w="0" w:type="dxa"/>
              <w:right w:w="28" w:type="dxa"/>
            </w:tcMar>
          </w:tcPr>
          <w:p w14:paraId="79D1446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C3AA64B"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保險法增訂第一百七十四條之二及第一百七十四條之三條文草案</w:t>
            </w:r>
          </w:p>
        </w:tc>
        <w:tc>
          <w:tcPr>
            <w:tcW w:w="1559" w:type="dxa"/>
            <w:tcBorders>
              <w:bottom w:val="single" w:sz="4" w:space="0" w:color="000000"/>
            </w:tcBorders>
            <w:shd w:val="clear" w:color="auto" w:fill="auto"/>
            <w:tcMar>
              <w:top w:w="0" w:type="dxa"/>
              <w:left w:w="28" w:type="dxa"/>
              <w:bottom w:w="0" w:type="dxa"/>
              <w:right w:w="28" w:type="dxa"/>
            </w:tcMar>
          </w:tcPr>
          <w:p w14:paraId="210A7AF7"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李坤城等23人</w:t>
            </w:r>
          </w:p>
        </w:tc>
        <w:tc>
          <w:tcPr>
            <w:tcW w:w="2552" w:type="dxa"/>
            <w:tcBorders>
              <w:bottom w:val="single" w:sz="4" w:space="0" w:color="000000"/>
            </w:tcBorders>
            <w:shd w:val="clear" w:color="auto" w:fill="FFFFFF"/>
            <w:tcMar>
              <w:top w:w="0" w:type="dxa"/>
              <w:left w:w="28" w:type="dxa"/>
              <w:bottom w:w="0" w:type="dxa"/>
              <w:right w:w="28" w:type="dxa"/>
            </w:tcMar>
          </w:tcPr>
          <w:p w14:paraId="2A1C28FA"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601241">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155CD118"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6647B4F7" w14:textId="77777777" w:rsidTr="00523F4D">
        <w:trPr>
          <w:jc w:val="center"/>
        </w:trPr>
        <w:tc>
          <w:tcPr>
            <w:tcW w:w="514" w:type="dxa"/>
            <w:tcBorders>
              <w:bottom w:val="single" w:sz="4" w:space="0" w:color="000000"/>
            </w:tcBorders>
            <w:shd w:val="clear" w:color="auto" w:fill="auto"/>
            <w:tcMar>
              <w:top w:w="0" w:type="dxa"/>
              <w:left w:w="28" w:type="dxa"/>
              <w:bottom w:w="0" w:type="dxa"/>
              <w:right w:w="28" w:type="dxa"/>
            </w:tcMar>
          </w:tcPr>
          <w:p w14:paraId="18FEA79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C70DA6B"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保險法增訂第一百七十四條之二及第一百七十四條之三條文草案</w:t>
            </w:r>
          </w:p>
        </w:tc>
        <w:tc>
          <w:tcPr>
            <w:tcW w:w="1559" w:type="dxa"/>
            <w:tcBorders>
              <w:bottom w:val="single" w:sz="4" w:space="0" w:color="000000"/>
            </w:tcBorders>
            <w:shd w:val="clear" w:color="auto" w:fill="auto"/>
            <w:tcMar>
              <w:top w:w="0" w:type="dxa"/>
              <w:left w:w="28" w:type="dxa"/>
              <w:bottom w:w="0" w:type="dxa"/>
              <w:right w:w="28" w:type="dxa"/>
            </w:tcMar>
          </w:tcPr>
          <w:p w14:paraId="10783768"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賴瑞隆等17人</w:t>
            </w:r>
          </w:p>
        </w:tc>
        <w:tc>
          <w:tcPr>
            <w:tcW w:w="2552" w:type="dxa"/>
            <w:tcBorders>
              <w:bottom w:val="single" w:sz="4" w:space="0" w:color="000000"/>
            </w:tcBorders>
            <w:shd w:val="clear" w:color="auto" w:fill="FFFFFF"/>
            <w:tcMar>
              <w:top w:w="0" w:type="dxa"/>
              <w:left w:w="28" w:type="dxa"/>
              <w:bottom w:w="0" w:type="dxa"/>
              <w:right w:w="28" w:type="dxa"/>
            </w:tcMar>
          </w:tcPr>
          <w:p w14:paraId="6EF2400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601241">
              <w:rPr>
                <w:rFonts w:ascii="標楷體" w:eastAsia="標楷體" w:hAnsi="標楷體" w:hint="eastAsia"/>
                <w:spacing w:val="-20"/>
                <w:kern w:val="2"/>
                <w:szCs w:val="24"/>
              </w:rPr>
              <w:t>(113.10.18)</w:t>
            </w:r>
            <w:r w:rsidRPr="002708EA">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5E9070E4"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78C89D8F" w14:textId="77777777" w:rsidTr="00523F4D">
        <w:trPr>
          <w:jc w:val="center"/>
        </w:trPr>
        <w:tc>
          <w:tcPr>
            <w:tcW w:w="514" w:type="dxa"/>
            <w:tcBorders>
              <w:top w:val="single" w:sz="4" w:space="0" w:color="000000"/>
            </w:tcBorders>
            <w:shd w:val="clear" w:color="auto" w:fill="auto"/>
            <w:tcMar>
              <w:top w:w="0" w:type="dxa"/>
              <w:left w:w="28" w:type="dxa"/>
              <w:bottom w:w="0" w:type="dxa"/>
              <w:right w:w="28" w:type="dxa"/>
            </w:tcMar>
          </w:tcPr>
          <w:p w14:paraId="67F6554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70324DB2"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保險法增訂第一百七十四條之二及第一百七十四條之三條文草案</w:t>
            </w:r>
          </w:p>
        </w:tc>
        <w:tc>
          <w:tcPr>
            <w:tcW w:w="1559" w:type="dxa"/>
            <w:tcBorders>
              <w:top w:val="single" w:sz="4" w:space="0" w:color="000000"/>
            </w:tcBorders>
            <w:shd w:val="clear" w:color="auto" w:fill="auto"/>
            <w:tcMar>
              <w:top w:w="0" w:type="dxa"/>
              <w:left w:w="28" w:type="dxa"/>
              <w:bottom w:w="0" w:type="dxa"/>
              <w:right w:w="28" w:type="dxa"/>
            </w:tcMar>
          </w:tcPr>
          <w:p w14:paraId="54DB9BC0"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王美惠等17人</w:t>
            </w:r>
          </w:p>
        </w:tc>
        <w:tc>
          <w:tcPr>
            <w:tcW w:w="2552" w:type="dxa"/>
            <w:tcBorders>
              <w:top w:val="single" w:sz="4" w:space="0" w:color="000000"/>
            </w:tcBorders>
            <w:shd w:val="clear" w:color="auto" w:fill="FFFFFF"/>
            <w:tcMar>
              <w:top w:w="0" w:type="dxa"/>
              <w:left w:w="28" w:type="dxa"/>
              <w:bottom w:w="0" w:type="dxa"/>
              <w:right w:w="28" w:type="dxa"/>
            </w:tcMar>
          </w:tcPr>
          <w:p w14:paraId="07F2F8C8" w14:textId="77777777" w:rsidR="00C057F4" w:rsidRPr="001C252E"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第11屆第2會期第10次院會(113.11.22)決定：「交財政委員會審查」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0F3ED6F1" w14:textId="77777777" w:rsidR="00C057F4" w:rsidRPr="001C252E"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057F4" w:rsidRPr="00B95A07" w14:paraId="13FB4DE6" w14:textId="77777777" w:rsidTr="000D2E36">
        <w:trPr>
          <w:jc w:val="center"/>
        </w:trPr>
        <w:tc>
          <w:tcPr>
            <w:tcW w:w="514" w:type="dxa"/>
            <w:shd w:val="clear" w:color="auto" w:fill="auto"/>
            <w:tcMar>
              <w:top w:w="0" w:type="dxa"/>
              <w:left w:w="28" w:type="dxa"/>
              <w:bottom w:w="0" w:type="dxa"/>
              <w:right w:w="28" w:type="dxa"/>
            </w:tcMar>
          </w:tcPr>
          <w:p w14:paraId="4351782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77A432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186F461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shd w:val="clear" w:color="auto" w:fill="FFFFFF"/>
            <w:tcMar>
              <w:top w:w="0" w:type="dxa"/>
              <w:left w:w="28" w:type="dxa"/>
              <w:bottom w:w="0" w:type="dxa"/>
              <w:right w:w="28" w:type="dxa"/>
            </w:tcMar>
          </w:tcPr>
          <w:p w14:paraId="7FE019F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w:t>
            </w:r>
            <w:r w:rsidRPr="00601241">
              <w:rPr>
                <w:rFonts w:ascii="標楷體" w:eastAsia="標楷體" w:hAnsi="標楷體" w:hint="eastAsia"/>
                <w:spacing w:val="-20"/>
                <w:kern w:val="2"/>
                <w:szCs w:val="24"/>
              </w:rPr>
              <w:t>(113.4.19)</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352365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4904E21D" w14:textId="77777777" w:rsidTr="000D2E36">
        <w:trPr>
          <w:jc w:val="center"/>
        </w:trPr>
        <w:tc>
          <w:tcPr>
            <w:tcW w:w="514" w:type="dxa"/>
            <w:shd w:val="clear" w:color="auto" w:fill="auto"/>
            <w:tcMar>
              <w:top w:w="0" w:type="dxa"/>
              <w:left w:w="28" w:type="dxa"/>
              <w:bottom w:w="0" w:type="dxa"/>
              <w:right w:w="28" w:type="dxa"/>
            </w:tcMar>
          </w:tcPr>
          <w:p w14:paraId="2AE81D1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25AFC49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6316475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蔡易餘等19人</w:t>
            </w:r>
          </w:p>
        </w:tc>
        <w:tc>
          <w:tcPr>
            <w:tcW w:w="2552" w:type="dxa"/>
            <w:shd w:val="clear" w:color="auto" w:fill="FFFFFF"/>
            <w:tcMar>
              <w:top w:w="0" w:type="dxa"/>
              <w:left w:w="28" w:type="dxa"/>
              <w:bottom w:w="0" w:type="dxa"/>
              <w:right w:w="28" w:type="dxa"/>
            </w:tcMar>
          </w:tcPr>
          <w:p w14:paraId="68BB0CE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vMerge w:val="restart"/>
            <w:shd w:val="clear" w:color="auto" w:fill="auto"/>
            <w:tcMar>
              <w:top w:w="0" w:type="dxa"/>
              <w:left w:w="28" w:type="dxa"/>
              <w:bottom w:w="0" w:type="dxa"/>
              <w:right w:w="28" w:type="dxa"/>
            </w:tcMar>
            <w:vAlign w:val="center"/>
          </w:tcPr>
          <w:p w14:paraId="6AEAB3E9" w14:textId="77777777" w:rsidR="00C057F4" w:rsidRPr="00B95A07" w:rsidRDefault="00C057F4" w:rsidP="00C057F4">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第11屆第1會期第10次全體委員會議(113.4.22)審查，決議：另擇期繼續審查。</w:t>
            </w:r>
          </w:p>
        </w:tc>
      </w:tr>
      <w:tr w:rsidR="00C057F4" w:rsidRPr="00B95A07" w14:paraId="34EC98E9" w14:textId="77777777" w:rsidTr="000D2E36">
        <w:trPr>
          <w:jc w:val="center"/>
        </w:trPr>
        <w:tc>
          <w:tcPr>
            <w:tcW w:w="514" w:type="dxa"/>
            <w:shd w:val="clear" w:color="auto" w:fill="auto"/>
            <w:tcMar>
              <w:top w:w="0" w:type="dxa"/>
              <w:left w:w="28" w:type="dxa"/>
              <w:bottom w:w="0" w:type="dxa"/>
              <w:right w:w="28" w:type="dxa"/>
            </w:tcMar>
          </w:tcPr>
          <w:p w14:paraId="5B633EB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096AA81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5BBF1C2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王鴻薇等16人</w:t>
            </w:r>
          </w:p>
        </w:tc>
        <w:tc>
          <w:tcPr>
            <w:tcW w:w="2552" w:type="dxa"/>
            <w:shd w:val="clear" w:color="auto" w:fill="FFFFFF"/>
            <w:tcMar>
              <w:top w:w="0" w:type="dxa"/>
              <w:left w:w="28" w:type="dxa"/>
              <w:bottom w:w="0" w:type="dxa"/>
              <w:right w:w="28" w:type="dxa"/>
            </w:tcMar>
          </w:tcPr>
          <w:p w14:paraId="4DA7B49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984" w:type="dxa"/>
            <w:vMerge/>
            <w:shd w:val="clear" w:color="auto" w:fill="auto"/>
            <w:tcMar>
              <w:top w:w="0" w:type="dxa"/>
              <w:left w:w="28" w:type="dxa"/>
              <w:bottom w:w="0" w:type="dxa"/>
              <w:right w:w="28" w:type="dxa"/>
            </w:tcMar>
            <w:vAlign w:val="center"/>
          </w:tcPr>
          <w:p w14:paraId="35C72BE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p>
        </w:tc>
      </w:tr>
      <w:tr w:rsidR="00C057F4" w:rsidRPr="00B95A07" w14:paraId="3A8D4DE4" w14:textId="77777777" w:rsidTr="000D2E36">
        <w:trPr>
          <w:jc w:val="center"/>
        </w:trPr>
        <w:tc>
          <w:tcPr>
            <w:tcW w:w="514" w:type="dxa"/>
            <w:shd w:val="clear" w:color="auto" w:fill="auto"/>
            <w:tcMar>
              <w:top w:w="0" w:type="dxa"/>
              <w:left w:w="28" w:type="dxa"/>
              <w:bottom w:w="0" w:type="dxa"/>
              <w:right w:w="28" w:type="dxa"/>
            </w:tcMar>
          </w:tcPr>
          <w:p w14:paraId="73B2E18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0822147"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0B436DB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34D600C5" w14:textId="26A35DCA"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0109E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10E84AE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77AA0414" w14:textId="77777777" w:rsidTr="000D2E36">
        <w:trPr>
          <w:jc w:val="center"/>
        </w:trPr>
        <w:tc>
          <w:tcPr>
            <w:tcW w:w="514" w:type="dxa"/>
            <w:shd w:val="clear" w:color="auto" w:fill="auto"/>
            <w:tcMar>
              <w:top w:w="0" w:type="dxa"/>
              <w:left w:w="28" w:type="dxa"/>
              <w:bottom w:w="0" w:type="dxa"/>
              <w:right w:w="28" w:type="dxa"/>
            </w:tcMar>
          </w:tcPr>
          <w:p w14:paraId="59F1E77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04A811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shd w:val="clear" w:color="auto" w:fill="auto"/>
            <w:tcMar>
              <w:top w:w="0" w:type="dxa"/>
              <w:left w:w="28" w:type="dxa"/>
              <w:bottom w:w="0" w:type="dxa"/>
              <w:right w:w="28" w:type="dxa"/>
            </w:tcMar>
          </w:tcPr>
          <w:p w14:paraId="3546878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莊瑞雄等16人</w:t>
            </w:r>
          </w:p>
        </w:tc>
        <w:tc>
          <w:tcPr>
            <w:tcW w:w="2552" w:type="dxa"/>
            <w:shd w:val="clear" w:color="auto" w:fill="FFFFFF"/>
            <w:tcMar>
              <w:top w:w="0" w:type="dxa"/>
              <w:left w:w="28" w:type="dxa"/>
              <w:bottom w:w="0" w:type="dxa"/>
              <w:right w:w="28" w:type="dxa"/>
            </w:tcMar>
          </w:tcPr>
          <w:p w14:paraId="6DC90BE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w:t>
            </w:r>
            <w:r w:rsidRPr="00601241">
              <w:rPr>
                <w:rFonts w:ascii="標楷體" w:eastAsia="標楷體" w:hAnsi="標楷體" w:hint="eastAsia"/>
                <w:spacing w:val="-20"/>
                <w:kern w:val="2"/>
                <w:szCs w:val="24"/>
              </w:rPr>
              <w:t>(113.5.10)</w:t>
            </w:r>
            <w:r w:rsidRPr="00B95A07">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54DB2F14"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079E70D" w14:textId="77777777" w:rsidTr="00523F4D">
        <w:trPr>
          <w:jc w:val="center"/>
        </w:trPr>
        <w:tc>
          <w:tcPr>
            <w:tcW w:w="514" w:type="dxa"/>
            <w:tcBorders>
              <w:bottom w:val="single" w:sz="4" w:space="0" w:color="000000"/>
            </w:tcBorders>
            <w:shd w:val="clear" w:color="auto" w:fill="auto"/>
            <w:tcMar>
              <w:top w:w="0" w:type="dxa"/>
              <w:left w:w="28" w:type="dxa"/>
              <w:bottom w:w="0" w:type="dxa"/>
              <w:right w:w="28" w:type="dxa"/>
            </w:tcMar>
          </w:tcPr>
          <w:p w14:paraId="506B7018"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4B83A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6A9EF0C0"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洪孟楷等16人</w:t>
            </w:r>
          </w:p>
        </w:tc>
        <w:tc>
          <w:tcPr>
            <w:tcW w:w="2552" w:type="dxa"/>
            <w:tcBorders>
              <w:bottom w:val="single" w:sz="4" w:space="0" w:color="000000"/>
            </w:tcBorders>
            <w:shd w:val="clear" w:color="auto" w:fill="FFFFFF"/>
            <w:tcMar>
              <w:top w:w="0" w:type="dxa"/>
              <w:left w:w="28" w:type="dxa"/>
              <w:bottom w:w="0" w:type="dxa"/>
              <w:right w:w="28" w:type="dxa"/>
            </w:tcMar>
          </w:tcPr>
          <w:p w14:paraId="6E86F79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w:t>
            </w:r>
            <w:r w:rsidRPr="00601241">
              <w:rPr>
                <w:rFonts w:ascii="標楷體" w:eastAsia="標楷體" w:hAnsi="標楷體" w:hint="eastAsia"/>
                <w:spacing w:val="-20"/>
                <w:kern w:val="2"/>
                <w:szCs w:val="24"/>
              </w:rPr>
              <w:t>(113.6.28)</w:t>
            </w:r>
            <w:r w:rsidRPr="00B95A07">
              <w:rPr>
                <w:rFonts w:ascii="標楷體" w:eastAsia="標楷體" w:hAnsi="標楷體" w:hint="eastAsia"/>
                <w:kern w:val="2"/>
                <w:szCs w:val="24"/>
              </w:rPr>
              <w:t>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4AD5A078"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6EDD0186"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5FA18DD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53CAC905"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保險法第一百七十七條條文修正草案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258EA34E"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林思銘等20人</w:t>
            </w:r>
          </w:p>
        </w:tc>
        <w:tc>
          <w:tcPr>
            <w:tcW w:w="2552" w:type="dxa"/>
            <w:tcBorders>
              <w:bottom w:val="single" w:sz="12" w:space="0" w:color="000000"/>
            </w:tcBorders>
            <w:shd w:val="clear" w:color="auto" w:fill="FFFFFF"/>
            <w:tcMar>
              <w:top w:w="0" w:type="dxa"/>
              <w:left w:w="28" w:type="dxa"/>
              <w:bottom w:w="0" w:type="dxa"/>
              <w:right w:w="28" w:type="dxa"/>
            </w:tcMar>
          </w:tcPr>
          <w:p w14:paraId="6C1B9CAF" w14:textId="77777777" w:rsidR="00C057F4" w:rsidRPr="00D043C5" w:rsidRDefault="00C057F4" w:rsidP="00C057F4">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7A56CBFF" w14:textId="77777777" w:rsidR="00C057F4" w:rsidRPr="00D043C5" w:rsidRDefault="00C057F4" w:rsidP="00C057F4">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057F4" w:rsidRPr="00B95A07" w14:paraId="6384EC9C"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2F9076AE" w14:textId="77777777" w:rsidR="00C057F4" w:rsidRPr="00111A8D"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425B492"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簡易人壽保險法第二十條條文修正草案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458D2A31" w14:textId="77777777"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53987BE2" w14:textId="34AF9479" w:rsidR="00C057F4" w:rsidRPr="00111A8D"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第11屆第2會期第11次院會(113.11.29)決定：「交財政委員會審查」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1BD55E07" w14:textId="77777777" w:rsidR="00C057F4" w:rsidRPr="00111A8D"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C057F4" w:rsidRPr="00B95A07" w14:paraId="2DB8EC88" w14:textId="77777777" w:rsidTr="00523F4D">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7D76141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5EE3E2E"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融資公司法草案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0FD4339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5ACD041F"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第11屆第1會期第22次院會</w:t>
            </w:r>
            <w:r w:rsidRPr="00FD77A2">
              <w:rPr>
                <w:rFonts w:ascii="標楷體" w:eastAsia="標楷體" w:hAnsi="標楷體" w:hint="eastAsia"/>
                <w:spacing w:val="-20"/>
                <w:kern w:val="2"/>
                <w:szCs w:val="24"/>
              </w:rPr>
              <w:t>(113.7.12)</w:t>
            </w:r>
            <w:r w:rsidRPr="009C72AA">
              <w:rPr>
                <w:rFonts w:ascii="標楷體" w:eastAsia="標楷體" w:hAnsi="標楷體" w:hint="eastAsia"/>
                <w:kern w:val="2"/>
                <w:szCs w:val="24"/>
              </w:rPr>
              <w:t>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0623FD4B"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0A3C1078" w14:textId="77777777" w:rsidTr="00523F4D">
        <w:trPr>
          <w:jc w:val="center"/>
        </w:trPr>
        <w:tc>
          <w:tcPr>
            <w:tcW w:w="514" w:type="dxa"/>
            <w:tcBorders>
              <w:bottom w:val="single" w:sz="12" w:space="0" w:color="000000"/>
            </w:tcBorders>
            <w:shd w:val="clear" w:color="auto" w:fill="auto"/>
            <w:tcMar>
              <w:top w:w="0" w:type="dxa"/>
              <w:left w:w="28" w:type="dxa"/>
              <w:bottom w:w="0" w:type="dxa"/>
              <w:right w:w="28" w:type="dxa"/>
            </w:tcMar>
          </w:tcPr>
          <w:p w14:paraId="2A56DF6B"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61C5E6AF"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融資公司法草案</w:t>
            </w:r>
          </w:p>
        </w:tc>
        <w:tc>
          <w:tcPr>
            <w:tcW w:w="1559" w:type="dxa"/>
            <w:tcBorders>
              <w:bottom w:val="single" w:sz="12" w:space="0" w:color="000000"/>
            </w:tcBorders>
            <w:shd w:val="clear" w:color="auto" w:fill="auto"/>
            <w:tcMar>
              <w:top w:w="0" w:type="dxa"/>
              <w:left w:w="28" w:type="dxa"/>
              <w:bottom w:w="0" w:type="dxa"/>
              <w:right w:w="28" w:type="dxa"/>
            </w:tcMar>
          </w:tcPr>
          <w:p w14:paraId="002FA71D"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12" w:space="0" w:color="000000"/>
            </w:tcBorders>
            <w:shd w:val="clear" w:color="auto" w:fill="FFFFFF"/>
            <w:tcMar>
              <w:top w:w="0" w:type="dxa"/>
              <w:left w:w="28" w:type="dxa"/>
              <w:bottom w:w="0" w:type="dxa"/>
              <w:right w:w="28" w:type="dxa"/>
            </w:tcMar>
          </w:tcPr>
          <w:p w14:paraId="3F2AA75A"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FD77A2">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262FACA"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1B15E739" w14:textId="77777777" w:rsidTr="00523F4D">
        <w:trPr>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3D509373"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7358408"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行政院金融重建基金設置及管理條例第七條條文修正草案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B171E45"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謝衣鳯等</w:t>
            </w:r>
            <w:r w:rsidRPr="001A5414">
              <w:rPr>
                <w:rFonts w:ascii="標楷體" w:eastAsia="標楷體" w:hAnsi="標楷體"/>
                <w:kern w:val="2"/>
                <w:szCs w:val="24"/>
              </w:rPr>
              <w:t>17</w:t>
            </w:r>
            <w:r w:rsidRPr="001A5414">
              <w:rPr>
                <w:rFonts w:ascii="標楷體" w:eastAsia="標楷體" w:hAnsi="標楷體" w:hint="eastAsia"/>
                <w:kern w:val="2"/>
                <w:szCs w:val="24"/>
              </w:rPr>
              <w:t>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00F0FE1C" w14:textId="77777777" w:rsidR="00C057F4" w:rsidRPr="001A5414" w:rsidRDefault="00C057F4" w:rsidP="00C057F4">
            <w:pPr>
              <w:widowControl w:val="0"/>
              <w:overflowPunct w:val="0"/>
              <w:autoSpaceDN/>
              <w:spacing w:line="32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第11屆第2會期第16次院會(114.1.3)</w:t>
            </w:r>
            <w:r w:rsidRPr="000109E1">
              <w:rPr>
                <w:rFonts w:ascii="標楷體" w:eastAsia="標楷體" w:hAnsi="標楷體" w:hint="eastAsia"/>
                <w:spacing w:val="-24"/>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8511EC3" w14:textId="77777777" w:rsidR="00C057F4" w:rsidRPr="001A5414" w:rsidRDefault="00C057F4" w:rsidP="00C057F4">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C057F4" w:rsidRPr="00B95A07" w14:paraId="6620AF2D" w14:textId="77777777" w:rsidTr="000D2E36">
        <w:trPr>
          <w:trHeight w:val="491"/>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vAlign w:val="center"/>
          </w:tcPr>
          <w:p w14:paraId="3254467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b/>
                <w:color w:val="7030A0"/>
                <w:kern w:val="2"/>
                <w:sz w:val="28"/>
                <w:szCs w:val="28"/>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三</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行政院主計總處</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1</w:t>
            </w:r>
            <w:r>
              <w:rPr>
                <w:rFonts w:ascii="標楷體" w:eastAsia="標楷體" w:hAnsi="標楷體" w:hint="eastAsia"/>
                <w:b/>
                <w:kern w:val="2"/>
                <w:sz w:val="28"/>
                <w:szCs w:val="28"/>
              </w:rPr>
              <w:t>5</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C057F4" w:rsidRPr="00B95A07" w14:paraId="36FE2C32" w14:textId="77777777" w:rsidTr="000D2E36">
        <w:trPr>
          <w:jc w:val="center"/>
        </w:trPr>
        <w:tc>
          <w:tcPr>
            <w:tcW w:w="514" w:type="dxa"/>
            <w:tcBorders>
              <w:top w:val="single" w:sz="12" w:space="0" w:color="000000"/>
            </w:tcBorders>
            <w:shd w:val="clear" w:color="auto" w:fill="auto"/>
            <w:tcMar>
              <w:top w:w="0" w:type="dxa"/>
              <w:left w:w="28" w:type="dxa"/>
              <w:bottom w:w="0" w:type="dxa"/>
              <w:right w:w="28" w:type="dxa"/>
            </w:tcMar>
          </w:tcPr>
          <w:p w14:paraId="0EED510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tcBorders>
            <w:shd w:val="clear" w:color="auto" w:fill="auto"/>
            <w:tcMar>
              <w:top w:w="0" w:type="dxa"/>
              <w:left w:w="28" w:type="dxa"/>
              <w:bottom w:w="0" w:type="dxa"/>
              <w:right w:w="28" w:type="dxa"/>
            </w:tcMar>
          </w:tcPr>
          <w:p w14:paraId="414A40CD"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預算法第四十六條條文修正草案</w:t>
            </w:r>
          </w:p>
        </w:tc>
        <w:tc>
          <w:tcPr>
            <w:tcW w:w="1559" w:type="dxa"/>
            <w:tcBorders>
              <w:top w:val="single" w:sz="12" w:space="0" w:color="000000"/>
            </w:tcBorders>
            <w:shd w:val="clear" w:color="auto" w:fill="auto"/>
            <w:tcMar>
              <w:top w:w="0" w:type="dxa"/>
              <w:left w:w="28" w:type="dxa"/>
              <w:bottom w:w="0" w:type="dxa"/>
              <w:right w:w="28" w:type="dxa"/>
            </w:tcMar>
          </w:tcPr>
          <w:p w14:paraId="58A4C858"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李坤城等22人</w:t>
            </w:r>
          </w:p>
        </w:tc>
        <w:tc>
          <w:tcPr>
            <w:tcW w:w="2552" w:type="dxa"/>
            <w:tcBorders>
              <w:top w:val="single" w:sz="12" w:space="0" w:color="000000"/>
            </w:tcBorders>
            <w:shd w:val="clear" w:color="auto" w:fill="FFFFFF"/>
            <w:tcMar>
              <w:top w:w="0" w:type="dxa"/>
              <w:left w:w="28" w:type="dxa"/>
              <w:bottom w:w="0" w:type="dxa"/>
              <w:right w:w="28" w:type="dxa"/>
            </w:tcMar>
          </w:tcPr>
          <w:p w14:paraId="44A6C9E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0109E1">
              <w:rPr>
                <w:rFonts w:ascii="標楷體" w:eastAsia="標楷體" w:hAnsi="標楷體" w:hint="eastAsia"/>
                <w:color w:val="000000" w:themeColor="text1"/>
                <w:kern w:val="2"/>
                <w:szCs w:val="24"/>
              </w:rPr>
              <w:t>第11屆第2會期第5次院會</w:t>
            </w:r>
            <w:r w:rsidRPr="000109E1">
              <w:rPr>
                <w:rFonts w:ascii="標楷體" w:eastAsia="標楷體" w:hAnsi="標楷體" w:hint="eastAsia"/>
                <w:color w:val="000000" w:themeColor="text1"/>
                <w:spacing w:val="-20"/>
                <w:kern w:val="2"/>
                <w:szCs w:val="24"/>
              </w:rPr>
              <w:t>(113.10.18)</w:t>
            </w:r>
            <w:r w:rsidRPr="000109E1">
              <w:rPr>
                <w:rFonts w:ascii="標楷體" w:eastAsia="標楷體" w:hAnsi="標楷體" w:hint="eastAsia"/>
                <w:color w:val="000000" w:themeColor="text1"/>
                <w:kern w:val="2"/>
                <w:szCs w:val="24"/>
              </w:rPr>
              <w:t>決定：「交財政委員會審查」</w:t>
            </w:r>
          </w:p>
        </w:tc>
        <w:tc>
          <w:tcPr>
            <w:tcW w:w="1984" w:type="dxa"/>
            <w:tcBorders>
              <w:top w:val="single" w:sz="12" w:space="0" w:color="000000"/>
            </w:tcBorders>
            <w:shd w:val="clear" w:color="auto" w:fill="auto"/>
            <w:tcMar>
              <w:top w:w="0" w:type="dxa"/>
              <w:left w:w="28" w:type="dxa"/>
              <w:bottom w:w="0" w:type="dxa"/>
              <w:right w:w="28" w:type="dxa"/>
            </w:tcMar>
            <w:vAlign w:val="center"/>
          </w:tcPr>
          <w:p w14:paraId="4D9DBA3A"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47B74AA9" w14:textId="77777777" w:rsidTr="000D2E36">
        <w:trPr>
          <w:jc w:val="center"/>
        </w:trPr>
        <w:tc>
          <w:tcPr>
            <w:tcW w:w="514" w:type="dxa"/>
            <w:shd w:val="clear" w:color="auto" w:fill="auto"/>
            <w:tcMar>
              <w:top w:w="0" w:type="dxa"/>
              <w:left w:w="28" w:type="dxa"/>
              <w:bottom w:w="0" w:type="dxa"/>
              <w:right w:w="28" w:type="dxa"/>
            </w:tcMar>
          </w:tcPr>
          <w:p w14:paraId="4FF24DEF"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DA4A68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預算法第六十二條之一條文修正草案</w:t>
            </w:r>
          </w:p>
        </w:tc>
        <w:tc>
          <w:tcPr>
            <w:tcW w:w="1559" w:type="dxa"/>
            <w:shd w:val="clear" w:color="auto" w:fill="auto"/>
            <w:tcMar>
              <w:top w:w="0" w:type="dxa"/>
              <w:left w:w="28" w:type="dxa"/>
              <w:bottom w:w="0" w:type="dxa"/>
              <w:right w:w="28" w:type="dxa"/>
            </w:tcMar>
          </w:tcPr>
          <w:p w14:paraId="5094BD8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shd w:val="clear" w:color="auto" w:fill="FFFFFF"/>
            <w:tcMar>
              <w:top w:w="0" w:type="dxa"/>
              <w:left w:w="28" w:type="dxa"/>
              <w:bottom w:w="0" w:type="dxa"/>
              <w:right w:w="28" w:type="dxa"/>
            </w:tcMar>
          </w:tcPr>
          <w:p w14:paraId="7537473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第11屆第1會期第6次院會(113.3.22)決定：「交財政委員會審查」</w:t>
            </w:r>
          </w:p>
        </w:tc>
        <w:tc>
          <w:tcPr>
            <w:tcW w:w="1984" w:type="dxa"/>
            <w:shd w:val="clear" w:color="auto" w:fill="auto"/>
            <w:tcMar>
              <w:top w:w="0" w:type="dxa"/>
              <w:left w:w="28" w:type="dxa"/>
              <w:bottom w:w="0" w:type="dxa"/>
              <w:right w:w="28" w:type="dxa"/>
            </w:tcMar>
            <w:vAlign w:val="center"/>
          </w:tcPr>
          <w:p w14:paraId="64B325A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057F4" w:rsidRPr="00B95A07" w14:paraId="473D801B" w14:textId="77777777" w:rsidTr="000D2E36">
        <w:trPr>
          <w:jc w:val="center"/>
        </w:trPr>
        <w:tc>
          <w:tcPr>
            <w:tcW w:w="514" w:type="dxa"/>
            <w:shd w:val="clear" w:color="auto" w:fill="auto"/>
            <w:tcMar>
              <w:top w:w="0" w:type="dxa"/>
              <w:left w:w="28" w:type="dxa"/>
              <w:bottom w:w="0" w:type="dxa"/>
              <w:right w:w="28" w:type="dxa"/>
            </w:tcMar>
          </w:tcPr>
          <w:p w14:paraId="5DB7FF92"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6D47D7F"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預算法第六十二條之一條文修正草案</w:t>
            </w:r>
          </w:p>
        </w:tc>
        <w:tc>
          <w:tcPr>
            <w:tcW w:w="1559" w:type="dxa"/>
            <w:shd w:val="clear" w:color="auto" w:fill="auto"/>
            <w:tcMar>
              <w:top w:w="0" w:type="dxa"/>
              <w:left w:w="28" w:type="dxa"/>
              <w:bottom w:w="0" w:type="dxa"/>
              <w:right w:w="28" w:type="dxa"/>
            </w:tcMar>
          </w:tcPr>
          <w:p w14:paraId="50DF5BD5"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傅崐萁等</w:t>
            </w:r>
            <w:r w:rsidRPr="002708EA">
              <w:rPr>
                <w:rFonts w:ascii="標楷體" w:eastAsia="標楷體" w:hAnsi="標楷體"/>
                <w:kern w:val="2"/>
                <w:szCs w:val="24"/>
              </w:rPr>
              <w:t>16</w:t>
            </w:r>
            <w:r w:rsidRPr="002708EA">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3D2ED65" w14:textId="77777777" w:rsidR="00C057F4" w:rsidRPr="002708E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w:t>
            </w:r>
            <w:r w:rsidRPr="000109E1">
              <w:rPr>
                <w:rFonts w:ascii="標楷體" w:eastAsia="標楷體" w:hAnsi="標楷體" w:hint="eastAsia"/>
                <w:color w:val="000000" w:themeColor="text1"/>
                <w:spacing w:val="-20"/>
                <w:kern w:val="2"/>
                <w:szCs w:val="24"/>
              </w:rPr>
              <w:t>(113.10.18)</w:t>
            </w:r>
            <w:r w:rsidRPr="002708EA">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6DEA0E8F" w14:textId="77777777" w:rsidR="00C057F4" w:rsidRPr="002708E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057F4" w:rsidRPr="00B95A07" w14:paraId="2A7D5A9F" w14:textId="77777777" w:rsidTr="000D2E36">
        <w:trPr>
          <w:jc w:val="center"/>
        </w:trPr>
        <w:tc>
          <w:tcPr>
            <w:tcW w:w="514" w:type="dxa"/>
            <w:shd w:val="clear" w:color="auto" w:fill="auto"/>
            <w:tcMar>
              <w:top w:w="0" w:type="dxa"/>
              <w:left w:w="28" w:type="dxa"/>
              <w:bottom w:w="0" w:type="dxa"/>
              <w:right w:w="28" w:type="dxa"/>
            </w:tcMar>
          </w:tcPr>
          <w:p w14:paraId="1D6864E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8F3A445"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預算法第六十二條之一條文修正草案</w:t>
            </w:r>
          </w:p>
        </w:tc>
        <w:tc>
          <w:tcPr>
            <w:tcW w:w="1559" w:type="dxa"/>
            <w:shd w:val="clear" w:color="auto" w:fill="auto"/>
            <w:tcMar>
              <w:top w:w="0" w:type="dxa"/>
              <w:left w:w="28" w:type="dxa"/>
              <w:bottom w:w="0" w:type="dxa"/>
              <w:right w:w="28" w:type="dxa"/>
            </w:tcMar>
          </w:tcPr>
          <w:p w14:paraId="45F1C74E"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翁曉玲等17人</w:t>
            </w:r>
          </w:p>
        </w:tc>
        <w:tc>
          <w:tcPr>
            <w:tcW w:w="2552" w:type="dxa"/>
            <w:shd w:val="clear" w:color="auto" w:fill="FFFFFF"/>
            <w:tcMar>
              <w:top w:w="0" w:type="dxa"/>
              <w:left w:w="28" w:type="dxa"/>
              <w:bottom w:w="0" w:type="dxa"/>
              <w:right w:w="28" w:type="dxa"/>
            </w:tcMar>
          </w:tcPr>
          <w:p w14:paraId="6777C5D0" w14:textId="77777777" w:rsidR="00C057F4" w:rsidRPr="00507660"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0109E1">
              <w:rPr>
                <w:rFonts w:ascii="標楷體" w:eastAsia="標楷體" w:hAnsi="標楷體" w:hint="eastAsia"/>
                <w:color w:val="000000" w:themeColor="text1"/>
                <w:spacing w:val="-20"/>
                <w:kern w:val="2"/>
                <w:szCs w:val="24"/>
              </w:rPr>
              <w:t>(113.11.15)</w:t>
            </w:r>
            <w:r w:rsidRPr="00507660">
              <w:rPr>
                <w:rFonts w:ascii="標楷體" w:eastAsia="標楷體" w:hAnsi="標楷體" w:hint="eastAsia"/>
                <w:kern w:val="2"/>
                <w:szCs w:val="24"/>
              </w:rPr>
              <w:t>決定：「交財政委員會審查」</w:t>
            </w:r>
          </w:p>
        </w:tc>
        <w:tc>
          <w:tcPr>
            <w:tcW w:w="1984" w:type="dxa"/>
            <w:shd w:val="clear" w:color="auto" w:fill="auto"/>
            <w:tcMar>
              <w:top w:w="0" w:type="dxa"/>
              <w:left w:w="28" w:type="dxa"/>
              <w:bottom w:w="0" w:type="dxa"/>
              <w:right w:w="28" w:type="dxa"/>
            </w:tcMar>
            <w:vAlign w:val="center"/>
          </w:tcPr>
          <w:p w14:paraId="78ECAB87" w14:textId="77777777" w:rsidR="00C057F4" w:rsidRPr="00507660"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057F4" w:rsidRPr="00B95A07" w14:paraId="17D012EF" w14:textId="77777777" w:rsidTr="000D2E36">
        <w:trPr>
          <w:jc w:val="center"/>
        </w:trPr>
        <w:tc>
          <w:tcPr>
            <w:tcW w:w="514" w:type="dxa"/>
            <w:shd w:val="clear" w:color="auto" w:fill="auto"/>
            <w:tcMar>
              <w:top w:w="0" w:type="dxa"/>
              <w:left w:w="28" w:type="dxa"/>
              <w:bottom w:w="0" w:type="dxa"/>
              <w:right w:w="28" w:type="dxa"/>
            </w:tcMar>
          </w:tcPr>
          <w:p w14:paraId="260A53E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541FCCA"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預算法第六十三條條文修正草案</w:t>
            </w:r>
          </w:p>
        </w:tc>
        <w:tc>
          <w:tcPr>
            <w:tcW w:w="1559" w:type="dxa"/>
            <w:shd w:val="clear" w:color="auto" w:fill="auto"/>
            <w:tcMar>
              <w:top w:w="0" w:type="dxa"/>
              <w:left w:w="28" w:type="dxa"/>
              <w:bottom w:w="0" w:type="dxa"/>
              <w:right w:w="28" w:type="dxa"/>
            </w:tcMar>
          </w:tcPr>
          <w:p w14:paraId="7F8BC7D7"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賴士葆等24人</w:t>
            </w:r>
          </w:p>
        </w:tc>
        <w:tc>
          <w:tcPr>
            <w:tcW w:w="2552" w:type="dxa"/>
            <w:shd w:val="clear" w:color="auto" w:fill="FFFFFF"/>
            <w:tcMar>
              <w:top w:w="0" w:type="dxa"/>
              <w:left w:w="28" w:type="dxa"/>
              <w:bottom w:w="0" w:type="dxa"/>
              <w:right w:w="28" w:type="dxa"/>
            </w:tcMar>
          </w:tcPr>
          <w:p w14:paraId="307E8A0D" w14:textId="77777777" w:rsidR="00C057F4" w:rsidRPr="009C72AA" w:rsidRDefault="00C057F4" w:rsidP="00C057F4">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984" w:type="dxa"/>
            <w:shd w:val="clear" w:color="auto" w:fill="auto"/>
            <w:tcMar>
              <w:top w:w="0" w:type="dxa"/>
              <w:left w:w="28" w:type="dxa"/>
              <w:bottom w:w="0" w:type="dxa"/>
              <w:right w:w="28" w:type="dxa"/>
            </w:tcMar>
            <w:vAlign w:val="center"/>
          </w:tcPr>
          <w:p w14:paraId="0182F3D0" w14:textId="77777777" w:rsidR="00C057F4" w:rsidRPr="009C72AA" w:rsidRDefault="00C057F4" w:rsidP="00C057F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057F4" w:rsidRPr="00B95A07" w14:paraId="5E7319AE" w14:textId="77777777" w:rsidTr="000D2E36">
        <w:trPr>
          <w:jc w:val="center"/>
        </w:trPr>
        <w:tc>
          <w:tcPr>
            <w:tcW w:w="514" w:type="dxa"/>
            <w:shd w:val="clear" w:color="auto" w:fill="auto"/>
            <w:tcMar>
              <w:top w:w="0" w:type="dxa"/>
              <w:left w:w="28" w:type="dxa"/>
              <w:bottom w:w="0" w:type="dxa"/>
              <w:right w:w="28" w:type="dxa"/>
            </w:tcMar>
          </w:tcPr>
          <w:p w14:paraId="24732049"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FAA5E1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shd w:val="clear" w:color="auto" w:fill="auto"/>
            <w:tcMar>
              <w:top w:w="0" w:type="dxa"/>
              <w:left w:w="28" w:type="dxa"/>
              <w:bottom w:w="0" w:type="dxa"/>
              <w:right w:w="28" w:type="dxa"/>
            </w:tcMar>
          </w:tcPr>
          <w:p w14:paraId="75E922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王鴻薇等26人</w:t>
            </w:r>
          </w:p>
        </w:tc>
        <w:tc>
          <w:tcPr>
            <w:tcW w:w="2552" w:type="dxa"/>
            <w:shd w:val="clear" w:color="auto" w:fill="FFFFFF"/>
            <w:tcMar>
              <w:top w:w="0" w:type="dxa"/>
              <w:left w:w="28" w:type="dxa"/>
              <w:bottom w:w="0" w:type="dxa"/>
              <w:right w:w="28" w:type="dxa"/>
            </w:tcMar>
          </w:tcPr>
          <w:p w14:paraId="0BD35A1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shd w:val="clear" w:color="auto" w:fill="auto"/>
            <w:tcMar>
              <w:top w:w="0" w:type="dxa"/>
              <w:left w:w="28" w:type="dxa"/>
              <w:bottom w:w="0" w:type="dxa"/>
              <w:right w:w="28" w:type="dxa"/>
            </w:tcMar>
            <w:vAlign w:val="center"/>
          </w:tcPr>
          <w:p w14:paraId="46344620"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5CA4F9F8" w14:textId="77777777" w:rsidTr="000D2E36">
        <w:trPr>
          <w:jc w:val="center"/>
        </w:trPr>
        <w:tc>
          <w:tcPr>
            <w:tcW w:w="514" w:type="dxa"/>
            <w:tcBorders>
              <w:bottom w:val="single" w:sz="4" w:space="0" w:color="000000"/>
            </w:tcBorders>
            <w:shd w:val="clear" w:color="auto" w:fill="auto"/>
            <w:tcMar>
              <w:top w:w="0" w:type="dxa"/>
              <w:left w:w="28" w:type="dxa"/>
              <w:bottom w:w="0" w:type="dxa"/>
              <w:right w:w="28" w:type="dxa"/>
            </w:tcMar>
          </w:tcPr>
          <w:p w14:paraId="00AD232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0D2B053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tcBorders>
              <w:bottom w:val="single" w:sz="4" w:space="0" w:color="000000"/>
            </w:tcBorders>
            <w:shd w:val="clear" w:color="auto" w:fill="auto"/>
            <w:tcMar>
              <w:top w:w="0" w:type="dxa"/>
              <w:left w:w="28" w:type="dxa"/>
              <w:bottom w:w="0" w:type="dxa"/>
              <w:right w:w="28" w:type="dxa"/>
            </w:tcMar>
          </w:tcPr>
          <w:p w14:paraId="467495C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林德福等20人</w:t>
            </w:r>
          </w:p>
        </w:tc>
        <w:tc>
          <w:tcPr>
            <w:tcW w:w="2552" w:type="dxa"/>
            <w:tcBorders>
              <w:bottom w:val="single" w:sz="4" w:space="0" w:color="000000"/>
            </w:tcBorders>
            <w:shd w:val="clear" w:color="auto" w:fill="FFFFFF"/>
            <w:tcMar>
              <w:top w:w="0" w:type="dxa"/>
              <w:left w:w="28" w:type="dxa"/>
              <w:bottom w:w="0" w:type="dxa"/>
              <w:right w:w="28" w:type="dxa"/>
            </w:tcMar>
          </w:tcPr>
          <w:p w14:paraId="01A1F2F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CF34B8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C631CA8" w14:textId="77777777" w:rsidTr="00C44C8E">
        <w:trPr>
          <w:jc w:val="center"/>
        </w:trPr>
        <w:tc>
          <w:tcPr>
            <w:tcW w:w="514" w:type="dxa"/>
            <w:tcBorders>
              <w:bottom w:val="single" w:sz="4" w:space="0" w:color="000000"/>
            </w:tcBorders>
            <w:shd w:val="clear" w:color="auto" w:fill="auto"/>
            <w:tcMar>
              <w:top w:w="0" w:type="dxa"/>
              <w:left w:w="28" w:type="dxa"/>
              <w:bottom w:w="0" w:type="dxa"/>
              <w:right w:w="28" w:type="dxa"/>
            </w:tcMar>
          </w:tcPr>
          <w:p w14:paraId="40167D6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9D6B2B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預算法增訂第八十一條之一條文草案</w:t>
            </w:r>
          </w:p>
        </w:tc>
        <w:tc>
          <w:tcPr>
            <w:tcW w:w="1559" w:type="dxa"/>
            <w:tcBorders>
              <w:bottom w:val="single" w:sz="4" w:space="0" w:color="000000"/>
            </w:tcBorders>
            <w:shd w:val="clear" w:color="auto" w:fill="auto"/>
            <w:tcMar>
              <w:top w:w="0" w:type="dxa"/>
              <w:left w:w="28" w:type="dxa"/>
              <w:bottom w:w="0" w:type="dxa"/>
              <w:right w:w="28" w:type="dxa"/>
            </w:tcMar>
          </w:tcPr>
          <w:p w14:paraId="7C93C4F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賴士葆等20人</w:t>
            </w:r>
          </w:p>
        </w:tc>
        <w:tc>
          <w:tcPr>
            <w:tcW w:w="2552" w:type="dxa"/>
            <w:tcBorders>
              <w:bottom w:val="single" w:sz="4" w:space="0" w:color="000000"/>
            </w:tcBorders>
            <w:shd w:val="clear" w:color="auto" w:fill="FFFFFF"/>
            <w:tcMar>
              <w:top w:w="0" w:type="dxa"/>
              <w:left w:w="28" w:type="dxa"/>
              <w:bottom w:w="0" w:type="dxa"/>
              <w:right w:w="28" w:type="dxa"/>
            </w:tcMar>
          </w:tcPr>
          <w:p w14:paraId="4BF81C6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0867ACF6"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A4129EF" w14:textId="77777777" w:rsidTr="00C44C8E">
        <w:trPr>
          <w:jc w:val="center"/>
        </w:trPr>
        <w:tc>
          <w:tcPr>
            <w:tcW w:w="514" w:type="dxa"/>
            <w:tcBorders>
              <w:top w:val="single" w:sz="4" w:space="0" w:color="000000"/>
              <w:bottom w:val="single" w:sz="4" w:space="0" w:color="000000"/>
            </w:tcBorders>
            <w:shd w:val="clear" w:color="auto" w:fill="auto"/>
            <w:tcMar>
              <w:top w:w="0" w:type="dxa"/>
              <w:left w:w="28" w:type="dxa"/>
              <w:bottom w:w="0" w:type="dxa"/>
              <w:right w:w="28" w:type="dxa"/>
            </w:tcMar>
          </w:tcPr>
          <w:p w14:paraId="514F10DA"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146616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413569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王鴻薇等18人</w:t>
            </w:r>
          </w:p>
        </w:tc>
        <w:tc>
          <w:tcPr>
            <w:tcW w:w="2552" w:type="dxa"/>
            <w:tcBorders>
              <w:top w:val="single" w:sz="4" w:space="0" w:color="000000"/>
              <w:bottom w:val="single" w:sz="4" w:space="0" w:color="000000"/>
            </w:tcBorders>
            <w:shd w:val="clear" w:color="auto" w:fill="auto"/>
            <w:tcMar>
              <w:top w:w="0" w:type="dxa"/>
              <w:left w:w="28" w:type="dxa"/>
              <w:bottom w:w="0" w:type="dxa"/>
              <w:right w:w="28" w:type="dxa"/>
            </w:tcMar>
          </w:tcPr>
          <w:p w14:paraId="54EE35E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第11屆第1會期第1次院會(113.2.20)決定：「交財政委員會審查」</w:t>
            </w:r>
          </w:p>
        </w:tc>
        <w:tc>
          <w:tcPr>
            <w:tcW w:w="1984" w:type="dxa"/>
            <w:tcBorders>
              <w:top w:val="single" w:sz="4" w:space="0" w:color="000000"/>
              <w:bottom w:val="single" w:sz="4" w:space="0" w:color="000000"/>
            </w:tcBorders>
            <w:shd w:val="clear" w:color="auto" w:fill="auto"/>
            <w:tcMar>
              <w:top w:w="0" w:type="dxa"/>
              <w:left w:w="28" w:type="dxa"/>
              <w:bottom w:w="0" w:type="dxa"/>
              <w:right w:w="28" w:type="dxa"/>
            </w:tcMar>
          </w:tcPr>
          <w:p w14:paraId="51969E3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3EA7E6F" w14:textId="77777777" w:rsidTr="00C44C8E">
        <w:trPr>
          <w:trHeight w:val="1108"/>
          <w:jc w:val="center"/>
        </w:trPr>
        <w:tc>
          <w:tcPr>
            <w:tcW w:w="514" w:type="dxa"/>
            <w:tcBorders>
              <w:top w:val="single" w:sz="4" w:space="0" w:color="000000"/>
            </w:tcBorders>
            <w:shd w:val="clear" w:color="auto" w:fill="auto"/>
            <w:tcMar>
              <w:top w:w="0" w:type="dxa"/>
              <w:left w:w="28" w:type="dxa"/>
              <w:bottom w:w="0" w:type="dxa"/>
              <w:right w:w="28" w:type="dxa"/>
            </w:tcMar>
          </w:tcPr>
          <w:p w14:paraId="50F269E6"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7ED57F9B"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top w:val="single" w:sz="4" w:space="0" w:color="000000"/>
            </w:tcBorders>
            <w:shd w:val="clear" w:color="auto" w:fill="auto"/>
            <w:tcMar>
              <w:top w:w="0" w:type="dxa"/>
              <w:left w:w="28" w:type="dxa"/>
              <w:bottom w:w="0" w:type="dxa"/>
              <w:right w:w="28" w:type="dxa"/>
            </w:tcMar>
          </w:tcPr>
          <w:p w14:paraId="5F8D6274"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賴士葆等25人</w:t>
            </w:r>
          </w:p>
        </w:tc>
        <w:tc>
          <w:tcPr>
            <w:tcW w:w="2552" w:type="dxa"/>
            <w:tcBorders>
              <w:top w:val="single" w:sz="4" w:space="0" w:color="000000"/>
            </w:tcBorders>
            <w:shd w:val="clear" w:color="auto" w:fill="FFFFFF"/>
            <w:tcMar>
              <w:top w:w="0" w:type="dxa"/>
              <w:left w:w="28" w:type="dxa"/>
              <w:bottom w:w="0" w:type="dxa"/>
              <w:right w:w="28" w:type="dxa"/>
            </w:tcMar>
          </w:tcPr>
          <w:p w14:paraId="4E06F3C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第11屆第1會期第3次院會(113.3.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984" w:type="dxa"/>
            <w:tcBorders>
              <w:top w:val="single" w:sz="4" w:space="0" w:color="000000"/>
            </w:tcBorders>
            <w:shd w:val="clear" w:color="auto" w:fill="auto"/>
            <w:tcMar>
              <w:top w:w="0" w:type="dxa"/>
              <w:left w:w="28" w:type="dxa"/>
              <w:bottom w:w="0" w:type="dxa"/>
              <w:right w:w="28" w:type="dxa"/>
            </w:tcMar>
            <w:vAlign w:val="center"/>
          </w:tcPr>
          <w:p w14:paraId="7BC3DC6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D924621" w14:textId="77777777" w:rsidTr="000D2E36">
        <w:trPr>
          <w:trHeight w:val="1108"/>
          <w:jc w:val="center"/>
        </w:trPr>
        <w:tc>
          <w:tcPr>
            <w:tcW w:w="514" w:type="dxa"/>
            <w:shd w:val="clear" w:color="auto" w:fill="auto"/>
            <w:tcMar>
              <w:top w:w="0" w:type="dxa"/>
              <w:left w:w="28" w:type="dxa"/>
              <w:bottom w:w="0" w:type="dxa"/>
              <w:right w:w="28" w:type="dxa"/>
            </w:tcMar>
          </w:tcPr>
          <w:p w14:paraId="7601324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26F2B259"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shd w:val="clear" w:color="auto" w:fill="auto"/>
            <w:tcMar>
              <w:top w:w="0" w:type="dxa"/>
              <w:left w:w="28" w:type="dxa"/>
              <w:bottom w:w="0" w:type="dxa"/>
              <w:right w:w="28" w:type="dxa"/>
            </w:tcMar>
          </w:tcPr>
          <w:p w14:paraId="47B0D12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shd w:val="clear" w:color="auto" w:fill="FFFFFF"/>
            <w:tcMar>
              <w:top w:w="0" w:type="dxa"/>
              <w:left w:w="28" w:type="dxa"/>
              <w:bottom w:w="0" w:type="dxa"/>
              <w:right w:w="28" w:type="dxa"/>
            </w:tcMar>
          </w:tcPr>
          <w:p w14:paraId="6555AB2C"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shd w:val="clear" w:color="auto" w:fill="auto"/>
            <w:tcMar>
              <w:top w:w="0" w:type="dxa"/>
              <w:left w:w="28" w:type="dxa"/>
              <w:bottom w:w="0" w:type="dxa"/>
              <w:right w:w="28" w:type="dxa"/>
            </w:tcMar>
            <w:vAlign w:val="center"/>
          </w:tcPr>
          <w:p w14:paraId="2294B28B"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2EDF231D" w14:textId="77777777" w:rsidTr="000109E1">
        <w:trPr>
          <w:trHeight w:val="1108"/>
          <w:jc w:val="center"/>
        </w:trPr>
        <w:tc>
          <w:tcPr>
            <w:tcW w:w="514" w:type="dxa"/>
            <w:tcBorders>
              <w:bottom w:val="single" w:sz="4" w:space="0" w:color="000000"/>
            </w:tcBorders>
            <w:shd w:val="clear" w:color="auto" w:fill="auto"/>
            <w:tcMar>
              <w:top w:w="0" w:type="dxa"/>
              <w:left w:w="28" w:type="dxa"/>
              <w:bottom w:w="0" w:type="dxa"/>
              <w:right w:w="28" w:type="dxa"/>
            </w:tcMar>
          </w:tcPr>
          <w:p w14:paraId="2F992C57"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246E2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147E0403"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洪孟楷等20人</w:t>
            </w:r>
          </w:p>
        </w:tc>
        <w:tc>
          <w:tcPr>
            <w:tcW w:w="2552" w:type="dxa"/>
            <w:tcBorders>
              <w:bottom w:val="single" w:sz="4" w:space="0" w:color="000000"/>
            </w:tcBorders>
            <w:shd w:val="clear" w:color="auto" w:fill="FFFFFF"/>
            <w:tcMar>
              <w:top w:w="0" w:type="dxa"/>
              <w:left w:w="28" w:type="dxa"/>
              <w:bottom w:w="0" w:type="dxa"/>
              <w:right w:w="28" w:type="dxa"/>
            </w:tcMar>
          </w:tcPr>
          <w:p w14:paraId="416C983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7E19625A"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EB803B3" w14:textId="77777777" w:rsidTr="000109E1">
        <w:trPr>
          <w:trHeight w:val="1108"/>
          <w:jc w:val="center"/>
        </w:trPr>
        <w:tc>
          <w:tcPr>
            <w:tcW w:w="514" w:type="dxa"/>
            <w:tcBorders>
              <w:bottom w:val="single" w:sz="4" w:space="0" w:color="000000"/>
            </w:tcBorders>
            <w:shd w:val="clear" w:color="auto" w:fill="auto"/>
            <w:tcMar>
              <w:top w:w="0" w:type="dxa"/>
              <w:left w:w="28" w:type="dxa"/>
              <w:bottom w:w="0" w:type="dxa"/>
              <w:right w:w="28" w:type="dxa"/>
            </w:tcMar>
          </w:tcPr>
          <w:p w14:paraId="4152D24C"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215A8162"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預算法第八十三條條文修正草案</w:t>
            </w:r>
          </w:p>
        </w:tc>
        <w:tc>
          <w:tcPr>
            <w:tcW w:w="1559" w:type="dxa"/>
            <w:tcBorders>
              <w:bottom w:val="single" w:sz="4" w:space="0" w:color="000000"/>
            </w:tcBorders>
            <w:shd w:val="clear" w:color="auto" w:fill="auto"/>
            <w:tcMar>
              <w:top w:w="0" w:type="dxa"/>
              <w:left w:w="28" w:type="dxa"/>
              <w:bottom w:w="0" w:type="dxa"/>
              <w:right w:w="28" w:type="dxa"/>
            </w:tcMar>
          </w:tcPr>
          <w:p w14:paraId="282242E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張智倫等18人</w:t>
            </w:r>
          </w:p>
        </w:tc>
        <w:tc>
          <w:tcPr>
            <w:tcW w:w="2552" w:type="dxa"/>
            <w:tcBorders>
              <w:bottom w:val="single" w:sz="4" w:space="0" w:color="000000"/>
            </w:tcBorders>
            <w:shd w:val="clear" w:color="auto" w:fill="FFFFFF"/>
            <w:tcMar>
              <w:top w:w="0" w:type="dxa"/>
              <w:left w:w="28" w:type="dxa"/>
              <w:bottom w:w="0" w:type="dxa"/>
              <w:right w:w="28" w:type="dxa"/>
            </w:tcMar>
          </w:tcPr>
          <w:p w14:paraId="456E4C06"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4" w:space="0" w:color="000000"/>
            </w:tcBorders>
            <w:shd w:val="clear" w:color="auto" w:fill="auto"/>
            <w:tcMar>
              <w:top w:w="0" w:type="dxa"/>
              <w:left w:w="28" w:type="dxa"/>
              <w:bottom w:w="0" w:type="dxa"/>
              <w:right w:w="28" w:type="dxa"/>
            </w:tcMar>
            <w:vAlign w:val="center"/>
          </w:tcPr>
          <w:p w14:paraId="3367586C"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335FD882" w14:textId="77777777" w:rsidTr="000109E1">
        <w:trPr>
          <w:trHeight w:val="1108"/>
          <w:jc w:val="center"/>
        </w:trPr>
        <w:tc>
          <w:tcPr>
            <w:tcW w:w="514" w:type="dxa"/>
            <w:tcBorders>
              <w:top w:val="single" w:sz="4" w:space="0" w:color="000000"/>
              <w:bottom w:val="single" w:sz="12" w:space="0" w:color="000000"/>
            </w:tcBorders>
            <w:shd w:val="clear" w:color="auto" w:fill="auto"/>
            <w:tcMar>
              <w:top w:w="0" w:type="dxa"/>
              <w:left w:w="28" w:type="dxa"/>
              <w:bottom w:w="0" w:type="dxa"/>
              <w:right w:w="28" w:type="dxa"/>
            </w:tcMar>
          </w:tcPr>
          <w:p w14:paraId="1472A30D"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0CE5E5F8"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預算法第八十三條及第八十四條條文修正草案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6AB410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徐欣瑩等18人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18D9462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top w:val="single" w:sz="4" w:space="0" w:color="000000"/>
              <w:bottom w:val="single" w:sz="12" w:space="0" w:color="000000"/>
            </w:tcBorders>
            <w:shd w:val="clear" w:color="auto" w:fill="auto"/>
            <w:tcMar>
              <w:top w:w="0" w:type="dxa"/>
              <w:left w:w="28" w:type="dxa"/>
              <w:bottom w:w="0" w:type="dxa"/>
              <w:right w:w="28" w:type="dxa"/>
            </w:tcMar>
            <w:vAlign w:val="center"/>
          </w:tcPr>
          <w:p w14:paraId="62640D5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7AD342E" w14:textId="77777777" w:rsidTr="000109E1">
        <w:trPr>
          <w:trHeight w:val="1108"/>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7F01C545"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01F9E44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統計法第十條條文修正草案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AB817BD"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373AF97" w14:textId="77777777" w:rsidR="00C057F4" w:rsidRPr="005A07A3" w:rsidRDefault="00C057F4" w:rsidP="00C057F4">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第11屆第2會期第6次院會</w:t>
            </w:r>
            <w:r w:rsidRPr="00917B44">
              <w:rPr>
                <w:rFonts w:ascii="標楷體" w:eastAsia="標楷體" w:hAnsi="標楷體" w:hint="eastAsia"/>
                <w:spacing w:val="-20"/>
                <w:kern w:val="2"/>
                <w:szCs w:val="24"/>
              </w:rPr>
              <w:t>(113.10.25)</w:t>
            </w:r>
            <w:r w:rsidRPr="005A07A3">
              <w:rPr>
                <w:rFonts w:ascii="標楷體" w:eastAsia="標楷體" w:hAnsi="標楷體" w:hint="eastAsia"/>
                <w:kern w:val="2"/>
                <w:szCs w:val="24"/>
              </w:rPr>
              <w:t>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823FCFB" w14:textId="77777777" w:rsidR="00C057F4" w:rsidRPr="005A07A3" w:rsidRDefault="00C057F4" w:rsidP="00C057F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057F4" w:rsidRPr="00B95A07" w14:paraId="1BD392BC" w14:textId="77777777" w:rsidTr="000D2E36">
        <w:trPr>
          <w:trHeight w:val="425"/>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tcPr>
          <w:p w14:paraId="6AB77A16"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四</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審計部</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1案</w:t>
            </w:r>
            <w:r w:rsidRPr="00B95A07">
              <w:rPr>
                <w:rFonts w:ascii="標楷體" w:eastAsia="標楷體" w:hAnsi="標楷體"/>
                <w:b/>
                <w:kern w:val="2"/>
                <w:sz w:val="28"/>
                <w:szCs w:val="28"/>
              </w:rPr>
              <w:t>）</w:t>
            </w:r>
          </w:p>
        </w:tc>
      </w:tr>
      <w:tr w:rsidR="00C057F4" w:rsidRPr="00B95A07" w14:paraId="4C9F033D" w14:textId="77777777" w:rsidTr="000D2E36">
        <w:trPr>
          <w:trHeight w:val="1108"/>
          <w:jc w:val="center"/>
        </w:trPr>
        <w:tc>
          <w:tcPr>
            <w:tcW w:w="514" w:type="dxa"/>
            <w:tcBorders>
              <w:top w:val="single" w:sz="12" w:space="0" w:color="000000"/>
              <w:bottom w:val="single" w:sz="12" w:space="0" w:color="000000"/>
            </w:tcBorders>
            <w:shd w:val="clear" w:color="auto" w:fill="auto"/>
            <w:tcMar>
              <w:top w:w="0" w:type="dxa"/>
              <w:left w:w="28" w:type="dxa"/>
              <w:bottom w:w="0" w:type="dxa"/>
              <w:right w:w="28" w:type="dxa"/>
            </w:tcMar>
          </w:tcPr>
          <w:p w14:paraId="1EB0E9A0"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03FF62D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7780738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15DDDC11"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984" w:type="dxa"/>
            <w:tcBorders>
              <w:top w:val="single" w:sz="12" w:space="0" w:color="000000"/>
              <w:bottom w:val="single" w:sz="12" w:space="0" w:color="000000"/>
            </w:tcBorders>
            <w:shd w:val="clear" w:color="auto" w:fill="auto"/>
            <w:tcMar>
              <w:top w:w="0" w:type="dxa"/>
              <w:left w:w="28" w:type="dxa"/>
              <w:bottom w:w="0" w:type="dxa"/>
              <w:right w:w="28" w:type="dxa"/>
            </w:tcMar>
            <w:vAlign w:val="center"/>
          </w:tcPr>
          <w:p w14:paraId="7B5024C1"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00167AF4" w14:textId="77777777" w:rsidTr="000D2E36">
        <w:trPr>
          <w:trHeight w:val="541"/>
          <w:jc w:val="center"/>
        </w:trPr>
        <w:tc>
          <w:tcPr>
            <w:tcW w:w="10206" w:type="dxa"/>
            <w:gridSpan w:val="5"/>
            <w:tcBorders>
              <w:top w:val="single" w:sz="12" w:space="0" w:color="000000"/>
              <w:bottom w:val="single" w:sz="12" w:space="0" w:color="000000"/>
            </w:tcBorders>
            <w:shd w:val="clear" w:color="auto" w:fill="auto"/>
            <w:tcMar>
              <w:top w:w="0" w:type="dxa"/>
              <w:left w:w="28" w:type="dxa"/>
              <w:bottom w:w="0" w:type="dxa"/>
              <w:right w:w="28" w:type="dxa"/>
            </w:tcMar>
            <w:vAlign w:val="center"/>
          </w:tcPr>
          <w:p w14:paraId="0B4C1035"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五</w:t>
            </w:r>
            <w:r w:rsidRPr="00B95A07">
              <w:rPr>
                <w:rFonts w:ascii="標楷體" w:eastAsia="標楷體" w:hAnsi="標楷體"/>
                <w:b/>
                <w:kern w:val="2"/>
                <w:sz w:val="28"/>
                <w:szCs w:val="28"/>
              </w:rPr>
              <w:t>)</w:t>
            </w:r>
            <w:r w:rsidRPr="00B95A07">
              <w:rPr>
                <w:rFonts w:ascii="標楷體" w:eastAsia="標楷體" w:hAnsi="標楷體" w:hint="eastAsia"/>
                <w:b/>
                <w:kern w:val="2"/>
                <w:sz w:val="28"/>
                <w:szCs w:val="28"/>
              </w:rPr>
              <w:t>中央銀行</w:t>
            </w:r>
            <w:r w:rsidRPr="00B95A07">
              <w:rPr>
                <w:rFonts w:ascii="標楷體" w:eastAsia="標楷體" w:hAnsi="標楷體"/>
                <w:b/>
                <w:kern w:val="2"/>
                <w:sz w:val="28"/>
                <w:szCs w:val="28"/>
              </w:rPr>
              <w:t>主管（</w:t>
            </w:r>
            <w:r w:rsidRPr="00B95A07">
              <w:rPr>
                <w:rFonts w:ascii="標楷體" w:eastAsia="標楷體" w:hAnsi="標楷體" w:hint="eastAsia"/>
                <w:b/>
                <w:kern w:val="2"/>
                <w:sz w:val="28"/>
                <w:szCs w:val="28"/>
              </w:rPr>
              <w:t>2案</w:t>
            </w:r>
            <w:r w:rsidRPr="00B95A07">
              <w:rPr>
                <w:rFonts w:ascii="標楷體" w:eastAsia="標楷體" w:hAnsi="標楷體"/>
                <w:b/>
                <w:kern w:val="2"/>
                <w:sz w:val="28"/>
                <w:szCs w:val="28"/>
              </w:rPr>
              <w:t>）</w:t>
            </w:r>
          </w:p>
        </w:tc>
      </w:tr>
      <w:tr w:rsidR="00C057F4" w:rsidRPr="00B95A07" w14:paraId="4AE09A66" w14:textId="77777777" w:rsidTr="0077043E">
        <w:trPr>
          <w:jc w:val="center"/>
        </w:trPr>
        <w:tc>
          <w:tcPr>
            <w:tcW w:w="514" w:type="dxa"/>
            <w:tcBorders>
              <w:top w:val="single" w:sz="12" w:space="0" w:color="000000"/>
              <w:bottom w:val="single" w:sz="4" w:space="0" w:color="000000"/>
            </w:tcBorders>
            <w:shd w:val="clear" w:color="auto" w:fill="auto"/>
            <w:tcMar>
              <w:top w:w="0" w:type="dxa"/>
              <w:left w:w="28" w:type="dxa"/>
              <w:bottom w:w="0" w:type="dxa"/>
              <w:right w:w="28" w:type="dxa"/>
            </w:tcMar>
          </w:tcPr>
          <w:p w14:paraId="797790DE"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7AFD979F"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中央銀行法第二十條及第三十三條條文修正草案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6DAEA9DE"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60B79445"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第11屆第1會期第5次院會(113.3.15)決定：「交財政委員會審查」</w:t>
            </w:r>
          </w:p>
        </w:tc>
        <w:tc>
          <w:tcPr>
            <w:tcW w:w="1984" w:type="dxa"/>
            <w:tcBorders>
              <w:top w:val="single" w:sz="12" w:space="0" w:color="000000"/>
              <w:bottom w:val="single" w:sz="4" w:space="0" w:color="000000"/>
            </w:tcBorders>
            <w:shd w:val="clear" w:color="auto" w:fill="auto"/>
            <w:tcMar>
              <w:top w:w="0" w:type="dxa"/>
              <w:left w:w="28" w:type="dxa"/>
              <w:bottom w:w="0" w:type="dxa"/>
              <w:right w:w="28" w:type="dxa"/>
            </w:tcMar>
            <w:vAlign w:val="center"/>
          </w:tcPr>
          <w:p w14:paraId="7DC0072F"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057F4" w:rsidRPr="00B95A07" w14:paraId="1F00337D" w14:textId="77777777" w:rsidTr="00917B44">
        <w:trPr>
          <w:jc w:val="center"/>
        </w:trPr>
        <w:tc>
          <w:tcPr>
            <w:tcW w:w="514" w:type="dxa"/>
            <w:tcBorders>
              <w:bottom w:val="single" w:sz="12" w:space="0" w:color="000000"/>
            </w:tcBorders>
            <w:shd w:val="clear" w:color="auto" w:fill="auto"/>
            <w:tcMar>
              <w:top w:w="0" w:type="dxa"/>
              <w:left w:w="28" w:type="dxa"/>
              <w:bottom w:w="0" w:type="dxa"/>
              <w:right w:w="28" w:type="dxa"/>
            </w:tcMar>
          </w:tcPr>
          <w:p w14:paraId="25900C81" w14:textId="77777777" w:rsidR="00C057F4" w:rsidRPr="00B95A07" w:rsidRDefault="00C057F4" w:rsidP="00C057F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223C755A"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中央銀行法第二十條及第三十三條條文修正草案</w:t>
            </w:r>
          </w:p>
        </w:tc>
        <w:tc>
          <w:tcPr>
            <w:tcW w:w="1559" w:type="dxa"/>
            <w:tcBorders>
              <w:bottom w:val="single" w:sz="12" w:space="0" w:color="000000"/>
            </w:tcBorders>
            <w:shd w:val="clear" w:color="auto" w:fill="auto"/>
            <w:tcMar>
              <w:top w:w="0" w:type="dxa"/>
              <w:left w:w="28" w:type="dxa"/>
              <w:bottom w:w="0" w:type="dxa"/>
              <w:right w:w="28" w:type="dxa"/>
            </w:tcMar>
          </w:tcPr>
          <w:p w14:paraId="046EB1E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羅明才等24人</w:t>
            </w:r>
          </w:p>
        </w:tc>
        <w:tc>
          <w:tcPr>
            <w:tcW w:w="2552" w:type="dxa"/>
            <w:tcBorders>
              <w:bottom w:val="single" w:sz="12" w:space="0" w:color="000000"/>
            </w:tcBorders>
            <w:shd w:val="clear" w:color="auto" w:fill="FFFFFF"/>
            <w:tcMar>
              <w:top w:w="0" w:type="dxa"/>
              <w:left w:w="28" w:type="dxa"/>
              <w:bottom w:w="0" w:type="dxa"/>
              <w:right w:w="28" w:type="dxa"/>
            </w:tcMar>
          </w:tcPr>
          <w:p w14:paraId="25AC755D" w14:textId="77777777" w:rsidR="00C057F4" w:rsidRPr="00B95A07" w:rsidRDefault="00C057F4" w:rsidP="00C057F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984" w:type="dxa"/>
            <w:tcBorders>
              <w:bottom w:val="single" w:sz="12" w:space="0" w:color="000000"/>
            </w:tcBorders>
            <w:shd w:val="clear" w:color="auto" w:fill="auto"/>
            <w:tcMar>
              <w:top w:w="0" w:type="dxa"/>
              <w:left w:w="28" w:type="dxa"/>
              <w:bottom w:w="0" w:type="dxa"/>
              <w:right w:w="28" w:type="dxa"/>
            </w:tcMar>
            <w:vAlign w:val="center"/>
          </w:tcPr>
          <w:p w14:paraId="641F4753" w14:textId="77777777" w:rsidR="00C057F4" w:rsidRPr="00B95A07" w:rsidRDefault="00C057F4" w:rsidP="00C057F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3EA8A555" w14:textId="77777777" w:rsidR="00D85661" w:rsidRPr="00B95A07" w:rsidRDefault="00D85661" w:rsidP="00F470A8">
      <w:pPr>
        <w:overflowPunct w:val="0"/>
        <w:autoSpaceDN/>
        <w:jc w:val="both"/>
        <w:textAlignment w:val="auto"/>
        <w:rPr>
          <w:rFonts w:ascii="標楷體" w:eastAsia="標楷體" w:hAnsi="標楷體"/>
          <w:b/>
          <w:bCs/>
          <w:kern w:val="2"/>
          <w:sz w:val="32"/>
          <w:szCs w:val="32"/>
        </w:rPr>
      </w:pPr>
      <w:bookmarkStart w:id="87" w:name="_Toc126576804"/>
      <w:r w:rsidRPr="00B95A07">
        <w:rPr>
          <w:rFonts w:ascii="標楷體" w:eastAsia="標楷體" w:hAnsi="標楷體"/>
          <w:b/>
          <w:bCs/>
          <w:kern w:val="2"/>
          <w:sz w:val="32"/>
          <w:szCs w:val="32"/>
        </w:rPr>
        <w:br w:type="page"/>
      </w:r>
    </w:p>
    <w:p w14:paraId="2DD8E7CE" w14:textId="5229745F" w:rsidR="00993A58" w:rsidRPr="00B95A07" w:rsidRDefault="00D85661" w:rsidP="00F470A8">
      <w:pPr>
        <w:pStyle w:val="2"/>
        <w:numPr>
          <w:ilvl w:val="0"/>
          <w:numId w:val="0"/>
        </w:numPr>
        <w:overflowPunct w:val="0"/>
        <w:spacing w:line="480" w:lineRule="exact"/>
        <w:ind w:left="927" w:hanging="567"/>
        <w:jc w:val="both"/>
        <w:rPr>
          <w:rFonts w:ascii="標楷體" w:eastAsia="標楷體" w:hAnsi="標楷體"/>
          <w:b w:val="0"/>
          <w:bCs w:val="0"/>
          <w:kern w:val="2"/>
          <w:sz w:val="32"/>
          <w:szCs w:val="32"/>
        </w:rPr>
      </w:pPr>
      <w:bookmarkStart w:id="88" w:name="_Toc143873922"/>
      <w:bookmarkStart w:id="89" w:name="_Toc157095695"/>
      <w:bookmarkStart w:id="90" w:name="_Toc175833590"/>
      <w:bookmarkStart w:id="91" w:name="_Toc189487305"/>
      <w:r>
        <w:rPr>
          <w:rFonts w:ascii="標楷體" w:eastAsia="標楷體" w:hAnsi="標楷體" w:hint="eastAsia"/>
          <w:kern w:val="2"/>
          <w:sz w:val="32"/>
          <w:szCs w:val="32"/>
        </w:rPr>
        <w:lastRenderedPageBreak/>
        <w:t>二、</w:t>
      </w:r>
      <w:r w:rsidRPr="00B95A07">
        <w:rPr>
          <w:rFonts w:ascii="標楷體" w:eastAsia="標楷體" w:hAnsi="標楷體" w:hint="eastAsia"/>
          <w:kern w:val="2"/>
          <w:sz w:val="32"/>
          <w:szCs w:val="32"/>
        </w:rPr>
        <w:t>預算案（</w:t>
      </w:r>
      <w:r>
        <w:rPr>
          <w:rFonts w:ascii="標楷體" w:eastAsia="標楷體" w:hAnsi="標楷體" w:hint="eastAsia"/>
          <w:kern w:val="2"/>
          <w:sz w:val="32"/>
          <w:szCs w:val="32"/>
        </w:rPr>
        <w:t>4</w:t>
      </w:r>
      <w:r w:rsidRPr="00B95A07">
        <w:rPr>
          <w:rFonts w:ascii="標楷體" w:eastAsia="標楷體" w:hAnsi="標楷體" w:hint="eastAsia"/>
          <w:kern w:val="2"/>
          <w:sz w:val="32"/>
          <w:szCs w:val="32"/>
        </w:rPr>
        <w:t>案）</w:t>
      </w:r>
      <w:bookmarkEnd w:id="87"/>
      <w:bookmarkEnd w:id="88"/>
      <w:bookmarkEnd w:id="89"/>
      <w:bookmarkEnd w:id="90"/>
      <w:bookmarkEnd w:id="91"/>
    </w:p>
    <w:p w14:paraId="75419716" w14:textId="6C5ED65A" w:rsidR="00993A58" w:rsidRDefault="00993A58"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92" w:name="_Toc189487306"/>
      <w:bookmarkStart w:id="93" w:name="_Toc157095696"/>
      <w:bookmarkStart w:id="94" w:name="_Toc175833591"/>
      <w:r w:rsidRPr="00B95A07">
        <w:rPr>
          <w:rFonts w:ascii="標楷體" w:eastAsia="標楷體" w:hAnsi="標楷體" w:hint="eastAsia"/>
          <w:b/>
          <w:bCs/>
          <w:sz w:val="28"/>
          <w:szCs w:val="28"/>
        </w:rPr>
        <w:t>(</w:t>
      </w:r>
      <w:r>
        <w:rPr>
          <w:rFonts w:ascii="標楷體" w:eastAsia="標楷體" w:hAnsi="標楷體" w:hint="eastAsia"/>
          <w:b/>
          <w:bCs/>
          <w:sz w:val="28"/>
          <w:szCs w:val="28"/>
        </w:rPr>
        <w:t>一</w:t>
      </w:r>
      <w:r w:rsidRPr="00B95A07">
        <w:rPr>
          <w:rFonts w:ascii="標楷體" w:eastAsia="標楷體" w:hAnsi="標楷體" w:hint="eastAsia"/>
          <w:b/>
          <w:bCs/>
          <w:sz w:val="28"/>
          <w:szCs w:val="28"/>
        </w:rPr>
        <w:t>)</w:t>
      </w:r>
      <w:r>
        <w:rPr>
          <w:rFonts w:ascii="標楷體" w:eastAsia="標楷體" w:hAnsi="標楷體" w:hint="eastAsia"/>
          <w:b/>
          <w:bCs/>
          <w:sz w:val="28"/>
          <w:szCs w:val="28"/>
        </w:rPr>
        <w:t>總</w:t>
      </w:r>
      <w:r w:rsidRPr="00B95A07">
        <w:rPr>
          <w:rFonts w:ascii="標楷體" w:eastAsia="標楷體" w:hAnsi="標楷體" w:hint="eastAsia"/>
          <w:b/>
          <w:bCs/>
          <w:sz w:val="28"/>
          <w:szCs w:val="28"/>
        </w:rPr>
        <w:t>預算案（</w:t>
      </w:r>
      <w:r>
        <w:rPr>
          <w:rFonts w:ascii="標楷體" w:eastAsia="標楷體" w:hAnsi="標楷體" w:hint="eastAsia"/>
          <w:b/>
          <w:bCs/>
          <w:sz w:val="28"/>
          <w:szCs w:val="28"/>
        </w:rPr>
        <w:t>1</w:t>
      </w:r>
      <w:r w:rsidRPr="00B95A07">
        <w:rPr>
          <w:rFonts w:ascii="標楷體" w:eastAsia="標楷體" w:hAnsi="標楷體" w:hint="eastAsia"/>
          <w:b/>
          <w:bCs/>
          <w:sz w:val="28"/>
          <w:szCs w:val="28"/>
        </w:rPr>
        <w:t>案）</w:t>
      </w:r>
      <w:bookmarkEnd w:id="92"/>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993A58" w:rsidRPr="00BA300B" w14:paraId="1DC52FE7" w14:textId="77777777" w:rsidTr="00452841">
        <w:trPr>
          <w:trHeight w:val="490"/>
          <w:jc w:val="center"/>
        </w:trPr>
        <w:tc>
          <w:tcPr>
            <w:tcW w:w="567" w:type="dxa"/>
            <w:tcBorders>
              <w:top w:val="single" w:sz="12" w:space="0" w:color="auto"/>
              <w:left w:val="single" w:sz="4" w:space="0" w:color="auto"/>
              <w:bottom w:val="single" w:sz="12" w:space="0" w:color="auto"/>
              <w:right w:val="single" w:sz="4" w:space="0" w:color="auto"/>
            </w:tcBorders>
            <w:vAlign w:val="center"/>
          </w:tcPr>
          <w:p w14:paraId="704E0B3E"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14:paraId="7D124B39"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14:paraId="41DCB3BB"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4AE7E7AC"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審查會審竣</w:t>
            </w:r>
          </w:p>
          <w:p w14:paraId="3DAF8A0D"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14:paraId="124FE307" w14:textId="77777777" w:rsidR="00993A58" w:rsidRPr="00BA300B"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A300B">
              <w:rPr>
                <w:rFonts w:ascii="標楷體" w:eastAsia="標楷體" w:hAnsi="標楷體" w:hint="eastAsia"/>
                <w:b/>
                <w:kern w:val="2"/>
                <w:szCs w:val="24"/>
              </w:rPr>
              <w:t xml:space="preserve">備  </w:t>
            </w:r>
            <w:r>
              <w:rPr>
                <w:rFonts w:ascii="標楷體" w:eastAsia="標楷體" w:hAnsi="標楷體"/>
                <w:b/>
                <w:kern w:val="2"/>
                <w:szCs w:val="24"/>
              </w:rPr>
              <w:t xml:space="preserve">  </w:t>
            </w:r>
            <w:r w:rsidRPr="00BA300B">
              <w:rPr>
                <w:rFonts w:ascii="標楷體" w:eastAsia="標楷體" w:hAnsi="標楷體" w:hint="eastAsia"/>
                <w:b/>
                <w:kern w:val="2"/>
                <w:szCs w:val="24"/>
              </w:rPr>
              <w:t>註</w:t>
            </w:r>
          </w:p>
        </w:tc>
      </w:tr>
      <w:tr w:rsidR="00993A58" w:rsidRPr="00BA300B" w14:paraId="77AA934D" w14:textId="77777777" w:rsidTr="00452841">
        <w:trPr>
          <w:trHeight w:val="1409"/>
          <w:jc w:val="center"/>
        </w:trPr>
        <w:tc>
          <w:tcPr>
            <w:tcW w:w="567" w:type="dxa"/>
            <w:tcBorders>
              <w:top w:val="single" w:sz="12" w:space="0" w:color="auto"/>
              <w:left w:val="single" w:sz="4" w:space="0" w:color="auto"/>
              <w:bottom w:val="single" w:sz="4" w:space="0" w:color="auto"/>
              <w:right w:val="single" w:sz="4" w:space="0" w:color="auto"/>
            </w:tcBorders>
          </w:tcPr>
          <w:p w14:paraId="30CB78C7" w14:textId="77777777" w:rsidR="00993A58" w:rsidRPr="00BA300B" w:rsidRDefault="00993A58" w:rsidP="00FA328D">
            <w:pPr>
              <w:widowControl w:val="0"/>
              <w:numPr>
                <w:ilvl w:val="0"/>
                <w:numId w:val="60"/>
              </w:numPr>
              <w:overflowPunct w:val="0"/>
              <w:autoSpaceDN/>
              <w:jc w:val="both"/>
              <w:textAlignment w:val="auto"/>
              <w:rPr>
                <w:rFonts w:ascii="標楷體" w:eastAsia="標楷體" w:hAnsi="標楷體"/>
                <w:b/>
                <w:szCs w:val="24"/>
              </w:rPr>
            </w:pPr>
            <w:r w:rsidRPr="00BA300B">
              <w:rPr>
                <w:rFonts w:ascii="標楷體" w:eastAsia="標楷體" w:hAnsi="標楷體"/>
                <w:b/>
                <w:szCs w:val="24"/>
              </w:rPr>
              <w:t>1</w:t>
            </w:r>
          </w:p>
        </w:tc>
        <w:tc>
          <w:tcPr>
            <w:tcW w:w="2127" w:type="dxa"/>
            <w:tcBorders>
              <w:top w:val="single" w:sz="12" w:space="0" w:color="auto"/>
              <w:left w:val="single" w:sz="4" w:space="0" w:color="auto"/>
              <w:bottom w:val="single" w:sz="4" w:space="0" w:color="auto"/>
              <w:right w:val="single" w:sz="4" w:space="0" w:color="auto"/>
            </w:tcBorders>
          </w:tcPr>
          <w:p w14:paraId="08E52531" w14:textId="77777777" w:rsidR="00993A58" w:rsidRPr="00D043C5" w:rsidRDefault="00993A58" w:rsidP="00F470A8">
            <w:pPr>
              <w:widowControl w:val="0"/>
              <w:overflowPunct w:val="0"/>
              <w:autoSpaceDN/>
              <w:spacing w:line="320" w:lineRule="exact"/>
              <w:jc w:val="both"/>
              <w:textAlignment w:val="auto"/>
              <w:rPr>
                <w:rFonts w:ascii="標楷體" w:eastAsia="標楷體" w:hAnsi="標楷體" w:cs="DFKaiShuW5-B5"/>
                <w:kern w:val="0"/>
                <w:szCs w:val="24"/>
              </w:rPr>
            </w:pPr>
            <w:r w:rsidRPr="00D043C5">
              <w:rPr>
                <w:rFonts w:ascii="標楷體" w:eastAsia="標楷體" w:hAnsi="標楷體" w:cs="DFKaiShuW5-B5" w:hint="eastAsia"/>
                <w:kern w:val="0"/>
                <w:szCs w:val="24"/>
              </w:rPr>
              <w:t>114年度中央政府總預算案</w:t>
            </w:r>
            <w:r>
              <w:rPr>
                <w:rFonts w:ascii="標楷體" w:eastAsia="標楷體" w:hAnsi="標楷體" w:cs="DFKaiShuW5-B5" w:hint="eastAsia"/>
                <w:kern w:val="0"/>
                <w:szCs w:val="24"/>
              </w:rPr>
              <w:t>(營業及非營業部分)</w:t>
            </w:r>
          </w:p>
        </w:tc>
        <w:tc>
          <w:tcPr>
            <w:tcW w:w="2835" w:type="dxa"/>
            <w:tcBorders>
              <w:top w:val="single" w:sz="12" w:space="0" w:color="auto"/>
              <w:left w:val="single" w:sz="4" w:space="0" w:color="auto"/>
              <w:bottom w:val="single" w:sz="4" w:space="0" w:color="auto"/>
              <w:right w:val="single" w:sz="4" w:space="0" w:color="auto"/>
            </w:tcBorders>
          </w:tcPr>
          <w:p w14:paraId="59D0736F" w14:textId="77777777" w:rsidR="00993A58" w:rsidRPr="00D043C5" w:rsidRDefault="00993A58"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1.依113年10月24日黨團協商結論，定於11月1日及5日邀請行政院院長、主計長、財政部部長、國家發展委員會主任委員及相關部會首長列席報告114年度施政計畫、「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2CE950BA" w14:textId="77777777" w:rsidR="00993A58" w:rsidRPr="00D043C5" w:rsidRDefault="00993A58"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D043C5">
              <w:rPr>
                <w:rFonts w:ascii="標楷體" w:eastAsia="標楷體" w:hAnsi="標楷體" w:hint="eastAsia"/>
                <w:kern w:val="2"/>
                <w:szCs w:val="24"/>
              </w:rPr>
              <w:t>2.依113年11月8日黨團協商結論，各黨團同意「114年度中央政府總預算案後續處理事項」，增列納入第8次會議議程，於11月8日院會討論事項前處理，將 「</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」交財政委員會依分配表及日程分送各委員會審查，並不提出復議。</w:t>
            </w:r>
          </w:p>
        </w:tc>
        <w:tc>
          <w:tcPr>
            <w:tcW w:w="2268" w:type="dxa"/>
            <w:tcBorders>
              <w:top w:val="single" w:sz="12" w:space="0" w:color="auto"/>
              <w:left w:val="single" w:sz="4" w:space="0" w:color="auto"/>
              <w:bottom w:val="single" w:sz="4" w:space="0" w:color="auto"/>
              <w:right w:val="single" w:sz="4" w:space="0" w:color="auto"/>
            </w:tcBorders>
          </w:tcPr>
          <w:p w14:paraId="0DCABC86" w14:textId="77777777" w:rsidR="00993A58" w:rsidRPr="001A5414" w:rsidRDefault="00993A58" w:rsidP="00F470A8">
            <w:pPr>
              <w:overflowPunct w:val="0"/>
              <w:spacing w:line="320" w:lineRule="exact"/>
              <w:ind w:left="240" w:hangingChars="100" w:hanging="240"/>
              <w:contextualSpacing/>
              <w:jc w:val="both"/>
              <w:rPr>
                <w:rFonts w:ascii="標楷體" w:eastAsia="標楷體" w:hAnsi="標楷體"/>
                <w:szCs w:val="24"/>
              </w:rPr>
            </w:pPr>
            <w:r w:rsidRPr="001A5414">
              <w:rPr>
                <w:rFonts w:ascii="標楷體" w:eastAsia="標楷體" w:hAnsi="標楷體" w:hint="eastAsia"/>
                <w:szCs w:val="24"/>
              </w:rPr>
              <w:t>1.本會於113年10月30日舉行第11屆第2會期第5次全體委員會議通過「中華民國1</w:t>
            </w:r>
            <w:r w:rsidRPr="001A5414">
              <w:rPr>
                <w:rFonts w:ascii="標楷體" w:eastAsia="標楷體" w:hAnsi="標楷體"/>
                <w:szCs w:val="24"/>
              </w:rPr>
              <w:t>1</w:t>
            </w:r>
            <w:r w:rsidRPr="001A5414">
              <w:rPr>
                <w:rFonts w:ascii="標楷體" w:eastAsia="標楷體" w:hAnsi="標楷體" w:hint="eastAsia"/>
                <w:szCs w:val="24"/>
              </w:rPr>
              <w:t>4年度中央政府總預算案（含附屬單位預算及綜計表－營業及非營業部分）審查日程及審查分配表草案，並提報院會。</w:t>
            </w:r>
          </w:p>
          <w:p w14:paraId="35AF2910" w14:textId="77777777" w:rsidR="00993A58" w:rsidRPr="001A5414" w:rsidRDefault="00993A58" w:rsidP="00F470A8">
            <w:pPr>
              <w:widowControl w:val="0"/>
              <w:overflowPunct w:val="0"/>
              <w:autoSpaceDN/>
              <w:ind w:left="240" w:hangingChars="100" w:hanging="240"/>
              <w:contextualSpacing/>
              <w:jc w:val="both"/>
              <w:textAlignment w:val="auto"/>
              <w:rPr>
                <w:rFonts w:ascii="標楷體" w:eastAsia="標楷體" w:hAnsi="標楷體"/>
                <w:kern w:val="2"/>
                <w:szCs w:val="24"/>
              </w:rPr>
            </w:pPr>
            <w:r w:rsidRPr="001A5414">
              <w:rPr>
                <w:rFonts w:ascii="標楷體" w:eastAsia="標楷體" w:hAnsi="標楷體" w:hint="eastAsia"/>
                <w:kern w:val="2"/>
                <w:szCs w:val="24"/>
              </w:rPr>
              <w:t>2.</w:t>
            </w:r>
            <w:r w:rsidRPr="00D73020">
              <w:rPr>
                <w:rFonts w:ascii="標楷體" w:eastAsia="標楷體" w:hAnsi="標楷體" w:hint="eastAsia"/>
                <w:szCs w:val="24"/>
              </w:rPr>
              <w:t>113年11月13日、14日、25日、12月19日、25日、26日及114年1月2日、6日本</w:t>
            </w:r>
            <w:r w:rsidRPr="001A5414">
              <w:rPr>
                <w:rFonts w:ascii="標楷體" w:eastAsia="標楷體" w:hAnsi="標楷體" w:hint="eastAsia"/>
                <w:szCs w:val="24"/>
              </w:rPr>
              <w:t>會舉行全體委員會議，審查中華民國114年度中央政府總預算案（含附屬單位預算及綜計表－營業及非營業部分）有關財政委員會主審</w:t>
            </w:r>
            <w:r>
              <w:rPr>
                <w:rFonts w:ascii="標楷體" w:eastAsia="標楷體" w:hAnsi="標楷體" w:hint="eastAsia"/>
                <w:szCs w:val="24"/>
              </w:rPr>
              <w:t>營業及非營業</w:t>
            </w:r>
            <w:r w:rsidRPr="001A5414">
              <w:rPr>
                <w:rFonts w:ascii="標楷體" w:eastAsia="標楷體" w:hAnsi="標楷體" w:hint="eastAsia"/>
                <w:szCs w:val="24"/>
              </w:rPr>
              <w:t>部分。</w:t>
            </w:r>
          </w:p>
          <w:p w14:paraId="1BC71020" w14:textId="77777777" w:rsidR="00993A58" w:rsidRPr="001A5414" w:rsidRDefault="00993A58" w:rsidP="00F470A8">
            <w:pPr>
              <w:overflowPunct w:val="0"/>
              <w:spacing w:line="340" w:lineRule="exact"/>
              <w:contextualSpacing/>
              <w:jc w:val="both"/>
              <w:rPr>
                <w:rFonts w:ascii="標楷體" w:eastAsia="標楷體" w:hAnsi="標楷體"/>
                <w:szCs w:val="24"/>
              </w:rPr>
            </w:pPr>
          </w:p>
        </w:tc>
        <w:tc>
          <w:tcPr>
            <w:tcW w:w="1842" w:type="dxa"/>
            <w:tcBorders>
              <w:top w:val="single" w:sz="12" w:space="0" w:color="auto"/>
              <w:left w:val="single" w:sz="4" w:space="0" w:color="000000"/>
              <w:bottom w:val="single" w:sz="4" w:space="0" w:color="auto"/>
              <w:right w:val="single" w:sz="4" w:space="0" w:color="000000"/>
            </w:tcBorders>
            <w:vAlign w:val="center"/>
          </w:tcPr>
          <w:p w14:paraId="3EC24FC7" w14:textId="77777777" w:rsidR="00993A58" w:rsidRPr="00D043C5" w:rsidRDefault="00993A58" w:rsidP="00F470A8">
            <w:pPr>
              <w:widowControl w:val="0"/>
              <w:suppressLineNumbers/>
              <w:suppressAutoHyphens/>
              <w:overflowPunct w:val="0"/>
              <w:autoSpaceDN/>
              <w:spacing w:line="340" w:lineRule="exact"/>
              <w:ind w:left="240" w:hangingChars="100" w:hanging="240"/>
              <w:jc w:val="both"/>
              <w:textAlignment w:val="auto"/>
              <w:rPr>
                <w:rFonts w:ascii="標楷體" w:eastAsia="標楷體" w:hAnsi="標楷體"/>
                <w:kern w:val="2"/>
                <w:szCs w:val="24"/>
              </w:rPr>
            </w:pPr>
            <w:r w:rsidRPr="007F21E0">
              <w:rPr>
                <w:rFonts w:ascii="標楷體" w:eastAsia="標楷體" w:hAnsi="標楷體" w:hint="eastAsia"/>
                <w:kern w:val="0"/>
              </w:rPr>
              <w:t>1.</w:t>
            </w:r>
            <w:r w:rsidRPr="007F21E0">
              <w:rPr>
                <w:rFonts w:ascii="標楷體" w:eastAsia="標楷體" w:hAnsi="標楷體" w:hint="eastAsia"/>
              </w:rPr>
              <w:t>1</w:t>
            </w:r>
            <w:r w:rsidRPr="007F21E0">
              <w:rPr>
                <w:rFonts w:ascii="標楷體" w:eastAsia="標楷體" w:hAnsi="標楷體"/>
              </w:rPr>
              <w:t>1</w:t>
            </w:r>
            <w:r w:rsidRPr="007F21E0">
              <w:rPr>
                <w:rFonts w:ascii="標楷體" w:eastAsia="標楷體" w:hAnsi="標楷體" w:hint="eastAsia"/>
              </w:rPr>
              <w:t>3.10.24朝野黨團協商結論決定：</w:t>
            </w:r>
            <w:r w:rsidRPr="007F21E0">
              <w:rPr>
                <w:rFonts w:ascii="標楷體" w:eastAsia="標楷體" w:hAnsi="標楷體" w:hint="eastAsia"/>
                <w:kern w:val="2"/>
                <w:szCs w:val="24"/>
              </w:rPr>
              <w:t>11月1日及5</w:t>
            </w:r>
            <w:r w:rsidRPr="00D043C5">
              <w:rPr>
                <w:rFonts w:ascii="標楷體" w:eastAsia="標楷體" w:hAnsi="標楷體" w:hint="eastAsia"/>
                <w:kern w:val="2"/>
                <w:szCs w:val="24"/>
              </w:rPr>
              <w:t>日邀請行政院院長、主計長、財政部部長、國家發展委員會主任委員及相關部會首長列席報告114年度施政計畫、「</w:t>
            </w:r>
            <w:r w:rsidRPr="00D043C5">
              <w:rPr>
                <w:rFonts w:ascii="標楷體" w:eastAsia="標楷體" w:hAnsi="標楷體" w:cs="DFKaiShuW5-B5" w:hint="eastAsia"/>
                <w:kern w:val="0"/>
                <w:szCs w:val="24"/>
              </w:rPr>
              <w:t>114年度中央政府總預算案</w:t>
            </w:r>
            <w:r w:rsidRPr="00D043C5">
              <w:rPr>
                <w:rFonts w:ascii="標楷體" w:eastAsia="標楷體" w:hAnsi="標楷體" w:hint="eastAsia"/>
                <w:kern w:val="2"/>
                <w:szCs w:val="24"/>
              </w:rPr>
              <w:t>」及「</w:t>
            </w:r>
            <w:r w:rsidRPr="00D043C5">
              <w:rPr>
                <w:rFonts w:ascii="標楷體" w:eastAsia="標楷體" w:hAnsi="標楷體" w:cs="DFKaiShuW5-B5" w:hint="eastAsia"/>
                <w:kern w:val="0"/>
                <w:szCs w:val="24"/>
              </w:rPr>
              <w:t>中央政府前瞻基礎建設計畫第5期特別預算案</w:t>
            </w:r>
            <w:r w:rsidRPr="00D043C5">
              <w:rPr>
                <w:rFonts w:ascii="標楷體" w:eastAsia="標楷體" w:hAnsi="標楷體" w:hint="eastAsia"/>
                <w:kern w:val="2"/>
                <w:szCs w:val="24"/>
              </w:rPr>
              <w:t>」編製經過並備質詢。</w:t>
            </w:r>
          </w:p>
          <w:p w14:paraId="3F7B48F4" w14:textId="77777777" w:rsidR="00993A58" w:rsidRPr="001A5414" w:rsidRDefault="00993A58" w:rsidP="00F470A8">
            <w:pPr>
              <w:overflowPunct w:val="0"/>
              <w:spacing w:line="340" w:lineRule="exact"/>
              <w:ind w:left="240" w:hangingChars="100" w:hanging="240"/>
              <w:jc w:val="both"/>
              <w:rPr>
                <w:rFonts w:ascii="標楷體" w:eastAsia="標楷體" w:hAnsi="標楷體"/>
                <w:color w:val="FF0000"/>
                <w:szCs w:val="24"/>
              </w:rPr>
            </w:pPr>
            <w:r w:rsidRPr="007F21E0">
              <w:rPr>
                <w:rFonts w:ascii="標楷體" w:eastAsia="標楷體" w:hAnsi="標楷體" w:hint="eastAsia"/>
                <w:szCs w:val="24"/>
              </w:rPr>
              <w:t>2.本會所提「中華民國114年度中央政府總預算案（含附屬單位預算及綜計表－營業及非營業部分）審查分配表及日程，經第11屆第2會期第8次院會（113.11.8）決定：「</w:t>
            </w:r>
            <w:r w:rsidRPr="00D043C5">
              <w:rPr>
                <w:rFonts w:ascii="標楷體" w:eastAsia="標楷體" w:hAnsi="標楷體" w:hint="eastAsia"/>
                <w:kern w:val="2"/>
                <w:szCs w:val="24"/>
              </w:rPr>
              <w:t>交財政委員會依分配表及日程分送各委員會審查</w:t>
            </w:r>
            <w:r w:rsidRPr="007F21E0">
              <w:rPr>
                <w:rFonts w:ascii="標楷體" w:eastAsia="標楷體" w:hAnsi="標楷體" w:hint="eastAsia"/>
                <w:szCs w:val="24"/>
              </w:rPr>
              <w:t>」。</w:t>
            </w:r>
          </w:p>
        </w:tc>
      </w:tr>
    </w:tbl>
    <w:p w14:paraId="65E1E8EE" w14:textId="1AC8C72E" w:rsidR="00993A58" w:rsidRPr="00B95A07" w:rsidRDefault="00993A58" w:rsidP="00F470A8">
      <w:pPr>
        <w:keepNext/>
        <w:overflowPunct w:val="0"/>
        <w:spacing w:line="480" w:lineRule="exact"/>
        <w:ind w:leftChars="250" w:left="600"/>
        <w:jc w:val="both"/>
        <w:textAlignment w:val="auto"/>
        <w:outlineLvl w:val="2"/>
        <w:rPr>
          <w:rFonts w:ascii="標楷體" w:eastAsia="標楷體" w:hAnsi="標楷體"/>
          <w:b/>
          <w:bCs/>
          <w:sz w:val="28"/>
          <w:szCs w:val="28"/>
        </w:rPr>
      </w:pPr>
      <w:bookmarkStart w:id="95" w:name="_Toc189487307"/>
      <w:r w:rsidRPr="00B95A07">
        <w:rPr>
          <w:rFonts w:ascii="標楷體" w:eastAsia="標楷體" w:hAnsi="標楷體" w:hint="eastAsia"/>
          <w:b/>
          <w:bCs/>
          <w:sz w:val="28"/>
          <w:szCs w:val="28"/>
        </w:rPr>
        <w:lastRenderedPageBreak/>
        <w:t>(</w:t>
      </w:r>
      <w:r>
        <w:rPr>
          <w:rFonts w:ascii="標楷體" w:eastAsia="標楷體" w:hAnsi="標楷體" w:hint="eastAsia"/>
          <w:b/>
          <w:bCs/>
          <w:sz w:val="28"/>
          <w:szCs w:val="28"/>
        </w:rPr>
        <w:t>二</w:t>
      </w:r>
      <w:r w:rsidRPr="00B95A07">
        <w:rPr>
          <w:rFonts w:ascii="標楷體" w:eastAsia="標楷體" w:hAnsi="標楷體" w:hint="eastAsia"/>
          <w:b/>
          <w:bCs/>
          <w:sz w:val="28"/>
          <w:szCs w:val="28"/>
        </w:rPr>
        <w:t>)財團法人預算案（3案）</w:t>
      </w:r>
      <w:bookmarkEnd w:id="93"/>
      <w:bookmarkEnd w:id="94"/>
      <w:bookmarkEnd w:id="95"/>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1842"/>
      </w:tblGrid>
      <w:tr w:rsidR="00993A58" w:rsidRPr="00B95A07" w14:paraId="74BE4BB5" w14:textId="77777777" w:rsidTr="00452841">
        <w:trPr>
          <w:trHeight w:val="490"/>
        </w:trPr>
        <w:tc>
          <w:tcPr>
            <w:tcW w:w="567" w:type="dxa"/>
            <w:tcBorders>
              <w:top w:val="single" w:sz="12" w:space="0" w:color="auto"/>
              <w:left w:val="single" w:sz="4" w:space="0" w:color="auto"/>
              <w:bottom w:val="single" w:sz="12" w:space="0" w:color="auto"/>
              <w:right w:val="single" w:sz="4" w:space="0" w:color="auto"/>
            </w:tcBorders>
            <w:vAlign w:val="center"/>
          </w:tcPr>
          <w:p w14:paraId="26B1EB52"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序號</w:t>
            </w:r>
          </w:p>
        </w:tc>
        <w:tc>
          <w:tcPr>
            <w:tcW w:w="2127" w:type="dxa"/>
            <w:tcBorders>
              <w:top w:val="single" w:sz="12" w:space="0" w:color="auto"/>
              <w:left w:val="single" w:sz="4" w:space="0" w:color="auto"/>
              <w:bottom w:val="single" w:sz="12" w:space="0" w:color="auto"/>
              <w:right w:val="single" w:sz="4" w:space="0" w:color="auto"/>
            </w:tcBorders>
            <w:vAlign w:val="center"/>
          </w:tcPr>
          <w:p w14:paraId="129D821B"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835" w:type="dxa"/>
            <w:tcBorders>
              <w:top w:val="single" w:sz="12" w:space="0" w:color="auto"/>
              <w:left w:val="single" w:sz="4" w:space="0" w:color="auto"/>
              <w:bottom w:val="single" w:sz="12" w:space="0" w:color="auto"/>
              <w:right w:val="single" w:sz="4" w:space="0" w:color="auto"/>
            </w:tcBorders>
            <w:vAlign w:val="center"/>
          </w:tcPr>
          <w:p w14:paraId="3F950D11"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2268" w:type="dxa"/>
            <w:tcBorders>
              <w:top w:val="single" w:sz="12" w:space="0" w:color="auto"/>
              <w:left w:val="single" w:sz="4" w:space="0" w:color="auto"/>
              <w:bottom w:val="single" w:sz="12" w:space="0" w:color="auto"/>
              <w:right w:val="single" w:sz="4" w:space="0" w:color="auto"/>
            </w:tcBorders>
            <w:vAlign w:val="center"/>
          </w:tcPr>
          <w:p w14:paraId="5423150C"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審查會審竣</w:t>
            </w:r>
          </w:p>
          <w:p w14:paraId="60EB5F53"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日期及會次</w:t>
            </w:r>
          </w:p>
        </w:tc>
        <w:tc>
          <w:tcPr>
            <w:tcW w:w="1842" w:type="dxa"/>
            <w:tcBorders>
              <w:top w:val="single" w:sz="12" w:space="0" w:color="auto"/>
              <w:left w:val="single" w:sz="4" w:space="0" w:color="auto"/>
              <w:bottom w:val="single" w:sz="12" w:space="0" w:color="auto"/>
              <w:right w:val="single" w:sz="4" w:space="0" w:color="auto"/>
            </w:tcBorders>
            <w:vAlign w:val="center"/>
          </w:tcPr>
          <w:p w14:paraId="40B4D78E"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r w:rsidRPr="00B95A07">
              <w:rPr>
                <w:rFonts w:ascii="標楷體" w:eastAsia="標楷體" w:hAnsi="標楷體" w:hint="eastAsia"/>
                <w:b/>
                <w:kern w:val="2"/>
                <w:szCs w:val="24"/>
              </w:rPr>
              <w:t>註</w:t>
            </w:r>
          </w:p>
        </w:tc>
      </w:tr>
      <w:tr w:rsidR="00993A58" w:rsidRPr="00B95A07" w14:paraId="05EB4D24" w14:textId="77777777" w:rsidTr="00452841">
        <w:trPr>
          <w:trHeight w:val="1835"/>
        </w:trPr>
        <w:tc>
          <w:tcPr>
            <w:tcW w:w="567" w:type="dxa"/>
            <w:tcBorders>
              <w:top w:val="single" w:sz="4" w:space="0" w:color="auto"/>
              <w:left w:val="single" w:sz="4" w:space="0" w:color="auto"/>
              <w:bottom w:val="single" w:sz="4" w:space="0" w:color="auto"/>
              <w:right w:val="single" w:sz="4" w:space="0" w:color="auto"/>
            </w:tcBorders>
          </w:tcPr>
          <w:p w14:paraId="436B58E3" w14:textId="77777777" w:rsidR="00993A58" w:rsidRPr="00CA3762" w:rsidRDefault="00993A58"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2</w:t>
            </w:r>
          </w:p>
        </w:tc>
        <w:tc>
          <w:tcPr>
            <w:tcW w:w="2127" w:type="dxa"/>
            <w:tcBorders>
              <w:top w:val="single" w:sz="4" w:space="0" w:color="auto"/>
              <w:left w:val="single" w:sz="4" w:space="0" w:color="auto"/>
              <w:bottom w:val="single" w:sz="4" w:space="0" w:color="auto"/>
              <w:right w:val="single" w:sz="4" w:space="0" w:color="auto"/>
            </w:tcBorders>
          </w:tcPr>
          <w:p w14:paraId="083DD94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金融監督管理委員會函送財團法人台灣金融研訓院等7家財團法人112年度預算書案。</w:t>
            </w:r>
          </w:p>
        </w:tc>
        <w:tc>
          <w:tcPr>
            <w:tcW w:w="2835" w:type="dxa"/>
            <w:tcBorders>
              <w:top w:val="single" w:sz="4" w:space="0" w:color="auto"/>
              <w:left w:val="single" w:sz="4" w:space="0" w:color="000000"/>
              <w:bottom w:val="single" w:sz="4" w:space="0" w:color="auto"/>
              <w:right w:val="single" w:sz="4" w:space="0" w:color="000000"/>
            </w:tcBorders>
            <w:shd w:val="clear" w:color="auto" w:fill="FFFFFF"/>
          </w:tcPr>
          <w:p w14:paraId="47C63AD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szCs w:val="24"/>
              </w:rPr>
              <w:t>第10屆第6會期第2次院會(111.9.30)決定：「交財政委員會審查」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vAlign w:val="center"/>
          </w:tcPr>
          <w:p w14:paraId="1ACBF1BF" w14:textId="77777777" w:rsidR="00993A58" w:rsidRPr="00B95A07" w:rsidRDefault="00993A58" w:rsidP="00F470A8">
            <w:pPr>
              <w:widowControl w:val="0"/>
              <w:overflowPunct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4" w:space="0" w:color="auto"/>
              <w:right w:val="single" w:sz="4" w:space="0" w:color="auto"/>
            </w:tcBorders>
            <w:vAlign w:val="center"/>
          </w:tcPr>
          <w:p w14:paraId="1D05E33D"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993A58" w:rsidRPr="00B95A07" w14:paraId="10C502F3" w14:textId="77777777" w:rsidTr="00452841">
        <w:trPr>
          <w:trHeight w:val="1835"/>
        </w:trPr>
        <w:tc>
          <w:tcPr>
            <w:tcW w:w="567" w:type="dxa"/>
            <w:tcBorders>
              <w:top w:val="single" w:sz="4" w:space="0" w:color="auto"/>
              <w:left w:val="single" w:sz="4" w:space="0" w:color="auto"/>
              <w:bottom w:val="single" w:sz="4" w:space="0" w:color="auto"/>
              <w:right w:val="single" w:sz="4" w:space="0" w:color="auto"/>
            </w:tcBorders>
          </w:tcPr>
          <w:p w14:paraId="2EFB1779" w14:textId="77777777" w:rsidR="00993A58" w:rsidRPr="00CA3762" w:rsidRDefault="00993A58"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3</w:t>
            </w:r>
          </w:p>
        </w:tc>
        <w:tc>
          <w:tcPr>
            <w:tcW w:w="2127" w:type="dxa"/>
            <w:tcBorders>
              <w:top w:val="single" w:sz="4" w:space="0" w:color="auto"/>
              <w:left w:val="single" w:sz="4" w:space="0" w:color="auto"/>
              <w:bottom w:val="single" w:sz="4" w:space="0" w:color="auto"/>
              <w:right w:val="single" w:sz="4" w:space="0" w:color="auto"/>
            </w:tcBorders>
          </w:tcPr>
          <w:p w14:paraId="71C05C0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金融監督管理委員會函送財團法人台灣金融研訓院等7家財團法人113年度預算書案。</w:t>
            </w:r>
          </w:p>
        </w:tc>
        <w:tc>
          <w:tcPr>
            <w:tcW w:w="2835" w:type="dxa"/>
            <w:tcBorders>
              <w:top w:val="single" w:sz="4" w:space="0" w:color="auto"/>
              <w:left w:val="single" w:sz="4" w:space="0" w:color="000000"/>
              <w:bottom w:val="single" w:sz="4" w:space="0" w:color="auto"/>
              <w:right w:val="single" w:sz="4" w:space="0" w:color="000000"/>
            </w:tcBorders>
            <w:shd w:val="clear" w:color="auto" w:fill="FFFFFF"/>
          </w:tcPr>
          <w:p w14:paraId="7B97D8B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第10屆第8會期第2次院會(112.10.3)決定：「交財政委員會審查」</w:t>
            </w:r>
          </w:p>
        </w:tc>
        <w:tc>
          <w:tcPr>
            <w:tcW w:w="2268" w:type="dxa"/>
            <w:tcBorders>
              <w:top w:val="single" w:sz="4" w:space="0" w:color="auto"/>
              <w:left w:val="single" w:sz="4" w:space="0" w:color="000000"/>
              <w:bottom w:val="single" w:sz="4" w:space="0" w:color="auto"/>
              <w:right w:val="single" w:sz="4" w:space="0" w:color="000000"/>
            </w:tcBorders>
            <w:shd w:val="clear" w:color="auto" w:fill="auto"/>
            <w:vAlign w:val="center"/>
          </w:tcPr>
          <w:p w14:paraId="0B624365" w14:textId="77777777" w:rsidR="00993A58" w:rsidRPr="00B95A07" w:rsidRDefault="00993A58" w:rsidP="00F470A8">
            <w:pPr>
              <w:widowControl w:val="0"/>
              <w:overflowPunct w:val="0"/>
              <w:autoSpaceDN/>
              <w:spacing w:line="340" w:lineRule="exact"/>
              <w:contextualSpacing/>
              <w:jc w:val="both"/>
              <w:textAlignment w:val="auto"/>
              <w:rPr>
                <w:rFonts w:ascii="標楷體" w:eastAsia="標楷體" w:hAnsi="標楷體"/>
                <w:kern w:val="2"/>
              </w:rPr>
            </w:pPr>
          </w:p>
        </w:tc>
        <w:tc>
          <w:tcPr>
            <w:tcW w:w="1842" w:type="dxa"/>
            <w:tcBorders>
              <w:top w:val="single" w:sz="4" w:space="0" w:color="auto"/>
              <w:left w:val="single" w:sz="4" w:space="0" w:color="auto"/>
              <w:bottom w:val="single" w:sz="4" w:space="0" w:color="auto"/>
              <w:right w:val="single" w:sz="4" w:space="0" w:color="auto"/>
            </w:tcBorders>
            <w:vAlign w:val="center"/>
          </w:tcPr>
          <w:p w14:paraId="53C03BDA"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993A58" w:rsidRPr="00B95A07" w14:paraId="77248BDC" w14:textId="77777777" w:rsidTr="00452841">
        <w:trPr>
          <w:trHeight w:val="1835"/>
        </w:trPr>
        <w:tc>
          <w:tcPr>
            <w:tcW w:w="567" w:type="dxa"/>
            <w:tcBorders>
              <w:top w:val="single" w:sz="4" w:space="0" w:color="auto"/>
              <w:left w:val="single" w:sz="4" w:space="0" w:color="auto"/>
              <w:bottom w:val="single" w:sz="12" w:space="0" w:color="auto"/>
              <w:right w:val="single" w:sz="4" w:space="0" w:color="auto"/>
            </w:tcBorders>
          </w:tcPr>
          <w:p w14:paraId="710ED534" w14:textId="77777777" w:rsidR="00993A58" w:rsidRPr="00CA3762" w:rsidRDefault="00993A58" w:rsidP="00FA328D">
            <w:pPr>
              <w:pStyle w:val="affff0"/>
              <w:widowControl w:val="0"/>
              <w:numPr>
                <w:ilvl w:val="0"/>
                <w:numId w:val="6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4</w:t>
            </w:r>
          </w:p>
        </w:tc>
        <w:tc>
          <w:tcPr>
            <w:tcW w:w="2127" w:type="dxa"/>
            <w:tcBorders>
              <w:top w:val="single" w:sz="4" w:space="0" w:color="auto"/>
              <w:left w:val="single" w:sz="4" w:space="0" w:color="auto"/>
              <w:bottom w:val="single" w:sz="12" w:space="0" w:color="auto"/>
              <w:right w:val="single" w:sz="4" w:space="0" w:color="auto"/>
            </w:tcBorders>
          </w:tcPr>
          <w:p w14:paraId="61161D2E" w14:textId="77777777" w:rsidR="00993A58" w:rsidRPr="009C72AA" w:rsidRDefault="00993A58" w:rsidP="00F470A8">
            <w:pPr>
              <w:widowControl w:val="0"/>
              <w:overflowPunct w:val="0"/>
              <w:autoSpaceDN/>
              <w:spacing w:line="340" w:lineRule="exact"/>
              <w:jc w:val="both"/>
              <w:textAlignment w:val="auto"/>
              <w:rPr>
                <w:rFonts w:ascii="標楷體" w:eastAsia="標楷體" w:hAnsi="標楷體"/>
                <w:kern w:val="2"/>
              </w:rPr>
            </w:pPr>
            <w:r w:rsidRPr="009C72AA">
              <w:rPr>
                <w:rFonts w:ascii="標楷體" w:eastAsia="標楷體" w:hAnsi="標楷體" w:hint="eastAsia"/>
                <w:kern w:val="2"/>
              </w:rPr>
              <w:t>金融監督管理委員會函送財團法人台灣金融研訓院等7家財團法人114年度預算書案</w:t>
            </w:r>
          </w:p>
        </w:tc>
        <w:tc>
          <w:tcPr>
            <w:tcW w:w="2835" w:type="dxa"/>
            <w:tcBorders>
              <w:top w:val="single" w:sz="4" w:space="0" w:color="auto"/>
              <w:left w:val="single" w:sz="4" w:space="0" w:color="000000"/>
              <w:bottom w:val="single" w:sz="12" w:space="0" w:color="auto"/>
              <w:right w:val="single" w:sz="4" w:space="0" w:color="000000"/>
            </w:tcBorders>
            <w:shd w:val="clear" w:color="auto" w:fill="FFFFFF"/>
          </w:tcPr>
          <w:p w14:paraId="286A6021" w14:textId="77777777" w:rsidR="00993A58" w:rsidRPr="009C72AA"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2268" w:type="dxa"/>
            <w:tcBorders>
              <w:top w:val="single" w:sz="4" w:space="0" w:color="auto"/>
              <w:left w:val="single" w:sz="4" w:space="0" w:color="000000"/>
              <w:bottom w:val="single" w:sz="12" w:space="0" w:color="auto"/>
              <w:right w:val="single" w:sz="4" w:space="0" w:color="000000"/>
            </w:tcBorders>
            <w:shd w:val="clear" w:color="auto" w:fill="auto"/>
            <w:vAlign w:val="center"/>
          </w:tcPr>
          <w:p w14:paraId="13F6937B" w14:textId="77777777" w:rsidR="00993A58" w:rsidRPr="009C72AA" w:rsidRDefault="00993A58" w:rsidP="00F470A8">
            <w:pPr>
              <w:widowControl w:val="0"/>
              <w:overflowPunct w:val="0"/>
              <w:autoSpaceDN/>
              <w:spacing w:line="340" w:lineRule="exact"/>
              <w:jc w:val="both"/>
              <w:textAlignment w:val="auto"/>
              <w:rPr>
                <w:rFonts w:ascii="標楷體" w:eastAsia="標楷體" w:hAnsi="標楷體"/>
                <w:kern w:val="2"/>
                <w:szCs w:val="24"/>
              </w:rPr>
            </w:pPr>
          </w:p>
        </w:tc>
        <w:tc>
          <w:tcPr>
            <w:tcW w:w="1842" w:type="dxa"/>
            <w:tcBorders>
              <w:top w:val="single" w:sz="4" w:space="0" w:color="auto"/>
              <w:left w:val="single" w:sz="4" w:space="0" w:color="auto"/>
              <w:bottom w:val="single" w:sz="12" w:space="0" w:color="auto"/>
              <w:right w:val="single" w:sz="4" w:space="0" w:color="auto"/>
            </w:tcBorders>
            <w:vAlign w:val="center"/>
          </w:tcPr>
          <w:p w14:paraId="75847FB7" w14:textId="77777777" w:rsidR="00993A58" w:rsidRPr="009C72AA"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9C72AA">
              <w:rPr>
                <w:rFonts w:ascii="標楷體" w:eastAsia="標楷體" w:hAnsi="標楷體" w:hint="eastAsia"/>
                <w:kern w:val="2"/>
                <w:szCs w:val="24"/>
              </w:rPr>
              <w:t>尚未審查</w:t>
            </w:r>
          </w:p>
        </w:tc>
      </w:tr>
    </w:tbl>
    <w:p w14:paraId="501664D7" w14:textId="77777777" w:rsidR="00993A58" w:rsidRPr="00B95A07" w:rsidRDefault="00993A58" w:rsidP="00F470A8">
      <w:pPr>
        <w:widowControl w:val="0"/>
        <w:overflowPunct w:val="0"/>
        <w:autoSpaceDN/>
        <w:jc w:val="both"/>
        <w:textAlignment w:val="auto"/>
        <w:rPr>
          <w:rFonts w:ascii="標楷體" w:eastAsia="標楷體" w:hAnsi="標楷體"/>
          <w:b/>
          <w:kern w:val="2"/>
          <w:sz w:val="32"/>
          <w:szCs w:val="32"/>
        </w:rPr>
      </w:pPr>
      <w:r w:rsidRPr="00B95A07">
        <w:rPr>
          <w:rFonts w:ascii="標楷體" w:eastAsia="標楷體" w:hAnsi="標楷體"/>
          <w:b/>
          <w:kern w:val="2"/>
          <w:sz w:val="32"/>
          <w:szCs w:val="32"/>
        </w:rPr>
        <w:br w:type="page"/>
      </w:r>
    </w:p>
    <w:p w14:paraId="062777EE" w14:textId="77777777" w:rsidR="00993A58" w:rsidRPr="00B95A07"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96" w:name="_Toc126576808"/>
      <w:bookmarkStart w:id="97" w:name="_Toc143873925"/>
      <w:bookmarkStart w:id="98" w:name="_Toc157095698"/>
      <w:bookmarkStart w:id="99" w:name="_Toc175833592"/>
      <w:bookmarkStart w:id="100" w:name="_Toc189487308"/>
      <w:r w:rsidRPr="00B95A07">
        <w:rPr>
          <w:rFonts w:ascii="標楷體" w:eastAsia="標楷體" w:hAnsi="標楷體" w:hint="eastAsia"/>
          <w:b/>
          <w:bCs/>
          <w:kern w:val="2"/>
          <w:sz w:val="32"/>
          <w:szCs w:val="32"/>
        </w:rPr>
        <w:lastRenderedPageBreak/>
        <w:t>三、動支第二預備金案（</w:t>
      </w:r>
      <w:r>
        <w:rPr>
          <w:rFonts w:ascii="標楷體" w:eastAsia="標楷體" w:hAnsi="標楷體" w:hint="eastAsia"/>
          <w:b/>
          <w:bCs/>
          <w:kern w:val="2"/>
          <w:sz w:val="32"/>
          <w:szCs w:val="32"/>
        </w:rPr>
        <w:t>56</w:t>
      </w:r>
      <w:r w:rsidRPr="00B95A07">
        <w:rPr>
          <w:rFonts w:ascii="標楷體" w:eastAsia="標楷體" w:hAnsi="標楷體" w:hint="eastAsia"/>
          <w:b/>
          <w:bCs/>
          <w:kern w:val="2"/>
          <w:sz w:val="32"/>
          <w:szCs w:val="32"/>
        </w:rPr>
        <w:t>案）</w:t>
      </w:r>
      <w:bookmarkEnd w:id="96"/>
      <w:bookmarkEnd w:id="97"/>
      <w:bookmarkEnd w:id="98"/>
      <w:bookmarkEnd w:id="99"/>
      <w:bookmarkEnd w:id="100"/>
    </w:p>
    <w:tbl>
      <w:tblPr>
        <w:tblpPr w:leftFromText="180" w:rightFromText="180" w:vertAnchor="text" w:tblpX="28" w:tblpY="1"/>
        <w:tblOverlap w:val="never"/>
        <w:tblW w:w="9493" w:type="dxa"/>
        <w:tblCellMar>
          <w:left w:w="10" w:type="dxa"/>
          <w:right w:w="10" w:type="dxa"/>
        </w:tblCellMar>
        <w:tblLook w:val="0000" w:firstRow="0" w:lastRow="0" w:firstColumn="0" w:lastColumn="0" w:noHBand="0" w:noVBand="0"/>
      </w:tblPr>
      <w:tblGrid>
        <w:gridCol w:w="704"/>
        <w:gridCol w:w="4619"/>
        <w:gridCol w:w="2576"/>
        <w:gridCol w:w="1594"/>
      </w:tblGrid>
      <w:tr w:rsidR="00993A58" w:rsidRPr="00B95A07" w14:paraId="7AAEC1F2" w14:textId="77777777" w:rsidTr="001E3F40">
        <w:trPr>
          <w:trHeight w:val="482"/>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3330A78C"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61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C9887A3"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57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329879FE"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spacing w:val="30"/>
                <w:kern w:val="2"/>
                <w:szCs w:val="24"/>
              </w:rPr>
            </w:pPr>
            <w:r w:rsidRPr="00B95A07">
              <w:rPr>
                <w:rFonts w:ascii="標楷體" w:eastAsia="標楷體" w:hAnsi="標楷體"/>
                <w:b/>
                <w:bCs/>
                <w:spacing w:val="70"/>
                <w:kern w:val="2"/>
                <w:szCs w:val="24"/>
              </w:rPr>
              <w:t>院會交付</w:t>
            </w:r>
            <w:r w:rsidRPr="00B95A07">
              <w:rPr>
                <w:rFonts w:ascii="標楷體" w:eastAsia="標楷體" w:hAnsi="標楷體" w:hint="eastAsia"/>
                <w:b/>
                <w:bCs/>
                <w:spacing w:val="30"/>
                <w:kern w:val="2"/>
                <w:szCs w:val="24"/>
              </w:rPr>
              <w:t>日</w:t>
            </w:r>
            <w:r w:rsidRPr="00B95A07">
              <w:rPr>
                <w:rFonts w:ascii="標楷體" w:eastAsia="標楷體" w:hAnsi="標楷體"/>
                <w:b/>
                <w:bCs/>
                <w:spacing w:val="30"/>
                <w:kern w:val="2"/>
                <w:szCs w:val="24"/>
              </w:rPr>
              <w:t>期</w:t>
            </w:r>
          </w:p>
          <w:p w14:paraId="1E8CCFD4"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bCs/>
                <w:spacing w:val="30"/>
                <w:kern w:val="2"/>
                <w:szCs w:val="24"/>
              </w:rPr>
              <w:t>及</w:t>
            </w:r>
            <w:r w:rsidRPr="00B95A07">
              <w:rPr>
                <w:rFonts w:ascii="標楷體" w:eastAsia="標楷體" w:hAnsi="標楷體"/>
                <w:b/>
                <w:bCs/>
                <w:spacing w:val="30"/>
                <w:kern w:val="2"/>
                <w:szCs w:val="24"/>
              </w:rPr>
              <w:t>會</w:t>
            </w:r>
            <w:r w:rsidRPr="00B95A07">
              <w:rPr>
                <w:rFonts w:ascii="標楷體" w:eastAsia="標楷體" w:hAnsi="標楷體"/>
                <w:b/>
                <w:spacing w:val="30"/>
                <w:kern w:val="2"/>
                <w:szCs w:val="24"/>
              </w:rPr>
              <w:t>次</w:t>
            </w:r>
          </w:p>
        </w:tc>
        <w:tc>
          <w:tcPr>
            <w:tcW w:w="15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B0DC798"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375AA18C"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5355CE" w14:textId="7E531E49"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0F811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w:t>
            </w:r>
            <w:r w:rsidRPr="00B95A07">
              <w:rPr>
                <w:rFonts w:ascii="標楷體" w:eastAsia="標楷體" w:hAnsi="標楷體" w:hint="eastAsia"/>
                <w:kern w:val="2"/>
                <w:szCs w:val="24"/>
              </w:rPr>
              <w:t>92</w:t>
            </w:r>
            <w:r w:rsidRPr="00B95A07">
              <w:rPr>
                <w:rFonts w:ascii="標楷體" w:eastAsia="標楷體" w:hAnsi="標楷體"/>
                <w:kern w:val="2"/>
                <w:szCs w:val="24"/>
              </w:rPr>
              <w:t>年度中央政府總預算第二預備金動支數額表」案。</w:t>
            </w:r>
          </w:p>
        </w:tc>
        <w:tc>
          <w:tcPr>
            <w:tcW w:w="257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D87DF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第5屆第5會期第1次院會（93.2.6）決定：「交預算及決算委員會會同有關委員會審查」</w:t>
            </w:r>
          </w:p>
        </w:tc>
        <w:tc>
          <w:tcPr>
            <w:tcW w:w="1594"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E64429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40EF72F"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F44EC7" w14:textId="3DDDBAC6"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97EF6B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6CCB7A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第5屆第3會期第12次院會（92.5.16）決定：「交預算及決算、內政及民族兩委員會審查」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AF745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B8ADAD8"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D2DAE2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7ECD1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8F74D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第5屆第4會期第2次院會（92.9.23）決定：「交預算及決算、法制兩委員會審查」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581B1B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84E8627"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FA80D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2E637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行政院函送第二預備金動支數額機關別表，為外交部92年度預算編列駐外機構人事及業務費，因新台幣貶值致美元結匯數不敷，動支92年度中央政府總預算第二預備金3億9,023萬5,000元支應案。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A9D91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第5屆第4會期第4次院會（92.10.3）決定：「交預算及決算、外交及僑務兩委員會審查」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F9340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7A73D46"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7D5F2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B95FD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9DDBA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第5屆第4會期第5次院會（92.10.14）決定：「交預算及決算、司法兩委員會審查」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400396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1D087035" w14:textId="77777777" w:rsidTr="001E3F40">
        <w:trPr>
          <w:cantSplit/>
          <w:trHeight w:val="157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E66EE2"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38C6B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行政院函送第二預備金動支數額機關別表，為內政部消防署為建置空中消防隊籌備處與特種搜救隊南部及北部分隊需要，動支92年度中央政府總預算第二預備金8,453萬1,000元支應案。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2D3D9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9FB5A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678F9EB" w14:textId="77777777" w:rsidTr="001E3F40">
        <w:trPr>
          <w:cantSplit/>
          <w:trHeight w:val="153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C55EF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DA29E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行政院函送第二預備金動支數額機關別表，為法務部為辦理「法院與檢察機關共同建置大型贓證物庫計畫」需要，動支92年度中央政府總預算第二預備金6,827萬5,000元支應案。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85CDB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第5屆第4會期第6次院會（92.10.17）決定：「交預算及決算、司法兩委員會審查」</w:t>
            </w:r>
          </w:p>
        </w:tc>
        <w:tc>
          <w:tcPr>
            <w:tcW w:w="159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31E70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7B1291F" w14:textId="77777777" w:rsidTr="001E3F40">
        <w:trPr>
          <w:cantSplit/>
          <w:trHeight w:val="153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18884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A3213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行政院函送第二預備金動支數額機關別表，為行政院衛生署為提升澎湖地區醫療水準，所需增加興建澎湖醫療大樓工程經費，動支92年度中央政府總預算第二預備金7,000萬元支應案。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29603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第5屆第4會期第6次院會（92.10.17）決定：「交預算及決算、衛生環境及社會福利兩委員會審查」</w:t>
            </w:r>
          </w:p>
        </w:tc>
        <w:tc>
          <w:tcPr>
            <w:tcW w:w="1594"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5CD05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AA44A5B" w14:textId="77777777" w:rsidTr="001E3F40">
        <w:trPr>
          <w:cantSplit/>
          <w:trHeight w:val="153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832E61"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9707D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行政院函送第二預備金動支數額機關別表，為內政部消防署因應狹窄巷弄火災搶救，充實各縣市消防車輛裝備器材需要，動支92年度中央政府總預算第二預備金1億3,500萬元支應案。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14C3A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第5屆第4會期第16次院會（92.12.19）決定：「交預算及決算、內政及民族兩委員會審查」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A3DEB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1867706" w14:textId="77777777" w:rsidTr="001E3F40">
        <w:trPr>
          <w:cantSplit/>
          <w:trHeight w:val="176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BC5554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C667F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57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340EB9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第5屆第4會期第19次院會（93.1.9）決定：「交預算及決算、內政及民族兩委員會審查」</w:t>
            </w:r>
          </w:p>
        </w:tc>
        <w:tc>
          <w:tcPr>
            <w:tcW w:w="1594"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C9B6BE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BA86642" w14:textId="77777777" w:rsidTr="001E3F40">
        <w:trPr>
          <w:cantSplit/>
          <w:trHeight w:val="176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90E451"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93C7A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600B6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第5屆第4會期第19次院會（93.1.9）決定：「交預算及決算、經濟及能源兩委員會審查」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A3595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3C0810E" w14:textId="77777777" w:rsidTr="001E3F40">
        <w:trPr>
          <w:cantSplit/>
          <w:trHeight w:val="176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67B63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C707D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行政院函送第二預備金動支數額機關別表，為中國石油股份有限公司為相關重大投資計畫爭取租稅減免以提高投資效益，辦理現金增資1億元，動支92年度中央政府總預算第二預備金支應案。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84C07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第5屆第4會期第19次院會（93.1.9）決定：「交預算及決算、經濟及能源兩委員會審查」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0D8444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6DE8936" w14:textId="77777777" w:rsidTr="001E3F40">
        <w:trPr>
          <w:cantSplit/>
          <w:trHeight w:val="152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23DC70"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CC935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行政院函送第二預備金動支數額機關別表，為財政部國有財產局為依法繳納國有財產賦稅，92年度預算不敷，動支92年度中央政府總預算第二預備金6,900萬元支應案。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3C9A7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第5屆第4會期第19次院會（93.1.9）決定：「交預算及決算、財政兩委員會審查」</w:t>
            </w:r>
          </w:p>
        </w:tc>
        <w:tc>
          <w:tcPr>
            <w:tcW w:w="1594" w:type="dxa"/>
            <w:vMerge/>
            <w:tcBorders>
              <w:left w:val="single" w:sz="4" w:space="0" w:color="000000"/>
              <w:right w:val="single" w:sz="4" w:space="0" w:color="000000"/>
            </w:tcBorders>
            <w:shd w:val="clear" w:color="auto" w:fill="auto"/>
            <w:tcMar>
              <w:top w:w="0" w:type="dxa"/>
              <w:left w:w="28" w:type="dxa"/>
              <w:bottom w:w="0" w:type="dxa"/>
              <w:right w:w="28" w:type="dxa"/>
            </w:tcMar>
          </w:tcPr>
          <w:p w14:paraId="77FD98D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D1AC264" w14:textId="77777777" w:rsidTr="001E3F40">
        <w:trPr>
          <w:cantSplit/>
          <w:trHeight w:val="122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242D388"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B9C5F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w:t>
            </w:r>
            <w:r w:rsidRPr="00B95A07">
              <w:rPr>
                <w:rFonts w:ascii="標楷體" w:eastAsia="標楷體" w:hAnsi="標楷體"/>
                <w:kern w:val="2"/>
                <w:szCs w:val="24"/>
              </w:rPr>
              <w:lastRenderedPageBreak/>
              <w:t>送達案件較預計為少，部分經費毋須支用，註銷2億0,600萬元，爰修正動支數為1億2,440萬3,000元案。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9EDAD5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noProof/>
                <w:kern w:val="2"/>
                <w:szCs w:val="24"/>
              </w:rPr>
              <w:lastRenderedPageBreak/>
              <mc:AlternateContent>
                <mc:Choice Requires="wps">
                  <w:drawing>
                    <wp:anchor distT="0" distB="0" distL="114300" distR="114300" simplePos="0" relativeHeight="251727872" behindDoc="0" locked="0" layoutInCell="1" allowOverlap="1" wp14:anchorId="30571527" wp14:editId="17D334D0">
                      <wp:simplePos x="0" y="0"/>
                      <wp:positionH relativeFrom="column">
                        <wp:posOffset>1721485</wp:posOffset>
                      </wp:positionH>
                      <wp:positionV relativeFrom="paragraph">
                        <wp:posOffset>1303020</wp:posOffset>
                      </wp:positionV>
                      <wp:extent cx="0" cy="0"/>
                      <wp:effectExtent l="0" t="0" r="0" b="0"/>
                      <wp:wrapNone/>
                      <wp:docPr id="5" name="直線接點 5"/>
                      <wp:cNvGraphicFramePr/>
                      <a:graphic xmlns:a="http://schemas.openxmlformats.org/drawingml/2006/main">
                        <a:graphicData uri="http://schemas.microsoft.com/office/word/2010/wordprocessingShape">
                          <wps:wsp>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21545301" id="直線接點 5"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02.6pt" to="135.55pt,10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"/>
                  </w:pict>
                </mc:Fallback>
              </mc:AlternateContent>
            </w:r>
            <w:r w:rsidRPr="00B95A07">
              <w:rPr>
                <w:rFonts w:ascii="標楷體" w:eastAsia="標楷體" w:hAnsi="標楷體"/>
                <w:kern w:val="2"/>
                <w:szCs w:val="24"/>
              </w:rPr>
              <w:t>第5屆第4會期第19次院會（93.1.9）決定：「交預算及決算、司法兩委員會審查」</w:t>
            </w:r>
          </w:p>
        </w:tc>
        <w:tc>
          <w:tcPr>
            <w:tcW w:w="1594" w:type="dxa"/>
            <w:vMerge/>
            <w:tcBorders>
              <w:left w:val="single" w:sz="4" w:space="0" w:color="000000"/>
              <w:right w:val="single" w:sz="4" w:space="0" w:color="000000"/>
            </w:tcBorders>
            <w:shd w:val="clear" w:color="auto" w:fill="auto"/>
            <w:tcMar>
              <w:top w:w="0" w:type="dxa"/>
              <w:left w:w="28" w:type="dxa"/>
              <w:bottom w:w="0" w:type="dxa"/>
              <w:right w:w="28" w:type="dxa"/>
            </w:tcMar>
          </w:tcPr>
          <w:p w14:paraId="4E1EC28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9EFCC43" w14:textId="77777777" w:rsidTr="001E3F40">
        <w:trPr>
          <w:cantSplit/>
          <w:trHeight w:val="1954"/>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A03305"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AD2259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F9562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第5屆第5會期第1次院會（93.2.6）決定：「交預算及決算、經濟及能源兩委員會審查」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A6B859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5FEBE15" w14:textId="77777777" w:rsidTr="001E3F40">
        <w:trPr>
          <w:cantSplit/>
          <w:trHeight w:val="1279"/>
        </w:trPr>
        <w:tc>
          <w:tcPr>
            <w:tcW w:w="70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7C163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6CD05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行政院函請審議「93年度中央政府總預算第二預備金動支數額表」案。</w:t>
            </w:r>
          </w:p>
        </w:tc>
        <w:tc>
          <w:tcPr>
            <w:tcW w:w="257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8242D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第6屆第1會期第2次院會（94.3.4）決定：「交預算及決算委員會會同有關委員會審查」</w:t>
            </w:r>
          </w:p>
        </w:tc>
        <w:tc>
          <w:tcPr>
            <w:tcW w:w="1594" w:type="dxa"/>
            <w:vMerge w:val="restart"/>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B4B481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本會</w:t>
            </w:r>
            <w:r w:rsidRPr="00B95A07">
              <w:rPr>
                <w:rFonts w:ascii="標楷體" w:eastAsia="標楷體" w:hAnsi="標楷體"/>
                <w:kern w:val="2"/>
                <w:szCs w:val="24"/>
              </w:rPr>
              <w:t>會同</w:t>
            </w:r>
            <w:r w:rsidRPr="00B95A07">
              <w:rPr>
                <w:rFonts w:ascii="標楷體" w:eastAsia="標楷體" w:hAnsi="標楷體" w:hint="eastAsia"/>
                <w:kern w:val="2"/>
                <w:szCs w:val="24"/>
              </w:rPr>
              <w:t>相</w:t>
            </w:r>
            <w:r w:rsidRPr="00B95A07">
              <w:rPr>
                <w:rFonts w:ascii="標楷體" w:eastAsia="標楷體" w:hAnsi="標楷體"/>
                <w:kern w:val="2"/>
                <w:szCs w:val="24"/>
              </w:rPr>
              <w:t>關委員會舉行第1次聯席會</w:t>
            </w:r>
            <w:r w:rsidRPr="00B95A07">
              <w:rPr>
                <w:rFonts w:ascii="標楷體" w:eastAsia="標楷體" w:hAnsi="標楷體" w:hint="eastAsia"/>
                <w:kern w:val="2"/>
                <w:szCs w:val="24"/>
              </w:rPr>
              <w:t>議(</w:t>
            </w:r>
            <w:r w:rsidRPr="00B95A07">
              <w:rPr>
                <w:rFonts w:ascii="標楷體" w:eastAsia="標楷體" w:hAnsi="標楷體"/>
                <w:kern w:val="2"/>
                <w:szCs w:val="24"/>
              </w:rPr>
              <w:t>94.5.26</w:t>
            </w:r>
            <w:r w:rsidRPr="00B95A07">
              <w:rPr>
                <w:rFonts w:ascii="標楷體" w:eastAsia="標楷體" w:hAnsi="標楷體" w:hint="eastAsia"/>
                <w:kern w:val="2"/>
                <w:szCs w:val="24"/>
              </w:rPr>
              <w:t>)</w:t>
            </w:r>
            <w:r w:rsidRPr="00B95A07">
              <w:rPr>
                <w:rFonts w:ascii="標楷體" w:eastAsia="標楷體" w:hAnsi="標楷體"/>
                <w:kern w:val="2"/>
                <w:szCs w:val="24"/>
              </w:rPr>
              <w:t>，計27案，因法定人數不足，延會。</w:t>
            </w:r>
          </w:p>
          <w:p w14:paraId="521A4CB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noProof/>
                <w:kern w:val="2"/>
                <w:szCs w:val="24"/>
              </w:rPr>
              <mc:AlternateContent>
                <mc:Choice Requires="wps">
                  <w:drawing>
                    <wp:anchor distT="0" distB="0" distL="114300" distR="114300" simplePos="0" relativeHeight="251726848" behindDoc="0" locked="0" layoutInCell="1" allowOverlap="1" wp14:anchorId="1C9DD985" wp14:editId="6EAE8181">
                      <wp:simplePos x="0" y="0"/>
                      <wp:positionH relativeFrom="column">
                        <wp:posOffset>-24765</wp:posOffset>
                      </wp:positionH>
                      <wp:positionV relativeFrom="paragraph">
                        <wp:posOffset>8840470</wp:posOffset>
                      </wp:positionV>
                      <wp:extent cx="1341120" cy="15240"/>
                      <wp:effectExtent l="0" t="0" r="30480" b="22860"/>
                      <wp:wrapNone/>
                      <wp:docPr id="22" name="直線接點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2F39AA0F" id="直線接點 22" o:spid="_x0000_s1026" style="position:absolute;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">
                      <o:lock v:ext="edit" shapetype="f"/>
                    </v:line>
                  </w:pict>
                </mc:Fallback>
              </mc:AlternateContent>
            </w:r>
          </w:p>
        </w:tc>
      </w:tr>
      <w:tr w:rsidR="00993A58" w:rsidRPr="00B95A07" w14:paraId="0CF33F83" w14:textId="77777777" w:rsidTr="001E3F40">
        <w:trPr>
          <w:cantSplit/>
          <w:trHeight w:val="1589"/>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CF1A2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C2AFA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行政院函送第二預備金動支數額機關別表，有關內政部警政署臺灣警察專科學校增加93學年度正期組招生員額，學生教育訓練經費不敷1億元，動支93年度中央政府總預算第二預備金支應案。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7DB99E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第5屆第5會期第11次院會（93.4.9）決定：「交預算及決算、內政及民族兩委員會審查」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EAC8EE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BDA1D60" w14:textId="77777777" w:rsidTr="001E3F40">
        <w:trPr>
          <w:cantSplit/>
          <w:trHeight w:val="170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D8474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333B9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82171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第5屆第6會期第3次院會（93.9.24）決定：「交預算及決算、內政及民族兩委員會審查」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7BD14F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A7275C7" w14:textId="77777777" w:rsidTr="001E3F40">
        <w:trPr>
          <w:cantSplit/>
          <w:trHeight w:val="195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9A5B70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6B688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494D1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第5屆第6會期第4次院會（93.10.1）決定：「交預算及決算、內政及民族兩委員會審查」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C48A86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AECB117" w14:textId="77777777" w:rsidTr="001E3F40">
        <w:trPr>
          <w:cantSplit/>
          <w:trHeight w:val="1654"/>
        </w:trPr>
        <w:tc>
          <w:tcPr>
            <w:tcW w:w="70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1D29D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DAC8B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57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D52E3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第5屆第6會期第10次院會（93.12.14）決定：「交預算及決算、內政及民族兩委員會審查」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FE9E46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1CFCDD2B" w14:textId="77777777" w:rsidTr="001E3F40">
        <w:trPr>
          <w:cantSplit/>
          <w:trHeight w:val="2254"/>
        </w:trPr>
        <w:tc>
          <w:tcPr>
            <w:tcW w:w="704"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14:paraId="75529F7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14:paraId="7DBD59F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576"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14:paraId="64317E1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第5屆第6會期第14次院會（94.1.7）決定：「交預算及決算、內政及民族兩委員會審查」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9BF5A6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4620406" w14:textId="77777777" w:rsidTr="001E3F40">
        <w:trPr>
          <w:cantSplit/>
          <w:trHeight w:val="1551"/>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BD7EB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B3AA0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行政院函送第二預備金動支數額機關別表，有關外交部因辦理駐紐約辦事處購置新館舍計畫不敷裝修經費，動支本（93）年度中央政府總預算第二預備金2億2,547萬9,000元支應案。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A8F473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第5屆第6會期第14次院會（94.1.7）決定：「交預算及決算、外交及國防兩委員會審查」</w:t>
            </w:r>
          </w:p>
        </w:tc>
        <w:tc>
          <w:tcPr>
            <w:tcW w:w="1594"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5AC771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29DD1E2" w14:textId="77777777" w:rsidTr="001E3F40">
        <w:trPr>
          <w:cantSplit/>
          <w:trHeight w:val="1551"/>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F414374"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C59AE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行政院函送第二預備金動支數額機關別表，有關外交部因提供受地震及海嘯重創之東南亞及南亞各受災國緊急人道援助，動支本（93）年度中央政府總預算第二預備金3億2,200萬元支應案。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D52B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第5屆第6會期第15次院會（94.1.14）決定：「交預算及決算、外交及僑務兩委員會審查」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4E7FB3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9B2702D"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89C7E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C7E6F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2F4E5C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第5屆第6會期第6次院會（93.10.15）決定：「交預算及決算、科技及資訊兩委員會審查」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81FDE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90DC3F7"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D86602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2401B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行政院函送第二預備金動支數額機關別表，有關農業委員會為因應農業金融局成立，93年度所需各項業務運作經費1億4,493萬元，動支93年度中央政府總預算第二預備金支應案。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63079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126656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CF79B44"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23AB81"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7751D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行政院函送第二預備金動支數額機關別表，有關經濟部能源局於本（93）年7月1日成立，本年度所需編制人員待遇及推動能源相關業務經費，動支93年度中央政府總預算第二預備金7,650萬8,000元支應案。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8ADCF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第5屆第6會期第8次院會（93.10.29）決定：「交預算及決算、經濟及能源兩委員會審查」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14B33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12BE183"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0C6FF3"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2F748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行政院函送第二預備金動支數額機關別表，有關經濟部所屬水利署辦理「新十大建設－平地水庫海淡廠計畫」前置作業所需經費5,000萬元，動支93年度中央政府總預算第二預備金支應案。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195275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第5屆第6會期第9次院會（93.11.5）決定：「交預算及決算、經濟及能源兩委員會審查」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2123FF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F621F26" w14:textId="77777777" w:rsidTr="001E3F40">
        <w:trPr>
          <w:cantSplit/>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771F2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3F3F1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行政院函送第二預備金動支數額機關別表，有關經濟部為紓解國內砂石短期供需失衡，辦理進口碎石差價補助措施，所需經費動支93年度中央政府總預算第二預備金7,950萬元支應案。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79AC1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第5屆第6會期第10次院會（93.12.14）決定：「交預算及決算、經濟及能源兩委員會審查」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6CBB16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D045660" w14:textId="77777777" w:rsidTr="001E3F40">
        <w:trPr>
          <w:cantSplit/>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51E75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25F70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A81FD3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第5屆第6會期第15次院會（94.1.14）決定：「交預算及決算、經濟及能源兩委員會審查」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DBF9A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E4BADEC" w14:textId="77777777" w:rsidTr="001E3F40">
        <w:trPr>
          <w:cantSplit/>
          <w:trHeight w:val="183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728640"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953C3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34B4B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第5屆第6會期第7次院會（93.10.22）決定：「交預算及決算、教育及文化兩委員會審查」</w:t>
            </w:r>
          </w:p>
        </w:tc>
        <w:tc>
          <w:tcPr>
            <w:tcW w:w="1594"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F05D86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136E93F" w14:textId="77777777" w:rsidTr="001E3F40">
        <w:trPr>
          <w:cantSplit/>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5C3403"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4444BE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20BD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第5屆第6會期第14次院會（94.1.7）決定：「交預算及決算、教育及文化兩委員會審查」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215966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A24551A" w14:textId="77777777" w:rsidTr="001E3F40">
        <w:trPr>
          <w:cantSplit/>
          <w:trHeight w:val="123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9EDFD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FE1FA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行政院函送第二預備金動支數額機關別表，有關交通部辦理「擴大公共建設投資計畫」前置作業所需經費1億6,600萬元，動支93年度中央政府總預算第二預備金支應案。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11673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第5屆第6會期第8次院會（93.10.29）決定：「交預算及決算、交通兩委員會審查」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1B28EF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8EE4172" w14:textId="77777777" w:rsidTr="001E3F40">
        <w:trPr>
          <w:cantSplit/>
          <w:trHeight w:val="156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E1B470"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3D41F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行政院函送第二預備金動支數額機關別表，有關司法院依法律扶助法第6條第2項規定，捐助財團法人法律扶助基金會創立基金5億元，動支93年度中央政府總預算第二預備金支應案。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C58FD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第5屆第5會期第10次院會（93.4.2）決定：「交預算及決算、司法兩委員會審查」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52C8B7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1D5D7922" w14:textId="77777777" w:rsidTr="001E3F40">
        <w:trPr>
          <w:cantSplit/>
          <w:trHeight w:val="1677"/>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751929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72C04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47D19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noProof/>
                <w:kern w:val="2"/>
                <w:szCs w:val="24"/>
              </w:rPr>
            </w:pPr>
            <w:r w:rsidRPr="00B95A07">
              <w:rPr>
                <w:rFonts w:ascii="標楷體" w:eastAsia="標楷體" w:hAnsi="標楷體"/>
                <w:kern w:val="2"/>
                <w:szCs w:val="24"/>
              </w:rPr>
              <w:t>第5屆第6會期第12次院會（93.12.24）決定：「交預算及決算、司法兩委員會審查」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E41621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04BF2CB3" w14:textId="77777777" w:rsidTr="001E3F40">
        <w:trPr>
          <w:cantSplit/>
          <w:trHeight w:val="1488"/>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FCC03B"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C6757B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9D28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第5屆第5會期第17次院會（93.5.21）決定：「交預算及決算、司法兩委員會審查」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4F1C1E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558B88C" w14:textId="77777777" w:rsidTr="001E3F40">
        <w:trPr>
          <w:cantSplit/>
          <w:trHeight w:val="1826"/>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227BE9"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F86BE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350DAC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第5屆第6會期第9次院會（93.11.5）決定：「交預算及決算、法制兩委員會審查」</w:t>
            </w:r>
          </w:p>
        </w:tc>
        <w:tc>
          <w:tcPr>
            <w:tcW w:w="1594"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E5FE4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7213A21B" w14:textId="77777777" w:rsidTr="001E3F40">
        <w:trPr>
          <w:cantSplit/>
          <w:trHeight w:val="2230"/>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AC99A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90018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6983C3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第5屆第6會期第12次院會（93.12.24）決定：「交預算及決算、法制兩委員會，併前案審查」</w:t>
            </w:r>
          </w:p>
        </w:tc>
        <w:tc>
          <w:tcPr>
            <w:tcW w:w="1594" w:type="dxa"/>
            <w:vMerge/>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949DF9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4B1B795D" w14:textId="77777777" w:rsidTr="001E3F40">
        <w:trPr>
          <w:cantSplit/>
          <w:trHeight w:val="1747"/>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3EE87B"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669AE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行政院函送第二預備金動支數額機關別表，有關行政院勞工委員會補助職業工會、漁會代辦勞工保險行政事務費2億9,743萬2,000元，動支93年度中央政府總預算第二預備金支應案。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5802B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第5屆第5會期第8次院會（93.3.23）決定：「交預算及決算、衛生環境及社會福利兩委員會審查」</w:t>
            </w:r>
          </w:p>
        </w:tc>
        <w:tc>
          <w:tcPr>
            <w:tcW w:w="1594" w:type="dxa"/>
            <w:vMerge/>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E6C48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31298596" w14:textId="77777777" w:rsidTr="001E3F40">
        <w:trPr>
          <w:cantSplit/>
          <w:trHeight w:val="174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80BC9B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463EA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行政院函送第二預備金動支數額機關別表，有關勞工委員會為因應勞工退休金條例通過，該會及勞保局辦理上揭條例規定業務所需經費8,781萬元，動支93年度中央政府總預算第二預備金支應案。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DE907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第5屆第6會期第9次院會（93.11.5）決定：「交預算及決算、衛生環境及社會福利兩委員會審查」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159128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A2FB929" w14:textId="77777777" w:rsidTr="001E3F40">
        <w:trPr>
          <w:cantSplit/>
          <w:trHeight w:val="1918"/>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0F6A795"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87BB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F3786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第5屆第6會期第3次院會（93.9.24）決定：「交預算及決算、衛生環境及社會福利兩委員會審查」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029445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6226E755" w14:textId="77777777" w:rsidTr="001E3F40">
        <w:trPr>
          <w:cantSplit/>
          <w:trHeight w:val="1677"/>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3DF47E3"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7D5C22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行政院函送第二預備金動支數額機關別表，有關衛生署因全民健康保險紓困基金不足支應經濟弱勢者申貸全民健康保險保險費及相關費用，動支93年度中央政府總預算第二預備金3億元支應案。</w:t>
            </w:r>
          </w:p>
        </w:tc>
        <w:tc>
          <w:tcPr>
            <w:tcW w:w="257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873C2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第5屆第6會期第7次院會（93.10.22）決定：「交預算及決算、衛生環境及社會福利兩委員會審查」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651B44A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23EBC049"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985881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2C2968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15670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第5屆第6會期第14次院會（94.1.7）決定：「交預算及決算、衛生環境及社會福利兩委員會審查」</w:t>
            </w:r>
          </w:p>
        </w:tc>
        <w:tc>
          <w:tcPr>
            <w:tcW w:w="1594" w:type="dxa"/>
            <w:vMerge/>
            <w:tcBorders>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61F256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p>
        </w:tc>
      </w:tr>
      <w:tr w:rsidR="00993A58" w:rsidRPr="00B95A07" w14:paraId="5639AFCD" w14:textId="77777777" w:rsidTr="001E3F40">
        <w:trPr>
          <w:cantSplit/>
        </w:trPr>
        <w:tc>
          <w:tcPr>
            <w:tcW w:w="70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3C636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BE005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行政院函請審議「94年度中央政府總預算第二預備金動支數額表」案。</w:t>
            </w:r>
          </w:p>
        </w:tc>
        <w:tc>
          <w:tcPr>
            <w:tcW w:w="257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52003F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第6屆第3會期第2次院會（95.2.24）決定：「交預算及決算委員會會同有關委員會審查」</w:t>
            </w:r>
          </w:p>
        </w:tc>
        <w:tc>
          <w:tcPr>
            <w:tcW w:w="159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844E60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FF2C051" w14:textId="77777777" w:rsidTr="001E3F40">
        <w:trPr>
          <w:cantSplit/>
          <w:trHeight w:val="1996"/>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1A1EB7"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B194B1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463827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第6屆第1會期第8次院會（94.4.15）決定：「交預算及決算、內政及民族兩委員會審查」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890A4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00B1CD2" w14:textId="77777777" w:rsidTr="001E3F40">
        <w:trPr>
          <w:cantSplit/>
          <w:trHeight w:val="2208"/>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C8E0B5"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B614E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02018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第6屆第1會期第13次院會（94.5.20）決定：「交預算及決算、內政及民族兩委員會審查」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B023DD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1738988C" w14:textId="77777777" w:rsidTr="001E3F40">
        <w:trPr>
          <w:cantSplit/>
          <w:trHeight w:val="1545"/>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5D9B92"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32636D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行政院函送第二預備金動支數額機關別表，有關內政部依戶籍法第8條規定，辦理換發國民身分證捺印指紋工作，所需活體掃描設備等經費1億1,341萬元，動支中央政府總預算第二預備金支應案。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1280E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第6屆第1會期第14次院會（94.5.27）決定：「交預算及決算、內政及民族兩委員會審查」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CE779C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22968071" w14:textId="77777777" w:rsidTr="001E3F40">
        <w:trPr>
          <w:cantSplit/>
          <w:trHeight w:val="2127"/>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40FBFD"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0FFD8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7E6EE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第6屆第2會期第3次院會（94.9.23）決定：「交預算及決算、內政及民族兩委員會審查」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A7055C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1967D749" w14:textId="77777777" w:rsidTr="001E3F40">
        <w:trPr>
          <w:cantSplit/>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CA32C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0B2AA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170162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第6屆第2會期第3次院會（94.9.23）決定：「交預算及決算、內政及民族兩委員會審查」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40E733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E911B3F" w14:textId="77777777" w:rsidTr="001E3F40">
        <w:trPr>
          <w:cantSplit/>
          <w:trHeight w:val="1442"/>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FBAC31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ADC27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行政院函送第二預備金動支數額機關別表，有關經濟部參加「2005年日本愛知縣萬國博覽會」所需經費7,500萬元，動支本（94）年度中央政府總預算第二預備金支應案。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D8861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第6屆第1會期第6次院會（94.4.1）決定：「交預算及決算、經濟及能源兩委員會審查」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F9C69B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6C279063" w14:textId="77777777" w:rsidTr="001E3F40">
        <w:trPr>
          <w:cantSplit/>
          <w:trHeight w:val="1633"/>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CF4ACE"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7591A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行政院函送第二預備金動支數額機關別表，有關行政院體育委員會為輔導高雄市政府辦理2009年世界運動會，所需經費1億4,968萬元，動支94年度中央政府總預算第二預備金支應案。</w:t>
            </w:r>
          </w:p>
        </w:tc>
        <w:tc>
          <w:tcPr>
            <w:tcW w:w="257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F62C00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第6屆第1會期第14次院會（94.5.27）決定：「交預算及決算、教育及文化兩委員會審查」</w:t>
            </w:r>
          </w:p>
        </w:tc>
        <w:tc>
          <w:tcPr>
            <w:tcW w:w="15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A6E14F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74D3CACF" w14:textId="77777777" w:rsidTr="001E3F40">
        <w:trPr>
          <w:cantSplit/>
          <w:trHeight w:val="1539"/>
        </w:trPr>
        <w:tc>
          <w:tcPr>
            <w:tcW w:w="70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44DB109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318369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行政院函送第二預備金動支數額機關別表，有關第1屆任務型國民大會代表集會期間所需經費1億1,666萬6,000元，動支本（94）年度中央政府總預算第二預備金支應案。</w:t>
            </w:r>
          </w:p>
        </w:tc>
        <w:tc>
          <w:tcPr>
            <w:tcW w:w="257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2F402F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第6屆第1會期第13次院會（94.5.20）決定：「交預算及決算、法制兩委員會審查」</w:t>
            </w:r>
          </w:p>
        </w:tc>
        <w:tc>
          <w:tcPr>
            <w:tcW w:w="15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623C1F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尚未審查</w:t>
            </w:r>
          </w:p>
        </w:tc>
      </w:tr>
      <w:tr w:rsidR="00993A58" w:rsidRPr="00B95A07" w14:paraId="3AA60959" w14:textId="77777777" w:rsidTr="001E3F40">
        <w:trPr>
          <w:cantSplit/>
          <w:trHeight w:val="1145"/>
        </w:trPr>
        <w:tc>
          <w:tcPr>
            <w:tcW w:w="70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C1850F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BE832C2"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行政院函為國家通訊傳播委員會辦理建置強化杜絕境外詐騙電話相關設備所需經費不敷，動支112年度中央政府總預算第二預備金1億350萬元支應，茲檢送第二預備金動支數額機關別表案。</w:t>
            </w:r>
          </w:p>
        </w:tc>
        <w:tc>
          <w:tcPr>
            <w:tcW w:w="257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5F01A83"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735EBDC"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A72D4BF" w14:textId="77777777" w:rsidTr="001E3F40">
        <w:trPr>
          <w:cantSplit/>
          <w:trHeight w:val="1145"/>
        </w:trPr>
        <w:tc>
          <w:tcPr>
            <w:tcW w:w="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EC17E8A"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0203A7E"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臺灣高等檢察署辦理「新世代打擊詐欺策略行動綱領1.5版」之購（建）置偵查軟硬體設備與資訊系統等所需經費不敷，動支112年度中央政府總預算第二預備金6,856萬1,000元支應，茲檢送第二預備金動支數額機關別表案。</w:t>
            </w:r>
          </w:p>
        </w:tc>
        <w:tc>
          <w:tcPr>
            <w:tcW w:w="257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F70BCC1"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第10屆第8會期第4次院會（112.10.20）決定：「交財政、司法及法制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03060ECF"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CE1B0D5" w14:textId="77777777" w:rsidTr="001E3F40">
        <w:trPr>
          <w:cantSplit/>
          <w:trHeight w:val="1145"/>
        </w:trPr>
        <w:tc>
          <w:tcPr>
            <w:tcW w:w="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586A0C"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4E923DA"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調查局辦理「新世代打擊詐欺策略行動綱領1.5版」之購置蒐證器材暨偵蒐鑑識系統等所需經費不敷，動支112年度中央政府總預算第二預備金1億9,284萬5千元支應，茲檢送第二預備金動支數額機關別表案。</w:t>
            </w:r>
          </w:p>
        </w:tc>
        <w:tc>
          <w:tcPr>
            <w:tcW w:w="257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1145B4"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24ABC643"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393546E" w14:textId="77777777" w:rsidTr="001E3F40">
        <w:trPr>
          <w:cantSplit/>
          <w:trHeight w:val="1145"/>
        </w:trPr>
        <w:tc>
          <w:tcPr>
            <w:tcW w:w="70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49D9EF"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3A77B9"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內政部警政署辦理「新世代打擊詐欺策略行動綱領1.5版」之反詐騙宣導及汰購科技偵查設備等所需經費不敷，動支112年度中央政府總預算第二預備金3億9,267萬7,000元支應，茲檢送第二預備金動支數額機關別表案。</w:t>
            </w:r>
          </w:p>
        </w:tc>
        <w:tc>
          <w:tcPr>
            <w:tcW w:w="257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B0FBC24"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159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5B172F0"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E710683" w14:textId="77777777" w:rsidTr="001E3F40">
        <w:trPr>
          <w:cantSplit/>
          <w:trHeight w:val="1145"/>
        </w:trPr>
        <w:tc>
          <w:tcPr>
            <w:tcW w:w="70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61AC186" w14:textId="77777777" w:rsidR="00993A58" w:rsidRPr="002C6AC7" w:rsidRDefault="00993A58" w:rsidP="00FA328D">
            <w:pPr>
              <w:pStyle w:val="affff0"/>
              <w:widowControl w:val="0"/>
              <w:numPr>
                <w:ilvl w:val="0"/>
                <w:numId w:val="62"/>
              </w:numPr>
              <w:overflowPunct w:val="0"/>
              <w:autoSpaceDN/>
              <w:spacing w:line="340" w:lineRule="exact"/>
              <w:ind w:right="240"/>
              <w:jc w:val="both"/>
              <w:textAlignment w:val="auto"/>
              <w:rPr>
                <w:rFonts w:ascii="標楷體" w:eastAsia="標楷體" w:hAnsi="標楷體"/>
                <w:b/>
                <w:bCs/>
                <w:kern w:val="2"/>
                <w:szCs w:val="24"/>
              </w:rPr>
            </w:pPr>
          </w:p>
        </w:tc>
        <w:tc>
          <w:tcPr>
            <w:tcW w:w="461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3B7F090C" w14:textId="77777777" w:rsidR="00993A58" w:rsidRPr="00B95A07" w:rsidRDefault="00993A58" w:rsidP="00F470A8">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r w:rsidRPr="00B95A07">
              <w:rPr>
                <w:rFonts w:ascii="標楷體" w:eastAsia="標楷體" w:hAnsi="標楷體"/>
                <w:kern w:val="2"/>
                <w:szCs w:val="24"/>
              </w:rPr>
              <w:t>112年度中央政府總預算第二預備金動支數額表」案</w:t>
            </w:r>
            <w:r w:rsidRPr="00B95A07">
              <w:rPr>
                <w:rFonts w:ascii="標楷體" w:eastAsia="標楷體" w:hAnsi="標楷體" w:hint="eastAsia"/>
                <w:kern w:val="2"/>
                <w:szCs w:val="24"/>
              </w:rPr>
              <w:t>。</w:t>
            </w:r>
          </w:p>
        </w:tc>
        <w:tc>
          <w:tcPr>
            <w:tcW w:w="257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38AE342"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1</w:t>
            </w:r>
            <w:r w:rsidRPr="00B95A07">
              <w:rPr>
                <w:rFonts w:ascii="標楷體" w:eastAsia="標楷體" w:hAnsi="標楷體" w:hint="eastAsia"/>
                <w:kern w:val="2"/>
                <w:szCs w:val="24"/>
              </w:rPr>
              <w:t>屆第</w:t>
            </w:r>
            <w:r w:rsidRPr="00B95A07">
              <w:rPr>
                <w:rFonts w:ascii="標楷體" w:eastAsia="標楷體" w:hAnsi="標楷體"/>
                <w:kern w:val="2"/>
                <w:szCs w:val="24"/>
              </w:rPr>
              <w:t>1</w:t>
            </w:r>
            <w:r w:rsidRPr="00B95A07">
              <w:rPr>
                <w:rFonts w:ascii="標楷體" w:eastAsia="標楷體" w:hAnsi="標楷體" w:hint="eastAsia"/>
                <w:kern w:val="2"/>
                <w:szCs w:val="24"/>
              </w:rPr>
              <w:t>會期第</w:t>
            </w:r>
            <w:r w:rsidRPr="00B95A07">
              <w:rPr>
                <w:rFonts w:ascii="標楷體" w:eastAsia="標楷體" w:hAnsi="標楷體"/>
                <w:kern w:val="2"/>
                <w:szCs w:val="24"/>
              </w:rPr>
              <w:t>3</w:t>
            </w:r>
            <w:r w:rsidRPr="00B95A07">
              <w:rPr>
                <w:rFonts w:ascii="標楷體" w:eastAsia="標楷體" w:hAnsi="標楷體" w:hint="eastAsia"/>
                <w:kern w:val="2"/>
                <w:szCs w:val="24"/>
              </w:rPr>
              <w:t>次院會（11</w:t>
            </w:r>
            <w:r w:rsidRPr="00B95A07">
              <w:rPr>
                <w:rFonts w:ascii="標楷體" w:eastAsia="標楷體" w:hAnsi="標楷體"/>
                <w:kern w:val="2"/>
                <w:szCs w:val="24"/>
              </w:rPr>
              <w:t>3</w:t>
            </w:r>
            <w:r w:rsidRPr="00B95A07">
              <w:rPr>
                <w:rFonts w:ascii="標楷體" w:eastAsia="標楷體" w:hAnsi="標楷體" w:hint="eastAsia"/>
                <w:kern w:val="2"/>
                <w:szCs w:val="24"/>
              </w:rPr>
              <w:t>.3.</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）決定：「交財政委員會會同有關委員會審查」</w:t>
            </w:r>
            <w:r w:rsidRPr="00B95A07">
              <w:rPr>
                <w:rFonts w:ascii="標楷體" w:eastAsia="標楷體" w:hAnsi="標楷體" w:hint="eastAsia"/>
                <w:kern w:val="2"/>
                <w:szCs w:val="24"/>
              </w:rPr>
              <w:tab/>
            </w:r>
          </w:p>
        </w:tc>
        <w:tc>
          <w:tcPr>
            <w:tcW w:w="159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14:paraId="523D22E8" w14:textId="77777777" w:rsidR="00993A58" w:rsidRPr="00B95A07" w:rsidRDefault="00993A58" w:rsidP="00F470A8">
            <w:pPr>
              <w:widowControl w:val="0"/>
              <w:overflowPunct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2113761B" w14:textId="77777777" w:rsidR="00993A58" w:rsidRPr="00B95A07" w:rsidRDefault="00993A58" w:rsidP="00F470A8">
      <w:pPr>
        <w:widowControl w:val="0"/>
        <w:pBdr>
          <w:top w:val="single" w:sz="12" w:space="1" w:color="auto"/>
        </w:pBdr>
        <w:overflowPunct w:val="0"/>
        <w:autoSpaceDN/>
        <w:jc w:val="both"/>
        <w:textAlignment w:val="auto"/>
        <w:rPr>
          <w:rFonts w:ascii="標楷體" w:eastAsia="標楷體" w:hAnsi="標楷體"/>
          <w:b/>
          <w:bCs/>
          <w:spacing w:val="-20"/>
          <w:kern w:val="2"/>
          <w:sz w:val="32"/>
          <w:szCs w:val="32"/>
        </w:rPr>
      </w:pPr>
      <w:r w:rsidRPr="00B95A07">
        <w:rPr>
          <w:rFonts w:ascii="標楷體" w:eastAsia="標楷體" w:hAnsi="標楷體"/>
          <w:b/>
          <w:bCs/>
          <w:spacing w:val="-20"/>
          <w:kern w:val="2"/>
          <w:sz w:val="32"/>
          <w:szCs w:val="32"/>
        </w:rPr>
        <w:br w:type="page"/>
      </w:r>
    </w:p>
    <w:p w14:paraId="02A6AB3A" w14:textId="77777777" w:rsidR="00993A58" w:rsidRPr="00B95A07"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01" w:name="_Toc126576809"/>
      <w:bookmarkStart w:id="102" w:name="_Toc143873926"/>
      <w:bookmarkStart w:id="103" w:name="_Toc157095699"/>
      <w:bookmarkStart w:id="104" w:name="_Toc175833593"/>
      <w:bookmarkStart w:id="105" w:name="_Toc189487309"/>
      <w:r w:rsidRPr="00B95A07">
        <w:rPr>
          <w:rFonts w:ascii="標楷體" w:eastAsia="標楷體" w:hAnsi="標楷體" w:hint="eastAsia"/>
          <w:b/>
          <w:bCs/>
          <w:kern w:val="2"/>
          <w:sz w:val="32"/>
          <w:szCs w:val="32"/>
        </w:rPr>
        <w:lastRenderedPageBreak/>
        <w:t>四、決算案(</w:t>
      </w:r>
      <w:r>
        <w:rPr>
          <w:rFonts w:ascii="標楷體" w:eastAsia="標楷體" w:hAnsi="標楷體"/>
          <w:b/>
          <w:bCs/>
          <w:kern w:val="2"/>
          <w:sz w:val="32"/>
          <w:szCs w:val="32"/>
        </w:rPr>
        <w:t>5</w:t>
      </w:r>
      <w:r w:rsidRPr="00B95A07">
        <w:rPr>
          <w:rFonts w:ascii="標楷體" w:eastAsia="標楷體" w:hAnsi="標楷體" w:hint="eastAsia"/>
          <w:b/>
          <w:bCs/>
          <w:kern w:val="2"/>
          <w:sz w:val="32"/>
          <w:szCs w:val="32"/>
        </w:rPr>
        <w:t>案)</w:t>
      </w:r>
      <w:bookmarkEnd w:id="101"/>
      <w:bookmarkEnd w:id="102"/>
      <w:bookmarkEnd w:id="103"/>
      <w:bookmarkEnd w:id="104"/>
      <w:bookmarkEnd w:id="105"/>
    </w:p>
    <w:tbl>
      <w:tblPr>
        <w:tblW w:w="9918" w:type="dxa"/>
        <w:jc w:val="center"/>
        <w:tblLayout w:type="fixed"/>
        <w:tblCellMar>
          <w:left w:w="10" w:type="dxa"/>
          <w:right w:w="10" w:type="dxa"/>
        </w:tblCellMar>
        <w:tblLook w:val="0000" w:firstRow="0" w:lastRow="0" w:firstColumn="0" w:lastColumn="0" w:noHBand="0" w:noVBand="0"/>
      </w:tblPr>
      <w:tblGrid>
        <w:gridCol w:w="704"/>
        <w:gridCol w:w="4569"/>
        <w:gridCol w:w="2660"/>
        <w:gridCol w:w="1985"/>
      </w:tblGrid>
      <w:tr w:rsidR="00993A58" w:rsidRPr="00B95A07" w14:paraId="7678C69E" w14:textId="77777777" w:rsidTr="001E3F40">
        <w:trPr>
          <w:trHeight w:val="482"/>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F037323"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264DFDB"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2ECB2BF"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4D92093A" w14:textId="77777777" w:rsidR="00993A58" w:rsidRPr="00B95A07" w:rsidRDefault="00993A58" w:rsidP="00F470A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21E7B9E0" w14:textId="77777777" w:rsidTr="001E3F40">
        <w:trPr>
          <w:trHeight w:val="1063"/>
          <w:jc w:val="center"/>
        </w:trPr>
        <w:tc>
          <w:tcPr>
            <w:tcW w:w="70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268965C" w14:textId="65DBF2BC"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5CFDBF" w14:textId="77777777" w:rsidR="00993A58" w:rsidRPr="00B95A07" w:rsidRDefault="00993A58"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審計部函送中華民國112年度中央政府總預算半年結算報告及查核報告</w:t>
            </w:r>
          </w:p>
        </w:tc>
        <w:tc>
          <w:tcPr>
            <w:tcW w:w="266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77F564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4</w:t>
            </w:r>
            <w:r w:rsidRPr="00B95A07">
              <w:rPr>
                <w:rFonts w:ascii="標楷體" w:eastAsia="標楷體" w:hAnsi="標楷體"/>
                <w:kern w:val="2"/>
                <w:szCs w:val="24"/>
              </w:rPr>
              <w:t>次院會（1</w:t>
            </w:r>
            <w:r w:rsidRPr="00B95A07">
              <w:rPr>
                <w:rFonts w:ascii="標楷體" w:eastAsia="標楷體" w:hAnsi="標楷體" w:hint="eastAsia"/>
                <w:kern w:val="2"/>
                <w:szCs w:val="24"/>
              </w:rPr>
              <w:t>12</w:t>
            </w:r>
            <w:r w:rsidRPr="00B95A07">
              <w:rPr>
                <w:rFonts w:ascii="標楷體" w:eastAsia="標楷體" w:hAnsi="標楷體"/>
                <w:kern w:val="2"/>
                <w:szCs w:val="24"/>
              </w:rPr>
              <w:t>.10.</w:t>
            </w:r>
            <w:r w:rsidRPr="00B95A07">
              <w:rPr>
                <w:rFonts w:ascii="標楷體" w:eastAsia="標楷體" w:hAnsi="標楷體" w:hint="eastAsia"/>
                <w:kern w:val="2"/>
                <w:szCs w:val="24"/>
              </w:rPr>
              <w:t>20</w:t>
            </w:r>
            <w:r w:rsidRPr="00B95A07">
              <w:rPr>
                <w:rFonts w:ascii="標楷體" w:eastAsia="標楷體" w:hAnsi="標楷體"/>
                <w:kern w:val="2"/>
                <w:szCs w:val="24"/>
              </w:rPr>
              <w:t>）決定：「交財政委員會會同有關委員會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98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B1F114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993A58" w:rsidRPr="00B95A07" w14:paraId="0DFDD5AC" w14:textId="77777777" w:rsidTr="001E3F40">
        <w:trPr>
          <w:trHeight w:val="106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D28670" w14:textId="41FC0903"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47C5C25" w14:textId="77777777" w:rsidR="00993A58" w:rsidRPr="00744A39" w:rsidRDefault="00993A58" w:rsidP="00F470A8">
            <w:pPr>
              <w:widowControl w:val="0"/>
              <w:overflowPunct w:val="0"/>
              <w:autoSpaceDN/>
              <w:snapToGrid w:val="0"/>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審計部函送中華民國</w:t>
            </w:r>
            <w:r w:rsidRPr="00744A39">
              <w:rPr>
                <w:rFonts w:ascii="標楷體" w:eastAsia="標楷體" w:hAnsi="標楷體"/>
                <w:kern w:val="2"/>
                <w:szCs w:val="24"/>
              </w:rPr>
              <w:t>113年度中央政府總預算半年結算報告及查核報告</w:t>
            </w:r>
          </w:p>
        </w:tc>
        <w:tc>
          <w:tcPr>
            <w:tcW w:w="266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01E7A8AC" w14:textId="77777777" w:rsidR="00993A58" w:rsidRPr="00744A39" w:rsidRDefault="00993A58" w:rsidP="00F470A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第11屆第2會期第4次院會(113.10.11)決定：「交財政委員會會同有關委員會處理」</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F3E8EED"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尚未處理</w:t>
            </w:r>
          </w:p>
        </w:tc>
      </w:tr>
      <w:tr w:rsidR="00993A58" w:rsidRPr="00B95A07" w14:paraId="3F3E9A25" w14:textId="77777777" w:rsidTr="001E3F40">
        <w:trPr>
          <w:trHeight w:val="1063"/>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DFADB1C" w14:textId="77777777"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BB4A0C7" w14:textId="77777777" w:rsidR="00993A58" w:rsidRPr="00B95A07" w:rsidRDefault="00993A58" w:rsidP="00F470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中央政府嚴重特殊傳染性肺炎防治及紓困振興特別決算審核報告(中華民國109年1月15日至112年6月30日)</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B88E9CD" w14:textId="77777777" w:rsidR="00993A58" w:rsidRPr="00B95A07" w:rsidRDefault="00993A58" w:rsidP="00F470A8">
            <w:pPr>
              <w:overflowPunct w:val="0"/>
              <w:jc w:val="both"/>
            </w:pPr>
            <w:r w:rsidRPr="00B95A07">
              <w:rPr>
                <w:rFonts w:ascii="標楷體" w:eastAsia="標楷體" w:hAnsi="標楷體" w:hint="eastAsia"/>
                <w:kern w:val="2"/>
                <w:szCs w:val="24"/>
              </w:rPr>
              <w:t>本案經提第11屆第1會期第7次院會(113.4.2)邀請審計長報告審核經過，並答復委員諮詢後決定：「交財政委員會會同有關委員會審查」</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E7E52E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993A58" w:rsidRPr="00B95A07" w14:paraId="2D7E87D8" w14:textId="77777777" w:rsidTr="001E3F40">
        <w:trPr>
          <w:trHeight w:val="1267"/>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5FAC4273" w14:textId="77777777"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E7E1A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金融監督管理委員會函送財團法人台灣金融研訓院等</w:t>
            </w:r>
            <w:r w:rsidRPr="00B95A07">
              <w:rPr>
                <w:rFonts w:ascii="標楷體" w:eastAsia="標楷體" w:hAnsi="標楷體"/>
                <w:kern w:val="2"/>
                <w:szCs w:val="24"/>
              </w:rPr>
              <w:t>7家財團法人112年度決算書案</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6D63ECC" w14:textId="77777777" w:rsidR="00993A58" w:rsidRPr="00B95A07" w:rsidRDefault="00993A58" w:rsidP="00F470A8">
            <w:pPr>
              <w:widowControl w:val="0"/>
              <w:overflowPunct w:val="0"/>
              <w:autoSpaceDN/>
              <w:snapToGrid w:val="0"/>
              <w:spacing w:line="320" w:lineRule="exact"/>
              <w:jc w:val="both"/>
              <w:textAlignment w:val="auto"/>
              <w:rPr>
                <w:rFonts w:ascii="標楷體" w:eastAsia="標楷體" w:hAnsi="標楷體"/>
                <w:spacing w:val="-8"/>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sidRPr="00B95A07">
              <w:rPr>
                <w:rFonts w:ascii="標楷體" w:eastAsia="標楷體" w:hAnsi="標楷體" w:hint="eastAsia"/>
                <w:spacing w:val="-8"/>
                <w:kern w:val="2"/>
                <w:szCs w:val="24"/>
              </w:rPr>
              <w:t>1</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18</w:t>
            </w:r>
            <w:r w:rsidRPr="00B95A07">
              <w:rPr>
                <w:rFonts w:ascii="標楷體" w:eastAsia="標楷體" w:hAnsi="標楷體"/>
                <w:spacing w:val="-8"/>
                <w:kern w:val="2"/>
                <w:szCs w:val="24"/>
              </w:rPr>
              <w:t>次院會（11</w:t>
            </w:r>
            <w:r w:rsidRPr="00B95A07">
              <w:rPr>
                <w:rFonts w:ascii="標楷體" w:eastAsia="標楷體" w:hAnsi="標楷體" w:hint="eastAsia"/>
                <w:spacing w:val="-8"/>
                <w:kern w:val="2"/>
                <w:szCs w:val="24"/>
              </w:rPr>
              <w:t>3</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14</w:t>
            </w:r>
            <w:r w:rsidRPr="00B95A07">
              <w:rPr>
                <w:rFonts w:ascii="標楷體" w:eastAsia="標楷體" w:hAnsi="標楷體"/>
                <w:spacing w:val="-8"/>
                <w:kern w:val="2"/>
                <w:szCs w:val="24"/>
              </w:rPr>
              <w:t>）決定：「交財政委員會審查」</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43417B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9FAA9BB" w14:textId="77777777" w:rsidTr="001E3F40">
        <w:trPr>
          <w:trHeight w:val="1267"/>
          <w:jc w:val="center"/>
        </w:trPr>
        <w:tc>
          <w:tcPr>
            <w:tcW w:w="70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6A2E446E" w14:textId="77777777" w:rsidR="00993A58" w:rsidRPr="001E3F40" w:rsidRDefault="00993A58" w:rsidP="00FA328D">
            <w:pPr>
              <w:pStyle w:val="affff0"/>
              <w:widowControl w:val="0"/>
              <w:numPr>
                <w:ilvl w:val="0"/>
                <w:numId w:val="63"/>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569"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0C041D6F" w14:textId="77777777" w:rsidR="00993A58" w:rsidRPr="009D427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9D4277">
              <w:rPr>
                <w:rFonts w:ascii="標楷體" w:eastAsia="標楷體" w:hAnsi="標楷體" w:hint="eastAsia"/>
                <w:kern w:val="2"/>
                <w:szCs w:val="24"/>
              </w:rPr>
              <w:t>中華民國112年度中央政府總決算審核報告</w:t>
            </w:r>
          </w:p>
        </w:tc>
        <w:tc>
          <w:tcPr>
            <w:tcW w:w="2660"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14E9ED44" w14:textId="77777777" w:rsidR="00993A58" w:rsidRPr="009D4277" w:rsidRDefault="00993A58" w:rsidP="00F470A8">
            <w:pPr>
              <w:widowControl w:val="0"/>
              <w:overflowPunct w:val="0"/>
              <w:autoSpaceDN/>
              <w:snapToGrid w:val="0"/>
              <w:spacing w:line="320" w:lineRule="exact"/>
              <w:jc w:val="both"/>
              <w:textAlignment w:val="auto"/>
              <w:rPr>
                <w:rFonts w:ascii="標楷體" w:eastAsia="標楷體" w:hAnsi="標楷體"/>
                <w:spacing w:val="-8"/>
                <w:kern w:val="2"/>
                <w:szCs w:val="24"/>
              </w:rPr>
            </w:pPr>
            <w:r w:rsidRPr="009D4277">
              <w:rPr>
                <w:rFonts w:ascii="標楷體" w:eastAsia="標楷體" w:hAnsi="標楷體" w:hint="eastAsia"/>
                <w:kern w:val="2"/>
                <w:szCs w:val="24"/>
              </w:rPr>
              <w:t>本案經提第11屆第2會期第13次院會(113.12.17)邀請審計長報告審核經過，並答復委員諮詢後決定：「交財政委員會會同有關委員會審查」</w:t>
            </w:r>
          </w:p>
        </w:tc>
        <w:tc>
          <w:tcPr>
            <w:tcW w:w="198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D3FF72F" w14:textId="77777777" w:rsidR="00993A58" w:rsidRPr="009D427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9D4277">
              <w:rPr>
                <w:rFonts w:ascii="標楷體" w:eastAsia="標楷體" w:hAnsi="標楷體" w:hint="eastAsia"/>
                <w:kern w:val="2"/>
                <w:szCs w:val="24"/>
              </w:rPr>
              <w:t>尚未審查</w:t>
            </w:r>
          </w:p>
        </w:tc>
      </w:tr>
    </w:tbl>
    <w:p w14:paraId="304E34E4" w14:textId="77777777" w:rsidR="00993A58" w:rsidRPr="00B95A07" w:rsidRDefault="00993A58" w:rsidP="00F470A8">
      <w:pPr>
        <w:widowControl w:val="0"/>
        <w:overflowPunct w:val="0"/>
        <w:autoSpaceDN/>
        <w:jc w:val="both"/>
        <w:textAlignment w:val="auto"/>
        <w:rPr>
          <w:rFonts w:ascii="標楷體" w:eastAsia="標楷體" w:hAnsi="標楷體"/>
          <w:b/>
          <w:bCs/>
          <w:kern w:val="2"/>
          <w:sz w:val="32"/>
          <w:szCs w:val="32"/>
        </w:rPr>
      </w:pPr>
      <w:r w:rsidRPr="00B95A07">
        <w:rPr>
          <w:rFonts w:ascii="標楷體" w:eastAsia="標楷體" w:hAnsi="標楷體"/>
          <w:b/>
          <w:kern w:val="2"/>
          <w:sz w:val="32"/>
          <w:szCs w:val="32"/>
        </w:rPr>
        <w:br w:type="page"/>
      </w:r>
    </w:p>
    <w:p w14:paraId="434FCD05" w14:textId="77777777" w:rsidR="00993A58" w:rsidRPr="00B95A07"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06" w:name="_Toc126576810"/>
      <w:bookmarkStart w:id="107" w:name="_Toc143873927"/>
      <w:bookmarkStart w:id="108" w:name="_Toc157095700"/>
      <w:bookmarkStart w:id="109" w:name="_Toc175833594"/>
      <w:bookmarkStart w:id="110" w:name="_Toc189487310"/>
      <w:r w:rsidRPr="00B95A07">
        <w:rPr>
          <w:rFonts w:ascii="標楷體" w:eastAsia="標楷體" w:hAnsi="標楷體" w:hint="eastAsia"/>
          <w:b/>
          <w:bCs/>
          <w:kern w:val="2"/>
          <w:sz w:val="32"/>
          <w:szCs w:val="32"/>
        </w:rPr>
        <w:lastRenderedPageBreak/>
        <w:t>五、行政命令(</w:t>
      </w:r>
      <w:r>
        <w:rPr>
          <w:rFonts w:ascii="標楷體" w:eastAsia="標楷體" w:hAnsi="標楷體"/>
          <w:b/>
          <w:bCs/>
          <w:kern w:val="2"/>
          <w:sz w:val="32"/>
          <w:szCs w:val="32"/>
        </w:rPr>
        <w:t>2</w:t>
      </w:r>
      <w:r>
        <w:rPr>
          <w:rFonts w:ascii="標楷體" w:eastAsia="標楷體" w:hAnsi="標楷體" w:hint="eastAsia"/>
          <w:b/>
          <w:bCs/>
          <w:kern w:val="2"/>
          <w:sz w:val="32"/>
          <w:szCs w:val="32"/>
        </w:rPr>
        <w:t>1</w:t>
      </w:r>
      <w:r w:rsidRPr="00B95A07">
        <w:rPr>
          <w:rFonts w:ascii="標楷體" w:eastAsia="標楷體" w:hAnsi="標楷體" w:hint="eastAsia"/>
          <w:b/>
          <w:bCs/>
          <w:kern w:val="2"/>
          <w:sz w:val="32"/>
          <w:szCs w:val="32"/>
        </w:rPr>
        <w:t>案)</w:t>
      </w:r>
      <w:bookmarkEnd w:id="106"/>
      <w:bookmarkEnd w:id="107"/>
      <w:bookmarkEnd w:id="108"/>
      <w:bookmarkEnd w:id="109"/>
      <w:bookmarkEnd w:id="110"/>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993A58" w:rsidRPr="00B95A07" w14:paraId="11077ED7" w14:textId="77777777" w:rsidTr="00452841">
        <w:trPr>
          <w:cantSplit/>
          <w:trHeight w:val="851"/>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67790983"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96ED87C"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1C73C41F"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037A025" w14:textId="77777777" w:rsidR="00993A58" w:rsidRPr="00B95A07" w:rsidRDefault="00993A58" w:rsidP="00F470A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備　　註</w:t>
            </w:r>
          </w:p>
        </w:tc>
      </w:tr>
      <w:tr w:rsidR="00993A58" w:rsidRPr="00B95A07" w14:paraId="33C8BEB5" w14:textId="77777777" w:rsidTr="00452841">
        <w:trPr>
          <w:cantSplit/>
          <w:trHeight w:val="1127"/>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99B7F3"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F32C7D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金融監督管理委員會函送111年度推動金融科技發展成果暨法規調適書面報告案。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282492"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第10屆第7會期第11次院會(112.5.12)決定：「交財政委員會審查」</w:t>
            </w:r>
          </w:p>
        </w:tc>
        <w:tc>
          <w:tcPr>
            <w:tcW w:w="1842"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10FBCBE"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尚未審查</w:t>
            </w:r>
          </w:p>
        </w:tc>
      </w:tr>
      <w:tr w:rsidR="00993A58" w:rsidRPr="00B95A07" w14:paraId="6BBC66D6"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48FEFF"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66B3CEE"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金融監督管理委員會函送「證券投資信託及顧問法部分條文修正案之稅式支出評估報告」及「研議開放REIT採基金架構修正投信投顧法（草案）」研商會議會議紀錄案。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B0D2417"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22E77F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CA173A">
              <w:rPr>
                <w:rFonts w:ascii="標楷體" w:eastAsia="標楷體" w:hAnsi="標楷體" w:hint="eastAsia"/>
                <w:kern w:val="2"/>
                <w:szCs w:val="24"/>
              </w:rPr>
              <w:t>尚未審查</w:t>
            </w:r>
          </w:p>
        </w:tc>
      </w:tr>
      <w:tr w:rsidR="00993A58" w:rsidRPr="00B95A07" w14:paraId="71CD5E3C"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C21D79"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2F17D0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財政部函為修正「國有非公用不動產出租管理辦法」第二十八條條文案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55653B"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8196892"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0E64826"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A522A6"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02F281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金融監督管理委員會函送證券投資信託及顧問法第三條第三項第三款及第四條第三項第三款授權核准之證券投資信託事業及證券投資顧問事業得經營之業務相關規範案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213EC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27295B6"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A5F9BBC"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6ABC42"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2C523B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財政部函為修正「轉運及轉口貨物通關管理辦法」部分條文案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F8FBED"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DE58D0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D6C56B9"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0E647A6"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5788A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財政部函送「財政部主管財團法人適用財團法人法第二十一條第二項第三款所定一定金額」案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22C80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B60D8DD"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F78F204"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47D924"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F61FD1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金融監督管理委員會函為修正「證券承銷商取得包銷有價證券出售辦法」第二條及第四條條文案</w:t>
            </w:r>
          </w:p>
          <w:p w14:paraId="4D36377D"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FB951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594908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E11AAA9"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DE96A08"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E9581E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金融監督管理委員會函為修正「公開收購公開發行公司有價證券管理辦法」部分條文及「公開收購說明書應行記載事項準則」第七條、第八條、第九條條文案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8A67D2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1CE88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42A9D02"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6CCD588"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28AED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國家金融安定基金管理委員會函送國家金融安定基金</w:t>
            </w:r>
            <w:r w:rsidRPr="00B95A07">
              <w:rPr>
                <w:rFonts w:ascii="標楷體" w:eastAsia="標楷體" w:hAnsi="標楷體"/>
                <w:kern w:val="2"/>
                <w:szCs w:val="24"/>
              </w:rPr>
              <w:t>111年度進場執行安定任務及釋股相關說明</w:t>
            </w:r>
            <w:r w:rsidRPr="00B95A07">
              <w:rPr>
                <w:rFonts w:ascii="標楷體" w:eastAsia="標楷體" w:hAnsi="標楷體" w:hint="eastAsia"/>
                <w:kern w:val="2"/>
                <w:szCs w:val="24"/>
              </w:rPr>
              <w:t>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2C7CE8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64C3218"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E5F8938"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D62AD9"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368780"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財政部函為修正「促進民間參與公共建設法施行細則」案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6F8E39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540B4A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A878290"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21FEA4F"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D6C9EA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證券投資信託及顧問法第三條第一項規定及證券投資信託基金管理辦法第五十四條授權核准私募之證券投資信託基金得投資於私募股權基金及未經本會核准或申報生效之境外基金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B106C1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00F003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5DBAA6D"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BA8A694"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0B548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金融監督管理委員會函送公司法第一百九十二條之一第一項但書及第二百十六條之一第一項準用第一百九十二條之一第一項但書授權訂定之強制董事及監察人選舉應採候選人提名制度之適用範圍相關規範發布令案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DB7AEC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AB9681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0E862B5"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725F089"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589A8E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金融監督管理委員會函為修正「公開發行公司審計委員會行使職權辦法」部分條文及「公開發行公司董事會議事辦法」第十二條、第十三條條文案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D21D71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第11屆第1會期第8次院會(113.4.9)決定：「交財政委員會審查」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646B05B"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88222A8"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1F96D0"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CE99A5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財政部函送本院修正促進民間參與公共建設法部分條文通過附帶決議第1項至第3項之辦理情形案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D27085"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C33564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AA1DE35"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37875B3"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4838B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金融監督管理委員會函為修正「個人購車貸款定型化契約不得記載事項」第七點規定、「個人購屋貸款定型化契約不得記載事項」第七點規定及「消費性無擔保貸款定型化契約不得記載事項」第三點規定案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0B53C92"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E17067"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D03D5E1"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D67956"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F9A92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財政部函送112年度政府有償取得公共服務案件執行情形及績效書面報告案</w:t>
            </w:r>
            <w:r w:rsidRPr="00510173">
              <w:rPr>
                <w:rFonts w:ascii="標楷體" w:eastAsia="標楷體" w:hAnsi="標楷體" w:hint="eastAsia"/>
                <w:kern w:val="2"/>
                <w:szCs w:val="24"/>
              </w:rPr>
              <w:tab/>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DB90B1"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第11屆第1會期第12次院會(113.5.3)決定：「交財政委員會審查」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A4AA75F"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尚未審查</w:t>
            </w:r>
          </w:p>
        </w:tc>
      </w:tr>
      <w:tr w:rsidR="00993A58" w:rsidRPr="00B95A07" w14:paraId="1E73A9B1"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73107EF"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F0A249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金融監督管理委員會、交通部函為修正「強制汽車責任保險費率表」及「強制汽車責任保險保險期間」案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32A29E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第11屆第1會期第20次院會(113.6.28)決定：「交財政、交通兩委員會審查」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96E248"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C1B4A6F" w14:textId="77777777" w:rsidTr="0045284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41B45B"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1B0E4B8"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財政部函送經濟部「112年電動車輛免徵使用牌照稅效益說明」案</w:t>
            </w:r>
            <w:r w:rsidRPr="00510173">
              <w:rPr>
                <w:rFonts w:ascii="標楷體" w:eastAsia="標楷體" w:hAnsi="標楷體" w:hint="eastAsia"/>
                <w:kern w:val="2"/>
                <w:szCs w:val="24"/>
              </w:rPr>
              <w:tab/>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A4342A1"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第11屆第1會期第20次院會(113.6.28)決定：「交財政委員會審查」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16007E3"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510173">
              <w:rPr>
                <w:rFonts w:ascii="標楷體" w:eastAsia="標楷體" w:hAnsi="標楷體" w:hint="eastAsia"/>
                <w:kern w:val="2"/>
                <w:szCs w:val="24"/>
              </w:rPr>
              <w:t>尚未審查</w:t>
            </w:r>
          </w:p>
        </w:tc>
      </w:tr>
      <w:tr w:rsidR="00993A58" w:rsidRPr="00B95A07" w14:paraId="50820CC3" w14:textId="77777777" w:rsidTr="00F1317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E035C4A"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1F86629"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財政部函送「房屋稅條例第五條與第十五條第一項第九款規定住家用房屋戶數認定及申報擇定辦法」案。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1742695"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第11屆第1會期第21次院會(113.7.5)決定：「交財政委員會審查」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FF90D5A"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尚未審查</w:t>
            </w:r>
          </w:p>
        </w:tc>
      </w:tr>
      <w:tr w:rsidR="00993A58" w:rsidRPr="00B95A07" w14:paraId="4A83474C" w14:textId="77777777" w:rsidTr="00F13171">
        <w:trPr>
          <w:cantSplit/>
          <w:trHeight w:val="1127"/>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30713A" w14:textId="77777777" w:rsidR="00993A58" w:rsidRPr="00B95A07"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574967C"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財政部函為修正「住家用房屋供自住及公益出租人出租使用認定標準」案。</w:t>
            </w:r>
            <w:r w:rsidRPr="00F80320">
              <w:rPr>
                <w:rFonts w:ascii="標楷體" w:eastAsia="標楷體" w:hAnsi="標楷體" w:hint="eastAsia"/>
                <w:kern w:val="2"/>
                <w:szCs w:val="24"/>
              </w:rPr>
              <w:tab/>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4BDF9C6"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第11屆第1會期第21次院會(113.7.5)決定：「交財政委員會審查」</w:t>
            </w:r>
          </w:p>
        </w:tc>
        <w:tc>
          <w:tcPr>
            <w:tcW w:w="184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723FBE4" w14:textId="77777777" w:rsidR="00993A58" w:rsidRPr="00B95A07" w:rsidRDefault="00993A58" w:rsidP="00EC58BE">
            <w:pPr>
              <w:widowControl w:val="0"/>
              <w:overflowPunct w:val="0"/>
              <w:autoSpaceDN/>
              <w:spacing w:line="340" w:lineRule="exact"/>
              <w:jc w:val="both"/>
              <w:textAlignment w:val="auto"/>
              <w:rPr>
                <w:rFonts w:ascii="標楷體" w:eastAsia="標楷體" w:hAnsi="標楷體"/>
                <w:kern w:val="2"/>
                <w:szCs w:val="24"/>
              </w:rPr>
            </w:pPr>
            <w:r w:rsidRPr="00F80320">
              <w:rPr>
                <w:rFonts w:ascii="標楷體" w:eastAsia="標楷體" w:hAnsi="標楷體" w:hint="eastAsia"/>
                <w:kern w:val="2"/>
                <w:szCs w:val="24"/>
              </w:rPr>
              <w:t>尚未審查</w:t>
            </w:r>
          </w:p>
        </w:tc>
      </w:tr>
      <w:tr w:rsidR="00993A58" w:rsidRPr="00D73020" w14:paraId="54AC978B" w14:textId="77777777" w:rsidTr="00F13171">
        <w:trPr>
          <w:cantSplit/>
          <w:trHeight w:val="1127"/>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95316E9" w14:textId="77777777" w:rsidR="00993A58" w:rsidRPr="00D73020" w:rsidRDefault="00993A58" w:rsidP="00FA328D">
            <w:pPr>
              <w:widowControl w:val="0"/>
              <w:numPr>
                <w:ilvl w:val="0"/>
                <w:numId w:val="52"/>
              </w:numPr>
              <w:overflowPunct w:val="0"/>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73A2BC7D" w14:textId="77777777" w:rsidR="00993A58" w:rsidRPr="00D73020" w:rsidRDefault="00993A58" w:rsidP="00EC58BE">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財政部函送「其他經財政部核定不計入房屋稅條例第五條第一項第一款第二目至第四目納稅義務人全國總持有應稅房屋戶數及適用差別稅率之房屋」案。</w:t>
            </w:r>
          </w:p>
        </w:tc>
        <w:tc>
          <w:tcPr>
            <w:tcW w:w="2694" w:type="dxa"/>
            <w:tcBorders>
              <w:top w:val="single" w:sz="4" w:space="0" w:color="000000"/>
              <w:left w:val="single" w:sz="4" w:space="0" w:color="000000"/>
              <w:bottom w:val="single" w:sz="12" w:space="0" w:color="000000"/>
              <w:right w:val="single" w:sz="4" w:space="0" w:color="000000"/>
            </w:tcBorders>
            <w:shd w:val="clear" w:color="auto" w:fill="FFFFFF"/>
            <w:tcMar>
              <w:top w:w="0" w:type="dxa"/>
              <w:left w:w="28" w:type="dxa"/>
              <w:bottom w:w="0" w:type="dxa"/>
              <w:right w:w="28" w:type="dxa"/>
            </w:tcMar>
          </w:tcPr>
          <w:p w14:paraId="4525EB11" w14:textId="77777777" w:rsidR="00993A58" w:rsidRPr="00D73020" w:rsidRDefault="00993A58" w:rsidP="00EC58BE">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842"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AB7B521" w14:textId="77777777" w:rsidR="00993A58" w:rsidRPr="00D73020" w:rsidRDefault="00993A58" w:rsidP="00EC58BE">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bl>
    <w:p w14:paraId="7C3E8031" w14:textId="77777777" w:rsidR="00993A58" w:rsidRPr="00B95A07" w:rsidRDefault="00993A58" w:rsidP="00F470A8">
      <w:pPr>
        <w:pBdr>
          <w:top w:val="single" w:sz="12" w:space="1" w:color="auto"/>
        </w:pBdr>
        <w:overflowPunct w:val="0"/>
      </w:pPr>
      <w:bookmarkStart w:id="111" w:name="_Toc126576811"/>
      <w:bookmarkStart w:id="112" w:name="_Toc143873928"/>
      <w:r w:rsidRPr="00B95A07">
        <w:br w:type="page"/>
      </w:r>
    </w:p>
    <w:p w14:paraId="04C8C9B2" w14:textId="77777777" w:rsidR="00993A58" w:rsidRPr="00B56060"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113" w:name="_Toc157095701"/>
      <w:bookmarkStart w:id="114" w:name="_Toc175833595"/>
      <w:bookmarkStart w:id="115" w:name="_Toc189487311"/>
      <w:r w:rsidRPr="00B95A07">
        <w:rPr>
          <w:rFonts w:ascii="標楷體" w:eastAsia="標楷體" w:hAnsi="標楷體" w:hint="eastAsia"/>
          <w:b/>
          <w:bCs/>
          <w:kern w:val="2"/>
          <w:sz w:val="32"/>
          <w:szCs w:val="32"/>
        </w:rPr>
        <w:lastRenderedPageBreak/>
        <w:t>六、</w:t>
      </w:r>
      <w:r w:rsidRPr="00B56060">
        <w:rPr>
          <w:rFonts w:ascii="標楷體" w:eastAsia="標楷體" w:hAnsi="標楷體" w:hint="eastAsia"/>
          <w:b/>
          <w:bCs/>
          <w:kern w:val="2"/>
          <w:sz w:val="32"/>
          <w:szCs w:val="32"/>
        </w:rPr>
        <w:t>預算報告案</w:t>
      </w:r>
      <w:r w:rsidRPr="00B95A07">
        <w:rPr>
          <w:rFonts w:ascii="標楷體" w:eastAsia="標楷體" w:hAnsi="標楷體"/>
          <w:b/>
          <w:bCs/>
          <w:kern w:val="2"/>
          <w:sz w:val="32"/>
          <w:szCs w:val="32"/>
        </w:rPr>
        <w:t>(</w:t>
      </w:r>
      <w:r>
        <w:rPr>
          <w:rFonts w:ascii="標楷體" w:eastAsia="標楷體" w:hAnsi="標楷體" w:hint="eastAsia"/>
          <w:b/>
          <w:bCs/>
          <w:kern w:val="2"/>
          <w:sz w:val="32"/>
          <w:szCs w:val="32"/>
        </w:rPr>
        <w:t>706</w:t>
      </w:r>
      <w:r w:rsidRPr="00B95A07">
        <w:rPr>
          <w:rFonts w:ascii="標楷體" w:eastAsia="標楷體" w:hAnsi="標楷體"/>
          <w:b/>
          <w:bCs/>
          <w:kern w:val="2"/>
          <w:sz w:val="32"/>
          <w:szCs w:val="32"/>
        </w:rPr>
        <w:t>案</w:t>
      </w:r>
      <w:r w:rsidRPr="00B95A07">
        <w:rPr>
          <w:rFonts w:ascii="標楷體" w:eastAsia="標楷體" w:hAnsi="標楷體" w:hint="eastAsia"/>
          <w:b/>
          <w:bCs/>
          <w:kern w:val="2"/>
          <w:sz w:val="32"/>
          <w:szCs w:val="32"/>
        </w:rPr>
        <w:t>)</w:t>
      </w:r>
      <w:bookmarkEnd w:id="111"/>
      <w:bookmarkEnd w:id="112"/>
      <w:bookmarkEnd w:id="113"/>
      <w:bookmarkEnd w:id="114"/>
      <w:bookmarkEnd w:id="115"/>
    </w:p>
    <w:tbl>
      <w:tblPr>
        <w:tblW w:w="9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gridCol w:w="7"/>
      </w:tblGrid>
      <w:tr w:rsidR="00993A58" w:rsidRPr="00B95A07" w14:paraId="574EBECD" w14:textId="77777777" w:rsidTr="000D2E36">
        <w:trPr>
          <w:gridAfter w:val="1"/>
          <w:wAfter w:w="7" w:type="dxa"/>
          <w:trHeight w:val="491"/>
          <w:jc w:val="center"/>
        </w:trPr>
        <w:tc>
          <w:tcPr>
            <w:tcW w:w="846" w:type="dxa"/>
            <w:tcBorders>
              <w:top w:val="single" w:sz="12" w:space="0" w:color="auto"/>
              <w:left w:val="single" w:sz="4" w:space="0" w:color="auto"/>
              <w:bottom w:val="single" w:sz="12" w:space="0" w:color="auto"/>
              <w:right w:val="single" w:sz="4" w:space="0" w:color="auto"/>
            </w:tcBorders>
            <w:vAlign w:val="center"/>
          </w:tcPr>
          <w:p w14:paraId="25EE68BD" w14:textId="77777777" w:rsidR="00993A58" w:rsidRPr="00B95A07" w:rsidRDefault="00993A58"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4634E18B" w14:textId="77777777" w:rsidR="00993A58" w:rsidRPr="00B95A07" w:rsidRDefault="00993A58" w:rsidP="00F470A8">
            <w:pPr>
              <w:widowControl w:val="0"/>
              <w:tabs>
                <w:tab w:val="left" w:pos="567"/>
              </w:tabs>
              <w:overflowPunct w:val="0"/>
              <w:autoSpaceDN/>
              <w:spacing w:line="30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75BD64E3" w14:textId="77777777" w:rsidR="00993A58" w:rsidRPr="00B95A07" w:rsidRDefault="00993A58" w:rsidP="00F470A8">
            <w:pPr>
              <w:widowControl w:val="0"/>
              <w:tabs>
                <w:tab w:val="left" w:pos="567"/>
              </w:tabs>
              <w:overflowPunct w:val="0"/>
              <w:autoSpaceDN/>
              <w:snapToGrid w:val="0"/>
              <w:spacing w:line="320" w:lineRule="exact"/>
              <w:jc w:val="center"/>
              <w:textAlignment w:val="auto"/>
              <w:rPr>
                <w:rFonts w:ascii="標楷體" w:eastAsia="標楷體" w:hAnsi="標楷體"/>
                <w:b/>
                <w:spacing w:val="-20"/>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4" w:space="0" w:color="auto"/>
            </w:tcBorders>
            <w:vAlign w:val="center"/>
          </w:tcPr>
          <w:p w14:paraId="7DD45F08" w14:textId="77777777" w:rsidR="00993A58" w:rsidRPr="00B95A07" w:rsidRDefault="00993A58" w:rsidP="00F470A8">
            <w:pPr>
              <w:widowControl w:val="0"/>
              <w:tabs>
                <w:tab w:val="left" w:pos="567"/>
              </w:tabs>
              <w:overflowPunct w:val="0"/>
              <w:autoSpaceDN/>
              <w:spacing w:line="300" w:lineRule="exact"/>
              <w:jc w:val="center"/>
              <w:textAlignment w:val="auto"/>
              <w:rPr>
                <w:rFonts w:ascii="標楷體" w:eastAsia="標楷體" w:hAnsi="標楷體"/>
                <w:b/>
                <w:spacing w:val="-20"/>
                <w:kern w:val="2"/>
                <w:szCs w:val="24"/>
              </w:rPr>
            </w:pPr>
            <w:r w:rsidRPr="00B95A07">
              <w:rPr>
                <w:rFonts w:ascii="標楷體" w:eastAsia="標楷體" w:hAnsi="標楷體" w:hint="eastAsia"/>
                <w:b/>
                <w:spacing w:val="-20"/>
                <w:kern w:val="2"/>
                <w:szCs w:val="24"/>
              </w:rPr>
              <w:t>備    註</w:t>
            </w:r>
          </w:p>
        </w:tc>
      </w:tr>
      <w:tr w:rsidR="00993A58" w:rsidRPr="00B95A07" w14:paraId="61E3100B" w14:textId="77777777" w:rsidTr="000D2E36">
        <w:trPr>
          <w:trHeight w:val="655"/>
          <w:jc w:val="center"/>
        </w:trPr>
        <w:tc>
          <w:tcPr>
            <w:tcW w:w="9901" w:type="dxa"/>
            <w:gridSpan w:val="5"/>
            <w:tcBorders>
              <w:top w:val="single" w:sz="12" w:space="0" w:color="auto"/>
              <w:left w:val="single" w:sz="4" w:space="0" w:color="auto"/>
              <w:bottom w:val="single" w:sz="4" w:space="0" w:color="auto"/>
              <w:right w:val="single" w:sz="4" w:space="0" w:color="auto"/>
            </w:tcBorders>
            <w:vAlign w:val="center"/>
          </w:tcPr>
          <w:p w14:paraId="02FA92EC" w14:textId="77777777" w:rsidR="00993A58" w:rsidRPr="00B95A07" w:rsidRDefault="00993A58" w:rsidP="00F470A8">
            <w:pPr>
              <w:widowControl w:val="0"/>
              <w:tabs>
                <w:tab w:val="left" w:pos="567"/>
              </w:tabs>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1.財政部主管（</w:t>
            </w:r>
            <w:r>
              <w:rPr>
                <w:rFonts w:ascii="標楷體" w:eastAsia="標楷體" w:hAnsi="標楷體" w:hint="eastAsia"/>
                <w:b/>
                <w:kern w:val="2"/>
                <w:sz w:val="28"/>
                <w:szCs w:val="28"/>
              </w:rPr>
              <w:t>96</w:t>
            </w:r>
            <w:r w:rsidRPr="00B95A07">
              <w:rPr>
                <w:rFonts w:ascii="標楷體" w:eastAsia="標楷體" w:hAnsi="標楷體" w:hint="eastAsia"/>
                <w:b/>
                <w:kern w:val="2"/>
                <w:sz w:val="28"/>
                <w:szCs w:val="28"/>
              </w:rPr>
              <w:t>案）</w:t>
            </w:r>
          </w:p>
        </w:tc>
      </w:tr>
      <w:tr w:rsidR="00993A58" w:rsidRPr="00B95A07" w14:paraId="4A4B0B3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EEB6B8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8A3D92" w14:textId="77777777" w:rsidR="00993A58" w:rsidRPr="00B95A07" w:rsidRDefault="00993A58"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14:paraId="3A68BDB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43E23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E327C0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BF8FFC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79A99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14:paraId="086B20E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0DB0A9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DEBAEC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1CC05D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08A3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14:paraId="15775D0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F377762"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F4045A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59D3A1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CAAC3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14:paraId="693CCF3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CE6044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6F4652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FBD1AA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3F2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14:paraId="367A3BE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A59829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D62727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8D951C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22F32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1BD6A09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DBAC02"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E6F913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4CDF95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E4AFE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14:paraId="0C3D8E5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08A230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3CA124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922257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03710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14:paraId="351452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A6C46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AD00BC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A2C7D6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D4583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14:paraId="4849615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228304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16F33F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A61775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2B089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112年度中央政府總預算決議，檢送歲入部分第1款第1項決議第12項國有財產署辦理住宅區土地地上權設定案未對標案進行細部設定書面報告案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35F62C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401ADBC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0FE182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2298B8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DAC37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14:paraId="798964A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6E742E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8D7A1C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EF10BD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5F62F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財政部函為112年度中央政府總預算決議，檢送歲出部分第10款第3項決議第22項賦</w:t>
            </w:r>
            <w:r w:rsidRPr="00B95A07">
              <w:rPr>
                <w:rFonts w:ascii="標楷體" w:eastAsia="標楷體" w:hAnsi="標楷體" w:hint="eastAsia"/>
                <w:kern w:val="2"/>
                <w:szCs w:val="24"/>
              </w:rPr>
              <w:lastRenderedPageBreak/>
              <w:t>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14:paraId="666451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第10屆第8會期第6次院會（112.11.3）決定：「交</w:t>
            </w:r>
            <w:r w:rsidRPr="00B95A07">
              <w:rPr>
                <w:rFonts w:ascii="標楷體" w:eastAsia="標楷體" w:hAnsi="標楷體" w:hint="eastAsia"/>
                <w:kern w:val="2"/>
                <w:szCs w:val="24"/>
              </w:rPr>
              <w:lastRenderedPageBreak/>
              <w:t>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31A8EEA3"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993A58" w:rsidRPr="00B95A07" w14:paraId="0809210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36642D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1EC2A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14:paraId="481ED31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61940ED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E1917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144A66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B0218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財政部函為112年度中央政府總預算決議，檢送歲出部分第10款第3項決議第29項賦稅署檢討稽徵人員兼任納保官制度書面報告案。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14:paraId="7D03BB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49377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6FA86C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A9770A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C8B30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14:paraId="54889B2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17B6482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740E3C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410C01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A5A5E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財政部函為112年度中央政府總預算決議，檢送歲出部分第10款第1項決議第45項有關囤房稅之房屋稅條例修法可行性書面報告案。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2ADAFC5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E106D6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5CF55D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F7006D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C3380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14:paraId="0748464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7ABD937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DB993A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E1CB44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3DEBB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14:paraId="28882A4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0ACB20E4"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62FA9E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362832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3B8ECEA" w14:textId="2DBEF839"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財政部函為112年度中央政府總預算決議，檢送歲出部分第10款第2項決議第25項公股行庫Orpea授信案調查報告案。</w:t>
            </w:r>
          </w:p>
        </w:tc>
        <w:tc>
          <w:tcPr>
            <w:tcW w:w="2871" w:type="dxa"/>
            <w:tcBorders>
              <w:top w:val="single" w:sz="4" w:space="0" w:color="auto"/>
              <w:left w:val="single" w:sz="4" w:space="0" w:color="auto"/>
              <w:bottom w:val="single" w:sz="4" w:space="0" w:color="auto"/>
              <w:right w:val="single" w:sz="4" w:space="0" w:color="auto"/>
            </w:tcBorders>
          </w:tcPr>
          <w:p w14:paraId="3865928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BB3A78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0ABC60C"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D951EE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CED7D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14:paraId="163BF44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1516399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98A52B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8D987B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372FC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14:paraId="2C317C2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0175A6B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E87785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A93F6D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71A2E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財政部函為112年度中央政府總預算決議，檢送歲出部分第10款第3項決議第18項賦稅署「評估我國制定碳稅之必要性」書面報告案。</w:t>
            </w:r>
          </w:p>
        </w:tc>
        <w:tc>
          <w:tcPr>
            <w:tcW w:w="2871" w:type="dxa"/>
            <w:tcBorders>
              <w:top w:val="single" w:sz="4" w:space="0" w:color="auto"/>
              <w:left w:val="single" w:sz="4" w:space="0" w:color="auto"/>
              <w:bottom w:val="single" w:sz="4" w:space="0" w:color="auto"/>
              <w:right w:val="single" w:sz="4" w:space="0" w:color="auto"/>
            </w:tcBorders>
          </w:tcPr>
          <w:p w14:paraId="2784808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2144268B"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176447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E2167C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0B3E89" w14:textId="6EFA3ADA"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財政部函為112年度中央政府總預算決議，檢送歲出部分第10款第1項決議第21項加強公益出租政策誘因書面報告案。</w:t>
            </w:r>
          </w:p>
        </w:tc>
        <w:tc>
          <w:tcPr>
            <w:tcW w:w="2871" w:type="dxa"/>
            <w:tcBorders>
              <w:top w:val="single" w:sz="4" w:space="0" w:color="auto"/>
              <w:left w:val="single" w:sz="4" w:space="0" w:color="auto"/>
              <w:bottom w:val="single" w:sz="4" w:space="0" w:color="auto"/>
              <w:right w:val="single" w:sz="4" w:space="0" w:color="auto"/>
            </w:tcBorders>
          </w:tcPr>
          <w:p w14:paraId="266AD45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6B615E94"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F29842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12D1D8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D2F33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財政部函為112年度中央政府總預算決議，檢送歲出部分第10款第3項決議第38項110年度綜合所得稅房屋租金支出列舉扣除額及租金收入申報情形書面報告案。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14:paraId="49C9C57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vAlign w:val="center"/>
          </w:tcPr>
          <w:p w14:paraId="5CA98A3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B4E531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6C0A4C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7DB4C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財政部函送「臺美基礎建設計畫融資」及「離岸風電融資項目」去識別化資料截至112年6月相關資料案。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14:paraId="3C8C9A9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第10屆第8會期第8次院會（112.11.17）決定：「交財政委員會審查」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912A4E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16D09B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6D78E1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742E8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財政部函送112年度第3季「獎補助社會團體、人民團體、財團法人、縣市政府及個人經費明細表」，請查照案。</w:t>
            </w:r>
          </w:p>
        </w:tc>
        <w:tc>
          <w:tcPr>
            <w:tcW w:w="2871" w:type="dxa"/>
            <w:tcBorders>
              <w:top w:val="single" w:sz="4" w:space="0" w:color="auto"/>
              <w:left w:val="single" w:sz="4" w:space="0" w:color="auto"/>
              <w:bottom w:val="single" w:sz="4" w:space="0" w:color="auto"/>
              <w:right w:val="single" w:sz="4" w:space="0" w:color="auto"/>
            </w:tcBorders>
          </w:tcPr>
          <w:p w14:paraId="6228CC4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231894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E11847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F1A9AE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B57F9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財政部函送「112年度中央政府債務控管情形報告」，請查照案。</w:t>
            </w:r>
          </w:p>
          <w:p w14:paraId="3FEB838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49212E6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8FD076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2D96B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113636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D8692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財政部函送112年第3季媒體政策及業務宣導執行情形表，請查照案。</w:t>
            </w:r>
          </w:p>
        </w:tc>
        <w:tc>
          <w:tcPr>
            <w:tcW w:w="2871" w:type="dxa"/>
            <w:tcBorders>
              <w:top w:val="single" w:sz="4" w:space="0" w:color="auto"/>
              <w:left w:val="single" w:sz="4" w:space="0" w:color="auto"/>
              <w:bottom w:val="single" w:sz="4" w:space="0" w:color="auto"/>
              <w:right w:val="single" w:sz="4" w:space="0" w:color="auto"/>
            </w:tcBorders>
          </w:tcPr>
          <w:p w14:paraId="4C4648F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F692E9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F00B87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CFCFE3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B091B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財政部函為112年度中央政府總預算附屬單位預算決議，檢送中央政府債務基金決議第2項111年度公債投標不如預期書面報告案。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14:paraId="70D2F33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CA829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CAB071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9B09BD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58852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14:paraId="29F97D3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45827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76105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83CD55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D1B43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14:paraId="67FC5A2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71A994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7011E4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65E404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D5FAF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14:paraId="64093DF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19B89C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6159AF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0F2C60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A4FF7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14:paraId="40EA810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63E35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58442C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5E689B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3EDE3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14:paraId="0EE0CE9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1611C3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FC14DB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E0262C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940C4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14:paraId="36A83BD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F0D63F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D76A3D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5CFC59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DC16C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14:paraId="0C62EA3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9BF5D99"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B0CA9C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B77CF6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5CCF5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14:paraId="698B923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758F7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A6E17B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FD94AC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74D5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財政部函為112年度中央政府總預算附屬單位預算決議，檢送「行政院公營事業民營化基金退場進度及期程」書面報告案。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14:paraId="1EFF35F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FC6D88B"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49877CC"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C90FC2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257BB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財政部函為113年度中央政府總預算決議，檢送通案決議第4項稅收估測精進專案報告案。</w:t>
            </w:r>
          </w:p>
        </w:tc>
        <w:tc>
          <w:tcPr>
            <w:tcW w:w="2871" w:type="dxa"/>
            <w:tcBorders>
              <w:top w:val="single" w:sz="4" w:space="0" w:color="auto"/>
              <w:left w:val="single" w:sz="4" w:space="0" w:color="auto"/>
              <w:bottom w:val="single" w:sz="4" w:space="0" w:color="auto"/>
              <w:right w:val="single" w:sz="4" w:space="0" w:color="auto"/>
            </w:tcBorders>
          </w:tcPr>
          <w:p w14:paraId="760813E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EEFE7B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13B9A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838A8A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ABA6FA" w14:textId="77777777" w:rsidR="00993A58" w:rsidRPr="00B95A07" w:rsidRDefault="00993A58" w:rsidP="005134C1">
            <w:pPr>
              <w:widowControl w:val="0"/>
              <w:overflowPunct w:val="0"/>
              <w:autoSpaceDN/>
              <w:spacing w:line="32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財政部函送「臺美基礎建設計畫融資」及「離岸風電融資項目」去識別化資料截至112年12月相關資料案。</w:t>
            </w:r>
          </w:p>
        </w:tc>
        <w:tc>
          <w:tcPr>
            <w:tcW w:w="2871" w:type="dxa"/>
            <w:tcBorders>
              <w:top w:val="single" w:sz="4" w:space="0" w:color="auto"/>
              <w:left w:val="single" w:sz="4" w:space="0" w:color="auto"/>
              <w:bottom w:val="single" w:sz="4" w:space="0" w:color="auto"/>
              <w:right w:val="single" w:sz="4" w:space="0" w:color="auto"/>
            </w:tcBorders>
          </w:tcPr>
          <w:p w14:paraId="74318C2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BDA8B0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A5D235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1C5DAB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637391" w14:textId="77777777" w:rsidR="00993A58" w:rsidRPr="00B95A07" w:rsidRDefault="00993A58" w:rsidP="005134C1">
            <w:pPr>
              <w:widowControl w:val="0"/>
              <w:overflowPunct w:val="0"/>
              <w:autoSpaceDN/>
              <w:spacing w:line="32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113年度中央政府總預算決議，檢送歲出部分第10款第1項決議第3項精進促進民間參與公共建設業務效益書面報告案。</w:t>
            </w:r>
          </w:p>
        </w:tc>
        <w:tc>
          <w:tcPr>
            <w:tcW w:w="2871" w:type="dxa"/>
            <w:tcBorders>
              <w:top w:val="single" w:sz="4" w:space="0" w:color="auto"/>
              <w:left w:val="single" w:sz="4" w:space="0" w:color="auto"/>
              <w:bottom w:val="single" w:sz="4" w:space="0" w:color="auto"/>
              <w:right w:val="single" w:sz="4" w:space="0" w:color="auto"/>
            </w:tcBorders>
          </w:tcPr>
          <w:p w14:paraId="4855758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18A1BE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DE3A02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220AF5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F2AEF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財政部函為113年度中央政府總預算決議，檢送歲出部分第10款第10項決議第13項「國有非公用土地標租作太陽光電發電設備使用作業流程及成果」書面報告案。</w:t>
            </w:r>
          </w:p>
        </w:tc>
        <w:tc>
          <w:tcPr>
            <w:tcW w:w="2871" w:type="dxa"/>
            <w:tcBorders>
              <w:top w:val="single" w:sz="4" w:space="0" w:color="auto"/>
              <w:left w:val="single" w:sz="4" w:space="0" w:color="auto"/>
              <w:bottom w:val="single" w:sz="4" w:space="0" w:color="auto"/>
              <w:right w:val="single" w:sz="4" w:space="0" w:color="auto"/>
            </w:tcBorders>
          </w:tcPr>
          <w:p w14:paraId="6B2FDD5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64B9D7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B232B3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0833F5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23057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財政部函為113年度中央政府總預算決議，檢送歲出部分第10款第10項決議第14項「國有非公用土地標租作太陽光電發電設備使用標的之審核程序」書面報告案。</w:t>
            </w:r>
          </w:p>
        </w:tc>
        <w:tc>
          <w:tcPr>
            <w:tcW w:w="2871" w:type="dxa"/>
            <w:tcBorders>
              <w:top w:val="single" w:sz="4" w:space="0" w:color="auto"/>
              <w:left w:val="single" w:sz="4" w:space="0" w:color="auto"/>
              <w:bottom w:val="single" w:sz="4" w:space="0" w:color="auto"/>
              <w:right w:val="single" w:sz="4" w:space="0" w:color="auto"/>
            </w:tcBorders>
          </w:tcPr>
          <w:p w14:paraId="28966E6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E16C8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D80FCD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F3D60F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BD3C2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財政部函送國有財產署捐贈、出租、讓售移轉予國家住宅及都市更新中心之土地使用進度113年2月書面報告案。</w:t>
            </w:r>
          </w:p>
        </w:tc>
        <w:tc>
          <w:tcPr>
            <w:tcW w:w="2871" w:type="dxa"/>
            <w:tcBorders>
              <w:top w:val="single" w:sz="4" w:space="0" w:color="auto"/>
              <w:left w:val="single" w:sz="4" w:space="0" w:color="auto"/>
              <w:bottom w:val="single" w:sz="4" w:space="0" w:color="auto"/>
              <w:right w:val="single" w:sz="4" w:space="0" w:color="auto"/>
            </w:tcBorders>
          </w:tcPr>
          <w:p w14:paraId="76BA1B0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CACD5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C7ED06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86F96B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F6050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財政部函為113年度中央政府總預算決議，檢送歲出部分第10款第1項決議第7項促參資訊系統應撙節支用書面報告。</w:t>
            </w:r>
          </w:p>
        </w:tc>
        <w:tc>
          <w:tcPr>
            <w:tcW w:w="2871" w:type="dxa"/>
            <w:tcBorders>
              <w:top w:val="single" w:sz="4" w:space="0" w:color="auto"/>
              <w:left w:val="single" w:sz="4" w:space="0" w:color="auto"/>
              <w:bottom w:val="single" w:sz="4" w:space="0" w:color="auto"/>
              <w:right w:val="single" w:sz="4" w:space="0" w:color="auto"/>
            </w:tcBorders>
          </w:tcPr>
          <w:p w14:paraId="682CDFB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C8F9CC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94CDD4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80D727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CBC1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113年度中央政府總預算決議，檢送歲出部分第10款第1項決議第8項促進民間參與公共建設前置作業獎補助費執行成效檢討書面報告案。</w:t>
            </w:r>
          </w:p>
        </w:tc>
        <w:tc>
          <w:tcPr>
            <w:tcW w:w="2871" w:type="dxa"/>
            <w:tcBorders>
              <w:top w:val="single" w:sz="4" w:space="0" w:color="auto"/>
              <w:left w:val="single" w:sz="4" w:space="0" w:color="auto"/>
              <w:bottom w:val="single" w:sz="4" w:space="0" w:color="auto"/>
              <w:right w:val="single" w:sz="4" w:space="0" w:color="auto"/>
            </w:tcBorders>
          </w:tcPr>
          <w:p w14:paraId="72F859B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C9633C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B5C0B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4D1453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59C5D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財政部函為113年度中央政府總預算決議，檢送歲出部分第10款第1項決議第16項針對租賃收入專案查核之稅收，撥補至住宅基金之可行性書面報告案。</w:t>
            </w:r>
          </w:p>
        </w:tc>
        <w:tc>
          <w:tcPr>
            <w:tcW w:w="2871" w:type="dxa"/>
            <w:tcBorders>
              <w:top w:val="single" w:sz="4" w:space="0" w:color="auto"/>
              <w:left w:val="single" w:sz="4" w:space="0" w:color="auto"/>
              <w:bottom w:val="single" w:sz="4" w:space="0" w:color="auto"/>
              <w:right w:val="single" w:sz="4" w:space="0" w:color="auto"/>
            </w:tcBorders>
          </w:tcPr>
          <w:p w14:paraId="2E08C2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1299E9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32A18B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BAE758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E0C3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財政部函為113年度中央政府總預算決議，檢送歲出部分第10款第1項決議第22項宣導擴大促參長照案政府與民間合作範圍及模式書面報告案。</w:t>
            </w:r>
          </w:p>
        </w:tc>
        <w:tc>
          <w:tcPr>
            <w:tcW w:w="2871" w:type="dxa"/>
            <w:tcBorders>
              <w:top w:val="single" w:sz="4" w:space="0" w:color="auto"/>
              <w:left w:val="single" w:sz="4" w:space="0" w:color="auto"/>
              <w:bottom w:val="single" w:sz="4" w:space="0" w:color="auto"/>
              <w:right w:val="single" w:sz="4" w:space="0" w:color="auto"/>
            </w:tcBorders>
          </w:tcPr>
          <w:p w14:paraId="1FB1E87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731237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A637BE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10417A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0D1BD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財政部函為113年度中央政府總預算決議，檢送歲出部分第10款第1項決議第40項評估因應全球最低稅負制之預計期程、具體措施及對國內稅收影響書面報告案。</w:t>
            </w:r>
          </w:p>
        </w:tc>
        <w:tc>
          <w:tcPr>
            <w:tcW w:w="2871" w:type="dxa"/>
            <w:tcBorders>
              <w:top w:val="single" w:sz="4" w:space="0" w:color="auto"/>
              <w:left w:val="single" w:sz="4" w:space="0" w:color="auto"/>
              <w:bottom w:val="single" w:sz="4" w:space="0" w:color="auto"/>
              <w:right w:val="single" w:sz="4" w:space="0" w:color="auto"/>
            </w:tcBorders>
          </w:tcPr>
          <w:p w14:paraId="32F20FB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B50EB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D90799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5950A3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5836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財政部函為113年度中央政府總預算決議，檢送歲出部分第10款第1項決議第45項檢討汽車課徵貨物稅書面報告案。</w:t>
            </w:r>
          </w:p>
        </w:tc>
        <w:tc>
          <w:tcPr>
            <w:tcW w:w="2871" w:type="dxa"/>
            <w:tcBorders>
              <w:top w:val="single" w:sz="4" w:space="0" w:color="auto"/>
              <w:left w:val="single" w:sz="4" w:space="0" w:color="auto"/>
              <w:bottom w:val="single" w:sz="4" w:space="0" w:color="auto"/>
              <w:right w:val="single" w:sz="4" w:space="0" w:color="auto"/>
            </w:tcBorders>
          </w:tcPr>
          <w:p w14:paraId="7B7F9CD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9B1302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F12632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A949B2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0FE03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113年度中央政府總預算決議，檢送歲出部分第10款第3項決議第22項評</w:t>
            </w:r>
            <w:r w:rsidRPr="00B95A07">
              <w:rPr>
                <w:rFonts w:ascii="標楷體" w:eastAsia="標楷體" w:hAnsi="標楷體"/>
                <w:kern w:val="2"/>
                <w:szCs w:val="24"/>
              </w:rPr>
              <w:lastRenderedPageBreak/>
              <w:t>估全球最低稅負制對我國企業、稅收之影響書面報告案。</w:t>
            </w:r>
          </w:p>
        </w:tc>
        <w:tc>
          <w:tcPr>
            <w:tcW w:w="2871" w:type="dxa"/>
            <w:tcBorders>
              <w:top w:val="single" w:sz="4" w:space="0" w:color="auto"/>
              <w:left w:val="single" w:sz="4" w:space="0" w:color="auto"/>
              <w:bottom w:val="single" w:sz="4" w:space="0" w:color="auto"/>
              <w:right w:val="single" w:sz="4" w:space="0" w:color="auto"/>
            </w:tcBorders>
          </w:tcPr>
          <w:p w14:paraId="661A2D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第11屆第1會期第13次院會（113.5.10）決定：「交</w:t>
            </w:r>
            <w:r w:rsidRPr="00B95A07">
              <w:rPr>
                <w:rFonts w:ascii="標楷體" w:eastAsia="標楷體" w:hAnsi="標楷體" w:hint="eastAsia"/>
                <w:kern w:val="2"/>
                <w:szCs w:val="24"/>
              </w:rPr>
              <w:lastRenderedPageBreak/>
              <w:t>財政委員會審查」</w:t>
            </w:r>
          </w:p>
        </w:tc>
        <w:tc>
          <w:tcPr>
            <w:tcW w:w="1507" w:type="dxa"/>
            <w:tcBorders>
              <w:top w:val="single" w:sz="4" w:space="0" w:color="auto"/>
              <w:left w:val="single" w:sz="4" w:space="0" w:color="auto"/>
              <w:bottom w:val="single" w:sz="4" w:space="0" w:color="auto"/>
              <w:right w:val="single" w:sz="4" w:space="0" w:color="auto"/>
            </w:tcBorders>
          </w:tcPr>
          <w:p w14:paraId="155CAAD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993A58" w:rsidRPr="00B95A07" w14:paraId="54BC8DD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F739F3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B01A6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財政部函為113年度中央政府總預算決議，檢送歲出部分第10款第1項決議第4項促進民間參與公共建設專業人員證照訓練班改善計畫書面報告案。</w:t>
            </w:r>
          </w:p>
        </w:tc>
        <w:tc>
          <w:tcPr>
            <w:tcW w:w="2871" w:type="dxa"/>
            <w:tcBorders>
              <w:top w:val="single" w:sz="4" w:space="0" w:color="auto"/>
              <w:left w:val="single" w:sz="4" w:space="0" w:color="auto"/>
              <w:bottom w:val="single" w:sz="4" w:space="0" w:color="auto"/>
              <w:right w:val="single" w:sz="4" w:space="0" w:color="auto"/>
            </w:tcBorders>
          </w:tcPr>
          <w:p w14:paraId="4BF2EE2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41A792E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5B5CACD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09AB26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BBA4F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財政部函為113年度中央政府總預算決議，檢送歲出部分第10款第1項決議第5項促進民間參與公共建設法修正施行後之執行概況書面報告案。</w:t>
            </w:r>
          </w:p>
        </w:tc>
        <w:tc>
          <w:tcPr>
            <w:tcW w:w="2871" w:type="dxa"/>
            <w:tcBorders>
              <w:top w:val="single" w:sz="4" w:space="0" w:color="auto"/>
              <w:left w:val="single" w:sz="4" w:space="0" w:color="auto"/>
              <w:bottom w:val="single" w:sz="4" w:space="0" w:color="auto"/>
              <w:right w:val="single" w:sz="4" w:space="0" w:color="auto"/>
            </w:tcBorders>
          </w:tcPr>
          <w:p w14:paraId="1EB549E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BE06A5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3690A96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D5FFCD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6738F2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w:t>
            </w:r>
            <w:r w:rsidRPr="00B95A07">
              <w:rPr>
                <w:rFonts w:ascii="標楷體" w:eastAsia="標楷體" w:hAnsi="標楷體" w:hint="eastAsia"/>
                <w:color w:val="000000" w:themeColor="text1"/>
                <w:kern w:val="2"/>
                <w:szCs w:val="24"/>
              </w:rPr>
              <w:t>檢送歲出部分第</w:t>
            </w:r>
            <w:r w:rsidRPr="00B95A07">
              <w:rPr>
                <w:rFonts w:ascii="標楷體" w:eastAsia="標楷體" w:hAnsi="標楷體"/>
                <w:color w:val="000000" w:themeColor="text1"/>
                <w:kern w:val="2"/>
                <w:szCs w:val="24"/>
              </w:rPr>
              <w:t>10款第1項決議第6項民間參與公共建設金擘獎頒獎活動應撙節支用書面報告案。</w:t>
            </w:r>
          </w:p>
        </w:tc>
        <w:tc>
          <w:tcPr>
            <w:tcW w:w="2871" w:type="dxa"/>
            <w:tcBorders>
              <w:top w:val="single" w:sz="4" w:space="0" w:color="auto"/>
              <w:left w:val="single" w:sz="4" w:space="0" w:color="auto"/>
              <w:bottom w:val="single" w:sz="4" w:space="0" w:color="auto"/>
              <w:right w:val="single" w:sz="4" w:space="0" w:color="auto"/>
            </w:tcBorders>
          </w:tcPr>
          <w:p w14:paraId="0A48D81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795BD6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31AA737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6BEE39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2D697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113年度中央政府總預算決議，檢送歲出部分第10款第1項決議第24項促參案件強化追蹤機制書面報告案。</w:t>
            </w:r>
          </w:p>
        </w:tc>
        <w:tc>
          <w:tcPr>
            <w:tcW w:w="2871" w:type="dxa"/>
            <w:tcBorders>
              <w:top w:val="single" w:sz="4" w:space="0" w:color="auto"/>
              <w:left w:val="single" w:sz="4" w:space="0" w:color="auto"/>
              <w:bottom w:val="single" w:sz="4" w:space="0" w:color="auto"/>
              <w:right w:val="single" w:sz="4" w:space="0" w:color="auto"/>
            </w:tcBorders>
          </w:tcPr>
          <w:p w14:paraId="1D34367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719BE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0DD68B7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31BCA5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2E0A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財政部函為113年度中央政府總預算決議，檢送歲出部分第10款第1項決議第31項推動長照、社宅等重大公共建設以政府有償取得公共服務方式辦理進度書面報告案。</w:t>
            </w:r>
          </w:p>
        </w:tc>
        <w:tc>
          <w:tcPr>
            <w:tcW w:w="2871" w:type="dxa"/>
            <w:tcBorders>
              <w:top w:val="single" w:sz="4" w:space="0" w:color="auto"/>
              <w:left w:val="single" w:sz="4" w:space="0" w:color="auto"/>
              <w:bottom w:val="single" w:sz="4" w:space="0" w:color="auto"/>
              <w:right w:val="single" w:sz="4" w:space="0" w:color="auto"/>
            </w:tcBorders>
          </w:tcPr>
          <w:p w14:paraId="5D5A7DC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39748F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7C422B3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AB0169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5F5C9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113年度中央政府總預算決議，檢送歲出部分第10款第3項決議第6項加強稅式支出複評及對實施成效之檢討與督導書面報告案。</w:t>
            </w:r>
          </w:p>
        </w:tc>
        <w:tc>
          <w:tcPr>
            <w:tcW w:w="2871" w:type="dxa"/>
            <w:tcBorders>
              <w:top w:val="single" w:sz="4" w:space="0" w:color="auto"/>
              <w:left w:val="single" w:sz="4" w:space="0" w:color="auto"/>
              <w:bottom w:val="single" w:sz="4" w:space="0" w:color="auto"/>
              <w:right w:val="single" w:sz="4" w:space="0" w:color="auto"/>
            </w:tcBorders>
          </w:tcPr>
          <w:p w14:paraId="757026D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A8E9DA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7324242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17FBA6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1E3B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財政部函為113年度中央政府總預算決議，檢送歲出部分第10款第3項決議第13項詳實估計稅課收入書面報告案。</w:t>
            </w:r>
          </w:p>
        </w:tc>
        <w:tc>
          <w:tcPr>
            <w:tcW w:w="2871" w:type="dxa"/>
            <w:tcBorders>
              <w:top w:val="single" w:sz="4" w:space="0" w:color="auto"/>
              <w:left w:val="single" w:sz="4" w:space="0" w:color="auto"/>
              <w:bottom w:val="single" w:sz="4" w:space="0" w:color="auto"/>
              <w:right w:val="single" w:sz="4" w:space="0" w:color="auto"/>
            </w:tcBorders>
          </w:tcPr>
          <w:p w14:paraId="5EE957D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8DC368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23A3F7A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C8B702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59E0A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113年度中央政府總預算決議，檢送歲出部分第10款第10項決議第6項國有非公用房地標租監督機制書面報告案。</w:t>
            </w:r>
          </w:p>
        </w:tc>
        <w:tc>
          <w:tcPr>
            <w:tcW w:w="2871" w:type="dxa"/>
            <w:tcBorders>
              <w:top w:val="single" w:sz="4" w:space="0" w:color="auto"/>
              <w:left w:val="single" w:sz="4" w:space="0" w:color="auto"/>
              <w:bottom w:val="single" w:sz="4" w:space="0" w:color="auto"/>
              <w:right w:val="single" w:sz="4" w:space="0" w:color="auto"/>
            </w:tcBorders>
          </w:tcPr>
          <w:p w14:paraId="3F0D579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DE70B2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21354F3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461119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ECD01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113年度中央政府總預算決議，檢送歲出部分第10款第10項決議第11項無人繼承財產轉型社會住宅可行性書面報告案。</w:t>
            </w:r>
          </w:p>
        </w:tc>
        <w:tc>
          <w:tcPr>
            <w:tcW w:w="2871" w:type="dxa"/>
            <w:tcBorders>
              <w:top w:val="single" w:sz="4" w:space="0" w:color="auto"/>
              <w:left w:val="single" w:sz="4" w:space="0" w:color="auto"/>
              <w:bottom w:val="single" w:sz="4" w:space="0" w:color="auto"/>
              <w:right w:val="single" w:sz="4" w:space="0" w:color="auto"/>
            </w:tcBorders>
          </w:tcPr>
          <w:p w14:paraId="69F783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78194C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0BED008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52DB2C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311B9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r w:rsidRPr="00B95A07">
              <w:rPr>
                <w:rFonts w:ascii="標楷體" w:eastAsia="標楷體" w:hAnsi="標楷體"/>
                <w:color w:val="000000" w:themeColor="text1"/>
                <w:kern w:val="2"/>
                <w:szCs w:val="24"/>
              </w:rPr>
              <w:t>113年度中央政府總預算決議，檢送歲出部分第10款第10項決議第12項國有非公用房地標租招標情形及113年度規劃辦理情形書面報告</w:t>
            </w:r>
            <w:r w:rsidRPr="00B95A07">
              <w:rPr>
                <w:rFonts w:ascii="標楷體" w:eastAsia="標楷體" w:hAnsi="標楷體" w:hint="eastAsia"/>
                <w:color w:val="000000" w:themeColor="text1"/>
                <w:kern w:val="2"/>
                <w:szCs w:val="24"/>
              </w:rPr>
              <w:t>案。</w:t>
            </w:r>
          </w:p>
        </w:tc>
        <w:tc>
          <w:tcPr>
            <w:tcW w:w="2871" w:type="dxa"/>
            <w:tcBorders>
              <w:top w:val="single" w:sz="4" w:space="0" w:color="auto"/>
              <w:left w:val="single" w:sz="4" w:space="0" w:color="auto"/>
              <w:bottom w:val="single" w:sz="4" w:space="0" w:color="auto"/>
              <w:right w:val="single" w:sz="4" w:space="0" w:color="auto"/>
            </w:tcBorders>
          </w:tcPr>
          <w:p w14:paraId="17FB734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481357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5E20ED1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E3B17C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0B54F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財政部函為113年度中央政府總預算決議，檢送通案決議第5項就未來若在前年度稅收優於預期逾數千億元時，將法定債務還本數額外，額外提撥債務還本具體方案書面報告案。</w:t>
            </w:r>
          </w:p>
        </w:tc>
        <w:tc>
          <w:tcPr>
            <w:tcW w:w="2871" w:type="dxa"/>
            <w:tcBorders>
              <w:top w:val="single" w:sz="4" w:space="0" w:color="auto"/>
              <w:left w:val="single" w:sz="4" w:space="0" w:color="auto"/>
              <w:bottom w:val="single" w:sz="4" w:space="0" w:color="auto"/>
              <w:right w:val="single" w:sz="4" w:space="0" w:color="auto"/>
            </w:tcBorders>
          </w:tcPr>
          <w:p w14:paraId="39C6E89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ED4A0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8355B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0343BF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EE07F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w:t>
            </w:r>
            <w:r w:rsidRPr="00B95A07">
              <w:rPr>
                <w:rFonts w:ascii="標楷體" w:eastAsia="標楷體" w:hAnsi="標楷體" w:hint="eastAsia"/>
                <w:kern w:val="2"/>
                <w:szCs w:val="24"/>
              </w:rPr>
              <w:lastRenderedPageBreak/>
              <w:t>檢送歲出部分第10款第1項決議第10項對稅課收入實徵數超過預算數部分應至少5％用於增加債務還本書面報告。</w:t>
            </w:r>
          </w:p>
        </w:tc>
        <w:tc>
          <w:tcPr>
            <w:tcW w:w="2871" w:type="dxa"/>
            <w:tcBorders>
              <w:top w:val="single" w:sz="4" w:space="0" w:color="auto"/>
              <w:left w:val="single" w:sz="4" w:space="0" w:color="auto"/>
              <w:bottom w:val="single" w:sz="4" w:space="0" w:color="auto"/>
              <w:right w:val="single" w:sz="4" w:space="0" w:color="auto"/>
            </w:tcBorders>
          </w:tcPr>
          <w:p w14:paraId="6CB46B4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w:t>
            </w:r>
            <w:r w:rsidRPr="00B95A07">
              <w:rPr>
                <w:rFonts w:ascii="標楷體" w:eastAsia="標楷體" w:hAnsi="標楷體" w:hint="eastAsia"/>
                <w:kern w:val="2"/>
                <w:szCs w:val="24"/>
              </w:rPr>
              <w:lastRenderedPageBreak/>
              <w:t>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083F60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993A58" w:rsidRPr="00B95A07" w14:paraId="3B02A66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67C5D7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1B88F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財政部函為113年度中央政府總預算決議，檢送歲出部分第10款第1項決議第11項稅收評估機制檢討書面報告案。</w:t>
            </w:r>
          </w:p>
        </w:tc>
        <w:tc>
          <w:tcPr>
            <w:tcW w:w="2871" w:type="dxa"/>
            <w:tcBorders>
              <w:top w:val="single" w:sz="4" w:space="0" w:color="auto"/>
              <w:left w:val="single" w:sz="4" w:space="0" w:color="auto"/>
              <w:bottom w:val="single" w:sz="4" w:space="0" w:color="auto"/>
              <w:right w:val="single" w:sz="4" w:space="0" w:color="auto"/>
            </w:tcBorders>
          </w:tcPr>
          <w:p w14:paraId="5762053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66E92C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5E1934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FB789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1A2EE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財政部函為113年度中央政府總預算決議，檢送歲出部分第10款第1項決議第12項精進稅課收入編列書面報告案。</w:t>
            </w:r>
          </w:p>
        </w:tc>
        <w:tc>
          <w:tcPr>
            <w:tcW w:w="2871" w:type="dxa"/>
            <w:tcBorders>
              <w:top w:val="single" w:sz="4" w:space="0" w:color="auto"/>
              <w:left w:val="single" w:sz="4" w:space="0" w:color="auto"/>
              <w:bottom w:val="single" w:sz="4" w:space="0" w:color="auto"/>
              <w:right w:val="single" w:sz="4" w:space="0" w:color="auto"/>
            </w:tcBorders>
          </w:tcPr>
          <w:p w14:paraId="5A87148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B2BAEE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1BE07A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9DD0AC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F430C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財政部函為113年度中央政府總預算決議，檢送歲出部分第10款第1項決議第13項提出較精準之稅收預估說明書面報告案。</w:t>
            </w:r>
          </w:p>
        </w:tc>
        <w:tc>
          <w:tcPr>
            <w:tcW w:w="2871" w:type="dxa"/>
            <w:tcBorders>
              <w:top w:val="single" w:sz="4" w:space="0" w:color="auto"/>
              <w:left w:val="single" w:sz="4" w:space="0" w:color="auto"/>
              <w:bottom w:val="single" w:sz="4" w:space="0" w:color="auto"/>
              <w:right w:val="single" w:sz="4" w:space="0" w:color="auto"/>
            </w:tcBorders>
          </w:tcPr>
          <w:p w14:paraId="260098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7FF33E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025D19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237A9B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77BA5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113年度中央政府總預算決議，檢送歲出部分第10款第1項決議第23項強化促參案件履約階段管考功能書面報告案。</w:t>
            </w:r>
          </w:p>
        </w:tc>
        <w:tc>
          <w:tcPr>
            <w:tcW w:w="2871" w:type="dxa"/>
            <w:tcBorders>
              <w:top w:val="single" w:sz="4" w:space="0" w:color="auto"/>
              <w:left w:val="single" w:sz="4" w:space="0" w:color="auto"/>
              <w:bottom w:val="single" w:sz="4" w:space="0" w:color="auto"/>
              <w:right w:val="single" w:sz="4" w:space="0" w:color="auto"/>
            </w:tcBorders>
          </w:tcPr>
          <w:p w14:paraId="683446B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888B8C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98CE7A3"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5E7184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9C188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r w:rsidRPr="00B95A07">
              <w:rPr>
                <w:rFonts w:ascii="標楷體" w:eastAsia="標楷體" w:hAnsi="標楷體"/>
                <w:kern w:val="2"/>
                <w:szCs w:val="24"/>
              </w:rPr>
              <w:t>113年度中央政府總預算決議，檢送歲出部分第10款第1項決議第49項恪遵預算法等相關規定，規劃具體減債措施書面報告案。</w:t>
            </w:r>
          </w:p>
        </w:tc>
        <w:tc>
          <w:tcPr>
            <w:tcW w:w="2871" w:type="dxa"/>
            <w:tcBorders>
              <w:top w:val="single" w:sz="4" w:space="0" w:color="auto"/>
              <w:left w:val="single" w:sz="4" w:space="0" w:color="auto"/>
              <w:bottom w:val="single" w:sz="4" w:space="0" w:color="auto"/>
              <w:right w:val="single" w:sz="4" w:space="0" w:color="auto"/>
            </w:tcBorders>
          </w:tcPr>
          <w:p w14:paraId="2865520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2079FD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95E59F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D9EFF7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BBCC0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財政部函為113年度中央政府總預算決議，檢送歲出部分第10款第3項決議第10項未來租屋黑市查緝期程書面報告案。</w:t>
            </w:r>
          </w:p>
        </w:tc>
        <w:tc>
          <w:tcPr>
            <w:tcW w:w="2871" w:type="dxa"/>
            <w:tcBorders>
              <w:top w:val="single" w:sz="4" w:space="0" w:color="auto"/>
              <w:left w:val="single" w:sz="4" w:space="0" w:color="auto"/>
              <w:bottom w:val="single" w:sz="4" w:space="0" w:color="auto"/>
              <w:right w:val="single" w:sz="4" w:space="0" w:color="auto"/>
            </w:tcBorders>
          </w:tcPr>
          <w:p w14:paraId="5A8FFBB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60B98CE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8355D5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3AD7A5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3A7AB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財政部函為113年度中央政府總預算決議，檢送歲出部分第10款第3項決議第11項各縣市囤房稅課徵情形預計稅損書面報告案。</w:t>
            </w:r>
          </w:p>
        </w:tc>
        <w:tc>
          <w:tcPr>
            <w:tcW w:w="2871" w:type="dxa"/>
            <w:tcBorders>
              <w:top w:val="single" w:sz="4" w:space="0" w:color="auto"/>
              <w:left w:val="single" w:sz="4" w:space="0" w:color="auto"/>
              <w:bottom w:val="single" w:sz="4" w:space="0" w:color="auto"/>
              <w:right w:val="single" w:sz="4" w:space="0" w:color="auto"/>
            </w:tcBorders>
          </w:tcPr>
          <w:p w14:paraId="6B82EA5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865E60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244642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24B06E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53E6F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財政部函為113年度中央政府總預算決議，檢送歲出部分第10款第3項決議第12項提升租賃市場資訊透明之對策書面報告案。</w:t>
            </w:r>
          </w:p>
        </w:tc>
        <w:tc>
          <w:tcPr>
            <w:tcW w:w="2871" w:type="dxa"/>
            <w:tcBorders>
              <w:top w:val="single" w:sz="4" w:space="0" w:color="auto"/>
              <w:left w:val="single" w:sz="4" w:space="0" w:color="auto"/>
              <w:bottom w:val="single" w:sz="4" w:space="0" w:color="auto"/>
              <w:right w:val="single" w:sz="4" w:space="0" w:color="auto"/>
            </w:tcBorders>
          </w:tcPr>
          <w:p w14:paraId="64D15E6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4F1FCE9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4AF4A2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4C2C69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4A79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財政部函為113年度中央政府總預算決議，檢送歲出部分第10款第3項決議第15項個人持有多屋者租賃所得查核情形書面報告案。</w:t>
            </w:r>
          </w:p>
        </w:tc>
        <w:tc>
          <w:tcPr>
            <w:tcW w:w="2871" w:type="dxa"/>
            <w:tcBorders>
              <w:top w:val="single" w:sz="4" w:space="0" w:color="auto"/>
              <w:left w:val="single" w:sz="4" w:space="0" w:color="auto"/>
              <w:bottom w:val="single" w:sz="4" w:space="0" w:color="auto"/>
              <w:right w:val="single" w:sz="4" w:space="0" w:color="auto"/>
            </w:tcBorders>
          </w:tcPr>
          <w:p w14:paraId="072FCEF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022DE1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227793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33BCE20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color w:val="000000" w:themeColor="text1"/>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373BC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財政部函送公股銀行紓困案件數、產業別及金額113年第1季統計表案。</w:t>
            </w:r>
          </w:p>
        </w:tc>
        <w:tc>
          <w:tcPr>
            <w:tcW w:w="2871" w:type="dxa"/>
            <w:tcBorders>
              <w:top w:val="single" w:sz="4" w:space="0" w:color="auto"/>
              <w:left w:val="single" w:sz="4" w:space="0" w:color="auto"/>
              <w:bottom w:val="single" w:sz="4" w:space="0" w:color="auto"/>
              <w:right w:val="single" w:sz="4" w:space="0" w:color="auto"/>
            </w:tcBorders>
          </w:tcPr>
          <w:p w14:paraId="11FCD4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B75D2DF"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563CA0" w14:paraId="7FA0A4B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F61583F"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831DA2"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財政部函為本院修正房屋稅條例部分條文通過附帶決議，檢送「房屋稅條例修正之實施效益及成本、稅收影響數、財源籌措及配套措施」書面報告案。</w:t>
            </w:r>
          </w:p>
        </w:tc>
        <w:tc>
          <w:tcPr>
            <w:tcW w:w="2871" w:type="dxa"/>
            <w:tcBorders>
              <w:top w:val="single" w:sz="4" w:space="0" w:color="auto"/>
              <w:left w:val="single" w:sz="4" w:space="0" w:color="auto"/>
              <w:bottom w:val="single" w:sz="4" w:space="0" w:color="auto"/>
              <w:right w:val="single" w:sz="4" w:space="0" w:color="auto"/>
            </w:tcBorders>
          </w:tcPr>
          <w:p w14:paraId="6514CB42"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第11屆第1會期第21次院會(113.7.5)決定：「交財政委員會審查」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9C6831B" w14:textId="77777777" w:rsidR="00993A58" w:rsidRPr="00563CA0"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104F65D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0DC98C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DE44CA"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01D732"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4A95C87"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3D03E528"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1027E76"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BA45CA"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財政部函送113年度第1季「獎補助社會團體、人民團體、財團法人、縣市政府及個人經費明細表」案。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1436D0"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87C0FF"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6229B02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97B064C"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AD787C"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財政部函為113年度中央政府總預算決議，檢送通案決議第6項如何運用超徵之3,700億元減少舉債數額或增加還債數額書面報告案。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F415F3"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AFACA24"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43E3909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456AEC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7C5C31"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財政部函為113年度中央政府總預算決議，檢送歲出部分第10款第1項決議第42項囤房稅2.0可能產生之影響及配套因應措施書面報告案。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E9915B"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07A0375"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41B4F079"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C2E0E8E"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F10512"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財政部函為113年度中央政府總預算決議，檢送歲出部分第10款第1項決議第46項加薪減稅方案之調整方向書面報告案。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5C792E"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0A193EE"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006EA61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57A28B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792815"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財政部函為113年度中央政府總預算決議，檢送歲出部分第10款第1項決議第48項持續精進蒐集個人非自住房屋租賃所得課稅資料書面報告案。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039688"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B29E46"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7C9105F1"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FE799B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0048D6" w14:textId="77777777" w:rsidR="00993A58" w:rsidRPr="00563CA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財政部函為113年度中央政府總預算決議，檢送歲出部分第10款第1項決議第53項全民共享普發現金之預算執行成效書面報告案。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CF712CC"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D98DE32"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0A258C04"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29DF053"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199111"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財政部函為113年度中央政府總預算決議，檢送歲出部分第10款第1項決議第54項落實確保納稅者權利書面報告案。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FDF2F1D"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F41A1"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993A58" w:rsidRPr="00563CA0" w14:paraId="581146E6"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D7936B7"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34EC57"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r w:rsidRPr="00744A39">
              <w:rPr>
                <w:rFonts w:ascii="標楷體" w:eastAsia="標楷體" w:hAnsi="標楷體"/>
                <w:kern w:val="2"/>
                <w:szCs w:val="24"/>
              </w:rPr>
              <w:t>113年度中央政府總</w:t>
            </w:r>
            <w:r w:rsidRPr="00744A39">
              <w:rPr>
                <w:rFonts w:ascii="標楷體" w:eastAsia="標楷體" w:hAnsi="標楷體" w:hint="eastAsia"/>
                <w:kern w:val="2"/>
                <w:szCs w:val="24"/>
              </w:rPr>
              <w:t>預算決議，檢送歲出部分第</w:t>
            </w:r>
            <w:r w:rsidRPr="00744A39">
              <w:rPr>
                <w:rFonts w:ascii="標楷體" w:eastAsia="標楷體" w:hAnsi="標楷體"/>
                <w:kern w:val="2"/>
                <w:szCs w:val="24"/>
              </w:rPr>
              <w:t>10款第3項決議第8項推動房地產市場健全方案相關修法書面報告案</w:t>
            </w:r>
            <w:r w:rsidRPr="00744A39">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F5B81A0"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89D90"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993A58" w:rsidRPr="00563CA0" w14:paraId="7B49986F"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9D9B821"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7983E9"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財政部函為113年度中央政府總預算決議，檢送歲出部分第10款第9項決議第16項關務署辦理納稅者權利保護業務推動情形書面報告案。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0C644C7" w14:textId="77777777" w:rsidR="00993A58" w:rsidRPr="00744A39" w:rsidRDefault="00993A58" w:rsidP="005134C1">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497CE9" w14:textId="77777777" w:rsidR="00993A58" w:rsidRPr="00744A39" w:rsidRDefault="00993A58" w:rsidP="00F470A8">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993A58" w:rsidRPr="00563CA0" w14:paraId="5731C91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169D77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7B6F8E"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財政部函送截至113年6月公股銀行紓困貸款辦理情形案。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E73826F"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5FD315"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563CA0" w14:paraId="52B007E0"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BFC1F85"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51F295"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財政部函送公股銀行紓困案件數、產業別及金額</w:t>
            </w:r>
            <w:r w:rsidRPr="002708EA">
              <w:rPr>
                <w:rFonts w:ascii="標楷體" w:eastAsia="標楷體" w:hAnsi="標楷體"/>
                <w:kern w:val="2"/>
                <w:szCs w:val="24"/>
              </w:rPr>
              <w:t>113年第2季統計表案</w:t>
            </w:r>
            <w:r w:rsidRPr="002708EA">
              <w:rPr>
                <w:rFonts w:ascii="標楷體" w:eastAsia="標楷體" w:hAnsi="標楷體" w:hint="eastAsia"/>
                <w:kern w:val="2"/>
                <w:szCs w:val="24"/>
              </w:rPr>
              <w:t>。</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CD3F9A0"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C2B26"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563CA0" w14:paraId="7191573E"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62B099F"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1CEC27"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財政部函送「臺美基礎建設計畫融資」及「離岸風電融資項目」去識別化資料截至113年6月相關資料案。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C9C9ABC"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92731"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563CA0" w14:paraId="748B61D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FCCDA8F"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E995AA"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財政部函送113年度第2季「獎補助社會團體、人民團體、財團法人、縣市政府及個人經費明細表」案。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C1F5C05"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1A0DAD"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563CA0" w14:paraId="1EEA6642"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2364815"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781D95"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財政部函送國有財產署捐贈、出租、讓售移轉予國家住宅及都市更新中心之土地使用進度113年7月書面報告案。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6138955"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88886"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993A58" w:rsidRPr="00563CA0" w14:paraId="0B209C7D"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2161A2D5"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B08957"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財政部函送「財政部暨所屬投資或經營之其</w:t>
            </w:r>
            <w:r w:rsidRPr="00D043C5">
              <w:rPr>
                <w:rFonts w:ascii="標楷體" w:eastAsia="標楷體" w:hAnsi="標楷體" w:hint="eastAsia"/>
                <w:kern w:val="2"/>
                <w:szCs w:val="24"/>
              </w:rPr>
              <w:lastRenderedPageBreak/>
              <w:t>他事業113年度營運及資金運用計畫」案。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4919EC7"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lastRenderedPageBreak/>
              <w:t>第11屆第2會期第7次院</w:t>
            </w:r>
            <w:r w:rsidRPr="00D043C5">
              <w:rPr>
                <w:rFonts w:ascii="標楷體" w:eastAsia="標楷體" w:hAnsi="標楷體" w:hint="eastAsia"/>
                <w:kern w:val="2"/>
                <w:szCs w:val="24"/>
              </w:rPr>
              <w:lastRenderedPageBreak/>
              <w:t>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851FC5"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lastRenderedPageBreak/>
              <w:t>尚未審查</w:t>
            </w:r>
          </w:p>
        </w:tc>
      </w:tr>
      <w:tr w:rsidR="00993A58" w:rsidRPr="00563CA0" w14:paraId="7184DD7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7D202BAB"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382B2B"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財政部函送113年第2季媒體政策及業務宣導執行情形表案。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43DCE7C3"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40733"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993A58" w:rsidRPr="00563CA0" w14:paraId="2A3581D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1130B89C"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26E9C1"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財政部函送「財政部112年度稅捐稽徵機關辦理納稅者權利保護業務績效及考核結果報告」案。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0E2439E" w14:textId="77777777" w:rsidR="00993A58" w:rsidRPr="00D043C5"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8C835" w14:textId="77777777" w:rsidR="00993A58" w:rsidRPr="00D043C5"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993A58" w:rsidRPr="00563CA0" w14:paraId="3A5E9ECB"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61C377E9"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DC1F2E" w14:textId="77777777" w:rsidR="00993A58" w:rsidRPr="00F8706E" w:rsidRDefault="00993A58" w:rsidP="005134C1">
            <w:pPr>
              <w:widowControl w:val="0"/>
              <w:overflowPunct w:val="0"/>
              <w:autoSpaceDN/>
              <w:spacing w:line="32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財政部函送113年度第3季「獎補助社會團體、人民團體、財團法人、縣市政府及個人經費明細表」案。</w:t>
            </w:r>
          </w:p>
        </w:tc>
        <w:tc>
          <w:tcPr>
            <w:tcW w:w="2871" w:type="dxa"/>
            <w:tcBorders>
              <w:top w:val="single" w:sz="4" w:space="0" w:color="000000"/>
              <w:left w:val="single" w:sz="4" w:space="0" w:color="000000"/>
              <w:bottom w:val="single" w:sz="4" w:space="0" w:color="auto"/>
              <w:right w:val="single" w:sz="4" w:space="0" w:color="000000"/>
            </w:tcBorders>
            <w:shd w:val="clear" w:color="auto" w:fill="FFFFFF"/>
          </w:tcPr>
          <w:p w14:paraId="71A4F303" w14:textId="77777777" w:rsidR="00993A58" w:rsidRPr="00F8706E" w:rsidRDefault="00993A58" w:rsidP="005134C1">
            <w:pPr>
              <w:widowControl w:val="0"/>
              <w:overflowPunct w:val="0"/>
              <w:autoSpaceDN/>
              <w:spacing w:line="32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第11屆第2會期第12次院會(113.12.6)決定：「交財政委員會審查」</w:t>
            </w:r>
            <w:r w:rsidRPr="00F8706E">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auto"/>
              <w:right w:val="single" w:sz="4" w:space="0" w:color="000000"/>
            </w:tcBorders>
            <w:shd w:val="clear" w:color="auto" w:fill="auto"/>
            <w:vAlign w:val="center"/>
          </w:tcPr>
          <w:p w14:paraId="600BA8FB" w14:textId="77777777" w:rsidR="00993A58" w:rsidRPr="00F8706E" w:rsidRDefault="00993A58" w:rsidP="00F470A8">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尚未審查</w:t>
            </w:r>
          </w:p>
        </w:tc>
      </w:tr>
      <w:tr w:rsidR="00993A58" w:rsidRPr="00563CA0" w14:paraId="1192C5E5"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5AFEA40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E71839"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113年第3季媒體政策及業務宣導執行情形表案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3D993CB1"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3ABA210D" w14:textId="77777777" w:rsidR="00993A58" w:rsidRPr="00D7302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993A58" w:rsidRPr="00563CA0" w14:paraId="229380E7"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46BE9152"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D9DA4C"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113年度中央政府債務控管情形報告」案。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1B98517B"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3D7A942E" w14:textId="77777777" w:rsidR="00993A58" w:rsidRPr="00D7302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993A58" w:rsidRPr="00563CA0" w14:paraId="03D79D9A" w14:textId="77777777" w:rsidTr="000D2E36">
        <w:trPr>
          <w:gridAfter w:val="1"/>
          <w:wAfter w:w="7" w:type="dxa"/>
          <w:jc w:val="center"/>
        </w:trPr>
        <w:tc>
          <w:tcPr>
            <w:tcW w:w="846" w:type="dxa"/>
            <w:tcBorders>
              <w:top w:val="single" w:sz="4" w:space="0" w:color="auto"/>
              <w:left w:val="single" w:sz="4" w:space="0" w:color="auto"/>
              <w:bottom w:val="single" w:sz="4" w:space="0" w:color="auto"/>
              <w:right w:val="single" w:sz="4" w:space="0" w:color="auto"/>
            </w:tcBorders>
          </w:tcPr>
          <w:p w14:paraId="0FC4EFBE"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2E0CFD"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財政部函，為113年度中央政府總預算決議，檢送歲出部分第10款第10項決議第13項113年辦理國有非公用土地標租作太陽光電發電設備使用情形及114年度預計達成目標之書面報告案。</w:t>
            </w:r>
          </w:p>
        </w:tc>
        <w:tc>
          <w:tcPr>
            <w:tcW w:w="2871" w:type="dxa"/>
            <w:tcBorders>
              <w:top w:val="single" w:sz="4" w:space="0" w:color="auto"/>
              <w:left w:val="single" w:sz="4" w:space="0" w:color="000000"/>
              <w:bottom w:val="single" w:sz="12" w:space="0" w:color="000000"/>
              <w:right w:val="single" w:sz="4" w:space="0" w:color="000000"/>
            </w:tcBorders>
            <w:shd w:val="clear" w:color="auto" w:fill="FFFFFF"/>
          </w:tcPr>
          <w:p w14:paraId="2EB50BE5" w14:textId="77777777" w:rsidR="00993A58" w:rsidRPr="00D7302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000000"/>
              <w:bottom w:val="single" w:sz="12" w:space="0" w:color="000000"/>
              <w:right w:val="single" w:sz="4" w:space="0" w:color="000000"/>
            </w:tcBorders>
            <w:shd w:val="clear" w:color="auto" w:fill="auto"/>
            <w:vAlign w:val="center"/>
          </w:tcPr>
          <w:p w14:paraId="72961CB1" w14:textId="77777777" w:rsidR="00993A58" w:rsidRPr="00D7302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993A58" w:rsidRPr="00B95A07" w14:paraId="1D7A89AB" w14:textId="77777777" w:rsidTr="000D2E36">
        <w:trPr>
          <w:trHeight w:val="669"/>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01C5D49F" w14:textId="77777777" w:rsidR="00993A58" w:rsidRPr="00B95A07" w:rsidRDefault="00993A58" w:rsidP="00F470A8">
            <w:pPr>
              <w:widowControl w:val="0"/>
              <w:overflowPunct w:val="0"/>
              <w:autoSpaceDN/>
              <w:spacing w:line="360" w:lineRule="exact"/>
              <w:jc w:val="both"/>
              <w:textAlignment w:val="auto"/>
              <w:rPr>
                <w:rFonts w:ascii="標楷體" w:eastAsia="標楷體" w:hAnsi="標楷體"/>
                <w:b/>
                <w:kern w:val="2"/>
                <w:sz w:val="28"/>
                <w:szCs w:val="28"/>
              </w:rPr>
            </w:pPr>
            <w:r w:rsidRPr="00B95A07">
              <w:rPr>
                <w:rFonts w:ascii="標楷體" w:eastAsia="標楷體" w:hAnsi="標楷體" w:hint="eastAsia"/>
                <w:b/>
                <w:kern w:val="2"/>
                <w:sz w:val="28"/>
                <w:szCs w:val="28"/>
              </w:rPr>
              <w:t>2.金融監督管理委員會主管（</w:t>
            </w:r>
            <w:r>
              <w:rPr>
                <w:rFonts w:ascii="標楷體" w:eastAsia="標楷體" w:hAnsi="標楷體" w:hint="eastAsia"/>
                <w:b/>
                <w:kern w:val="2"/>
                <w:sz w:val="28"/>
                <w:szCs w:val="28"/>
              </w:rPr>
              <w:t>28</w:t>
            </w:r>
            <w:r w:rsidRPr="00B95A07">
              <w:rPr>
                <w:rFonts w:ascii="標楷體" w:eastAsia="標楷體" w:hAnsi="標楷體" w:hint="eastAsia"/>
                <w:b/>
                <w:kern w:val="2"/>
                <w:sz w:val="28"/>
                <w:szCs w:val="28"/>
              </w:rPr>
              <w:t>案）</w:t>
            </w:r>
          </w:p>
        </w:tc>
      </w:tr>
      <w:tr w:rsidR="00993A58" w:rsidRPr="00B95A07" w14:paraId="4C6105C6"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100178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94501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金融監督管理委員會函為112年度中央政府總預算決議，檢送對保險業者財務及業務狀況之監理措施書面報告案。</w:t>
            </w:r>
          </w:p>
        </w:tc>
        <w:tc>
          <w:tcPr>
            <w:tcW w:w="2871" w:type="dxa"/>
            <w:tcBorders>
              <w:top w:val="single" w:sz="4" w:space="0" w:color="auto"/>
              <w:left w:val="single" w:sz="4" w:space="0" w:color="auto"/>
              <w:bottom w:val="single" w:sz="4" w:space="0" w:color="auto"/>
              <w:right w:val="single" w:sz="4" w:space="0" w:color="auto"/>
            </w:tcBorders>
          </w:tcPr>
          <w:p w14:paraId="03D07FD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0C4E3B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537DB30"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4127678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BC784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金融監督管理委員會函為112年度中央政府總預算決議，檢送防疫保單之亂之監理作為檢討書面報告案。</w:t>
            </w:r>
          </w:p>
        </w:tc>
        <w:tc>
          <w:tcPr>
            <w:tcW w:w="2871" w:type="dxa"/>
            <w:tcBorders>
              <w:top w:val="single" w:sz="4" w:space="0" w:color="auto"/>
              <w:left w:val="single" w:sz="4" w:space="0" w:color="auto"/>
              <w:bottom w:val="single" w:sz="4" w:space="0" w:color="auto"/>
              <w:right w:val="single" w:sz="4" w:space="0" w:color="auto"/>
            </w:tcBorders>
          </w:tcPr>
          <w:p w14:paraId="1C5EC61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AE102D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8904082"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6AE0808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AE93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金融監督管理委員會函為112年度中央政府總預算決議，檢送該會主管第2項決議（十九）書面報告案。</w:t>
            </w:r>
          </w:p>
        </w:tc>
        <w:tc>
          <w:tcPr>
            <w:tcW w:w="2871" w:type="dxa"/>
            <w:tcBorders>
              <w:top w:val="single" w:sz="4" w:space="0" w:color="auto"/>
              <w:left w:val="single" w:sz="4" w:space="0" w:color="auto"/>
              <w:bottom w:val="single" w:sz="4" w:space="0" w:color="auto"/>
              <w:right w:val="single" w:sz="4" w:space="0" w:color="auto"/>
            </w:tcBorders>
          </w:tcPr>
          <w:p w14:paraId="616ECF6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316B0F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C191EE3"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6107A56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D6122A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金融監督管理委員會函為112年度中央政府總預算決議，檢送「虛擬資產監理之相關規劃與進程」書面報告案。</w:t>
            </w:r>
          </w:p>
        </w:tc>
        <w:tc>
          <w:tcPr>
            <w:tcW w:w="2871" w:type="dxa"/>
            <w:tcBorders>
              <w:top w:val="single" w:sz="4" w:space="0" w:color="auto"/>
              <w:left w:val="single" w:sz="4" w:space="0" w:color="auto"/>
              <w:bottom w:val="single" w:sz="4" w:space="0" w:color="auto"/>
              <w:right w:val="single" w:sz="4" w:space="0" w:color="auto"/>
            </w:tcBorders>
          </w:tcPr>
          <w:p w14:paraId="127B506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FC7B93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11015C6"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AC2D53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7B58C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金融監督管理委員會函為112年度中央政府總預算決議，檢送該會主管第1項決議（二十八）書面報告案。</w:t>
            </w:r>
          </w:p>
        </w:tc>
        <w:tc>
          <w:tcPr>
            <w:tcW w:w="2871" w:type="dxa"/>
            <w:tcBorders>
              <w:top w:val="single" w:sz="4" w:space="0" w:color="auto"/>
              <w:left w:val="single" w:sz="4" w:space="0" w:color="auto"/>
              <w:bottom w:val="single" w:sz="4" w:space="0" w:color="auto"/>
              <w:right w:val="single" w:sz="4" w:space="0" w:color="auto"/>
            </w:tcBorders>
          </w:tcPr>
          <w:p w14:paraId="5A09BF6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00CEF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3AB0247"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1200A1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2F36C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金融監督管理委員會函為112年度中央政府總預算決議，檢送「虛擬通貨之屬性及如何規範虛擬通貨平台」書面報告案。</w:t>
            </w:r>
          </w:p>
        </w:tc>
        <w:tc>
          <w:tcPr>
            <w:tcW w:w="2871" w:type="dxa"/>
            <w:tcBorders>
              <w:top w:val="single" w:sz="4" w:space="0" w:color="auto"/>
              <w:left w:val="single" w:sz="4" w:space="0" w:color="auto"/>
              <w:bottom w:val="single" w:sz="4" w:space="0" w:color="auto"/>
              <w:right w:val="single" w:sz="4" w:space="0" w:color="auto"/>
            </w:tcBorders>
          </w:tcPr>
          <w:p w14:paraId="6F55026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B4AE7C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30EDE23"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2834C1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0AD03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金融監督管理委員會函為112年度中央政府總預算決議，檢送該會主管第1項決議（二十六）書面報告案。</w:t>
            </w:r>
          </w:p>
        </w:tc>
        <w:tc>
          <w:tcPr>
            <w:tcW w:w="2871" w:type="dxa"/>
            <w:tcBorders>
              <w:top w:val="single" w:sz="4" w:space="0" w:color="auto"/>
              <w:left w:val="single" w:sz="4" w:space="0" w:color="auto"/>
              <w:bottom w:val="single" w:sz="4" w:space="0" w:color="auto"/>
              <w:right w:val="single" w:sz="4" w:space="0" w:color="auto"/>
            </w:tcBorders>
          </w:tcPr>
          <w:p w14:paraId="73E2C13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D1B801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1EF35D4"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6C6C930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510A6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金融監督管理委員會函送112年度第1季「媒體政策及業務宣導執行情形表」案。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6C08C4E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77656D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A288170"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0F0BBD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62047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5151206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05579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21FD955"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EFA7F0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E7109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金融監督管理委員會函送112年度第3季「媒體政策及業務宣導執行情形表」案。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1D7573A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DE1FFD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E340A22"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AE154A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78EB5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金融監督管理委員會函送112年度截至第2季「對民間團體及個人補（捐）助經費彙總表」案。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14:paraId="46E9920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99397D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2FC3B74"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2D75B90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492DE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金融監督管理委員會函送112年度截至第3季「對民間團體及個人補（捐）助經費彙總表」案。</w:t>
            </w:r>
          </w:p>
        </w:tc>
        <w:tc>
          <w:tcPr>
            <w:tcW w:w="2871" w:type="dxa"/>
            <w:tcBorders>
              <w:top w:val="single" w:sz="4" w:space="0" w:color="auto"/>
              <w:left w:val="single" w:sz="4" w:space="0" w:color="auto"/>
              <w:bottom w:val="single" w:sz="4" w:space="0" w:color="auto"/>
              <w:right w:val="single" w:sz="4" w:space="0" w:color="auto"/>
            </w:tcBorders>
          </w:tcPr>
          <w:p w14:paraId="4A73766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A92F6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D9ABBB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21818FB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72DFF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金融監督管理委員會函送「出席全球金融創新聯盟（GFIN）第5屆年會」之行程內容及成效報告案。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0C05A1C1" w14:textId="554B1C99"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F1B18F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BE530C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1420BBF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EF41C7" w14:textId="75C06AA2"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金融監督管理委員會函送「出席112年新加坡金融科技年會（Singapore FinTech Festival）暨微軟亞太金融服務主管機關圓桌會議」之行程內容及成效報告案。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55BB5292" w14:textId="6DEDEA11"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E5B9EB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92E67E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28DB2D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11B21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金融監督管理委員會函送112年度第4季「媒體政策及業務宣導執行情形表」案。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3EEA4F6F" w14:textId="762956E0"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DF633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B14837D"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4553C1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EE63F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金融監督管理委員會函送金融科技最新發展與政策112年下半年度檢討報告案。</w:t>
            </w:r>
          </w:p>
          <w:p w14:paraId="487EDF0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463E6AD4" w14:textId="4C774B91"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9520B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FEFD9A"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D05340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AA57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金融監督管理委員會函送推動金融科技發展相關法規調適112年下半年度檢討報告案。</w:t>
            </w:r>
          </w:p>
        </w:tc>
        <w:tc>
          <w:tcPr>
            <w:tcW w:w="2871" w:type="dxa"/>
            <w:tcBorders>
              <w:top w:val="single" w:sz="4" w:space="0" w:color="auto"/>
              <w:left w:val="single" w:sz="4" w:space="0" w:color="auto"/>
              <w:bottom w:val="single" w:sz="4" w:space="0" w:color="auto"/>
              <w:right w:val="single" w:sz="4" w:space="0" w:color="auto"/>
            </w:tcBorders>
          </w:tcPr>
          <w:p w14:paraId="70ED6F9F" w14:textId="12717C74"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w:t>
            </w:r>
            <w:r w:rsidR="00434D68">
              <w:rPr>
                <w:rFonts w:ascii="標楷體" w:eastAsia="標楷體" w:hAnsi="標楷體" w:hint="eastAsia"/>
                <w:kern w:val="2"/>
                <w:szCs w:val="24"/>
              </w:rPr>
              <w:t>113.</w:t>
            </w:r>
            <w:r w:rsidRPr="00B95A07">
              <w:rPr>
                <w:rFonts w:ascii="標楷體" w:eastAsia="標楷體" w:hAnsi="標楷體" w:hint="eastAsia"/>
                <w:kern w:val="2"/>
                <w:szCs w:val="24"/>
              </w:rPr>
              <w:t>3.29）決定：「交財政委員會審查」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E017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2FF93F6"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B53D1C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A3175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金融監督管理委員會函送「出席2023年經濟合作暨發展組織（OECD）亞洲公司治理圓桌論壇會議」之行程內容及成效報告案。</w:t>
            </w:r>
          </w:p>
        </w:tc>
        <w:tc>
          <w:tcPr>
            <w:tcW w:w="2871" w:type="dxa"/>
            <w:tcBorders>
              <w:top w:val="single" w:sz="4" w:space="0" w:color="auto"/>
              <w:left w:val="single" w:sz="4" w:space="0" w:color="auto"/>
              <w:bottom w:val="single" w:sz="4" w:space="0" w:color="auto"/>
              <w:right w:val="single" w:sz="4" w:space="0" w:color="auto"/>
            </w:tcBorders>
          </w:tcPr>
          <w:p w14:paraId="60C3DF1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55257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881B5E5"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1DC368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25DE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金融監督管理委員會函為113年度中央政府總預算決議，檢送針對約定帳戶轉帳所涉詐騙研提改善方案書面報告案。</w:t>
            </w:r>
          </w:p>
        </w:tc>
        <w:tc>
          <w:tcPr>
            <w:tcW w:w="2871" w:type="dxa"/>
            <w:tcBorders>
              <w:top w:val="single" w:sz="4" w:space="0" w:color="auto"/>
              <w:left w:val="single" w:sz="4" w:space="0" w:color="auto"/>
              <w:bottom w:val="single" w:sz="4" w:space="0" w:color="auto"/>
              <w:right w:val="single" w:sz="4" w:space="0" w:color="auto"/>
            </w:tcBorders>
          </w:tcPr>
          <w:p w14:paraId="0FE4D3F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8A40C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F9A230F"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132BC8A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DFDA0"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金融監督管理委員會函送113年度第2季「媒體政策及業務宣導執行情形表」案。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0B78AC3"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5C53380D"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7A64F497"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573FFC9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C94C46"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金融監督管理委員會函送113年度截至第2季「對民間團體及個人補（捐）助經費彙總表」案。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617FEE19"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03DE18AA"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4D19E164"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0E0845F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70A0A4"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金融監督管理委員會函送金融科技最新發展與政策113年上半年度檢討報告案。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71CFAF35"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81795E"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B95A07" w14:paraId="7E8E9D9B"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4E895C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C745C5"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金融監督管理委員會函送推動金融科技發展相關法規調適</w:t>
            </w:r>
            <w:r w:rsidRPr="005A07A3">
              <w:rPr>
                <w:rFonts w:ascii="標楷體" w:eastAsia="標楷體" w:hAnsi="標楷體"/>
                <w:kern w:val="2"/>
                <w:szCs w:val="24"/>
              </w:rPr>
              <w:t>113年上半年度檢討報告案。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0CCC52E3" w14:textId="77777777" w:rsidR="00993A58" w:rsidRPr="005A07A3" w:rsidRDefault="00993A58" w:rsidP="005134C1">
            <w:pPr>
              <w:widowControl w:val="0"/>
              <w:overflowPunct w:val="0"/>
              <w:autoSpaceDN/>
              <w:spacing w:line="32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r w:rsidRPr="005A07A3">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948A69" w14:textId="77777777" w:rsidR="00993A58" w:rsidRPr="005A07A3" w:rsidRDefault="00993A58" w:rsidP="00F470A8">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993A58" w:rsidRPr="00B95A07" w14:paraId="59DDFAA3"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40413DB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EA745F"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金融監督管理委員會函送113年度第3季「媒體政策及業務宣導執行情形表」案。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A7F2BE4"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39954" w14:textId="77777777" w:rsidR="00993A58" w:rsidRPr="00CF3EBB" w:rsidRDefault="00993A58" w:rsidP="00F470A8">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993A58" w:rsidRPr="00B95A07" w14:paraId="69933E80"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33E5383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AAC9F4"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金融監督管理委員會函送113年度截至第3季「對民間團體及個人補（捐）助經費彙總表」案。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6212A161"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5FD4C" w14:textId="77777777" w:rsidR="00993A58" w:rsidRPr="00CF3EBB" w:rsidRDefault="00993A58" w:rsidP="00F470A8">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993A58" w:rsidRPr="00B95A07" w14:paraId="4836E670" w14:textId="77777777" w:rsidTr="000D2E36">
        <w:trPr>
          <w:gridAfter w:val="1"/>
          <w:wAfter w:w="7" w:type="dxa"/>
          <w:trHeight w:val="1020"/>
          <w:jc w:val="center"/>
        </w:trPr>
        <w:tc>
          <w:tcPr>
            <w:tcW w:w="846" w:type="dxa"/>
            <w:tcBorders>
              <w:top w:val="single" w:sz="4" w:space="0" w:color="auto"/>
              <w:left w:val="single" w:sz="4" w:space="0" w:color="auto"/>
              <w:bottom w:val="single" w:sz="12" w:space="0" w:color="auto"/>
              <w:right w:val="single" w:sz="4" w:space="0" w:color="auto"/>
            </w:tcBorders>
          </w:tcPr>
          <w:p w14:paraId="50D191E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D86B13" w14:textId="77777777" w:rsidR="00993A58" w:rsidRPr="00036558" w:rsidRDefault="00993A58" w:rsidP="005134C1">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金融監督管理委員會函，為113年度中央政府總預算決議，檢送該會主管第1項決議（二十三）改善高齡者數位落差問題書面報告案。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139064F0" w14:textId="77777777" w:rsidR="00993A58" w:rsidRPr="00036558" w:rsidRDefault="00993A58" w:rsidP="005134C1">
            <w:pPr>
              <w:widowControl w:val="0"/>
              <w:overflowPunct w:val="0"/>
              <w:autoSpaceDN/>
              <w:spacing w:line="32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第11屆第2會期第11次院會(113.11.29)決定：「交財政委員會審查」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7D0509" w14:textId="77777777" w:rsidR="00993A58" w:rsidRPr="00036558" w:rsidRDefault="00993A58" w:rsidP="00F470A8">
            <w:pPr>
              <w:widowControl w:val="0"/>
              <w:overflowPunct w:val="0"/>
              <w:autoSpaceDN/>
              <w:spacing w:line="340" w:lineRule="exact"/>
              <w:jc w:val="both"/>
              <w:textAlignment w:val="auto"/>
              <w:rPr>
                <w:rFonts w:ascii="標楷體" w:eastAsia="標楷體" w:hAnsi="標楷體"/>
                <w:kern w:val="2"/>
                <w:szCs w:val="24"/>
              </w:rPr>
            </w:pPr>
            <w:r w:rsidRPr="00036558">
              <w:rPr>
                <w:rFonts w:ascii="標楷體" w:eastAsia="標楷體" w:hAnsi="標楷體" w:hint="eastAsia"/>
                <w:kern w:val="2"/>
                <w:szCs w:val="24"/>
              </w:rPr>
              <w:t>尚未審查</w:t>
            </w:r>
          </w:p>
        </w:tc>
      </w:tr>
      <w:tr w:rsidR="00993A58" w:rsidRPr="00B95A07" w14:paraId="766E3DDD" w14:textId="77777777" w:rsidTr="000D2E36">
        <w:trPr>
          <w:gridAfter w:val="1"/>
          <w:wAfter w:w="7" w:type="dxa"/>
          <w:trHeight w:val="1020"/>
          <w:jc w:val="center"/>
        </w:trPr>
        <w:tc>
          <w:tcPr>
            <w:tcW w:w="846" w:type="dxa"/>
            <w:tcBorders>
              <w:top w:val="single" w:sz="12" w:space="0" w:color="auto"/>
              <w:left w:val="single" w:sz="4" w:space="0" w:color="auto"/>
              <w:bottom w:val="single" w:sz="4" w:space="0" w:color="auto"/>
              <w:right w:val="single" w:sz="4" w:space="0" w:color="auto"/>
            </w:tcBorders>
          </w:tcPr>
          <w:p w14:paraId="7D332B0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F07A62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(密）金融監督管理委員會</w:t>
            </w:r>
            <w:r w:rsidRPr="00B95A07">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12" w:space="0" w:color="auto"/>
              <w:left w:val="single" w:sz="4" w:space="0" w:color="auto"/>
              <w:bottom w:val="single" w:sz="4" w:space="0" w:color="auto"/>
              <w:right w:val="single" w:sz="4" w:space="0" w:color="auto"/>
            </w:tcBorders>
          </w:tcPr>
          <w:p w14:paraId="537E1FE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289BA74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53B971C" w14:textId="77777777" w:rsidTr="000D2E36">
        <w:trPr>
          <w:gridAfter w:val="1"/>
          <w:wAfter w:w="7" w:type="dxa"/>
          <w:trHeight w:val="1020"/>
          <w:jc w:val="center"/>
        </w:trPr>
        <w:tc>
          <w:tcPr>
            <w:tcW w:w="846" w:type="dxa"/>
            <w:tcBorders>
              <w:top w:val="single" w:sz="4" w:space="0" w:color="auto"/>
              <w:left w:val="single" w:sz="4" w:space="0" w:color="auto"/>
              <w:bottom w:val="single" w:sz="4" w:space="0" w:color="auto"/>
              <w:right w:val="single" w:sz="4" w:space="0" w:color="auto"/>
            </w:tcBorders>
          </w:tcPr>
          <w:p w14:paraId="7E48420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000000"/>
              <w:bottom w:val="single" w:sz="4" w:space="0" w:color="000000"/>
              <w:right w:val="single" w:sz="4" w:space="0" w:color="000000"/>
            </w:tcBorders>
            <w:shd w:val="clear" w:color="auto" w:fill="auto"/>
          </w:tcPr>
          <w:p w14:paraId="351981A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（密）金融監督管理委員會函送所屬周邊單位之董事長、總經理，及專任人員由公務員退休轉任者之薪資、獎金、月退俸及優惠存款等資料</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2E9084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41DE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96E053A" w14:textId="77777777" w:rsidTr="000D2E36">
        <w:trPr>
          <w:trHeight w:val="690"/>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1A20DA93" w14:textId="77777777" w:rsidR="00993A58" w:rsidRPr="00B95A07" w:rsidRDefault="00993A58" w:rsidP="00F470A8">
            <w:pPr>
              <w:widowControl w:val="0"/>
              <w:overflowPunct w:val="0"/>
              <w:autoSpaceDN/>
              <w:spacing w:line="36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3.行政院主計總處主管（</w:t>
            </w:r>
            <w:r>
              <w:rPr>
                <w:rFonts w:ascii="標楷體" w:eastAsia="標楷體" w:hAnsi="標楷體"/>
                <w:b/>
                <w:kern w:val="2"/>
                <w:sz w:val="28"/>
                <w:szCs w:val="28"/>
              </w:rPr>
              <w:t>2</w:t>
            </w:r>
            <w:r>
              <w:rPr>
                <w:rFonts w:ascii="標楷體" w:eastAsia="標楷體" w:hAnsi="標楷體" w:hint="eastAsia"/>
                <w:b/>
                <w:kern w:val="2"/>
                <w:sz w:val="28"/>
                <w:szCs w:val="28"/>
              </w:rPr>
              <w:t>1</w:t>
            </w:r>
            <w:r w:rsidRPr="00B95A07">
              <w:rPr>
                <w:rFonts w:ascii="標楷體" w:eastAsia="標楷體" w:hAnsi="標楷體" w:hint="eastAsia"/>
                <w:b/>
                <w:kern w:val="2"/>
                <w:sz w:val="28"/>
                <w:szCs w:val="28"/>
              </w:rPr>
              <w:t>案）</w:t>
            </w:r>
          </w:p>
        </w:tc>
      </w:tr>
      <w:tr w:rsidR="00993A58" w:rsidRPr="00B95A07" w14:paraId="11287DD9" w14:textId="77777777" w:rsidTr="000D2E36">
        <w:trPr>
          <w:gridAfter w:val="1"/>
          <w:wAfter w:w="7" w:type="dxa"/>
          <w:trHeight w:val="978"/>
          <w:jc w:val="center"/>
        </w:trPr>
        <w:tc>
          <w:tcPr>
            <w:tcW w:w="846" w:type="dxa"/>
            <w:tcBorders>
              <w:top w:val="single" w:sz="12" w:space="0" w:color="auto"/>
              <w:left w:val="single" w:sz="4" w:space="0" w:color="auto"/>
              <w:bottom w:val="single" w:sz="4" w:space="0" w:color="auto"/>
              <w:right w:val="single" w:sz="4" w:space="0" w:color="auto"/>
            </w:tcBorders>
          </w:tcPr>
          <w:p w14:paraId="0CCB7B6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14:paraId="75491512"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行政院主計總處函為112年度中央政府總預算決議，檢送全球通膨對國內民生經濟的影響及我國政府因應對策書面報告案。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14:paraId="0FBA55C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12" w:space="0" w:color="auto"/>
              <w:left w:val="single" w:sz="4" w:space="0" w:color="auto"/>
              <w:bottom w:val="single" w:sz="4" w:space="0" w:color="auto"/>
              <w:right w:val="single" w:sz="4" w:space="0" w:color="auto"/>
            </w:tcBorders>
          </w:tcPr>
          <w:p w14:paraId="7A790E5A" w14:textId="77777777" w:rsidR="00993A58" w:rsidRPr="00B95A07" w:rsidRDefault="00993A58" w:rsidP="00F470A8">
            <w:pPr>
              <w:overflowPunct w:val="0"/>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5F2319F6"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597097B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F7935ED"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14:paraId="781694E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155B003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993A58" w:rsidRPr="00B95A07" w14:paraId="4CA2C366"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60A7DB1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28DE531"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行政院主計總處函為112年度中央政府總預算附屬單位決議，檢送通案決議(五)部分特別收入基金財務資源可能流入情形書面報告案。</w:t>
            </w:r>
          </w:p>
        </w:tc>
        <w:tc>
          <w:tcPr>
            <w:tcW w:w="2871" w:type="dxa"/>
            <w:tcBorders>
              <w:top w:val="single" w:sz="4" w:space="0" w:color="auto"/>
              <w:left w:val="single" w:sz="4" w:space="0" w:color="auto"/>
              <w:bottom w:val="single" w:sz="4" w:space="0" w:color="auto"/>
              <w:right w:val="single" w:sz="4" w:space="0" w:color="auto"/>
            </w:tcBorders>
          </w:tcPr>
          <w:p w14:paraId="389E53BB"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第10屆第8會期第10次院會（112.12.1）決定：「交財政委員會審查」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CFEF8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C325509" w14:textId="77777777" w:rsidTr="000D2E36">
        <w:trPr>
          <w:gridAfter w:val="1"/>
          <w:wAfter w:w="7" w:type="dxa"/>
          <w:trHeight w:val="978"/>
          <w:jc w:val="center"/>
        </w:trPr>
        <w:tc>
          <w:tcPr>
            <w:tcW w:w="846" w:type="dxa"/>
            <w:tcBorders>
              <w:top w:val="single" w:sz="4" w:space="0" w:color="auto"/>
              <w:left w:val="single" w:sz="4" w:space="0" w:color="auto"/>
              <w:bottom w:val="single" w:sz="12" w:space="0" w:color="auto"/>
              <w:right w:val="single" w:sz="4" w:space="0" w:color="auto"/>
            </w:tcBorders>
          </w:tcPr>
          <w:p w14:paraId="1B2EF07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72CB6828"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行政院主計總處函送「112年度中央政府預算截至第3季執行情形書面報告」案。</w:t>
            </w:r>
          </w:p>
        </w:tc>
        <w:tc>
          <w:tcPr>
            <w:tcW w:w="2871" w:type="dxa"/>
            <w:tcBorders>
              <w:top w:val="single" w:sz="4" w:space="0" w:color="auto"/>
              <w:left w:val="single" w:sz="4" w:space="0" w:color="auto"/>
              <w:bottom w:val="single" w:sz="12" w:space="0" w:color="auto"/>
              <w:right w:val="single" w:sz="4" w:space="0" w:color="auto"/>
            </w:tcBorders>
          </w:tcPr>
          <w:p w14:paraId="0067B47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12" w:space="0" w:color="auto"/>
              <w:right w:val="single" w:sz="4" w:space="0" w:color="auto"/>
            </w:tcBorders>
          </w:tcPr>
          <w:p w14:paraId="25828B9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B8CF4BE" w14:textId="77777777" w:rsidTr="000D2E36">
        <w:trPr>
          <w:gridAfter w:val="1"/>
          <w:wAfter w:w="7" w:type="dxa"/>
          <w:trHeight w:val="978"/>
          <w:jc w:val="center"/>
        </w:trPr>
        <w:tc>
          <w:tcPr>
            <w:tcW w:w="846" w:type="dxa"/>
            <w:tcBorders>
              <w:top w:val="single" w:sz="12" w:space="0" w:color="auto"/>
              <w:left w:val="single" w:sz="4" w:space="0" w:color="auto"/>
              <w:bottom w:val="single" w:sz="4" w:space="0" w:color="auto"/>
              <w:right w:val="single" w:sz="4" w:space="0" w:color="auto"/>
            </w:tcBorders>
          </w:tcPr>
          <w:p w14:paraId="51F5041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14:paraId="3FAA2385"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行政院主計總處函為113年度中央政府總預算決議，檢送降低財政赤字，改善債務狀況書面報告案。</w:t>
            </w:r>
          </w:p>
        </w:tc>
        <w:tc>
          <w:tcPr>
            <w:tcW w:w="2871" w:type="dxa"/>
            <w:tcBorders>
              <w:top w:val="single" w:sz="4" w:space="0" w:color="auto"/>
              <w:left w:val="single" w:sz="4" w:space="0" w:color="auto"/>
              <w:bottom w:val="single" w:sz="4" w:space="0" w:color="auto"/>
              <w:right w:val="single" w:sz="4" w:space="0" w:color="auto"/>
            </w:tcBorders>
          </w:tcPr>
          <w:p w14:paraId="7D217E4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8F574C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A43C850"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7995F4B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08D8F1B6"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行政院主計總處函為113年度中央政府總預算決議，檢送落實中長期平衡預算收支推估之審慎及準確性書面報告案</w:t>
            </w:r>
          </w:p>
        </w:tc>
        <w:tc>
          <w:tcPr>
            <w:tcW w:w="2871" w:type="dxa"/>
            <w:tcBorders>
              <w:top w:val="single" w:sz="4" w:space="0" w:color="auto"/>
              <w:left w:val="single" w:sz="4" w:space="0" w:color="auto"/>
              <w:bottom w:val="single" w:sz="4" w:space="0" w:color="auto"/>
              <w:right w:val="single" w:sz="4" w:space="0" w:color="auto"/>
            </w:tcBorders>
          </w:tcPr>
          <w:p w14:paraId="05BD8AA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37C7FE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85399B9"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4568878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5623C6B7"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行政院主計總處函為113年度中央政府總預算決議，檢送提升預算編列透明度及強化預算收支推估準確性書面報告案</w:t>
            </w:r>
          </w:p>
        </w:tc>
        <w:tc>
          <w:tcPr>
            <w:tcW w:w="2871" w:type="dxa"/>
            <w:tcBorders>
              <w:top w:val="single" w:sz="4" w:space="0" w:color="auto"/>
              <w:left w:val="single" w:sz="4" w:space="0" w:color="auto"/>
              <w:bottom w:val="single" w:sz="4" w:space="0" w:color="auto"/>
              <w:right w:val="single" w:sz="4" w:space="0" w:color="auto"/>
            </w:tcBorders>
          </w:tcPr>
          <w:p w14:paraId="358B4CA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3C09356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9674E4A"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4A3D231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6786E92"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行政院主計總處函為113年度中央政府總預算決議，檢送社會福利支出在稅課收入與舉債兩者占比精進改善書面報告案</w:t>
            </w:r>
          </w:p>
        </w:tc>
        <w:tc>
          <w:tcPr>
            <w:tcW w:w="2871" w:type="dxa"/>
            <w:tcBorders>
              <w:top w:val="single" w:sz="4" w:space="0" w:color="auto"/>
              <w:left w:val="single" w:sz="4" w:space="0" w:color="auto"/>
              <w:bottom w:val="single" w:sz="4" w:space="0" w:color="auto"/>
              <w:right w:val="single" w:sz="4" w:space="0" w:color="auto"/>
            </w:tcBorders>
          </w:tcPr>
          <w:p w14:paraId="75368D8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48DFB67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D67D10B"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1B33580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BC4FB02"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行政院主計總處函為113年度中央政府總預算決議，檢送「CPI年增率及非經常性薪資提高對我國生育率的影響」及「各薪資級距家庭間生育率之影響關聯性」書面報告案。</w:t>
            </w:r>
          </w:p>
        </w:tc>
        <w:tc>
          <w:tcPr>
            <w:tcW w:w="2871" w:type="dxa"/>
            <w:tcBorders>
              <w:top w:val="single" w:sz="4" w:space="0" w:color="auto"/>
              <w:left w:val="single" w:sz="4" w:space="0" w:color="auto"/>
              <w:bottom w:val="single" w:sz="4" w:space="0" w:color="auto"/>
              <w:right w:val="single" w:sz="4" w:space="0" w:color="auto"/>
            </w:tcBorders>
          </w:tcPr>
          <w:p w14:paraId="6EDE35D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5DC5840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82D1A23"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12CB8989"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5680E09"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行政院主計總處函為113年度中央政府總預算決議，檢送督導地方政府增益自籌財源及加強節流規劃及執行書面報告案。</w:t>
            </w:r>
          </w:p>
        </w:tc>
        <w:tc>
          <w:tcPr>
            <w:tcW w:w="2871" w:type="dxa"/>
            <w:tcBorders>
              <w:top w:val="single" w:sz="4" w:space="0" w:color="auto"/>
              <w:left w:val="single" w:sz="4" w:space="0" w:color="auto"/>
              <w:bottom w:val="single" w:sz="4" w:space="0" w:color="auto"/>
              <w:right w:val="single" w:sz="4" w:space="0" w:color="auto"/>
            </w:tcBorders>
          </w:tcPr>
          <w:p w14:paraId="23EF2AC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9485D3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E543ED8"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5550A70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2248A1E"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行政院主計總處函為113年度中央政府總預算決議，檢送一般性補助款計畫項目執行情形書面報告案。</w:t>
            </w:r>
          </w:p>
        </w:tc>
        <w:tc>
          <w:tcPr>
            <w:tcW w:w="2871" w:type="dxa"/>
            <w:tcBorders>
              <w:top w:val="single" w:sz="4" w:space="0" w:color="auto"/>
              <w:left w:val="single" w:sz="4" w:space="0" w:color="auto"/>
              <w:bottom w:val="single" w:sz="4" w:space="0" w:color="auto"/>
              <w:right w:val="single" w:sz="4" w:space="0" w:color="auto"/>
            </w:tcBorders>
          </w:tcPr>
          <w:p w14:paraId="1ED35AD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2D4FED6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62C7112" w14:textId="77777777" w:rsidTr="000D2E36">
        <w:trPr>
          <w:gridAfter w:val="1"/>
          <w:wAfter w:w="7" w:type="dxa"/>
          <w:trHeight w:val="978"/>
          <w:jc w:val="center"/>
        </w:trPr>
        <w:tc>
          <w:tcPr>
            <w:tcW w:w="846" w:type="dxa"/>
            <w:tcBorders>
              <w:top w:val="single" w:sz="4" w:space="0" w:color="auto"/>
              <w:left w:val="single" w:sz="4" w:space="0" w:color="auto"/>
              <w:bottom w:val="single" w:sz="4" w:space="0" w:color="auto"/>
              <w:right w:val="single" w:sz="4" w:space="0" w:color="auto"/>
            </w:tcBorders>
          </w:tcPr>
          <w:p w14:paraId="30FBD2E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7D72AF5" w14:textId="77777777" w:rsidR="00993A58" w:rsidRPr="002708EA"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行政院主計總處函送113年第2季媒體政策及業務宣導執行情形表案。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2497CB94"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69A6AF"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47849B95" w14:textId="77777777" w:rsidTr="000D2E36">
        <w:trPr>
          <w:gridAfter w:val="1"/>
          <w:wAfter w:w="7" w:type="dxa"/>
          <w:trHeight w:val="978"/>
          <w:jc w:val="center"/>
        </w:trPr>
        <w:tc>
          <w:tcPr>
            <w:tcW w:w="846" w:type="dxa"/>
            <w:tcBorders>
              <w:top w:val="single" w:sz="4" w:space="0" w:color="auto"/>
              <w:left w:val="single" w:sz="4" w:space="0" w:color="auto"/>
              <w:bottom w:val="single" w:sz="4" w:space="0" w:color="000000"/>
              <w:right w:val="single" w:sz="4" w:space="0" w:color="auto"/>
            </w:tcBorders>
          </w:tcPr>
          <w:p w14:paraId="51FAB62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000000"/>
              <w:right w:val="single" w:sz="4" w:space="0" w:color="000000"/>
            </w:tcBorders>
            <w:shd w:val="clear" w:color="auto" w:fill="auto"/>
          </w:tcPr>
          <w:p w14:paraId="1A2ABE40" w14:textId="77777777" w:rsidR="00993A58" w:rsidRPr="00CF3EBB"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行政院主計總處函送113年第3季媒體政策及業務宣導執行情形表案。</w:t>
            </w:r>
          </w:p>
        </w:tc>
        <w:tc>
          <w:tcPr>
            <w:tcW w:w="2871" w:type="dxa"/>
            <w:tcBorders>
              <w:top w:val="single" w:sz="4" w:space="0" w:color="auto"/>
              <w:left w:val="single" w:sz="4" w:space="0" w:color="000000"/>
              <w:bottom w:val="single" w:sz="4" w:space="0" w:color="000000"/>
              <w:right w:val="single" w:sz="4" w:space="0" w:color="000000"/>
            </w:tcBorders>
            <w:shd w:val="clear" w:color="auto" w:fill="FFFFFF"/>
          </w:tcPr>
          <w:p w14:paraId="74D16D0C" w14:textId="77777777" w:rsidR="00993A58" w:rsidRPr="00CF3EBB" w:rsidRDefault="00993A58" w:rsidP="005134C1">
            <w:pPr>
              <w:widowControl w:val="0"/>
              <w:overflowPunct w:val="0"/>
              <w:autoSpaceDN/>
              <w:spacing w:line="32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507" w:type="dxa"/>
            <w:tcBorders>
              <w:top w:val="single" w:sz="4" w:space="0" w:color="auto"/>
              <w:left w:val="single" w:sz="4" w:space="0" w:color="000000"/>
              <w:bottom w:val="single" w:sz="4" w:space="0" w:color="000000"/>
              <w:right w:val="single" w:sz="4" w:space="0" w:color="000000"/>
            </w:tcBorders>
            <w:shd w:val="clear" w:color="auto" w:fill="auto"/>
            <w:vAlign w:val="center"/>
          </w:tcPr>
          <w:p w14:paraId="2151505C" w14:textId="77777777" w:rsidR="00993A58" w:rsidRPr="00CF3EBB" w:rsidRDefault="00993A58" w:rsidP="00F470A8">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993A58" w:rsidRPr="00B95A07" w14:paraId="032A879A" w14:textId="77777777" w:rsidTr="000D2E36">
        <w:trPr>
          <w:gridAfter w:val="1"/>
          <w:wAfter w:w="7" w:type="dxa"/>
          <w:trHeight w:val="978"/>
          <w:jc w:val="center"/>
        </w:trPr>
        <w:tc>
          <w:tcPr>
            <w:tcW w:w="846" w:type="dxa"/>
            <w:tcBorders>
              <w:top w:val="single" w:sz="4" w:space="0" w:color="000000"/>
              <w:left w:val="single" w:sz="4" w:space="0" w:color="auto"/>
              <w:bottom w:val="single" w:sz="12" w:space="0" w:color="auto"/>
              <w:right w:val="single" w:sz="4" w:space="0" w:color="auto"/>
            </w:tcBorders>
          </w:tcPr>
          <w:p w14:paraId="45518BE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000000"/>
              <w:bottom w:val="single" w:sz="12" w:space="0" w:color="auto"/>
              <w:right w:val="single" w:sz="4" w:space="0" w:color="000000"/>
            </w:tcBorders>
            <w:shd w:val="clear" w:color="auto" w:fill="auto"/>
          </w:tcPr>
          <w:p w14:paraId="64700E07" w14:textId="77777777" w:rsidR="00993A58" w:rsidRPr="00ED7BC0"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行政院主計總處函，為113年度中央政府總預算決議，檢送評估國民年金及老農津貼等改採高齡CPI之適法性與可行性書面報告案。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9D713D6" w14:textId="77777777" w:rsidR="00993A58" w:rsidRPr="00ED7BC0" w:rsidRDefault="00993A58" w:rsidP="005134C1">
            <w:pPr>
              <w:widowControl w:val="0"/>
              <w:overflowPunct w:val="0"/>
              <w:autoSpaceDN/>
              <w:spacing w:line="32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第11屆第2會期第11次院會(113.11.29)決定：「交財政委員會審查」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0C4CC" w14:textId="77777777" w:rsidR="00993A58" w:rsidRPr="00ED7BC0" w:rsidRDefault="00993A58" w:rsidP="00F470A8">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993A58" w:rsidRPr="00B95A07" w14:paraId="581088CF" w14:textId="77777777" w:rsidTr="000D2E36">
        <w:trPr>
          <w:gridAfter w:val="1"/>
          <w:wAfter w:w="7" w:type="dxa"/>
          <w:trHeight w:val="934"/>
          <w:jc w:val="center"/>
        </w:trPr>
        <w:tc>
          <w:tcPr>
            <w:tcW w:w="846" w:type="dxa"/>
            <w:tcBorders>
              <w:top w:val="single" w:sz="12" w:space="0" w:color="auto"/>
              <w:left w:val="single" w:sz="4" w:space="0" w:color="auto"/>
              <w:bottom w:val="single" w:sz="4" w:space="0" w:color="auto"/>
              <w:right w:val="single" w:sz="4" w:space="0" w:color="auto"/>
            </w:tcBorders>
          </w:tcPr>
          <w:p w14:paraId="11A0C8F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604B1B34"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農業部函送112年度對直轄市及縣（市）政府補助書面報告案。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C5F787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359CB67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F97E24B"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0D5D530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047079D"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交通部函送112年度對直轄市及縣（市）政府補助書面報告案。</w:t>
            </w:r>
          </w:p>
          <w:p w14:paraId="4FFBE43B"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6F8F3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BD6EEE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p>
        </w:tc>
      </w:tr>
      <w:tr w:rsidR="00993A58" w:rsidRPr="00B95A07" w14:paraId="713A088E"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10D130F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44F2AEC"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勞動部函送112年度對直轄市及縣（市）政府補助書面報告案。</w:t>
            </w:r>
          </w:p>
          <w:p w14:paraId="2C2E815E"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25C0A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65B8CE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37BE245"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5A67331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441FA470"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衛生福利部函送112年度對直轄市或縣市政府計畫型補助情形書面報告案。</w:t>
            </w:r>
          </w:p>
          <w:p w14:paraId="0CF4478A"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692D5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FDED0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9F1BB70"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12A41CA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CECE7BF"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環境部函送112年度對直轄市及縣（市）政府補助書面報告案。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836E7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832A50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563CA0" w14:paraId="7608D6A0"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19B06C8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203FB99B" w14:textId="77777777" w:rsidR="00993A58" w:rsidRPr="00563CA0"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數位發展部函送112年度對直轄市及縣市政府計畫型補助情形書面報告案。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C024E2"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153C712"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563CA0" w14:paraId="52A5F8D1" w14:textId="77777777" w:rsidTr="000D2E36">
        <w:trPr>
          <w:gridAfter w:val="1"/>
          <w:wAfter w:w="7" w:type="dxa"/>
          <w:trHeight w:val="934"/>
          <w:jc w:val="center"/>
        </w:trPr>
        <w:tc>
          <w:tcPr>
            <w:tcW w:w="846" w:type="dxa"/>
            <w:tcBorders>
              <w:top w:val="single" w:sz="4" w:space="0" w:color="auto"/>
              <w:left w:val="single" w:sz="4" w:space="0" w:color="auto"/>
              <w:bottom w:val="single" w:sz="4" w:space="0" w:color="auto"/>
              <w:right w:val="single" w:sz="4" w:space="0" w:color="auto"/>
            </w:tcBorders>
          </w:tcPr>
          <w:p w14:paraId="4C1EB734" w14:textId="77777777" w:rsidR="00993A58" w:rsidRPr="00563CA0"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1672220" w14:textId="77777777" w:rsidR="00993A58" w:rsidRPr="00563CA0"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國家通訊傳播委員會函送112年度對直轄市及縣（市）政府補助書面報告案。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951677" w14:textId="77777777" w:rsidR="00993A58" w:rsidRPr="00563CA0" w:rsidRDefault="00993A58" w:rsidP="005134C1">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E8BC232" w14:textId="77777777" w:rsidR="00993A58" w:rsidRPr="00563CA0" w:rsidRDefault="00993A58" w:rsidP="00F470A8">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993A58" w:rsidRPr="00B95A07" w14:paraId="7C4D4FE4" w14:textId="77777777" w:rsidTr="000D2E36">
        <w:trPr>
          <w:trHeight w:val="820"/>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44473F1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4.審計部主管（</w:t>
            </w:r>
            <w:r>
              <w:rPr>
                <w:rFonts w:ascii="標楷體" w:eastAsia="標楷體" w:hAnsi="標楷體"/>
                <w:b/>
                <w:kern w:val="2"/>
                <w:sz w:val="28"/>
                <w:szCs w:val="28"/>
              </w:rPr>
              <w:t>4</w:t>
            </w:r>
            <w:r w:rsidRPr="00B95A07">
              <w:rPr>
                <w:rFonts w:ascii="標楷體" w:eastAsia="標楷體" w:hAnsi="標楷體" w:hint="eastAsia"/>
                <w:b/>
                <w:kern w:val="2"/>
                <w:sz w:val="28"/>
                <w:szCs w:val="28"/>
              </w:rPr>
              <w:t>案）</w:t>
            </w:r>
          </w:p>
        </w:tc>
      </w:tr>
      <w:tr w:rsidR="00993A58" w:rsidRPr="00B95A07" w14:paraId="56F1AD03"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3CFED08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9341E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w:t>
            </w:r>
            <w:r w:rsidRPr="00B95A07">
              <w:rPr>
                <w:rFonts w:ascii="標楷體" w:eastAsia="標楷體" w:hAnsi="標楷體"/>
                <w:kern w:val="2"/>
                <w:szCs w:val="24"/>
              </w:rPr>
              <w:t>112年度中央政府總預算決議，檢送查核經濟部能源局推動風力發電執行情形書面報告</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2A5534B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D3D72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048E9ED0"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10872EA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145E2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審計部函為112年度中央政府總預算決議，檢送減緩貧富差距政策建議書面報告案。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14:paraId="016C061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83140C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ECE9302"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6E6F36F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9D6A8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w:t>
            </w:r>
            <w:r w:rsidRPr="00B95A07">
              <w:rPr>
                <w:rFonts w:ascii="標楷體" w:eastAsia="標楷體" w:hAnsi="標楷體"/>
                <w:kern w:val="2"/>
                <w:szCs w:val="24"/>
              </w:rPr>
              <w:t>112年度中央政府總預算決議，檢送就立法院預算中心「本院審議預算案所為決議效力之探討」報告內容作為後續審計查核之準據書面報告案。</w:t>
            </w:r>
          </w:p>
        </w:tc>
        <w:tc>
          <w:tcPr>
            <w:tcW w:w="2871" w:type="dxa"/>
            <w:tcBorders>
              <w:top w:val="single" w:sz="4" w:space="0" w:color="auto"/>
              <w:left w:val="single" w:sz="4" w:space="0" w:color="auto"/>
              <w:bottom w:val="single" w:sz="4" w:space="0" w:color="auto"/>
              <w:right w:val="single" w:sz="4" w:space="0" w:color="auto"/>
            </w:tcBorders>
          </w:tcPr>
          <w:p w14:paraId="210D955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26F69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17A3ACE"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05EAAE9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396C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審計部函為112年度中央政府總預算決議，檢送COVID-19疫苗採購案查核書面報告案。</w:t>
            </w:r>
          </w:p>
        </w:tc>
        <w:tc>
          <w:tcPr>
            <w:tcW w:w="2871" w:type="dxa"/>
            <w:tcBorders>
              <w:top w:val="single" w:sz="4" w:space="0" w:color="auto"/>
              <w:left w:val="single" w:sz="4" w:space="0" w:color="auto"/>
              <w:bottom w:val="single" w:sz="4" w:space="0" w:color="auto"/>
              <w:right w:val="single" w:sz="4" w:space="0" w:color="auto"/>
            </w:tcBorders>
          </w:tcPr>
          <w:p w14:paraId="10FD2A8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5470D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1D4AF85" w14:textId="77777777" w:rsidTr="000D2E36">
        <w:trPr>
          <w:trHeight w:val="831"/>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592EC1FB" w14:textId="77777777" w:rsidR="00993A58" w:rsidRPr="00B95A07" w:rsidRDefault="00993A58" w:rsidP="00F470A8">
            <w:pPr>
              <w:widowControl w:val="0"/>
              <w:overflowPunct w:val="0"/>
              <w:autoSpaceDN/>
              <w:spacing w:line="360" w:lineRule="exact"/>
              <w:jc w:val="both"/>
              <w:textAlignment w:val="auto"/>
              <w:rPr>
                <w:rFonts w:ascii="標楷體" w:eastAsia="標楷體" w:hAnsi="標楷體"/>
                <w:b/>
                <w:kern w:val="2"/>
                <w:sz w:val="28"/>
                <w:szCs w:val="28"/>
              </w:rPr>
            </w:pPr>
            <w:r w:rsidRPr="00B95A07">
              <w:rPr>
                <w:rFonts w:ascii="標楷體" w:eastAsia="標楷體" w:hAnsi="標楷體"/>
                <w:b/>
                <w:kern w:val="2"/>
                <w:sz w:val="28"/>
                <w:szCs w:val="28"/>
              </w:rPr>
              <w:t>5</w:t>
            </w:r>
            <w:r w:rsidRPr="00B95A07">
              <w:rPr>
                <w:rFonts w:ascii="標楷體" w:eastAsia="標楷體" w:hAnsi="標楷體" w:hint="eastAsia"/>
                <w:b/>
                <w:kern w:val="2"/>
                <w:sz w:val="28"/>
                <w:szCs w:val="28"/>
              </w:rPr>
              <w:t>.中央銀行主管（</w:t>
            </w:r>
            <w:r>
              <w:rPr>
                <w:rFonts w:ascii="標楷體" w:eastAsia="標楷體" w:hAnsi="標楷體"/>
                <w:b/>
                <w:kern w:val="2"/>
                <w:sz w:val="28"/>
                <w:szCs w:val="28"/>
              </w:rPr>
              <w:t>5</w:t>
            </w:r>
            <w:r w:rsidRPr="00B95A07">
              <w:rPr>
                <w:rFonts w:ascii="標楷體" w:eastAsia="標楷體" w:hAnsi="標楷體" w:hint="eastAsia"/>
                <w:b/>
                <w:kern w:val="2"/>
                <w:sz w:val="28"/>
                <w:szCs w:val="28"/>
              </w:rPr>
              <w:t>案）</w:t>
            </w:r>
          </w:p>
        </w:tc>
      </w:tr>
      <w:tr w:rsidR="00993A58" w:rsidRPr="00B95A07" w14:paraId="4BD7A16D"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075E6C6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71018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中央銀行函送112年度截至第2季之「媒體政策及業務宣導執行情形表」案。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2654AA0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0ABBE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DDF3280"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2A58ACE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ED559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中央銀行函送112年度截至第3季之「媒體政策及業務宣導執行情形表」案。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79F91C2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4B9FB0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6905808"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06A129E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D033E3" w14:textId="77777777" w:rsidR="00993A58" w:rsidRPr="00B95A07"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中央銀行函為112年度中央政府總預算附屬單位預算決議，檢送青年安心成家購屋貸款延長利率結構檢討機制書面報告案。</w:t>
            </w:r>
          </w:p>
        </w:tc>
        <w:tc>
          <w:tcPr>
            <w:tcW w:w="2871" w:type="dxa"/>
            <w:tcBorders>
              <w:top w:val="single" w:sz="4" w:space="0" w:color="auto"/>
              <w:left w:val="single" w:sz="4" w:space="0" w:color="auto"/>
              <w:bottom w:val="single" w:sz="4" w:space="0" w:color="auto"/>
              <w:right w:val="single" w:sz="4" w:space="0" w:color="auto"/>
            </w:tcBorders>
          </w:tcPr>
          <w:p w14:paraId="2163908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tcBorders>
              <w:top w:val="single" w:sz="4" w:space="0" w:color="auto"/>
              <w:left w:val="single" w:sz="4" w:space="0" w:color="auto"/>
              <w:bottom w:val="single" w:sz="4" w:space="0" w:color="auto"/>
              <w:right w:val="single" w:sz="4" w:space="0" w:color="auto"/>
            </w:tcBorders>
          </w:tcPr>
          <w:p w14:paraId="03ACC86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6B22F4F"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3A8DEB1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81D149" w14:textId="77777777" w:rsidR="00993A58" w:rsidRPr="002708EA"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中央銀行函送113年度截至第2季之「媒體政策及業務宣導執行情形表」案。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1C46D33C" w14:textId="77777777" w:rsidR="00993A58" w:rsidRPr="002708EA" w:rsidRDefault="00993A58" w:rsidP="005134C1">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422660F" w14:textId="77777777" w:rsidR="00993A58" w:rsidRPr="002708EA" w:rsidRDefault="00993A58" w:rsidP="00F470A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993A58" w:rsidRPr="00B95A07" w14:paraId="762EA380" w14:textId="77777777" w:rsidTr="000D2E36">
        <w:trPr>
          <w:gridAfter w:val="1"/>
          <w:wAfter w:w="7" w:type="dxa"/>
          <w:trHeight w:val="1016"/>
          <w:jc w:val="center"/>
        </w:trPr>
        <w:tc>
          <w:tcPr>
            <w:tcW w:w="846" w:type="dxa"/>
            <w:tcBorders>
              <w:top w:val="single" w:sz="4" w:space="0" w:color="auto"/>
              <w:left w:val="single" w:sz="4" w:space="0" w:color="auto"/>
              <w:bottom w:val="single" w:sz="4" w:space="0" w:color="auto"/>
              <w:right w:val="single" w:sz="4" w:space="0" w:color="auto"/>
            </w:tcBorders>
          </w:tcPr>
          <w:p w14:paraId="4CCDA5B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085B4A48" w14:textId="77777777" w:rsidR="00993A58" w:rsidRPr="00912BD8" w:rsidRDefault="00993A58" w:rsidP="005134C1">
            <w:pPr>
              <w:widowControl w:val="0"/>
              <w:overflowPunct w:val="0"/>
              <w:autoSpaceDE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中央銀行函送113年度截至第3季之「媒體政策及業務宣導執行情形表」案。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13D55BE" w14:textId="77777777" w:rsidR="00993A58" w:rsidRPr="00912BD8" w:rsidRDefault="00993A58" w:rsidP="005134C1">
            <w:pPr>
              <w:widowControl w:val="0"/>
              <w:overflowPunct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第11屆第2會期第10次院會(113.11.22)決定：「交財政委員會審查」</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F2C99" w14:textId="77777777" w:rsidR="00993A58" w:rsidRPr="00912BD8" w:rsidRDefault="00993A58" w:rsidP="00F470A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993A58" w:rsidRPr="00B95A07" w14:paraId="0F3A8340" w14:textId="77777777" w:rsidTr="000D2E36">
        <w:trPr>
          <w:trHeight w:val="854"/>
          <w:jc w:val="center"/>
        </w:trPr>
        <w:tc>
          <w:tcPr>
            <w:tcW w:w="9901" w:type="dxa"/>
            <w:gridSpan w:val="5"/>
            <w:tcBorders>
              <w:top w:val="single" w:sz="12" w:space="0" w:color="auto"/>
              <w:left w:val="single" w:sz="4" w:space="0" w:color="auto"/>
              <w:bottom w:val="single" w:sz="4" w:space="0" w:color="auto"/>
              <w:right w:val="single" w:sz="4" w:space="0" w:color="auto"/>
            </w:tcBorders>
            <w:vAlign w:val="center"/>
          </w:tcPr>
          <w:p w14:paraId="76434EFF" w14:textId="77777777" w:rsidR="00993A58" w:rsidRPr="00B95A07" w:rsidRDefault="00993A58" w:rsidP="00F470A8">
            <w:pPr>
              <w:widowControl w:val="0"/>
              <w:overflowPunct w:val="0"/>
              <w:autoSpaceDN/>
              <w:spacing w:line="360" w:lineRule="exact"/>
              <w:ind w:left="280" w:hanging="280"/>
              <w:jc w:val="both"/>
              <w:textAlignment w:val="auto"/>
              <w:rPr>
                <w:rFonts w:ascii="標楷體" w:eastAsia="標楷體" w:hAnsi="標楷體"/>
                <w:b/>
                <w:kern w:val="2"/>
                <w:sz w:val="28"/>
                <w:szCs w:val="28"/>
              </w:rPr>
            </w:pPr>
            <w:r w:rsidRPr="00B95A07">
              <w:rPr>
                <w:rFonts w:ascii="標楷體" w:eastAsia="標楷體" w:hAnsi="標楷體" w:hint="eastAsia"/>
                <w:b/>
                <w:kern w:val="2"/>
                <w:sz w:val="28"/>
                <w:szCs w:val="28"/>
              </w:rPr>
              <w:t>6.中央政府嚴重特殊傳染性肺炎防治及紓困振興特別預算案(35</w:t>
            </w:r>
            <w:r w:rsidRPr="00B95A07">
              <w:rPr>
                <w:rFonts w:ascii="標楷體" w:eastAsia="標楷體" w:hAnsi="標楷體"/>
                <w:b/>
                <w:kern w:val="2"/>
                <w:sz w:val="28"/>
                <w:szCs w:val="28"/>
              </w:rPr>
              <w:t>0</w:t>
            </w:r>
            <w:r w:rsidRPr="00B95A07">
              <w:rPr>
                <w:rFonts w:ascii="標楷體" w:eastAsia="標楷體" w:hAnsi="標楷體" w:hint="eastAsia"/>
                <w:b/>
                <w:kern w:val="2"/>
                <w:sz w:val="28"/>
                <w:szCs w:val="28"/>
              </w:rPr>
              <w:t>案)</w:t>
            </w:r>
          </w:p>
        </w:tc>
      </w:tr>
      <w:tr w:rsidR="00993A58" w:rsidRPr="00B95A07" w14:paraId="1A9F9F65" w14:textId="77777777" w:rsidTr="000D2E36">
        <w:trPr>
          <w:gridAfter w:val="1"/>
          <w:wAfter w:w="7" w:type="dxa"/>
          <w:trHeight w:val="912"/>
          <w:jc w:val="center"/>
        </w:trPr>
        <w:tc>
          <w:tcPr>
            <w:tcW w:w="846" w:type="dxa"/>
            <w:tcBorders>
              <w:top w:val="single" w:sz="12" w:space="0" w:color="auto"/>
              <w:left w:val="single" w:sz="4" w:space="0" w:color="auto"/>
              <w:bottom w:val="single" w:sz="4" w:space="0" w:color="auto"/>
              <w:right w:val="single" w:sz="4" w:space="0" w:color="auto"/>
            </w:tcBorders>
          </w:tcPr>
          <w:p w14:paraId="52C9F66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8FECA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財政部函為中央政府嚴重特殊傳染性肺炎防治及紓困振興特別預算案決議，檢送研議營業稅減免可行性書面報告案。</w:t>
            </w:r>
          </w:p>
        </w:tc>
        <w:tc>
          <w:tcPr>
            <w:tcW w:w="2871" w:type="dxa"/>
            <w:tcBorders>
              <w:top w:val="single" w:sz="12" w:space="0" w:color="auto"/>
              <w:left w:val="single" w:sz="4" w:space="0" w:color="auto"/>
              <w:bottom w:val="single" w:sz="4" w:space="0" w:color="auto"/>
              <w:right w:val="single" w:sz="4" w:space="0" w:color="auto"/>
            </w:tcBorders>
          </w:tcPr>
          <w:p w14:paraId="51AD43B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7F0C6C3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D5EFACE" w14:textId="77777777" w:rsidTr="000D2E36">
        <w:trPr>
          <w:gridAfter w:val="1"/>
          <w:wAfter w:w="7" w:type="dxa"/>
          <w:trHeight w:val="931"/>
          <w:jc w:val="center"/>
        </w:trPr>
        <w:tc>
          <w:tcPr>
            <w:tcW w:w="846" w:type="dxa"/>
            <w:tcBorders>
              <w:top w:val="single" w:sz="4" w:space="0" w:color="auto"/>
              <w:left w:val="single" w:sz="4" w:space="0" w:color="auto"/>
              <w:bottom w:val="single" w:sz="4" w:space="0" w:color="auto"/>
              <w:right w:val="single" w:sz="4" w:space="0" w:color="auto"/>
            </w:tcBorders>
          </w:tcPr>
          <w:p w14:paraId="78B2A87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F53DE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財政部函為中央政府嚴重特殊傳染性肺炎防治及紓困振興特別預算追加預算決議，檢送提供符合政策性貸款保證成數辦理情形案。</w:t>
            </w:r>
          </w:p>
        </w:tc>
        <w:tc>
          <w:tcPr>
            <w:tcW w:w="2871" w:type="dxa"/>
            <w:tcBorders>
              <w:top w:val="single" w:sz="4" w:space="0" w:color="auto"/>
              <w:left w:val="single" w:sz="4" w:space="0" w:color="auto"/>
              <w:bottom w:val="single" w:sz="4" w:space="0" w:color="auto"/>
              <w:right w:val="single" w:sz="4" w:space="0" w:color="auto"/>
            </w:tcBorders>
          </w:tcPr>
          <w:p w14:paraId="7354F07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C9A7AA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200DEBC" w14:textId="77777777" w:rsidTr="000D2E36">
        <w:trPr>
          <w:gridAfter w:val="1"/>
          <w:wAfter w:w="7" w:type="dxa"/>
          <w:trHeight w:val="959"/>
          <w:jc w:val="center"/>
        </w:trPr>
        <w:tc>
          <w:tcPr>
            <w:tcW w:w="846" w:type="dxa"/>
            <w:tcBorders>
              <w:top w:val="single" w:sz="4" w:space="0" w:color="auto"/>
              <w:left w:val="single" w:sz="4" w:space="0" w:color="auto"/>
              <w:bottom w:val="single" w:sz="4" w:space="0" w:color="auto"/>
              <w:right w:val="single" w:sz="4" w:space="0" w:color="auto"/>
            </w:tcBorders>
          </w:tcPr>
          <w:p w14:paraId="6FC890E4"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6B75E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財政部函為中央政府嚴重特殊傳染性肺炎防治及紓困振興特別預算追加預算決議，檢送輔導受困企業及早申請取得貸款辦理情形案。</w:t>
            </w:r>
          </w:p>
        </w:tc>
        <w:tc>
          <w:tcPr>
            <w:tcW w:w="2871" w:type="dxa"/>
            <w:tcBorders>
              <w:top w:val="single" w:sz="4" w:space="0" w:color="auto"/>
              <w:left w:val="single" w:sz="4" w:space="0" w:color="auto"/>
              <w:bottom w:val="single" w:sz="4" w:space="0" w:color="auto"/>
              <w:right w:val="single" w:sz="4" w:space="0" w:color="auto"/>
            </w:tcBorders>
          </w:tcPr>
          <w:p w14:paraId="41983C7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853CD8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8B42726"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466D7D3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6A1D5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財政部函為中央政府嚴重特殊傳染性肺炎防治及紓困振興特別預算追加預算決議，檢送研議適度調降</w:t>
            </w:r>
            <w:r w:rsidRPr="00B95A07">
              <w:rPr>
                <w:rFonts w:ascii="標楷體" w:eastAsia="標楷體" w:hAnsi="標楷體"/>
                <w:kern w:val="2"/>
                <w:szCs w:val="24"/>
              </w:rPr>
              <w:t>109年度推計課稅標準之說明案。</w:t>
            </w:r>
          </w:p>
        </w:tc>
        <w:tc>
          <w:tcPr>
            <w:tcW w:w="2871" w:type="dxa"/>
            <w:tcBorders>
              <w:top w:val="single" w:sz="4" w:space="0" w:color="auto"/>
              <w:left w:val="single" w:sz="4" w:space="0" w:color="auto"/>
              <w:bottom w:val="single" w:sz="4" w:space="0" w:color="auto"/>
              <w:right w:val="single" w:sz="4" w:space="0" w:color="auto"/>
            </w:tcBorders>
          </w:tcPr>
          <w:p w14:paraId="0EF49BC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909D16D"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63BE850"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624ED3D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22B72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財政部函為中央政府嚴重特殊傳染性肺炎防治及紓困振興特別預算追加預算決議，檢送研議提高醫院診所</w:t>
            </w:r>
            <w:r w:rsidRPr="00B95A07">
              <w:rPr>
                <w:rFonts w:ascii="標楷體" w:eastAsia="標楷體" w:hAnsi="標楷體"/>
                <w:kern w:val="2"/>
                <w:szCs w:val="24"/>
              </w:rPr>
              <w:t>108、109年度及健保藥局109年度執行業務收入成本費用標準之說明案。</w:t>
            </w:r>
          </w:p>
        </w:tc>
        <w:tc>
          <w:tcPr>
            <w:tcW w:w="2871" w:type="dxa"/>
            <w:tcBorders>
              <w:top w:val="single" w:sz="4" w:space="0" w:color="auto"/>
              <w:left w:val="single" w:sz="4" w:space="0" w:color="auto"/>
              <w:bottom w:val="single" w:sz="4" w:space="0" w:color="auto"/>
              <w:right w:val="single" w:sz="4" w:space="0" w:color="auto"/>
            </w:tcBorders>
          </w:tcPr>
          <w:p w14:paraId="1FDA16C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CA8E3E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12274F4" w14:textId="77777777" w:rsidTr="000D2E36">
        <w:trPr>
          <w:gridAfter w:val="1"/>
          <w:wAfter w:w="7" w:type="dxa"/>
          <w:trHeight w:val="1029"/>
          <w:jc w:val="center"/>
        </w:trPr>
        <w:tc>
          <w:tcPr>
            <w:tcW w:w="846" w:type="dxa"/>
            <w:tcBorders>
              <w:top w:val="single" w:sz="4" w:space="0" w:color="auto"/>
              <w:left w:val="single" w:sz="4" w:space="0" w:color="auto"/>
              <w:bottom w:val="single" w:sz="4" w:space="0" w:color="auto"/>
              <w:right w:val="single" w:sz="4" w:space="0" w:color="auto"/>
            </w:tcBorders>
          </w:tcPr>
          <w:p w14:paraId="034C25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3EAA9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14:paraId="4E2383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8A065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EACE75F" w14:textId="77777777" w:rsidTr="000D2E36">
        <w:trPr>
          <w:gridAfter w:val="1"/>
          <w:wAfter w:w="7" w:type="dxa"/>
          <w:trHeight w:val="1029"/>
          <w:jc w:val="center"/>
        </w:trPr>
        <w:tc>
          <w:tcPr>
            <w:tcW w:w="846" w:type="dxa"/>
            <w:tcBorders>
              <w:top w:val="single" w:sz="4" w:space="0" w:color="auto"/>
              <w:left w:val="single" w:sz="4" w:space="0" w:color="auto"/>
              <w:bottom w:val="single" w:sz="4" w:space="0" w:color="auto"/>
              <w:right w:val="single" w:sz="4" w:space="0" w:color="auto"/>
            </w:tcBorders>
          </w:tcPr>
          <w:p w14:paraId="41ED685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C8B82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財政部函為中央政府嚴重特殊傳染性肺炎防治及紓困振興特別預算追加預算決議，檢送截至</w:t>
            </w:r>
            <w:r w:rsidRPr="00B95A07">
              <w:rPr>
                <w:rFonts w:ascii="標楷體" w:eastAsia="標楷體" w:hAnsi="標楷體"/>
                <w:kern w:val="2"/>
                <w:szCs w:val="24"/>
              </w:rPr>
              <w:t>109年9月公股銀行紓困貸款辦理情形案。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14:paraId="6E4EB01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C6A4CB"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B7EADF4"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7A35095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B53DA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470C10A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4E7CBB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7D35D15"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05E4434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F4F7B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14:paraId="70D119C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0D6B465"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9002D37"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32A6D90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E0B8A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5919F4E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w:t>
            </w:r>
            <w:r w:rsidRPr="00B95A07">
              <w:rPr>
                <w:rFonts w:ascii="標楷體" w:eastAsia="標楷體" w:hAnsi="標楷體"/>
                <w:kern w:val="2"/>
                <w:szCs w:val="24"/>
              </w:rPr>
              <w:t>7</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3D622C1"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109D01D" w14:textId="77777777" w:rsidTr="000D2E36">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76D36E6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3FFE1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財政部函送截至110年9月公股銀行紓困貸款辦理情形案。</w:t>
            </w:r>
          </w:p>
        </w:tc>
        <w:tc>
          <w:tcPr>
            <w:tcW w:w="2871" w:type="dxa"/>
            <w:tcBorders>
              <w:top w:val="single" w:sz="4" w:space="0" w:color="auto"/>
              <w:left w:val="single" w:sz="4" w:space="0" w:color="auto"/>
              <w:bottom w:val="single" w:sz="4" w:space="0" w:color="auto"/>
              <w:right w:val="single" w:sz="4" w:space="0" w:color="auto"/>
            </w:tcBorders>
          </w:tcPr>
          <w:p w14:paraId="3A03EF6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w:t>
            </w:r>
            <w:r w:rsidRPr="00B95A07">
              <w:rPr>
                <w:rFonts w:ascii="標楷體" w:eastAsia="標楷體" w:hAnsi="標楷體"/>
                <w:kern w:val="2"/>
                <w:szCs w:val="24"/>
              </w:rPr>
              <w:t>1</w:t>
            </w:r>
            <w:r w:rsidRPr="00B95A07">
              <w:rPr>
                <w:rFonts w:ascii="標楷體" w:eastAsia="標楷體" w:hAnsi="標楷體" w:hint="eastAsia"/>
                <w:kern w:val="2"/>
                <w:szCs w:val="24"/>
              </w:rPr>
              <w:t>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40438F4"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184E5DA" w14:textId="77777777" w:rsidTr="00920702">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2081E2D2"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E7568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12F024E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C4AF4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CAF746" w14:textId="77777777" w:rsidTr="00920702">
        <w:trPr>
          <w:gridAfter w:val="1"/>
          <w:wAfter w:w="7" w:type="dxa"/>
          <w:trHeight w:val="973"/>
          <w:jc w:val="center"/>
        </w:trPr>
        <w:tc>
          <w:tcPr>
            <w:tcW w:w="846" w:type="dxa"/>
            <w:tcBorders>
              <w:top w:val="single" w:sz="4" w:space="0" w:color="auto"/>
              <w:left w:val="single" w:sz="4" w:space="0" w:color="auto"/>
              <w:bottom w:val="single" w:sz="4" w:space="0" w:color="auto"/>
              <w:right w:val="single" w:sz="4" w:space="0" w:color="auto"/>
            </w:tcBorders>
          </w:tcPr>
          <w:p w14:paraId="3272925F"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66067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14:paraId="15143AF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427B15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4BE1CEF" w14:textId="77777777" w:rsidTr="00920702">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27D19C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5225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2次追加預算決議，檢送「中央政府財政現況及因應肺炎疫情之財政規劃」書面報告案。</w:t>
            </w:r>
          </w:p>
        </w:tc>
        <w:tc>
          <w:tcPr>
            <w:tcW w:w="2871" w:type="dxa"/>
            <w:tcBorders>
              <w:top w:val="single" w:sz="4" w:space="0" w:color="auto"/>
              <w:left w:val="single" w:sz="4" w:space="0" w:color="auto"/>
              <w:bottom w:val="single" w:sz="4" w:space="0" w:color="auto"/>
              <w:right w:val="single" w:sz="4" w:space="0" w:color="auto"/>
            </w:tcBorders>
          </w:tcPr>
          <w:p w14:paraId="4E81331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D92D339" w14:textId="77777777" w:rsidR="00993A58" w:rsidRPr="00B95A07" w:rsidRDefault="00993A58" w:rsidP="00F470A8">
            <w:pPr>
              <w:widowControl w:val="0"/>
              <w:overflowPunct w:val="0"/>
              <w:autoSpaceDN/>
              <w:spacing w:line="340" w:lineRule="atLeas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39C17E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C68AD87"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6D5F06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2次追加預算決議，檢送盤點因疫情及紓困振興所購入及建置之軟硬體設備書面報告案。</w:t>
            </w:r>
          </w:p>
        </w:tc>
        <w:tc>
          <w:tcPr>
            <w:tcW w:w="2871" w:type="dxa"/>
            <w:tcBorders>
              <w:top w:val="single" w:sz="4" w:space="0" w:color="auto"/>
              <w:left w:val="single" w:sz="4" w:space="0" w:color="auto"/>
              <w:bottom w:val="single" w:sz="4" w:space="0" w:color="auto"/>
              <w:right w:val="single" w:sz="4" w:space="0" w:color="auto"/>
            </w:tcBorders>
          </w:tcPr>
          <w:p w14:paraId="4875846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643D9A"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937748E"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64E0CC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4C0A0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w:t>
            </w:r>
            <w:r w:rsidRPr="00B95A07">
              <w:rPr>
                <w:rFonts w:ascii="標楷體" w:eastAsia="標楷體" w:hAnsi="標楷體"/>
                <w:kern w:val="2"/>
                <w:szCs w:val="24"/>
              </w:rPr>
              <w:t>2次追加預算決議，檢送「中央政府債務管理與債務清償計畫報告」案。</w:t>
            </w:r>
          </w:p>
        </w:tc>
        <w:tc>
          <w:tcPr>
            <w:tcW w:w="2871" w:type="dxa"/>
            <w:tcBorders>
              <w:top w:val="single" w:sz="4" w:space="0" w:color="auto"/>
              <w:left w:val="single" w:sz="4" w:space="0" w:color="auto"/>
              <w:bottom w:val="single" w:sz="4" w:space="0" w:color="auto"/>
              <w:right w:val="single" w:sz="4" w:space="0" w:color="auto"/>
            </w:tcBorders>
          </w:tcPr>
          <w:p w14:paraId="5F2A689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8FA6667"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BFCF422"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1F7F3E3C"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8344A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財政部函為中央政府嚴重特殊傳染性肺炎防治及紓困振興特別預算第3次追加預算決議，檢送疫情期間放寬微型企業紓困貸款辦理情形案。</w:t>
            </w:r>
          </w:p>
        </w:tc>
        <w:tc>
          <w:tcPr>
            <w:tcW w:w="2871" w:type="dxa"/>
            <w:tcBorders>
              <w:top w:val="single" w:sz="4" w:space="0" w:color="auto"/>
              <w:left w:val="single" w:sz="4" w:space="0" w:color="auto"/>
              <w:bottom w:val="single" w:sz="4" w:space="0" w:color="auto"/>
              <w:right w:val="single" w:sz="4" w:space="0" w:color="auto"/>
            </w:tcBorders>
          </w:tcPr>
          <w:p w14:paraId="19EED2F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A1FAB5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B95E548"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22E99C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CEA14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財政部函為中央政府嚴重特殊傳染性肺炎防治及紓困振興特別預算第4次追加預算決議，檢送舉債還款計畫書面報告案。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0D811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B1E7C5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417D29C7" w14:textId="77777777" w:rsidTr="000044D1">
        <w:trPr>
          <w:gridAfter w:val="1"/>
          <w:wAfter w:w="7" w:type="dxa"/>
          <w:trHeight w:val="1030"/>
          <w:jc w:val="center"/>
        </w:trPr>
        <w:tc>
          <w:tcPr>
            <w:tcW w:w="846" w:type="dxa"/>
            <w:tcBorders>
              <w:top w:val="single" w:sz="4" w:space="0" w:color="auto"/>
              <w:left w:val="single" w:sz="4" w:space="0" w:color="auto"/>
              <w:bottom w:val="single" w:sz="4" w:space="0" w:color="auto"/>
              <w:right w:val="single" w:sz="4" w:space="0" w:color="auto"/>
            </w:tcBorders>
          </w:tcPr>
          <w:p w14:paraId="4089F1C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0CDAB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財政部函送截至113年3月公股銀行紓困貸款辦理情形案。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2FC1F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31545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3B42D52" w14:textId="77777777" w:rsidTr="000D2E36">
        <w:trPr>
          <w:gridAfter w:val="1"/>
          <w:wAfter w:w="7" w:type="dxa"/>
          <w:trHeight w:val="987"/>
          <w:jc w:val="center"/>
        </w:trPr>
        <w:tc>
          <w:tcPr>
            <w:tcW w:w="846" w:type="dxa"/>
            <w:tcBorders>
              <w:top w:val="single" w:sz="12" w:space="0" w:color="auto"/>
              <w:left w:val="single" w:sz="4" w:space="0" w:color="auto"/>
              <w:bottom w:val="single" w:sz="4" w:space="0" w:color="auto"/>
              <w:right w:val="single" w:sz="4" w:space="0" w:color="auto"/>
            </w:tcBorders>
          </w:tcPr>
          <w:p w14:paraId="79B89C85"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A59835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金融監督管理委員會函為中央政府嚴重特殊傳染性肺炎防治及紓困振興特別預算決議，檢送「</w:t>
            </w:r>
            <w:r w:rsidRPr="00B95A07">
              <w:rPr>
                <w:rFonts w:ascii="標楷體" w:eastAsia="標楷體" w:hAnsi="標楷體"/>
                <w:kern w:val="2"/>
                <w:szCs w:val="24"/>
              </w:rPr>
              <w:t>109年股東常會防疫措施」書面報告案。</w:t>
            </w:r>
          </w:p>
        </w:tc>
        <w:tc>
          <w:tcPr>
            <w:tcW w:w="2871" w:type="dxa"/>
            <w:tcBorders>
              <w:top w:val="single" w:sz="12" w:space="0" w:color="auto"/>
              <w:left w:val="single" w:sz="4" w:space="0" w:color="auto"/>
              <w:bottom w:val="single" w:sz="4" w:space="0" w:color="auto"/>
              <w:right w:val="single" w:sz="4" w:space="0" w:color="auto"/>
            </w:tcBorders>
          </w:tcPr>
          <w:p w14:paraId="17117A1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1485FF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C002476" w14:textId="77777777" w:rsidTr="000D2E36">
        <w:trPr>
          <w:gridAfter w:val="1"/>
          <w:wAfter w:w="7" w:type="dxa"/>
          <w:trHeight w:val="987"/>
          <w:jc w:val="center"/>
        </w:trPr>
        <w:tc>
          <w:tcPr>
            <w:tcW w:w="846" w:type="dxa"/>
            <w:tcBorders>
              <w:top w:val="single" w:sz="4" w:space="0" w:color="auto"/>
              <w:left w:val="single" w:sz="4" w:space="0" w:color="auto"/>
              <w:bottom w:val="single" w:sz="12" w:space="0" w:color="auto"/>
              <w:right w:val="single" w:sz="4" w:space="0" w:color="auto"/>
            </w:tcBorders>
          </w:tcPr>
          <w:p w14:paraId="623BA3AA"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5029AC9"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金融監督管理委員會函為中央政府嚴重特殊傳染性肺炎防治及紓困振興特別預算第3次追加預算決議，檢送「高端疫苗二期解盲成功，但股價暴起暴落是否涉有內線交易」書面報告案。</w:t>
            </w:r>
          </w:p>
        </w:tc>
        <w:tc>
          <w:tcPr>
            <w:tcW w:w="2871" w:type="dxa"/>
            <w:tcBorders>
              <w:top w:val="single" w:sz="4" w:space="0" w:color="auto"/>
              <w:left w:val="single" w:sz="4" w:space="0" w:color="auto"/>
              <w:bottom w:val="single" w:sz="12" w:space="0" w:color="auto"/>
              <w:right w:val="single" w:sz="4" w:space="0" w:color="auto"/>
            </w:tcBorders>
          </w:tcPr>
          <w:p w14:paraId="6FF8C5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35B6AC63"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D497C6" w14:textId="77777777" w:rsidTr="000D2E36">
        <w:trPr>
          <w:gridAfter w:val="1"/>
          <w:wAfter w:w="7" w:type="dxa"/>
          <w:trHeight w:val="1119"/>
          <w:jc w:val="center"/>
        </w:trPr>
        <w:tc>
          <w:tcPr>
            <w:tcW w:w="846" w:type="dxa"/>
            <w:tcBorders>
              <w:top w:val="single" w:sz="12" w:space="0" w:color="auto"/>
              <w:left w:val="single" w:sz="4" w:space="0" w:color="auto"/>
              <w:bottom w:val="single" w:sz="4" w:space="0" w:color="auto"/>
              <w:right w:val="single" w:sz="4" w:space="0" w:color="auto"/>
            </w:tcBorders>
          </w:tcPr>
          <w:p w14:paraId="6C839C2E"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00B7E5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行政院主計總處函為中央政府嚴重特殊傳染性肺炎防治及紓困振興特別預算追加預算決議，檢送先行動支情形書面報告案。</w:t>
            </w:r>
          </w:p>
        </w:tc>
        <w:tc>
          <w:tcPr>
            <w:tcW w:w="2871" w:type="dxa"/>
            <w:tcBorders>
              <w:top w:val="single" w:sz="12" w:space="0" w:color="auto"/>
              <w:left w:val="single" w:sz="4" w:space="0" w:color="auto"/>
              <w:bottom w:val="single" w:sz="4" w:space="0" w:color="auto"/>
              <w:right w:val="single" w:sz="4" w:space="0" w:color="auto"/>
            </w:tcBorders>
          </w:tcPr>
          <w:p w14:paraId="23FA52D4"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5548619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E47E79F" w14:textId="77777777" w:rsidTr="000D2E36">
        <w:trPr>
          <w:gridAfter w:val="1"/>
          <w:wAfter w:w="7" w:type="dxa"/>
          <w:trHeight w:val="985"/>
          <w:jc w:val="center"/>
        </w:trPr>
        <w:tc>
          <w:tcPr>
            <w:tcW w:w="846" w:type="dxa"/>
            <w:tcBorders>
              <w:top w:val="single" w:sz="4" w:space="0" w:color="auto"/>
              <w:left w:val="single" w:sz="4" w:space="0" w:color="auto"/>
              <w:bottom w:val="single" w:sz="4" w:space="0" w:color="auto"/>
              <w:right w:val="single" w:sz="4" w:space="0" w:color="auto"/>
            </w:tcBorders>
          </w:tcPr>
          <w:p w14:paraId="7ACF706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18FC37"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行政院主計總處函為中央政府嚴重特殊傳染性肺炎防治及紓困振興特別預算追加預算決議，檢送地方政府申請補助情形案。</w:t>
            </w:r>
          </w:p>
        </w:tc>
        <w:tc>
          <w:tcPr>
            <w:tcW w:w="2871" w:type="dxa"/>
            <w:tcBorders>
              <w:top w:val="single" w:sz="4" w:space="0" w:color="auto"/>
              <w:left w:val="single" w:sz="4" w:space="0" w:color="auto"/>
              <w:bottom w:val="single" w:sz="4" w:space="0" w:color="auto"/>
              <w:right w:val="single" w:sz="4" w:space="0" w:color="auto"/>
            </w:tcBorders>
          </w:tcPr>
          <w:p w14:paraId="70906BC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F8361B2"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3377FB5"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78D7F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58895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2次追加預算決議，檢送追加預算所列不敷數之動支情形案。</w:t>
            </w:r>
          </w:p>
        </w:tc>
        <w:tc>
          <w:tcPr>
            <w:tcW w:w="2871" w:type="dxa"/>
            <w:tcBorders>
              <w:top w:val="single" w:sz="4" w:space="0" w:color="auto"/>
              <w:left w:val="single" w:sz="4" w:space="0" w:color="auto"/>
              <w:bottom w:val="single" w:sz="4" w:space="0" w:color="auto"/>
              <w:right w:val="single" w:sz="4" w:space="0" w:color="auto"/>
            </w:tcBorders>
          </w:tcPr>
          <w:p w14:paraId="519940BE"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55A2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2B68268E" w14:textId="77777777" w:rsidTr="000D2E36">
        <w:trPr>
          <w:gridAfter w:val="1"/>
          <w:wAfter w:w="7" w:type="dxa"/>
          <w:trHeight w:val="925"/>
          <w:jc w:val="center"/>
        </w:trPr>
        <w:tc>
          <w:tcPr>
            <w:tcW w:w="846" w:type="dxa"/>
            <w:tcBorders>
              <w:top w:val="single" w:sz="4" w:space="0" w:color="auto"/>
              <w:left w:val="single" w:sz="4" w:space="0" w:color="auto"/>
              <w:bottom w:val="single" w:sz="4" w:space="0" w:color="auto"/>
              <w:right w:val="single" w:sz="4" w:space="0" w:color="auto"/>
            </w:tcBorders>
          </w:tcPr>
          <w:p w14:paraId="532AFD4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433AF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2次追加預算決議，檢送跨部會間經費流用情形報告案。</w:t>
            </w:r>
          </w:p>
        </w:tc>
        <w:tc>
          <w:tcPr>
            <w:tcW w:w="2871" w:type="dxa"/>
            <w:tcBorders>
              <w:top w:val="single" w:sz="4" w:space="0" w:color="auto"/>
              <w:left w:val="single" w:sz="4" w:space="0" w:color="auto"/>
              <w:bottom w:val="single" w:sz="4" w:space="0" w:color="auto"/>
              <w:right w:val="single" w:sz="4" w:space="0" w:color="auto"/>
            </w:tcBorders>
          </w:tcPr>
          <w:p w14:paraId="353951E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30895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16A83B1"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59BCEE8"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5D7265"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2次追加預算決議，檢送「總預算因應嚴重特殊傳染性肺炎防治及紓困振興經費移緩濟急情形報告」案。</w:t>
            </w:r>
          </w:p>
        </w:tc>
        <w:tc>
          <w:tcPr>
            <w:tcW w:w="2871" w:type="dxa"/>
            <w:tcBorders>
              <w:top w:val="single" w:sz="4" w:space="0" w:color="auto"/>
              <w:left w:val="single" w:sz="4" w:space="0" w:color="auto"/>
              <w:bottom w:val="single" w:sz="4" w:space="0" w:color="auto"/>
              <w:right w:val="single" w:sz="4" w:space="0" w:color="auto"/>
            </w:tcBorders>
          </w:tcPr>
          <w:p w14:paraId="7CFA7DE8"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.1</w:t>
            </w:r>
            <w:r w:rsidRPr="00B95A07">
              <w:rPr>
                <w:rFonts w:ascii="標楷體" w:eastAsia="標楷體" w:hAnsi="標楷體"/>
                <w:kern w:val="2"/>
                <w:szCs w:val="24"/>
              </w:rPr>
              <w:t>8</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0BD18B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7805D474"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E4AFB43"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960AA3"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14:paraId="7022EC2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6C96A76"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C3A32B6"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12B47110"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621D4C"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w:t>
            </w:r>
            <w:r w:rsidRPr="00B95A07">
              <w:rPr>
                <w:rFonts w:ascii="標楷體" w:eastAsia="標楷體" w:hAnsi="標楷體"/>
                <w:kern w:val="2"/>
                <w:szCs w:val="24"/>
              </w:rPr>
              <w:t>2次追加預算決議，檢送紓困振興經費滾動檢討書面報告案。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20AC61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5D9C1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688DE16D"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0FB862D6"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B462D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行政院主計總處函為中央政府嚴重特殊傳染性肺炎防治及紓困振興特別預算第4次追加預算決議，檢送後續振興措施與財務規劃報告案。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63FB2CF"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BB8298"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12B50872"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60DF521"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81C75D"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行政院主計總處函為中央政府嚴重特殊傳染性肺炎防治及紓困振興特別預算第4次追加預算決議，檢送追加預算案之規劃、編製報告案。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C9DC22"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0EB150"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542A4198"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611A5FD"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19AF51"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行政院主計總處函，為中央政府嚴重特殊傳染性肺炎防治及紓困振興特別預算第4次追加預算決議，檢送後續預算規劃書面報告案。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6794D6"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2C5AA7C"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993A58" w:rsidRPr="00B95A07" w14:paraId="32B0334B" w14:textId="77777777" w:rsidTr="00EB1A29">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7423494B" w14:textId="77777777" w:rsidR="00993A58" w:rsidRPr="00B95A07" w:rsidRDefault="00993A58" w:rsidP="00FA328D">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BFC3BA"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行政院主計總處函為中央政府嚴重特殊傳染性肺炎防治及紓困振興特別預算第4次追加預算決議，檢送債務餘額大幅增加檢討書面報告案。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C46540" w14:textId="77777777" w:rsidR="00993A58" w:rsidRPr="00B95A07" w:rsidRDefault="00993A58"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6D284E" w14:textId="77777777" w:rsidR="00993A58" w:rsidRPr="00B95A07" w:rsidRDefault="00993A58" w:rsidP="00F470A8">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9491ADD" w14:textId="77777777" w:rsidTr="00EB1A29">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146D962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25A1CB" w14:textId="61115FE1"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行政院主計總處函為中央政府嚴重特殊傳染性肺炎防治及紓困振興特別預算第4次追加預算決議，檢送特別預算案未完成法定程序先行支付其一部分之說明案。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BCC3DB" w14:textId="72982AC1"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DB2A3F7" w14:textId="52AD1D28"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67F108D" w14:textId="77777777" w:rsidTr="00EB1A29">
        <w:trPr>
          <w:gridAfter w:val="1"/>
          <w:wAfter w:w="7" w:type="dxa"/>
          <w:trHeight w:val="1245"/>
          <w:jc w:val="center"/>
        </w:trPr>
        <w:tc>
          <w:tcPr>
            <w:tcW w:w="846" w:type="dxa"/>
            <w:tcBorders>
              <w:top w:val="single" w:sz="4" w:space="0" w:color="auto"/>
              <w:left w:val="single" w:sz="4" w:space="0" w:color="auto"/>
              <w:bottom w:val="single" w:sz="12" w:space="0" w:color="auto"/>
              <w:right w:val="single" w:sz="4" w:space="0" w:color="auto"/>
            </w:tcBorders>
          </w:tcPr>
          <w:p w14:paraId="2CACA0E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A6BEBF" w14:textId="52C7F078" w:rsidR="00EB1A29" w:rsidRPr="00EB1A29" w:rsidRDefault="00EB1A29" w:rsidP="005134C1">
            <w:pPr>
              <w:widowControl w:val="0"/>
              <w:overflowPunct w:val="0"/>
              <w:autoSpaceDN/>
              <w:spacing w:line="320" w:lineRule="exact"/>
              <w:jc w:val="both"/>
              <w:textAlignment w:val="auto"/>
              <w:rPr>
                <w:rFonts w:ascii="標楷體" w:eastAsia="標楷體" w:hAnsi="標楷體"/>
                <w:kern w:val="2"/>
                <w:szCs w:val="24"/>
              </w:rPr>
            </w:pPr>
            <w:r w:rsidRPr="00EB1A29">
              <w:rPr>
                <w:rFonts w:ascii="標楷體" w:eastAsia="標楷體" w:hAnsi="標楷體" w:hint="eastAsia"/>
                <w:kern w:val="2"/>
                <w:szCs w:val="24"/>
              </w:rPr>
              <w:t>行政院主計總處函為中央政府嚴重特殊傳染性肺炎防治及紓困振興特別預算第2次追加預算決議，檢送各部會移緩濟急經費列表整理相關資料案。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18F0A1FF" w14:textId="5B610E46" w:rsidR="00EB1A29" w:rsidRPr="00EB1A29" w:rsidRDefault="00EB1A29" w:rsidP="005134C1">
            <w:pPr>
              <w:widowControl w:val="0"/>
              <w:overflowPunct w:val="0"/>
              <w:autoSpaceDN/>
              <w:spacing w:line="320" w:lineRule="exact"/>
              <w:jc w:val="both"/>
              <w:textAlignment w:val="auto"/>
              <w:rPr>
                <w:rFonts w:ascii="標楷體" w:eastAsia="標楷體" w:hAnsi="標楷體"/>
                <w:kern w:val="2"/>
                <w:szCs w:val="24"/>
              </w:rPr>
            </w:pPr>
            <w:r w:rsidRPr="00EB1A29">
              <w:rPr>
                <w:rFonts w:ascii="標楷體" w:eastAsia="標楷體" w:hAnsi="標楷體" w:hint="eastAsia"/>
                <w:kern w:val="2"/>
                <w:szCs w:val="24"/>
              </w:rPr>
              <w:t>第10屆第8會期第3次院會（1</w:t>
            </w:r>
            <w:r w:rsidRPr="00EB1A29">
              <w:rPr>
                <w:rFonts w:ascii="標楷體" w:eastAsia="標楷體" w:hAnsi="標楷體"/>
                <w:kern w:val="2"/>
                <w:szCs w:val="24"/>
              </w:rPr>
              <w:t>12</w:t>
            </w:r>
            <w:r w:rsidRPr="00EB1A29">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628369CF" w14:textId="356D75BD" w:rsidR="00EB1A29" w:rsidRPr="00EB1A29"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EB1A29">
              <w:rPr>
                <w:rFonts w:ascii="標楷體" w:eastAsia="標楷體" w:hAnsi="標楷體" w:hint="eastAsia"/>
                <w:kern w:val="2"/>
                <w:szCs w:val="24"/>
              </w:rPr>
              <w:t>尚未審查</w:t>
            </w:r>
          </w:p>
        </w:tc>
      </w:tr>
      <w:tr w:rsidR="00EB1A29" w:rsidRPr="00B95A07" w14:paraId="0B6BAFA4" w14:textId="77777777" w:rsidTr="00EB1A29">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3AACFB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AEF2E7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內政部函為中央政府嚴重特殊傳染性肺炎防治及紓困振興特別預算決議，檢送移民署「擴大自行到案」（失聯移工獎勵投案機制）規劃書面報告案。</w:t>
            </w:r>
          </w:p>
        </w:tc>
        <w:tc>
          <w:tcPr>
            <w:tcW w:w="2871" w:type="dxa"/>
            <w:tcBorders>
              <w:top w:val="single" w:sz="12" w:space="0" w:color="auto"/>
              <w:left w:val="single" w:sz="4" w:space="0" w:color="auto"/>
              <w:bottom w:val="single" w:sz="4" w:space="0" w:color="auto"/>
              <w:right w:val="single" w:sz="4" w:space="0" w:color="auto"/>
            </w:tcBorders>
          </w:tcPr>
          <w:p w14:paraId="04D671A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第10屆第1會期第10次院會（10</w:t>
            </w:r>
            <w:r w:rsidRPr="00B95A07">
              <w:rPr>
                <w:rFonts w:ascii="標楷體" w:eastAsia="標楷體" w:hAnsi="標楷體"/>
                <w:spacing w:val="-4"/>
                <w:kern w:val="2"/>
                <w:szCs w:val="24"/>
              </w:rPr>
              <w:t>9</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4</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24</w:t>
            </w:r>
            <w:r w:rsidRPr="00B95A07">
              <w:rPr>
                <w:rFonts w:ascii="標楷體" w:eastAsia="標楷體" w:hAnsi="標楷體" w:hint="eastAsia"/>
                <w:spacing w:val="-4"/>
                <w:kern w:val="2"/>
                <w:szCs w:val="24"/>
              </w:rPr>
              <w:t>）決定：「交財政、內政兩委員會審查」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31D31F7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EB1A29" w:rsidRPr="00B95A07" w14:paraId="160080F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D3DE70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D4666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內政部函為中央政府嚴重特殊傳染性肺炎防治及紓困振興特別預算決議，檢送移民署完備外國人入國資料即時建檔作業書面報告案。</w:t>
            </w:r>
          </w:p>
        </w:tc>
        <w:tc>
          <w:tcPr>
            <w:tcW w:w="2871" w:type="dxa"/>
            <w:tcBorders>
              <w:top w:val="single" w:sz="4" w:space="0" w:color="auto"/>
              <w:left w:val="single" w:sz="4" w:space="0" w:color="auto"/>
              <w:bottom w:val="single" w:sz="4" w:space="0" w:color="auto"/>
              <w:right w:val="single" w:sz="4" w:space="0" w:color="auto"/>
            </w:tcBorders>
          </w:tcPr>
          <w:p w14:paraId="1168A6F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第10屆第1會期第14次院會（10</w:t>
            </w:r>
            <w:r w:rsidRPr="00B95A07">
              <w:rPr>
                <w:rFonts w:ascii="標楷體" w:eastAsia="標楷體" w:hAnsi="標楷體"/>
                <w:spacing w:val="-4"/>
                <w:kern w:val="2"/>
                <w:szCs w:val="24"/>
              </w:rPr>
              <w:t>9</w:t>
            </w:r>
            <w:r w:rsidRPr="00B95A07">
              <w:rPr>
                <w:rFonts w:ascii="標楷體" w:eastAsia="標楷體" w:hAnsi="標楷體" w:hint="eastAsia"/>
                <w:spacing w:val="-4"/>
                <w:kern w:val="2"/>
                <w:szCs w:val="24"/>
              </w:rPr>
              <w:t>.5.</w:t>
            </w:r>
            <w:r w:rsidRPr="00B95A07">
              <w:rPr>
                <w:rFonts w:ascii="標楷體" w:eastAsia="標楷體" w:hAnsi="標楷體"/>
                <w:spacing w:val="-4"/>
                <w:kern w:val="2"/>
                <w:szCs w:val="24"/>
              </w:rPr>
              <w:t>2</w:t>
            </w:r>
            <w:r w:rsidRPr="00B95A07">
              <w:rPr>
                <w:rFonts w:ascii="標楷體" w:eastAsia="標楷體" w:hAnsi="標楷體" w:hint="eastAsia"/>
                <w:spacing w:val="-4"/>
                <w:kern w:val="2"/>
                <w:szCs w:val="24"/>
              </w:rPr>
              <w:t>2）決定：「交財政、內政兩委員會審查」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6D9A0F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EB1A29" w:rsidRPr="00B95A07" w14:paraId="116D4BC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C6052C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548E5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w:t>
            </w:r>
            <w:r w:rsidRPr="00B95A07">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74E53E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92024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DDB08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9002A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70B5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內政部函為中央政府嚴重特殊傳染性肺炎防治及紓困振興特別預算第2次追加預算決議，檢送110年9月紓困方案執行情形書面報告案。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2CE6A37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7198A5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C6C62F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8C930D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6351C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內政部函送該部主管受衝擊產業各項紓困方案111年1月份執行情形書面報告案。</w:t>
            </w:r>
          </w:p>
        </w:tc>
        <w:tc>
          <w:tcPr>
            <w:tcW w:w="2871" w:type="dxa"/>
            <w:tcBorders>
              <w:top w:val="single" w:sz="4" w:space="0" w:color="auto"/>
              <w:left w:val="single" w:sz="4" w:space="0" w:color="auto"/>
              <w:bottom w:val="single" w:sz="4" w:space="0" w:color="auto"/>
              <w:right w:val="single" w:sz="4" w:space="0" w:color="auto"/>
            </w:tcBorders>
          </w:tcPr>
          <w:p w14:paraId="4244A5B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E97462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107D9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51CD10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8AED3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內政部函送該部主管受衝擊產業各項紓困方案112年10月份執行情形書面報告案。</w:t>
            </w:r>
          </w:p>
        </w:tc>
        <w:tc>
          <w:tcPr>
            <w:tcW w:w="2871" w:type="dxa"/>
            <w:tcBorders>
              <w:top w:val="single" w:sz="4" w:space="0" w:color="auto"/>
              <w:left w:val="single" w:sz="4" w:space="0" w:color="auto"/>
              <w:bottom w:val="single" w:sz="4" w:space="0" w:color="auto"/>
              <w:right w:val="single" w:sz="4" w:space="0" w:color="auto"/>
            </w:tcBorders>
          </w:tcPr>
          <w:p w14:paraId="25BAB59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kern w:val="2"/>
                <w:szCs w:val="24"/>
              </w:rPr>
              <w:t>第10屆第8會期第12次院會（1</w:t>
            </w:r>
            <w:r w:rsidRPr="00B95A07">
              <w:rPr>
                <w:rFonts w:ascii="標楷體" w:eastAsia="標楷體" w:hAnsi="標楷體"/>
                <w:kern w:val="2"/>
                <w:szCs w:val="24"/>
              </w:rPr>
              <w:t>1</w:t>
            </w:r>
            <w:r w:rsidRPr="00B95A07">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6D42EB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DA1D22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4AFE22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83BE2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內政部函為中央政府嚴重特殊傳染性肺炎防治及紓困振興特別預算第3次追加預算決議，檢送「成立警消醫護加油棧辦理情形」書面報告案。</w:t>
            </w:r>
          </w:p>
        </w:tc>
        <w:tc>
          <w:tcPr>
            <w:tcW w:w="2871" w:type="dxa"/>
            <w:tcBorders>
              <w:top w:val="single" w:sz="4" w:space="0" w:color="auto"/>
              <w:left w:val="single" w:sz="4" w:space="0" w:color="auto"/>
              <w:bottom w:val="single" w:sz="4" w:space="0" w:color="auto"/>
              <w:right w:val="single" w:sz="4" w:space="0" w:color="auto"/>
            </w:tcBorders>
          </w:tcPr>
          <w:p w14:paraId="0B22725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第10屆第4會期第14次院會（1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.12.17）決定：「交財政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88AEA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7EBB6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407071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A6F15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內政部函為中央政府嚴重特殊傳染性肺炎防治及紓困振興特別預算第3次追加預算決議，檢送針對替代役役男研擬紓困措施之說明案。</w:t>
            </w:r>
          </w:p>
        </w:tc>
        <w:tc>
          <w:tcPr>
            <w:tcW w:w="2871" w:type="dxa"/>
            <w:tcBorders>
              <w:top w:val="single" w:sz="4" w:space="0" w:color="auto"/>
              <w:left w:val="single" w:sz="4" w:space="0" w:color="auto"/>
              <w:bottom w:val="single" w:sz="4" w:space="0" w:color="auto"/>
              <w:right w:val="single" w:sz="4" w:space="0" w:color="auto"/>
            </w:tcBorders>
          </w:tcPr>
          <w:p w14:paraId="3B8477A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第10屆第4會期第14次院會（1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.12.17）決定：「交財政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F0447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F9165F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FE75CA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D9E8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內政部函為中央政府嚴重特殊傳染性肺炎防治及紓困振興特別預算第4次追加預算決議，檢送預算執行情形專案報告案。</w:t>
            </w:r>
          </w:p>
        </w:tc>
        <w:tc>
          <w:tcPr>
            <w:tcW w:w="2871" w:type="dxa"/>
            <w:tcBorders>
              <w:top w:val="single" w:sz="4" w:space="0" w:color="auto"/>
              <w:left w:val="single" w:sz="4" w:space="0" w:color="auto"/>
              <w:bottom w:val="single" w:sz="4" w:space="0" w:color="auto"/>
              <w:right w:val="single" w:sz="4" w:space="0" w:color="auto"/>
            </w:tcBorders>
          </w:tcPr>
          <w:p w14:paraId="67C1153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第10屆第5會期第3次院會（1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1.3.11）決定：「交財政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558827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69774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800CB9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8FD93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內政部函為中央政府嚴重特殊傳染性肺炎防治及紓困振興特別預算第4次追加預算決議，檢送「查處違反暫停營業規定之八大行業獎勵金規定」書面報告案。</w:t>
            </w:r>
          </w:p>
        </w:tc>
        <w:tc>
          <w:tcPr>
            <w:tcW w:w="2871" w:type="dxa"/>
            <w:tcBorders>
              <w:top w:val="single" w:sz="4" w:space="0" w:color="auto"/>
              <w:left w:val="single" w:sz="4" w:space="0" w:color="auto"/>
              <w:bottom w:val="single" w:sz="4" w:space="0" w:color="auto"/>
              <w:right w:val="single" w:sz="4" w:space="0" w:color="auto"/>
            </w:tcBorders>
          </w:tcPr>
          <w:p w14:paraId="068D000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第10屆第5會期第8次院會（1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4</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A45E4D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1E523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7112D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16802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內政部函為中央政府嚴重特殊傳染性肺炎防治及紓困振興特別預算第4次追加預算決議，檢送超商配合防疫所引發之治安問題書面報告案。</w:t>
            </w:r>
          </w:p>
        </w:tc>
        <w:tc>
          <w:tcPr>
            <w:tcW w:w="2871" w:type="dxa"/>
            <w:tcBorders>
              <w:top w:val="single" w:sz="4" w:space="0" w:color="auto"/>
              <w:left w:val="single" w:sz="4" w:space="0" w:color="auto"/>
              <w:bottom w:val="single" w:sz="4" w:space="0" w:color="auto"/>
              <w:right w:val="single" w:sz="4" w:space="0" w:color="auto"/>
            </w:tcBorders>
          </w:tcPr>
          <w:p w14:paraId="0F3FA6A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7E9DF0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559B47"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6044915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88D1D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內政部函為中央政府嚴重特殊傳染性肺炎防治及紓困振興特別預算第4次追加預算決議，檢送警政署「針對特定營業場所停業所出現問題及可能發生地下化效應之因應作</w:t>
            </w:r>
            <w:r w:rsidRPr="00B95A07">
              <w:rPr>
                <w:rFonts w:ascii="標楷體" w:eastAsia="標楷體" w:hAnsi="標楷體" w:hint="eastAsia"/>
                <w:kern w:val="2"/>
                <w:szCs w:val="24"/>
              </w:rPr>
              <w:lastRenderedPageBreak/>
              <w:t>為」書面報告案。</w:t>
            </w:r>
          </w:p>
        </w:tc>
        <w:tc>
          <w:tcPr>
            <w:tcW w:w="2871" w:type="dxa"/>
            <w:tcBorders>
              <w:top w:val="single" w:sz="4" w:space="0" w:color="auto"/>
              <w:left w:val="single" w:sz="4" w:space="0" w:color="auto"/>
              <w:bottom w:val="single" w:sz="4" w:space="0" w:color="auto"/>
              <w:right w:val="single" w:sz="4" w:space="0" w:color="auto"/>
            </w:tcBorders>
          </w:tcPr>
          <w:p w14:paraId="38E7BD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lastRenderedPageBreak/>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D51B33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D07D10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932B92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F5D62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內政部函為中央政府嚴重特殊傳染性肺炎防治及紓困振興特別預算第4次追加預算決議，檢送第一線人員執行防疫工作裝備書面報告案。</w:t>
            </w:r>
          </w:p>
        </w:tc>
        <w:tc>
          <w:tcPr>
            <w:tcW w:w="2871" w:type="dxa"/>
            <w:tcBorders>
              <w:top w:val="single" w:sz="4" w:space="0" w:color="auto"/>
              <w:left w:val="single" w:sz="4" w:space="0" w:color="auto"/>
              <w:bottom w:val="single" w:sz="4" w:space="0" w:color="auto"/>
              <w:right w:val="single" w:sz="4" w:space="0" w:color="auto"/>
            </w:tcBorders>
          </w:tcPr>
          <w:p w14:paraId="7725467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C0E560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A93EBB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FEA6B6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265BD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內政部函為中央政府嚴重特殊傳染性肺炎防治及紓困振興特別預算第4次追加預算決議，檢送第一線人員執行防疫工作裝備、清消書面報告案。</w:t>
            </w:r>
          </w:p>
        </w:tc>
        <w:tc>
          <w:tcPr>
            <w:tcW w:w="2871" w:type="dxa"/>
            <w:tcBorders>
              <w:top w:val="single" w:sz="4" w:space="0" w:color="auto"/>
              <w:left w:val="single" w:sz="4" w:space="0" w:color="auto"/>
              <w:bottom w:val="single" w:sz="4" w:space="0" w:color="auto"/>
              <w:right w:val="single" w:sz="4" w:space="0" w:color="auto"/>
            </w:tcBorders>
          </w:tcPr>
          <w:p w14:paraId="0D9E9E7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317C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A4147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7C7B3F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4FB95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內政部函為中央政府嚴重特殊傳染性肺炎防治及紓困振興特別預算第4次追加預算決議，檢送第一線人員染疫風險評估書面報告案。</w:t>
            </w:r>
          </w:p>
        </w:tc>
        <w:tc>
          <w:tcPr>
            <w:tcW w:w="2871" w:type="dxa"/>
            <w:tcBorders>
              <w:top w:val="single" w:sz="4" w:space="0" w:color="auto"/>
              <w:left w:val="single" w:sz="4" w:space="0" w:color="auto"/>
              <w:bottom w:val="single" w:sz="4" w:space="0" w:color="auto"/>
              <w:right w:val="single" w:sz="4" w:space="0" w:color="auto"/>
            </w:tcBorders>
          </w:tcPr>
          <w:p w14:paraId="2485F15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88229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A26FF2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7B1B44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5DF79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14:paraId="0AF00FA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694810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1B5E2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518311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1F639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內政部函為中央政府嚴重特殊傳染性肺炎防治及紓困振興特別預算第4次追加預算決議，檢送「第一線人員執行防疫工作裝備、清消及染疫風險評估書面報告」案。</w:t>
            </w:r>
          </w:p>
        </w:tc>
        <w:tc>
          <w:tcPr>
            <w:tcW w:w="2871" w:type="dxa"/>
            <w:tcBorders>
              <w:top w:val="single" w:sz="4" w:space="0" w:color="auto"/>
              <w:left w:val="single" w:sz="4" w:space="0" w:color="auto"/>
              <w:bottom w:val="single" w:sz="4" w:space="0" w:color="auto"/>
              <w:right w:val="single" w:sz="4" w:space="0" w:color="auto"/>
            </w:tcBorders>
          </w:tcPr>
          <w:p w14:paraId="6B3B9E5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935982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A529D7" w14:textId="77777777" w:rsidTr="000D2E36">
        <w:trPr>
          <w:gridAfter w:val="1"/>
          <w:wAfter w:w="7" w:type="dxa"/>
          <w:trHeight w:val="960"/>
          <w:jc w:val="center"/>
        </w:trPr>
        <w:tc>
          <w:tcPr>
            <w:tcW w:w="846" w:type="dxa"/>
            <w:tcBorders>
              <w:top w:val="single" w:sz="4" w:space="0" w:color="auto"/>
              <w:left w:val="single" w:sz="4" w:space="0" w:color="auto"/>
              <w:bottom w:val="single" w:sz="12" w:space="0" w:color="auto"/>
              <w:right w:val="single" w:sz="4" w:space="0" w:color="auto"/>
            </w:tcBorders>
          </w:tcPr>
          <w:p w14:paraId="5CF797F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18CE4F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內政部函為中央政府嚴重特殊傳染性肺炎防治及紓困振興特別預算第4次追加預算決議，檢送消防署及移民署防疫工作獎勵金書面報告案。</w:t>
            </w:r>
          </w:p>
        </w:tc>
        <w:tc>
          <w:tcPr>
            <w:tcW w:w="2871" w:type="dxa"/>
            <w:tcBorders>
              <w:top w:val="single" w:sz="4" w:space="0" w:color="auto"/>
              <w:left w:val="single" w:sz="4" w:space="0" w:color="auto"/>
              <w:bottom w:val="single" w:sz="12" w:space="0" w:color="auto"/>
              <w:right w:val="single" w:sz="4" w:space="0" w:color="auto"/>
            </w:tcBorders>
          </w:tcPr>
          <w:p w14:paraId="3538F7E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第10屆第5會期第11次院會（1</w:t>
            </w:r>
            <w:r w:rsidRPr="00B95A07">
              <w:rPr>
                <w:rFonts w:ascii="標楷體" w:eastAsia="標楷體" w:hAnsi="標楷體"/>
                <w:spacing w:val="-4"/>
                <w:kern w:val="2"/>
                <w:szCs w:val="24"/>
              </w:rPr>
              <w:t>1</w:t>
            </w:r>
            <w:r w:rsidRPr="00B95A07">
              <w:rPr>
                <w:rFonts w:ascii="標楷體" w:eastAsia="標楷體" w:hAnsi="標楷體" w:hint="eastAsia"/>
                <w:spacing w:val="-4"/>
                <w:kern w:val="2"/>
                <w:szCs w:val="24"/>
              </w:rPr>
              <w:t>1.</w:t>
            </w:r>
            <w:r w:rsidRPr="00B95A07">
              <w:rPr>
                <w:rFonts w:ascii="標楷體" w:eastAsia="標楷體" w:hAnsi="標楷體"/>
                <w:spacing w:val="-4"/>
                <w:kern w:val="2"/>
                <w:szCs w:val="24"/>
              </w:rPr>
              <w:t>5</w:t>
            </w:r>
            <w:r w:rsidRPr="00B95A07">
              <w:rPr>
                <w:rFonts w:ascii="標楷體" w:eastAsia="標楷體" w:hAnsi="標楷體" w:hint="eastAsia"/>
                <w:spacing w:val="-4"/>
                <w:kern w:val="2"/>
                <w:szCs w:val="24"/>
              </w:rPr>
              <w:t>.</w:t>
            </w:r>
            <w:r w:rsidRPr="00B95A07">
              <w:rPr>
                <w:rFonts w:ascii="標楷體" w:eastAsia="標楷體" w:hAnsi="標楷體"/>
                <w:spacing w:val="-4"/>
                <w:kern w:val="2"/>
                <w:szCs w:val="24"/>
              </w:rPr>
              <w:t>6</w:t>
            </w:r>
            <w:r w:rsidRPr="00B95A07">
              <w:rPr>
                <w:rFonts w:ascii="標楷體" w:eastAsia="標楷體" w:hAnsi="標楷體" w:hint="eastAsia"/>
                <w:spacing w:val="-4"/>
                <w:kern w:val="2"/>
                <w:szCs w:val="24"/>
              </w:rPr>
              <w:t>）決定：「交財政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658C264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6EE6F6"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7742F1D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E44FC61" w14:textId="3635F72E" w:rsidR="00EB1A29" w:rsidRPr="00B95A07" w:rsidRDefault="00EB1A29" w:rsidP="00300923">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經濟部函送工業局新增口罩機臺之預計量產數量與期程書面報告案。</w:t>
            </w:r>
          </w:p>
        </w:tc>
        <w:tc>
          <w:tcPr>
            <w:tcW w:w="2871" w:type="dxa"/>
            <w:tcBorders>
              <w:top w:val="single" w:sz="12" w:space="0" w:color="auto"/>
              <w:left w:val="single" w:sz="4" w:space="0" w:color="auto"/>
              <w:bottom w:val="single" w:sz="4" w:space="0" w:color="auto"/>
              <w:right w:val="single" w:sz="4" w:space="0" w:color="auto"/>
            </w:tcBorders>
          </w:tcPr>
          <w:p w14:paraId="1792FA7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第10屆第1會期第9次院會（109.4.</w:t>
            </w:r>
            <w:r w:rsidRPr="00B95A07">
              <w:rPr>
                <w:rFonts w:ascii="標楷體" w:eastAsia="標楷體" w:hAnsi="標楷體"/>
                <w:kern w:val="2"/>
                <w:szCs w:val="24"/>
              </w:rPr>
              <w:t>17</w:t>
            </w:r>
            <w:r w:rsidRPr="00B95A07">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7C9F904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6B479B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99F25E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7D49F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經濟部函為中央政府嚴重特殊傳染性肺炎防治及紓困振興特別預算決議，檢送工業局「新增口罩機臺管理措施」書面報告案。</w:t>
            </w:r>
          </w:p>
        </w:tc>
        <w:tc>
          <w:tcPr>
            <w:tcW w:w="2871" w:type="dxa"/>
            <w:tcBorders>
              <w:top w:val="single" w:sz="4" w:space="0" w:color="auto"/>
              <w:left w:val="single" w:sz="4" w:space="0" w:color="auto"/>
              <w:bottom w:val="single" w:sz="4" w:space="0" w:color="auto"/>
              <w:right w:val="single" w:sz="4" w:space="0" w:color="auto"/>
            </w:tcBorders>
          </w:tcPr>
          <w:p w14:paraId="168C1E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86F08E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1DB8D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4AEB42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4319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經濟部函為中央政府嚴重特殊傳染性肺炎防治及紓困振興特別預算決議，檢送該部技術處補助受疫情影響廠商研發經費書面報告案。</w:t>
            </w:r>
          </w:p>
        </w:tc>
        <w:tc>
          <w:tcPr>
            <w:tcW w:w="2871" w:type="dxa"/>
            <w:tcBorders>
              <w:top w:val="single" w:sz="4" w:space="0" w:color="auto"/>
              <w:left w:val="single" w:sz="4" w:space="0" w:color="auto"/>
              <w:bottom w:val="single" w:sz="4" w:space="0" w:color="auto"/>
              <w:right w:val="single" w:sz="4" w:space="0" w:color="auto"/>
            </w:tcBorders>
          </w:tcPr>
          <w:p w14:paraId="5243DBE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057CB4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E42A5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648A80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622C6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經濟部函為中央政府嚴重特殊傳染性肺炎防治及紓困振興特別預算決議，檢送振興抵用券政策通盤規劃書面報告案。</w:t>
            </w:r>
          </w:p>
        </w:tc>
        <w:tc>
          <w:tcPr>
            <w:tcW w:w="2871" w:type="dxa"/>
            <w:tcBorders>
              <w:top w:val="single" w:sz="4" w:space="0" w:color="auto"/>
              <w:left w:val="single" w:sz="4" w:space="0" w:color="auto"/>
              <w:bottom w:val="single" w:sz="4" w:space="0" w:color="auto"/>
              <w:right w:val="single" w:sz="4" w:space="0" w:color="auto"/>
            </w:tcBorders>
          </w:tcPr>
          <w:p w14:paraId="3D4DE6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086EAA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5EA9F1"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0638E4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B0879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經濟部函為中央政府嚴重特殊傳染性肺炎防治及紓困振興特別預算決議，檢送多方蒐集各界振興抵用券意見妥善規劃書面報告案。</w:t>
            </w:r>
          </w:p>
        </w:tc>
        <w:tc>
          <w:tcPr>
            <w:tcW w:w="2871" w:type="dxa"/>
            <w:tcBorders>
              <w:top w:val="single" w:sz="4" w:space="0" w:color="auto"/>
              <w:left w:val="single" w:sz="4" w:space="0" w:color="auto"/>
              <w:bottom w:val="single" w:sz="4" w:space="0" w:color="auto"/>
              <w:right w:val="single" w:sz="4" w:space="0" w:color="auto"/>
            </w:tcBorders>
          </w:tcPr>
          <w:p w14:paraId="424DA6A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w:t>
            </w:r>
            <w:r w:rsidRPr="00B95A07">
              <w:rPr>
                <w:rFonts w:ascii="標楷體" w:eastAsia="標楷體" w:hAnsi="標楷體" w:hint="eastAsia"/>
                <w:kern w:val="2"/>
                <w:szCs w:val="24"/>
              </w:rPr>
              <w:t>2）決定：「交財政、經濟兩委員會審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vAlign w:val="center"/>
          </w:tcPr>
          <w:p w14:paraId="37FE145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17CF6D4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FAA4AB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00D88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經濟部函為中央政府嚴重特殊傳染性肺炎防治及紓困振興特別預算決議，檢送補助受疫情影響廠商研發經費</w:t>
            </w:r>
            <w:r w:rsidRPr="00B95A07">
              <w:rPr>
                <w:rFonts w:ascii="標楷體" w:eastAsia="標楷體" w:hAnsi="標楷體"/>
                <w:kern w:val="2"/>
                <w:szCs w:val="24"/>
              </w:rPr>
              <w:t>10億元書面報告案。</w:t>
            </w:r>
          </w:p>
        </w:tc>
        <w:tc>
          <w:tcPr>
            <w:tcW w:w="2871" w:type="dxa"/>
            <w:tcBorders>
              <w:top w:val="single" w:sz="4" w:space="0" w:color="auto"/>
              <w:left w:val="single" w:sz="4" w:space="0" w:color="auto"/>
              <w:bottom w:val="single" w:sz="4" w:space="0" w:color="auto"/>
              <w:right w:val="single" w:sz="4" w:space="0" w:color="auto"/>
            </w:tcBorders>
          </w:tcPr>
          <w:p w14:paraId="427F4D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w:t>
            </w:r>
            <w:r w:rsidRPr="00B95A07">
              <w:rPr>
                <w:rFonts w:ascii="標楷體" w:eastAsia="標楷體" w:hAnsi="標楷體"/>
                <w:kern w:val="2"/>
                <w:szCs w:val="24"/>
              </w:rPr>
              <w:t>5</w:t>
            </w:r>
            <w:r w:rsidRPr="00B95A07">
              <w:rPr>
                <w:rFonts w:ascii="標楷體" w:eastAsia="標楷體" w:hAnsi="標楷體" w:hint="eastAsia"/>
                <w:kern w:val="2"/>
                <w:szCs w:val="24"/>
              </w:rPr>
              <w:t>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8C139B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D4514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B9F3FA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5A29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經濟部函為中央政府嚴重特殊傳染性肺炎防治及紓困振興特別預算決議，檢送「辦理內需型產業及製造業紓困等所需經費」書面報告案。</w:t>
            </w:r>
          </w:p>
        </w:tc>
        <w:tc>
          <w:tcPr>
            <w:tcW w:w="2871" w:type="dxa"/>
            <w:tcBorders>
              <w:top w:val="single" w:sz="4" w:space="0" w:color="auto"/>
              <w:left w:val="single" w:sz="4" w:space="0" w:color="auto"/>
              <w:bottom w:val="single" w:sz="4" w:space="0" w:color="auto"/>
              <w:right w:val="single" w:sz="4" w:space="0" w:color="auto"/>
            </w:tcBorders>
          </w:tcPr>
          <w:p w14:paraId="58F933C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w:t>
            </w:r>
            <w:r w:rsidRPr="00B95A07">
              <w:rPr>
                <w:rFonts w:ascii="標楷體" w:eastAsia="標楷體" w:hAnsi="標楷體"/>
                <w:kern w:val="2"/>
                <w:szCs w:val="24"/>
              </w:rPr>
              <w:t>5</w:t>
            </w:r>
            <w:r w:rsidRPr="00B95A07">
              <w:rPr>
                <w:rFonts w:ascii="標楷體" w:eastAsia="標楷體" w:hAnsi="標楷體" w:hint="eastAsia"/>
                <w:kern w:val="2"/>
                <w:szCs w:val="24"/>
              </w:rPr>
              <w:t>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B43670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26B09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3400E8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7B22A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經濟部函為中央政府嚴重特殊傳染性肺炎防治及紓困振興特別預算追加預算決議，檢送執行項目明細及情形案。</w:t>
            </w:r>
          </w:p>
        </w:tc>
        <w:tc>
          <w:tcPr>
            <w:tcW w:w="2871" w:type="dxa"/>
            <w:tcBorders>
              <w:top w:val="single" w:sz="4" w:space="0" w:color="auto"/>
              <w:left w:val="single" w:sz="4" w:space="0" w:color="auto"/>
              <w:bottom w:val="single" w:sz="4" w:space="0" w:color="auto"/>
              <w:right w:val="single" w:sz="4" w:space="0" w:color="auto"/>
            </w:tcBorders>
          </w:tcPr>
          <w:p w14:paraId="1DEDE61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AA0F6B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ACF1F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350607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91EBD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經濟部函為中央政府嚴重特殊傳染性肺炎防治及紓困振興特別預算追加預算決議，檢送營運資金補貼門檻書面報告案。</w:t>
            </w:r>
          </w:p>
        </w:tc>
        <w:tc>
          <w:tcPr>
            <w:tcW w:w="2871" w:type="dxa"/>
            <w:tcBorders>
              <w:top w:val="single" w:sz="4" w:space="0" w:color="auto"/>
              <w:left w:val="single" w:sz="4" w:space="0" w:color="auto"/>
              <w:bottom w:val="single" w:sz="4" w:space="0" w:color="auto"/>
              <w:right w:val="single" w:sz="4" w:space="0" w:color="auto"/>
            </w:tcBorders>
          </w:tcPr>
          <w:p w14:paraId="3211171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4B040A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3CE387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DCBDD3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F22ED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經濟部函為中央政府嚴重特殊傳染性肺炎防治及紓困振興特別預算追加預算決議，檢送營運資金補貼門檻及流程書面報告案。</w:t>
            </w:r>
          </w:p>
        </w:tc>
        <w:tc>
          <w:tcPr>
            <w:tcW w:w="2871" w:type="dxa"/>
            <w:tcBorders>
              <w:top w:val="single" w:sz="4" w:space="0" w:color="auto"/>
              <w:left w:val="single" w:sz="4" w:space="0" w:color="auto"/>
              <w:bottom w:val="single" w:sz="4" w:space="0" w:color="auto"/>
              <w:right w:val="single" w:sz="4" w:space="0" w:color="auto"/>
            </w:tcBorders>
          </w:tcPr>
          <w:p w14:paraId="25FBE03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AD5B6A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527DD1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958B50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257CD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經濟部函為中央政府嚴重特殊傳染性肺炎防治及紓困振興特別預算追加預算決議，檢送艱困事業薪資及營運資金補貼書面報告案。</w:t>
            </w:r>
          </w:p>
        </w:tc>
        <w:tc>
          <w:tcPr>
            <w:tcW w:w="2871" w:type="dxa"/>
            <w:tcBorders>
              <w:top w:val="single" w:sz="4" w:space="0" w:color="auto"/>
              <w:left w:val="single" w:sz="4" w:space="0" w:color="auto"/>
              <w:bottom w:val="single" w:sz="4" w:space="0" w:color="auto"/>
              <w:right w:val="single" w:sz="4" w:space="0" w:color="auto"/>
            </w:tcBorders>
          </w:tcPr>
          <w:p w14:paraId="683275B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2DB611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A530AF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5595E0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79D00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經濟部函為中央政府嚴重特殊傳染性肺炎防治及紓困振興特別預算追加預算決議，檢送薪資及營運資金補貼事後追蹤勾稽書面報告案。</w:t>
            </w:r>
          </w:p>
        </w:tc>
        <w:tc>
          <w:tcPr>
            <w:tcW w:w="2871" w:type="dxa"/>
            <w:tcBorders>
              <w:top w:val="single" w:sz="4" w:space="0" w:color="auto"/>
              <w:left w:val="single" w:sz="4" w:space="0" w:color="auto"/>
              <w:bottom w:val="single" w:sz="4" w:space="0" w:color="auto"/>
              <w:right w:val="single" w:sz="4" w:space="0" w:color="auto"/>
            </w:tcBorders>
          </w:tcPr>
          <w:p w14:paraId="2C2E2B9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24BA05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B02E7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ED7712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1CDF7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經濟部函為中央政府嚴重特殊傳染性肺炎防治及紓困振興特別預算追加預算決議，檢送受疫情影響業者水電費減免作業程序書面報告案。</w:t>
            </w:r>
          </w:p>
        </w:tc>
        <w:tc>
          <w:tcPr>
            <w:tcW w:w="2871" w:type="dxa"/>
            <w:tcBorders>
              <w:top w:val="single" w:sz="4" w:space="0" w:color="auto"/>
              <w:left w:val="single" w:sz="4" w:space="0" w:color="auto"/>
              <w:bottom w:val="single" w:sz="4" w:space="0" w:color="auto"/>
              <w:right w:val="single" w:sz="4" w:space="0" w:color="auto"/>
            </w:tcBorders>
          </w:tcPr>
          <w:p w14:paraId="00B5296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021A1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C3BFA9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F25F9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49389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w:t>
            </w:r>
            <w:r w:rsidRPr="00B95A07">
              <w:rPr>
                <w:rFonts w:ascii="標楷體" w:eastAsia="標楷體" w:hAnsi="標楷體"/>
                <w:kern w:val="2"/>
                <w:szCs w:val="24"/>
              </w:rPr>
              <w:t>109年度台電公司夏季電價（民生用電）應比照紓困方案中企業電費減免實施」之說明案。</w:t>
            </w:r>
          </w:p>
        </w:tc>
        <w:tc>
          <w:tcPr>
            <w:tcW w:w="2871" w:type="dxa"/>
            <w:tcBorders>
              <w:top w:val="single" w:sz="4" w:space="0" w:color="auto"/>
              <w:left w:val="single" w:sz="4" w:space="0" w:color="auto"/>
              <w:bottom w:val="single" w:sz="4" w:space="0" w:color="auto"/>
              <w:right w:val="single" w:sz="4" w:space="0" w:color="auto"/>
            </w:tcBorders>
          </w:tcPr>
          <w:p w14:paraId="1E0B9B9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E5CE14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0C352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4099F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2CEBF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w:t>
            </w:r>
            <w:r w:rsidRPr="00B95A07">
              <w:rPr>
                <w:rFonts w:ascii="標楷體" w:eastAsia="標楷體" w:hAnsi="標楷體"/>
                <w:kern w:val="2"/>
                <w:szCs w:val="24"/>
              </w:rPr>
              <w:t>109年度台電公司夏季電價暫緩實施」之說明案。</w:t>
            </w:r>
          </w:p>
        </w:tc>
        <w:tc>
          <w:tcPr>
            <w:tcW w:w="2871" w:type="dxa"/>
            <w:tcBorders>
              <w:top w:val="single" w:sz="4" w:space="0" w:color="auto"/>
              <w:left w:val="single" w:sz="4" w:space="0" w:color="auto"/>
              <w:bottom w:val="single" w:sz="4" w:space="0" w:color="auto"/>
              <w:right w:val="single" w:sz="4" w:space="0" w:color="auto"/>
            </w:tcBorders>
          </w:tcPr>
          <w:p w14:paraId="4664985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C349A3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2B68BF0"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5460BDF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65670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經濟部函為中央政府嚴重特殊傳染性肺炎防治及紓困振興特別預算決議，檢送餐飲零售業營業衰退因應措施書面報告案。</w:t>
            </w:r>
          </w:p>
        </w:tc>
        <w:tc>
          <w:tcPr>
            <w:tcW w:w="2871" w:type="dxa"/>
            <w:tcBorders>
              <w:top w:val="single" w:sz="4" w:space="0" w:color="auto"/>
              <w:left w:val="single" w:sz="4" w:space="0" w:color="auto"/>
              <w:bottom w:val="single" w:sz="4" w:space="0" w:color="auto"/>
              <w:right w:val="single" w:sz="4" w:space="0" w:color="auto"/>
            </w:tcBorders>
          </w:tcPr>
          <w:p w14:paraId="332F5D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w:t>
            </w:r>
            <w:r w:rsidRPr="00B95A07">
              <w:rPr>
                <w:rFonts w:ascii="標楷體" w:eastAsia="標楷體" w:hAnsi="標楷體" w:hint="eastAsia"/>
                <w:kern w:val="2"/>
                <w:szCs w:val="24"/>
              </w:rPr>
              <w:lastRenderedPageBreak/>
              <w:t>審查」</w:t>
            </w:r>
          </w:p>
        </w:tc>
        <w:tc>
          <w:tcPr>
            <w:tcW w:w="1507" w:type="dxa"/>
            <w:tcBorders>
              <w:top w:val="single" w:sz="4" w:space="0" w:color="auto"/>
              <w:left w:val="single" w:sz="4" w:space="0" w:color="auto"/>
              <w:bottom w:val="single" w:sz="4" w:space="0" w:color="auto"/>
              <w:right w:val="single" w:sz="4" w:space="0" w:color="auto"/>
            </w:tcBorders>
            <w:vAlign w:val="center"/>
          </w:tcPr>
          <w:p w14:paraId="3B193FE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72C1F08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023676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42C5D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經濟部函為中央政府嚴重特殊傳染性肺炎防治及紓困振興特別預算決議，檢送餐飲零售商圈等預算執行情況書面報告案。</w:t>
            </w:r>
          </w:p>
        </w:tc>
        <w:tc>
          <w:tcPr>
            <w:tcW w:w="2871" w:type="dxa"/>
            <w:tcBorders>
              <w:top w:val="single" w:sz="4" w:space="0" w:color="auto"/>
              <w:left w:val="single" w:sz="4" w:space="0" w:color="auto"/>
              <w:bottom w:val="single" w:sz="4" w:space="0" w:color="auto"/>
              <w:right w:val="single" w:sz="4" w:space="0" w:color="auto"/>
            </w:tcBorders>
          </w:tcPr>
          <w:p w14:paraId="01AD9B4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C2A02F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57D5AE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535D14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AB317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經濟部函為中央政府嚴重特殊傳染性肺炎防治及紓困振興特別預算追加預算決議，檢送薪資及營運資金補貼稽核機制書面報告案。</w:t>
            </w:r>
          </w:p>
        </w:tc>
        <w:tc>
          <w:tcPr>
            <w:tcW w:w="2871" w:type="dxa"/>
            <w:tcBorders>
              <w:top w:val="single" w:sz="4" w:space="0" w:color="auto"/>
              <w:left w:val="single" w:sz="4" w:space="0" w:color="auto"/>
              <w:bottom w:val="single" w:sz="4" w:space="0" w:color="auto"/>
              <w:right w:val="single" w:sz="4" w:space="0" w:color="auto"/>
            </w:tcBorders>
          </w:tcPr>
          <w:p w14:paraId="5E96834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F37A9E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98DFB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515504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B546A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經濟部函為中央政府嚴重特殊傳染性肺炎防治及紓困振興特別預算追加預算決議，檢送薪資及營運資金補貼稽核程序書面報告案。</w:t>
            </w:r>
          </w:p>
        </w:tc>
        <w:tc>
          <w:tcPr>
            <w:tcW w:w="2871" w:type="dxa"/>
            <w:tcBorders>
              <w:top w:val="single" w:sz="4" w:space="0" w:color="auto"/>
              <w:left w:val="single" w:sz="4" w:space="0" w:color="auto"/>
              <w:bottom w:val="single" w:sz="4" w:space="0" w:color="auto"/>
              <w:right w:val="single" w:sz="4" w:space="0" w:color="auto"/>
            </w:tcBorders>
          </w:tcPr>
          <w:p w14:paraId="1E652BF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55A49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86574C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DCC6B8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458B9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經濟部函為中央政府嚴重特殊傳染性肺炎防治及紓困振興特別預算追加預算決議，檢送薪資及營運資金補貼、貸款追蹤機制書面報告案。</w:t>
            </w:r>
          </w:p>
        </w:tc>
        <w:tc>
          <w:tcPr>
            <w:tcW w:w="2871" w:type="dxa"/>
            <w:tcBorders>
              <w:top w:val="single" w:sz="4" w:space="0" w:color="auto"/>
              <w:left w:val="single" w:sz="4" w:space="0" w:color="auto"/>
              <w:bottom w:val="single" w:sz="4" w:space="0" w:color="auto"/>
              <w:right w:val="single" w:sz="4" w:space="0" w:color="auto"/>
            </w:tcBorders>
          </w:tcPr>
          <w:p w14:paraId="0508AAC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88D1B8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404EF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73D469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C8E77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經濟部函為中央政府嚴重特殊傳染性肺炎防治及紓困振興特別預算追加預算決議，檢送杜絕閒置土地享有防疫紓困優惠或補助書面報告案。</w:t>
            </w:r>
          </w:p>
        </w:tc>
        <w:tc>
          <w:tcPr>
            <w:tcW w:w="2871" w:type="dxa"/>
            <w:tcBorders>
              <w:top w:val="single" w:sz="4" w:space="0" w:color="auto"/>
              <w:left w:val="single" w:sz="4" w:space="0" w:color="auto"/>
              <w:bottom w:val="single" w:sz="4" w:space="0" w:color="auto"/>
              <w:right w:val="single" w:sz="4" w:space="0" w:color="auto"/>
            </w:tcBorders>
          </w:tcPr>
          <w:p w14:paraId="3A64A25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B3A7F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78AC6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222C44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CFDFF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經濟部函為中央政府嚴重特殊傳染性肺炎防治及紓困振興特別預算決議，檢送工業局口罩備援產能書面報告案。</w:t>
            </w:r>
          </w:p>
        </w:tc>
        <w:tc>
          <w:tcPr>
            <w:tcW w:w="2871" w:type="dxa"/>
            <w:tcBorders>
              <w:top w:val="single" w:sz="4" w:space="0" w:color="auto"/>
              <w:left w:val="single" w:sz="4" w:space="0" w:color="auto"/>
              <w:bottom w:val="single" w:sz="4" w:space="0" w:color="auto"/>
              <w:right w:val="single" w:sz="4" w:space="0" w:color="auto"/>
            </w:tcBorders>
          </w:tcPr>
          <w:p w14:paraId="33D08F6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1944F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9258D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F7B978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701BC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w:t>
            </w:r>
            <w:r w:rsidRPr="00B95A07">
              <w:rPr>
                <w:rFonts w:ascii="標楷體" w:eastAsia="標楷體" w:hAnsi="標楷體"/>
                <w:kern w:val="2"/>
                <w:szCs w:val="24"/>
              </w:rPr>
              <w:t>1988詳細人力配置書面報告案。</w:t>
            </w:r>
          </w:p>
        </w:tc>
        <w:tc>
          <w:tcPr>
            <w:tcW w:w="2871" w:type="dxa"/>
            <w:tcBorders>
              <w:top w:val="single" w:sz="4" w:space="0" w:color="auto"/>
              <w:left w:val="single" w:sz="4" w:space="0" w:color="auto"/>
              <w:bottom w:val="single" w:sz="4" w:space="0" w:color="auto"/>
              <w:right w:val="single" w:sz="4" w:space="0" w:color="auto"/>
            </w:tcBorders>
          </w:tcPr>
          <w:p w14:paraId="7EE5D0E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18BBED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21E3A1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0A4265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5EF10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經濟部函為中央政府嚴重特殊傳染性肺炎防治及紓困振興特別預算追加預算決議，檢送中小企業處「防疫千億保開辦成效」書面報告案。</w:t>
            </w:r>
          </w:p>
        </w:tc>
        <w:tc>
          <w:tcPr>
            <w:tcW w:w="2871" w:type="dxa"/>
            <w:tcBorders>
              <w:top w:val="single" w:sz="4" w:space="0" w:color="auto"/>
              <w:left w:val="single" w:sz="4" w:space="0" w:color="auto"/>
              <w:bottom w:val="single" w:sz="4" w:space="0" w:color="auto"/>
              <w:right w:val="single" w:sz="4" w:space="0" w:color="auto"/>
            </w:tcBorders>
          </w:tcPr>
          <w:p w14:paraId="695180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6AFD22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33F381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CA89F2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EFCBC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經濟部函為中央政府嚴重特殊傳染性肺炎防治及紓困振興特別預算決議，檢送中小企業處特別預算執行情形書面報告案。</w:t>
            </w:r>
          </w:p>
        </w:tc>
        <w:tc>
          <w:tcPr>
            <w:tcW w:w="2871" w:type="dxa"/>
            <w:tcBorders>
              <w:top w:val="single" w:sz="4" w:space="0" w:color="auto"/>
              <w:left w:val="single" w:sz="4" w:space="0" w:color="auto"/>
              <w:bottom w:val="single" w:sz="4" w:space="0" w:color="auto"/>
              <w:right w:val="single" w:sz="4" w:space="0" w:color="auto"/>
            </w:tcBorders>
          </w:tcPr>
          <w:p w14:paraId="596A6FE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35306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62D1E0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B5724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2F1F9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經濟部函為中央政府嚴重特殊傳染性肺炎防治及紓困振興特別預算決議，檢送中小企業處辦理紓困振興執行情形書面報告案。</w:t>
            </w:r>
          </w:p>
        </w:tc>
        <w:tc>
          <w:tcPr>
            <w:tcW w:w="2871" w:type="dxa"/>
            <w:tcBorders>
              <w:top w:val="single" w:sz="4" w:space="0" w:color="auto"/>
              <w:left w:val="single" w:sz="4" w:space="0" w:color="auto"/>
              <w:bottom w:val="single" w:sz="4" w:space="0" w:color="auto"/>
              <w:right w:val="single" w:sz="4" w:space="0" w:color="auto"/>
            </w:tcBorders>
          </w:tcPr>
          <w:p w14:paraId="2FDAB4E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45AB05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BC5C21"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1BE5D39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F290D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經濟部函為中央政府嚴重特殊傳染性肺炎防治及紓困振興特別預算追加預算決議，檢送中小企業處「因應</w:t>
            </w:r>
            <w:r w:rsidRPr="00B95A07">
              <w:rPr>
                <w:rFonts w:ascii="標楷體" w:eastAsia="標楷體" w:hAnsi="標楷體"/>
                <w:kern w:val="2"/>
                <w:szCs w:val="24"/>
              </w:rPr>
              <w:t>COVID-19紓困振興輔導</w:t>
            </w:r>
            <w:r w:rsidRPr="00B95A07">
              <w:rPr>
                <w:rFonts w:ascii="標楷體" w:eastAsia="標楷體" w:hAnsi="標楷體"/>
                <w:kern w:val="2"/>
                <w:szCs w:val="24"/>
              </w:rPr>
              <w:lastRenderedPageBreak/>
              <w:t>專區與紓困貸款執行成效」書面報告案。</w:t>
            </w:r>
          </w:p>
        </w:tc>
        <w:tc>
          <w:tcPr>
            <w:tcW w:w="2871" w:type="dxa"/>
            <w:tcBorders>
              <w:top w:val="single" w:sz="4" w:space="0" w:color="auto"/>
              <w:left w:val="single" w:sz="4" w:space="0" w:color="auto"/>
              <w:bottom w:val="single" w:sz="4" w:space="0" w:color="auto"/>
              <w:right w:val="single" w:sz="4" w:space="0" w:color="auto"/>
            </w:tcBorders>
          </w:tcPr>
          <w:p w14:paraId="26AC155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w:t>
            </w:r>
            <w:r w:rsidRPr="00B95A07">
              <w:rPr>
                <w:rFonts w:ascii="標楷體" w:eastAsia="標楷體" w:hAnsi="標楷體" w:hint="eastAsia"/>
                <w:kern w:val="2"/>
                <w:szCs w:val="24"/>
              </w:rPr>
              <w:lastRenderedPageBreak/>
              <w:t>審查」</w:t>
            </w:r>
          </w:p>
        </w:tc>
        <w:tc>
          <w:tcPr>
            <w:tcW w:w="1507" w:type="dxa"/>
            <w:tcBorders>
              <w:top w:val="single" w:sz="4" w:space="0" w:color="auto"/>
              <w:left w:val="single" w:sz="4" w:space="0" w:color="auto"/>
              <w:bottom w:val="single" w:sz="4" w:space="0" w:color="auto"/>
              <w:right w:val="single" w:sz="4" w:space="0" w:color="auto"/>
            </w:tcBorders>
            <w:vAlign w:val="center"/>
          </w:tcPr>
          <w:p w14:paraId="32BADCF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14CFFE2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6273AB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05ACA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經濟部函為中央政府嚴重特殊傳染性肺炎防治及紓困振興特別預算決議，檢送中小企業處各項目補助原則及具體內容書面報告案。</w:t>
            </w:r>
          </w:p>
        </w:tc>
        <w:tc>
          <w:tcPr>
            <w:tcW w:w="2871" w:type="dxa"/>
            <w:tcBorders>
              <w:top w:val="single" w:sz="4" w:space="0" w:color="auto"/>
              <w:left w:val="single" w:sz="4" w:space="0" w:color="auto"/>
              <w:bottom w:val="single" w:sz="4" w:space="0" w:color="auto"/>
              <w:right w:val="single" w:sz="4" w:space="0" w:color="auto"/>
            </w:tcBorders>
          </w:tcPr>
          <w:p w14:paraId="16BD081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CEB2AA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5444C7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A5685C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56C1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7F52599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543634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562D1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83681D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2004A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經濟部函為中央政府嚴重特殊傳染性肺炎防治及紓困振興特別預算追加預算決議，檢送「融資保證及利息補貼計畫書面報告」案。</w:t>
            </w:r>
          </w:p>
        </w:tc>
        <w:tc>
          <w:tcPr>
            <w:tcW w:w="2871" w:type="dxa"/>
            <w:tcBorders>
              <w:top w:val="single" w:sz="4" w:space="0" w:color="auto"/>
              <w:left w:val="single" w:sz="4" w:space="0" w:color="auto"/>
              <w:bottom w:val="single" w:sz="4" w:space="0" w:color="auto"/>
              <w:right w:val="single" w:sz="4" w:space="0" w:color="auto"/>
            </w:tcBorders>
          </w:tcPr>
          <w:p w14:paraId="4D60261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CA1C72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5C3AB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AFDB96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BF6DA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經濟部函為中央政府嚴重特殊傳染性肺炎防治及紓困振興特別預算追加預算決議，檢送振興三倍券方案書面報告案。</w:t>
            </w:r>
          </w:p>
        </w:tc>
        <w:tc>
          <w:tcPr>
            <w:tcW w:w="2871" w:type="dxa"/>
            <w:tcBorders>
              <w:top w:val="single" w:sz="4" w:space="0" w:color="auto"/>
              <w:left w:val="single" w:sz="4" w:space="0" w:color="auto"/>
              <w:bottom w:val="single" w:sz="4" w:space="0" w:color="auto"/>
              <w:right w:val="single" w:sz="4" w:space="0" w:color="auto"/>
            </w:tcBorders>
          </w:tcPr>
          <w:p w14:paraId="54DE7E7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6A5F95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B5AAF5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545D89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93360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經濟部函為中央政府嚴重特殊傳染性肺炎防治及紓困振興特別預算追加預算決議，檢送刺激民眾消費措施書面報告案。</w:t>
            </w:r>
          </w:p>
        </w:tc>
        <w:tc>
          <w:tcPr>
            <w:tcW w:w="2871" w:type="dxa"/>
            <w:tcBorders>
              <w:top w:val="single" w:sz="4" w:space="0" w:color="auto"/>
              <w:left w:val="single" w:sz="4" w:space="0" w:color="auto"/>
              <w:bottom w:val="single" w:sz="4" w:space="0" w:color="auto"/>
              <w:right w:val="single" w:sz="4" w:space="0" w:color="auto"/>
            </w:tcBorders>
          </w:tcPr>
          <w:p w14:paraId="018D941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F76605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6FDDF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1066C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738CD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2次追加預算決議，檢送「口罩不良廠商退場機制處理」書面報告案。</w:t>
            </w:r>
          </w:p>
        </w:tc>
        <w:tc>
          <w:tcPr>
            <w:tcW w:w="2871" w:type="dxa"/>
            <w:tcBorders>
              <w:top w:val="single" w:sz="4" w:space="0" w:color="auto"/>
              <w:left w:val="single" w:sz="4" w:space="0" w:color="auto"/>
              <w:bottom w:val="single" w:sz="4" w:space="0" w:color="auto"/>
              <w:right w:val="single" w:sz="4" w:space="0" w:color="auto"/>
            </w:tcBorders>
          </w:tcPr>
          <w:p w14:paraId="71F014A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25491F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314DB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BA1FEA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B41F6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2次追加預算決議，檢送「口罩產能及原料分配暨口罩出口情形」書面報告案。</w:t>
            </w:r>
          </w:p>
        </w:tc>
        <w:tc>
          <w:tcPr>
            <w:tcW w:w="2871" w:type="dxa"/>
            <w:tcBorders>
              <w:top w:val="single" w:sz="4" w:space="0" w:color="auto"/>
              <w:left w:val="single" w:sz="4" w:space="0" w:color="auto"/>
              <w:bottom w:val="single" w:sz="4" w:space="0" w:color="auto"/>
              <w:right w:val="single" w:sz="4" w:space="0" w:color="auto"/>
            </w:tcBorders>
          </w:tcPr>
          <w:p w14:paraId="49262D4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8A3DBB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E6887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B7FCCA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DA4A8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2次追加預算決議，檢送數位三倍券推動成效不如預期書面報告案。</w:t>
            </w:r>
          </w:p>
        </w:tc>
        <w:tc>
          <w:tcPr>
            <w:tcW w:w="2871" w:type="dxa"/>
            <w:tcBorders>
              <w:top w:val="single" w:sz="4" w:space="0" w:color="auto"/>
              <w:left w:val="single" w:sz="4" w:space="0" w:color="auto"/>
              <w:bottom w:val="single" w:sz="4" w:space="0" w:color="auto"/>
              <w:right w:val="single" w:sz="4" w:space="0" w:color="auto"/>
            </w:tcBorders>
          </w:tcPr>
          <w:p w14:paraId="016AEC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DEE66B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01A75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00D2A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3376D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2次追加預算決議，檢送「紓困及振興預算不敷原因」書面報告案。</w:t>
            </w:r>
          </w:p>
        </w:tc>
        <w:tc>
          <w:tcPr>
            <w:tcW w:w="2871" w:type="dxa"/>
            <w:tcBorders>
              <w:top w:val="single" w:sz="4" w:space="0" w:color="auto"/>
              <w:left w:val="single" w:sz="4" w:space="0" w:color="auto"/>
              <w:bottom w:val="single" w:sz="4" w:space="0" w:color="auto"/>
              <w:right w:val="single" w:sz="4" w:space="0" w:color="auto"/>
            </w:tcBorders>
          </w:tcPr>
          <w:p w14:paraId="65632CA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8B43FD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DB2AE0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7CBF9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CE022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2次追加預算決議，檢送「設立在帝寶之企業亦可獲得電費紓困減免是否有缺失」書面報告案。</w:t>
            </w:r>
          </w:p>
        </w:tc>
        <w:tc>
          <w:tcPr>
            <w:tcW w:w="2871" w:type="dxa"/>
            <w:tcBorders>
              <w:top w:val="single" w:sz="4" w:space="0" w:color="auto"/>
              <w:left w:val="single" w:sz="4" w:space="0" w:color="auto"/>
              <w:bottom w:val="single" w:sz="4" w:space="0" w:color="auto"/>
              <w:right w:val="single" w:sz="4" w:space="0" w:color="auto"/>
            </w:tcBorders>
          </w:tcPr>
          <w:p w14:paraId="7E35824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5D313F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61E72CE"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7ACBD3B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8690F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2次追加預算決議，檢送薪資及營運補貼成效滾動式檢討書</w:t>
            </w:r>
            <w:r w:rsidRPr="00B95A07">
              <w:rPr>
                <w:rFonts w:ascii="標楷體" w:eastAsia="標楷體" w:hAnsi="標楷體"/>
                <w:kern w:val="2"/>
                <w:szCs w:val="24"/>
              </w:rPr>
              <w:lastRenderedPageBreak/>
              <w:t>面報告案。</w:t>
            </w:r>
          </w:p>
        </w:tc>
        <w:tc>
          <w:tcPr>
            <w:tcW w:w="2871" w:type="dxa"/>
            <w:tcBorders>
              <w:top w:val="single" w:sz="4" w:space="0" w:color="auto"/>
              <w:left w:val="single" w:sz="4" w:space="0" w:color="auto"/>
              <w:bottom w:val="single" w:sz="4" w:space="0" w:color="auto"/>
              <w:right w:val="single" w:sz="4" w:space="0" w:color="auto"/>
            </w:tcBorders>
          </w:tcPr>
          <w:p w14:paraId="5D741A1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第10屆第2會期第11次院會（10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30</w:t>
            </w:r>
            <w:r w:rsidRPr="00B95A07">
              <w:rPr>
                <w:rFonts w:ascii="標楷體" w:eastAsia="標楷體" w:hAnsi="標楷體" w:hint="eastAsia"/>
                <w:kern w:val="2"/>
                <w:szCs w:val="24"/>
              </w:rPr>
              <w:t>）決定：「交財政、經濟兩委員會</w:t>
            </w:r>
            <w:r w:rsidRPr="00B95A07">
              <w:rPr>
                <w:rFonts w:ascii="標楷體" w:eastAsia="標楷體" w:hAnsi="標楷體" w:hint="eastAsia"/>
                <w:kern w:val="2"/>
                <w:szCs w:val="24"/>
              </w:rPr>
              <w:lastRenderedPageBreak/>
              <w:t>審查」</w:t>
            </w:r>
          </w:p>
        </w:tc>
        <w:tc>
          <w:tcPr>
            <w:tcW w:w="1507" w:type="dxa"/>
            <w:tcBorders>
              <w:top w:val="single" w:sz="4" w:space="0" w:color="auto"/>
              <w:left w:val="single" w:sz="4" w:space="0" w:color="auto"/>
              <w:bottom w:val="single" w:sz="4" w:space="0" w:color="auto"/>
              <w:right w:val="single" w:sz="4" w:space="0" w:color="auto"/>
            </w:tcBorders>
            <w:vAlign w:val="center"/>
          </w:tcPr>
          <w:p w14:paraId="4A19AD6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48B1188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27249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B4D52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2次追加預算決議，檢送行政院主管決議（十六）110年4月紓困方案執行情形書面報告案。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3D6240D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D5F363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F396E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D06E6C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D15F0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14:paraId="2737627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2CA322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45EEB8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F007D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6A5FC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2次追加預算決議，檢送振興三倍券執行成效書面報告案。</w:t>
            </w:r>
          </w:p>
        </w:tc>
        <w:tc>
          <w:tcPr>
            <w:tcW w:w="2871" w:type="dxa"/>
            <w:tcBorders>
              <w:top w:val="single" w:sz="4" w:space="0" w:color="auto"/>
              <w:left w:val="single" w:sz="4" w:space="0" w:color="auto"/>
              <w:bottom w:val="single" w:sz="4" w:space="0" w:color="auto"/>
              <w:right w:val="single" w:sz="4" w:space="0" w:color="auto"/>
            </w:tcBorders>
          </w:tcPr>
          <w:p w14:paraId="5AE8715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250E49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828AF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87E25A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777DC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w:t>
            </w:r>
            <w:r w:rsidRPr="00B95A07">
              <w:rPr>
                <w:rFonts w:ascii="標楷體" w:eastAsia="標楷體" w:hAnsi="標楷體"/>
                <w:kern w:val="2"/>
                <w:szCs w:val="24"/>
              </w:rPr>
              <w:t>2次追加預算決議，檢送振興三倍券執行成效</w:t>
            </w:r>
            <w:r w:rsidRPr="00B95A07">
              <w:rPr>
                <w:rFonts w:ascii="標楷體" w:eastAsia="標楷體" w:hAnsi="標楷體" w:hint="eastAsia"/>
                <w:kern w:val="2"/>
                <w:szCs w:val="24"/>
              </w:rPr>
              <w:t>及資源配置</w:t>
            </w:r>
            <w:r w:rsidRPr="00B95A07">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14:paraId="15218D7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第10屆第3會期第13次院會（110.5.21）決定：「交財政、經濟兩委員會審查」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33CFB5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8339B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C1A5AE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1E581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6925393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41130A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F6565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F495E1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14:paraId="6CAC99C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經濟部函為中央政府嚴重特殊傳染性肺炎防治及紓困振興特別預算第4次追加預算決議，檢送加速辦理「工具機產業人才培育暨振興計畫」相關核銷作業報告案。</w:t>
            </w:r>
          </w:p>
        </w:tc>
        <w:tc>
          <w:tcPr>
            <w:tcW w:w="2871" w:type="dxa"/>
            <w:tcBorders>
              <w:top w:val="single" w:sz="4" w:space="0" w:color="auto"/>
              <w:left w:val="single" w:sz="4" w:space="0" w:color="auto"/>
              <w:bottom w:val="single" w:sz="8" w:space="0" w:color="auto"/>
              <w:right w:val="single" w:sz="4" w:space="0" w:color="auto"/>
            </w:tcBorders>
          </w:tcPr>
          <w:p w14:paraId="34949BA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5）決定：「交財政及相關委員會處理」</w:t>
            </w:r>
          </w:p>
        </w:tc>
        <w:tc>
          <w:tcPr>
            <w:tcW w:w="1507" w:type="dxa"/>
            <w:tcBorders>
              <w:top w:val="single" w:sz="4" w:space="0" w:color="auto"/>
              <w:left w:val="single" w:sz="4" w:space="0" w:color="auto"/>
              <w:bottom w:val="single" w:sz="8" w:space="0" w:color="auto"/>
              <w:right w:val="single" w:sz="4" w:space="0" w:color="auto"/>
            </w:tcBorders>
            <w:vAlign w:val="center"/>
          </w:tcPr>
          <w:p w14:paraId="4423EAD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1A3FBE9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55BF01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8" w:space="0" w:color="auto"/>
              <w:right w:val="single" w:sz="4" w:space="0" w:color="auto"/>
            </w:tcBorders>
          </w:tcPr>
          <w:p w14:paraId="6316BF6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經濟部函為中央政府嚴重特殊傳染性肺炎防治及紓困振興特別預算第4次追加預算決議，檢送檢送紙本五倍券循環利用規劃書面報告案。</w:t>
            </w:r>
          </w:p>
        </w:tc>
        <w:tc>
          <w:tcPr>
            <w:tcW w:w="2871" w:type="dxa"/>
            <w:tcBorders>
              <w:top w:val="single" w:sz="4" w:space="0" w:color="auto"/>
              <w:left w:val="single" w:sz="4" w:space="0" w:color="auto"/>
              <w:bottom w:val="single" w:sz="8" w:space="0" w:color="auto"/>
              <w:right w:val="single" w:sz="4" w:space="0" w:color="auto"/>
            </w:tcBorders>
          </w:tcPr>
          <w:p w14:paraId="7AB9C7D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.4.</w:t>
            </w:r>
            <w:r w:rsidRPr="00B95A07">
              <w:rPr>
                <w:rFonts w:ascii="標楷體" w:eastAsia="標楷體" w:hAnsi="標楷體"/>
                <w:kern w:val="2"/>
                <w:szCs w:val="24"/>
              </w:rPr>
              <w:t>1</w:t>
            </w:r>
            <w:r w:rsidRPr="00B95A07">
              <w:rPr>
                <w:rFonts w:ascii="標楷體" w:eastAsia="標楷體" w:hAnsi="標楷體" w:hint="eastAsia"/>
                <w:kern w:val="2"/>
                <w:szCs w:val="24"/>
              </w:rPr>
              <w:t>5）決定：「交財政及相關委員會審查」</w:t>
            </w:r>
          </w:p>
        </w:tc>
        <w:tc>
          <w:tcPr>
            <w:tcW w:w="1507" w:type="dxa"/>
            <w:tcBorders>
              <w:top w:val="single" w:sz="4" w:space="0" w:color="auto"/>
              <w:left w:val="single" w:sz="4" w:space="0" w:color="auto"/>
              <w:bottom w:val="single" w:sz="8" w:space="0" w:color="auto"/>
              <w:right w:val="single" w:sz="4" w:space="0" w:color="auto"/>
            </w:tcBorders>
            <w:vAlign w:val="center"/>
          </w:tcPr>
          <w:p w14:paraId="4434020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1A8C65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A8033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3AEA2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4635B41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w:t>
            </w:r>
            <w:r w:rsidRPr="00B95A07">
              <w:rPr>
                <w:rFonts w:ascii="標楷體" w:eastAsia="標楷體" w:hAnsi="標楷體"/>
                <w:kern w:val="2"/>
                <w:szCs w:val="24"/>
              </w:rPr>
              <w:t>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54A624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F43CA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2CD9FD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8" w:space="0" w:color="auto"/>
              <w:left w:val="single" w:sz="4" w:space="0" w:color="auto"/>
              <w:bottom w:val="single" w:sz="4" w:space="0" w:color="auto"/>
              <w:right w:val="single" w:sz="4" w:space="0" w:color="auto"/>
            </w:tcBorders>
          </w:tcPr>
          <w:p w14:paraId="4579E9B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經濟部函為中央政府嚴重特殊傳染性肺炎防治及紓困振興特別預算第4次追加預算決議，檢送加強宣導店家導入台灣Pay書面報告案。</w:t>
            </w:r>
          </w:p>
        </w:tc>
        <w:tc>
          <w:tcPr>
            <w:tcW w:w="2871" w:type="dxa"/>
            <w:tcBorders>
              <w:top w:val="single" w:sz="8" w:space="0" w:color="auto"/>
              <w:left w:val="single" w:sz="4" w:space="0" w:color="auto"/>
              <w:bottom w:val="single" w:sz="4" w:space="0" w:color="auto"/>
              <w:right w:val="single" w:sz="4" w:space="0" w:color="auto"/>
            </w:tcBorders>
          </w:tcPr>
          <w:p w14:paraId="710755C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8" w:space="0" w:color="auto"/>
              <w:left w:val="single" w:sz="4" w:space="0" w:color="auto"/>
              <w:bottom w:val="single" w:sz="4" w:space="0" w:color="auto"/>
              <w:right w:val="single" w:sz="4" w:space="0" w:color="auto"/>
            </w:tcBorders>
            <w:vAlign w:val="center"/>
          </w:tcPr>
          <w:p w14:paraId="4171FC9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EC90C6F"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50C74F3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93709E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經濟部函為中央政府嚴重特殊傳染性肺炎防治及紓困振興特別預算第4次追加預算決議，檢送「符合綠色振興之具體規劃」書面報告案。</w:t>
            </w:r>
          </w:p>
        </w:tc>
        <w:tc>
          <w:tcPr>
            <w:tcW w:w="2871" w:type="dxa"/>
            <w:tcBorders>
              <w:top w:val="single" w:sz="4" w:space="0" w:color="auto"/>
              <w:left w:val="single" w:sz="4" w:space="0" w:color="auto"/>
              <w:bottom w:val="single" w:sz="4" w:space="0" w:color="000000"/>
              <w:right w:val="single" w:sz="4" w:space="0" w:color="auto"/>
            </w:tcBorders>
          </w:tcPr>
          <w:p w14:paraId="1F83FF1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5DD1DB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323424"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1EEBED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F1C00A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經濟部函為中央政府嚴重特殊傳染性肺炎防治及紓困振興特別預算第4次追加預算決議，檢送振興五倍券平台檢討書面報告案。</w:t>
            </w:r>
          </w:p>
        </w:tc>
        <w:tc>
          <w:tcPr>
            <w:tcW w:w="2871" w:type="dxa"/>
            <w:tcBorders>
              <w:top w:val="single" w:sz="4" w:space="0" w:color="auto"/>
              <w:left w:val="single" w:sz="4" w:space="0" w:color="auto"/>
              <w:bottom w:val="single" w:sz="4" w:space="0" w:color="000000"/>
              <w:right w:val="single" w:sz="4" w:space="0" w:color="auto"/>
            </w:tcBorders>
          </w:tcPr>
          <w:p w14:paraId="205178C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0945FF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874764"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2C06FF8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386A01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經濟部函為中央政府嚴重特殊傳染性肺炎防治及紓困振興特別預算第4次追加預算決議，檢送傳統市場與夜市攤商紓困補助書面報告案。</w:t>
            </w:r>
          </w:p>
        </w:tc>
        <w:tc>
          <w:tcPr>
            <w:tcW w:w="2871" w:type="dxa"/>
            <w:tcBorders>
              <w:top w:val="single" w:sz="4" w:space="0" w:color="auto"/>
              <w:left w:val="single" w:sz="4" w:space="0" w:color="auto"/>
              <w:bottom w:val="single" w:sz="4" w:space="0" w:color="000000"/>
              <w:right w:val="single" w:sz="4" w:space="0" w:color="auto"/>
            </w:tcBorders>
          </w:tcPr>
          <w:p w14:paraId="7EB839F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C95A27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70EC065"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47CA80C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EBBF82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經濟部函為中央政府嚴重特殊傳染性肺炎防治及紓困振興特別預算第4次追加預算決議，檢送擴大小型店家使用數位支付方案書面報告案。</w:t>
            </w:r>
          </w:p>
        </w:tc>
        <w:tc>
          <w:tcPr>
            <w:tcW w:w="2871" w:type="dxa"/>
            <w:tcBorders>
              <w:top w:val="single" w:sz="4" w:space="0" w:color="auto"/>
              <w:left w:val="single" w:sz="4" w:space="0" w:color="auto"/>
              <w:bottom w:val="single" w:sz="4" w:space="0" w:color="000000"/>
              <w:right w:val="single" w:sz="4" w:space="0" w:color="auto"/>
            </w:tcBorders>
          </w:tcPr>
          <w:p w14:paraId="4C2C25D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4B5A1D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736EB2F"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6BF7D63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DE272B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經濟部函為中央政府嚴重特殊傳染性肺炎防治及紓困振興特別預算第4次追加預算決議，檢送推動產業綠色紓困書面報告案。</w:t>
            </w:r>
          </w:p>
        </w:tc>
        <w:tc>
          <w:tcPr>
            <w:tcW w:w="2871" w:type="dxa"/>
            <w:tcBorders>
              <w:top w:val="single" w:sz="4" w:space="0" w:color="auto"/>
              <w:left w:val="single" w:sz="4" w:space="0" w:color="auto"/>
              <w:bottom w:val="single" w:sz="4" w:space="0" w:color="000000"/>
              <w:right w:val="single" w:sz="4" w:space="0" w:color="auto"/>
            </w:tcBorders>
          </w:tcPr>
          <w:p w14:paraId="1357DC3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CA87FA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AB330F7"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0E9540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42493DE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經濟部函為中央政府嚴重特殊傳染性肺炎防治及紓困振興特別預算第4次追加預算決議，檢送提高數位五倍券綁定率書面報告案。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14:paraId="0ED7902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EC29AA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42EAC71"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176A2DC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5F6BE28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經濟部函為中央政府嚴重特殊傳染性肺炎防治及紓困振興特別預算第4次追加預算決議，檢送數位五倍券綁定率書面報告案。</w:t>
            </w:r>
          </w:p>
        </w:tc>
        <w:tc>
          <w:tcPr>
            <w:tcW w:w="2871" w:type="dxa"/>
            <w:tcBorders>
              <w:top w:val="single" w:sz="4" w:space="0" w:color="auto"/>
              <w:left w:val="single" w:sz="4" w:space="0" w:color="auto"/>
              <w:bottom w:val="single" w:sz="4" w:space="0" w:color="000000"/>
              <w:right w:val="single" w:sz="4" w:space="0" w:color="auto"/>
            </w:tcBorders>
          </w:tcPr>
          <w:p w14:paraId="48DEDCD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8CBF97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A16A548"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D9A2CD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EB6FA0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經濟部函為中央政府嚴重特殊傳染性肺炎防治及紓困振興特別預算第4次追加預算決議，檢送三倍券發放後事實調查書面報告案。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14:paraId="6CA2310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54102D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499A052"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61CF975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73ECE84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經濟部函為中央政府嚴重特殊傳染性肺炎防治及紓困振興特別預算第4次追加預算決議，檢送振興五倍券領取計畫書面報告案。</w:t>
            </w:r>
          </w:p>
        </w:tc>
        <w:tc>
          <w:tcPr>
            <w:tcW w:w="2871" w:type="dxa"/>
            <w:tcBorders>
              <w:top w:val="single" w:sz="4" w:space="0" w:color="auto"/>
              <w:left w:val="single" w:sz="4" w:space="0" w:color="auto"/>
              <w:bottom w:val="single" w:sz="4" w:space="0" w:color="000000"/>
              <w:right w:val="single" w:sz="4" w:space="0" w:color="auto"/>
            </w:tcBorders>
          </w:tcPr>
          <w:p w14:paraId="62989EB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40D12D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5C43FEC"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24A8432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62609E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經濟部函為中央政府嚴重特殊傳染性肺炎防治及紓困振興特別預算第4次追加預算決議，檢送振興五倍券民眾消費通路、經濟效益書面報告案。</w:t>
            </w:r>
          </w:p>
        </w:tc>
        <w:tc>
          <w:tcPr>
            <w:tcW w:w="2871" w:type="dxa"/>
            <w:tcBorders>
              <w:top w:val="single" w:sz="4" w:space="0" w:color="auto"/>
              <w:left w:val="single" w:sz="4" w:space="0" w:color="auto"/>
              <w:bottom w:val="single" w:sz="4" w:space="0" w:color="000000"/>
              <w:right w:val="single" w:sz="4" w:space="0" w:color="auto"/>
            </w:tcBorders>
          </w:tcPr>
          <w:p w14:paraId="5C5807F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835748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F32770"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4D53B9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35CF20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經濟部函為中央政府嚴重特殊傳染性肺炎防治及紓困振興特別預算第4次追加預算決議，檢送振興實體券與數位券發行後總體經濟效益評估書面報告案。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14:paraId="1FBE5B1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4B8C1E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1B4A7E5"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13CC4D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435814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經濟部函為中央政府嚴重特殊傳染性肺炎防治及紓困振興特別預算第4次追加預算決議，檢送振興五倍券使用效益書面報告案。</w:t>
            </w:r>
          </w:p>
        </w:tc>
        <w:tc>
          <w:tcPr>
            <w:tcW w:w="2871" w:type="dxa"/>
            <w:tcBorders>
              <w:top w:val="single" w:sz="4" w:space="0" w:color="auto"/>
              <w:left w:val="single" w:sz="4" w:space="0" w:color="auto"/>
              <w:bottom w:val="single" w:sz="4" w:space="0" w:color="000000"/>
              <w:right w:val="single" w:sz="4" w:space="0" w:color="auto"/>
            </w:tcBorders>
          </w:tcPr>
          <w:p w14:paraId="251F9BB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8A51F7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311A58A"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A99AE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44BE674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經濟部函為中央政府嚴重特殊傳染性肺炎防治及紓困振興特別預算第4次追加預算決議，檢送振興五倍券民眾消費通路及產業類別書面報告案。</w:t>
            </w:r>
          </w:p>
        </w:tc>
        <w:tc>
          <w:tcPr>
            <w:tcW w:w="2871" w:type="dxa"/>
            <w:tcBorders>
              <w:top w:val="single" w:sz="4" w:space="0" w:color="auto"/>
              <w:left w:val="single" w:sz="4" w:space="0" w:color="auto"/>
              <w:bottom w:val="single" w:sz="4" w:space="0" w:color="000000"/>
              <w:right w:val="single" w:sz="4" w:space="0" w:color="auto"/>
            </w:tcBorders>
          </w:tcPr>
          <w:p w14:paraId="578BF43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F246A6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4881BF"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77086F9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9AE6A4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 4 次追加預算決議，檢送振興五倍券民眾消費通路與產業類別等項目調查分析書面報告案。</w:t>
            </w:r>
          </w:p>
        </w:tc>
        <w:tc>
          <w:tcPr>
            <w:tcW w:w="2871" w:type="dxa"/>
            <w:tcBorders>
              <w:top w:val="single" w:sz="4" w:space="0" w:color="auto"/>
              <w:left w:val="single" w:sz="4" w:space="0" w:color="auto"/>
              <w:bottom w:val="single" w:sz="4" w:space="0" w:color="000000"/>
              <w:right w:val="single" w:sz="4" w:space="0" w:color="auto"/>
            </w:tcBorders>
          </w:tcPr>
          <w:p w14:paraId="5330A91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CD4D6F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C4513C0"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64A6746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0CD2C9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經濟部函為中央政府嚴重特殊傳染性肺炎防治及紓困振興特別預算第4次追加預算決議，檢送振興五倍券替代效果、通路與產業類別書面報告案。</w:t>
            </w:r>
          </w:p>
        </w:tc>
        <w:tc>
          <w:tcPr>
            <w:tcW w:w="2871" w:type="dxa"/>
            <w:tcBorders>
              <w:top w:val="single" w:sz="4" w:space="0" w:color="auto"/>
              <w:left w:val="single" w:sz="4" w:space="0" w:color="auto"/>
              <w:bottom w:val="single" w:sz="4" w:space="0" w:color="000000"/>
              <w:right w:val="single" w:sz="4" w:space="0" w:color="auto"/>
            </w:tcBorders>
          </w:tcPr>
          <w:p w14:paraId="3A35C45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BBA7C7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90BEE0"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113B40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BED123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經濟部函為中央政府嚴重特殊傳染性肺炎防治及紓困振興特別預算第4次追加預算決議，檢送紙本券與數位券於振興整體經濟效益之差異書面報告案。</w:t>
            </w:r>
          </w:p>
        </w:tc>
        <w:tc>
          <w:tcPr>
            <w:tcW w:w="2871" w:type="dxa"/>
            <w:tcBorders>
              <w:top w:val="single" w:sz="4" w:space="0" w:color="auto"/>
              <w:left w:val="single" w:sz="4" w:space="0" w:color="auto"/>
              <w:bottom w:val="single" w:sz="4" w:space="0" w:color="000000"/>
              <w:right w:val="single" w:sz="4" w:space="0" w:color="auto"/>
            </w:tcBorders>
          </w:tcPr>
          <w:p w14:paraId="00E13E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C1624D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094F18D"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43F76A1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5AE08F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經濟部函為中央政府嚴重特殊傳染性肺炎防治及紓困振興特別預算第4次追加預算決議，檢送五倍券政策效益評估書面報告案。</w:t>
            </w:r>
          </w:p>
        </w:tc>
        <w:tc>
          <w:tcPr>
            <w:tcW w:w="2871" w:type="dxa"/>
            <w:tcBorders>
              <w:top w:val="single" w:sz="4" w:space="0" w:color="auto"/>
              <w:left w:val="single" w:sz="4" w:space="0" w:color="auto"/>
              <w:bottom w:val="single" w:sz="4" w:space="0" w:color="000000"/>
              <w:right w:val="single" w:sz="4" w:space="0" w:color="auto"/>
            </w:tcBorders>
          </w:tcPr>
          <w:p w14:paraId="0099C07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578A66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037FB55"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3EDDD08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5E95EE89" w14:textId="400E9E4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經濟部函為中央政府嚴重特殊傳染性肺炎防治及紓困振興特別預算第4次追加預算決議，檢送振興五倍券執行成效書面報告案。</w:t>
            </w:r>
          </w:p>
        </w:tc>
        <w:tc>
          <w:tcPr>
            <w:tcW w:w="2871" w:type="dxa"/>
            <w:tcBorders>
              <w:top w:val="single" w:sz="4" w:space="0" w:color="auto"/>
              <w:left w:val="single" w:sz="4" w:space="0" w:color="auto"/>
              <w:bottom w:val="single" w:sz="4" w:space="0" w:color="000000"/>
              <w:right w:val="single" w:sz="4" w:space="0" w:color="auto"/>
            </w:tcBorders>
          </w:tcPr>
          <w:p w14:paraId="38ECE4A6" w14:textId="0BDAD480"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6</w:t>
            </w:r>
            <w:r w:rsidRPr="00B95A07">
              <w:rPr>
                <w:rFonts w:ascii="標楷體" w:eastAsia="標楷體" w:hAnsi="標楷體" w:hint="eastAsia"/>
                <w:kern w:val="2"/>
                <w:szCs w:val="24"/>
              </w:rPr>
              <w:t>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30C76D7" w14:textId="6516E9A5"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9A7F671" w14:textId="77777777" w:rsidTr="003E17ED">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D03605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92B417" w14:textId="76B5030E"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經濟部函送中央政府嚴重特殊傳染性肺炎防治及紓困振興特別預算截至</w:t>
            </w:r>
            <w:r w:rsidRPr="00B95A07">
              <w:rPr>
                <w:rFonts w:ascii="標楷體" w:eastAsia="標楷體" w:hAnsi="標楷體"/>
                <w:kern w:val="2"/>
                <w:szCs w:val="24"/>
              </w:rPr>
              <w:t>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813C270" w14:textId="19431504"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9173062" w14:textId="3D8A07B4"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B7ECA82"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BA63A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32E481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文化部函送針對實體書店紓困及振興計畫書面報告案。</w:t>
            </w:r>
          </w:p>
        </w:tc>
        <w:tc>
          <w:tcPr>
            <w:tcW w:w="2871" w:type="dxa"/>
            <w:tcBorders>
              <w:top w:val="single" w:sz="12" w:space="0" w:color="auto"/>
              <w:left w:val="single" w:sz="4" w:space="0" w:color="auto"/>
              <w:bottom w:val="single" w:sz="4" w:space="0" w:color="auto"/>
              <w:right w:val="single" w:sz="4" w:space="0" w:color="auto"/>
            </w:tcBorders>
          </w:tcPr>
          <w:p w14:paraId="51919A7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17</w:t>
            </w:r>
            <w:r w:rsidRPr="00B95A07">
              <w:rPr>
                <w:rFonts w:ascii="標楷體" w:eastAsia="標楷體" w:hAnsi="標楷體" w:hint="eastAsia"/>
                <w:kern w:val="2"/>
                <w:szCs w:val="24"/>
              </w:rPr>
              <w:t>）決定：「交財政、教育及文化兩委員會審查」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59DE981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D4440D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A2BB09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23A3F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文化部函為中央政府嚴重特殊傳染性肺炎防治及紓困振興特別預算第</w:t>
            </w:r>
            <w:r w:rsidRPr="00B95A07">
              <w:rPr>
                <w:rFonts w:ascii="標楷體" w:eastAsia="標楷體" w:hAnsi="標楷體"/>
                <w:kern w:val="2"/>
                <w:szCs w:val="24"/>
              </w:rPr>
              <w:t>2次追加預算決議，檢送行政院主管決議（十六）110年3月紓困方案執行情形書面報告案。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475643A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36D257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1CD1F1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E7871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B22B9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tcPr>
          <w:p w14:paraId="4740596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AB30B8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527DE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52E9D4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54AA8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文化部函送該部主管受衝擊產業各項紓困方案111年2月份執行情形書面報告案。</w:t>
            </w:r>
          </w:p>
        </w:tc>
        <w:tc>
          <w:tcPr>
            <w:tcW w:w="2871" w:type="dxa"/>
            <w:tcBorders>
              <w:top w:val="single" w:sz="4" w:space="0" w:color="auto"/>
              <w:left w:val="single" w:sz="4" w:space="0" w:color="auto"/>
              <w:bottom w:val="single" w:sz="4" w:space="0" w:color="auto"/>
              <w:right w:val="single" w:sz="4" w:space="0" w:color="auto"/>
            </w:tcBorders>
          </w:tcPr>
          <w:p w14:paraId="131EA89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A35FDB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EF01977"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0BB460B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1EEC12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文化部函送該部主管受衝擊產業各項紓困方案111年3月份執行情形書面報告案。</w:t>
            </w:r>
          </w:p>
        </w:tc>
        <w:tc>
          <w:tcPr>
            <w:tcW w:w="2871" w:type="dxa"/>
            <w:tcBorders>
              <w:top w:val="single" w:sz="4" w:space="0" w:color="auto"/>
              <w:left w:val="single" w:sz="4" w:space="0" w:color="auto"/>
              <w:bottom w:val="single" w:sz="4" w:space="0" w:color="000000"/>
              <w:right w:val="single" w:sz="4" w:space="0" w:color="auto"/>
            </w:tcBorders>
          </w:tcPr>
          <w:p w14:paraId="5F7558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3BFC4D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105FFA6" w14:textId="77777777" w:rsidTr="000D2E36">
        <w:trPr>
          <w:gridAfter w:val="1"/>
          <w:wAfter w:w="7" w:type="dxa"/>
          <w:trHeight w:val="960"/>
          <w:jc w:val="center"/>
        </w:trPr>
        <w:tc>
          <w:tcPr>
            <w:tcW w:w="846" w:type="dxa"/>
            <w:tcBorders>
              <w:top w:val="single" w:sz="4" w:space="0" w:color="auto"/>
              <w:left w:val="single" w:sz="4" w:space="0" w:color="auto"/>
              <w:bottom w:val="single" w:sz="4" w:space="0" w:color="000000"/>
              <w:right w:val="single" w:sz="4" w:space="0" w:color="auto"/>
            </w:tcBorders>
          </w:tcPr>
          <w:p w14:paraId="29E7139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0E6A8C6" w14:textId="660DB7B2"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文化部函為中央政府嚴重特殊傳染性肺炎防治及紓困振興特別預算第4</w:t>
            </w:r>
            <w:r w:rsidRPr="00B95A07">
              <w:rPr>
                <w:rFonts w:ascii="標楷體" w:eastAsia="標楷體" w:hAnsi="標楷體"/>
                <w:kern w:val="2"/>
                <w:szCs w:val="24"/>
              </w:rPr>
              <w:t>次追加預算決議，檢送</w:t>
            </w:r>
            <w:r w:rsidRPr="00B95A07">
              <w:rPr>
                <w:rFonts w:ascii="標楷體" w:eastAsia="標楷體" w:hAnsi="標楷體" w:hint="eastAsia"/>
                <w:kern w:val="2"/>
                <w:szCs w:val="24"/>
              </w:rPr>
              <w:t>歲出第8款第1項</w:t>
            </w:r>
            <w:r w:rsidRPr="00B95A07">
              <w:rPr>
                <w:rFonts w:ascii="標楷體" w:eastAsia="標楷體" w:hAnsi="標楷體"/>
                <w:kern w:val="2"/>
                <w:szCs w:val="24"/>
              </w:rPr>
              <w:t>決議（</w:t>
            </w:r>
            <w:r w:rsidRPr="00B95A07">
              <w:rPr>
                <w:rFonts w:ascii="標楷體" w:eastAsia="標楷體" w:hAnsi="標楷體" w:hint="eastAsia"/>
                <w:kern w:val="2"/>
                <w:szCs w:val="24"/>
              </w:rPr>
              <w:t>二</w:t>
            </w:r>
            <w:r w:rsidRPr="00B95A07">
              <w:rPr>
                <w:rFonts w:ascii="標楷體" w:eastAsia="標楷體" w:hAnsi="標楷體"/>
                <w:kern w:val="2"/>
                <w:szCs w:val="24"/>
              </w:rPr>
              <w:t>十</w:t>
            </w:r>
            <w:r w:rsidRPr="00B95A07">
              <w:rPr>
                <w:rFonts w:ascii="標楷體" w:eastAsia="標楷體" w:hAnsi="標楷體" w:hint="eastAsia"/>
                <w:kern w:val="2"/>
                <w:szCs w:val="24"/>
              </w:rPr>
              <w:t>四</w:t>
            </w:r>
            <w:r w:rsidRPr="00B95A07">
              <w:rPr>
                <w:rFonts w:ascii="標楷體" w:eastAsia="標楷體" w:hAnsi="標楷體"/>
                <w:kern w:val="2"/>
                <w:szCs w:val="24"/>
              </w:rPr>
              <w:t>）報告案。</w:t>
            </w:r>
          </w:p>
        </w:tc>
        <w:tc>
          <w:tcPr>
            <w:tcW w:w="2871" w:type="dxa"/>
            <w:tcBorders>
              <w:top w:val="single" w:sz="4" w:space="0" w:color="auto"/>
              <w:left w:val="single" w:sz="4" w:space="0" w:color="auto"/>
              <w:bottom w:val="single" w:sz="4" w:space="0" w:color="000000"/>
              <w:right w:val="single" w:sz="4" w:space="0" w:color="auto"/>
            </w:tcBorders>
          </w:tcPr>
          <w:p w14:paraId="4BE57A83" w14:textId="374D075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w:t>
            </w:r>
            <w:r w:rsidRPr="00B95A07">
              <w:rPr>
                <w:rFonts w:ascii="標楷體" w:eastAsia="標楷體" w:hAnsi="標楷體"/>
                <w:kern w:val="2"/>
                <w:szCs w:val="24"/>
              </w:rPr>
              <w:t>6</w:t>
            </w:r>
            <w:r w:rsidRPr="00B95A07">
              <w:rPr>
                <w:rFonts w:ascii="標楷體" w:eastAsia="標楷體" w:hAnsi="標楷體" w:hint="eastAsia"/>
                <w:kern w:val="2"/>
                <w:szCs w:val="24"/>
              </w:rPr>
              <w:t>會期第</w:t>
            </w:r>
            <w:r w:rsidRPr="00B95A07">
              <w:rPr>
                <w:rFonts w:ascii="標楷體" w:eastAsia="標楷體" w:hAnsi="標楷體"/>
                <w:kern w:val="2"/>
                <w:szCs w:val="24"/>
              </w:rPr>
              <w:t>4</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.1</w:t>
            </w:r>
            <w:r w:rsidRPr="00B95A07">
              <w:rPr>
                <w:rFonts w:ascii="標楷體" w:eastAsia="標楷體" w:hAnsi="標楷體"/>
                <w:kern w:val="2"/>
                <w:szCs w:val="24"/>
              </w:rPr>
              <w:t>4</w:t>
            </w:r>
            <w:r w:rsidRPr="00B95A07">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14:paraId="3D99D17A" w14:textId="211FB973"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54681ADF" w14:textId="77777777" w:rsidTr="003E17ED">
        <w:trPr>
          <w:gridAfter w:val="1"/>
          <w:wAfter w:w="7" w:type="dxa"/>
          <w:trHeight w:val="960"/>
          <w:jc w:val="center"/>
        </w:trPr>
        <w:tc>
          <w:tcPr>
            <w:tcW w:w="846" w:type="dxa"/>
            <w:tcBorders>
              <w:top w:val="single" w:sz="4" w:space="0" w:color="000000"/>
              <w:left w:val="single" w:sz="4" w:space="0" w:color="auto"/>
              <w:bottom w:val="single" w:sz="4" w:space="0" w:color="auto"/>
              <w:right w:val="single" w:sz="4" w:space="0" w:color="auto"/>
            </w:tcBorders>
          </w:tcPr>
          <w:p w14:paraId="3C0DD98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5DD338" w14:textId="0B1FA788"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文化部函送中央政府嚴重特殊傳染性肺炎防治及紓困振興特別預算截至112年6月份經費流用情形表案。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7D15BC" w14:textId="586AB564"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5B7BA04" w14:textId="10BDA4E2"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C91347D"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8DBBAA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095344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交通部函為中央政府嚴重特殊傳染性肺炎防治及紓困振興特別預算決議，檢送該部經費流用情形表案。</w:t>
            </w:r>
          </w:p>
        </w:tc>
        <w:tc>
          <w:tcPr>
            <w:tcW w:w="2871" w:type="dxa"/>
            <w:tcBorders>
              <w:top w:val="single" w:sz="12" w:space="0" w:color="auto"/>
              <w:left w:val="single" w:sz="4" w:space="0" w:color="auto"/>
              <w:bottom w:val="single" w:sz="4" w:space="0" w:color="auto"/>
              <w:right w:val="single" w:sz="4" w:space="0" w:color="auto"/>
            </w:tcBorders>
          </w:tcPr>
          <w:p w14:paraId="5703287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2F34183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EC199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97A90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3D4B7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交通部函為中央政府嚴重特殊傳染性肺炎防治及紓困振興特別預算決議，檢送該部主管決議（二）具體政策評估資料及申請紓困辦法書面報告案。</w:t>
            </w:r>
          </w:p>
        </w:tc>
        <w:tc>
          <w:tcPr>
            <w:tcW w:w="2871" w:type="dxa"/>
            <w:tcBorders>
              <w:top w:val="single" w:sz="4" w:space="0" w:color="auto"/>
              <w:left w:val="single" w:sz="4" w:space="0" w:color="auto"/>
              <w:bottom w:val="single" w:sz="4" w:space="0" w:color="auto"/>
              <w:right w:val="single" w:sz="4" w:space="0" w:color="auto"/>
            </w:tcBorders>
          </w:tcPr>
          <w:p w14:paraId="1C85C63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312E51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F7060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A9DCAE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7F04F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交通部函為中央政府嚴重特殊傳染性肺炎防治及紓困振興特別預算決議，檢送該部主管決議（七）擴大秋冬國民旅遊、升格觀光署書面報告案。</w:t>
            </w:r>
          </w:p>
        </w:tc>
        <w:tc>
          <w:tcPr>
            <w:tcW w:w="2871" w:type="dxa"/>
            <w:tcBorders>
              <w:top w:val="single" w:sz="4" w:space="0" w:color="auto"/>
              <w:left w:val="single" w:sz="4" w:space="0" w:color="auto"/>
              <w:bottom w:val="single" w:sz="4" w:space="0" w:color="auto"/>
              <w:right w:val="single" w:sz="4" w:space="0" w:color="auto"/>
            </w:tcBorders>
          </w:tcPr>
          <w:p w14:paraId="2DED94C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E70659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6075E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7AF647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AE9B0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交通部函為中央政府嚴重特殊傳染性肺炎防治及紓困振興特別預算決議，檢送該部主管決議（十四）滾動檢討補助規模及追蹤實施成效書面報告案。</w:t>
            </w:r>
          </w:p>
        </w:tc>
        <w:tc>
          <w:tcPr>
            <w:tcW w:w="2871" w:type="dxa"/>
            <w:tcBorders>
              <w:top w:val="single" w:sz="4" w:space="0" w:color="auto"/>
              <w:left w:val="single" w:sz="4" w:space="0" w:color="auto"/>
              <w:bottom w:val="single" w:sz="4" w:space="0" w:color="auto"/>
              <w:right w:val="single" w:sz="4" w:space="0" w:color="auto"/>
            </w:tcBorders>
          </w:tcPr>
          <w:p w14:paraId="3B7E14F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F61A6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3E39E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99802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AA6B2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2次追加預算決議，檢送決議（二）補助申請審查程序書面報告案。</w:t>
            </w:r>
          </w:p>
        </w:tc>
        <w:tc>
          <w:tcPr>
            <w:tcW w:w="2871" w:type="dxa"/>
            <w:tcBorders>
              <w:top w:val="single" w:sz="4" w:space="0" w:color="auto"/>
              <w:left w:val="single" w:sz="4" w:space="0" w:color="auto"/>
              <w:bottom w:val="single" w:sz="4" w:space="0" w:color="auto"/>
              <w:right w:val="single" w:sz="4" w:space="0" w:color="auto"/>
            </w:tcBorders>
          </w:tcPr>
          <w:p w14:paraId="3FDD90B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2054BE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D9DFCE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E3F5FD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4C21D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2次追加預算決議，檢送決議（三）滾動式檢討補助狀況書面報告案。</w:t>
            </w:r>
          </w:p>
        </w:tc>
        <w:tc>
          <w:tcPr>
            <w:tcW w:w="2871" w:type="dxa"/>
            <w:tcBorders>
              <w:top w:val="single" w:sz="4" w:space="0" w:color="auto"/>
              <w:left w:val="single" w:sz="4" w:space="0" w:color="auto"/>
              <w:bottom w:val="single" w:sz="4" w:space="0" w:color="auto"/>
              <w:right w:val="single" w:sz="4" w:space="0" w:color="auto"/>
            </w:tcBorders>
          </w:tcPr>
          <w:p w14:paraId="23BBA03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FFED0D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49FD72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0FB0F7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8E20C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w:t>
            </w:r>
            <w:r w:rsidRPr="00B95A07">
              <w:rPr>
                <w:rFonts w:ascii="標楷體" w:eastAsia="標楷體" w:hAnsi="標楷體"/>
                <w:kern w:val="2"/>
                <w:szCs w:val="24"/>
              </w:rPr>
              <w:t>2次追加預算決議，檢送決議（四）紓困振興特別預算及第1次追加預算實施成效書面報告案。</w:t>
            </w:r>
          </w:p>
        </w:tc>
        <w:tc>
          <w:tcPr>
            <w:tcW w:w="2871" w:type="dxa"/>
            <w:tcBorders>
              <w:top w:val="single" w:sz="4" w:space="0" w:color="auto"/>
              <w:left w:val="single" w:sz="4" w:space="0" w:color="auto"/>
              <w:bottom w:val="single" w:sz="4" w:space="0" w:color="auto"/>
              <w:right w:val="single" w:sz="4" w:space="0" w:color="auto"/>
            </w:tcBorders>
          </w:tcPr>
          <w:p w14:paraId="498B46A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21895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BDE53E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30DE4A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0AEE8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w:t>
            </w:r>
            <w:r w:rsidRPr="00B95A07">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14:paraId="496DB2E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w:t>
            </w:r>
            <w:r w:rsidRPr="00B95A07">
              <w:rPr>
                <w:rFonts w:ascii="標楷體" w:eastAsia="標楷體" w:hAnsi="標楷體"/>
                <w:kern w:val="2"/>
                <w:szCs w:val="24"/>
              </w:rPr>
              <w:t>）</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074CCB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A19650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B46CE4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64DE6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交通部函為中央政府嚴重特殊傳染性肺炎防治及紓困振興特別預算第2次追加預算決議，檢送110年5月紓困方案執行情形書面報告案。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16B4D00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19CDEB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3DFF3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B45A71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29011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421C9F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w:t>
            </w:r>
            <w:r w:rsidRPr="00B95A07">
              <w:rPr>
                <w:rFonts w:ascii="標楷體" w:eastAsia="標楷體" w:hAnsi="標楷體"/>
                <w:kern w:val="2"/>
                <w:szCs w:val="24"/>
              </w:rPr>
              <w:t>）</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F2D8B1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45954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273F51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8E114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交通部函為中央政府嚴重特殊傳染性肺炎防治及紓困振興特別預算第3次追加預算決議，檢送行政院主管決議（二○一）公費支付警察、消防及醫護人員入住旅館費用書面報告案。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38B06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7D30A7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ACF0F8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67BBB8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D5E68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交通部函為中央政府嚴重特殊傳染性肺炎防治及紓困振興特別預算第4次追加預算決議，檢送決議（三十六）駕駛人薪資補貼專案報告案。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F8F97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）決定：「交財政及相關委員會處理」</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D874E2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2788550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4939F9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5D11F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賡續辦理111年上半年海空運相關業者紓困措施所需經費，依嚴重特殊傳染性肺炎防治及紓困振興特別條例第11條第1項規定，由中央政府嚴重特殊傳染性肺炎防治及紓困振興特別預算經濟部所列經費支應12億967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14:paraId="6387ACA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6F6DCF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B9411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432270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10610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辦理「國旅券方案」所需經費，依嚴重特殊傳染性肺炎防治及紓困振興特別條例第11條第1項規定，由中央政府嚴重特殊傳染性肺炎防治及紓困振興特別預算經濟部所列經費支應12億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14:paraId="266744C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2C73E9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F42D26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E01AF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ACD2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行政院函為交通部為補助各縣市政府地方防疫專車經費不敷，由中央政府嚴重特殊傳染性肺炎防治及紓困振興特別預算經濟部所列經費支應3億300萬元，茲檢送跨機關流用情形表案。</w:t>
            </w:r>
          </w:p>
        </w:tc>
        <w:tc>
          <w:tcPr>
            <w:tcW w:w="2871" w:type="dxa"/>
            <w:tcBorders>
              <w:top w:val="single" w:sz="4" w:space="0" w:color="auto"/>
              <w:left w:val="single" w:sz="4" w:space="0" w:color="auto"/>
              <w:bottom w:val="single" w:sz="4" w:space="0" w:color="auto"/>
              <w:right w:val="single" w:sz="4" w:space="0" w:color="auto"/>
            </w:tcBorders>
          </w:tcPr>
          <w:p w14:paraId="2E1C6D4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第10屆第5會期第10次院會（111.4.</w:t>
            </w:r>
            <w:r w:rsidRPr="00B95A07">
              <w:rPr>
                <w:rFonts w:ascii="標楷體" w:eastAsia="標楷體" w:hAnsi="標楷體"/>
                <w:kern w:val="2"/>
                <w:szCs w:val="24"/>
              </w:rPr>
              <w:t>2</w:t>
            </w:r>
            <w:r w:rsidRPr="00B95A07">
              <w:rPr>
                <w:rFonts w:ascii="標楷體" w:eastAsia="標楷體" w:hAnsi="標楷體" w:hint="eastAsia"/>
                <w:kern w:val="2"/>
                <w:szCs w:val="24"/>
              </w:rPr>
              <w:t>9）決定：「交財政、交通兩委員會審查」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9827F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529322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18F7E4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ED66F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169378B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28A77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1F2C9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954DBD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83A9AA" w14:textId="29D6AC53"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交通部函為中央政府嚴重特殊傳染性肺炎防治及紓困振興特別預算第4次追加預算決議，檢送該部決議（三十八）獎勵低碳旅遊措施書面報告案。</w:t>
            </w:r>
          </w:p>
        </w:tc>
        <w:tc>
          <w:tcPr>
            <w:tcW w:w="2871" w:type="dxa"/>
            <w:tcBorders>
              <w:top w:val="single" w:sz="4" w:space="0" w:color="auto"/>
              <w:left w:val="single" w:sz="4" w:space="0" w:color="auto"/>
              <w:bottom w:val="single" w:sz="4" w:space="0" w:color="auto"/>
              <w:right w:val="single" w:sz="4" w:space="0" w:color="auto"/>
            </w:tcBorders>
          </w:tcPr>
          <w:p w14:paraId="1110CCAE" w14:textId="2B9DBEF3"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C88F4AB" w14:textId="5DB33F1A"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E743758" w14:textId="77777777" w:rsidTr="005134C1">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72888C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14D3F2" w14:textId="6F345E0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辦理航空相關產業紓困措施所需經費不敷，依嚴重特殊傳染性肺炎防治及紓困振興特別條例第11條第1項規定，由中央政府嚴重特殊傳染性肺炎防治及紓困振興特別預算經濟部所列經費支應11億400萬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F13E2F4" w14:textId="47086E1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8F65DAC" w14:textId="297434B6"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E60B45" w14:textId="77777777" w:rsidTr="005134C1">
        <w:trPr>
          <w:gridAfter w:val="1"/>
          <w:wAfter w:w="7" w:type="dxa"/>
          <w:trHeight w:val="960"/>
          <w:jc w:val="center"/>
        </w:trPr>
        <w:tc>
          <w:tcPr>
            <w:tcW w:w="846" w:type="dxa"/>
            <w:tcBorders>
              <w:top w:val="single" w:sz="4" w:space="0" w:color="auto"/>
              <w:left w:val="single" w:sz="4" w:space="0" w:color="auto"/>
              <w:bottom w:val="single" w:sz="12" w:space="0" w:color="auto"/>
              <w:right w:val="single" w:sz="4" w:space="0" w:color="auto"/>
            </w:tcBorders>
          </w:tcPr>
          <w:p w14:paraId="18749E9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CF5AE39" w14:textId="17197725"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該部民用航空局及桃園國際機場股份有限公司執行減免航空相關產業之降落費等補貼措施經費不敷，依嚴重特殊傳染性肺炎防治及紓困振興特別條例第11條第1項規定，由中央政府嚴重特殊傳染性肺炎防治及紓困振興特別預算該部觀光局執行防治及紓困振興經費流用21億5,748萬8,000元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8299B99" w14:textId="46FC8681"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3F42FCB9" w14:textId="60C0E851"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8E683D1" w14:textId="77777777" w:rsidTr="005134C1">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1F4B032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BC5962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勞動部函為中央政府嚴重特殊傳染性肺炎防治及紓困振興特別預算追加預算決議，檢送勞工生活補貼詳加規劃配套措施書面報告案。</w:t>
            </w:r>
          </w:p>
        </w:tc>
        <w:tc>
          <w:tcPr>
            <w:tcW w:w="2871" w:type="dxa"/>
            <w:tcBorders>
              <w:top w:val="single" w:sz="12" w:space="0" w:color="auto"/>
              <w:left w:val="single" w:sz="4" w:space="0" w:color="auto"/>
              <w:bottom w:val="single" w:sz="4" w:space="0" w:color="auto"/>
              <w:right w:val="single" w:sz="4" w:space="0" w:color="auto"/>
            </w:tcBorders>
          </w:tcPr>
          <w:p w14:paraId="061E814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5B53621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FAAA12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E5BA7A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3B19B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勞動部函為中央政府嚴重特殊傳染性肺炎防治及紓困振興特別預算追加預算決議，檢送自營作業者或無一定雇主之勞工生活補貼適用範圍及申請門檻之說明案。</w:t>
            </w:r>
          </w:p>
        </w:tc>
        <w:tc>
          <w:tcPr>
            <w:tcW w:w="2871" w:type="dxa"/>
            <w:tcBorders>
              <w:top w:val="single" w:sz="4" w:space="0" w:color="auto"/>
              <w:left w:val="single" w:sz="4" w:space="0" w:color="auto"/>
              <w:bottom w:val="single" w:sz="4" w:space="0" w:color="auto"/>
              <w:right w:val="single" w:sz="4" w:space="0" w:color="auto"/>
            </w:tcBorders>
          </w:tcPr>
          <w:p w14:paraId="2F55705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BC3C00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CE81A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FF4986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87755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勞動部函為中央政府嚴重特殊傳染性肺炎防治及紓困振興特別預算追加預算決議，檢送受影響產業所為之函釋書面報告案。</w:t>
            </w:r>
          </w:p>
        </w:tc>
        <w:tc>
          <w:tcPr>
            <w:tcW w:w="2871" w:type="dxa"/>
            <w:tcBorders>
              <w:top w:val="single" w:sz="4" w:space="0" w:color="auto"/>
              <w:left w:val="single" w:sz="4" w:space="0" w:color="auto"/>
              <w:bottom w:val="single" w:sz="4" w:space="0" w:color="auto"/>
              <w:right w:val="single" w:sz="4" w:space="0" w:color="auto"/>
            </w:tcBorders>
          </w:tcPr>
          <w:p w14:paraId="08AD873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428FF1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97C4D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4509FE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1388F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勞動部函為中央政府嚴重特殊傳染性肺炎防治及紓困振興特別預算決議，檢送</w:t>
            </w:r>
            <w:r w:rsidRPr="00B95A07">
              <w:rPr>
                <w:rFonts w:ascii="標楷體" w:eastAsia="標楷體" w:hAnsi="標楷體"/>
                <w:kern w:val="2"/>
                <w:szCs w:val="24"/>
              </w:rPr>
              <w:t>109年第3季經費流用情形表案。</w:t>
            </w:r>
          </w:p>
        </w:tc>
        <w:tc>
          <w:tcPr>
            <w:tcW w:w="2871" w:type="dxa"/>
            <w:tcBorders>
              <w:top w:val="single" w:sz="4" w:space="0" w:color="auto"/>
              <w:left w:val="single" w:sz="4" w:space="0" w:color="auto"/>
              <w:bottom w:val="single" w:sz="4" w:space="0" w:color="auto"/>
              <w:right w:val="single" w:sz="4" w:space="0" w:color="auto"/>
            </w:tcBorders>
          </w:tcPr>
          <w:p w14:paraId="2C7AEF2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334BF3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6F885A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E66761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CD645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2次追加預算決議，檢送「持續彙總國內受衝擊產業，規劃紓困方案並確實執行」書面報告案。</w:t>
            </w:r>
          </w:p>
        </w:tc>
        <w:tc>
          <w:tcPr>
            <w:tcW w:w="2871" w:type="dxa"/>
            <w:tcBorders>
              <w:top w:val="single" w:sz="4" w:space="0" w:color="auto"/>
              <w:left w:val="single" w:sz="4" w:space="0" w:color="auto"/>
              <w:bottom w:val="single" w:sz="4" w:space="0" w:color="auto"/>
              <w:right w:val="single" w:sz="4" w:space="0" w:color="auto"/>
            </w:tcBorders>
          </w:tcPr>
          <w:p w14:paraId="418F2D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CD3733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ECB7E1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72D6FF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2CB4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14:paraId="0F0C59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C940E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F2E4DA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FB002B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658E6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2次追加預算決議，檢送啟動中高齡者及高齡者就業促進法6部子法施行作業以助紓困之說明案。</w:t>
            </w:r>
          </w:p>
        </w:tc>
        <w:tc>
          <w:tcPr>
            <w:tcW w:w="2871" w:type="dxa"/>
            <w:tcBorders>
              <w:top w:val="single" w:sz="4" w:space="0" w:color="auto"/>
              <w:left w:val="single" w:sz="4" w:space="0" w:color="auto"/>
              <w:bottom w:val="single" w:sz="4" w:space="0" w:color="auto"/>
              <w:right w:val="single" w:sz="4" w:space="0" w:color="auto"/>
            </w:tcBorders>
          </w:tcPr>
          <w:p w14:paraId="0914264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50C97F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E5D18A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E65A34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34FF8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2次追加預算決議，檢送機場商業服務設施業空廚業從業人員紓困協助書面報告案。</w:t>
            </w:r>
          </w:p>
        </w:tc>
        <w:tc>
          <w:tcPr>
            <w:tcW w:w="2871" w:type="dxa"/>
            <w:tcBorders>
              <w:top w:val="single" w:sz="4" w:space="0" w:color="auto"/>
              <w:left w:val="single" w:sz="4" w:space="0" w:color="auto"/>
              <w:bottom w:val="single" w:sz="4" w:space="0" w:color="auto"/>
              <w:right w:val="single" w:sz="4" w:space="0" w:color="auto"/>
            </w:tcBorders>
          </w:tcPr>
          <w:p w14:paraId="583BD51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A6B385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17670F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488921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59761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2次追加預算決議，檢送「檢討就業保險促進就業實施辦法中啟動僱用安定措施之指標、量化或質化門檻等」書面報告案。</w:t>
            </w:r>
          </w:p>
        </w:tc>
        <w:tc>
          <w:tcPr>
            <w:tcW w:w="2871" w:type="dxa"/>
            <w:tcBorders>
              <w:top w:val="single" w:sz="4" w:space="0" w:color="auto"/>
              <w:left w:val="single" w:sz="4" w:space="0" w:color="auto"/>
              <w:bottom w:val="single" w:sz="4" w:space="0" w:color="auto"/>
              <w:right w:val="single" w:sz="4" w:space="0" w:color="auto"/>
            </w:tcBorders>
          </w:tcPr>
          <w:p w14:paraId="111516B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116598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49477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7D82E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8A8F2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2次追加預算決議，檢送該部決議（十二）書面報告案。</w:t>
            </w:r>
          </w:p>
        </w:tc>
        <w:tc>
          <w:tcPr>
            <w:tcW w:w="2871" w:type="dxa"/>
            <w:tcBorders>
              <w:top w:val="single" w:sz="4" w:space="0" w:color="auto"/>
              <w:left w:val="single" w:sz="4" w:space="0" w:color="auto"/>
              <w:bottom w:val="single" w:sz="4" w:space="0" w:color="auto"/>
              <w:right w:val="single" w:sz="4" w:space="0" w:color="auto"/>
            </w:tcBorders>
          </w:tcPr>
          <w:p w14:paraId="0DA3B42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C43DB8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F66598"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048A63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E102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w:t>
            </w:r>
            <w:r w:rsidRPr="00B95A07">
              <w:rPr>
                <w:rFonts w:ascii="標楷體" w:eastAsia="標楷體" w:hAnsi="標楷體"/>
                <w:kern w:val="2"/>
                <w:szCs w:val="24"/>
              </w:rPr>
              <w:t>2次追加預算決議，檢送紓困方案對於受疫情影響勞工經濟安全與就業穩定之成效書面報告案。</w:t>
            </w:r>
          </w:p>
        </w:tc>
        <w:tc>
          <w:tcPr>
            <w:tcW w:w="2871" w:type="dxa"/>
            <w:tcBorders>
              <w:top w:val="single" w:sz="4" w:space="0" w:color="auto"/>
              <w:left w:val="single" w:sz="4" w:space="0" w:color="auto"/>
              <w:bottom w:val="single" w:sz="4" w:space="0" w:color="auto"/>
              <w:right w:val="single" w:sz="4" w:space="0" w:color="auto"/>
            </w:tcBorders>
          </w:tcPr>
          <w:p w14:paraId="225DB50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.21）決定：「交財政、社會福利及衛生環境兩委員會審查」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FF5BA3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7E82F5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7A42AF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105EA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勞動部函為中央政府嚴重特殊傳染性肺炎防治及紓困振興特別預算第3次追加預算決議，檢送「研議針對外送員、貨運司機發放防疫裝備或防疫補助津貼之可行性」書面報告案。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0B22B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940040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4C95DD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16C83B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066B1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勞動部函為中央政府嚴重特殊傳染性肺炎防治及紓困振興特別預算第3次追加預算決議，檢送擴大失聯移工自行到案意願書面報告案。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46EFC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69756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8C7E7D"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C21B2C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D48CE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勞動部函為中央政府嚴重特殊傳染性肺炎防治及紓困振興特別預算第3次追加預算決議，檢送移工防疫建立單一窗口和專線書面報告案。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2E697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B91A5A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57D985"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1DD493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4DB71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勞動部函為中央政府嚴重特殊傳染性肺炎防治及紓困振興特別預算第3次追加預算決議，檢送移工防疫宣導及失聯移工防疫改善措施書面報告案。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75C27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9B282F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53716CF"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540AEE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831A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勞動部函為中央政府嚴重特殊傳染性肺炎防治及紓困振興特別預算第3次追加預算決議，檢送訂定職業相關嚴重特殊傳染性肺炎認定參考指引之說明案。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9E815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0D5CD7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84E000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D72C3D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D0D14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勞動部函為中央政府嚴重特殊傳染性肺炎防治及紓困振興特別預算第4次追加預算決議，檢送「積極協助於工作時感染嚴重特殊傳染性肺炎勞工進行職業傷病給付認定」書面報告案。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F8BC9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86726F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5C168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36519B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993CD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勞動部函為中央政府嚴重特殊傳染性肺炎防治及紓困振興特別預算第4次追加預算決議，檢送「領有政府紓困補助之業者，有無違反勞動法令，加強實施檢查」書面報告案。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C065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F6D52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4B14E9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3D91F5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93644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勞動部函為中央政府嚴重特殊傳染性肺炎防治及紓困振興特別預算第4次追加預算決議，檢送職場染疫之職災認定書面報告案。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7BE42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ED2BA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DBD9C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1218A7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C8EDB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勞動部函為中央政府嚴重特殊傳染性肺炎防治及紓困振興特別預算第4次追加預算決議，檢送失聯移工納入接種疫苗書面報告案。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D55399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98F05B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3A4FA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33DC6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02C88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勞動部函為中央政府嚴重特殊傳染性肺炎防治及紓困振興特別預算第4次追加預算決議，檢送防疫照顧假津貼可行性書面報告案。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D3BE6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B3B792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672C3C6"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4B1CC02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04247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勞動部函為中央政府嚴重特殊傳染性肺炎防治及紓困振興特別預算第4次追加預算決議，檢送「勞工紓困貸款適用人數預估名額</w:t>
            </w:r>
            <w:r w:rsidRPr="00B95A07">
              <w:rPr>
                <w:rFonts w:ascii="標楷體" w:eastAsia="標楷體" w:hAnsi="標楷體" w:hint="eastAsia"/>
                <w:kern w:val="2"/>
                <w:szCs w:val="24"/>
              </w:rPr>
              <w:lastRenderedPageBreak/>
              <w:t>不足情形書面檢討報告」案。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EF76E4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4D6D9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2516EE" w14:textId="77777777" w:rsidTr="000D2E36">
        <w:trPr>
          <w:gridAfter w:val="1"/>
          <w:wAfter w:w="7" w:type="dxa"/>
          <w:trHeight w:val="960"/>
          <w:jc w:val="center"/>
        </w:trPr>
        <w:tc>
          <w:tcPr>
            <w:tcW w:w="846" w:type="dxa"/>
            <w:tcBorders>
              <w:top w:val="single" w:sz="4" w:space="0" w:color="auto"/>
              <w:left w:val="single" w:sz="4" w:space="0" w:color="auto"/>
              <w:bottom w:val="single" w:sz="12" w:space="0" w:color="auto"/>
              <w:right w:val="single" w:sz="4" w:space="0" w:color="auto"/>
            </w:tcBorders>
          </w:tcPr>
          <w:p w14:paraId="0BCD756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641E78B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勞動部函為中央政府嚴重特殊傳染性肺炎防治及紓困振興特別預算第4次追加預算決議，檢送染疫職災勞工關懷輔導措施之說明案。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008EA9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w:t>
            </w:r>
            <w:r w:rsidRPr="00B95A07">
              <w:rPr>
                <w:rFonts w:ascii="標楷體" w:eastAsia="標楷體" w:hAnsi="標楷體"/>
                <w:kern w:val="2"/>
                <w:szCs w:val="24"/>
              </w:rPr>
              <w:t>1</w:t>
            </w:r>
            <w:r w:rsidRPr="00B95A07">
              <w:rPr>
                <w:rFonts w:ascii="標楷體" w:eastAsia="標楷體" w:hAnsi="標楷體" w:hint="eastAsia"/>
                <w:kern w:val="2"/>
                <w:szCs w:val="24"/>
              </w:rPr>
              <w:t>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11C062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C52D2D" w14:textId="77777777" w:rsidTr="000D2E36">
        <w:trPr>
          <w:gridAfter w:val="1"/>
          <w:wAfter w:w="7" w:type="dxa"/>
          <w:trHeight w:val="960"/>
          <w:jc w:val="center"/>
        </w:trPr>
        <w:tc>
          <w:tcPr>
            <w:tcW w:w="846" w:type="dxa"/>
            <w:tcBorders>
              <w:top w:val="single" w:sz="12" w:space="0" w:color="auto"/>
              <w:left w:val="single" w:sz="4" w:space="0" w:color="auto"/>
              <w:bottom w:val="single" w:sz="4" w:space="0" w:color="auto"/>
              <w:right w:val="single" w:sz="4" w:space="0" w:color="auto"/>
            </w:tcBorders>
          </w:tcPr>
          <w:p w14:paraId="38ED8D6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C560282" w14:textId="615E0098"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w:t>
            </w:r>
            <w:r w:rsidR="00300923">
              <w:rPr>
                <w:rFonts w:ascii="標楷體" w:eastAsia="標楷體" w:hAnsi="標楷體" w:hint="eastAsia"/>
                <w:kern w:val="2"/>
                <w:szCs w:val="24"/>
              </w:rPr>
              <w:t>案</w:t>
            </w:r>
            <w:r w:rsidRPr="00B95A07">
              <w:rPr>
                <w:rFonts w:ascii="標楷體" w:eastAsia="標楷體" w:hAnsi="標楷體" w:hint="eastAsia"/>
                <w:kern w:val="2"/>
                <w:szCs w:val="24"/>
              </w:rPr>
              <w:t>決議，檢送口罩配給不均改善並設計績效關鍵指標追蹤書面報告案。</w:t>
            </w:r>
          </w:p>
        </w:tc>
        <w:tc>
          <w:tcPr>
            <w:tcW w:w="2871" w:type="dxa"/>
            <w:tcBorders>
              <w:top w:val="single" w:sz="12" w:space="0" w:color="auto"/>
              <w:left w:val="single" w:sz="4" w:space="0" w:color="auto"/>
              <w:bottom w:val="single" w:sz="4" w:space="0" w:color="auto"/>
              <w:right w:val="single" w:sz="4" w:space="0" w:color="auto"/>
            </w:tcBorders>
          </w:tcPr>
          <w:p w14:paraId="5AAAEC2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屆第1會期第10次院會（10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）決定：「交財政、社會福利及衛生環境兩委員會審查」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6A324D1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0DF2C6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562D07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E3689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衛生福利部函為中央政府嚴重特殊傳染性肺炎防治及紓困振興特別預算決議，檢送該部經費流用表案。</w:t>
            </w:r>
          </w:p>
        </w:tc>
        <w:tc>
          <w:tcPr>
            <w:tcW w:w="2871" w:type="dxa"/>
            <w:tcBorders>
              <w:top w:val="single" w:sz="4" w:space="0" w:color="auto"/>
              <w:left w:val="single" w:sz="4" w:space="0" w:color="auto"/>
              <w:bottom w:val="single" w:sz="4" w:space="0" w:color="auto"/>
              <w:right w:val="single" w:sz="4" w:space="0" w:color="auto"/>
            </w:tcBorders>
          </w:tcPr>
          <w:p w14:paraId="3131996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6D768E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FA2FA7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CB7026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E4BA0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衛生福利部函為中央政府嚴重特殊傳染性肺炎防治及紓困振興特別預算決議，檢送出入境資料串接避免侵犯員工隱私書面報告案。</w:t>
            </w:r>
          </w:p>
        </w:tc>
        <w:tc>
          <w:tcPr>
            <w:tcW w:w="2871" w:type="dxa"/>
            <w:tcBorders>
              <w:top w:val="single" w:sz="4" w:space="0" w:color="auto"/>
              <w:left w:val="single" w:sz="4" w:space="0" w:color="auto"/>
              <w:bottom w:val="single" w:sz="4" w:space="0" w:color="auto"/>
              <w:right w:val="single" w:sz="4" w:space="0" w:color="auto"/>
            </w:tcBorders>
          </w:tcPr>
          <w:p w14:paraId="78C0B13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35BB10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033DDD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A6E6A8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AE1E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衛生福利部函為中央政府嚴重特殊傳染性肺炎防治及紓困振興特別預算追加預算決議，檢送重大傷病病友之加發補助條件及相關措施書面報告案。</w:t>
            </w:r>
          </w:p>
        </w:tc>
        <w:tc>
          <w:tcPr>
            <w:tcW w:w="2871" w:type="dxa"/>
            <w:tcBorders>
              <w:top w:val="single" w:sz="4" w:space="0" w:color="auto"/>
              <w:left w:val="single" w:sz="4" w:space="0" w:color="auto"/>
              <w:bottom w:val="single" w:sz="4" w:space="0" w:color="auto"/>
              <w:right w:val="single" w:sz="4" w:space="0" w:color="auto"/>
            </w:tcBorders>
          </w:tcPr>
          <w:p w14:paraId="3BB9B26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DFE4F4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4EB723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0D2376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A544E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衛生福利部函為中央政府嚴重特殊傳染性肺炎防治及紓困振興特別預算追加預算決議，檢送身障弱勢防疫之扶持性措施書面報告案。</w:t>
            </w:r>
          </w:p>
        </w:tc>
        <w:tc>
          <w:tcPr>
            <w:tcW w:w="2871" w:type="dxa"/>
            <w:tcBorders>
              <w:top w:val="single" w:sz="4" w:space="0" w:color="auto"/>
              <w:left w:val="single" w:sz="4" w:space="0" w:color="auto"/>
              <w:bottom w:val="single" w:sz="4" w:space="0" w:color="auto"/>
              <w:right w:val="single" w:sz="4" w:space="0" w:color="auto"/>
            </w:tcBorders>
          </w:tcPr>
          <w:p w14:paraId="0E509D1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5A7797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C9844E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78A8E3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7E97B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衛生福利部函為中央政府嚴重特殊傳染性肺炎防治及紓困振興特別預算追加預算決議，檢送「政府於防疫期間落實照顧弱勢身心障礙者之解決方案」書面報告案。</w:t>
            </w:r>
          </w:p>
        </w:tc>
        <w:tc>
          <w:tcPr>
            <w:tcW w:w="2871" w:type="dxa"/>
            <w:tcBorders>
              <w:top w:val="single" w:sz="4" w:space="0" w:color="auto"/>
              <w:left w:val="single" w:sz="4" w:space="0" w:color="auto"/>
              <w:bottom w:val="single" w:sz="4" w:space="0" w:color="auto"/>
              <w:right w:val="single" w:sz="4" w:space="0" w:color="auto"/>
            </w:tcBorders>
          </w:tcPr>
          <w:p w14:paraId="488F291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7290B0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254772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897874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2DFF0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衛生福利部函為中央政府嚴重特殊傳染性肺炎防治及紓困振興特別預算追加預算決議，檢送我國新冠肺炎疫苗、快篩試劑與治療藥物之研發與運用書面報告案。</w:t>
            </w:r>
          </w:p>
        </w:tc>
        <w:tc>
          <w:tcPr>
            <w:tcW w:w="2871" w:type="dxa"/>
            <w:tcBorders>
              <w:top w:val="single" w:sz="4" w:space="0" w:color="auto"/>
              <w:left w:val="single" w:sz="4" w:space="0" w:color="auto"/>
              <w:bottom w:val="single" w:sz="4" w:space="0" w:color="auto"/>
              <w:right w:val="single" w:sz="4" w:space="0" w:color="auto"/>
            </w:tcBorders>
          </w:tcPr>
          <w:p w14:paraId="079D343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4E7F95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A2AAE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D6B43F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1B5B2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衛生福利部函為中央政府嚴重特殊傳染性肺炎防治及紓困振興特別預算追加預算決議，檢送財團法人歐巴尼紀念基金會工作成果報告及檢討改善計畫案。</w:t>
            </w:r>
          </w:p>
        </w:tc>
        <w:tc>
          <w:tcPr>
            <w:tcW w:w="2871" w:type="dxa"/>
            <w:tcBorders>
              <w:top w:val="single" w:sz="4" w:space="0" w:color="auto"/>
              <w:left w:val="single" w:sz="4" w:space="0" w:color="auto"/>
              <w:bottom w:val="single" w:sz="4" w:space="0" w:color="auto"/>
              <w:right w:val="single" w:sz="4" w:space="0" w:color="auto"/>
            </w:tcBorders>
          </w:tcPr>
          <w:p w14:paraId="4F84F41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A95A33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2264E2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0823AE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1B70F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衛生福利部函為中央政府嚴重特殊傳染性肺炎防治及紓困振興特別預算追加預算決議，檢送防疫期間持續辦理發展遲緩兒童早期療育業務報告案。</w:t>
            </w:r>
          </w:p>
        </w:tc>
        <w:tc>
          <w:tcPr>
            <w:tcW w:w="2871" w:type="dxa"/>
            <w:tcBorders>
              <w:top w:val="single" w:sz="4" w:space="0" w:color="auto"/>
              <w:left w:val="single" w:sz="4" w:space="0" w:color="auto"/>
              <w:bottom w:val="single" w:sz="4" w:space="0" w:color="auto"/>
              <w:right w:val="single" w:sz="4" w:space="0" w:color="auto"/>
            </w:tcBorders>
          </w:tcPr>
          <w:p w14:paraId="0ACA5A0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FED6AC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4433BAE"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329008C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AE7EE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衛生福利部函為中央政府嚴重特殊傳染性肺炎防治及紓困振興特別預算追加預算決議，檢送照顧弱勢身心障礙者解決方案書面報告</w:t>
            </w:r>
            <w:r w:rsidRPr="00B95A07">
              <w:rPr>
                <w:rFonts w:ascii="標楷體" w:eastAsia="標楷體" w:hAnsi="標楷體" w:hint="eastAsia"/>
                <w:kern w:val="2"/>
                <w:szCs w:val="24"/>
              </w:rPr>
              <w:lastRenderedPageBreak/>
              <w:t>案。</w:t>
            </w:r>
          </w:p>
        </w:tc>
        <w:tc>
          <w:tcPr>
            <w:tcW w:w="2871" w:type="dxa"/>
            <w:tcBorders>
              <w:top w:val="single" w:sz="4" w:space="0" w:color="auto"/>
              <w:left w:val="single" w:sz="4" w:space="0" w:color="auto"/>
              <w:bottom w:val="single" w:sz="4" w:space="0" w:color="auto"/>
              <w:right w:val="single" w:sz="4" w:space="0" w:color="auto"/>
            </w:tcBorders>
          </w:tcPr>
          <w:p w14:paraId="734678D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w:t>
            </w:r>
            <w:r w:rsidRPr="00B95A07">
              <w:rPr>
                <w:rFonts w:ascii="標楷體" w:eastAsia="標楷體" w:hAnsi="標楷體" w:hint="eastAsia"/>
                <w:kern w:val="2"/>
                <w:szCs w:val="24"/>
              </w:rPr>
              <w:lastRenderedPageBreak/>
              <w:t>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196E10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4859669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2556B5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03960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衛生福利部函為中央政府嚴重特殊傳染性肺炎防治及紓困振興特別預算追加預算決議，檢送食品藥物管理署加速審查快篩試劑之說明案。</w:t>
            </w:r>
          </w:p>
        </w:tc>
        <w:tc>
          <w:tcPr>
            <w:tcW w:w="2871" w:type="dxa"/>
            <w:tcBorders>
              <w:top w:val="single" w:sz="4" w:space="0" w:color="auto"/>
              <w:left w:val="single" w:sz="4" w:space="0" w:color="auto"/>
              <w:bottom w:val="single" w:sz="4" w:space="0" w:color="auto"/>
              <w:right w:val="single" w:sz="4" w:space="0" w:color="auto"/>
            </w:tcBorders>
          </w:tcPr>
          <w:p w14:paraId="5E9ECDC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D49193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8C2C4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C1824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AEB17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22DAB80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屆第2會期第8次院會（10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BD305A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ACEDEE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18BBFD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4B745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2次追加預算決議，檢送抽查接受紓困之社福單位是否有社工回捐薪資情形之說明案。</w:t>
            </w:r>
          </w:p>
        </w:tc>
        <w:tc>
          <w:tcPr>
            <w:tcW w:w="2871" w:type="dxa"/>
            <w:tcBorders>
              <w:top w:val="single" w:sz="4" w:space="0" w:color="auto"/>
              <w:left w:val="single" w:sz="4" w:space="0" w:color="auto"/>
              <w:bottom w:val="single" w:sz="4" w:space="0" w:color="auto"/>
              <w:right w:val="single" w:sz="4" w:space="0" w:color="auto"/>
            </w:tcBorders>
          </w:tcPr>
          <w:p w14:paraId="0EBB3AA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屆第2會期第9次院會（10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24</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FC4C53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1393E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D4AB49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FEC8D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2次追加預算決議，檢送「因應COVID-19疫情所購入及建置之軟硬體等設備說明及後續規劃」書面報告案。</w:t>
            </w:r>
          </w:p>
        </w:tc>
        <w:tc>
          <w:tcPr>
            <w:tcW w:w="2871" w:type="dxa"/>
            <w:tcBorders>
              <w:top w:val="single" w:sz="4" w:space="0" w:color="auto"/>
              <w:left w:val="single" w:sz="4" w:space="0" w:color="auto"/>
              <w:bottom w:val="single" w:sz="4" w:space="0" w:color="auto"/>
              <w:right w:val="single" w:sz="4" w:space="0" w:color="auto"/>
            </w:tcBorders>
          </w:tcPr>
          <w:p w14:paraId="7A6ACA2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DDAE86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14EBF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41E244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63122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2次追加預算決議，檢送預算不敷原因書面報告案。</w:t>
            </w:r>
          </w:p>
        </w:tc>
        <w:tc>
          <w:tcPr>
            <w:tcW w:w="2871" w:type="dxa"/>
            <w:tcBorders>
              <w:top w:val="single" w:sz="4" w:space="0" w:color="auto"/>
              <w:left w:val="single" w:sz="4" w:space="0" w:color="auto"/>
              <w:bottom w:val="single" w:sz="4" w:space="0" w:color="auto"/>
              <w:right w:val="single" w:sz="4" w:space="0" w:color="auto"/>
            </w:tcBorders>
          </w:tcPr>
          <w:p w14:paraId="1ABB9EB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C559D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F19C1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DAC5E0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A03EE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109年12月經費流用情形表案。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0699463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12649F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5BAF90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3FD2F9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18623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2次追加預算決議，檢送「因應COVID-19疫情之流感疫苗接種作業規劃及應變措施」書面報告案。</w:t>
            </w:r>
          </w:p>
        </w:tc>
        <w:tc>
          <w:tcPr>
            <w:tcW w:w="2871" w:type="dxa"/>
            <w:tcBorders>
              <w:top w:val="single" w:sz="4" w:space="0" w:color="auto"/>
              <w:left w:val="single" w:sz="4" w:space="0" w:color="auto"/>
              <w:bottom w:val="single" w:sz="4" w:space="0" w:color="auto"/>
              <w:right w:val="single" w:sz="4" w:space="0" w:color="auto"/>
            </w:tcBorders>
          </w:tcPr>
          <w:p w14:paraId="697BC8A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CCD296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7C78F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0EFCDB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B2E4D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2次追加預算決議，檢送「COVID-19疫苗採購與研發進度」書面報告案。</w:t>
            </w:r>
          </w:p>
        </w:tc>
        <w:tc>
          <w:tcPr>
            <w:tcW w:w="2871" w:type="dxa"/>
            <w:tcBorders>
              <w:top w:val="single" w:sz="4" w:space="0" w:color="auto"/>
              <w:left w:val="single" w:sz="4" w:space="0" w:color="auto"/>
              <w:bottom w:val="single" w:sz="4" w:space="0" w:color="auto"/>
              <w:right w:val="single" w:sz="4" w:space="0" w:color="auto"/>
            </w:tcBorders>
          </w:tcPr>
          <w:p w14:paraId="2C01779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F55251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1DBBC8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2384EA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2E30B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2次追加預算決議，檢送「口罩徵用、實名制販售情形及違法廠商處置作為」書面報告案。</w:t>
            </w:r>
          </w:p>
        </w:tc>
        <w:tc>
          <w:tcPr>
            <w:tcW w:w="2871" w:type="dxa"/>
            <w:tcBorders>
              <w:top w:val="single" w:sz="4" w:space="0" w:color="auto"/>
              <w:left w:val="single" w:sz="4" w:space="0" w:color="auto"/>
              <w:bottom w:val="single" w:sz="4" w:space="0" w:color="auto"/>
              <w:right w:val="single" w:sz="4" w:space="0" w:color="auto"/>
            </w:tcBorders>
          </w:tcPr>
          <w:p w14:paraId="281094D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屆第3會期第8次院會（1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16</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F2B795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B599DC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5DC556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C5C39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w:t>
            </w:r>
            <w:r w:rsidRPr="00B95A07">
              <w:rPr>
                <w:rFonts w:ascii="標楷體" w:eastAsia="標楷體" w:hAnsi="標楷體"/>
                <w:kern w:val="2"/>
                <w:szCs w:val="24"/>
              </w:rPr>
              <w:t>110年3月經費流用情形表案。</w:t>
            </w:r>
          </w:p>
        </w:tc>
        <w:tc>
          <w:tcPr>
            <w:tcW w:w="2871" w:type="dxa"/>
            <w:tcBorders>
              <w:top w:val="single" w:sz="4" w:space="0" w:color="auto"/>
              <w:left w:val="single" w:sz="4" w:space="0" w:color="auto"/>
              <w:bottom w:val="single" w:sz="4" w:space="0" w:color="auto"/>
              <w:right w:val="single" w:sz="4" w:space="0" w:color="auto"/>
            </w:tcBorders>
          </w:tcPr>
          <w:p w14:paraId="2DEC2F0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8D5C0F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1B7E29"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5805A1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1346A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w:t>
            </w:r>
            <w:r w:rsidRPr="00B95A07">
              <w:rPr>
                <w:rFonts w:ascii="標楷體" w:eastAsia="標楷體" w:hAnsi="標楷體"/>
                <w:kern w:val="2"/>
                <w:szCs w:val="24"/>
              </w:rPr>
              <w:t>2次追加預算決議，檢送行政院主管決議（十六）紓困方</w:t>
            </w:r>
            <w:r w:rsidRPr="00B95A07">
              <w:rPr>
                <w:rFonts w:ascii="標楷體" w:eastAsia="標楷體" w:hAnsi="標楷體"/>
                <w:kern w:val="2"/>
                <w:szCs w:val="24"/>
              </w:rPr>
              <w:lastRenderedPageBreak/>
              <w:t>案執行情形書面報告案。</w:t>
            </w:r>
          </w:p>
        </w:tc>
        <w:tc>
          <w:tcPr>
            <w:tcW w:w="2871" w:type="dxa"/>
            <w:tcBorders>
              <w:top w:val="single" w:sz="4" w:space="0" w:color="auto"/>
              <w:left w:val="single" w:sz="4" w:space="0" w:color="auto"/>
              <w:bottom w:val="single" w:sz="4" w:space="0" w:color="auto"/>
              <w:right w:val="single" w:sz="4" w:space="0" w:color="auto"/>
            </w:tcBorders>
          </w:tcPr>
          <w:p w14:paraId="5D8B84B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w:t>
            </w:r>
            <w:r w:rsidRPr="00B95A07">
              <w:rPr>
                <w:rFonts w:ascii="標楷體" w:eastAsia="標楷體" w:hAnsi="標楷體"/>
                <w:kern w:val="2"/>
                <w:szCs w:val="24"/>
              </w:rPr>
              <w:t>0</w:t>
            </w:r>
            <w:r w:rsidRPr="00B95A07">
              <w:rPr>
                <w:rFonts w:ascii="標楷體" w:eastAsia="標楷體" w:hAnsi="標楷體" w:hint="eastAsia"/>
                <w:kern w:val="2"/>
                <w:szCs w:val="24"/>
              </w:rPr>
              <w:t>屆第3會期第13次院會（1</w:t>
            </w:r>
            <w:r w:rsidRPr="00B95A07">
              <w:rPr>
                <w:rFonts w:ascii="標楷體" w:eastAsia="標楷體" w:hAnsi="標楷體"/>
                <w:kern w:val="2"/>
                <w:szCs w:val="24"/>
              </w:rPr>
              <w:t>10</w:t>
            </w:r>
            <w:r w:rsidRPr="00B95A07">
              <w:rPr>
                <w:rFonts w:ascii="標楷體" w:eastAsia="標楷體" w:hAnsi="標楷體" w:hint="eastAsia"/>
                <w:kern w:val="2"/>
                <w:szCs w:val="24"/>
              </w:rPr>
              <w:t>.5.21）決定：「交財政委員會審查」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C6F0B9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17F9E0"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8C3C57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7BF0A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衛生福利部函為中央政府嚴重特殊傳染性肺炎防治及紓困振興特別預算第3次追加預算決議，檢送高端疫苗試驗書面報告案。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CCF36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A2154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62F013A"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6D9C41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45802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衛生福利部函為中央政府嚴重特殊傳染性肺炎防治及紓困振興特別預算第3次追加預算決議，檢送長照機構因疫情暫停服務期間規劃替代性照顧辦理情形案。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52161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.2</w:t>
            </w:r>
            <w:r w:rsidRPr="00B95A07">
              <w:rPr>
                <w:rFonts w:ascii="標楷體" w:eastAsia="標楷體" w:hAnsi="標楷體"/>
                <w:kern w:val="2"/>
                <w:szCs w:val="24"/>
              </w:rPr>
              <w:t>6</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C2518A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745F14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44EEA0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7423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5C8A3CC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w:t>
            </w:r>
            <w:r w:rsidRPr="00B95A07">
              <w:rPr>
                <w:rFonts w:ascii="標楷體" w:eastAsia="標楷體" w:hAnsi="標楷體"/>
                <w:kern w:val="2"/>
                <w:szCs w:val="24"/>
              </w:rPr>
              <w:t>17）</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E4990D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2546C3"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145151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47025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衛生福利部函為中央政府嚴重特殊傳染性肺炎防治及紓困振興特別預算第3次追加預算決議，檢送加速審查家用型新冠病毒檢驗試劑之說明案。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931045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881584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CC0F29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21850B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DDB7A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衛生福利部函為中央政府嚴重特殊傳染性肺炎防治及紓困振興特別預算第3次追加預算決議，檢送加強負壓隔離病房安全措施辦理情形案。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DB517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DD12D3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AF159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12799F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4A966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衛生福利部函為中央政府嚴重特殊傳染性肺炎防治及紓困振興特別預算第3次追加預算決議，檢送訂定EUA審查要件依據及參考來源書面報告案。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3781EE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2460EB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904F78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7BDC01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341A9F"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衛生福利部函為中央政府嚴重特殊傳染性肺炎防治及紓困振興特別預算第3次追加預算決議，檢送採用替代性指標審查國產疫苗書面報告案。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EE199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05932F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A53413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0E99196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6FC3E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衛生福利部函為中央政府嚴重特殊傳染性肺炎防治及紓困振興特別預算第3次追加預算決議，檢送國產疫苗施打書面報告案。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BB661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4731E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DA69FF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6F8C47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954CD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衛生福利部函為中央政府嚴重特殊傳染性肺炎防治及紓困振興特別預算第3次追加預算決議，檢送國產疫苗申請EUA審查結果書面報告案。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AB19E8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B1AC93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1839B1"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C52D3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8E146B"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衛生福利部函為中央政府嚴重特殊傳染性肺炎防治及紓困振興特別預算第3次追加預算決議，檢送國際同等級疫苗安全性及有效性書面報告案。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5B21E8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D4A93E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6D2E3B7"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396A070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9D7010"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衛生福利部函為中央政府嚴重特殊傳染性肺炎防治及紓困振興特別預算第3次追加預算決議，檢送未具勞工身分者辦理紓困貸款書</w:t>
            </w:r>
            <w:r w:rsidRPr="00B95A07">
              <w:rPr>
                <w:rFonts w:ascii="標楷體" w:eastAsia="標楷體" w:hAnsi="標楷體" w:hint="eastAsia"/>
                <w:kern w:val="2"/>
                <w:szCs w:val="24"/>
              </w:rPr>
              <w:lastRenderedPageBreak/>
              <w:t>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9E0F6B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2.17）決定：「交財政及相關委員會審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64DF3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2599DDE2"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376D4E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D33BB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衛生福利部函為中央政府嚴重特殊傳染性肺炎防治及紓困振興特別預算第4次追加預算決議，檢送預算執行率偏低項目專案報告案。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2A707D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E3AE1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DE55D4"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1AE1DC7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D30E3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衛生福利部函為中央政府嚴重特殊傳染性肺炎防治及紓困振興特別預算第4次追加預算決議，檢送各縣市COVID-19疫苗接種情形及疫苗配發專案報告案。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D4C65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w:t>
            </w:r>
            <w:r w:rsidRPr="00B95A07">
              <w:rPr>
                <w:rFonts w:ascii="標楷體" w:eastAsia="標楷體" w:hAnsi="標楷體"/>
                <w:kern w:val="2"/>
                <w:szCs w:val="24"/>
              </w:rPr>
              <w:t>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9C9F59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86729BB"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38F688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AACE7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衛生福利部函為中央政府嚴重特殊傳染性肺炎防治及紓困振興特別預算第4次追加預算決議，檢送急難紓困作業流程檢討書面報告案。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BEFAD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7A963D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09B2F6"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28B8DED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4A04A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衛生福利部函為中央政府嚴重特殊傳染性肺炎防治及紓困振興特別預算第4次追加預算決議，檢送預算辦理落後項目改善書面報告案。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DA20C2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B933E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54D499"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3723531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38983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衛生福利部函為中央政府嚴重特殊傳染性肺炎防治及紓困振興特別預算第4次追加預算決議，檢送疫苗接種後死亡個案司法相驗與疫苗相關性判定流程書面報告案。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353D0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C73A38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8B91A2E"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406CBCA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8E796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衛生福利部函為中央政府嚴重特殊傳染性肺炎防治及紓困振興特別預算第4次追加預算決議，檢送社會福利事業單位紓困措施辦理作業之說明案。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D3843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83DCC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856EE7"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602E1B6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DEC75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931F6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28FD2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9A696C" w14:textId="77777777" w:rsidTr="000D2E36">
        <w:trPr>
          <w:gridAfter w:val="1"/>
          <w:wAfter w:w="7" w:type="dxa"/>
          <w:trHeight w:val="960"/>
          <w:jc w:val="center"/>
        </w:trPr>
        <w:tc>
          <w:tcPr>
            <w:tcW w:w="846" w:type="dxa"/>
            <w:tcBorders>
              <w:top w:val="single" w:sz="4" w:space="0" w:color="auto"/>
              <w:left w:val="single" w:sz="4" w:space="0" w:color="auto"/>
              <w:bottom w:val="single" w:sz="4" w:space="0" w:color="auto"/>
              <w:right w:val="single" w:sz="4" w:space="0" w:color="auto"/>
            </w:tcBorders>
          </w:tcPr>
          <w:p w14:paraId="5FFC7FA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A7E6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衛生福利部函為中央政府嚴重特殊傳染性肺炎防治及紓困振興特別預算第4次追加預算決議，檢送COVID-19公費疫苗預約平台相關事件檢討報告案。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8F8FC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.1</w:t>
            </w:r>
            <w:r w:rsidRPr="00B95A07">
              <w:rPr>
                <w:rFonts w:ascii="標楷體" w:eastAsia="標楷體" w:hAnsi="標楷體"/>
                <w:kern w:val="2"/>
                <w:szCs w:val="24"/>
              </w:rPr>
              <w:t>5</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B8CA4C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46D073"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77CB02E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3BAB1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衛生福利部函為中央政府嚴重特殊傳染性肺炎防治及紓困振興特別預算決議，檢送截至110年12月經費流用情形表案。</w:t>
            </w:r>
          </w:p>
        </w:tc>
        <w:tc>
          <w:tcPr>
            <w:tcW w:w="2871" w:type="dxa"/>
            <w:tcBorders>
              <w:top w:val="single" w:sz="4" w:space="0" w:color="auto"/>
              <w:left w:val="single" w:sz="4" w:space="0" w:color="auto"/>
              <w:bottom w:val="single" w:sz="4" w:space="0" w:color="auto"/>
              <w:right w:val="single" w:sz="4" w:space="0" w:color="auto"/>
            </w:tcBorders>
          </w:tcPr>
          <w:p w14:paraId="061E7FE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w:t>
            </w:r>
            <w:r w:rsidRPr="00B95A07">
              <w:rPr>
                <w:rFonts w:ascii="標楷體" w:eastAsia="標楷體" w:hAnsi="標楷體"/>
                <w:kern w:val="2"/>
                <w:szCs w:val="24"/>
              </w:rPr>
              <w:t>0</w:t>
            </w:r>
            <w:r w:rsidRPr="00B95A07">
              <w:rPr>
                <w:rFonts w:ascii="標楷體" w:eastAsia="標楷體" w:hAnsi="標楷體" w:hint="eastAsia"/>
                <w:kern w:val="2"/>
                <w:szCs w:val="24"/>
              </w:rPr>
              <w:t>屆第5會期第10次院會（1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1E44E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B5363F6"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EB7A6E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8A4DE0"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衛生福利部函為中央政府嚴重特殊傳染性肺炎防治及紓困振興特別預算第3次追加預算決議，檢送「疫苗安全性評估相關檢驗及不良反應監測」相關結果報告案。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2DA441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第10屆第5會期第10次院會（1</w:t>
            </w:r>
            <w:r w:rsidRPr="00B95A07">
              <w:rPr>
                <w:rFonts w:ascii="標楷體" w:eastAsia="標楷體" w:hAnsi="標楷體"/>
                <w:kern w:val="2"/>
                <w:szCs w:val="24"/>
              </w:rPr>
              <w:t>1</w:t>
            </w:r>
            <w:r w:rsidRPr="00B95A07">
              <w:rPr>
                <w:rFonts w:ascii="標楷體" w:eastAsia="標楷體" w:hAnsi="標楷體" w:hint="eastAsia"/>
                <w:kern w:val="2"/>
                <w:szCs w:val="24"/>
              </w:rPr>
              <w:t>1.4.29）決定：「交財政及相關委員會審查」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A723B2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F4EE71C"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492EC1B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C9576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衛生福利部函為中央政府嚴重特殊傳染性肺炎防治及紓困振興特別預算第4次追加預算決議，檢送COVID-19疫苗到貨資訊及採購經費使用概況報告案。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29E0E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A6E94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F86DF6"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104F31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EF867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衛生福利部函為中央政府嚴重特殊傳染性肺炎防治及紓困振興特別預算第4次追加預算決議，檢送醫護防疫相關獎勵金發放程序書面報告案。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0732E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391C1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369A4F"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769F3FA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598F8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衛生福利部函為中央政府嚴重特殊傳染性肺炎防治及紓困振興特別預算第4次追加預算決議，檢送COVID-19疫苗追加劑接種政策規劃書面報告案。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E33DB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C3D7B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EDF1E6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29CAAFF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CCE2A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衛生福利部函為中央政府嚴重特殊傳染性肺炎防治及紓困振興特別預算第4次追加預算決議，檢送預防接種受害救濟如何因應救濟給付增加所致收支平衡問題書面報告案。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22017A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384C9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BB3B793"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009E8F0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E1637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衛生福利部函為中央政府嚴重特殊傳染性肺炎防治及紓困振興特別預算第4次追加預算決議，檢送COVID-19疫苗採購到貨及開放民間或縣市政府採購書面報告案。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AB0E1D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ED4906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CB1CE8"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5896502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8EBD0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衛生福利部函為中央政府嚴重特殊傳染性肺炎防治及紓困振興特別預算第4次追加預算決議，檢送COVID-19疫苗接種政策規劃書面報告案。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F6272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549082A"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3C966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420CE7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9D916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衛生福利部函為中央政府嚴重特殊傳染性肺炎防治及紓困振興特別預算第4次追加預算決議，檢送COVID-19疫苗採購及即時接收有效期限疫苗書面報告案。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CE11FD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9091F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784CF05" w14:textId="77777777" w:rsidTr="000D2E36">
        <w:trPr>
          <w:gridAfter w:val="1"/>
          <w:wAfter w:w="7" w:type="dxa"/>
          <w:trHeight w:val="991"/>
          <w:jc w:val="center"/>
        </w:trPr>
        <w:tc>
          <w:tcPr>
            <w:tcW w:w="846" w:type="dxa"/>
            <w:tcBorders>
              <w:top w:val="single" w:sz="4" w:space="0" w:color="auto"/>
              <w:left w:val="single" w:sz="4" w:space="0" w:color="auto"/>
              <w:bottom w:val="single" w:sz="4" w:space="0" w:color="auto"/>
              <w:right w:val="single" w:sz="4" w:space="0" w:color="auto"/>
            </w:tcBorders>
          </w:tcPr>
          <w:p w14:paraId="5B63004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0E7E3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衛生福利部函為中央政府嚴重特殊傳染性肺炎防治及紓困振興特別預算第4次追加預算決議，檢送補助國內廠商研發COVID-19藥物之可行性書面報告案。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0D807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071A3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E3B92F" w14:textId="77777777" w:rsidTr="000D2E36">
        <w:trPr>
          <w:gridAfter w:val="1"/>
          <w:wAfter w:w="7" w:type="dxa"/>
          <w:trHeight w:val="991"/>
          <w:jc w:val="center"/>
        </w:trPr>
        <w:tc>
          <w:tcPr>
            <w:tcW w:w="846" w:type="dxa"/>
            <w:tcBorders>
              <w:top w:val="single" w:sz="4" w:space="0" w:color="auto"/>
              <w:left w:val="single" w:sz="4" w:space="0" w:color="auto"/>
              <w:bottom w:val="single" w:sz="4" w:space="0" w:color="auto"/>
              <w:right w:val="single" w:sz="4" w:space="0" w:color="auto"/>
            </w:tcBorders>
          </w:tcPr>
          <w:p w14:paraId="6D06F18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6C5B1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DEEC72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w:t>
            </w:r>
            <w:r w:rsidRPr="00B95A07">
              <w:rPr>
                <w:rFonts w:ascii="標楷體" w:eastAsia="標楷體" w:hAnsi="標楷體"/>
                <w:kern w:val="2"/>
                <w:szCs w:val="24"/>
              </w:rPr>
              <w:t>11</w:t>
            </w:r>
            <w:r w:rsidRPr="00B95A07">
              <w:rPr>
                <w:rFonts w:ascii="標楷體" w:eastAsia="標楷體" w:hAnsi="標楷體" w:hint="eastAsia"/>
                <w:kern w:val="2"/>
                <w:szCs w:val="24"/>
              </w:rPr>
              <w:t>.5.6）決定：「交財政及相關委員會審查」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C5A5E6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5B8568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84402E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307F6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衛生福利部函為中央政府嚴重特殊傳染性肺炎防治及紓困振興特別預算第4次追加預算決議，檢送核發醫療機構獎勵金及所屬醫院撥付醫事人員津貼情形之說明案。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93AB2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31A5EE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9A42723"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BDC6E3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7DC19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衛生福利部函為中央政府嚴重特殊傳染性肺炎防治及紓困振興特別預算第4次追加預算決議，檢送COVID-19疫苗接種覆蓋率達七成之接種期程及防疫政策規劃專案報告案。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77ECB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CC0C07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3877AA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97E535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50F51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因應COVID-19疫情，採購防疫物資、藥物、疫苗及辦理檢驗診斷作業等經費不敷，依嚴重特殊傳染性肺炎防治及紓困振興特別條例第11條第1項規定，由中央政府嚴重特殊傳染性肺炎防治及紓困振興特別預算經濟部所列經費支應417億2,207萬6,000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D8740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.10.14）決定：「交財政、社會福利及衛生環境委員會審查」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E86C1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D88753A"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F786F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5087E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衛生福利部函送中央政府嚴重特殊傳染性肺炎防治及紓困振興特別預算截至111年3月份經費流用情形表案。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1E7B3FE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94E57BA"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8486C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0619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03644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衛生福利部函送中央政府嚴重特殊傳染性肺炎防治及紓困振興特別預算截至111年6月份經費流用情形表案。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D2B8C5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第10屆第6會期第5次院會(1</w:t>
            </w:r>
            <w:r w:rsidRPr="00B95A07">
              <w:rPr>
                <w:rFonts w:ascii="標楷體" w:eastAsia="標楷體" w:hAnsi="標楷體"/>
                <w:kern w:val="2"/>
                <w:szCs w:val="24"/>
              </w:rPr>
              <w:t>11</w:t>
            </w:r>
            <w:r w:rsidRPr="00B95A07">
              <w:rPr>
                <w:rFonts w:ascii="標楷體" w:eastAsia="標楷體" w:hAnsi="標楷體" w:hint="eastAsia"/>
                <w:kern w:val="2"/>
                <w:szCs w:val="24"/>
              </w:rPr>
              <w:t>.10.28</w:t>
            </w:r>
            <w:r w:rsidRPr="00B95A07">
              <w:rPr>
                <w:rFonts w:ascii="標楷體" w:eastAsia="標楷體" w:hAnsi="標楷體"/>
                <w:kern w:val="2"/>
                <w:szCs w:val="24"/>
              </w:rPr>
              <w:t>)</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AB4433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5882FE3"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7325CC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1EF14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衛生福利部函為中央政府嚴重特殊傳染性肺炎防治及紓困振興特別預算決議，檢送「因應COVID-19疫情之防疫物資整備及應變措施執行情形」書面報告案。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481AEB3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BF50B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4C803E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4A1BBC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AEAB5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衛生福利部函為中央政府嚴重特殊傳染性肺炎防治及紓困振興特別預算決議，檢送「完善我國整體防疫網路及增進整體防疫效能」書面報告案。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56F0432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A4E315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492C5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84B070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590A9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衛生福利部函為中央政府嚴重特殊傳染性肺炎防治及紓困振興特別預算第2次追加預算決議，檢送預算執行率偏低書面報告案。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0FF7BFB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E826AD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2B7E41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E360F7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FB511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衛生福利部函為中央政府嚴重特殊傳染性肺炎防治及紓困振興特別預算第2次追加預算決議，檢送協助國內廠商開發COVID-19疫苗及研發時程書面報告案。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1662E70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B46B5C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FFA05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3B60FB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858C4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衛生福利部函為中央政府嚴重特殊傳染性肺炎防治及紓困振興特別預算第2次追加預算決議，檢送「我國輸出案例調查及因應作為」書面報告案。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2063BE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D83FFF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9EC047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8B6FBE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E9AB2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衛生福利部函為中央政府嚴重特殊傳染性肺炎防治及紓困振興特別預算第3次追加預算決議，檢送資安建置與運作機制書面報告案。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557A46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E4BB85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E76B61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E75782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8EEE8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衛生福利部函為中央政府嚴重特殊傳染性肺炎防治及紓困振興特別預算第3次追加預算決議，檢送國產COVID-19疫苗採購回饋機制書面報告案。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55613E4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EA015F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37F888"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1B3352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FBD41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衛生福利部函為中央政府嚴重特殊傳染性肺炎防治及紓困振興特別預算第3次追加預算決議，檢送COVID-19疫苗到貨及採購經費執</w:t>
            </w:r>
            <w:r w:rsidRPr="00B95A07">
              <w:rPr>
                <w:rFonts w:ascii="標楷體" w:eastAsia="標楷體" w:hAnsi="標楷體" w:hint="eastAsia"/>
                <w:kern w:val="2"/>
                <w:szCs w:val="24"/>
              </w:rPr>
              <w:lastRenderedPageBreak/>
              <w:t>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4A0465D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第10屆第6會期第11次院會(111.12.9)決定：「交財政委員會及相關委員會審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C41A7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1C08B69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146672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F1073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衛生福利部函為中央政府嚴重特殊傳染性肺炎防治及紓困振興特別預算第3次追加預算決議，檢送COVID-19疫苗接種推動措施書面報告案。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7DAF531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A14D3A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BFD01AD"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55086A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4BAF4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衛生福利部函為中央政府嚴重特殊傳染性肺炎防治及紓困振興特別預算第3次追加預算決議，檢送COVID-19疫苗接種對象書面報告案。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B90307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A0919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A4FDFE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43624D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2F06AB"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衛生福利部函為中央政府嚴重特殊傳染性肺炎防治及紓困振興特別預算第3次追加預算決議，檢送各縣市COVID-19疫苗接種及疫苗配發情形書面報告案。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14:paraId="631FB66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第10屆第6會期第11次院會(111.12.9)決定：「交財政委員會及相關委員會審查」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A6211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82F3CB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54E2A8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C2C6C0"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衛生福利部函為中央政府嚴重特殊傳染性肺炎防治及紓困振興特別預算第4次追加預算決議，檢送預算執行率偏低項目書面報告案。</w:t>
            </w:r>
          </w:p>
        </w:tc>
        <w:tc>
          <w:tcPr>
            <w:tcW w:w="2871" w:type="dxa"/>
            <w:tcBorders>
              <w:top w:val="single" w:sz="4" w:space="0" w:color="auto"/>
              <w:left w:val="single" w:sz="4" w:space="0" w:color="auto"/>
              <w:bottom w:val="single" w:sz="4" w:space="0" w:color="000000"/>
              <w:right w:val="single" w:sz="4" w:space="0" w:color="auto"/>
            </w:tcBorders>
          </w:tcPr>
          <w:p w14:paraId="154F8CB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7D52D1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BEC48B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3A351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148F8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衛生福利部函為中央政府嚴重特殊傳染性肺炎防治及紓困振興特別預算第4次追加預算決議，檢送疫苗接種後死亡不良事件監測分析書面報告案。</w:t>
            </w:r>
          </w:p>
        </w:tc>
        <w:tc>
          <w:tcPr>
            <w:tcW w:w="2871" w:type="dxa"/>
            <w:tcBorders>
              <w:top w:val="single" w:sz="4" w:space="0" w:color="auto"/>
              <w:left w:val="single" w:sz="4" w:space="0" w:color="auto"/>
              <w:bottom w:val="single" w:sz="4" w:space="0" w:color="000000"/>
              <w:right w:val="single" w:sz="4" w:space="0" w:color="auto"/>
            </w:tcBorders>
          </w:tcPr>
          <w:p w14:paraId="32D3CAE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21C8A2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96060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2AE72D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77A0B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衛生福利部函為中央政府嚴重特殊傳染性肺炎防治及紓困振興特別預算第4次追加預算決議，檢送完善實聯制資訊調取相關法制作業書面報告案。</w:t>
            </w:r>
          </w:p>
        </w:tc>
        <w:tc>
          <w:tcPr>
            <w:tcW w:w="2871" w:type="dxa"/>
            <w:tcBorders>
              <w:top w:val="single" w:sz="4" w:space="0" w:color="auto"/>
              <w:left w:val="single" w:sz="4" w:space="0" w:color="auto"/>
              <w:bottom w:val="single" w:sz="4" w:space="0" w:color="000000"/>
              <w:right w:val="single" w:sz="4" w:space="0" w:color="auto"/>
            </w:tcBorders>
          </w:tcPr>
          <w:p w14:paraId="4D5CFEF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3AF3BC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08B37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A72439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97B3DF"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14:paraId="72DC5EC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B2DFB2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E7753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ED92A0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2E341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衛生福利部函為中央政府嚴重特殊傳染性肺炎防治及紓困振興特別預算第4次追加預算決議，檢送修正「特定藥物專案核准製造及輸入辦法」書面報告案。</w:t>
            </w:r>
          </w:p>
        </w:tc>
        <w:tc>
          <w:tcPr>
            <w:tcW w:w="2871" w:type="dxa"/>
            <w:tcBorders>
              <w:top w:val="single" w:sz="4" w:space="0" w:color="auto"/>
              <w:left w:val="single" w:sz="4" w:space="0" w:color="auto"/>
              <w:bottom w:val="single" w:sz="4" w:space="0" w:color="000000"/>
              <w:right w:val="single" w:sz="4" w:space="0" w:color="auto"/>
            </w:tcBorders>
          </w:tcPr>
          <w:p w14:paraId="7390751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7E922C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0826F2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B88D22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F27F0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衛生福利部函為中央政府嚴重特殊傳染性肺炎防治及紓困振興特別預算第4次追加預算決議，檢送高端COVID-19疫苗有效去化書面報告案。</w:t>
            </w:r>
          </w:p>
        </w:tc>
        <w:tc>
          <w:tcPr>
            <w:tcW w:w="2871" w:type="dxa"/>
            <w:tcBorders>
              <w:top w:val="single" w:sz="4" w:space="0" w:color="auto"/>
              <w:left w:val="single" w:sz="4" w:space="0" w:color="auto"/>
              <w:bottom w:val="single" w:sz="4" w:space="0" w:color="000000"/>
              <w:right w:val="single" w:sz="4" w:space="0" w:color="auto"/>
            </w:tcBorders>
          </w:tcPr>
          <w:p w14:paraId="44000230"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F60D2C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0A182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6F050F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5DF27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衛生福利部函為中央政府嚴重特殊傳染性肺炎防治及紓困振興特別預算第4次追加預算決議，檢送「本土疫情爆發及對應改進措施」書面報告案。</w:t>
            </w:r>
          </w:p>
        </w:tc>
        <w:tc>
          <w:tcPr>
            <w:tcW w:w="2871" w:type="dxa"/>
            <w:tcBorders>
              <w:top w:val="single" w:sz="4" w:space="0" w:color="auto"/>
              <w:left w:val="single" w:sz="4" w:space="0" w:color="auto"/>
              <w:bottom w:val="single" w:sz="4" w:space="0" w:color="000000"/>
              <w:right w:val="single" w:sz="4" w:space="0" w:color="auto"/>
            </w:tcBorders>
          </w:tcPr>
          <w:p w14:paraId="7B2C5D1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FFBC6E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6CF2E3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34C9B3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EB055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衛生福利部函為中央政府嚴重特殊傳染性肺炎防治及紓困振興特別預算第4次追加預算決議，檢送「我國新冠肺炎染疫死亡個案流行病學分析與因應對策」書面報告案。</w:t>
            </w:r>
          </w:p>
        </w:tc>
        <w:tc>
          <w:tcPr>
            <w:tcW w:w="2871" w:type="dxa"/>
            <w:tcBorders>
              <w:top w:val="single" w:sz="4" w:space="0" w:color="auto"/>
              <w:left w:val="single" w:sz="4" w:space="0" w:color="auto"/>
              <w:bottom w:val="single" w:sz="4" w:space="0" w:color="000000"/>
              <w:right w:val="single" w:sz="4" w:space="0" w:color="auto"/>
            </w:tcBorders>
          </w:tcPr>
          <w:p w14:paraId="4F38A03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A67450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6EC872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52C378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5A867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衛生福利部函為中央政府嚴重特殊傳染性肺炎防治及紓困振興特別預算第4次追加預算決議，檢送部分醫事人員獎勵項目未持續撥付之說明案。</w:t>
            </w:r>
          </w:p>
        </w:tc>
        <w:tc>
          <w:tcPr>
            <w:tcW w:w="2871" w:type="dxa"/>
            <w:tcBorders>
              <w:top w:val="single" w:sz="4" w:space="0" w:color="auto"/>
              <w:left w:val="single" w:sz="4" w:space="0" w:color="auto"/>
              <w:bottom w:val="single" w:sz="4" w:space="0" w:color="000000"/>
              <w:right w:val="single" w:sz="4" w:space="0" w:color="auto"/>
            </w:tcBorders>
          </w:tcPr>
          <w:p w14:paraId="07E54FF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33943D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8CC0A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B09497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5465D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衛生福利部函為中央政府嚴重特殊傳染性肺炎防治及紓困振興特別預算第4次追加預算決議，檢送儘速發給醫療機構獎勵費用之說明案。</w:t>
            </w:r>
          </w:p>
        </w:tc>
        <w:tc>
          <w:tcPr>
            <w:tcW w:w="2871" w:type="dxa"/>
            <w:tcBorders>
              <w:top w:val="single" w:sz="4" w:space="0" w:color="auto"/>
              <w:left w:val="single" w:sz="4" w:space="0" w:color="auto"/>
              <w:bottom w:val="single" w:sz="4" w:space="0" w:color="000000"/>
              <w:right w:val="single" w:sz="4" w:space="0" w:color="auto"/>
            </w:tcBorders>
          </w:tcPr>
          <w:p w14:paraId="76D3126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A76404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00F03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3C6BC5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3496B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衛生福利部函為中央政府嚴重特殊傳染性肺炎防治及紓困振興特別預算第4次追加預算決議，檢送疫苗接種對象及優先順序書面報告案。</w:t>
            </w:r>
          </w:p>
        </w:tc>
        <w:tc>
          <w:tcPr>
            <w:tcW w:w="2871" w:type="dxa"/>
            <w:tcBorders>
              <w:top w:val="single" w:sz="4" w:space="0" w:color="auto"/>
              <w:left w:val="single" w:sz="4" w:space="0" w:color="auto"/>
              <w:bottom w:val="single" w:sz="4" w:space="0" w:color="000000"/>
              <w:right w:val="single" w:sz="4" w:space="0" w:color="auto"/>
            </w:tcBorders>
          </w:tcPr>
          <w:p w14:paraId="0E8607E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6E8F4B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4E010B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90D333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73BEB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衛生福利部函為中央政府嚴重特殊傳染性肺炎防治及紓困振興特別預算第4次追加預算決議，檢送醫療機構獎勵費用核發作業之說明案。</w:t>
            </w:r>
          </w:p>
        </w:tc>
        <w:tc>
          <w:tcPr>
            <w:tcW w:w="2871" w:type="dxa"/>
            <w:tcBorders>
              <w:top w:val="single" w:sz="4" w:space="0" w:color="auto"/>
              <w:left w:val="single" w:sz="4" w:space="0" w:color="auto"/>
              <w:bottom w:val="single" w:sz="4" w:space="0" w:color="000000"/>
              <w:right w:val="single" w:sz="4" w:space="0" w:color="auto"/>
            </w:tcBorders>
          </w:tcPr>
          <w:p w14:paraId="45677F1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E8379B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D5499C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2EEADD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8F53F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衛生福利部函為中央政府嚴重特殊傳染性肺炎防治及紓困振興特別預算第4次追加預算決議，檢送健保暫付款提升方案書面報告案。</w:t>
            </w:r>
          </w:p>
        </w:tc>
        <w:tc>
          <w:tcPr>
            <w:tcW w:w="2871" w:type="dxa"/>
            <w:tcBorders>
              <w:top w:val="single" w:sz="4" w:space="0" w:color="auto"/>
              <w:left w:val="single" w:sz="4" w:space="0" w:color="auto"/>
              <w:bottom w:val="single" w:sz="4" w:space="0" w:color="000000"/>
              <w:right w:val="single" w:sz="4" w:space="0" w:color="auto"/>
            </w:tcBorders>
          </w:tcPr>
          <w:p w14:paraId="4A94FC2D"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09B353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B6F3F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19B4BB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B58E9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14:paraId="592B22A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6DD093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2B795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DBB4AE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34CAB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衛生福利部函為中央政府嚴重特殊傳染性肺炎防治及紓困振興特別預算第4次追加預算決議，檢送「高端疫苗與其他廠牌COVID-19疫苗交替使用之安全性及免疫生成性」書面報告案。</w:t>
            </w:r>
          </w:p>
        </w:tc>
        <w:tc>
          <w:tcPr>
            <w:tcW w:w="2871" w:type="dxa"/>
            <w:tcBorders>
              <w:top w:val="single" w:sz="4" w:space="0" w:color="auto"/>
              <w:left w:val="single" w:sz="4" w:space="0" w:color="auto"/>
              <w:bottom w:val="single" w:sz="4" w:space="0" w:color="000000"/>
              <w:right w:val="single" w:sz="4" w:space="0" w:color="auto"/>
            </w:tcBorders>
          </w:tcPr>
          <w:p w14:paraId="5551D00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EA69EE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084B7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3D9A0A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F5993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衛生福利部函為中央政府嚴重特殊傳染性肺炎防治及紓困振興特別預算第4次追加預算決議，檢送不同廠牌COVID-19疫苗交替使用之安全性書面報告案。</w:t>
            </w:r>
          </w:p>
        </w:tc>
        <w:tc>
          <w:tcPr>
            <w:tcW w:w="2871" w:type="dxa"/>
            <w:tcBorders>
              <w:top w:val="single" w:sz="4" w:space="0" w:color="auto"/>
              <w:left w:val="single" w:sz="4" w:space="0" w:color="auto"/>
              <w:bottom w:val="single" w:sz="4" w:space="0" w:color="000000"/>
              <w:right w:val="single" w:sz="4" w:space="0" w:color="auto"/>
            </w:tcBorders>
          </w:tcPr>
          <w:p w14:paraId="6F03855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51EEA1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C54486E"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F4370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4AD27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衛生福利部函為中央政府嚴重特殊傳染性肺炎防治及紓困振興特別預算第4次追加預算決議，檢送高端COVID-19疫苗使用情形書面報告案。</w:t>
            </w:r>
          </w:p>
        </w:tc>
        <w:tc>
          <w:tcPr>
            <w:tcW w:w="2871" w:type="dxa"/>
            <w:tcBorders>
              <w:top w:val="single" w:sz="4" w:space="0" w:color="auto"/>
              <w:left w:val="single" w:sz="4" w:space="0" w:color="auto"/>
              <w:bottom w:val="single" w:sz="4" w:space="0" w:color="000000"/>
              <w:right w:val="single" w:sz="4" w:space="0" w:color="auto"/>
            </w:tcBorders>
          </w:tcPr>
          <w:p w14:paraId="067829D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AE91EE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39D2E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86B981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B6E5E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衛生福利部函為中央政府嚴重特殊傳染性肺炎防治及紓困振興特別預算第4次追加預算決議，檢送高端疫苗混打、重打其他疫苗之風險及副作用書面報告案。</w:t>
            </w:r>
          </w:p>
        </w:tc>
        <w:tc>
          <w:tcPr>
            <w:tcW w:w="2871" w:type="dxa"/>
            <w:tcBorders>
              <w:top w:val="single" w:sz="4" w:space="0" w:color="auto"/>
              <w:left w:val="single" w:sz="4" w:space="0" w:color="auto"/>
              <w:bottom w:val="single" w:sz="4" w:space="0" w:color="000000"/>
              <w:right w:val="single" w:sz="4" w:space="0" w:color="auto"/>
            </w:tcBorders>
          </w:tcPr>
          <w:p w14:paraId="4D9E9B4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8B7836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A024D2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C5BB2E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EAB4A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衛生福利部函為中央政府嚴重特殊傳染性肺炎防治及紓困振興特別預算第4次追加預算決議，檢送COVID-19疫苗安全性監測書面報告案。</w:t>
            </w:r>
          </w:p>
        </w:tc>
        <w:tc>
          <w:tcPr>
            <w:tcW w:w="2871" w:type="dxa"/>
            <w:tcBorders>
              <w:top w:val="single" w:sz="4" w:space="0" w:color="auto"/>
              <w:left w:val="single" w:sz="4" w:space="0" w:color="auto"/>
              <w:bottom w:val="single" w:sz="4" w:space="0" w:color="000000"/>
              <w:right w:val="single" w:sz="4" w:space="0" w:color="auto"/>
            </w:tcBorders>
          </w:tcPr>
          <w:p w14:paraId="4B219D7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3A2076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47DB5C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55702D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1425D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衛生福利部函為中央政府嚴重特殊傳染性肺炎防治及紓困振興特別預算第4次追加預算決議，檢送COVID-19疫苗採購及追加劑廠牌使用規劃書面報告案。</w:t>
            </w:r>
          </w:p>
        </w:tc>
        <w:tc>
          <w:tcPr>
            <w:tcW w:w="2871" w:type="dxa"/>
            <w:tcBorders>
              <w:top w:val="single" w:sz="4" w:space="0" w:color="auto"/>
              <w:left w:val="single" w:sz="4" w:space="0" w:color="auto"/>
              <w:bottom w:val="single" w:sz="4" w:space="0" w:color="000000"/>
              <w:right w:val="single" w:sz="4" w:space="0" w:color="auto"/>
            </w:tcBorders>
          </w:tcPr>
          <w:p w14:paraId="1DFC134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A7D504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D321D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5B40C3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451077"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衛生福利部函為中央政府嚴重特殊傳染性肺炎防治及紓困振興特別預算第4次追加預算決議，檢送COVID-19疫苗採購催貨及追加劑使用規劃書面報告案。</w:t>
            </w:r>
          </w:p>
        </w:tc>
        <w:tc>
          <w:tcPr>
            <w:tcW w:w="2871" w:type="dxa"/>
            <w:tcBorders>
              <w:top w:val="single" w:sz="4" w:space="0" w:color="auto"/>
              <w:left w:val="single" w:sz="4" w:space="0" w:color="auto"/>
              <w:bottom w:val="single" w:sz="4" w:space="0" w:color="000000"/>
              <w:right w:val="single" w:sz="4" w:space="0" w:color="auto"/>
            </w:tcBorders>
          </w:tcPr>
          <w:p w14:paraId="1F957C7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4D40BB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4583B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FC5CFD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C3D87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衛生福利部函為中央政府嚴重特殊傳染性肺炎防治及紓困振興特別預算第4次追加預算決議，檢送邊境開放評估書面報告案。</w:t>
            </w:r>
          </w:p>
        </w:tc>
        <w:tc>
          <w:tcPr>
            <w:tcW w:w="2871" w:type="dxa"/>
            <w:tcBorders>
              <w:top w:val="single" w:sz="4" w:space="0" w:color="auto"/>
              <w:left w:val="single" w:sz="4" w:space="0" w:color="auto"/>
              <w:bottom w:val="single" w:sz="4" w:space="0" w:color="000000"/>
              <w:right w:val="single" w:sz="4" w:space="0" w:color="auto"/>
            </w:tcBorders>
          </w:tcPr>
          <w:p w14:paraId="6E54AAF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12ECB9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4BDB83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4DB338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55EF9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衛生福利部函為中央政府嚴重特殊傳染性肺炎防治及紓困振興特別預算第4次追加預算決議，檢送COVID-19疫苗採購及疫苗供應不足因應措施書面報告案。</w:t>
            </w:r>
          </w:p>
        </w:tc>
        <w:tc>
          <w:tcPr>
            <w:tcW w:w="2871" w:type="dxa"/>
            <w:tcBorders>
              <w:top w:val="single" w:sz="4" w:space="0" w:color="auto"/>
              <w:left w:val="single" w:sz="4" w:space="0" w:color="auto"/>
              <w:bottom w:val="single" w:sz="4" w:space="0" w:color="000000"/>
              <w:right w:val="single" w:sz="4" w:space="0" w:color="auto"/>
            </w:tcBorders>
          </w:tcPr>
          <w:p w14:paraId="33D5F47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211177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6B719D5"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D52337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8C0E6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衛生福利部函為中央政府嚴重特殊傳染性肺炎防治及紓困振興特別預算第4次追加預算決議，檢送高端疫苗取得國際認證進度書面報告案。</w:t>
            </w:r>
          </w:p>
        </w:tc>
        <w:tc>
          <w:tcPr>
            <w:tcW w:w="2871" w:type="dxa"/>
            <w:tcBorders>
              <w:top w:val="single" w:sz="4" w:space="0" w:color="auto"/>
              <w:left w:val="single" w:sz="4" w:space="0" w:color="auto"/>
              <w:bottom w:val="single" w:sz="4" w:space="0" w:color="000000"/>
              <w:right w:val="single" w:sz="4" w:space="0" w:color="auto"/>
            </w:tcBorders>
          </w:tcPr>
          <w:p w14:paraId="0911608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AB1167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45AD67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966FB7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CAAEAC"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衛生福利部函為中央政府嚴重特殊傳染性肺炎防治及紓困振興特別預算第4次追加預算決議，檢送預防接種受害救濟制度書面報告案。</w:t>
            </w:r>
          </w:p>
        </w:tc>
        <w:tc>
          <w:tcPr>
            <w:tcW w:w="2871" w:type="dxa"/>
            <w:tcBorders>
              <w:top w:val="single" w:sz="4" w:space="0" w:color="auto"/>
              <w:left w:val="single" w:sz="4" w:space="0" w:color="auto"/>
              <w:bottom w:val="single" w:sz="4" w:space="0" w:color="000000"/>
              <w:right w:val="single" w:sz="4" w:space="0" w:color="auto"/>
            </w:tcBorders>
          </w:tcPr>
          <w:p w14:paraId="309BC22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274C29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2E3AAE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BE1FCA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A75F3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衛生福利部函為中央政府嚴重特殊傳染性肺炎防治及紓困振興特別預算第4次追加預算決議，檢送保障染疫康復者權益書面報告案。</w:t>
            </w:r>
          </w:p>
        </w:tc>
        <w:tc>
          <w:tcPr>
            <w:tcW w:w="2871" w:type="dxa"/>
            <w:tcBorders>
              <w:top w:val="single" w:sz="4" w:space="0" w:color="auto"/>
              <w:left w:val="single" w:sz="4" w:space="0" w:color="auto"/>
              <w:bottom w:val="single" w:sz="4" w:space="0" w:color="000000"/>
              <w:right w:val="single" w:sz="4" w:space="0" w:color="auto"/>
            </w:tcBorders>
          </w:tcPr>
          <w:p w14:paraId="7AFC060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17F7CC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E4529C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3201F0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52675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衛生福利部函為中央政府嚴重特殊傳染性肺炎防治及紓困振興特別預算第4次追加預算決議，檢送傳染病防治法於疫情防治工作上之適用書面報告案。</w:t>
            </w:r>
          </w:p>
        </w:tc>
        <w:tc>
          <w:tcPr>
            <w:tcW w:w="2871" w:type="dxa"/>
            <w:tcBorders>
              <w:top w:val="single" w:sz="4" w:space="0" w:color="auto"/>
              <w:left w:val="single" w:sz="4" w:space="0" w:color="auto"/>
              <w:bottom w:val="single" w:sz="4" w:space="0" w:color="000000"/>
              <w:right w:val="single" w:sz="4" w:space="0" w:color="auto"/>
            </w:tcBorders>
          </w:tcPr>
          <w:p w14:paraId="1E528C3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FDA8C4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843FD8B" w14:textId="77777777" w:rsidTr="00920702">
        <w:trPr>
          <w:gridAfter w:val="1"/>
          <w:wAfter w:w="7" w:type="dxa"/>
          <w:trHeight w:val="414"/>
          <w:jc w:val="center"/>
        </w:trPr>
        <w:tc>
          <w:tcPr>
            <w:tcW w:w="846" w:type="dxa"/>
            <w:tcBorders>
              <w:top w:val="single" w:sz="4" w:space="0" w:color="auto"/>
              <w:left w:val="single" w:sz="4" w:space="0" w:color="auto"/>
              <w:bottom w:val="single" w:sz="4" w:space="0" w:color="auto"/>
              <w:right w:val="single" w:sz="4" w:space="0" w:color="auto"/>
            </w:tcBorders>
          </w:tcPr>
          <w:p w14:paraId="1E60C64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A29B5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衛生福利部函為中央政府嚴重特殊傳染性肺炎防治及紓困振興特別預算第4次追加預算決議，檢送傳染病防治法未來修法方向書面報告案。</w:t>
            </w:r>
          </w:p>
        </w:tc>
        <w:tc>
          <w:tcPr>
            <w:tcW w:w="2871" w:type="dxa"/>
            <w:tcBorders>
              <w:top w:val="single" w:sz="4" w:space="0" w:color="auto"/>
              <w:left w:val="single" w:sz="4" w:space="0" w:color="auto"/>
              <w:bottom w:val="single" w:sz="4" w:space="0" w:color="000000"/>
              <w:right w:val="single" w:sz="4" w:space="0" w:color="auto"/>
            </w:tcBorders>
          </w:tcPr>
          <w:p w14:paraId="562DDF0C"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8D2C10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42AC0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362625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644B59"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衛生福利部函為中央政府嚴重特殊傳染性肺炎防治及紓困振興特別預算第4次追加預算決議，檢送傳染病防治法第17條之應變處置書面報告案。</w:t>
            </w:r>
          </w:p>
        </w:tc>
        <w:tc>
          <w:tcPr>
            <w:tcW w:w="2871" w:type="dxa"/>
            <w:tcBorders>
              <w:top w:val="single" w:sz="4" w:space="0" w:color="auto"/>
              <w:left w:val="single" w:sz="4" w:space="0" w:color="auto"/>
              <w:bottom w:val="single" w:sz="4" w:space="0" w:color="000000"/>
              <w:right w:val="single" w:sz="4" w:space="0" w:color="auto"/>
            </w:tcBorders>
          </w:tcPr>
          <w:p w14:paraId="02AB6CB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575E0E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0C14AE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6CE87C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3B1EC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衛生福利部函為中央政府嚴重特殊傳染性肺炎防治及紓困振興特別預算第4次追加預算決議，檢送紓困振興特別條例第7條之應變處置書面報告案。</w:t>
            </w:r>
          </w:p>
        </w:tc>
        <w:tc>
          <w:tcPr>
            <w:tcW w:w="2871" w:type="dxa"/>
            <w:tcBorders>
              <w:top w:val="single" w:sz="4" w:space="0" w:color="auto"/>
              <w:left w:val="single" w:sz="4" w:space="0" w:color="auto"/>
              <w:bottom w:val="single" w:sz="4" w:space="0" w:color="000000"/>
              <w:right w:val="single" w:sz="4" w:space="0" w:color="auto"/>
            </w:tcBorders>
          </w:tcPr>
          <w:p w14:paraId="53181C0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EF74FE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0D1217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2634EA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CDCC4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衛生福利部函為中央政府嚴重特殊傳染性肺炎防治及紓困振興特別預算第4次追加預算決議，檢送疾病管制署「COVID-19公費疫苗預約平台租用服務採購案」書面報告案。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14:paraId="3023086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4B052E6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9B0220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1FDD77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3F555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衛生福利部函為中央政府嚴重特殊傳染性肺炎防治及紓困振興特別預算第4次追加預算決議，檢送疾病管制署「公費疫苗預約平台租用服務採購案」書面報告案。</w:t>
            </w:r>
          </w:p>
        </w:tc>
        <w:tc>
          <w:tcPr>
            <w:tcW w:w="2871" w:type="dxa"/>
            <w:tcBorders>
              <w:top w:val="single" w:sz="4" w:space="0" w:color="auto"/>
              <w:left w:val="single" w:sz="4" w:space="0" w:color="auto"/>
              <w:bottom w:val="single" w:sz="4" w:space="0" w:color="000000"/>
              <w:right w:val="single" w:sz="4" w:space="0" w:color="auto"/>
            </w:tcBorders>
          </w:tcPr>
          <w:p w14:paraId="62B96F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EFF0D5A"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CD2F7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516CCA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B5CF2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衛生福利部函為中央政府嚴重特殊傳染性肺炎防治及紓困振興特別預算第4次追加預算決議，檢送降低執行防疫措施之衝突風險書面報告案。</w:t>
            </w:r>
          </w:p>
        </w:tc>
        <w:tc>
          <w:tcPr>
            <w:tcW w:w="2871" w:type="dxa"/>
            <w:tcBorders>
              <w:top w:val="single" w:sz="4" w:space="0" w:color="auto"/>
              <w:left w:val="single" w:sz="4" w:space="0" w:color="auto"/>
              <w:bottom w:val="single" w:sz="4" w:space="0" w:color="000000"/>
              <w:right w:val="single" w:sz="4" w:space="0" w:color="auto"/>
            </w:tcBorders>
          </w:tcPr>
          <w:p w14:paraId="27D9C72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8B9891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7332E7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AA2C89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F612F5"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衛生福利部函為中央政府嚴重特殊傳染性肺炎防治及紓困振興特別預算第4次追加預算決議，檢送社區篩檢站設置指引滾動式修正書面報告案。</w:t>
            </w:r>
          </w:p>
        </w:tc>
        <w:tc>
          <w:tcPr>
            <w:tcW w:w="2871" w:type="dxa"/>
            <w:tcBorders>
              <w:top w:val="single" w:sz="4" w:space="0" w:color="auto"/>
              <w:left w:val="single" w:sz="4" w:space="0" w:color="auto"/>
              <w:bottom w:val="single" w:sz="4" w:space="0" w:color="000000"/>
              <w:right w:val="single" w:sz="4" w:space="0" w:color="auto"/>
            </w:tcBorders>
          </w:tcPr>
          <w:p w14:paraId="3842337F"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5EBE579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CA44D3"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18B948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CDE971"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衛生福利部函為中央政府嚴重特殊傳染性肺炎防治及紓困振興特別預算第4次追加預算決議，檢送「原住民族及部落設置社區篩檢站需求」書面報告案。</w:t>
            </w:r>
          </w:p>
        </w:tc>
        <w:tc>
          <w:tcPr>
            <w:tcW w:w="2871" w:type="dxa"/>
            <w:tcBorders>
              <w:top w:val="single" w:sz="4" w:space="0" w:color="auto"/>
              <w:left w:val="single" w:sz="4" w:space="0" w:color="auto"/>
              <w:bottom w:val="single" w:sz="4" w:space="0" w:color="000000"/>
              <w:right w:val="single" w:sz="4" w:space="0" w:color="auto"/>
            </w:tcBorders>
          </w:tcPr>
          <w:p w14:paraId="20816B3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FFA1A2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433BE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2BF39C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17788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衛生福利部函為中央政府嚴重特殊傳染性肺炎防治及紓困振興特別預算第4次追加預算決議，檢送「口罩預購系統使用流量降低執行費用調整規劃」書面報告案。</w:t>
            </w:r>
          </w:p>
        </w:tc>
        <w:tc>
          <w:tcPr>
            <w:tcW w:w="2871" w:type="dxa"/>
            <w:tcBorders>
              <w:top w:val="single" w:sz="4" w:space="0" w:color="auto"/>
              <w:left w:val="single" w:sz="4" w:space="0" w:color="auto"/>
              <w:bottom w:val="single" w:sz="4" w:space="0" w:color="000000"/>
              <w:right w:val="single" w:sz="4" w:space="0" w:color="auto"/>
            </w:tcBorders>
          </w:tcPr>
          <w:p w14:paraId="6878B87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A48FDF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551122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75CF01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739BE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衛生福利部函為中央政府嚴重特殊傳染性肺炎防治及紓困振興特別預算第4次追加預算決議，檢送高端疫苗國際認證進度書面報告案。</w:t>
            </w:r>
          </w:p>
        </w:tc>
        <w:tc>
          <w:tcPr>
            <w:tcW w:w="2871" w:type="dxa"/>
            <w:tcBorders>
              <w:top w:val="single" w:sz="4" w:space="0" w:color="auto"/>
              <w:left w:val="single" w:sz="4" w:space="0" w:color="auto"/>
              <w:bottom w:val="single" w:sz="4" w:space="0" w:color="000000"/>
              <w:right w:val="single" w:sz="4" w:space="0" w:color="auto"/>
            </w:tcBorders>
          </w:tcPr>
          <w:p w14:paraId="45304548"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7DEB19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BBD881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2314F0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B0E37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衛生福利部函為中央政府嚴重特殊傳染性肺炎防治及紓困振興特別預算第4次追加預算決議，檢送核酸疫苗臨床試驗進度書面報告案。</w:t>
            </w:r>
          </w:p>
        </w:tc>
        <w:tc>
          <w:tcPr>
            <w:tcW w:w="2871" w:type="dxa"/>
            <w:tcBorders>
              <w:top w:val="single" w:sz="4" w:space="0" w:color="auto"/>
              <w:left w:val="single" w:sz="4" w:space="0" w:color="auto"/>
              <w:bottom w:val="single" w:sz="4" w:space="0" w:color="000000"/>
              <w:right w:val="single" w:sz="4" w:space="0" w:color="auto"/>
            </w:tcBorders>
          </w:tcPr>
          <w:p w14:paraId="6512D05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DCFE62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A351AD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11AA1F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C53343"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衛生福利部函為中央政府嚴重特殊傳染性肺炎防治及紓困振興特別預算第4次追加預算決議，檢送「提供適時滾動調整社區篩檢站之作為」書面報告案。</w:t>
            </w:r>
          </w:p>
        </w:tc>
        <w:tc>
          <w:tcPr>
            <w:tcW w:w="2871" w:type="dxa"/>
            <w:tcBorders>
              <w:top w:val="single" w:sz="4" w:space="0" w:color="auto"/>
              <w:left w:val="single" w:sz="4" w:space="0" w:color="auto"/>
              <w:bottom w:val="single" w:sz="4" w:space="0" w:color="000000"/>
              <w:right w:val="single" w:sz="4" w:space="0" w:color="auto"/>
            </w:tcBorders>
          </w:tcPr>
          <w:p w14:paraId="694C6EB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43FAF4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F28E99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253FD0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1EDB98"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衛生福利部函為中央政府嚴重特殊傳染性肺炎防治及紓困振興特別預算第4次追加預算決議，檢送「不同廠牌COVID-19疫苗交替使用及追加劑接種評估」書面報告案。</w:t>
            </w:r>
          </w:p>
        </w:tc>
        <w:tc>
          <w:tcPr>
            <w:tcW w:w="2871" w:type="dxa"/>
            <w:tcBorders>
              <w:top w:val="single" w:sz="4" w:space="0" w:color="auto"/>
              <w:left w:val="single" w:sz="4" w:space="0" w:color="auto"/>
              <w:bottom w:val="single" w:sz="4" w:space="0" w:color="000000"/>
              <w:right w:val="single" w:sz="4" w:space="0" w:color="auto"/>
            </w:tcBorders>
          </w:tcPr>
          <w:p w14:paraId="49DB3F3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B1426F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8CBDD4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F952CE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E9645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衛生福利部函為中央政府嚴重特殊傳染性肺炎防治及紓困振興特別預算第4次追加預算決議，檢送「抗病毒藥劑相關藥物採購計畫及藥物採購預算編列」書面報告案。</w:t>
            </w:r>
          </w:p>
        </w:tc>
        <w:tc>
          <w:tcPr>
            <w:tcW w:w="2871" w:type="dxa"/>
            <w:tcBorders>
              <w:top w:val="single" w:sz="4" w:space="0" w:color="auto"/>
              <w:left w:val="single" w:sz="4" w:space="0" w:color="auto"/>
              <w:bottom w:val="single" w:sz="4" w:space="0" w:color="000000"/>
              <w:right w:val="single" w:sz="4" w:space="0" w:color="auto"/>
            </w:tcBorders>
          </w:tcPr>
          <w:p w14:paraId="3CBBAC0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6C398D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1AEF41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FF3DC5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587AE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衛生福利部函為中央政府嚴重特殊傳染性肺炎防治及紓困振興特別預算第4次追加預算決議，檢送「COVID-19口服抗病毒藥物採購情況及鼓勵國內相關單位投入藥物研發之具體作為」書面報告案。</w:t>
            </w:r>
          </w:p>
        </w:tc>
        <w:tc>
          <w:tcPr>
            <w:tcW w:w="2871" w:type="dxa"/>
            <w:tcBorders>
              <w:top w:val="single" w:sz="4" w:space="0" w:color="auto"/>
              <w:left w:val="single" w:sz="4" w:space="0" w:color="auto"/>
              <w:bottom w:val="single" w:sz="4" w:space="0" w:color="000000"/>
              <w:right w:val="single" w:sz="4" w:space="0" w:color="auto"/>
            </w:tcBorders>
          </w:tcPr>
          <w:p w14:paraId="4270ABF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78202B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3ADF2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FD790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D0EB14"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衛生福利部函為中央政府嚴重特殊傳染性肺炎防治及紓困振興特別預算第4次追加預算決議，檢送「快篩試劑用於居家檢疫之執行成效評估」書面報告案。</w:t>
            </w:r>
          </w:p>
        </w:tc>
        <w:tc>
          <w:tcPr>
            <w:tcW w:w="2871" w:type="dxa"/>
            <w:tcBorders>
              <w:top w:val="single" w:sz="4" w:space="0" w:color="auto"/>
              <w:left w:val="single" w:sz="4" w:space="0" w:color="auto"/>
              <w:bottom w:val="single" w:sz="4" w:space="0" w:color="000000"/>
              <w:right w:val="single" w:sz="4" w:space="0" w:color="auto"/>
            </w:tcBorders>
          </w:tcPr>
          <w:p w14:paraId="28D73C2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42B6E7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895A0EA"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A90571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6967D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衛生福利部函為中央政府嚴重特殊傳染性肺炎防治及紓困振興特別預算第4次追加預算決議，檢送「COVID-19後疫情防治策略規劃」書面報告案。</w:t>
            </w:r>
          </w:p>
        </w:tc>
        <w:tc>
          <w:tcPr>
            <w:tcW w:w="2871" w:type="dxa"/>
            <w:tcBorders>
              <w:top w:val="single" w:sz="4" w:space="0" w:color="auto"/>
              <w:left w:val="single" w:sz="4" w:space="0" w:color="auto"/>
              <w:bottom w:val="single" w:sz="4" w:space="0" w:color="000000"/>
              <w:right w:val="single" w:sz="4" w:space="0" w:color="auto"/>
            </w:tcBorders>
          </w:tcPr>
          <w:p w14:paraId="7CC096C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364AEE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B0F8D4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F4B0D2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45147E"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衛生福利部函為中央政府嚴重特殊傳染性肺炎防治及紓困振興特別預算第4次追加預算決議，檢送高端疫苗取得國際認證書面報告案。</w:t>
            </w:r>
          </w:p>
        </w:tc>
        <w:tc>
          <w:tcPr>
            <w:tcW w:w="2871" w:type="dxa"/>
            <w:tcBorders>
              <w:top w:val="single" w:sz="4" w:space="0" w:color="auto"/>
              <w:left w:val="single" w:sz="4" w:space="0" w:color="auto"/>
              <w:bottom w:val="single" w:sz="4" w:space="0" w:color="000000"/>
              <w:right w:val="single" w:sz="4" w:space="0" w:color="auto"/>
            </w:tcBorders>
          </w:tcPr>
          <w:p w14:paraId="0E3018DE"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636B01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E43B6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EAC75F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37AC3A"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（密）衛生福利部函，為中央政府嚴重特殊傳染性肺炎防治及紓困振興特別預算第3次追加預算決議，檢送該部主管第1項決議（二六七）及（二九一）辦理情形案。</w:t>
            </w:r>
          </w:p>
        </w:tc>
        <w:tc>
          <w:tcPr>
            <w:tcW w:w="2871" w:type="dxa"/>
            <w:tcBorders>
              <w:top w:val="single" w:sz="4" w:space="0" w:color="auto"/>
              <w:left w:val="single" w:sz="4" w:space="0" w:color="auto"/>
              <w:bottom w:val="single" w:sz="4" w:space="0" w:color="000000"/>
              <w:right w:val="single" w:sz="4" w:space="0" w:color="auto"/>
            </w:tcBorders>
          </w:tcPr>
          <w:p w14:paraId="27D6F8D3"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w:t>
            </w:r>
            <w:r w:rsidRPr="00B95A07">
              <w:rPr>
                <w:rFonts w:ascii="標楷體" w:eastAsia="標楷體" w:hAnsi="標楷體"/>
                <w:kern w:val="2"/>
                <w:szCs w:val="24"/>
              </w:rPr>
              <w:t>3</w:t>
            </w:r>
            <w:r w:rsidRPr="00B95A07">
              <w:rPr>
                <w:rFonts w:ascii="標楷體" w:eastAsia="標楷體" w:hAnsi="標楷體" w:hint="eastAsia"/>
                <w:kern w:val="2"/>
                <w:szCs w:val="24"/>
              </w:rPr>
              <w:t>次院會（11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.10）決定：「交財政及相關委員會審查」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7D1482A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0658C5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A85412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219DFB" w14:textId="57682115"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高端疫苗取得世界衛生組織或歐美等國際認證進度截至111年12月書面報告案。</w:t>
            </w:r>
          </w:p>
        </w:tc>
        <w:tc>
          <w:tcPr>
            <w:tcW w:w="2871" w:type="dxa"/>
            <w:tcBorders>
              <w:top w:val="single" w:sz="4" w:space="0" w:color="auto"/>
              <w:left w:val="single" w:sz="4" w:space="0" w:color="auto"/>
              <w:bottom w:val="single" w:sz="4" w:space="0" w:color="000000"/>
              <w:right w:val="single" w:sz="4" w:space="0" w:color="auto"/>
            </w:tcBorders>
          </w:tcPr>
          <w:p w14:paraId="35B68917" w14:textId="50C9F892"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第10屆第7會期第7次院會（11</w:t>
            </w:r>
            <w:r w:rsidRPr="00B95A07">
              <w:rPr>
                <w:rFonts w:ascii="標楷體" w:eastAsia="標楷體" w:hAnsi="標楷體"/>
                <w:kern w:val="2"/>
                <w:szCs w:val="24"/>
              </w:rPr>
              <w:t>2</w:t>
            </w:r>
            <w:r w:rsidRPr="00B95A07">
              <w:rPr>
                <w:rFonts w:ascii="標楷體" w:eastAsia="標楷體" w:hAnsi="標楷體" w:hint="eastAsia"/>
                <w:kern w:val="2"/>
                <w:szCs w:val="24"/>
              </w:rPr>
              <w:t>.4.14）決定：「交財政及相關委員會審查」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6B60834" w14:textId="6F51DFFD"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BA2AE9A"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2C6544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9B0940" w14:textId="3905E75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衛生福利部函為中央政府嚴重特殊傳染性肺炎防治及紓困振興特別預算第2次追加預算決議，檢送獎勵核發執行情形書面報告案。</w:t>
            </w:r>
          </w:p>
        </w:tc>
        <w:tc>
          <w:tcPr>
            <w:tcW w:w="2871" w:type="dxa"/>
            <w:tcBorders>
              <w:top w:val="single" w:sz="4" w:space="0" w:color="auto"/>
              <w:left w:val="single" w:sz="4" w:space="0" w:color="auto"/>
              <w:bottom w:val="single" w:sz="4" w:space="0" w:color="auto"/>
              <w:right w:val="single" w:sz="4" w:space="0" w:color="auto"/>
            </w:tcBorders>
          </w:tcPr>
          <w:p w14:paraId="5FBE90A0" w14:textId="3288BEDC"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第10屆第8會期第3次院會（112.</w:t>
            </w:r>
            <w:r w:rsidRPr="00B95A07">
              <w:rPr>
                <w:rFonts w:ascii="標楷體" w:eastAsia="標楷體" w:hAnsi="標楷體"/>
                <w:kern w:val="2"/>
                <w:szCs w:val="24"/>
              </w:rPr>
              <w:t>10</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）決定：「交財政、社會福利及衛生環境兩委員會審查」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CBF22B1" w14:textId="430ED7FC"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46631F"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73B46B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14BAEA" w14:textId="170842D4"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衛生福利部函為中央政府嚴重特殊傳染性肺炎防治及紓困振興特別預算第3次追加預算決議，檢送儘速整備醫院病床及醫治能量書面報告，請查照案。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537414" w14:textId="32F87D82"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29911A3" w14:textId="01F3AA70"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87FB1A9"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38701E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61B4CB" w14:textId="7BDE45BA"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衛生福利部函為中央政府嚴重特殊傳染性肺炎防治及紓困振興特別預算第3次追加預算決議，檢送儘速啟動改善放射師防疫津貼發放及增加書面報告案。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861A578" w14:textId="1925F5DF"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5159846" w14:textId="60563BCF"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419AC75"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C76AE3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0683C4" w14:textId="67415F32"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衛生福利部函為中央政府嚴重特殊傳染性肺炎防治及紓困振興特別預算第3次追加預算決議，檢送「警消醫護加油棧」以公費支付相關費用之說明案。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4F9E5EC" w14:textId="51EDE9B0"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1F661FB" w14:textId="2F2AEDB0"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B17A128"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F9C8E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9D8CA1" w14:textId="1CED503B"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衛生福利部函為中央政府嚴重特殊傳染性肺炎防治及紓困振興特別預算第3次追加預算決議，檢送研議全國一致之救護資源調度書面報告案。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28CB3C" w14:textId="572BB25C"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09B953" w14:textId="426665D6"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EC89BA3"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48E6CF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F76698" w14:textId="6D5DAA9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因應COVID-19疫情防治所需經費不敷，依嚴重特殊傳染性肺炎防治及紓困振興特別條例第11條第1項規定，由中央政府嚴重特殊傳染性肺炎防治及紓困振興特別預算經濟部所列經費支應180億元。茲檢送跨機關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27C2C4" w14:textId="3D66599E"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67A241" w14:textId="1A88D87E"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565F38" w14:textId="77777777" w:rsidTr="003E17ED">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CC6801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2D686B" w14:textId="3DE5DC55"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衛生福利部函送中央政府嚴重特殊傳染性肺炎防治及紓困振興特別預算截至112年6月份經費流用情形表案。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70BBE31" w14:textId="3642893D"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88C383E" w14:textId="3197B344"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F93B87F" w14:textId="77777777" w:rsidTr="000D2E36">
        <w:trPr>
          <w:gridAfter w:val="1"/>
          <w:wAfter w:w="7" w:type="dxa"/>
          <w:trHeight w:val="989"/>
          <w:jc w:val="center"/>
        </w:trPr>
        <w:tc>
          <w:tcPr>
            <w:tcW w:w="846" w:type="dxa"/>
            <w:tcBorders>
              <w:top w:val="single" w:sz="12" w:space="0" w:color="auto"/>
              <w:left w:val="single" w:sz="4" w:space="0" w:color="auto"/>
              <w:bottom w:val="single" w:sz="12" w:space="0" w:color="auto"/>
              <w:right w:val="single" w:sz="4" w:space="0" w:color="auto"/>
            </w:tcBorders>
          </w:tcPr>
          <w:p w14:paraId="5A8F9FC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52F0F36D" w14:textId="3380F7E6"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行政院函為中央政府嚴重特殊傳染性肺炎防治及紓困振興特別預算</w:t>
            </w:r>
            <w:r w:rsidR="00C85DF9">
              <w:rPr>
                <w:rFonts w:ascii="標楷體" w:eastAsia="標楷體" w:hAnsi="標楷體" w:hint="eastAsia"/>
                <w:kern w:val="2"/>
                <w:szCs w:val="24"/>
              </w:rPr>
              <w:t>案</w:t>
            </w:r>
            <w:r w:rsidRPr="00B95A07">
              <w:rPr>
                <w:rFonts w:ascii="標楷體" w:eastAsia="標楷體" w:hAnsi="標楷體" w:hint="eastAsia"/>
                <w:kern w:val="2"/>
                <w:szCs w:val="24"/>
              </w:rPr>
              <w:t>決議，檢送該條例施行執行情形書面報告案。</w:t>
            </w:r>
          </w:p>
        </w:tc>
        <w:tc>
          <w:tcPr>
            <w:tcW w:w="2871" w:type="dxa"/>
            <w:tcBorders>
              <w:top w:val="single" w:sz="12" w:space="0" w:color="auto"/>
              <w:left w:val="single" w:sz="4" w:space="0" w:color="auto"/>
              <w:bottom w:val="single" w:sz="12" w:space="0" w:color="auto"/>
              <w:right w:val="single" w:sz="4" w:space="0" w:color="auto"/>
            </w:tcBorders>
          </w:tcPr>
          <w:p w14:paraId="00B7728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）決定：「交財政、內政、經濟、教育及文化、交通、社會福利及衛生環境六委員會審查」</w:t>
            </w:r>
          </w:p>
        </w:tc>
        <w:tc>
          <w:tcPr>
            <w:tcW w:w="1507" w:type="dxa"/>
            <w:tcBorders>
              <w:top w:val="single" w:sz="12" w:space="0" w:color="auto"/>
              <w:left w:val="single" w:sz="4" w:space="0" w:color="auto"/>
              <w:bottom w:val="single" w:sz="12" w:space="0" w:color="auto"/>
              <w:right w:val="single" w:sz="4" w:space="0" w:color="auto"/>
            </w:tcBorders>
            <w:vAlign w:val="center"/>
          </w:tcPr>
          <w:p w14:paraId="18B1FF16" w14:textId="77777777" w:rsidR="00EB1A29" w:rsidRPr="00B95A07" w:rsidRDefault="00EB1A29" w:rsidP="00EB1A29">
            <w:pPr>
              <w:widowControl w:val="0"/>
              <w:overflowPunct w:val="0"/>
              <w:autoSpaceDN/>
              <w:spacing w:line="28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A719FD6"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6119CCB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5D08D2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行政院農業委員會函為中央政府嚴重特殊傳染性肺炎防治及紓困振興特別預算決議，檢送因應武漢肺炎疫情紓困振興措施書面報告案。</w:t>
            </w:r>
          </w:p>
        </w:tc>
        <w:tc>
          <w:tcPr>
            <w:tcW w:w="2871" w:type="dxa"/>
            <w:tcBorders>
              <w:top w:val="single" w:sz="12" w:space="0" w:color="auto"/>
              <w:left w:val="single" w:sz="4" w:space="0" w:color="auto"/>
              <w:bottom w:val="single" w:sz="4" w:space="0" w:color="auto"/>
              <w:right w:val="single" w:sz="4" w:space="0" w:color="auto"/>
            </w:tcBorders>
          </w:tcPr>
          <w:p w14:paraId="1CC331B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0756DD3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41D7B9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40D9D3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95479C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行政院農業委員會函為中央政府嚴重特殊傳染性肺炎防治及紓困振興特別預算決議，檢送各項紓困振興措施與公務預算、非營業基金之區別書面報告案。</w:t>
            </w:r>
          </w:p>
        </w:tc>
        <w:tc>
          <w:tcPr>
            <w:tcW w:w="2871" w:type="dxa"/>
            <w:tcBorders>
              <w:top w:val="single" w:sz="4" w:space="0" w:color="auto"/>
              <w:left w:val="single" w:sz="4" w:space="0" w:color="auto"/>
              <w:bottom w:val="single" w:sz="4" w:space="0" w:color="auto"/>
              <w:right w:val="single" w:sz="4" w:space="0" w:color="auto"/>
            </w:tcBorders>
          </w:tcPr>
          <w:p w14:paraId="38D1AA3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第10屆第1會期第12次院會（109.5.8）決定：「交財政、經濟兩委員會審查」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E7C5D8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1825D3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5A1BC88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9512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行政院農業委員會函為中央政府嚴重特殊傳染性肺炎防治及紓困振興特別預算決議，檢送特別預算與公務預算之區別書面報告案。</w:t>
            </w:r>
          </w:p>
        </w:tc>
        <w:tc>
          <w:tcPr>
            <w:tcW w:w="2871" w:type="dxa"/>
            <w:tcBorders>
              <w:top w:val="single" w:sz="4" w:space="0" w:color="auto"/>
              <w:left w:val="single" w:sz="4" w:space="0" w:color="auto"/>
              <w:bottom w:val="single" w:sz="4" w:space="0" w:color="auto"/>
              <w:right w:val="single" w:sz="4" w:space="0" w:color="auto"/>
            </w:tcBorders>
          </w:tcPr>
          <w:p w14:paraId="6FDB9BD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6F64A0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7F9B38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13FA23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3EBC2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行政院農業委員會函為中央政府嚴重特殊傳染性肺炎防治及紓困振興特別預算決議，檢送各項紓困振興措施與公務預算、基金預算用途差異性書面報告案。</w:t>
            </w:r>
          </w:p>
        </w:tc>
        <w:tc>
          <w:tcPr>
            <w:tcW w:w="2871" w:type="dxa"/>
            <w:tcBorders>
              <w:top w:val="single" w:sz="4" w:space="0" w:color="auto"/>
              <w:left w:val="single" w:sz="4" w:space="0" w:color="auto"/>
              <w:bottom w:val="single" w:sz="4" w:space="0" w:color="auto"/>
              <w:right w:val="single" w:sz="4" w:space="0" w:color="auto"/>
            </w:tcBorders>
          </w:tcPr>
          <w:p w14:paraId="1EC5B39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1864B0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928E6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168DCF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F0EB6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行政院農業委員會函為中央政府嚴重特殊傳染性肺炎防治及紓困振興特別預算決議，檢送該會經費流用情形表案。</w:t>
            </w:r>
          </w:p>
        </w:tc>
        <w:tc>
          <w:tcPr>
            <w:tcW w:w="2871" w:type="dxa"/>
            <w:tcBorders>
              <w:top w:val="single" w:sz="4" w:space="0" w:color="auto"/>
              <w:left w:val="single" w:sz="4" w:space="0" w:color="auto"/>
              <w:bottom w:val="single" w:sz="4" w:space="0" w:color="auto"/>
              <w:right w:val="single" w:sz="4" w:space="0" w:color="auto"/>
            </w:tcBorders>
          </w:tcPr>
          <w:p w14:paraId="6B83D72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BE2383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3BB2C54"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16F21F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772BC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行政院農業委員會函為中央政府嚴重特殊傳染性肺炎防治及紓困振興特別預算追加預算決議，檢送花卉產業行銷及減量生產補貼書面報告案。</w:t>
            </w:r>
          </w:p>
        </w:tc>
        <w:tc>
          <w:tcPr>
            <w:tcW w:w="2871" w:type="dxa"/>
            <w:tcBorders>
              <w:top w:val="single" w:sz="4" w:space="0" w:color="auto"/>
              <w:left w:val="single" w:sz="4" w:space="0" w:color="auto"/>
              <w:bottom w:val="single" w:sz="4" w:space="0" w:color="auto"/>
              <w:right w:val="single" w:sz="4" w:space="0" w:color="auto"/>
            </w:tcBorders>
          </w:tcPr>
          <w:p w14:paraId="79D7D88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89A54F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BAB9F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EA051C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6D3EA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行政院農業委員會函為中央政府嚴重特殊傳染性肺炎防治及紓困振興特別預算決議，檢送石斑魚產業輔導轉型與新興市場開拓書面報告案。</w:t>
            </w:r>
          </w:p>
        </w:tc>
        <w:tc>
          <w:tcPr>
            <w:tcW w:w="2871" w:type="dxa"/>
            <w:tcBorders>
              <w:top w:val="single" w:sz="4" w:space="0" w:color="auto"/>
              <w:left w:val="single" w:sz="4" w:space="0" w:color="auto"/>
              <w:bottom w:val="single" w:sz="4" w:space="0" w:color="auto"/>
              <w:right w:val="single" w:sz="4" w:space="0" w:color="auto"/>
            </w:tcBorders>
          </w:tcPr>
          <w:p w14:paraId="2508F82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424396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B9830A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27E517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08164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284C5A2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42C1E6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7533CEF"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88EAC6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79383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w:t>
            </w:r>
            <w:r w:rsidRPr="00B95A07">
              <w:rPr>
                <w:rFonts w:ascii="標楷體" w:eastAsia="標楷體" w:hAnsi="標楷體"/>
                <w:kern w:val="2"/>
                <w:szCs w:val="24"/>
              </w:rPr>
              <w:t>2次追加預算決議，檢送無一定雇主或自營作業漁民生活補貼擴大紓困書面報告案。</w:t>
            </w:r>
          </w:p>
        </w:tc>
        <w:tc>
          <w:tcPr>
            <w:tcW w:w="2871" w:type="dxa"/>
            <w:tcBorders>
              <w:top w:val="single" w:sz="4" w:space="0" w:color="auto"/>
              <w:left w:val="single" w:sz="4" w:space="0" w:color="auto"/>
              <w:bottom w:val="single" w:sz="4" w:space="0" w:color="auto"/>
              <w:right w:val="single" w:sz="4" w:space="0" w:color="auto"/>
            </w:tcBorders>
          </w:tcPr>
          <w:p w14:paraId="296DC0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275ABF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4B2F89"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F556FC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ADB55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w:t>
            </w:r>
            <w:r w:rsidRPr="00B95A07">
              <w:rPr>
                <w:rFonts w:ascii="標楷體" w:eastAsia="標楷體" w:hAnsi="標楷體"/>
                <w:kern w:val="2"/>
                <w:szCs w:val="24"/>
              </w:rPr>
              <w:t>110年第1季經費流用情形表案。</w:t>
            </w:r>
          </w:p>
        </w:tc>
        <w:tc>
          <w:tcPr>
            <w:tcW w:w="2871" w:type="dxa"/>
            <w:tcBorders>
              <w:top w:val="single" w:sz="4" w:space="0" w:color="auto"/>
              <w:left w:val="single" w:sz="4" w:space="0" w:color="auto"/>
              <w:bottom w:val="single" w:sz="4" w:space="0" w:color="auto"/>
              <w:right w:val="single" w:sz="4" w:space="0" w:color="auto"/>
            </w:tcBorders>
          </w:tcPr>
          <w:p w14:paraId="62122C6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第10屆第3會期第13次院會（110.5.2</w:t>
            </w:r>
            <w:r w:rsidRPr="00B95A07">
              <w:rPr>
                <w:rFonts w:ascii="標楷體" w:eastAsia="標楷體" w:hAnsi="標楷體"/>
                <w:kern w:val="2"/>
                <w:szCs w:val="24"/>
              </w:rPr>
              <w:t>1</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3E8A4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30BE19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F6B9D1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75909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行政院農業委員會函為中央政府嚴重特殊傳染性肺炎防治及紓困振興特別預算決議，檢送截至110年第3季經費流用情形表案。</w:t>
            </w:r>
          </w:p>
        </w:tc>
        <w:tc>
          <w:tcPr>
            <w:tcW w:w="2871" w:type="dxa"/>
            <w:tcBorders>
              <w:top w:val="single" w:sz="4" w:space="0" w:color="auto"/>
              <w:left w:val="single" w:sz="4" w:space="0" w:color="auto"/>
              <w:bottom w:val="single" w:sz="4" w:space="0" w:color="auto"/>
              <w:right w:val="single" w:sz="4" w:space="0" w:color="auto"/>
            </w:tcBorders>
          </w:tcPr>
          <w:p w14:paraId="6F38842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633FA0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AED5E46"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9DA522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8E2BA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行政院農業委員會函為中央政府嚴重特殊傳染性肺炎防治及紓困振興特別預算第4次追加預算決議，檢送農遊券1.0未達成效及促銷策略與配套改善措施專案報告案。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14:paraId="642EB50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EE3F9A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CF82A6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F467EC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7A0F2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行政院農業委員會函為中央政府嚴重特殊傳染性肺炎防治及紓困振興特別預算第4次追加預算決議，檢送農遊券財源依據與妥適性及促銷策略與配套改善措施專案報告案。</w:t>
            </w:r>
          </w:p>
        </w:tc>
        <w:tc>
          <w:tcPr>
            <w:tcW w:w="2871" w:type="dxa"/>
            <w:tcBorders>
              <w:top w:val="single" w:sz="4" w:space="0" w:color="auto"/>
              <w:left w:val="single" w:sz="4" w:space="0" w:color="auto"/>
              <w:bottom w:val="single" w:sz="4" w:space="0" w:color="auto"/>
              <w:right w:val="single" w:sz="4" w:space="0" w:color="auto"/>
            </w:tcBorders>
          </w:tcPr>
          <w:p w14:paraId="7BA41E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第10屆第5會期第3次院會（1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11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240DA0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4661147" w14:textId="77777777" w:rsidTr="00605B7E">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77FD40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F5573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行政院農業委員會函為中央政府嚴重特殊傳染性肺炎防治及紓困振興特別預算第4次追加預算決議，檢送農遊券2.0發放後事實調查書面報告案。</w:t>
            </w:r>
          </w:p>
        </w:tc>
        <w:tc>
          <w:tcPr>
            <w:tcW w:w="2871" w:type="dxa"/>
            <w:tcBorders>
              <w:top w:val="single" w:sz="4" w:space="0" w:color="auto"/>
              <w:left w:val="single" w:sz="4" w:space="0" w:color="auto"/>
              <w:bottom w:val="single" w:sz="4" w:space="0" w:color="auto"/>
              <w:right w:val="single" w:sz="4" w:space="0" w:color="auto"/>
            </w:tcBorders>
          </w:tcPr>
          <w:p w14:paraId="5820014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EDD8C8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FFFF49" w14:textId="77777777" w:rsidTr="00605B7E">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24FF15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EB3FEC" w14:textId="0A872D9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行政院農業委員會函為中央政府嚴重特殊傳染性肺炎防治及紓困振興特別預算第4次追加預算決議，檢送行政院主管決議（五十五）振興實體券與數位券總體經濟效益評估書面報告案。</w:t>
            </w:r>
          </w:p>
        </w:tc>
        <w:tc>
          <w:tcPr>
            <w:tcW w:w="2871" w:type="dxa"/>
            <w:tcBorders>
              <w:top w:val="single" w:sz="4" w:space="0" w:color="auto"/>
              <w:left w:val="single" w:sz="4" w:space="0" w:color="auto"/>
              <w:bottom w:val="single" w:sz="4" w:space="0" w:color="auto"/>
              <w:right w:val="single" w:sz="4" w:space="0" w:color="auto"/>
            </w:tcBorders>
          </w:tcPr>
          <w:p w14:paraId="3F0010FC" w14:textId="7EED0478"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0985BA2" w14:textId="65D17125"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8213152" w14:textId="77777777" w:rsidTr="003E17ED">
        <w:trPr>
          <w:gridAfter w:val="1"/>
          <w:wAfter w:w="7" w:type="dxa"/>
          <w:trHeight w:val="989"/>
          <w:jc w:val="center"/>
        </w:trPr>
        <w:tc>
          <w:tcPr>
            <w:tcW w:w="846" w:type="dxa"/>
            <w:tcBorders>
              <w:top w:val="single" w:sz="4" w:space="0" w:color="auto"/>
              <w:left w:val="single" w:sz="4" w:space="0" w:color="auto"/>
              <w:bottom w:val="single" w:sz="12" w:space="0" w:color="auto"/>
              <w:right w:val="single" w:sz="4" w:space="0" w:color="auto"/>
            </w:tcBorders>
          </w:tcPr>
          <w:p w14:paraId="0AB1CE0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389D8E" w14:textId="6DE51856"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行政院農業委員會函送中央政府嚴重特殊傳染性肺炎防治及紓困振興特別預算</w:t>
            </w:r>
            <w:r w:rsidRPr="00B95A07">
              <w:rPr>
                <w:rFonts w:ascii="標楷體" w:eastAsia="標楷體" w:hAnsi="標楷體"/>
                <w:kern w:val="2"/>
                <w:szCs w:val="24"/>
              </w:rPr>
              <w:t>112年第2季經費流用情形表案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013C56" w14:textId="08E38139"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w:t>
            </w:r>
            <w:r w:rsidRPr="00B95A07">
              <w:rPr>
                <w:rFonts w:ascii="標楷體" w:eastAsia="標楷體" w:hAnsi="標楷體"/>
                <w:kern w:val="2"/>
                <w:szCs w:val="24"/>
              </w:rPr>
              <w:t>12</w:t>
            </w:r>
            <w:r w:rsidRPr="00B95A07">
              <w:rPr>
                <w:rFonts w:ascii="標楷體" w:eastAsia="標楷體" w:hAnsi="標楷體" w:hint="eastAsia"/>
                <w:kern w:val="2"/>
                <w:szCs w:val="24"/>
              </w:rPr>
              <w:t>.10.27）決定：「交財政及相關委員會審查」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7746A5D" w14:textId="1AE1236D"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A42BBF7"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5C6E18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6A2DDE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國家通訊傳播委員會函為中央政府嚴重特殊傳染性肺炎防治及紓困振興特別預算決議，檢送「疫情防治專用手機及服務平臺等採購案」書面報告案。</w:t>
            </w:r>
          </w:p>
        </w:tc>
        <w:tc>
          <w:tcPr>
            <w:tcW w:w="2871" w:type="dxa"/>
            <w:tcBorders>
              <w:top w:val="single" w:sz="12" w:space="0" w:color="auto"/>
              <w:left w:val="single" w:sz="4" w:space="0" w:color="auto"/>
              <w:bottom w:val="single" w:sz="4" w:space="0" w:color="auto"/>
              <w:right w:val="single" w:sz="4" w:space="0" w:color="auto"/>
            </w:tcBorders>
          </w:tcPr>
          <w:p w14:paraId="3126BE8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第10屆第1會期第10次院會（109.4.24）決定：「交財政、交通兩委員會審查」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366921C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8C309B"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6D31F4A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83A9A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國家通訊傳播委員會函為中央政府嚴重特殊傳染性肺炎防治及紓困振興特別預算決議，檢送決議（三）防疫服務平臺之使用、授權及後續處理機制書面報告案。</w:t>
            </w:r>
          </w:p>
        </w:tc>
        <w:tc>
          <w:tcPr>
            <w:tcW w:w="2871" w:type="dxa"/>
            <w:tcBorders>
              <w:top w:val="single" w:sz="4" w:space="0" w:color="auto"/>
              <w:left w:val="single" w:sz="4" w:space="0" w:color="auto"/>
              <w:bottom w:val="single" w:sz="4" w:space="0" w:color="auto"/>
              <w:right w:val="single" w:sz="4" w:space="0" w:color="auto"/>
            </w:tcBorders>
          </w:tcPr>
          <w:p w14:paraId="461100D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第10屆第1會期第11次院會（10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5599A9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A402B2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231620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8B925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國家通訊傳播委員會函為中央政府嚴重特殊傳染性肺炎防治及紓困振興特別預算追加預算決議，檢送如何刪除因疫情所蒐集個人資料書面報告案。</w:t>
            </w:r>
          </w:p>
        </w:tc>
        <w:tc>
          <w:tcPr>
            <w:tcW w:w="2871" w:type="dxa"/>
            <w:tcBorders>
              <w:top w:val="single" w:sz="4" w:space="0" w:color="auto"/>
              <w:left w:val="single" w:sz="4" w:space="0" w:color="auto"/>
              <w:bottom w:val="single" w:sz="4" w:space="0" w:color="auto"/>
              <w:right w:val="single" w:sz="4" w:space="0" w:color="auto"/>
            </w:tcBorders>
          </w:tcPr>
          <w:p w14:paraId="7479287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67120B1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1E6E57"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AC346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6877E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國家通訊傳播委員會函為中央政府嚴重特殊傳染性肺炎防治及紓困振興特別預算第</w:t>
            </w:r>
            <w:r w:rsidRPr="00B95A07">
              <w:rPr>
                <w:rFonts w:ascii="標楷體" w:eastAsia="標楷體" w:hAnsi="標楷體"/>
                <w:kern w:val="2"/>
                <w:szCs w:val="24"/>
              </w:rPr>
              <w:t>2次追加預算決議，檢送該會決議（一）疫情防治之手機追蹤平臺依據、實施情形暨監督管理機制書面報告案。</w:t>
            </w:r>
          </w:p>
        </w:tc>
        <w:tc>
          <w:tcPr>
            <w:tcW w:w="2871" w:type="dxa"/>
            <w:tcBorders>
              <w:top w:val="single" w:sz="4" w:space="0" w:color="auto"/>
              <w:left w:val="single" w:sz="4" w:space="0" w:color="auto"/>
              <w:bottom w:val="single" w:sz="4" w:space="0" w:color="auto"/>
              <w:right w:val="single" w:sz="4" w:space="0" w:color="auto"/>
            </w:tcBorders>
          </w:tcPr>
          <w:p w14:paraId="02CDACC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76ABE9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1C1000" w14:textId="77777777" w:rsidTr="00605B7E">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B7BD50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A823B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國家通訊傳播委員會函為中央政府嚴重特殊傳染性肺炎防治及紓困振興特別預算第4次追加預算決議，檢送行政院主管決議（三十九）簡訊實聯制之執行及後續規劃書面報告案。</w:t>
            </w:r>
          </w:p>
        </w:tc>
        <w:tc>
          <w:tcPr>
            <w:tcW w:w="2871" w:type="dxa"/>
            <w:tcBorders>
              <w:top w:val="single" w:sz="4" w:space="0" w:color="auto"/>
              <w:left w:val="single" w:sz="4" w:space="0" w:color="auto"/>
              <w:bottom w:val="single" w:sz="4" w:space="0" w:color="auto"/>
              <w:right w:val="single" w:sz="4" w:space="0" w:color="auto"/>
            </w:tcBorders>
          </w:tcPr>
          <w:p w14:paraId="056F09D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第10屆第5會期第11次院會（111.5.6）決定：「交財政、交通兩委員會審查」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0FD90ED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AFDE513" w14:textId="77777777" w:rsidTr="00605B7E">
        <w:trPr>
          <w:gridAfter w:val="1"/>
          <w:wAfter w:w="7" w:type="dxa"/>
          <w:trHeight w:val="989"/>
          <w:jc w:val="center"/>
        </w:trPr>
        <w:tc>
          <w:tcPr>
            <w:tcW w:w="846" w:type="dxa"/>
            <w:tcBorders>
              <w:top w:val="single" w:sz="4" w:space="0" w:color="auto"/>
              <w:left w:val="single" w:sz="4" w:space="0" w:color="auto"/>
              <w:bottom w:val="single" w:sz="12" w:space="0" w:color="auto"/>
              <w:right w:val="single" w:sz="4" w:space="0" w:color="auto"/>
            </w:tcBorders>
          </w:tcPr>
          <w:p w14:paraId="709E901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E099B4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color w:val="FF0000"/>
                <w:kern w:val="2"/>
                <w:szCs w:val="24"/>
              </w:rPr>
            </w:pPr>
            <w:r w:rsidRPr="00B95A07">
              <w:rPr>
                <w:rFonts w:ascii="標楷體" w:eastAsia="標楷體" w:hAnsi="標楷體" w:hint="eastAsia"/>
                <w:kern w:val="2"/>
                <w:szCs w:val="24"/>
              </w:rPr>
              <w:t>國家通訊傳播委員會函為中央政府嚴重特殊傳染性肺炎防治及紓困振興特別預算追加預算決議，檢送行政院主管決議（十八）執行情況定期公告之說明案。</w:t>
            </w:r>
          </w:p>
        </w:tc>
        <w:tc>
          <w:tcPr>
            <w:tcW w:w="2871" w:type="dxa"/>
            <w:tcBorders>
              <w:top w:val="single" w:sz="4" w:space="0" w:color="auto"/>
              <w:left w:val="single" w:sz="4" w:space="0" w:color="auto"/>
              <w:bottom w:val="single" w:sz="12" w:space="0" w:color="auto"/>
              <w:right w:val="single" w:sz="4" w:space="0" w:color="auto"/>
            </w:tcBorders>
          </w:tcPr>
          <w:p w14:paraId="2196577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w:t>
            </w:r>
            <w:r w:rsidRPr="00B95A07">
              <w:rPr>
                <w:rFonts w:ascii="標楷體" w:eastAsia="標楷體" w:hAnsi="標楷體"/>
                <w:kern w:val="2"/>
                <w:szCs w:val="24"/>
              </w:rPr>
              <w:t>1</w:t>
            </w:r>
            <w:r w:rsidRPr="00B95A07">
              <w:rPr>
                <w:rFonts w:ascii="標楷體" w:eastAsia="標楷體" w:hAnsi="標楷體" w:hint="eastAsia"/>
                <w:kern w:val="2"/>
                <w:szCs w:val="24"/>
              </w:rPr>
              <w:t>）決定：「交財政委員會審查」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1FA57EC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3B080F6" w14:textId="77777777" w:rsidTr="00605B7E">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6949CDA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F62C7D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教育部函為中央政府嚴重特殊傳染性肺炎防治及紓困振興特別預算決議，檢送對境外生採取對應措施及執行概況書面報告案。</w:t>
            </w:r>
          </w:p>
        </w:tc>
        <w:tc>
          <w:tcPr>
            <w:tcW w:w="2871" w:type="dxa"/>
            <w:tcBorders>
              <w:top w:val="single" w:sz="12" w:space="0" w:color="auto"/>
              <w:left w:val="single" w:sz="4" w:space="0" w:color="auto"/>
              <w:bottom w:val="single" w:sz="4" w:space="0" w:color="auto"/>
              <w:right w:val="single" w:sz="4" w:space="0" w:color="auto"/>
            </w:tcBorders>
          </w:tcPr>
          <w:p w14:paraId="1B999D4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6F34B27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9CCB835"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35503A8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E1383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教育部函為中央政府嚴重特殊傳染性肺炎防治及紓困振興特別預算決議，檢送協助大專校院因應嚴重特殊傳染性肺炎影響衝擊補助書面報告案。</w:t>
            </w:r>
          </w:p>
        </w:tc>
        <w:tc>
          <w:tcPr>
            <w:tcW w:w="2871" w:type="dxa"/>
            <w:tcBorders>
              <w:top w:val="single" w:sz="4" w:space="0" w:color="auto"/>
              <w:left w:val="single" w:sz="4" w:space="0" w:color="auto"/>
              <w:bottom w:val="single" w:sz="4" w:space="0" w:color="auto"/>
              <w:right w:val="single" w:sz="4" w:space="0" w:color="auto"/>
            </w:tcBorders>
          </w:tcPr>
          <w:p w14:paraId="183739A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19AC808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4DEE68D"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DC37CF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9D833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教育部函為中央政府嚴重特殊傳染性肺炎防治及紓困振興特別預算決議，檢送「備戰</w:t>
            </w:r>
            <w:r w:rsidRPr="00B95A07">
              <w:rPr>
                <w:rFonts w:ascii="標楷體" w:eastAsia="標楷體" w:hAnsi="標楷體"/>
                <w:kern w:val="2"/>
                <w:szCs w:val="24"/>
              </w:rPr>
              <w:t>2020東京奧運期間防疫措施」書面報告案。</w:t>
            </w:r>
          </w:p>
        </w:tc>
        <w:tc>
          <w:tcPr>
            <w:tcW w:w="2871" w:type="dxa"/>
            <w:tcBorders>
              <w:top w:val="single" w:sz="4" w:space="0" w:color="auto"/>
              <w:left w:val="single" w:sz="4" w:space="0" w:color="auto"/>
              <w:bottom w:val="single" w:sz="4" w:space="0" w:color="auto"/>
              <w:right w:val="single" w:sz="4" w:space="0" w:color="auto"/>
            </w:tcBorders>
          </w:tcPr>
          <w:p w14:paraId="78BFC85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第10屆第1會期第12次院會（10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.8）決定：「交財政、教育及文化兩委員會審查」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076B3DC"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84C3B0"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63F6AC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F0B0B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教育部函為中央政府嚴重特殊傳染性肺炎防治及紓困振興特別預算決議，檢送該部經費流用情形表案。</w:t>
            </w:r>
          </w:p>
        </w:tc>
        <w:tc>
          <w:tcPr>
            <w:tcW w:w="2871" w:type="dxa"/>
            <w:tcBorders>
              <w:top w:val="single" w:sz="4" w:space="0" w:color="auto"/>
              <w:left w:val="single" w:sz="4" w:space="0" w:color="auto"/>
              <w:bottom w:val="single" w:sz="4" w:space="0" w:color="auto"/>
              <w:right w:val="single" w:sz="4" w:space="0" w:color="auto"/>
            </w:tcBorders>
          </w:tcPr>
          <w:p w14:paraId="71B8DE9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第10屆第2會期第4次院會（109.</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C40D6F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57116C"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654029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F52C6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教育部函為中央政府嚴重特殊傳染性肺炎防治及紓困振興特別預算決議，檢送截至</w:t>
            </w:r>
            <w:r w:rsidRPr="00B95A07">
              <w:rPr>
                <w:rFonts w:ascii="標楷體" w:eastAsia="標楷體" w:hAnsi="標楷體"/>
                <w:kern w:val="2"/>
                <w:szCs w:val="24"/>
              </w:rPr>
              <w:t>109年9月經費流用情形表案。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5BB576C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18</w:t>
            </w:r>
            <w:r w:rsidRPr="00B95A07">
              <w:rPr>
                <w:rFonts w:ascii="標楷體" w:eastAsia="標楷體" w:hAnsi="標楷體" w:hint="eastAsia"/>
                <w:kern w:val="2"/>
                <w:szCs w:val="24"/>
              </w:rPr>
              <w:t>）決定：「交財政、教育及文化兩委員會審查」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5B9AD12A"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2A7B7FE" w14:textId="77777777" w:rsidTr="005134C1">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70443BE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BB7E7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教育部函為中央政府嚴重特殊傳染性肺炎防治及紓困振興特別預算決議，檢送截至110年9月經費流用情形表案。</w:t>
            </w:r>
          </w:p>
        </w:tc>
        <w:tc>
          <w:tcPr>
            <w:tcW w:w="2871" w:type="dxa"/>
            <w:tcBorders>
              <w:top w:val="single" w:sz="4" w:space="0" w:color="auto"/>
              <w:left w:val="single" w:sz="4" w:space="0" w:color="auto"/>
              <w:bottom w:val="single" w:sz="4" w:space="0" w:color="auto"/>
              <w:right w:val="single" w:sz="4" w:space="0" w:color="auto"/>
            </w:tcBorders>
          </w:tcPr>
          <w:p w14:paraId="27F04C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1</w:t>
            </w:r>
            <w:r w:rsidRPr="00B95A07">
              <w:rPr>
                <w:rFonts w:ascii="標楷體" w:eastAsia="標楷體" w:hAnsi="標楷體" w:hint="eastAsia"/>
                <w:kern w:val="2"/>
                <w:szCs w:val="24"/>
              </w:rPr>
              <w:t>7）決定：「交財政、教育及文化兩</w:t>
            </w:r>
            <w:r w:rsidRPr="00B95A07">
              <w:rPr>
                <w:rFonts w:ascii="標楷體" w:eastAsia="標楷體" w:hAnsi="標楷體" w:hint="eastAsia"/>
                <w:kern w:val="2"/>
                <w:szCs w:val="24"/>
              </w:rPr>
              <w:lastRenderedPageBreak/>
              <w:t>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48AA91C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EB1A29" w:rsidRPr="00B95A07" w14:paraId="0891510A"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074A5B4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A9D4C2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國家發展委員會函為中央政府嚴重特殊傳染性肺炎防治及紓困振興特別預算追加預算決議，檢送「嚴重特殊傳染性肺炎對於我國整體經濟發展、產業及勞工面向之衝擊評估」書面報告案。</w:t>
            </w:r>
          </w:p>
        </w:tc>
        <w:tc>
          <w:tcPr>
            <w:tcW w:w="2871" w:type="dxa"/>
            <w:tcBorders>
              <w:top w:val="single" w:sz="12" w:space="0" w:color="auto"/>
              <w:left w:val="single" w:sz="4" w:space="0" w:color="auto"/>
              <w:bottom w:val="single" w:sz="4" w:space="0" w:color="auto"/>
              <w:right w:val="single" w:sz="4" w:space="0" w:color="auto"/>
            </w:tcBorders>
          </w:tcPr>
          <w:p w14:paraId="0F7F29F8"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第10屆第2會期第4次院會（10</w:t>
            </w:r>
            <w:r w:rsidRPr="00B95A07">
              <w:rPr>
                <w:rFonts w:ascii="標楷體" w:eastAsia="標楷體" w:hAnsi="標楷體"/>
                <w:kern w:val="2"/>
                <w:szCs w:val="24"/>
              </w:rPr>
              <w:t>9</w:t>
            </w:r>
            <w:r w:rsidRPr="00B95A07">
              <w:rPr>
                <w:rFonts w:ascii="標楷體" w:eastAsia="標楷體" w:hAnsi="標楷體" w:hint="eastAsia"/>
                <w:kern w:val="2"/>
                <w:szCs w:val="24"/>
              </w:rPr>
              <w:t>.</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23</w:t>
            </w:r>
            <w:r w:rsidRPr="00B95A07">
              <w:rPr>
                <w:rFonts w:ascii="標楷體" w:eastAsia="標楷體" w:hAnsi="標楷體" w:hint="eastAsia"/>
                <w:kern w:val="2"/>
                <w:szCs w:val="24"/>
              </w:rPr>
              <w:t>）決定：「交財政、經濟兩委員會審查」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1C79D29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03296E"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49DEA01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B123D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w:t>
            </w:r>
            <w:r w:rsidRPr="00B95A07">
              <w:rPr>
                <w:rFonts w:ascii="標楷體" w:eastAsia="標楷體" w:hAnsi="標楷體"/>
                <w:kern w:val="2"/>
                <w:szCs w:val="24"/>
              </w:rPr>
              <w:t>2次追加預算決議，檢送「推動振興三倍券效益評估」書面報告案。</w:t>
            </w:r>
          </w:p>
        </w:tc>
        <w:tc>
          <w:tcPr>
            <w:tcW w:w="2871" w:type="dxa"/>
            <w:tcBorders>
              <w:top w:val="single" w:sz="4" w:space="0" w:color="auto"/>
              <w:left w:val="single" w:sz="4" w:space="0" w:color="auto"/>
              <w:bottom w:val="single" w:sz="4" w:space="0" w:color="auto"/>
              <w:right w:val="single" w:sz="4" w:space="0" w:color="auto"/>
            </w:tcBorders>
          </w:tcPr>
          <w:p w14:paraId="32B8EED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w:t>
            </w:r>
            <w:r w:rsidRPr="00B95A07">
              <w:rPr>
                <w:rFonts w:ascii="標楷體" w:eastAsia="標楷體" w:hAnsi="標楷體"/>
                <w:kern w:val="2"/>
                <w:szCs w:val="24"/>
              </w:rPr>
              <w:t>5</w:t>
            </w:r>
            <w:r w:rsidRPr="00B95A07">
              <w:rPr>
                <w:rFonts w:ascii="標楷體" w:eastAsia="標楷體" w:hAnsi="標楷體" w:hint="eastAsia"/>
                <w:kern w:val="2"/>
                <w:szCs w:val="24"/>
              </w:rPr>
              <w:t>.</w:t>
            </w:r>
            <w:r w:rsidRPr="00B95A07">
              <w:rPr>
                <w:rFonts w:ascii="標楷體" w:eastAsia="標楷體" w:hAnsi="標楷體"/>
                <w:kern w:val="2"/>
                <w:szCs w:val="24"/>
              </w:rPr>
              <w:t>7</w:t>
            </w:r>
            <w:r w:rsidRPr="00B95A07">
              <w:rPr>
                <w:rFonts w:ascii="標楷體" w:eastAsia="標楷體" w:hAnsi="標楷體" w:hint="eastAsia"/>
                <w:kern w:val="2"/>
                <w:szCs w:val="24"/>
              </w:rPr>
              <w:t>）決定：「交財政、經濟兩委員會審查」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BB03C3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2BE281"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B5928D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7FBB2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國家發展委員會函為中央政府嚴重特殊傳染性肺炎防治及紓困振興特別預算第3次追加預算決議，檢送鼓勵民眾安心宅家抗疫優惠配套專案報告案。</w:t>
            </w:r>
          </w:p>
        </w:tc>
        <w:tc>
          <w:tcPr>
            <w:tcW w:w="2871" w:type="dxa"/>
            <w:tcBorders>
              <w:top w:val="single" w:sz="4" w:space="0" w:color="auto"/>
              <w:left w:val="single" w:sz="4" w:space="0" w:color="auto"/>
              <w:bottom w:val="single" w:sz="4" w:space="0" w:color="auto"/>
              <w:right w:val="single" w:sz="4" w:space="0" w:color="auto"/>
            </w:tcBorders>
          </w:tcPr>
          <w:p w14:paraId="2D3CCB1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第10屆第4會期第4次院會（1</w:t>
            </w:r>
            <w:r w:rsidRPr="00B95A07">
              <w:rPr>
                <w:rFonts w:ascii="標楷體" w:eastAsia="標楷體" w:hAnsi="標楷體"/>
                <w:kern w:val="2"/>
                <w:szCs w:val="24"/>
              </w:rPr>
              <w:t>10</w:t>
            </w:r>
            <w:r w:rsidRPr="00B95A07">
              <w:rPr>
                <w:rFonts w:ascii="標楷體" w:eastAsia="標楷體" w:hAnsi="標楷體" w:hint="eastAsia"/>
                <w:kern w:val="2"/>
                <w:szCs w:val="24"/>
              </w:rPr>
              <w:t>.10.8）決定：「交財政及相關委員會處理」</w:t>
            </w:r>
          </w:p>
        </w:tc>
        <w:tc>
          <w:tcPr>
            <w:tcW w:w="1507" w:type="dxa"/>
            <w:tcBorders>
              <w:top w:val="single" w:sz="4" w:space="0" w:color="auto"/>
              <w:left w:val="single" w:sz="4" w:space="0" w:color="auto"/>
              <w:bottom w:val="single" w:sz="4" w:space="0" w:color="auto"/>
              <w:right w:val="single" w:sz="4" w:space="0" w:color="auto"/>
            </w:tcBorders>
            <w:vAlign w:val="center"/>
          </w:tcPr>
          <w:p w14:paraId="104758F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2B1910C0"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5A9D373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5C5D3132"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國家發展委員會函為中央政府嚴重特殊傳染性肺炎防治及紓困振興特別預算第4次追加預算決議，檢送「振興五倍券及部會加碼券之政策評估」專案報告案。</w:t>
            </w:r>
          </w:p>
        </w:tc>
        <w:tc>
          <w:tcPr>
            <w:tcW w:w="2871" w:type="dxa"/>
            <w:tcBorders>
              <w:top w:val="single" w:sz="4" w:space="0" w:color="auto"/>
              <w:left w:val="single" w:sz="4" w:space="0" w:color="auto"/>
              <w:bottom w:val="single" w:sz="4" w:space="0" w:color="000000"/>
              <w:right w:val="single" w:sz="4" w:space="0" w:color="auto"/>
            </w:tcBorders>
          </w:tcPr>
          <w:p w14:paraId="7E3525AD"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w:t>
            </w:r>
            <w:r w:rsidRPr="00B95A07">
              <w:rPr>
                <w:rFonts w:ascii="標楷體" w:eastAsia="標楷體" w:hAnsi="標楷體" w:hint="eastAsia"/>
                <w:kern w:val="2"/>
                <w:szCs w:val="24"/>
              </w:rPr>
              <w:t>1.10.14）決定：「交財政及相關委員會處理」</w:t>
            </w:r>
          </w:p>
        </w:tc>
        <w:tc>
          <w:tcPr>
            <w:tcW w:w="1507" w:type="dxa"/>
            <w:tcBorders>
              <w:top w:val="single" w:sz="4" w:space="0" w:color="auto"/>
              <w:left w:val="single" w:sz="4" w:space="0" w:color="auto"/>
              <w:bottom w:val="single" w:sz="4" w:space="0" w:color="000000"/>
              <w:right w:val="single" w:sz="4" w:space="0" w:color="auto"/>
            </w:tcBorders>
            <w:vAlign w:val="center"/>
          </w:tcPr>
          <w:p w14:paraId="57F347D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E742677"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7BA46E5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E28E7B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國家發展委員會函為中央政府嚴重特殊傳染性肺炎防治及紓困振興特別預算第4次追加預算決議，檢送地方創生券計畫詳細內容公告上網書面報告案。</w:t>
            </w:r>
          </w:p>
        </w:tc>
        <w:tc>
          <w:tcPr>
            <w:tcW w:w="2871" w:type="dxa"/>
            <w:tcBorders>
              <w:top w:val="single" w:sz="4" w:space="0" w:color="auto"/>
              <w:left w:val="single" w:sz="4" w:space="0" w:color="auto"/>
              <w:bottom w:val="single" w:sz="4" w:space="0" w:color="000000"/>
              <w:right w:val="single" w:sz="4" w:space="0" w:color="auto"/>
            </w:tcBorders>
          </w:tcPr>
          <w:p w14:paraId="324E9D5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CF7EE0D"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FF35267"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68F4707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48C02F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國家發展委員會函為中央政府嚴重特殊傳染性肺炎防治及紓困振興特別預算第4次追加預算決議，檢送「比較三倍券與現金經濟效益」書面報告案。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14:paraId="0A598C6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86B1AE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C9E699"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24AD0E6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E0DC50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國家發展委員會函為中央政府嚴重特殊傳染性肺炎防治及紓困振興特別預算第4次追加預算決議，檢送「檢討相關五倍券及加碼券政策之規劃」書面報告案。</w:t>
            </w:r>
          </w:p>
        </w:tc>
        <w:tc>
          <w:tcPr>
            <w:tcW w:w="2871" w:type="dxa"/>
            <w:tcBorders>
              <w:top w:val="single" w:sz="4" w:space="0" w:color="auto"/>
              <w:left w:val="single" w:sz="4" w:space="0" w:color="auto"/>
              <w:bottom w:val="single" w:sz="4" w:space="0" w:color="000000"/>
              <w:right w:val="single" w:sz="4" w:space="0" w:color="auto"/>
            </w:tcBorders>
          </w:tcPr>
          <w:p w14:paraId="114D82C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659FCEB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6970100"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62A0443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964BFA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國家發展委員會函為中央政府嚴重特殊傳染性肺炎防治及紓困振興特別預算第4次追加預算決議，檢送檢討創生券規劃書面報告案。</w:t>
            </w:r>
          </w:p>
        </w:tc>
        <w:tc>
          <w:tcPr>
            <w:tcW w:w="2871" w:type="dxa"/>
            <w:tcBorders>
              <w:top w:val="single" w:sz="4" w:space="0" w:color="auto"/>
              <w:left w:val="single" w:sz="4" w:space="0" w:color="auto"/>
              <w:bottom w:val="single" w:sz="4" w:space="0" w:color="000000"/>
              <w:right w:val="single" w:sz="4" w:space="0" w:color="auto"/>
            </w:tcBorders>
          </w:tcPr>
          <w:p w14:paraId="691937D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77F381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A5034E2"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5A0E3D8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6F5A7C4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國家發展委員會函為中央政府嚴重特殊傳染性肺炎防治及紓困振興特別預算第4次追加預算決議，檢送「2021年地方創生券發放後事實調查」書面報告案。</w:t>
            </w:r>
          </w:p>
        </w:tc>
        <w:tc>
          <w:tcPr>
            <w:tcW w:w="2871" w:type="dxa"/>
            <w:tcBorders>
              <w:top w:val="single" w:sz="4" w:space="0" w:color="auto"/>
              <w:left w:val="single" w:sz="4" w:space="0" w:color="auto"/>
              <w:bottom w:val="single" w:sz="4" w:space="0" w:color="000000"/>
              <w:right w:val="single" w:sz="4" w:space="0" w:color="auto"/>
            </w:tcBorders>
          </w:tcPr>
          <w:p w14:paraId="7D5E26F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00927F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9159D2F"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1209946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148DEB4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國家發展委員會函為中央政府嚴重特殊傳染性肺炎防治及紓困振興特別預算第4次追加預算決議，檢送「振興實體券與數位券發行後之總體經濟效益評估」書面報告案。</w:t>
            </w:r>
          </w:p>
        </w:tc>
        <w:tc>
          <w:tcPr>
            <w:tcW w:w="2871" w:type="dxa"/>
            <w:tcBorders>
              <w:top w:val="single" w:sz="4" w:space="0" w:color="auto"/>
              <w:left w:val="single" w:sz="4" w:space="0" w:color="auto"/>
              <w:bottom w:val="single" w:sz="4" w:space="0" w:color="000000"/>
              <w:right w:val="single" w:sz="4" w:space="0" w:color="auto"/>
            </w:tcBorders>
          </w:tcPr>
          <w:p w14:paraId="2388232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38B8EAD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CC9E555"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3D3BE99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E7C432E"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國家發展委員會函為中央政府嚴重特殊傳染性肺炎防治及紓困振興特別預算第4次追加預算決議，檢送「比較九大券與現金經濟效益」書面報告案。</w:t>
            </w:r>
          </w:p>
        </w:tc>
        <w:tc>
          <w:tcPr>
            <w:tcW w:w="2871" w:type="dxa"/>
            <w:tcBorders>
              <w:top w:val="single" w:sz="4" w:space="0" w:color="auto"/>
              <w:left w:val="single" w:sz="4" w:space="0" w:color="auto"/>
              <w:bottom w:val="single" w:sz="4" w:space="0" w:color="000000"/>
              <w:right w:val="single" w:sz="4" w:space="0" w:color="auto"/>
            </w:tcBorders>
          </w:tcPr>
          <w:p w14:paraId="402A1DF1"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2ACB856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661C5C"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486FE61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07D9DB2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國家發展委員會函為中央政府嚴重特殊傳染性肺炎防治及紓困振興特別預算第4次追加預算決議，檢送「振興五倍券及加碼券之效益評估」書面報告案。</w:t>
            </w:r>
          </w:p>
        </w:tc>
        <w:tc>
          <w:tcPr>
            <w:tcW w:w="2871" w:type="dxa"/>
            <w:tcBorders>
              <w:top w:val="single" w:sz="4" w:space="0" w:color="auto"/>
              <w:left w:val="single" w:sz="4" w:space="0" w:color="auto"/>
              <w:bottom w:val="single" w:sz="4" w:space="0" w:color="000000"/>
              <w:right w:val="single" w:sz="4" w:space="0" w:color="auto"/>
            </w:tcBorders>
          </w:tcPr>
          <w:p w14:paraId="4BB8BA1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8C6C451"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CEA960F" w14:textId="77777777" w:rsidTr="00605B7E">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045AD37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2B6F07C5"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國家發展委員會函為中央政府嚴重特殊傳染性肺炎防治及紓困振興特別預算第4次追加預算決議，檢送「振興五倍券與加碼券之經濟效益分析及檢討改善」書面報告案。</w:t>
            </w:r>
          </w:p>
        </w:tc>
        <w:tc>
          <w:tcPr>
            <w:tcW w:w="2871" w:type="dxa"/>
            <w:tcBorders>
              <w:top w:val="single" w:sz="4" w:space="0" w:color="auto"/>
              <w:left w:val="single" w:sz="4" w:space="0" w:color="auto"/>
              <w:bottom w:val="single" w:sz="4" w:space="0" w:color="000000"/>
              <w:right w:val="single" w:sz="4" w:space="0" w:color="auto"/>
            </w:tcBorders>
          </w:tcPr>
          <w:p w14:paraId="5D89E95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0ECA2B4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53AB6C" w14:textId="77777777" w:rsidTr="00605B7E">
        <w:trPr>
          <w:gridAfter w:val="1"/>
          <w:wAfter w:w="7" w:type="dxa"/>
          <w:trHeight w:val="989"/>
          <w:jc w:val="center"/>
        </w:trPr>
        <w:tc>
          <w:tcPr>
            <w:tcW w:w="846" w:type="dxa"/>
            <w:tcBorders>
              <w:top w:val="single" w:sz="4" w:space="0" w:color="000000"/>
              <w:left w:val="single" w:sz="4" w:space="0" w:color="auto"/>
              <w:bottom w:val="single" w:sz="12" w:space="0" w:color="000000"/>
              <w:right w:val="single" w:sz="4" w:space="0" w:color="auto"/>
            </w:tcBorders>
          </w:tcPr>
          <w:p w14:paraId="4E8BACC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14:paraId="5F70BE9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國家發展委員會函為中央政府嚴重特殊傳染性肺炎防治及紓困振興特別預算第4次追加預算決議，檢送振興五倍券及加碼券經費使用書面報告案。</w:t>
            </w:r>
          </w:p>
        </w:tc>
        <w:tc>
          <w:tcPr>
            <w:tcW w:w="2871" w:type="dxa"/>
            <w:tcBorders>
              <w:top w:val="single" w:sz="4" w:space="0" w:color="000000"/>
              <w:left w:val="single" w:sz="4" w:space="0" w:color="auto"/>
              <w:bottom w:val="single" w:sz="12" w:space="0" w:color="000000"/>
              <w:right w:val="single" w:sz="4" w:space="0" w:color="auto"/>
            </w:tcBorders>
          </w:tcPr>
          <w:p w14:paraId="034C6E5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w:t>
            </w:r>
            <w:r w:rsidRPr="00B95A07">
              <w:rPr>
                <w:rFonts w:ascii="標楷體" w:eastAsia="標楷體" w:hAnsi="標楷體" w:hint="eastAsia"/>
                <w:kern w:val="2"/>
                <w:szCs w:val="24"/>
              </w:rPr>
              <w:t>1.1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）決定：「交財政及相關委員會審查」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14:paraId="2631BE06"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115DC06" w14:textId="77777777" w:rsidTr="00605B7E">
        <w:trPr>
          <w:gridAfter w:val="1"/>
          <w:wAfter w:w="7" w:type="dxa"/>
          <w:trHeight w:val="989"/>
          <w:jc w:val="center"/>
        </w:trPr>
        <w:tc>
          <w:tcPr>
            <w:tcW w:w="846" w:type="dxa"/>
            <w:tcBorders>
              <w:top w:val="single" w:sz="12" w:space="0" w:color="000000"/>
              <w:left w:val="single" w:sz="4" w:space="0" w:color="auto"/>
              <w:bottom w:val="single" w:sz="12" w:space="0" w:color="auto"/>
              <w:right w:val="single" w:sz="4" w:space="0" w:color="auto"/>
            </w:tcBorders>
          </w:tcPr>
          <w:p w14:paraId="6DE4246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14:paraId="645558E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客家委員會函為中央政府嚴重特殊傳染性肺炎防治及紓困振興特別預算決議，檢送截至110年1月經費流用情形表案。</w:t>
            </w:r>
          </w:p>
        </w:tc>
        <w:tc>
          <w:tcPr>
            <w:tcW w:w="2871" w:type="dxa"/>
            <w:tcBorders>
              <w:top w:val="single" w:sz="12" w:space="0" w:color="000000"/>
              <w:left w:val="single" w:sz="4" w:space="0" w:color="auto"/>
              <w:bottom w:val="single" w:sz="12" w:space="0" w:color="auto"/>
              <w:right w:val="single" w:sz="4" w:space="0" w:color="auto"/>
            </w:tcBorders>
          </w:tcPr>
          <w:p w14:paraId="3940C63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第10屆第3會期第11次院會（110.5.7）決定：「交財政、內政兩委員會審查」</w:t>
            </w:r>
          </w:p>
        </w:tc>
        <w:tc>
          <w:tcPr>
            <w:tcW w:w="1507" w:type="dxa"/>
            <w:tcBorders>
              <w:top w:val="single" w:sz="12" w:space="0" w:color="000000"/>
              <w:left w:val="single" w:sz="4" w:space="0" w:color="auto"/>
              <w:bottom w:val="single" w:sz="12" w:space="0" w:color="auto"/>
              <w:right w:val="single" w:sz="4" w:space="0" w:color="auto"/>
            </w:tcBorders>
            <w:vAlign w:val="center"/>
          </w:tcPr>
          <w:p w14:paraId="050161E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E5FB795" w14:textId="77777777" w:rsidTr="000D2E36">
        <w:trPr>
          <w:gridAfter w:val="1"/>
          <w:wAfter w:w="7" w:type="dxa"/>
          <w:trHeight w:val="989"/>
          <w:jc w:val="center"/>
        </w:trPr>
        <w:tc>
          <w:tcPr>
            <w:tcW w:w="846" w:type="dxa"/>
            <w:tcBorders>
              <w:top w:val="single" w:sz="12" w:space="0" w:color="auto"/>
              <w:left w:val="single" w:sz="4" w:space="0" w:color="auto"/>
              <w:bottom w:val="single" w:sz="12" w:space="0" w:color="auto"/>
              <w:right w:val="single" w:sz="4" w:space="0" w:color="auto"/>
            </w:tcBorders>
          </w:tcPr>
          <w:p w14:paraId="5EA6846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353171E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國軍退除役官兵輔導委員會函為中央政府嚴重特殊傳染性肺炎防治及紓困振興特別預算第3次追加預算決議，檢送歲出第1款決議（二○六）預算因肺炎疫情影響撙節情形檢討表案。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14:paraId="44EB7DA4"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spacing w:val="-4"/>
                <w:kern w:val="2"/>
                <w:szCs w:val="24"/>
              </w:rPr>
            </w:pPr>
            <w:r w:rsidRPr="00B95A07">
              <w:rPr>
                <w:rFonts w:ascii="標楷體" w:eastAsia="標楷體" w:hAnsi="標楷體" w:hint="eastAsia"/>
                <w:spacing w:val="-4"/>
                <w:kern w:val="2"/>
                <w:szCs w:val="24"/>
              </w:rPr>
              <w:t>第10屆第4會期第11次院會（1</w:t>
            </w:r>
            <w:r w:rsidRPr="00B95A07">
              <w:rPr>
                <w:rFonts w:ascii="標楷體" w:eastAsia="標楷體" w:hAnsi="標楷體"/>
                <w:spacing w:val="-4"/>
                <w:kern w:val="2"/>
                <w:szCs w:val="24"/>
              </w:rPr>
              <w:t>10</w:t>
            </w:r>
            <w:r w:rsidRPr="00B95A07">
              <w:rPr>
                <w:rFonts w:ascii="標楷體" w:eastAsia="標楷體" w:hAnsi="標楷體" w:hint="eastAsia"/>
                <w:spacing w:val="-4"/>
                <w:kern w:val="2"/>
                <w:szCs w:val="24"/>
              </w:rPr>
              <w:t>.11.26）決定：「交財政</w:t>
            </w:r>
            <w:r w:rsidRPr="00B95A07">
              <w:rPr>
                <w:rFonts w:ascii="標楷體" w:eastAsia="標楷體" w:hAnsi="標楷體" w:hint="eastAsia"/>
                <w:kern w:val="2"/>
                <w:szCs w:val="24"/>
              </w:rPr>
              <w:t>及相關</w:t>
            </w:r>
            <w:r w:rsidRPr="00B95A07">
              <w:rPr>
                <w:rFonts w:ascii="標楷體" w:eastAsia="標楷體" w:hAnsi="標楷體" w:hint="eastAsia"/>
                <w:spacing w:val="-4"/>
                <w:kern w:val="2"/>
                <w:szCs w:val="24"/>
              </w:rPr>
              <w:t>委員會審查」</w:t>
            </w:r>
          </w:p>
        </w:tc>
        <w:tc>
          <w:tcPr>
            <w:tcW w:w="1507" w:type="dxa"/>
            <w:tcBorders>
              <w:top w:val="single" w:sz="12" w:space="0" w:color="auto"/>
              <w:left w:val="single" w:sz="4" w:space="0" w:color="auto"/>
              <w:bottom w:val="single" w:sz="12" w:space="0" w:color="auto"/>
              <w:right w:val="single" w:sz="4" w:space="0" w:color="auto"/>
            </w:tcBorders>
            <w:vAlign w:val="center"/>
          </w:tcPr>
          <w:p w14:paraId="193FC470"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spacing w:val="-40"/>
                <w:kern w:val="2"/>
                <w:szCs w:val="24"/>
              </w:rPr>
            </w:pPr>
            <w:r w:rsidRPr="00B95A07">
              <w:rPr>
                <w:rFonts w:ascii="標楷體" w:eastAsia="標楷體" w:hAnsi="標楷體" w:hint="eastAsia"/>
                <w:kern w:val="2"/>
                <w:szCs w:val="24"/>
              </w:rPr>
              <w:t>尚未審查</w:t>
            </w:r>
          </w:p>
        </w:tc>
      </w:tr>
      <w:tr w:rsidR="00EB1A29" w:rsidRPr="00B95A07" w14:paraId="4768C3A0"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7912A02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A95D306"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行政院公共工程委員會函為中央政府嚴重特殊傳染性肺炎防治及紓困振興特別預算第3次追加預算決議，檢送行政院主管決議（九十三）重大工程延宕因應策略書面報告案。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40CD807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26C75085"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E5D5AD"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1925ABA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36763D"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行政院公共工程委員會函為中央政府嚴重特殊傳染性肺炎防治及紓困振興特別預算第3次追加預算決議，檢送行政院主管決議（一○五）外籍移工於疫情期間工作與生活管理書面報告案。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62DCD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BE5C3F"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69CA790" w14:textId="77777777" w:rsidTr="000D2E36">
        <w:trPr>
          <w:gridAfter w:val="1"/>
          <w:wAfter w:w="7" w:type="dxa"/>
          <w:trHeight w:val="989"/>
          <w:jc w:val="center"/>
        </w:trPr>
        <w:tc>
          <w:tcPr>
            <w:tcW w:w="846" w:type="dxa"/>
            <w:tcBorders>
              <w:top w:val="single" w:sz="4" w:space="0" w:color="auto"/>
              <w:left w:val="single" w:sz="4" w:space="0" w:color="auto"/>
              <w:bottom w:val="single" w:sz="12" w:space="0" w:color="auto"/>
              <w:right w:val="single" w:sz="4" w:space="0" w:color="auto"/>
            </w:tcBorders>
          </w:tcPr>
          <w:p w14:paraId="4542F9D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5772BC2" w14:textId="77777777" w:rsidR="00EB1A29" w:rsidRPr="00B95A07" w:rsidRDefault="00EB1A29" w:rsidP="005134C1">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行政院公共工程委員會函為中央政府嚴重特殊傳染性肺炎防治及紓困振興特別預算第3次追加預算決議，檢送行政院主管決議（一八三）營建工程工期因受疫情影響之補貼書面報告案。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7D680F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第10屆第4會期第11次院會（1</w:t>
            </w:r>
            <w:r w:rsidRPr="00B95A07">
              <w:rPr>
                <w:rFonts w:ascii="標楷體" w:eastAsia="標楷體" w:hAnsi="標楷體"/>
                <w:kern w:val="2"/>
                <w:szCs w:val="24"/>
              </w:rPr>
              <w:t>10</w:t>
            </w:r>
            <w:r w:rsidRPr="00B95A07">
              <w:rPr>
                <w:rFonts w:ascii="標楷體" w:eastAsia="標楷體" w:hAnsi="標楷體" w:hint="eastAsia"/>
                <w:kern w:val="2"/>
                <w:szCs w:val="24"/>
              </w:rPr>
              <w:t>.11.26）決定：「交財政及相關委員會審查」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3B1EC5F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E9462A9" w14:textId="77777777" w:rsidTr="000D2E36">
        <w:trPr>
          <w:gridAfter w:val="1"/>
          <w:wAfter w:w="7" w:type="dxa"/>
          <w:trHeight w:val="989"/>
          <w:jc w:val="center"/>
        </w:trPr>
        <w:tc>
          <w:tcPr>
            <w:tcW w:w="846" w:type="dxa"/>
            <w:tcBorders>
              <w:top w:val="single" w:sz="12" w:space="0" w:color="auto"/>
              <w:left w:val="single" w:sz="4" w:space="0" w:color="auto"/>
              <w:bottom w:val="single" w:sz="4" w:space="0" w:color="auto"/>
              <w:right w:val="single" w:sz="4" w:space="0" w:color="auto"/>
            </w:tcBorders>
          </w:tcPr>
          <w:p w14:paraId="62D5003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07589E8" w14:textId="092B9097" w:rsidR="00EB1A29" w:rsidRPr="00B95A07" w:rsidRDefault="00EB1A29" w:rsidP="004565AA">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w:t>
            </w:r>
            <w:r w:rsidR="004565AA">
              <w:rPr>
                <w:rFonts w:ascii="標楷體" w:eastAsia="標楷體" w:hAnsi="標楷體" w:hint="eastAsia"/>
                <w:kern w:val="2"/>
                <w:szCs w:val="24"/>
              </w:rPr>
              <w:t>決議，截至</w:t>
            </w:r>
            <w:r w:rsidRPr="00B95A07">
              <w:rPr>
                <w:rFonts w:ascii="標楷體" w:eastAsia="標楷體" w:hAnsi="標楷體" w:hint="eastAsia"/>
                <w:kern w:val="2"/>
                <w:szCs w:val="24"/>
              </w:rPr>
              <w:t>109年9月</w:t>
            </w:r>
            <w:r w:rsidRPr="00B95A07">
              <w:rPr>
                <w:rFonts w:ascii="標楷體" w:eastAsia="標楷體" w:hAnsi="標楷體"/>
                <w:kern w:val="2"/>
                <w:szCs w:val="24"/>
              </w:rPr>
              <w:t>經費流用情形表</w:t>
            </w:r>
            <w:r w:rsidRPr="00B95A07">
              <w:rPr>
                <w:rFonts w:ascii="標楷體" w:eastAsia="標楷體" w:hAnsi="標楷體" w:hint="eastAsia"/>
                <w:kern w:val="2"/>
                <w:szCs w:val="24"/>
              </w:rPr>
              <w:t>案。</w:t>
            </w:r>
          </w:p>
        </w:tc>
        <w:tc>
          <w:tcPr>
            <w:tcW w:w="2871" w:type="dxa"/>
            <w:tcBorders>
              <w:top w:val="single" w:sz="12" w:space="0" w:color="auto"/>
              <w:left w:val="single" w:sz="4" w:space="0" w:color="auto"/>
              <w:bottom w:val="single" w:sz="4" w:space="0" w:color="auto"/>
              <w:right w:val="single" w:sz="4" w:space="0" w:color="auto"/>
            </w:tcBorders>
          </w:tcPr>
          <w:p w14:paraId="583859E7" w14:textId="2AC890A3"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第10屆第2會期第8次院會（109.12.18）決定：「交財政</w:t>
            </w:r>
            <w:r w:rsidR="004565AA">
              <w:rPr>
                <w:rFonts w:ascii="標楷體" w:eastAsia="標楷體" w:hAnsi="標楷體" w:hint="eastAsia"/>
                <w:kern w:val="2"/>
                <w:szCs w:val="24"/>
              </w:rPr>
              <w:t>、內政兩</w:t>
            </w:r>
            <w:r w:rsidRPr="00B95A07">
              <w:rPr>
                <w:rFonts w:ascii="標楷體" w:eastAsia="標楷體" w:hAnsi="標楷體" w:hint="eastAsia"/>
                <w:kern w:val="2"/>
                <w:szCs w:val="24"/>
              </w:rPr>
              <w:t>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04DDDDD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31EE168"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2D99DA4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5739A0"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海洋委員會函為中央政府嚴重特殊傳染性肺炎防治及紓困振興特別預算追加預算決議，檢送110年7月份歲入歲出執行狀況月報表案。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14:paraId="674A5736"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2A009347"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68A228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02BA521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EBE0D9"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海洋委員會函為中央政府嚴重特殊傳染性肺炎防治及紓困振興特別預算追加預算決議，檢送110年8月份歲入歲出執行狀況月報表案。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14:paraId="341DA9EB"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710C78F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551E462" w14:textId="77777777" w:rsidTr="000D2E36">
        <w:trPr>
          <w:gridAfter w:val="1"/>
          <w:wAfter w:w="7" w:type="dxa"/>
          <w:trHeight w:val="989"/>
          <w:jc w:val="center"/>
        </w:trPr>
        <w:tc>
          <w:tcPr>
            <w:tcW w:w="846" w:type="dxa"/>
            <w:tcBorders>
              <w:top w:val="single" w:sz="4" w:space="0" w:color="auto"/>
              <w:left w:val="single" w:sz="4" w:space="0" w:color="auto"/>
              <w:bottom w:val="single" w:sz="4" w:space="0" w:color="auto"/>
              <w:right w:val="single" w:sz="4" w:space="0" w:color="auto"/>
            </w:tcBorders>
          </w:tcPr>
          <w:p w14:paraId="7C5A894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523207"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海洋委員會函為中央政府嚴重特殊傳染性肺炎防治及紓困振興特別預算追加預算決議，檢送110年9月份歲入歲出執行狀況月報表案。</w:t>
            </w:r>
          </w:p>
        </w:tc>
        <w:tc>
          <w:tcPr>
            <w:tcW w:w="2871" w:type="dxa"/>
            <w:tcBorders>
              <w:top w:val="single" w:sz="4" w:space="0" w:color="auto"/>
              <w:left w:val="single" w:sz="4" w:space="0" w:color="auto"/>
              <w:bottom w:val="single" w:sz="4" w:space="0" w:color="auto"/>
              <w:right w:val="single" w:sz="4" w:space="0" w:color="auto"/>
            </w:tcBorders>
          </w:tcPr>
          <w:p w14:paraId="4456157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582C87B"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737B237" w14:textId="77777777" w:rsidTr="000D2E36">
        <w:trPr>
          <w:gridAfter w:val="1"/>
          <w:wAfter w:w="7" w:type="dxa"/>
          <w:trHeight w:val="989"/>
          <w:jc w:val="center"/>
        </w:trPr>
        <w:tc>
          <w:tcPr>
            <w:tcW w:w="846" w:type="dxa"/>
            <w:tcBorders>
              <w:top w:val="single" w:sz="4" w:space="0" w:color="auto"/>
              <w:left w:val="single" w:sz="4" w:space="0" w:color="auto"/>
              <w:bottom w:val="single" w:sz="4" w:space="0" w:color="000000"/>
              <w:right w:val="single" w:sz="4" w:space="0" w:color="auto"/>
            </w:tcBorders>
          </w:tcPr>
          <w:p w14:paraId="61B36B4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000000"/>
              <w:right w:val="single" w:sz="4" w:space="0" w:color="auto"/>
            </w:tcBorders>
          </w:tcPr>
          <w:p w14:paraId="3B2851C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海洋委員會函為中央政府嚴重特殊傳染性肺炎防治及紓困振興特別預算追加預算決議，檢送110年10月份歲入歲出執行狀況月報表案。</w:t>
            </w:r>
          </w:p>
        </w:tc>
        <w:tc>
          <w:tcPr>
            <w:tcW w:w="2871" w:type="dxa"/>
            <w:tcBorders>
              <w:top w:val="single" w:sz="4" w:space="0" w:color="auto"/>
              <w:left w:val="single" w:sz="4" w:space="0" w:color="auto"/>
              <w:bottom w:val="single" w:sz="4" w:space="0" w:color="000000"/>
              <w:right w:val="single" w:sz="4" w:space="0" w:color="auto"/>
            </w:tcBorders>
          </w:tcPr>
          <w:p w14:paraId="14D6DD5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.12.17）決定：「交財政委員會審查」</w:t>
            </w:r>
          </w:p>
        </w:tc>
        <w:tc>
          <w:tcPr>
            <w:tcW w:w="1507" w:type="dxa"/>
            <w:tcBorders>
              <w:top w:val="single" w:sz="4" w:space="0" w:color="auto"/>
              <w:left w:val="single" w:sz="4" w:space="0" w:color="auto"/>
              <w:bottom w:val="single" w:sz="4" w:space="0" w:color="000000"/>
              <w:right w:val="single" w:sz="4" w:space="0" w:color="auto"/>
            </w:tcBorders>
            <w:vAlign w:val="center"/>
          </w:tcPr>
          <w:p w14:paraId="11F74C5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DA2B0AD" w14:textId="77777777" w:rsidTr="000D2E36">
        <w:trPr>
          <w:gridAfter w:val="1"/>
          <w:wAfter w:w="7" w:type="dxa"/>
          <w:trHeight w:val="989"/>
          <w:jc w:val="center"/>
        </w:trPr>
        <w:tc>
          <w:tcPr>
            <w:tcW w:w="846" w:type="dxa"/>
            <w:tcBorders>
              <w:top w:val="single" w:sz="4" w:space="0" w:color="000000"/>
              <w:left w:val="single" w:sz="4" w:space="0" w:color="auto"/>
              <w:bottom w:val="single" w:sz="12" w:space="0" w:color="000000"/>
              <w:right w:val="single" w:sz="4" w:space="0" w:color="auto"/>
            </w:tcBorders>
          </w:tcPr>
          <w:p w14:paraId="0EBCCC50"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000000"/>
              <w:left w:val="single" w:sz="4" w:space="0" w:color="auto"/>
              <w:bottom w:val="single" w:sz="12" w:space="0" w:color="000000"/>
              <w:right w:val="single" w:sz="4" w:space="0" w:color="auto"/>
            </w:tcBorders>
          </w:tcPr>
          <w:p w14:paraId="7BF6D4DA"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海洋委員會函送中央政府嚴重特殊傳染性肺炎防治及紓困振興特別預算111年1月份歲入歲出執行狀況月報表案。</w:t>
            </w:r>
          </w:p>
        </w:tc>
        <w:tc>
          <w:tcPr>
            <w:tcW w:w="2871" w:type="dxa"/>
            <w:tcBorders>
              <w:top w:val="single" w:sz="4" w:space="0" w:color="000000"/>
              <w:left w:val="single" w:sz="4" w:space="0" w:color="auto"/>
              <w:bottom w:val="single" w:sz="12" w:space="0" w:color="000000"/>
              <w:right w:val="single" w:sz="4" w:space="0" w:color="auto"/>
            </w:tcBorders>
          </w:tcPr>
          <w:p w14:paraId="4750AD73"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第10屆第6會期第2次院會（1</w:t>
            </w:r>
            <w:r w:rsidRPr="00B95A07">
              <w:rPr>
                <w:rFonts w:ascii="標楷體" w:eastAsia="標楷體" w:hAnsi="標楷體"/>
                <w:kern w:val="2"/>
                <w:szCs w:val="24"/>
              </w:rPr>
              <w:t>1</w:t>
            </w:r>
            <w:r w:rsidRPr="00B95A07">
              <w:rPr>
                <w:rFonts w:ascii="標楷體" w:eastAsia="標楷體" w:hAnsi="標楷體" w:hint="eastAsia"/>
                <w:kern w:val="2"/>
                <w:szCs w:val="24"/>
              </w:rPr>
              <w:t>1.9.30）決定：「交財政委員會審查」</w:t>
            </w:r>
          </w:p>
        </w:tc>
        <w:tc>
          <w:tcPr>
            <w:tcW w:w="1507" w:type="dxa"/>
            <w:tcBorders>
              <w:top w:val="single" w:sz="4" w:space="0" w:color="000000"/>
              <w:left w:val="single" w:sz="4" w:space="0" w:color="auto"/>
              <w:bottom w:val="single" w:sz="12" w:space="0" w:color="000000"/>
              <w:right w:val="single" w:sz="4" w:space="0" w:color="auto"/>
            </w:tcBorders>
            <w:vAlign w:val="center"/>
          </w:tcPr>
          <w:p w14:paraId="7D1AF129"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2C3AEC" w14:textId="77777777" w:rsidTr="000D2E36">
        <w:trPr>
          <w:gridAfter w:val="1"/>
          <w:wAfter w:w="7" w:type="dxa"/>
          <w:trHeight w:val="989"/>
          <w:jc w:val="center"/>
        </w:trPr>
        <w:tc>
          <w:tcPr>
            <w:tcW w:w="846" w:type="dxa"/>
            <w:tcBorders>
              <w:top w:val="single" w:sz="12" w:space="0" w:color="000000"/>
              <w:left w:val="single" w:sz="4" w:space="0" w:color="auto"/>
              <w:bottom w:val="single" w:sz="12" w:space="0" w:color="auto"/>
              <w:right w:val="single" w:sz="4" w:space="0" w:color="auto"/>
            </w:tcBorders>
          </w:tcPr>
          <w:p w14:paraId="35609D3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auto"/>
              <w:bottom w:val="single" w:sz="12" w:space="0" w:color="auto"/>
              <w:right w:val="single" w:sz="4" w:space="0" w:color="auto"/>
            </w:tcBorders>
          </w:tcPr>
          <w:p w14:paraId="567BFB94"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僑務委員會函為中央政府嚴重特殊傳染性肺炎防治及紓困振興特別預算第3次追加預算決議，檢送歲出第1款決議（二○六）預算因肺炎疫情影響撙節情形檢討表案。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000000"/>
              <w:left w:val="single" w:sz="4" w:space="0" w:color="auto"/>
              <w:bottom w:val="single" w:sz="12" w:space="0" w:color="auto"/>
              <w:right w:val="single" w:sz="4" w:space="0" w:color="auto"/>
            </w:tcBorders>
            <w:shd w:val="clear" w:color="auto" w:fill="auto"/>
          </w:tcPr>
          <w:p w14:paraId="6D6F4A3C"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w:t>
            </w:r>
            <w:r w:rsidRPr="00B95A07">
              <w:rPr>
                <w:rFonts w:ascii="標楷體" w:eastAsia="標楷體" w:hAnsi="標楷體"/>
                <w:kern w:val="2"/>
                <w:szCs w:val="24"/>
              </w:rPr>
              <w:t>10</w:t>
            </w:r>
            <w:r w:rsidRPr="00B95A07">
              <w:rPr>
                <w:rFonts w:ascii="標楷體" w:eastAsia="標楷體" w:hAnsi="標楷體" w:hint="eastAsia"/>
                <w:kern w:val="2"/>
                <w:szCs w:val="24"/>
              </w:rPr>
              <w:t>.12.17）決定：「交財政及相關委員會處理」</w:t>
            </w:r>
          </w:p>
        </w:tc>
        <w:tc>
          <w:tcPr>
            <w:tcW w:w="1507" w:type="dxa"/>
            <w:tcBorders>
              <w:top w:val="single" w:sz="12" w:space="0" w:color="000000"/>
              <w:left w:val="single" w:sz="4" w:space="0" w:color="auto"/>
              <w:bottom w:val="single" w:sz="12" w:space="0" w:color="auto"/>
              <w:right w:val="single" w:sz="4" w:space="0" w:color="auto"/>
            </w:tcBorders>
            <w:shd w:val="clear" w:color="auto" w:fill="auto"/>
            <w:vAlign w:val="center"/>
          </w:tcPr>
          <w:p w14:paraId="617FC81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尚未處理</w:t>
            </w:r>
          </w:p>
        </w:tc>
      </w:tr>
      <w:tr w:rsidR="00EB1A29" w:rsidRPr="00B95A07" w14:paraId="227F8FAE" w14:textId="77777777" w:rsidTr="000D2E36">
        <w:trPr>
          <w:gridAfter w:val="1"/>
          <w:wAfter w:w="7" w:type="dxa"/>
          <w:trHeight w:val="1245"/>
          <w:jc w:val="center"/>
        </w:trPr>
        <w:tc>
          <w:tcPr>
            <w:tcW w:w="846" w:type="dxa"/>
            <w:tcBorders>
              <w:top w:val="single" w:sz="12" w:space="0" w:color="auto"/>
              <w:left w:val="single" w:sz="4" w:space="0" w:color="auto"/>
              <w:bottom w:val="single" w:sz="12" w:space="0" w:color="auto"/>
              <w:right w:val="single" w:sz="4" w:space="0" w:color="auto"/>
            </w:tcBorders>
          </w:tcPr>
          <w:p w14:paraId="01DD79C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894AB12"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不當黨產委員會函為中央政府嚴重特殊傳染性肺炎防治及紓困振興特別預算第3次追加預算決議，檢送歲出第1款決議（二○六）預算因肺炎疫情影響撙節情形檢討表案。</w:t>
            </w:r>
          </w:p>
        </w:tc>
        <w:tc>
          <w:tcPr>
            <w:tcW w:w="2871" w:type="dxa"/>
            <w:tcBorders>
              <w:top w:val="single" w:sz="12" w:space="0" w:color="auto"/>
              <w:left w:val="single" w:sz="4" w:space="0" w:color="auto"/>
              <w:bottom w:val="single" w:sz="12" w:space="0" w:color="auto"/>
              <w:right w:val="single" w:sz="4" w:space="0" w:color="auto"/>
            </w:tcBorders>
          </w:tcPr>
          <w:p w14:paraId="6A738FBB"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第10屆第4會期第14次院會（110.12.17）決定：「交財政及相關委員會審查」</w:t>
            </w:r>
          </w:p>
        </w:tc>
        <w:tc>
          <w:tcPr>
            <w:tcW w:w="1507" w:type="dxa"/>
            <w:tcBorders>
              <w:top w:val="single" w:sz="12" w:space="0" w:color="auto"/>
              <w:left w:val="single" w:sz="4" w:space="0" w:color="auto"/>
              <w:bottom w:val="single" w:sz="12" w:space="0" w:color="auto"/>
              <w:right w:val="single" w:sz="4" w:space="0" w:color="auto"/>
            </w:tcBorders>
            <w:vAlign w:val="center"/>
          </w:tcPr>
          <w:p w14:paraId="6E5DE0A2"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BB3186" w14:textId="77777777" w:rsidTr="000D2E36">
        <w:trPr>
          <w:gridAfter w:val="1"/>
          <w:wAfter w:w="7" w:type="dxa"/>
          <w:trHeight w:val="1245"/>
          <w:jc w:val="center"/>
        </w:trPr>
        <w:tc>
          <w:tcPr>
            <w:tcW w:w="846" w:type="dxa"/>
            <w:tcBorders>
              <w:top w:val="single" w:sz="12" w:space="0" w:color="auto"/>
              <w:left w:val="single" w:sz="4" w:space="0" w:color="auto"/>
              <w:bottom w:val="single" w:sz="4" w:space="0" w:color="auto"/>
              <w:right w:val="single" w:sz="4" w:space="0" w:color="auto"/>
            </w:tcBorders>
          </w:tcPr>
          <w:p w14:paraId="12B7BE2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E07DEDA"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行政院環境保護署函為中央政府嚴重特殊傳染性肺炎防治及紓困振興特別預算第4次追加預算決議，檢送行政院決議（五十四）預算執行情形之說明案。</w:t>
            </w:r>
          </w:p>
        </w:tc>
        <w:tc>
          <w:tcPr>
            <w:tcW w:w="2871" w:type="dxa"/>
            <w:tcBorders>
              <w:top w:val="single" w:sz="12" w:space="0" w:color="auto"/>
              <w:left w:val="single" w:sz="4" w:space="0" w:color="auto"/>
              <w:bottom w:val="single" w:sz="4" w:space="0" w:color="auto"/>
              <w:right w:val="single" w:sz="4" w:space="0" w:color="auto"/>
            </w:tcBorders>
          </w:tcPr>
          <w:p w14:paraId="7EFD197F" w14:textId="087A55E5"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第10屆第5會期第8次院會（111.4.15）決定：「交財政及相關委員會審查」</w:t>
            </w:r>
          </w:p>
        </w:tc>
        <w:tc>
          <w:tcPr>
            <w:tcW w:w="1507" w:type="dxa"/>
            <w:tcBorders>
              <w:top w:val="single" w:sz="12" w:space="0" w:color="auto"/>
              <w:left w:val="single" w:sz="4" w:space="0" w:color="auto"/>
              <w:bottom w:val="single" w:sz="4" w:space="0" w:color="auto"/>
              <w:right w:val="single" w:sz="4" w:space="0" w:color="auto"/>
            </w:tcBorders>
            <w:vAlign w:val="center"/>
          </w:tcPr>
          <w:p w14:paraId="4EC82834"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307766F" w14:textId="77777777" w:rsidTr="000D2E36">
        <w:trPr>
          <w:gridAfter w:val="1"/>
          <w:wAfter w:w="7" w:type="dxa"/>
          <w:trHeight w:val="1245"/>
          <w:jc w:val="center"/>
        </w:trPr>
        <w:tc>
          <w:tcPr>
            <w:tcW w:w="846" w:type="dxa"/>
            <w:tcBorders>
              <w:top w:val="single" w:sz="4" w:space="0" w:color="auto"/>
              <w:left w:val="single" w:sz="4" w:space="0" w:color="auto"/>
              <w:bottom w:val="single" w:sz="12" w:space="0" w:color="auto"/>
              <w:right w:val="single" w:sz="4" w:space="0" w:color="auto"/>
            </w:tcBorders>
          </w:tcPr>
          <w:p w14:paraId="7B67CB5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7F033D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行政院環境保護署函為中央政府嚴重特殊傳染性肺炎防治及紓困振興特別預算第4次追加預算決議，檢送醫療廢棄物量大幅成長之說明案。</w:t>
            </w:r>
          </w:p>
        </w:tc>
        <w:tc>
          <w:tcPr>
            <w:tcW w:w="2871" w:type="dxa"/>
            <w:tcBorders>
              <w:top w:val="single" w:sz="4" w:space="0" w:color="auto"/>
              <w:left w:val="single" w:sz="4" w:space="0" w:color="auto"/>
              <w:bottom w:val="single" w:sz="12" w:space="0" w:color="auto"/>
              <w:right w:val="single" w:sz="4" w:space="0" w:color="auto"/>
            </w:tcBorders>
          </w:tcPr>
          <w:p w14:paraId="3502000C" w14:textId="79E8007E"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第10屆第6會期第11次院會（111.12.9）決定：「交財政及相關委員會審查」</w:t>
            </w:r>
          </w:p>
        </w:tc>
        <w:tc>
          <w:tcPr>
            <w:tcW w:w="1507" w:type="dxa"/>
            <w:tcBorders>
              <w:top w:val="single" w:sz="4" w:space="0" w:color="auto"/>
              <w:left w:val="single" w:sz="4" w:space="0" w:color="auto"/>
              <w:bottom w:val="single" w:sz="12" w:space="0" w:color="auto"/>
              <w:right w:val="single" w:sz="4" w:space="0" w:color="auto"/>
            </w:tcBorders>
            <w:vAlign w:val="center"/>
          </w:tcPr>
          <w:p w14:paraId="28C89BA3"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8B9D30" w14:textId="77777777" w:rsidTr="000D2E36">
        <w:trPr>
          <w:gridAfter w:val="1"/>
          <w:wAfter w:w="7" w:type="dxa"/>
          <w:trHeight w:val="1245"/>
          <w:jc w:val="center"/>
        </w:trPr>
        <w:tc>
          <w:tcPr>
            <w:tcW w:w="846" w:type="dxa"/>
            <w:tcBorders>
              <w:top w:val="single" w:sz="12" w:space="0" w:color="auto"/>
              <w:left w:val="single" w:sz="4" w:space="0" w:color="auto"/>
              <w:bottom w:val="single" w:sz="4" w:space="0" w:color="auto"/>
              <w:right w:val="single" w:sz="4" w:space="0" w:color="auto"/>
            </w:tcBorders>
          </w:tcPr>
          <w:p w14:paraId="40575F5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000000"/>
              <w:left w:val="single" w:sz="4" w:space="0" w:color="000000"/>
              <w:bottom w:val="single" w:sz="4" w:space="0" w:color="auto"/>
              <w:right w:val="single" w:sz="4" w:space="0" w:color="000000"/>
            </w:tcBorders>
            <w:shd w:val="clear" w:color="auto" w:fill="auto"/>
          </w:tcPr>
          <w:p w14:paraId="72F12601"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審計部函為中央政府嚴重特殊傳染性肺炎防治及紓困振興特別預算決議，檢送</w:t>
            </w:r>
            <w:r w:rsidRPr="00B95A07">
              <w:rPr>
                <w:rFonts w:ascii="標楷體" w:eastAsia="標楷體" w:hAnsi="標楷體"/>
                <w:kern w:val="2"/>
                <w:szCs w:val="24"/>
              </w:rPr>
              <w:t>109年度半年結算查核報告案</w:t>
            </w:r>
            <w:r w:rsidRPr="00B95A07">
              <w:rPr>
                <w:rFonts w:ascii="標楷體" w:eastAsia="標楷體" w:hAnsi="標楷體" w:hint="eastAsia"/>
                <w:kern w:val="2"/>
                <w:szCs w:val="24"/>
              </w:rPr>
              <w:t>。</w:t>
            </w:r>
          </w:p>
        </w:tc>
        <w:tc>
          <w:tcPr>
            <w:tcW w:w="2871" w:type="dxa"/>
            <w:tcBorders>
              <w:top w:val="single" w:sz="12" w:space="0" w:color="000000"/>
              <w:left w:val="single" w:sz="4" w:space="0" w:color="000000"/>
              <w:bottom w:val="single" w:sz="4" w:space="0" w:color="auto"/>
              <w:right w:val="single" w:sz="4" w:space="0" w:color="000000"/>
            </w:tcBorders>
            <w:shd w:val="clear" w:color="auto" w:fill="auto"/>
          </w:tcPr>
          <w:p w14:paraId="284BE44F" w14:textId="77777777" w:rsidR="00EB1A29" w:rsidRPr="00B95A07" w:rsidRDefault="00EB1A29" w:rsidP="005134C1">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w:t>
            </w:r>
            <w:r w:rsidRPr="00B95A07">
              <w:rPr>
                <w:rFonts w:ascii="標楷體" w:eastAsia="標楷體" w:hAnsi="標楷體"/>
                <w:kern w:val="2"/>
                <w:szCs w:val="24"/>
              </w:rPr>
              <w:t>次院會（109.12.18）決定：「交財政委員會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507" w:type="dxa"/>
            <w:tcBorders>
              <w:top w:val="single" w:sz="12" w:space="0" w:color="000000"/>
              <w:left w:val="single" w:sz="4" w:space="0" w:color="000000"/>
              <w:bottom w:val="single" w:sz="4" w:space="0" w:color="auto"/>
              <w:right w:val="single" w:sz="4" w:space="0" w:color="000000"/>
            </w:tcBorders>
            <w:shd w:val="clear" w:color="auto" w:fill="auto"/>
            <w:vAlign w:val="center"/>
          </w:tcPr>
          <w:p w14:paraId="02826C9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EB1A29" w:rsidRPr="00B95A07" w14:paraId="648DD649" w14:textId="77777777" w:rsidTr="000D2E36">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671A223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9F7869"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審計部函為中央政府嚴重特殊傳染性肺炎防治及紓困振興特別預算追加預算決議，檢送特別預算111年度半年結算查核報告案。</w:t>
            </w:r>
          </w:p>
        </w:tc>
        <w:tc>
          <w:tcPr>
            <w:tcW w:w="2871" w:type="dxa"/>
            <w:tcBorders>
              <w:top w:val="single" w:sz="4" w:space="0" w:color="auto"/>
              <w:left w:val="single" w:sz="4" w:space="0" w:color="auto"/>
              <w:bottom w:val="single" w:sz="4" w:space="0" w:color="auto"/>
              <w:right w:val="single" w:sz="4" w:space="0" w:color="auto"/>
            </w:tcBorders>
          </w:tcPr>
          <w:p w14:paraId="30DB4B95"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屆第6會期第11次院會（111.12.9）決定：「交財政委員會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1507" w:type="dxa"/>
            <w:tcBorders>
              <w:top w:val="single" w:sz="4" w:space="0" w:color="auto"/>
              <w:left w:val="single" w:sz="4" w:space="0" w:color="auto"/>
              <w:bottom w:val="single" w:sz="4" w:space="0" w:color="auto"/>
              <w:right w:val="single" w:sz="4" w:space="0" w:color="auto"/>
            </w:tcBorders>
            <w:vAlign w:val="center"/>
          </w:tcPr>
          <w:p w14:paraId="67EF5B48"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kern w:val="2"/>
                <w:szCs w:val="24"/>
              </w:rPr>
              <w:t>尚未</w:t>
            </w:r>
            <w:r w:rsidRPr="00B95A07">
              <w:rPr>
                <w:rFonts w:ascii="標楷體" w:eastAsia="標楷體" w:hAnsi="標楷體" w:hint="eastAsia"/>
                <w:kern w:val="2"/>
                <w:szCs w:val="24"/>
              </w:rPr>
              <w:t>審查</w:t>
            </w:r>
          </w:p>
        </w:tc>
      </w:tr>
      <w:tr w:rsidR="00EB1A29" w:rsidRPr="00B95A07" w14:paraId="20750804" w14:textId="77777777" w:rsidTr="00605B7E">
        <w:trPr>
          <w:gridAfter w:val="1"/>
          <w:wAfter w:w="7" w:type="dxa"/>
          <w:trHeight w:val="1245"/>
          <w:jc w:val="center"/>
        </w:trPr>
        <w:tc>
          <w:tcPr>
            <w:tcW w:w="846" w:type="dxa"/>
            <w:tcBorders>
              <w:top w:val="single" w:sz="4" w:space="0" w:color="auto"/>
              <w:left w:val="single" w:sz="4" w:space="0" w:color="auto"/>
              <w:bottom w:val="single" w:sz="4" w:space="0" w:color="auto"/>
              <w:right w:val="single" w:sz="4" w:space="0" w:color="auto"/>
            </w:tcBorders>
          </w:tcPr>
          <w:p w14:paraId="3062956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0A2C97"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審計部函送「中央政府嚴重特殊傳染性肺炎防治及紓困振興特別預算110年度會計報告查核報告」案。</w:t>
            </w:r>
          </w:p>
        </w:tc>
        <w:tc>
          <w:tcPr>
            <w:tcW w:w="2871" w:type="dxa"/>
            <w:tcBorders>
              <w:top w:val="single" w:sz="4" w:space="0" w:color="auto"/>
              <w:left w:val="single" w:sz="4" w:space="0" w:color="auto"/>
              <w:bottom w:val="single" w:sz="4" w:space="0" w:color="auto"/>
              <w:right w:val="single" w:sz="4" w:space="0" w:color="auto"/>
            </w:tcBorders>
          </w:tcPr>
          <w:p w14:paraId="0E5D8216" w14:textId="77777777"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第10屆第6會期第13次院會（111.12.23）決定：「交財政委員會審查」</w:t>
            </w:r>
          </w:p>
        </w:tc>
        <w:tc>
          <w:tcPr>
            <w:tcW w:w="1507" w:type="dxa"/>
            <w:tcBorders>
              <w:top w:val="single" w:sz="4" w:space="0" w:color="auto"/>
              <w:left w:val="single" w:sz="4" w:space="0" w:color="auto"/>
              <w:bottom w:val="single" w:sz="4" w:space="0" w:color="auto"/>
              <w:right w:val="single" w:sz="4" w:space="0" w:color="auto"/>
            </w:tcBorders>
            <w:vAlign w:val="center"/>
          </w:tcPr>
          <w:p w14:paraId="345448AE" w14:textId="77777777"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FE411CB" w14:textId="77777777" w:rsidTr="00605B7E">
        <w:trPr>
          <w:gridAfter w:val="1"/>
          <w:wAfter w:w="7" w:type="dxa"/>
          <w:trHeight w:val="1245"/>
          <w:jc w:val="center"/>
        </w:trPr>
        <w:tc>
          <w:tcPr>
            <w:tcW w:w="846" w:type="dxa"/>
            <w:tcBorders>
              <w:top w:val="single" w:sz="4" w:space="0" w:color="auto"/>
              <w:left w:val="single" w:sz="4" w:space="0" w:color="auto"/>
              <w:bottom w:val="single" w:sz="12" w:space="0" w:color="000000"/>
              <w:right w:val="single" w:sz="4" w:space="0" w:color="auto"/>
            </w:tcBorders>
          </w:tcPr>
          <w:p w14:paraId="060AC27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000000"/>
              <w:right w:val="single" w:sz="4" w:space="0" w:color="auto"/>
            </w:tcBorders>
          </w:tcPr>
          <w:p w14:paraId="65D25193" w14:textId="54E3DE61"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審計部函送「中央政府嚴重特殊傳染性肺炎防治及紓困振興特別預算111年度會計報告查核報告」。</w:t>
            </w:r>
          </w:p>
        </w:tc>
        <w:tc>
          <w:tcPr>
            <w:tcW w:w="2871" w:type="dxa"/>
            <w:tcBorders>
              <w:top w:val="single" w:sz="4" w:space="0" w:color="auto"/>
              <w:left w:val="single" w:sz="4" w:space="0" w:color="auto"/>
              <w:bottom w:val="single" w:sz="12" w:space="0" w:color="000000"/>
              <w:right w:val="single" w:sz="4" w:space="0" w:color="auto"/>
            </w:tcBorders>
            <w:shd w:val="clear" w:color="auto" w:fill="auto"/>
          </w:tcPr>
          <w:p w14:paraId="50905D27" w14:textId="44D71AD6" w:rsidR="00EB1A29" w:rsidRPr="00B95A07" w:rsidRDefault="00EB1A29" w:rsidP="005134C1">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.11.24）決定：「交財政及相關委員會審查」</w:t>
            </w:r>
          </w:p>
        </w:tc>
        <w:tc>
          <w:tcPr>
            <w:tcW w:w="1507" w:type="dxa"/>
            <w:tcBorders>
              <w:top w:val="single" w:sz="4" w:space="0" w:color="auto"/>
              <w:left w:val="single" w:sz="4" w:space="0" w:color="auto"/>
              <w:bottom w:val="single" w:sz="12" w:space="0" w:color="000000"/>
              <w:right w:val="single" w:sz="4" w:space="0" w:color="auto"/>
            </w:tcBorders>
            <w:shd w:val="clear" w:color="auto" w:fill="auto"/>
            <w:vAlign w:val="center"/>
          </w:tcPr>
          <w:p w14:paraId="4D527875" w14:textId="0B2D574A" w:rsidR="00EB1A29" w:rsidRPr="00B95A07" w:rsidRDefault="00EB1A29" w:rsidP="00EB1A29">
            <w:pPr>
              <w:widowControl w:val="0"/>
              <w:overflowPunct w:val="0"/>
              <w:autoSpaceDN/>
              <w:spacing w:line="32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F641F2A" w14:textId="77777777" w:rsidTr="000D2E36">
        <w:trPr>
          <w:trHeight w:val="748"/>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53B0C43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b/>
                <w:kern w:val="2"/>
                <w:szCs w:val="24"/>
              </w:rPr>
            </w:pPr>
            <w:r w:rsidRPr="00B95A07">
              <w:rPr>
                <w:rFonts w:ascii="標楷體" w:eastAsia="標楷體" w:hAnsi="標楷體" w:hint="eastAsia"/>
                <w:b/>
                <w:kern w:val="2"/>
                <w:sz w:val="28"/>
                <w:szCs w:val="28"/>
              </w:rPr>
              <w:t>8.中央政府海空戰力提升計畫採購特別預算案（4</w:t>
            </w:r>
            <w:r>
              <w:rPr>
                <w:rFonts w:ascii="標楷體" w:eastAsia="標楷體" w:hAnsi="標楷體"/>
                <w:b/>
                <w:kern w:val="2"/>
                <w:sz w:val="28"/>
                <w:szCs w:val="28"/>
              </w:rPr>
              <w:t>1</w:t>
            </w:r>
            <w:r w:rsidRPr="00B95A07">
              <w:rPr>
                <w:rFonts w:ascii="標楷體" w:eastAsia="標楷體" w:hAnsi="標楷體" w:hint="eastAsia"/>
                <w:b/>
                <w:kern w:val="2"/>
                <w:sz w:val="28"/>
                <w:szCs w:val="28"/>
              </w:rPr>
              <w:t>案</w:t>
            </w:r>
            <w:r w:rsidRPr="00B95A07">
              <w:rPr>
                <w:rFonts w:ascii="標楷體" w:eastAsia="標楷體" w:hAnsi="標楷體"/>
                <w:b/>
                <w:kern w:val="2"/>
                <w:sz w:val="28"/>
                <w:szCs w:val="28"/>
              </w:rPr>
              <w:t>）</w:t>
            </w:r>
          </w:p>
        </w:tc>
      </w:tr>
      <w:tr w:rsidR="00EB1A29" w:rsidRPr="00B95A07" w14:paraId="6FD30411" w14:textId="77777777" w:rsidTr="000D2E36">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7F0C560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74D97ED"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6CA0DE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60852B1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18BCFA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D5003E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B274F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3EA6A3"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C8B92C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A6771F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BA9822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F2AEC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28640F"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D9363C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82B80D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D8C75D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92644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1E7640"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AAB496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9A65C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7FB313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9CEFA3"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國防部函送中央政府海空戰力提升計畫採購特別預算決議（三十七）書面報告案。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A2316F"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64F346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267224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93E6D2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EDB140"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B5E6C7"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6323F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C6B27D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99BDBE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51323E"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5016D3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2C8622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AF49A5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5E47EF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E74FA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E77A8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0557EF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1075A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4D2599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C4E3F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69F484"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BD61C8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FDAD45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27F4E8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390FE"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30E29D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168784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140507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9120A2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1CDC4D"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3C5728"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FE8639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9841BE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B5BFE8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4099A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543566"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99162B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A1E85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C306E9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0ED392"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8D75D88"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第10屆第5會期第2次院會（1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3</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92C0DE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C2765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002C13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BBF2F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65A5B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22</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B93DE4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0E6665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9421AC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0B23C8"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E688C6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第10屆第5會期第9次院會（1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w:t>
            </w:r>
            <w:r w:rsidRPr="00B95A07">
              <w:rPr>
                <w:rFonts w:ascii="標楷體" w:eastAsia="標楷體" w:hAnsi="標楷體" w:hint="eastAsia"/>
                <w:kern w:val="2"/>
                <w:szCs w:val="24"/>
              </w:rPr>
              <w:t>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DFB9C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0D4FDD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1F05AF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DF77C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02B4E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w:t>
            </w:r>
            <w:r w:rsidRPr="00B95A07">
              <w:rPr>
                <w:rFonts w:ascii="標楷體" w:eastAsia="標楷體" w:hAnsi="標楷體"/>
                <w:kern w:val="2"/>
                <w:szCs w:val="24"/>
              </w:rPr>
              <w:t>0</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6E3EBA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37A0EB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1A676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FE063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41CC2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8425315"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A0D8C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C93644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7A39C0"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國防部函送中央政府海空戰力提升計畫採購特別預算決議（六十六）書面報告。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066BA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5D4EB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0EBC32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5A85901"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6B3CA1"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01A7F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w:t>
            </w:r>
            <w:r w:rsidRPr="00B95A07">
              <w:rPr>
                <w:rFonts w:ascii="標楷體" w:eastAsia="標楷體" w:hAnsi="標楷體"/>
                <w:kern w:val="2"/>
                <w:szCs w:val="24"/>
              </w:rPr>
              <w:t>2</w:t>
            </w:r>
            <w:r w:rsidRPr="00B95A07">
              <w:rPr>
                <w:rFonts w:ascii="標楷體" w:eastAsia="標楷體" w:hAnsi="標楷體" w:hint="eastAsia"/>
                <w:kern w:val="2"/>
                <w:szCs w:val="24"/>
              </w:rPr>
              <w:t>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9962A91"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3E30F5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FABB8F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E4B6BA"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42B7DE"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8947F4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29DDF6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8D0934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AF3C13"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國防部函送中央政府海空戰力提升計畫採購特別預算決議（八十二）書面報告案。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A07599"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3CC607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905364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D8FEC9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7396C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國防部函送中央政府海空戰力提升計畫採購特別預算決議（八十三）完善監督機制書面報告案。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6CF064"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4F15D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0D572C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7FF96C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486CD1"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C8378E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第10屆第5會期第14次院會（1</w:t>
            </w:r>
            <w:r w:rsidRPr="00B95A07">
              <w:rPr>
                <w:rFonts w:ascii="標楷體" w:eastAsia="標楷體" w:hAnsi="標楷體"/>
                <w:kern w:val="2"/>
                <w:szCs w:val="24"/>
              </w:rPr>
              <w:t>11</w:t>
            </w:r>
            <w:r w:rsidRPr="00B95A07">
              <w:rPr>
                <w:rFonts w:ascii="標楷體" w:eastAsia="標楷體" w:hAnsi="標楷體" w:hint="eastAsia"/>
                <w:kern w:val="2"/>
                <w:szCs w:val="24"/>
              </w:rPr>
              <w:t>.5.27）決定：「交財政、外交及國防兩委員會審查」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AC2DE43"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7C1BF3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7A200BB"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02F341"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國防部函送中央政府海空戰力提升計畫採購特別預算決議（八十七）中科院利益迴避規範查證情形報告案。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3ADEFA"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第10屆第6會期第4次院會（1</w:t>
            </w:r>
            <w:r w:rsidRPr="00B95A07">
              <w:rPr>
                <w:rFonts w:ascii="標楷體" w:eastAsia="標楷體" w:hAnsi="標楷體"/>
                <w:kern w:val="2"/>
                <w:szCs w:val="24"/>
              </w:rPr>
              <w:t>11</w:t>
            </w:r>
            <w:r w:rsidRPr="00B95A07">
              <w:rPr>
                <w:rFonts w:ascii="標楷體" w:eastAsia="標楷體" w:hAnsi="標楷體" w:hint="eastAsia"/>
                <w:kern w:val="2"/>
                <w:szCs w:val="24"/>
              </w:rPr>
              <w:t>.10.14）決定：「交財政、外交及國防兩委員會審查」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E88F8E9"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DD7F36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ED0654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CA7AFD"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國防部函送中央政府海空戰力提升計畫採購特別預算決議（五十八）「海軍高效能艦艇」書面報告案。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1DCEABD"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2642A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DA37C4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A0D3F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F06AA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國防部函送中央政府海空戰力提升計畫採購特別預算決議（五十九）書面報告案。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6381375"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04F4F56"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05CBE3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3E4323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677A8B"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國防部函送中央政府海空戰力提升計畫採購特別預算決議（八十四）書面報告案。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D4E510"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26463F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3DAB5D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F9638C"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6CD478"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1FB492"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75F08A0"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905EE5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87E0F03"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1291C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國防部函送中央政府海空戰力提升計畫採購特別預算決議（九十一）及（九十五）書面報告案。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6F2EC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A632818"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EFB55A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39586B4"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5D6DF9"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50C758"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w:t>
            </w:r>
            <w:r w:rsidRPr="00B95A07">
              <w:rPr>
                <w:rFonts w:ascii="標楷體" w:eastAsia="標楷體" w:hAnsi="標楷體"/>
                <w:kern w:val="2"/>
                <w:szCs w:val="24"/>
              </w:rPr>
              <w:t>1</w:t>
            </w:r>
            <w:r w:rsidRPr="00B95A07">
              <w:rPr>
                <w:rFonts w:ascii="標楷體" w:eastAsia="標楷體" w:hAnsi="標楷體" w:hint="eastAsia"/>
                <w:kern w:val="2"/>
                <w:szCs w:val="24"/>
              </w:rPr>
              <w:t>次院會（1</w:t>
            </w:r>
            <w:r w:rsidRPr="00B95A07">
              <w:rPr>
                <w:rFonts w:ascii="標楷體" w:eastAsia="標楷體" w:hAnsi="標楷體"/>
                <w:kern w:val="2"/>
                <w:szCs w:val="24"/>
              </w:rPr>
              <w:t>11</w:t>
            </w:r>
            <w:r w:rsidRPr="00B95A07">
              <w:rPr>
                <w:rFonts w:ascii="標楷體" w:eastAsia="標楷體" w:hAnsi="標楷體" w:hint="eastAsia"/>
                <w:kern w:val="2"/>
                <w:szCs w:val="24"/>
              </w:rPr>
              <w:t>.1</w:t>
            </w:r>
            <w:r w:rsidRPr="00B95A07">
              <w:rPr>
                <w:rFonts w:ascii="標楷體" w:eastAsia="標楷體" w:hAnsi="標楷體"/>
                <w:kern w:val="2"/>
                <w:szCs w:val="24"/>
              </w:rPr>
              <w:t>2</w:t>
            </w:r>
            <w:r w:rsidRPr="00B95A07">
              <w:rPr>
                <w:rFonts w:ascii="標楷體" w:eastAsia="標楷體" w:hAnsi="標楷體" w:hint="eastAsia"/>
                <w:kern w:val="2"/>
                <w:szCs w:val="24"/>
              </w:rPr>
              <w:t>.</w:t>
            </w:r>
            <w:r w:rsidRPr="00B95A07">
              <w:rPr>
                <w:rFonts w:ascii="標楷體" w:eastAsia="標楷體" w:hAnsi="標楷體"/>
                <w:kern w:val="2"/>
                <w:szCs w:val="24"/>
              </w:rPr>
              <w:t>9</w:t>
            </w:r>
            <w:r w:rsidRPr="00B95A07">
              <w:rPr>
                <w:rFonts w:ascii="標楷體" w:eastAsia="標楷體" w:hAnsi="標楷體" w:hint="eastAsia"/>
                <w:kern w:val="2"/>
                <w:szCs w:val="24"/>
              </w:rPr>
              <w:t>）決定：「交財政、外交及國防兩委員會審查」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EFC454D"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2BBBC0F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B11570A"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44C1D2"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CC6F0D"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第10屆第6會期第15次院會（112.1.9）決定：「交財政、外交及國防兩委員會審查」</w:t>
            </w:r>
            <w:r w:rsidRPr="00B95A07">
              <w:rPr>
                <w:rFonts w:ascii="標楷體" w:eastAsia="標楷體" w:hAnsi="標楷體" w:hint="eastAsia"/>
                <w:kern w:val="2"/>
                <w:szCs w:val="24"/>
              </w:rPr>
              <w:tab/>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0CD36C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2D7101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CE6BEE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36E22A"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38F1FD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C5C9AF"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56CB4B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F915A89"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4B1050"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國防部函為中央政府海空戰力提升計畫採購特別預算決議，檢送中科院廠房設備投資作為書面報告案。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BD9F09"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D8AEB2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5D9F0E3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65E10D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B82C8C"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國防部函為中央政府海空戰力提升計畫採購特別預算決議，檢送人事管理暨釋商成效書面報告案。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191ABD5"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C79F45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CB2F2B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9F10356"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19CC49"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國防部函為中央政府海空戰力提升計畫採購特別預算決議，檢送空軍司令部直升機掛載「萬劍飛彈」之可行性評估書面報告案。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BF08C0"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1BF8DE2"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65A45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8171C1F"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9E9479"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審計部函送「中央政府海空戰力提升計畫採購特別預算</w:t>
            </w:r>
            <w:r w:rsidRPr="00B95A07">
              <w:rPr>
                <w:rFonts w:ascii="標楷體" w:eastAsia="標楷體" w:hAnsi="標楷體"/>
                <w:kern w:val="2"/>
                <w:szCs w:val="24"/>
              </w:rPr>
              <w:t>111年度會計報告查核報告」。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3B2BD2C"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102B4E"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FA538D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037637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7F0865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國防部函送海空戰力提升計畫採購特別預算案111年執行進度及112年支用規劃書面報告。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15E2F24"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第10屆第8會期第9次院會（1</w:t>
            </w:r>
            <w:r w:rsidRPr="00B95A07">
              <w:rPr>
                <w:rFonts w:ascii="標楷體" w:eastAsia="標楷體" w:hAnsi="標楷體"/>
                <w:kern w:val="2"/>
                <w:szCs w:val="24"/>
              </w:rPr>
              <w:t>12</w:t>
            </w:r>
            <w:r w:rsidRPr="00B95A07">
              <w:rPr>
                <w:rFonts w:ascii="標楷體" w:eastAsia="標楷體" w:hAnsi="標楷體" w:hint="eastAsia"/>
                <w:kern w:val="2"/>
                <w:szCs w:val="24"/>
              </w:rPr>
              <w:t>.11.24）決定：「交財政、外交及國防兩委員會審查」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433DC4"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1F74AD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08218CD"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FE26A6"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國防部函送112年12月份「國防廠商安全調查暨保密稽核執行成效報告」。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1D6E4B"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3.3.29）決定：「交財政、外交及國防兩委員會審查」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21D1D3B"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6B987B3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6FEA485"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FA65AC" w14:textId="77777777" w:rsidR="00EB1A29" w:rsidRPr="00563CA0"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國防部函送海空戰力提升計畫採購特別預算案112年執行進度及113年支用規劃書面報告案。</w:t>
            </w:r>
          </w:p>
          <w:p w14:paraId="0E1B4BC8" w14:textId="77777777" w:rsidR="00EB1A29" w:rsidRPr="00563CA0"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36F865" w14:textId="77777777" w:rsidR="00EB1A29" w:rsidRPr="00563CA0"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E41221" w14:textId="77777777" w:rsidR="00EB1A29" w:rsidRPr="00563CA0" w:rsidRDefault="00EB1A29" w:rsidP="00EB1A29">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EB1A29" w:rsidRPr="00B95A07" w14:paraId="3265839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3BBD74E"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3F9B95" w14:textId="77777777" w:rsidR="00EB1A29" w:rsidRPr="00563CA0"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國防部函送112年「海空戰力提升計畫採購特別預算釋商執行成效」書面報告案。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B409192" w14:textId="77777777" w:rsidR="00EB1A29" w:rsidRPr="00563CA0"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3.7.12）決定：「交財政、外交及國防兩委員會審查」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71D8434" w14:textId="77777777" w:rsidR="00EB1A29" w:rsidRPr="00563CA0" w:rsidRDefault="00EB1A29" w:rsidP="00EB1A29">
            <w:pPr>
              <w:widowControl w:val="0"/>
              <w:overflowPunct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EB1A29" w:rsidRPr="00B95A07" w14:paraId="194E6467" w14:textId="77777777" w:rsidTr="000D2E36">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7B76741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A4FE189" w14:textId="77777777" w:rsidR="00EB1A29" w:rsidRPr="005C7FFA"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審計部函送「中央政府海空戰力提升計畫採購特別預算112年度會計報告查核報告」，請查照案。</w:t>
            </w:r>
          </w:p>
        </w:tc>
        <w:tc>
          <w:tcPr>
            <w:tcW w:w="2871" w:type="dxa"/>
            <w:tcBorders>
              <w:top w:val="single" w:sz="4" w:space="0" w:color="000000"/>
              <w:left w:val="single" w:sz="4" w:space="0" w:color="000000"/>
              <w:bottom w:val="single" w:sz="4" w:space="0" w:color="000000"/>
              <w:right w:val="single" w:sz="4" w:space="0" w:color="000000"/>
            </w:tcBorders>
            <w:shd w:val="clear" w:color="auto" w:fill="FFFFFF"/>
          </w:tcPr>
          <w:p w14:paraId="358BF626" w14:textId="77777777" w:rsidR="00EB1A29" w:rsidRPr="005C7FFA" w:rsidRDefault="00EB1A29" w:rsidP="00EB1A29">
            <w:pPr>
              <w:widowControl w:val="0"/>
              <w:overflowPunct w:val="0"/>
              <w:autoSpaceDN/>
              <w:spacing w:line="32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第11屆第2會期第</w:t>
            </w:r>
            <w:r w:rsidRPr="005C7FFA">
              <w:rPr>
                <w:rFonts w:ascii="標楷體" w:eastAsia="標楷體" w:hAnsi="標楷體"/>
                <w:kern w:val="2"/>
                <w:szCs w:val="24"/>
              </w:rPr>
              <w:t>6</w:t>
            </w:r>
            <w:r w:rsidRPr="005C7FFA">
              <w:rPr>
                <w:rFonts w:ascii="標楷體" w:eastAsia="標楷體" w:hAnsi="標楷體" w:hint="eastAsia"/>
                <w:kern w:val="2"/>
                <w:szCs w:val="24"/>
              </w:rPr>
              <w:t>次院會(113.10.</w:t>
            </w:r>
            <w:r w:rsidRPr="005C7FFA">
              <w:rPr>
                <w:rFonts w:ascii="標楷體" w:eastAsia="標楷體" w:hAnsi="標楷體"/>
                <w:kern w:val="2"/>
                <w:szCs w:val="24"/>
              </w:rPr>
              <w:t>25</w:t>
            </w:r>
            <w:r w:rsidRPr="005C7FFA">
              <w:rPr>
                <w:rFonts w:ascii="標楷體" w:eastAsia="標楷體" w:hAnsi="標楷體" w:hint="eastAsia"/>
                <w:kern w:val="2"/>
                <w:szCs w:val="24"/>
              </w:rPr>
              <w:t>)決定：「交財政委員會審查」</w:t>
            </w:r>
            <w:r w:rsidRPr="005C7FFA">
              <w:rPr>
                <w:rFonts w:ascii="標楷體" w:eastAsia="標楷體" w:hAnsi="標楷體" w:hint="eastAsia"/>
                <w:kern w:val="2"/>
                <w:szCs w:val="24"/>
              </w:rPr>
              <w:tab/>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EDE2E" w14:textId="77777777" w:rsidR="00EB1A29" w:rsidRPr="005C7FFA" w:rsidRDefault="00EB1A29" w:rsidP="00EB1A29">
            <w:pPr>
              <w:widowControl w:val="0"/>
              <w:overflowPunct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EB1A29" w:rsidRPr="00B95A07" w14:paraId="7E43C4CC" w14:textId="77777777" w:rsidTr="000D2E36">
        <w:trPr>
          <w:trHeight w:val="556"/>
          <w:jc w:val="center"/>
        </w:trPr>
        <w:tc>
          <w:tcPr>
            <w:tcW w:w="9901" w:type="dxa"/>
            <w:gridSpan w:val="5"/>
            <w:tcBorders>
              <w:top w:val="single" w:sz="12" w:space="0" w:color="auto"/>
              <w:left w:val="single" w:sz="4" w:space="0" w:color="auto"/>
              <w:bottom w:val="single" w:sz="12" w:space="0" w:color="auto"/>
              <w:right w:val="single" w:sz="4" w:space="0" w:color="auto"/>
            </w:tcBorders>
            <w:vAlign w:val="center"/>
          </w:tcPr>
          <w:p w14:paraId="6F6E8727"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b/>
                <w:kern w:val="2"/>
                <w:sz w:val="28"/>
                <w:szCs w:val="28"/>
              </w:rPr>
              <w:t>9.中央政府前瞻基礎建設計畫第4期特別預算案（4</w:t>
            </w:r>
            <w:r>
              <w:rPr>
                <w:rFonts w:ascii="標楷體" w:eastAsia="標楷體" w:hAnsi="標楷體" w:hint="eastAsia"/>
                <w:b/>
                <w:kern w:val="2"/>
                <w:sz w:val="28"/>
                <w:szCs w:val="28"/>
              </w:rPr>
              <w:t>6</w:t>
            </w:r>
            <w:r w:rsidRPr="00B95A07">
              <w:rPr>
                <w:rFonts w:ascii="標楷體" w:eastAsia="標楷體" w:hAnsi="標楷體" w:hint="eastAsia"/>
                <w:b/>
                <w:kern w:val="2"/>
                <w:sz w:val="28"/>
                <w:szCs w:val="28"/>
              </w:rPr>
              <w:t>案）</w:t>
            </w:r>
          </w:p>
        </w:tc>
      </w:tr>
      <w:tr w:rsidR="00EB1A29" w:rsidRPr="00B95A07" w14:paraId="6DB3BDB2" w14:textId="77777777" w:rsidTr="000D2E36">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08E1BA0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6AA5205" w14:textId="77777777"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經濟部函為中央政府前瞻基礎建設計畫第4期特別預算決議，檢送「屏東科技產業園區擴區推動」書面報告案。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5F195B7D" w14:textId="77777777"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第10屆第7會期第8次院會（112.4.21）決定：「交財政及相關委員會審查」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6AD7A3CC" w14:textId="77777777"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4665E1C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38147C8"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AB8FB6" w14:textId="5ED735D4"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經濟部函為中央政府前瞻基礎建設計畫第4期特別預算決議，檢送工業局離岸風電國產化策略書面報告案。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B4FA9B" w14:textId="0138E3C1"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FEDCB5" w14:textId="7E861F81"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38463AC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968299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0F8B1F" w14:textId="7A738123"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經濟部函為中央政府前瞻基礎建設計畫第4期特別預算決議，檢送能源局強化儲能系統書面報告案。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B59103B" w14:textId="3C2E0909"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2D09DE6" w14:textId="4D1D78B5"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717E3FB8" w14:textId="77777777" w:rsidTr="00EB1A29">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0BDED52"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14629BF" w14:textId="1B25155E" w:rsidR="00EB1A29" w:rsidRPr="00B95A07" w:rsidRDefault="00EB1A29" w:rsidP="00EB1A29">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BBC5EBF" w14:textId="78B18213"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48BC7D7" w14:textId="4CD80551"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0E4BCB89" w14:textId="77777777" w:rsidTr="00EB1A29">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135F7407" w14:textId="77777777" w:rsidR="00EB1A29" w:rsidRPr="00B95A07" w:rsidRDefault="00EB1A29" w:rsidP="00EB1A29">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FF2DF86" w14:textId="72876998" w:rsidR="00EB1A29" w:rsidRPr="00B95A07" w:rsidRDefault="00EB1A29" w:rsidP="0095523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經濟部函為中央政府前瞻基礎建設計畫第4期特別預算決議，檢送「東螺溪綠廊串連水環境改善整體計畫」及「東螺溪文化綠廊水環境改善整體計畫」執行進度報告案。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3375ED40" w14:textId="470357B0" w:rsidR="00EB1A29" w:rsidRPr="00B95A07" w:rsidRDefault="00EB1A29" w:rsidP="00EB1A29">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4" w:space="0" w:color="000000"/>
            </w:tcBorders>
            <w:shd w:val="clear" w:color="auto" w:fill="auto"/>
            <w:vAlign w:val="center"/>
          </w:tcPr>
          <w:p w14:paraId="4E1B745C" w14:textId="6647E3D6" w:rsidR="00EB1A29" w:rsidRPr="00B95A07" w:rsidRDefault="00EB1A29" w:rsidP="00EB1A29">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5CC2DB0" w14:textId="77777777" w:rsidTr="00EB1A29">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6C9F9341" w14:textId="77777777" w:rsidR="00EB1A29" w:rsidRPr="00B95A07" w:rsidRDefault="00EB1A29"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0E127D0" w14:textId="5AEA7481" w:rsidR="00EB1A29" w:rsidRPr="00B95A07" w:rsidRDefault="00EB1A29"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交通部函為中央政府前瞻基礎建設計畫第4期特別預算決議，檢送該部決議（八）鼓勵及協助民間設置電動樁書面報告案。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8C13281" w14:textId="6F846488" w:rsidR="00EB1A29" w:rsidRPr="00B95A07" w:rsidRDefault="00EB1A29"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46BB2D78" w14:textId="4511B648" w:rsidR="00EB1A29" w:rsidRPr="00B95A07" w:rsidRDefault="00EB1A29"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B1A29" w:rsidRPr="00B95A07" w14:paraId="173DCE7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D93307C" w14:textId="77777777" w:rsidR="00EB1A29" w:rsidRPr="00B95A07" w:rsidRDefault="00EB1A29"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B7F0CC" w14:textId="77777777" w:rsidR="00EB1A29" w:rsidRPr="00B95A07" w:rsidRDefault="00EB1A29"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交通部函為中央政府前瞻基礎建設計畫第4期特別預算決議，檢送觀光局決議（三）疫後國門開放書面報告案。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59D7D3B" w14:textId="77777777" w:rsidR="00EB1A29" w:rsidRPr="00B95A07" w:rsidRDefault="00EB1A29"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D9FFFA" w14:textId="77777777" w:rsidR="00EB1A29" w:rsidRPr="00B95A07" w:rsidRDefault="00EB1A29"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47E7271" w14:textId="77777777" w:rsidTr="000F7CA8">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64D9094" w14:textId="77777777" w:rsidR="000F7CA8" w:rsidRPr="00B95A07" w:rsidRDefault="000F7CA8"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B060D1" w14:textId="67C98D7E" w:rsidR="000F7CA8" w:rsidRPr="00B95A07" w:rsidRDefault="000F7CA8"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交通部函為中央政府前瞻基礎建設計畫第4期特別預算決議，檢送通案決議（十八）軌道建設適用促參之方案書面報告案。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7F3713" w14:textId="3A4616EE" w:rsidR="000F7CA8" w:rsidRPr="00B95A07" w:rsidRDefault="000F7CA8"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870A534" w14:textId="2DEA817A" w:rsidR="000F7CA8" w:rsidRPr="00B95A07" w:rsidRDefault="000F7CA8"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06302DF" w14:textId="77777777" w:rsidTr="005134C1">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3927AC36" w14:textId="77777777" w:rsidR="000F7CA8" w:rsidRPr="00B95A07" w:rsidRDefault="000F7CA8" w:rsidP="00E52372">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20677CC" w14:textId="1875F712" w:rsidR="000F7CA8" w:rsidRPr="00B95A07" w:rsidRDefault="000F7CA8" w:rsidP="00E52372">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D2EA155" w14:textId="0094278A" w:rsidR="000F7CA8" w:rsidRPr="00B95A07" w:rsidRDefault="000F7CA8" w:rsidP="00E52372">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50EFF3A6" w14:textId="4EBD7CDF" w:rsidR="000F7CA8" w:rsidRPr="00B95A07" w:rsidRDefault="000F7CA8" w:rsidP="00E52372">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1C707974" w14:textId="77777777" w:rsidTr="005134C1">
        <w:trPr>
          <w:gridAfter w:val="1"/>
          <w:wAfter w:w="7" w:type="dxa"/>
          <w:trHeight w:val="395"/>
          <w:jc w:val="center"/>
        </w:trPr>
        <w:tc>
          <w:tcPr>
            <w:tcW w:w="846" w:type="dxa"/>
            <w:tcBorders>
              <w:top w:val="single" w:sz="12" w:space="0" w:color="auto"/>
              <w:left w:val="single" w:sz="4" w:space="0" w:color="auto"/>
              <w:bottom w:val="single" w:sz="4" w:space="0" w:color="auto"/>
              <w:right w:val="single" w:sz="4" w:space="0" w:color="auto"/>
            </w:tcBorders>
          </w:tcPr>
          <w:p w14:paraId="299A5BA3"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21BA4FFD" w14:textId="51EC5EE5" w:rsidR="000F7CA8" w:rsidRPr="00E52372" w:rsidRDefault="000F7CA8" w:rsidP="000F7CA8">
            <w:pPr>
              <w:widowControl w:val="0"/>
              <w:overflowPunct w:val="0"/>
              <w:autoSpaceDE w:val="0"/>
              <w:autoSpaceDN/>
              <w:spacing w:line="340" w:lineRule="exact"/>
              <w:jc w:val="both"/>
              <w:textAlignment w:val="auto"/>
              <w:rPr>
                <w:rFonts w:ascii="標楷體" w:eastAsia="標楷體" w:hAnsi="標楷體"/>
                <w:spacing w:val="-20"/>
                <w:kern w:val="2"/>
                <w:szCs w:val="24"/>
              </w:rPr>
            </w:pPr>
            <w:r w:rsidRPr="00E52372">
              <w:rPr>
                <w:rFonts w:ascii="標楷體" w:eastAsia="標楷體" w:hAnsi="標楷體" w:hint="eastAsia"/>
                <w:spacing w:val="-20"/>
                <w:kern w:val="2"/>
                <w:szCs w:val="24"/>
              </w:rPr>
              <w:t>數位發展部函為中央政府前瞻基礎建設計畫第4期特別預算決議，檢送該部決議（一）務實發展數位產業與推動國家資通安全書面報告案。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039B533D" w14:textId="740162DC"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78D4F2B8" w14:textId="743A92CC"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B31331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171D724"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574769"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數位發展部函為中央政府前瞻基礎建設計畫第4期特別預算決議，檢送該部決議（六）改善行動應用程式APP利用用戶資安、個資外洩書面報告案。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A5B5DFC"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E317A65"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5E9E12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9827869"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5239AC"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數位發展部函為中央政府前瞻基礎建設計畫第4期特別預算決議，檢送資通安全署決議（四）地方政府資安能量強化規劃書面報告案。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7B5A0B"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3A3AAE"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0B7F3D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96762EE"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4B3B60" w14:textId="39A553E6"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數位發展部函，為中央政府前瞻基礎建設計畫第4期特別預算決議，檢送該部決議（五）改善偏鄉5G環境書面報告案。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7318F8A" w14:textId="16907F8D"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5C8DC7" w14:textId="407A100D"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EBE585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86F7AFF"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CE5CB5" w14:textId="25C695AC"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數位發展部函為中央政府前瞻基礎建設計畫第4期特別預算決議，檢送該部決議（八）協助中小企業培訓國際數位轉型人才書面報告案。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C75DF4" w14:textId="4E689DE2"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6C1715" w14:textId="1E7DBBFF"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6BB2B0E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E27D2E2"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D1F773" w14:textId="58A1F7C2"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數位發展部函為中央政府前瞻基礎建設計畫第4期特別預算決議，檢送數位產業署決議（四）「臺灣中小企業數位轉型作法」書面報告案。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A0EDE54" w14:textId="58AAAA50"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741767" w14:textId="26549AED"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80EB93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13A13CB"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16264A" w14:textId="16C8441A"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數位發展部函為中央政府前瞻基礎建設計畫第4期特別預算決議，檢送數位產業署決議（七）「人才培育促進就業建設」書面報告案。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8C7D307" w14:textId="1BE9504C"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F78DFC" w14:textId="60BA2596"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AFD5A4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5477D45"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9D92F1" w14:textId="1980206E"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數位發展部函為中央政府前瞻基礎建設計畫第4期特別預算決議，檢送該部決議（七）「縮短偏鄉數位落差建設提速計畫」書面報告案。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1AD6FB" w14:textId="6368CB3D"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AB63433" w14:textId="4649D49A"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CECD42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47D0FC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D3827E" w14:textId="196DF1F0"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數位發展部函送「前瞻基礎建設計畫第4期」特別預算112年第2季「改善偏鄉5G環境」執行進度書面報告案。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41C18A" w14:textId="29E73D6F"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第10屆第8會期第5次院會（112.10.27）決定：「交財政及相關委員會審查」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AAA9396" w14:textId="272C9C79"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31650BA" w14:textId="77777777" w:rsidTr="000F7CA8">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492F2BF"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774D6D" w14:textId="757B9CEE"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w:t>
            </w:r>
            <w:r w:rsidRPr="00B95A07">
              <w:rPr>
                <w:rFonts w:ascii="標楷體" w:eastAsia="標楷體" w:hAnsi="標楷體"/>
                <w:kern w:val="2"/>
                <w:szCs w:val="24"/>
              </w:rPr>
              <w:t>4期」特別預算112年第3季「改善偏鄉5G環境」執行進度書面報告案。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E1FF60" w14:textId="22404189"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w:t>
            </w:r>
            <w:r w:rsidRPr="00B95A07">
              <w:rPr>
                <w:rFonts w:ascii="標楷體" w:eastAsia="標楷體" w:hAnsi="標楷體"/>
                <w:kern w:val="2"/>
                <w:szCs w:val="24"/>
              </w:rPr>
              <w:t>1</w:t>
            </w:r>
            <w:r w:rsidRPr="00B95A07">
              <w:rPr>
                <w:rFonts w:ascii="標楷體" w:eastAsia="標楷體" w:hAnsi="標楷體" w:hint="eastAsia"/>
                <w:kern w:val="2"/>
                <w:szCs w:val="24"/>
              </w:rPr>
              <w:t>2.12.15）決定：「交財政委員會審查」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0EE93B" w14:textId="161EEDFA"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C69E4BB" w14:textId="77777777" w:rsidTr="000F7CA8">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4A23D6AC"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5BEF5BED" w14:textId="3B9C550E"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數位發展部函送「前瞻基礎建設計畫第4期」特別預算112年第4季「改善偏鄉5G環境」執行進度書面報告案。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08A66BF7" w14:textId="7777CDA1"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w:t>
            </w:r>
            <w:r w:rsidRPr="00B95A07">
              <w:rPr>
                <w:rFonts w:ascii="標楷體" w:eastAsia="標楷體" w:hAnsi="標楷體"/>
                <w:kern w:val="2"/>
                <w:szCs w:val="24"/>
              </w:rPr>
              <w:t>1</w:t>
            </w:r>
            <w:r w:rsidRPr="00B95A07">
              <w:rPr>
                <w:rFonts w:ascii="標楷體" w:eastAsia="標楷體" w:hAnsi="標楷體" w:hint="eastAsia"/>
                <w:kern w:val="2"/>
                <w:szCs w:val="24"/>
              </w:rPr>
              <w:t>3.03.29）決定：「交財政委員會審查」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388A68A" w14:textId="4A1887A2"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52B6628" w14:textId="77777777" w:rsidTr="000F7CA8">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00566510"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D6FCD37" w14:textId="19FEB106"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行政院公共工程委員會函為中央政府前瞻基礎建設計畫第4期特別預算決議，檢送通案決議（四）工程多次流標原因檢討書面報告案。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15206584" w14:textId="5AD9F9C3"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16E33315" w14:textId="774F8BB9"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86684B8" w14:textId="77777777" w:rsidTr="000F7CA8">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275102E3"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9E89827"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1B21FA45"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018AE457"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6D480E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FFE59A5"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C1C2DD"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內政部函為中央政府前瞻基礎建設計畫第4期特別預算決議，檢送「提升道路品質計畫(內政部)2.0」書面報告案。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5D93C4"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FAAD3B"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C57A44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72AB347"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2CB0D7" w14:textId="1CDDBCB2"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4期特別預算決議，檢送「戶政資料外洩案」書面報告案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89004C" w14:textId="019CB450"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7DD356F" w14:textId="73BE04A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55727C0C" w14:textId="77777777" w:rsidTr="00A063D4">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53D365E"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5B6586" w14:textId="5BC55F39"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52BA6C" w14:textId="3DE2E9F2"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1C67490" w14:textId="4535B365"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CE5C1D7" w14:textId="77777777" w:rsidTr="00A063D4">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1FED808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68F8AF" w14:textId="7A95D8E3"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內政部函為中央政府前瞻基礎建設計畫第4期特別預算決議，檢送公有危險建築補強重建計畫預算說明書面報告案。</w:t>
            </w:r>
          </w:p>
        </w:tc>
        <w:tc>
          <w:tcPr>
            <w:tcW w:w="2871" w:type="dxa"/>
            <w:tcBorders>
              <w:top w:val="single" w:sz="4" w:space="0" w:color="auto"/>
              <w:left w:val="single" w:sz="4" w:space="0" w:color="000000"/>
              <w:bottom w:val="single" w:sz="12" w:space="0" w:color="auto"/>
              <w:right w:val="single" w:sz="4" w:space="0" w:color="000000"/>
            </w:tcBorders>
            <w:shd w:val="clear" w:color="auto" w:fill="FFFFFF"/>
          </w:tcPr>
          <w:p w14:paraId="57194783" w14:textId="61AE7F83"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12" w:space="0" w:color="auto"/>
              <w:right w:val="single" w:sz="4" w:space="0" w:color="000000"/>
            </w:tcBorders>
            <w:shd w:val="clear" w:color="auto" w:fill="auto"/>
            <w:vAlign w:val="center"/>
          </w:tcPr>
          <w:p w14:paraId="7FD942D4" w14:textId="7E5EB8F3"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45D5BDF" w14:textId="77777777" w:rsidTr="00794C71">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02CA6D26"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AC9F2AB" w14:textId="77777777" w:rsidR="000F7CA8" w:rsidRPr="00B95A07" w:rsidRDefault="000F7CA8" w:rsidP="000F7CA8">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行政院環境保護署函為中央政府前瞻基礎建設計畫第4期特別預算決議，檢送該署決議（三）書面報告案。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206F55E1"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6A3E555A"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41980CAA" w14:textId="77777777" w:rsidTr="00794C71">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3C9A75B8"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CA2E97E" w14:textId="50B031EE"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衛生福利部函為中央政府前瞻基礎建設計畫第4期特別預算決議，檢送建立居家或就近視訊連線醫療模式書面報告案。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0E42B7D" w14:textId="12786409"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w:t>
            </w:r>
            <w:r w:rsidRPr="00B95A07">
              <w:rPr>
                <w:rFonts w:ascii="標楷體" w:eastAsia="標楷體" w:hAnsi="標楷體"/>
                <w:kern w:val="2"/>
                <w:szCs w:val="24"/>
              </w:rPr>
              <w:t>7</w:t>
            </w:r>
            <w:r w:rsidRPr="00B95A07">
              <w:rPr>
                <w:rFonts w:ascii="標楷體" w:eastAsia="標楷體" w:hAnsi="標楷體" w:hint="eastAsia"/>
                <w:kern w:val="2"/>
                <w:szCs w:val="24"/>
              </w:rPr>
              <w:t>會期第</w:t>
            </w:r>
            <w:r w:rsidRPr="00B95A07">
              <w:rPr>
                <w:rFonts w:ascii="標楷體" w:eastAsia="標楷體" w:hAnsi="標楷體"/>
                <w:kern w:val="2"/>
                <w:szCs w:val="24"/>
              </w:rPr>
              <w:t>8</w:t>
            </w:r>
            <w:r w:rsidRPr="00B95A07">
              <w:rPr>
                <w:rFonts w:ascii="標楷體" w:eastAsia="標楷體" w:hAnsi="標楷體" w:hint="eastAsia"/>
                <w:kern w:val="2"/>
                <w:szCs w:val="24"/>
              </w:rPr>
              <w:t>次院會（1</w:t>
            </w:r>
            <w:r w:rsidRPr="00B95A07">
              <w:rPr>
                <w:rFonts w:ascii="標楷體" w:eastAsia="標楷體" w:hAnsi="標楷體"/>
                <w:kern w:val="2"/>
                <w:szCs w:val="24"/>
              </w:rPr>
              <w:t>12</w:t>
            </w:r>
            <w:r w:rsidRPr="00B95A07">
              <w:rPr>
                <w:rFonts w:ascii="標楷體" w:eastAsia="標楷體" w:hAnsi="標楷體" w:hint="eastAsia"/>
                <w:kern w:val="2"/>
                <w:szCs w:val="24"/>
              </w:rPr>
              <w:t>.</w:t>
            </w:r>
            <w:r w:rsidRPr="00B95A07">
              <w:rPr>
                <w:rFonts w:ascii="標楷體" w:eastAsia="標楷體" w:hAnsi="標楷體"/>
                <w:kern w:val="2"/>
                <w:szCs w:val="24"/>
              </w:rPr>
              <w:t>4</w:t>
            </w:r>
            <w:r w:rsidRPr="00B95A07">
              <w:rPr>
                <w:rFonts w:ascii="標楷體" w:eastAsia="標楷體" w:hAnsi="標楷體" w:hint="eastAsia"/>
                <w:kern w:val="2"/>
                <w:szCs w:val="24"/>
              </w:rPr>
              <w:t>.</w:t>
            </w:r>
            <w:r w:rsidRPr="00B95A07">
              <w:rPr>
                <w:rFonts w:ascii="標楷體" w:eastAsia="標楷體" w:hAnsi="標楷體"/>
                <w:kern w:val="2"/>
                <w:szCs w:val="24"/>
              </w:rPr>
              <w:t>21</w:t>
            </w:r>
            <w:r w:rsidRPr="00B95A07">
              <w:rPr>
                <w:rFonts w:ascii="標楷體" w:eastAsia="標楷體" w:hAnsi="標楷體" w:hint="eastAsia"/>
                <w:kern w:val="2"/>
                <w:szCs w:val="24"/>
              </w:rPr>
              <w:t>）決定：「交財政及相關委員會審查」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2C653467" w14:textId="2FA26850"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4F847A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FDCCBA2"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7CD00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衛生福利部函為中央政府前瞻基礎建設計畫第4期特別預算決議，檢送整合各部會資源挽救少子化危機書面報告案。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459600"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F9868C6"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65F80E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DF623D1"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6C8F5DF"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衛生福利部函為中央政府前瞻基礎建設計畫第4期特別預算決議，檢送布建合宜之公共托育資源之說明案。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68D4A0C"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55E86A0"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E8301F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8E17437"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34285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衛生福利部函為中央政府前瞻基礎建設計畫第4期特別預算決議，檢送「托育人員薪資級距與支給基準」之說明案。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FC5A9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2C032F"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3FC4F88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2EFE735"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859AD2"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衛生福利部函為中央政府前瞻基礎建設計畫第4期特別預算決議，檢送協調研議擴大育嬰留職停薪薪資替代率政策適用族群之說明案。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91377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09C486"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B5CB2D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280626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24C358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衛生福利部函為中央政府前瞻基礎建設計畫第4期特別預算決議，檢送提升全國公立及公設民營托嬰中心量能數之說明案。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AE5EA7"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C71F8A6"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E10D84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E451D2B"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7CF6A1"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衛生福利部函為中央政府前瞻基礎建設計畫第4期特別預算決議，檢送托育服務對少子女化幫助之說明案。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10E49A5"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C2BF989"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35EF37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7452D7F"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EF52F3"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衛生福利部函為中央政府前瞻基礎建設計畫第4期特別預算決議，檢送加速執行前瞻基礎建設計畫之說明案。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4E311B"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BECA2D"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4B14DD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CAE20C1"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F2B326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衛生福利部函為中央政府前瞻基礎建設計畫第4期特別預算決議，檢送預算執行進度之說明案。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7396C4B"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0FC28AD"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1A890DD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104E908"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6CB843"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衛生福利部函為中央政府前瞻基礎建設計畫第4期特別預算決議，檢送減少撤案後再提出申請之作業時間浪費書面報告案。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9E5D2D0"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0D51B67"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0B6D8E1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E4DFA1"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63D3E4"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衛生福利部函為中央政府前瞻基礎建設計畫第4期特別預算決議，檢送針對落後原因與改善方式之說明案。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1C4B8B4"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2EEBA4B"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2D339021" w14:textId="77777777" w:rsidTr="00794C71">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4F1B13A"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28A482"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衛生福利部函為中央政府前瞻基礎建設計畫第4期特別預算決議，檢送「地方創生長照衛福據點整備」預算執行情形偏低書面報告案。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3BF00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7456D1"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F7CA8" w:rsidRPr="00B95A07" w14:paraId="71FF76EC" w14:textId="77777777" w:rsidTr="00794C71">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2E2D13BD" w14:textId="77777777" w:rsidR="000F7CA8" w:rsidRPr="00B95A07" w:rsidRDefault="000F7CA8" w:rsidP="000F7CA8">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5AF3A8"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衛生福利部函為中央政府前瞻基礎建設計畫第4期特別預算決議，檢送整建長照衛福據點計畫並研擬精進方案書面報告案。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46423E23" w14:textId="77777777" w:rsidR="000F7CA8" w:rsidRPr="00B95A07" w:rsidRDefault="000F7CA8" w:rsidP="000F7CA8">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65690D7" w14:textId="77777777" w:rsidR="000F7CA8" w:rsidRPr="00B95A07" w:rsidRDefault="000F7CA8" w:rsidP="000F7CA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F401950" w14:textId="77777777" w:rsidTr="00DC1D2B">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70822E7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3CCF36" w14:textId="09C27A95" w:rsidR="00A063D4" w:rsidRPr="00A063D4"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E637F0" w14:textId="04E54933" w:rsidR="00A063D4" w:rsidRPr="00A063D4"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第10屆第8會期第2次院會（1</w:t>
            </w:r>
            <w:r w:rsidRPr="00A063D4">
              <w:rPr>
                <w:rFonts w:ascii="標楷體" w:eastAsia="標楷體" w:hAnsi="標楷體"/>
                <w:kern w:val="2"/>
                <w:szCs w:val="24"/>
              </w:rPr>
              <w:t>12</w:t>
            </w:r>
            <w:r w:rsidRPr="00A063D4">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AFCCC8E" w14:textId="6B35DD4D" w:rsidR="00A063D4" w:rsidRPr="00A063D4" w:rsidRDefault="00A063D4" w:rsidP="00A063D4">
            <w:pPr>
              <w:widowControl w:val="0"/>
              <w:overflowPunct w:val="0"/>
              <w:autoSpaceDN/>
              <w:spacing w:line="32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尚未審查</w:t>
            </w:r>
          </w:p>
        </w:tc>
      </w:tr>
      <w:tr w:rsidR="00A063D4" w:rsidRPr="00B95A07" w14:paraId="52918A3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31DC5D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3B22AB" w14:textId="41EFA7D0"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ADDB61" w14:textId="2205AF5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BC5E93C" w14:textId="4F24F2E6"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3C34FE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917CE9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5DE12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國家發展委員會函為中央政府前瞻基礎建設計畫第4期特別預算決議，檢送2050淨零排放相關計畫執行情形書面報告案。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93951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DCAAFB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6AB7565" w14:textId="77777777" w:rsidTr="00B90EB6">
        <w:trPr>
          <w:gridAfter w:val="1"/>
          <w:wAfter w:w="7" w:type="dxa"/>
          <w:trHeight w:val="556"/>
          <w:jc w:val="center"/>
        </w:trPr>
        <w:tc>
          <w:tcPr>
            <w:tcW w:w="846" w:type="dxa"/>
            <w:tcBorders>
              <w:top w:val="single" w:sz="4" w:space="0" w:color="auto"/>
              <w:left w:val="single" w:sz="4" w:space="0" w:color="auto"/>
              <w:bottom w:val="single" w:sz="4" w:space="0" w:color="auto"/>
              <w:right w:val="single" w:sz="4" w:space="0" w:color="auto"/>
            </w:tcBorders>
          </w:tcPr>
          <w:p w14:paraId="76DD1DA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C71CC8" w14:textId="7235038C"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國家發展委員會函為中央政府前瞻基礎建設計畫第4期特別預算決議，檢送「前瞻基礎建設計畫之預期經濟效益評估」書面報告案。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A7F667" w14:textId="542F4CCD"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A4ADC8" w14:textId="35A242FE"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B244B20" w14:textId="77777777" w:rsidTr="00794C71">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2AC3962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C655188" w14:textId="3E51202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國家發展委員會函送113年「前瞻基礎建設計畫之預期經濟效益評估」書面報告案。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45F59AAF" w14:textId="494BF8A6"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第11屆第2會期第16次院會(114.1.3)決定：「交財政委員會審查」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A3C01F7" w14:textId="028EC8C8"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尚未審查</w:t>
            </w:r>
          </w:p>
        </w:tc>
      </w:tr>
      <w:tr w:rsidR="00A063D4" w:rsidRPr="00B95A07" w14:paraId="0DBF3871" w14:textId="77777777" w:rsidTr="00794C71">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6A63082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43BBD6A" w14:textId="3CEFA15F"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教育部函為中央政府前瞻基礎建設計畫第4期特別預算決議，檢送「推動雙語政策檢討及策進作為」書面報告案。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32DE8D23" w14:textId="500E9CA4"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1ED9347C" w14:textId="5B9C2554"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7D0167E" w14:textId="77777777" w:rsidTr="000D2E36">
        <w:trPr>
          <w:trHeight w:val="415"/>
          <w:jc w:val="center"/>
        </w:trPr>
        <w:tc>
          <w:tcPr>
            <w:tcW w:w="9901" w:type="dxa"/>
            <w:gridSpan w:val="5"/>
            <w:tcBorders>
              <w:top w:val="single" w:sz="12" w:space="0" w:color="auto"/>
              <w:left w:val="single" w:sz="4" w:space="0" w:color="auto"/>
              <w:bottom w:val="single" w:sz="12" w:space="0" w:color="auto"/>
              <w:right w:val="single" w:sz="4" w:space="0" w:color="auto"/>
            </w:tcBorders>
          </w:tcPr>
          <w:p w14:paraId="579CDCD1" w14:textId="77777777" w:rsidR="00A063D4" w:rsidRPr="00B95A07" w:rsidRDefault="00A063D4" w:rsidP="00A063D4">
            <w:pPr>
              <w:widowControl w:val="0"/>
              <w:overflowPunct w:val="0"/>
              <w:autoSpaceDN/>
              <w:spacing w:line="320" w:lineRule="exact"/>
              <w:ind w:left="420" w:hangingChars="150" w:hanging="420"/>
              <w:jc w:val="both"/>
              <w:textAlignment w:val="auto"/>
              <w:rPr>
                <w:rFonts w:ascii="標楷體" w:eastAsia="標楷體" w:hAnsi="標楷體"/>
                <w:color w:val="7030A0"/>
                <w:kern w:val="2"/>
                <w:szCs w:val="24"/>
              </w:rPr>
            </w:pPr>
            <w:r w:rsidRPr="00B95A07">
              <w:rPr>
                <w:rFonts w:ascii="標楷體" w:eastAsia="標楷體" w:hAnsi="標楷體" w:hint="eastAsia"/>
                <w:b/>
                <w:kern w:val="2"/>
                <w:sz w:val="28"/>
                <w:szCs w:val="28"/>
              </w:rPr>
              <w:t>10.中央政府疫後強化經濟與社會韌性及全民共享經濟成果特別預算案（11</w:t>
            </w:r>
            <w:r>
              <w:rPr>
                <w:rFonts w:ascii="標楷體" w:eastAsia="標楷體" w:hAnsi="標楷體" w:hint="eastAsia"/>
                <w:b/>
                <w:kern w:val="2"/>
                <w:sz w:val="28"/>
                <w:szCs w:val="28"/>
              </w:rPr>
              <w:t>5</w:t>
            </w:r>
            <w:r w:rsidRPr="00B95A07">
              <w:rPr>
                <w:rFonts w:ascii="標楷體" w:eastAsia="標楷體" w:hAnsi="標楷體" w:hint="eastAsia"/>
                <w:b/>
                <w:kern w:val="2"/>
                <w:sz w:val="28"/>
                <w:szCs w:val="28"/>
              </w:rPr>
              <w:t>案）</w:t>
            </w:r>
          </w:p>
        </w:tc>
      </w:tr>
      <w:tr w:rsidR="00A063D4" w:rsidRPr="00B95A07" w14:paraId="1CE36244"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0B2DF1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247E4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行政院主計總處函為中央政府疫後強化經濟與社會韌性及全民共享經濟成果特別預算決議，檢送國庫急需大量資金具體措施書面報告案。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80DEB6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90C6DF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BFF1E86"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5A3D93C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075A572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行政院主計總處函為中央政府疫後強化經濟與社會韌性及全民共享經濟成果特別預算決議，檢送媒體政策及業務宣導費用之標準及應用書面報告案。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FCDB58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01B8DC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954784E" w14:textId="77777777" w:rsidTr="00E14320">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7542D2A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1F97FE3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財政部函為中央政府疫後強化經濟與社會韌性及全民共享經濟成果特別預算決議，檢送捐贈專戶書面報告案。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2500BB5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281F719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756ADBD"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18981DC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1EBA51A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內政部函為中央政府疫後強化經濟與社會韌性及全民共享經濟成果特別預算決議，檢送第1項決議（二）及（十一）書面報告案。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CDB33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059928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81EDF8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354190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C520F6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內政部函為中央政府疫後強化經濟與社會韌性及全民共享經濟成果特別預算決議，檢送該部決議（六）、（九）及（十五）書面報告案。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2653D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06B1C0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01F5E7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371431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27858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內政部函為中央政府疫後強化經濟與社會韌性及全民共享經濟成果特別預算決議，檢送「300億元擴大租金補貼計畫與社會住宅興辦計畫之檢討與改善方案」書面報告案。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63BA9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9F3917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5029B3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E76C5F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95F91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內政部函為中央政府疫後強化經濟與社會韌性及全民共享經濟成果特別預算決議，檢送「300億元擴大租金補貼計畫與社會住宅興辦計畫之問題與改善方案」書面報告案。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82999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64AF76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F1EFE9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0A450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08186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內政部函為中央政府疫後強化經濟與社會韌性及全民共享經濟成果特別預算決議，檢送加速興建社會住宅措施書面報告案。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9C297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BEF871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6DB434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31989E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CCFCD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內政部函為中央政府疫後強化經濟與社會韌性及全民共享經濟成果特別預算決議，檢送「社會住宅興建進度與策進規劃及租屋市場改善措施」書面報告案。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40DE49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4060AD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32D0FF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4B1052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20C8B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內政部函為中央政府疫後強化經濟與社會韌性及全民共享經濟成果特別預算決議，檢送擴大租金補貼計畫書面報告案。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C1235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676B5E5"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73221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CB829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5D32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內政部函為中央政府疫後強化經濟與社會韌性及全民共享經濟成果特別預算決議，檢送「危老建築物耐震能力評估執行情形」書面報告案。</w:t>
            </w:r>
          </w:p>
          <w:p w14:paraId="4668E2F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D85A8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716A2D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FF0D9F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DEEFD4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78815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內政部函為中央政府疫後強化經濟與社會韌性及全民共享經濟成果特別預算決議，檢送多元減輕國民居住負擔書面報告。</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E069E9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EFE618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005953" w14:textId="77777777" w:rsidTr="001A6D6A">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65E631E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B15DAC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內政部函為中央政府疫後強化經濟與社會韌性及全民共享經濟成果特別預算決議，檢送減輕國民居住負擔書面報告案。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076553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76B0DC4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272D62D" w14:textId="77777777" w:rsidTr="001A6D6A">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6853F64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81C990C" w14:textId="0AC9DA3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經濟部函為中央政府疫後強化經濟與社會韌性及全民共享經濟成果特別預算決議，檢送國營事業虧損情形書面報告案。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7C286096" w14:textId="7CC5CF5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40E44D1" w14:textId="4BB02880"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45741D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A64CF1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69B48C" w14:textId="400EA5E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4016D4" w14:textId="0D000609"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B8B727" w14:textId="54F43CB1"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33232A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A6FBFF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240F1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經濟部函為中央政府疫後強化經濟與社會韌性及全民共享經濟成果特別預算決議，檢送「中小企業面對ESG產業因應與中小企業低碳化升級」書面報告案。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64C82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B5EE98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982243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7CE946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1F00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經濟部函為中央政府疫後強化經濟與社會韌性及全民共享經濟成果特別預算決議，檢送「中小企業疫後振興轉型資金協助措施」書面報告案。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73F4C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E81ED8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A6B04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B4397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0D116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經濟部函為中央政府疫後強化經濟與社會韌性及全民共享經濟成果特別預算決議，檢送「協助中小企業提升資安能力之作法」書面報告案。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6246D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A452B9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686A01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7C64F7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E36BB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經濟部函中央政府疫後強化經濟與社會韌性及全民共享經濟成果特別預算決議，檢送「輔導中小企業出口產品減碳包裝設計之辦理情形」書面報告案。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A8ED8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3AD32E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1DC6DA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5B923F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A6AE9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經濟部函為中央政府疫後強化經濟與社會韌性及全民共享經濟成果特別預算決議，檢送「疫後協助中小企業低碳及智慧化升級轉型作法」書面報告案。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850FE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6C0E9F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02D234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067F0C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8D740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經濟部函為中央政府疫後強化經濟與社會韌性及全民共享經濟成果特別預算決議，檢送檢討能源政策書面報告案。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A86FE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D8EDF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260456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EAEFD7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3F5BB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經濟部函為中央政府疫後強化經濟與社會韌性及全民共享經濟成果特別預算決議，檢送「推動傳統市場空間活化及升級轉型規劃方案」書面報告案。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BAE0A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ED73D8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77559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524BD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345A6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7C554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DE0E31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A5AA5E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C05C2E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134B0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經濟部函為中央政府疫後強化經濟與社會韌性及全民共享經濟成果特別預算決議，檢送政策及業務宣導費規劃書面報告案。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30F72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8853BF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C9398A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29AB48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0D832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經濟部函為中央政府疫後強化經濟與社會韌性及全民共享經濟成果特別預算決議，檢送本次特別預算各年度具體計畫項目書面報告案。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56E3C2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1065FB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53F142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553DA9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F6AFC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經濟部函為中央政府疫後強化經濟與社會韌性及全民共享經濟成果特別預算決議，檢送推動街區店家升級轉型書面報告案。</w:t>
            </w:r>
          </w:p>
          <w:p w14:paraId="5EC2FB2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928E8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16E083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38FE17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FF5100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73EF8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經濟部函為中央政府疫後強化經濟與社會韌性及全民共享經濟成果特別預算決議，檢送「國營及公股事業促銷加碼方案」書面報告案。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B8B68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A3E500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3B60F8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1C8BD4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118DE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經濟部函為中央政府疫後強化經濟與社會韌性及全民共享經濟成果特別預算決議，檢送「台糖公司自然碳匯功能盤點評析」書面報告案。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57EAE1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7E97E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FD2585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A7E7CF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8C0D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經濟部函為中央政府疫後強化經濟與社會韌性及全民共享經濟成果特別預算決議，檢送「疫後專案貸款審慎研擬適用對象範圍等相關規範」書面報告案。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F4B34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A8EB56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D70409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39390E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2A56C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經濟部函為中央政府疫後強化經濟與社會韌性及全民共享經濟成果特別預算決議，檢送「疫後專案貸款強化風險管控」書面報告案。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4F722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0DBDB1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37B500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66BC9A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233CC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經濟部函為中央政府疫後強化經濟與社會韌性及全民共享經濟成果特別預算決議，檢送「疫後專案貸款推動作法」書面報告案。</w:t>
            </w:r>
          </w:p>
          <w:p w14:paraId="62DF212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07382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102CC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5758A9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CB9C00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09DD0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經濟部函為中央政府疫後強化經濟與社會韌性及全民共享經濟成果特別預算決議，檢送「漁電共生改善制度」書面報告案。</w:t>
            </w:r>
          </w:p>
          <w:p w14:paraId="2E71771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1F2788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E05F42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0E8EA5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95187D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D4E83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經濟部函為中央政府疫後強化經濟與社會韌性及全民共享經濟成果特別預算決議，檢送「經濟部編列資本門經費報告」書面報告案。</w:t>
            </w:r>
          </w:p>
          <w:p w14:paraId="7DDC9CA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71BDD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D8D4DA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AB9E3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273E4C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31D5F5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經濟部函為中央政府疫後強化經濟與社會韌性及全民共享經濟成果特別預算決議，檢送商業服務業因應碳盤查及綠色認證書面報告案。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DF944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4479F0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39609E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4E1E36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DD13B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經濟部函為中央政府疫後強化經濟與社會韌性及全民共享經濟成果特別預算決議，檢送「我國能源轉型及再生能源推動」書面報告案。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497F7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2ACA08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97743C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E0757C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ABF9B9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經濟部函為中央政府疫後強化經濟與社會韌性及全民共享經濟成果特別預算決議，檢送「特登工廠消防設備標準」書面報告案。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C0434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1E1AB5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E24D6F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F70305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DFA530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經濟部函為中央政府疫後強化經濟與社會韌性及全民共享經濟成果特別預算決議，檢送「推動傳統市集攤舖疫後強化產業體質升級轉型規劃」書面報告案。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5088A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796C58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E5CC60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6576C1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2D993B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經濟部函為中央政府疫後強化經濟與社會韌性及全民共享經濟成果特別預算決議，檢送現行電價費率公式規範之原則書面報告案。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0043DD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DC4B4E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D5AEC1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825D8B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F83DC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經濟部函為中央政府疫後強化經濟與社會韌性及全民共享經濟成果特別預算決議，檢送「電價調整對用戶行為影響之說明」書面報告案。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466A57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0E71D4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A338C1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420B44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B1EEC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2204F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226165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773B51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692976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C697E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經濟部函為中央政府疫後強化經濟與社會韌性及全民共享經濟成果特別預算決議，檢送「強化供電穩定性及改善電力系統風險管控」書面報告案。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DBEDBE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E06017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B24F69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CF7BC7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057A5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經濟部函為中央政府疫後強化經濟與社會韌性及全民共享經濟成果特別預算決議，檢送「電價公式及調整機制之檢討」書面報告案。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833516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3C657D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64A148A"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415329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435B2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經濟部函為中央政府疫後強化經濟與社會韌性及全民共享經濟成果特別預算決議，檢送「改善台電公司財務結構對策」書面報告案。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0C779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C543A3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24B14E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302D3B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7FF3C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經濟部函為中央政府疫後強化經濟與社會韌性及全民共享經濟成果特別預算決議，檢送「電價調整方案規劃及供電穩定說明」書面報告案。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DB9233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287E43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789B739"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56CE21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2A6AD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經濟部函為中央政府疫後強化經濟與社會韌性及全民共享經濟成果特別預算決議，檢送「能源政策檢討及改善台電公司財務措施」書面報告案。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F5195D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7ED595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6D7FB9C"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2946E45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FB2C74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經濟部函為中央政府疫後強化經濟與社會韌性及全民共享經濟成果特別預算決議，檢送「改善台電公司財務結構及永續發展之具體策略」書面報告案。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892E6C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26AD065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4155DAE"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0AC4BCB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888A07B" w14:textId="1880A305"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行政院農業委員會函為中央政府疫後強化經濟與社會韌性及全民共享經濟成果特別預算決議，檢送補助小型漁船筏裝設攜帶式船舶自動識別系統書面報告案。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C816D04" w14:textId="19FABD7A"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C402698" w14:textId="4343AFD0"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0492EA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621EC1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6BB175" w14:textId="16BC84C6"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行政院農業委員會函為中央政府疫後強化經濟與社會韌性及全民共享經濟成果特別預算決議，檢送辦理幸福餐盒書面報告案。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83B3B1" w14:textId="593E5AF9"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B914D24" w14:textId="4834E164"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16BBA76" w14:textId="77777777" w:rsidTr="00B90EB6">
        <w:trPr>
          <w:gridAfter w:val="1"/>
          <w:wAfter w:w="7" w:type="dxa"/>
          <w:trHeight w:val="415"/>
          <w:jc w:val="center"/>
        </w:trPr>
        <w:tc>
          <w:tcPr>
            <w:tcW w:w="846" w:type="dxa"/>
            <w:tcBorders>
              <w:top w:val="single" w:sz="4" w:space="0" w:color="auto"/>
              <w:left w:val="single" w:sz="4" w:space="0" w:color="auto"/>
              <w:bottom w:val="single" w:sz="4" w:space="0" w:color="auto"/>
              <w:right w:val="single" w:sz="4" w:space="0" w:color="auto"/>
            </w:tcBorders>
          </w:tcPr>
          <w:p w14:paraId="36DC73A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4CA6C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行政院農業委員會函為中央政府疫後強化經濟與社會韌性及全民共享經濟成果特別預算決議，檢送公務預算與特別預算編列異同書</w:t>
            </w:r>
            <w:r w:rsidRPr="00B95A07">
              <w:rPr>
                <w:rFonts w:ascii="標楷體" w:eastAsia="標楷體" w:hAnsi="標楷體" w:hint="eastAsia"/>
                <w:kern w:val="2"/>
                <w:szCs w:val="24"/>
              </w:rPr>
              <w:lastRenderedPageBreak/>
              <w:t>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A7F2F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w:t>
            </w:r>
            <w:r w:rsidRPr="00B95A07">
              <w:rPr>
                <w:rFonts w:ascii="標楷體" w:eastAsia="標楷體" w:hAnsi="標楷體" w:hint="eastAsia"/>
                <w:kern w:val="2"/>
                <w:szCs w:val="24"/>
              </w:rPr>
              <w:lastRenderedPageBreak/>
              <w:t>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320EE8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尚未審查</w:t>
            </w:r>
          </w:p>
        </w:tc>
      </w:tr>
      <w:tr w:rsidR="00A063D4" w:rsidRPr="00B95A07" w14:paraId="226F249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CDD1FC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19DAA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行政院農業委員會函為中央政府疫後強化經濟與社會韌性及全民共享經濟成果特別預算決議，檢送資本門預算規劃內容書面報告案。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E5468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D076E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ED932E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CDA603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A9BE6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行政院農業委員會函為中央政府疫後強化經濟與社會韌性及全民共享經濟成果特別預算決議，檢送農村送暖等經費書面報告案。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AFB280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03B528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813E8D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D81EE9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CAB765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行政院農業委員會函為中央政府疫後強化經濟與社會韌性及全民共享經濟成果特別預算決議，檢送農田水利署特別預算與公務預算農田水利發展等兩項用途之差異書面報告案。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8E8C79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3EDF9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3E89B9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ED7484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FDC2E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行政院農業委員會函為中央政府疫後強化經濟與社會韌性及全民共享經濟成果特別預算決議，檢送漁電共生改善制度書面報告案。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2A3D2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479E8E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793B7C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DA4E59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098D0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行政院農業委員會函為中央政府疫後強化經濟與社會韌性及全民共享經濟成果特別預算決議，檢送漁業署旗后漁港老舊碼頭整建計畫書面報案。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B733874"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E4992DC"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86E297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8FED79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A1847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行政院農業委員會函為中央政府疫後強化經濟與社會韌性及全民共享經濟成果特別預算決議，檢送強化農業基礎設施及照顧農漁民權益規劃書面報告案。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637D1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1C25CC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6ED91D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538A42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FE3D5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行政院農業委員會函為中央政府疫後強化經濟與社會韌性及全民共享經濟成果特別預算決議，檢送林務局推動企業參與本土森林碳權專案書面報告案。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831B6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CBF034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53C53B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301815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CA8C1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行政院農業委員會函為中央政府疫後強化經濟與社會韌性及全民共享經濟成果特別預算決議，檢送花東地區禽舍改建輔導規劃書面報告案。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6E1B4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F18CB4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5D1997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66562C9"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8B8CC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A4FE1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2B3C67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0D30B3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4F9936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994F4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行政院農業委員會函為中央政府疫後強化經濟與社會韌性及全民共享經濟成果特別預算決議，檢送完備禽舍改建補助規範書面報告案。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582533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3BF66A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F3FA91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B62D77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F09B7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行政院農業委員會函為中央政府疫後強化經濟與社會韌性及全民共享經濟成果特別預算決議，檢送禽舍改建升級與推動雞蛋洗選政策規劃書面報告案。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E89021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923033A"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8816CE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8472CE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92677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行政院農業委員會函為中央政府疫後強化經濟與社會韌性及全民共享經濟成果特別預算決議，檢送禽舍改建升級規劃與防疫機制檢討書面報告案。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498405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E9D446"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D2E198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83AB98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EB1B1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行政院農業委員會函為中央政府疫後強化經濟與社會韌性及全民共享經濟成果特別預算決議，檢送「禽舍改善升級規劃」書面報告案。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7B5F6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D06E93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63B46B0"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C9555F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10828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行政院農業委員會函為中央政府疫後強化經濟與社會韌性及全民共享經濟成果特別預算決議，檢送禽舍改建升級規劃與禽流感撲殺補償及復養條件檢討書面報告案。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C6B868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4149F9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46E2791"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4B1397D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9B40A8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行政院農業委員會函為中央政府疫後強化經濟與社會韌性及全民共享經濟成果特別預算決議，檢送蛋雞產業智慧化生產輔導措施書面報告案。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1B04186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07293F4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6414796"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20F0C12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F2F39C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衛生福利部函為中央政府疫後強化經濟與社會韌性及全民共享經濟成果特別預算決議，檢送輔導社會福利服務中心完善機能之說明案。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1C8791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62DAFDA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BF1CA9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163F22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24D7F8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衛生福利部函為中央政府疫後強化經濟與社會韌性及全民共享經濟成果特別預算決議，檢送積極改善臺灣護理人員低薪及血汗情形之說明案。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227B8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FEA55F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D48768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5F5CA1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578A6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衛生福利部函為中央政府疫後強化經濟與社會韌性及全民共享經濟成果特別預算決議，檢送少子化與高齡化策進行為書面報告案。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65A9C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52DE8C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F05521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FF72D0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860F7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衛生福利部函為中央政府疫後強化經濟與社會韌性及全民共享經濟成果特別預算決議，檢送各年度優先推行之具體計畫項目書面報告案。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A0C70D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A50F64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FCD7510"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A2B3B0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7858E3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衛生福利部函為中央政府疫後強化經濟與社會韌性及全民共享經濟成果特別預算決議，檢送積極照顧弱勢族群生活基本所需書面報告案。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AD665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C3BDE5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068D4F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810CF4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EC1F1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衛生福利部函為中央政府疫後強化經濟與社會韌性及全民共享經濟成果特別預算決議，檢送縮短全民健康保險費率精算間隔年限或檢討全民健康保險精算方式書面報告案。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72C3A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5C98E6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98D6B5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0BFEA5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8EE6B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衛生福利部函為中央政府疫後強化經濟與社會韌性及全民共享經濟成果特別預算決議，檢送資本門預算編列書面報告案。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371BF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339556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FC36AB5" w14:textId="77777777" w:rsidTr="001A6D6A">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15BC12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0E834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衛生福利部函為中央政府疫後強化經濟與社會韌性及全民共享經濟成果特別預算決議，檢送健保總額下可能的浪費情況檢討書面報告案。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CF5A3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0C5CFD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784CC01" w14:textId="77777777" w:rsidTr="001A6D6A">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36E1887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AD7D449" w14:textId="108EB273"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衛生福利部函為中央政府疫後強化經濟與社會韌性及全民共享經濟成果特別預算決議，檢送避免非必要支出並釐訂支給項目書面報告案。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4F7B25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1D81617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BCA67F0" w14:textId="77777777" w:rsidTr="001A6D6A">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2E8D5E0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005DDB57" w14:textId="6CB70EA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交通部函為中央政府疫後強化經濟與社會韌性及全民共享經濟成果特別預算決議，檢送公路總局決議（十八）加速屏南快速道路之建設書面報告。</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BB43814" w14:textId="45B9FDB3"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第10屆第8會期第2次院會（1</w:t>
            </w:r>
            <w:r w:rsidRPr="00B95A07">
              <w:rPr>
                <w:rFonts w:ascii="標楷體" w:eastAsia="標楷體" w:hAnsi="標楷體"/>
                <w:kern w:val="2"/>
                <w:szCs w:val="24"/>
              </w:rPr>
              <w:t>12</w:t>
            </w:r>
            <w:r w:rsidRPr="00B95A07">
              <w:rPr>
                <w:rFonts w:ascii="標楷體" w:eastAsia="標楷體" w:hAnsi="標楷體" w:hint="eastAsia"/>
                <w:kern w:val="2"/>
                <w:szCs w:val="24"/>
              </w:rPr>
              <w:t>.10.3）決定：「交財政及相關委員會審查」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3BD815D5" w14:textId="0B469E90"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C0BDDB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C92F79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D3027CD" w14:textId="77777777" w:rsidR="00A063D4" w:rsidRPr="001A6D6A"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交通部函為中央政府疫後強化經濟與社會韌性及全民共享經濟成果特別預算決議，檢送觀光局及所屬決議（二）旅宿業缺工書面報告案。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B73D12B" w14:textId="77777777" w:rsidR="00A063D4" w:rsidRPr="001A6D6A"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第10屆第8會期第3次院會（1</w:t>
            </w:r>
            <w:r w:rsidRPr="001A6D6A">
              <w:rPr>
                <w:rFonts w:ascii="標楷體" w:eastAsia="標楷體" w:hAnsi="標楷體"/>
                <w:kern w:val="2"/>
                <w:szCs w:val="24"/>
              </w:rPr>
              <w:t>12</w:t>
            </w:r>
            <w:r w:rsidRPr="001A6D6A">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52C3576" w14:textId="77777777" w:rsidR="00A063D4" w:rsidRPr="001A6D6A" w:rsidRDefault="00A063D4" w:rsidP="00A063D4">
            <w:pPr>
              <w:widowControl w:val="0"/>
              <w:overflowPunct w:val="0"/>
              <w:autoSpaceDN/>
              <w:spacing w:line="32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尚未審查</w:t>
            </w:r>
          </w:p>
        </w:tc>
      </w:tr>
      <w:tr w:rsidR="00A063D4" w:rsidRPr="00B95A07" w14:paraId="2060B5CC"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E4573E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7BFDD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交通部函為中央政府疫後強化經濟與社會韌性及全民共享經濟成果特別預算決議，檢送觀光局及所屬決議（三）促進旅客來臺消費書面報告案。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4C71A2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542D7E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C943E4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92B0BAE"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36BF15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交通部函為中央政府疫後強化經濟與社會韌性及全民共享經濟成果特別預算決議，檢送觀光局及所屬決議（四）擴大吸引國際觀光客方案公告說明成效書面報告案。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F17973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710DA5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95DEC3F"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E24FB8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D1976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交通部函為中央政府疫後強化經濟與社會韌性及全民共享經濟成果特別預算決議，檢送觀光局及所屬決議（五）加強苗栗海線地區觀光基礎建設及相關配套書面報告案。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A9F07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C7B830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C5C2F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33D04C7"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ED229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交通部函為中央政府疫後強化經濟與社會韌性及全民共享經濟成果特別預算決議，檢送觀光局及所屬決議（六）加強苗栗山線地區觀光基礎建設及相關配套書面報告案。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5565C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12D87F5"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40170B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FD4FBB6"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C92C5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交通部函為中央政府疫後強化經濟與社會韌性及全民共享經濟成果特別預算決議，檢送觀光局及所屬決議（七）吸引港澳旅客赴高雄觀光書面報告案。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8B6DA6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9E652B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30C1CA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4DAB6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CB4FAC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交通部函為中央政府疫後強化經濟與社會韌性及全民共享經濟成果特別預算決議，檢送觀光局及所屬決議（八）吸引國際醫療觀光書面報告案。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05DA9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99FD07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5782FB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B3DC7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1E1B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交通部函為中央政府疫後強化經濟與社會韌性及全民共享經濟成果特別預算決議，檢送觀光局及所屬決議（十）穩定旅館接待國際觀光客服務能量書面報告案。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22F4C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F150BF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BEA6F0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ECB291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F343B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交通部函為中央政府疫後強化經濟與社會韌性及全民共享經濟成果特別預算決議，檢送觀光局及所屬決議（十一）加速擴大吸引國際觀光客書面報告案。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97AD6A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88A479E"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5893F8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BB18E2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A7FDC9"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交通部函為中央政府疫後強化經濟與社會韌性及全民共享經濟成果特別預算決議，檢送觀光局及所屬決議（十三）穩定旅宿服務量能執行方案書面報告案。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8BFCC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11B0B3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80F4F1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D57DB8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8D21E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交通部函為中央政府疫後強化經濟與社會韌性及全民共享經濟成果特別預算決議，檢送觀光局及所屬決議（十四）國際自由行旅客發放消費金書面報告案。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759A72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056E6B1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E05949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E59D0E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6AF82D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交通部函為中央政府疫後強化經濟與社會韌性及全民共享經濟成果特別預算決議，檢送觀光局及所屬決議（十六）吸引國際自由行旅客來臺書面報告案。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63B14A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93F40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10C9502"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72191A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DECEF3"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交通部函為中央政府疫後強化經濟與社會韌性及全民共享經濟成果特別預算決議，檢送觀光局及所屬決議（十七）加速擴大吸引國際觀光客方案書面報告案。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7B61B1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03A20E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BB5BD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ABD40D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96CA2F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交通部函為中央政府疫後強化經濟與社會韌性及全民共享經濟成果特別預算決議，檢送觀光局及所屬決議（十八）消費金施行計畫書面報告案。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7B5908F"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B77B72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E75480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0C02CA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7E478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交通部函為中央政府疫後強化經濟與社會韌性及全民共享經濟成果特別預算決議，檢送觀光局及所屬決議（十九）消費金施行計畫及預計成效書面報告案。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8A003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3376047"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A6FF75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45A06C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CC28AB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交通部函為中央政府疫後強化經濟與社會韌性及全民共享經濟成果特別預算決議，檢送觀光局及所屬決議（二十四）提升國旅服務品質書面報告案。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E50251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23AC7778"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FCD221D"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4704F5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9FD5A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交通部函為中央政府疫後強化經濟與社會韌性及全民共享經濟成果特別預算決議，檢送公路總局及所屬決議（三）台灣好行優化服務書面報告案。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5D451D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D548DB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2E9EC61"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BA25F58"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307E4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交通部函為中央政府疫後強化經濟與社會韌性及全民共享經濟成果特別預算決議，檢送公路總局及所屬決議（六）補助各地方政府區域通勤月票方案書面報告案。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2690BF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FCAF9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FF1B92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31E36F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300AD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交通部函為中央政府疫後強化經濟與社會韌性及全民共享經濟成果特別預算決議，檢送公路總局及所屬決議（十一）公車客運業者違反勞動法令書面報告案。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31C6A7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2C3B7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20D48F8"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758786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810485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交通部函為中央政府疫後強化經濟與社會韌性及全民共享經濟成果特別預算決議，檢送公路總局及所屬決議（十二）客運大客車降低事故發生率書面報告案。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B4C0B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8514D3E"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66642F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2B53F4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E48E02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交通部函為中央政府疫後強化經濟與社會韌性及全民共享經濟成果特別預算決議，檢送公路總局及所屬決議（十三）各縣市月票財源補貼永續性書面報告案。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CCB3650"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AEFA3A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DC7667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4C23DCE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6DDE4A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交通部函為中央政府疫後強化經濟與社會韌性及全民共享經濟成果特別預算決議，檢送公路總局及所屬決議（十五）111年12月交通事故死亡統計資料書面報告案。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9AB67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F5793A2"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C5F188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5B3FC4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E1865C"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交通部函為中央政府疫後強化經濟與社會韌性及全民共享經濟成果特別預算決議，檢送公路總局及所屬決議（十七）制定強化公共運輸體系的政策和立法計畫書面報告案。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AEC401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46406A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3E0D583"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73C6B7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3F3F3E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交通部函為中央政府疫後強化經濟與社會韌性及全民共享經濟成果特別預算決議，檢送公路總局及所屬決議（二十）促進觀光景點公共運輸提升書面報告案。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0E08A7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512C846B"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BCD985B"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32DDB6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46603A" w14:textId="7B7F4724"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交通部函為中央政府疫後強化經濟與社會韌性及全民共享經濟成果特別預算決議，檢送公路總局及所屬決議（二十五）補助台灣好行整體經營改善計畫書面報告案。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E63CD4" w14:textId="5CD9274A"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2B884DB" w14:textId="11C51B6D"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6A16825" w14:textId="77777777" w:rsidTr="003E17ED">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17546F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2FC49F" w14:textId="6759B2F9"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交通部函為中央政府疫後強化經濟與社會韌性及全民共享經濟成果特別預算決議，檢送觀光局及所屬決議（二十一）「提供國際自由行旅客來臺之促進消費金」之「來臺旅遊人數及國別」書面報告案。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2296FAA1" w14:textId="7733ECCB"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1519B780" w14:textId="1E102EFE"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18034FF" w14:textId="77777777" w:rsidTr="003E17ED">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536BD7DB"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B44E185" w14:textId="6DE79ADD"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交通部函為中央政府疫後強化經濟與社會韌性及全民共享經濟成果特別預算決議，檢送觀光局及所屬決議（二十三）飯店旅宿業者缺工問題書面報告案。</w:t>
            </w:r>
          </w:p>
        </w:tc>
        <w:tc>
          <w:tcPr>
            <w:tcW w:w="2871" w:type="dxa"/>
            <w:tcBorders>
              <w:top w:val="single" w:sz="4" w:space="0" w:color="auto"/>
              <w:left w:val="single" w:sz="4" w:space="0" w:color="000000"/>
              <w:bottom w:val="single" w:sz="4" w:space="0" w:color="auto"/>
              <w:right w:val="single" w:sz="4" w:space="0" w:color="000000"/>
            </w:tcBorders>
            <w:shd w:val="clear" w:color="auto" w:fill="FFFFFF"/>
          </w:tcPr>
          <w:p w14:paraId="4C8C99E9" w14:textId="692D1342"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第11屆第1會期第10次院會(113.4.19)決定：「交財政委員會審查」</w:t>
            </w:r>
          </w:p>
        </w:tc>
        <w:tc>
          <w:tcPr>
            <w:tcW w:w="1507" w:type="dxa"/>
            <w:tcBorders>
              <w:top w:val="single" w:sz="4" w:space="0" w:color="auto"/>
              <w:left w:val="single" w:sz="4" w:space="0" w:color="000000"/>
              <w:bottom w:val="single" w:sz="4" w:space="0" w:color="auto"/>
              <w:right w:val="single" w:sz="4" w:space="0" w:color="000000"/>
            </w:tcBorders>
            <w:shd w:val="clear" w:color="auto" w:fill="auto"/>
            <w:vAlign w:val="center"/>
          </w:tcPr>
          <w:p w14:paraId="48F95D61" w14:textId="0148B84D"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32848D8A" w14:textId="77777777" w:rsidTr="00E14320">
        <w:trPr>
          <w:gridAfter w:val="1"/>
          <w:wAfter w:w="7" w:type="dxa"/>
          <w:trHeight w:val="1077"/>
          <w:jc w:val="center"/>
        </w:trPr>
        <w:tc>
          <w:tcPr>
            <w:tcW w:w="846" w:type="dxa"/>
            <w:tcBorders>
              <w:top w:val="single" w:sz="12" w:space="0" w:color="auto"/>
              <w:left w:val="single" w:sz="4" w:space="0" w:color="auto"/>
              <w:bottom w:val="single" w:sz="4" w:space="0" w:color="auto"/>
              <w:right w:val="single" w:sz="4" w:space="0" w:color="auto"/>
            </w:tcBorders>
          </w:tcPr>
          <w:p w14:paraId="4E7DDD8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DA9259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教育部函為中央政府疫後強化經濟與社會韌性及全民共享經濟成果特別預算決議，檢送決議第3項「就學貸款協助措施」書面報告案。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D13001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4" w:space="0" w:color="auto"/>
              <w:right w:val="single" w:sz="4" w:space="0" w:color="auto"/>
            </w:tcBorders>
            <w:shd w:val="clear" w:color="auto" w:fill="auto"/>
            <w:vAlign w:val="center"/>
          </w:tcPr>
          <w:p w14:paraId="0CF873F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05974096"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2236A853"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E42CA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D92CF5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42975C1"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66A7DCB"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6957B4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FA83DB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4559D2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379E59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A9DE057"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7E68B2B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19C9B0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F51EB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9A7EF8E"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BB7DF64"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15B46DE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EA14E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教育部函為中央政府疫後強化經濟與社會韌性及全民共享經濟成果特別預算決議，檢送決議第9項「就學貸款協助措施」書面報告案。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030F321"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30EC1394"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C6CF0C5"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801FC3D"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365BD8"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教育部函為中央政府疫後強化經濟與社會韌性及全民共享經濟成果特別預算決議，檢送決議第10項「就學貸款協助措施」書面報告案。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36E4355"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681A1A39"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66A4DDDE"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0A5D9D45"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672287"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教育部函為中央政府疫後強化經濟與社會韌性及全民共享經濟成果特別預算決議，檢送決議第12項「就學貸款協助措施」書面報告案。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3A4734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16E83E25"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1441DE69"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5DE071FA"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8165FB"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教育部函為中央政府疫後強化經濟與社會韌性及全民共享經濟成果特別預算決議，檢送決議第14項「就學貸款協助措施」書面報告案。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31FFB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722BC56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A16BEA3" w14:textId="77777777" w:rsidTr="000D2E36">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3DFE26B4"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1FA8F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教育部函為中央政府疫後強化經濟與社會韌性及全民共享經濟成果特別預算決議，檢送決議第15項「就學貸款協助措施」書面報告案。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A138C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30C4DF0"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4BDC67C8" w14:textId="77777777" w:rsidTr="00E14320">
        <w:trPr>
          <w:gridAfter w:val="1"/>
          <w:wAfter w:w="7" w:type="dxa"/>
          <w:trHeight w:val="1077"/>
          <w:jc w:val="center"/>
        </w:trPr>
        <w:tc>
          <w:tcPr>
            <w:tcW w:w="846" w:type="dxa"/>
            <w:tcBorders>
              <w:top w:val="single" w:sz="4" w:space="0" w:color="auto"/>
              <w:left w:val="single" w:sz="4" w:space="0" w:color="auto"/>
              <w:bottom w:val="single" w:sz="4" w:space="0" w:color="auto"/>
              <w:right w:val="single" w:sz="4" w:space="0" w:color="auto"/>
            </w:tcBorders>
          </w:tcPr>
          <w:p w14:paraId="659C53DF"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4A77F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教育部函為中央政府疫後強化經濟與社會韌性及全民共享經濟成果特別預算決議，檢送決議第16項「就學貸款協助措施」書面報告案。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8EA06E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4" w:space="0" w:color="auto"/>
              <w:right w:val="single" w:sz="4" w:space="0" w:color="auto"/>
            </w:tcBorders>
            <w:shd w:val="clear" w:color="auto" w:fill="auto"/>
            <w:vAlign w:val="center"/>
          </w:tcPr>
          <w:p w14:paraId="45182F5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58D236AE" w14:textId="77777777" w:rsidTr="00E14320">
        <w:trPr>
          <w:gridAfter w:val="1"/>
          <w:wAfter w:w="7" w:type="dxa"/>
          <w:trHeight w:val="1077"/>
          <w:jc w:val="center"/>
        </w:trPr>
        <w:tc>
          <w:tcPr>
            <w:tcW w:w="846" w:type="dxa"/>
            <w:tcBorders>
              <w:top w:val="single" w:sz="4" w:space="0" w:color="auto"/>
              <w:left w:val="single" w:sz="4" w:space="0" w:color="auto"/>
              <w:bottom w:val="single" w:sz="12" w:space="0" w:color="auto"/>
              <w:right w:val="single" w:sz="4" w:space="0" w:color="auto"/>
            </w:tcBorders>
          </w:tcPr>
          <w:p w14:paraId="61863B52"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59EA68E"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教育部函為中央政府疫後強化經濟與社會韌性及全民共享經濟成果特別預算決議，檢送「就學貸款協助措施及高教人才培育」書面報告案。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626899C2"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4" w:space="0" w:color="auto"/>
              <w:left w:val="single" w:sz="4" w:space="0" w:color="auto"/>
              <w:bottom w:val="single" w:sz="12" w:space="0" w:color="auto"/>
              <w:right w:val="single" w:sz="4" w:space="0" w:color="auto"/>
            </w:tcBorders>
            <w:shd w:val="clear" w:color="auto" w:fill="auto"/>
            <w:vAlign w:val="center"/>
          </w:tcPr>
          <w:p w14:paraId="61DF9133"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BFF79C5" w14:textId="77777777" w:rsidTr="00E14320">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1388934C"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987752A"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數位發展部函為中央政府疫後強化經濟與社會韌性及全民共享經濟成果特別預算決議，檢送通案決議（十六）普發現金線上登記入帳流程及個人資料安全保護機制書面報告案。</w:t>
            </w:r>
          </w:p>
        </w:tc>
        <w:tc>
          <w:tcPr>
            <w:tcW w:w="2871" w:type="dxa"/>
            <w:tcBorders>
              <w:top w:val="single" w:sz="12" w:space="0" w:color="auto"/>
              <w:left w:val="single" w:sz="4" w:space="0" w:color="auto"/>
              <w:bottom w:val="single" w:sz="12" w:space="0" w:color="auto"/>
              <w:right w:val="single" w:sz="4" w:space="0" w:color="auto"/>
            </w:tcBorders>
            <w:shd w:val="clear" w:color="auto" w:fill="auto"/>
          </w:tcPr>
          <w:p w14:paraId="5CA6D30D"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第10屆第8會期第3次院會（1</w:t>
            </w:r>
            <w:r w:rsidRPr="00B95A07">
              <w:rPr>
                <w:rFonts w:ascii="標楷體" w:eastAsia="標楷體" w:hAnsi="標楷體"/>
                <w:kern w:val="2"/>
                <w:szCs w:val="24"/>
              </w:rPr>
              <w:t>12</w:t>
            </w:r>
            <w:r w:rsidRPr="00B95A07">
              <w:rPr>
                <w:rFonts w:ascii="標楷體" w:eastAsia="標楷體" w:hAnsi="標楷體" w:hint="eastAsia"/>
                <w:kern w:val="2"/>
                <w:szCs w:val="24"/>
              </w:rPr>
              <w:t>.10.13）決定：「交財政及相關委員會審查」</w:t>
            </w:r>
          </w:p>
        </w:tc>
        <w:tc>
          <w:tcPr>
            <w:tcW w:w="1507" w:type="dxa"/>
            <w:tcBorders>
              <w:top w:val="single" w:sz="12" w:space="0" w:color="auto"/>
              <w:left w:val="single" w:sz="4" w:space="0" w:color="auto"/>
              <w:bottom w:val="single" w:sz="12" w:space="0" w:color="auto"/>
              <w:right w:val="single" w:sz="4" w:space="0" w:color="auto"/>
            </w:tcBorders>
            <w:shd w:val="clear" w:color="auto" w:fill="auto"/>
            <w:vAlign w:val="center"/>
          </w:tcPr>
          <w:p w14:paraId="06FB913D"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2649D6DE" w14:textId="77777777" w:rsidTr="00A063D4">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4F8D90B1"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4F4B9F6" w14:textId="77777777" w:rsidR="00A063D4" w:rsidRPr="00B95A07"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國家發展委員會函為中央政府疫後強化經濟與社會韌性及全民共享經濟成果特別預算決議，檢送本特別預算執行成效專案報告案。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3B8EB5CF" w14:textId="77777777" w:rsidR="00A063D4" w:rsidRPr="00B95A07" w:rsidRDefault="00A063D4" w:rsidP="00A063D4">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第11屆第1會期第11次院會(113.4.26)決定：「交財政委員會審查」</w:t>
            </w:r>
            <w:r w:rsidRPr="00B95A07">
              <w:rPr>
                <w:rFonts w:ascii="標楷體" w:eastAsia="標楷體" w:hAnsi="標楷體" w:hint="eastAsia"/>
                <w:kern w:val="2"/>
                <w:szCs w:val="24"/>
              </w:rPr>
              <w:tab/>
            </w:r>
          </w:p>
        </w:tc>
        <w:tc>
          <w:tcPr>
            <w:tcW w:w="1507" w:type="dxa"/>
            <w:tcBorders>
              <w:top w:val="single" w:sz="12" w:space="0" w:color="auto"/>
              <w:left w:val="single" w:sz="4" w:space="0" w:color="000000"/>
              <w:bottom w:val="single" w:sz="12" w:space="0" w:color="auto"/>
              <w:right w:val="single" w:sz="4" w:space="0" w:color="000000"/>
            </w:tcBorders>
            <w:shd w:val="clear" w:color="auto" w:fill="auto"/>
            <w:vAlign w:val="center"/>
          </w:tcPr>
          <w:p w14:paraId="6CE19CD0" w14:textId="77777777" w:rsidR="00A063D4" w:rsidRPr="00B95A07" w:rsidRDefault="00A063D4" w:rsidP="00A063D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A063D4" w:rsidRPr="00B95A07" w14:paraId="73C72DBA" w14:textId="77777777" w:rsidTr="00E14320">
        <w:trPr>
          <w:gridAfter w:val="1"/>
          <w:wAfter w:w="7" w:type="dxa"/>
          <w:trHeight w:val="1077"/>
          <w:jc w:val="center"/>
        </w:trPr>
        <w:tc>
          <w:tcPr>
            <w:tcW w:w="846" w:type="dxa"/>
            <w:tcBorders>
              <w:top w:val="single" w:sz="12" w:space="0" w:color="auto"/>
              <w:left w:val="single" w:sz="4" w:space="0" w:color="auto"/>
              <w:bottom w:val="single" w:sz="12" w:space="0" w:color="auto"/>
              <w:right w:val="single" w:sz="4" w:space="0" w:color="auto"/>
            </w:tcBorders>
          </w:tcPr>
          <w:p w14:paraId="79C4CD80" w14:textId="77777777" w:rsidR="00A063D4" w:rsidRPr="00B95A07" w:rsidRDefault="00A063D4" w:rsidP="00A063D4">
            <w:pPr>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0E0C92F3" w14:textId="77777777" w:rsidR="00A063D4" w:rsidRPr="002708EA" w:rsidRDefault="00A063D4" w:rsidP="00A063D4">
            <w:pPr>
              <w:widowControl w:val="0"/>
              <w:overflowPunct w:val="0"/>
              <w:autoSpaceDN/>
              <w:snapToGrid w:val="0"/>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審計部函為中央政府疫後強化經濟與社會韌性及全民共享經濟成果特別預算決議，檢送特別預算112年度預算執行情形查核報告案。</w:t>
            </w:r>
          </w:p>
        </w:tc>
        <w:tc>
          <w:tcPr>
            <w:tcW w:w="2871" w:type="dxa"/>
            <w:tcBorders>
              <w:top w:val="single" w:sz="12" w:space="0" w:color="auto"/>
              <w:left w:val="single" w:sz="4" w:space="0" w:color="000000"/>
              <w:bottom w:val="single" w:sz="12" w:space="0" w:color="auto"/>
              <w:right w:val="single" w:sz="4" w:space="0" w:color="000000"/>
            </w:tcBorders>
            <w:shd w:val="clear" w:color="auto" w:fill="FFFFFF"/>
          </w:tcPr>
          <w:p w14:paraId="136E3A0A" w14:textId="77777777" w:rsidR="00A063D4" w:rsidRPr="002708EA" w:rsidRDefault="00A063D4" w:rsidP="00A063D4">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r w:rsidRPr="002708EA">
              <w:rPr>
                <w:rFonts w:ascii="標楷體" w:eastAsia="標楷體" w:hAnsi="標楷體" w:hint="eastAsia"/>
                <w:kern w:val="2"/>
                <w:szCs w:val="24"/>
              </w:rPr>
              <w:tab/>
            </w:r>
          </w:p>
        </w:tc>
        <w:tc>
          <w:tcPr>
            <w:tcW w:w="1507" w:type="dxa"/>
            <w:tcBorders>
              <w:top w:val="single" w:sz="12" w:space="0" w:color="auto"/>
              <w:left w:val="single" w:sz="4" w:space="0" w:color="000000"/>
              <w:bottom w:val="single" w:sz="12" w:space="0" w:color="auto"/>
              <w:right w:val="single" w:sz="4" w:space="0" w:color="000000"/>
            </w:tcBorders>
            <w:shd w:val="clear" w:color="auto" w:fill="auto"/>
            <w:vAlign w:val="center"/>
          </w:tcPr>
          <w:p w14:paraId="06B5493C" w14:textId="77777777" w:rsidR="00A063D4" w:rsidRPr="002708EA" w:rsidRDefault="00A063D4" w:rsidP="00A063D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bl>
    <w:p w14:paraId="3B323BD8" w14:textId="77777777" w:rsidR="00993A58" w:rsidRDefault="00993A58" w:rsidP="00F470A8">
      <w:pPr>
        <w:overflowPunct w:val="0"/>
      </w:pPr>
      <w:bookmarkStart w:id="116" w:name="_Toc126576813"/>
      <w:bookmarkStart w:id="117" w:name="_Toc143873931"/>
      <w:bookmarkStart w:id="118" w:name="_Toc157095704"/>
      <w:bookmarkStart w:id="119" w:name="_Toc175833598"/>
      <w:r>
        <w:br w:type="page"/>
      </w:r>
    </w:p>
    <w:p w14:paraId="112EB04D" w14:textId="77777777" w:rsidR="00993A58" w:rsidRPr="00B95A07" w:rsidRDefault="00993A58" w:rsidP="00F470A8">
      <w:pPr>
        <w:keepNext/>
        <w:overflowPunct w:val="0"/>
        <w:spacing w:line="480" w:lineRule="exact"/>
        <w:ind w:left="927" w:hanging="567"/>
        <w:jc w:val="both"/>
        <w:textAlignment w:val="auto"/>
        <w:outlineLvl w:val="1"/>
        <w:rPr>
          <w:rFonts w:ascii="標楷體" w:eastAsia="標楷體" w:hAnsi="標楷體"/>
          <w:b/>
          <w:bCs/>
          <w:kern w:val="2"/>
          <w:sz w:val="32"/>
          <w:szCs w:val="32"/>
        </w:rPr>
      </w:pPr>
      <w:bookmarkStart w:id="120" w:name="_Toc189487312"/>
      <w:r w:rsidRPr="00B95A07">
        <w:rPr>
          <w:rFonts w:ascii="標楷體" w:eastAsia="標楷體" w:hAnsi="標楷體" w:hint="eastAsia"/>
          <w:b/>
          <w:bCs/>
          <w:kern w:val="2"/>
          <w:sz w:val="32"/>
          <w:szCs w:val="32"/>
        </w:rPr>
        <w:lastRenderedPageBreak/>
        <w:t>七、人民請願案(</w:t>
      </w:r>
      <w:r w:rsidRPr="00B95A07">
        <w:rPr>
          <w:rFonts w:ascii="標楷體" w:eastAsia="標楷體" w:hAnsi="標楷體"/>
          <w:b/>
          <w:bCs/>
          <w:kern w:val="2"/>
          <w:sz w:val="32"/>
          <w:szCs w:val="32"/>
        </w:rPr>
        <w:t>4</w:t>
      </w:r>
      <w:r>
        <w:rPr>
          <w:rFonts w:ascii="標楷體" w:eastAsia="標楷體" w:hAnsi="標楷體" w:hint="eastAsia"/>
          <w:b/>
          <w:bCs/>
          <w:kern w:val="2"/>
          <w:sz w:val="32"/>
          <w:szCs w:val="32"/>
        </w:rPr>
        <w:t>1</w:t>
      </w:r>
      <w:r w:rsidRPr="00B95A07">
        <w:rPr>
          <w:rFonts w:ascii="標楷體" w:eastAsia="標楷體" w:hAnsi="標楷體" w:hint="eastAsia"/>
          <w:b/>
          <w:bCs/>
          <w:kern w:val="2"/>
          <w:sz w:val="32"/>
          <w:szCs w:val="32"/>
        </w:rPr>
        <w:t>案)</w:t>
      </w:r>
      <w:bookmarkEnd w:id="116"/>
      <w:bookmarkEnd w:id="117"/>
      <w:bookmarkEnd w:id="118"/>
      <w:bookmarkEnd w:id="119"/>
      <w:bookmarkEnd w:id="120"/>
    </w:p>
    <w:tbl>
      <w:tblPr>
        <w:tblW w:w="10107" w:type="dxa"/>
        <w:tblInd w:w="66" w:type="dxa"/>
        <w:tblLayout w:type="fixed"/>
        <w:tblCellMar>
          <w:left w:w="10" w:type="dxa"/>
          <w:right w:w="10" w:type="dxa"/>
        </w:tblCellMar>
        <w:tblLook w:val="0000" w:firstRow="0" w:lastRow="0" w:firstColumn="0" w:lastColumn="0" w:noHBand="0" w:noVBand="0"/>
      </w:tblPr>
      <w:tblGrid>
        <w:gridCol w:w="751"/>
        <w:gridCol w:w="1872"/>
        <w:gridCol w:w="3940"/>
        <w:gridCol w:w="1843"/>
        <w:gridCol w:w="1701"/>
      </w:tblGrid>
      <w:tr w:rsidR="00993A58" w:rsidRPr="00B95A07" w14:paraId="5316A17F" w14:textId="77777777" w:rsidTr="00452841">
        <w:trPr>
          <w:trHeight w:val="769"/>
        </w:trPr>
        <w:tc>
          <w:tcPr>
            <w:tcW w:w="75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472E43D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w:t>
            </w:r>
            <w:r w:rsidRPr="00B95A07">
              <w:rPr>
                <w:rFonts w:ascii="標楷體" w:eastAsia="標楷體" w:hAnsi="標楷體"/>
                <w:b/>
                <w:kern w:val="2"/>
                <w:szCs w:val="24"/>
              </w:rPr>
              <w:t>號</w:t>
            </w:r>
          </w:p>
        </w:tc>
        <w:tc>
          <w:tcPr>
            <w:tcW w:w="1872"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54EDDFC8"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請願人</w:t>
            </w:r>
          </w:p>
        </w:tc>
        <w:tc>
          <w:tcPr>
            <w:tcW w:w="3940"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44AED07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843"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0180A37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000000"/>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3F0C39EA" w14:textId="77777777" w:rsidR="00993A58" w:rsidRPr="00B95A07" w:rsidRDefault="00993A58" w:rsidP="00F470A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b/>
                <w:kern w:val="2"/>
                <w:szCs w:val="24"/>
              </w:rPr>
              <w:t>備    註</w:t>
            </w:r>
          </w:p>
        </w:tc>
      </w:tr>
      <w:tr w:rsidR="00993A58" w:rsidRPr="00B95A07" w14:paraId="42472910" w14:textId="77777777" w:rsidTr="00452841">
        <w:trPr>
          <w:trHeight w:val="684"/>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263E622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
                <w:bCs/>
                <w:kern w:val="2"/>
                <w:sz w:val="28"/>
                <w:szCs w:val="28"/>
              </w:rPr>
            </w:pPr>
            <w:r w:rsidRPr="00B95A07">
              <w:rPr>
                <w:rFonts w:ascii="標楷體" w:eastAsia="標楷體" w:hAnsi="標楷體"/>
                <w:b/>
                <w:bCs/>
                <w:kern w:val="2"/>
                <w:sz w:val="28"/>
                <w:szCs w:val="28"/>
              </w:rPr>
              <w:t>(一)財政部主管（</w:t>
            </w:r>
            <w:r w:rsidRPr="00B95A07">
              <w:rPr>
                <w:rFonts w:ascii="標楷體" w:eastAsia="標楷體" w:hAnsi="標楷體" w:hint="eastAsia"/>
                <w:b/>
                <w:bCs/>
                <w:kern w:val="2"/>
                <w:sz w:val="28"/>
                <w:szCs w:val="28"/>
              </w:rPr>
              <w:t>27</w:t>
            </w:r>
            <w:r w:rsidRPr="00B95A07">
              <w:rPr>
                <w:rFonts w:ascii="標楷體" w:eastAsia="標楷體" w:hAnsi="標楷體"/>
                <w:b/>
                <w:bCs/>
                <w:kern w:val="2"/>
                <w:sz w:val="28"/>
                <w:szCs w:val="28"/>
              </w:rPr>
              <w:t>案）</w:t>
            </w:r>
          </w:p>
        </w:tc>
      </w:tr>
      <w:tr w:rsidR="00993A58" w:rsidRPr="00B95A07" w14:paraId="2A6A2A2E" w14:textId="77777777" w:rsidTr="00452841">
        <w:trPr>
          <w:cantSplit/>
          <w:trHeight w:val="879"/>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FF109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2B8EF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臺北市商業會</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19C44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建請政府降低機車貨物稅請願文書乙份。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8C748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104.12.23</w:t>
            </w:r>
          </w:p>
          <w:p w14:paraId="565EF52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3EF7CC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1042801080號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92030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104.12.24</w:t>
            </w:r>
          </w:p>
          <w:p w14:paraId="2D8B1A9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C8877D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091EA0C"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E0ED9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07B39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臺</w:t>
            </w:r>
            <w:r w:rsidRPr="00B95A07">
              <w:rPr>
                <w:rFonts w:ascii="標楷體" w:eastAsia="標楷體" w:hAnsi="標楷體"/>
                <w:bCs/>
                <w:kern w:val="2"/>
                <w:szCs w:val="24"/>
              </w:rPr>
              <w:t>北市商業會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826E3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CC230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108.5.15</w:t>
            </w:r>
          </w:p>
          <w:p w14:paraId="3769A48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6AD9C41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1082800384號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4428D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108.5.15</w:t>
            </w:r>
          </w:p>
          <w:p w14:paraId="34DF26B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FDCB17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6061D25B"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CC758B"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C655A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中華民國全國商業總會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CFB15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D43F9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108.6.19</w:t>
            </w:r>
          </w:p>
          <w:p w14:paraId="5499230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1E2B2B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1082800670號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EE0BA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108.6.20</w:t>
            </w:r>
          </w:p>
          <w:p w14:paraId="0741562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70935CF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6448604E"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CFE57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A3027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A248D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D1A0E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661658F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25FEB8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DB4DD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5C45387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69459D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B1AFD46" w14:textId="77777777" w:rsidTr="00452841">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A37530"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D39F0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7F12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建請就攝影機停徵或減免貨物稅請願文書乙份。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A844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109.4.9</w:t>
            </w:r>
          </w:p>
          <w:p w14:paraId="3EF1C3A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BECB80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1092800098號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5E0D1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109.4.15</w:t>
            </w:r>
          </w:p>
          <w:p w14:paraId="6A28E59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DFC176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55AD695D" w14:textId="77777777" w:rsidTr="00452841">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73300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05A4C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9031C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D268F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105.7.6</w:t>
            </w:r>
          </w:p>
          <w:p w14:paraId="1710FAF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1786A3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1052800469號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8E7D7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105.7.7</w:t>
            </w:r>
          </w:p>
          <w:p w14:paraId="0C7029C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5FEA93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6119A3F" w14:textId="77777777" w:rsidTr="00452841">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AFF969"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002F2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1E98E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DCC1A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2BFE783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C57A21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F11ADA"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1.106.9.30函財政部查復</w:t>
            </w:r>
          </w:p>
          <w:p w14:paraId="449FEB45"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993A58" w:rsidRPr="00B95A07" w14:paraId="30DE83D7" w14:textId="77777777" w:rsidTr="00452841">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7371C"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E9E6F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財團法人台灣法學基金會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4D871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453C0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601C9FE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52E2B3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3CCAD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123DE56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B97929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1840B29" w14:textId="77777777" w:rsidTr="00452841">
        <w:trPr>
          <w:cantSplit/>
          <w:trHeight w:val="87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74ADBD"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3A1550"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呂</w:t>
            </w:r>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5055E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FBA54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320171E3"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7C7ACF0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6631C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018FF26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A53878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4CE6AC5" w14:textId="77777777" w:rsidTr="00452841">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ACE83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547C1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呂</w:t>
            </w:r>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2A35F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陳請修改法令，供公眾通行之既成道路准予免繳土地增值稅請願文書乙份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65E00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106.10.24</w:t>
            </w:r>
          </w:p>
          <w:p w14:paraId="1E508AC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2E964AA"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C79C3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w:t>
            </w:r>
            <w:r w:rsidRPr="00B95A07">
              <w:rPr>
                <w:rFonts w:ascii="標楷體" w:eastAsia="標楷體" w:hAnsi="標楷體" w:hint="eastAsia"/>
                <w:bCs/>
                <w:kern w:val="2"/>
                <w:szCs w:val="24"/>
              </w:rPr>
              <w:t>6</w:t>
            </w:r>
          </w:p>
          <w:p w14:paraId="6AC07DE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75AB399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3D753990" w14:textId="77777777" w:rsidTr="00452841">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E2D185"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8CBFDF"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白</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堯君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A99EB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3A77A5"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111.3.24</w:t>
            </w:r>
          </w:p>
          <w:p w14:paraId="130CD26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6DEF9A1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F86AA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111.3.25</w:t>
            </w:r>
          </w:p>
          <w:p w14:paraId="24208F5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1026D991"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6F55A0D"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E1164"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5E1F7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EAE969"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陳請修訂遺產稅免稅額及直系血親</w:t>
            </w:r>
            <w:r w:rsidRPr="00B95A07">
              <w:rPr>
                <w:rFonts w:ascii="標楷體" w:eastAsia="標楷體" w:hAnsi="標楷體" w:hint="eastAsia"/>
                <w:bCs/>
                <w:kern w:val="2"/>
                <w:szCs w:val="24"/>
              </w:rPr>
              <w:t>卑</w:t>
            </w:r>
            <w:r w:rsidRPr="00B95A07">
              <w:rPr>
                <w:rFonts w:ascii="標楷體" w:eastAsia="標楷體" w:hAnsi="標楷體"/>
                <w:bCs/>
                <w:kern w:val="2"/>
                <w:szCs w:val="24"/>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9234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107.11.14</w:t>
            </w:r>
          </w:p>
          <w:p w14:paraId="389C5016"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FB93348"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F1427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107.11.16</w:t>
            </w:r>
          </w:p>
          <w:p w14:paraId="688F01D4"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514609D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7D579E20"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8C5461"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8DD4C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95B7E"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建請儘速修訂遺產及贈與稅法，對免稅額、扣除額及親屬寬減額調整以符合公平正義請願文書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A7D242"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w:t>
            </w:r>
          </w:p>
          <w:p w14:paraId="3D39ED97"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725C9BD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D4373D"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109.4.8</w:t>
            </w:r>
          </w:p>
          <w:p w14:paraId="195803CB"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6096340C" w14:textId="77777777" w:rsidR="00993A58" w:rsidRPr="00B95A07" w:rsidRDefault="00993A58" w:rsidP="00F470A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1C5BDE64"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A35CD"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CEBCD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2F1C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建請修訂遺產及贈與稅法，調整免稅額、扣除額及親屬寬減額事續陳情請願文書乙份</w:t>
            </w:r>
            <w:r w:rsidRPr="00B95A07">
              <w:rPr>
                <w:rFonts w:ascii="標楷體" w:eastAsia="標楷體" w:hAnsi="標楷體" w:hint="eastAsia"/>
                <w:bCs/>
                <w:kern w:val="2"/>
                <w:szCs w:val="24"/>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66F7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w:t>
            </w:r>
            <w:r w:rsidRPr="00B95A07">
              <w:rPr>
                <w:rFonts w:ascii="標楷體" w:eastAsia="標楷體" w:hAnsi="標楷體"/>
                <w:bCs/>
                <w:kern w:val="2"/>
                <w:szCs w:val="24"/>
              </w:rPr>
              <w:t>9</w:t>
            </w:r>
          </w:p>
          <w:p w14:paraId="4CCFDF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DB7A04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216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8DEE2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6</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27F57CB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FBE8E0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7C51912" w14:textId="77777777" w:rsidTr="00452841">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6F641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6098C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潘</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鑫君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D302B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1CAF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w:t>
            </w:r>
            <w:r w:rsidRPr="00B95A07">
              <w:rPr>
                <w:rFonts w:ascii="標楷體" w:eastAsia="標楷體" w:hAnsi="標楷體" w:hint="eastAsia"/>
                <w:bCs/>
                <w:kern w:val="2"/>
                <w:szCs w:val="24"/>
              </w:rPr>
              <w:t>2</w:t>
            </w:r>
            <w:r w:rsidRPr="00B95A07">
              <w:rPr>
                <w:rFonts w:ascii="標楷體" w:eastAsia="標楷體" w:hAnsi="標楷體"/>
                <w:bCs/>
                <w:kern w:val="2"/>
                <w:szCs w:val="24"/>
              </w:rPr>
              <w:t>6</w:t>
            </w:r>
          </w:p>
          <w:p w14:paraId="247FED5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AC197D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w:t>
            </w:r>
            <w:r w:rsidRPr="00B95A07">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EB26D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0B3ECD9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0362FE5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B212586" w14:textId="77777777" w:rsidTr="0045284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5F6E81"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1F0FB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景君等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AB034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A970F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108.10.16</w:t>
            </w:r>
          </w:p>
          <w:p w14:paraId="275F9A2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9A9D5F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82FC2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108.10.17</w:t>
            </w:r>
          </w:p>
          <w:p w14:paraId="730FB18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C19F6E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A1B0DB3" w14:textId="77777777" w:rsidTr="0045284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A9755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6BD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王</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揚君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9B1B7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為落實管理無煙代用品，建請修正菸酒管理法第3條條文、菸酒稅法請願文書乙份。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7A2C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109.9.26</w:t>
            </w:r>
          </w:p>
          <w:p w14:paraId="24FE9DA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6F31D0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AE98E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102D72B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3A96E6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0D157EF7" w14:textId="77777777" w:rsidTr="00452841">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E969F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93E03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中華民國不動產聯盟總會等</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0D2E2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為行政院房地合一實價課稅2.0修法影響過大，提出建議修正所得稅法部分條文修正草案請願文書乙份。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0E41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110.4.29</w:t>
            </w:r>
          </w:p>
          <w:p w14:paraId="582B103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71AAB8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33632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110.4.30</w:t>
            </w:r>
          </w:p>
          <w:p w14:paraId="3F70052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w:t>
            </w:r>
          </w:p>
          <w:p w14:paraId="4783245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查復</w:t>
            </w:r>
          </w:p>
        </w:tc>
      </w:tr>
      <w:tr w:rsidR="00993A58" w:rsidRPr="00B95A07" w14:paraId="4C3B061E" w14:textId="77777777" w:rsidTr="00452841">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B4720C"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87DF3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中華民國高爾夫球場事業協進會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8A5AC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為請加速檢討娛樂稅法，廢除高爾夫項目請願文書乙份。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C9676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7B918B7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99FA63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B8C4D5"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4函財政部查復</w:t>
            </w:r>
          </w:p>
          <w:p w14:paraId="7763D6F9"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993A58" w:rsidRPr="00B95A07" w14:paraId="2C308665" w14:textId="77777777" w:rsidTr="00452841">
        <w:trPr>
          <w:cantSplit/>
          <w:trHeight w:val="112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6689E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C48CE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5E3F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建請免除錄影機課徵貨物稅請願文書乙份。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BDADE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77C48F7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ABFC1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60</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7B016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3EF2D3F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04BB9AD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6C41388C" w14:textId="77777777" w:rsidTr="0045284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CA0AB6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ADD738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吳</w:t>
            </w:r>
            <w:r>
              <w:rPr>
                <w:rFonts w:ascii="標楷體" w:eastAsia="標楷體" w:hAnsi="標楷體" w:hint="eastAsia"/>
                <w:bCs/>
                <w:kern w:val="2"/>
                <w:szCs w:val="24"/>
              </w:rPr>
              <w:sym w:font="Wingdings" w:char="F0A1"/>
            </w:r>
            <w:r w:rsidRPr="00B95A07">
              <w:rPr>
                <w:rFonts w:ascii="標楷體" w:eastAsia="標楷體" w:hAnsi="標楷體"/>
                <w:bCs/>
                <w:kern w:val="2"/>
                <w:szCs w:val="24"/>
              </w:rPr>
              <w:t>登君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CA5D05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建議修正所得稅法，就個人交易非都市土地之交通用地，其交易所得免納房地合一所得稅請願文書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03692B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14</w:t>
            </w:r>
          </w:p>
          <w:p w14:paraId="08A6582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7090D7C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w:t>
            </w:r>
            <w:r w:rsidRPr="00B95A07">
              <w:rPr>
                <w:rFonts w:ascii="標楷體" w:eastAsia="標楷體" w:hAnsi="標楷體" w:hint="eastAsia"/>
                <w:bCs/>
                <w:kern w:val="2"/>
                <w:szCs w:val="24"/>
              </w:rPr>
              <w:t>259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FB3316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187A3DB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249E697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753A1D5C" w14:textId="77777777" w:rsidTr="0045284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D233ACA"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B93087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蘇</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清</w:t>
            </w:r>
            <w:r w:rsidRPr="00B95A07">
              <w:rPr>
                <w:rFonts w:ascii="標楷體" w:eastAsia="標楷體" w:hAnsi="標楷體"/>
                <w:bCs/>
                <w:kern w:val="2"/>
                <w:szCs w:val="24"/>
              </w:rPr>
              <w:t>君</w:t>
            </w:r>
            <w:r w:rsidRPr="00B95A07">
              <w:rPr>
                <w:rFonts w:ascii="標楷體" w:eastAsia="標楷體" w:hAnsi="標楷體" w:hint="eastAsia"/>
                <w:bCs/>
                <w:kern w:val="2"/>
                <w:szCs w:val="24"/>
              </w:rPr>
              <w:t>等</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2B86FB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請</w:t>
            </w:r>
            <w:r w:rsidRPr="00B95A07">
              <w:rPr>
                <w:rFonts w:ascii="標楷體" w:eastAsia="標楷體" w:hAnsi="標楷體"/>
                <w:bCs/>
                <w:kern w:val="2"/>
                <w:szCs w:val="24"/>
              </w:rPr>
              <w:t>修正</w:t>
            </w:r>
            <w:r w:rsidRPr="00B95A07">
              <w:rPr>
                <w:rFonts w:ascii="標楷體" w:eastAsia="標楷體" w:hAnsi="標楷體" w:hint="eastAsia"/>
                <w:bCs/>
                <w:kern w:val="2"/>
                <w:szCs w:val="24"/>
              </w:rPr>
              <w:t>國有財產</w:t>
            </w:r>
            <w:r w:rsidRPr="00B95A07">
              <w:rPr>
                <w:rFonts w:ascii="標楷體" w:eastAsia="標楷體" w:hAnsi="標楷體"/>
                <w:bCs/>
                <w:kern w:val="2"/>
                <w:szCs w:val="24"/>
              </w:rPr>
              <w:t>法</w:t>
            </w:r>
            <w:r w:rsidRPr="00B95A07">
              <w:rPr>
                <w:rFonts w:ascii="標楷體" w:eastAsia="標楷體" w:hAnsi="標楷體" w:hint="eastAsia"/>
                <w:bCs/>
                <w:kern w:val="2"/>
                <w:szCs w:val="24"/>
              </w:rPr>
              <w:t>第五十二條之二條文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8A3434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12</w:t>
            </w:r>
          </w:p>
          <w:p w14:paraId="2A580B2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EB0AF5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22800002</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B442E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16</w:t>
            </w:r>
          </w:p>
          <w:p w14:paraId="71AEE7D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5E015C2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797CDFFA" w14:textId="77777777" w:rsidTr="00452841">
        <w:trPr>
          <w:cantSplit/>
          <w:trHeight w:val="988"/>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1854BA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1B441F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社團法人中華民國表演藝術協會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B53D46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w:t>
            </w:r>
            <w:r w:rsidRPr="00B95A07">
              <w:rPr>
                <w:rFonts w:ascii="標楷體" w:eastAsia="標楷體" w:hAnsi="標楷體"/>
                <w:bCs/>
                <w:kern w:val="2"/>
                <w:szCs w:val="24"/>
              </w:rPr>
              <w:t>修正</w:t>
            </w:r>
            <w:r w:rsidRPr="00B95A07">
              <w:rPr>
                <w:rFonts w:ascii="標楷體" w:eastAsia="標楷體" w:hAnsi="標楷體" w:hint="eastAsia"/>
                <w:bCs/>
                <w:kern w:val="2"/>
                <w:szCs w:val="24"/>
              </w:rPr>
              <w:t>娛樂稅</w:t>
            </w:r>
            <w:r w:rsidRPr="00B95A07">
              <w:rPr>
                <w:rFonts w:ascii="標楷體" w:eastAsia="標楷體" w:hAnsi="標楷體"/>
                <w:bCs/>
                <w:kern w:val="2"/>
                <w:szCs w:val="24"/>
              </w:rPr>
              <w:t>法請願文書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A0889A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14959D6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4AC4CBD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ACDCDC0"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112.4.19函財政部查復</w:t>
            </w:r>
          </w:p>
          <w:p w14:paraId="445B313E" w14:textId="77777777" w:rsidR="00993A58" w:rsidRPr="00B95A07" w:rsidRDefault="00993A58" w:rsidP="00F470A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第11屆第1會期第10次全體委員會議(113.4.22)審查，決議：另擇期繼續審查。</w:t>
            </w:r>
          </w:p>
        </w:tc>
      </w:tr>
      <w:tr w:rsidR="00993A58" w:rsidRPr="00B95A07" w14:paraId="25F57F88" w14:textId="77777777" w:rsidTr="00452841">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6A96C76"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CB2C16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台北市進出口商業同業公會</w:t>
            </w:r>
          </w:p>
        </w:tc>
        <w:tc>
          <w:tcPr>
            <w:tcW w:w="3940"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0B2AB1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建議刪除貨物稅條例中「飲料品」、「平板玻璃」、「電器」3類產品貨物稅之請願文書乙份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15B6CF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2B6F71F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6D73890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1122800223號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45C289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112.9.28</w:t>
            </w:r>
          </w:p>
          <w:p w14:paraId="5E8E320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1022E69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1198807F" w14:textId="77777777" w:rsidTr="00452841">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62A5939"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1ADD13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林</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美</w:t>
            </w:r>
            <w:r w:rsidRPr="00B95A07">
              <w:rPr>
                <w:rFonts w:ascii="標楷體" w:eastAsia="標楷體" w:hAnsi="標楷體"/>
                <w:bCs/>
                <w:kern w:val="2"/>
                <w:szCs w:val="24"/>
              </w:rPr>
              <w:t>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44058A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w:t>
            </w:r>
            <w:r w:rsidRPr="00B95A07">
              <w:rPr>
                <w:rFonts w:ascii="標楷體" w:eastAsia="標楷體" w:hAnsi="標楷體" w:hint="eastAsia"/>
                <w:bCs/>
                <w:kern w:val="2"/>
                <w:szCs w:val="24"/>
              </w:rPr>
              <w:t>第二十四條之三條文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3964D3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181E3B7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ADCD67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22800339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51C8BF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112.10.24</w:t>
            </w:r>
          </w:p>
          <w:p w14:paraId="133167E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696CE4F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0520FAB3" w14:textId="77777777" w:rsidTr="00452841">
        <w:trPr>
          <w:cantSplit/>
          <w:trHeight w:val="988"/>
        </w:trPr>
        <w:tc>
          <w:tcPr>
            <w:tcW w:w="751" w:type="dxa"/>
            <w:tcBorders>
              <w:top w:val="single" w:sz="4" w:space="0" w:color="auto"/>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286346C"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195D42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瑩君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BF78EA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議廢止印花稅</w:t>
            </w:r>
            <w:r w:rsidRPr="00B95A07">
              <w:rPr>
                <w:rFonts w:ascii="標楷體" w:eastAsia="標楷體" w:hAnsi="標楷體"/>
                <w:bCs/>
                <w:kern w:val="2"/>
                <w:szCs w:val="24"/>
              </w:rPr>
              <w:t>法</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327FA3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11</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4FB6617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22C55A5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1120040781號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8275BC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112.11.15</w:t>
            </w:r>
          </w:p>
          <w:p w14:paraId="68F7ABA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00818D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4C216A66" w14:textId="77777777" w:rsidTr="00452841">
        <w:trPr>
          <w:cantSplit/>
          <w:trHeight w:val="988"/>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5D3E64A4"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3DA7D51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軒君</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AA657A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建議修正土地稅法第三十四條條文請願文書乙份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A7C7C8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1</w:t>
            </w:r>
          </w:p>
          <w:p w14:paraId="64C213F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0485E60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1130040153號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FD6132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113.4.16</w:t>
            </w:r>
          </w:p>
          <w:p w14:paraId="72A88D2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w:t>
            </w:r>
          </w:p>
          <w:p w14:paraId="473B61B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查復</w:t>
            </w:r>
          </w:p>
        </w:tc>
      </w:tr>
      <w:tr w:rsidR="00993A58" w:rsidRPr="00B95A07" w14:paraId="28C0D910" w14:textId="77777777" w:rsidTr="00452841">
        <w:trPr>
          <w:cantSplit/>
          <w:trHeight w:val="757"/>
        </w:trPr>
        <w:tc>
          <w:tcPr>
            <w:tcW w:w="10107" w:type="dxa"/>
            <w:gridSpan w:val="5"/>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38FBA39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
                <w:bCs/>
                <w:kern w:val="2"/>
                <w:sz w:val="28"/>
                <w:szCs w:val="28"/>
              </w:rPr>
            </w:pPr>
            <w:r w:rsidRPr="00B95A07">
              <w:rPr>
                <w:rFonts w:ascii="標楷體" w:eastAsia="標楷體" w:hAnsi="標楷體" w:hint="eastAsia"/>
                <w:b/>
                <w:bCs/>
                <w:kern w:val="2"/>
                <w:sz w:val="28"/>
                <w:szCs w:val="28"/>
              </w:rPr>
              <w:t>(二</w:t>
            </w:r>
            <w:r w:rsidRPr="00B95A07">
              <w:rPr>
                <w:rFonts w:ascii="標楷體" w:eastAsia="標楷體" w:hAnsi="標楷體"/>
                <w:b/>
                <w:bCs/>
                <w:kern w:val="2"/>
                <w:sz w:val="28"/>
                <w:szCs w:val="28"/>
              </w:rPr>
              <w:t>)</w:t>
            </w:r>
            <w:r w:rsidRPr="00B95A07">
              <w:rPr>
                <w:rFonts w:ascii="標楷體" w:eastAsia="標楷體" w:hAnsi="標楷體" w:hint="eastAsia"/>
                <w:b/>
                <w:bCs/>
                <w:kern w:val="2"/>
                <w:sz w:val="28"/>
                <w:szCs w:val="28"/>
              </w:rPr>
              <w:t>金融監督管理委員會主管</w:t>
            </w:r>
            <w:r w:rsidRPr="00B95A07">
              <w:rPr>
                <w:rFonts w:ascii="標楷體" w:eastAsia="標楷體" w:hAnsi="標楷體" w:hint="eastAsia"/>
                <w:b/>
                <w:bCs/>
                <w:kern w:val="2"/>
                <w:sz w:val="28"/>
                <w:szCs w:val="28"/>
                <w:lang w:val="x-none"/>
              </w:rPr>
              <w:t>(</w:t>
            </w:r>
            <w:r w:rsidRPr="00B95A07">
              <w:rPr>
                <w:rFonts w:ascii="標楷體" w:eastAsia="標楷體" w:hAnsi="標楷體"/>
                <w:b/>
                <w:bCs/>
                <w:kern w:val="2"/>
                <w:sz w:val="28"/>
                <w:szCs w:val="28"/>
                <w:lang w:val="x-none"/>
              </w:rPr>
              <w:t>14</w:t>
            </w:r>
            <w:r w:rsidRPr="00B95A07">
              <w:rPr>
                <w:rFonts w:ascii="標楷體" w:eastAsia="標楷體" w:hAnsi="標楷體" w:hint="eastAsia"/>
                <w:b/>
                <w:bCs/>
                <w:kern w:val="2"/>
                <w:sz w:val="28"/>
                <w:szCs w:val="28"/>
                <w:lang w:val="x-none"/>
              </w:rPr>
              <w:t>案)</w:t>
            </w:r>
          </w:p>
        </w:tc>
      </w:tr>
      <w:tr w:rsidR="00993A58" w:rsidRPr="00B95A07" w14:paraId="315BBFD7" w14:textId="77777777" w:rsidTr="00452841">
        <w:trPr>
          <w:cantSplit/>
          <w:trHeight w:val="887"/>
        </w:trPr>
        <w:tc>
          <w:tcPr>
            <w:tcW w:w="75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540D89"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98089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謝</w:t>
            </w:r>
            <w:r>
              <w:rPr>
                <w:rFonts w:ascii="標楷體" w:eastAsia="標楷體" w:hAnsi="標楷體" w:hint="eastAsia"/>
                <w:bCs/>
                <w:kern w:val="2"/>
                <w:szCs w:val="24"/>
              </w:rPr>
              <w:sym w:font="Wingdings" w:char="F0A1"/>
            </w:r>
            <w:r w:rsidRPr="00B95A07">
              <w:rPr>
                <w:rFonts w:ascii="標楷體" w:eastAsia="標楷體" w:hAnsi="標楷體"/>
                <w:bCs/>
                <w:kern w:val="2"/>
                <w:szCs w:val="24"/>
              </w:rPr>
              <w:t>美君</w:t>
            </w:r>
          </w:p>
        </w:tc>
        <w:tc>
          <w:tcPr>
            <w:tcW w:w="3940"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8FC3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陳請修正「強制汽車責任保險法」，有關無直系親屬由旁系兄弟姐妹繼承等條文請願文書乙份。</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4757B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105.4.20</w:t>
            </w:r>
          </w:p>
          <w:p w14:paraId="2CFE2FC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2E7C972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BF78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105.4.21</w:t>
            </w:r>
          </w:p>
          <w:p w14:paraId="58723B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金融監督管理委員會</w:t>
            </w:r>
            <w:r w:rsidRPr="00B95A07">
              <w:rPr>
                <w:rFonts w:ascii="標楷體" w:eastAsia="標楷體" w:hAnsi="標楷體"/>
                <w:bCs/>
                <w:kern w:val="2"/>
                <w:szCs w:val="24"/>
              </w:rPr>
              <w:t>查復</w:t>
            </w:r>
          </w:p>
        </w:tc>
      </w:tr>
      <w:tr w:rsidR="00993A58" w:rsidRPr="00B95A07" w14:paraId="480BE4BC" w14:textId="77777777" w:rsidTr="00452841">
        <w:trPr>
          <w:cantSplit/>
          <w:trHeight w:val="90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DB7446"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085AC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w:t>
            </w:r>
            <w:r>
              <w:rPr>
                <w:rFonts w:ascii="標楷體" w:eastAsia="標楷體" w:hAnsi="標楷體" w:hint="eastAsia"/>
                <w:bCs/>
                <w:kern w:val="2"/>
                <w:szCs w:val="24"/>
              </w:rPr>
              <w:sym w:font="Wingdings" w:char="F0A1"/>
            </w:r>
            <w:r w:rsidRPr="00B95A07">
              <w:rPr>
                <w:rFonts w:ascii="標楷體" w:eastAsia="標楷體" w:hAnsi="標楷體"/>
                <w:bCs/>
                <w:kern w:val="2"/>
                <w:szCs w:val="24"/>
              </w:rPr>
              <w:t>淑君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E4FD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9AC28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106.2.23</w:t>
            </w:r>
          </w:p>
          <w:p w14:paraId="022493F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04C96E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5527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106.2.24</w:t>
            </w:r>
          </w:p>
          <w:p w14:paraId="6F7A75F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0A615AE6" w14:textId="77777777" w:rsidTr="00452841">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52EB1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10E52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楊</w:t>
            </w:r>
            <w:r>
              <w:rPr>
                <w:rFonts w:ascii="標楷體" w:eastAsia="標楷體" w:hAnsi="標楷體" w:hint="eastAsia"/>
                <w:bCs/>
                <w:kern w:val="2"/>
                <w:szCs w:val="24"/>
              </w:rPr>
              <w:sym w:font="Wingdings" w:char="F0A1"/>
            </w:r>
            <w:r w:rsidRPr="00B95A07">
              <w:rPr>
                <w:rFonts w:ascii="標楷體" w:eastAsia="標楷體" w:hAnsi="標楷體"/>
                <w:bCs/>
                <w:kern w:val="2"/>
                <w:szCs w:val="24"/>
              </w:rPr>
              <w:t>信君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424A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6EA41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2C9A9BA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252AC4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A7689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496387E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090810E5" w14:textId="77777777" w:rsidTr="00452841">
        <w:trPr>
          <w:cantSplit/>
          <w:trHeight w:val="101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E8E2F3"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57635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張</w:t>
            </w:r>
            <w:r>
              <w:rPr>
                <w:rFonts w:ascii="標楷體" w:eastAsia="標楷體" w:hAnsi="標楷體" w:hint="eastAsia"/>
                <w:bCs/>
                <w:kern w:val="2"/>
                <w:szCs w:val="24"/>
              </w:rPr>
              <w:sym w:font="Wingdings" w:char="F0A1"/>
            </w:r>
            <w:r w:rsidRPr="00B95A07">
              <w:rPr>
                <w:rFonts w:ascii="標楷體" w:eastAsia="標楷體" w:hAnsi="標楷體"/>
                <w:bCs/>
                <w:kern w:val="2"/>
                <w:szCs w:val="24"/>
              </w:rPr>
              <w:t>清君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8BAD8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為請立法強制各類營業車輛加保第三人責任險、超額責任險及駕駛人傷害/雇主責任險請願文書乙份。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8C8CC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19</w:t>
            </w:r>
          </w:p>
          <w:p w14:paraId="430170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29411B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2800</w:t>
            </w:r>
            <w:r w:rsidRPr="00B95A07">
              <w:rPr>
                <w:rFonts w:ascii="標楷體" w:eastAsia="標楷體" w:hAnsi="標楷體" w:hint="eastAsia"/>
                <w:bCs/>
                <w:kern w:val="2"/>
                <w:szCs w:val="24"/>
              </w:rPr>
              <w:t>159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BC29F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25</w:t>
            </w:r>
          </w:p>
          <w:p w14:paraId="6AA2F7C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7D94CBFC" w14:textId="77777777" w:rsidTr="00452841">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CC9E1"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59886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台灣工會大聯盟</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D335E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推動「證券交易法增訂第14條之7條文草案」─上市公司應設置勞工董事制度</w:t>
            </w:r>
            <w:r w:rsidRPr="00B95A07">
              <w:rPr>
                <w:rFonts w:ascii="標楷體" w:eastAsia="標楷體" w:hAnsi="標楷體" w:hint="eastAsia"/>
                <w:bCs/>
                <w:kern w:val="2"/>
                <w:szCs w:val="24"/>
              </w:rPr>
              <w:t>之</w:t>
            </w:r>
            <w:r w:rsidRPr="00B95A07">
              <w:rPr>
                <w:rFonts w:ascii="標楷體" w:eastAsia="標楷體" w:hAnsi="標楷體"/>
                <w:bCs/>
                <w:kern w:val="2"/>
                <w:szCs w:val="24"/>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C6DDD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105.5.4</w:t>
            </w:r>
          </w:p>
          <w:p w14:paraId="1D38760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A1532A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45F6E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105.5.6</w:t>
            </w:r>
          </w:p>
          <w:p w14:paraId="291DF6E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361BD43A" w14:textId="77777777" w:rsidTr="00452841">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26FD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6A721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A7990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A7404B"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185A5C7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5D9AAF5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45F34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2092ADA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1517FA67" w14:textId="77777777" w:rsidTr="00452841">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A98DA2"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AB748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bCs/>
                <w:kern w:val="2"/>
                <w:szCs w:val="24"/>
              </w:rPr>
              <w:t>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A1BEA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1CBAB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40336CA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0FDBED4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2B8A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386851D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10B62597" w14:textId="77777777" w:rsidTr="00452841">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EDF75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7A29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58C1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建請修法針對台灣非法盤商加以制裁，違反銀行法及金融詐偽罪之刑罰提升至最高上限</w:t>
            </w:r>
            <w:r w:rsidRPr="00B95A07">
              <w:rPr>
                <w:rFonts w:ascii="標楷體" w:eastAsia="標楷體" w:hAnsi="標楷體"/>
                <w:bCs/>
                <w:kern w:val="2"/>
                <w:szCs w:val="24"/>
              </w:rPr>
              <w:t>30年請願文書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B42E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.2</w:t>
            </w:r>
            <w:r w:rsidRPr="00B95A07">
              <w:rPr>
                <w:rFonts w:ascii="標楷體" w:eastAsia="標楷體" w:hAnsi="標楷體" w:hint="eastAsia"/>
                <w:bCs/>
                <w:kern w:val="2"/>
                <w:szCs w:val="24"/>
              </w:rPr>
              <w:t>0</w:t>
            </w:r>
          </w:p>
          <w:p w14:paraId="4502E39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AE14CB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w:t>
            </w:r>
            <w:r w:rsidRPr="00B95A07">
              <w:rPr>
                <w:rFonts w:ascii="標楷體" w:eastAsia="標楷體" w:hAnsi="標楷體" w:hint="eastAsia"/>
                <w:bCs/>
                <w:kern w:val="2"/>
                <w:szCs w:val="24"/>
              </w:rPr>
              <w:t>005</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48681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109.3.</w:t>
            </w:r>
            <w:r w:rsidRPr="00B95A07">
              <w:rPr>
                <w:rFonts w:ascii="標楷體" w:eastAsia="標楷體" w:hAnsi="標楷體"/>
                <w:bCs/>
                <w:kern w:val="2"/>
                <w:szCs w:val="24"/>
              </w:rPr>
              <w:t>2</w:t>
            </w:r>
            <w:r w:rsidRPr="00B95A07">
              <w:rPr>
                <w:rFonts w:ascii="標楷體" w:eastAsia="標楷體" w:hAnsi="標楷體" w:hint="eastAsia"/>
                <w:bCs/>
                <w:kern w:val="2"/>
                <w:szCs w:val="24"/>
              </w:rPr>
              <w:t>4</w:t>
            </w:r>
          </w:p>
          <w:p w14:paraId="04CEE86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47A064D5" w14:textId="77777777" w:rsidTr="00452841">
        <w:trPr>
          <w:cantSplit/>
          <w:trHeight w:val="941"/>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CCBC7E"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67EE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16E84"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建議將違反證券交易法之非法盤商刑罰提升至最高上限</w:t>
            </w:r>
            <w:r w:rsidRPr="00B95A07">
              <w:rPr>
                <w:rFonts w:ascii="標楷體" w:eastAsia="標楷體" w:hAnsi="標楷體"/>
                <w:bCs/>
                <w:kern w:val="2"/>
                <w:szCs w:val="24"/>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986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.11.27</w:t>
            </w:r>
          </w:p>
          <w:p w14:paraId="7FE3568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F7C39C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C2AB4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1</w:t>
            </w:r>
          </w:p>
          <w:p w14:paraId="26312D3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34AD0F4E"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F490EA7"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0C3FD4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9D75F5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6712CF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110.12.28</w:t>
            </w:r>
          </w:p>
          <w:p w14:paraId="2ED73848"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1196E4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4BF004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29</w:t>
            </w:r>
          </w:p>
          <w:p w14:paraId="0E7B8BC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797ABB93"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E30F2E8"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6E3AAB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倪</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康君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719E34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建議修法，加重地下匯兌商之罰則，以有效制裁臺灣金融詐欺犯罪請願文書乙份。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730499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111.12.2</w:t>
            </w:r>
          </w:p>
          <w:p w14:paraId="228343C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20CBE5B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93753D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.1.9</w:t>
            </w:r>
          </w:p>
          <w:p w14:paraId="6A988D89"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5377FE07"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47AEB70"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AA71D6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81FB9A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規定之</w:t>
            </w:r>
            <w:r w:rsidRPr="00B95A07">
              <w:rPr>
                <w:rFonts w:ascii="標楷體" w:eastAsia="標楷體" w:hAnsi="標楷體"/>
                <w:bCs/>
                <w:kern w:val="2"/>
                <w:szCs w:val="24"/>
              </w:rPr>
              <w:t>請願文書乙份。</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4232A1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7411B08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65AF246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122800131</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B13938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9</w:t>
            </w:r>
          </w:p>
          <w:p w14:paraId="09105AC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62777017" w14:textId="77777777" w:rsidTr="00452841">
        <w:trPr>
          <w:cantSplit/>
          <w:trHeight w:val="941"/>
        </w:trPr>
        <w:tc>
          <w:tcPr>
            <w:tcW w:w="75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D593C0B"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236142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榮君</w:t>
            </w:r>
          </w:p>
        </w:tc>
        <w:tc>
          <w:tcPr>
            <w:tcW w:w="3940"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53732F7"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建請刪除證券交易法第一百五十條條文請願文書乙份。</w:t>
            </w:r>
            <w:r w:rsidRPr="00B95A07">
              <w:rPr>
                <w:rFonts w:ascii="標楷體" w:eastAsia="標楷體" w:hAnsi="標楷體" w:hint="eastAsia"/>
                <w:bCs/>
                <w:kern w:val="2"/>
                <w:szCs w:val="24"/>
              </w:rPr>
              <w:tab/>
            </w:r>
          </w:p>
          <w:p w14:paraId="11AB23E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D8CCCD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113.3.15</w:t>
            </w:r>
          </w:p>
          <w:p w14:paraId="4D9AA32D"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台立程字第</w:t>
            </w:r>
          </w:p>
          <w:p w14:paraId="4072DE2C"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1130040022號</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1C21C3F"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113.3.20</w:t>
            </w:r>
          </w:p>
          <w:p w14:paraId="5EC263B1"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993A58" w:rsidRPr="00B95A07" w14:paraId="63E28BC4" w14:textId="77777777" w:rsidTr="00452841">
        <w:trPr>
          <w:cantSplit/>
          <w:trHeight w:val="941"/>
        </w:trPr>
        <w:tc>
          <w:tcPr>
            <w:tcW w:w="75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1B1406B0" w14:textId="77777777" w:rsidR="00993A58" w:rsidRPr="00B95A07" w:rsidRDefault="00993A58" w:rsidP="00F470A8">
            <w:pPr>
              <w:widowControl w:val="0"/>
              <w:numPr>
                <w:ilvl w:val="0"/>
                <w:numId w:val="19"/>
              </w:numPr>
              <w:overflowPunct w:val="0"/>
              <w:autoSpaceDN/>
              <w:ind w:left="764"/>
              <w:jc w:val="both"/>
              <w:textAlignment w:val="auto"/>
              <w:rPr>
                <w:rFonts w:ascii="標楷體" w:eastAsia="標楷體" w:hAnsi="標楷體"/>
                <w:b/>
                <w:bCs/>
                <w:kern w:val="2"/>
                <w:szCs w:val="24"/>
              </w:rPr>
            </w:pPr>
          </w:p>
        </w:tc>
        <w:tc>
          <w:tcPr>
            <w:tcW w:w="1872"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A5149BA"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高雄市獨立總工會</w:t>
            </w:r>
          </w:p>
        </w:tc>
        <w:tc>
          <w:tcPr>
            <w:tcW w:w="3940"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4B8662D3"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請願文書乙份。</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7D8A14F6"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3553192E"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台立程字第</w:t>
            </w:r>
          </w:p>
          <w:p w14:paraId="4FF9BE45"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130040106</w:t>
            </w:r>
            <w:r w:rsidRPr="00B95A07">
              <w:rPr>
                <w:rFonts w:ascii="標楷體" w:eastAsia="標楷體" w:hAnsi="標楷體"/>
                <w:bCs/>
                <w:kern w:val="2"/>
                <w:szCs w:val="24"/>
              </w:rPr>
              <w:t>號</w:t>
            </w: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3B053EA0"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534046A2" w14:textId="77777777" w:rsidR="00993A58" w:rsidRPr="00B95A07" w:rsidRDefault="00993A58" w:rsidP="00F470A8">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bl>
    <w:p w14:paraId="0518D305" w14:textId="77777777" w:rsidR="00993A58" w:rsidRDefault="00993A58" w:rsidP="00F470A8">
      <w:pPr>
        <w:overflowPunct w:val="0"/>
        <w:autoSpaceDN/>
        <w:textAlignment w:val="auto"/>
        <w:rPr>
          <w:rFonts w:ascii="標楷體" w:eastAsia="標楷體" w:hAnsi="標楷體"/>
          <w:b/>
          <w:color w:val="FF0000"/>
          <w:sz w:val="36"/>
          <w:szCs w:val="36"/>
        </w:rPr>
      </w:pPr>
    </w:p>
    <w:p w14:paraId="43706A4E" w14:textId="77777777" w:rsidR="00A41043" w:rsidRPr="00615994" w:rsidRDefault="00403159"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121" w:name="_Toc189487313"/>
      <w:r w:rsidRPr="00615994">
        <w:rPr>
          <w:rFonts w:ascii="標楷體" w:eastAsia="標楷體" w:hAnsi="標楷體" w:hint="eastAsia"/>
          <w:bCs w:val="0"/>
          <w:sz w:val="36"/>
          <w:szCs w:val="36"/>
        </w:rPr>
        <w:lastRenderedPageBreak/>
        <w:t>附錄、本會期歷次會議議事錄</w:t>
      </w:r>
      <w:bookmarkEnd w:id="121"/>
    </w:p>
    <w:p w14:paraId="4AAB013C" w14:textId="77777777" w:rsidR="00A41043" w:rsidRPr="00FA3B10" w:rsidRDefault="00727994" w:rsidP="00F470A8">
      <w:pPr>
        <w:overflowPunct w:val="0"/>
        <w:spacing w:line="520" w:lineRule="exact"/>
        <w:outlineLvl w:val="1"/>
        <w:rPr>
          <w:rFonts w:ascii="標楷體" w:eastAsia="標楷體" w:hAnsi="標楷體"/>
          <w:b/>
          <w:spacing w:val="-20"/>
          <w:sz w:val="36"/>
          <w:szCs w:val="36"/>
        </w:rPr>
      </w:pPr>
      <w:bookmarkStart w:id="122" w:name="_Toc189487314"/>
      <w:r w:rsidRPr="00FA3B10">
        <w:rPr>
          <w:rFonts w:ascii="標楷體" w:eastAsia="標楷體" w:hAnsi="標楷體" w:hint="eastAsia"/>
          <w:b/>
          <w:spacing w:val="-20"/>
          <w:sz w:val="36"/>
          <w:szCs w:val="36"/>
        </w:rPr>
        <w:t>一、召集委員會議</w:t>
      </w:r>
      <w:bookmarkEnd w:id="122"/>
    </w:p>
    <w:p w14:paraId="1D5B3EE7" w14:textId="77777777" w:rsidR="00E56661" w:rsidRPr="00FA3B10" w:rsidRDefault="00E56661" w:rsidP="00F470A8">
      <w:pPr>
        <w:overflowPunct w:val="0"/>
        <w:spacing w:line="520" w:lineRule="exact"/>
        <w:jc w:val="distribute"/>
        <w:outlineLvl w:val="2"/>
        <w:rPr>
          <w:rFonts w:ascii="標楷體" w:eastAsia="標楷體" w:hAnsi="標楷體"/>
          <w:b/>
          <w:spacing w:val="-20"/>
          <w:sz w:val="36"/>
          <w:szCs w:val="36"/>
        </w:rPr>
      </w:pPr>
      <w:bookmarkStart w:id="123" w:name="_Toc189487315"/>
      <w:r w:rsidRPr="00FA3B10">
        <w:rPr>
          <w:rFonts w:ascii="標楷體" w:eastAsia="標楷體" w:hAnsi="標楷體" w:hint="eastAsia"/>
          <w:b/>
          <w:spacing w:val="-20"/>
          <w:sz w:val="36"/>
          <w:szCs w:val="36"/>
        </w:rPr>
        <w:t>立法院第1</w:t>
      </w:r>
      <w:r w:rsidR="00EF6E09" w:rsidRPr="00FA3B10">
        <w:rPr>
          <w:rFonts w:ascii="標楷體" w:eastAsia="標楷體" w:hAnsi="標楷體" w:hint="eastAsia"/>
          <w:b/>
          <w:spacing w:val="-20"/>
          <w:sz w:val="36"/>
          <w:szCs w:val="36"/>
        </w:rPr>
        <w:t>1</w:t>
      </w:r>
      <w:r w:rsidRPr="00FA3B10">
        <w:rPr>
          <w:rFonts w:ascii="標楷體" w:eastAsia="標楷體" w:hAnsi="標楷體" w:hint="eastAsia"/>
          <w:b/>
          <w:spacing w:val="-20"/>
          <w:sz w:val="36"/>
          <w:szCs w:val="36"/>
        </w:rPr>
        <w:t>屆第</w:t>
      </w:r>
      <w:r w:rsidR="00FA3B10" w:rsidRPr="00FA3B10">
        <w:rPr>
          <w:rFonts w:ascii="標楷體" w:eastAsia="標楷體" w:hAnsi="標楷體" w:hint="eastAsia"/>
          <w:b/>
          <w:spacing w:val="-20"/>
          <w:sz w:val="36"/>
          <w:szCs w:val="36"/>
        </w:rPr>
        <w:t>2</w:t>
      </w:r>
      <w:r w:rsidRPr="00FA3B10">
        <w:rPr>
          <w:rFonts w:ascii="標楷體" w:eastAsia="標楷體" w:hAnsi="標楷體" w:hint="eastAsia"/>
          <w:b/>
          <w:spacing w:val="-20"/>
          <w:sz w:val="36"/>
          <w:szCs w:val="36"/>
        </w:rPr>
        <w:t>會期財政委員會第1次召集委員會議議事錄</w:t>
      </w:r>
      <w:bookmarkEnd w:id="123"/>
    </w:p>
    <w:p w14:paraId="5088F12B" w14:textId="77777777" w:rsidR="00FA3B10" w:rsidRPr="00FA3B10" w:rsidRDefault="00FA3B10" w:rsidP="00F470A8">
      <w:pPr>
        <w:widowControl w:val="0"/>
        <w:kinsoku w:val="0"/>
        <w:overflowPunct w:val="0"/>
        <w:autoSpaceDN/>
        <w:adjustRightInd w:val="0"/>
        <w:snapToGrid w:val="0"/>
        <w:spacing w:line="480" w:lineRule="exact"/>
        <w:ind w:left="1500" w:rightChars="-149" w:right="-358" w:hangingChars="500" w:hanging="1500"/>
        <w:jc w:val="both"/>
        <w:textAlignment w:val="auto"/>
        <w:rPr>
          <w:rFonts w:ascii="標楷體" w:eastAsia="標楷體" w:hAnsi="標楷體"/>
          <w:spacing w:val="-20"/>
          <w:kern w:val="2"/>
          <w:sz w:val="32"/>
          <w:szCs w:val="32"/>
        </w:rPr>
      </w:pPr>
      <w:r w:rsidRPr="00FA3B10">
        <w:rPr>
          <w:rFonts w:ascii="標楷體" w:eastAsia="標楷體" w:hAnsi="標楷體" w:hint="eastAsia"/>
          <w:spacing w:val="-20"/>
          <w:kern w:val="2"/>
          <w:sz w:val="32"/>
          <w:szCs w:val="32"/>
        </w:rPr>
        <w:t>時間:中華民國113年9月</w:t>
      </w:r>
      <w:r w:rsidRPr="00FA3B10">
        <w:rPr>
          <w:rFonts w:ascii="標楷體" w:eastAsia="標楷體" w:hAnsi="標楷體"/>
          <w:spacing w:val="-20"/>
          <w:kern w:val="2"/>
          <w:sz w:val="32"/>
          <w:szCs w:val="32"/>
        </w:rPr>
        <w:t>25</w:t>
      </w:r>
      <w:r w:rsidRPr="00FA3B10">
        <w:rPr>
          <w:rFonts w:ascii="標楷體" w:eastAsia="標楷體" w:hAnsi="標楷體" w:hint="eastAsia"/>
          <w:spacing w:val="-20"/>
          <w:kern w:val="2"/>
          <w:sz w:val="32"/>
          <w:szCs w:val="32"/>
        </w:rPr>
        <w:t>日（星期三）上午9時23分至9時32分</w:t>
      </w:r>
    </w:p>
    <w:p w14:paraId="3098E2E0" w14:textId="77777777" w:rsidR="00FA3B10" w:rsidRPr="00FA3B10" w:rsidRDefault="00FA3B10" w:rsidP="00F470A8">
      <w:pPr>
        <w:widowControl w:val="0"/>
        <w:overflowPunct w:val="0"/>
        <w:autoSpaceDN/>
        <w:spacing w:line="500" w:lineRule="exact"/>
        <w:ind w:left="83" w:hangingChars="26" w:hanging="83"/>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地點:群賢樓9樓大禮堂</w:t>
      </w:r>
    </w:p>
    <w:p w14:paraId="7444868F" w14:textId="77777777" w:rsidR="00FA3B10" w:rsidRPr="00FA3B10" w:rsidRDefault="00FA3B10" w:rsidP="00F470A8">
      <w:pPr>
        <w:widowControl w:val="0"/>
        <w:overflowPunct w:val="0"/>
        <w:autoSpaceDN/>
        <w:spacing w:line="500" w:lineRule="exact"/>
        <w:ind w:left="83" w:hangingChars="26" w:hanging="83"/>
        <w:textAlignment w:val="auto"/>
        <w:rPr>
          <w:rFonts w:ascii="標楷體" w:eastAsia="標楷體" w:hAnsi="標楷體"/>
          <w:b/>
          <w:kern w:val="2"/>
          <w:sz w:val="32"/>
          <w:szCs w:val="32"/>
        </w:rPr>
      </w:pPr>
      <w:r w:rsidRPr="00FA3B10">
        <w:rPr>
          <w:rFonts w:ascii="標楷體" w:eastAsia="標楷體" w:hAnsi="標楷體" w:hint="eastAsia"/>
          <w:b/>
          <w:kern w:val="2"/>
          <w:sz w:val="32"/>
          <w:szCs w:val="32"/>
        </w:rPr>
        <w:t>報告事項</w:t>
      </w:r>
    </w:p>
    <w:p w14:paraId="03EB1E54" w14:textId="77777777" w:rsidR="00FA3B10" w:rsidRPr="00FA3B10" w:rsidRDefault="00FA3B10" w:rsidP="00F470A8">
      <w:pPr>
        <w:widowControl w:val="0"/>
        <w:overflowPunct w:val="0"/>
        <w:autoSpaceDN/>
        <w:spacing w:line="500" w:lineRule="exact"/>
        <w:ind w:leftChars="99" w:left="878" w:hangingChars="200" w:hanging="640"/>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一</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「中華民國114年度中央政府總預算案審查分配表及審查日程草案」各乙份(如附件1</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2)，擬配合院會交付期程，提經本會全體委員會議討論後，提報院會。</w:t>
      </w:r>
    </w:p>
    <w:p w14:paraId="6DF73216" w14:textId="77777777" w:rsidR="00FA3B10" w:rsidRPr="00FA3B10" w:rsidRDefault="00FA3B10" w:rsidP="00F470A8">
      <w:pPr>
        <w:widowControl w:val="0"/>
        <w:overflowPunct w:val="0"/>
        <w:autoSpaceDN/>
        <w:spacing w:line="520" w:lineRule="exact"/>
        <w:ind w:leftChars="361" w:left="866" w:firstLineChars="4" w:firstLine="13"/>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決定</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配合院會交付期程，逕提全體委員會議討論後，提報院會。</w:t>
      </w:r>
    </w:p>
    <w:p w14:paraId="3F497153" w14:textId="77777777" w:rsidR="00FA3B10" w:rsidRPr="00FA3B10" w:rsidRDefault="00FA3B10" w:rsidP="00F470A8">
      <w:pPr>
        <w:widowControl w:val="0"/>
        <w:overflowPunct w:val="0"/>
        <w:autoSpaceDN/>
        <w:spacing w:line="500" w:lineRule="exact"/>
        <w:ind w:leftChars="99" w:left="865" w:hangingChars="196" w:hanging="627"/>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二、院會交付審查審計部函送「中華民國111年度中央政府總決算審核報告(含附屬單位決算及綜計表)」暨「中央政府前瞻基礎建設計畫第3期特別決算審核報告(中華民國110年度至111年度)」2案，因已逾送達後1年內完成審議之期限，將依決算法第28條規定擬提報院會。另1</w:t>
      </w:r>
      <w:r w:rsidRPr="00FA3B10">
        <w:rPr>
          <w:rFonts w:ascii="標楷體" w:eastAsia="標楷體" w:hAnsi="標楷體"/>
          <w:kern w:val="2"/>
          <w:sz w:val="32"/>
          <w:szCs w:val="32"/>
        </w:rPr>
        <w:t>1</w:t>
      </w:r>
      <w:r w:rsidRPr="00FA3B10">
        <w:rPr>
          <w:rFonts w:ascii="標楷體" w:eastAsia="標楷體" w:hAnsi="標楷體" w:hint="eastAsia"/>
          <w:kern w:val="2"/>
          <w:sz w:val="32"/>
          <w:szCs w:val="32"/>
        </w:rPr>
        <w:t>1年度半年結算報告，亦將另函配合辦理。</w:t>
      </w:r>
    </w:p>
    <w:p w14:paraId="7F8D5663" w14:textId="77777777" w:rsidR="00FA3B10" w:rsidRPr="00FA3B10" w:rsidRDefault="00FA3B10" w:rsidP="00F470A8">
      <w:pPr>
        <w:widowControl w:val="0"/>
        <w:overflowPunct w:val="0"/>
        <w:autoSpaceDN/>
        <w:spacing w:line="520" w:lineRule="exact"/>
        <w:ind w:leftChars="361" w:left="872" w:hangingChars="2" w:hanging="6"/>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決定：依規定提報院會。</w:t>
      </w:r>
    </w:p>
    <w:p w14:paraId="6C3820FA" w14:textId="77777777" w:rsidR="00FA3B10" w:rsidRPr="00FA3B10" w:rsidRDefault="00FA3B10" w:rsidP="00F470A8">
      <w:pPr>
        <w:widowControl w:val="0"/>
        <w:overflowPunct w:val="0"/>
        <w:autoSpaceDN/>
        <w:spacing w:line="500" w:lineRule="exact"/>
        <w:ind w:left="83" w:hangingChars="26" w:hanging="83"/>
        <w:textAlignment w:val="auto"/>
        <w:rPr>
          <w:rFonts w:ascii="標楷體" w:eastAsia="標楷體" w:hAnsi="標楷體"/>
          <w:b/>
          <w:kern w:val="2"/>
          <w:sz w:val="32"/>
          <w:szCs w:val="32"/>
        </w:rPr>
      </w:pPr>
      <w:r w:rsidRPr="00FA3B10">
        <w:rPr>
          <w:rFonts w:ascii="標楷體" w:eastAsia="標楷體" w:hAnsi="標楷體" w:hint="eastAsia"/>
          <w:b/>
          <w:kern w:val="2"/>
          <w:sz w:val="32"/>
          <w:szCs w:val="32"/>
        </w:rPr>
        <w:t>討論事項</w:t>
      </w:r>
    </w:p>
    <w:p w14:paraId="40561154" w14:textId="77777777" w:rsidR="00FA3B10" w:rsidRPr="00FA3B10" w:rsidRDefault="00FA3B10" w:rsidP="00F470A8">
      <w:pPr>
        <w:widowControl w:val="0"/>
        <w:overflowPunct w:val="0"/>
        <w:autoSpaceDN/>
        <w:spacing w:line="500" w:lineRule="exact"/>
        <w:ind w:leftChars="99" w:left="824" w:hangingChars="183" w:hanging="586"/>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一、推舉召集委員1人擔任本會期紀律委員會召集委員案。</w:t>
      </w:r>
    </w:p>
    <w:p w14:paraId="40E39CC1" w14:textId="77777777" w:rsidR="00FA3B10" w:rsidRPr="00FA3B10" w:rsidRDefault="00FA3B10" w:rsidP="00F470A8">
      <w:pPr>
        <w:widowControl w:val="0"/>
        <w:overflowPunct w:val="0"/>
        <w:autoSpaceDN/>
        <w:spacing w:line="520" w:lineRule="exact"/>
        <w:ind w:leftChars="343" w:left="823" w:firstLineChars="18" w:firstLine="58"/>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決議：由賴召集委員惠員擔任。</w:t>
      </w:r>
    </w:p>
    <w:p w14:paraId="77017EC3" w14:textId="77777777" w:rsidR="00FA3B10" w:rsidRPr="00FA3B10" w:rsidRDefault="00FA3B10" w:rsidP="00F470A8">
      <w:pPr>
        <w:widowControl w:val="0"/>
        <w:overflowPunct w:val="0"/>
        <w:autoSpaceDN/>
        <w:spacing w:line="500" w:lineRule="exact"/>
        <w:ind w:leftChars="100" w:left="1040" w:hangingChars="250" w:hanging="800"/>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二、決定本會期召集委員輪值表(如附件3)案。</w:t>
      </w:r>
    </w:p>
    <w:p w14:paraId="0F68F933" w14:textId="77777777" w:rsidR="00FA3B10" w:rsidRPr="00FA3B10" w:rsidRDefault="00FA3B10" w:rsidP="00F470A8">
      <w:pPr>
        <w:widowControl w:val="0"/>
        <w:overflowPunct w:val="0"/>
        <w:autoSpaceDN/>
        <w:spacing w:line="520" w:lineRule="exact"/>
        <w:ind w:leftChars="379" w:left="1841" w:hangingChars="291" w:hanging="931"/>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決議：依陳召集委員玉珍、賴召集委員惠員之順序自9月26日起按週輪值(詳附件3)。</w:t>
      </w:r>
    </w:p>
    <w:p w14:paraId="492CE4D4" w14:textId="77777777" w:rsidR="00FA3B10" w:rsidRPr="00FA3B10" w:rsidRDefault="00FA3B10" w:rsidP="00F470A8">
      <w:pPr>
        <w:widowControl w:val="0"/>
        <w:overflowPunct w:val="0"/>
        <w:autoSpaceDN/>
        <w:spacing w:line="500" w:lineRule="exact"/>
        <w:ind w:leftChars="99" w:left="865" w:hangingChars="196" w:hanging="627"/>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 xml:space="preserve">三、決定審查114年度中央政府總預算案之分組機關單位及基金案(如附件4、5)。 </w:t>
      </w:r>
    </w:p>
    <w:p w14:paraId="5A5387E9" w14:textId="77777777" w:rsidR="00FA3B10" w:rsidRPr="00FA3B10" w:rsidRDefault="00FA3B10" w:rsidP="00F470A8">
      <w:pPr>
        <w:widowControl w:val="0"/>
        <w:overflowPunct w:val="0"/>
        <w:autoSpaceDN/>
        <w:spacing w:line="520" w:lineRule="exact"/>
        <w:ind w:leftChars="372" w:left="1847" w:hangingChars="298" w:hanging="954"/>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決議：審查分配如下(詳附件4</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5)</w:t>
      </w:r>
    </w:p>
    <w:p w14:paraId="5191C8E4" w14:textId="77777777" w:rsidR="00FA3B10" w:rsidRPr="00FA3B10" w:rsidRDefault="00FA3B10" w:rsidP="00F470A8">
      <w:pPr>
        <w:widowControl w:val="0"/>
        <w:overflowPunct w:val="0"/>
        <w:autoSpaceDN/>
        <w:spacing w:line="520" w:lineRule="exact"/>
        <w:ind w:leftChars="775" w:left="2519" w:hangingChars="206" w:hanging="659"/>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(一)由賴召集委員惠員負責排定公務預算第1</w:t>
      </w:r>
      <w:r w:rsidRPr="00FA3B10">
        <w:rPr>
          <w:rFonts w:ascii="新細明體" w:hAnsi="新細明體" w:hint="eastAsia"/>
          <w:kern w:val="2"/>
          <w:sz w:val="32"/>
          <w:szCs w:val="32"/>
        </w:rPr>
        <w:t>、2、5</w:t>
      </w:r>
      <w:r w:rsidRPr="00FA3B10">
        <w:rPr>
          <w:rFonts w:ascii="標楷體" w:eastAsia="標楷體" w:hAnsi="標楷體" w:hint="eastAsia"/>
          <w:kern w:val="2"/>
          <w:sz w:val="32"/>
          <w:szCs w:val="32"/>
        </w:rPr>
        <w:t>組</w:t>
      </w:r>
      <w:r w:rsidRPr="00FA3B10">
        <w:rPr>
          <w:rFonts w:ascii="標楷體" w:eastAsia="標楷體" w:hAnsi="標楷體" w:hint="eastAsia"/>
          <w:kern w:val="2"/>
          <w:sz w:val="32"/>
          <w:szCs w:val="32"/>
        </w:rPr>
        <w:lastRenderedPageBreak/>
        <w:t>及附屬單位預算第1</w:t>
      </w:r>
      <w:r w:rsidRPr="00FA3B10">
        <w:rPr>
          <w:rFonts w:ascii="新細明體" w:hAnsi="新細明體" w:hint="eastAsia"/>
          <w:kern w:val="2"/>
          <w:sz w:val="32"/>
          <w:szCs w:val="32"/>
        </w:rPr>
        <w:t>、2、5</w:t>
      </w:r>
      <w:r w:rsidRPr="00FA3B10">
        <w:rPr>
          <w:rFonts w:ascii="標楷體" w:eastAsia="標楷體" w:hAnsi="標楷體" w:hint="eastAsia"/>
          <w:kern w:val="2"/>
          <w:sz w:val="32"/>
          <w:szCs w:val="32"/>
        </w:rPr>
        <w:t>組之審查。</w:t>
      </w:r>
    </w:p>
    <w:p w14:paraId="60D4A519" w14:textId="77777777" w:rsidR="00FA3B10" w:rsidRPr="00FA3B10" w:rsidRDefault="00FA3B10" w:rsidP="00F470A8">
      <w:pPr>
        <w:widowControl w:val="0"/>
        <w:overflowPunct w:val="0"/>
        <w:autoSpaceDN/>
        <w:spacing w:line="520" w:lineRule="exact"/>
        <w:ind w:leftChars="775" w:left="2519" w:hangingChars="206" w:hanging="659"/>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(二)由陳召集委員玉珍負責排定公務預算第3、4、6組及附屬單位預算第3、4、6組之審查。</w:t>
      </w:r>
    </w:p>
    <w:p w14:paraId="58CE9ADB" w14:textId="77777777" w:rsidR="00FA3B10" w:rsidRPr="00FA3B10" w:rsidRDefault="00FA3B10" w:rsidP="00F470A8">
      <w:pPr>
        <w:widowControl w:val="0"/>
        <w:overflowPunct w:val="0"/>
        <w:autoSpaceDN/>
        <w:spacing w:line="500" w:lineRule="exact"/>
        <w:ind w:leftChars="99" w:left="865" w:hangingChars="196" w:hanging="627"/>
        <w:jc w:val="both"/>
        <w:textAlignment w:val="auto"/>
        <w:rPr>
          <w:rFonts w:ascii="新細明體" w:hAnsi="新細明體"/>
          <w:kern w:val="2"/>
          <w:sz w:val="32"/>
          <w:szCs w:val="32"/>
        </w:rPr>
      </w:pPr>
      <w:r w:rsidRPr="00FA3B10">
        <w:rPr>
          <w:rFonts w:ascii="標楷體" w:eastAsia="標楷體" w:hAnsi="標楷體" w:hint="eastAsia"/>
          <w:kern w:val="2"/>
          <w:sz w:val="32"/>
          <w:szCs w:val="32"/>
        </w:rPr>
        <w:t>四</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決定審查「113年度中央政府總預算追加預算案」案(如附件6)。</w:t>
      </w:r>
    </w:p>
    <w:p w14:paraId="0917972F" w14:textId="77777777" w:rsidR="00FA3B10" w:rsidRPr="00FA3B10" w:rsidRDefault="00FA3B10" w:rsidP="00F470A8">
      <w:pPr>
        <w:widowControl w:val="0"/>
        <w:overflowPunct w:val="0"/>
        <w:autoSpaceDN/>
        <w:spacing w:line="520" w:lineRule="exact"/>
        <w:ind w:leftChars="354" w:left="863" w:hangingChars="4" w:hanging="13"/>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決議</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由賴召集委員惠員負責排定審查。</w:t>
      </w:r>
    </w:p>
    <w:p w14:paraId="690F8E75" w14:textId="77777777" w:rsidR="00FA3B10" w:rsidRPr="00FA3B10" w:rsidRDefault="00FA3B10" w:rsidP="00F470A8">
      <w:pPr>
        <w:widowControl w:val="0"/>
        <w:overflowPunct w:val="0"/>
        <w:autoSpaceDN/>
        <w:spacing w:line="500" w:lineRule="exact"/>
        <w:ind w:leftChars="99" w:left="865" w:hangingChars="196" w:hanging="627"/>
        <w:jc w:val="both"/>
        <w:textAlignment w:val="auto"/>
        <w:rPr>
          <w:rFonts w:ascii="新細明體" w:hAnsi="新細明體"/>
          <w:kern w:val="2"/>
          <w:sz w:val="32"/>
          <w:szCs w:val="32"/>
        </w:rPr>
      </w:pPr>
      <w:r w:rsidRPr="00FA3B10">
        <w:rPr>
          <w:rFonts w:ascii="標楷體" w:eastAsia="標楷體" w:hAnsi="標楷體" w:hint="eastAsia"/>
          <w:kern w:val="2"/>
          <w:sz w:val="32"/>
          <w:szCs w:val="32"/>
        </w:rPr>
        <w:t>五</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決定審查「中央政府前瞻基礎建設計畫第5期特別預算案(中華民國114年度)」案(如附件7) 。</w:t>
      </w:r>
    </w:p>
    <w:p w14:paraId="14D91B0A" w14:textId="77777777" w:rsidR="00FA3B10" w:rsidRPr="00FA3B10" w:rsidRDefault="00FA3B10" w:rsidP="00F470A8">
      <w:pPr>
        <w:widowControl w:val="0"/>
        <w:overflowPunct w:val="0"/>
        <w:autoSpaceDN/>
        <w:spacing w:line="520" w:lineRule="exact"/>
        <w:ind w:leftChars="354" w:left="863" w:hangingChars="4" w:hanging="13"/>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決議</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由陳召集委員玉珍負責排定審查。</w:t>
      </w:r>
    </w:p>
    <w:p w14:paraId="67EEFDC3" w14:textId="77777777" w:rsidR="00FA3B10" w:rsidRPr="00FA3B10" w:rsidRDefault="00FA3B10" w:rsidP="00F470A8">
      <w:pPr>
        <w:widowControl w:val="0"/>
        <w:overflowPunct w:val="0"/>
        <w:autoSpaceDN/>
        <w:spacing w:line="500" w:lineRule="exact"/>
        <w:ind w:leftChars="99" w:left="865" w:hangingChars="196" w:hanging="627"/>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六、決定審查112年度中央政府總決算審核報告之分組(共8組，如附件8)案。</w:t>
      </w:r>
    </w:p>
    <w:p w14:paraId="568A0558" w14:textId="77777777" w:rsidR="00FA3B10" w:rsidRPr="00FA3B10" w:rsidRDefault="00FA3B10" w:rsidP="00F470A8">
      <w:pPr>
        <w:widowControl w:val="0"/>
        <w:overflowPunct w:val="0"/>
        <w:autoSpaceDN/>
        <w:spacing w:line="520" w:lineRule="exact"/>
        <w:ind w:leftChars="372" w:left="1847" w:hangingChars="298" w:hanging="954"/>
        <w:jc w:val="both"/>
        <w:textAlignment w:val="auto"/>
        <w:rPr>
          <w:rFonts w:ascii="新細明體" w:hAnsi="新細明體"/>
          <w:kern w:val="2"/>
          <w:sz w:val="32"/>
          <w:szCs w:val="32"/>
        </w:rPr>
      </w:pPr>
      <w:r w:rsidRPr="00FA3B10">
        <w:rPr>
          <w:rFonts w:ascii="標楷體" w:eastAsia="標楷體" w:hAnsi="標楷體" w:hint="eastAsia"/>
          <w:kern w:val="2"/>
          <w:sz w:val="32"/>
          <w:szCs w:val="32"/>
        </w:rPr>
        <w:t>決議</w:t>
      </w:r>
      <w:r w:rsidRPr="00FA3B10">
        <w:rPr>
          <w:rFonts w:ascii="新細明體" w:hAnsi="新細明體" w:hint="eastAsia"/>
          <w:kern w:val="2"/>
          <w:sz w:val="32"/>
          <w:szCs w:val="32"/>
        </w:rPr>
        <w:t>：</w:t>
      </w:r>
    </w:p>
    <w:p w14:paraId="07FBE334" w14:textId="77777777" w:rsidR="00FA3B10" w:rsidRPr="00FA3B10" w:rsidRDefault="00FA3B10" w:rsidP="00F470A8">
      <w:pPr>
        <w:widowControl w:val="0"/>
        <w:overflowPunct w:val="0"/>
        <w:autoSpaceDN/>
        <w:spacing w:line="520" w:lineRule="exact"/>
        <w:ind w:leftChars="775" w:left="2519" w:hangingChars="206" w:hanging="659"/>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(一)由陳召集委員玉珍負責排定總決算審核報告第1</w:t>
      </w:r>
      <w:r w:rsidRPr="00FA3B10">
        <w:rPr>
          <w:rFonts w:ascii="新細明體" w:hAnsi="新細明體" w:hint="eastAsia"/>
          <w:kern w:val="2"/>
          <w:sz w:val="32"/>
          <w:szCs w:val="32"/>
        </w:rPr>
        <w:t>、3、</w:t>
      </w:r>
      <w:r w:rsidRPr="00FA3B10">
        <w:rPr>
          <w:rFonts w:ascii="標楷體" w:eastAsia="標楷體" w:hAnsi="標楷體" w:hint="eastAsia"/>
          <w:kern w:val="2"/>
          <w:sz w:val="32"/>
          <w:szCs w:val="32"/>
        </w:rPr>
        <w:t>6、8組之審查。</w:t>
      </w:r>
    </w:p>
    <w:p w14:paraId="6547FA62" w14:textId="77777777" w:rsidR="00FA3B10" w:rsidRPr="00FA3B10" w:rsidRDefault="00FA3B10" w:rsidP="00F470A8">
      <w:pPr>
        <w:widowControl w:val="0"/>
        <w:overflowPunct w:val="0"/>
        <w:autoSpaceDN/>
        <w:spacing w:line="520" w:lineRule="exact"/>
        <w:ind w:leftChars="775" w:left="2519" w:hangingChars="206" w:hanging="659"/>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(二)由賴召集委員惠員負責排定總決算審核報告第2、4、5</w:t>
      </w:r>
      <w:r w:rsidRPr="00FA3B10">
        <w:rPr>
          <w:rFonts w:ascii="新細明體" w:hAnsi="新細明體" w:hint="eastAsia"/>
          <w:kern w:val="2"/>
          <w:sz w:val="32"/>
          <w:szCs w:val="32"/>
        </w:rPr>
        <w:t>、7</w:t>
      </w:r>
      <w:r w:rsidRPr="00FA3B10">
        <w:rPr>
          <w:rFonts w:ascii="標楷體" w:eastAsia="標楷體" w:hAnsi="標楷體" w:hint="eastAsia"/>
          <w:kern w:val="2"/>
          <w:sz w:val="32"/>
          <w:szCs w:val="32"/>
        </w:rPr>
        <w:t>組之審查。</w:t>
      </w:r>
    </w:p>
    <w:p w14:paraId="155D8029" w14:textId="77777777" w:rsidR="00FA3B10" w:rsidRPr="00FA3B10" w:rsidRDefault="00FA3B10" w:rsidP="00F470A8">
      <w:pPr>
        <w:widowControl w:val="0"/>
        <w:overflowPunct w:val="0"/>
        <w:autoSpaceDN/>
        <w:spacing w:line="500" w:lineRule="exact"/>
        <w:ind w:leftChars="99" w:left="865" w:hangingChars="196" w:hanging="627"/>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七</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決定審查</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中央政府嚴重特殊傳染性肺炎防治及紓困振興特別決算審核報告（中華民國109年1月15日至112年6月30日）」案(如附件</w:t>
      </w:r>
      <w:r w:rsidRPr="00FA3B10">
        <w:rPr>
          <w:rFonts w:ascii="標楷體" w:eastAsia="標楷體" w:hAnsi="標楷體"/>
          <w:kern w:val="2"/>
          <w:sz w:val="32"/>
          <w:szCs w:val="32"/>
        </w:rPr>
        <w:t>9</w:t>
      </w:r>
      <w:r w:rsidRPr="00FA3B10">
        <w:rPr>
          <w:rFonts w:ascii="標楷體" w:eastAsia="標楷體" w:hAnsi="標楷體" w:hint="eastAsia"/>
          <w:kern w:val="2"/>
          <w:sz w:val="32"/>
          <w:szCs w:val="32"/>
        </w:rPr>
        <w:t>) 。</w:t>
      </w:r>
    </w:p>
    <w:p w14:paraId="3F0A505A" w14:textId="77777777" w:rsidR="00FA3B10" w:rsidRPr="00FA3B10" w:rsidRDefault="00FA3B10" w:rsidP="00F470A8">
      <w:pPr>
        <w:widowControl w:val="0"/>
        <w:overflowPunct w:val="0"/>
        <w:autoSpaceDN/>
        <w:spacing w:line="520" w:lineRule="exact"/>
        <w:ind w:leftChars="354" w:left="863" w:hangingChars="4" w:hanging="13"/>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決議</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由賴召集委員惠員負責排定審查。</w:t>
      </w:r>
    </w:p>
    <w:p w14:paraId="09B97406" w14:textId="77777777" w:rsidR="00FA3B10" w:rsidRPr="00FA3B10" w:rsidRDefault="00FA3B10" w:rsidP="00F470A8">
      <w:pPr>
        <w:widowControl w:val="0"/>
        <w:overflowPunct w:val="0"/>
        <w:autoSpaceDN/>
        <w:spacing w:line="500" w:lineRule="exact"/>
        <w:ind w:left="83" w:hangingChars="26" w:hanging="83"/>
        <w:textAlignment w:val="auto"/>
        <w:rPr>
          <w:rFonts w:ascii="標楷體" w:eastAsia="標楷體" w:hAnsi="標楷體"/>
          <w:b/>
          <w:kern w:val="2"/>
          <w:sz w:val="32"/>
          <w:szCs w:val="32"/>
        </w:rPr>
      </w:pPr>
      <w:r w:rsidRPr="00FA3B10">
        <w:rPr>
          <w:rFonts w:ascii="標楷體" w:eastAsia="標楷體" w:hAnsi="標楷體" w:hint="eastAsia"/>
          <w:b/>
          <w:kern w:val="2"/>
          <w:sz w:val="32"/>
          <w:szCs w:val="32"/>
        </w:rPr>
        <w:t>其他事項</w:t>
      </w:r>
    </w:p>
    <w:p w14:paraId="2AA4D02A" w14:textId="77777777" w:rsidR="00FA3B10" w:rsidRPr="00FA3B10" w:rsidRDefault="00FA3B10" w:rsidP="002024F5">
      <w:pPr>
        <w:widowControl w:val="0"/>
        <w:overflowPunct w:val="0"/>
        <w:autoSpaceDN/>
        <w:spacing w:line="500" w:lineRule="exact"/>
        <w:ind w:leftChars="99" w:left="878" w:hangingChars="200" w:hanging="640"/>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一、本次召委會議議事錄陳奉召委核定後，除專函送本會委員外，另同時上網供參。</w:t>
      </w:r>
    </w:p>
    <w:p w14:paraId="0FD2A7C3" w14:textId="77777777" w:rsidR="00FA3B10" w:rsidRPr="00FA3B10" w:rsidRDefault="00FA3B10" w:rsidP="002024F5">
      <w:pPr>
        <w:widowControl w:val="0"/>
        <w:overflowPunct w:val="0"/>
        <w:autoSpaceDN/>
        <w:spacing w:line="500" w:lineRule="exact"/>
        <w:ind w:leftChars="99" w:left="878" w:hangingChars="200" w:hanging="640"/>
        <w:jc w:val="both"/>
        <w:textAlignment w:val="auto"/>
        <w:rPr>
          <w:rFonts w:ascii="標楷體" w:eastAsia="標楷體" w:hAnsi="標楷體"/>
          <w:kern w:val="2"/>
          <w:sz w:val="32"/>
          <w:szCs w:val="32"/>
        </w:rPr>
      </w:pPr>
      <w:r w:rsidRPr="00FA3B10">
        <w:rPr>
          <w:rFonts w:ascii="標楷體" w:eastAsia="標楷體" w:hAnsi="標楷體" w:hint="eastAsia"/>
          <w:kern w:val="2"/>
          <w:sz w:val="32"/>
          <w:szCs w:val="32"/>
        </w:rPr>
        <w:t>二</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本會與相關部會協調聯繫經費每位召委每會期6萬元，將援例於本會期配合安排相關事項。</w:t>
      </w:r>
    </w:p>
    <w:p w14:paraId="1F7AA8C7" w14:textId="77777777" w:rsidR="00FA3B10" w:rsidRPr="00FA3B10" w:rsidRDefault="00FA3B10" w:rsidP="002024F5">
      <w:pPr>
        <w:widowControl w:val="0"/>
        <w:overflowPunct w:val="0"/>
        <w:autoSpaceDN/>
        <w:spacing w:line="500" w:lineRule="exact"/>
        <w:ind w:leftChars="99" w:left="878" w:hangingChars="200" w:hanging="640"/>
        <w:jc w:val="both"/>
        <w:textAlignment w:val="auto"/>
        <w:rPr>
          <w:rFonts w:ascii="Times New Roman" w:eastAsia="華康細明體" w:hAnsi="Times New Roman"/>
          <w:color w:val="FF0000"/>
          <w:kern w:val="2"/>
          <w:sz w:val="21"/>
          <w:szCs w:val="21"/>
        </w:rPr>
      </w:pPr>
      <w:r w:rsidRPr="00FA3B10">
        <w:rPr>
          <w:rFonts w:ascii="標楷體" w:eastAsia="標楷體" w:hAnsi="標楷體" w:hint="eastAsia"/>
          <w:kern w:val="2"/>
          <w:sz w:val="32"/>
          <w:szCs w:val="32"/>
        </w:rPr>
        <w:t>三</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召委值週及排定議程相關注意事項</w:t>
      </w:r>
      <w:r w:rsidRPr="00FA3B10">
        <w:rPr>
          <w:rFonts w:ascii="新細明體" w:hAnsi="新細明體" w:hint="eastAsia"/>
          <w:kern w:val="2"/>
          <w:sz w:val="32"/>
          <w:szCs w:val="32"/>
        </w:rPr>
        <w:t>、</w:t>
      </w:r>
      <w:r w:rsidRPr="00FA3B10">
        <w:rPr>
          <w:rFonts w:ascii="標楷體" w:eastAsia="標楷體" w:hAnsi="標楷體" w:hint="eastAsia"/>
          <w:kern w:val="2"/>
          <w:sz w:val="32"/>
          <w:szCs w:val="32"/>
        </w:rPr>
        <w:t>本會待審議案一覽表(如附件10)，均隨案附陳召委參考。</w:t>
      </w:r>
    </w:p>
    <w:p w14:paraId="3FA991F7" w14:textId="77777777" w:rsidR="00FA3B10" w:rsidRPr="00FA3B10" w:rsidRDefault="00FA3B10" w:rsidP="00F470A8">
      <w:pPr>
        <w:overflowPunct w:val="0"/>
        <w:rPr>
          <w:rFonts w:ascii="新細明體" w:eastAsia="華康中黑體" w:hAnsi="Times New Roman"/>
          <w:b/>
          <w:kern w:val="0"/>
          <w:szCs w:val="24"/>
        </w:rPr>
      </w:pPr>
      <w:r w:rsidRPr="00FA3B10">
        <w:rPr>
          <w:rFonts w:ascii="新細明體" w:eastAsia="華康楷書體W5" w:hAnsi="Times New Roman"/>
          <w:kern w:val="0"/>
          <w:sz w:val="28"/>
          <w:szCs w:val="28"/>
        </w:rPr>
        <w:br w:type="page"/>
      </w:r>
      <w:r w:rsidRPr="00FA3B10">
        <w:rPr>
          <w:rFonts w:ascii="新細明體" w:eastAsia="華康中黑體" w:hAnsi="Times New Roman" w:hint="eastAsia"/>
          <w:b/>
          <w:kern w:val="0"/>
          <w:szCs w:val="24"/>
        </w:rPr>
        <w:lastRenderedPageBreak/>
        <w:t>附件</w:t>
      </w:r>
      <w:r w:rsidRPr="00FA3B10">
        <w:rPr>
          <w:rFonts w:ascii="新細明體" w:eastAsia="華康中黑體" w:hAnsi="Times New Roman" w:hint="eastAsia"/>
          <w:b/>
          <w:kern w:val="0"/>
          <w:szCs w:val="24"/>
        </w:rPr>
        <w:t>1</w:t>
      </w:r>
    </w:p>
    <w:p w14:paraId="675188FE" w14:textId="77777777" w:rsidR="00FA3B10" w:rsidRPr="00FA3B10" w:rsidRDefault="00FA3B10" w:rsidP="00F470A8">
      <w:pPr>
        <w:overflowPunct w:val="0"/>
        <w:spacing w:line="400" w:lineRule="exact"/>
        <w:rPr>
          <w:rFonts w:ascii="Times New Roman" w:eastAsia="華康中黑體" w:hAnsi="Times New Roman"/>
          <w:snapToGrid w:val="0"/>
          <w:kern w:val="0"/>
          <w:sz w:val="28"/>
          <w:szCs w:val="28"/>
        </w:rPr>
      </w:pPr>
      <w:r w:rsidRPr="00FA3B10">
        <w:rPr>
          <w:rFonts w:ascii="Times New Roman" w:eastAsia="華康中黑體" w:hAnsi="Times New Roman" w:hint="eastAsia"/>
          <w:snapToGrid w:val="0"/>
          <w:kern w:val="0"/>
          <w:sz w:val="28"/>
          <w:szCs w:val="28"/>
        </w:rPr>
        <w:t>中華民國</w:t>
      </w:r>
      <w:r w:rsidRPr="00FA3B10">
        <w:rPr>
          <w:rFonts w:ascii="Times New Roman" w:eastAsia="華康中黑體" w:hAnsi="Times New Roman" w:hint="eastAsia"/>
          <w:snapToGrid w:val="0"/>
          <w:kern w:val="0"/>
          <w:sz w:val="28"/>
          <w:szCs w:val="28"/>
        </w:rPr>
        <w:t>1</w:t>
      </w:r>
      <w:r w:rsidRPr="00FA3B10">
        <w:rPr>
          <w:rFonts w:ascii="Times New Roman" w:eastAsia="華康中黑體" w:hAnsi="Times New Roman"/>
          <w:snapToGrid w:val="0"/>
          <w:kern w:val="0"/>
          <w:sz w:val="28"/>
          <w:szCs w:val="28"/>
        </w:rPr>
        <w:t>14</w:t>
      </w:r>
      <w:r w:rsidRPr="00FA3B10">
        <w:rPr>
          <w:rFonts w:ascii="Times New Roman" w:eastAsia="華康中黑體" w:hAnsi="Times New Roman" w:hint="eastAsia"/>
          <w:snapToGrid w:val="0"/>
          <w:kern w:val="0"/>
          <w:sz w:val="28"/>
          <w:szCs w:val="28"/>
        </w:rPr>
        <w:t>年度中央政府總預算案</w:t>
      </w:r>
    </w:p>
    <w:p w14:paraId="3E01776D" w14:textId="77777777" w:rsidR="00FA3B10" w:rsidRPr="00FA3B10" w:rsidRDefault="00FA3B10" w:rsidP="00F470A8">
      <w:pPr>
        <w:overflowPunct w:val="0"/>
        <w:spacing w:line="400" w:lineRule="exact"/>
        <w:rPr>
          <w:rFonts w:ascii="Times New Roman" w:eastAsia="華康中黑體" w:hAnsi="Times New Roman"/>
          <w:kern w:val="0"/>
          <w:sz w:val="28"/>
          <w:szCs w:val="28"/>
        </w:rPr>
      </w:pPr>
      <w:r w:rsidRPr="00FA3B10">
        <w:rPr>
          <w:rFonts w:ascii="Times New Roman" w:eastAsia="華康中黑體" w:hAnsi="Times New Roman" w:hint="eastAsia"/>
          <w:snapToGrid w:val="0"/>
          <w:kern w:val="0"/>
          <w:sz w:val="28"/>
          <w:szCs w:val="28"/>
        </w:rPr>
        <w:t>（含附屬單位預算及綜計表—營業及非營業部分）審查分配表草案</w:t>
      </w:r>
    </w:p>
    <w:tbl>
      <w:tblPr>
        <w:tblW w:w="9655" w:type="dxa"/>
        <w:jc w:val="center"/>
        <w:tblBorders>
          <w:left w:val="single" w:sz="12" w:space="0" w:color="auto"/>
          <w:right w:val="single" w:sz="12" w:space="0" w:color="auto"/>
          <w:insideH w:val="single" w:sz="6" w:space="0" w:color="auto"/>
          <w:insideV w:val="single" w:sz="6" w:space="0" w:color="auto"/>
        </w:tblBorders>
        <w:tblCellMar>
          <w:top w:w="28" w:type="dxa"/>
          <w:left w:w="28" w:type="dxa"/>
          <w:bottom w:w="28" w:type="dxa"/>
          <w:right w:w="28" w:type="dxa"/>
        </w:tblCellMar>
        <w:tblLook w:val="0000" w:firstRow="0" w:lastRow="0" w:firstColumn="0" w:lastColumn="0" w:noHBand="0" w:noVBand="0"/>
      </w:tblPr>
      <w:tblGrid>
        <w:gridCol w:w="1129"/>
        <w:gridCol w:w="4003"/>
        <w:gridCol w:w="2410"/>
        <w:gridCol w:w="2106"/>
        <w:gridCol w:w="7"/>
      </w:tblGrid>
      <w:tr w:rsidR="00FA3B10" w:rsidRPr="00FA3B10" w14:paraId="001A6A00" w14:textId="77777777" w:rsidTr="00455C3C">
        <w:trPr>
          <w:trHeight w:val="793"/>
          <w:jc w:val="center"/>
        </w:trPr>
        <w:tc>
          <w:tcPr>
            <w:tcW w:w="1129" w:type="dxa"/>
            <w:tcBorders>
              <w:top w:val="single" w:sz="12" w:space="0" w:color="auto"/>
              <w:bottom w:val="single" w:sz="6" w:space="0" w:color="auto"/>
            </w:tcBorders>
            <w:vAlign w:val="center"/>
          </w:tcPr>
          <w:p w14:paraId="594F73CD"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center"/>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審查</w:t>
            </w:r>
          </w:p>
          <w:p w14:paraId="581A6C31"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center"/>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委員會</w:t>
            </w:r>
          </w:p>
        </w:tc>
        <w:tc>
          <w:tcPr>
            <w:tcW w:w="4003" w:type="dxa"/>
            <w:tcBorders>
              <w:top w:val="single" w:sz="12" w:space="0" w:color="auto"/>
              <w:bottom w:val="single" w:sz="6" w:space="0" w:color="auto"/>
              <w:right w:val="double" w:sz="4" w:space="0" w:color="auto"/>
            </w:tcBorders>
            <w:vAlign w:val="center"/>
          </w:tcPr>
          <w:p w14:paraId="08B58326"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center"/>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審查機關別及款項別</w:t>
            </w:r>
          </w:p>
        </w:tc>
        <w:tc>
          <w:tcPr>
            <w:tcW w:w="2410" w:type="dxa"/>
            <w:tcBorders>
              <w:top w:val="single" w:sz="12" w:space="0" w:color="auto"/>
              <w:left w:val="double" w:sz="4" w:space="0" w:color="auto"/>
              <w:bottom w:val="single" w:sz="6" w:space="0" w:color="auto"/>
              <w:right w:val="double" w:sz="4" w:space="0" w:color="auto"/>
            </w:tcBorders>
            <w:vAlign w:val="center"/>
          </w:tcPr>
          <w:p w14:paraId="3674F922"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center"/>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非營業基金別</w:t>
            </w:r>
          </w:p>
        </w:tc>
        <w:tc>
          <w:tcPr>
            <w:tcW w:w="2113" w:type="dxa"/>
            <w:gridSpan w:val="2"/>
            <w:tcBorders>
              <w:top w:val="single" w:sz="12" w:space="0" w:color="auto"/>
              <w:left w:val="double" w:sz="4" w:space="0" w:color="auto"/>
              <w:bottom w:val="single" w:sz="6" w:space="0" w:color="auto"/>
            </w:tcBorders>
            <w:tcMar>
              <w:left w:w="28" w:type="dxa"/>
              <w:right w:w="28" w:type="dxa"/>
            </w:tcMar>
            <w:vAlign w:val="center"/>
          </w:tcPr>
          <w:p w14:paraId="40866D43" w14:textId="77777777" w:rsidR="00FA3B10" w:rsidRPr="00FA3B10" w:rsidRDefault="00FA3B10" w:rsidP="00F470A8">
            <w:pPr>
              <w:widowControl w:val="0"/>
              <w:overflowPunct w:val="0"/>
              <w:autoSpaceDE w:val="0"/>
              <w:adjustRightInd w:val="0"/>
              <w:snapToGrid w:val="0"/>
              <w:spacing w:line="315" w:lineRule="exact"/>
              <w:ind w:leftChars="55" w:left="132" w:rightChars="55" w:right="132"/>
              <w:jc w:val="center"/>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營業基金別</w:t>
            </w:r>
          </w:p>
        </w:tc>
      </w:tr>
      <w:tr w:rsidR="00FA3B10" w:rsidRPr="00FA3B10" w14:paraId="01220155" w14:textId="77777777" w:rsidTr="00455C3C">
        <w:trPr>
          <w:trHeight w:val="6416"/>
          <w:jc w:val="center"/>
        </w:trPr>
        <w:tc>
          <w:tcPr>
            <w:tcW w:w="1129" w:type="dxa"/>
            <w:tcBorders>
              <w:top w:val="single" w:sz="6" w:space="0" w:color="auto"/>
            </w:tcBorders>
          </w:tcPr>
          <w:p w14:paraId="1061407E"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Times New Roman" w:eastAsia="華康細明體" w:hAnsi="Times New Roman" w:hint="eastAsia"/>
                <w:kern w:val="2"/>
                <w:sz w:val="21"/>
                <w:szCs w:val="21"/>
              </w:rPr>
              <w:t>內政</w:t>
            </w:r>
            <w:r w:rsidRPr="00FA3B10">
              <w:rPr>
                <w:rFonts w:ascii="Times New Roman" w:eastAsia="華康細明體" w:hAnsi="Times New Roman" w:hint="eastAsia"/>
                <w:kern w:val="2"/>
                <w:sz w:val="21"/>
                <w:szCs w:val="21"/>
              </w:rPr>
              <w:br/>
            </w:r>
            <w:r w:rsidRPr="00FA3B10">
              <w:rPr>
                <w:rFonts w:ascii="Times New Roman" w:eastAsia="華康細明體" w:hAnsi="Times New Roman" w:hint="eastAsia"/>
                <w:kern w:val="2"/>
                <w:sz w:val="21"/>
                <w:szCs w:val="21"/>
              </w:rPr>
              <w:t>委員會</w:t>
            </w:r>
          </w:p>
        </w:tc>
        <w:tc>
          <w:tcPr>
            <w:tcW w:w="4003" w:type="dxa"/>
            <w:tcBorders>
              <w:top w:val="single" w:sz="6" w:space="0" w:color="auto"/>
              <w:right w:val="double" w:sz="4" w:space="0" w:color="auto"/>
            </w:tcBorders>
          </w:tcPr>
          <w:p w14:paraId="7DF3E7FB"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kern w:val="2"/>
                <w:sz w:val="21"/>
                <w:szCs w:val="21"/>
              </w:rPr>
            </w:pPr>
            <w:r w:rsidRPr="00FA3B10">
              <w:rPr>
                <w:rFonts w:ascii="Times New Roman" w:eastAsia="華康細明體" w:hAnsi="Times New Roman" w:hint="eastAsia"/>
                <w:kern w:val="2"/>
                <w:sz w:val="21"/>
                <w:szCs w:val="21"/>
              </w:rPr>
              <w:t>行政院</w:t>
            </w:r>
            <w:r w:rsidRPr="00FA3B10">
              <w:rPr>
                <w:rFonts w:ascii="新細明體" w:hAnsi="新細明體" w:hint="eastAsia"/>
                <w:kern w:val="2"/>
                <w:sz w:val="21"/>
                <w:szCs w:val="21"/>
              </w:rPr>
              <w:t>、</w:t>
            </w:r>
            <w:r w:rsidRPr="00FA3B10">
              <w:rPr>
                <w:rFonts w:ascii="Times New Roman" w:eastAsia="華康細明體" w:hAnsi="Times New Roman" w:hint="eastAsia"/>
                <w:kern w:val="2"/>
                <w:sz w:val="21"/>
                <w:szCs w:val="21"/>
              </w:rPr>
              <w:t>原住民族委員會、原住民族文化發展中心</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客家委員會及所屬、中央選舉委員會及所屬、大陸委員會</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不當黨產處理委員會。內政部、國土管理署及所屬、警政署及所屬、中央警察大學、消防署及所屬、國家公園署及所屬、移民署、建築研究所、空中勤務總隊。海洋委員會、海巡署及所屬</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海洋保育署</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國家海洋研究院。</w:t>
            </w:r>
          </w:p>
        </w:tc>
        <w:tc>
          <w:tcPr>
            <w:tcW w:w="2410" w:type="dxa"/>
            <w:tcBorders>
              <w:top w:val="single" w:sz="6" w:space="0" w:color="auto"/>
              <w:left w:val="double" w:sz="4" w:space="0" w:color="auto"/>
              <w:right w:val="double" w:sz="4" w:space="0" w:color="auto"/>
            </w:tcBorders>
          </w:tcPr>
          <w:p w14:paraId="111777F6"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作業基金：</w:t>
            </w:r>
          </w:p>
          <w:p w14:paraId="4C61D416"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營建建設基金、實施平均地權基金。原住民族綜合發展基金。</w:t>
            </w:r>
          </w:p>
          <w:p w14:paraId="601220EA"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特別收入基金：</w:t>
            </w:r>
          </w:p>
          <w:p w14:paraId="32859171"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新住民發展基金、研發及產業訓儲替代役基金、警察消防海巡移民空勤人員及協勤民力安全基金、國土永續發展基金。海洋污染防治基金。</w:t>
            </w:r>
          </w:p>
          <w:p w14:paraId="49296D1F"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信託基金：</w:t>
            </w:r>
          </w:p>
          <w:p w14:paraId="554C2CA1" w14:textId="77777777" w:rsidR="00FA3B10" w:rsidRPr="00FA3B10" w:rsidRDefault="00FA3B10" w:rsidP="00F470A8">
            <w:pPr>
              <w:widowControl w:val="0"/>
              <w:overflowPunct w:val="0"/>
              <w:autoSpaceDN/>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黃瑞景先生獎學基金、胡原洲女士獎（助）學基金、在校學生獎學基金、誠園獎學基金、劉竹琛先生警察子女獎學基金。</w:t>
            </w:r>
          </w:p>
        </w:tc>
        <w:tc>
          <w:tcPr>
            <w:tcW w:w="2113" w:type="dxa"/>
            <w:gridSpan w:val="2"/>
            <w:tcBorders>
              <w:top w:val="single" w:sz="6" w:space="0" w:color="auto"/>
              <w:left w:val="double" w:sz="4" w:space="0" w:color="auto"/>
            </w:tcBorders>
            <w:tcMar>
              <w:left w:w="40" w:type="dxa"/>
              <w:right w:w="51" w:type="dxa"/>
            </w:tcMar>
          </w:tcPr>
          <w:p w14:paraId="66590BAE" w14:textId="77777777" w:rsidR="00FA3B10" w:rsidRPr="00FA3B10" w:rsidRDefault="00FA3B10" w:rsidP="00F470A8">
            <w:pPr>
              <w:widowControl w:val="0"/>
              <w:kinsoku w:val="0"/>
              <w:overflowPunct w:val="0"/>
              <w:autoSpaceDE w:val="0"/>
              <w:adjustRightInd w:val="0"/>
              <w:snapToGrid w:val="0"/>
              <w:spacing w:line="315" w:lineRule="exact"/>
              <w:ind w:leftChars="55" w:left="132" w:rightChars="55" w:right="132"/>
              <w:jc w:val="both"/>
              <w:textAlignment w:val="center"/>
              <w:rPr>
                <w:rFonts w:ascii="華康細明體" w:eastAsia="華康細明體" w:hAnsi="Times New Roman"/>
                <w:kern w:val="2"/>
                <w:sz w:val="21"/>
                <w:szCs w:val="21"/>
              </w:rPr>
            </w:pPr>
          </w:p>
        </w:tc>
      </w:tr>
      <w:tr w:rsidR="00FA3B10" w:rsidRPr="00FA3B10" w14:paraId="5DD4DDC9" w14:textId="77777777" w:rsidTr="00455C3C">
        <w:trPr>
          <w:jc w:val="center"/>
        </w:trPr>
        <w:tc>
          <w:tcPr>
            <w:tcW w:w="1129" w:type="dxa"/>
            <w:tcBorders>
              <w:top w:val="nil"/>
              <w:bottom w:val="single" w:sz="6" w:space="0" w:color="auto"/>
            </w:tcBorders>
          </w:tcPr>
          <w:p w14:paraId="1099DBAB"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外交及國防委員會</w:t>
            </w:r>
          </w:p>
        </w:tc>
        <w:tc>
          <w:tcPr>
            <w:tcW w:w="4003" w:type="dxa"/>
            <w:tcBorders>
              <w:top w:val="nil"/>
              <w:bottom w:val="single" w:sz="6" w:space="0" w:color="auto"/>
              <w:right w:val="double" w:sz="4" w:space="0" w:color="auto"/>
            </w:tcBorders>
          </w:tcPr>
          <w:p w14:paraId="798CF507"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外交部、領事事務局、外交及國際事務學院。國防部、國防部所屬（含國家安全局）。僑務委員會。國軍退除役官兵輔導委員會。</w:t>
            </w:r>
          </w:p>
        </w:tc>
        <w:tc>
          <w:tcPr>
            <w:tcW w:w="2410" w:type="dxa"/>
            <w:tcBorders>
              <w:top w:val="nil"/>
              <w:left w:val="double" w:sz="4" w:space="0" w:color="auto"/>
              <w:bottom w:val="single" w:sz="6" w:space="0" w:color="auto"/>
              <w:right w:val="double" w:sz="4" w:space="0" w:color="auto"/>
            </w:tcBorders>
          </w:tcPr>
          <w:p w14:paraId="2FA104F1"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作業基金：</w:t>
            </w:r>
          </w:p>
          <w:p w14:paraId="4F47694B" w14:textId="77777777" w:rsidR="00FA3B10" w:rsidRPr="00FA3B10" w:rsidRDefault="00FA3B10" w:rsidP="00F470A8">
            <w:pPr>
              <w:widowControl w:val="0"/>
              <w:overflowPunct w:val="0"/>
              <w:autoSpaceDN/>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國軍生產及服務作業基金、國軍老舊眷村改建基金、國防醫學院軍事教育基金。國軍退除役官兵安置基金、榮民醫療作業基金。</w:t>
            </w:r>
          </w:p>
          <w:p w14:paraId="019F30A0"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資本計畫基金：</w:t>
            </w:r>
          </w:p>
          <w:p w14:paraId="53191D73" w14:textId="77777777" w:rsidR="00FA3B10" w:rsidRPr="00FA3B10" w:rsidRDefault="00FA3B10" w:rsidP="00F470A8">
            <w:pPr>
              <w:widowControl w:val="0"/>
              <w:overflowPunct w:val="0"/>
              <w:autoSpaceDN/>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國軍營舍及設施改建基金。</w:t>
            </w:r>
          </w:p>
          <w:p w14:paraId="058BAEE2"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信託基金：</w:t>
            </w:r>
          </w:p>
          <w:p w14:paraId="5AC0B478" w14:textId="77777777" w:rsidR="00FA3B10" w:rsidRPr="00FA3B10" w:rsidRDefault="00FA3B10" w:rsidP="00F470A8">
            <w:pPr>
              <w:widowControl w:val="0"/>
              <w:overflowPunct w:val="0"/>
              <w:autoSpaceDN/>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莊守耕公益基金、受理捐贈僑生獎助學金及艱困地區僑民學校師資輔助金基金。</w:t>
            </w:r>
          </w:p>
          <w:p w14:paraId="2DD84B6B" w14:textId="77777777" w:rsidR="00FA3B10" w:rsidRPr="00FA3B10" w:rsidRDefault="00FA3B10" w:rsidP="00F470A8">
            <w:pPr>
              <w:widowControl w:val="0"/>
              <w:kinsoku w:val="0"/>
              <w:overflowPunct w:val="0"/>
              <w:autoSpaceDE w:val="0"/>
              <w:adjustRightInd w:val="0"/>
              <w:snapToGrid w:val="0"/>
              <w:spacing w:line="315" w:lineRule="exact"/>
              <w:ind w:leftChars="50" w:left="120" w:rightChars="50" w:right="120"/>
              <w:jc w:val="both"/>
              <w:textAlignment w:val="center"/>
              <w:rPr>
                <w:rFonts w:ascii="華康細明體" w:eastAsia="華康細明體" w:hAnsi="Times New Roman"/>
                <w:kern w:val="2"/>
                <w:sz w:val="21"/>
                <w:szCs w:val="21"/>
              </w:rPr>
            </w:pPr>
          </w:p>
        </w:tc>
        <w:tc>
          <w:tcPr>
            <w:tcW w:w="2113" w:type="dxa"/>
            <w:gridSpan w:val="2"/>
            <w:tcBorders>
              <w:top w:val="nil"/>
              <w:left w:val="double" w:sz="4" w:space="0" w:color="auto"/>
              <w:bottom w:val="single" w:sz="6" w:space="0" w:color="auto"/>
            </w:tcBorders>
            <w:tcMar>
              <w:left w:w="40" w:type="dxa"/>
              <w:right w:w="51" w:type="dxa"/>
            </w:tcMar>
          </w:tcPr>
          <w:p w14:paraId="5DD209F5" w14:textId="77777777" w:rsidR="00FA3B10" w:rsidRPr="00FA3B10" w:rsidRDefault="00FA3B10" w:rsidP="00F470A8">
            <w:pPr>
              <w:widowControl w:val="0"/>
              <w:kinsoku w:val="0"/>
              <w:overflowPunct w:val="0"/>
              <w:autoSpaceDE w:val="0"/>
              <w:adjustRightInd w:val="0"/>
              <w:snapToGrid w:val="0"/>
              <w:spacing w:line="315" w:lineRule="exact"/>
              <w:ind w:leftChars="55" w:left="132" w:rightChars="55" w:right="132"/>
              <w:jc w:val="both"/>
              <w:textAlignment w:val="center"/>
              <w:rPr>
                <w:rFonts w:ascii="華康細明體" w:eastAsia="華康細明體" w:hAnsi="Times New Roman"/>
                <w:kern w:val="2"/>
                <w:sz w:val="21"/>
                <w:szCs w:val="21"/>
              </w:rPr>
            </w:pPr>
          </w:p>
        </w:tc>
      </w:tr>
      <w:tr w:rsidR="00FA3B10" w:rsidRPr="00FA3B10" w14:paraId="4C9FBC06" w14:textId="77777777" w:rsidTr="00455C3C">
        <w:trPr>
          <w:trHeight w:val="454"/>
          <w:jc w:val="center"/>
        </w:trPr>
        <w:tc>
          <w:tcPr>
            <w:tcW w:w="1129" w:type="dxa"/>
            <w:tcBorders>
              <w:top w:val="single" w:sz="6" w:space="0" w:color="auto"/>
              <w:bottom w:val="nil"/>
            </w:tcBorders>
          </w:tcPr>
          <w:p w14:paraId="4A4D436F"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經濟</w:t>
            </w:r>
            <w:r w:rsidRPr="00FA3B10">
              <w:rPr>
                <w:rFonts w:ascii="Times New Roman" w:eastAsia="華康細明體" w:hAnsi="Times New Roman" w:hint="eastAsia"/>
                <w:kern w:val="2"/>
                <w:sz w:val="21"/>
                <w:szCs w:val="21"/>
              </w:rPr>
              <w:br/>
            </w:r>
            <w:r w:rsidRPr="00FA3B10">
              <w:rPr>
                <w:rFonts w:ascii="Times New Roman" w:eastAsia="華康細明體" w:hAnsi="Times New Roman" w:hint="eastAsia"/>
                <w:kern w:val="2"/>
                <w:sz w:val="21"/>
                <w:szCs w:val="21"/>
              </w:rPr>
              <w:t>委員會</w:t>
            </w:r>
          </w:p>
        </w:tc>
        <w:tc>
          <w:tcPr>
            <w:tcW w:w="4003" w:type="dxa"/>
            <w:tcBorders>
              <w:top w:val="single" w:sz="6" w:space="0" w:color="auto"/>
              <w:bottom w:val="nil"/>
              <w:right w:val="double" w:sz="4" w:space="0" w:color="auto"/>
            </w:tcBorders>
          </w:tcPr>
          <w:p w14:paraId="1120C3E2"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國家發展委員會、檔案管理局。公平交易委員會。經濟部、產業發展署、國際</w:t>
            </w:r>
            <w:r w:rsidRPr="00FA3B10">
              <w:rPr>
                <w:rFonts w:ascii="Times New Roman" w:eastAsia="華康細明體" w:hAnsi="Times New Roman" w:hint="eastAsia"/>
                <w:kern w:val="2"/>
                <w:sz w:val="21"/>
                <w:szCs w:val="21"/>
              </w:rPr>
              <w:lastRenderedPageBreak/>
              <w:t>貿易署、標準檢驗局及所屬、智慧財產局、水利署及所屬、商業發展署、中小及新創企業署、產業園區管理局及所屬、地質調查及礦業管理中心、能源署。農業部、林業及自然保育署及所屬、農村發展及水土保持署及所屬、農業試驗所及所屬、林業試驗所、水產試驗所、畜產試驗所及所屬、獸醫研究所、農業藥物試驗所、生物多樣性研究所、茶及飲料作物改良場、種苗改良繁殖場、</w:t>
            </w:r>
            <w:r w:rsidRPr="00FA3B10">
              <w:rPr>
                <w:rFonts w:ascii="Times New Roman" w:eastAsia="華康細明體" w:hAnsi="Times New Roman" w:hint="eastAsia"/>
                <w:kern w:val="2"/>
                <w:sz w:val="21"/>
                <w:szCs w:val="21"/>
              </w:rPr>
              <w:t>7</w:t>
            </w:r>
            <w:r w:rsidRPr="00FA3B10">
              <w:rPr>
                <w:rFonts w:ascii="Times New Roman" w:eastAsia="華康細明體" w:hAnsi="Times New Roman" w:hint="eastAsia"/>
                <w:kern w:val="2"/>
                <w:sz w:val="21"/>
                <w:szCs w:val="21"/>
              </w:rPr>
              <w:t>個區農業改良場、漁業署及所屬、動植物防疫檢疫署及所屬、農業金融署、農糧署及所屬、農田水利署、農業科技園區管理中心。</w:t>
            </w:r>
          </w:p>
        </w:tc>
        <w:tc>
          <w:tcPr>
            <w:tcW w:w="2410" w:type="dxa"/>
            <w:tcBorders>
              <w:top w:val="single" w:sz="6" w:space="0" w:color="auto"/>
              <w:left w:val="double" w:sz="4" w:space="0" w:color="auto"/>
              <w:bottom w:val="nil"/>
              <w:right w:val="double" w:sz="4" w:space="0" w:color="auto"/>
            </w:tcBorders>
          </w:tcPr>
          <w:p w14:paraId="31075E50"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標楷體" w:eastAsia="華康中黑體" w:hAnsi="Times New Roman"/>
                <w:b/>
                <w:kern w:val="2"/>
                <w:sz w:val="21"/>
                <w:szCs w:val="21"/>
              </w:rPr>
            </w:pPr>
            <w:r w:rsidRPr="00FA3B10">
              <w:rPr>
                <w:rFonts w:ascii="Times New Roman" w:eastAsia="華康中黑體" w:hAnsi="Times New Roman" w:hint="eastAsia"/>
                <w:b/>
                <w:kern w:val="2"/>
                <w:sz w:val="21"/>
                <w:szCs w:val="21"/>
              </w:rPr>
              <w:lastRenderedPageBreak/>
              <w:t>作業基金：</w:t>
            </w:r>
          </w:p>
          <w:p w14:paraId="02B9F929"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行政院國家發展基金。</w:t>
            </w:r>
            <w:r w:rsidRPr="00FA3B10">
              <w:rPr>
                <w:rFonts w:ascii="華康細明體" w:eastAsia="華康細明體" w:hAnsi="Times New Roman" w:hint="eastAsia"/>
                <w:kern w:val="2"/>
                <w:sz w:val="21"/>
                <w:szCs w:val="21"/>
              </w:rPr>
              <w:lastRenderedPageBreak/>
              <w:t>經濟作業基金、水資源作業基金。農業作業基金、農田水利事業作業基金。</w:t>
            </w:r>
          </w:p>
          <w:p w14:paraId="3398420F"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特別收入基金：</w:t>
            </w:r>
          </w:p>
          <w:p w14:paraId="732AFAB6"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離島建設基金、花東地區永續發展基金</w:t>
            </w:r>
            <w:r w:rsidRPr="00FA3B10">
              <w:rPr>
                <w:rFonts w:ascii="新細明體" w:hAnsi="新細明體" w:hint="eastAsia"/>
                <w:kern w:val="2"/>
                <w:sz w:val="21"/>
                <w:szCs w:val="21"/>
              </w:rPr>
              <w:t>、</w:t>
            </w:r>
            <w:r w:rsidRPr="00FA3B10">
              <w:rPr>
                <w:rFonts w:ascii="Times New Roman" w:eastAsia="華康細明體" w:hAnsi="Times New Roman" w:hint="eastAsia"/>
                <w:kern w:val="2"/>
                <w:sz w:val="21"/>
                <w:szCs w:val="21"/>
              </w:rPr>
              <w:t>促進轉型正義基金</w:t>
            </w:r>
            <w:r w:rsidRPr="00FA3B10">
              <w:rPr>
                <w:rFonts w:ascii="華康細明體" w:eastAsia="華康細明體" w:hAnsi="Times New Roman" w:hint="eastAsia"/>
                <w:kern w:val="2"/>
                <w:sz w:val="21"/>
                <w:szCs w:val="21"/>
              </w:rPr>
              <w:t>。經濟特別收入基金、核能發電後端營運基金。農業特別收入基金。反托拉斯基金。</w:t>
            </w:r>
          </w:p>
          <w:p w14:paraId="52E110FA"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信託基金：</w:t>
            </w:r>
          </w:p>
          <w:p w14:paraId="1F552036"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color w:val="FF0000"/>
                <w:kern w:val="2"/>
                <w:sz w:val="21"/>
                <w:szCs w:val="21"/>
              </w:rPr>
            </w:pPr>
            <w:r w:rsidRPr="00FA3B10">
              <w:rPr>
                <w:rFonts w:ascii="華康細明體" w:eastAsia="華康細明體" w:hAnsi="Times New Roman" w:hint="eastAsia"/>
                <w:kern w:val="2"/>
                <w:sz w:val="21"/>
                <w:szCs w:val="21"/>
              </w:rPr>
              <w:t>農民退休基金。</w:t>
            </w:r>
          </w:p>
        </w:tc>
        <w:tc>
          <w:tcPr>
            <w:tcW w:w="2113" w:type="dxa"/>
            <w:gridSpan w:val="2"/>
            <w:tcBorders>
              <w:top w:val="single" w:sz="6" w:space="0" w:color="auto"/>
              <w:left w:val="double" w:sz="4" w:space="0" w:color="auto"/>
              <w:bottom w:val="nil"/>
            </w:tcBorders>
            <w:tcMar>
              <w:left w:w="40" w:type="dxa"/>
              <w:right w:w="51" w:type="dxa"/>
            </w:tcMar>
          </w:tcPr>
          <w:p w14:paraId="1FC185D8" w14:textId="77777777" w:rsidR="00FA3B10" w:rsidRPr="00FA3B10" w:rsidRDefault="00FA3B10" w:rsidP="00F470A8">
            <w:pPr>
              <w:widowControl w:val="0"/>
              <w:overflowPunct w:val="0"/>
              <w:autoSpaceDE w:val="0"/>
              <w:adjustRightInd w:val="0"/>
              <w:snapToGrid w:val="0"/>
              <w:spacing w:line="315" w:lineRule="exact"/>
              <w:ind w:leftChars="55" w:left="132" w:rightChars="55" w:right="132"/>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lastRenderedPageBreak/>
              <w:t>台灣糖業公司、</w:t>
            </w:r>
          </w:p>
          <w:p w14:paraId="5E387B38" w14:textId="77777777" w:rsidR="00FA3B10" w:rsidRPr="00FA3B10" w:rsidRDefault="00FA3B10" w:rsidP="00F470A8">
            <w:pPr>
              <w:widowControl w:val="0"/>
              <w:overflowPunct w:val="0"/>
              <w:autoSpaceDE w:val="0"/>
              <w:adjustRightInd w:val="0"/>
              <w:snapToGrid w:val="0"/>
              <w:spacing w:line="315" w:lineRule="exact"/>
              <w:ind w:leftChars="55" w:left="132" w:rightChars="55" w:right="132"/>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台灣中油公司、</w:t>
            </w:r>
          </w:p>
          <w:p w14:paraId="37DC05AF" w14:textId="77777777" w:rsidR="00FA3B10" w:rsidRPr="00FA3B10" w:rsidRDefault="00FA3B10" w:rsidP="00F470A8">
            <w:pPr>
              <w:widowControl w:val="0"/>
              <w:overflowPunct w:val="0"/>
              <w:autoSpaceDE w:val="0"/>
              <w:adjustRightInd w:val="0"/>
              <w:snapToGrid w:val="0"/>
              <w:spacing w:line="315" w:lineRule="exact"/>
              <w:ind w:leftChars="55" w:left="132" w:rightChars="55" w:right="132"/>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lastRenderedPageBreak/>
              <w:t>台灣電力公司、</w:t>
            </w:r>
          </w:p>
          <w:p w14:paraId="0ED2EB76" w14:textId="77777777" w:rsidR="00FA3B10" w:rsidRPr="00FA3B10" w:rsidRDefault="00FA3B10" w:rsidP="00F470A8">
            <w:pPr>
              <w:widowControl w:val="0"/>
              <w:overflowPunct w:val="0"/>
              <w:autoSpaceDE w:val="0"/>
              <w:adjustRightInd w:val="0"/>
              <w:snapToGrid w:val="0"/>
              <w:spacing w:line="315" w:lineRule="exact"/>
              <w:ind w:leftChars="55" w:left="132" w:rightChars="55" w:right="132"/>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台灣自來水公司。</w:t>
            </w:r>
          </w:p>
        </w:tc>
      </w:tr>
      <w:tr w:rsidR="00FA3B10" w:rsidRPr="00FA3B10" w14:paraId="43B2707F" w14:textId="77777777" w:rsidTr="00455C3C">
        <w:trPr>
          <w:trHeight w:val="454"/>
          <w:jc w:val="center"/>
        </w:trPr>
        <w:tc>
          <w:tcPr>
            <w:tcW w:w="1129" w:type="dxa"/>
          </w:tcPr>
          <w:p w14:paraId="26FD07D3"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lastRenderedPageBreak/>
              <w:t>財政</w:t>
            </w:r>
            <w:r w:rsidRPr="00FA3B10">
              <w:rPr>
                <w:rFonts w:ascii="Times New Roman" w:eastAsia="華康細明體" w:hAnsi="Times New Roman" w:hint="eastAsia"/>
                <w:kern w:val="2"/>
                <w:sz w:val="21"/>
                <w:szCs w:val="21"/>
              </w:rPr>
              <w:br/>
            </w:r>
            <w:r w:rsidRPr="00FA3B10">
              <w:rPr>
                <w:rFonts w:ascii="Times New Roman" w:eastAsia="華康細明體" w:hAnsi="Times New Roman" w:hint="eastAsia"/>
                <w:kern w:val="2"/>
                <w:sz w:val="21"/>
                <w:szCs w:val="21"/>
              </w:rPr>
              <w:t>委員會</w:t>
            </w:r>
          </w:p>
        </w:tc>
        <w:tc>
          <w:tcPr>
            <w:tcW w:w="4003" w:type="dxa"/>
            <w:tcBorders>
              <w:right w:val="double" w:sz="4" w:space="0" w:color="auto"/>
            </w:tcBorders>
          </w:tcPr>
          <w:p w14:paraId="5421F4BB"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主計總處。審計部、審計部臺北市審計處、審計部新北市審計處、審計部桃園市審計處、審計部臺中市審計處、審計部臺南市審計處、審計部高雄市審計處。財政部、國庫署、賦稅署、臺北國稅局、高雄國稅局、北區國稅局及所屬、中區國稅局及所屬、南區國稅局及所屬、關務署及所屬、國有財產署及所屬、財政資訊中心。金融監督管理委員會、銀行局、證券期貨局、保險局、檢查局。直轄市及縣市政府。調整軍公教人員待遇準備。災害準備金。第二預備金。融資財源調度。</w:t>
            </w:r>
          </w:p>
        </w:tc>
        <w:tc>
          <w:tcPr>
            <w:tcW w:w="2410" w:type="dxa"/>
            <w:tcBorders>
              <w:left w:val="double" w:sz="4" w:space="0" w:color="auto"/>
              <w:right w:val="double" w:sz="4" w:space="0" w:color="auto"/>
            </w:tcBorders>
          </w:tcPr>
          <w:p w14:paraId="35B683EC"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債務基金：</w:t>
            </w:r>
          </w:p>
          <w:p w14:paraId="35EFD458"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中央政府債務基金。</w:t>
            </w:r>
          </w:p>
          <w:p w14:paraId="4CB2051E"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特別收入基金：</w:t>
            </w:r>
          </w:p>
          <w:p w14:paraId="647B1EDF"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金融監督管理基金。</w:t>
            </w:r>
          </w:p>
          <w:p w14:paraId="625C3C15"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信託基金：</w:t>
            </w:r>
          </w:p>
          <w:p w14:paraId="0779E120"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標楷體"/>
                <w:kern w:val="2"/>
                <w:sz w:val="21"/>
                <w:szCs w:val="21"/>
              </w:rPr>
            </w:pPr>
            <w:r w:rsidRPr="00FA3B10">
              <w:rPr>
                <w:rFonts w:ascii="華康細明體" w:eastAsia="華康細明體" w:hAnsi="Times New Roman" w:hint="eastAsia"/>
                <w:kern w:val="2"/>
                <w:sz w:val="21"/>
                <w:szCs w:val="21"/>
              </w:rPr>
              <w:t>保險業務發展基金。</w:t>
            </w:r>
          </w:p>
        </w:tc>
        <w:tc>
          <w:tcPr>
            <w:tcW w:w="2113" w:type="dxa"/>
            <w:gridSpan w:val="2"/>
            <w:tcBorders>
              <w:left w:val="double" w:sz="4" w:space="0" w:color="auto"/>
            </w:tcBorders>
            <w:tcMar>
              <w:left w:w="40" w:type="dxa"/>
              <w:right w:w="51" w:type="dxa"/>
            </w:tcMar>
          </w:tcPr>
          <w:p w14:paraId="69BE46E3" w14:textId="77777777" w:rsidR="00FA3B10" w:rsidRPr="00FA3B10" w:rsidRDefault="00FA3B10" w:rsidP="00F470A8">
            <w:pPr>
              <w:widowControl w:val="0"/>
              <w:overflowPunct w:val="0"/>
              <w:autoSpaceDE w:val="0"/>
              <w:adjustRightInd w:val="0"/>
              <w:snapToGrid w:val="0"/>
              <w:spacing w:line="315" w:lineRule="exact"/>
              <w:ind w:leftChars="55" w:left="132" w:rightChars="55" w:right="132"/>
              <w:jc w:val="both"/>
              <w:textAlignment w:val="auto"/>
              <w:rPr>
                <w:rFonts w:ascii="新細明體" w:hAnsi="Times New Roman"/>
                <w:kern w:val="2"/>
                <w:sz w:val="21"/>
                <w:szCs w:val="21"/>
              </w:rPr>
            </w:pPr>
            <w:r w:rsidRPr="00FA3B10">
              <w:rPr>
                <w:rFonts w:ascii="華康細明體" w:eastAsia="華康細明體" w:hAnsi="Times New Roman" w:hint="eastAsia"/>
                <w:kern w:val="2"/>
                <w:sz w:val="21"/>
                <w:szCs w:val="21"/>
              </w:rPr>
              <w:t>中央銀行（含中央造幣廠、中央印製廠）。中國輸出入銀行、臺灣金融控股公司（含臺灣銀行公司、臺銀人壽保險公司、臺銀綜合證券公司）、臺灣土地銀行公司、財政部印刷廠、臺灣菸酒公司。中央存款保險公司。</w:t>
            </w:r>
          </w:p>
        </w:tc>
      </w:tr>
      <w:tr w:rsidR="00FA3B10" w:rsidRPr="00FA3B10" w14:paraId="61F221D4" w14:textId="77777777" w:rsidTr="00455C3C">
        <w:trPr>
          <w:trHeight w:val="2084"/>
          <w:jc w:val="center"/>
        </w:trPr>
        <w:tc>
          <w:tcPr>
            <w:tcW w:w="1129" w:type="dxa"/>
          </w:tcPr>
          <w:p w14:paraId="2F927F8B"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Times New Roman" w:eastAsia="華康細明體" w:hAnsi="Times New Roman" w:hint="eastAsia"/>
                <w:kern w:val="2"/>
                <w:sz w:val="21"/>
                <w:szCs w:val="21"/>
              </w:rPr>
              <w:t>教育及文化委員會</w:t>
            </w:r>
          </w:p>
        </w:tc>
        <w:tc>
          <w:tcPr>
            <w:tcW w:w="4003" w:type="dxa"/>
            <w:tcBorders>
              <w:right w:val="double" w:sz="4" w:space="0" w:color="auto"/>
            </w:tcBorders>
          </w:tcPr>
          <w:p w14:paraId="2233D54F"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kern w:val="2"/>
                <w:sz w:val="21"/>
                <w:szCs w:val="21"/>
              </w:rPr>
            </w:pPr>
            <w:r w:rsidRPr="00FA3B10">
              <w:rPr>
                <w:rFonts w:ascii="Times New Roman" w:eastAsia="華康細明體" w:hAnsi="Times New Roman" w:hint="eastAsia"/>
                <w:kern w:val="2"/>
                <w:sz w:val="21"/>
                <w:szCs w:val="21"/>
              </w:rPr>
              <w:t>中央研究院。國立故宮博物院。核能安全委員會及所屬。教育部、國民及學前教育署、體育署、青年發展署、國家圖書館、國立公共資訊圖書館、國立教育廣播電臺、國家教育研究院。文化部、文化資產局、影視及流行音樂產業局、國立傳統藝術中心、國立臺灣美術館及所屬、國立臺灣工藝研究發展中心、國立臺灣博物館、國立臺灣史前文化博物館</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國家人權博物館</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國立臺灣歷史博物館、國立臺灣文學館。國家科學及技術委員會、新竹科學園區管理局、中部科學園區管理局、南部科學園區管理局。</w:t>
            </w:r>
          </w:p>
        </w:tc>
        <w:tc>
          <w:tcPr>
            <w:tcW w:w="2410" w:type="dxa"/>
            <w:tcBorders>
              <w:left w:val="double" w:sz="4" w:space="0" w:color="auto"/>
              <w:right w:val="double" w:sz="4" w:space="0" w:color="auto"/>
            </w:tcBorders>
          </w:tcPr>
          <w:p w14:paraId="398AFB0F"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標楷體" w:eastAsia="華康中黑體" w:hAnsi="Times New Roman"/>
                <w:b/>
                <w:kern w:val="2"/>
                <w:sz w:val="21"/>
                <w:szCs w:val="21"/>
              </w:rPr>
            </w:pPr>
            <w:r w:rsidRPr="00FA3B10">
              <w:rPr>
                <w:rFonts w:ascii="Times New Roman" w:eastAsia="華康中黑體" w:hAnsi="Times New Roman" w:hint="eastAsia"/>
                <w:b/>
                <w:kern w:val="2"/>
                <w:sz w:val="21"/>
                <w:szCs w:val="21"/>
              </w:rPr>
              <w:t>作業基金：</w:t>
            </w:r>
          </w:p>
          <w:p w14:paraId="23CE539B"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Times New Roman" w:eastAsia="華康細明體" w:hAnsi="Times New Roman" w:hint="eastAsia"/>
                <w:kern w:val="2"/>
                <w:sz w:val="21"/>
                <w:szCs w:val="21"/>
              </w:rPr>
              <w:t>4</w:t>
            </w:r>
            <w:r w:rsidRPr="00FA3B10">
              <w:rPr>
                <w:rFonts w:ascii="Times New Roman" w:eastAsia="華康細明體" w:hAnsi="Times New Roman"/>
                <w:kern w:val="2"/>
                <w:sz w:val="21"/>
                <w:szCs w:val="21"/>
              </w:rPr>
              <w:t>7</w:t>
            </w:r>
            <w:r w:rsidRPr="00FA3B10">
              <w:rPr>
                <w:rFonts w:ascii="華康細明體" w:eastAsia="華康細明體" w:hAnsi="Times New Roman" w:hint="eastAsia"/>
                <w:kern w:val="2"/>
                <w:sz w:val="21"/>
                <w:szCs w:val="21"/>
              </w:rPr>
              <w:t>所國立大學校院校務基金、國立臺灣大學附設醫院作業基金、國立成功大學附設醫院作業基金、國立陽明交通大學附設醫院作業基金、教育部所屬機構作業基金、國立高級中等學校校務基金。科學園區管理局作業基金。國立文化機構作業基金。故宮文物藝術發展基金。</w:t>
            </w:r>
          </w:p>
          <w:p w14:paraId="3D6A1D07"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特別收入基金：</w:t>
            </w:r>
          </w:p>
          <w:p w14:paraId="2AE86678"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kern w:val="2"/>
                <w:sz w:val="21"/>
                <w:szCs w:val="21"/>
              </w:rPr>
            </w:pPr>
            <w:r w:rsidRPr="00FA3B10">
              <w:rPr>
                <w:rFonts w:ascii="華康細明體" w:eastAsia="華康細明體" w:hAnsi="Times New Roman" w:hint="eastAsia"/>
                <w:kern w:val="2"/>
                <w:sz w:val="21"/>
                <w:szCs w:val="21"/>
              </w:rPr>
              <w:t>中央研究院科學研究基金。行政院國家科學技術發展基金。學產基</w:t>
            </w:r>
            <w:r w:rsidRPr="00FA3B10">
              <w:rPr>
                <w:rFonts w:ascii="華康細明體" w:eastAsia="華康細明體" w:hAnsi="Times New Roman" w:hint="eastAsia"/>
                <w:kern w:val="2"/>
                <w:sz w:val="21"/>
                <w:szCs w:val="21"/>
              </w:rPr>
              <w:lastRenderedPageBreak/>
              <w:t>金、運動發展基金、私立高級中等以上學校退場基金。核子事故緊急應變基金。文化發展基金。</w:t>
            </w:r>
          </w:p>
        </w:tc>
        <w:tc>
          <w:tcPr>
            <w:tcW w:w="2113" w:type="dxa"/>
            <w:gridSpan w:val="2"/>
            <w:tcBorders>
              <w:left w:val="double" w:sz="4" w:space="0" w:color="auto"/>
            </w:tcBorders>
            <w:tcMar>
              <w:left w:w="40" w:type="dxa"/>
              <w:right w:w="51" w:type="dxa"/>
            </w:tcMar>
          </w:tcPr>
          <w:p w14:paraId="30AFC3AA" w14:textId="77777777" w:rsidR="00FA3B10" w:rsidRPr="00FA3B10" w:rsidRDefault="00FA3B10" w:rsidP="00F470A8">
            <w:pPr>
              <w:widowControl w:val="0"/>
              <w:overflowPunct w:val="0"/>
              <w:autoSpaceDN/>
              <w:ind w:leftChars="55" w:left="132" w:rightChars="55" w:right="132"/>
              <w:textAlignment w:val="auto"/>
              <w:rPr>
                <w:rFonts w:ascii="Times New Roman" w:hAnsi="Times New Roman"/>
                <w:kern w:val="2"/>
                <w:szCs w:val="24"/>
              </w:rPr>
            </w:pPr>
          </w:p>
        </w:tc>
      </w:tr>
      <w:tr w:rsidR="00FA3B10" w:rsidRPr="00FA3B10" w14:paraId="7D4B0A30" w14:textId="77777777" w:rsidTr="00455C3C">
        <w:trPr>
          <w:trHeight w:val="2762"/>
          <w:jc w:val="center"/>
        </w:trPr>
        <w:tc>
          <w:tcPr>
            <w:tcW w:w="1129" w:type="dxa"/>
            <w:tcBorders>
              <w:bottom w:val="single" w:sz="6" w:space="0" w:color="auto"/>
            </w:tcBorders>
          </w:tcPr>
          <w:p w14:paraId="2108B063"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交通</w:t>
            </w:r>
            <w:r w:rsidRPr="00FA3B10">
              <w:rPr>
                <w:rFonts w:ascii="Times New Roman" w:eastAsia="華康細明體" w:hAnsi="Times New Roman" w:hint="eastAsia"/>
                <w:kern w:val="2"/>
                <w:sz w:val="21"/>
                <w:szCs w:val="21"/>
              </w:rPr>
              <w:br/>
            </w:r>
            <w:r w:rsidRPr="00FA3B10">
              <w:rPr>
                <w:rFonts w:ascii="Times New Roman" w:eastAsia="華康細明體" w:hAnsi="Times New Roman" w:hint="eastAsia"/>
                <w:kern w:val="2"/>
                <w:sz w:val="21"/>
                <w:szCs w:val="21"/>
              </w:rPr>
              <w:t>委員會</w:t>
            </w:r>
          </w:p>
        </w:tc>
        <w:tc>
          <w:tcPr>
            <w:tcW w:w="4003" w:type="dxa"/>
            <w:tcBorders>
              <w:bottom w:val="single" w:sz="6" w:space="0" w:color="auto"/>
              <w:right w:val="double" w:sz="4" w:space="0" w:color="auto"/>
            </w:tcBorders>
          </w:tcPr>
          <w:p w14:paraId="65638ECB"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kern w:val="2"/>
                <w:sz w:val="21"/>
                <w:szCs w:val="21"/>
              </w:rPr>
            </w:pPr>
            <w:r w:rsidRPr="00FA3B10">
              <w:rPr>
                <w:rFonts w:ascii="Times New Roman" w:eastAsia="華康細明體" w:hAnsi="Times New Roman" w:hint="eastAsia"/>
                <w:kern w:val="2"/>
                <w:sz w:val="21"/>
                <w:szCs w:val="21"/>
              </w:rPr>
              <w:t>國家通訊傳播委員會、國家運輸安全調查委員會、公共工程委員會。交通部、民用航空局、中央氣象署、觀光署及所屬、運輸研究所、公路局及所屬</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鐵道局及所屬</w:t>
            </w:r>
            <w:r w:rsidRPr="00FA3B10">
              <w:rPr>
                <w:rFonts w:ascii="新細明體" w:hAnsi="新細明體" w:hint="eastAsia"/>
                <w:kern w:val="2"/>
                <w:sz w:val="21"/>
                <w:szCs w:val="21"/>
              </w:rPr>
              <w:t>、</w:t>
            </w:r>
            <w:r w:rsidRPr="00FA3B10">
              <w:rPr>
                <w:rFonts w:ascii="Times New Roman" w:eastAsia="華康細明體" w:hAnsi="Times New Roman" w:hint="eastAsia"/>
                <w:kern w:val="2"/>
                <w:sz w:val="21"/>
                <w:szCs w:val="21"/>
              </w:rPr>
              <w:t>航港局。數位發展部、資通安全署、數位產業署</w:t>
            </w:r>
            <w:r w:rsidRPr="00FA3B10">
              <w:rPr>
                <w:rFonts w:ascii="華康細明體" w:eastAsia="華康細明體" w:hAnsi="Times New Roman" w:hint="eastAsia"/>
                <w:kern w:val="2"/>
                <w:sz w:val="21"/>
                <w:szCs w:val="21"/>
              </w:rPr>
              <w:t>。</w:t>
            </w:r>
          </w:p>
        </w:tc>
        <w:tc>
          <w:tcPr>
            <w:tcW w:w="2410" w:type="dxa"/>
            <w:tcBorders>
              <w:left w:val="double" w:sz="4" w:space="0" w:color="auto"/>
              <w:bottom w:val="single" w:sz="6" w:space="0" w:color="auto"/>
              <w:right w:val="double" w:sz="4" w:space="0" w:color="auto"/>
            </w:tcBorders>
          </w:tcPr>
          <w:p w14:paraId="3769F0DE"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作業基金：</w:t>
            </w:r>
          </w:p>
          <w:p w14:paraId="764A366F"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交通作業基金。</w:t>
            </w:r>
          </w:p>
          <w:p w14:paraId="18172C99"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特別收入基金：</w:t>
            </w:r>
          </w:p>
          <w:p w14:paraId="4C16AF31"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kern w:val="2"/>
                <w:sz w:val="21"/>
                <w:szCs w:val="21"/>
              </w:rPr>
            </w:pPr>
            <w:r w:rsidRPr="00FA3B10">
              <w:rPr>
                <w:rFonts w:ascii="華康細明體" w:eastAsia="華康細明體" w:hAnsi="Times New Roman" w:hint="eastAsia"/>
                <w:kern w:val="2"/>
                <w:sz w:val="21"/>
                <w:szCs w:val="21"/>
              </w:rPr>
              <w:t>航港建設基金。通訊傳播監督管理基金、有線廣播電視事業發展基金。</w:t>
            </w:r>
          </w:p>
        </w:tc>
        <w:tc>
          <w:tcPr>
            <w:tcW w:w="2113" w:type="dxa"/>
            <w:gridSpan w:val="2"/>
            <w:tcBorders>
              <w:left w:val="double" w:sz="4" w:space="0" w:color="auto"/>
              <w:bottom w:val="single" w:sz="6" w:space="0" w:color="auto"/>
            </w:tcBorders>
            <w:tcMar>
              <w:left w:w="40" w:type="dxa"/>
              <w:right w:w="51" w:type="dxa"/>
            </w:tcMar>
          </w:tcPr>
          <w:p w14:paraId="1D4BBAD4" w14:textId="77777777" w:rsidR="00FA3B10" w:rsidRPr="00FA3B10" w:rsidRDefault="00FA3B10" w:rsidP="00F470A8">
            <w:pPr>
              <w:widowControl w:val="0"/>
              <w:overflowPunct w:val="0"/>
              <w:autoSpaceDE w:val="0"/>
              <w:adjustRightInd w:val="0"/>
              <w:snapToGrid w:val="0"/>
              <w:spacing w:line="315" w:lineRule="exact"/>
              <w:ind w:leftChars="55" w:left="132" w:rightChars="55" w:right="132"/>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中華郵政公司、國營臺灣鐵路公司、臺灣港務公司（含臺灣港務港勤公司、高雄港區土地開發公司）、桃園國際機場公司。</w:t>
            </w:r>
          </w:p>
        </w:tc>
      </w:tr>
      <w:tr w:rsidR="00FA3B10" w:rsidRPr="00FA3B10" w14:paraId="0ED145CD" w14:textId="77777777" w:rsidTr="00455C3C">
        <w:trPr>
          <w:trHeight w:val="7191"/>
          <w:jc w:val="center"/>
        </w:trPr>
        <w:tc>
          <w:tcPr>
            <w:tcW w:w="1129" w:type="dxa"/>
            <w:tcBorders>
              <w:top w:val="single" w:sz="6" w:space="0" w:color="auto"/>
              <w:bottom w:val="nil"/>
            </w:tcBorders>
          </w:tcPr>
          <w:p w14:paraId="42D2D5F6"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司法及法制委員會</w:t>
            </w:r>
          </w:p>
        </w:tc>
        <w:tc>
          <w:tcPr>
            <w:tcW w:w="4003" w:type="dxa"/>
            <w:vMerge w:val="restart"/>
            <w:tcBorders>
              <w:top w:val="single" w:sz="6" w:space="0" w:color="auto"/>
              <w:right w:val="double" w:sz="4" w:space="0" w:color="auto"/>
            </w:tcBorders>
          </w:tcPr>
          <w:p w14:paraId="2D672864"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r w:rsidRPr="00FA3B10">
              <w:rPr>
                <w:rFonts w:ascii="Times New Roman" w:eastAsia="華康細明體" w:hAnsi="Times New Roman" w:hint="eastAsia"/>
                <w:kern w:val="2"/>
                <w:sz w:val="21"/>
                <w:szCs w:val="21"/>
              </w:rPr>
              <w:t>總統府、國家安全會議、國史館、國史館臺灣文獻館。人事行政總處、公務人力發展學院。立法院。司法院、最高法院、最高行政法院、臺北高等行政法院、臺中高等行政法院、高雄高等行政法院、懲戒法院、法官學院、智慧財產及商業法院、臺灣高等法院及</w:t>
            </w:r>
            <w:r w:rsidRPr="00FA3B10">
              <w:rPr>
                <w:rFonts w:ascii="Times New Roman" w:eastAsia="華康細明體" w:hAnsi="Times New Roman" w:hint="eastAsia"/>
                <w:kern w:val="2"/>
                <w:sz w:val="21"/>
                <w:szCs w:val="21"/>
              </w:rPr>
              <w:t>4</w:t>
            </w:r>
            <w:r w:rsidRPr="00FA3B10">
              <w:rPr>
                <w:rFonts w:ascii="Times New Roman" w:eastAsia="華康細明體" w:hAnsi="Times New Roman" w:hint="eastAsia"/>
                <w:kern w:val="2"/>
                <w:sz w:val="21"/>
                <w:szCs w:val="21"/>
              </w:rPr>
              <w:t>個分院、</w:t>
            </w:r>
            <w:r w:rsidRPr="00FA3B10">
              <w:rPr>
                <w:rFonts w:ascii="Times New Roman" w:eastAsia="華康細明體" w:hAnsi="Times New Roman" w:hint="eastAsia"/>
                <w:kern w:val="2"/>
                <w:sz w:val="21"/>
                <w:szCs w:val="21"/>
              </w:rPr>
              <w:t>20</w:t>
            </w:r>
            <w:r w:rsidRPr="00FA3B10">
              <w:rPr>
                <w:rFonts w:ascii="Times New Roman" w:eastAsia="華康細明體" w:hAnsi="Times New Roman" w:hint="eastAsia"/>
                <w:kern w:val="2"/>
                <w:sz w:val="21"/>
                <w:szCs w:val="21"/>
              </w:rPr>
              <w:t>個臺灣地區地方法院、臺灣高雄少年及家事法院、福建高等法院金門分院、福建金門地方法院、福建連江地方法院。考試院、考選部、銓敘部、公務人員保障暨培訓委員會、國家文官學院及所屬、公務人員退休撫卹基金管理局。監察院。法務部、司法官學院、法醫研究所、廉政署、矯正署及所屬、行政執行署及所屬、最高檢察署、臺灣高等檢察署及</w:t>
            </w:r>
            <w:r w:rsidRPr="00FA3B10">
              <w:rPr>
                <w:rFonts w:ascii="Times New Roman" w:eastAsia="華康細明體" w:hAnsi="Times New Roman" w:hint="eastAsia"/>
                <w:kern w:val="2"/>
                <w:sz w:val="21"/>
                <w:szCs w:val="21"/>
              </w:rPr>
              <w:t>4</w:t>
            </w:r>
            <w:r w:rsidRPr="00FA3B10">
              <w:rPr>
                <w:rFonts w:ascii="Times New Roman" w:eastAsia="華康細明體" w:hAnsi="Times New Roman" w:hint="eastAsia"/>
                <w:kern w:val="2"/>
                <w:sz w:val="21"/>
                <w:szCs w:val="21"/>
              </w:rPr>
              <w:t>個檢察分署、臺灣高等檢察署智慧財產檢察分署、</w:t>
            </w:r>
            <w:r w:rsidRPr="00FA3B10">
              <w:rPr>
                <w:rFonts w:ascii="Times New Roman" w:eastAsia="華康細明體" w:hAnsi="Times New Roman" w:hint="eastAsia"/>
                <w:kern w:val="2"/>
                <w:sz w:val="21"/>
                <w:szCs w:val="21"/>
              </w:rPr>
              <w:t>20</w:t>
            </w:r>
            <w:r w:rsidRPr="00FA3B10">
              <w:rPr>
                <w:rFonts w:ascii="Times New Roman" w:eastAsia="華康細明體" w:hAnsi="Times New Roman" w:hint="eastAsia"/>
                <w:kern w:val="2"/>
                <w:sz w:val="21"/>
                <w:szCs w:val="21"/>
              </w:rPr>
              <w:t>個臺灣地區</w:t>
            </w:r>
            <w:r w:rsidRPr="00FA3B10">
              <w:rPr>
                <w:rFonts w:ascii="Times New Roman" w:eastAsia="華康細明體" w:hAnsi="Times New Roman" w:hint="eastAsia"/>
                <w:w w:val="105"/>
                <w:kern w:val="2"/>
                <w:sz w:val="21"/>
                <w:szCs w:val="21"/>
              </w:rPr>
              <w:t>地方檢察署、福建高等</w:t>
            </w:r>
            <w:r w:rsidRPr="00FA3B10">
              <w:rPr>
                <w:rFonts w:ascii="Times New Roman" w:eastAsia="華康細明體" w:hAnsi="Times New Roman" w:hint="eastAsia"/>
                <w:kern w:val="2"/>
                <w:sz w:val="21"/>
                <w:szCs w:val="21"/>
              </w:rPr>
              <w:t>檢察署</w:t>
            </w:r>
            <w:r w:rsidRPr="00FA3B10">
              <w:rPr>
                <w:rFonts w:ascii="Times New Roman" w:eastAsia="華康細明體" w:hAnsi="Times New Roman" w:hint="eastAsia"/>
                <w:w w:val="105"/>
                <w:kern w:val="2"/>
                <w:sz w:val="21"/>
                <w:szCs w:val="21"/>
              </w:rPr>
              <w:t>金門</w:t>
            </w:r>
            <w:r w:rsidRPr="00FA3B10">
              <w:rPr>
                <w:rFonts w:ascii="Times New Roman" w:eastAsia="華康細明體" w:hAnsi="Times New Roman" w:hint="eastAsia"/>
                <w:kern w:val="2"/>
                <w:sz w:val="21"/>
                <w:szCs w:val="21"/>
              </w:rPr>
              <w:t>檢察分署、福建金門地方檢察署、福建連江地方檢察署、調查局。</w:t>
            </w:r>
          </w:p>
          <w:p w14:paraId="69855EFD"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Times New Roman" w:eastAsia="華康細明體" w:hAnsi="Times New Roman"/>
                <w:kern w:val="2"/>
                <w:sz w:val="21"/>
                <w:szCs w:val="21"/>
              </w:rPr>
            </w:pPr>
          </w:p>
          <w:p w14:paraId="3C9A07DF"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新細明體" w:hAnsi="Times New Roman"/>
                <w:kern w:val="2"/>
                <w:sz w:val="21"/>
                <w:szCs w:val="21"/>
              </w:rPr>
            </w:pPr>
          </w:p>
          <w:p w14:paraId="7C2CC86E"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新細明體" w:hAnsi="Times New Roman"/>
                <w:kern w:val="2"/>
                <w:sz w:val="21"/>
                <w:szCs w:val="21"/>
              </w:rPr>
            </w:pPr>
          </w:p>
          <w:p w14:paraId="5D121CAB"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新細明體" w:hAnsi="Times New Roman"/>
                <w:kern w:val="2"/>
                <w:sz w:val="21"/>
                <w:szCs w:val="21"/>
              </w:rPr>
            </w:pPr>
          </w:p>
          <w:p w14:paraId="1AE2BDF1"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新細明體" w:hAnsi="Times New Roman"/>
                <w:kern w:val="2"/>
                <w:sz w:val="21"/>
                <w:szCs w:val="21"/>
              </w:rPr>
            </w:pPr>
          </w:p>
          <w:p w14:paraId="079D76A9"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新細明體" w:hAnsi="Times New Roman"/>
                <w:kern w:val="2"/>
                <w:sz w:val="21"/>
                <w:szCs w:val="21"/>
              </w:rPr>
            </w:pPr>
          </w:p>
          <w:p w14:paraId="3EDDD609"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新細明體" w:hAnsi="Times New Roman"/>
                <w:kern w:val="2"/>
                <w:sz w:val="21"/>
                <w:szCs w:val="21"/>
              </w:rPr>
            </w:pPr>
          </w:p>
          <w:p w14:paraId="5F68EA4A" w14:textId="77777777" w:rsidR="00FA3B10" w:rsidRPr="00FA3B10" w:rsidRDefault="00FA3B10" w:rsidP="00F470A8">
            <w:pPr>
              <w:widowControl w:val="0"/>
              <w:overflowPunct w:val="0"/>
              <w:autoSpaceDE w:val="0"/>
              <w:autoSpaceDN/>
              <w:adjustRightInd w:val="0"/>
              <w:snapToGrid w:val="0"/>
              <w:spacing w:line="315" w:lineRule="exact"/>
              <w:ind w:leftChars="50" w:left="120" w:rightChars="50" w:right="120"/>
              <w:jc w:val="both"/>
              <w:textAlignment w:val="auto"/>
              <w:rPr>
                <w:rFonts w:ascii="新細明體" w:hAnsi="Times New Roman"/>
                <w:kern w:val="2"/>
                <w:sz w:val="21"/>
                <w:szCs w:val="21"/>
              </w:rPr>
            </w:pPr>
          </w:p>
        </w:tc>
        <w:tc>
          <w:tcPr>
            <w:tcW w:w="2410" w:type="dxa"/>
            <w:vMerge w:val="restart"/>
            <w:tcBorders>
              <w:top w:val="single" w:sz="6" w:space="0" w:color="auto"/>
              <w:left w:val="double" w:sz="4" w:space="0" w:color="auto"/>
              <w:right w:val="double" w:sz="4" w:space="0" w:color="auto"/>
            </w:tcBorders>
          </w:tcPr>
          <w:p w14:paraId="56F0FC9C"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標楷體" w:eastAsia="華康中黑體" w:hAnsi="Times New Roman"/>
                <w:b/>
                <w:kern w:val="2"/>
                <w:sz w:val="21"/>
                <w:szCs w:val="21"/>
              </w:rPr>
            </w:pPr>
            <w:r w:rsidRPr="00FA3B10">
              <w:rPr>
                <w:rFonts w:ascii="Times New Roman" w:eastAsia="華康中黑體" w:hAnsi="Times New Roman" w:hint="eastAsia"/>
                <w:b/>
                <w:kern w:val="2"/>
                <w:sz w:val="21"/>
                <w:szCs w:val="21"/>
              </w:rPr>
              <w:t>作業基金：</w:t>
            </w:r>
          </w:p>
          <w:p w14:paraId="7617E3CE"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法務部矯正機關作業基金。考選業務基金。</w:t>
            </w:r>
          </w:p>
          <w:p w14:paraId="0D8B4EB3"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特別收入基金：</w:t>
            </w:r>
          </w:p>
          <w:p w14:paraId="3456DC0E"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細明體" w:hAnsi="Times New Roman" w:hint="eastAsia"/>
                <w:kern w:val="2"/>
                <w:sz w:val="21"/>
                <w:szCs w:val="21"/>
              </w:rPr>
              <w:t>毒品防制</w:t>
            </w:r>
            <w:r w:rsidRPr="00FA3B10">
              <w:rPr>
                <w:rFonts w:ascii="華康細明體" w:eastAsia="華康細明體" w:hAnsi="Times New Roman" w:hint="eastAsia"/>
                <w:kern w:val="2"/>
                <w:sz w:val="21"/>
                <w:szCs w:val="21"/>
              </w:rPr>
              <w:t>基金。</w:t>
            </w:r>
          </w:p>
          <w:p w14:paraId="0344D351"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信託基金：</w:t>
            </w:r>
          </w:p>
          <w:p w14:paraId="026B6FD2"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中央公教人員急難救助基金。公務人員退休撫卹基金</w:t>
            </w:r>
            <w:r w:rsidRPr="00FA3B10">
              <w:rPr>
                <w:rFonts w:ascii="新細明體" w:hAnsi="新細明體" w:hint="eastAsia"/>
                <w:kern w:val="2"/>
                <w:sz w:val="21"/>
                <w:szCs w:val="21"/>
              </w:rPr>
              <w:t>、</w:t>
            </w:r>
            <w:r w:rsidRPr="00FA3B10">
              <w:rPr>
                <w:rFonts w:ascii="華康細明體" w:eastAsia="華康細明體" w:hAnsi="Times New Roman" w:hint="eastAsia"/>
                <w:kern w:val="2"/>
                <w:sz w:val="21"/>
                <w:szCs w:val="21"/>
              </w:rPr>
              <w:t>公教人員個人專戶制退撫儲金基金。</w:t>
            </w:r>
          </w:p>
        </w:tc>
        <w:tc>
          <w:tcPr>
            <w:tcW w:w="2113" w:type="dxa"/>
            <w:gridSpan w:val="2"/>
            <w:tcBorders>
              <w:top w:val="single" w:sz="6" w:space="0" w:color="auto"/>
              <w:left w:val="double" w:sz="4" w:space="0" w:color="auto"/>
              <w:bottom w:val="nil"/>
            </w:tcBorders>
            <w:tcMar>
              <w:left w:w="40" w:type="dxa"/>
              <w:right w:w="51" w:type="dxa"/>
            </w:tcMar>
          </w:tcPr>
          <w:p w14:paraId="6EAD70E7" w14:textId="77777777" w:rsidR="00FA3B10" w:rsidRPr="00FA3B10" w:rsidRDefault="00FA3B10" w:rsidP="00F470A8">
            <w:pPr>
              <w:widowControl w:val="0"/>
              <w:kinsoku w:val="0"/>
              <w:overflowPunct w:val="0"/>
              <w:autoSpaceDE w:val="0"/>
              <w:adjustRightInd w:val="0"/>
              <w:snapToGrid w:val="0"/>
              <w:spacing w:line="315" w:lineRule="exact"/>
              <w:ind w:leftChars="55" w:left="132" w:rightChars="55" w:right="132"/>
              <w:jc w:val="both"/>
              <w:textAlignment w:val="center"/>
              <w:rPr>
                <w:rFonts w:ascii="新細明體" w:hAnsi="Times New Roman"/>
                <w:kern w:val="2"/>
                <w:sz w:val="21"/>
                <w:szCs w:val="21"/>
              </w:rPr>
            </w:pPr>
          </w:p>
        </w:tc>
      </w:tr>
      <w:tr w:rsidR="00FA3B10" w:rsidRPr="00FA3B10" w14:paraId="05B82B44" w14:textId="77777777" w:rsidTr="00455C3C">
        <w:trPr>
          <w:gridAfter w:val="1"/>
          <w:wAfter w:w="7" w:type="dxa"/>
          <w:trHeight w:val="689"/>
          <w:jc w:val="center"/>
        </w:trPr>
        <w:tc>
          <w:tcPr>
            <w:tcW w:w="1129" w:type="dxa"/>
            <w:tcBorders>
              <w:top w:val="nil"/>
              <w:bottom w:val="single" w:sz="6" w:space="0" w:color="auto"/>
            </w:tcBorders>
          </w:tcPr>
          <w:p w14:paraId="0D6F8D70" w14:textId="77777777" w:rsidR="00FA3B10" w:rsidRPr="00FA3B10" w:rsidRDefault="00FA3B10" w:rsidP="00F470A8">
            <w:pPr>
              <w:widowControl w:val="0"/>
              <w:kinsoku w:val="0"/>
              <w:overflowPunct w:val="0"/>
              <w:autoSpaceDE w:val="0"/>
              <w:adjustRightInd w:val="0"/>
              <w:snapToGrid w:val="0"/>
              <w:spacing w:line="315" w:lineRule="exact"/>
              <w:ind w:leftChars="50" w:left="120" w:rightChars="50" w:right="120"/>
              <w:jc w:val="distribute"/>
              <w:textAlignment w:val="center"/>
              <w:rPr>
                <w:rFonts w:ascii="華康細明體" w:eastAsia="華康細明體" w:hAnsi="Times New Roman"/>
                <w:kern w:val="2"/>
                <w:sz w:val="21"/>
                <w:szCs w:val="21"/>
              </w:rPr>
            </w:pPr>
          </w:p>
        </w:tc>
        <w:tc>
          <w:tcPr>
            <w:tcW w:w="4003" w:type="dxa"/>
            <w:vMerge/>
            <w:tcBorders>
              <w:bottom w:val="single" w:sz="6" w:space="0" w:color="auto"/>
              <w:right w:val="double" w:sz="4" w:space="0" w:color="auto"/>
            </w:tcBorders>
          </w:tcPr>
          <w:p w14:paraId="0B91AB80" w14:textId="77777777" w:rsidR="00FA3B10" w:rsidRPr="00FA3B10" w:rsidRDefault="00FA3B10" w:rsidP="00F470A8">
            <w:pPr>
              <w:widowControl w:val="0"/>
              <w:kinsoku w:val="0"/>
              <w:overflowPunct w:val="0"/>
              <w:autoSpaceDE w:val="0"/>
              <w:adjustRightInd w:val="0"/>
              <w:snapToGrid w:val="0"/>
              <w:spacing w:line="315" w:lineRule="exact"/>
              <w:ind w:leftChars="50" w:left="120" w:rightChars="50" w:right="120"/>
              <w:jc w:val="both"/>
              <w:textAlignment w:val="center"/>
              <w:rPr>
                <w:rFonts w:ascii="Times New Roman" w:eastAsia="華康細明體" w:hAnsi="Times New Roman"/>
                <w:kern w:val="2"/>
                <w:sz w:val="21"/>
                <w:szCs w:val="21"/>
              </w:rPr>
            </w:pPr>
          </w:p>
        </w:tc>
        <w:tc>
          <w:tcPr>
            <w:tcW w:w="2410" w:type="dxa"/>
            <w:vMerge/>
            <w:tcBorders>
              <w:left w:val="double" w:sz="4" w:space="0" w:color="auto"/>
              <w:bottom w:val="single" w:sz="6" w:space="0" w:color="auto"/>
              <w:right w:val="double" w:sz="4" w:space="0" w:color="auto"/>
            </w:tcBorders>
          </w:tcPr>
          <w:p w14:paraId="6E6D0E9C" w14:textId="77777777" w:rsidR="00FA3B10" w:rsidRPr="00FA3B10" w:rsidRDefault="00FA3B10" w:rsidP="00F470A8">
            <w:pPr>
              <w:widowControl w:val="0"/>
              <w:kinsoku w:val="0"/>
              <w:overflowPunct w:val="0"/>
              <w:autoSpaceDE w:val="0"/>
              <w:adjustRightInd w:val="0"/>
              <w:snapToGrid w:val="0"/>
              <w:spacing w:line="315" w:lineRule="exact"/>
              <w:ind w:leftChars="50" w:left="120" w:rightChars="50" w:right="120"/>
              <w:jc w:val="both"/>
              <w:textAlignment w:val="center"/>
              <w:rPr>
                <w:rFonts w:ascii="新細明體" w:hAnsi="Times New Roman"/>
                <w:kern w:val="2"/>
                <w:sz w:val="21"/>
                <w:szCs w:val="21"/>
              </w:rPr>
            </w:pPr>
          </w:p>
        </w:tc>
        <w:tc>
          <w:tcPr>
            <w:tcW w:w="2106" w:type="dxa"/>
            <w:tcBorders>
              <w:top w:val="nil"/>
              <w:left w:val="double" w:sz="4" w:space="0" w:color="auto"/>
              <w:bottom w:val="single" w:sz="6" w:space="0" w:color="auto"/>
            </w:tcBorders>
            <w:tcMar>
              <w:left w:w="40" w:type="dxa"/>
              <w:right w:w="51" w:type="dxa"/>
            </w:tcMar>
          </w:tcPr>
          <w:p w14:paraId="68D670F4" w14:textId="77777777" w:rsidR="00FA3B10" w:rsidRPr="00FA3B10" w:rsidRDefault="00FA3B10" w:rsidP="00F470A8">
            <w:pPr>
              <w:widowControl w:val="0"/>
              <w:kinsoku w:val="0"/>
              <w:overflowPunct w:val="0"/>
              <w:autoSpaceDE w:val="0"/>
              <w:adjustRightInd w:val="0"/>
              <w:snapToGrid w:val="0"/>
              <w:spacing w:line="315" w:lineRule="exact"/>
              <w:ind w:leftChars="55" w:left="132" w:rightChars="55" w:right="132"/>
              <w:jc w:val="both"/>
              <w:textAlignment w:val="center"/>
              <w:rPr>
                <w:rFonts w:ascii="新細明體" w:hAnsi="Times New Roman"/>
                <w:kern w:val="2"/>
                <w:sz w:val="21"/>
                <w:szCs w:val="21"/>
              </w:rPr>
            </w:pPr>
          </w:p>
        </w:tc>
      </w:tr>
      <w:tr w:rsidR="00FA3B10" w:rsidRPr="00FA3B10" w14:paraId="6C8B19DD" w14:textId="77777777" w:rsidTr="00455C3C">
        <w:tblPrEx>
          <w:tblBorders>
            <w:insideH w:val="none" w:sz="0" w:space="0" w:color="auto"/>
          </w:tblBorders>
        </w:tblPrEx>
        <w:trPr>
          <w:trHeight w:val="454"/>
          <w:jc w:val="center"/>
        </w:trPr>
        <w:tc>
          <w:tcPr>
            <w:tcW w:w="1129" w:type="dxa"/>
            <w:tcBorders>
              <w:top w:val="single" w:sz="6" w:space="0" w:color="auto"/>
              <w:bottom w:val="single" w:sz="12" w:space="0" w:color="auto"/>
            </w:tcBorders>
          </w:tcPr>
          <w:p w14:paraId="05609564"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Times New Roman" w:eastAsia="華康細明體" w:hAnsi="Times New Roman" w:hint="eastAsia"/>
                <w:kern w:val="2"/>
                <w:sz w:val="21"/>
                <w:szCs w:val="21"/>
              </w:rPr>
              <w:lastRenderedPageBreak/>
              <w:t>社會福利及衛生環境委員會</w:t>
            </w:r>
          </w:p>
        </w:tc>
        <w:tc>
          <w:tcPr>
            <w:tcW w:w="4003" w:type="dxa"/>
            <w:tcBorders>
              <w:top w:val="single" w:sz="6" w:space="0" w:color="auto"/>
              <w:bottom w:val="single" w:sz="12" w:space="0" w:color="auto"/>
              <w:right w:val="double" w:sz="4" w:space="0" w:color="auto"/>
            </w:tcBorders>
          </w:tcPr>
          <w:p w14:paraId="654FCDF4"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kern w:val="2"/>
                <w:sz w:val="21"/>
                <w:szCs w:val="21"/>
              </w:rPr>
            </w:pPr>
            <w:r w:rsidRPr="00FA3B10">
              <w:rPr>
                <w:rFonts w:ascii="Times New Roman" w:eastAsia="華康細明體" w:hAnsi="Times New Roman" w:hint="eastAsia"/>
                <w:kern w:val="2"/>
                <w:sz w:val="21"/>
                <w:szCs w:val="21"/>
              </w:rPr>
              <w:t>勞動部</w:t>
            </w:r>
            <w:r w:rsidRPr="00FA3B10">
              <w:rPr>
                <w:rFonts w:ascii="華康細明體" w:eastAsia="華康細明體" w:hAnsi="Times New Roman" w:hint="eastAsia"/>
                <w:kern w:val="2"/>
                <w:sz w:val="21"/>
                <w:szCs w:val="21"/>
              </w:rPr>
              <w:t>、勞工保險局、勞動力發展署及所屬</w:t>
            </w:r>
            <w:r w:rsidRPr="00FA3B10">
              <w:rPr>
                <w:rFonts w:ascii="Times New Roman" w:eastAsia="華康細明體" w:hAnsi="Times New Roman" w:hint="eastAsia"/>
                <w:kern w:val="2"/>
                <w:sz w:val="21"/>
                <w:szCs w:val="21"/>
              </w:rPr>
              <w:t>、職業安全衛生署、勞動基金運用局、勞動及職業安全衛生研究所。衛生福利部、疾病管制署、食品藥物管理署</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中央健康保險署</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國民健康署、社會及家庭署</w:t>
            </w:r>
            <w:r w:rsidRPr="00FA3B10">
              <w:rPr>
                <w:rFonts w:ascii="華康細明體" w:eastAsia="華康細明體" w:hAnsi="Times New Roman" w:hint="eastAsia"/>
                <w:kern w:val="2"/>
                <w:sz w:val="21"/>
                <w:szCs w:val="21"/>
              </w:rPr>
              <w:t>、國家</w:t>
            </w:r>
            <w:r w:rsidRPr="00FA3B10">
              <w:rPr>
                <w:rFonts w:ascii="Times New Roman" w:eastAsia="華康細明體" w:hAnsi="Times New Roman" w:hint="eastAsia"/>
                <w:kern w:val="2"/>
                <w:sz w:val="21"/>
                <w:szCs w:val="21"/>
              </w:rPr>
              <w:t>中醫藥研究所。環境部、氣候變遷署</w:t>
            </w:r>
            <w:r w:rsidRPr="00FA3B10">
              <w:rPr>
                <w:rFonts w:ascii="新細明體" w:hAnsi="新細明體" w:hint="eastAsia"/>
                <w:kern w:val="2"/>
                <w:sz w:val="21"/>
                <w:szCs w:val="21"/>
              </w:rPr>
              <w:t>、資源循環署、</w:t>
            </w:r>
            <w:r w:rsidRPr="00FA3B10">
              <w:rPr>
                <w:rFonts w:ascii="Times New Roman" w:eastAsia="華康細明體" w:hAnsi="Times New Roman" w:hint="eastAsia"/>
                <w:kern w:val="2"/>
                <w:sz w:val="21"/>
                <w:szCs w:val="21"/>
              </w:rPr>
              <w:t>化學物質管理署</w:t>
            </w:r>
            <w:r w:rsidRPr="00FA3B10">
              <w:rPr>
                <w:rFonts w:ascii="華康細明體" w:eastAsia="華康細明體" w:hAnsi="Times New Roman" w:hint="eastAsia"/>
                <w:kern w:val="2"/>
                <w:sz w:val="21"/>
                <w:szCs w:val="21"/>
              </w:rPr>
              <w:t>、</w:t>
            </w:r>
            <w:r w:rsidRPr="00FA3B10">
              <w:rPr>
                <w:rFonts w:ascii="Times New Roman" w:eastAsia="華康細明體" w:hAnsi="Times New Roman" w:hint="eastAsia"/>
                <w:kern w:val="2"/>
                <w:sz w:val="21"/>
                <w:szCs w:val="21"/>
              </w:rPr>
              <w:t>環境管理署、國家環境研究院。</w:t>
            </w:r>
          </w:p>
        </w:tc>
        <w:tc>
          <w:tcPr>
            <w:tcW w:w="2410" w:type="dxa"/>
            <w:tcBorders>
              <w:top w:val="single" w:sz="6" w:space="0" w:color="auto"/>
              <w:left w:val="double" w:sz="4" w:space="0" w:color="auto"/>
              <w:bottom w:val="single" w:sz="12" w:space="0" w:color="auto"/>
              <w:right w:val="double" w:sz="4" w:space="0" w:color="auto"/>
            </w:tcBorders>
          </w:tcPr>
          <w:p w14:paraId="419D056C"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作業基金：</w:t>
            </w:r>
          </w:p>
          <w:p w14:paraId="3FE5DCC5"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勞工保險局作業基金。醫療藥品基金、管制藥品製藥工廠作業基金、全民健康保險基金、國民年金保險基金。</w:t>
            </w:r>
          </w:p>
          <w:p w14:paraId="705357EA"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特別收入基金：</w:t>
            </w:r>
          </w:p>
          <w:p w14:paraId="4860B0DB"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就業安定基金。衛生福利特別收入基金。環境保護基金。</w:t>
            </w:r>
          </w:p>
          <w:p w14:paraId="406D9D59"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Times New Roman" w:eastAsia="華康中黑體" w:hAnsi="Times New Roman"/>
                <w:b/>
                <w:kern w:val="2"/>
                <w:sz w:val="21"/>
                <w:szCs w:val="21"/>
              </w:rPr>
            </w:pPr>
            <w:r w:rsidRPr="00FA3B10">
              <w:rPr>
                <w:rFonts w:ascii="Times New Roman" w:eastAsia="華康中黑體" w:hAnsi="Times New Roman" w:hint="eastAsia"/>
                <w:b/>
                <w:kern w:val="2"/>
                <w:sz w:val="21"/>
                <w:szCs w:val="21"/>
              </w:rPr>
              <w:t>信託基金：</w:t>
            </w:r>
          </w:p>
          <w:p w14:paraId="483A265D" w14:textId="77777777" w:rsidR="00FA3B10" w:rsidRPr="00FA3B10" w:rsidRDefault="00FA3B10" w:rsidP="00F470A8">
            <w:pPr>
              <w:widowControl w:val="0"/>
              <w:overflowPunct w:val="0"/>
              <w:autoSpaceDE w:val="0"/>
              <w:adjustRightInd w:val="0"/>
              <w:snapToGrid w:val="0"/>
              <w:spacing w:line="315" w:lineRule="exact"/>
              <w:ind w:leftChars="50" w:left="120" w:rightChars="50" w:right="120"/>
              <w:jc w:val="both"/>
              <w:textAlignment w:val="auto"/>
              <w:rPr>
                <w:rFonts w:ascii="新細明體" w:hAnsi="Times New Roman"/>
                <w:kern w:val="2"/>
                <w:sz w:val="21"/>
                <w:szCs w:val="21"/>
              </w:rPr>
            </w:pPr>
            <w:r w:rsidRPr="00FA3B10">
              <w:rPr>
                <w:rFonts w:ascii="華康細明體" w:eastAsia="華康細明體" w:hAnsi="Times New Roman" w:hint="eastAsia"/>
                <w:kern w:val="2"/>
                <w:sz w:val="21"/>
                <w:szCs w:val="21"/>
              </w:rPr>
              <w:t>勞工退休基金（舊制）、勞工退休基金（新制）、積欠工資墊償基金。資源回收管理基金－信託基金部分、清潔隊員執行職務死亡濟助基金。</w:t>
            </w:r>
          </w:p>
        </w:tc>
        <w:tc>
          <w:tcPr>
            <w:tcW w:w="2113" w:type="dxa"/>
            <w:gridSpan w:val="2"/>
            <w:tcBorders>
              <w:top w:val="single" w:sz="6" w:space="0" w:color="auto"/>
              <w:left w:val="double" w:sz="4" w:space="0" w:color="auto"/>
              <w:bottom w:val="single" w:sz="12" w:space="0" w:color="auto"/>
            </w:tcBorders>
            <w:tcMar>
              <w:left w:w="40" w:type="dxa"/>
              <w:right w:w="51" w:type="dxa"/>
            </w:tcMar>
          </w:tcPr>
          <w:p w14:paraId="79DE9F1D" w14:textId="77777777" w:rsidR="00FA3B10" w:rsidRPr="00FA3B10" w:rsidRDefault="00FA3B10" w:rsidP="00F470A8">
            <w:pPr>
              <w:widowControl w:val="0"/>
              <w:kinsoku w:val="0"/>
              <w:overflowPunct w:val="0"/>
              <w:autoSpaceDE w:val="0"/>
              <w:adjustRightInd w:val="0"/>
              <w:snapToGrid w:val="0"/>
              <w:spacing w:line="315" w:lineRule="exact"/>
              <w:ind w:leftChars="55" w:left="132" w:rightChars="55" w:right="132"/>
              <w:jc w:val="both"/>
              <w:textAlignment w:val="center"/>
              <w:rPr>
                <w:rFonts w:ascii="華康細明體" w:eastAsia="華康細明體" w:hAnsi="Times New Roman"/>
                <w:kern w:val="2"/>
                <w:sz w:val="21"/>
                <w:szCs w:val="21"/>
              </w:rPr>
            </w:pPr>
          </w:p>
        </w:tc>
      </w:tr>
    </w:tbl>
    <w:p w14:paraId="2F6C16B7" w14:textId="77777777" w:rsidR="00FA3B10" w:rsidRPr="00FA3B10" w:rsidRDefault="00FA3B10" w:rsidP="00F470A8">
      <w:pPr>
        <w:widowControl w:val="0"/>
        <w:kinsoku w:val="0"/>
        <w:overflowPunct w:val="0"/>
        <w:autoSpaceDN/>
        <w:adjustRightInd w:val="0"/>
        <w:snapToGrid w:val="0"/>
        <w:spacing w:line="360" w:lineRule="atLeast"/>
        <w:ind w:leftChars="70" w:left="966" w:rightChars="64" w:right="154" w:hangingChars="380" w:hanging="798"/>
        <w:jc w:val="both"/>
        <w:textAlignment w:val="center"/>
        <w:rPr>
          <w:rFonts w:ascii="華康細明體" w:eastAsia="華康細明體" w:hAnsi="Times New Roman"/>
          <w:kern w:val="2"/>
          <w:sz w:val="21"/>
          <w:szCs w:val="21"/>
        </w:rPr>
      </w:pPr>
      <w:r w:rsidRPr="00FA3B10">
        <w:rPr>
          <w:rFonts w:ascii="華康細明體" w:eastAsia="華康細明體" w:hAnsi="Times New Roman" w:hint="eastAsia"/>
          <w:kern w:val="2"/>
          <w:sz w:val="21"/>
          <w:szCs w:val="21"/>
        </w:rPr>
        <w:t>備註</w:t>
      </w:r>
      <w:r w:rsidRPr="00FA3B10">
        <w:rPr>
          <w:rFonts w:ascii="Times New Roman" w:hAnsi="Times New Roman" w:hint="eastAsia"/>
          <w:kern w:val="2"/>
          <w:sz w:val="21"/>
          <w:szCs w:val="21"/>
        </w:rPr>
        <w:t>：</w:t>
      </w:r>
      <w:r w:rsidRPr="00FA3B10">
        <w:rPr>
          <w:rFonts w:ascii="Times New Roman" w:hAnsi="Times New Roman" w:hint="eastAsia"/>
          <w:kern w:val="2"/>
          <w:sz w:val="21"/>
          <w:szCs w:val="21"/>
        </w:rPr>
        <w:t>1.</w:t>
      </w:r>
      <w:r w:rsidRPr="00FA3B10">
        <w:rPr>
          <w:rFonts w:ascii="華康細明體" w:eastAsia="華康細明體" w:hAnsi="Times New Roman" w:hint="eastAsia"/>
          <w:kern w:val="2"/>
          <w:sz w:val="21"/>
          <w:szCs w:val="21"/>
        </w:rPr>
        <w:t>本表係依據中央政府總預算案審查程序第</w:t>
      </w:r>
      <w:r w:rsidRPr="00FA3B10">
        <w:rPr>
          <w:rFonts w:ascii="Times New Roman" w:eastAsia="華康細明體" w:hAnsi="Times New Roman"/>
          <w:kern w:val="2"/>
          <w:sz w:val="21"/>
          <w:szCs w:val="21"/>
        </w:rPr>
        <w:t>3</w:t>
      </w:r>
      <w:r w:rsidRPr="00FA3B10">
        <w:rPr>
          <w:rFonts w:ascii="華康細明體" w:eastAsia="華康細明體" w:hAnsi="Times New Roman" w:hint="eastAsia"/>
          <w:kern w:val="2"/>
          <w:sz w:val="21"/>
          <w:szCs w:val="21"/>
        </w:rPr>
        <w:t>條規定研擬，並配合中央政府各機關組織變動予以調整。</w:t>
      </w:r>
    </w:p>
    <w:p w14:paraId="60B045D1" w14:textId="77777777" w:rsidR="00FA3B10" w:rsidRPr="00FA3B10" w:rsidRDefault="00FA3B10" w:rsidP="00F470A8">
      <w:pPr>
        <w:widowControl w:val="0"/>
        <w:kinsoku w:val="0"/>
        <w:overflowPunct w:val="0"/>
        <w:autoSpaceDN/>
        <w:adjustRightInd w:val="0"/>
        <w:snapToGrid w:val="0"/>
        <w:spacing w:line="360" w:lineRule="atLeast"/>
        <w:ind w:leftChars="332" w:left="965" w:rightChars="64" w:right="154" w:hangingChars="80" w:hanging="168"/>
        <w:jc w:val="both"/>
        <w:textAlignment w:val="center"/>
        <w:rPr>
          <w:rFonts w:ascii="Times New Roman" w:hAnsi="Times New Roman"/>
          <w:kern w:val="2"/>
          <w:sz w:val="21"/>
          <w:szCs w:val="21"/>
        </w:rPr>
      </w:pPr>
      <w:r w:rsidRPr="00FA3B10">
        <w:rPr>
          <w:rFonts w:ascii="Times New Roman" w:hAnsi="Times New Roman"/>
          <w:kern w:val="2"/>
          <w:sz w:val="21"/>
          <w:szCs w:val="21"/>
        </w:rPr>
        <w:t>2</w:t>
      </w:r>
      <w:r w:rsidRPr="00FA3B10">
        <w:rPr>
          <w:rFonts w:ascii="Times New Roman" w:hAnsi="Times New Roman" w:hint="eastAsia"/>
          <w:kern w:val="2"/>
          <w:sz w:val="21"/>
          <w:szCs w:val="21"/>
        </w:rPr>
        <w:t>.</w:t>
      </w:r>
      <w:r w:rsidRPr="00FA3B10">
        <w:rPr>
          <w:rFonts w:ascii="Times New Roman" w:hAnsi="Times New Roman" w:hint="eastAsia"/>
          <w:kern w:val="2"/>
          <w:sz w:val="21"/>
          <w:szCs w:val="21"/>
        </w:rPr>
        <w:t>中華民國</w:t>
      </w:r>
      <w:r w:rsidRPr="00FA3B10">
        <w:rPr>
          <w:rFonts w:ascii="Times New Roman" w:hAnsi="Times New Roman"/>
          <w:kern w:val="2"/>
          <w:sz w:val="21"/>
          <w:szCs w:val="21"/>
        </w:rPr>
        <w:t>114</w:t>
      </w:r>
      <w:r w:rsidRPr="00FA3B10">
        <w:rPr>
          <w:rFonts w:ascii="Times New Roman" w:hAnsi="Times New Roman" w:hint="eastAsia"/>
          <w:kern w:val="2"/>
          <w:sz w:val="21"/>
          <w:szCs w:val="21"/>
        </w:rPr>
        <w:t>年度中央政府總預算案歲入部分，行政院項下有關</w:t>
      </w:r>
      <w:r w:rsidRPr="00FA3B10">
        <w:rPr>
          <w:rFonts w:ascii="Times New Roman" w:hAnsi="Times New Roman" w:hint="eastAsia"/>
          <w:kern w:val="2"/>
          <w:sz w:val="21"/>
          <w:szCs w:val="21"/>
        </w:rPr>
        <w:t>(</w:t>
      </w:r>
      <w:r w:rsidRPr="00FA3B10">
        <w:rPr>
          <w:rFonts w:ascii="Times New Roman" w:hAnsi="Times New Roman"/>
          <w:kern w:val="2"/>
          <w:sz w:val="21"/>
          <w:szCs w:val="21"/>
        </w:rPr>
        <w:t>1</w:t>
      </w:r>
      <w:r w:rsidRPr="00FA3B10">
        <w:rPr>
          <w:rFonts w:ascii="Times New Roman" w:hAnsi="Times New Roman" w:hint="eastAsia"/>
          <w:kern w:val="2"/>
          <w:sz w:val="21"/>
          <w:szCs w:val="21"/>
        </w:rPr>
        <w:t>)</w:t>
      </w:r>
      <w:r w:rsidRPr="00FA3B10">
        <w:rPr>
          <w:rFonts w:ascii="Times New Roman" w:hAnsi="Times New Roman" w:hint="eastAsia"/>
          <w:kern w:val="2"/>
          <w:sz w:val="21"/>
          <w:szCs w:val="21"/>
        </w:rPr>
        <w:t>行政院國家發展基金賸餘繳庫部分，由經濟委員會審查。</w:t>
      </w:r>
      <w:r w:rsidRPr="00FA3B10">
        <w:rPr>
          <w:rFonts w:ascii="Times New Roman" w:hAnsi="Times New Roman" w:hint="eastAsia"/>
          <w:kern w:val="2"/>
          <w:sz w:val="21"/>
          <w:szCs w:val="21"/>
        </w:rPr>
        <w:t>(</w:t>
      </w:r>
      <w:r w:rsidRPr="00FA3B10">
        <w:rPr>
          <w:rFonts w:ascii="Times New Roman" w:hAnsi="Times New Roman"/>
          <w:kern w:val="2"/>
          <w:sz w:val="21"/>
          <w:szCs w:val="21"/>
        </w:rPr>
        <w:t>2</w:t>
      </w:r>
      <w:r w:rsidRPr="00FA3B10">
        <w:rPr>
          <w:rFonts w:ascii="Times New Roman" w:hAnsi="Times New Roman" w:hint="eastAsia"/>
          <w:kern w:val="2"/>
          <w:sz w:val="21"/>
          <w:szCs w:val="21"/>
        </w:rPr>
        <w:t>)</w:t>
      </w:r>
      <w:r w:rsidRPr="00FA3B10">
        <w:rPr>
          <w:rFonts w:ascii="Times New Roman" w:hAnsi="Times New Roman" w:hint="eastAsia"/>
          <w:kern w:val="2"/>
          <w:sz w:val="21"/>
          <w:szCs w:val="21"/>
        </w:rPr>
        <w:t>中央銀行股息紅利繳庫部分，由財政委員會審查。</w:t>
      </w:r>
    </w:p>
    <w:p w14:paraId="65734CDF" w14:textId="77777777" w:rsidR="00FA3B10" w:rsidRPr="00FA3B10" w:rsidRDefault="00FA3B10" w:rsidP="00F470A8">
      <w:pPr>
        <w:widowControl w:val="0"/>
        <w:kinsoku w:val="0"/>
        <w:overflowPunct w:val="0"/>
        <w:autoSpaceDN/>
        <w:adjustRightInd w:val="0"/>
        <w:snapToGrid w:val="0"/>
        <w:spacing w:line="360" w:lineRule="atLeast"/>
        <w:ind w:leftChars="332" w:left="965" w:rightChars="64" w:right="154" w:hangingChars="80" w:hanging="168"/>
        <w:jc w:val="both"/>
        <w:textAlignment w:val="center"/>
        <w:rPr>
          <w:rFonts w:ascii="Times New Roman" w:hAnsi="Times New Roman"/>
          <w:kern w:val="2"/>
          <w:sz w:val="21"/>
          <w:szCs w:val="21"/>
        </w:rPr>
      </w:pPr>
      <w:r w:rsidRPr="00FA3B10">
        <w:rPr>
          <w:rFonts w:ascii="Times New Roman" w:hAnsi="Times New Roman" w:hint="eastAsia"/>
          <w:kern w:val="2"/>
          <w:sz w:val="21"/>
          <w:szCs w:val="21"/>
        </w:rPr>
        <w:t>3.</w:t>
      </w:r>
      <w:r w:rsidRPr="00FA3B10">
        <w:rPr>
          <w:rFonts w:ascii="Times New Roman" w:hAnsi="Times New Roman" w:hint="eastAsia"/>
          <w:kern w:val="2"/>
          <w:sz w:val="21"/>
          <w:szCs w:val="21"/>
        </w:rPr>
        <w:t>外交部、國防部及僑務委員會主管機密預算部分，由外交及國防委員會舉行秘密會議進行審查。</w:t>
      </w:r>
    </w:p>
    <w:p w14:paraId="13590113" w14:textId="77777777" w:rsidR="00FA3B10" w:rsidRPr="00FA3B10" w:rsidRDefault="00FA3B10" w:rsidP="00F470A8">
      <w:pPr>
        <w:overflowPunct w:val="0"/>
        <w:rPr>
          <w:rFonts w:ascii="新細明體" w:eastAsia="華康中黑體" w:hAnsi="Times New Roman"/>
          <w:b/>
          <w:kern w:val="0"/>
          <w:szCs w:val="24"/>
        </w:rPr>
      </w:pPr>
      <w:r w:rsidRPr="00FA3B10">
        <w:rPr>
          <w:rFonts w:ascii="新細明體" w:hAnsi="Times New Roman"/>
          <w:kern w:val="0"/>
          <w:sz w:val="21"/>
          <w:szCs w:val="21"/>
        </w:rPr>
        <w:br w:type="page"/>
      </w:r>
      <w:r w:rsidRPr="00FA3B10">
        <w:rPr>
          <w:rFonts w:ascii="新細明體" w:eastAsia="華康中黑體" w:hAnsi="Times New Roman" w:hint="eastAsia"/>
          <w:b/>
          <w:kern w:val="0"/>
          <w:szCs w:val="24"/>
        </w:rPr>
        <w:lastRenderedPageBreak/>
        <w:t>附件</w:t>
      </w:r>
      <w:r w:rsidRPr="00FA3B10">
        <w:rPr>
          <w:rFonts w:ascii="新細明體" w:eastAsia="華康中黑體" w:hAnsi="Times New Roman" w:hint="eastAsia"/>
          <w:b/>
          <w:kern w:val="0"/>
          <w:szCs w:val="24"/>
        </w:rPr>
        <w:t>2</w:t>
      </w:r>
    </w:p>
    <w:p w14:paraId="588AE541" w14:textId="77777777" w:rsidR="00FA3B10" w:rsidRPr="00FA3B10" w:rsidRDefault="00FA3B10" w:rsidP="00F470A8">
      <w:pPr>
        <w:overflowPunct w:val="0"/>
        <w:spacing w:line="400" w:lineRule="exact"/>
        <w:rPr>
          <w:rFonts w:ascii="標楷體" w:eastAsia="標楷體" w:hAnsi="標楷體"/>
          <w:kern w:val="0"/>
          <w:sz w:val="28"/>
          <w:szCs w:val="28"/>
        </w:rPr>
      </w:pPr>
      <w:r w:rsidRPr="00FA3B10">
        <w:rPr>
          <w:rFonts w:ascii="標楷體" w:eastAsia="標楷體" w:hAnsi="標楷體" w:hint="eastAsia"/>
          <w:kern w:val="0"/>
          <w:sz w:val="28"/>
          <w:szCs w:val="28"/>
        </w:rPr>
        <w:t>中華民國</w:t>
      </w:r>
      <w:r w:rsidRPr="00FA3B10">
        <w:rPr>
          <w:rFonts w:ascii="標楷體" w:eastAsia="標楷體" w:hAnsi="標楷體" w:hint="eastAsia"/>
          <w:snapToGrid w:val="0"/>
          <w:kern w:val="0"/>
          <w:sz w:val="28"/>
          <w:szCs w:val="28"/>
        </w:rPr>
        <w:t>1</w:t>
      </w:r>
      <w:r w:rsidRPr="00FA3B10">
        <w:rPr>
          <w:rFonts w:ascii="標楷體" w:eastAsia="標楷體" w:hAnsi="標楷體"/>
          <w:snapToGrid w:val="0"/>
          <w:kern w:val="0"/>
          <w:sz w:val="28"/>
          <w:szCs w:val="28"/>
        </w:rPr>
        <w:t>14</w:t>
      </w:r>
      <w:r w:rsidRPr="00FA3B10">
        <w:rPr>
          <w:rFonts w:ascii="標楷體" w:eastAsia="標楷體" w:hAnsi="標楷體" w:hint="eastAsia"/>
          <w:kern w:val="0"/>
          <w:sz w:val="28"/>
          <w:szCs w:val="28"/>
        </w:rPr>
        <w:t>年度中央政府總預算案</w:t>
      </w:r>
    </w:p>
    <w:p w14:paraId="6389E705" w14:textId="77777777" w:rsidR="00FA3B10" w:rsidRPr="00FA3B10" w:rsidRDefault="00FA3B10" w:rsidP="00F470A8">
      <w:pPr>
        <w:overflowPunct w:val="0"/>
        <w:spacing w:line="400" w:lineRule="exact"/>
        <w:rPr>
          <w:rFonts w:ascii="標楷體" w:eastAsia="標楷體" w:hAnsi="標楷體"/>
          <w:kern w:val="0"/>
          <w:sz w:val="28"/>
          <w:szCs w:val="28"/>
        </w:rPr>
      </w:pPr>
      <w:r w:rsidRPr="00FA3B10">
        <w:rPr>
          <w:rFonts w:ascii="標楷體" w:eastAsia="標楷體" w:hAnsi="標楷體" w:hint="eastAsia"/>
          <w:kern w:val="0"/>
          <w:sz w:val="28"/>
          <w:szCs w:val="28"/>
        </w:rPr>
        <w:t>（含附屬單位預算及綜計表—營業及非營業部分）審查日程草案</w:t>
      </w:r>
    </w:p>
    <w:tbl>
      <w:tblPr>
        <w:tblW w:w="5089" w:type="pct"/>
        <w:tblInd w:w="-15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28" w:type="dxa"/>
          <w:left w:w="28" w:type="dxa"/>
          <w:bottom w:w="28" w:type="dxa"/>
          <w:right w:w="28" w:type="dxa"/>
        </w:tblCellMar>
        <w:tblLook w:val="0000" w:firstRow="0" w:lastRow="0" w:firstColumn="0" w:lastColumn="0" w:noHBand="0" w:noVBand="0"/>
      </w:tblPr>
      <w:tblGrid>
        <w:gridCol w:w="7616"/>
        <w:gridCol w:w="2164"/>
      </w:tblGrid>
      <w:tr w:rsidR="008E2BDA" w:rsidRPr="008E2BDA" w14:paraId="55B49898" w14:textId="77777777" w:rsidTr="00AE70AC">
        <w:trPr>
          <w:trHeight w:val="340"/>
        </w:trPr>
        <w:tc>
          <w:tcPr>
            <w:tcW w:w="7617" w:type="dxa"/>
            <w:tcBorders>
              <w:top w:val="single" w:sz="12" w:space="0" w:color="auto"/>
              <w:left w:val="single" w:sz="12" w:space="0" w:color="auto"/>
              <w:bottom w:val="single" w:sz="12" w:space="0" w:color="auto"/>
            </w:tcBorders>
            <w:vAlign w:val="center"/>
          </w:tcPr>
          <w:p w14:paraId="3C70A70C" w14:textId="77777777" w:rsidR="008E2BDA" w:rsidRPr="008E2BDA" w:rsidRDefault="008E2BDA" w:rsidP="00F470A8">
            <w:pPr>
              <w:widowControl w:val="0"/>
              <w:kinsoku w:val="0"/>
              <w:overflowPunct w:val="0"/>
              <w:autoSpaceDN/>
              <w:adjustRightInd w:val="0"/>
              <w:snapToGrid w:val="0"/>
              <w:spacing w:after="240" w:line="360" w:lineRule="exact"/>
              <w:ind w:leftChars="200" w:left="480" w:rightChars="200" w:right="480"/>
              <w:jc w:val="distribute"/>
              <w:textAlignment w:val="center"/>
              <w:rPr>
                <w:rFonts w:ascii="標楷體" w:eastAsia="標楷體" w:hAnsi="標楷體"/>
                <w:b/>
                <w:kern w:val="2"/>
                <w:sz w:val="28"/>
                <w:szCs w:val="28"/>
              </w:rPr>
            </w:pPr>
            <w:r w:rsidRPr="008E2BDA">
              <w:rPr>
                <w:rFonts w:ascii="標楷體" w:eastAsia="標楷體" w:hAnsi="標楷體" w:hint="eastAsia"/>
                <w:b/>
                <w:kern w:val="2"/>
                <w:sz w:val="28"/>
                <w:szCs w:val="28"/>
              </w:rPr>
              <w:t>工作項目</w:t>
            </w:r>
          </w:p>
        </w:tc>
        <w:tc>
          <w:tcPr>
            <w:tcW w:w="2164" w:type="dxa"/>
            <w:tcBorders>
              <w:top w:val="single" w:sz="12" w:space="0" w:color="auto"/>
              <w:bottom w:val="single" w:sz="12" w:space="0" w:color="auto"/>
              <w:right w:val="single" w:sz="12" w:space="0" w:color="auto"/>
            </w:tcBorders>
            <w:vAlign w:val="center"/>
          </w:tcPr>
          <w:p w14:paraId="48C55758" w14:textId="77777777" w:rsidR="008E2BDA" w:rsidRPr="008E2BDA" w:rsidRDefault="008E2BDA" w:rsidP="00F470A8">
            <w:pPr>
              <w:widowControl w:val="0"/>
              <w:kinsoku w:val="0"/>
              <w:overflowPunct w:val="0"/>
              <w:autoSpaceDN/>
              <w:adjustRightInd w:val="0"/>
              <w:snapToGrid w:val="0"/>
              <w:spacing w:after="240" w:line="360" w:lineRule="exact"/>
              <w:ind w:leftChars="200" w:left="480" w:rightChars="200" w:right="480"/>
              <w:jc w:val="distribute"/>
              <w:textAlignment w:val="center"/>
              <w:rPr>
                <w:rFonts w:ascii="標楷體" w:eastAsia="標楷體" w:hAnsi="標楷體"/>
                <w:b/>
                <w:kern w:val="2"/>
                <w:sz w:val="28"/>
                <w:szCs w:val="28"/>
              </w:rPr>
            </w:pPr>
            <w:r w:rsidRPr="008E2BDA">
              <w:rPr>
                <w:rFonts w:ascii="標楷體" w:eastAsia="標楷體" w:hAnsi="標楷體" w:hint="eastAsia"/>
                <w:b/>
                <w:kern w:val="2"/>
                <w:sz w:val="28"/>
                <w:szCs w:val="28"/>
              </w:rPr>
              <w:t>日程</w:t>
            </w:r>
          </w:p>
        </w:tc>
      </w:tr>
      <w:tr w:rsidR="008E2BDA" w:rsidRPr="008E2BDA" w14:paraId="147C1A98" w14:textId="77777777" w:rsidTr="00AE70AC">
        <w:trPr>
          <w:trHeight w:val="1087"/>
        </w:trPr>
        <w:tc>
          <w:tcPr>
            <w:tcW w:w="7617" w:type="dxa"/>
            <w:tcBorders>
              <w:top w:val="single" w:sz="6" w:space="0" w:color="auto"/>
              <w:left w:val="single" w:sz="12" w:space="0" w:color="auto"/>
              <w:bottom w:val="single" w:sz="6" w:space="0" w:color="auto"/>
            </w:tcBorders>
            <w:vAlign w:val="center"/>
          </w:tcPr>
          <w:p w14:paraId="0C4EDFF4"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中華民國1</w:t>
            </w:r>
            <w:r w:rsidRPr="00AE70AC">
              <w:rPr>
                <w:rFonts w:ascii="標楷體" w:eastAsia="標楷體" w:hAnsi="標楷體"/>
                <w:snapToGrid w:val="0"/>
              </w:rPr>
              <w:t>14</w:t>
            </w:r>
            <w:r w:rsidRPr="00AE70AC">
              <w:rPr>
                <w:rFonts w:ascii="標楷體" w:eastAsia="標楷體" w:hAnsi="標楷體" w:hint="eastAsia"/>
                <w:snapToGrid w:val="0"/>
              </w:rPr>
              <w:t>年度中央政府總預算案（含附屬單位預算及綜計表—營業及非營業部分）審查日程及審查分配表提報院會後，院會將審查日程及審查分配表交付財政委員會，並由議事處函達財政委員會。</w:t>
            </w:r>
          </w:p>
        </w:tc>
        <w:tc>
          <w:tcPr>
            <w:tcW w:w="2164" w:type="dxa"/>
            <w:tcBorders>
              <w:top w:val="single" w:sz="6" w:space="0" w:color="auto"/>
              <w:right w:val="single" w:sz="12" w:space="0" w:color="auto"/>
            </w:tcBorders>
            <w:vAlign w:val="center"/>
          </w:tcPr>
          <w:p w14:paraId="48F25A39"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w:t>
            </w:r>
            <w:r w:rsidRPr="00AE70AC">
              <w:rPr>
                <w:rFonts w:ascii="標楷體" w:eastAsia="標楷體" w:hAnsi="標楷體"/>
                <w:snapToGrid w:val="0"/>
              </w:rPr>
              <w:t>13</w:t>
            </w:r>
            <w:r w:rsidRPr="00AE70AC">
              <w:rPr>
                <w:rFonts w:ascii="標楷體" w:eastAsia="標楷體" w:hAnsi="標楷體" w:hint="eastAsia"/>
                <w:snapToGrid w:val="0"/>
              </w:rPr>
              <w:t>/</w:t>
            </w:r>
            <w:r w:rsidRPr="00AE70AC">
              <w:rPr>
                <w:rFonts w:ascii="標楷體" w:eastAsia="標楷體" w:hAnsi="標楷體"/>
                <w:snapToGrid w:val="0"/>
              </w:rPr>
              <w:t>11</w:t>
            </w:r>
            <w:r w:rsidRPr="00AE70AC">
              <w:rPr>
                <w:rFonts w:ascii="標楷體" w:eastAsia="標楷體" w:hAnsi="標楷體" w:hint="eastAsia"/>
                <w:snapToGrid w:val="0"/>
              </w:rPr>
              <w:t>/</w:t>
            </w:r>
            <w:r w:rsidRPr="00AE70AC">
              <w:rPr>
                <w:rFonts w:ascii="標楷體" w:eastAsia="標楷體" w:hAnsi="標楷體"/>
                <w:snapToGrid w:val="0"/>
              </w:rPr>
              <w:t>5</w:t>
            </w:r>
            <w:r w:rsidRPr="00AE70AC">
              <w:rPr>
                <w:rFonts w:ascii="標楷體" w:eastAsia="標楷體" w:hAnsi="標楷體" w:hint="eastAsia"/>
                <w:snapToGrid w:val="0"/>
              </w:rPr>
              <w:t>(二)以前</w:t>
            </w:r>
          </w:p>
        </w:tc>
      </w:tr>
      <w:tr w:rsidR="008E2BDA" w:rsidRPr="00AE70AC" w14:paraId="05B3F75D"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7815038B"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財政委員會通函各委員會進行審查。</w:t>
            </w:r>
          </w:p>
        </w:tc>
        <w:tc>
          <w:tcPr>
            <w:tcW w:w="2164" w:type="dxa"/>
            <w:tcBorders>
              <w:top w:val="single" w:sz="6" w:space="0" w:color="auto"/>
              <w:right w:val="single" w:sz="12" w:space="0" w:color="auto"/>
            </w:tcBorders>
            <w:vAlign w:val="center"/>
          </w:tcPr>
          <w:p w14:paraId="5935F2E4"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snapToGrid w:val="0"/>
              </w:rPr>
              <w:t>11</w:t>
            </w:r>
            <w:r w:rsidRPr="00AE70AC">
              <w:rPr>
                <w:rFonts w:ascii="標楷體" w:eastAsia="標楷體" w:hAnsi="標楷體" w:hint="eastAsia"/>
                <w:snapToGrid w:val="0"/>
              </w:rPr>
              <w:t>/</w:t>
            </w:r>
            <w:r w:rsidRPr="00AE70AC">
              <w:rPr>
                <w:rFonts w:ascii="標楷體" w:eastAsia="標楷體" w:hAnsi="標楷體"/>
                <w:snapToGrid w:val="0"/>
              </w:rPr>
              <w:t>5</w:t>
            </w:r>
            <w:r w:rsidRPr="00AE70AC">
              <w:rPr>
                <w:rFonts w:ascii="標楷體" w:eastAsia="標楷體" w:hAnsi="標楷體" w:hint="eastAsia"/>
                <w:snapToGrid w:val="0"/>
              </w:rPr>
              <w:t>(二)以前</w:t>
            </w:r>
          </w:p>
        </w:tc>
      </w:tr>
      <w:tr w:rsidR="008E2BDA" w:rsidRPr="00AE70AC" w14:paraId="3EABD476"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642558CA"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各委員會進行審查公務預算部分。</w:t>
            </w:r>
          </w:p>
        </w:tc>
        <w:tc>
          <w:tcPr>
            <w:tcW w:w="2164" w:type="dxa"/>
            <w:tcBorders>
              <w:top w:val="single" w:sz="6" w:space="0" w:color="auto"/>
              <w:bottom w:val="single" w:sz="6" w:space="0" w:color="auto"/>
              <w:right w:val="single" w:sz="12" w:space="0" w:color="auto"/>
            </w:tcBorders>
            <w:vAlign w:val="center"/>
          </w:tcPr>
          <w:p w14:paraId="07CC2B75"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w:t>
            </w:r>
            <w:r w:rsidRPr="00AE70AC">
              <w:rPr>
                <w:rFonts w:ascii="標楷體" w:eastAsia="標楷體" w:hAnsi="標楷體"/>
                <w:snapToGrid w:val="0"/>
              </w:rPr>
              <w:t>1</w:t>
            </w:r>
            <w:r w:rsidRPr="00AE70AC">
              <w:rPr>
                <w:rFonts w:ascii="標楷體" w:eastAsia="標楷體" w:hAnsi="標楷體" w:hint="eastAsia"/>
                <w:snapToGrid w:val="0"/>
              </w:rPr>
              <w:t>/</w:t>
            </w:r>
            <w:r w:rsidRPr="00AE70AC">
              <w:rPr>
                <w:rFonts w:ascii="標楷體" w:eastAsia="標楷體" w:hAnsi="標楷體"/>
                <w:snapToGrid w:val="0"/>
              </w:rPr>
              <w:t>6</w:t>
            </w:r>
            <w:r w:rsidRPr="00AE70AC">
              <w:rPr>
                <w:rFonts w:ascii="標楷體" w:eastAsia="標楷體" w:hAnsi="標楷體" w:hint="eastAsia"/>
                <w:snapToGrid w:val="0"/>
              </w:rPr>
              <w:t>(三)～1</w:t>
            </w:r>
            <w:r w:rsidRPr="00AE70AC">
              <w:rPr>
                <w:rFonts w:ascii="標楷體" w:eastAsia="標楷體" w:hAnsi="標楷體"/>
                <w:snapToGrid w:val="0"/>
              </w:rPr>
              <w:t>1</w:t>
            </w:r>
            <w:r w:rsidRPr="00AE70AC">
              <w:rPr>
                <w:rFonts w:ascii="標楷體" w:eastAsia="標楷體" w:hAnsi="標楷體" w:hint="eastAsia"/>
                <w:snapToGrid w:val="0"/>
              </w:rPr>
              <w:t>/</w:t>
            </w:r>
            <w:r w:rsidRPr="00AE70AC">
              <w:rPr>
                <w:rFonts w:ascii="標楷體" w:eastAsia="標楷體" w:hAnsi="標楷體"/>
                <w:snapToGrid w:val="0"/>
              </w:rPr>
              <w:t>2</w:t>
            </w:r>
            <w:r w:rsidRPr="00AE70AC">
              <w:rPr>
                <w:rFonts w:ascii="標楷體" w:eastAsia="標楷體" w:hAnsi="標楷體" w:hint="eastAsia"/>
                <w:snapToGrid w:val="0"/>
              </w:rPr>
              <w:t xml:space="preserve">8 (四) </w:t>
            </w:r>
          </w:p>
        </w:tc>
      </w:tr>
      <w:tr w:rsidR="008E2BDA" w:rsidRPr="00AE70AC" w14:paraId="748E58DC"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61028C1B"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各委員會擬具公務預算部分之審查報告，並送財政委員會彙總。</w:t>
            </w:r>
          </w:p>
        </w:tc>
        <w:tc>
          <w:tcPr>
            <w:tcW w:w="2164" w:type="dxa"/>
            <w:tcBorders>
              <w:top w:val="single" w:sz="6" w:space="0" w:color="auto"/>
              <w:bottom w:val="single" w:sz="6" w:space="0" w:color="auto"/>
              <w:right w:val="single" w:sz="12" w:space="0" w:color="auto"/>
            </w:tcBorders>
            <w:vAlign w:val="center"/>
          </w:tcPr>
          <w:p w14:paraId="39C5CE76"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12/4 (三)以前</w:t>
            </w:r>
          </w:p>
        </w:tc>
      </w:tr>
      <w:tr w:rsidR="008E2BDA" w:rsidRPr="00AE70AC" w14:paraId="60E10D51"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13F3E184"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各委員會進行審查附屬單位預算營業及非營業部分。</w:t>
            </w:r>
          </w:p>
        </w:tc>
        <w:tc>
          <w:tcPr>
            <w:tcW w:w="2164" w:type="dxa"/>
            <w:tcBorders>
              <w:top w:val="single" w:sz="6" w:space="0" w:color="auto"/>
              <w:bottom w:val="single" w:sz="6" w:space="0" w:color="auto"/>
              <w:right w:val="single" w:sz="12" w:space="0" w:color="auto"/>
            </w:tcBorders>
            <w:vAlign w:val="center"/>
          </w:tcPr>
          <w:p w14:paraId="0E1F4685"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12/</w:t>
            </w:r>
            <w:r w:rsidRPr="00AE70AC">
              <w:rPr>
                <w:rFonts w:ascii="標楷體" w:eastAsia="標楷體" w:hAnsi="標楷體"/>
                <w:snapToGrid w:val="0"/>
              </w:rPr>
              <w:t>2</w:t>
            </w:r>
            <w:r w:rsidRPr="00AE70AC">
              <w:rPr>
                <w:rFonts w:ascii="標楷體" w:eastAsia="標楷體" w:hAnsi="標楷體" w:hint="eastAsia"/>
                <w:snapToGrid w:val="0"/>
              </w:rPr>
              <w:t>(一)～1</w:t>
            </w:r>
            <w:r w:rsidRPr="00AE70AC">
              <w:rPr>
                <w:rFonts w:ascii="標楷體" w:eastAsia="標楷體" w:hAnsi="標楷體"/>
                <w:snapToGrid w:val="0"/>
              </w:rPr>
              <w:t>2</w:t>
            </w:r>
            <w:r w:rsidRPr="00AE70AC">
              <w:rPr>
                <w:rFonts w:ascii="標楷體" w:eastAsia="標楷體" w:hAnsi="標楷體" w:hint="eastAsia"/>
                <w:snapToGrid w:val="0"/>
              </w:rPr>
              <w:t>/</w:t>
            </w:r>
            <w:r w:rsidRPr="00AE70AC">
              <w:rPr>
                <w:rFonts w:ascii="標楷體" w:eastAsia="標楷體" w:hAnsi="標楷體"/>
                <w:snapToGrid w:val="0"/>
              </w:rPr>
              <w:t>2</w:t>
            </w:r>
            <w:r w:rsidRPr="00AE70AC">
              <w:rPr>
                <w:rFonts w:ascii="標楷體" w:eastAsia="標楷體" w:hAnsi="標楷體" w:hint="eastAsia"/>
                <w:snapToGrid w:val="0"/>
              </w:rPr>
              <w:t xml:space="preserve">6(四) </w:t>
            </w:r>
          </w:p>
        </w:tc>
      </w:tr>
      <w:tr w:rsidR="008E2BDA" w:rsidRPr="00AE70AC" w14:paraId="2A63CBE0"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34C8D4B0"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財政委員會核算、彙總、整理公務預算部分各委員會之審查報告，並擬具審查總報告。</w:t>
            </w:r>
          </w:p>
        </w:tc>
        <w:tc>
          <w:tcPr>
            <w:tcW w:w="2164" w:type="dxa"/>
            <w:tcBorders>
              <w:top w:val="single" w:sz="6" w:space="0" w:color="auto"/>
              <w:bottom w:val="single" w:sz="6" w:space="0" w:color="auto"/>
              <w:right w:val="single" w:sz="12" w:space="0" w:color="auto"/>
            </w:tcBorders>
            <w:vAlign w:val="center"/>
          </w:tcPr>
          <w:p w14:paraId="17942BDF"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12/5(四)～1</w:t>
            </w:r>
            <w:r w:rsidRPr="00AE70AC">
              <w:rPr>
                <w:rFonts w:ascii="標楷體" w:eastAsia="標楷體" w:hAnsi="標楷體"/>
                <w:snapToGrid w:val="0"/>
              </w:rPr>
              <w:t>2</w:t>
            </w:r>
            <w:r w:rsidRPr="00AE70AC">
              <w:rPr>
                <w:rFonts w:ascii="標楷體" w:eastAsia="標楷體" w:hAnsi="標楷體" w:hint="eastAsia"/>
                <w:snapToGrid w:val="0"/>
              </w:rPr>
              <w:t xml:space="preserve">/10(二) </w:t>
            </w:r>
          </w:p>
        </w:tc>
      </w:tr>
      <w:tr w:rsidR="008E2BDA" w:rsidRPr="00AE70AC" w14:paraId="196CBDFA"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51911D40"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公務預算部分審查總報告送交印刷所付印。</w:t>
            </w:r>
          </w:p>
        </w:tc>
        <w:tc>
          <w:tcPr>
            <w:tcW w:w="2164" w:type="dxa"/>
            <w:tcBorders>
              <w:top w:val="single" w:sz="6" w:space="0" w:color="auto"/>
              <w:bottom w:val="single" w:sz="6" w:space="0" w:color="auto"/>
              <w:right w:val="single" w:sz="12" w:space="0" w:color="auto"/>
            </w:tcBorders>
            <w:vAlign w:val="center"/>
          </w:tcPr>
          <w:p w14:paraId="471C0807"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w:t>
            </w:r>
            <w:r w:rsidRPr="00AE70AC">
              <w:rPr>
                <w:rFonts w:ascii="標楷體" w:eastAsia="標楷體" w:hAnsi="標楷體"/>
                <w:snapToGrid w:val="0"/>
              </w:rPr>
              <w:t>2</w:t>
            </w:r>
            <w:r w:rsidRPr="00AE70AC">
              <w:rPr>
                <w:rFonts w:ascii="標楷體" w:eastAsia="標楷體" w:hAnsi="標楷體" w:hint="eastAsia"/>
                <w:snapToGrid w:val="0"/>
              </w:rPr>
              <w:t xml:space="preserve">/11(三) </w:t>
            </w:r>
          </w:p>
        </w:tc>
      </w:tr>
      <w:tr w:rsidR="008E2BDA" w:rsidRPr="00AE70AC" w14:paraId="37073742" w14:textId="77777777" w:rsidTr="00AE70AC">
        <w:trPr>
          <w:trHeight w:val="454"/>
        </w:trPr>
        <w:tc>
          <w:tcPr>
            <w:tcW w:w="7617" w:type="dxa"/>
            <w:tcBorders>
              <w:top w:val="single" w:sz="6" w:space="0" w:color="auto"/>
              <w:left w:val="single" w:sz="12" w:space="0" w:color="auto"/>
              <w:bottom w:val="single" w:sz="6" w:space="0" w:color="auto"/>
            </w:tcBorders>
          </w:tcPr>
          <w:p w14:paraId="7BC0D398"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財政委員會舉行全體委員會議討論公務預算部分審查總報告，並提報院會。</w:t>
            </w:r>
          </w:p>
        </w:tc>
        <w:tc>
          <w:tcPr>
            <w:tcW w:w="2164" w:type="dxa"/>
            <w:tcBorders>
              <w:top w:val="single" w:sz="6" w:space="0" w:color="auto"/>
              <w:bottom w:val="single" w:sz="6" w:space="0" w:color="auto"/>
              <w:right w:val="single" w:sz="12" w:space="0" w:color="auto"/>
            </w:tcBorders>
            <w:vAlign w:val="center"/>
          </w:tcPr>
          <w:p w14:paraId="2F825BC4"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w:t>
            </w:r>
            <w:r w:rsidRPr="00AE70AC">
              <w:rPr>
                <w:rFonts w:ascii="標楷體" w:eastAsia="標楷體" w:hAnsi="標楷體"/>
                <w:snapToGrid w:val="0"/>
              </w:rPr>
              <w:t>2</w:t>
            </w:r>
            <w:r w:rsidRPr="00AE70AC">
              <w:rPr>
                <w:rFonts w:ascii="標楷體" w:eastAsia="標楷體" w:hAnsi="標楷體" w:hint="eastAsia"/>
                <w:snapToGrid w:val="0"/>
              </w:rPr>
              <w:t xml:space="preserve">/12(四)  </w:t>
            </w:r>
          </w:p>
        </w:tc>
      </w:tr>
      <w:tr w:rsidR="008E2BDA" w:rsidRPr="00AE70AC" w14:paraId="1BE50E66"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2ADFBCA3"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各委員會擬具附屬單位預算營業及非營業部分之審查報告，並送財政委員會彙總。</w:t>
            </w:r>
          </w:p>
        </w:tc>
        <w:tc>
          <w:tcPr>
            <w:tcW w:w="2164" w:type="dxa"/>
            <w:tcBorders>
              <w:top w:val="single" w:sz="6" w:space="0" w:color="auto"/>
              <w:bottom w:val="single" w:sz="6" w:space="0" w:color="auto"/>
              <w:right w:val="single" w:sz="12" w:space="0" w:color="auto"/>
            </w:tcBorders>
            <w:vAlign w:val="center"/>
          </w:tcPr>
          <w:p w14:paraId="64549500"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w:t>
            </w:r>
            <w:r w:rsidRPr="00AE70AC">
              <w:rPr>
                <w:rFonts w:ascii="標楷體" w:eastAsia="標楷體" w:hAnsi="標楷體"/>
                <w:snapToGrid w:val="0"/>
              </w:rPr>
              <w:t>2</w:t>
            </w:r>
            <w:r w:rsidRPr="00AE70AC">
              <w:rPr>
                <w:rFonts w:ascii="標楷體" w:eastAsia="標楷體" w:hAnsi="標楷體" w:hint="eastAsia"/>
                <w:snapToGrid w:val="0"/>
              </w:rPr>
              <w:t>/31(二)以前</w:t>
            </w:r>
          </w:p>
        </w:tc>
      </w:tr>
      <w:tr w:rsidR="008E2BDA" w:rsidRPr="00AE70AC" w14:paraId="378D2C89" w14:textId="77777777" w:rsidTr="00AE70AC">
        <w:trPr>
          <w:trHeight w:val="454"/>
        </w:trPr>
        <w:tc>
          <w:tcPr>
            <w:tcW w:w="7617" w:type="dxa"/>
            <w:tcBorders>
              <w:top w:val="single" w:sz="6" w:space="0" w:color="auto"/>
              <w:left w:val="single" w:sz="12" w:space="0" w:color="auto"/>
              <w:bottom w:val="single" w:sz="6" w:space="0" w:color="auto"/>
            </w:tcBorders>
            <w:vAlign w:val="center"/>
          </w:tcPr>
          <w:p w14:paraId="3D661A06"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財政委員會核算、彙總、整理各委員會附屬單位預算之審查報告，並擬具營業及非營業部分審查總報告後，送交印刷所付印。</w:t>
            </w:r>
          </w:p>
          <w:p w14:paraId="11013026"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（本項日程授權財政委員會視公務預算部分之院會協商及二、三讀、各委員會實際審查進度及審查報告提送情形，彈性調整。）</w:t>
            </w:r>
          </w:p>
        </w:tc>
        <w:tc>
          <w:tcPr>
            <w:tcW w:w="2164" w:type="dxa"/>
            <w:tcBorders>
              <w:top w:val="single" w:sz="6" w:space="0" w:color="auto"/>
              <w:bottom w:val="single" w:sz="6" w:space="0" w:color="auto"/>
              <w:right w:val="single" w:sz="12" w:space="0" w:color="auto"/>
            </w:tcBorders>
            <w:vAlign w:val="center"/>
          </w:tcPr>
          <w:p w14:paraId="75A0DEB8"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114/3/14(五)以前</w:t>
            </w:r>
          </w:p>
        </w:tc>
      </w:tr>
      <w:tr w:rsidR="008E2BDA" w:rsidRPr="00AE70AC" w14:paraId="412736DF" w14:textId="77777777" w:rsidTr="00AE70AC">
        <w:trPr>
          <w:trHeight w:val="454"/>
        </w:trPr>
        <w:tc>
          <w:tcPr>
            <w:tcW w:w="7617" w:type="dxa"/>
            <w:tcBorders>
              <w:top w:val="single" w:sz="6" w:space="0" w:color="auto"/>
              <w:left w:val="single" w:sz="12" w:space="0" w:color="auto"/>
              <w:bottom w:val="single" w:sz="12" w:space="0" w:color="auto"/>
            </w:tcBorders>
            <w:vAlign w:val="center"/>
          </w:tcPr>
          <w:p w14:paraId="3DF248A1"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財政委員會舉行全體委員會議討論附屬單位預算營業及非營業部分審查總報告並提報院會。</w:t>
            </w:r>
          </w:p>
          <w:p w14:paraId="12D91F8F"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（本項日程授權財政委員會視公務預算部分之院會協商及二、三讀、各委員會實際審查進度及審查報告提送情形，彈性調整。）</w:t>
            </w:r>
          </w:p>
        </w:tc>
        <w:tc>
          <w:tcPr>
            <w:tcW w:w="2164" w:type="dxa"/>
            <w:tcBorders>
              <w:top w:val="single" w:sz="6" w:space="0" w:color="auto"/>
              <w:bottom w:val="single" w:sz="12" w:space="0" w:color="auto"/>
              <w:right w:val="single" w:sz="12" w:space="0" w:color="auto"/>
            </w:tcBorders>
            <w:vAlign w:val="center"/>
          </w:tcPr>
          <w:p w14:paraId="2E9C66F9" w14:textId="77777777" w:rsidR="008E2BDA" w:rsidRPr="00AE70AC" w:rsidRDefault="008E2BDA" w:rsidP="00F470A8">
            <w:pPr>
              <w:overflowPunct w:val="0"/>
              <w:rPr>
                <w:rFonts w:ascii="標楷體" w:eastAsia="標楷體" w:hAnsi="標楷體"/>
                <w:snapToGrid w:val="0"/>
              </w:rPr>
            </w:pPr>
            <w:r w:rsidRPr="00AE70AC">
              <w:rPr>
                <w:rFonts w:ascii="標楷體" w:eastAsia="標楷體" w:hAnsi="標楷體" w:hint="eastAsia"/>
                <w:snapToGrid w:val="0"/>
              </w:rPr>
              <w:t>114/3/14(五)以前</w:t>
            </w:r>
          </w:p>
        </w:tc>
      </w:tr>
    </w:tbl>
    <w:p w14:paraId="1870EFBE" w14:textId="77777777" w:rsidR="00FA3B10" w:rsidRPr="00AE70AC" w:rsidRDefault="00FA3B10" w:rsidP="00F470A8">
      <w:pPr>
        <w:overflowPunct w:val="0"/>
        <w:ind w:left="630" w:hangingChars="300" w:hanging="630"/>
        <w:rPr>
          <w:rFonts w:ascii="標楷體" w:eastAsia="標楷體" w:hAnsi="標楷體"/>
          <w:sz w:val="21"/>
          <w:szCs w:val="21"/>
        </w:rPr>
      </w:pPr>
      <w:r w:rsidRPr="00AE70AC">
        <w:rPr>
          <w:rFonts w:ascii="標楷體" w:eastAsia="標楷體" w:hAnsi="標楷體" w:hint="eastAsia"/>
          <w:sz w:val="21"/>
          <w:szCs w:val="21"/>
        </w:rPr>
        <w:t>說明：</w:t>
      </w:r>
    </w:p>
    <w:p w14:paraId="3FAA00A0" w14:textId="77777777" w:rsidR="00FA3B10" w:rsidRPr="00AE70AC" w:rsidRDefault="00FA3B10" w:rsidP="00F470A8">
      <w:pPr>
        <w:overflowPunct w:val="0"/>
        <w:ind w:left="630" w:hangingChars="300" w:hanging="630"/>
        <w:rPr>
          <w:rFonts w:ascii="標楷體" w:eastAsia="標楷體" w:hAnsi="標楷體"/>
          <w:sz w:val="21"/>
          <w:szCs w:val="21"/>
        </w:rPr>
      </w:pPr>
      <w:r w:rsidRPr="00AE70AC">
        <w:rPr>
          <w:rFonts w:ascii="標楷體" w:eastAsia="標楷體" w:hAnsi="標楷體" w:hint="eastAsia"/>
          <w:sz w:val="21"/>
          <w:szCs w:val="21"/>
        </w:rPr>
        <w:t xml:space="preserve">　　1.因停會、加開院會或其他影響總預算案審查時程之事由，致本審查日程須配合順延時，授權財政委員會修正，並通函其他委員會知照。</w:t>
      </w:r>
    </w:p>
    <w:p w14:paraId="77E6C13B" w14:textId="77777777" w:rsidR="00FA3B10" w:rsidRPr="00AE70AC" w:rsidRDefault="00FA3B10" w:rsidP="00F470A8">
      <w:pPr>
        <w:overflowPunct w:val="0"/>
        <w:ind w:left="630" w:hangingChars="300" w:hanging="630"/>
        <w:rPr>
          <w:rFonts w:ascii="標楷體" w:eastAsia="標楷體" w:hAnsi="標楷體"/>
          <w:sz w:val="21"/>
          <w:szCs w:val="21"/>
        </w:rPr>
      </w:pPr>
      <w:r w:rsidRPr="00AE70AC">
        <w:rPr>
          <w:rFonts w:ascii="標楷體" w:eastAsia="標楷體" w:hAnsi="標楷體" w:hint="eastAsia"/>
          <w:sz w:val="21"/>
          <w:szCs w:val="21"/>
        </w:rPr>
        <w:t xml:space="preserve">　　2.各委員會對於所審查之公務、營業及非營業預算，若有提前審竣之部分，請先將該部分之審查報告送財政委員會彙總。</w:t>
      </w:r>
    </w:p>
    <w:p w14:paraId="6A8FDCBB" w14:textId="77777777" w:rsidR="00FA3B10" w:rsidRPr="00FA3B10" w:rsidRDefault="00FA3B10" w:rsidP="00F470A8">
      <w:pPr>
        <w:overflowPunct w:val="0"/>
        <w:rPr>
          <w:rFonts w:ascii="新細明體" w:eastAsia="華康中黑體" w:hAnsi="Times New Roman"/>
          <w:b/>
          <w:kern w:val="0"/>
          <w:szCs w:val="24"/>
        </w:rPr>
      </w:pPr>
      <w:r w:rsidRPr="00FA3B10">
        <w:rPr>
          <w:rFonts w:ascii="標楷體" w:eastAsia="標楷體" w:hAnsi="標楷體"/>
          <w:color w:val="FF0000"/>
          <w:kern w:val="0"/>
          <w:sz w:val="32"/>
          <w:szCs w:val="32"/>
        </w:rPr>
        <w:br w:type="page"/>
      </w:r>
      <w:r w:rsidRPr="00FA3B10">
        <w:rPr>
          <w:rFonts w:ascii="新細明體" w:eastAsia="華康中黑體" w:hAnsi="Times New Roman" w:hint="eastAsia"/>
          <w:b/>
          <w:kern w:val="0"/>
          <w:szCs w:val="24"/>
        </w:rPr>
        <w:lastRenderedPageBreak/>
        <w:t>附件</w:t>
      </w:r>
      <w:r w:rsidRPr="00FA3B10">
        <w:rPr>
          <w:rFonts w:ascii="新細明體" w:eastAsia="華康中黑體" w:hAnsi="Times New Roman" w:hint="eastAsia"/>
          <w:b/>
          <w:kern w:val="0"/>
          <w:szCs w:val="24"/>
        </w:rPr>
        <w:t>3</w:t>
      </w:r>
    </w:p>
    <w:p w14:paraId="2C13EC25" w14:textId="77777777" w:rsidR="00FA3B10" w:rsidRPr="00FA3B10" w:rsidRDefault="00FA3B10" w:rsidP="00F470A8">
      <w:pPr>
        <w:widowControl w:val="0"/>
        <w:overflowPunct w:val="0"/>
        <w:autoSpaceDN/>
        <w:spacing w:line="520" w:lineRule="exact"/>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 xml:space="preserve"> </w:t>
      </w:r>
      <w:r w:rsidRPr="00FA3B10">
        <w:rPr>
          <w:rFonts w:ascii="標楷體" w:eastAsia="標楷體" w:hAnsi="標楷體"/>
          <w:kern w:val="2"/>
          <w:sz w:val="32"/>
          <w:szCs w:val="32"/>
        </w:rPr>
        <w:t xml:space="preserve">    </w:t>
      </w:r>
      <w:r w:rsidRPr="00FA3B10">
        <w:rPr>
          <w:rFonts w:ascii="標楷體" w:eastAsia="標楷體" w:hAnsi="標楷體" w:hint="eastAsia"/>
          <w:kern w:val="2"/>
          <w:sz w:val="32"/>
          <w:szCs w:val="32"/>
        </w:rPr>
        <w:t>立法院第1</w:t>
      </w:r>
      <w:r w:rsidRPr="00FA3B10">
        <w:rPr>
          <w:rFonts w:ascii="標楷體" w:eastAsia="標楷體" w:hAnsi="標楷體"/>
          <w:kern w:val="2"/>
          <w:sz w:val="32"/>
          <w:szCs w:val="32"/>
        </w:rPr>
        <w:t>1</w:t>
      </w:r>
      <w:r w:rsidRPr="00FA3B10">
        <w:rPr>
          <w:rFonts w:ascii="標楷體" w:eastAsia="標楷體" w:hAnsi="標楷體" w:hint="eastAsia"/>
          <w:kern w:val="2"/>
          <w:sz w:val="32"/>
          <w:szCs w:val="32"/>
        </w:rPr>
        <w:t>屆第2會期財政委員會召集委員輪值表</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4002"/>
        <w:gridCol w:w="3828"/>
      </w:tblGrid>
      <w:tr w:rsidR="00FA3B10" w:rsidRPr="00FA3B10" w14:paraId="2EA5C4C1" w14:textId="77777777" w:rsidTr="00455C3C">
        <w:tc>
          <w:tcPr>
            <w:tcW w:w="959" w:type="dxa"/>
            <w:shd w:val="clear" w:color="auto" w:fill="auto"/>
          </w:tcPr>
          <w:p w14:paraId="135704BC" w14:textId="77777777" w:rsidR="00FA3B10" w:rsidRPr="00FA3B10" w:rsidRDefault="00FA3B10" w:rsidP="00F470A8">
            <w:pPr>
              <w:widowControl w:val="0"/>
              <w:overflowPunct w:val="0"/>
              <w:autoSpaceDN/>
              <w:spacing w:line="520" w:lineRule="exact"/>
              <w:jc w:val="distribute"/>
              <w:textAlignment w:val="auto"/>
              <w:rPr>
                <w:rFonts w:ascii="標楷體" w:eastAsia="標楷體" w:hAnsi="標楷體"/>
                <w:kern w:val="2"/>
                <w:sz w:val="32"/>
                <w:szCs w:val="32"/>
              </w:rPr>
            </w:pPr>
            <w:r w:rsidRPr="00FA3B10">
              <w:rPr>
                <w:rFonts w:ascii="標楷體" w:eastAsia="標楷體" w:hAnsi="標楷體" w:hint="eastAsia"/>
                <w:kern w:val="2"/>
                <w:sz w:val="32"/>
                <w:szCs w:val="32"/>
              </w:rPr>
              <w:t>輪值召集委員</w:t>
            </w:r>
          </w:p>
        </w:tc>
        <w:tc>
          <w:tcPr>
            <w:tcW w:w="4002" w:type="dxa"/>
            <w:shd w:val="clear" w:color="auto" w:fill="auto"/>
            <w:vAlign w:val="center"/>
          </w:tcPr>
          <w:p w14:paraId="0C5D6A1B" w14:textId="77777777" w:rsidR="00FA3B10" w:rsidRPr="00FA3B10" w:rsidRDefault="00FA3B10" w:rsidP="00F470A8">
            <w:pPr>
              <w:widowControl w:val="0"/>
              <w:overflowPunct w:val="0"/>
              <w:autoSpaceDN/>
              <w:spacing w:line="520" w:lineRule="exact"/>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陳召集委員玉珍</w:t>
            </w:r>
          </w:p>
        </w:tc>
        <w:tc>
          <w:tcPr>
            <w:tcW w:w="3828" w:type="dxa"/>
            <w:shd w:val="clear" w:color="auto" w:fill="auto"/>
            <w:vAlign w:val="center"/>
          </w:tcPr>
          <w:p w14:paraId="76BC3E0F" w14:textId="77777777" w:rsidR="00FA3B10" w:rsidRPr="00FA3B10" w:rsidRDefault="00FA3B10" w:rsidP="00F470A8">
            <w:pPr>
              <w:widowControl w:val="0"/>
              <w:overflowPunct w:val="0"/>
              <w:autoSpaceDN/>
              <w:spacing w:line="520" w:lineRule="exact"/>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賴召集委員惠員</w:t>
            </w:r>
          </w:p>
        </w:tc>
      </w:tr>
      <w:tr w:rsidR="002E6A17" w:rsidRPr="00FA3B10" w14:paraId="5E60922E" w14:textId="77777777" w:rsidTr="00455C3C">
        <w:trPr>
          <w:trHeight w:val="952"/>
        </w:trPr>
        <w:tc>
          <w:tcPr>
            <w:tcW w:w="959" w:type="dxa"/>
            <w:vMerge w:val="restart"/>
            <w:shd w:val="clear" w:color="auto" w:fill="auto"/>
            <w:vAlign w:val="center"/>
          </w:tcPr>
          <w:p w14:paraId="2879EAF8" w14:textId="77777777" w:rsidR="002E6A17" w:rsidRPr="00FA3B10" w:rsidRDefault="002E6A17" w:rsidP="00F470A8">
            <w:pPr>
              <w:widowControl w:val="0"/>
              <w:overflowPunct w:val="0"/>
              <w:autoSpaceDN/>
              <w:spacing w:line="520" w:lineRule="exact"/>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輪</w:t>
            </w:r>
          </w:p>
          <w:p w14:paraId="6837F12D" w14:textId="77777777" w:rsidR="002E6A17" w:rsidRPr="00FA3B10" w:rsidRDefault="002E6A17" w:rsidP="00F470A8">
            <w:pPr>
              <w:widowControl w:val="0"/>
              <w:overflowPunct w:val="0"/>
              <w:autoSpaceDN/>
              <w:spacing w:line="520" w:lineRule="exact"/>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值</w:t>
            </w:r>
          </w:p>
          <w:p w14:paraId="452C3752" w14:textId="77777777" w:rsidR="002E6A17" w:rsidRPr="00FA3B10" w:rsidRDefault="002E6A17" w:rsidP="00F470A8">
            <w:pPr>
              <w:widowControl w:val="0"/>
              <w:overflowPunct w:val="0"/>
              <w:autoSpaceDN/>
              <w:spacing w:line="520" w:lineRule="exact"/>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日</w:t>
            </w:r>
          </w:p>
          <w:p w14:paraId="4C5314D0" w14:textId="77777777" w:rsidR="002E6A17" w:rsidRPr="00FA3B10" w:rsidRDefault="002E6A17" w:rsidP="00F470A8">
            <w:pPr>
              <w:widowControl w:val="0"/>
              <w:overflowPunct w:val="0"/>
              <w:autoSpaceDN/>
              <w:spacing w:line="520" w:lineRule="exact"/>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期</w:t>
            </w:r>
          </w:p>
        </w:tc>
        <w:tc>
          <w:tcPr>
            <w:tcW w:w="4002" w:type="dxa"/>
            <w:shd w:val="clear" w:color="auto" w:fill="auto"/>
            <w:vAlign w:val="center"/>
          </w:tcPr>
          <w:p w14:paraId="2A52491A" w14:textId="77777777" w:rsidR="002E6A17" w:rsidRPr="00FA3B10" w:rsidRDefault="002E6A17" w:rsidP="00F470A8">
            <w:pPr>
              <w:widowControl w:val="0"/>
              <w:overflowPunct w:val="0"/>
              <w:autoSpaceDN/>
              <w:spacing w:line="480" w:lineRule="auto"/>
              <w:jc w:val="center"/>
              <w:textAlignment w:val="auto"/>
              <w:rPr>
                <w:rFonts w:ascii="標楷體" w:eastAsia="標楷體" w:hAnsi="標楷體"/>
                <w:kern w:val="2"/>
                <w:sz w:val="32"/>
                <w:szCs w:val="32"/>
              </w:rPr>
            </w:pPr>
            <w:r w:rsidRPr="00FA3B10">
              <w:rPr>
                <w:rFonts w:ascii="標楷體" w:eastAsia="標楷體" w:hAnsi="標楷體" w:hint="eastAsia"/>
                <w:kern w:val="2"/>
                <w:sz w:val="32"/>
                <w:szCs w:val="32"/>
              </w:rPr>
              <w:t>9月26日至9月27日</w:t>
            </w:r>
          </w:p>
        </w:tc>
        <w:tc>
          <w:tcPr>
            <w:tcW w:w="3828" w:type="dxa"/>
            <w:shd w:val="clear" w:color="auto" w:fill="auto"/>
            <w:vAlign w:val="center"/>
          </w:tcPr>
          <w:p w14:paraId="31CB469C"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9月30日至10月4日</w:t>
            </w:r>
          </w:p>
        </w:tc>
      </w:tr>
      <w:tr w:rsidR="002E6A17" w:rsidRPr="00FA3B10" w14:paraId="73AFE2AF" w14:textId="77777777" w:rsidTr="00455C3C">
        <w:trPr>
          <w:trHeight w:val="896"/>
        </w:trPr>
        <w:tc>
          <w:tcPr>
            <w:tcW w:w="959" w:type="dxa"/>
            <w:vMerge/>
            <w:shd w:val="clear" w:color="auto" w:fill="auto"/>
          </w:tcPr>
          <w:p w14:paraId="39D4E1CD"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36E74F50"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10月7日至10月11日</w:t>
            </w:r>
          </w:p>
        </w:tc>
        <w:tc>
          <w:tcPr>
            <w:tcW w:w="3828" w:type="dxa"/>
            <w:shd w:val="clear" w:color="auto" w:fill="auto"/>
            <w:vAlign w:val="center"/>
          </w:tcPr>
          <w:p w14:paraId="62DA81BC"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10月14日至10月18日</w:t>
            </w:r>
          </w:p>
        </w:tc>
      </w:tr>
      <w:tr w:rsidR="002E6A17" w:rsidRPr="00FA3B10" w14:paraId="6D6AC70E" w14:textId="77777777" w:rsidTr="00455C3C">
        <w:trPr>
          <w:trHeight w:val="911"/>
        </w:trPr>
        <w:tc>
          <w:tcPr>
            <w:tcW w:w="959" w:type="dxa"/>
            <w:vMerge/>
            <w:shd w:val="clear" w:color="auto" w:fill="auto"/>
          </w:tcPr>
          <w:p w14:paraId="3D98482A"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16153F03"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10月21日至10月25日</w:t>
            </w:r>
          </w:p>
        </w:tc>
        <w:tc>
          <w:tcPr>
            <w:tcW w:w="3828" w:type="dxa"/>
            <w:shd w:val="clear" w:color="auto" w:fill="auto"/>
            <w:vAlign w:val="center"/>
          </w:tcPr>
          <w:p w14:paraId="481F2211"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10月28日至11月1日</w:t>
            </w:r>
          </w:p>
        </w:tc>
      </w:tr>
      <w:tr w:rsidR="002E6A17" w:rsidRPr="00FA3B10" w14:paraId="394BC2A6" w14:textId="77777777" w:rsidTr="00455C3C">
        <w:trPr>
          <w:trHeight w:val="946"/>
        </w:trPr>
        <w:tc>
          <w:tcPr>
            <w:tcW w:w="959" w:type="dxa"/>
            <w:vMerge/>
            <w:shd w:val="clear" w:color="auto" w:fill="auto"/>
          </w:tcPr>
          <w:p w14:paraId="34635EF8"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633F25BC"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11月4日至11月8日</w:t>
            </w:r>
          </w:p>
        </w:tc>
        <w:tc>
          <w:tcPr>
            <w:tcW w:w="3828" w:type="dxa"/>
            <w:shd w:val="clear" w:color="auto" w:fill="auto"/>
            <w:vAlign w:val="center"/>
          </w:tcPr>
          <w:p w14:paraId="08978EBE"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11月11日至11月15日</w:t>
            </w:r>
          </w:p>
        </w:tc>
      </w:tr>
      <w:tr w:rsidR="002E6A17" w:rsidRPr="00FA3B10" w14:paraId="7FB147EF" w14:textId="77777777" w:rsidTr="00455C3C">
        <w:trPr>
          <w:trHeight w:val="952"/>
        </w:trPr>
        <w:tc>
          <w:tcPr>
            <w:tcW w:w="959" w:type="dxa"/>
            <w:vMerge/>
            <w:shd w:val="clear" w:color="auto" w:fill="auto"/>
          </w:tcPr>
          <w:p w14:paraId="2A7739EA"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3AF59728"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11月18日至11月22日</w:t>
            </w:r>
          </w:p>
        </w:tc>
        <w:tc>
          <w:tcPr>
            <w:tcW w:w="3828" w:type="dxa"/>
            <w:shd w:val="clear" w:color="auto" w:fill="auto"/>
            <w:vAlign w:val="center"/>
          </w:tcPr>
          <w:p w14:paraId="7AB4A881"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11月25日至11月29日</w:t>
            </w:r>
          </w:p>
        </w:tc>
      </w:tr>
      <w:tr w:rsidR="002E6A17" w:rsidRPr="00FA3B10" w14:paraId="23989C9E" w14:textId="77777777" w:rsidTr="00455C3C">
        <w:trPr>
          <w:trHeight w:val="967"/>
        </w:trPr>
        <w:tc>
          <w:tcPr>
            <w:tcW w:w="959" w:type="dxa"/>
            <w:vMerge/>
            <w:shd w:val="clear" w:color="auto" w:fill="auto"/>
          </w:tcPr>
          <w:p w14:paraId="4F218B64"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54ED6700"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12月2日至12月6日</w:t>
            </w:r>
          </w:p>
        </w:tc>
        <w:tc>
          <w:tcPr>
            <w:tcW w:w="3828" w:type="dxa"/>
            <w:shd w:val="clear" w:color="auto" w:fill="auto"/>
            <w:vAlign w:val="center"/>
          </w:tcPr>
          <w:p w14:paraId="32954584"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12月9日至12月13日</w:t>
            </w:r>
          </w:p>
        </w:tc>
      </w:tr>
      <w:tr w:rsidR="002E6A17" w:rsidRPr="00FA3B10" w14:paraId="3CD4EE35" w14:textId="77777777" w:rsidTr="00455C3C">
        <w:trPr>
          <w:trHeight w:val="1044"/>
        </w:trPr>
        <w:tc>
          <w:tcPr>
            <w:tcW w:w="959" w:type="dxa"/>
            <w:vMerge/>
            <w:shd w:val="clear" w:color="auto" w:fill="auto"/>
          </w:tcPr>
          <w:p w14:paraId="30BD0DB3"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5FC35D9F"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12月16日至12月20日</w:t>
            </w:r>
          </w:p>
        </w:tc>
        <w:tc>
          <w:tcPr>
            <w:tcW w:w="3828" w:type="dxa"/>
            <w:shd w:val="clear" w:color="auto" w:fill="auto"/>
            <w:vAlign w:val="center"/>
          </w:tcPr>
          <w:p w14:paraId="64EB958B"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12月23日至12月27日</w:t>
            </w:r>
          </w:p>
        </w:tc>
      </w:tr>
      <w:tr w:rsidR="002E6A17" w:rsidRPr="00FA3B10" w14:paraId="3A17C9F0" w14:textId="77777777" w:rsidTr="00455C3C">
        <w:trPr>
          <w:trHeight w:val="1044"/>
        </w:trPr>
        <w:tc>
          <w:tcPr>
            <w:tcW w:w="959" w:type="dxa"/>
            <w:vMerge/>
            <w:shd w:val="clear" w:color="auto" w:fill="auto"/>
          </w:tcPr>
          <w:p w14:paraId="4FC332A2"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0E7A405B" w14:textId="77777777" w:rsidR="002E6A17" w:rsidRPr="00FA3B10" w:rsidRDefault="002E6A17" w:rsidP="00F470A8">
            <w:pPr>
              <w:widowControl w:val="0"/>
              <w:overflowPunct w:val="0"/>
              <w:autoSpaceDN/>
              <w:spacing w:line="480" w:lineRule="auto"/>
              <w:jc w:val="center"/>
              <w:textAlignment w:val="auto"/>
              <w:rPr>
                <w:rFonts w:ascii="Times New Roman" w:hAnsi="Times New Roman"/>
                <w:kern w:val="2"/>
                <w:szCs w:val="24"/>
              </w:rPr>
            </w:pPr>
            <w:r w:rsidRPr="00FA3B10">
              <w:rPr>
                <w:rFonts w:ascii="標楷體" w:eastAsia="標楷體" w:hAnsi="標楷體" w:hint="eastAsia"/>
                <w:kern w:val="2"/>
                <w:sz w:val="32"/>
                <w:szCs w:val="32"/>
              </w:rPr>
              <w:t>12月30日至12月31日</w:t>
            </w:r>
          </w:p>
        </w:tc>
        <w:tc>
          <w:tcPr>
            <w:tcW w:w="3828" w:type="dxa"/>
            <w:shd w:val="clear" w:color="auto" w:fill="auto"/>
            <w:vAlign w:val="center"/>
          </w:tcPr>
          <w:p w14:paraId="03038BD3" w14:textId="77777777" w:rsidR="002E6A17" w:rsidRPr="00FA3B10" w:rsidRDefault="002E6A17" w:rsidP="00F470A8">
            <w:pPr>
              <w:widowControl w:val="0"/>
              <w:overflowPunct w:val="0"/>
              <w:autoSpaceDN/>
              <w:spacing w:line="480" w:lineRule="auto"/>
              <w:jc w:val="center"/>
              <w:textAlignment w:val="auto"/>
              <w:rPr>
                <w:rFonts w:ascii="標楷體" w:eastAsia="標楷體" w:hAnsi="標楷體"/>
                <w:kern w:val="2"/>
                <w:sz w:val="32"/>
                <w:szCs w:val="32"/>
              </w:rPr>
            </w:pPr>
            <w:r w:rsidRPr="001B3CA6">
              <w:rPr>
                <w:rFonts w:ascii="標楷體" w:eastAsia="標楷體" w:hAnsi="標楷體" w:hint="eastAsia"/>
                <w:sz w:val="28"/>
                <w:szCs w:val="28"/>
              </w:rPr>
              <w:t>12月30日至114年1月3日</w:t>
            </w:r>
          </w:p>
        </w:tc>
      </w:tr>
      <w:tr w:rsidR="002E6A17" w:rsidRPr="00FA3B10" w14:paraId="31AA8AA7" w14:textId="77777777" w:rsidTr="00455C3C">
        <w:trPr>
          <w:trHeight w:val="1044"/>
        </w:trPr>
        <w:tc>
          <w:tcPr>
            <w:tcW w:w="959" w:type="dxa"/>
            <w:vMerge/>
            <w:shd w:val="clear" w:color="auto" w:fill="auto"/>
          </w:tcPr>
          <w:p w14:paraId="3DAABD14" w14:textId="77777777" w:rsidR="002E6A17" w:rsidRPr="00FA3B10" w:rsidRDefault="002E6A17" w:rsidP="00F470A8">
            <w:pPr>
              <w:widowControl w:val="0"/>
              <w:overflowPunct w:val="0"/>
              <w:autoSpaceDN/>
              <w:spacing w:line="520" w:lineRule="exact"/>
              <w:jc w:val="both"/>
              <w:textAlignment w:val="auto"/>
              <w:rPr>
                <w:rFonts w:ascii="標楷體" w:eastAsia="標楷體" w:hAnsi="標楷體"/>
                <w:kern w:val="2"/>
                <w:sz w:val="32"/>
                <w:szCs w:val="32"/>
              </w:rPr>
            </w:pPr>
          </w:p>
        </w:tc>
        <w:tc>
          <w:tcPr>
            <w:tcW w:w="4002" w:type="dxa"/>
            <w:shd w:val="clear" w:color="auto" w:fill="auto"/>
            <w:vAlign w:val="center"/>
          </w:tcPr>
          <w:p w14:paraId="5A247E48" w14:textId="77777777" w:rsidR="002E6A17" w:rsidRDefault="002E6A17" w:rsidP="00F470A8">
            <w:pPr>
              <w:overflowPunct w:val="0"/>
              <w:spacing w:line="480" w:lineRule="auto"/>
              <w:jc w:val="center"/>
              <w:rPr>
                <w:rFonts w:ascii="標楷體" w:eastAsia="標楷體" w:hAnsi="標楷體"/>
                <w:sz w:val="32"/>
                <w:szCs w:val="32"/>
              </w:rPr>
            </w:pPr>
            <w:r w:rsidRPr="001B3CA6">
              <w:rPr>
                <w:rFonts w:ascii="標楷體" w:eastAsia="標楷體" w:hAnsi="標楷體" w:hint="eastAsia"/>
                <w:sz w:val="32"/>
                <w:szCs w:val="32"/>
              </w:rPr>
              <w:t>1月6日至1月10日</w:t>
            </w:r>
          </w:p>
        </w:tc>
        <w:tc>
          <w:tcPr>
            <w:tcW w:w="3828" w:type="dxa"/>
            <w:shd w:val="clear" w:color="auto" w:fill="auto"/>
            <w:vAlign w:val="center"/>
          </w:tcPr>
          <w:p w14:paraId="450D7E13" w14:textId="77777777" w:rsidR="002E6A17" w:rsidRDefault="002E6A17" w:rsidP="00F470A8">
            <w:pPr>
              <w:overflowPunct w:val="0"/>
              <w:spacing w:line="480" w:lineRule="auto"/>
              <w:jc w:val="center"/>
              <w:rPr>
                <w:rFonts w:ascii="標楷體" w:eastAsia="標楷體" w:hAnsi="標楷體"/>
                <w:sz w:val="32"/>
                <w:szCs w:val="32"/>
              </w:rPr>
            </w:pPr>
            <w:r w:rsidRPr="001B3CA6">
              <w:rPr>
                <w:rFonts w:ascii="標楷體" w:eastAsia="標楷體" w:hAnsi="標楷體" w:hint="eastAsia"/>
                <w:sz w:val="32"/>
                <w:szCs w:val="32"/>
              </w:rPr>
              <w:t>1月</w:t>
            </w:r>
            <w:r>
              <w:rPr>
                <w:rFonts w:ascii="標楷體" w:eastAsia="標楷體" w:hAnsi="標楷體" w:hint="eastAsia"/>
                <w:sz w:val="32"/>
                <w:szCs w:val="32"/>
              </w:rPr>
              <w:t>13</w:t>
            </w:r>
            <w:r w:rsidRPr="001B3CA6">
              <w:rPr>
                <w:rFonts w:ascii="標楷體" w:eastAsia="標楷體" w:hAnsi="標楷體" w:hint="eastAsia"/>
                <w:sz w:val="32"/>
                <w:szCs w:val="32"/>
              </w:rPr>
              <w:t>日至1月1</w:t>
            </w:r>
            <w:r>
              <w:rPr>
                <w:rFonts w:ascii="標楷體" w:eastAsia="標楷體" w:hAnsi="標楷體" w:hint="eastAsia"/>
                <w:sz w:val="32"/>
                <w:szCs w:val="32"/>
              </w:rPr>
              <w:t>7</w:t>
            </w:r>
            <w:r w:rsidRPr="001B3CA6">
              <w:rPr>
                <w:rFonts w:ascii="標楷體" w:eastAsia="標楷體" w:hAnsi="標楷體" w:hint="eastAsia"/>
                <w:sz w:val="32"/>
                <w:szCs w:val="32"/>
              </w:rPr>
              <w:t>日</w:t>
            </w:r>
          </w:p>
        </w:tc>
      </w:tr>
    </w:tbl>
    <w:p w14:paraId="7695E3C9" w14:textId="77777777" w:rsidR="00FA3B10" w:rsidRPr="00FA3B10" w:rsidRDefault="00FA3B10" w:rsidP="00F470A8">
      <w:pPr>
        <w:widowControl w:val="0"/>
        <w:overflowPunct w:val="0"/>
        <w:autoSpaceDN/>
        <w:spacing w:line="520" w:lineRule="exact"/>
        <w:jc w:val="both"/>
        <w:textAlignment w:val="auto"/>
        <w:rPr>
          <w:rFonts w:ascii="標楷體" w:eastAsia="標楷體" w:hAnsi="標楷體"/>
          <w:kern w:val="2"/>
          <w:sz w:val="32"/>
          <w:szCs w:val="32"/>
        </w:rPr>
      </w:pPr>
      <w:r w:rsidRPr="00FA3B10">
        <w:rPr>
          <w:rFonts w:ascii="標楷體" w:eastAsia="標楷體" w:hAnsi="標楷體"/>
          <w:kern w:val="2"/>
          <w:sz w:val="32"/>
          <w:szCs w:val="32"/>
        </w:rPr>
        <w:br w:type="page"/>
      </w:r>
      <w:r w:rsidRPr="00FA3B10">
        <w:rPr>
          <w:rFonts w:ascii="標楷體" w:eastAsia="標楷體" w:hAnsi="標楷體" w:hint="eastAsia"/>
          <w:b/>
          <w:kern w:val="2"/>
          <w:szCs w:val="24"/>
        </w:rPr>
        <w:lastRenderedPageBreak/>
        <w:t>附件</w:t>
      </w:r>
      <w:r w:rsidRPr="00FA3B10">
        <w:rPr>
          <w:rFonts w:ascii="標楷體" w:eastAsia="標楷體" w:hAnsi="標楷體"/>
          <w:b/>
          <w:kern w:val="2"/>
          <w:szCs w:val="24"/>
        </w:rPr>
        <w:t>4</w:t>
      </w:r>
    </w:p>
    <w:p w14:paraId="6F507BEB" w14:textId="77777777" w:rsidR="00FA3B10" w:rsidRPr="00347FA7" w:rsidRDefault="00FA3B10" w:rsidP="00F470A8">
      <w:pPr>
        <w:overflowPunct w:val="0"/>
        <w:rPr>
          <w:rFonts w:ascii="標楷體" w:eastAsia="標楷體" w:hAnsi="標楷體"/>
          <w:b/>
          <w:kern w:val="0"/>
          <w:sz w:val="28"/>
          <w:szCs w:val="28"/>
        </w:rPr>
      </w:pPr>
      <w:r w:rsidRPr="00347FA7">
        <w:rPr>
          <w:rFonts w:ascii="標楷體" w:eastAsia="標楷體" w:hAnsi="標楷體" w:hint="eastAsia"/>
          <w:b/>
          <w:kern w:val="0"/>
          <w:sz w:val="28"/>
          <w:szCs w:val="28"/>
        </w:rPr>
        <w:t>1</w:t>
      </w:r>
      <w:r w:rsidRPr="00347FA7">
        <w:rPr>
          <w:rFonts w:ascii="標楷體" w:eastAsia="標楷體" w:hAnsi="標楷體"/>
          <w:b/>
          <w:kern w:val="0"/>
          <w:sz w:val="28"/>
          <w:szCs w:val="28"/>
        </w:rPr>
        <w:t>14</w:t>
      </w:r>
      <w:r w:rsidRPr="00347FA7">
        <w:rPr>
          <w:rFonts w:ascii="標楷體" w:eastAsia="標楷體" w:hAnsi="標楷體" w:hint="eastAsia"/>
          <w:b/>
          <w:kern w:val="0"/>
          <w:sz w:val="28"/>
          <w:szCs w:val="28"/>
        </w:rPr>
        <w:t>年度中央政府總預算案公務預算案</w:t>
      </w:r>
    </w:p>
    <w:p w14:paraId="7DAEE7C5" w14:textId="77777777" w:rsidR="00FA3B10" w:rsidRPr="00347FA7" w:rsidRDefault="00FA3B10" w:rsidP="00F470A8">
      <w:pPr>
        <w:overflowPunct w:val="0"/>
        <w:rPr>
          <w:rFonts w:ascii="標楷體" w:eastAsia="標楷體" w:hAnsi="標楷體"/>
          <w:b/>
          <w:kern w:val="0"/>
          <w:sz w:val="28"/>
          <w:szCs w:val="28"/>
        </w:rPr>
      </w:pPr>
      <w:r w:rsidRPr="00347FA7">
        <w:rPr>
          <w:rFonts w:ascii="標楷體" w:eastAsia="標楷體" w:hAnsi="標楷體" w:hint="eastAsia"/>
          <w:b/>
          <w:kern w:val="0"/>
          <w:sz w:val="28"/>
          <w:szCs w:val="28"/>
        </w:rPr>
        <w:t>財政委員會審查分組表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593"/>
        <w:gridCol w:w="4211"/>
        <w:gridCol w:w="1843"/>
      </w:tblGrid>
      <w:tr w:rsidR="00FA3B10" w:rsidRPr="00FA3B10" w14:paraId="44DC74E9" w14:textId="77777777" w:rsidTr="00455C3C">
        <w:tc>
          <w:tcPr>
            <w:tcW w:w="851" w:type="dxa"/>
            <w:shd w:val="clear" w:color="auto" w:fill="auto"/>
            <w:vAlign w:val="center"/>
          </w:tcPr>
          <w:p w14:paraId="39FE6515"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組別</w:t>
            </w:r>
          </w:p>
        </w:tc>
        <w:tc>
          <w:tcPr>
            <w:tcW w:w="2593" w:type="dxa"/>
            <w:shd w:val="clear" w:color="auto" w:fill="auto"/>
            <w:vAlign w:val="center"/>
          </w:tcPr>
          <w:p w14:paraId="6F789B7C"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主席</w:t>
            </w:r>
          </w:p>
        </w:tc>
        <w:tc>
          <w:tcPr>
            <w:tcW w:w="4211" w:type="dxa"/>
            <w:shd w:val="clear" w:color="auto" w:fill="auto"/>
            <w:vAlign w:val="center"/>
          </w:tcPr>
          <w:p w14:paraId="00F1E17B"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預算審查事項</w:t>
            </w:r>
          </w:p>
        </w:tc>
        <w:tc>
          <w:tcPr>
            <w:tcW w:w="1843" w:type="dxa"/>
            <w:shd w:val="clear" w:color="auto" w:fill="auto"/>
            <w:vAlign w:val="center"/>
          </w:tcPr>
          <w:p w14:paraId="5A63E1DB"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備註</w:t>
            </w:r>
          </w:p>
        </w:tc>
      </w:tr>
      <w:tr w:rsidR="00FA3B10" w:rsidRPr="00FA3B10" w14:paraId="063DE045" w14:textId="77777777" w:rsidTr="00455C3C">
        <w:trPr>
          <w:trHeight w:val="1433"/>
        </w:trPr>
        <w:tc>
          <w:tcPr>
            <w:tcW w:w="851" w:type="dxa"/>
            <w:shd w:val="clear" w:color="auto" w:fill="auto"/>
            <w:vAlign w:val="center"/>
          </w:tcPr>
          <w:p w14:paraId="587DF898"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1</w:t>
            </w:r>
          </w:p>
        </w:tc>
        <w:tc>
          <w:tcPr>
            <w:tcW w:w="2593" w:type="dxa"/>
            <w:shd w:val="clear" w:color="auto" w:fill="auto"/>
            <w:vAlign w:val="center"/>
          </w:tcPr>
          <w:p w14:paraId="73B6B2E9"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賴召集委員惠員</w:t>
            </w:r>
          </w:p>
        </w:tc>
        <w:tc>
          <w:tcPr>
            <w:tcW w:w="4211" w:type="dxa"/>
            <w:shd w:val="clear" w:color="auto" w:fill="auto"/>
          </w:tcPr>
          <w:p w14:paraId="42FA90BA"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行政院歲入預算有關中央銀行股息紅利繳庫部分。財政部及所屬單位預算歲入部分。</w:t>
            </w:r>
          </w:p>
        </w:tc>
        <w:tc>
          <w:tcPr>
            <w:tcW w:w="1843" w:type="dxa"/>
            <w:shd w:val="clear" w:color="auto" w:fill="auto"/>
          </w:tcPr>
          <w:p w14:paraId="218F019E"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398F3370" w14:textId="77777777" w:rsidTr="00455C3C">
        <w:trPr>
          <w:trHeight w:val="973"/>
        </w:trPr>
        <w:tc>
          <w:tcPr>
            <w:tcW w:w="851" w:type="dxa"/>
            <w:shd w:val="clear" w:color="auto" w:fill="auto"/>
            <w:vAlign w:val="center"/>
          </w:tcPr>
          <w:p w14:paraId="0ED170B1"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2</w:t>
            </w:r>
          </w:p>
        </w:tc>
        <w:tc>
          <w:tcPr>
            <w:tcW w:w="2593" w:type="dxa"/>
            <w:shd w:val="clear" w:color="auto" w:fill="auto"/>
            <w:vAlign w:val="center"/>
          </w:tcPr>
          <w:p w14:paraId="13DCDD91"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賴召集委員惠員</w:t>
            </w:r>
          </w:p>
        </w:tc>
        <w:tc>
          <w:tcPr>
            <w:tcW w:w="4211" w:type="dxa"/>
            <w:shd w:val="clear" w:color="auto" w:fill="auto"/>
          </w:tcPr>
          <w:p w14:paraId="1B2CBE0C"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財政部、國庫署、財政資訊中心歲出預算部分。</w:t>
            </w:r>
          </w:p>
        </w:tc>
        <w:tc>
          <w:tcPr>
            <w:tcW w:w="1843" w:type="dxa"/>
            <w:shd w:val="clear" w:color="auto" w:fill="auto"/>
          </w:tcPr>
          <w:p w14:paraId="1E8398F2"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2D426188" w14:textId="77777777" w:rsidTr="00455C3C">
        <w:trPr>
          <w:trHeight w:val="1888"/>
        </w:trPr>
        <w:tc>
          <w:tcPr>
            <w:tcW w:w="851" w:type="dxa"/>
            <w:shd w:val="clear" w:color="auto" w:fill="auto"/>
            <w:vAlign w:val="center"/>
          </w:tcPr>
          <w:p w14:paraId="45B51A04"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3</w:t>
            </w:r>
          </w:p>
        </w:tc>
        <w:tc>
          <w:tcPr>
            <w:tcW w:w="2593" w:type="dxa"/>
            <w:shd w:val="clear" w:color="auto" w:fill="auto"/>
            <w:vAlign w:val="center"/>
          </w:tcPr>
          <w:p w14:paraId="4FB3EC7C"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陳召集委員玉珍</w:t>
            </w:r>
          </w:p>
        </w:tc>
        <w:tc>
          <w:tcPr>
            <w:tcW w:w="4211" w:type="dxa"/>
            <w:shd w:val="clear" w:color="auto" w:fill="auto"/>
          </w:tcPr>
          <w:p w14:paraId="44843381"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賦稅署、臺北國稅局、高雄國稅局、北區國稅局及所屬、中區國稅局及所屬、南區國稅局及所屬歲出預算部分。</w:t>
            </w:r>
          </w:p>
        </w:tc>
        <w:tc>
          <w:tcPr>
            <w:tcW w:w="1843" w:type="dxa"/>
            <w:shd w:val="clear" w:color="auto" w:fill="auto"/>
          </w:tcPr>
          <w:p w14:paraId="1EB8A944"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468E6D2F" w14:textId="77777777" w:rsidTr="00455C3C">
        <w:trPr>
          <w:trHeight w:val="1036"/>
        </w:trPr>
        <w:tc>
          <w:tcPr>
            <w:tcW w:w="851" w:type="dxa"/>
            <w:shd w:val="clear" w:color="auto" w:fill="auto"/>
            <w:vAlign w:val="center"/>
          </w:tcPr>
          <w:p w14:paraId="66A4715A"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4</w:t>
            </w:r>
          </w:p>
        </w:tc>
        <w:tc>
          <w:tcPr>
            <w:tcW w:w="2593" w:type="dxa"/>
            <w:shd w:val="clear" w:color="auto" w:fill="auto"/>
            <w:vAlign w:val="center"/>
          </w:tcPr>
          <w:p w14:paraId="4D9D6675"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陳召集委員玉珍</w:t>
            </w:r>
          </w:p>
        </w:tc>
        <w:tc>
          <w:tcPr>
            <w:tcW w:w="4211" w:type="dxa"/>
            <w:shd w:val="clear" w:color="auto" w:fill="auto"/>
          </w:tcPr>
          <w:p w14:paraId="2A706B66"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關務署及所屬、國有財產署及所屬歲出預算部分。融資財源調度。</w:t>
            </w:r>
          </w:p>
        </w:tc>
        <w:tc>
          <w:tcPr>
            <w:tcW w:w="1843" w:type="dxa"/>
            <w:shd w:val="clear" w:color="auto" w:fill="auto"/>
          </w:tcPr>
          <w:p w14:paraId="35D4FA2D"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71C9F7B2" w14:textId="77777777" w:rsidTr="00455C3C">
        <w:trPr>
          <w:trHeight w:val="2303"/>
        </w:trPr>
        <w:tc>
          <w:tcPr>
            <w:tcW w:w="851" w:type="dxa"/>
            <w:shd w:val="clear" w:color="auto" w:fill="auto"/>
            <w:vAlign w:val="center"/>
          </w:tcPr>
          <w:p w14:paraId="60FF7FEF"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5</w:t>
            </w:r>
          </w:p>
        </w:tc>
        <w:tc>
          <w:tcPr>
            <w:tcW w:w="2593" w:type="dxa"/>
            <w:shd w:val="clear" w:color="auto" w:fill="auto"/>
            <w:vAlign w:val="center"/>
          </w:tcPr>
          <w:p w14:paraId="44DBE830"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賴召集委員惠員</w:t>
            </w:r>
          </w:p>
        </w:tc>
        <w:tc>
          <w:tcPr>
            <w:tcW w:w="4211" w:type="dxa"/>
            <w:shd w:val="clear" w:color="auto" w:fill="auto"/>
          </w:tcPr>
          <w:p w14:paraId="436756A6"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主計總處。審計部、審計部臺北市審計處、審計部新北市審計處、審計部桃園市審計處、審計部臺中市審計處、審計部臺南市審計處、審計部高雄市審計處。直轄市及縣市政府。調整軍公教人員待遇準備。災害準備金。第二預備金。</w:t>
            </w:r>
          </w:p>
        </w:tc>
        <w:tc>
          <w:tcPr>
            <w:tcW w:w="1843" w:type="dxa"/>
            <w:shd w:val="clear" w:color="auto" w:fill="auto"/>
          </w:tcPr>
          <w:p w14:paraId="6E73F6A5"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7732B999" w14:textId="77777777" w:rsidTr="00455C3C">
        <w:trPr>
          <w:trHeight w:val="963"/>
        </w:trPr>
        <w:tc>
          <w:tcPr>
            <w:tcW w:w="851" w:type="dxa"/>
            <w:shd w:val="clear" w:color="auto" w:fill="auto"/>
            <w:vAlign w:val="center"/>
          </w:tcPr>
          <w:p w14:paraId="6C306D42"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6</w:t>
            </w:r>
          </w:p>
        </w:tc>
        <w:tc>
          <w:tcPr>
            <w:tcW w:w="2593" w:type="dxa"/>
            <w:shd w:val="clear" w:color="auto" w:fill="auto"/>
            <w:vAlign w:val="center"/>
          </w:tcPr>
          <w:p w14:paraId="18DC7816"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陳召集委員玉珍</w:t>
            </w:r>
          </w:p>
        </w:tc>
        <w:tc>
          <w:tcPr>
            <w:tcW w:w="4211" w:type="dxa"/>
            <w:shd w:val="clear" w:color="auto" w:fill="auto"/>
          </w:tcPr>
          <w:p w14:paraId="5CF7A840"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金融監督管理委員會、銀行局、證券期貨局、保險局、檢查局。</w:t>
            </w:r>
          </w:p>
        </w:tc>
        <w:tc>
          <w:tcPr>
            <w:tcW w:w="1843" w:type="dxa"/>
            <w:shd w:val="clear" w:color="auto" w:fill="auto"/>
          </w:tcPr>
          <w:p w14:paraId="23FE8B4C"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bl>
    <w:p w14:paraId="70071E5C" w14:textId="77777777" w:rsidR="00FA3B10" w:rsidRPr="00FA3B10" w:rsidRDefault="00FA3B10" w:rsidP="002024F5">
      <w:pPr>
        <w:widowControl w:val="0"/>
        <w:overflowPunct w:val="0"/>
        <w:autoSpaceDN/>
        <w:spacing w:line="360" w:lineRule="exact"/>
        <w:ind w:leftChars="139" w:left="1054" w:rightChars="186" w:right="446" w:hangingChars="300" w:hanging="720"/>
        <w:jc w:val="both"/>
        <w:textAlignment w:val="auto"/>
        <w:rPr>
          <w:rFonts w:ascii="標楷體" w:eastAsia="標楷體" w:hAnsi="標楷體"/>
          <w:kern w:val="2"/>
          <w:szCs w:val="24"/>
        </w:rPr>
      </w:pPr>
      <w:r w:rsidRPr="00FA3B10">
        <w:rPr>
          <w:rFonts w:ascii="標楷體" w:eastAsia="標楷體" w:hAnsi="標楷體" w:hint="eastAsia"/>
          <w:kern w:val="2"/>
          <w:szCs w:val="24"/>
        </w:rPr>
        <w:t>說明：俟院會交付中華民國11</w:t>
      </w:r>
      <w:r w:rsidRPr="00FA3B10">
        <w:rPr>
          <w:rFonts w:ascii="標楷體" w:eastAsia="標楷體" w:hAnsi="標楷體"/>
          <w:kern w:val="2"/>
          <w:szCs w:val="24"/>
        </w:rPr>
        <w:t>4</w:t>
      </w:r>
      <w:r w:rsidRPr="00FA3B10">
        <w:rPr>
          <w:rFonts w:ascii="標楷體" w:eastAsia="標楷體" w:hAnsi="標楷體" w:hint="eastAsia"/>
          <w:kern w:val="2"/>
          <w:szCs w:val="24"/>
        </w:rPr>
        <w:t>年度中央政府總預算案（含附屬單位預算及綜計表—營業及非營業部分）審查日程後，請召集委員於該日程排定之審查期間，安排審查會議完成公務預算案之審查。</w:t>
      </w:r>
    </w:p>
    <w:p w14:paraId="5C24B252" w14:textId="77777777" w:rsidR="00FA3B10" w:rsidRPr="00FA3B10" w:rsidRDefault="00FA3B10" w:rsidP="00F470A8">
      <w:pPr>
        <w:widowControl w:val="0"/>
        <w:overflowPunct w:val="0"/>
        <w:autoSpaceDN/>
        <w:spacing w:line="520" w:lineRule="exact"/>
        <w:jc w:val="both"/>
        <w:textAlignment w:val="auto"/>
        <w:rPr>
          <w:rFonts w:ascii="標楷體" w:eastAsia="標楷體" w:hAnsi="標楷體"/>
          <w:kern w:val="2"/>
          <w:sz w:val="32"/>
          <w:szCs w:val="32"/>
        </w:rPr>
      </w:pPr>
      <w:r w:rsidRPr="00FA3B10">
        <w:rPr>
          <w:rFonts w:ascii="新細明體" w:hAnsi="新細明體"/>
          <w:kern w:val="2"/>
          <w:szCs w:val="24"/>
        </w:rPr>
        <w:br w:type="page"/>
      </w:r>
      <w:r w:rsidRPr="00FA3B10">
        <w:rPr>
          <w:rFonts w:ascii="標楷體" w:eastAsia="標楷體" w:hAnsi="標楷體" w:hint="eastAsia"/>
          <w:b/>
          <w:kern w:val="2"/>
          <w:szCs w:val="24"/>
        </w:rPr>
        <w:lastRenderedPageBreak/>
        <w:t>附件5</w:t>
      </w:r>
    </w:p>
    <w:p w14:paraId="06D9DA38" w14:textId="77777777" w:rsidR="00FA3B10" w:rsidRPr="00347FA7" w:rsidRDefault="00FA3B10" w:rsidP="00F470A8">
      <w:pPr>
        <w:overflowPunct w:val="0"/>
        <w:rPr>
          <w:rFonts w:ascii="標楷體" w:eastAsia="標楷體" w:hAnsi="標楷體"/>
          <w:b/>
          <w:kern w:val="0"/>
          <w:sz w:val="28"/>
          <w:szCs w:val="28"/>
        </w:rPr>
      </w:pPr>
      <w:r w:rsidRPr="00347FA7">
        <w:rPr>
          <w:rFonts w:ascii="標楷體" w:eastAsia="標楷體" w:hAnsi="標楷體" w:hint="eastAsia"/>
          <w:b/>
          <w:kern w:val="0"/>
          <w:sz w:val="28"/>
          <w:szCs w:val="28"/>
        </w:rPr>
        <w:t>1</w:t>
      </w:r>
      <w:r w:rsidRPr="00347FA7">
        <w:rPr>
          <w:rFonts w:ascii="標楷體" w:eastAsia="標楷體" w:hAnsi="標楷體"/>
          <w:b/>
          <w:kern w:val="0"/>
          <w:sz w:val="28"/>
          <w:szCs w:val="28"/>
        </w:rPr>
        <w:t>14</w:t>
      </w:r>
      <w:r w:rsidRPr="00347FA7">
        <w:rPr>
          <w:rFonts w:ascii="標楷體" w:eastAsia="標楷體" w:hAnsi="標楷體" w:hint="eastAsia"/>
          <w:b/>
          <w:kern w:val="0"/>
          <w:sz w:val="28"/>
          <w:szCs w:val="28"/>
        </w:rPr>
        <w:t>年度中央政府總預算案附屬單位預算營業及非營業</w:t>
      </w:r>
    </w:p>
    <w:p w14:paraId="6E95556E" w14:textId="77777777" w:rsidR="00FA3B10" w:rsidRPr="00347FA7" w:rsidRDefault="00FA3B10" w:rsidP="00F470A8">
      <w:pPr>
        <w:overflowPunct w:val="0"/>
        <w:rPr>
          <w:rFonts w:ascii="標楷體" w:eastAsia="標楷體" w:hAnsi="標楷體"/>
          <w:b/>
          <w:kern w:val="0"/>
          <w:sz w:val="28"/>
          <w:szCs w:val="28"/>
        </w:rPr>
      </w:pPr>
      <w:r w:rsidRPr="00347FA7">
        <w:rPr>
          <w:rFonts w:ascii="標楷體" w:eastAsia="標楷體" w:hAnsi="標楷體" w:hint="eastAsia"/>
          <w:b/>
          <w:kern w:val="0"/>
          <w:sz w:val="28"/>
          <w:szCs w:val="28"/>
        </w:rPr>
        <w:t>財政委員會審查分組表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593"/>
        <w:gridCol w:w="4211"/>
        <w:gridCol w:w="1843"/>
      </w:tblGrid>
      <w:tr w:rsidR="00FA3B10" w:rsidRPr="00FA3B10" w14:paraId="2600C103" w14:textId="77777777" w:rsidTr="00455C3C">
        <w:tc>
          <w:tcPr>
            <w:tcW w:w="851" w:type="dxa"/>
            <w:shd w:val="clear" w:color="auto" w:fill="auto"/>
            <w:vAlign w:val="center"/>
          </w:tcPr>
          <w:p w14:paraId="71FB5AEA"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組別</w:t>
            </w:r>
          </w:p>
        </w:tc>
        <w:tc>
          <w:tcPr>
            <w:tcW w:w="2593" w:type="dxa"/>
            <w:shd w:val="clear" w:color="auto" w:fill="auto"/>
            <w:vAlign w:val="center"/>
          </w:tcPr>
          <w:p w14:paraId="52DBA9E2"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主席</w:t>
            </w:r>
          </w:p>
        </w:tc>
        <w:tc>
          <w:tcPr>
            <w:tcW w:w="4211" w:type="dxa"/>
            <w:shd w:val="clear" w:color="auto" w:fill="auto"/>
            <w:vAlign w:val="center"/>
          </w:tcPr>
          <w:p w14:paraId="50112C13"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審查基金，預算別</w:t>
            </w:r>
          </w:p>
        </w:tc>
        <w:tc>
          <w:tcPr>
            <w:tcW w:w="1843" w:type="dxa"/>
            <w:shd w:val="clear" w:color="auto" w:fill="auto"/>
            <w:vAlign w:val="center"/>
          </w:tcPr>
          <w:p w14:paraId="3DD4C119"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備註</w:t>
            </w:r>
          </w:p>
        </w:tc>
      </w:tr>
      <w:tr w:rsidR="00FA3B10" w:rsidRPr="00FA3B10" w14:paraId="314FA327" w14:textId="77777777" w:rsidTr="00455C3C">
        <w:trPr>
          <w:trHeight w:val="1433"/>
        </w:trPr>
        <w:tc>
          <w:tcPr>
            <w:tcW w:w="851" w:type="dxa"/>
            <w:shd w:val="clear" w:color="auto" w:fill="auto"/>
            <w:vAlign w:val="center"/>
          </w:tcPr>
          <w:p w14:paraId="05F95D45"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1</w:t>
            </w:r>
          </w:p>
        </w:tc>
        <w:tc>
          <w:tcPr>
            <w:tcW w:w="2593" w:type="dxa"/>
            <w:shd w:val="clear" w:color="auto" w:fill="auto"/>
            <w:vAlign w:val="center"/>
          </w:tcPr>
          <w:p w14:paraId="4A7BD6FD"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賴召集委員惠員</w:t>
            </w:r>
          </w:p>
        </w:tc>
        <w:tc>
          <w:tcPr>
            <w:tcW w:w="4211" w:type="dxa"/>
            <w:shd w:val="clear" w:color="auto" w:fill="auto"/>
          </w:tcPr>
          <w:p w14:paraId="0BF38739"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b/>
                <w:kern w:val="0"/>
                <w:sz w:val="28"/>
                <w:szCs w:val="28"/>
              </w:rPr>
            </w:pPr>
            <w:r w:rsidRPr="00FA3B10">
              <w:rPr>
                <w:rFonts w:ascii="標楷體" w:eastAsia="標楷體" w:hAnsi="標楷體" w:hint="eastAsia"/>
                <w:b/>
                <w:kern w:val="0"/>
                <w:sz w:val="28"/>
                <w:szCs w:val="28"/>
              </w:rPr>
              <w:t>營業基金：</w:t>
            </w:r>
          </w:p>
          <w:p w14:paraId="18974AFC"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中央銀行（含中央造幣廠、中央印製廠）。</w:t>
            </w:r>
          </w:p>
        </w:tc>
        <w:tc>
          <w:tcPr>
            <w:tcW w:w="1843" w:type="dxa"/>
            <w:shd w:val="clear" w:color="auto" w:fill="auto"/>
          </w:tcPr>
          <w:p w14:paraId="7F245EA4"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3E62410A" w14:textId="77777777" w:rsidTr="00455C3C">
        <w:trPr>
          <w:trHeight w:val="2390"/>
        </w:trPr>
        <w:tc>
          <w:tcPr>
            <w:tcW w:w="851" w:type="dxa"/>
            <w:shd w:val="clear" w:color="auto" w:fill="auto"/>
            <w:vAlign w:val="center"/>
          </w:tcPr>
          <w:p w14:paraId="5732E675"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2</w:t>
            </w:r>
          </w:p>
        </w:tc>
        <w:tc>
          <w:tcPr>
            <w:tcW w:w="2593" w:type="dxa"/>
            <w:shd w:val="clear" w:color="auto" w:fill="auto"/>
            <w:vAlign w:val="center"/>
          </w:tcPr>
          <w:p w14:paraId="56C007CB"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賴召集委員惠員</w:t>
            </w:r>
          </w:p>
        </w:tc>
        <w:tc>
          <w:tcPr>
            <w:tcW w:w="4211" w:type="dxa"/>
            <w:shd w:val="clear" w:color="auto" w:fill="auto"/>
          </w:tcPr>
          <w:p w14:paraId="1FF7E92A"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b/>
                <w:kern w:val="0"/>
                <w:sz w:val="28"/>
                <w:szCs w:val="28"/>
              </w:rPr>
            </w:pPr>
            <w:r w:rsidRPr="00FA3B10">
              <w:rPr>
                <w:rFonts w:ascii="標楷體" w:eastAsia="標楷體" w:hAnsi="標楷體" w:hint="eastAsia"/>
                <w:b/>
                <w:kern w:val="0"/>
                <w:sz w:val="28"/>
                <w:szCs w:val="28"/>
              </w:rPr>
              <w:t>營業基金：</w:t>
            </w:r>
          </w:p>
          <w:p w14:paraId="04B8B1C0"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中國輸出入銀行、臺灣金融控股公司（含臺灣銀行公司、臺銀人壽保險公司、臺銀綜合證券公司）。</w:t>
            </w:r>
          </w:p>
        </w:tc>
        <w:tc>
          <w:tcPr>
            <w:tcW w:w="1843" w:type="dxa"/>
            <w:shd w:val="clear" w:color="auto" w:fill="auto"/>
          </w:tcPr>
          <w:p w14:paraId="3C87BCC9"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2C8839EE" w14:textId="77777777" w:rsidTr="00455C3C">
        <w:trPr>
          <w:trHeight w:val="1498"/>
        </w:trPr>
        <w:tc>
          <w:tcPr>
            <w:tcW w:w="851" w:type="dxa"/>
            <w:shd w:val="clear" w:color="auto" w:fill="auto"/>
            <w:vAlign w:val="center"/>
          </w:tcPr>
          <w:p w14:paraId="5A65E430"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3</w:t>
            </w:r>
          </w:p>
        </w:tc>
        <w:tc>
          <w:tcPr>
            <w:tcW w:w="2593" w:type="dxa"/>
            <w:shd w:val="clear" w:color="auto" w:fill="auto"/>
            <w:vAlign w:val="center"/>
          </w:tcPr>
          <w:p w14:paraId="11EFF130"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陳召集委員玉珍</w:t>
            </w:r>
          </w:p>
        </w:tc>
        <w:tc>
          <w:tcPr>
            <w:tcW w:w="4211" w:type="dxa"/>
            <w:shd w:val="clear" w:color="auto" w:fill="auto"/>
          </w:tcPr>
          <w:p w14:paraId="3D04798E"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b/>
                <w:kern w:val="0"/>
                <w:sz w:val="28"/>
                <w:szCs w:val="28"/>
              </w:rPr>
            </w:pPr>
            <w:r w:rsidRPr="00FA3B10">
              <w:rPr>
                <w:rFonts w:ascii="標楷體" w:eastAsia="標楷體" w:hAnsi="標楷體" w:hint="eastAsia"/>
                <w:b/>
                <w:kern w:val="0"/>
                <w:sz w:val="28"/>
                <w:szCs w:val="28"/>
              </w:rPr>
              <w:t>營業基金：</w:t>
            </w:r>
          </w:p>
          <w:p w14:paraId="6FB8227C"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臺灣土地銀行公司、財政部印刷廠。</w:t>
            </w:r>
          </w:p>
        </w:tc>
        <w:tc>
          <w:tcPr>
            <w:tcW w:w="1843" w:type="dxa"/>
            <w:shd w:val="clear" w:color="auto" w:fill="auto"/>
          </w:tcPr>
          <w:p w14:paraId="060FF074"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383865DA" w14:textId="77777777" w:rsidTr="00455C3C">
        <w:trPr>
          <w:trHeight w:hRule="exact" w:val="1473"/>
        </w:trPr>
        <w:tc>
          <w:tcPr>
            <w:tcW w:w="851" w:type="dxa"/>
            <w:shd w:val="clear" w:color="auto" w:fill="auto"/>
            <w:vAlign w:val="center"/>
          </w:tcPr>
          <w:p w14:paraId="01232440"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4</w:t>
            </w:r>
          </w:p>
        </w:tc>
        <w:tc>
          <w:tcPr>
            <w:tcW w:w="2593" w:type="dxa"/>
            <w:shd w:val="clear" w:color="auto" w:fill="auto"/>
            <w:vAlign w:val="center"/>
          </w:tcPr>
          <w:p w14:paraId="3C3254FC"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陳召集委員玉珍</w:t>
            </w:r>
          </w:p>
        </w:tc>
        <w:tc>
          <w:tcPr>
            <w:tcW w:w="4211" w:type="dxa"/>
            <w:shd w:val="clear" w:color="auto" w:fill="auto"/>
          </w:tcPr>
          <w:p w14:paraId="71F3280E"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b/>
                <w:kern w:val="0"/>
                <w:sz w:val="28"/>
                <w:szCs w:val="28"/>
              </w:rPr>
            </w:pPr>
            <w:r w:rsidRPr="00FA3B10">
              <w:rPr>
                <w:rFonts w:ascii="標楷體" w:eastAsia="標楷體" w:hAnsi="標楷體" w:hint="eastAsia"/>
                <w:b/>
                <w:kern w:val="0"/>
                <w:sz w:val="28"/>
                <w:szCs w:val="28"/>
              </w:rPr>
              <w:t>營業基金：</w:t>
            </w:r>
          </w:p>
          <w:p w14:paraId="18548498"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臺灣菸酒公司。中央存款保險公司。</w:t>
            </w:r>
          </w:p>
        </w:tc>
        <w:tc>
          <w:tcPr>
            <w:tcW w:w="1843" w:type="dxa"/>
            <w:shd w:val="clear" w:color="auto" w:fill="auto"/>
          </w:tcPr>
          <w:p w14:paraId="7D6F7715"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49E56B12" w14:textId="77777777" w:rsidTr="00455C3C">
        <w:trPr>
          <w:trHeight w:hRule="exact" w:val="998"/>
        </w:trPr>
        <w:tc>
          <w:tcPr>
            <w:tcW w:w="851" w:type="dxa"/>
            <w:shd w:val="clear" w:color="auto" w:fill="auto"/>
            <w:vAlign w:val="center"/>
          </w:tcPr>
          <w:p w14:paraId="66A83489"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5</w:t>
            </w:r>
          </w:p>
        </w:tc>
        <w:tc>
          <w:tcPr>
            <w:tcW w:w="2593" w:type="dxa"/>
            <w:shd w:val="clear" w:color="auto" w:fill="auto"/>
            <w:vAlign w:val="center"/>
          </w:tcPr>
          <w:p w14:paraId="5DF44B87"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賴召集委員惠員</w:t>
            </w:r>
          </w:p>
        </w:tc>
        <w:tc>
          <w:tcPr>
            <w:tcW w:w="4211" w:type="dxa"/>
            <w:shd w:val="clear" w:color="auto" w:fill="auto"/>
          </w:tcPr>
          <w:p w14:paraId="00025922"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b/>
                <w:kern w:val="0"/>
                <w:sz w:val="28"/>
                <w:szCs w:val="28"/>
              </w:rPr>
            </w:pPr>
            <w:r w:rsidRPr="00FA3B10">
              <w:rPr>
                <w:rFonts w:ascii="標楷體" w:eastAsia="標楷體" w:hAnsi="標楷體" w:hint="eastAsia"/>
                <w:b/>
                <w:kern w:val="0"/>
                <w:sz w:val="28"/>
                <w:szCs w:val="28"/>
              </w:rPr>
              <w:t>債務基金：</w:t>
            </w:r>
          </w:p>
          <w:p w14:paraId="75220DB8"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中央政府債務基金。</w:t>
            </w:r>
          </w:p>
        </w:tc>
        <w:tc>
          <w:tcPr>
            <w:tcW w:w="1843" w:type="dxa"/>
            <w:shd w:val="clear" w:color="auto" w:fill="auto"/>
          </w:tcPr>
          <w:p w14:paraId="367537AB"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r w:rsidR="00FA3B10" w:rsidRPr="00FA3B10" w14:paraId="626CD497" w14:textId="77777777" w:rsidTr="00455C3C">
        <w:trPr>
          <w:trHeight w:hRule="exact" w:val="1846"/>
        </w:trPr>
        <w:tc>
          <w:tcPr>
            <w:tcW w:w="851" w:type="dxa"/>
            <w:shd w:val="clear" w:color="auto" w:fill="auto"/>
            <w:vAlign w:val="center"/>
          </w:tcPr>
          <w:p w14:paraId="0149641D"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6</w:t>
            </w:r>
          </w:p>
        </w:tc>
        <w:tc>
          <w:tcPr>
            <w:tcW w:w="2593" w:type="dxa"/>
            <w:shd w:val="clear" w:color="auto" w:fill="auto"/>
            <w:vAlign w:val="center"/>
          </w:tcPr>
          <w:p w14:paraId="77926674" w14:textId="77777777" w:rsidR="00FA3B10" w:rsidRPr="00FA3B10" w:rsidRDefault="00FA3B10" w:rsidP="00F470A8">
            <w:pPr>
              <w:widowControl w:val="0"/>
              <w:overflowPunct w:val="0"/>
              <w:autoSpaceDN/>
              <w:spacing w:line="440" w:lineRule="exact"/>
              <w:jc w:val="center"/>
              <w:textAlignment w:val="auto"/>
              <w:rPr>
                <w:rFonts w:ascii="標楷體" w:eastAsia="標楷體" w:hAnsi="標楷體"/>
                <w:kern w:val="0"/>
                <w:sz w:val="28"/>
                <w:szCs w:val="28"/>
              </w:rPr>
            </w:pPr>
            <w:r w:rsidRPr="00FA3B10">
              <w:rPr>
                <w:rFonts w:ascii="標楷體" w:eastAsia="標楷體" w:hAnsi="標楷體" w:hint="eastAsia"/>
                <w:kern w:val="0"/>
                <w:sz w:val="28"/>
                <w:szCs w:val="28"/>
              </w:rPr>
              <w:t>陳召集委員玉珍</w:t>
            </w:r>
          </w:p>
        </w:tc>
        <w:tc>
          <w:tcPr>
            <w:tcW w:w="4211" w:type="dxa"/>
            <w:shd w:val="clear" w:color="auto" w:fill="auto"/>
          </w:tcPr>
          <w:p w14:paraId="467159A4"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b/>
                <w:kern w:val="0"/>
                <w:sz w:val="28"/>
                <w:szCs w:val="28"/>
              </w:rPr>
            </w:pPr>
            <w:r w:rsidRPr="00FA3B10">
              <w:rPr>
                <w:rFonts w:ascii="標楷體" w:eastAsia="標楷體" w:hAnsi="標楷體" w:hint="eastAsia"/>
                <w:b/>
                <w:kern w:val="0"/>
                <w:sz w:val="28"/>
                <w:szCs w:val="28"/>
              </w:rPr>
              <w:t>特別收入基金：</w:t>
            </w:r>
          </w:p>
          <w:p w14:paraId="0588C45F"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金融監督管理基金。</w:t>
            </w:r>
          </w:p>
          <w:p w14:paraId="6AE2112E"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b/>
                <w:kern w:val="0"/>
                <w:sz w:val="28"/>
                <w:szCs w:val="28"/>
              </w:rPr>
            </w:pPr>
            <w:r w:rsidRPr="00FA3B10">
              <w:rPr>
                <w:rFonts w:ascii="標楷體" w:eastAsia="標楷體" w:hAnsi="標楷體" w:hint="eastAsia"/>
                <w:b/>
                <w:kern w:val="0"/>
                <w:sz w:val="28"/>
                <w:szCs w:val="28"/>
              </w:rPr>
              <w:t>信託基金：</w:t>
            </w:r>
          </w:p>
          <w:p w14:paraId="7DB9F30A"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r w:rsidRPr="00FA3B10">
              <w:rPr>
                <w:rFonts w:ascii="標楷體" w:eastAsia="標楷體" w:hAnsi="標楷體" w:hint="eastAsia"/>
                <w:kern w:val="0"/>
                <w:sz w:val="28"/>
                <w:szCs w:val="28"/>
              </w:rPr>
              <w:t>保險業務發展基金。</w:t>
            </w:r>
          </w:p>
        </w:tc>
        <w:tc>
          <w:tcPr>
            <w:tcW w:w="1843" w:type="dxa"/>
            <w:shd w:val="clear" w:color="auto" w:fill="auto"/>
          </w:tcPr>
          <w:p w14:paraId="61ADC509" w14:textId="77777777" w:rsidR="00FA3B10" w:rsidRPr="00FA3B10" w:rsidRDefault="00FA3B10" w:rsidP="00F470A8">
            <w:pPr>
              <w:widowControl w:val="0"/>
              <w:overflowPunct w:val="0"/>
              <w:autoSpaceDN/>
              <w:spacing w:line="440" w:lineRule="exact"/>
              <w:jc w:val="both"/>
              <w:textAlignment w:val="auto"/>
              <w:rPr>
                <w:rFonts w:ascii="標楷體" w:eastAsia="標楷體" w:hAnsi="標楷體"/>
                <w:kern w:val="0"/>
                <w:sz w:val="28"/>
                <w:szCs w:val="28"/>
              </w:rPr>
            </w:pPr>
          </w:p>
        </w:tc>
      </w:tr>
    </w:tbl>
    <w:p w14:paraId="04249B65" w14:textId="77777777" w:rsidR="00FA3B10" w:rsidRPr="00FA3B10" w:rsidRDefault="00FA3B10" w:rsidP="002024F5">
      <w:pPr>
        <w:widowControl w:val="0"/>
        <w:overflowPunct w:val="0"/>
        <w:autoSpaceDN/>
        <w:spacing w:line="360" w:lineRule="exact"/>
        <w:ind w:leftChars="139" w:left="1054" w:rightChars="186" w:right="446" w:hangingChars="300" w:hanging="720"/>
        <w:jc w:val="both"/>
        <w:textAlignment w:val="auto"/>
        <w:rPr>
          <w:rFonts w:ascii="標楷體" w:eastAsia="標楷體" w:hAnsi="標楷體"/>
          <w:kern w:val="2"/>
          <w:szCs w:val="24"/>
        </w:rPr>
      </w:pPr>
      <w:r w:rsidRPr="00FA3B10">
        <w:rPr>
          <w:rFonts w:ascii="標楷體" w:eastAsia="標楷體" w:hAnsi="標楷體" w:hint="eastAsia"/>
          <w:kern w:val="2"/>
          <w:szCs w:val="24"/>
        </w:rPr>
        <w:t>說明：俟院會交付中華民國11</w:t>
      </w:r>
      <w:r w:rsidRPr="00FA3B10">
        <w:rPr>
          <w:rFonts w:ascii="標楷體" w:eastAsia="標楷體" w:hAnsi="標楷體"/>
          <w:kern w:val="2"/>
          <w:szCs w:val="24"/>
        </w:rPr>
        <w:t>4</w:t>
      </w:r>
      <w:r w:rsidRPr="00FA3B10">
        <w:rPr>
          <w:rFonts w:ascii="標楷體" w:eastAsia="標楷體" w:hAnsi="標楷體" w:hint="eastAsia"/>
          <w:kern w:val="2"/>
          <w:szCs w:val="24"/>
        </w:rPr>
        <w:t>年度中央政府總預算案審查日程後，請召集委員於該日程排定之審查期間，安排審查會議完成營業及非營業預算案之審查。</w:t>
      </w:r>
    </w:p>
    <w:p w14:paraId="0B6A32CF" w14:textId="77777777" w:rsidR="00347FA7" w:rsidRPr="00347FA7" w:rsidRDefault="00FA3B10" w:rsidP="00F470A8">
      <w:pPr>
        <w:overflowPunct w:val="0"/>
        <w:spacing w:line="520" w:lineRule="exact"/>
        <w:jc w:val="both"/>
        <w:rPr>
          <w:rFonts w:ascii="標楷體" w:eastAsia="標楷體" w:hAnsi="標楷體"/>
          <w:kern w:val="2"/>
          <w:sz w:val="32"/>
          <w:szCs w:val="32"/>
        </w:rPr>
      </w:pPr>
      <w:r w:rsidRPr="00FA3B10">
        <w:rPr>
          <w:rFonts w:ascii="標楷體" w:eastAsia="標楷體" w:hAnsi="標楷體"/>
          <w:kern w:val="2"/>
          <w:szCs w:val="24"/>
        </w:rPr>
        <w:br w:type="page"/>
      </w:r>
      <w:r w:rsidR="00347FA7" w:rsidRPr="00347FA7">
        <w:rPr>
          <w:rFonts w:ascii="標楷體" w:eastAsia="標楷體" w:hAnsi="標楷體" w:hint="eastAsia"/>
          <w:b/>
          <w:kern w:val="2"/>
          <w:szCs w:val="24"/>
        </w:rPr>
        <w:lastRenderedPageBreak/>
        <w:t>附件</w:t>
      </w:r>
      <w:r w:rsidR="00347FA7" w:rsidRPr="00347FA7">
        <w:rPr>
          <w:rFonts w:ascii="標楷體" w:eastAsia="標楷體" w:hAnsi="標楷體"/>
          <w:b/>
          <w:kern w:val="2"/>
          <w:szCs w:val="24"/>
        </w:rPr>
        <w:t>6</w:t>
      </w:r>
    </w:p>
    <w:p w14:paraId="042BDCC2" w14:textId="77777777" w:rsidR="00347FA7" w:rsidRPr="001F6F8D" w:rsidRDefault="00347FA7" w:rsidP="00F470A8">
      <w:pPr>
        <w:overflowPunct w:val="0"/>
        <w:rPr>
          <w:rFonts w:ascii="標楷體" w:eastAsia="標楷體" w:hAnsi="標楷體"/>
          <w:b/>
          <w:kern w:val="0"/>
          <w:sz w:val="32"/>
          <w:szCs w:val="32"/>
        </w:rPr>
      </w:pPr>
      <w:r w:rsidRPr="00347FA7">
        <w:rPr>
          <w:rFonts w:ascii="標楷體" w:eastAsia="標楷體" w:hAnsi="標楷體" w:hint="eastAsia"/>
          <w:b/>
          <w:kern w:val="0"/>
          <w:sz w:val="32"/>
          <w:szCs w:val="32"/>
        </w:rPr>
        <w:t>113年度中央政府總預算追加預算案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3"/>
        <w:gridCol w:w="4211"/>
        <w:gridCol w:w="2552"/>
      </w:tblGrid>
      <w:tr w:rsidR="00347FA7" w:rsidRPr="00347FA7" w14:paraId="08D982DD" w14:textId="77777777" w:rsidTr="00347FA7">
        <w:trPr>
          <w:trHeight w:val="868"/>
        </w:trPr>
        <w:tc>
          <w:tcPr>
            <w:tcW w:w="2593" w:type="dxa"/>
            <w:shd w:val="clear" w:color="auto" w:fill="auto"/>
            <w:vAlign w:val="center"/>
          </w:tcPr>
          <w:p w14:paraId="21C0C2BD"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會議主席</w:t>
            </w:r>
          </w:p>
        </w:tc>
        <w:tc>
          <w:tcPr>
            <w:tcW w:w="4211" w:type="dxa"/>
            <w:shd w:val="clear" w:color="auto" w:fill="auto"/>
            <w:vAlign w:val="center"/>
          </w:tcPr>
          <w:p w14:paraId="7AFB9257"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spacing w:val="20"/>
                <w:kern w:val="0"/>
                <w:sz w:val="28"/>
                <w:szCs w:val="28"/>
                <w:fitText w:val="2380" w:id="-777812736"/>
              </w:rPr>
              <w:t>特別預算審核報</w:t>
            </w:r>
            <w:r w:rsidRPr="00347FA7">
              <w:rPr>
                <w:rFonts w:ascii="標楷體" w:eastAsia="標楷體" w:hAnsi="標楷體" w:hint="eastAsia"/>
                <w:kern w:val="0"/>
                <w:sz w:val="28"/>
                <w:szCs w:val="28"/>
                <w:fitText w:val="2380" w:id="-777812736"/>
              </w:rPr>
              <w:t>告</w:t>
            </w:r>
          </w:p>
        </w:tc>
        <w:tc>
          <w:tcPr>
            <w:tcW w:w="2552" w:type="dxa"/>
            <w:shd w:val="clear" w:color="auto" w:fill="auto"/>
            <w:vAlign w:val="center"/>
          </w:tcPr>
          <w:p w14:paraId="202A10F6"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聯席委員會</w:t>
            </w:r>
          </w:p>
        </w:tc>
      </w:tr>
      <w:tr w:rsidR="00347FA7" w:rsidRPr="00347FA7" w14:paraId="5EC1C376" w14:textId="77777777" w:rsidTr="00347FA7">
        <w:trPr>
          <w:trHeight w:val="1847"/>
        </w:trPr>
        <w:tc>
          <w:tcPr>
            <w:tcW w:w="2593" w:type="dxa"/>
            <w:shd w:val="clear" w:color="auto" w:fill="auto"/>
            <w:vAlign w:val="center"/>
          </w:tcPr>
          <w:p w14:paraId="1B7E156E"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賴召集委員惠員</w:t>
            </w:r>
          </w:p>
        </w:tc>
        <w:tc>
          <w:tcPr>
            <w:tcW w:w="4211" w:type="dxa"/>
            <w:shd w:val="clear" w:color="auto" w:fill="auto"/>
            <w:vAlign w:val="center"/>
          </w:tcPr>
          <w:p w14:paraId="4F08D8D4"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113年度中央政府總預算</w:t>
            </w:r>
          </w:p>
          <w:p w14:paraId="21731BE1"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追加預算案</w:t>
            </w:r>
          </w:p>
        </w:tc>
        <w:tc>
          <w:tcPr>
            <w:tcW w:w="2552" w:type="dxa"/>
            <w:shd w:val="clear" w:color="auto" w:fill="auto"/>
            <w:vAlign w:val="center"/>
          </w:tcPr>
          <w:p w14:paraId="58013891" w14:textId="77777777" w:rsidR="00347FA7" w:rsidRPr="00347FA7" w:rsidRDefault="00347FA7" w:rsidP="00F470A8">
            <w:pPr>
              <w:widowControl w:val="0"/>
              <w:overflowPunct w:val="0"/>
              <w:autoSpaceDN/>
              <w:spacing w:line="440" w:lineRule="exact"/>
              <w:jc w:val="center"/>
              <w:textAlignment w:val="auto"/>
              <w:rPr>
                <w:rFonts w:ascii="新細明體" w:hAnsi="新細明體"/>
                <w:kern w:val="0"/>
                <w:sz w:val="28"/>
                <w:szCs w:val="28"/>
              </w:rPr>
            </w:pPr>
            <w:r w:rsidRPr="00347FA7">
              <w:rPr>
                <w:rFonts w:ascii="標楷體" w:eastAsia="標楷體" w:hAnsi="標楷體" w:hint="eastAsia"/>
                <w:kern w:val="0"/>
                <w:sz w:val="28"/>
                <w:szCs w:val="28"/>
              </w:rPr>
              <w:t>財政委員會</w:t>
            </w:r>
            <w:r w:rsidRPr="00347FA7">
              <w:rPr>
                <w:rFonts w:ascii="新細明體" w:hAnsi="新細明體" w:hint="eastAsia"/>
                <w:kern w:val="0"/>
                <w:sz w:val="28"/>
                <w:szCs w:val="28"/>
              </w:rPr>
              <w:t>、</w:t>
            </w:r>
          </w:p>
          <w:p w14:paraId="41E3E47F"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經濟委員會聯席</w:t>
            </w:r>
          </w:p>
        </w:tc>
      </w:tr>
    </w:tbl>
    <w:p w14:paraId="4A747237" w14:textId="77777777" w:rsidR="00347FA7" w:rsidRPr="00347FA7" w:rsidRDefault="00347FA7" w:rsidP="00F470A8">
      <w:pPr>
        <w:widowControl w:val="0"/>
        <w:overflowPunct w:val="0"/>
        <w:autoSpaceDN/>
        <w:spacing w:line="520" w:lineRule="exact"/>
        <w:jc w:val="both"/>
        <w:textAlignment w:val="auto"/>
        <w:rPr>
          <w:rFonts w:ascii="標楷體" w:eastAsia="標楷體" w:hAnsi="標楷體"/>
          <w:kern w:val="2"/>
          <w:sz w:val="32"/>
          <w:szCs w:val="32"/>
        </w:rPr>
      </w:pPr>
      <w:r w:rsidRPr="00347FA7">
        <w:rPr>
          <w:rFonts w:ascii="標楷體" w:eastAsia="標楷體" w:hAnsi="標楷體"/>
          <w:kern w:val="2"/>
          <w:szCs w:val="24"/>
        </w:rPr>
        <w:br w:type="page"/>
      </w:r>
      <w:r w:rsidRPr="00347FA7">
        <w:rPr>
          <w:rFonts w:ascii="標楷體" w:eastAsia="標楷體" w:hAnsi="標楷體" w:hint="eastAsia"/>
          <w:b/>
          <w:kern w:val="2"/>
          <w:szCs w:val="24"/>
        </w:rPr>
        <w:lastRenderedPageBreak/>
        <w:t>附件7</w:t>
      </w:r>
    </w:p>
    <w:p w14:paraId="704E747B" w14:textId="77777777" w:rsidR="00347FA7" w:rsidRPr="001F6F8D" w:rsidRDefault="00347FA7" w:rsidP="00F470A8">
      <w:pPr>
        <w:overflowPunct w:val="0"/>
        <w:rPr>
          <w:rFonts w:ascii="標楷體" w:eastAsia="標楷體" w:hAnsi="標楷體"/>
          <w:b/>
          <w:kern w:val="0"/>
          <w:sz w:val="32"/>
          <w:szCs w:val="32"/>
        </w:rPr>
      </w:pPr>
      <w:r w:rsidRPr="00347FA7">
        <w:rPr>
          <w:rFonts w:ascii="標楷體" w:eastAsia="標楷體" w:hAnsi="標楷體" w:hint="eastAsia"/>
          <w:b/>
          <w:kern w:val="0"/>
          <w:sz w:val="32"/>
          <w:szCs w:val="32"/>
        </w:rPr>
        <w:t>中央政府前瞻基礎建設計畫第5期特別預算案(中華民國114年度)</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3"/>
        <w:gridCol w:w="4353"/>
        <w:gridCol w:w="2552"/>
      </w:tblGrid>
      <w:tr w:rsidR="00347FA7" w:rsidRPr="00347FA7" w14:paraId="1E120977" w14:textId="77777777" w:rsidTr="00347FA7">
        <w:trPr>
          <w:trHeight w:val="868"/>
        </w:trPr>
        <w:tc>
          <w:tcPr>
            <w:tcW w:w="2593" w:type="dxa"/>
            <w:shd w:val="clear" w:color="auto" w:fill="auto"/>
            <w:vAlign w:val="center"/>
          </w:tcPr>
          <w:p w14:paraId="0CD77DFC"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會議主席</w:t>
            </w:r>
          </w:p>
        </w:tc>
        <w:tc>
          <w:tcPr>
            <w:tcW w:w="4353" w:type="dxa"/>
            <w:shd w:val="clear" w:color="auto" w:fill="auto"/>
            <w:vAlign w:val="center"/>
          </w:tcPr>
          <w:p w14:paraId="4208E438"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spacing w:val="20"/>
                <w:kern w:val="0"/>
                <w:sz w:val="28"/>
                <w:szCs w:val="28"/>
                <w:fitText w:val="2380" w:id="-777812735"/>
              </w:rPr>
              <w:t>特別預算審核報</w:t>
            </w:r>
            <w:r w:rsidRPr="00347FA7">
              <w:rPr>
                <w:rFonts w:ascii="標楷體" w:eastAsia="標楷體" w:hAnsi="標楷體" w:hint="eastAsia"/>
                <w:kern w:val="0"/>
                <w:sz w:val="28"/>
                <w:szCs w:val="28"/>
                <w:fitText w:val="2380" w:id="-777812735"/>
              </w:rPr>
              <w:t>告</w:t>
            </w:r>
          </w:p>
        </w:tc>
        <w:tc>
          <w:tcPr>
            <w:tcW w:w="2552" w:type="dxa"/>
            <w:shd w:val="clear" w:color="auto" w:fill="auto"/>
            <w:vAlign w:val="center"/>
          </w:tcPr>
          <w:p w14:paraId="6A28109B"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聯席委員會</w:t>
            </w:r>
          </w:p>
        </w:tc>
      </w:tr>
      <w:tr w:rsidR="00347FA7" w:rsidRPr="00347FA7" w14:paraId="663A3B97" w14:textId="77777777" w:rsidTr="00347FA7">
        <w:trPr>
          <w:trHeight w:val="1847"/>
        </w:trPr>
        <w:tc>
          <w:tcPr>
            <w:tcW w:w="2593" w:type="dxa"/>
            <w:shd w:val="clear" w:color="auto" w:fill="auto"/>
            <w:vAlign w:val="center"/>
          </w:tcPr>
          <w:p w14:paraId="3501D713"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陳召集委員玉珍</w:t>
            </w:r>
          </w:p>
        </w:tc>
        <w:tc>
          <w:tcPr>
            <w:tcW w:w="4353" w:type="dxa"/>
            <w:shd w:val="clear" w:color="auto" w:fill="auto"/>
            <w:vAlign w:val="center"/>
          </w:tcPr>
          <w:p w14:paraId="22A4BA43"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中央政府前瞻基礎建設計畫第5期特別預算案(中華民國114年度)</w:t>
            </w:r>
          </w:p>
        </w:tc>
        <w:tc>
          <w:tcPr>
            <w:tcW w:w="2552" w:type="dxa"/>
            <w:shd w:val="clear" w:color="auto" w:fill="auto"/>
            <w:vAlign w:val="center"/>
          </w:tcPr>
          <w:p w14:paraId="248A6552"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財政委員會與</w:t>
            </w:r>
          </w:p>
          <w:p w14:paraId="6C5DD17B"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相關委員會聯席</w:t>
            </w:r>
          </w:p>
        </w:tc>
      </w:tr>
    </w:tbl>
    <w:p w14:paraId="630CFCE0" w14:textId="77777777" w:rsidR="00347FA7" w:rsidRPr="00347FA7" w:rsidRDefault="00347FA7" w:rsidP="00F470A8">
      <w:pPr>
        <w:widowControl w:val="0"/>
        <w:overflowPunct w:val="0"/>
        <w:autoSpaceDN/>
        <w:spacing w:line="360" w:lineRule="exact"/>
        <w:ind w:leftChars="139" w:left="992" w:rightChars="186" w:right="446" w:hangingChars="274" w:hanging="658"/>
        <w:jc w:val="both"/>
        <w:textAlignment w:val="auto"/>
        <w:rPr>
          <w:rFonts w:ascii="標楷體" w:eastAsia="標楷體" w:hAnsi="標楷體"/>
          <w:kern w:val="2"/>
          <w:szCs w:val="24"/>
        </w:rPr>
      </w:pPr>
    </w:p>
    <w:p w14:paraId="044E023C" w14:textId="77777777" w:rsidR="00347FA7" w:rsidRPr="00FD5BC2" w:rsidRDefault="00347FA7" w:rsidP="00F470A8">
      <w:pPr>
        <w:widowControl w:val="0"/>
        <w:overflowPunct w:val="0"/>
        <w:autoSpaceDN/>
        <w:spacing w:line="520" w:lineRule="exact"/>
        <w:jc w:val="both"/>
        <w:textAlignment w:val="auto"/>
        <w:rPr>
          <w:rFonts w:ascii="標楷體" w:eastAsia="標楷體" w:hAnsi="標楷體"/>
          <w:kern w:val="2"/>
          <w:sz w:val="32"/>
          <w:szCs w:val="32"/>
        </w:rPr>
      </w:pPr>
      <w:r w:rsidRPr="00347FA7">
        <w:rPr>
          <w:rFonts w:ascii="新細明體" w:hAnsi="新細明體"/>
          <w:kern w:val="2"/>
          <w:szCs w:val="24"/>
        </w:rPr>
        <w:br w:type="page"/>
      </w:r>
      <w:r w:rsidRPr="00FD5BC2">
        <w:rPr>
          <w:rFonts w:ascii="標楷體" w:eastAsia="標楷體" w:hAnsi="標楷體" w:hint="eastAsia"/>
          <w:b/>
          <w:kern w:val="2"/>
          <w:szCs w:val="24"/>
        </w:rPr>
        <w:lastRenderedPageBreak/>
        <w:t>附件</w:t>
      </w:r>
      <w:r w:rsidRPr="00FD5BC2">
        <w:rPr>
          <w:rFonts w:ascii="標楷體" w:eastAsia="標楷體" w:hAnsi="標楷體"/>
          <w:b/>
          <w:kern w:val="2"/>
          <w:szCs w:val="24"/>
        </w:rPr>
        <w:t>8</w:t>
      </w:r>
    </w:p>
    <w:p w14:paraId="3FB857A4" w14:textId="77777777" w:rsidR="00347FA7" w:rsidRPr="00FD5BC2" w:rsidRDefault="00347FA7" w:rsidP="00F470A8">
      <w:pPr>
        <w:overflowPunct w:val="0"/>
        <w:rPr>
          <w:rFonts w:ascii="標楷體" w:eastAsia="標楷體" w:hAnsi="標楷體"/>
          <w:b/>
          <w:kern w:val="0"/>
          <w:sz w:val="28"/>
          <w:szCs w:val="28"/>
        </w:rPr>
      </w:pPr>
      <w:r w:rsidRPr="00FD5BC2">
        <w:rPr>
          <w:rFonts w:ascii="標楷體" w:eastAsia="標楷體" w:hAnsi="標楷體"/>
          <w:b/>
          <w:kern w:val="0"/>
          <w:sz w:val="28"/>
          <w:szCs w:val="28"/>
        </w:rPr>
        <w:t>112</w:t>
      </w:r>
      <w:r w:rsidRPr="00FD5BC2">
        <w:rPr>
          <w:rFonts w:ascii="標楷體" w:eastAsia="標楷體" w:hAnsi="標楷體" w:hint="eastAsia"/>
          <w:b/>
          <w:kern w:val="0"/>
          <w:sz w:val="28"/>
          <w:szCs w:val="28"/>
        </w:rPr>
        <w:t>年度中央政府總決算審核報告(含附屬單位決算及綜計表)</w:t>
      </w:r>
      <w:r w:rsidRPr="00FD5BC2">
        <w:rPr>
          <w:rFonts w:ascii="標楷體" w:eastAsia="標楷體" w:hAnsi="標楷體" w:hint="eastAsia"/>
          <w:b/>
          <w:kern w:val="0"/>
          <w:sz w:val="28"/>
          <w:szCs w:val="32"/>
        </w:rPr>
        <w:t xml:space="preserve"> </w:t>
      </w:r>
      <w:r w:rsidRPr="00FD5BC2">
        <w:rPr>
          <w:rFonts w:ascii="標楷體" w:eastAsia="標楷體" w:hAnsi="標楷體" w:hint="eastAsia"/>
          <w:b/>
          <w:kern w:val="0"/>
          <w:sz w:val="28"/>
          <w:szCs w:val="28"/>
        </w:rPr>
        <w:t>審查分組表</w:t>
      </w:r>
    </w:p>
    <w:tbl>
      <w:tblPr>
        <w:tblW w:w="99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887"/>
        <w:gridCol w:w="3366"/>
        <w:gridCol w:w="2159"/>
        <w:gridCol w:w="1526"/>
        <w:gridCol w:w="1286"/>
      </w:tblGrid>
      <w:tr w:rsidR="00347FA7" w:rsidRPr="00FD5BC2" w14:paraId="7267042F" w14:textId="77777777" w:rsidTr="00347FA7">
        <w:tc>
          <w:tcPr>
            <w:tcW w:w="709" w:type="dxa"/>
            <w:vMerge w:val="restart"/>
            <w:shd w:val="clear" w:color="auto" w:fill="auto"/>
            <w:vAlign w:val="center"/>
          </w:tcPr>
          <w:p w14:paraId="1E070FF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組別</w:t>
            </w:r>
          </w:p>
        </w:tc>
        <w:tc>
          <w:tcPr>
            <w:tcW w:w="887" w:type="dxa"/>
            <w:vMerge w:val="restart"/>
            <w:shd w:val="clear" w:color="auto" w:fill="auto"/>
            <w:vAlign w:val="center"/>
          </w:tcPr>
          <w:p w14:paraId="0FFD157C"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會議主席</w:t>
            </w:r>
          </w:p>
        </w:tc>
        <w:tc>
          <w:tcPr>
            <w:tcW w:w="3366" w:type="dxa"/>
            <w:shd w:val="clear" w:color="auto" w:fill="auto"/>
          </w:tcPr>
          <w:p w14:paraId="7B2DEED7" w14:textId="77777777" w:rsidR="00347FA7" w:rsidRPr="00FD5BC2" w:rsidRDefault="00347FA7" w:rsidP="00F470A8">
            <w:pPr>
              <w:widowControl w:val="0"/>
              <w:overflowPunct w:val="0"/>
              <w:autoSpaceDN/>
              <w:spacing w:line="440" w:lineRule="exact"/>
              <w:ind w:rightChars="61" w:right="146"/>
              <w:jc w:val="distribute"/>
              <w:textAlignment w:val="auto"/>
              <w:rPr>
                <w:rFonts w:ascii="標楷體" w:eastAsia="標楷體" w:hAnsi="標楷體"/>
                <w:kern w:val="2"/>
                <w:szCs w:val="24"/>
              </w:rPr>
            </w:pPr>
            <w:r w:rsidRPr="00FD5BC2">
              <w:rPr>
                <w:rFonts w:ascii="標楷體" w:eastAsia="標楷體" w:hAnsi="標楷體" w:hint="eastAsia"/>
                <w:kern w:val="2"/>
                <w:szCs w:val="24"/>
              </w:rPr>
              <w:t>單位決算</w:t>
            </w:r>
          </w:p>
        </w:tc>
        <w:tc>
          <w:tcPr>
            <w:tcW w:w="3685" w:type="dxa"/>
            <w:gridSpan w:val="2"/>
            <w:shd w:val="clear" w:color="auto" w:fill="auto"/>
            <w:vAlign w:val="center"/>
          </w:tcPr>
          <w:p w14:paraId="2C30A22C"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附屬單位決算</w:t>
            </w:r>
          </w:p>
        </w:tc>
        <w:tc>
          <w:tcPr>
            <w:tcW w:w="1286" w:type="dxa"/>
            <w:vMerge w:val="restart"/>
            <w:shd w:val="clear" w:color="auto" w:fill="auto"/>
            <w:vAlign w:val="center"/>
          </w:tcPr>
          <w:p w14:paraId="60CA3365"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聯  席</w:t>
            </w:r>
          </w:p>
          <w:p w14:paraId="4822997C"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委員會</w:t>
            </w:r>
          </w:p>
        </w:tc>
      </w:tr>
      <w:tr w:rsidR="00347FA7" w:rsidRPr="00FD5BC2" w14:paraId="02A2DD1B" w14:textId="77777777" w:rsidTr="00347FA7">
        <w:tc>
          <w:tcPr>
            <w:tcW w:w="709" w:type="dxa"/>
            <w:vMerge/>
            <w:shd w:val="clear" w:color="auto" w:fill="auto"/>
          </w:tcPr>
          <w:p w14:paraId="75186C9E" w14:textId="77777777" w:rsidR="00347FA7" w:rsidRPr="00FD5BC2" w:rsidRDefault="00347FA7" w:rsidP="00F470A8">
            <w:pPr>
              <w:widowControl w:val="0"/>
              <w:overflowPunct w:val="0"/>
              <w:autoSpaceDN/>
              <w:spacing w:line="440" w:lineRule="exact"/>
              <w:ind w:rightChars="61" w:right="146"/>
              <w:jc w:val="both"/>
              <w:textAlignment w:val="auto"/>
              <w:rPr>
                <w:rFonts w:ascii="標楷體" w:eastAsia="標楷體" w:hAnsi="標楷體"/>
                <w:kern w:val="2"/>
                <w:szCs w:val="24"/>
              </w:rPr>
            </w:pPr>
          </w:p>
        </w:tc>
        <w:tc>
          <w:tcPr>
            <w:tcW w:w="887" w:type="dxa"/>
            <w:vMerge/>
            <w:shd w:val="clear" w:color="auto" w:fill="auto"/>
          </w:tcPr>
          <w:p w14:paraId="450BD8D1" w14:textId="77777777" w:rsidR="00347FA7" w:rsidRPr="00FD5BC2" w:rsidRDefault="00347FA7" w:rsidP="00F470A8">
            <w:pPr>
              <w:widowControl w:val="0"/>
              <w:overflowPunct w:val="0"/>
              <w:autoSpaceDN/>
              <w:spacing w:line="440" w:lineRule="exact"/>
              <w:ind w:rightChars="61" w:right="146"/>
              <w:jc w:val="both"/>
              <w:textAlignment w:val="auto"/>
              <w:rPr>
                <w:rFonts w:ascii="標楷體" w:eastAsia="標楷體" w:hAnsi="標楷體"/>
                <w:kern w:val="2"/>
                <w:szCs w:val="24"/>
              </w:rPr>
            </w:pPr>
          </w:p>
        </w:tc>
        <w:tc>
          <w:tcPr>
            <w:tcW w:w="3366" w:type="dxa"/>
            <w:shd w:val="clear" w:color="auto" w:fill="auto"/>
            <w:vAlign w:val="center"/>
          </w:tcPr>
          <w:p w14:paraId="7289A7A9" w14:textId="77777777" w:rsidR="00347FA7" w:rsidRPr="00FD5BC2" w:rsidRDefault="00347FA7" w:rsidP="00F470A8">
            <w:pPr>
              <w:widowControl w:val="0"/>
              <w:overflowPunct w:val="0"/>
              <w:autoSpaceDN/>
              <w:spacing w:line="440" w:lineRule="exact"/>
              <w:ind w:rightChars="61" w:right="146"/>
              <w:jc w:val="distribute"/>
              <w:textAlignment w:val="auto"/>
              <w:rPr>
                <w:rFonts w:ascii="標楷體" w:eastAsia="標楷體" w:hAnsi="標楷體"/>
                <w:kern w:val="2"/>
                <w:szCs w:val="24"/>
              </w:rPr>
            </w:pPr>
            <w:r w:rsidRPr="00FD5BC2">
              <w:rPr>
                <w:rFonts w:ascii="標楷體" w:eastAsia="標楷體" w:hAnsi="標楷體" w:hint="eastAsia"/>
                <w:kern w:val="2"/>
                <w:szCs w:val="24"/>
              </w:rPr>
              <w:t>機關單位</w:t>
            </w:r>
          </w:p>
        </w:tc>
        <w:tc>
          <w:tcPr>
            <w:tcW w:w="2159" w:type="dxa"/>
            <w:shd w:val="clear" w:color="auto" w:fill="auto"/>
            <w:vAlign w:val="center"/>
          </w:tcPr>
          <w:p w14:paraId="25F1E127" w14:textId="77777777" w:rsidR="00347FA7" w:rsidRPr="00FD5BC2" w:rsidRDefault="00347FA7" w:rsidP="00F470A8">
            <w:pPr>
              <w:widowControl w:val="0"/>
              <w:overflowPunct w:val="0"/>
              <w:autoSpaceDN/>
              <w:spacing w:line="440" w:lineRule="exact"/>
              <w:ind w:rightChars="61" w:right="146"/>
              <w:jc w:val="distribute"/>
              <w:textAlignment w:val="auto"/>
              <w:rPr>
                <w:rFonts w:ascii="標楷體" w:eastAsia="標楷體" w:hAnsi="標楷體"/>
                <w:kern w:val="2"/>
                <w:szCs w:val="24"/>
              </w:rPr>
            </w:pPr>
            <w:r w:rsidRPr="00FD5BC2">
              <w:rPr>
                <w:rFonts w:ascii="標楷體" w:eastAsia="標楷體" w:hAnsi="標楷體" w:hint="eastAsia"/>
                <w:kern w:val="2"/>
                <w:szCs w:val="24"/>
              </w:rPr>
              <w:t>非營業特種基金</w:t>
            </w:r>
          </w:p>
          <w:p w14:paraId="4B57583A" w14:textId="77777777" w:rsidR="00347FA7" w:rsidRPr="00FD5BC2" w:rsidRDefault="00347FA7" w:rsidP="00F470A8">
            <w:pPr>
              <w:widowControl w:val="0"/>
              <w:overflowPunct w:val="0"/>
              <w:autoSpaceDN/>
              <w:spacing w:line="440" w:lineRule="exact"/>
              <w:ind w:rightChars="61" w:right="146"/>
              <w:jc w:val="distribute"/>
              <w:textAlignment w:val="auto"/>
              <w:rPr>
                <w:rFonts w:ascii="標楷體" w:eastAsia="標楷體" w:hAnsi="標楷體"/>
                <w:kern w:val="2"/>
                <w:szCs w:val="24"/>
              </w:rPr>
            </w:pPr>
            <w:r w:rsidRPr="00FD5BC2">
              <w:rPr>
                <w:rFonts w:ascii="標楷體" w:eastAsia="標楷體" w:hAnsi="標楷體" w:hint="eastAsia"/>
                <w:kern w:val="2"/>
                <w:szCs w:val="24"/>
              </w:rPr>
              <w:t>單          位</w:t>
            </w:r>
          </w:p>
        </w:tc>
        <w:tc>
          <w:tcPr>
            <w:tcW w:w="1526" w:type="dxa"/>
            <w:shd w:val="clear" w:color="auto" w:fill="auto"/>
            <w:vAlign w:val="center"/>
          </w:tcPr>
          <w:p w14:paraId="70E098B6" w14:textId="77777777" w:rsidR="00347FA7" w:rsidRPr="00FD5BC2" w:rsidRDefault="00347FA7" w:rsidP="00F470A8">
            <w:pPr>
              <w:widowControl w:val="0"/>
              <w:overflowPunct w:val="0"/>
              <w:autoSpaceDN/>
              <w:spacing w:line="440" w:lineRule="exact"/>
              <w:ind w:rightChars="61" w:right="146"/>
              <w:jc w:val="distribute"/>
              <w:textAlignment w:val="auto"/>
              <w:rPr>
                <w:rFonts w:ascii="標楷體" w:eastAsia="標楷體" w:hAnsi="標楷體"/>
                <w:kern w:val="2"/>
                <w:szCs w:val="24"/>
              </w:rPr>
            </w:pPr>
            <w:r w:rsidRPr="00FD5BC2">
              <w:rPr>
                <w:rFonts w:ascii="標楷體" w:eastAsia="標楷體" w:hAnsi="標楷體" w:hint="eastAsia"/>
                <w:kern w:val="2"/>
                <w:szCs w:val="24"/>
              </w:rPr>
              <w:t>營業基金</w:t>
            </w:r>
          </w:p>
          <w:p w14:paraId="734F70AE" w14:textId="77777777" w:rsidR="00347FA7" w:rsidRPr="00FD5BC2" w:rsidRDefault="00347FA7" w:rsidP="00F470A8">
            <w:pPr>
              <w:widowControl w:val="0"/>
              <w:overflowPunct w:val="0"/>
              <w:autoSpaceDN/>
              <w:spacing w:line="440" w:lineRule="exact"/>
              <w:ind w:rightChars="61" w:right="146"/>
              <w:jc w:val="distribute"/>
              <w:textAlignment w:val="auto"/>
              <w:rPr>
                <w:rFonts w:ascii="標楷體" w:eastAsia="標楷體" w:hAnsi="標楷體"/>
                <w:kern w:val="2"/>
                <w:szCs w:val="24"/>
              </w:rPr>
            </w:pPr>
            <w:r w:rsidRPr="00FD5BC2">
              <w:rPr>
                <w:rFonts w:ascii="標楷體" w:eastAsia="標楷體" w:hAnsi="標楷體" w:hint="eastAsia"/>
                <w:kern w:val="2"/>
                <w:szCs w:val="24"/>
              </w:rPr>
              <w:t>單    位</w:t>
            </w:r>
          </w:p>
        </w:tc>
        <w:tc>
          <w:tcPr>
            <w:tcW w:w="1286" w:type="dxa"/>
            <w:vMerge/>
            <w:shd w:val="clear" w:color="auto" w:fill="auto"/>
            <w:vAlign w:val="center"/>
          </w:tcPr>
          <w:p w14:paraId="49A2B913"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p>
        </w:tc>
      </w:tr>
      <w:tr w:rsidR="00347FA7" w:rsidRPr="00FD5BC2" w14:paraId="129B0E3C" w14:textId="77777777" w:rsidTr="00347FA7">
        <w:trPr>
          <w:trHeight w:val="5203"/>
        </w:trPr>
        <w:tc>
          <w:tcPr>
            <w:tcW w:w="709" w:type="dxa"/>
            <w:shd w:val="clear" w:color="auto" w:fill="auto"/>
            <w:vAlign w:val="center"/>
          </w:tcPr>
          <w:p w14:paraId="3D09080F"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第</w:t>
            </w:r>
          </w:p>
          <w:p w14:paraId="1E870A9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1</w:t>
            </w:r>
          </w:p>
          <w:p w14:paraId="3DADCC8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4F8BF4B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陳</w:t>
            </w:r>
          </w:p>
          <w:p w14:paraId="4737E79F"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46BDA21E"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74012D3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6C2F97E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78E3505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玉</w:t>
            </w:r>
          </w:p>
          <w:p w14:paraId="438EB25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珍</w:t>
            </w:r>
          </w:p>
        </w:tc>
        <w:tc>
          <w:tcPr>
            <w:tcW w:w="3366" w:type="dxa"/>
            <w:shd w:val="clear" w:color="auto" w:fill="auto"/>
          </w:tcPr>
          <w:p w14:paraId="545D64A3"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行政院、原住民族委員會、原住民族文化發展中心、客家委員會及所屬、中央選舉委員會及所屬、大陸委員會、不當黨產處理委員會。</w:t>
            </w:r>
          </w:p>
          <w:p w14:paraId="1DEAACAA"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內政部、營建署及所屬(國土管理署及所屬</w:t>
            </w:r>
            <w:r w:rsidRPr="00FD5BC2">
              <w:rPr>
                <w:rFonts w:ascii="標楷體" w:eastAsia="標楷體" w:hAnsi="標楷體"/>
                <w:kern w:val="2"/>
                <w:szCs w:val="24"/>
              </w:rPr>
              <w:t>)</w:t>
            </w:r>
            <w:r w:rsidRPr="00FD5BC2">
              <w:rPr>
                <w:rFonts w:ascii="標楷體" w:eastAsia="標楷體" w:hAnsi="標楷體" w:hint="eastAsia"/>
                <w:kern w:val="2"/>
                <w:szCs w:val="24"/>
              </w:rPr>
              <w:t>、警政署及所屬、中央警察大學、消防署及所屬、役政署、移民署、建築研究所、空中勤務總隊。</w:t>
            </w:r>
          </w:p>
          <w:p w14:paraId="4EEEBB5E"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海洋委員會、海巡署及所屬、海洋保育署、國家海洋研究院。</w:t>
            </w:r>
          </w:p>
        </w:tc>
        <w:tc>
          <w:tcPr>
            <w:tcW w:w="2159" w:type="dxa"/>
            <w:shd w:val="clear" w:color="auto" w:fill="auto"/>
          </w:tcPr>
          <w:p w14:paraId="3796D52C"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作業基金：</w:t>
            </w:r>
          </w:p>
          <w:p w14:paraId="307CD286"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營建建設基金、實施平均地權基金。原住民族綜合發展基金。</w:t>
            </w:r>
          </w:p>
          <w:p w14:paraId="3FA53AD8"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特別收入基金：</w:t>
            </w:r>
          </w:p>
          <w:p w14:paraId="40CF33F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新住民發展基金、研發及產業訓儲替代役基金、警察消防海巡移民空勤人員及協勤民力安全基金、國土永續發展基金。</w:t>
            </w:r>
          </w:p>
        </w:tc>
        <w:tc>
          <w:tcPr>
            <w:tcW w:w="1526" w:type="dxa"/>
            <w:shd w:val="clear" w:color="auto" w:fill="auto"/>
          </w:tcPr>
          <w:p w14:paraId="6809F0E8" w14:textId="77777777" w:rsidR="00347FA7" w:rsidRPr="00FD5BC2" w:rsidRDefault="00347FA7" w:rsidP="00F470A8">
            <w:pPr>
              <w:widowControl w:val="0"/>
              <w:overflowPunct w:val="0"/>
              <w:autoSpaceDN/>
              <w:spacing w:line="440" w:lineRule="exact"/>
              <w:ind w:rightChars="61" w:right="146"/>
              <w:jc w:val="both"/>
              <w:textAlignment w:val="auto"/>
              <w:rPr>
                <w:rFonts w:ascii="標楷體" w:eastAsia="標楷體" w:hAnsi="標楷體"/>
                <w:kern w:val="2"/>
                <w:szCs w:val="24"/>
              </w:rPr>
            </w:pPr>
          </w:p>
        </w:tc>
        <w:tc>
          <w:tcPr>
            <w:tcW w:w="1286" w:type="dxa"/>
            <w:shd w:val="clear" w:color="auto" w:fill="auto"/>
            <w:vAlign w:val="center"/>
          </w:tcPr>
          <w:p w14:paraId="606BF47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內  政</w:t>
            </w:r>
          </w:p>
          <w:p w14:paraId="288F0AB8"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委員會</w:t>
            </w:r>
          </w:p>
        </w:tc>
      </w:tr>
      <w:tr w:rsidR="00347FA7" w:rsidRPr="00FD5BC2" w14:paraId="17265610" w14:textId="77777777" w:rsidTr="00347FA7">
        <w:trPr>
          <w:trHeight w:val="5960"/>
        </w:trPr>
        <w:tc>
          <w:tcPr>
            <w:tcW w:w="709" w:type="dxa"/>
            <w:shd w:val="clear" w:color="auto" w:fill="auto"/>
            <w:vAlign w:val="center"/>
          </w:tcPr>
          <w:p w14:paraId="617DE205"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第</w:t>
            </w:r>
          </w:p>
          <w:p w14:paraId="3554CBEF"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2</w:t>
            </w:r>
          </w:p>
          <w:p w14:paraId="11205BCE"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216EA85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賴</w:t>
            </w:r>
          </w:p>
          <w:p w14:paraId="2D3D7F94"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2B54266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5652553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2F9C45B2"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192A9D4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惠</w:t>
            </w:r>
          </w:p>
          <w:p w14:paraId="12E05795"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tc>
        <w:tc>
          <w:tcPr>
            <w:tcW w:w="3366" w:type="dxa"/>
            <w:shd w:val="clear" w:color="auto" w:fill="auto"/>
          </w:tcPr>
          <w:p w14:paraId="438C97B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外交部、領事事務局、外交及國際事務學院。</w:t>
            </w:r>
          </w:p>
          <w:p w14:paraId="03A618B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國防部、國防部所屬（含國家安全局）。</w:t>
            </w:r>
          </w:p>
          <w:p w14:paraId="160FAD6E"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僑務委員會。</w:t>
            </w:r>
          </w:p>
          <w:p w14:paraId="727D1339"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國軍退除役官兵輔導委員會。</w:t>
            </w:r>
          </w:p>
        </w:tc>
        <w:tc>
          <w:tcPr>
            <w:tcW w:w="2159" w:type="dxa"/>
            <w:shd w:val="clear" w:color="auto" w:fill="auto"/>
          </w:tcPr>
          <w:p w14:paraId="43576FB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作業基金：</w:t>
            </w:r>
          </w:p>
          <w:p w14:paraId="0C666D38"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國軍生產及服務作業基金、國軍老舊眷村改建基金。國軍退除役官兵安置基金、榮民醫療作業基金。</w:t>
            </w:r>
          </w:p>
          <w:p w14:paraId="5078C2BA"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資本計畫基金：</w:t>
            </w:r>
          </w:p>
          <w:p w14:paraId="43D33B0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國軍營舍及設施改建基金。</w:t>
            </w:r>
          </w:p>
        </w:tc>
        <w:tc>
          <w:tcPr>
            <w:tcW w:w="1526" w:type="dxa"/>
            <w:shd w:val="clear" w:color="auto" w:fill="auto"/>
          </w:tcPr>
          <w:p w14:paraId="198D47A1" w14:textId="77777777" w:rsidR="00347FA7" w:rsidRPr="00FD5BC2" w:rsidRDefault="00347FA7" w:rsidP="00F470A8">
            <w:pPr>
              <w:widowControl w:val="0"/>
              <w:overflowPunct w:val="0"/>
              <w:autoSpaceDN/>
              <w:spacing w:line="440" w:lineRule="exact"/>
              <w:ind w:rightChars="61" w:right="146"/>
              <w:jc w:val="both"/>
              <w:textAlignment w:val="auto"/>
              <w:rPr>
                <w:rFonts w:ascii="標楷體" w:eastAsia="標楷體" w:hAnsi="標楷體"/>
                <w:kern w:val="2"/>
                <w:szCs w:val="24"/>
              </w:rPr>
            </w:pPr>
          </w:p>
        </w:tc>
        <w:tc>
          <w:tcPr>
            <w:tcW w:w="1286" w:type="dxa"/>
            <w:shd w:val="clear" w:color="auto" w:fill="auto"/>
            <w:vAlign w:val="center"/>
          </w:tcPr>
          <w:p w14:paraId="5C01A029" w14:textId="77777777" w:rsidR="00347FA7" w:rsidRPr="00FD5BC2" w:rsidRDefault="00347FA7" w:rsidP="00F470A8">
            <w:pPr>
              <w:widowControl w:val="0"/>
              <w:overflowPunct w:val="0"/>
              <w:autoSpaceDN/>
              <w:spacing w:line="440" w:lineRule="exact"/>
              <w:ind w:rightChars="61" w:right="146"/>
              <w:jc w:val="both"/>
              <w:textAlignment w:val="auto"/>
              <w:rPr>
                <w:rFonts w:ascii="標楷體" w:eastAsia="標楷體" w:hAnsi="標楷體"/>
                <w:kern w:val="2"/>
                <w:szCs w:val="24"/>
              </w:rPr>
            </w:pPr>
            <w:r w:rsidRPr="00FD5BC2">
              <w:rPr>
                <w:rFonts w:ascii="標楷體" w:eastAsia="標楷體" w:hAnsi="標楷體" w:hint="eastAsia"/>
                <w:kern w:val="2"/>
                <w:szCs w:val="24"/>
              </w:rPr>
              <w:t>外交及國   防</w:t>
            </w:r>
          </w:p>
          <w:p w14:paraId="456A3955" w14:textId="77777777" w:rsidR="00347FA7" w:rsidRPr="00FD5BC2" w:rsidRDefault="00347FA7" w:rsidP="00F470A8">
            <w:pPr>
              <w:widowControl w:val="0"/>
              <w:overflowPunct w:val="0"/>
              <w:autoSpaceDN/>
              <w:spacing w:line="440" w:lineRule="exact"/>
              <w:ind w:rightChars="61" w:right="146"/>
              <w:jc w:val="both"/>
              <w:textAlignment w:val="auto"/>
              <w:rPr>
                <w:rFonts w:ascii="標楷體" w:eastAsia="標楷體" w:hAnsi="標楷體"/>
                <w:kern w:val="2"/>
                <w:szCs w:val="24"/>
              </w:rPr>
            </w:pPr>
            <w:r w:rsidRPr="00FD5BC2">
              <w:rPr>
                <w:rFonts w:ascii="標楷體" w:eastAsia="標楷體" w:hAnsi="標楷體" w:hint="eastAsia"/>
                <w:kern w:val="2"/>
                <w:szCs w:val="24"/>
              </w:rPr>
              <w:t>委員會(外交部、國防部及僑務委員會主管機密部分舉行秘密會議)</w:t>
            </w:r>
          </w:p>
        </w:tc>
      </w:tr>
      <w:tr w:rsidR="00347FA7" w:rsidRPr="00FD5BC2" w14:paraId="736FD46E" w14:textId="77777777" w:rsidTr="00347FA7">
        <w:trPr>
          <w:trHeight w:val="8067"/>
        </w:trPr>
        <w:tc>
          <w:tcPr>
            <w:tcW w:w="709" w:type="dxa"/>
            <w:shd w:val="clear" w:color="auto" w:fill="auto"/>
            <w:vAlign w:val="center"/>
          </w:tcPr>
          <w:p w14:paraId="34C051A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lastRenderedPageBreak/>
              <w:t>第</w:t>
            </w:r>
          </w:p>
          <w:p w14:paraId="5109ED4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3</w:t>
            </w:r>
          </w:p>
          <w:p w14:paraId="04DFB22E"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14C340D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陳</w:t>
            </w:r>
          </w:p>
          <w:p w14:paraId="219B3F70"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5BDD828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5BE562E3"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0A0F833F"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102AC72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玉</w:t>
            </w:r>
          </w:p>
          <w:p w14:paraId="5425FC2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珍</w:t>
            </w:r>
          </w:p>
        </w:tc>
        <w:tc>
          <w:tcPr>
            <w:tcW w:w="3366" w:type="dxa"/>
            <w:shd w:val="clear" w:color="auto" w:fill="auto"/>
          </w:tcPr>
          <w:p w14:paraId="504742BA"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國家發展委員會、檔案管理局。</w:t>
            </w:r>
          </w:p>
          <w:p w14:paraId="58D7BC40"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公平交易委員會。</w:t>
            </w:r>
          </w:p>
          <w:p w14:paraId="675DC58E"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經濟部、工業局(產業發展署)、國際貿易局及所屬(國際貿易署)、標準檢驗局及所屬、智慧財產局、水利署及所屬、中小企業處(中小及新創企業署)、加工出口區管理處及所屬(產業園區管理局及所屬</w:t>
            </w:r>
            <w:r w:rsidRPr="00FD5BC2">
              <w:rPr>
                <w:rFonts w:ascii="標楷體" w:eastAsia="標楷體" w:hAnsi="標楷體"/>
                <w:kern w:val="2"/>
                <w:szCs w:val="24"/>
              </w:rPr>
              <w:t>)</w:t>
            </w:r>
            <w:r w:rsidRPr="00FD5BC2">
              <w:rPr>
                <w:rFonts w:ascii="標楷體" w:eastAsia="標楷體" w:hAnsi="標楷體" w:hint="eastAsia"/>
                <w:kern w:val="2"/>
                <w:szCs w:val="24"/>
              </w:rPr>
              <w:t>、中央地質調查所(地質調查及礦業管理中心</w:t>
            </w:r>
            <w:r w:rsidRPr="00FD5BC2">
              <w:rPr>
                <w:rFonts w:ascii="標楷體" w:eastAsia="標楷體" w:hAnsi="標楷體"/>
                <w:kern w:val="2"/>
                <w:szCs w:val="24"/>
              </w:rPr>
              <w:t>)</w:t>
            </w:r>
            <w:r w:rsidRPr="00FD5BC2">
              <w:rPr>
                <w:rFonts w:ascii="標楷體" w:eastAsia="標楷體" w:hAnsi="標楷體" w:hint="eastAsia"/>
                <w:kern w:val="2"/>
                <w:szCs w:val="24"/>
              </w:rPr>
              <w:t>、能源局(能源署)。</w:t>
            </w:r>
          </w:p>
          <w:p w14:paraId="1370BE6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農業委員會(農業部)、林務局(林業及自然保育署及所屬)、水土保持局(農村發展及水土保持署及所屬)、農業試驗所(農業試驗所及所屬)、林業試驗所、水產試驗所、畜產試驗所(畜產試驗所及所屬)、家畜衛生試驗所(獸醫研究所</w:t>
            </w:r>
            <w:r w:rsidRPr="00FD5BC2">
              <w:rPr>
                <w:rFonts w:ascii="標楷體" w:eastAsia="標楷體" w:hAnsi="標楷體"/>
                <w:kern w:val="2"/>
                <w:szCs w:val="24"/>
              </w:rPr>
              <w:t>)</w:t>
            </w:r>
            <w:r w:rsidRPr="00FD5BC2">
              <w:rPr>
                <w:rFonts w:ascii="標楷體" w:eastAsia="標楷體" w:hAnsi="標楷體" w:hint="eastAsia"/>
                <w:kern w:val="2"/>
                <w:szCs w:val="24"/>
              </w:rPr>
              <w:t>、農業藥物毒物試驗所(農業藥物試驗所</w:t>
            </w:r>
            <w:r w:rsidRPr="00FD5BC2">
              <w:rPr>
                <w:rFonts w:ascii="標楷體" w:eastAsia="標楷體" w:hAnsi="標楷體"/>
                <w:kern w:val="2"/>
                <w:szCs w:val="24"/>
              </w:rPr>
              <w:t>)</w:t>
            </w:r>
            <w:r w:rsidRPr="00FD5BC2">
              <w:rPr>
                <w:rFonts w:ascii="標楷體" w:eastAsia="標楷體" w:hAnsi="標楷體" w:hint="eastAsia"/>
                <w:kern w:val="2"/>
                <w:szCs w:val="24"/>
              </w:rPr>
              <w:t>、特有生物研究保育中心(生物多樣性研究所</w:t>
            </w:r>
            <w:r w:rsidRPr="00FD5BC2">
              <w:rPr>
                <w:rFonts w:ascii="標楷體" w:eastAsia="標楷體" w:hAnsi="標楷體"/>
                <w:kern w:val="2"/>
                <w:szCs w:val="24"/>
              </w:rPr>
              <w:t>)</w:t>
            </w:r>
            <w:r w:rsidRPr="00FD5BC2">
              <w:rPr>
                <w:rFonts w:ascii="標楷體" w:eastAsia="標楷體" w:hAnsi="標楷體" w:hint="eastAsia"/>
                <w:kern w:val="2"/>
                <w:szCs w:val="24"/>
              </w:rPr>
              <w:t>、茶業改良場(茶及飲料作物改良場</w:t>
            </w:r>
            <w:r w:rsidRPr="00FD5BC2">
              <w:rPr>
                <w:rFonts w:ascii="標楷體" w:eastAsia="標楷體" w:hAnsi="標楷體"/>
                <w:kern w:val="2"/>
                <w:szCs w:val="24"/>
              </w:rPr>
              <w:t>)</w:t>
            </w:r>
            <w:r w:rsidRPr="00FD5BC2">
              <w:rPr>
                <w:rFonts w:ascii="標楷體" w:eastAsia="標楷體" w:hAnsi="標楷體" w:hint="eastAsia"/>
                <w:kern w:val="2"/>
                <w:szCs w:val="24"/>
              </w:rPr>
              <w:t>、種苗改良繁殖場、7個區農業改良場、漁業署及所屬、動植物防疫檢疫局及所屬</w:t>
            </w:r>
            <w:r w:rsidRPr="00FD5BC2">
              <w:rPr>
                <w:rFonts w:ascii="標楷體" w:eastAsia="標楷體" w:hAnsi="標楷體"/>
                <w:kern w:val="2"/>
                <w:szCs w:val="24"/>
              </w:rPr>
              <w:t>(</w:t>
            </w:r>
            <w:r w:rsidRPr="00FD5BC2">
              <w:rPr>
                <w:rFonts w:ascii="標楷體" w:eastAsia="標楷體" w:hAnsi="標楷體" w:hint="eastAsia"/>
                <w:kern w:val="2"/>
                <w:szCs w:val="24"/>
              </w:rPr>
              <w:t>動植物防疫檢疫署及所屬</w:t>
            </w:r>
            <w:r w:rsidRPr="00FD5BC2">
              <w:rPr>
                <w:rFonts w:ascii="標楷體" w:eastAsia="標楷體" w:hAnsi="標楷體"/>
                <w:kern w:val="2"/>
                <w:szCs w:val="24"/>
              </w:rPr>
              <w:t>)</w:t>
            </w:r>
            <w:r w:rsidRPr="00FD5BC2">
              <w:rPr>
                <w:rFonts w:ascii="標楷體" w:eastAsia="標楷體" w:hAnsi="標楷體" w:hint="eastAsia"/>
                <w:kern w:val="2"/>
                <w:szCs w:val="24"/>
              </w:rPr>
              <w:t>、農業金融局(農業金融署)、農糧署及所屬、農田水利署。</w:t>
            </w:r>
          </w:p>
        </w:tc>
        <w:tc>
          <w:tcPr>
            <w:tcW w:w="2159" w:type="dxa"/>
            <w:shd w:val="clear" w:color="auto" w:fill="auto"/>
          </w:tcPr>
          <w:p w14:paraId="6745BC93"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作業基金：</w:t>
            </w:r>
          </w:p>
          <w:p w14:paraId="79604BF5"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行政院國家發展基金。經濟作業基金、水資源作業基金。農業作業基金、農田水利事業作業基金。</w:t>
            </w:r>
          </w:p>
          <w:p w14:paraId="7E4F002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特別收入基金：</w:t>
            </w:r>
          </w:p>
          <w:p w14:paraId="37C66FBA"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離島建設基金、花東地區永續發展基金、促進轉型正義基金。經濟特別收入基金、核能發電後端營運基金。農業特別收入基金。反托拉斯基金。</w:t>
            </w:r>
          </w:p>
          <w:p w14:paraId="52B90105"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其他特種基金：</w:t>
            </w:r>
          </w:p>
          <w:p w14:paraId="1E68FD7A"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color w:val="FF0000"/>
                <w:kern w:val="2"/>
                <w:sz w:val="21"/>
                <w:szCs w:val="21"/>
              </w:rPr>
            </w:pPr>
            <w:r w:rsidRPr="00FD5BC2">
              <w:rPr>
                <w:rFonts w:ascii="標楷體" w:eastAsia="標楷體" w:hAnsi="標楷體" w:hint="eastAsia"/>
                <w:kern w:val="2"/>
                <w:szCs w:val="24"/>
              </w:rPr>
              <w:t>農民退休基金。</w:t>
            </w:r>
          </w:p>
        </w:tc>
        <w:tc>
          <w:tcPr>
            <w:tcW w:w="1526" w:type="dxa"/>
            <w:shd w:val="clear" w:color="auto" w:fill="auto"/>
          </w:tcPr>
          <w:p w14:paraId="3CD0F0EF"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台灣糖業公司、台灣中油公司、台灣電力公司、台灣自來水公司。</w:t>
            </w:r>
          </w:p>
        </w:tc>
        <w:tc>
          <w:tcPr>
            <w:tcW w:w="1286" w:type="dxa"/>
            <w:shd w:val="clear" w:color="auto" w:fill="auto"/>
            <w:vAlign w:val="center"/>
          </w:tcPr>
          <w:p w14:paraId="36B7E2D5"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經  濟</w:t>
            </w:r>
          </w:p>
          <w:p w14:paraId="4785CF55"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委員會</w:t>
            </w:r>
          </w:p>
        </w:tc>
      </w:tr>
      <w:tr w:rsidR="00347FA7" w:rsidRPr="00FD5BC2" w14:paraId="72B7F703" w14:textId="77777777" w:rsidTr="00347FA7">
        <w:trPr>
          <w:trHeight w:val="3274"/>
        </w:trPr>
        <w:tc>
          <w:tcPr>
            <w:tcW w:w="709" w:type="dxa"/>
            <w:shd w:val="clear" w:color="auto" w:fill="auto"/>
            <w:vAlign w:val="center"/>
          </w:tcPr>
          <w:p w14:paraId="2435770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lastRenderedPageBreak/>
              <w:t>第</w:t>
            </w:r>
          </w:p>
          <w:p w14:paraId="3223ECC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4</w:t>
            </w:r>
          </w:p>
          <w:p w14:paraId="273F9910"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4DDFBD93"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賴</w:t>
            </w:r>
          </w:p>
          <w:p w14:paraId="1B78842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797368A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5B835C6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597CFE63"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2B37F86E"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惠</w:t>
            </w:r>
          </w:p>
          <w:p w14:paraId="1D424CFC"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tc>
        <w:tc>
          <w:tcPr>
            <w:tcW w:w="3366" w:type="dxa"/>
            <w:shd w:val="clear" w:color="auto" w:fill="auto"/>
          </w:tcPr>
          <w:p w14:paraId="13901BC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主計總處。</w:t>
            </w:r>
          </w:p>
          <w:p w14:paraId="1A86EFB9"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審計部、審計部臺北市審計處、審計部新北市審計處、審計部桃園市審計處、審計部臺中市審計處、審計部臺南市審計處、審計部高雄市審計處。</w:t>
            </w:r>
          </w:p>
          <w:p w14:paraId="45A74FC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財政部、國庫署、賦稅署、臺北國稅局、高雄國稅局、北區國稅局及所屬、中區國稅局及所屬、南區國稅局及所屬、關務署及所屬、國有財產署及所屬、財政資訊中心。</w:t>
            </w:r>
          </w:p>
          <w:p w14:paraId="3EACF271"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金融監督管理委員會、銀行局、證券期貨局、保險局、檢查局。</w:t>
            </w:r>
          </w:p>
          <w:p w14:paraId="0BDDAEC6"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直轄市及縣市一般性補助款。災害準備金。第二預備金。調整軍公教人員待遇準備。</w:t>
            </w:r>
          </w:p>
          <w:p w14:paraId="52868D9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其他查核事項</w:t>
            </w:r>
            <w:r w:rsidRPr="00FD5BC2">
              <w:rPr>
                <w:rFonts w:ascii="標楷體" w:eastAsia="標楷體" w:hAnsi="標楷體"/>
                <w:kern w:val="2"/>
                <w:szCs w:val="24"/>
              </w:rPr>
              <w:t>—</w:t>
            </w:r>
            <w:r w:rsidRPr="00FD5BC2">
              <w:rPr>
                <w:rFonts w:ascii="標楷體" w:eastAsia="標楷體" w:hAnsi="標楷體" w:hint="eastAsia"/>
                <w:kern w:val="2"/>
                <w:szCs w:val="24"/>
              </w:rPr>
              <w:t>特別決算以前年度轉入數決算表。</w:t>
            </w:r>
          </w:p>
        </w:tc>
        <w:tc>
          <w:tcPr>
            <w:tcW w:w="2159" w:type="dxa"/>
            <w:shd w:val="clear" w:color="auto" w:fill="auto"/>
          </w:tcPr>
          <w:p w14:paraId="0EF395E8"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債務基金：</w:t>
            </w:r>
          </w:p>
          <w:p w14:paraId="31CA9EE7"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中央政府債務基金。</w:t>
            </w:r>
          </w:p>
          <w:p w14:paraId="453ED18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特別收入基金：</w:t>
            </w:r>
          </w:p>
          <w:p w14:paraId="15F9A23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行政院公營事業民營化基金。金融監督管理基金。</w:t>
            </w:r>
          </w:p>
          <w:p w14:paraId="24D17805"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其他特種基金：</w:t>
            </w:r>
          </w:p>
          <w:p w14:paraId="12F60F57"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國家金融安定基金、保險業務發展基金。</w:t>
            </w:r>
          </w:p>
        </w:tc>
        <w:tc>
          <w:tcPr>
            <w:tcW w:w="1526" w:type="dxa"/>
            <w:shd w:val="clear" w:color="auto" w:fill="auto"/>
          </w:tcPr>
          <w:p w14:paraId="04B746F0" w14:textId="77777777" w:rsidR="00347FA7" w:rsidRPr="00FD5BC2" w:rsidRDefault="00347FA7" w:rsidP="00F470A8">
            <w:pPr>
              <w:widowControl w:val="0"/>
              <w:kinsoku w:val="0"/>
              <w:overflowPunct w:val="0"/>
              <w:autoSpaceDE w:val="0"/>
              <w:adjustRightInd w:val="0"/>
              <w:snapToGrid w:val="0"/>
              <w:spacing w:line="400" w:lineRule="atLeast"/>
              <w:ind w:leftChars="55" w:left="132" w:rightChars="55" w:right="132"/>
              <w:jc w:val="both"/>
              <w:textAlignment w:val="center"/>
              <w:rPr>
                <w:rFonts w:ascii="標楷體" w:eastAsia="標楷體" w:hAnsi="標楷體"/>
                <w:kern w:val="2"/>
                <w:szCs w:val="24"/>
              </w:rPr>
            </w:pPr>
            <w:r w:rsidRPr="00FD5BC2">
              <w:rPr>
                <w:rFonts w:ascii="標楷體" w:eastAsia="標楷體" w:hAnsi="標楷體" w:hint="eastAsia"/>
                <w:kern w:val="2"/>
                <w:szCs w:val="24"/>
              </w:rPr>
              <w:t>中央銀行（含中央造幣廠、中央印製廠）。中國輸出入銀行、臺灣金融控股公司（含臺灣銀行公司、臺銀人壽保險公司、臺銀綜合證券公司）、臺灣土地銀行公司、財政部印刷廠、臺灣菸酒公司。中央存款保險公司。</w:t>
            </w:r>
          </w:p>
        </w:tc>
        <w:tc>
          <w:tcPr>
            <w:tcW w:w="1286" w:type="dxa"/>
            <w:shd w:val="clear" w:color="auto" w:fill="auto"/>
            <w:vAlign w:val="center"/>
          </w:tcPr>
          <w:p w14:paraId="06291FDC"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p>
        </w:tc>
      </w:tr>
      <w:tr w:rsidR="00347FA7" w:rsidRPr="00FD5BC2" w14:paraId="625AA8F4" w14:textId="77777777" w:rsidTr="00347FA7">
        <w:trPr>
          <w:trHeight w:val="856"/>
        </w:trPr>
        <w:tc>
          <w:tcPr>
            <w:tcW w:w="709" w:type="dxa"/>
            <w:shd w:val="clear" w:color="auto" w:fill="auto"/>
            <w:vAlign w:val="center"/>
          </w:tcPr>
          <w:p w14:paraId="168C21D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第</w:t>
            </w:r>
          </w:p>
          <w:p w14:paraId="18FB9A7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5</w:t>
            </w:r>
          </w:p>
          <w:p w14:paraId="07617AC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41B0234C"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賴</w:t>
            </w:r>
          </w:p>
          <w:p w14:paraId="1D46EFE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456D595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0F0926D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6D23BD7A"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0F28D414"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惠</w:t>
            </w:r>
          </w:p>
          <w:p w14:paraId="2C5CC654"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tc>
        <w:tc>
          <w:tcPr>
            <w:tcW w:w="3366" w:type="dxa"/>
            <w:shd w:val="clear" w:color="auto" w:fill="auto"/>
          </w:tcPr>
          <w:p w14:paraId="7E314DC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中央研究院。</w:t>
            </w:r>
          </w:p>
          <w:p w14:paraId="44825750"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國立故宮博物院。</w:t>
            </w:r>
          </w:p>
          <w:p w14:paraId="575C678F"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教育部、國民及學前教育署、體育署、青年發展署、國家圖書館、國立公共資訊圖書館、國立教育廣播電臺、國家教育研究院。</w:t>
            </w:r>
          </w:p>
          <w:p w14:paraId="0EFDCE71"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原子能委員會(核能安全委員會及所屬)、輻射偵測中心(核能安全委員會及所屬)、放射性物料管理局(核能安全委員會及所屬)、核能</w:t>
            </w:r>
            <w:r w:rsidRPr="00FD5BC2">
              <w:rPr>
                <w:rFonts w:ascii="標楷體" w:eastAsia="標楷體" w:hAnsi="標楷體" w:hint="eastAsia"/>
                <w:kern w:val="2"/>
                <w:szCs w:val="24"/>
              </w:rPr>
              <w:lastRenderedPageBreak/>
              <w:t>研究所。</w:t>
            </w:r>
          </w:p>
          <w:p w14:paraId="39E57156"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文化部、文化資產局、影視及流行音樂產業局、國立傳統藝術中心、國立臺灣美術館及所屬、國立臺灣工藝研究發展中心、國立臺灣博物館、國立臺灣史前文化博物館、國家人權博物館、國立臺灣歷史博物館、國立臺灣文學館。</w:t>
            </w:r>
          </w:p>
          <w:p w14:paraId="3239B122"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國家科學及技術委員會、新竹科學園區管理局、中部科學園區管理局、南部科學園區管理局。</w:t>
            </w:r>
          </w:p>
        </w:tc>
        <w:tc>
          <w:tcPr>
            <w:tcW w:w="2159" w:type="dxa"/>
            <w:shd w:val="clear" w:color="auto" w:fill="auto"/>
          </w:tcPr>
          <w:p w14:paraId="6A4D245D" w14:textId="77777777" w:rsidR="00347FA7" w:rsidRPr="00FD5BC2" w:rsidRDefault="00347FA7" w:rsidP="00F470A8">
            <w:pPr>
              <w:widowControl w:val="0"/>
              <w:kinsoku w:val="0"/>
              <w:overflowPunct w:val="0"/>
              <w:autoSpaceDE w:val="0"/>
              <w:adjustRightInd w:val="0"/>
              <w:snapToGrid w:val="0"/>
              <w:spacing w:line="315" w:lineRule="exac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lastRenderedPageBreak/>
              <w:t>作業基金：</w:t>
            </w:r>
          </w:p>
          <w:p w14:paraId="2C78FAC6"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4</w:t>
            </w:r>
            <w:r w:rsidRPr="00FD5BC2">
              <w:rPr>
                <w:rFonts w:ascii="標楷體" w:eastAsia="標楷體" w:hAnsi="標楷體"/>
                <w:kern w:val="2"/>
                <w:szCs w:val="24"/>
              </w:rPr>
              <w:t>7</w:t>
            </w:r>
            <w:r w:rsidRPr="00FD5BC2">
              <w:rPr>
                <w:rFonts w:ascii="標楷體" w:eastAsia="標楷體" w:hAnsi="標楷體" w:hint="eastAsia"/>
                <w:kern w:val="2"/>
                <w:szCs w:val="24"/>
              </w:rPr>
              <w:t>所國立大學校院校務基金、國立臺灣大學附設醫院作業基金、國立成功大學附設醫院作業基金、國立陽明交通大學附設醫院作業基金、教育部所屬機構作業基金、國立高級</w:t>
            </w:r>
            <w:r w:rsidRPr="00FD5BC2">
              <w:rPr>
                <w:rFonts w:ascii="標楷體" w:eastAsia="標楷體" w:hAnsi="標楷體" w:hint="eastAsia"/>
                <w:kern w:val="2"/>
                <w:szCs w:val="24"/>
              </w:rPr>
              <w:lastRenderedPageBreak/>
              <w:t>中等學校校務基金。科學園區管理局作業基金。國立文化機構作業基金。故宮文物藝術發展基金</w:t>
            </w:r>
            <w:r w:rsidRPr="00FD5BC2">
              <w:rPr>
                <w:rFonts w:ascii="標楷體" w:eastAsia="標楷體" w:hAnsi="標楷體" w:hint="eastAsia"/>
                <w:kern w:val="2"/>
                <w:sz w:val="21"/>
                <w:szCs w:val="21"/>
              </w:rPr>
              <w:t>。</w:t>
            </w:r>
          </w:p>
          <w:p w14:paraId="3839427D" w14:textId="77777777" w:rsidR="00347FA7" w:rsidRPr="00FD5BC2" w:rsidRDefault="00347FA7" w:rsidP="00F470A8">
            <w:pPr>
              <w:widowControl w:val="0"/>
              <w:kinsoku w:val="0"/>
              <w:overflowPunct w:val="0"/>
              <w:autoSpaceDE w:val="0"/>
              <w:adjustRightInd w:val="0"/>
              <w:snapToGrid w:val="0"/>
              <w:spacing w:line="315" w:lineRule="exac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特別收入基金：</w:t>
            </w:r>
          </w:p>
          <w:p w14:paraId="07B896F8"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中央研究院科學研究基金。行政院國家科學技術發展基金。學產基金、運動發展基金、大專校院轉型及退場基金(私立高級中等以上學校退場基金)。核子事故緊急應變基金。</w:t>
            </w:r>
            <w:r w:rsidRPr="00FD5BC2">
              <w:rPr>
                <w:rFonts w:ascii="標楷體" w:eastAsia="標楷體" w:hAnsi="標楷體" w:hint="eastAsia"/>
                <w:kern w:val="2"/>
                <w:sz w:val="21"/>
                <w:szCs w:val="21"/>
              </w:rPr>
              <w:t>文化發展基金。</w:t>
            </w:r>
          </w:p>
        </w:tc>
        <w:tc>
          <w:tcPr>
            <w:tcW w:w="1526" w:type="dxa"/>
            <w:shd w:val="clear" w:color="auto" w:fill="auto"/>
          </w:tcPr>
          <w:p w14:paraId="4F846E9A" w14:textId="77777777" w:rsidR="00347FA7" w:rsidRPr="00FD5BC2" w:rsidRDefault="00347FA7" w:rsidP="00F470A8">
            <w:pPr>
              <w:widowControl w:val="0"/>
              <w:overflowPunct w:val="0"/>
              <w:autoSpaceDN/>
              <w:ind w:leftChars="55" w:left="132" w:rightChars="55" w:right="132"/>
              <w:textAlignment w:val="auto"/>
              <w:rPr>
                <w:rFonts w:ascii="標楷體" w:eastAsia="標楷體" w:hAnsi="標楷體"/>
                <w:kern w:val="2"/>
                <w:szCs w:val="24"/>
              </w:rPr>
            </w:pPr>
          </w:p>
        </w:tc>
        <w:tc>
          <w:tcPr>
            <w:tcW w:w="1286" w:type="dxa"/>
            <w:shd w:val="clear" w:color="auto" w:fill="auto"/>
            <w:vAlign w:val="center"/>
          </w:tcPr>
          <w:p w14:paraId="2693E0D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教育及文  化</w:t>
            </w:r>
          </w:p>
          <w:p w14:paraId="12264CB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委員會</w:t>
            </w:r>
          </w:p>
        </w:tc>
      </w:tr>
      <w:tr w:rsidR="00347FA7" w:rsidRPr="00FD5BC2" w14:paraId="68175E88" w14:textId="77777777" w:rsidTr="00347FA7">
        <w:trPr>
          <w:trHeight w:val="5719"/>
        </w:trPr>
        <w:tc>
          <w:tcPr>
            <w:tcW w:w="709" w:type="dxa"/>
            <w:shd w:val="clear" w:color="auto" w:fill="auto"/>
            <w:vAlign w:val="center"/>
          </w:tcPr>
          <w:p w14:paraId="4B107E9E"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第</w:t>
            </w:r>
          </w:p>
          <w:p w14:paraId="52D6556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6</w:t>
            </w:r>
          </w:p>
          <w:p w14:paraId="039740B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5C9B50D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陳</w:t>
            </w:r>
          </w:p>
          <w:p w14:paraId="4D798BE5"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4AF89BB8"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3E7ABF48"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0608F40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2086F708"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玉</w:t>
            </w:r>
          </w:p>
          <w:p w14:paraId="74BFA7BF"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珍</w:t>
            </w:r>
          </w:p>
        </w:tc>
        <w:tc>
          <w:tcPr>
            <w:tcW w:w="3366" w:type="dxa"/>
            <w:shd w:val="clear" w:color="auto" w:fill="auto"/>
          </w:tcPr>
          <w:p w14:paraId="77935347"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國家通訊傳播委員會。</w:t>
            </w:r>
          </w:p>
          <w:p w14:paraId="69EEC599"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國家運輸安全調查委員會。公共工程委員會。</w:t>
            </w:r>
          </w:p>
          <w:p w14:paraId="081F73B3"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交通部、民用航空局、中央氣象局(中央氣象署)、觀光局及所屬(觀光署及所屬)、運輸研究所、公路總局及所屬(公路局及所屬)、鐵道局及所屬。</w:t>
            </w:r>
          </w:p>
          <w:p w14:paraId="39A649D5"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數位發展部、資通安全署、數位產業署。</w:t>
            </w:r>
          </w:p>
        </w:tc>
        <w:tc>
          <w:tcPr>
            <w:tcW w:w="2159" w:type="dxa"/>
            <w:shd w:val="clear" w:color="auto" w:fill="auto"/>
          </w:tcPr>
          <w:p w14:paraId="3B6B45DF"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作業基金：</w:t>
            </w:r>
          </w:p>
          <w:p w14:paraId="1D645F85"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交通作業基金。</w:t>
            </w:r>
          </w:p>
          <w:p w14:paraId="2EB12D2F"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特別收入基金：</w:t>
            </w:r>
          </w:p>
          <w:p w14:paraId="5E1F42EF"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航港建設基金。通訊傳播監督管理基金、有線廣播電視事業發展基金</w:t>
            </w:r>
            <w:r w:rsidRPr="00FD5BC2">
              <w:rPr>
                <w:rFonts w:ascii="標楷體" w:eastAsia="標楷體" w:hAnsi="標楷體" w:hint="eastAsia"/>
                <w:kern w:val="2"/>
                <w:sz w:val="21"/>
                <w:szCs w:val="21"/>
              </w:rPr>
              <w:t>。</w:t>
            </w:r>
          </w:p>
        </w:tc>
        <w:tc>
          <w:tcPr>
            <w:tcW w:w="1526" w:type="dxa"/>
            <w:shd w:val="clear" w:color="auto" w:fill="auto"/>
          </w:tcPr>
          <w:p w14:paraId="7057A303" w14:textId="77777777" w:rsidR="00347FA7" w:rsidRPr="00FD5BC2" w:rsidRDefault="00347FA7" w:rsidP="00F470A8">
            <w:pPr>
              <w:widowControl w:val="0"/>
              <w:kinsoku w:val="0"/>
              <w:overflowPunct w:val="0"/>
              <w:autoSpaceDE w:val="0"/>
              <w:adjustRightInd w:val="0"/>
              <w:snapToGrid w:val="0"/>
              <w:spacing w:line="400" w:lineRule="atLeast"/>
              <w:ind w:leftChars="55" w:left="132" w:rightChars="55" w:right="132"/>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中華郵政公司、交通部臺灣鐵路管理局、臺灣港務公司（含臺灣港務港勤公司、高雄港區土地開發公司）、桃園國際機場公司。</w:t>
            </w:r>
          </w:p>
        </w:tc>
        <w:tc>
          <w:tcPr>
            <w:tcW w:w="1286" w:type="dxa"/>
            <w:shd w:val="clear" w:color="auto" w:fill="auto"/>
            <w:vAlign w:val="center"/>
          </w:tcPr>
          <w:p w14:paraId="6D15A24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交  通</w:t>
            </w:r>
          </w:p>
          <w:p w14:paraId="71FF3EC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委員會</w:t>
            </w:r>
          </w:p>
        </w:tc>
      </w:tr>
      <w:tr w:rsidR="00347FA7" w:rsidRPr="00FD5BC2" w14:paraId="07073F68" w14:textId="77777777" w:rsidTr="00347FA7">
        <w:trPr>
          <w:trHeight w:val="4937"/>
        </w:trPr>
        <w:tc>
          <w:tcPr>
            <w:tcW w:w="709" w:type="dxa"/>
            <w:shd w:val="clear" w:color="auto" w:fill="auto"/>
            <w:vAlign w:val="center"/>
          </w:tcPr>
          <w:p w14:paraId="63928150"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lastRenderedPageBreak/>
              <w:t>第</w:t>
            </w:r>
          </w:p>
          <w:p w14:paraId="0677C83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7</w:t>
            </w:r>
          </w:p>
          <w:p w14:paraId="3C48738B"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4285709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賴</w:t>
            </w:r>
          </w:p>
          <w:p w14:paraId="143E1E1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2E141C4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548DF98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65A9B3A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3A5E4684"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惠</w:t>
            </w:r>
          </w:p>
          <w:p w14:paraId="4DC413EA"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tc>
        <w:tc>
          <w:tcPr>
            <w:tcW w:w="3366" w:type="dxa"/>
            <w:shd w:val="clear" w:color="auto" w:fill="auto"/>
          </w:tcPr>
          <w:p w14:paraId="763CC94D"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總統府、國家安全會議、國史館、國史館臺灣文獻館。</w:t>
            </w:r>
          </w:p>
          <w:p w14:paraId="15039240"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人事行政總處、公務人力發展學院。</w:t>
            </w:r>
          </w:p>
          <w:p w14:paraId="450E5DB8"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立法院。</w:t>
            </w:r>
          </w:p>
          <w:p w14:paraId="532E25B9"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司法院、最高法院、最高行政法院、臺北高等行政法院、臺中高等行政法院、高雄高等行政法院、懲戒法院、法官學院、智慧財產及商業法院、臺灣高等法院及4個分院、20個臺灣地區地方法院、臺灣高雄少年及家事法院、福建高等法院金門分院、福建金門地方法院、福建連江地方法院。</w:t>
            </w:r>
          </w:p>
          <w:p w14:paraId="2C6A07CB"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考試院、考選部、銓敘部、公務人員保障暨培訓委員會、國家文官學院及所屬、公務人員退休撫卹基金監理委員會、公務人員退休撫卹基金管理委員會。</w:t>
            </w:r>
          </w:p>
          <w:p w14:paraId="7AB9CB90"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監察院。</w:t>
            </w:r>
          </w:p>
          <w:p w14:paraId="44C344D4" w14:textId="77777777" w:rsidR="00347FA7" w:rsidRPr="00FD5BC2" w:rsidRDefault="00347FA7" w:rsidP="00F470A8">
            <w:pPr>
              <w:widowControl w:val="0"/>
              <w:kinsoku w:val="0"/>
              <w:overflowPunct w:val="0"/>
              <w:autoSpaceDE w:val="0"/>
              <w:autoSpaceDN/>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法務部、司法官學院、法醫研究所、廉政署、矯正署及所屬、行政執行署及所屬、最高檢察署、臺灣高等檢察署及4個檢察分署、臺灣高等檢察署智慧財產檢察分署、20個臺灣地區地方檢察署、福建高等檢察署金門檢察分署、福建金門地方檢察署、福建連江地方檢察署、調查局。</w:t>
            </w:r>
          </w:p>
        </w:tc>
        <w:tc>
          <w:tcPr>
            <w:tcW w:w="2159" w:type="dxa"/>
            <w:shd w:val="clear" w:color="auto" w:fill="auto"/>
          </w:tcPr>
          <w:p w14:paraId="12345A0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作業基金：</w:t>
            </w:r>
          </w:p>
          <w:p w14:paraId="7D6F60D0"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法務部矯正機關作業基金。考選業務基金。</w:t>
            </w:r>
          </w:p>
          <w:p w14:paraId="34E1FF54"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特別收入基金：</w:t>
            </w:r>
          </w:p>
          <w:p w14:paraId="5D0D056B"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毒品防制基金。</w:t>
            </w:r>
          </w:p>
          <w:p w14:paraId="5795B3C9"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 w:val="21"/>
                <w:szCs w:val="21"/>
              </w:rPr>
            </w:pPr>
            <w:r w:rsidRPr="00FD5BC2">
              <w:rPr>
                <w:rFonts w:ascii="標楷體" w:eastAsia="標楷體" w:hAnsi="標楷體" w:hint="eastAsia"/>
                <w:b/>
                <w:kern w:val="2"/>
                <w:szCs w:val="24"/>
              </w:rPr>
              <w:t>其他特種基金：</w:t>
            </w:r>
          </w:p>
          <w:p w14:paraId="251EFEA9"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公務人員退休撫卹基金。</w:t>
            </w:r>
          </w:p>
        </w:tc>
        <w:tc>
          <w:tcPr>
            <w:tcW w:w="1526" w:type="dxa"/>
            <w:shd w:val="clear" w:color="auto" w:fill="auto"/>
          </w:tcPr>
          <w:p w14:paraId="311C6EAA" w14:textId="77777777" w:rsidR="00347FA7" w:rsidRPr="00FD5BC2" w:rsidRDefault="00347FA7" w:rsidP="00F470A8">
            <w:pPr>
              <w:widowControl w:val="0"/>
              <w:kinsoku w:val="0"/>
              <w:overflowPunct w:val="0"/>
              <w:autoSpaceDE w:val="0"/>
              <w:adjustRightInd w:val="0"/>
              <w:snapToGrid w:val="0"/>
              <w:spacing w:line="315" w:lineRule="exact"/>
              <w:ind w:leftChars="55" w:left="132" w:rightChars="55" w:right="132"/>
              <w:jc w:val="both"/>
              <w:textAlignment w:val="center"/>
              <w:rPr>
                <w:rFonts w:ascii="標楷體" w:eastAsia="標楷體" w:hAnsi="標楷體"/>
                <w:kern w:val="2"/>
                <w:sz w:val="21"/>
                <w:szCs w:val="21"/>
              </w:rPr>
            </w:pPr>
          </w:p>
        </w:tc>
        <w:tc>
          <w:tcPr>
            <w:tcW w:w="1286" w:type="dxa"/>
            <w:shd w:val="clear" w:color="auto" w:fill="auto"/>
            <w:vAlign w:val="center"/>
          </w:tcPr>
          <w:p w14:paraId="2ACE3E5C"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司法及法  制</w:t>
            </w:r>
          </w:p>
          <w:p w14:paraId="453B17A7"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委員會</w:t>
            </w:r>
          </w:p>
        </w:tc>
      </w:tr>
      <w:tr w:rsidR="00347FA7" w:rsidRPr="00FD5BC2" w14:paraId="69E20CFB" w14:textId="77777777" w:rsidTr="00347FA7">
        <w:trPr>
          <w:trHeight w:val="8471"/>
        </w:trPr>
        <w:tc>
          <w:tcPr>
            <w:tcW w:w="709" w:type="dxa"/>
            <w:shd w:val="clear" w:color="auto" w:fill="auto"/>
            <w:vAlign w:val="center"/>
          </w:tcPr>
          <w:p w14:paraId="3C18352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lastRenderedPageBreak/>
              <w:t>第</w:t>
            </w:r>
          </w:p>
          <w:p w14:paraId="07BCC243"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8</w:t>
            </w:r>
          </w:p>
          <w:p w14:paraId="6F753FAE"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組</w:t>
            </w:r>
          </w:p>
        </w:tc>
        <w:tc>
          <w:tcPr>
            <w:tcW w:w="887" w:type="dxa"/>
            <w:shd w:val="clear" w:color="auto" w:fill="auto"/>
            <w:vAlign w:val="center"/>
          </w:tcPr>
          <w:p w14:paraId="0018F106"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陳</w:t>
            </w:r>
          </w:p>
          <w:p w14:paraId="57E31B91"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召</w:t>
            </w:r>
          </w:p>
          <w:p w14:paraId="3EA55FD8"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集</w:t>
            </w:r>
          </w:p>
          <w:p w14:paraId="695AC499"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w:t>
            </w:r>
          </w:p>
          <w:p w14:paraId="5A350755"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員</w:t>
            </w:r>
          </w:p>
          <w:p w14:paraId="3F673B58"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玉</w:t>
            </w:r>
          </w:p>
          <w:p w14:paraId="765C7548"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珍</w:t>
            </w:r>
          </w:p>
        </w:tc>
        <w:tc>
          <w:tcPr>
            <w:tcW w:w="3366" w:type="dxa"/>
            <w:shd w:val="clear" w:color="auto" w:fill="auto"/>
          </w:tcPr>
          <w:p w14:paraId="540C54F3"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勞動部、勞工保險局、勞動力發展署及所屬、職業安全衛生署、勞動基金運用局、勞動及職業安全衛生研究所。</w:t>
            </w:r>
          </w:p>
          <w:p w14:paraId="7823C99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衛生福利部、疾病管制署、食品藥物管理署、中央健康保險署、國民健康署、社會及家庭署、國家中醫藥研究所。</w:t>
            </w:r>
          </w:p>
          <w:p w14:paraId="0FFA75FD"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環境保護署(環境部)、毒物及化學物質局(化學物質管理署)、環境檢驗所(國家環境研究院)、環境保護人員訓練所(國家環境研究院)。</w:t>
            </w:r>
          </w:p>
        </w:tc>
        <w:tc>
          <w:tcPr>
            <w:tcW w:w="2159" w:type="dxa"/>
            <w:shd w:val="clear" w:color="auto" w:fill="auto"/>
          </w:tcPr>
          <w:p w14:paraId="168D1865"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作業基金：</w:t>
            </w:r>
          </w:p>
          <w:p w14:paraId="3DED97FC"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勞工保險局作業基金。醫療藥品基金、管制藥品製藥工廠作業基金、全民健康保險基金、國民年金保險基金。</w:t>
            </w:r>
          </w:p>
          <w:p w14:paraId="5EEC685A"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Cs w:val="24"/>
              </w:rPr>
            </w:pPr>
            <w:r w:rsidRPr="00FD5BC2">
              <w:rPr>
                <w:rFonts w:ascii="標楷體" w:eastAsia="標楷體" w:hAnsi="標楷體" w:hint="eastAsia"/>
                <w:b/>
                <w:kern w:val="2"/>
                <w:szCs w:val="24"/>
              </w:rPr>
              <w:t>特別收入基金：</w:t>
            </w:r>
          </w:p>
          <w:p w14:paraId="2E6C1B50"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Cs w:val="24"/>
              </w:rPr>
            </w:pPr>
            <w:r w:rsidRPr="00FD5BC2">
              <w:rPr>
                <w:rFonts w:ascii="標楷體" w:eastAsia="標楷體" w:hAnsi="標楷體" w:hint="eastAsia"/>
                <w:kern w:val="2"/>
                <w:szCs w:val="24"/>
              </w:rPr>
              <w:t>就業安定基金。衛生福利特別收入基金。環境保護基金。</w:t>
            </w:r>
          </w:p>
          <w:p w14:paraId="0460A502"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b/>
                <w:kern w:val="2"/>
                <w:sz w:val="21"/>
                <w:szCs w:val="21"/>
              </w:rPr>
            </w:pPr>
            <w:r w:rsidRPr="00FD5BC2">
              <w:rPr>
                <w:rFonts w:ascii="標楷體" w:eastAsia="標楷體" w:hAnsi="標楷體" w:hint="eastAsia"/>
                <w:b/>
                <w:kern w:val="2"/>
                <w:szCs w:val="24"/>
              </w:rPr>
              <w:t>其他特種基金：</w:t>
            </w:r>
          </w:p>
          <w:p w14:paraId="0AA6E225" w14:textId="77777777" w:rsidR="00347FA7" w:rsidRPr="00FD5BC2" w:rsidRDefault="00347FA7" w:rsidP="00F470A8">
            <w:pPr>
              <w:widowControl w:val="0"/>
              <w:kinsoku w:val="0"/>
              <w:overflowPunct w:val="0"/>
              <w:autoSpaceDE w:val="0"/>
              <w:adjustRightInd w:val="0"/>
              <w:snapToGrid w:val="0"/>
              <w:spacing w:line="400" w:lineRule="atLeast"/>
              <w:ind w:leftChars="50" w:left="120" w:rightChars="50" w:right="120"/>
              <w:jc w:val="both"/>
              <w:textAlignment w:val="center"/>
              <w:rPr>
                <w:rFonts w:ascii="標楷體" w:eastAsia="標楷體" w:hAnsi="標楷體"/>
                <w:kern w:val="2"/>
                <w:sz w:val="21"/>
                <w:szCs w:val="21"/>
              </w:rPr>
            </w:pPr>
            <w:r w:rsidRPr="00FD5BC2">
              <w:rPr>
                <w:rFonts w:ascii="標楷體" w:eastAsia="標楷體" w:hAnsi="標楷體" w:hint="eastAsia"/>
                <w:kern w:val="2"/>
                <w:szCs w:val="24"/>
              </w:rPr>
              <w:t>勞工退休基金（舊制）、勞工退休基金（新制）、積欠工資墊償基金。資源回收管理基金－信託基金部分。</w:t>
            </w:r>
          </w:p>
        </w:tc>
        <w:tc>
          <w:tcPr>
            <w:tcW w:w="1526" w:type="dxa"/>
            <w:shd w:val="clear" w:color="auto" w:fill="auto"/>
          </w:tcPr>
          <w:p w14:paraId="3F3E638F" w14:textId="77777777" w:rsidR="00347FA7" w:rsidRPr="00FD5BC2" w:rsidRDefault="00347FA7" w:rsidP="00F470A8">
            <w:pPr>
              <w:widowControl w:val="0"/>
              <w:kinsoku w:val="0"/>
              <w:overflowPunct w:val="0"/>
              <w:autoSpaceDE w:val="0"/>
              <w:adjustRightInd w:val="0"/>
              <w:snapToGrid w:val="0"/>
              <w:spacing w:line="315" w:lineRule="exact"/>
              <w:ind w:leftChars="55" w:left="132" w:rightChars="55" w:right="132"/>
              <w:jc w:val="both"/>
              <w:textAlignment w:val="center"/>
              <w:rPr>
                <w:rFonts w:ascii="標楷體" w:eastAsia="標楷體" w:hAnsi="標楷體"/>
                <w:kern w:val="2"/>
                <w:sz w:val="21"/>
                <w:szCs w:val="21"/>
              </w:rPr>
            </w:pPr>
          </w:p>
        </w:tc>
        <w:tc>
          <w:tcPr>
            <w:tcW w:w="1286" w:type="dxa"/>
            <w:shd w:val="clear" w:color="auto" w:fill="auto"/>
            <w:vAlign w:val="center"/>
          </w:tcPr>
          <w:p w14:paraId="577E2EA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社會福利及衛生環境</w:t>
            </w:r>
          </w:p>
          <w:p w14:paraId="1ED198DD" w14:textId="77777777" w:rsidR="00347FA7" w:rsidRPr="00FD5BC2" w:rsidRDefault="00347FA7" w:rsidP="00F470A8">
            <w:pPr>
              <w:widowControl w:val="0"/>
              <w:overflowPunct w:val="0"/>
              <w:autoSpaceDN/>
              <w:spacing w:line="440" w:lineRule="exact"/>
              <w:ind w:rightChars="61" w:right="146"/>
              <w:jc w:val="center"/>
              <w:textAlignment w:val="auto"/>
              <w:rPr>
                <w:rFonts w:ascii="標楷體" w:eastAsia="標楷體" w:hAnsi="標楷體"/>
                <w:kern w:val="2"/>
                <w:szCs w:val="24"/>
              </w:rPr>
            </w:pPr>
            <w:r w:rsidRPr="00FD5BC2">
              <w:rPr>
                <w:rFonts w:ascii="標楷體" w:eastAsia="標楷體" w:hAnsi="標楷體" w:hint="eastAsia"/>
                <w:kern w:val="2"/>
                <w:szCs w:val="24"/>
              </w:rPr>
              <w:t>委員會</w:t>
            </w:r>
          </w:p>
        </w:tc>
      </w:tr>
    </w:tbl>
    <w:p w14:paraId="2018E9F4" w14:textId="77777777" w:rsidR="00347FA7" w:rsidRPr="00FD5BC2" w:rsidRDefault="00347FA7" w:rsidP="00F470A8">
      <w:pPr>
        <w:widowControl w:val="0"/>
        <w:overflowPunct w:val="0"/>
        <w:autoSpaceDN/>
        <w:spacing w:line="440" w:lineRule="exact"/>
        <w:ind w:leftChars="45" w:left="828" w:rightChars="61" w:right="146" w:hangingChars="300" w:hanging="720"/>
        <w:jc w:val="both"/>
        <w:textAlignment w:val="auto"/>
        <w:rPr>
          <w:rFonts w:ascii="標楷體" w:eastAsia="標楷體" w:hAnsi="標楷體"/>
          <w:kern w:val="2"/>
          <w:szCs w:val="24"/>
        </w:rPr>
      </w:pPr>
      <w:r w:rsidRPr="00FD5BC2">
        <w:rPr>
          <w:rFonts w:ascii="標楷體" w:eastAsia="標楷體" w:hAnsi="標楷體" w:hint="eastAsia"/>
          <w:kern w:val="2"/>
          <w:szCs w:val="24"/>
        </w:rPr>
        <w:t>說明：本表係依據中央政府總決算審核報告案審查程序，按機關別及聯席委員會別予以分組。</w:t>
      </w:r>
    </w:p>
    <w:p w14:paraId="76D3F746" w14:textId="77777777" w:rsidR="00347FA7" w:rsidRPr="00347FA7" w:rsidRDefault="00347FA7" w:rsidP="00F470A8">
      <w:pPr>
        <w:widowControl w:val="0"/>
        <w:overflowPunct w:val="0"/>
        <w:autoSpaceDN/>
        <w:spacing w:line="520" w:lineRule="exact"/>
        <w:jc w:val="both"/>
        <w:textAlignment w:val="auto"/>
        <w:rPr>
          <w:rFonts w:ascii="標楷體" w:eastAsia="標楷體" w:hAnsi="標楷體"/>
          <w:kern w:val="2"/>
          <w:sz w:val="32"/>
          <w:szCs w:val="32"/>
        </w:rPr>
      </w:pPr>
      <w:r w:rsidRPr="00347FA7">
        <w:rPr>
          <w:rFonts w:ascii="新細明體" w:hAnsi="新細明體"/>
          <w:kern w:val="2"/>
          <w:szCs w:val="24"/>
        </w:rPr>
        <w:t xml:space="preserve"> </w:t>
      </w:r>
      <w:r w:rsidRPr="00347FA7">
        <w:rPr>
          <w:rFonts w:ascii="新細明體" w:hAnsi="新細明體"/>
          <w:kern w:val="2"/>
          <w:szCs w:val="24"/>
        </w:rPr>
        <w:br w:type="page"/>
      </w:r>
      <w:r w:rsidRPr="00347FA7">
        <w:rPr>
          <w:rFonts w:ascii="標楷體" w:eastAsia="標楷體" w:hAnsi="標楷體" w:hint="eastAsia"/>
          <w:b/>
          <w:kern w:val="2"/>
          <w:szCs w:val="24"/>
        </w:rPr>
        <w:lastRenderedPageBreak/>
        <w:t>附件9</w:t>
      </w:r>
    </w:p>
    <w:p w14:paraId="3CC23D21" w14:textId="77777777" w:rsidR="00347FA7" w:rsidRPr="00347FA7" w:rsidRDefault="00347FA7" w:rsidP="00F470A8">
      <w:pPr>
        <w:overflowPunct w:val="0"/>
        <w:rPr>
          <w:rFonts w:ascii="標楷體" w:eastAsia="標楷體" w:hAnsi="標楷體"/>
          <w:b/>
          <w:kern w:val="0"/>
          <w:sz w:val="32"/>
          <w:szCs w:val="32"/>
        </w:rPr>
      </w:pPr>
      <w:r w:rsidRPr="00347FA7">
        <w:rPr>
          <w:rFonts w:ascii="標楷體" w:eastAsia="標楷體" w:hAnsi="標楷體" w:hint="eastAsia"/>
          <w:b/>
          <w:kern w:val="0"/>
          <w:sz w:val="32"/>
          <w:szCs w:val="32"/>
        </w:rPr>
        <w:t>中央政府嚴重特殊傳染性肺炎防治及紓困振興特別決算審核報告</w:t>
      </w:r>
    </w:p>
    <w:p w14:paraId="02AFE8D8" w14:textId="77777777" w:rsidR="00347FA7" w:rsidRPr="001F6F8D" w:rsidRDefault="00347FA7" w:rsidP="00F470A8">
      <w:pPr>
        <w:overflowPunct w:val="0"/>
        <w:rPr>
          <w:rFonts w:ascii="標楷體" w:eastAsia="標楷體" w:hAnsi="標楷體"/>
          <w:b/>
          <w:kern w:val="0"/>
          <w:sz w:val="32"/>
          <w:szCs w:val="32"/>
        </w:rPr>
      </w:pPr>
      <w:r w:rsidRPr="00347FA7">
        <w:rPr>
          <w:rFonts w:ascii="標楷體" w:eastAsia="標楷體" w:hAnsi="標楷體" w:hint="eastAsia"/>
          <w:b/>
          <w:kern w:val="0"/>
          <w:sz w:val="32"/>
          <w:szCs w:val="32"/>
        </w:rPr>
        <w:t>（中華民國109年1月15日至112年6月30日）案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3"/>
        <w:gridCol w:w="4211"/>
        <w:gridCol w:w="2552"/>
      </w:tblGrid>
      <w:tr w:rsidR="00347FA7" w:rsidRPr="00347FA7" w14:paraId="60E85908" w14:textId="77777777" w:rsidTr="00347FA7">
        <w:trPr>
          <w:trHeight w:val="868"/>
        </w:trPr>
        <w:tc>
          <w:tcPr>
            <w:tcW w:w="2593" w:type="dxa"/>
            <w:shd w:val="clear" w:color="auto" w:fill="auto"/>
            <w:vAlign w:val="center"/>
          </w:tcPr>
          <w:p w14:paraId="31844F61"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會議主席</w:t>
            </w:r>
          </w:p>
        </w:tc>
        <w:tc>
          <w:tcPr>
            <w:tcW w:w="4211" w:type="dxa"/>
            <w:shd w:val="clear" w:color="auto" w:fill="auto"/>
            <w:vAlign w:val="center"/>
          </w:tcPr>
          <w:p w14:paraId="3BE61CD3"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spacing w:val="20"/>
                <w:kern w:val="0"/>
                <w:sz w:val="28"/>
                <w:szCs w:val="28"/>
                <w:fitText w:val="2380" w:id="-777812734"/>
              </w:rPr>
              <w:t>特別預算審核報</w:t>
            </w:r>
            <w:r w:rsidRPr="00347FA7">
              <w:rPr>
                <w:rFonts w:ascii="標楷體" w:eastAsia="標楷體" w:hAnsi="標楷體" w:hint="eastAsia"/>
                <w:kern w:val="0"/>
                <w:sz w:val="28"/>
                <w:szCs w:val="28"/>
                <w:fitText w:val="2380" w:id="-777812734"/>
              </w:rPr>
              <w:t>告</w:t>
            </w:r>
          </w:p>
        </w:tc>
        <w:tc>
          <w:tcPr>
            <w:tcW w:w="2552" w:type="dxa"/>
            <w:shd w:val="clear" w:color="auto" w:fill="auto"/>
            <w:vAlign w:val="center"/>
          </w:tcPr>
          <w:p w14:paraId="05EC9A4E"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聯席委員會</w:t>
            </w:r>
          </w:p>
        </w:tc>
      </w:tr>
      <w:tr w:rsidR="00347FA7" w:rsidRPr="00347FA7" w14:paraId="0005638C" w14:textId="77777777" w:rsidTr="00347FA7">
        <w:trPr>
          <w:trHeight w:val="1847"/>
        </w:trPr>
        <w:tc>
          <w:tcPr>
            <w:tcW w:w="2593" w:type="dxa"/>
            <w:shd w:val="clear" w:color="auto" w:fill="auto"/>
            <w:vAlign w:val="center"/>
          </w:tcPr>
          <w:p w14:paraId="4CAC78AC"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賴召集委員惠員</w:t>
            </w:r>
          </w:p>
        </w:tc>
        <w:tc>
          <w:tcPr>
            <w:tcW w:w="4211" w:type="dxa"/>
            <w:shd w:val="clear" w:color="auto" w:fill="auto"/>
            <w:vAlign w:val="center"/>
          </w:tcPr>
          <w:p w14:paraId="0F9E467D"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中央政府嚴重特殊傳染性肺炎防治及紓困振興特別決算審核報告（中華民國109年1月15日至112年6月30日）案</w:t>
            </w:r>
          </w:p>
        </w:tc>
        <w:tc>
          <w:tcPr>
            <w:tcW w:w="2552" w:type="dxa"/>
            <w:shd w:val="clear" w:color="auto" w:fill="auto"/>
            <w:vAlign w:val="center"/>
          </w:tcPr>
          <w:p w14:paraId="4602E162"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財政委員會與</w:t>
            </w:r>
          </w:p>
          <w:p w14:paraId="778D3A60" w14:textId="77777777" w:rsidR="00347FA7" w:rsidRPr="00347FA7" w:rsidRDefault="00347FA7" w:rsidP="00F470A8">
            <w:pPr>
              <w:widowControl w:val="0"/>
              <w:overflowPunct w:val="0"/>
              <w:autoSpaceDN/>
              <w:spacing w:line="440" w:lineRule="exact"/>
              <w:jc w:val="center"/>
              <w:textAlignment w:val="auto"/>
              <w:rPr>
                <w:rFonts w:ascii="標楷體" w:eastAsia="標楷體" w:hAnsi="標楷體"/>
                <w:kern w:val="0"/>
                <w:sz w:val="28"/>
                <w:szCs w:val="28"/>
              </w:rPr>
            </w:pPr>
            <w:r w:rsidRPr="00347FA7">
              <w:rPr>
                <w:rFonts w:ascii="標楷體" w:eastAsia="標楷體" w:hAnsi="標楷體" w:hint="eastAsia"/>
                <w:kern w:val="0"/>
                <w:sz w:val="28"/>
                <w:szCs w:val="28"/>
              </w:rPr>
              <w:t>相關委員會聯席</w:t>
            </w:r>
          </w:p>
        </w:tc>
      </w:tr>
    </w:tbl>
    <w:p w14:paraId="69C8B046" w14:textId="77777777" w:rsidR="00347FA7" w:rsidRPr="00347FA7" w:rsidRDefault="00347FA7" w:rsidP="00F470A8">
      <w:pPr>
        <w:widowControl w:val="0"/>
        <w:overflowPunct w:val="0"/>
        <w:autoSpaceDN/>
        <w:spacing w:line="520" w:lineRule="exact"/>
        <w:jc w:val="both"/>
        <w:textAlignment w:val="auto"/>
        <w:rPr>
          <w:rFonts w:ascii="標楷體" w:eastAsia="標楷體" w:hAnsi="標楷體"/>
          <w:kern w:val="2"/>
          <w:szCs w:val="24"/>
        </w:rPr>
      </w:pPr>
      <w:r w:rsidRPr="00347FA7">
        <w:rPr>
          <w:rFonts w:ascii="新細明體" w:hAnsi="新細明體"/>
          <w:kern w:val="2"/>
          <w:szCs w:val="24"/>
        </w:rPr>
        <w:br w:type="page"/>
      </w:r>
      <w:r w:rsidRPr="00347FA7">
        <w:rPr>
          <w:rFonts w:ascii="新細明體" w:eastAsia="華康中黑體" w:hAnsi="Times New Roman" w:hint="eastAsia"/>
          <w:b/>
          <w:kern w:val="2"/>
          <w:szCs w:val="24"/>
        </w:rPr>
        <w:lastRenderedPageBreak/>
        <w:t>附件</w:t>
      </w:r>
      <w:r w:rsidRPr="00347FA7">
        <w:rPr>
          <w:rFonts w:ascii="新細明體" w:eastAsia="華康中黑體" w:hAnsi="Times New Roman" w:hint="eastAsia"/>
          <w:b/>
          <w:kern w:val="2"/>
          <w:szCs w:val="24"/>
        </w:rPr>
        <w:t>10</w:t>
      </w:r>
    </w:p>
    <w:p w14:paraId="531F5308" w14:textId="77777777" w:rsidR="00347FA7" w:rsidRPr="00347FA7" w:rsidRDefault="00347FA7" w:rsidP="00F470A8">
      <w:pPr>
        <w:widowControl w:val="0"/>
        <w:overflowPunct w:val="0"/>
        <w:autoSpaceDN/>
        <w:spacing w:line="540" w:lineRule="exact"/>
        <w:ind w:leftChars="261" w:left="626" w:firstLine="3"/>
        <w:jc w:val="both"/>
        <w:textAlignment w:val="auto"/>
        <w:rPr>
          <w:rFonts w:ascii="標楷體" w:eastAsia="標楷體" w:hAnsi="標楷體"/>
          <w:b/>
          <w:kern w:val="2"/>
          <w:sz w:val="34"/>
          <w:szCs w:val="34"/>
        </w:rPr>
      </w:pPr>
      <w:r w:rsidRPr="00347FA7">
        <w:rPr>
          <w:rFonts w:ascii="標楷體" w:eastAsia="標楷體" w:hAnsi="標楷體" w:hint="eastAsia"/>
          <w:b/>
          <w:kern w:val="2"/>
          <w:sz w:val="34"/>
          <w:szCs w:val="34"/>
        </w:rPr>
        <w:t>財政委員會召集委員值週及排定議程相關注意事項</w:t>
      </w:r>
    </w:p>
    <w:p w14:paraId="73C14D4B"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一、本會召集委員依輪值表順序值週，負責排定各該週之議程及核判各項相關文件。</w:t>
      </w:r>
    </w:p>
    <w:p w14:paraId="59BF2BF5"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二、配合本院全球資訊網於每週五中午前刊登次週會議預報，次週議程請次週輪值召集委員全權於每週四下午5時前排定及核決。</w:t>
      </w:r>
    </w:p>
    <w:p w14:paraId="16063DA2"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三、值週召委為值週全體委員會議或聯席會議或公聽會之當然主席，如未克出席主持會議，請自行協商本會召集委員代理。</w:t>
      </w:r>
    </w:p>
    <w:p w14:paraId="08772B59"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四、值週時間如須調整或調换時，應經雙方召集委員同意後為之。</w:t>
      </w:r>
    </w:p>
    <w:p w14:paraId="5EC6B159"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五、本會開會時間為上午9時至下午5時30分,必要時得延長。</w:t>
      </w:r>
    </w:p>
    <w:p w14:paraId="078E9022"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六、議事文書(會議通知、議程、議事錄及審查報告等)由當次會議主席判行。</w:t>
      </w:r>
    </w:p>
    <w:p w14:paraId="033C11F1"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七、總預算案、總決算審核報告，請各召集委員依審查分工於值週期間內配合安排議程，俾利完成審查。</w:t>
      </w:r>
    </w:p>
    <w:p w14:paraId="3288F6C2"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八、人民請願案之審查，請擇本會會議有請願事項主管機關人員列席時，得列入該次會議審查。</w:t>
      </w:r>
    </w:p>
    <w:p w14:paraId="4B6F50C3"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九、本會審查法案或舉行公聽會，依立法院職權行使法第</w:t>
      </w:r>
      <w:r w:rsidRPr="00347FA7">
        <w:rPr>
          <w:rFonts w:ascii="標楷體" w:eastAsia="標楷體" w:hAnsi="標楷體"/>
          <w:kern w:val="2"/>
          <w:sz w:val="30"/>
          <w:szCs w:val="30"/>
        </w:rPr>
        <w:t>54</w:t>
      </w:r>
      <w:r w:rsidRPr="00347FA7">
        <w:rPr>
          <w:rFonts w:ascii="標楷體" w:eastAsia="標楷體" w:hAnsi="標楷體" w:hint="eastAsia"/>
          <w:kern w:val="2"/>
          <w:sz w:val="30"/>
          <w:szCs w:val="30"/>
        </w:rPr>
        <w:t>條規定以院會交付審查之議案為限。舉行公聽會之開會通知應於開會前5日以書面送達出席學者專家，並由2位召集委員分別推舉。</w:t>
      </w:r>
    </w:p>
    <w:p w14:paraId="087A22FB" w14:textId="77777777" w:rsidR="00347FA7" w:rsidRPr="00347FA7" w:rsidRDefault="00347FA7" w:rsidP="00F470A8">
      <w:pPr>
        <w:widowControl w:val="0"/>
        <w:overflowPunct w:val="0"/>
        <w:autoSpaceDN/>
        <w:spacing w:line="540" w:lineRule="exact"/>
        <w:ind w:left="626"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十、本會各項考察之領隊，由值週召委擔任。有關「立法委員參加國內考察隨行公費助理費用報支原則」如後附錄。</w:t>
      </w:r>
    </w:p>
    <w:p w14:paraId="509CBE5D" w14:textId="77777777" w:rsidR="00347FA7" w:rsidRPr="00347FA7" w:rsidRDefault="00347FA7" w:rsidP="00F470A8">
      <w:pPr>
        <w:widowControl w:val="0"/>
        <w:overflowPunct w:val="0"/>
        <w:autoSpaceDN/>
        <w:spacing w:line="540" w:lineRule="exact"/>
        <w:textAlignment w:val="auto"/>
        <w:rPr>
          <w:rFonts w:ascii="標楷體" w:eastAsia="標楷體" w:hAnsi="標楷體"/>
          <w:b/>
          <w:kern w:val="2"/>
          <w:sz w:val="30"/>
          <w:szCs w:val="30"/>
        </w:rPr>
      </w:pPr>
      <w:r w:rsidRPr="00347FA7">
        <w:rPr>
          <w:rFonts w:ascii="標楷體" w:eastAsia="標楷體" w:hAnsi="標楷體"/>
          <w:kern w:val="2"/>
          <w:sz w:val="30"/>
          <w:szCs w:val="30"/>
        </w:rPr>
        <w:br w:type="page"/>
      </w:r>
      <w:r w:rsidRPr="00347FA7">
        <w:rPr>
          <w:rFonts w:ascii="標楷體" w:eastAsia="標楷體" w:hAnsi="標楷體" w:hint="eastAsia"/>
          <w:b/>
          <w:kern w:val="2"/>
          <w:sz w:val="30"/>
          <w:szCs w:val="30"/>
        </w:rPr>
        <w:lastRenderedPageBreak/>
        <w:t>附錄</w:t>
      </w:r>
    </w:p>
    <w:p w14:paraId="283FE50E" w14:textId="77777777" w:rsidR="00347FA7" w:rsidRPr="00347FA7" w:rsidRDefault="00347FA7" w:rsidP="00F470A8">
      <w:pPr>
        <w:widowControl w:val="0"/>
        <w:overflowPunct w:val="0"/>
        <w:autoSpaceDN/>
        <w:spacing w:line="500" w:lineRule="exact"/>
        <w:ind w:leftChars="261" w:left="626" w:firstLine="3"/>
        <w:jc w:val="center"/>
        <w:textAlignment w:val="auto"/>
        <w:rPr>
          <w:rFonts w:ascii="標楷體" w:eastAsia="標楷體" w:hAnsi="標楷體"/>
          <w:b/>
          <w:kern w:val="2"/>
          <w:sz w:val="34"/>
          <w:szCs w:val="34"/>
        </w:rPr>
      </w:pPr>
      <w:r w:rsidRPr="00347FA7">
        <w:rPr>
          <w:rFonts w:ascii="標楷體" w:eastAsia="標楷體" w:hAnsi="標楷體" w:hint="eastAsia"/>
          <w:b/>
          <w:kern w:val="2"/>
          <w:sz w:val="34"/>
          <w:szCs w:val="34"/>
        </w:rPr>
        <w:t>立法委員參加國內考察隨行公費助理費用報支原則</w:t>
      </w:r>
    </w:p>
    <w:p w14:paraId="364319D0" w14:textId="77777777" w:rsidR="00347FA7" w:rsidRPr="00347FA7" w:rsidRDefault="00347FA7" w:rsidP="00F470A8">
      <w:pPr>
        <w:widowControl w:val="0"/>
        <w:overflowPunct w:val="0"/>
        <w:autoSpaceDN/>
        <w:spacing w:line="500" w:lineRule="exact"/>
        <w:ind w:leftChars="140" w:left="625" w:hanging="289"/>
        <w:jc w:val="both"/>
        <w:textAlignment w:val="auto"/>
        <w:rPr>
          <w:rFonts w:ascii="標楷體" w:eastAsia="標楷體" w:hAnsi="標楷體"/>
          <w:kern w:val="2"/>
          <w:szCs w:val="24"/>
        </w:rPr>
      </w:pPr>
      <w:r w:rsidRPr="00347FA7">
        <w:rPr>
          <w:rFonts w:ascii="標楷體" w:eastAsia="標楷體" w:hAnsi="標楷體" w:hint="eastAsia"/>
          <w:kern w:val="2"/>
          <w:szCs w:val="24"/>
        </w:rPr>
        <w:t>中華民國101年5月28日院長核定</w:t>
      </w:r>
    </w:p>
    <w:p w14:paraId="4741FE3A" w14:textId="77777777" w:rsidR="00347FA7" w:rsidRPr="00347FA7" w:rsidRDefault="00347FA7" w:rsidP="00F470A8">
      <w:pPr>
        <w:widowControl w:val="0"/>
        <w:overflowPunct w:val="0"/>
        <w:autoSpaceDN/>
        <w:spacing w:line="240" w:lineRule="exact"/>
        <w:ind w:leftChars="140" w:left="625" w:hanging="289"/>
        <w:jc w:val="both"/>
        <w:textAlignment w:val="auto"/>
        <w:rPr>
          <w:rFonts w:ascii="標楷體" w:eastAsia="標楷體" w:hAnsi="標楷體"/>
          <w:kern w:val="2"/>
          <w:szCs w:val="24"/>
        </w:rPr>
      </w:pPr>
      <w:r w:rsidRPr="00347FA7">
        <w:rPr>
          <w:rFonts w:ascii="標楷體" w:eastAsia="標楷體" w:hAnsi="標楷體" w:hint="eastAsia"/>
          <w:kern w:val="2"/>
          <w:szCs w:val="24"/>
        </w:rPr>
        <w:t>中華民國103年9月23日院長核定修正</w:t>
      </w:r>
    </w:p>
    <w:p w14:paraId="49C2E3B7" w14:textId="77777777" w:rsidR="00347FA7" w:rsidRPr="00347FA7" w:rsidRDefault="00347FA7" w:rsidP="00F470A8">
      <w:pPr>
        <w:widowControl w:val="0"/>
        <w:overflowPunct w:val="0"/>
        <w:autoSpaceDN/>
        <w:spacing w:line="240" w:lineRule="exact"/>
        <w:ind w:leftChars="142" w:left="398" w:hanging="57"/>
        <w:jc w:val="both"/>
        <w:textAlignment w:val="auto"/>
        <w:rPr>
          <w:rFonts w:ascii="標楷體" w:eastAsia="標楷體" w:hAnsi="標楷體"/>
          <w:kern w:val="2"/>
          <w:szCs w:val="24"/>
        </w:rPr>
      </w:pPr>
      <w:r w:rsidRPr="00347FA7">
        <w:rPr>
          <w:rFonts w:ascii="標楷體" w:eastAsia="標楷體" w:hAnsi="標楷體" w:hint="eastAsia"/>
          <w:kern w:val="2"/>
          <w:szCs w:val="24"/>
        </w:rPr>
        <w:t>中華民國108年12月11日院長核定修正第3點</w:t>
      </w:r>
      <w:r w:rsidRPr="00347FA7">
        <w:rPr>
          <w:rFonts w:ascii="新細明體" w:hAnsi="新細明體" w:hint="eastAsia"/>
          <w:kern w:val="2"/>
          <w:szCs w:val="24"/>
        </w:rPr>
        <w:t>、</w:t>
      </w:r>
      <w:r w:rsidRPr="00347FA7">
        <w:rPr>
          <w:rFonts w:ascii="標楷體" w:eastAsia="標楷體" w:hAnsi="標楷體" w:hint="eastAsia"/>
          <w:kern w:val="2"/>
          <w:szCs w:val="24"/>
        </w:rPr>
        <w:t>第5點及第8點條文，自109年1月1日施行</w:t>
      </w:r>
    </w:p>
    <w:p w14:paraId="54A6CBDB"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一、為襄助立法委員參加本院各委員會舉辦之國內考察需要，特訂定本原則。</w:t>
      </w:r>
    </w:p>
    <w:p w14:paraId="1DE76B60"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二、本院各委員會舉辦之國內各相關部會業務考察，參加委員得視需要指定公費助理一人隨行。</w:t>
      </w:r>
    </w:p>
    <w:p w14:paraId="520EFB0B"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三、經委員指定隨行之公費助理，其配合考察團所產生之交通費及住宿費，得檢據核實報支。</w:t>
      </w:r>
    </w:p>
    <w:p w14:paraId="23C1C58A"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四、考察團搭乘飛機或高鐵者，經委員指定隨行之公費助理費用報支，以搭乘經濟艙或標準座為限。</w:t>
      </w:r>
    </w:p>
    <w:p w14:paraId="5BC4123A"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五、考察團需住宿者，經委員指定隨行之公費助理，每日住宿費報支以新臺幣二千元為上限。</w:t>
      </w:r>
    </w:p>
    <w:p w14:paraId="0BFC25C6"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六、考察團餐費由委員會統一核結者，隨行之公費助理部分得併入辦理。</w:t>
      </w:r>
    </w:p>
    <w:p w14:paraId="6341C337"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七、考察完畢後，隨行之公費助理相關費用，由各委員會依程序核銷。</w:t>
      </w:r>
    </w:p>
    <w:p w14:paraId="6CEB0E36" w14:textId="77777777" w:rsidR="00347FA7" w:rsidRPr="00347FA7" w:rsidRDefault="00347FA7" w:rsidP="00F470A8">
      <w:pPr>
        <w:widowControl w:val="0"/>
        <w:overflowPunct w:val="0"/>
        <w:autoSpaceDN/>
        <w:spacing w:line="540" w:lineRule="exact"/>
        <w:ind w:left="624" w:hanging="626"/>
        <w:jc w:val="both"/>
        <w:textAlignment w:val="auto"/>
        <w:rPr>
          <w:rFonts w:ascii="標楷體" w:eastAsia="標楷體" w:hAnsi="標楷體"/>
          <w:kern w:val="2"/>
          <w:sz w:val="30"/>
          <w:szCs w:val="30"/>
        </w:rPr>
      </w:pPr>
      <w:r w:rsidRPr="00347FA7">
        <w:rPr>
          <w:rFonts w:ascii="標楷體" w:eastAsia="標楷體" w:hAnsi="標楷體" w:hint="eastAsia"/>
          <w:kern w:val="2"/>
          <w:sz w:val="30"/>
          <w:szCs w:val="30"/>
        </w:rPr>
        <w:t>八、本原則經院長核定後施行。</w:t>
      </w:r>
    </w:p>
    <w:p w14:paraId="108D29C7" w14:textId="77777777" w:rsidR="00347FA7" w:rsidRPr="00347FA7" w:rsidRDefault="00347FA7" w:rsidP="00F470A8">
      <w:pPr>
        <w:widowControl w:val="0"/>
        <w:overflowPunct w:val="0"/>
        <w:autoSpaceDN/>
        <w:spacing w:line="540" w:lineRule="exact"/>
        <w:ind w:left="624" w:hanging="24"/>
        <w:jc w:val="both"/>
        <w:textAlignment w:val="auto"/>
        <w:rPr>
          <w:rFonts w:ascii="標楷體" w:eastAsia="標楷體" w:hAnsi="標楷體"/>
          <w:spacing w:val="-6"/>
          <w:kern w:val="2"/>
          <w:sz w:val="30"/>
          <w:szCs w:val="30"/>
        </w:rPr>
      </w:pPr>
      <w:r w:rsidRPr="00347FA7">
        <w:rPr>
          <w:rFonts w:ascii="標楷體" w:eastAsia="標楷體" w:hAnsi="標楷體" w:hint="eastAsia"/>
          <w:spacing w:val="-6"/>
          <w:kern w:val="2"/>
          <w:sz w:val="30"/>
          <w:szCs w:val="30"/>
        </w:rPr>
        <w:t>本原則修正條文，自中華民國一百零九年一月一日施行</w:t>
      </w:r>
      <w:r w:rsidRPr="00347FA7">
        <w:rPr>
          <w:rFonts w:ascii="標楷體" w:eastAsia="標楷體" w:hAnsi="標楷體" w:hint="eastAsia"/>
          <w:kern w:val="2"/>
          <w:sz w:val="30"/>
          <w:szCs w:val="30"/>
        </w:rPr>
        <w:t>。</w:t>
      </w:r>
    </w:p>
    <w:p w14:paraId="12886A06" w14:textId="77777777" w:rsidR="001F6F8D" w:rsidRDefault="001F6F8D" w:rsidP="00F470A8">
      <w:pPr>
        <w:overflowPunct w:val="0"/>
        <w:autoSpaceDN/>
        <w:textAlignment w:val="auto"/>
        <w:rPr>
          <w:rFonts w:ascii="新細明體" w:hAnsi="新細明體"/>
          <w:kern w:val="2"/>
          <w:szCs w:val="24"/>
        </w:rPr>
      </w:pPr>
      <w:r>
        <w:rPr>
          <w:rFonts w:ascii="新細明體" w:hAnsi="新細明體"/>
          <w:kern w:val="2"/>
          <w:szCs w:val="24"/>
        </w:rPr>
        <w:br w:type="page"/>
      </w:r>
    </w:p>
    <w:p w14:paraId="16581A89" w14:textId="77777777" w:rsidR="00D60E53" w:rsidRPr="00D60E53" w:rsidRDefault="00D60E53" w:rsidP="00F470A8">
      <w:pPr>
        <w:overflowPunct w:val="0"/>
        <w:spacing w:line="520" w:lineRule="exact"/>
        <w:outlineLvl w:val="1"/>
        <w:rPr>
          <w:rFonts w:ascii="標楷體" w:eastAsia="標楷體" w:hAnsi="標楷體"/>
          <w:b/>
          <w:spacing w:val="-20"/>
          <w:sz w:val="36"/>
          <w:szCs w:val="36"/>
        </w:rPr>
      </w:pPr>
      <w:bookmarkStart w:id="124" w:name="_Toc189487316"/>
      <w:r w:rsidRPr="00D60E53">
        <w:rPr>
          <w:rFonts w:ascii="標楷體" w:eastAsia="標楷體" w:hAnsi="標楷體" w:hint="eastAsia"/>
          <w:b/>
          <w:spacing w:val="-20"/>
          <w:sz w:val="36"/>
          <w:szCs w:val="36"/>
        </w:rPr>
        <w:lastRenderedPageBreak/>
        <w:t>二、全體委員會議</w:t>
      </w:r>
      <w:bookmarkEnd w:id="124"/>
    </w:p>
    <w:p w14:paraId="4CFEAFA4" w14:textId="77777777" w:rsidR="009D64D0" w:rsidRPr="008C2B1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25" w:name="_Toc189487317"/>
      <w:r w:rsidRPr="008C2B1A">
        <w:rPr>
          <w:rFonts w:ascii="標楷體" w:eastAsia="標楷體" w:hAnsi="標楷體" w:hint="eastAsia"/>
          <w:b/>
          <w:spacing w:val="-20"/>
          <w:sz w:val="32"/>
          <w:szCs w:val="32"/>
        </w:rPr>
        <w:t>立法院第11屆第2會期財政委員會第1次全體委員會議議事錄</w:t>
      </w:r>
      <w:bookmarkEnd w:id="125"/>
    </w:p>
    <w:p w14:paraId="61A5176B" w14:textId="77777777" w:rsidR="009D64D0" w:rsidRPr="00B45D93"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0B4B32">
        <w:rPr>
          <w:rFonts w:ascii="標楷體" w:eastAsia="標楷體" w:hAnsi="標楷體" w:hint="eastAsia"/>
          <w:sz w:val="32"/>
          <w:szCs w:val="32"/>
        </w:rPr>
        <w:t xml:space="preserve">時　　間　</w:t>
      </w:r>
      <w:r w:rsidRPr="004E2DEA">
        <w:rPr>
          <w:rFonts w:ascii="標楷體" w:eastAsia="標楷體" w:hAnsi="標楷體" w:hint="eastAsia"/>
          <w:spacing w:val="-20"/>
          <w:sz w:val="32"/>
          <w:szCs w:val="32"/>
        </w:rPr>
        <w:t>中華民國1</w:t>
      </w:r>
      <w:r>
        <w:rPr>
          <w:rFonts w:ascii="標楷體" w:eastAsia="標楷體" w:hAnsi="標楷體"/>
          <w:spacing w:val="-20"/>
          <w:sz w:val="32"/>
          <w:szCs w:val="32"/>
        </w:rPr>
        <w:t>1</w:t>
      </w:r>
      <w:r>
        <w:rPr>
          <w:rFonts w:ascii="標楷體" w:eastAsia="標楷體" w:hAnsi="標楷體" w:hint="eastAsia"/>
          <w:spacing w:val="-20"/>
          <w:sz w:val="32"/>
          <w:szCs w:val="32"/>
        </w:rPr>
        <w:t>3</w:t>
      </w:r>
      <w:r w:rsidRPr="004E2DEA">
        <w:rPr>
          <w:rFonts w:ascii="標楷體" w:eastAsia="標楷體" w:hAnsi="標楷體" w:hint="eastAsia"/>
          <w:spacing w:val="-20"/>
          <w:sz w:val="32"/>
          <w:szCs w:val="32"/>
        </w:rPr>
        <w:t>年</w:t>
      </w:r>
      <w:r>
        <w:rPr>
          <w:rFonts w:ascii="標楷體" w:eastAsia="標楷體" w:hAnsi="標楷體" w:hint="eastAsia"/>
          <w:spacing w:val="-20"/>
          <w:sz w:val="32"/>
          <w:szCs w:val="32"/>
        </w:rPr>
        <w:t>9</w:t>
      </w:r>
      <w:r w:rsidRPr="004E2DEA">
        <w:rPr>
          <w:rFonts w:ascii="標楷體" w:eastAsia="標楷體" w:hAnsi="標楷體" w:hint="eastAsia"/>
          <w:spacing w:val="-20"/>
          <w:sz w:val="32"/>
          <w:szCs w:val="32"/>
        </w:rPr>
        <w:t>月</w:t>
      </w:r>
      <w:r>
        <w:rPr>
          <w:rFonts w:ascii="標楷體" w:eastAsia="標楷體" w:hAnsi="標楷體" w:hint="eastAsia"/>
          <w:spacing w:val="-20"/>
          <w:sz w:val="32"/>
          <w:szCs w:val="32"/>
        </w:rPr>
        <w:t>25</w:t>
      </w:r>
      <w:r w:rsidRPr="004E2DEA">
        <w:rPr>
          <w:rFonts w:ascii="標楷體" w:eastAsia="標楷體" w:hAnsi="標楷體" w:hint="eastAsia"/>
          <w:spacing w:val="-20"/>
          <w:sz w:val="32"/>
          <w:szCs w:val="32"/>
        </w:rPr>
        <w:t>日(星期</w:t>
      </w:r>
      <w:r>
        <w:rPr>
          <w:rFonts w:ascii="標楷體" w:eastAsia="標楷體" w:hAnsi="標楷體" w:hint="eastAsia"/>
          <w:spacing w:val="-20"/>
          <w:sz w:val="32"/>
          <w:szCs w:val="32"/>
        </w:rPr>
        <w:t>三</w:t>
      </w:r>
      <w:r w:rsidRPr="004E2DEA">
        <w:rPr>
          <w:rFonts w:ascii="標楷體" w:eastAsia="標楷體" w:hAnsi="標楷體" w:hint="eastAsia"/>
          <w:spacing w:val="-20"/>
          <w:sz w:val="32"/>
          <w:szCs w:val="32"/>
        </w:rPr>
        <w:t>)</w:t>
      </w:r>
      <w:r w:rsidRPr="00E2605D">
        <w:rPr>
          <w:rFonts w:ascii="標楷體" w:eastAsia="標楷體" w:hAnsi="標楷體" w:hint="eastAsia"/>
          <w:spacing w:val="-20"/>
          <w:sz w:val="32"/>
          <w:szCs w:val="32"/>
        </w:rPr>
        <w:t>上午</w:t>
      </w:r>
      <w:r w:rsidRPr="00E2605D">
        <w:rPr>
          <w:rFonts w:ascii="標楷體" w:eastAsia="標楷體" w:hAnsi="標楷體" w:hint="eastAsia"/>
          <w:sz w:val="32"/>
          <w:szCs w:val="32"/>
        </w:rPr>
        <w:t>9</w:t>
      </w:r>
      <w:r w:rsidRPr="00E2605D">
        <w:rPr>
          <w:rFonts w:ascii="標楷體" w:eastAsia="標楷體" w:hAnsi="標楷體" w:hint="eastAsia"/>
          <w:spacing w:val="-20"/>
          <w:sz w:val="32"/>
          <w:szCs w:val="32"/>
        </w:rPr>
        <w:t>時2分</w:t>
      </w:r>
      <w:r w:rsidRPr="00B45D93">
        <w:rPr>
          <w:rFonts w:ascii="標楷體" w:eastAsia="標楷體" w:hAnsi="標楷體" w:hint="eastAsia"/>
          <w:spacing w:val="-20"/>
          <w:sz w:val="32"/>
          <w:szCs w:val="32"/>
        </w:rPr>
        <w:t>至1</w:t>
      </w:r>
      <w:r w:rsidRPr="00B45D93">
        <w:rPr>
          <w:rFonts w:ascii="標楷體" w:eastAsia="標楷體" w:hAnsi="標楷體"/>
          <w:spacing w:val="-20"/>
          <w:sz w:val="32"/>
          <w:szCs w:val="32"/>
        </w:rPr>
        <w:t>1</w:t>
      </w:r>
      <w:r w:rsidRPr="00B45D93">
        <w:rPr>
          <w:rFonts w:ascii="標楷體" w:eastAsia="標楷體" w:hAnsi="標楷體" w:hint="eastAsia"/>
          <w:spacing w:val="-20"/>
          <w:sz w:val="32"/>
          <w:szCs w:val="32"/>
        </w:rPr>
        <w:t>時3</w:t>
      </w:r>
      <w:r w:rsidRPr="00B45D93">
        <w:rPr>
          <w:rFonts w:ascii="標楷體" w:eastAsia="標楷體" w:hAnsi="標楷體"/>
          <w:spacing w:val="-20"/>
          <w:sz w:val="32"/>
          <w:szCs w:val="32"/>
        </w:rPr>
        <w:t>4</w:t>
      </w:r>
      <w:r w:rsidRPr="00B45D93">
        <w:rPr>
          <w:rFonts w:ascii="標楷體" w:eastAsia="標楷體" w:hAnsi="標楷體" w:hint="eastAsia"/>
          <w:spacing w:val="-20"/>
          <w:sz w:val="32"/>
          <w:szCs w:val="32"/>
        </w:rPr>
        <w:t>分</w:t>
      </w:r>
    </w:p>
    <w:p w14:paraId="158052D8" w14:textId="77777777" w:rsidR="009D64D0" w:rsidRPr="000B4B32" w:rsidRDefault="009D64D0" w:rsidP="00F470A8">
      <w:pPr>
        <w:kinsoku w:val="0"/>
        <w:overflowPunct w:val="0"/>
        <w:adjustRightInd w:val="0"/>
        <w:snapToGrid w:val="0"/>
        <w:spacing w:line="480" w:lineRule="exact"/>
        <w:ind w:left="1600" w:rightChars="100" w:right="240" w:hangingChars="500" w:hanging="1600"/>
        <w:jc w:val="both"/>
        <w:rPr>
          <w:rFonts w:ascii="標楷體" w:eastAsia="標楷體" w:hAnsi="標楷體"/>
          <w:sz w:val="32"/>
          <w:szCs w:val="32"/>
        </w:rPr>
      </w:pPr>
      <w:r w:rsidRPr="000B4B32">
        <w:rPr>
          <w:rFonts w:ascii="標楷體" w:eastAsia="標楷體" w:hAnsi="標楷體" w:hint="eastAsia"/>
          <w:sz w:val="32"/>
          <w:szCs w:val="32"/>
        </w:rPr>
        <w:t>地　　點　群賢樓9樓大禮堂</w:t>
      </w:r>
    </w:p>
    <w:p w14:paraId="78F6F968" w14:textId="36004EB5" w:rsidR="009D64D0" w:rsidRPr="008C2B1A"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kern w:val="2"/>
          <w:sz w:val="32"/>
          <w:szCs w:val="32"/>
        </w:rPr>
      </w:pPr>
      <w:r w:rsidRPr="008C2B1A">
        <w:rPr>
          <w:rFonts w:ascii="標楷體" w:eastAsia="標楷體" w:hAnsi="標楷體" w:hint="eastAsia"/>
          <w:sz w:val="32"/>
          <w:szCs w:val="32"/>
        </w:rPr>
        <w:t xml:space="preserve">出席委員　郭國文　賴惠員　吳秉叡　陳玉珍　林德福　顏寬恒　</w:t>
      </w:r>
      <w:r w:rsidRPr="008C2B1A">
        <w:rPr>
          <w:rFonts w:ascii="標楷體" w:eastAsia="標楷體" w:hAnsi="標楷體" w:hint="eastAsia"/>
          <w:kern w:val="2"/>
          <w:sz w:val="32"/>
          <w:szCs w:val="32"/>
        </w:rPr>
        <w:t>賴士葆　伍麗華</w:t>
      </w:r>
      <w:r w:rsidRPr="008C2B1A">
        <w:rPr>
          <w:rFonts w:ascii="標楷體" w:eastAsia="標楷體" w:hAnsi="標楷體" w:hint="eastAsia"/>
          <w:spacing w:val="-20"/>
          <w:kern w:val="2"/>
          <w:sz w:val="32"/>
          <w:szCs w:val="32"/>
        </w:rPr>
        <w:t>Saidhai Tahovecahe</w:t>
      </w:r>
      <w:r w:rsidRPr="008C2B1A">
        <w:rPr>
          <w:rFonts w:ascii="標楷體" w:eastAsia="標楷體" w:hAnsi="標楷體" w:hint="eastAsia"/>
          <w:kern w:val="2"/>
          <w:sz w:val="32"/>
          <w:szCs w:val="32"/>
        </w:rPr>
        <w:t xml:space="preserve">　王鴻薇　李彥秀</w:t>
      </w:r>
      <w:r w:rsidR="008C2B1A" w:rsidRPr="008C2B1A">
        <w:rPr>
          <w:rFonts w:ascii="標楷體" w:eastAsia="標楷體" w:hAnsi="標楷體" w:hint="eastAsia"/>
          <w:kern w:val="2"/>
          <w:sz w:val="32"/>
          <w:szCs w:val="32"/>
        </w:rPr>
        <w:t xml:space="preserve">　</w:t>
      </w:r>
      <w:r w:rsidRPr="008C2B1A">
        <w:rPr>
          <w:rFonts w:ascii="標楷體" w:eastAsia="標楷體" w:hAnsi="標楷體" w:hint="eastAsia"/>
          <w:kern w:val="2"/>
          <w:sz w:val="32"/>
          <w:szCs w:val="32"/>
        </w:rPr>
        <w:t xml:space="preserve">羅明才　李坤城　王世堅　</w:t>
      </w:r>
    </w:p>
    <w:p w14:paraId="35CB0849" w14:textId="49DF58AE" w:rsidR="009D64D0" w:rsidRPr="00B109B1"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b/>
          <w:sz w:val="32"/>
          <w:szCs w:val="32"/>
        </w:rPr>
      </w:pPr>
      <w:r w:rsidRPr="000B4B32">
        <w:rPr>
          <w:rFonts w:ascii="標楷體" w:eastAsia="標楷體" w:hAnsi="標楷體" w:hint="eastAsia"/>
          <w:sz w:val="32"/>
          <w:szCs w:val="32"/>
        </w:rPr>
        <w:t xml:space="preserve">　　　　</w:t>
      </w:r>
      <w:r w:rsidR="00F30D69" w:rsidRPr="00E41EE3">
        <w:rPr>
          <w:rFonts w:ascii="標楷體" w:eastAsia="標楷體" w:hAnsi="標楷體" w:hint="eastAsia"/>
          <w:sz w:val="32"/>
          <w:szCs w:val="32"/>
        </w:rPr>
        <w:t xml:space="preserve">　</w:t>
      </w:r>
      <w:r w:rsidRPr="00B109B1">
        <w:rPr>
          <w:rFonts w:ascii="標楷體" w:eastAsia="標楷體" w:hAnsi="標楷體" w:hint="eastAsia"/>
          <w:b/>
          <w:sz w:val="32"/>
          <w:szCs w:val="32"/>
        </w:rPr>
        <w:t>委員出席1</w:t>
      </w:r>
      <w:r>
        <w:rPr>
          <w:rFonts w:ascii="標楷體" w:eastAsia="標楷體" w:hAnsi="標楷體"/>
          <w:b/>
          <w:sz w:val="32"/>
          <w:szCs w:val="32"/>
        </w:rPr>
        <w:t>3</w:t>
      </w:r>
      <w:r w:rsidRPr="00B109B1">
        <w:rPr>
          <w:rFonts w:ascii="標楷體" w:eastAsia="標楷體" w:hAnsi="標楷體" w:hint="eastAsia"/>
          <w:b/>
          <w:sz w:val="32"/>
          <w:szCs w:val="32"/>
        </w:rPr>
        <w:t>人</w:t>
      </w:r>
    </w:p>
    <w:p w14:paraId="4909BBF3" w14:textId="77777777" w:rsidR="009D64D0" w:rsidRPr="00E41EE3"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E41EE3">
        <w:rPr>
          <w:rFonts w:ascii="標楷體" w:eastAsia="標楷體" w:hAnsi="標楷體" w:hint="eastAsia"/>
          <w:sz w:val="32"/>
          <w:szCs w:val="32"/>
        </w:rPr>
        <w:t xml:space="preserve">請假委員　黃珊珊　</w:t>
      </w:r>
    </w:p>
    <w:p w14:paraId="157C348B" w14:textId="77777777" w:rsidR="009D64D0" w:rsidRPr="00E41EE3"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b/>
          <w:sz w:val="32"/>
          <w:szCs w:val="32"/>
        </w:rPr>
      </w:pPr>
      <w:r w:rsidRPr="00E41EE3">
        <w:rPr>
          <w:rFonts w:ascii="標楷體" w:eastAsia="標楷體" w:hAnsi="標楷體" w:hint="eastAsia"/>
          <w:sz w:val="32"/>
          <w:szCs w:val="32"/>
        </w:rPr>
        <w:t xml:space="preserve">　　　　　</w:t>
      </w:r>
      <w:r w:rsidRPr="00E41EE3">
        <w:rPr>
          <w:rFonts w:ascii="標楷體" w:eastAsia="標楷體" w:hAnsi="標楷體" w:hint="eastAsia"/>
          <w:b/>
          <w:sz w:val="32"/>
          <w:szCs w:val="32"/>
        </w:rPr>
        <w:t>委員請假1人</w:t>
      </w:r>
    </w:p>
    <w:p w14:paraId="58F8751D" w14:textId="77777777" w:rsidR="009D64D0" w:rsidRPr="00185281"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color w:val="000000"/>
          <w:sz w:val="32"/>
          <w:szCs w:val="32"/>
        </w:rPr>
      </w:pPr>
      <w:r w:rsidRPr="00185281">
        <w:rPr>
          <w:rFonts w:ascii="標楷體" w:eastAsia="標楷體" w:hAnsi="標楷體" w:hint="eastAsia"/>
          <w:color w:val="000000"/>
          <w:sz w:val="32"/>
          <w:szCs w:val="32"/>
        </w:rPr>
        <w:t xml:space="preserve">主　　席　</w:t>
      </w:r>
      <w:r w:rsidRPr="00E41EE3">
        <w:rPr>
          <w:rFonts w:ascii="標楷體" w:eastAsia="標楷體" w:hAnsi="標楷體" w:hint="eastAsia"/>
          <w:sz w:val="32"/>
          <w:szCs w:val="32"/>
        </w:rPr>
        <w:t>陳委員玉珍</w:t>
      </w:r>
    </w:p>
    <w:p w14:paraId="4EB1B15A" w14:textId="77777777" w:rsidR="009D64D0" w:rsidRPr="000B4B32"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0B4B32">
        <w:rPr>
          <w:rFonts w:ascii="標楷體" w:eastAsia="標楷體" w:hAnsi="標楷體" w:hint="eastAsia"/>
          <w:sz w:val="32"/>
          <w:szCs w:val="32"/>
        </w:rPr>
        <w:t xml:space="preserve">專門委員　</w:t>
      </w:r>
      <w:r w:rsidRPr="0069028C">
        <w:rPr>
          <w:rFonts w:ascii="標楷體" w:eastAsia="標楷體" w:hAnsi="標楷體" w:hint="eastAsia"/>
          <w:sz w:val="32"/>
          <w:szCs w:val="32"/>
        </w:rPr>
        <w:t>林靜玟</w:t>
      </w:r>
    </w:p>
    <w:p w14:paraId="11ED9F0B" w14:textId="77777777" w:rsidR="009D64D0" w:rsidRPr="000B4B32"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0B4B32">
        <w:rPr>
          <w:rFonts w:ascii="標楷體" w:eastAsia="標楷體" w:hAnsi="標楷體" w:hint="eastAsia"/>
          <w:sz w:val="32"/>
          <w:szCs w:val="32"/>
        </w:rPr>
        <w:t xml:space="preserve">主任秘書　</w:t>
      </w:r>
      <w:r>
        <w:rPr>
          <w:rFonts w:ascii="標楷體" w:eastAsia="標楷體" w:hAnsi="標楷體" w:hint="eastAsia"/>
          <w:sz w:val="32"/>
          <w:szCs w:val="32"/>
        </w:rPr>
        <w:t>謝淑津</w:t>
      </w:r>
    </w:p>
    <w:p w14:paraId="63FB1833" w14:textId="77777777" w:rsidR="009D64D0"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bookmarkStart w:id="126" w:name="_Hlk82437597"/>
      <w:r w:rsidRPr="000B4B32">
        <w:rPr>
          <w:rFonts w:ascii="標楷體" w:eastAsia="標楷體" w:hAnsi="標楷體" w:hint="eastAsia"/>
          <w:sz w:val="32"/>
          <w:szCs w:val="32"/>
        </w:rPr>
        <w:t xml:space="preserve">紀　　錄　秘　書　</w:t>
      </w:r>
      <w:r>
        <w:rPr>
          <w:rFonts w:ascii="標楷體" w:eastAsia="標楷體" w:hAnsi="標楷體" w:hint="eastAsia"/>
          <w:sz w:val="32"/>
          <w:szCs w:val="32"/>
        </w:rPr>
        <w:t>吳人寬</w:t>
      </w:r>
      <w:r w:rsidRPr="000B4B32">
        <w:rPr>
          <w:rFonts w:ascii="標楷體" w:eastAsia="標楷體" w:hAnsi="標楷體" w:hint="eastAsia"/>
          <w:sz w:val="32"/>
          <w:szCs w:val="32"/>
        </w:rPr>
        <w:t xml:space="preserve">　</w:t>
      </w:r>
      <w:r>
        <w:rPr>
          <w:rFonts w:ascii="標楷體" w:eastAsia="標楷體" w:hAnsi="標楷體" w:hint="eastAsia"/>
          <w:sz w:val="32"/>
          <w:szCs w:val="32"/>
        </w:rPr>
        <w:t>研究員</w:t>
      </w:r>
      <w:r w:rsidRPr="000B4B32">
        <w:rPr>
          <w:rFonts w:ascii="標楷體" w:eastAsia="標楷體" w:hAnsi="標楷體" w:hint="eastAsia"/>
          <w:sz w:val="32"/>
          <w:szCs w:val="32"/>
        </w:rPr>
        <w:t xml:space="preserve">　</w:t>
      </w:r>
      <w:r>
        <w:rPr>
          <w:rFonts w:ascii="標楷體" w:eastAsia="標楷體" w:hAnsi="標楷體" w:hint="eastAsia"/>
          <w:sz w:val="32"/>
          <w:szCs w:val="32"/>
        </w:rPr>
        <w:t>黃惠雯</w:t>
      </w:r>
      <w:r w:rsidRPr="000B4B32">
        <w:rPr>
          <w:rFonts w:ascii="標楷體" w:eastAsia="標楷體" w:hAnsi="標楷體" w:hint="eastAsia"/>
          <w:sz w:val="32"/>
          <w:szCs w:val="32"/>
        </w:rPr>
        <w:t xml:space="preserve">　編　審　</w:t>
      </w:r>
      <w:r w:rsidRPr="0069028C">
        <w:rPr>
          <w:rFonts w:ascii="標楷體" w:eastAsia="標楷體" w:hAnsi="標楷體" w:hint="eastAsia"/>
          <w:sz w:val="32"/>
          <w:szCs w:val="32"/>
        </w:rPr>
        <w:t>伍明清</w:t>
      </w:r>
      <w:r w:rsidRPr="000B4B32">
        <w:rPr>
          <w:rFonts w:ascii="標楷體" w:eastAsia="標楷體" w:hAnsi="標楷體" w:hint="eastAsia"/>
          <w:sz w:val="32"/>
          <w:szCs w:val="32"/>
        </w:rPr>
        <w:t xml:space="preserve">　</w:t>
      </w:r>
    </w:p>
    <w:p w14:paraId="32DC4700" w14:textId="77777777" w:rsidR="009D64D0" w:rsidRPr="000B4B32" w:rsidRDefault="009D64D0" w:rsidP="00F470A8">
      <w:pPr>
        <w:kinsoku w:val="0"/>
        <w:overflowPunct w:val="0"/>
        <w:adjustRightInd w:val="0"/>
        <w:snapToGrid w:val="0"/>
        <w:spacing w:line="480" w:lineRule="exact"/>
        <w:ind w:left="1600" w:rightChars="-149" w:right="-358" w:hangingChars="500" w:hanging="1600"/>
        <w:jc w:val="both"/>
        <w:rPr>
          <w:rFonts w:hAnsi="標楷體"/>
        </w:rPr>
      </w:pPr>
      <w:r w:rsidRPr="000B4B32">
        <w:rPr>
          <w:rFonts w:ascii="標楷體" w:eastAsia="標楷體" w:hAnsi="標楷體" w:hint="eastAsia"/>
          <w:sz w:val="32"/>
          <w:szCs w:val="32"/>
        </w:rPr>
        <w:t xml:space="preserve">　　　　　</w:t>
      </w:r>
      <w:r w:rsidRPr="00C00287">
        <w:rPr>
          <w:rFonts w:ascii="標楷體" w:eastAsia="標楷體" w:hAnsi="標楷體" w:hint="eastAsia"/>
          <w:sz w:val="32"/>
          <w:szCs w:val="32"/>
        </w:rPr>
        <w:t xml:space="preserve">科　長　</w:t>
      </w:r>
      <w:r>
        <w:rPr>
          <w:rFonts w:ascii="標楷體" w:eastAsia="標楷體" w:hAnsi="標楷體" w:hint="eastAsia"/>
          <w:sz w:val="32"/>
          <w:szCs w:val="32"/>
        </w:rPr>
        <w:t>喻</w:t>
      </w:r>
      <w:r w:rsidRPr="004F0117">
        <w:rPr>
          <w:rFonts w:ascii="標楷體" w:eastAsia="標楷體" w:hAnsi="標楷體" w:hint="eastAsia"/>
          <w:sz w:val="32"/>
          <w:szCs w:val="32"/>
        </w:rPr>
        <w:t xml:space="preserve">　</w:t>
      </w:r>
      <w:r>
        <w:rPr>
          <w:rFonts w:ascii="標楷體" w:eastAsia="標楷體" w:hAnsi="標楷體" w:hint="eastAsia"/>
          <w:sz w:val="32"/>
          <w:szCs w:val="32"/>
        </w:rPr>
        <w:t>珊</w:t>
      </w:r>
      <w:r w:rsidRPr="00C00287">
        <w:rPr>
          <w:rFonts w:ascii="標楷體" w:eastAsia="標楷體" w:hAnsi="標楷體" w:hint="eastAsia"/>
          <w:sz w:val="32"/>
          <w:szCs w:val="32"/>
        </w:rPr>
        <w:t xml:space="preserve">　</w:t>
      </w:r>
      <w:r>
        <w:rPr>
          <w:rFonts w:ascii="標楷體" w:eastAsia="標楷體" w:hAnsi="標楷體" w:hint="eastAsia"/>
          <w:sz w:val="32"/>
          <w:szCs w:val="32"/>
        </w:rPr>
        <w:t>專</w:t>
      </w:r>
      <w:r w:rsidRPr="000B4B32">
        <w:rPr>
          <w:rFonts w:ascii="標楷體" w:eastAsia="標楷體" w:hAnsi="標楷體" w:hint="eastAsia"/>
          <w:sz w:val="32"/>
          <w:szCs w:val="32"/>
        </w:rPr>
        <w:t xml:space="preserve">　</w:t>
      </w:r>
      <w:r w:rsidRPr="00272EA3">
        <w:rPr>
          <w:rFonts w:ascii="標楷體" w:eastAsia="標楷體" w:hAnsi="標楷體" w:hint="eastAsia"/>
          <w:sz w:val="32"/>
          <w:szCs w:val="32"/>
        </w:rPr>
        <w:t>員</w:t>
      </w:r>
      <w:r w:rsidRPr="000B4B32">
        <w:rPr>
          <w:rFonts w:ascii="標楷體" w:eastAsia="標楷體" w:hAnsi="標楷體" w:hint="eastAsia"/>
          <w:sz w:val="32"/>
          <w:szCs w:val="32"/>
        </w:rPr>
        <w:t xml:space="preserve">　</w:t>
      </w:r>
      <w:bookmarkEnd w:id="126"/>
      <w:r>
        <w:rPr>
          <w:rFonts w:ascii="標楷體" w:eastAsia="標楷體" w:hAnsi="標楷體" w:hint="eastAsia"/>
          <w:sz w:val="32"/>
          <w:szCs w:val="32"/>
        </w:rPr>
        <w:t>沈克彬</w:t>
      </w:r>
    </w:p>
    <w:p w14:paraId="479CA91C" w14:textId="77777777" w:rsidR="009D64D0" w:rsidRPr="00F11366" w:rsidRDefault="009D64D0" w:rsidP="00F470A8">
      <w:pPr>
        <w:pStyle w:val="af5"/>
        <w:widowControl w:val="0"/>
        <w:overflowPunct w:val="0"/>
        <w:autoSpaceDN/>
        <w:spacing w:beforeLines="50" w:before="180" w:line="480" w:lineRule="exact"/>
        <w:rPr>
          <w:rFonts w:ascii="標楷體" w:eastAsia="標楷體" w:hAnsi="標楷體"/>
          <w:b/>
          <w:kern w:val="2"/>
          <w:sz w:val="32"/>
          <w:szCs w:val="32"/>
        </w:rPr>
      </w:pPr>
      <w:r w:rsidRPr="00F11366">
        <w:rPr>
          <w:rFonts w:ascii="標楷體" w:eastAsia="標楷體" w:hAnsi="標楷體" w:hint="eastAsia"/>
          <w:b/>
          <w:kern w:val="2"/>
          <w:sz w:val="32"/>
          <w:szCs w:val="32"/>
        </w:rPr>
        <w:t xml:space="preserve">　　報告事項</w:t>
      </w:r>
    </w:p>
    <w:p w14:paraId="60107667" w14:textId="77777777" w:rsidR="009D64D0" w:rsidRPr="00E9613E" w:rsidRDefault="009D64D0" w:rsidP="00F470A8">
      <w:pPr>
        <w:overflowPunct w:val="0"/>
        <w:autoSpaceDE w:val="0"/>
        <w:spacing w:line="480" w:lineRule="exact"/>
        <w:jc w:val="both"/>
        <w:rPr>
          <w:rFonts w:ascii="標楷體" w:eastAsia="標楷體" w:hAnsi="標楷體"/>
          <w:color w:val="000000"/>
          <w:sz w:val="32"/>
          <w:szCs w:val="32"/>
        </w:rPr>
      </w:pPr>
      <w:r w:rsidRPr="00E9613E">
        <w:rPr>
          <w:rFonts w:ascii="標楷體" w:eastAsia="標楷體" w:hAnsi="標楷體" w:hint="eastAsia"/>
          <w:color w:val="000000"/>
          <w:sz w:val="32"/>
          <w:szCs w:val="32"/>
        </w:rPr>
        <w:t>一、宣讀上次會議議事錄。</w:t>
      </w:r>
    </w:p>
    <w:p w14:paraId="729B4873" w14:textId="77777777" w:rsidR="009D64D0" w:rsidRDefault="009D64D0" w:rsidP="00F470A8">
      <w:pPr>
        <w:overflowPunct w:val="0"/>
        <w:autoSpaceDE w:val="0"/>
        <w:spacing w:line="480" w:lineRule="exact"/>
        <w:jc w:val="both"/>
        <w:rPr>
          <w:rFonts w:ascii="標楷體" w:eastAsia="標楷體" w:hAnsi="標楷體"/>
          <w:color w:val="000000"/>
          <w:sz w:val="32"/>
          <w:szCs w:val="32"/>
        </w:rPr>
      </w:pPr>
      <w:r w:rsidRPr="00E9613E">
        <w:rPr>
          <w:rFonts w:ascii="標楷體" w:eastAsia="標楷體" w:hAnsi="標楷體" w:hint="eastAsia"/>
          <w:color w:val="000000"/>
          <w:sz w:val="32"/>
          <w:szCs w:val="32"/>
        </w:rPr>
        <w:t>決定：議事錄確定。</w:t>
      </w:r>
    </w:p>
    <w:p w14:paraId="4A37475B" w14:textId="77777777" w:rsidR="009D64D0" w:rsidRPr="00E41EE3" w:rsidRDefault="009D64D0" w:rsidP="002024F5">
      <w:pPr>
        <w:overflowPunct w:val="0"/>
        <w:autoSpaceDE w:val="0"/>
        <w:spacing w:line="480" w:lineRule="exact"/>
        <w:ind w:left="640" w:hangingChars="200" w:hanging="640"/>
        <w:jc w:val="both"/>
        <w:rPr>
          <w:rFonts w:ascii="標楷體" w:eastAsia="標楷體" w:hAnsi="標楷體" w:cs="標楷體"/>
          <w:color w:val="000000"/>
          <w:sz w:val="32"/>
          <w:szCs w:val="32"/>
        </w:rPr>
      </w:pPr>
      <w:r w:rsidRPr="00E41EE3">
        <w:rPr>
          <w:rFonts w:ascii="標楷體" w:eastAsia="標楷體" w:hAnsi="標楷體" w:hint="eastAsia"/>
          <w:color w:val="000000"/>
          <w:sz w:val="32"/>
          <w:szCs w:val="32"/>
        </w:rPr>
        <w:t>二、</w:t>
      </w:r>
      <w:r w:rsidRPr="00E41EE3">
        <w:rPr>
          <w:rFonts w:ascii="標楷體" w:eastAsia="標楷體" w:hAnsi="標楷體" w:cs="標楷體" w:hint="eastAsia"/>
          <w:color w:val="000000"/>
          <w:sz w:val="32"/>
          <w:szCs w:val="32"/>
        </w:rPr>
        <w:t>本院秘書長函為「第11屆第2會期本院各委員會召集委員選舉相關事宜」業經本院人事處提報本院第11屆第2會期第</w:t>
      </w:r>
      <w:r w:rsidRPr="00E41EE3">
        <w:rPr>
          <w:rFonts w:ascii="標楷體" w:eastAsia="標楷體" w:hAnsi="標楷體" w:cs="標楷體"/>
          <w:color w:val="000000"/>
          <w:sz w:val="32"/>
          <w:szCs w:val="32"/>
        </w:rPr>
        <w:t>1</w:t>
      </w:r>
      <w:r w:rsidRPr="00E41EE3">
        <w:rPr>
          <w:rFonts w:ascii="標楷體" w:eastAsia="標楷體" w:hAnsi="標楷體" w:cs="標楷體" w:hint="eastAsia"/>
          <w:color w:val="000000"/>
          <w:sz w:val="32"/>
          <w:szCs w:val="32"/>
        </w:rPr>
        <w:t>次會議決定照案通過在案。</w:t>
      </w:r>
    </w:p>
    <w:p w14:paraId="45B95755" w14:textId="08384F9A" w:rsidR="009D64D0" w:rsidRPr="000B4B32" w:rsidRDefault="008C2B1A" w:rsidP="00F470A8">
      <w:pPr>
        <w:pStyle w:val="aff8"/>
        <w:widowControl w:val="0"/>
        <w:overflowPunct w:val="0"/>
        <w:autoSpaceDN/>
        <w:spacing w:line="480" w:lineRule="exact"/>
        <w:jc w:val="both"/>
        <w:rPr>
          <w:rFonts w:cs="標楷體"/>
          <w:color w:val="000000"/>
          <w:sz w:val="32"/>
          <w:szCs w:val="32"/>
        </w:rPr>
      </w:pPr>
      <w:r>
        <w:rPr>
          <w:rFonts w:cs="標楷體" w:hint="eastAsia"/>
          <w:color w:val="000000"/>
          <w:sz w:val="32"/>
          <w:szCs w:val="32"/>
        </w:rPr>
        <w:t>三、</w:t>
      </w:r>
      <w:r w:rsidR="009D64D0" w:rsidRPr="000B4B32">
        <w:rPr>
          <w:rFonts w:cs="標楷體" w:hint="eastAsia"/>
          <w:color w:val="000000"/>
          <w:sz w:val="32"/>
          <w:szCs w:val="32"/>
        </w:rPr>
        <w:t>宣讀本會期本會召集委員選舉人名冊。</w:t>
      </w:r>
    </w:p>
    <w:p w14:paraId="72583995" w14:textId="77777777" w:rsidR="009D64D0" w:rsidRPr="00F11366" w:rsidRDefault="009D64D0" w:rsidP="00F470A8">
      <w:pPr>
        <w:pStyle w:val="af5"/>
        <w:widowControl w:val="0"/>
        <w:overflowPunct w:val="0"/>
        <w:autoSpaceDN/>
        <w:spacing w:beforeLines="50" w:before="180" w:line="480" w:lineRule="exact"/>
        <w:rPr>
          <w:rFonts w:ascii="標楷體" w:eastAsia="標楷體" w:hAnsi="標楷體"/>
          <w:b/>
          <w:kern w:val="2"/>
          <w:sz w:val="32"/>
          <w:szCs w:val="32"/>
        </w:rPr>
      </w:pPr>
      <w:r w:rsidRPr="00F11366">
        <w:rPr>
          <w:rFonts w:ascii="標楷體" w:eastAsia="標楷體" w:hAnsi="標楷體" w:hint="eastAsia"/>
          <w:b/>
          <w:kern w:val="2"/>
          <w:sz w:val="32"/>
          <w:szCs w:val="32"/>
        </w:rPr>
        <w:t xml:space="preserve">　　選舉事項</w:t>
      </w:r>
    </w:p>
    <w:p w14:paraId="3DA603F0" w14:textId="77777777" w:rsidR="009D64D0" w:rsidRPr="00F11366" w:rsidRDefault="009D64D0" w:rsidP="00F470A8">
      <w:pPr>
        <w:pStyle w:val="af5"/>
        <w:widowControl w:val="0"/>
        <w:tabs>
          <w:tab w:val="left" w:pos="1260"/>
        </w:tabs>
        <w:overflowPunct w:val="0"/>
        <w:autoSpaceDN/>
        <w:spacing w:line="480" w:lineRule="exact"/>
        <w:jc w:val="both"/>
        <w:rPr>
          <w:rFonts w:ascii="標楷體" w:eastAsia="標楷體" w:hAnsi="標楷體" w:cs="標楷體"/>
          <w:color w:val="000000"/>
          <w:kern w:val="2"/>
          <w:sz w:val="32"/>
          <w:szCs w:val="32"/>
        </w:rPr>
      </w:pPr>
      <w:r w:rsidRPr="00F11366">
        <w:rPr>
          <w:rFonts w:ascii="標楷體" w:eastAsia="標楷體" w:hAnsi="標楷體" w:cs="標楷體" w:hint="eastAsia"/>
          <w:color w:val="000000"/>
          <w:kern w:val="2"/>
          <w:sz w:val="32"/>
          <w:szCs w:val="32"/>
        </w:rPr>
        <w:t>選舉立法院第11屆第2會期本會召集委員。</w:t>
      </w:r>
    </w:p>
    <w:p w14:paraId="24F1DCF0" w14:textId="49FC2675" w:rsidR="009D64D0" w:rsidRPr="00E41EE3" w:rsidRDefault="009D64D0" w:rsidP="00F470A8">
      <w:pPr>
        <w:pStyle w:val="aff8"/>
        <w:overflowPunct w:val="0"/>
        <w:spacing w:line="480" w:lineRule="exact"/>
        <w:jc w:val="both"/>
        <w:rPr>
          <w:rFonts w:cs="標楷體"/>
          <w:sz w:val="32"/>
          <w:szCs w:val="32"/>
        </w:rPr>
      </w:pPr>
      <w:r>
        <w:rPr>
          <w:rFonts w:cs="標楷體" w:hint="eastAsia"/>
          <w:color w:val="000000"/>
          <w:sz w:val="32"/>
          <w:szCs w:val="32"/>
        </w:rPr>
        <w:t>(依「立法院各委員會召集委員選舉辦法」第5條及第8條，召集委員之選舉，</w:t>
      </w:r>
      <w:r w:rsidRPr="00185281">
        <w:rPr>
          <w:rFonts w:cs="標楷體" w:hint="eastAsia"/>
          <w:color w:val="000000"/>
          <w:sz w:val="32"/>
          <w:szCs w:val="32"/>
        </w:rPr>
        <w:t>以無記名單記法票選之。經在場委員互推，由</w:t>
      </w:r>
      <w:r w:rsidRPr="00E41EE3">
        <w:rPr>
          <w:rFonts w:hint="eastAsia"/>
          <w:sz w:val="32"/>
          <w:szCs w:val="32"/>
        </w:rPr>
        <w:t>賴</w:t>
      </w:r>
      <w:r w:rsidRPr="00E41EE3">
        <w:rPr>
          <w:rFonts w:cs="標楷體" w:hint="eastAsia"/>
          <w:sz w:val="32"/>
          <w:szCs w:val="32"/>
        </w:rPr>
        <w:t>委員惠員擔任發票員、李委員彥秀擔任唱票員、李委員彥秀擔任記票員、賴委員</w:t>
      </w:r>
      <w:r>
        <w:rPr>
          <w:rFonts w:cs="標楷體" w:hint="eastAsia"/>
          <w:sz w:val="32"/>
          <w:szCs w:val="32"/>
        </w:rPr>
        <w:t>惠</w:t>
      </w:r>
      <w:r w:rsidRPr="00E41EE3">
        <w:rPr>
          <w:rFonts w:cs="標楷體" w:hint="eastAsia"/>
          <w:sz w:val="32"/>
          <w:szCs w:val="32"/>
        </w:rPr>
        <w:t>員擔任監票員。)</w:t>
      </w:r>
    </w:p>
    <w:p w14:paraId="6DB5B95A" w14:textId="77777777" w:rsidR="009D64D0" w:rsidRPr="00147E78" w:rsidRDefault="009D64D0" w:rsidP="00F470A8">
      <w:pPr>
        <w:pStyle w:val="af5"/>
        <w:widowControl w:val="0"/>
        <w:overflowPunct w:val="0"/>
        <w:autoSpaceDN/>
        <w:spacing w:beforeLines="50" w:before="180" w:line="480" w:lineRule="exact"/>
        <w:ind w:left="1602" w:hangingChars="500" w:hanging="1602"/>
        <w:jc w:val="both"/>
        <w:rPr>
          <w:rFonts w:ascii="標楷體" w:eastAsia="標楷體" w:hAnsi="標楷體"/>
          <w:color w:val="000000"/>
          <w:kern w:val="2"/>
          <w:sz w:val="32"/>
          <w:szCs w:val="32"/>
        </w:rPr>
      </w:pPr>
      <w:r w:rsidRPr="00F11366">
        <w:rPr>
          <w:rFonts w:ascii="標楷體" w:eastAsia="標楷體" w:hAnsi="標楷體" w:hint="eastAsia"/>
          <w:b/>
          <w:kern w:val="2"/>
          <w:sz w:val="32"/>
          <w:szCs w:val="32"/>
        </w:rPr>
        <w:t>選舉結果</w:t>
      </w:r>
      <w:r>
        <w:rPr>
          <w:rFonts w:hAnsi="標楷體" w:cs="標楷體" w:hint="eastAsia"/>
        </w:rPr>
        <w:t>：</w:t>
      </w:r>
      <w:r w:rsidRPr="00147E78">
        <w:rPr>
          <w:rFonts w:ascii="標楷體" w:eastAsia="標楷體" w:hAnsi="標楷體" w:hint="eastAsia"/>
          <w:color w:val="000000"/>
          <w:kern w:val="2"/>
          <w:sz w:val="32"/>
          <w:szCs w:val="32"/>
        </w:rPr>
        <w:t>出席委員</w:t>
      </w:r>
      <w:r w:rsidRPr="00147E78">
        <w:rPr>
          <w:rFonts w:ascii="標楷體" w:eastAsia="標楷體" w:hAnsi="標楷體"/>
          <w:color w:val="000000"/>
          <w:kern w:val="2"/>
          <w:sz w:val="32"/>
          <w:szCs w:val="32"/>
        </w:rPr>
        <w:t>13</w:t>
      </w:r>
      <w:r w:rsidRPr="00147E78">
        <w:rPr>
          <w:rFonts w:ascii="標楷體" w:eastAsia="標楷體" w:hAnsi="標楷體" w:hint="eastAsia"/>
          <w:color w:val="000000"/>
          <w:kern w:val="2"/>
          <w:sz w:val="32"/>
          <w:szCs w:val="32"/>
        </w:rPr>
        <w:t>人，發出票數1</w:t>
      </w:r>
      <w:r w:rsidRPr="00147E78">
        <w:rPr>
          <w:rFonts w:ascii="標楷體" w:eastAsia="標楷體" w:hAnsi="標楷體"/>
          <w:color w:val="000000"/>
          <w:kern w:val="2"/>
          <w:sz w:val="32"/>
          <w:szCs w:val="32"/>
        </w:rPr>
        <w:t>3</w:t>
      </w:r>
      <w:r w:rsidRPr="00147E78">
        <w:rPr>
          <w:rFonts w:ascii="標楷體" w:eastAsia="標楷體" w:hAnsi="標楷體" w:hint="eastAsia"/>
          <w:color w:val="000000"/>
          <w:kern w:val="2"/>
          <w:sz w:val="32"/>
          <w:szCs w:val="32"/>
        </w:rPr>
        <w:t>票、開出票數</w:t>
      </w:r>
      <w:r w:rsidRPr="00147E78">
        <w:rPr>
          <w:rFonts w:ascii="標楷體" w:eastAsia="標楷體" w:hAnsi="標楷體"/>
          <w:color w:val="000000"/>
          <w:kern w:val="2"/>
          <w:sz w:val="32"/>
          <w:szCs w:val="32"/>
        </w:rPr>
        <w:t>13</w:t>
      </w:r>
      <w:r w:rsidRPr="00147E78">
        <w:rPr>
          <w:rFonts w:ascii="標楷體" w:eastAsia="標楷體" w:hAnsi="標楷體" w:hint="eastAsia"/>
          <w:color w:val="000000"/>
          <w:kern w:val="2"/>
          <w:sz w:val="32"/>
          <w:szCs w:val="32"/>
        </w:rPr>
        <w:t>票，開票結</w:t>
      </w:r>
      <w:r w:rsidRPr="00147E78">
        <w:rPr>
          <w:rFonts w:ascii="標楷體" w:eastAsia="標楷體" w:hAnsi="標楷體" w:hint="eastAsia"/>
          <w:color w:val="000000"/>
          <w:kern w:val="2"/>
          <w:sz w:val="32"/>
          <w:szCs w:val="32"/>
        </w:rPr>
        <w:lastRenderedPageBreak/>
        <w:t>果為陳委員玉珍7票、賴委員惠員6票。由陳委員玉珍及賴委員惠員當選立法院第11屆第2會期財政委員會召集委員。</w:t>
      </w:r>
    </w:p>
    <w:p w14:paraId="6F94AD8D" w14:textId="77777777" w:rsidR="009D64D0" w:rsidRPr="00F11366" w:rsidRDefault="009D64D0" w:rsidP="00F470A8">
      <w:pPr>
        <w:pStyle w:val="af5"/>
        <w:widowControl w:val="0"/>
        <w:overflowPunct w:val="0"/>
        <w:autoSpaceDN/>
        <w:spacing w:line="480" w:lineRule="exact"/>
        <w:jc w:val="both"/>
        <w:rPr>
          <w:rFonts w:ascii="標楷體" w:eastAsia="標楷體" w:hAnsi="標楷體"/>
          <w:b/>
          <w:kern w:val="2"/>
          <w:sz w:val="32"/>
          <w:szCs w:val="32"/>
        </w:rPr>
      </w:pPr>
      <w:r w:rsidRPr="00F11366">
        <w:rPr>
          <w:rFonts w:ascii="標楷體" w:eastAsia="標楷體" w:hAnsi="標楷體" w:hint="eastAsia"/>
          <w:b/>
          <w:kern w:val="2"/>
          <w:sz w:val="32"/>
          <w:szCs w:val="32"/>
        </w:rPr>
        <w:t>散會</w:t>
      </w:r>
    </w:p>
    <w:p w14:paraId="35D2DDCE" w14:textId="77777777" w:rsidR="00865BBE" w:rsidRDefault="00865BBE" w:rsidP="00F470A8">
      <w:pPr>
        <w:overflowPunct w:val="0"/>
        <w:autoSpaceDN/>
        <w:textAlignment w:val="auto"/>
        <w:rPr>
          <w:rFonts w:ascii="細明體" w:eastAsia="細明體" w:hAnsi="標楷體" w:cs="Courier New"/>
          <w:b/>
          <w:szCs w:val="24"/>
        </w:rPr>
      </w:pPr>
      <w:r>
        <w:rPr>
          <w:rFonts w:hAnsi="標楷體"/>
          <w:b/>
        </w:rPr>
        <w:br w:type="page"/>
      </w:r>
    </w:p>
    <w:p w14:paraId="7593EABE" w14:textId="77777777" w:rsidR="009D64D0" w:rsidRPr="00D01D86"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27" w:name="_Toc189487318"/>
      <w:r w:rsidRPr="00D01D86">
        <w:rPr>
          <w:rFonts w:ascii="標楷體" w:eastAsia="標楷體" w:hAnsi="標楷體" w:hint="eastAsia"/>
          <w:b/>
          <w:spacing w:val="-20"/>
          <w:sz w:val="32"/>
          <w:szCs w:val="32"/>
        </w:rPr>
        <w:lastRenderedPageBreak/>
        <w:t>立法院第1</w:t>
      </w:r>
      <w:r w:rsidRPr="00D01D86">
        <w:rPr>
          <w:rFonts w:ascii="標楷體" w:eastAsia="標楷體" w:hAnsi="標楷體"/>
          <w:b/>
          <w:spacing w:val="-20"/>
          <w:sz w:val="32"/>
          <w:szCs w:val="32"/>
        </w:rPr>
        <w:t>1</w:t>
      </w:r>
      <w:r w:rsidRPr="00D01D86">
        <w:rPr>
          <w:rFonts w:ascii="標楷體" w:eastAsia="標楷體" w:hAnsi="標楷體" w:hint="eastAsia"/>
          <w:b/>
          <w:spacing w:val="-20"/>
          <w:sz w:val="32"/>
          <w:szCs w:val="32"/>
        </w:rPr>
        <w:t>屆第2會期財政委員會第2次全體委員會議議事錄</w:t>
      </w:r>
      <w:bookmarkEnd w:id="127"/>
    </w:p>
    <w:p w14:paraId="46A18318"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時　　間　中華民國11</w:t>
      </w:r>
      <w:r w:rsidRPr="00F11366">
        <w:rPr>
          <w:rFonts w:ascii="標楷體" w:eastAsia="標楷體" w:hAnsi="標楷體"/>
          <w:spacing w:val="-20"/>
          <w:sz w:val="32"/>
          <w:szCs w:val="32"/>
        </w:rPr>
        <w:t>3</w:t>
      </w:r>
      <w:r w:rsidRPr="00F11366">
        <w:rPr>
          <w:rFonts w:ascii="標楷體" w:eastAsia="標楷體" w:hAnsi="標楷體" w:hint="eastAsia"/>
          <w:spacing w:val="-20"/>
          <w:sz w:val="32"/>
          <w:szCs w:val="32"/>
        </w:rPr>
        <w:t>年10月16日（星期三）9時至1</w:t>
      </w:r>
      <w:r w:rsidRPr="00F11366">
        <w:rPr>
          <w:rFonts w:ascii="標楷體" w:eastAsia="標楷體" w:hAnsi="標楷體"/>
          <w:spacing w:val="-20"/>
          <w:sz w:val="32"/>
          <w:szCs w:val="32"/>
        </w:rPr>
        <w:t>3</w:t>
      </w:r>
      <w:r w:rsidRPr="00F11366">
        <w:rPr>
          <w:rFonts w:ascii="標楷體" w:eastAsia="標楷體" w:hAnsi="標楷體" w:hint="eastAsia"/>
          <w:spacing w:val="-20"/>
          <w:sz w:val="32"/>
          <w:szCs w:val="32"/>
        </w:rPr>
        <w:t>時</w:t>
      </w:r>
    </w:p>
    <w:p w14:paraId="3D2F042A"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中華民國11</w:t>
      </w:r>
      <w:r w:rsidRPr="00F11366">
        <w:rPr>
          <w:rFonts w:ascii="標楷體" w:eastAsia="標楷體" w:hAnsi="標楷體"/>
          <w:spacing w:val="-20"/>
          <w:sz w:val="32"/>
          <w:szCs w:val="32"/>
        </w:rPr>
        <w:t>3</w:t>
      </w:r>
      <w:r w:rsidRPr="00F11366">
        <w:rPr>
          <w:rFonts w:ascii="標楷體" w:eastAsia="標楷體" w:hAnsi="標楷體" w:hint="eastAsia"/>
          <w:spacing w:val="-20"/>
          <w:sz w:val="32"/>
          <w:szCs w:val="32"/>
        </w:rPr>
        <w:t>年10月17日（星期四）9時至1</w:t>
      </w:r>
      <w:r w:rsidRPr="00F11366">
        <w:rPr>
          <w:rFonts w:ascii="標楷體" w:eastAsia="標楷體" w:hAnsi="標楷體"/>
          <w:spacing w:val="-20"/>
          <w:sz w:val="32"/>
          <w:szCs w:val="32"/>
        </w:rPr>
        <w:t>2</w:t>
      </w:r>
      <w:r w:rsidRPr="00F11366">
        <w:rPr>
          <w:rFonts w:ascii="標楷體" w:eastAsia="標楷體" w:hAnsi="標楷體" w:hint="eastAsia"/>
          <w:spacing w:val="-20"/>
          <w:sz w:val="32"/>
          <w:szCs w:val="32"/>
        </w:rPr>
        <w:t>時</w:t>
      </w:r>
      <w:r w:rsidRPr="00F11366">
        <w:rPr>
          <w:rFonts w:ascii="標楷體" w:eastAsia="標楷體" w:hAnsi="標楷體"/>
          <w:spacing w:val="-20"/>
          <w:sz w:val="32"/>
          <w:szCs w:val="32"/>
        </w:rPr>
        <w:t>2</w:t>
      </w:r>
      <w:r w:rsidRPr="00F11366">
        <w:rPr>
          <w:rFonts w:ascii="標楷體" w:eastAsia="標楷體" w:hAnsi="標楷體" w:hint="eastAsia"/>
          <w:spacing w:val="-20"/>
          <w:sz w:val="32"/>
          <w:szCs w:val="32"/>
        </w:rPr>
        <w:t>分</w:t>
      </w:r>
    </w:p>
    <w:p w14:paraId="4FBF8DEF"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地　　點　群賢樓9樓大禮堂</w:t>
      </w:r>
    </w:p>
    <w:p w14:paraId="02B4D907" w14:textId="77777777" w:rsidR="009D64D0" w:rsidRPr="00D01D86"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sz w:val="32"/>
          <w:szCs w:val="32"/>
        </w:rPr>
      </w:pPr>
      <w:r w:rsidRPr="00D01D86">
        <w:rPr>
          <w:rFonts w:ascii="標楷體" w:eastAsia="標楷體" w:hAnsi="標楷體" w:hint="eastAsia"/>
          <w:sz w:val="32"/>
          <w:szCs w:val="32"/>
        </w:rPr>
        <w:t>出席委員　林德福　吳秉叡　賴士葆　賴惠員　李彥秀　王鴻薇　李坤城　黃珊珊　郭國文　顏寬恒　羅明才　王世堅　伍麗華</w:t>
      </w:r>
      <w:r w:rsidRPr="00D01D86">
        <w:rPr>
          <w:rFonts w:ascii="標楷體" w:eastAsia="標楷體" w:hAnsi="標楷體" w:hint="eastAsia"/>
          <w:spacing w:val="-20"/>
          <w:sz w:val="32"/>
          <w:szCs w:val="32"/>
        </w:rPr>
        <w:t>Saidhai Tahovecahe</w:t>
      </w:r>
      <w:r w:rsidRPr="00D01D86">
        <w:rPr>
          <w:rFonts w:ascii="標楷體" w:eastAsia="標楷體" w:hAnsi="標楷體" w:hint="eastAsia"/>
          <w:sz w:val="32"/>
          <w:szCs w:val="32"/>
        </w:rPr>
        <w:t xml:space="preserve">　陳玉珍　</w:t>
      </w:r>
    </w:p>
    <w:p w14:paraId="6EF694CB" w14:textId="18ABA8A8" w:rsidR="009D64D0" w:rsidRPr="00546A5D" w:rsidRDefault="00546A5D"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b/>
          <w:bCs/>
          <w:sz w:val="32"/>
          <w:szCs w:val="32"/>
        </w:rPr>
      </w:pPr>
      <w:r w:rsidRPr="00546A5D">
        <w:rPr>
          <w:rFonts w:ascii="標楷體" w:eastAsia="標楷體" w:hAnsi="標楷體" w:hint="eastAsia"/>
          <w:sz w:val="32"/>
          <w:szCs w:val="32"/>
        </w:rPr>
        <w:t xml:space="preserve">　　　　　</w:t>
      </w:r>
      <w:r w:rsidR="009D64D0" w:rsidRPr="00546A5D">
        <w:rPr>
          <w:rFonts w:ascii="標楷體" w:eastAsia="標楷體" w:hAnsi="標楷體" w:hint="eastAsia"/>
          <w:b/>
          <w:bCs/>
          <w:sz w:val="32"/>
          <w:szCs w:val="32"/>
        </w:rPr>
        <w:t>委員出席1</w:t>
      </w:r>
      <w:r w:rsidR="009D64D0" w:rsidRPr="00546A5D">
        <w:rPr>
          <w:rFonts w:ascii="標楷體" w:eastAsia="標楷體" w:hAnsi="標楷體"/>
          <w:b/>
          <w:bCs/>
          <w:sz w:val="32"/>
          <w:szCs w:val="32"/>
        </w:rPr>
        <w:t>4</w:t>
      </w:r>
      <w:r w:rsidR="009D64D0" w:rsidRPr="00546A5D">
        <w:rPr>
          <w:rFonts w:ascii="標楷體" w:eastAsia="標楷體" w:hAnsi="標楷體" w:hint="eastAsia"/>
          <w:b/>
          <w:bCs/>
          <w:sz w:val="32"/>
          <w:szCs w:val="32"/>
        </w:rPr>
        <w:t>人</w:t>
      </w:r>
    </w:p>
    <w:p w14:paraId="04B712E2" w14:textId="77777777" w:rsidR="009D64D0" w:rsidRPr="00D01D86"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sz w:val="32"/>
          <w:szCs w:val="32"/>
        </w:rPr>
      </w:pPr>
      <w:r w:rsidRPr="00D01D86">
        <w:rPr>
          <w:rFonts w:ascii="標楷體" w:eastAsia="標楷體" w:hAnsi="標楷體" w:hint="eastAsia"/>
          <w:sz w:val="32"/>
          <w:szCs w:val="32"/>
        </w:rPr>
        <w:t>列席委員　陳培瑜　鄭天財</w:t>
      </w:r>
      <w:r w:rsidRPr="00D01D86">
        <w:rPr>
          <w:rFonts w:ascii="標楷體" w:eastAsia="標楷體" w:hAnsi="標楷體"/>
          <w:spacing w:val="-22"/>
          <w:sz w:val="32"/>
          <w:szCs w:val="32"/>
        </w:rPr>
        <w:t>Sra Kacaw</w:t>
      </w:r>
      <w:r w:rsidRPr="00D01D86">
        <w:rPr>
          <w:rFonts w:ascii="標楷體" w:eastAsia="標楷體" w:hAnsi="標楷體" w:hint="eastAsia"/>
          <w:sz w:val="32"/>
          <w:szCs w:val="32"/>
        </w:rPr>
        <w:t xml:space="preserve">　洪孟楷　林楚茵　陳菁徽　葛如鈞　羅廷瑋　楊瓊瓔　張嘉郡　鄭正鈐　</w:t>
      </w:r>
      <w:r w:rsidRPr="00DC1D2B">
        <w:rPr>
          <w:rFonts w:ascii="標楷體" w:eastAsia="標楷體" w:hAnsi="標楷體" w:hint="eastAsia"/>
          <w:spacing w:val="-72"/>
          <w:sz w:val="32"/>
          <w:szCs w:val="32"/>
        </w:rPr>
        <w:t>高金素梅</w:t>
      </w:r>
      <w:r w:rsidRPr="00D01D86">
        <w:rPr>
          <w:rFonts w:ascii="標楷體" w:eastAsia="標楷體" w:hAnsi="標楷體" w:hint="eastAsia"/>
          <w:sz w:val="32"/>
          <w:szCs w:val="32"/>
        </w:rPr>
        <w:t xml:space="preserve">　蔡易餘　邱志偉　黃健豪　廖先翔　謝衣鳯　蘇清泉　謝龍介　麥玉珍　羅智強　徐巧芯　葉元之</w:t>
      </w:r>
    </w:p>
    <w:p w14:paraId="7E5C1821" w14:textId="7EB94AC8" w:rsidR="009D64D0" w:rsidRPr="00546A5D" w:rsidRDefault="00546A5D"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b/>
          <w:bCs/>
          <w:sz w:val="32"/>
          <w:szCs w:val="32"/>
        </w:rPr>
      </w:pPr>
      <w:r w:rsidRPr="00546A5D">
        <w:rPr>
          <w:rFonts w:ascii="標楷體" w:eastAsia="標楷體" w:hAnsi="標楷體" w:hint="eastAsia"/>
          <w:sz w:val="32"/>
          <w:szCs w:val="32"/>
        </w:rPr>
        <w:t xml:space="preserve">　　　　　</w:t>
      </w:r>
      <w:r w:rsidR="009D64D0" w:rsidRPr="00546A5D">
        <w:rPr>
          <w:rFonts w:ascii="標楷體" w:eastAsia="標楷體" w:hAnsi="標楷體" w:hint="eastAsia"/>
          <w:b/>
          <w:bCs/>
          <w:sz w:val="32"/>
          <w:szCs w:val="32"/>
        </w:rPr>
        <w:t>委員列席</w:t>
      </w:r>
      <w:r w:rsidR="009D64D0" w:rsidRPr="00546A5D">
        <w:rPr>
          <w:rFonts w:ascii="標楷體" w:eastAsia="標楷體" w:hAnsi="標楷體"/>
          <w:b/>
          <w:bCs/>
          <w:sz w:val="32"/>
          <w:szCs w:val="32"/>
        </w:rPr>
        <w:t>22</w:t>
      </w:r>
      <w:r w:rsidR="009D64D0" w:rsidRPr="00546A5D">
        <w:rPr>
          <w:rFonts w:ascii="標楷體" w:eastAsia="標楷體" w:hAnsi="標楷體" w:hint="eastAsia"/>
          <w:b/>
          <w:bCs/>
          <w:sz w:val="32"/>
          <w:szCs w:val="32"/>
        </w:rPr>
        <w:t>人</w:t>
      </w:r>
    </w:p>
    <w:p w14:paraId="2E169463"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列席官員　113年10月16日（星期三）</w:t>
      </w:r>
    </w:p>
    <w:p w14:paraId="3347711C" w14:textId="38DA34D9"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w:t>
      </w:r>
      <w:r w:rsidR="009D64D0" w:rsidRPr="00546A5D">
        <w:rPr>
          <w:rFonts w:ascii="標楷體" w:eastAsia="標楷體" w:hAnsi="標楷體" w:hint="eastAsia"/>
          <w:b/>
          <w:bCs/>
          <w:spacing w:val="-20"/>
          <w:sz w:val="32"/>
          <w:szCs w:val="32"/>
        </w:rPr>
        <w:t>財政部</w:t>
      </w:r>
      <w:r w:rsidR="009D64D0" w:rsidRPr="00F11366">
        <w:rPr>
          <w:rFonts w:ascii="標楷體" w:eastAsia="標楷體" w:hAnsi="標楷體" w:hint="eastAsia"/>
          <w:spacing w:val="-20"/>
          <w:sz w:val="32"/>
          <w:szCs w:val="32"/>
        </w:rPr>
        <w:t xml:space="preserve">　　　　　　　　　　　　</w:t>
      </w:r>
      <w:r w:rsidR="00D01D86"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部長　　　</w:t>
      </w:r>
      <w:r w:rsidR="00D01D86"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莊翠雲</w:t>
      </w:r>
    </w:p>
    <w:p w14:paraId="56CAFC2A" w14:textId="236C0C9E"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綜合規劃司　　　　　　　　　</w:t>
      </w:r>
      <w:r w:rsidR="00D01D86"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司長　　　</w:t>
      </w:r>
      <w:r w:rsidR="00D01D86"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李瓊琳</w:t>
      </w:r>
    </w:p>
    <w:p w14:paraId="4438AB8D" w14:textId="5BDC2EF6"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國際財政司　　　　　　　　　</w:t>
      </w:r>
      <w:r w:rsidR="00D01D86"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司長　　　</w:t>
      </w:r>
      <w:r w:rsidR="00D01D86"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丁碧蓮</w:t>
      </w:r>
    </w:p>
    <w:p w14:paraId="4D1A2753" w14:textId="7F418328"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推動促參司　　　　　　　　　</w:t>
      </w:r>
      <w:r w:rsidR="002951C9"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司長　　　</w:t>
      </w:r>
      <w:r w:rsidR="002951C9"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張素珍</w:t>
      </w:r>
    </w:p>
    <w:p w14:paraId="7F637297" w14:textId="4A1A48A3"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人事處　　　　　　　　　　　</w:t>
      </w:r>
      <w:r w:rsidR="002951C9"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2951C9"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張芳琪</w:t>
      </w:r>
    </w:p>
    <w:p w14:paraId="25300A16" w14:textId="0448D098"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會計處　　　　　　　　　　　</w:t>
      </w:r>
      <w:r w:rsidR="002951C9"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2951C9"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李秋月</w:t>
      </w:r>
    </w:p>
    <w:p w14:paraId="3EFFB1F4" w14:textId="6DCE4299" w:rsidR="009D64D0" w:rsidRPr="00F11366" w:rsidRDefault="00546A5D"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統計處</w:t>
      </w: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處長</w:t>
      </w: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蔡美娜</w:t>
      </w:r>
    </w:p>
    <w:p w14:paraId="725AADD0" w14:textId="0D866E9C"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政風處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許家錦</w:t>
      </w:r>
    </w:p>
    <w:p w14:paraId="1BCAEC0A" w14:textId="1104D43B"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法制處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姚　瑩</w:t>
      </w:r>
    </w:p>
    <w:p w14:paraId="52CE0FA0" w14:textId="014E9A01"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秘書處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楊金亨</w:t>
      </w:r>
    </w:p>
    <w:p w14:paraId="463A5EB7" w14:textId="3F76BF2D"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國庫署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署長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陳柏誠</w:t>
      </w:r>
    </w:p>
    <w:p w14:paraId="48507A68" w14:textId="4990FEA2"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賦稅署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署長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宋秀玲</w:t>
      </w:r>
    </w:p>
    <w:p w14:paraId="5274BF26" w14:textId="5A8577A0"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關務署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署長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彭英偉</w:t>
      </w:r>
    </w:p>
    <w:p w14:paraId="63D5E6B3" w14:textId="4D4B08BF"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國有財產署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署長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曾國基</w:t>
      </w:r>
    </w:p>
    <w:p w14:paraId="20004F53" w14:textId="529B5623"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財政資訊中心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主任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張文熙</w:t>
      </w:r>
    </w:p>
    <w:p w14:paraId="46EFE504" w14:textId="2C4452E2"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財政人員訓練所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所長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許寧佑</w:t>
      </w:r>
    </w:p>
    <w:p w14:paraId="7C319754" w14:textId="0C60A88F"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lastRenderedPageBreak/>
        <w:t xml:space="preserve">　　　　</w:t>
      </w:r>
      <w:r w:rsidR="009D64D0" w:rsidRPr="00F11366">
        <w:rPr>
          <w:rFonts w:ascii="標楷體" w:eastAsia="標楷體" w:hAnsi="標楷體" w:hint="eastAsia"/>
          <w:spacing w:val="-20"/>
          <w:sz w:val="32"/>
          <w:szCs w:val="32"/>
        </w:rPr>
        <w:t xml:space="preserve">　　臺北國稅局</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吳蓮英</w:t>
      </w:r>
    </w:p>
    <w:p w14:paraId="1587594B" w14:textId="732F2E84"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高雄國稅局</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翁培祐</w:t>
      </w:r>
    </w:p>
    <w:p w14:paraId="04795BC1" w14:textId="74188379"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北區國稅局</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李怡慧</w:t>
      </w:r>
    </w:p>
    <w:p w14:paraId="3EC1B5DC" w14:textId="2C8BF5C2"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中區國稅局</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樓美鐘</w:t>
      </w:r>
    </w:p>
    <w:p w14:paraId="286A7BFC" w14:textId="105FE4C7"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南區國稅局</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李雅晶</w:t>
      </w:r>
    </w:p>
    <w:p w14:paraId="18233BD4" w14:textId="073B6F12"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臺灣金融控股股份有限公司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凌忠嫄</w:t>
      </w:r>
    </w:p>
    <w:p w14:paraId="1ABB0038" w14:textId="7DF207B1"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(兼臺灣銀行股份有限公司董事長)</w:t>
      </w:r>
    </w:p>
    <w:p w14:paraId="130433C5" w14:textId="18F659A9"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施瑪莉</w:t>
      </w:r>
    </w:p>
    <w:p w14:paraId="2342D4B9" w14:textId="1C7D5023"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臺灣銀行股份有限公司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總經理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吳佳曉</w:t>
      </w:r>
    </w:p>
    <w:p w14:paraId="55E793F9" w14:textId="2DEF92EA"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臺銀人壽保險股份有限公司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546A5D"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張志宏</w:t>
      </w:r>
    </w:p>
    <w:p w14:paraId="30249E56" w14:textId="1FA7820C"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劉啟聖</w:t>
      </w:r>
    </w:p>
    <w:p w14:paraId="07DB0BC8" w14:textId="73248D7D"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臺銀綜合證券股份有限公司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許慈美</w:t>
      </w:r>
    </w:p>
    <w:p w14:paraId="795FB685" w14:textId="3CE8A7CE"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代理總經理</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林溫琴</w:t>
      </w:r>
    </w:p>
    <w:p w14:paraId="67E9F55D" w14:textId="62A767BC"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臺銀綜合保險經紀人股份有限公司　總經理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何明堯</w:t>
      </w:r>
    </w:p>
    <w:p w14:paraId="1576E41A" w14:textId="732BFF90"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(代理董事長)</w:t>
      </w:r>
    </w:p>
    <w:p w14:paraId="0D1981D4" w14:textId="752AB719"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臺灣土地銀行股份有限公司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何英明</w:t>
      </w:r>
    </w:p>
    <w:p w14:paraId="26966754" w14:textId="621619B1"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張志堅</w:t>
      </w:r>
    </w:p>
    <w:p w14:paraId="7306B5AA" w14:textId="1AB3F28D"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兆豐金融控股股份有限公司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8C0EEC"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董瑞斌</w:t>
      </w:r>
    </w:p>
    <w:p w14:paraId="637424C8" w14:textId="17B89276"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w:t>
      </w:r>
      <w:r w:rsidR="00DC1D2B">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(兼兆豐國際商業銀行股份有限公司董事長)</w:t>
      </w:r>
    </w:p>
    <w:p w14:paraId="79B3E764" w14:textId="4F53BF44"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蕭玉美</w:t>
      </w:r>
    </w:p>
    <w:p w14:paraId="05C0E643" w14:textId="5ADD7422" w:rsidR="009D64D0" w:rsidRPr="00F11366" w:rsidRDefault="00F11366"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兆豐國際商業銀行股份有限公司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黃永貞</w:t>
      </w:r>
    </w:p>
    <w:p w14:paraId="544E406D" w14:textId="09E1893D"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第一金融控股股份有限公司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邱月琴</w:t>
      </w:r>
    </w:p>
    <w:p w14:paraId="590A7641" w14:textId="20AF1B76"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(兼第一商業銀行股份有限公司董事長)</w:t>
      </w:r>
    </w:p>
    <w:p w14:paraId="01678198" w14:textId="29B3E7D9"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方螢基</w:t>
      </w:r>
    </w:p>
    <w:p w14:paraId="7AE35FDC" w14:textId="552BF266"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第一商業銀行股份有限公司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李嘉祥</w:t>
      </w:r>
    </w:p>
    <w:p w14:paraId="7FE16B3D" w14:textId="11FF0986"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華南金融控股股份有限公司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陳芬蘭</w:t>
      </w:r>
    </w:p>
    <w:p w14:paraId="05DBF355" w14:textId="322EA969"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(兼華南商業銀行股份有限公司董事長)</w:t>
      </w:r>
    </w:p>
    <w:p w14:paraId="6212B435" w14:textId="79152097"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李耀卿</w:t>
      </w:r>
    </w:p>
    <w:p w14:paraId="0298352B" w14:textId="04CA1543"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華南商業銀行股份有限公司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黃俊智</w:t>
      </w:r>
    </w:p>
    <w:p w14:paraId="243C52EB" w14:textId="7272264B"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合作金庫金融控股股份有限公司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林衍茂</w:t>
      </w:r>
    </w:p>
    <w:p w14:paraId="3945BFDD" w14:textId="06476C82"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lastRenderedPageBreak/>
        <w:t xml:space="preserve">　　　　</w:t>
      </w:r>
      <w:r w:rsidR="009D64D0" w:rsidRPr="00F11366">
        <w:rPr>
          <w:rFonts w:ascii="標楷體" w:eastAsia="標楷體" w:hAnsi="標楷體" w:hint="eastAsia"/>
          <w:spacing w:val="-20"/>
          <w:sz w:val="32"/>
          <w:szCs w:val="32"/>
        </w:rPr>
        <w:t xml:space="preserve">　　　　　　　　(兼合作金庫商業銀行股份有限公司董事長)</w:t>
      </w:r>
    </w:p>
    <w:p w14:paraId="43DE5E7F" w14:textId="18A9459D"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蘇佐政</w:t>
      </w:r>
    </w:p>
    <w:p w14:paraId="44DC067A" w14:textId="276D35E2"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合作金庫商業銀行股份有限公司</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王淑芳</w:t>
      </w:r>
    </w:p>
    <w:p w14:paraId="47F15614" w14:textId="0A2D477C"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彰化商業銀行股份有限公司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胡光華</w:t>
      </w:r>
    </w:p>
    <w:p w14:paraId="10801C5A" w14:textId="7F50BFE6"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周朝崇</w:t>
      </w:r>
    </w:p>
    <w:p w14:paraId="1DCC6F6E" w14:textId="3F4FAA08"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臺灣中小企業銀行股份有限公司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劉佩真</w:t>
      </w:r>
    </w:p>
    <w:p w14:paraId="46DB946B" w14:textId="45877B40"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李</w:t>
      </w:r>
      <w:r w:rsidR="009D64D0" w:rsidRPr="00F11366">
        <w:rPr>
          <w:rFonts w:ascii="標楷體" w:eastAsia="標楷體" w:hAnsi="標楷體" w:hint="eastAsia"/>
          <w:spacing w:val="-20"/>
          <w:sz w:val="32"/>
          <w:szCs w:val="32"/>
        </w:rPr>
        <w:t>國忠</w:t>
      </w:r>
    </w:p>
    <w:p w14:paraId="70D9B552" w14:textId="282C0F8A"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中國輸出入銀行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理事主席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戴燈山</w:t>
      </w:r>
    </w:p>
    <w:p w14:paraId="6B0DEC91" w14:textId="32A34C87"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謝富華</w:t>
      </w:r>
    </w:p>
    <w:p w14:paraId="10397888" w14:textId="6155E41D"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臺灣菸酒股份有限公司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湯期安</w:t>
      </w:r>
    </w:p>
    <w:p w14:paraId="07D1A4A5" w14:textId="708A3709"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賴煥宗</w:t>
      </w:r>
    </w:p>
    <w:p w14:paraId="10A5FA01" w14:textId="7D613DAB"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財政部印刷廠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廠長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王國龍</w:t>
      </w:r>
    </w:p>
    <w:p w14:paraId="4A74A459" w14:textId="71437DDF"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關貿網路股份有限公司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張陸生</w:t>
      </w:r>
    </w:p>
    <w:p w14:paraId="77D1B5B5" w14:textId="6059D37C"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高國峯</w:t>
      </w:r>
    </w:p>
    <w:p w14:paraId="4334D69E" w14:textId="08156AC8"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中央再保險股份有限公司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李宜芬</w:t>
      </w:r>
    </w:p>
    <w:p w14:paraId="5D1A3A99" w14:textId="0E015675"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台灣金聯資產管理股份有限公司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總經理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郭文進</w:t>
      </w:r>
    </w:p>
    <w:p w14:paraId="5246D932" w14:textId="293D09CB"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(董事長施俊吉請假)</w:t>
      </w:r>
    </w:p>
    <w:p w14:paraId="0307364C" w14:textId="55369DFA"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台灣金融資產服務股份有限公司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陳美如</w:t>
      </w:r>
    </w:p>
    <w:p w14:paraId="46BAC100" w14:textId="50BE5E13"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台北金融大樓股份有限公司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946FB"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賈永婕</w:t>
      </w:r>
    </w:p>
    <w:p w14:paraId="058AEA1C" w14:textId="1A52F5D2"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1B7CA8" w:rsidRPr="00F11366">
        <w:rPr>
          <w:rFonts w:ascii="標楷體" w:eastAsia="標楷體" w:hAnsi="標楷體" w:hint="eastAsia"/>
          <w:spacing w:val="-20"/>
          <w:sz w:val="32"/>
          <w:szCs w:val="32"/>
        </w:rPr>
        <w:t xml:space="preserve">　</w:t>
      </w:r>
      <w:r w:rsidRPr="003946FB">
        <w:rPr>
          <w:rFonts w:ascii="標楷體" w:eastAsia="標楷體" w:hAnsi="標楷體" w:hint="eastAsia"/>
          <w:spacing w:val="-30"/>
          <w:sz w:val="32"/>
          <w:szCs w:val="32"/>
        </w:rPr>
        <w:t>臺灣金融聯合都市更新服務股份有限公司</w:t>
      </w:r>
      <w:r w:rsidRPr="00955D55">
        <w:rPr>
          <w:rFonts w:ascii="標楷體" w:eastAsia="標楷體" w:hAnsi="標楷體" w:hint="eastAsia"/>
          <w:spacing w:val="-32"/>
          <w:sz w:val="32"/>
          <w:szCs w:val="32"/>
        </w:rPr>
        <w:t>董事長</w:t>
      </w:r>
      <w:r w:rsidR="003946FB" w:rsidRPr="00955D55">
        <w:rPr>
          <w:rFonts w:ascii="標楷體" w:eastAsia="標楷體" w:hAnsi="標楷體" w:hint="eastAsia"/>
          <w:spacing w:val="-32"/>
          <w:sz w:val="32"/>
          <w:szCs w:val="32"/>
        </w:rPr>
        <w:t xml:space="preserve">　　</w:t>
      </w:r>
      <w:r w:rsidRPr="00955D55">
        <w:rPr>
          <w:rFonts w:ascii="標楷體" w:eastAsia="標楷體" w:hAnsi="標楷體" w:hint="eastAsia"/>
          <w:spacing w:val="-32"/>
          <w:sz w:val="32"/>
          <w:szCs w:val="32"/>
        </w:rPr>
        <w:t>林旺根</w:t>
      </w:r>
    </w:p>
    <w:p w14:paraId="3D43D4C4" w14:textId="064CBBD6"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w:t>
      </w:r>
      <w:r w:rsidR="009D64D0" w:rsidRPr="006D46B5">
        <w:rPr>
          <w:rFonts w:ascii="標楷體" w:eastAsia="標楷體" w:hAnsi="標楷體" w:hint="eastAsia"/>
          <w:b/>
          <w:bCs/>
          <w:spacing w:val="-20"/>
          <w:sz w:val="32"/>
          <w:szCs w:val="32"/>
        </w:rPr>
        <w:t>金融監督管理委員會</w:t>
      </w:r>
      <w:r w:rsidR="009D64D0" w:rsidRPr="00F11366">
        <w:rPr>
          <w:rFonts w:ascii="標楷體" w:eastAsia="標楷體" w:hAnsi="標楷體"/>
          <w:spacing w:val="-20"/>
          <w:sz w:val="32"/>
          <w:szCs w:val="32"/>
        </w:rPr>
        <w:t xml:space="preserve">　　</w:t>
      </w:r>
      <w:r w:rsidR="009D64D0" w:rsidRPr="00F11366">
        <w:rPr>
          <w:rFonts w:ascii="標楷體" w:eastAsia="標楷體" w:hAnsi="標楷體" w:hint="eastAsia"/>
          <w:spacing w:val="-20"/>
          <w:sz w:val="32"/>
          <w:szCs w:val="32"/>
        </w:rPr>
        <w:t xml:space="preserve">　</w:t>
      </w:r>
      <w:r w:rsidR="009D64D0" w:rsidRPr="00F11366">
        <w:rPr>
          <w:rFonts w:ascii="標楷體" w:eastAsia="標楷體" w:hAnsi="標楷體"/>
          <w:spacing w:val="-20"/>
          <w:sz w:val="32"/>
          <w:szCs w:val="32"/>
        </w:rPr>
        <w:t xml:space="preserve">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副主任委員</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陳彥良</w:t>
      </w:r>
    </w:p>
    <w:p w14:paraId="6E463D90" w14:textId="095526EF" w:rsidR="009D64D0" w:rsidRPr="00F11366" w:rsidRDefault="00E635C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銀行局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副局長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林志吉</w:t>
      </w:r>
    </w:p>
    <w:p w14:paraId="17B4BFC4" w14:textId="22C35DC4"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證券期貨局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副局長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高晶萍</w:t>
      </w:r>
    </w:p>
    <w:p w14:paraId="0C2D7ED3" w14:textId="3BF0F1DC"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保險局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副局長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蔡火炎</w:t>
      </w:r>
    </w:p>
    <w:p w14:paraId="4867161B" w14:textId="257B4D9B"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檢查局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副局長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賴欣國</w:t>
      </w:r>
    </w:p>
    <w:p w14:paraId="35C7DF27" w14:textId="065CEE22"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臺灣證券交易所股份有限公司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總經理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李愛玲</w:t>
      </w:r>
    </w:p>
    <w:p w14:paraId="4FC8B0BC" w14:textId="1B4D8F40"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(董事長</w:t>
      </w:r>
      <w:r w:rsidR="009D64D0" w:rsidRPr="00F11366">
        <w:rPr>
          <w:rFonts w:ascii="標楷體" w:eastAsia="標楷體" w:hAnsi="標楷體"/>
          <w:spacing w:val="-20"/>
          <w:sz w:val="32"/>
          <w:szCs w:val="32"/>
        </w:rPr>
        <w:t>林修銘</w:t>
      </w:r>
      <w:r w:rsidR="009D64D0" w:rsidRPr="00F11366">
        <w:rPr>
          <w:rFonts w:ascii="標楷體" w:eastAsia="標楷體" w:hAnsi="標楷體" w:hint="eastAsia"/>
          <w:spacing w:val="-20"/>
          <w:sz w:val="32"/>
          <w:szCs w:val="32"/>
        </w:rPr>
        <w:t>請假)</w:t>
      </w:r>
    </w:p>
    <w:p w14:paraId="613106C5" w14:textId="6B4A3EBB"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財團法人中華民國證券櫃檯買賣中心董事長</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簡立忠</w:t>
      </w:r>
    </w:p>
    <w:p w14:paraId="30DD91AD" w14:textId="0AB8B068"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總經理</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陳麗卿</w:t>
      </w:r>
    </w:p>
    <w:p w14:paraId="3F2A7915" w14:textId="0309B065"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w:t>
      </w:r>
      <w:r w:rsidR="009D64D0" w:rsidRPr="006D46B5">
        <w:rPr>
          <w:rFonts w:ascii="標楷體" w:eastAsia="標楷體" w:hAnsi="標楷體" w:hint="eastAsia"/>
          <w:b/>
          <w:bCs/>
          <w:spacing w:val="-20"/>
          <w:sz w:val="32"/>
          <w:szCs w:val="32"/>
        </w:rPr>
        <w:t>法務部</w:t>
      </w:r>
      <w:r w:rsidR="009D64D0" w:rsidRPr="00F11366">
        <w:rPr>
          <w:rFonts w:ascii="標楷體" w:eastAsia="標楷體" w:hAnsi="標楷體" w:hint="eastAsia"/>
          <w:spacing w:val="-20"/>
          <w:sz w:val="32"/>
          <w:szCs w:val="32"/>
        </w:rPr>
        <w:t xml:space="preserve">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參事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林豐文</w:t>
      </w:r>
    </w:p>
    <w:p w14:paraId="5B73EF4C" w14:textId="3E16B44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lastRenderedPageBreak/>
        <w:t xml:space="preserve">　　　　　</w:t>
      </w:r>
      <w:r w:rsidR="006D46B5" w:rsidRPr="00F11366">
        <w:rPr>
          <w:rFonts w:ascii="標楷體" w:eastAsia="標楷體" w:hAnsi="標楷體" w:hint="eastAsia"/>
          <w:spacing w:val="-20"/>
          <w:sz w:val="32"/>
          <w:szCs w:val="32"/>
        </w:rPr>
        <w:t xml:space="preserve">　</w:t>
      </w:r>
      <w:r w:rsidRPr="00F11366">
        <w:rPr>
          <w:rFonts w:ascii="標楷體" w:eastAsia="標楷體" w:hAnsi="標楷體" w:hint="eastAsia"/>
          <w:spacing w:val="-20"/>
          <w:sz w:val="32"/>
          <w:szCs w:val="32"/>
        </w:rPr>
        <w:t>113年10月17日（星期四）</w:t>
      </w:r>
    </w:p>
    <w:p w14:paraId="09B01A31" w14:textId="58AA55BA"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w:t>
      </w:r>
      <w:r w:rsidR="009D64D0" w:rsidRPr="006D46B5">
        <w:rPr>
          <w:rFonts w:ascii="標楷體" w:eastAsia="標楷體" w:hAnsi="標楷體" w:hint="eastAsia"/>
          <w:b/>
          <w:bCs/>
          <w:spacing w:val="-20"/>
          <w:sz w:val="32"/>
          <w:szCs w:val="32"/>
        </w:rPr>
        <w:t>中央銀行</w:t>
      </w:r>
      <w:r w:rsidR="009D64D0" w:rsidRPr="00F11366">
        <w:rPr>
          <w:rFonts w:ascii="標楷體" w:eastAsia="標楷體" w:hAnsi="標楷體" w:hint="eastAsia"/>
          <w:spacing w:val="-20"/>
          <w:sz w:val="32"/>
          <w:szCs w:val="32"/>
        </w:rPr>
        <w:t xml:space="preserve">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總裁　　　</w:t>
      </w:r>
      <w:r w:rsidR="006D46B5"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楊金龍</w:t>
      </w:r>
    </w:p>
    <w:p w14:paraId="43E98CA3" w14:textId="5C54D537"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業務局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潘榮耀</w:t>
      </w:r>
    </w:p>
    <w:p w14:paraId="71C523F3" w14:textId="3D849538"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發行局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鄧延達</w:t>
      </w:r>
    </w:p>
    <w:p w14:paraId="33012035" w14:textId="225D50F3"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外匯局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蔡烱民</w:t>
      </w:r>
    </w:p>
    <w:p w14:paraId="4D3D5FB4" w14:textId="70F73851"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國庫局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局長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賀培真</w:t>
      </w:r>
    </w:p>
    <w:p w14:paraId="468D5D0C" w14:textId="5738648D"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金融業務檢查處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潘雅慧</w:t>
      </w:r>
    </w:p>
    <w:p w14:paraId="38377B56" w14:textId="29764912"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經濟研究處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吳懿娟</w:t>
      </w:r>
    </w:p>
    <w:p w14:paraId="43837440" w14:textId="36712BA8"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秘書處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梁建菁</w:t>
      </w:r>
    </w:p>
    <w:p w14:paraId="250F8535" w14:textId="76199F76"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會計處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郭淑蕙</w:t>
      </w:r>
    </w:p>
    <w:p w14:paraId="5F760071" w14:textId="50077B5C"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資訊處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處長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李瑞枔</w:t>
      </w:r>
    </w:p>
    <w:p w14:paraId="4CFBE61D" w14:textId="6B059DE2"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人事室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主任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張淑惠</w:t>
      </w:r>
    </w:p>
    <w:p w14:paraId="76B7B20F" w14:textId="502F1FC2"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法務室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主任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吳坤山</w:t>
      </w:r>
    </w:p>
    <w:p w14:paraId="0036ED41" w14:textId="64E985D4"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中央印製廠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總經理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林宗模</w:t>
      </w:r>
    </w:p>
    <w:p w14:paraId="56387735" w14:textId="6DBFF6D2"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中央造幣廠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廠長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葉牧青</w:t>
      </w:r>
    </w:p>
    <w:p w14:paraId="4F42069E" w14:textId="786CCA33" w:rsidR="009D64D0" w:rsidRPr="00F11366" w:rsidRDefault="007C39DB"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　　財金資訊股份有限公司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 xml:space="preserve">董事長　　</w:t>
      </w:r>
      <w:r w:rsidR="003B23B0" w:rsidRPr="00F11366">
        <w:rPr>
          <w:rFonts w:ascii="標楷體" w:eastAsia="標楷體" w:hAnsi="標楷體" w:hint="eastAsia"/>
          <w:spacing w:val="-20"/>
          <w:sz w:val="32"/>
          <w:szCs w:val="32"/>
        </w:rPr>
        <w:t xml:space="preserve">　</w:t>
      </w:r>
      <w:r w:rsidR="009D64D0" w:rsidRPr="00F11366">
        <w:rPr>
          <w:rFonts w:ascii="標楷體" w:eastAsia="標楷體" w:hAnsi="標楷體" w:hint="eastAsia"/>
          <w:spacing w:val="-20"/>
          <w:sz w:val="32"/>
          <w:szCs w:val="32"/>
        </w:rPr>
        <w:t>林國良</w:t>
      </w:r>
    </w:p>
    <w:p w14:paraId="3304C5DF"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主　　席　賴召集委員惠員</w:t>
      </w:r>
    </w:p>
    <w:p w14:paraId="5927DA1F"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專門委員　林靜玟</w:t>
      </w:r>
    </w:p>
    <w:p w14:paraId="68E7B67E"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主任秘書　謝淑津</w:t>
      </w:r>
    </w:p>
    <w:p w14:paraId="1C50FACF"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紀　　錄　秘　書　吳人寬　研究員　黃惠雯　編　審　伍明清　</w:t>
      </w:r>
    </w:p>
    <w:p w14:paraId="69B2946A" w14:textId="77777777" w:rsidR="009D64D0" w:rsidRPr="00F11366"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F11366">
        <w:rPr>
          <w:rFonts w:ascii="標楷體" w:eastAsia="標楷體" w:hAnsi="標楷體" w:hint="eastAsia"/>
          <w:spacing w:val="-20"/>
          <w:sz w:val="32"/>
          <w:szCs w:val="32"/>
        </w:rPr>
        <w:t xml:space="preserve">　　　　　科　長　喻　珊　專　員　沈克彬　科　員　劉雅欣　</w:t>
      </w:r>
    </w:p>
    <w:p w14:paraId="02F48FB6" w14:textId="77777777" w:rsidR="009D64D0" w:rsidRPr="00E653E4" w:rsidRDefault="009D64D0" w:rsidP="00F470A8">
      <w:pPr>
        <w:widowControl w:val="0"/>
        <w:kinsoku w:val="0"/>
        <w:overflowPunct w:val="0"/>
        <w:autoSpaceDE w:val="0"/>
        <w:adjustRightInd w:val="0"/>
        <w:spacing w:line="480" w:lineRule="exact"/>
        <w:jc w:val="both"/>
        <w:textAlignment w:val="auto"/>
        <w:rPr>
          <w:rFonts w:ascii="標楷體" w:eastAsia="標楷體" w:hAnsi="標楷體"/>
          <w:b/>
          <w:kern w:val="16"/>
          <w:sz w:val="32"/>
          <w:szCs w:val="32"/>
        </w:rPr>
      </w:pPr>
      <w:r w:rsidRPr="00E653E4">
        <w:rPr>
          <w:rFonts w:ascii="標楷體" w:eastAsia="標楷體" w:hAnsi="標楷體"/>
          <w:b/>
          <w:kern w:val="16"/>
          <w:sz w:val="32"/>
          <w:szCs w:val="32"/>
        </w:rPr>
        <w:t>11</w:t>
      </w:r>
      <w:r w:rsidRPr="00E653E4">
        <w:rPr>
          <w:rFonts w:ascii="標楷體" w:eastAsia="標楷體" w:hAnsi="標楷體" w:hint="eastAsia"/>
          <w:b/>
          <w:kern w:val="16"/>
          <w:sz w:val="32"/>
          <w:szCs w:val="32"/>
        </w:rPr>
        <w:t>3年10月16日</w:t>
      </w:r>
    </w:p>
    <w:p w14:paraId="7B39ED7D" w14:textId="77777777" w:rsidR="009D64D0" w:rsidRPr="00E653E4" w:rsidRDefault="009D64D0" w:rsidP="00F470A8">
      <w:pPr>
        <w:widowControl w:val="0"/>
        <w:kinsoku w:val="0"/>
        <w:overflowPunct w:val="0"/>
        <w:autoSpaceDE w:val="0"/>
        <w:adjustRightInd w:val="0"/>
        <w:spacing w:line="480" w:lineRule="exact"/>
        <w:ind w:leftChars="201" w:left="482"/>
        <w:jc w:val="both"/>
        <w:textAlignment w:val="auto"/>
        <w:rPr>
          <w:rFonts w:ascii="標楷體" w:eastAsia="標楷體" w:hAnsi="標楷體" w:cs="Courier New"/>
          <w:b/>
          <w:kern w:val="2"/>
          <w:sz w:val="32"/>
          <w:szCs w:val="32"/>
        </w:rPr>
      </w:pPr>
      <w:r w:rsidRPr="00E653E4">
        <w:rPr>
          <w:rFonts w:ascii="標楷體" w:eastAsia="標楷體" w:hAnsi="標楷體" w:cs="Courier New" w:hint="eastAsia"/>
          <w:b/>
          <w:kern w:val="2"/>
          <w:sz w:val="32"/>
          <w:szCs w:val="32"/>
        </w:rPr>
        <w:t>報告事項</w:t>
      </w:r>
    </w:p>
    <w:p w14:paraId="7858D357" w14:textId="77777777" w:rsidR="009D64D0" w:rsidRPr="00E653E4"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E653E4">
        <w:rPr>
          <w:rFonts w:ascii="標楷體" w:eastAsia="標楷體" w:hAnsi="標楷體" w:hint="eastAsia"/>
          <w:color w:val="000000" w:themeColor="text1"/>
          <w:kern w:val="2"/>
          <w:sz w:val="32"/>
          <w:szCs w:val="32"/>
        </w:rPr>
        <w:t>一、宣讀上次會議議事錄。</w:t>
      </w:r>
    </w:p>
    <w:p w14:paraId="02B095FD" w14:textId="77777777" w:rsidR="009D64D0" w:rsidRPr="00E653E4"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E653E4">
        <w:rPr>
          <w:rFonts w:ascii="標楷體" w:eastAsia="標楷體" w:hAnsi="標楷體" w:hint="eastAsia"/>
          <w:color w:val="000000" w:themeColor="text1"/>
          <w:kern w:val="2"/>
          <w:sz w:val="32"/>
          <w:szCs w:val="32"/>
        </w:rPr>
        <w:t>決定：議事錄確定。</w:t>
      </w:r>
    </w:p>
    <w:p w14:paraId="4B76B53F" w14:textId="77777777" w:rsidR="009D64D0" w:rsidRPr="00E653E4" w:rsidRDefault="009D64D0" w:rsidP="00F470A8">
      <w:pPr>
        <w:widowControl w:val="0"/>
        <w:kinsoku w:val="0"/>
        <w:overflowPunct w:val="0"/>
        <w:autoSpaceDE w:val="0"/>
        <w:adjustRightInd w:val="0"/>
        <w:snapToGrid w:val="0"/>
        <w:spacing w:beforeLines="50" w:before="180" w:line="480" w:lineRule="exact"/>
        <w:ind w:left="657" w:hangingChars="205" w:hanging="657"/>
        <w:jc w:val="both"/>
        <w:textAlignment w:val="auto"/>
        <w:rPr>
          <w:rFonts w:ascii="標楷體" w:eastAsia="標楷體" w:hAnsi="標楷體"/>
          <w:b/>
          <w:color w:val="000000" w:themeColor="text1"/>
          <w:kern w:val="2"/>
          <w:sz w:val="32"/>
          <w:szCs w:val="32"/>
        </w:rPr>
      </w:pPr>
      <w:r w:rsidRPr="00E653E4">
        <w:rPr>
          <w:rFonts w:ascii="標楷體" w:eastAsia="標楷體" w:hAnsi="標楷體" w:hint="eastAsia"/>
          <w:b/>
          <w:color w:val="000000" w:themeColor="text1"/>
          <w:kern w:val="2"/>
          <w:sz w:val="32"/>
          <w:szCs w:val="32"/>
        </w:rPr>
        <w:t>二、邀請財政部莊部長翠雲率所屬機關首長暨國營事業董事長、總經理(含各轉投資事業機構公股代表之董、監事)列席業務報告，並備質詢。</w:t>
      </w:r>
    </w:p>
    <w:p w14:paraId="2413FD6B" w14:textId="77777777" w:rsidR="009D64D0" w:rsidRDefault="009D64D0" w:rsidP="00F470A8">
      <w:pPr>
        <w:pStyle w:val="Default"/>
        <w:kinsoku w:val="0"/>
        <w:overflowPunct w:val="0"/>
        <w:spacing w:line="500" w:lineRule="exact"/>
        <w:ind w:left="320" w:hangingChars="100" w:hanging="320"/>
        <w:jc w:val="both"/>
        <w:rPr>
          <w:color w:val="000000" w:themeColor="text1"/>
          <w:sz w:val="32"/>
          <w:szCs w:val="32"/>
        </w:rPr>
      </w:pPr>
      <w:r w:rsidRPr="00BA74B5">
        <w:rPr>
          <w:rFonts w:hint="eastAsia"/>
          <w:color w:val="000000" w:themeColor="text1"/>
          <w:sz w:val="32"/>
          <w:szCs w:val="32"/>
        </w:rPr>
        <w:t>（報告</w:t>
      </w:r>
      <w:r>
        <w:rPr>
          <w:rFonts w:hint="eastAsia"/>
          <w:color w:val="000000" w:themeColor="text1"/>
          <w:sz w:val="32"/>
          <w:szCs w:val="32"/>
        </w:rPr>
        <w:t>、</w:t>
      </w:r>
      <w:r w:rsidRPr="00BA74B5">
        <w:rPr>
          <w:rFonts w:hint="eastAsia"/>
          <w:color w:val="000000" w:themeColor="text1"/>
          <w:sz w:val="32"/>
          <w:szCs w:val="32"/>
        </w:rPr>
        <w:t>討論</w:t>
      </w:r>
      <w:r>
        <w:rPr>
          <w:rFonts w:hint="eastAsia"/>
          <w:color w:val="000000" w:themeColor="text1"/>
          <w:sz w:val="32"/>
          <w:szCs w:val="32"/>
        </w:rPr>
        <w:t>事項</w:t>
      </w:r>
      <w:r w:rsidRPr="00BA74B5">
        <w:rPr>
          <w:rFonts w:hint="eastAsia"/>
          <w:color w:val="000000" w:themeColor="text1"/>
          <w:sz w:val="32"/>
          <w:szCs w:val="32"/>
        </w:rPr>
        <w:t>合併質詢，經財政部部長莊</w:t>
      </w:r>
      <w:r w:rsidRPr="00BA74B5">
        <w:rPr>
          <w:color w:val="000000" w:themeColor="text1"/>
          <w:sz w:val="32"/>
          <w:szCs w:val="32"/>
        </w:rPr>
        <w:t>翠雲</w:t>
      </w:r>
      <w:r w:rsidRPr="00BA74B5">
        <w:rPr>
          <w:rFonts w:hint="eastAsia"/>
          <w:color w:val="000000" w:themeColor="text1"/>
          <w:sz w:val="32"/>
          <w:szCs w:val="32"/>
        </w:rPr>
        <w:t>提出業務報告</w:t>
      </w:r>
      <w:r>
        <w:rPr>
          <w:rFonts w:hint="eastAsia"/>
          <w:color w:val="000000" w:themeColor="text1"/>
          <w:sz w:val="32"/>
          <w:szCs w:val="32"/>
        </w:rPr>
        <w:t>並</w:t>
      </w:r>
      <w:r w:rsidRPr="00BA74B5">
        <w:rPr>
          <w:rFonts w:hint="eastAsia"/>
          <w:color w:val="000000" w:themeColor="text1"/>
          <w:sz w:val="32"/>
          <w:szCs w:val="32"/>
        </w:rPr>
        <w:t>與</w:t>
      </w:r>
      <w:r w:rsidRPr="00BA74B5">
        <w:rPr>
          <w:rFonts w:hint="eastAsia"/>
          <w:color w:val="000000" w:themeColor="text1"/>
          <w:sz w:val="32"/>
          <w:szCs w:val="32"/>
        </w:rPr>
        <w:lastRenderedPageBreak/>
        <w:t>金融監督管理委員會副主任委員陳彥良</w:t>
      </w:r>
      <w:r>
        <w:rPr>
          <w:rFonts w:hint="eastAsia"/>
          <w:color w:val="000000" w:themeColor="text1"/>
          <w:sz w:val="32"/>
          <w:szCs w:val="32"/>
        </w:rPr>
        <w:t>分別</w:t>
      </w:r>
      <w:r w:rsidRPr="00BA74B5">
        <w:rPr>
          <w:rFonts w:hint="eastAsia"/>
          <w:color w:val="000000" w:themeColor="text1"/>
          <w:sz w:val="32"/>
          <w:szCs w:val="32"/>
        </w:rPr>
        <w:t>就行政院提案提出報告及回應委員提案後，計有委</w:t>
      </w:r>
      <w:r w:rsidRPr="00BA74B5">
        <w:rPr>
          <w:rFonts w:hint="eastAsia"/>
          <w:sz w:val="32"/>
          <w:szCs w:val="32"/>
        </w:rPr>
        <w:t>員林德福、吳秉叡、賴士葆、郭國文、賴惠員、李彥秀、王鴻薇、李坤城、</w:t>
      </w:r>
      <w:r w:rsidRPr="00336BD4">
        <w:rPr>
          <w:rFonts w:hint="eastAsia"/>
          <w:sz w:val="32"/>
          <w:szCs w:val="32"/>
        </w:rPr>
        <w:t>黃珊珊、顏寬恒、王世堅、羅明才、</w:t>
      </w:r>
      <w:r w:rsidRPr="00B578AD">
        <w:rPr>
          <w:rFonts w:hint="eastAsia"/>
          <w:sz w:val="32"/>
          <w:szCs w:val="32"/>
        </w:rPr>
        <w:t>邱志偉、陳培瑜、陳玉珍、</w:t>
      </w:r>
      <w:r w:rsidRPr="00E71A30">
        <w:rPr>
          <w:rFonts w:hint="eastAsia"/>
          <w:sz w:val="32"/>
          <w:szCs w:val="32"/>
        </w:rPr>
        <w:t>楊瓊瓔、</w:t>
      </w:r>
      <w:r>
        <w:rPr>
          <w:rFonts w:hint="eastAsia"/>
          <w:sz w:val="32"/>
          <w:szCs w:val="32"/>
        </w:rPr>
        <w:t>洪孟楷、</w:t>
      </w:r>
      <w:r w:rsidRPr="00486789">
        <w:rPr>
          <w:rFonts w:hint="eastAsia"/>
          <w:sz w:val="32"/>
          <w:szCs w:val="32"/>
        </w:rPr>
        <w:t>伍麗華等</w:t>
      </w:r>
      <w:r w:rsidRPr="00486789">
        <w:rPr>
          <w:sz w:val="32"/>
          <w:szCs w:val="32"/>
        </w:rPr>
        <w:t>1</w:t>
      </w:r>
      <w:r>
        <w:rPr>
          <w:rFonts w:hint="eastAsia"/>
          <w:sz w:val="32"/>
          <w:szCs w:val="32"/>
        </w:rPr>
        <w:t>8</w:t>
      </w:r>
      <w:r w:rsidRPr="00486789">
        <w:rPr>
          <w:rFonts w:hint="eastAsia"/>
          <w:sz w:val="32"/>
          <w:szCs w:val="32"/>
        </w:rPr>
        <w:t>人</w:t>
      </w:r>
      <w:r w:rsidRPr="00BA74B5">
        <w:rPr>
          <w:rFonts w:hint="eastAsia"/>
          <w:color w:val="000000" w:themeColor="text1"/>
          <w:sz w:val="32"/>
          <w:szCs w:val="32"/>
        </w:rPr>
        <w:t>提出質詢，均經財政部部長莊</w:t>
      </w:r>
      <w:r w:rsidRPr="00BA74B5">
        <w:rPr>
          <w:color w:val="000000" w:themeColor="text1"/>
          <w:sz w:val="32"/>
          <w:szCs w:val="32"/>
        </w:rPr>
        <w:t>翠雲</w:t>
      </w:r>
      <w:r w:rsidRPr="00BA74B5">
        <w:rPr>
          <w:rFonts w:hint="eastAsia"/>
          <w:color w:val="000000" w:themeColor="text1"/>
          <w:sz w:val="32"/>
          <w:szCs w:val="32"/>
        </w:rPr>
        <w:t>、台北金融大樓股份有限公司董事長賈永婕、金融監督管理委員會</w:t>
      </w:r>
      <w:r w:rsidRPr="00BA74B5">
        <w:rPr>
          <w:rFonts w:hint="eastAsia"/>
          <w:kern w:val="3"/>
          <w:sz w:val="32"/>
          <w:szCs w:val="32"/>
        </w:rPr>
        <w:t>副主任委員陳彥良、財團法人中華民國證券櫃檯買賣中心董事長簡立忠、臺灣菸酒股份有限公司董事長湯期安</w:t>
      </w:r>
      <w:r>
        <w:rPr>
          <w:rFonts w:hint="eastAsia"/>
          <w:kern w:val="3"/>
          <w:sz w:val="32"/>
          <w:szCs w:val="32"/>
        </w:rPr>
        <w:t>、</w:t>
      </w:r>
      <w:r w:rsidRPr="00614C5F">
        <w:rPr>
          <w:rFonts w:hint="eastAsia"/>
          <w:kern w:val="16"/>
          <w:sz w:val="32"/>
          <w:szCs w:val="32"/>
        </w:rPr>
        <w:t>兆豐金融控股股份有限公司董事長董瑞斌</w:t>
      </w:r>
      <w:r w:rsidRPr="00614C5F">
        <w:rPr>
          <w:rFonts w:hint="eastAsia"/>
          <w:sz w:val="32"/>
          <w:szCs w:val="32"/>
        </w:rPr>
        <w:t>、</w:t>
      </w:r>
      <w:r>
        <w:rPr>
          <w:rFonts w:hint="eastAsia"/>
          <w:sz w:val="32"/>
          <w:szCs w:val="32"/>
        </w:rPr>
        <w:t>法務部參事林豐文</w:t>
      </w:r>
      <w:r w:rsidRPr="00314848">
        <w:rPr>
          <w:rFonts w:hint="eastAsia"/>
          <w:sz w:val="32"/>
          <w:szCs w:val="32"/>
        </w:rPr>
        <w:t>及</w:t>
      </w:r>
      <w:r w:rsidRPr="00BA74B5">
        <w:rPr>
          <w:rFonts w:hint="eastAsia"/>
          <w:color w:val="000000" w:themeColor="text1"/>
          <w:sz w:val="32"/>
          <w:szCs w:val="32"/>
        </w:rPr>
        <w:t>相關人員予以答復。）</w:t>
      </w:r>
    </w:p>
    <w:p w14:paraId="2DEDBFF3" w14:textId="77777777" w:rsidR="009D64D0" w:rsidRPr="00E653E4"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E653E4">
        <w:rPr>
          <w:rFonts w:ascii="標楷體" w:eastAsia="標楷體" w:hAnsi="標楷體" w:hint="eastAsia"/>
          <w:b/>
          <w:color w:val="000000" w:themeColor="text1"/>
          <w:kern w:val="2"/>
          <w:sz w:val="32"/>
          <w:szCs w:val="32"/>
        </w:rPr>
        <w:t>決定：</w:t>
      </w:r>
    </w:p>
    <w:p w14:paraId="14E98B19" w14:textId="77777777" w:rsidR="009D64D0" w:rsidRPr="00E653E4" w:rsidRDefault="009D64D0" w:rsidP="00F470A8">
      <w:pPr>
        <w:pStyle w:val="af5"/>
        <w:widowControl w:val="0"/>
        <w:kinsoku w:val="0"/>
        <w:overflowPunct w:val="0"/>
        <w:autoSpaceDE w:val="0"/>
        <w:adjustRightInd w:val="0"/>
        <w:snapToGrid w:val="0"/>
        <w:spacing w:line="480" w:lineRule="exact"/>
        <w:ind w:leftChars="100" w:left="1839" w:hanging="1599"/>
        <w:jc w:val="both"/>
        <w:rPr>
          <w:rFonts w:ascii="標楷體" w:eastAsia="標楷體" w:hAnsi="標楷體"/>
          <w:color w:val="000000" w:themeColor="text1"/>
          <w:kern w:val="2"/>
          <w:sz w:val="32"/>
          <w:szCs w:val="32"/>
        </w:rPr>
      </w:pPr>
      <w:r w:rsidRPr="00E653E4">
        <w:rPr>
          <w:rFonts w:ascii="標楷體" w:eastAsia="標楷體" w:hAnsi="標楷體" w:hint="eastAsia"/>
          <w:color w:val="000000" w:themeColor="text1"/>
          <w:kern w:val="2"/>
          <w:sz w:val="32"/>
          <w:szCs w:val="32"/>
        </w:rPr>
        <w:t>(一)報告、說明及詢答完畢。</w:t>
      </w:r>
    </w:p>
    <w:p w14:paraId="5E89EBF0" w14:textId="77777777" w:rsidR="009D64D0" w:rsidRPr="00E653E4" w:rsidRDefault="009D64D0" w:rsidP="00F470A8">
      <w:pPr>
        <w:pStyle w:val="af5"/>
        <w:widowControl w:val="0"/>
        <w:kinsoku w:val="0"/>
        <w:overflowPunct w:val="0"/>
        <w:autoSpaceDE w:val="0"/>
        <w:adjustRightInd w:val="0"/>
        <w:snapToGrid w:val="0"/>
        <w:spacing w:line="480" w:lineRule="exact"/>
        <w:ind w:leftChars="100" w:left="1839" w:hanging="1599"/>
        <w:jc w:val="both"/>
        <w:rPr>
          <w:rFonts w:ascii="標楷體" w:eastAsia="標楷體" w:hAnsi="標楷體"/>
          <w:color w:val="000000" w:themeColor="text1"/>
          <w:kern w:val="2"/>
          <w:sz w:val="32"/>
          <w:szCs w:val="32"/>
        </w:rPr>
      </w:pPr>
      <w:r w:rsidRPr="00E653E4">
        <w:rPr>
          <w:rFonts w:ascii="標楷體" w:eastAsia="標楷體" w:hAnsi="標楷體" w:hint="eastAsia"/>
          <w:color w:val="000000" w:themeColor="text1"/>
          <w:kern w:val="2"/>
          <w:sz w:val="32"/>
          <w:szCs w:val="32"/>
        </w:rPr>
        <w:t>(二)委員質詢未及答復或請補充資訊，請相關部會於一週內以書面答復；委員另要求期限者，從其所定。</w:t>
      </w:r>
    </w:p>
    <w:p w14:paraId="6C2D3651" w14:textId="77777777" w:rsidR="009D64D0" w:rsidRPr="00E653E4" w:rsidRDefault="009D64D0" w:rsidP="00F470A8">
      <w:pPr>
        <w:widowControl w:val="0"/>
        <w:kinsoku w:val="0"/>
        <w:overflowPunct w:val="0"/>
        <w:autoSpaceDE w:val="0"/>
        <w:adjustRightInd w:val="0"/>
        <w:snapToGrid w:val="0"/>
        <w:spacing w:beforeLines="50" w:before="180" w:line="480" w:lineRule="exact"/>
        <w:ind w:leftChars="200" w:left="1137" w:hangingChars="205" w:hanging="657"/>
        <w:jc w:val="both"/>
        <w:textAlignment w:val="auto"/>
        <w:rPr>
          <w:rFonts w:ascii="標楷體" w:eastAsia="標楷體" w:hAnsi="標楷體"/>
          <w:b/>
          <w:color w:val="000000" w:themeColor="text1"/>
          <w:kern w:val="2"/>
          <w:sz w:val="32"/>
          <w:szCs w:val="32"/>
        </w:rPr>
      </w:pPr>
      <w:r w:rsidRPr="00E653E4">
        <w:rPr>
          <w:rFonts w:ascii="標楷體" w:eastAsia="標楷體" w:hAnsi="標楷體" w:hint="eastAsia"/>
          <w:b/>
          <w:color w:val="000000" w:themeColor="text1"/>
          <w:kern w:val="2"/>
          <w:sz w:val="32"/>
          <w:szCs w:val="32"/>
        </w:rPr>
        <w:t>討論事項</w:t>
      </w:r>
    </w:p>
    <w:p w14:paraId="1D89C35B" w14:textId="77777777" w:rsidR="009D64D0" w:rsidRPr="00524A3B" w:rsidRDefault="009D64D0" w:rsidP="00F470A8">
      <w:pPr>
        <w:pStyle w:val="Default"/>
        <w:overflowPunct w:val="0"/>
        <w:spacing w:line="460" w:lineRule="exact"/>
        <w:ind w:leftChars="10" w:left="24"/>
        <w:jc w:val="both"/>
        <w:rPr>
          <w:rFonts w:cs="Times New Roman"/>
          <w:b/>
          <w:bCs/>
          <w:sz w:val="36"/>
          <w:szCs w:val="36"/>
        </w:rPr>
      </w:pPr>
      <w:r>
        <w:rPr>
          <w:rFonts w:cs="Times New Roman" w:hint="eastAsia"/>
          <w:bCs/>
          <w:sz w:val="32"/>
          <w:szCs w:val="32"/>
        </w:rPr>
        <w:t>審查「</w:t>
      </w:r>
      <w:r w:rsidRPr="00701F69">
        <w:rPr>
          <w:rFonts w:cs="Times New Roman" w:hint="eastAsia"/>
          <w:bCs/>
          <w:sz w:val="32"/>
          <w:szCs w:val="32"/>
        </w:rPr>
        <w:t>證券交易稅條例</w:t>
      </w:r>
      <w:r>
        <w:rPr>
          <w:rFonts w:cs="Times New Roman" w:hint="eastAsia"/>
          <w:bCs/>
          <w:sz w:val="32"/>
          <w:szCs w:val="32"/>
        </w:rPr>
        <w:t>」5案：</w:t>
      </w:r>
    </w:p>
    <w:p w14:paraId="49182C56" w14:textId="77777777" w:rsidR="009D64D0" w:rsidRPr="00091DA0" w:rsidRDefault="009D64D0" w:rsidP="00F470A8">
      <w:pPr>
        <w:pStyle w:val="Default"/>
        <w:overflowPunct w:val="0"/>
        <w:spacing w:line="500" w:lineRule="exact"/>
        <w:ind w:leftChars="9" w:left="662" w:hangingChars="200" w:hanging="640"/>
        <w:jc w:val="both"/>
        <w:rPr>
          <w:rFonts w:cs="Times New Roman"/>
          <w:bCs/>
          <w:sz w:val="32"/>
          <w:szCs w:val="32"/>
        </w:rPr>
      </w:pPr>
      <w:r w:rsidRPr="00091DA0">
        <w:rPr>
          <w:rFonts w:cs="Times New Roman" w:hint="eastAsia"/>
          <w:bCs/>
          <w:sz w:val="32"/>
          <w:szCs w:val="32"/>
        </w:rPr>
        <w:t>一、行政院函請審議「證券交易稅條例第二條之二及第十二條條文修正草案」案。</w:t>
      </w:r>
    </w:p>
    <w:p w14:paraId="3F69B483" w14:textId="77777777" w:rsidR="009D64D0" w:rsidRPr="00091DA0" w:rsidRDefault="009D64D0" w:rsidP="00F470A8">
      <w:pPr>
        <w:pStyle w:val="Default"/>
        <w:overflowPunct w:val="0"/>
        <w:spacing w:line="500" w:lineRule="exact"/>
        <w:ind w:leftChars="9" w:left="662" w:hangingChars="200" w:hanging="640"/>
        <w:jc w:val="both"/>
        <w:rPr>
          <w:rFonts w:cs="Times New Roman"/>
          <w:bCs/>
          <w:sz w:val="32"/>
          <w:szCs w:val="32"/>
        </w:rPr>
      </w:pPr>
      <w:r w:rsidRPr="00091DA0">
        <w:rPr>
          <w:rFonts w:cs="Times New Roman" w:hint="eastAsia"/>
          <w:bCs/>
          <w:sz w:val="32"/>
          <w:szCs w:val="32"/>
        </w:rPr>
        <w:t>二、本院委員羅明才等20人擬具「證券交易稅條例第二條之二條文修正草案」案。</w:t>
      </w:r>
    </w:p>
    <w:p w14:paraId="553ED430" w14:textId="77777777" w:rsidR="009D64D0" w:rsidRPr="00091DA0" w:rsidRDefault="009D64D0" w:rsidP="00F470A8">
      <w:pPr>
        <w:pStyle w:val="Default"/>
        <w:overflowPunct w:val="0"/>
        <w:spacing w:line="500" w:lineRule="exact"/>
        <w:ind w:leftChars="9" w:left="662" w:hangingChars="200" w:hanging="640"/>
        <w:jc w:val="both"/>
        <w:rPr>
          <w:rFonts w:cs="Times New Roman"/>
          <w:bCs/>
          <w:sz w:val="32"/>
          <w:szCs w:val="32"/>
        </w:rPr>
      </w:pPr>
      <w:r w:rsidRPr="00091DA0">
        <w:rPr>
          <w:rFonts w:cs="Times New Roman" w:hint="eastAsia"/>
          <w:bCs/>
          <w:sz w:val="32"/>
          <w:szCs w:val="32"/>
        </w:rPr>
        <w:t>三、本院委員賴士葆等25人擬具「證券交易稅條例第二條之二及第十二條條文修正草案」案。</w:t>
      </w:r>
    </w:p>
    <w:p w14:paraId="665F2408" w14:textId="77777777" w:rsidR="009D64D0" w:rsidRPr="00091DA0" w:rsidRDefault="009D64D0" w:rsidP="00F470A8">
      <w:pPr>
        <w:pStyle w:val="Default"/>
        <w:overflowPunct w:val="0"/>
        <w:spacing w:line="500" w:lineRule="exact"/>
        <w:ind w:leftChars="9" w:left="662" w:hangingChars="200" w:hanging="640"/>
        <w:jc w:val="both"/>
        <w:rPr>
          <w:rFonts w:cs="Times New Roman"/>
          <w:bCs/>
          <w:sz w:val="32"/>
          <w:szCs w:val="32"/>
        </w:rPr>
      </w:pPr>
      <w:r w:rsidRPr="00091DA0">
        <w:rPr>
          <w:rFonts w:cs="Times New Roman" w:hint="eastAsia"/>
          <w:bCs/>
          <w:sz w:val="32"/>
          <w:szCs w:val="32"/>
        </w:rPr>
        <w:t>四、本院委員伍麗華等19人擬具「證券交易稅條例第二條之二及第十二條條文修正草案」案。</w:t>
      </w:r>
    </w:p>
    <w:p w14:paraId="6AF624A4" w14:textId="77777777" w:rsidR="009D64D0" w:rsidRDefault="009D64D0" w:rsidP="00F470A8">
      <w:pPr>
        <w:pStyle w:val="Default"/>
        <w:overflowPunct w:val="0"/>
        <w:spacing w:line="500" w:lineRule="exact"/>
        <w:ind w:leftChars="9" w:left="662" w:hangingChars="200" w:hanging="640"/>
        <w:jc w:val="both"/>
        <w:rPr>
          <w:rFonts w:cs="Times New Roman"/>
          <w:bCs/>
          <w:sz w:val="32"/>
          <w:szCs w:val="32"/>
        </w:rPr>
      </w:pPr>
      <w:r w:rsidRPr="00091DA0">
        <w:rPr>
          <w:rFonts w:cs="Times New Roman" w:hint="eastAsia"/>
          <w:bCs/>
          <w:sz w:val="32"/>
          <w:szCs w:val="32"/>
        </w:rPr>
        <w:t>五、本院委員邱志偉等19人擬具「證券交易稅條例第十二條條文修正草案」案。</w:t>
      </w:r>
    </w:p>
    <w:p w14:paraId="7FE88A54" w14:textId="77777777" w:rsidR="009D64D0" w:rsidRPr="00E653E4" w:rsidRDefault="009D64D0" w:rsidP="00F470A8">
      <w:pPr>
        <w:pStyle w:val="Default"/>
        <w:overflowPunct w:val="0"/>
        <w:adjustRightInd w:val="0"/>
        <w:spacing w:beforeLines="50" w:before="180" w:line="500" w:lineRule="exact"/>
        <w:ind w:leftChars="9" w:left="663" w:hangingChars="200" w:hanging="641"/>
        <w:jc w:val="both"/>
        <w:rPr>
          <w:b/>
          <w:bCs/>
          <w:color w:val="000000" w:themeColor="text1"/>
          <w:sz w:val="32"/>
          <w:szCs w:val="32"/>
        </w:rPr>
      </w:pPr>
      <w:r w:rsidRPr="00E653E4">
        <w:rPr>
          <w:rFonts w:hint="eastAsia"/>
          <w:b/>
          <w:bCs/>
          <w:color w:val="000000" w:themeColor="text1"/>
          <w:sz w:val="32"/>
          <w:szCs w:val="32"/>
        </w:rPr>
        <w:t>決議：</w:t>
      </w:r>
      <w:r w:rsidRPr="00A11963">
        <w:rPr>
          <w:rFonts w:hint="eastAsia"/>
          <w:b/>
          <w:bCs/>
          <w:color w:val="000000" w:themeColor="text1"/>
          <w:sz w:val="32"/>
          <w:szCs w:val="32"/>
        </w:rPr>
        <w:t>另擇期繼續審查</w:t>
      </w:r>
      <w:r w:rsidRPr="00E653E4">
        <w:rPr>
          <w:rFonts w:hint="eastAsia"/>
          <w:b/>
          <w:bCs/>
          <w:color w:val="000000" w:themeColor="text1"/>
          <w:sz w:val="32"/>
          <w:szCs w:val="32"/>
        </w:rPr>
        <w:t>。</w:t>
      </w:r>
    </w:p>
    <w:p w14:paraId="170FC84E" w14:textId="77777777" w:rsidR="009D64D0" w:rsidRPr="00E653E4" w:rsidRDefault="009D64D0" w:rsidP="00F470A8">
      <w:pPr>
        <w:widowControl w:val="0"/>
        <w:kinsoku w:val="0"/>
        <w:overflowPunct w:val="0"/>
        <w:autoSpaceDE w:val="0"/>
        <w:adjustRightInd w:val="0"/>
        <w:spacing w:line="480" w:lineRule="exact"/>
        <w:jc w:val="both"/>
        <w:textAlignment w:val="auto"/>
        <w:rPr>
          <w:rFonts w:ascii="標楷體" w:eastAsia="標楷體" w:hAnsi="標楷體"/>
          <w:b/>
          <w:color w:val="000000" w:themeColor="text1"/>
          <w:kern w:val="16"/>
          <w:sz w:val="32"/>
          <w:szCs w:val="32"/>
        </w:rPr>
      </w:pPr>
      <w:r w:rsidRPr="00E653E4">
        <w:rPr>
          <w:rFonts w:ascii="標楷體" w:eastAsia="標楷體" w:hAnsi="標楷體"/>
          <w:b/>
          <w:color w:val="000000" w:themeColor="text1"/>
          <w:kern w:val="16"/>
          <w:sz w:val="32"/>
          <w:szCs w:val="32"/>
        </w:rPr>
        <w:t>11</w:t>
      </w:r>
      <w:r w:rsidRPr="00E653E4">
        <w:rPr>
          <w:rFonts w:ascii="標楷體" w:eastAsia="標楷體" w:hAnsi="標楷體" w:hint="eastAsia"/>
          <w:b/>
          <w:color w:val="000000" w:themeColor="text1"/>
          <w:kern w:val="16"/>
          <w:sz w:val="32"/>
          <w:szCs w:val="32"/>
        </w:rPr>
        <w:t>3年</w:t>
      </w:r>
      <w:r w:rsidRPr="00E653E4">
        <w:rPr>
          <w:rFonts w:ascii="標楷體" w:eastAsia="標楷體" w:hAnsi="標楷體"/>
          <w:b/>
          <w:color w:val="000000" w:themeColor="text1"/>
          <w:kern w:val="16"/>
          <w:sz w:val="32"/>
          <w:szCs w:val="32"/>
        </w:rPr>
        <w:t>10</w:t>
      </w:r>
      <w:r w:rsidRPr="00E653E4">
        <w:rPr>
          <w:rFonts w:ascii="標楷體" w:eastAsia="標楷體" w:hAnsi="標楷體" w:hint="eastAsia"/>
          <w:b/>
          <w:color w:val="000000" w:themeColor="text1"/>
          <w:kern w:val="16"/>
          <w:sz w:val="32"/>
          <w:szCs w:val="32"/>
        </w:rPr>
        <w:t>月</w:t>
      </w:r>
      <w:r w:rsidRPr="00E653E4">
        <w:rPr>
          <w:rFonts w:ascii="標楷體" w:eastAsia="標楷體" w:hAnsi="標楷體"/>
          <w:b/>
          <w:color w:val="000000" w:themeColor="text1"/>
          <w:kern w:val="16"/>
          <w:sz w:val="32"/>
          <w:szCs w:val="32"/>
        </w:rPr>
        <w:t>17</w:t>
      </w:r>
      <w:r w:rsidRPr="00E653E4">
        <w:rPr>
          <w:rFonts w:ascii="標楷體" w:eastAsia="標楷體" w:hAnsi="標楷體" w:hint="eastAsia"/>
          <w:b/>
          <w:color w:val="000000" w:themeColor="text1"/>
          <w:kern w:val="16"/>
          <w:sz w:val="32"/>
          <w:szCs w:val="32"/>
        </w:rPr>
        <w:t>日</w:t>
      </w:r>
    </w:p>
    <w:p w14:paraId="538421B1" w14:textId="77777777" w:rsidR="009D64D0" w:rsidRPr="00E653E4" w:rsidRDefault="009D64D0" w:rsidP="00F470A8">
      <w:pPr>
        <w:widowControl w:val="0"/>
        <w:kinsoku w:val="0"/>
        <w:overflowPunct w:val="0"/>
        <w:autoSpaceDE w:val="0"/>
        <w:adjustRightInd w:val="0"/>
        <w:spacing w:line="480" w:lineRule="exact"/>
        <w:ind w:leftChars="201" w:left="482"/>
        <w:jc w:val="both"/>
        <w:textAlignment w:val="auto"/>
        <w:rPr>
          <w:rFonts w:ascii="標楷體" w:eastAsia="標楷體" w:hAnsi="標楷體" w:cs="Courier New"/>
          <w:b/>
          <w:color w:val="000000" w:themeColor="text1"/>
          <w:kern w:val="2"/>
          <w:sz w:val="32"/>
          <w:szCs w:val="32"/>
        </w:rPr>
      </w:pPr>
      <w:r w:rsidRPr="00E653E4">
        <w:rPr>
          <w:rFonts w:ascii="標楷體" w:eastAsia="標楷體" w:hAnsi="標楷體" w:cs="Courier New" w:hint="eastAsia"/>
          <w:b/>
          <w:color w:val="000000" w:themeColor="text1"/>
          <w:kern w:val="2"/>
          <w:sz w:val="32"/>
          <w:szCs w:val="32"/>
        </w:rPr>
        <w:t>報告事項</w:t>
      </w:r>
    </w:p>
    <w:p w14:paraId="0F0D5679" w14:textId="77777777" w:rsidR="009D64D0" w:rsidRPr="005551B7" w:rsidRDefault="009D64D0" w:rsidP="00F470A8">
      <w:pPr>
        <w:widowControl w:val="0"/>
        <w:kinsoku w:val="0"/>
        <w:overflowPunct w:val="0"/>
        <w:autoSpaceDE w:val="0"/>
        <w:adjustRightInd w:val="0"/>
        <w:snapToGrid w:val="0"/>
        <w:spacing w:line="480" w:lineRule="exact"/>
        <w:ind w:left="657" w:hangingChars="205" w:hanging="657"/>
        <w:jc w:val="both"/>
        <w:textAlignment w:val="auto"/>
        <w:rPr>
          <w:rFonts w:ascii="標楷體" w:eastAsia="標楷體" w:hAnsi="標楷體"/>
          <w:b/>
          <w:color w:val="000000" w:themeColor="text1"/>
          <w:kern w:val="2"/>
          <w:sz w:val="32"/>
          <w:szCs w:val="32"/>
        </w:rPr>
      </w:pPr>
      <w:r w:rsidRPr="005551B7">
        <w:rPr>
          <w:rFonts w:ascii="標楷體" w:eastAsia="標楷體" w:hAnsi="標楷體" w:hint="eastAsia"/>
          <w:b/>
          <w:color w:val="000000" w:themeColor="text1"/>
          <w:kern w:val="2"/>
          <w:sz w:val="32"/>
          <w:szCs w:val="32"/>
        </w:rPr>
        <w:lastRenderedPageBreak/>
        <w:t>一、邀請中央銀行楊總裁金龍率所屬單位主管暨財金資訊股份有限公司董事長列席業務報告，並備質詢。</w:t>
      </w:r>
    </w:p>
    <w:p w14:paraId="0DBB2B43" w14:textId="77777777" w:rsidR="009D64D0" w:rsidRPr="005551B7" w:rsidRDefault="009D64D0" w:rsidP="00F470A8">
      <w:pPr>
        <w:widowControl w:val="0"/>
        <w:kinsoku w:val="0"/>
        <w:overflowPunct w:val="0"/>
        <w:autoSpaceDE w:val="0"/>
        <w:adjustRightInd w:val="0"/>
        <w:snapToGrid w:val="0"/>
        <w:spacing w:line="480" w:lineRule="exact"/>
        <w:ind w:left="657" w:hangingChars="205" w:hanging="657"/>
        <w:jc w:val="both"/>
        <w:textAlignment w:val="auto"/>
        <w:rPr>
          <w:rFonts w:ascii="標楷體" w:eastAsia="標楷體" w:hAnsi="標楷體"/>
          <w:b/>
          <w:color w:val="000000" w:themeColor="text1"/>
          <w:kern w:val="2"/>
          <w:sz w:val="32"/>
          <w:szCs w:val="32"/>
        </w:rPr>
      </w:pPr>
      <w:r w:rsidRPr="005551B7">
        <w:rPr>
          <w:rFonts w:ascii="標楷體" w:eastAsia="標楷體" w:hAnsi="標楷體" w:hint="eastAsia"/>
          <w:b/>
          <w:color w:val="000000" w:themeColor="text1"/>
          <w:kern w:val="2"/>
          <w:sz w:val="32"/>
          <w:szCs w:val="32"/>
        </w:rPr>
        <w:t>二、邀請中央銀行楊總裁金龍就「第七波選擇性信用管制之配套措施」進行專題報告，並備質詢。</w:t>
      </w:r>
    </w:p>
    <w:p w14:paraId="607771DE" w14:textId="77777777" w:rsidR="009D64D0" w:rsidRPr="005551B7" w:rsidRDefault="009D64D0" w:rsidP="00F470A8">
      <w:pPr>
        <w:widowControl w:val="0"/>
        <w:kinsoku w:val="0"/>
        <w:overflowPunct w:val="0"/>
        <w:autoSpaceDE w:val="0"/>
        <w:adjustRightInd w:val="0"/>
        <w:snapToGrid w:val="0"/>
        <w:spacing w:line="480" w:lineRule="exact"/>
        <w:ind w:leftChars="-48" w:left="208" w:hangingChars="101" w:hanging="323"/>
        <w:jc w:val="both"/>
        <w:textAlignment w:val="auto"/>
        <w:rPr>
          <w:rFonts w:ascii="標楷體" w:eastAsia="標楷體" w:hAnsi="標楷體"/>
          <w:color w:val="000000" w:themeColor="text1"/>
          <w:kern w:val="2"/>
          <w:sz w:val="32"/>
          <w:szCs w:val="32"/>
        </w:rPr>
      </w:pPr>
      <w:r w:rsidRPr="005551B7">
        <w:rPr>
          <w:rFonts w:ascii="標楷體" w:eastAsia="標楷體" w:hAnsi="標楷體" w:hint="eastAsia"/>
          <w:color w:val="000000" w:themeColor="text1"/>
          <w:kern w:val="2"/>
          <w:sz w:val="32"/>
          <w:szCs w:val="32"/>
        </w:rPr>
        <w:t>（經中央銀行總裁楊金龍提出報告後，計有委員林德福、吳秉叡、陳玉珍、賴士葆、郭國文、賴惠員、李彥秀、李坤城、顏寬恒、王世堅、黃珊珊、羅明才、伍麗華、邱志偉等</w:t>
      </w:r>
      <w:r w:rsidRPr="005551B7">
        <w:rPr>
          <w:rFonts w:ascii="標楷體" w:eastAsia="標楷體" w:hAnsi="標楷體"/>
          <w:color w:val="000000" w:themeColor="text1"/>
          <w:kern w:val="2"/>
          <w:sz w:val="32"/>
          <w:szCs w:val="32"/>
        </w:rPr>
        <w:t>14</w:t>
      </w:r>
      <w:r w:rsidRPr="005551B7">
        <w:rPr>
          <w:rFonts w:ascii="標楷體" w:eastAsia="標楷體" w:hAnsi="標楷體" w:hint="eastAsia"/>
          <w:color w:val="000000" w:themeColor="text1"/>
          <w:kern w:val="2"/>
          <w:sz w:val="32"/>
          <w:szCs w:val="32"/>
        </w:rPr>
        <w:t>人提出質詢，均經中央銀行總裁楊金龍、財金資訊股份有限公司董事長林國良及相關人員予以答復。）</w:t>
      </w:r>
    </w:p>
    <w:p w14:paraId="61584B41" w14:textId="77777777" w:rsidR="009D64D0" w:rsidRPr="005551B7"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5551B7">
        <w:rPr>
          <w:rFonts w:ascii="標楷體" w:eastAsia="標楷體" w:hAnsi="標楷體" w:hint="eastAsia"/>
          <w:b/>
          <w:color w:val="000000" w:themeColor="text1"/>
          <w:kern w:val="2"/>
          <w:sz w:val="32"/>
          <w:szCs w:val="32"/>
        </w:rPr>
        <w:t>決定：</w:t>
      </w:r>
    </w:p>
    <w:p w14:paraId="134BF540" w14:textId="77777777" w:rsidR="009D64D0" w:rsidRPr="005551B7"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5551B7">
        <w:rPr>
          <w:rFonts w:ascii="標楷體" w:eastAsia="標楷體" w:hAnsi="標楷體" w:hint="eastAsia"/>
          <w:color w:val="000000" w:themeColor="text1"/>
          <w:kern w:val="2"/>
          <w:sz w:val="32"/>
          <w:szCs w:val="32"/>
        </w:rPr>
        <w:t>(一)報告及詢答完畢。</w:t>
      </w:r>
    </w:p>
    <w:p w14:paraId="640C5CA8" w14:textId="77777777" w:rsidR="009D64D0" w:rsidRPr="005551B7"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5551B7">
        <w:rPr>
          <w:rFonts w:ascii="標楷體" w:eastAsia="標楷體" w:hAnsi="標楷體" w:hint="eastAsia"/>
          <w:color w:val="000000" w:themeColor="text1"/>
          <w:kern w:val="2"/>
          <w:sz w:val="32"/>
          <w:szCs w:val="32"/>
        </w:rPr>
        <w:t>(二)委員質詢未及答復或請補充資訊，請中央銀行於一週內以書面答復；委員另要求期限者，從其所定。</w:t>
      </w:r>
    </w:p>
    <w:p w14:paraId="494B9304" w14:textId="77777777" w:rsidR="009D64D0" w:rsidRPr="005551B7"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5551B7">
        <w:rPr>
          <w:rFonts w:ascii="標楷體" w:eastAsia="標楷體" w:hAnsi="標楷體" w:hint="eastAsia"/>
          <w:color w:val="000000" w:themeColor="text1"/>
          <w:kern w:val="2"/>
          <w:sz w:val="32"/>
          <w:szCs w:val="32"/>
        </w:rPr>
        <w:t>(三)委員王鴻薇、楊瓊瓔所提書面質詢，列入紀錄，刊登公報，並請中央銀行以書面答復。</w:t>
      </w:r>
    </w:p>
    <w:p w14:paraId="7353CF33" w14:textId="77777777" w:rsidR="009D64D0" w:rsidRPr="005551B7"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5551B7">
        <w:rPr>
          <w:rFonts w:ascii="標楷體" w:eastAsia="標楷體" w:hAnsi="標楷體" w:hint="eastAsia"/>
          <w:b/>
          <w:color w:val="000000" w:themeColor="text1"/>
          <w:kern w:val="2"/>
          <w:sz w:val="32"/>
          <w:szCs w:val="32"/>
        </w:rPr>
        <w:t>散會</w:t>
      </w:r>
    </w:p>
    <w:p w14:paraId="7140D40E"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5F141917" w14:textId="77777777" w:rsidR="009D64D0" w:rsidRPr="006D130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28" w:name="_Toc189487319"/>
      <w:r w:rsidRPr="006D130A">
        <w:rPr>
          <w:rFonts w:ascii="標楷體" w:eastAsia="標楷體" w:hAnsi="標楷體" w:hint="eastAsia"/>
          <w:b/>
          <w:spacing w:val="-20"/>
          <w:sz w:val="32"/>
          <w:szCs w:val="32"/>
        </w:rPr>
        <w:lastRenderedPageBreak/>
        <w:t>立法院第1</w:t>
      </w:r>
      <w:r w:rsidRPr="006D130A">
        <w:rPr>
          <w:rFonts w:ascii="標楷體" w:eastAsia="標楷體" w:hAnsi="標楷體"/>
          <w:b/>
          <w:spacing w:val="-20"/>
          <w:sz w:val="32"/>
          <w:szCs w:val="32"/>
        </w:rPr>
        <w:t>1</w:t>
      </w:r>
      <w:r w:rsidRPr="006D130A">
        <w:rPr>
          <w:rFonts w:ascii="標楷體" w:eastAsia="標楷體" w:hAnsi="標楷體" w:hint="eastAsia"/>
          <w:b/>
          <w:spacing w:val="-20"/>
          <w:sz w:val="32"/>
          <w:szCs w:val="32"/>
        </w:rPr>
        <w:t>屆第2會期財政委員會第3次全體委員會議議事錄</w:t>
      </w:r>
      <w:bookmarkEnd w:id="128"/>
    </w:p>
    <w:p w14:paraId="211378E0" w14:textId="77777777" w:rsidR="009D64D0" w:rsidRPr="003B2160"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3B2160">
        <w:rPr>
          <w:rFonts w:ascii="標楷體" w:eastAsia="標楷體" w:hAnsi="標楷體" w:hint="eastAsia"/>
          <w:spacing w:val="-20"/>
          <w:sz w:val="32"/>
          <w:szCs w:val="32"/>
        </w:rPr>
        <w:t>時　　間　中華民國</w:t>
      </w:r>
      <w:r w:rsidRPr="003B2160">
        <w:rPr>
          <w:rFonts w:ascii="標楷體" w:eastAsia="標楷體" w:hAnsi="標楷體"/>
          <w:spacing w:val="-20"/>
          <w:sz w:val="32"/>
          <w:szCs w:val="32"/>
        </w:rPr>
        <w:t>113</w:t>
      </w:r>
      <w:r w:rsidRPr="003B2160">
        <w:rPr>
          <w:rFonts w:ascii="標楷體" w:eastAsia="標楷體" w:hAnsi="標楷體" w:hint="eastAsia"/>
          <w:spacing w:val="-20"/>
          <w:sz w:val="32"/>
          <w:szCs w:val="32"/>
        </w:rPr>
        <w:t>年10月21日（星期一）</w:t>
      </w:r>
      <w:r w:rsidRPr="003B2160">
        <w:rPr>
          <w:rFonts w:ascii="標楷體" w:eastAsia="標楷體" w:hAnsi="標楷體"/>
          <w:spacing w:val="-20"/>
          <w:sz w:val="32"/>
          <w:szCs w:val="32"/>
        </w:rPr>
        <w:t>9</w:t>
      </w:r>
      <w:r w:rsidRPr="003B2160">
        <w:rPr>
          <w:rFonts w:ascii="標楷體" w:eastAsia="標楷體" w:hAnsi="標楷體" w:hint="eastAsia"/>
          <w:spacing w:val="-20"/>
          <w:sz w:val="32"/>
          <w:szCs w:val="32"/>
        </w:rPr>
        <w:t>時4分至1</w:t>
      </w:r>
      <w:r w:rsidRPr="003B2160">
        <w:rPr>
          <w:rFonts w:ascii="標楷體" w:eastAsia="標楷體" w:hAnsi="標楷體"/>
          <w:spacing w:val="-20"/>
          <w:sz w:val="32"/>
          <w:szCs w:val="32"/>
        </w:rPr>
        <w:t>7</w:t>
      </w:r>
      <w:r w:rsidRPr="003B2160">
        <w:rPr>
          <w:rFonts w:ascii="標楷體" w:eastAsia="標楷體" w:hAnsi="標楷體" w:hint="eastAsia"/>
          <w:spacing w:val="-20"/>
          <w:sz w:val="32"/>
          <w:szCs w:val="32"/>
        </w:rPr>
        <w:t>時</w:t>
      </w:r>
      <w:r w:rsidRPr="003B2160">
        <w:rPr>
          <w:rFonts w:ascii="標楷體" w:eastAsia="標楷體" w:hAnsi="標楷體"/>
          <w:spacing w:val="-20"/>
          <w:sz w:val="32"/>
          <w:szCs w:val="32"/>
        </w:rPr>
        <w:t>45</w:t>
      </w:r>
      <w:r w:rsidRPr="003B2160">
        <w:rPr>
          <w:rFonts w:ascii="標楷體" w:eastAsia="標楷體" w:hAnsi="標楷體" w:hint="eastAsia"/>
          <w:spacing w:val="-20"/>
          <w:sz w:val="32"/>
          <w:szCs w:val="32"/>
        </w:rPr>
        <w:t>分</w:t>
      </w:r>
    </w:p>
    <w:p w14:paraId="0310E3F9" w14:textId="77777777" w:rsidR="009D64D0" w:rsidRPr="003B2160"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3B2160">
        <w:rPr>
          <w:rFonts w:ascii="標楷體" w:eastAsia="標楷體" w:hAnsi="標楷體" w:hint="eastAsia"/>
          <w:spacing w:val="-20"/>
          <w:sz w:val="32"/>
          <w:szCs w:val="32"/>
        </w:rPr>
        <w:t>地　　點　群賢樓9樓大禮堂</w:t>
      </w:r>
    </w:p>
    <w:p w14:paraId="020BBB63" w14:textId="77777777" w:rsidR="009A5DE2" w:rsidRPr="00DC1D2B" w:rsidRDefault="009D64D0" w:rsidP="00F470A8">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DC1D2B">
        <w:rPr>
          <w:rFonts w:ascii="標楷體" w:eastAsia="標楷體" w:hAnsi="標楷體" w:hint="eastAsia"/>
          <w:sz w:val="32"/>
          <w:szCs w:val="32"/>
        </w:rPr>
        <w:t xml:space="preserve">出席委員　林德福　賴惠員　王鴻薇　吳秉叡　賴士葆　王世堅　</w:t>
      </w:r>
    </w:p>
    <w:p w14:paraId="7CEDE74D" w14:textId="77777777" w:rsidR="009A5DE2" w:rsidRPr="00DC1D2B" w:rsidRDefault="009D64D0" w:rsidP="00F470A8">
      <w:pPr>
        <w:kinsoku w:val="0"/>
        <w:overflowPunct w:val="0"/>
        <w:adjustRightInd w:val="0"/>
        <w:snapToGrid w:val="0"/>
        <w:spacing w:line="480" w:lineRule="exact"/>
        <w:ind w:rightChars="-149" w:right="-358" w:firstLineChars="500" w:firstLine="1600"/>
        <w:jc w:val="both"/>
        <w:rPr>
          <w:rFonts w:ascii="標楷體" w:eastAsia="標楷體" w:hAnsi="標楷體"/>
          <w:sz w:val="32"/>
          <w:szCs w:val="32"/>
        </w:rPr>
      </w:pPr>
      <w:r w:rsidRPr="00DC1D2B">
        <w:rPr>
          <w:rFonts w:ascii="標楷體" w:eastAsia="標楷體" w:hAnsi="標楷體" w:hint="eastAsia"/>
          <w:sz w:val="32"/>
          <w:szCs w:val="32"/>
        </w:rPr>
        <w:t>伍麗華</w:t>
      </w:r>
      <w:r w:rsidRPr="00DC1D2B">
        <w:rPr>
          <w:rFonts w:ascii="標楷體" w:eastAsia="標楷體" w:hAnsi="標楷體" w:hint="eastAsia"/>
          <w:spacing w:val="-24"/>
          <w:sz w:val="32"/>
          <w:szCs w:val="32"/>
        </w:rPr>
        <w:t>Saidhai Tahovecahe</w:t>
      </w:r>
      <w:r w:rsidRPr="00DC1D2B">
        <w:rPr>
          <w:rFonts w:ascii="標楷體" w:eastAsia="標楷體" w:hAnsi="標楷體" w:hint="eastAsia"/>
          <w:sz w:val="32"/>
          <w:szCs w:val="32"/>
        </w:rPr>
        <w:t xml:space="preserve">　顏寬恒　黃珊珊　陳玉珍　</w:t>
      </w:r>
    </w:p>
    <w:p w14:paraId="3A067C95" w14:textId="58B8F02C" w:rsidR="009D64D0" w:rsidRPr="00DC1D2B" w:rsidRDefault="009D64D0" w:rsidP="00F470A8">
      <w:pPr>
        <w:kinsoku w:val="0"/>
        <w:overflowPunct w:val="0"/>
        <w:adjustRightInd w:val="0"/>
        <w:snapToGrid w:val="0"/>
        <w:spacing w:line="480" w:lineRule="exact"/>
        <w:ind w:rightChars="-149" w:right="-358" w:firstLineChars="500" w:firstLine="1600"/>
        <w:jc w:val="both"/>
        <w:rPr>
          <w:rFonts w:ascii="標楷體" w:eastAsia="標楷體" w:hAnsi="標楷體"/>
          <w:sz w:val="32"/>
          <w:szCs w:val="32"/>
        </w:rPr>
      </w:pPr>
      <w:r w:rsidRPr="00DC1D2B">
        <w:rPr>
          <w:rFonts w:ascii="標楷體" w:eastAsia="標楷體" w:hAnsi="標楷體" w:hint="eastAsia"/>
          <w:sz w:val="32"/>
          <w:szCs w:val="32"/>
        </w:rPr>
        <w:t>李坤城</w:t>
      </w:r>
      <w:r w:rsidR="009A5DE2" w:rsidRPr="00DC1D2B">
        <w:rPr>
          <w:rFonts w:ascii="標楷體" w:eastAsia="標楷體" w:hAnsi="標楷體" w:hint="eastAsia"/>
          <w:sz w:val="32"/>
          <w:szCs w:val="32"/>
        </w:rPr>
        <w:t xml:space="preserve">　</w:t>
      </w:r>
      <w:r w:rsidRPr="00DC1D2B">
        <w:rPr>
          <w:rFonts w:ascii="標楷體" w:eastAsia="標楷體" w:hAnsi="標楷體" w:hint="eastAsia"/>
          <w:sz w:val="32"/>
          <w:szCs w:val="32"/>
        </w:rPr>
        <w:t>郭國文　羅明才　李彥秀</w:t>
      </w:r>
    </w:p>
    <w:p w14:paraId="25E631A8" w14:textId="3A6E1E9B" w:rsidR="009D64D0" w:rsidRPr="00DC1D2B" w:rsidRDefault="00DC1D2B" w:rsidP="00DC1D2B">
      <w:pPr>
        <w:widowControl w:val="0"/>
        <w:kinsoku w:val="0"/>
        <w:overflowPunct w:val="0"/>
        <w:autoSpaceDE w:val="0"/>
        <w:adjustRightInd w:val="0"/>
        <w:snapToGrid w:val="0"/>
        <w:spacing w:line="480" w:lineRule="exact"/>
        <w:ind w:left="1602" w:rightChars="100" w:right="240" w:hangingChars="500" w:hanging="1602"/>
        <w:textAlignment w:val="auto"/>
        <w:rPr>
          <w:rFonts w:ascii="標楷體" w:eastAsia="標楷體" w:hAnsi="標楷體"/>
          <w:b/>
          <w:bCs/>
          <w:sz w:val="32"/>
          <w:szCs w:val="32"/>
        </w:rPr>
      </w:pPr>
      <w:r w:rsidRPr="00DC1D2B">
        <w:rPr>
          <w:rFonts w:ascii="標楷體" w:eastAsia="標楷體" w:hAnsi="標楷體" w:hint="eastAsia"/>
          <w:b/>
          <w:bCs/>
          <w:sz w:val="32"/>
          <w:szCs w:val="32"/>
        </w:rPr>
        <w:t xml:space="preserve">　　　　　</w:t>
      </w:r>
      <w:r w:rsidR="009D64D0" w:rsidRPr="00DC1D2B">
        <w:rPr>
          <w:rFonts w:ascii="標楷體" w:eastAsia="標楷體" w:hAnsi="標楷體" w:hint="eastAsia"/>
          <w:b/>
          <w:bCs/>
          <w:sz w:val="32"/>
          <w:szCs w:val="32"/>
        </w:rPr>
        <w:t>委員出席1</w:t>
      </w:r>
      <w:r w:rsidR="009D64D0" w:rsidRPr="00DC1D2B">
        <w:rPr>
          <w:rFonts w:ascii="標楷體" w:eastAsia="標楷體" w:hAnsi="標楷體"/>
          <w:b/>
          <w:bCs/>
          <w:sz w:val="32"/>
          <w:szCs w:val="32"/>
        </w:rPr>
        <w:t>4</w:t>
      </w:r>
      <w:r w:rsidR="009D64D0" w:rsidRPr="00DC1D2B">
        <w:rPr>
          <w:rFonts w:ascii="標楷體" w:eastAsia="標楷體" w:hAnsi="標楷體" w:hint="eastAsia"/>
          <w:b/>
          <w:bCs/>
          <w:sz w:val="32"/>
          <w:szCs w:val="32"/>
        </w:rPr>
        <w:t>人</w:t>
      </w:r>
    </w:p>
    <w:p w14:paraId="17164570" w14:textId="77777777" w:rsidR="009A5DE2" w:rsidRPr="00CE3613" w:rsidRDefault="009D64D0" w:rsidP="00DC1D2B">
      <w:pPr>
        <w:kinsoku w:val="0"/>
        <w:overflowPunct w:val="0"/>
        <w:adjustRightInd w:val="0"/>
        <w:snapToGrid w:val="0"/>
        <w:spacing w:line="480" w:lineRule="exact"/>
        <w:ind w:left="1600" w:rightChars="-149" w:right="-358" w:hangingChars="500" w:hanging="1600"/>
        <w:jc w:val="both"/>
        <w:rPr>
          <w:rFonts w:ascii="標楷體" w:eastAsia="標楷體" w:hAnsi="標楷體"/>
          <w:sz w:val="32"/>
          <w:szCs w:val="32"/>
        </w:rPr>
      </w:pPr>
      <w:r w:rsidRPr="00CE3613">
        <w:rPr>
          <w:rFonts w:ascii="標楷體" w:eastAsia="標楷體" w:hAnsi="標楷體" w:hint="eastAsia"/>
          <w:sz w:val="32"/>
          <w:szCs w:val="32"/>
        </w:rPr>
        <w:t>列席委員　鍾佳濱　陳菁徽　鄭天財</w:t>
      </w:r>
      <w:r w:rsidRPr="00CE3613">
        <w:rPr>
          <w:rFonts w:ascii="標楷體" w:eastAsia="標楷體" w:hAnsi="標楷體"/>
          <w:spacing w:val="-26"/>
          <w:sz w:val="32"/>
          <w:szCs w:val="32"/>
        </w:rPr>
        <w:t>Sra Kacaw</w:t>
      </w:r>
      <w:r w:rsidRPr="00CE3613">
        <w:rPr>
          <w:rFonts w:ascii="標楷體" w:eastAsia="標楷體" w:hAnsi="標楷體" w:hint="eastAsia"/>
          <w:sz w:val="32"/>
          <w:szCs w:val="32"/>
        </w:rPr>
        <w:t xml:space="preserve">　謝龍介　林楚茵　</w:t>
      </w:r>
    </w:p>
    <w:p w14:paraId="641F5917" w14:textId="77777777" w:rsidR="009A5DE2" w:rsidRPr="00CE3613" w:rsidRDefault="009D64D0" w:rsidP="00DC1D2B">
      <w:pPr>
        <w:kinsoku w:val="0"/>
        <w:overflowPunct w:val="0"/>
        <w:adjustRightInd w:val="0"/>
        <w:snapToGrid w:val="0"/>
        <w:spacing w:line="480" w:lineRule="exact"/>
        <w:ind w:rightChars="-149" w:right="-358" w:firstLineChars="500" w:firstLine="1600"/>
        <w:jc w:val="both"/>
        <w:rPr>
          <w:rFonts w:ascii="標楷體" w:eastAsia="標楷體" w:hAnsi="標楷體"/>
          <w:sz w:val="32"/>
          <w:szCs w:val="32"/>
        </w:rPr>
      </w:pPr>
      <w:r w:rsidRPr="00CE3613">
        <w:rPr>
          <w:rFonts w:ascii="標楷體" w:eastAsia="標楷體" w:hAnsi="標楷體" w:hint="eastAsia"/>
          <w:sz w:val="32"/>
          <w:szCs w:val="32"/>
        </w:rPr>
        <w:t xml:space="preserve">沈伯洋　洪孟楷　鄭正鈐　葛如鈞　陳培瑜　</w:t>
      </w:r>
      <w:r w:rsidRPr="00CE3613">
        <w:rPr>
          <w:rFonts w:ascii="標楷體" w:eastAsia="標楷體" w:hAnsi="標楷體"/>
          <w:sz w:val="32"/>
          <w:szCs w:val="32"/>
        </w:rPr>
        <w:t>傅</w:t>
      </w:r>
      <w:r w:rsidRPr="00CE3613">
        <w:rPr>
          <w:rFonts w:ascii="標楷體" w:eastAsia="標楷體" w:hAnsi="標楷體" w:hint="eastAsia"/>
          <w:sz w:val="32"/>
          <w:szCs w:val="32"/>
        </w:rPr>
        <w:t>崐</w:t>
      </w:r>
      <w:r w:rsidRPr="00CE3613">
        <w:rPr>
          <w:rFonts w:ascii="標楷體" w:eastAsia="標楷體" w:hAnsi="標楷體"/>
          <w:sz w:val="32"/>
          <w:szCs w:val="32"/>
        </w:rPr>
        <w:t>萁</w:t>
      </w:r>
      <w:r w:rsidRPr="00CE3613">
        <w:rPr>
          <w:rFonts w:ascii="標楷體" w:eastAsia="標楷體" w:hAnsi="標楷體" w:hint="eastAsia"/>
          <w:sz w:val="32"/>
          <w:szCs w:val="32"/>
        </w:rPr>
        <w:t xml:space="preserve">　</w:t>
      </w:r>
    </w:p>
    <w:p w14:paraId="03CAAAA4" w14:textId="77777777" w:rsidR="009A5DE2" w:rsidRPr="00CE3613" w:rsidRDefault="009D64D0" w:rsidP="00DC1D2B">
      <w:pPr>
        <w:kinsoku w:val="0"/>
        <w:overflowPunct w:val="0"/>
        <w:adjustRightInd w:val="0"/>
        <w:snapToGrid w:val="0"/>
        <w:spacing w:line="480" w:lineRule="exact"/>
        <w:ind w:rightChars="-149" w:right="-358" w:firstLineChars="500" w:firstLine="1600"/>
        <w:jc w:val="both"/>
        <w:rPr>
          <w:rFonts w:ascii="標楷體" w:eastAsia="標楷體" w:hAnsi="標楷體"/>
          <w:sz w:val="32"/>
          <w:szCs w:val="32"/>
        </w:rPr>
      </w:pPr>
      <w:r w:rsidRPr="00CE3613">
        <w:rPr>
          <w:rFonts w:ascii="標楷體" w:eastAsia="標楷體" w:hAnsi="標楷體" w:hint="eastAsia"/>
          <w:sz w:val="32"/>
          <w:szCs w:val="32"/>
        </w:rPr>
        <w:t xml:space="preserve">范　雲　林月琴　蔡易餘　郭昱晴　張智倫　張雅琳　</w:t>
      </w:r>
    </w:p>
    <w:p w14:paraId="0B0BB621" w14:textId="1B67571A" w:rsidR="009D64D0" w:rsidRPr="00CE3613" w:rsidRDefault="009D64D0" w:rsidP="00DC1D2B">
      <w:pPr>
        <w:kinsoku w:val="0"/>
        <w:overflowPunct w:val="0"/>
        <w:adjustRightInd w:val="0"/>
        <w:snapToGrid w:val="0"/>
        <w:spacing w:line="480" w:lineRule="exact"/>
        <w:ind w:rightChars="-149" w:right="-358" w:firstLineChars="500" w:firstLine="1600"/>
        <w:jc w:val="both"/>
        <w:rPr>
          <w:rFonts w:ascii="標楷體" w:eastAsia="標楷體" w:hAnsi="標楷體"/>
          <w:sz w:val="32"/>
          <w:szCs w:val="32"/>
        </w:rPr>
      </w:pPr>
      <w:r w:rsidRPr="00CE3613">
        <w:rPr>
          <w:rFonts w:ascii="標楷體" w:eastAsia="標楷體" w:hAnsi="標楷體" w:hint="eastAsia"/>
          <w:sz w:val="32"/>
          <w:szCs w:val="32"/>
        </w:rPr>
        <w:t>徐巧芯　羅智強</w:t>
      </w:r>
      <w:r w:rsidR="00CE3613" w:rsidRPr="00CE3613">
        <w:rPr>
          <w:rFonts w:ascii="標楷體" w:eastAsia="標楷體" w:hAnsi="標楷體" w:hint="eastAsia"/>
          <w:sz w:val="32"/>
          <w:szCs w:val="32"/>
        </w:rPr>
        <w:t xml:space="preserve">　</w:t>
      </w:r>
      <w:r w:rsidRPr="00CE3613">
        <w:rPr>
          <w:rFonts w:ascii="標楷體" w:eastAsia="標楷體" w:hAnsi="標楷體" w:hint="eastAsia"/>
          <w:spacing w:val="-72"/>
          <w:sz w:val="32"/>
          <w:szCs w:val="32"/>
        </w:rPr>
        <w:t>高金素梅</w:t>
      </w:r>
      <w:r w:rsidR="00CE3613" w:rsidRPr="00CE3613">
        <w:rPr>
          <w:rFonts w:ascii="標楷體" w:eastAsia="標楷體" w:hAnsi="標楷體" w:hint="eastAsia"/>
          <w:sz w:val="32"/>
          <w:szCs w:val="32"/>
        </w:rPr>
        <w:t xml:space="preserve">　</w:t>
      </w:r>
      <w:r w:rsidRPr="00CE3613">
        <w:rPr>
          <w:rFonts w:ascii="標楷體" w:eastAsia="標楷體" w:hAnsi="標楷體" w:hint="eastAsia"/>
          <w:sz w:val="32"/>
          <w:szCs w:val="32"/>
        </w:rPr>
        <w:t>黃國昌　楊瓊瓔</w:t>
      </w:r>
    </w:p>
    <w:p w14:paraId="5B56B706" w14:textId="07142B2B" w:rsidR="009D64D0" w:rsidRPr="00DC1D2B" w:rsidRDefault="00DC1D2B" w:rsidP="00DC1D2B">
      <w:pPr>
        <w:widowControl w:val="0"/>
        <w:kinsoku w:val="0"/>
        <w:overflowPunct w:val="0"/>
        <w:autoSpaceDE w:val="0"/>
        <w:adjustRightInd w:val="0"/>
        <w:snapToGrid w:val="0"/>
        <w:spacing w:line="480" w:lineRule="exact"/>
        <w:ind w:left="1602" w:rightChars="100" w:right="240" w:hangingChars="500" w:hanging="1602"/>
        <w:textAlignment w:val="auto"/>
        <w:rPr>
          <w:rFonts w:ascii="標楷體" w:eastAsia="標楷體" w:hAnsi="標楷體"/>
          <w:b/>
          <w:bCs/>
          <w:sz w:val="32"/>
          <w:szCs w:val="32"/>
        </w:rPr>
      </w:pPr>
      <w:r w:rsidRPr="00DC1D2B">
        <w:rPr>
          <w:rFonts w:ascii="標楷體" w:eastAsia="標楷體" w:hAnsi="標楷體" w:hint="eastAsia"/>
          <w:b/>
          <w:bCs/>
          <w:sz w:val="32"/>
          <w:szCs w:val="32"/>
        </w:rPr>
        <w:t xml:space="preserve">　　　　　</w:t>
      </w:r>
      <w:r w:rsidR="009D64D0" w:rsidRPr="00DC1D2B">
        <w:rPr>
          <w:rFonts w:ascii="標楷體" w:eastAsia="標楷體" w:hAnsi="標楷體" w:hint="eastAsia"/>
          <w:b/>
          <w:bCs/>
          <w:sz w:val="32"/>
          <w:szCs w:val="32"/>
        </w:rPr>
        <w:t>委員列席</w:t>
      </w:r>
      <w:r w:rsidR="009D64D0" w:rsidRPr="00DC1D2B">
        <w:rPr>
          <w:rFonts w:ascii="標楷體" w:eastAsia="標楷體" w:hAnsi="標楷體"/>
          <w:b/>
          <w:bCs/>
          <w:sz w:val="32"/>
          <w:szCs w:val="32"/>
        </w:rPr>
        <w:t>2</w:t>
      </w:r>
      <w:r w:rsidR="009D64D0" w:rsidRPr="00DC1D2B">
        <w:rPr>
          <w:rFonts w:ascii="標楷體" w:eastAsia="標楷體" w:hAnsi="標楷體" w:hint="eastAsia"/>
          <w:b/>
          <w:bCs/>
          <w:sz w:val="32"/>
          <w:szCs w:val="32"/>
        </w:rPr>
        <w:t>2人</w:t>
      </w:r>
    </w:p>
    <w:p w14:paraId="28B8535F" w14:textId="6E95C395" w:rsidR="009D64D0" w:rsidRPr="002A2925" w:rsidRDefault="009D64D0" w:rsidP="00DC1D2B">
      <w:pPr>
        <w:tabs>
          <w:tab w:val="left" w:pos="8505"/>
        </w:tabs>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列席官員　</w:t>
      </w:r>
      <w:r w:rsidRPr="002A2925">
        <w:rPr>
          <w:rFonts w:ascii="標楷體" w:eastAsia="標楷體" w:hAnsi="標楷體" w:hint="eastAsia"/>
          <w:b/>
          <w:spacing w:val="-20"/>
          <w:sz w:val="32"/>
          <w:szCs w:val="32"/>
        </w:rPr>
        <w:t>財政部</w:t>
      </w:r>
      <w:r w:rsidRPr="002A2925">
        <w:rPr>
          <w:rFonts w:ascii="標楷體" w:eastAsia="標楷體" w:hAnsi="標楷體" w:hint="eastAsia"/>
          <w:spacing w:val="-20"/>
          <w:sz w:val="32"/>
          <w:szCs w:val="32"/>
        </w:rPr>
        <w:t xml:space="preserve">　　　　　　　</w:t>
      </w:r>
      <w:r w:rsidR="002A2925"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 xml:space="preserve">　　政務次長　　阮清華</w:t>
      </w:r>
    </w:p>
    <w:p w14:paraId="42633675" w14:textId="14426398"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（部長莊翠雲請假）</w:t>
      </w:r>
    </w:p>
    <w:p w14:paraId="732D0343" w14:textId="066E5F09"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法制處</w:t>
      </w:r>
      <w:r w:rsidR="009D64D0" w:rsidRPr="002A2925">
        <w:rPr>
          <w:rFonts w:ascii="標楷體" w:eastAsia="標楷體" w:hAnsi="標楷體" w:hint="eastAsia"/>
          <w:spacing w:val="-20"/>
          <w:sz w:val="32"/>
          <w:szCs w:val="32"/>
        </w:rPr>
        <w:t xml:space="preserve">　　　　　　　　　　　　　處長　　　　姚　瑩</w:t>
      </w:r>
    </w:p>
    <w:p w14:paraId="20E31C99" w14:textId="714A07DD"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統計處</w:t>
      </w:r>
      <w:r w:rsidR="009D64D0" w:rsidRPr="002A2925">
        <w:rPr>
          <w:rFonts w:ascii="標楷體" w:eastAsia="標楷體" w:hAnsi="標楷體" w:hint="eastAsia"/>
          <w:spacing w:val="-20"/>
          <w:sz w:val="32"/>
          <w:szCs w:val="32"/>
        </w:rPr>
        <w:t xml:space="preserve">　　　　　　　　　　　　　處長　　　　蔡美娜</w:t>
      </w:r>
    </w:p>
    <w:p w14:paraId="43CCEBC7" w14:textId="24268E9C"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國庫署</w:t>
      </w:r>
      <w:r w:rsidR="009D64D0" w:rsidRPr="002A2925">
        <w:rPr>
          <w:rFonts w:ascii="標楷體" w:eastAsia="標楷體" w:hAnsi="標楷體" w:hint="eastAsia"/>
          <w:spacing w:val="-20"/>
          <w:sz w:val="32"/>
          <w:szCs w:val="32"/>
        </w:rPr>
        <w:t xml:space="preserve">　　　　　　　　　　　　　署長　　　　陳柏誠</w:t>
      </w:r>
    </w:p>
    <w:p w14:paraId="277E1519" w14:textId="21DEB053"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賦稅署</w:t>
      </w:r>
      <w:r w:rsidR="009D64D0" w:rsidRPr="002A2925">
        <w:rPr>
          <w:rFonts w:ascii="標楷體" w:eastAsia="標楷體" w:hAnsi="標楷體" w:hint="eastAsia"/>
          <w:spacing w:val="-20"/>
          <w:sz w:val="32"/>
          <w:szCs w:val="32"/>
        </w:rPr>
        <w:t xml:space="preserve">　　　　　　　　　　　　　副署長　　　陳慧綺</w:t>
      </w:r>
    </w:p>
    <w:p w14:paraId="2AFC37D3" w14:textId="0314E18E"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b/>
          <w:spacing w:val="-20"/>
          <w:sz w:val="32"/>
          <w:szCs w:val="32"/>
        </w:rPr>
        <w:t>行政院主計總處</w:t>
      </w: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主計長　　　陳淑姿</w:t>
      </w:r>
    </w:p>
    <w:p w14:paraId="28F66807" w14:textId="35001CF0"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副主計長　　陳慧娟</w:t>
      </w:r>
    </w:p>
    <w:p w14:paraId="1001AE3C" w14:textId="18424920"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w:t>
      </w:r>
      <w:r w:rsidR="00CE3613">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（14時30分至15時45分）</w:t>
      </w:r>
    </w:p>
    <w:p w14:paraId="2B85F789" w14:textId="4F30371F" w:rsidR="009D64D0" w:rsidRPr="002A2925" w:rsidRDefault="002A2925"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009D64D0"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公務預算處</w:t>
      </w:r>
      <w:r w:rsidR="009D64D0" w:rsidRPr="002A2925">
        <w:rPr>
          <w:rFonts w:ascii="標楷體" w:eastAsia="標楷體" w:hAnsi="標楷體" w:hint="eastAsia"/>
          <w:spacing w:val="-20"/>
          <w:sz w:val="32"/>
          <w:szCs w:val="32"/>
        </w:rPr>
        <w:t xml:space="preserve">　　　　　　　　　　　處長　　　　許永議</w:t>
      </w:r>
    </w:p>
    <w:p w14:paraId="4D75FE0A" w14:textId="437132FE"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Pr="002A2925">
        <w:rPr>
          <w:rFonts w:ascii="標楷體" w:eastAsia="標楷體" w:hAnsi="標楷體" w:hint="eastAsia"/>
          <w:b/>
          <w:spacing w:val="-20"/>
          <w:sz w:val="32"/>
          <w:szCs w:val="32"/>
        </w:rPr>
        <w:t>內政部</w:t>
      </w:r>
      <w:r w:rsidRPr="002A2925">
        <w:rPr>
          <w:rFonts w:ascii="標楷體" w:eastAsia="標楷體" w:hAnsi="標楷體" w:hint="eastAsia"/>
          <w:spacing w:val="-20"/>
          <w:sz w:val="32"/>
          <w:szCs w:val="32"/>
        </w:rPr>
        <w:t xml:space="preserve">民政司　　　　</w:t>
      </w:r>
      <w:r w:rsidR="002A2925"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 xml:space="preserve">　　專門委員　　劉立方</w:t>
      </w:r>
      <w:r w:rsidRPr="002A2925">
        <w:rPr>
          <w:rFonts w:ascii="標楷體" w:eastAsia="標楷體" w:hAnsi="標楷體" w:hint="eastAsia"/>
          <w:spacing w:val="-20"/>
          <w:sz w:val="32"/>
          <w:szCs w:val="32"/>
        </w:rPr>
        <w:cr/>
        <w:t xml:space="preserve">　國土管理署國土計畫組</w:t>
      </w:r>
      <w:r w:rsidR="002A2925"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 xml:space="preserve">　簡任視察　　朱偉廷</w:t>
      </w:r>
    </w:p>
    <w:p w14:paraId="429F931C" w14:textId="601C0270"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Pr="002A2925">
        <w:rPr>
          <w:rFonts w:ascii="標楷體" w:eastAsia="標楷體" w:hAnsi="標楷體" w:hint="eastAsia"/>
          <w:b/>
          <w:spacing w:val="-20"/>
          <w:sz w:val="32"/>
          <w:szCs w:val="32"/>
        </w:rPr>
        <w:t>國家發展委員會</w:t>
      </w:r>
      <w:r w:rsidRPr="002A2925">
        <w:rPr>
          <w:rFonts w:ascii="標楷體" w:eastAsia="標楷體" w:hAnsi="標楷體" w:hint="eastAsia"/>
          <w:spacing w:val="-20"/>
          <w:sz w:val="32"/>
          <w:szCs w:val="32"/>
        </w:rPr>
        <w:t xml:space="preserve">經濟發展處　　</w:t>
      </w:r>
      <w:r w:rsidR="002A2925"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專門委員　　郭永騰</w:t>
      </w:r>
    </w:p>
    <w:p w14:paraId="7EDB6BF7" w14:textId="7DA1CA9D"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Pr="002A2925">
        <w:rPr>
          <w:rFonts w:ascii="標楷體" w:eastAsia="標楷體" w:hAnsi="標楷體" w:hint="eastAsia"/>
          <w:b/>
          <w:spacing w:val="-20"/>
          <w:sz w:val="32"/>
          <w:szCs w:val="32"/>
        </w:rPr>
        <w:t>原住民族委員會</w:t>
      </w:r>
      <w:r w:rsidRPr="002A2925">
        <w:rPr>
          <w:rFonts w:ascii="標楷體" w:eastAsia="標楷體" w:hAnsi="標楷體" w:hint="eastAsia"/>
          <w:spacing w:val="-20"/>
          <w:sz w:val="32"/>
          <w:szCs w:val="32"/>
        </w:rPr>
        <w:t xml:space="preserve">綜合規劃處　　</w:t>
      </w:r>
      <w:r w:rsidR="002A2925"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副處長　　　洪　玲</w:t>
      </w:r>
    </w:p>
    <w:p w14:paraId="42C9D7EB" w14:textId="3129A87D"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Pr="002A2925">
        <w:rPr>
          <w:rFonts w:ascii="標楷體" w:eastAsia="標楷體" w:hAnsi="標楷體" w:hint="eastAsia"/>
          <w:b/>
          <w:spacing w:val="-20"/>
          <w:sz w:val="32"/>
          <w:szCs w:val="32"/>
        </w:rPr>
        <w:t>環境部</w:t>
      </w:r>
      <w:r w:rsidRPr="002A2925">
        <w:rPr>
          <w:rFonts w:ascii="標楷體" w:eastAsia="標楷體" w:hAnsi="標楷體" w:hint="eastAsia"/>
          <w:spacing w:val="-20"/>
          <w:sz w:val="32"/>
          <w:szCs w:val="32"/>
        </w:rPr>
        <w:t xml:space="preserve">大氣環境司　　　　　　</w:t>
      </w:r>
      <w:r w:rsidR="002A2925" w:rsidRPr="002A2925">
        <w:rPr>
          <w:rFonts w:ascii="標楷體" w:eastAsia="標楷體" w:hAnsi="標楷體" w:hint="eastAsia"/>
          <w:spacing w:val="-20"/>
          <w:sz w:val="32"/>
          <w:szCs w:val="32"/>
        </w:rPr>
        <w:t xml:space="preserve">　　　</w:t>
      </w:r>
      <w:r w:rsidRPr="002A2925">
        <w:rPr>
          <w:rFonts w:ascii="標楷體" w:eastAsia="標楷體" w:hAnsi="標楷體" w:hint="eastAsia"/>
          <w:spacing w:val="-20"/>
          <w:sz w:val="32"/>
          <w:szCs w:val="32"/>
        </w:rPr>
        <w:t>科長　　　　謝仁碩</w:t>
      </w:r>
    </w:p>
    <w:p w14:paraId="546D2F82" w14:textId="26319CE0"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w:t>
      </w:r>
      <w:r w:rsidRPr="002A2925">
        <w:rPr>
          <w:rFonts w:ascii="標楷體" w:eastAsia="標楷體" w:hAnsi="標楷體" w:hint="eastAsia"/>
          <w:b/>
          <w:spacing w:val="-20"/>
          <w:sz w:val="32"/>
          <w:szCs w:val="32"/>
        </w:rPr>
        <w:t>法務部</w:t>
      </w:r>
      <w:r w:rsidRPr="002A2925">
        <w:rPr>
          <w:rFonts w:ascii="標楷體" w:eastAsia="標楷體" w:hAnsi="標楷體" w:hint="eastAsia"/>
          <w:spacing w:val="-20"/>
          <w:sz w:val="32"/>
          <w:szCs w:val="32"/>
        </w:rPr>
        <w:t xml:space="preserve">法制司　　　　　　　　</w:t>
      </w:r>
      <w:r w:rsidR="002A2925" w:rsidRPr="002A2925">
        <w:rPr>
          <w:rFonts w:ascii="標楷體" w:eastAsia="標楷體" w:hAnsi="標楷體" w:hint="eastAsia"/>
          <w:spacing w:val="-20"/>
          <w:sz w:val="32"/>
          <w:szCs w:val="32"/>
        </w:rPr>
        <w:t xml:space="preserve">　　　</w:t>
      </w:r>
      <w:r w:rsidRPr="00CE3613">
        <w:rPr>
          <w:rFonts w:ascii="標楷體" w:eastAsia="標楷體" w:hAnsi="標楷體" w:hint="eastAsia"/>
          <w:spacing w:val="-50"/>
          <w:sz w:val="32"/>
          <w:szCs w:val="32"/>
        </w:rPr>
        <w:t>調部辦事檢察官楊石宇</w:t>
      </w:r>
    </w:p>
    <w:p w14:paraId="7BC45F98" w14:textId="77777777"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主　　席　陳召集委員玉珍</w:t>
      </w:r>
    </w:p>
    <w:p w14:paraId="37945476" w14:textId="77777777"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專門委員</w:t>
      </w:r>
      <w:r w:rsidRPr="002A2925">
        <w:rPr>
          <w:rFonts w:ascii="標楷體" w:eastAsia="標楷體" w:hAnsi="標楷體"/>
          <w:spacing w:val="-20"/>
          <w:sz w:val="32"/>
          <w:szCs w:val="32"/>
        </w:rPr>
        <w:t xml:space="preserve">　</w:t>
      </w:r>
      <w:r w:rsidRPr="002A2925">
        <w:rPr>
          <w:rFonts w:ascii="標楷體" w:eastAsia="標楷體" w:hAnsi="標楷體" w:hint="eastAsia"/>
          <w:spacing w:val="-20"/>
          <w:sz w:val="32"/>
          <w:szCs w:val="32"/>
        </w:rPr>
        <w:t>林靜玟</w:t>
      </w:r>
    </w:p>
    <w:p w14:paraId="507911A7" w14:textId="77777777"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spacing w:val="-20"/>
          <w:sz w:val="32"/>
          <w:szCs w:val="32"/>
        </w:rPr>
        <w:lastRenderedPageBreak/>
        <w:t>主任秘書　謝淑津</w:t>
      </w:r>
    </w:p>
    <w:p w14:paraId="4FA704E4" w14:textId="77777777"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spacing w:val="-20"/>
          <w:sz w:val="32"/>
          <w:szCs w:val="32"/>
        </w:rPr>
        <w:t xml:space="preserve">紀　　錄　</w:t>
      </w:r>
      <w:r w:rsidRPr="002A2925">
        <w:rPr>
          <w:rFonts w:ascii="標楷體" w:eastAsia="標楷體" w:hAnsi="標楷體" w:hint="eastAsia"/>
          <w:spacing w:val="-20"/>
          <w:sz w:val="32"/>
          <w:szCs w:val="32"/>
        </w:rPr>
        <w:t xml:space="preserve">秘　書　吳人寬　研究員　黃惠雯　編　審　伍明清　</w:t>
      </w:r>
    </w:p>
    <w:p w14:paraId="557374C5" w14:textId="77777777" w:rsidR="009D64D0" w:rsidRPr="002A2925" w:rsidRDefault="009D64D0" w:rsidP="00F470A8">
      <w:pPr>
        <w:kinsoku w:val="0"/>
        <w:overflowPunct w:val="0"/>
        <w:adjustRightInd w:val="0"/>
        <w:snapToGrid w:val="0"/>
        <w:spacing w:line="480" w:lineRule="exact"/>
        <w:ind w:left="1500" w:rightChars="-149" w:right="-358" w:hangingChars="500" w:hanging="1500"/>
        <w:jc w:val="both"/>
        <w:rPr>
          <w:rFonts w:ascii="標楷體" w:eastAsia="標楷體" w:hAnsi="標楷體"/>
          <w:spacing w:val="-20"/>
          <w:sz w:val="32"/>
          <w:szCs w:val="32"/>
        </w:rPr>
      </w:pPr>
      <w:r w:rsidRPr="002A2925">
        <w:rPr>
          <w:rFonts w:ascii="標楷體" w:eastAsia="標楷體" w:hAnsi="標楷體" w:hint="eastAsia"/>
          <w:spacing w:val="-20"/>
          <w:sz w:val="32"/>
          <w:szCs w:val="32"/>
        </w:rPr>
        <w:t xml:space="preserve">　　　　　科　長　喻　珊　科　員　簡廷育　</w:t>
      </w:r>
    </w:p>
    <w:p w14:paraId="49539085" w14:textId="77777777" w:rsidR="009D64D0" w:rsidRPr="002A2925" w:rsidRDefault="009D64D0" w:rsidP="00F470A8">
      <w:pPr>
        <w:widowControl w:val="0"/>
        <w:kinsoku w:val="0"/>
        <w:overflowPunct w:val="0"/>
        <w:autoSpaceDE w:val="0"/>
        <w:adjustRightInd w:val="0"/>
        <w:snapToGrid w:val="0"/>
        <w:spacing w:beforeLines="50" w:before="180" w:line="480" w:lineRule="exact"/>
        <w:ind w:leftChars="201" w:left="482"/>
        <w:jc w:val="both"/>
        <w:textAlignment w:val="auto"/>
        <w:rPr>
          <w:rFonts w:ascii="標楷體" w:eastAsia="標楷體" w:hAnsi="標楷體" w:cs="Courier New"/>
          <w:b/>
          <w:kern w:val="2"/>
          <w:sz w:val="32"/>
          <w:szCs w:val="32"/>
        </w:rPr>
      </w:pPr>
      <w:r w:rsidRPr="002A2925">
        <w:rPr>
          <w:rFonts w:ascii="標楷體" w:eastAsia="標楷體" w:hAnsi="標楷體" w:cs="Courier New" w:hint="eastAsia"/>
          <w:b/>
          <w:kern w:val="2"/>
          <w:sz w:val="32"/>
          <w:szCs w:val="32"/>
        </w:rPr>
        <w:t>報告事項</w:t>
      </w:r>
    </w:p>
    <w:p w14:paraId="25DC07D3" w14:textId="77777777" w:rsidR="009D64D0" w:rsidRPr="002A2925"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kern w:val="2"/>
          <w:sz w:val="32"/>
          <w:szCs w:val="32"/>
        </w:rPr>
      </w:pPr>
      <w:r w:rsidRPr="002A2925">
        <w:rPr>
          <w:rFonts w:ascii="標楷體" w:eastAsia="標楷體" w:hAnsi="標楷體" w:hint="eastAsia"/>
          <w:kern w:val="2"/>
          <w:sz w:val="32"/>
          <w:szCs w:val="32"/>
        </w:rPr>
        <w:t>宣讀上次會議議事錄。</w:t>
      </w:r>
    </w:p>
    <w:p w14:paraId="0524E466" w14:textId="77777777" w:rsidR="009D64D0" w:rsidRPr="002A2925"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kern w:val="2"/>
          <w:sz w:val="32"/>
          <w:szCs w:val="32"/>
        </w:rPr>
      </w:pPr>
      <w:r w:rsidRPr="002A2925">
        <w:rPr>
          <w:rFonts w:ascii="標楷體" w:eastAsia="標楷體" w:hAnsi="標楷體" w:hint="eastAsia"/>
          <w:kern w:val="2"/>
          <w:sz w:val="32"/>
          <w:szCs w:val="32"/>
        </w:rPr>
        <w:t>決定：議事錄確定。</w:t>
      </w:r>
    </w:p>
    <w:p w14:paraId="735AE01D" w14:textId="77777777" w:rsidR="009D64D0" w:rsidRPr="002A2925" w:rsidRDefault="009D64D0" w:rsidP="00F470A8">
      <w:pPr>
        <w:widowControl w:val="0"/>
        <w:kinsoku w:val="0"/>
        <w:overflowPunct w:val="0"/>
        <w:autoSpaceDE w:val="0"/>
        <w:adjustRightInd w:val="0"/>
        <w:snapToGrid w:val="0"/>
        <w:spacing w:beforeLines="50" w:before="180" w:line="480" w:lineRule="exact"/>
        <w:ind w:leftChars="201" w:left="482"/>
        <w:jc w:val="both"/>
        <w:textAlignment w:val="auto"/>
        <w:rPr>
          <w:rFonts w:ascii="標楷體" w:eastAsia="標楷體" w:hAnsi="標楷體"/>
          <w:b/>
          <w:kern w:val="2"/>
          <w:sz w:val="32"/>
          <w:szCs w:val="32"/>
        </w:rPr>
      </w:pPr>
      <w:r w:rsidRPr="002A2925">
        <w:rPr>
          <w:rFonts w:ascii="標楷體" w:eastAsia="標楷體" w:hAnsi="標楷體" w:hint="eastAsia"/>
          <w:b/>
          <w:kern w:val="2"/>
          <w:sz w:val="32"/>
          <w:szCs w:val="32"/>
        </w:rPr>
        <w:t>討論事項</w:t>
      </w:r>
    </w:p>
    <w:p w14:paraId="0054A82F" w14:textId="77777777" w:rsidR="009D64D0" w:rsidRPr="00F511B9" w:rsidRDefault="009D64D0" w:rsidP="00F470A8">
      <w:pPr>
        <w:pStyle w:val="Default"/>
        <w:overflowPunct w:val="0"/>
        <w:spacing w:line="500" w:lineRule="exact"/>
        <w:jc w:val="both"/>
        <w:rPr>
          <w:rFonts w:cs="Times New Roman"/>
          <w:b/>
          <w:bCs/>
          <w:sz w:val="32"/>
          <w:szCs w:val="32"/>
        </w:rPr>
      </w:pPr>
      <w:r w:rsidRPr="00F511B9">
        <w:rPr>
          <w:rFonts w:cs="Times New Roman" w:hint="eastAsia"/>
          <w:b/>
          <w:bCs/>
          <w:sz w:val="32"/>
          <w:szCs w:val="32"/>
        </w:rPr>
        <w:t>一、繼續審查「財政收支劃分法」20案：</w:t>
      </w:r>
    </w:p>
    <w:p w14:paraId="4AC4B910"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(一)本院台灣民眾黨黨團擬具「財政收支劃分法修正草案」案。</w:t>
      </w:r>
    </w:p>
    <w:p w14:paraId="77FC782C"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(二)本院國民黨黨團、委員羅明才等23人、委員林思銘等20人、委員許宇甄等16人、委員洪孟楷等22人、委員丁學忠等17人分別擬具「財政收支劃分法部分條文修正草案」等6案。</w:t>
      </w:r>
    </w:p>
    <w:p w14:paraId="2B9B24A6"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(三)本院委員伍麗華</w:t>
      </w:r>
      <w:r w:rsidRPr="00F511B9">
        <w:rPr>
          <w:rFonts w:cs="Times New Roman"/>
          <w:bCs/>
          <w:sz w:val="32"/>
          <w:szCs w:val="32"/>
        </w:rPr>
        <w:t>Saidhai</w:t>
      </w:r>
      <w:r w:rsidRPr="00F511B9">
        <w:rPr>
          <w:rFonts w:cs="Times New Roman" w:hint="eastAsia"/>
          <w:bCs/>
          <w:sz w:val="32"/>
          <w:szCs w:val="32"/>
        </w:rPr>
        <w:t xml:space="preserve"> </w:t>
      </w:r>
      <w:r w:rsidRPr="00F511B9">
        <w:rPr>
          <w:rFonts w:cs="Times New Roman"/>
          <w:bCs/>
          <w:sz w:val="32"/>
          <w:szCs w:val="32"/>
        </w:rPr>
        <w:t>Tahovecahe</w:t>
      </w:r>
      <w:r w:rsidRPr="00F511B9">
        <w:rPr>
          <w:rFonts w:cs="Times New Roman" w:hint="eastAsia"/>
          <w:bCs/>
          <w:sz w:val="32"/>
          <w:szCs w:val="32"/>
        </w:rPr>
        <w:t>等17人擬具「財政收支劃分法第三條條文修正草案」案。</w:t>
      </w:r>
    </w:p>
    <w:p w14:paraId="79D9C719"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(四)本院委員陳玉珍等24人擬具「財政收支劃分法第八條條文修正草案」案。</w:t>
      </w:r>
    </w:p>
    <w:p w14:paraId="32B7FF45"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(五)本院委員黃健豪等21人擬具「財政收支劃分法第八條及第十二條條文修正草案」案。</w:t>
      </w:r>
    </w:p>
    <w:p w14:paraId="57C8D733"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(六)本院委員王鴻薇等24人擬具「財政收支劃分法第八條、第十二條及第三十條條文修正草案」案。</w:t>
      </w:r>
    </w:p>
    <w:p w14:paraId="4EF4B743"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(七)本院委員陳超明等17人、委員邱鎮軍等19人分別擬具「財政收支劃分法第八條、第十二條及第十六條之一條文修正草案」等2案。</w:t>
      </w:r>
    </w:p>
    <w:p w14:paraId="1D276939"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(八)本院委員賴瑞隆等16人、委員蔡易餘等16人分別擬具「財政收支劃分法第十六條之一條文修正草案」等2案。</w:t>
      </w:r>
    </w:p>
    <w:p w14:paraId="0BFC680E"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(九)本院委員賴士葆等29人擬具「財政收支劃分法第十六條之二、第三十七條之二及第三十八條之二條文修正草案」案。</w:t>
      </w:r>
    </w:p>
    <w:p w14:paraId="6D30AB56"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(十)本院委員賴士葆等22人擬具「財政收支劃分法第三十八條之一</w:t>
      </w:r>
      <w:r w:rsidRPr="00F511B9">
        <w:rPr>
          <w:rFonts w:cs="Times New Roman" w:hint="eastAsia"/>
          <w:bCs/>
          <w:sz w:val="32"/>
          <w:szCs w:val="32"/>
        </w:rPr>
        <w:lastRenderedPageBreak/>
        <w:t>條文修正草案」案。</w:t>
      </w:r>
    </w:p>
    <w:p w14:paraId="7F2A02AA" w14:textId="77777777" w:rsidR="009D64D0" w:rsidRPr="00F511B9" w:rsidRDefault="009D64D0" w:rsidP="00F470A8">
      <w:pPr>
        <w:pStyle w:val="Default"/>
        <w:overflowPunct w:val="0"/>
        <w:snapToGrid w:val="0"/>
        <w:spacing w:line="500" w:lineRule="exact"/>
        <w:ind w:leftChars="100" w:left="1200" w:hangingChars="300" w:hanging="960"/>
        <w:jc w:val="both"/>
        <w:rPr>
          <w:rFonts w:cs="Times New Roman"/>
          <w:bCs/>
          <w:sz w:val="32"/>
          <w:szCs w:val="32"/>
        </w:rPr>
      </w:pPr>
      <w:r w:rsidRPr="00F511B9">
        <w:rPr>
          <w:rFonts w:cs="Times New Roman" w:hint="eastAsia"/>
          <w:bCs/>
          <w:sz w:val="32"/>
          <w:szCs w:val="32"/>
        </w:rPr>
        <w:t>(十一)本院委員張嘉郡等27人擬具「財政收支劃分法第四條、第八條及第十二條條文修正草案」案。</w:t>
      </w:r>
    </w:p>
    <w:p w14:paraId="09B540DA" w14:textId="77777777" w:rsidR="009D64D0" w:rsidRPr="00F511B9" w:rsidRDefault="009D64D0" w:rsidP="00F470A8">
      <w:pPr>
        <w:pStyle w:val="Default"/>
        <w:overflowPunct w:val="0"/>
        <w:snapToGrid w:val="0"/>
        <w:spacing w:line="500" w:lineRule="exact"/>
        <w:ind w:leftChars="100" w:left="1200" w:hangingChars="300" w:hanging="960"/>
        <w:jc w:val="both"/>
        <w:rPr>
          <w:rFonts w:cs="Times New Roman"/>
          <w:bCs/>
          <w:sz w:val="32"/>
          <w:szCs w:val="32"/>
        </w:rPr>
      </w:pPr>
      <w:r w:rsidRPr="00F511B9">
        <w:rPr>
          <w:rFonts w:cs="Times New Roman" w:hint="eastAsia"/>
          <w:bCs/>
          <w:sz w:val="32"/>
          <w:szCs w:val="32"/>
        </w:rPr>
        <w:t>(十二)本院委員楊瓊瓔等32人擬具「財政收支劃分法第八條及第三十七條條文修正草案」案。</w:t>
      </w:r>
    </w:p>
    <w:p w14:paraId="09859FE0" w14:textId="77777777" w:rsidR="009D64D0" w:rsidRPr="00F511B9" w:rsidRDefault="009D64D0" w:rsidP="00F470A8">
      <w:pPr>
        <w:pStyle w:val="Default"/>
        <w:overflowPunct w:val="0"/>
        <w:snapToGrid w:val="0"/>
        <w:spacing w:line="500" w:lineRule="exact"/>
        <w:ind w:leftChars="100" w:left="1200" w:hangingChars="300" w:hanging="960"/>
        <w:jc w:val="both"/>
        <w:rPr>
          <w:rFonts w:cs="Times New Roman"/>
          <w:bCs/>
          <w:sz w:val="32"/>
          <w:szCs w:val="32"/>
        </w:rPr>
      </w:pPr>
      <w:r w:rsidRPr="00F511B9">
        <w:rPr>
          <w:rFonts w:cs="Times New Roman" w:hint="eastAsia"/>
          <w:bCs/>
          <w:sz w:val="32"/>
          <w:szCs w:val="32"/>
        </w:rPr>
        <w:t>(十三)本院委員鄭天財Sra Kacaw等18人擬具「財政收支劃分法增訂第三十條之一及第三十條之二條文草案」案。</w:t>
      </w:r>
    </w:p>
    <w:p w14:paraId="6652FC16" w14:textId="77777777" w:rsidR="009D64D0" w:rsidRPr="00F511B9" w:rsidRDefault="009D64D0" w:rsidP="00F470A8">
      <w:pPr>
        <w:pStyle w:val="Default"/>
        <w:overflowPunct w:val="0"/>
        <w:spacing w:line="500" w:lineRule="exact"/>
        <w:jc w:val="both"/>
        <w:rPr>
          <w:rFonts w:cs="Times New Roman"/>
          <w:b/>
          <w:bCs/>
          <w:sz w:val="32"/>
          <w:szCs w:val="32"/>
        </w:rPr>
      </w:pPr>
      <w:r w:rsidRPr="00F511B9">
        <w:rPr>
          <w:rFonts w:cs="Times New Roman" w:hint="eastAsia"/>
          <w:b/>
          <w:bCs/>
          <w:sz w:val="32"/>
          <w:szCs w:val="32"/>
        </w:rPr>
        <w:t>二、審查「財政收支劃分法」2案：</w:t>
      </w:r>
    </w:p>
    <w:p w14:paraId="189DBC2D"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(一)本院委員羅廷瑋等19人擬具「財政收支劃分法部分條文修正草案」案。</w:t>
      </w:r>
    </w:p>
    <w:p w14:paraId="7648B833" w14:textId="77777777" w:rsidR="009D64D0" w:rsidRPr="00F511B9" w:rsidRDefault="009D64D0" w:rsidP="00F470A8">
      <w:pPr>
        <w:pStyle w:val="Default"/>
        <w:overflowPunct w:val="0"/>
        <w:snapToGrid w:val="0"/>
        <w:spacing w:line="500" w:lineRule="exact"/>
        <w:ind w:leftChars="100" w:left="880" w:hangingChars="200" w:hanging="640"/>
        <w:jc w:val="both"/>
        <w:rPr>
          <w:rFonts w:cs="Times New Roman"/>
          <w:bCs/>
          <w:sz w:val="32"/>
          <w:szCs w:val="32"/>
        </w:rPr>
      </w:pPr>
      <w:r w:rsidRPr="00F511B9">
        <w:rPr>
          <w:rFonts w:cs="Times New Roman" w:hint="eastAsia"/>
          <w:bCs/>
          <w:sz w:val="32"/>
          <w:szCs w:val="32"/>
        </w:rPr>
        <w:t>(二)本院委員鄭正鈐等21人擬具「財政收支劃分法第八條條文修正草案」案。</w:t>
      </w:r>
    </w:p>
    <w:p w14:paraId="5ECF8306" w14:textId="77777777" w:rsidR="009D64D0" w:rsidRPr="002A2925" w:rsidRDefault="009D64D0" w:rsidP="00F470A8">
      <w:pPr>
        <w:widowControl w:val="0"/>
        <w:kinsoku w:val="0"/>
        <w:overflowPunct w:val="0"/>
        <w:autoSpaceDE w:val="0"/>
        <w:adjustRightInd w:val="0"/>
        <w:snapToGrid w:val="0"/>
        <w:spacing w:beforeLines="50" w:before="180" w:line="480" w:lineRule="exact"/>
        <w:ind w:leftChars="-34" w:left="225" w:hangingChars="96" w:hanging="307"/>
        <w:jc w:val="both"/>
        <w:textAlignment w:val="auto"/>
        <w:rPr>
          <w:rFonts w:ascii="標楷體" w:eastAsia="標楷體" w:hAnsi="標楷體"/>
          <w:color w:val="000000" w:themeColor="text1"/>
          <w:kern w:val="2"/>
          <w:sz w:val="32"/>
          <w:szCs w:val="32"/>
        </w:rPr>
      </w:pPr>
      <w:r w:rsidRPr="002A2925">
        <w:rPr>
          <w:rFonts w:ascii="標楷體" w:eastAsia="標楷體" w:hAnsi="標楷體" w:hint="eastAsia"/>
          <w:color w:val="000000" w:themeColor="text1"/>
          <w:kern w:val="2"/>
          <w:sz w:val="32"/>
          <w:szCs w:val="32"/>
        </w:rPr>
        <w:t>（委員蔡易餘、吳秉叡、賴士葆、王鴻薇、賴惠員、李坤城、張雅琳、范雲、郭昱晴、陳培瑜、林月琴、林楚茵、伍麗華、郭國文、羅明才、林德福、鄭天財、徐巧芯等1</w:t>
      </w:r>
      <w:r w:rsidRPr="002A2925">
        <w:rPr>
          <w:rFonts w:ascii="標楷體" w:eastAsia="標楷體" w:hAnsi="標楷體"/>
          <w:color w:val="000000" w:themeColor="text1"/>
          <w:kern w:val="2"/>
          <w:sz w:val="32"/>
          <w:szCs w:val="32"/>
        </w:rPr>
        <w:t>8</w:t>
      </w:r>
      <w:r w:rsidRPr="002A2925">
        <w:rPr>
          <w:rFonts w:ascii="標楷體" w:eastAsia="標楷體" w:hAnsi="標楷體" w:hint="eastAsia"/>
          <w:color w:val="000000" w:themeColor="text1"/>
          <w:kern w:val="2"/>
          <w:sz w:val="32"/>
          <w:szCs w:val="32"/>
        </w:rPr>
        <w:t>人進行程序發言或會議詢問；全案廣泛討論，計有委員林德福、蔡易餘、李坤城、賴士葆、郭國文、張雅琳、林楚茵、賴惠員、郭昱晴、陳培瑜、范雲、羅明才、張智倫、伍麗華、黃珊珊、李彥秀、王鴻薇、高金素梅、黃國昌、王世堅等人發言，均經財政部政務次長阮清華、行政院主計總處主計長陳淑姿及相關人員予以答復。）</w:t>
      </w:r>
    </w:p>
    <w:p w14:paraId="59E258D1" w14:textId="77777777" w:rsidR="009D64D0" w:rsidRPr="002A2925"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2A2925">
        <w:rPr>
          <w:rFonts w:ascii="標楷體" w:eastAsia="標楷體" w:hAnsi="標楷體" w:hint="eastAsia"/>
          <w:b/>
          <w:color w:val="000000" w:themeColor="text1"/>
          <w:kern w:val="2"/>
          <w:sz w:val="32"/>
          <w:szCs w:val="32"/>
        </w:rPr>
        <w:t>決議：另擇期繼續審查。</w:t>
      </w:r>
    </w:p>
    <w:p w14:paraId="5B762962" w14:textId="77777777" w:rsidR="009D64D0" w:rsidRPr="002A2925" w:rsidRDefault="009D64D0" w:rsidP="00CE3613">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2A2925">
        <w:rPr>
          <w:rFonts w:ascii="標楷體" w:eastAsia="標楷體" w:hAnsi="標楷體" w:hint="eastAsia"/>
          <w:b/>
          <w:color w:val="000000" w:themeColor="text1"/>
          <w:kern w:val="2"/>
          <w:sz w:val="32"/>
          <w:szCs w:val="32"/>
        </w:rPr>
        <w:t>散會</w:t>
      </w:r>
    </w:p>
    <w:p w14:paraId="5F1E7E2D"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2FDB5B91" w14:textId="77777777" w:rsidR="009D64D0" w:rsidRPr="006D130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29" w:name="_Toc189487320"/>
      <w:r w:rsidRPr="006D130A">
        <w:rPr>
          <w:rFonts w:ascii="標楷體" w:eastAsia="標楷體" w:hAnsi="標楷體" w:hint="eastAsia"/>
          <w:b/>
          <w:spacing w:val="-20"/>
          <w:sz w:val="32"/>
          <w:szCs w:val="32"/>
        </w:rPr>
        <w:lastRenderedPageBreak/>
        <w:t>立法院第1</w:t>
      </w:r>
      <w:r w:rsidRPr="006D130A">
        <w:rPr>
          <w:rFonts w:ascii="標楷體" w:eastAsia="標楷體" w:hAnsi="標楷體"/>
          <w:b/>
          <w:spacing w:val="-20"/>
          <w:sz w:val="32"/>
          <w:szCs w:val="32"/>
        </w:rPr>
        <w:t>1</w:t>
      </w:r>
      <w:r w:rsidRPr="006D130A">
        <w:rPr>
          <w:rFonts w:ascii="標楷體" w:eastAsia="標楷體" w:hAnsi="標楷體" w:hint="eastAsia"/>
          <w:b/>
          <w:spacing w:val="-20"/>
          <w:sz w:val="32"/>
          <w:szCs w:val="32"/>
        </w:rPr>
        <w:t>屆第</w:t>
      </w:r>
      <w:r w:rsidRPr="006D130A">
        <w:rPr>
          <w:rFonts w:ascii="標楷體" w:eastAsia="標楷體" w:hAnsi="標楷體"/>
          <w:b/>
          <w:spacing w:val="-20"/>
          <w:sz w:val="32"/>
          <w:szCs w:val="32"/>
        </w:rPr>
        <w:t>2</w:t>
      </w:r>
      <w:r w:rsidRPr="006D130A">
        <w:rPr>
          <w:rFonts w:ascii="標楷體" w:eastAsia="標楷體" w:hAnsi="標楷體" w:hint="eastAsia"/>
          <w:b/>
          <w:spacing w:val="-20"/>
          <w:sz w:val="32"/>
          <w:szCs w:val="32"/>
        </w:rPr>
        <w:t>會期財政委員會第</w:t>
      </w:r>
      <w:r w:rsidRPr="006D130A">
        <w:rPr>
          <w:rFonts w:ascii="標楷體" w:eastAsia="標楷體" w:hAnsi="標楷體"/>
          <w:b/>
          <w:spacing w:val="-20"/>
          <w:sz w:val="32"/>
          <w:szCs w:val="32"/>
        </w:rPr>
        <w:t>4</w:t>
      </w:r>
      <w:r w:rsidRPr="006D130A">
        <w:rPr>
          <w:rFonts w:ascii="標楷體" w:eastAsia="標楷體" w:hAnsi="標楷體" w:hint="eastAsia"/>
          <w:b/>
          <w:spacing w:val="-20"/>
          <w:sz w:val="32"/>
          <w:szCs w:val="32"/>
        </w:rPr>
        <w:t>次全體委員會議議事錄</w:t>
      </w:r>
      <w:bookmarkEnd w:id="129"/>
    </w:p>
    <w:p w14:paraId="0D548DA4" w14:textId="77777777" w:rsidR="009D64D0" w:rsidRPr="00FF105D" w:rsidRDefault="009D64D0" w:rsidP="00F470A8">
      <w:pPr>
        <w:widowControl w:val="0"/>
        <w:kinsoku w:val="0"/>
        <w:overflowPunct w:val="0"/>
        <w:autoSpaceDE w:val="0"/>
        <w:adjustRightInd w:val="0"/>
        <w:snapToGrid w:val="0"/>
        <w:spacing w:line="480" w:lineRule="exact"/>
        <w:ind w:left="1519" w:rightChars="-149" w:right="-358" w:hangingChars="500" w:hanging="1519"/>
        <w:jc w:val="both"/>
        <w:textAlignment w:val="auto"/>
        <w:rPr>
          <w:rFonts w:ascii="標楷體" w:eastAsia="標楷體" w:hAnsi="標楷體"/>
          <w:w w:val="95"/>
          <w:kern w:val="2"/>
          <w:sz w:val="32"/>
          <w:szCs w:val="32"/>
        </w:rPr>
      </w:pPr>
      <w:r w:rsidRPr="00FF105D">
        <w:rPr>
          <w:rFonts w:ascii="標楷體" w:eastAsia="標楷體" w:hAnsi="標楷體" w:hint="eastAsia"/>
          <w:w w:val="95"/>
          <w:kern w:val="2"/>
          <w:sz w:val="32"/>
          <w:szCs w:val="32"/>
        </w:rPr>
        <w:t>時　　間　中華民國113年10月</w:t>
      </w:r>
      <w:r w:rsidRPr="00FF105D">
        <w:rPr>
          <w:rFonts w:ascii="標楷體" w:eastAsia="標楷體" w:hAnsi="標楷體"/>
          <w:w w:val="95"/>
          <w:kern w:val="2"/>
          <w:sz w:val="32"/>
          <w:szCs w:val="32"/>
        </w:rPr>
        <w:t>24</w:t>
      </w:r>
      <w:r w:rsidRPr="00FF105D">
        <w:rPr>
          <w:rFonts w:ascii="標楷體" w:eastAsia="標楷體" w:hAnsi="標楷體" w:hint="eastAsia"/>
          <w:w w:val="95"/>
          <w:kern w:val="2"/>
          <w:sz w:val="32"/>
          <w:szCs w:val="32"/>
        </w:rPr>
        <w:t>日（星期四）9時至1</w:t>
      </w:r>
      <w:r w:rsidRPr="00FF105D">
        <w:rPr>
          <w:rFonts w:ascii="標楷體" w:eastAsia="標楷體" w:hAnsi="標楷體"/>
          <w:w w:val="95"/>
          <w:kern w:val="2"/>
          <w:sz w:val="32"/>
          <w:szCs w:val="32"/>
        </w:rPr>
        <w:t>3</w:t>
      </w:r>
      <w:r w:rsidRPr="00FF105D">
        <w:rPr>
          <w:rFonts w:ascii="標楷體" w:eastAsia="標楷體" w:hAnsi="標楷體" w:hint="eastAsia"/>
          <w:w w:val="95"/>
          <w:kern w:val="2"/>
          <w:sz w:val="32"/>
          <w:szCs w:val="32"/>
        </w:rPr>
        <w:t>時</w:t>
      </w:r>
      <w:r w:rsidRPr="00FF105D">
        <w:rPr>
          <w:rFonts w:ascii="標楷體" w:eastAsia="標楷體" w:hAnsi="標楷體"/>
          <w:w w:val="95"/>
          <w:kern w:val="2"/>
          <w:sz w:val="32"/>
          <w:szCs w:val="32"/>
        </w:rPr>
        <w:t>45</w:t>
      </w:r>
      <w:r w:rsidRPr="00FF105D">
        <w:rPr>
          <w:rFonts w:ascii="標楷體" w:eastAsia="標楷體" w:hAnsi="標楷體" w:hint="eastAsia"/>
          <w:w w:val="95"/>
          <w:kern w:val="2"/>
          <w:sz w:val="32"/>
          <w:szCs w:val="32"/>
        </w:rPr>
        <w:t>分</w:t>
      </w:r>
    </w:p>
    <w:p w14:paraId="7FCA7662" w14:textId="77777777" w:rsidR="009D64D0" w:rsidRPr="00FF105D" w:rsidRDefault="009D64D0" w:rsidP="00F470A8">
      <w:pPr>
        <w:widowControl w:val="0"/>
        <w:kinsoku w:val="0"/>
        <w:overflowPunct w:val="0"/>
        <w:autoSpaceDE w:val="0"/>
        <w:adjustRightInd w:val="0"/>
        <w:snapToGrid w:val="0"/>
        <w:spacing w:line="480" w:lineRule="exact"/>
        <w:ind w:left="1519" w:rightChars="100" w:right="240" w:hangingChars="500" w:hanging="1519"/>
        <w:jc w:val="both"/>
        <w:textAlignment w:val="auto"/>
        <w:rPr>
          <w:rFonts w:ascii="標楷體" w:eastAsia="標楷體" w:hAnsi="標楷體"/>
          <w:w w:val="95"/>
          <w:kern w:val="2"/>
          <w:sz w:val="32"/>
          <w:szCs w:val="32"/>
        </w:rPr>
      </w:pPr>
      <w:r w:rsidRPr="00FF105D">
        <w:rPr>
          <w:rFonts w:ascii="標楷體" w:eastAsia="標楷體" w:hAnsi="標楷體" w:hint="eastAsia"/>
          <w:w w:val="95"/>
          <w:kern w:val="2"/>
          <w:sz w:val="32"/>
          <w:szCs w:val="32"/>
        </w:rPr>
        <w:t>地　　點　群賢樓9樓大禮堂</w:t>
      </w:r>
    </w:p>
    <w:p w14:paraId="55363D68" w14:textId="77777777" w:rsidR="00D212AB" w:rsidRDefault="009D64D0" w:rsidP="00F470A8">
      <w:pPr>
        <w:widowControl w:val="0"/>
        <w:kinsoku w:val="0"/>
        <w:overflowPunct w:val="0"/>
        <w:autoSpaceDE w:val="0"/>
        <w:adjustRightInd w:val="0"/>
        <w:snapToGrid w:val="0"/>
        <w:spacing w:line="480" w:lineRule="exact"/>
        <w:ind w:left="1519" w:rightChars="100" w:right="240" w:hangingChars="500" w:hanging="1519"/>
        <w:textAlignment w:val="auto"/>
        <w:rPr>
          <w:rFonts w:ascii="標楷體" w:eastAsia="標楷體" w:hAnsi="標楷體"/>
          <w:w w:val="95"/>
          <w:kern w:val="2"/>
          <w:sz w:val="32"/>
          <w:szCs w:val="32"/>
        </w:rPr>
      </w:pPr>
      <w:r w:rsidRPr="00D212AB">
        <w:rPr>
          <w:rFonts w:ascii="標楷體" w:eastAsia="標楷體" w:hAnsi="標楷體" w:hint="eastAsia"/>
          <w:w w:val="95"/>
          <w:kern w:val="2"/>
          <w:sz w:val="32"/>
          <w:szCs w:val="32"/>
        </w:rPr>
        <w:t>出席委員</w:t>
      </w:r>
      <w:r w:rsidR="00F644B2" w:rsidRPr="00FF105D">
        <w:rPr>
          <w:rFonts w:ascii="標楷體" w:eastAsia="標楷體" w:hAnsi="標楷體" w:hint="eastAsia"/>
          <w:w w:val="95"/>
          <w:kern w:val="2"/>
          <w:sz w:val="32"/>
          <w:szCs w:val="32"/>
        </w:rPr>
        <w:t xml:space="preserve">　</w:t>
      </w:r>
      <w:r w:rsidRPr="00805738">
        <w:rPr>
          <w:rFonts w:ascii="標楷體" w:eastAsia="標楷體" w:hAnsi="標楷體" w:hint="eastAsia"/>
          <w:kern w:val="2"/>
          <w:sz w:val="32"/>
          <w:szCs w:val="32"/>
        </w:rPr>
        <w:t>李彥秀　吳秉叡　賴士葆　賴惠員　李坤城　林德福</w:t>
      </w:r>
      <w:r w:rsidRPr="00D212AB">
        <w:rPr>
          <w:rFonts w:ascii="標楷體" w:eastAsia="標楷體" w:hAnsi="標楷體" w:hint="eastAsia"/>
          <w:w w:val="95"/>
          <w:kern w:val="2"/>
          <w:sz w:val="32"/>
          <w:szCs w:val="32"/>
        </w:rPr>
        <w:t xml:space="preserve">　</w:t>
      </w:r>
    </w:p>
    <w:p w14:paraId="2450F6FC" w14:textId="49762A01" w:rsidR="00D212AB" w:rsidRDefault="009D64D0" w:rsidP="00F470A8">
      <w:pPr>
        <w:widowControl w:val="0"/>
        <w:kinsoku w:val="0"/>
        <w:overflowPunct w:val="0"/>
        <w:autoSpaceDE w:val="0"/>
        <w:adjustRightInd w:val="0"/>
        <w:snapToGrid w:val="0"/>
        <w:spacing w:line="480" w:lineRule="exact"/>
        <w:ind w:leftChars="650" w:left="3160" w:rightChars="100" w:right="240" w:hangingChars="500" w:hanging="1600"/>
        <w:textAlignment w:val="auto"/>
        <w:rPr>
          <w:rFonts w:ascii="標楷體" w:eastAsia="標楷體" w:hAnsi="標楷體"/>
          <w:kern w:val="2"/>
          <w:sz w:val="32"/>
          <w:szCs w:val="32"/>
        </w:rPr>
      </w:pPr>
      <w:r w:rsidRPr="00FF105D">
        <w:rPr>
          <w:rFonts w:ascii="標楷體" w:eastAsia="標楷體" w:hAnsi="標楷體" w:hint="eastAsia"/>
          <w:kern w:val="2"/>
          <w:sz w:val="32"/>
          <w:szCs w:val="32"/>
        </w:rPr>
        <w:t>郭國文　王鴻薇　黃珊珊　伍麗華</w:t>
      </w:r>
      <w:r w:rsidRPr="00D212AB">
        <w:rPr>
          <w:rFonts w:ascii="標楷體" w:eastAsia="標楷體" w:hAnsi="標楷體" w:hint="eastAsia"/>
          <w:color w:val="000000" w:themeColor="text1"/>
          <w:spacing w:val="-30"/>
          <w:kern w:val="2"/>
          <w:sz w:val="32"/>
          <w:szCs w:val="32"/>
        </w:rPr>
        <w:t>Saidhai Tahovecahe</w:t>
      </w:r>
    </w:p>
    <w:p w14:paraId="152C9B72" w14:textId="22448E8A" w:rsidR="009D64D0" w:rsidRPr="00FF105D" w:rsidRDefault="009D64D0" w:rsidP="00F470A8">
      <w:pPr>
        <w:widowControl w:val="0"/>
        <w:kinsoku w:val="0"/>
        <w:overflowPunct w:val="0"/>
        <w:autoSpaceDE w:val="0"/>
        <w:adjustRightInd w:val="0"/>
        <w:snapToGrid w:val="0"/>
        <w:spacing w:line="480" w:lineRule="exact"/>
        <w:ind w:leftChars="650" w:left="3160" w:rightChars="100" w:right="240" w:hangingChars="500" w:hanging="1600"/>
        <w:textAlignment w:val="auto"/>
        <w:rPr>
          <w:rFonts w:ascii="標楷體" w:eastAsia="標楷體" w:hAnsi="標楷體"/>
          <w:kern w:val="2"/>
          <w:sz w:val="32"/>
          <w:szCs w:val="32"/>
        </w:rPr>
      </w:pPr>
      <w:r w:rsidRPr="00FF105D">
        <w:rPr>
          <w:rFonts w:ascii="標楷體" w:eastAsia="標楷體" w:hAnsi="標楷體" w:hint="eastAsia"/>
          <w:kern w:val="2"/>
          <w:sz w:val="32"/>
          <w:szCs w:val="32"/>
        </w:rPr>
        <w:t xml:space="preserve">陳玉珍　顏寬恒　王世堅　羅明才　</w:t>
      </w:r>
    </w:p>
    <w:p w14:paraId="6B54120B" w14:textId="77777777" w:rsidR="009D64D0" w:rsidRPr="00FF105D" w:rsidRDefault="00FF105D" w:rsidP="00DC1D2B">
      <w:pPr>
        <w:widowControl w:val="0"/>
        <w:kinsoku w:val="0"/>
        <w:overflowPunct w:val="0"/>
        <w:autoSpaceDE w:val="0"/>
        <w:adjustRightInd w:val="0"/>
        <w:snapToGrid w:val="0"/>
        <w:spacing w:line="480" w:lineRule="exact"/>
        <w:ind w:leftChars="500" w:left="1200"/>
        <w:textAlignment w:val="auto"/>
        <w:rPr>
          <w:rFonts w:ascii="標楷體" w:eastAsia="標楷體" w:hAnsi="標楷體"/>
          <w:b/>
          <w:color w:val="000000" w:themeColor="text1"/>
          <w:kern w:val="2"/>
          <w:sz w:val="32"/>
          <w:szCs w:val="32"/>
        </w:rPr>
      </w:pPr>
      <w:r w:rsidRPr="00FF105D">
        <w:rPr>
          <w:rFonts w:ascii="標楷體" w:eastAsia="標楷體" w:hAnsi="標楷體" w:hint="eastAsia"/>
          <w:kern w:val="2"/>
          <w:sz w:val="32"/>
          <w:szCs w:val="32"/>
        </w:rPr>
        <w:t xml:space="preserve">　</w:t>
      </w:r>
      <w:r w:rsidR="009D64D0" w:rsidRPr="00FF105D">
        <w:rPr>
          <w:rFonts w:ascii="標楷體" w:eastAsia="標楷體" w:hAnsi="標楷體" w:hint="eastAsia"/>
          <w:b/>
          <w:color w:val="000000" w:themeColor="text1"/>
          <w:kern w:val="2"/>
          <w:sz w:val="32"/>
          <w:szCs w:val="32"/>
        </w:rPr>
        <w:t>委員出席1</w:t>
      </w:r>
      <w:r w:rsidR="009D64D0" w:rsidRPr="00FF105D">
        <w:rPr>
          <w:rFonts w:ascii="標楷體" w:eastAsia="標楷體" w:hAnsi="標楷體"/>
          <w:b/>
          <w:color w:val="000000" w:themeColor="text1"/>
          <w:kern w:val="2"/>
          <w:sz w:val="32"/>
          <w:szCs w:val="32"/>
        </w:rPr>
        <w:t>4</w:t>
      </w:r>
      <w:r w:rsidR="009D64D0" w:rsidRPr="00FF105D">
        <w:rPr>
          <w:rFonts w:ascii="標楷體" w:eastAsia="標楷體" w:hAnsi="標楷體" w:hint="eastAsia"/>
          <w:b/>
          <w:color w:val="000000" w:themeColor="text1"/>
          <w:kern w:val="2"/>
          <w:sz w:val="32"/>
          <w:szCs w:val="32"/>
        </w:rPr>
        <w:t>人</w:t>
      </w:r>
    </w:p>
    <w:p w14:paraId="6B9248C9" w14:textId="77777777" w:rsidR="00D212AB" w:rsidRDefault="009D64D0" w:rsidP="00F470A8">
      <w:pPr>
        <w:widowControl w:val="0"/>
        <w:kinsoku w:val="0"/>
        <w:overflowPunct w:val="0"/>
        <w:autoSpaceDE w:val="0"/>
        <w:adjustRightInd w:val="0"/>
        <w:snapToGrid w:val="0"/>
        <w:spacing w:line="480" w:lineRule="exact"/>
        <w:ind w:left="1367" w:rightChars="100" w:right="240" w:hangingChars="450" w:hanging="1367"/>
        <w:textAlignment w:val="auto"/>
        <w:rPr>
          <w:rFonts w:ascii="標楷體" w:eastAsia="標楷體" w:hAnsi="標楷體"/>
          <w:kern w:val="2"/>
          <w:sz w:val="32"/>
          <w:szCs w:val="32"/>
        </w:rPr>
      </w:pPr>
      <w:r w:rsidRPr="00D212AB">
        <w:rPr>
          <w:rFonts w:ascii="標楷體" w:eastAsia="標楷體" w:hAnsi="標楷體" w:hint="eastAsia"/>
          <w:w w:val="95"/>
          <w:kern w:val="2"/>
          <w:sz w:val="32"/>
          <w:szCs w:val="32"/>
        </w:rPr>
        <w:t>列席委員</w:t>
      </w:r>
      <w:r w:rsidRPr="00FF105D">
        <w:rPr>
          <w:rFonts w:ascii="標楷體" w:eastAsia="標楷體" w:hAnsi="標楷體" w:hint="eastAsia"/>
          <w:kern w:val="2"/>
          <w:sz w:val="32"/>
          <w:szCs w:val="32"/>
        </w:rPr>
        <w:t xml:space="preserve">　黃國昌　鄭正鈐　鍾佳濱　陳菁徽　葛如鈞　邱鎮軍</w:t>
      </w:r>
    </w:p>
    <w:p w14:paraId="69D4AB34" w14:textId="65FF48DE" w:rsidR="00D212AB" w:rsidRDefault="009D64D0" w:rsidP="00F470A8">
      <w:pPr>
        <w:widowControl w:val="0"/>
        <w:kinsoku w:val="0"/>
        <w:overflowPunct w:val="0"/>
        <w:autoSpaceDE w:val="0"/>
        <w:adjustRightInd w:val="0"/>
        <w:snapToGrid w:val="0"/>
        <w:spacing w:line="480" w:lineRule="exact"/>
        <w:ind w:leftChars="650" w:left="3160" w:rightChars="100" w:right="240" w:hangingChars="500" w:hanging="1600"/>
        <w:textAlignment w:val="auto"/>
        <w:rPr>
          <w:rFonts w:ascii="標楷體" w:eastAsia="標楷體" w:hAnsi="標楷體"/>
          <w:kern w:val="2"/>
          <w:sz w:val="32"/>
          <w:szCs w:val="32"/>
        </w:rPr>
      </w:pPr>
      <w:r w:rsidRPr="00FF105D">
        <w:rPr>
          <w:rFonts w:ascii="標楷體" w:eastAsia="標楷體" w:hAnsi="標楷體" w:hint="eastAsia"/>
          <w:kern w:val="2"/>
          <w:sz w:val="32"/>
          <w:szCs w:val="32"/>
        </w:rPr>
        <w:t>沈發惠　張嘉郡　賴瑞隆　楊瓊瓔　邱志偉　林楚茵</w:t>
      </w:r>
    </w:p>
    <w:p w14:paraId="13452197" w14:textId="6200B815" w:rsidR="009D64D0" w:rsidRPr="00FF105D" w:rsidRDefault="009D64D0" w:rsidP="00F470A8">
      <w:pPr>
        <w:widowControl w:val="0"/>
        <w:kinsoku w:val="0"/>
        <w:overflowPunct w:val="0"/>
        <w:autoSpaceDE w:val="0"/>
        <w:adjustRightInd w:val="0"/>
        <w:snapToGrid w:val="0"/>
        <w:spacing w:line="480" w:lineRule="exact"/>
        <w:ind w:leftChars="650" w:left="3160" w:rightChars="100" w:right="240" w:hangingChars="500" w:hanging="1600"/>
        <w:textAlignment w:val="auto"/>
        <w:rPr>
          <w:rFonts w:ascii="標楷體" w:eastAsia="標楷體" w:hAnsi="標楷體"/>
          <w:kern w:val="2"/>
          <w:sz w:val="32"/>
          <w:szCs w:val="32"/>
        </w:rPr>
      </w:pPr>
      <w:r w:rsidRPr="00FF105D">
        <w:rPr>
          <w:rFonts w:ascii="標楷體" w:eastAsia="標楷體" w:hAnsi="標楷體" w:hint="eastAsia"/>
          <w:kern w:val="2"/>
          <w:sz w:val="32"/>
          <w:szCs w:val="32"/>
        </w:rPr>
        <w:t>廖先翔</w:t>
      </w:r>
      <w:r w:rsidRPr="00166C7F">
        <w:rPr>
          <w:rFonts w:ascii="標楷體" w:eastAsia="標楷體" w:hAnsi="標楷體" w:hint="eastAsia"/>
          <w:spacing w:val="-20"/>
          <w:kern w:val="2"/>
          <w:sz w:val="32"/>
          <w:szCs w:val="32"/>
        </w:rPr>
        <w:t xml:space="preserve">　</w:t>
      </w:r>
      <w:r w:rsidRPr="00166C7F">
        <w:rPr>
          <w:rFonts w:ascii="標楷體" w:eastAsia="標楷體" w:hAnsi="標楷體" w:hint="eastAsia"/>
          <w:spacing w:val="-72"/>
          <w:kern w:val="2"/>
          <w:sz w:val="32"/>
          <w:szCs w:val="32"/>
        </w:rPr>
        <w:t>高金素梅</w:t>
      </w:r>
      <w:r w:rsidR="00166C7F" w:rsidRPr="00FF105D">
        <w:rPr>
          <w:rFonts w:ascii="標楷體" w:eastAsia="標楷體" w:hAnsi="標楷體" w:hint="eastAsia"/>
          <w:kern w:val="2"/>
          <w:sz w:val="32"/>
          <w:szCs w:val="32"/>
        </w:rPr>
        <w:t xml:space="preserve">　</w:t>
      </w:r>
      <w:r w:rsidRPr="00FF105D">
        <w:rPr>
          <w:rFonts w:ascii="標楷體" w:eastAsia="標楷體" w:hAnsi="標楷體" w:hint="eastAsia"/>
          <w:kern w:val="2"/>
          <w:sz w:val="32"/>
          <w:szCs w:val="32"/>
        </w:rPr>
        <w:t xml:space="preserve">葉元之　</w:t>
      </w:r>
    </w:p>
    <w:p w14:paraId="5E265F6B" w14:textId="77777777" w:rsidR="009D64D0" w:rsidRPr="00FF105D" w:rsidRDefault="00FF105D" w:rsidP="00F470A8">
      <w:pPr>
        <w:widowControl w:val="0"/>
        <w:kinsoku w:val="0"/>
        <w:overflowPunct w:val="0"/>
        <w:autoSpaceDE w:val="0"/>
        <w:adjustRightInd w:val="0"/>
        <w:snapToGrid w:val="0"/>
        <w:spacing w:line="480" w:lineRule="exact"/>
        <w:ind w:leftChars="500" w:left="1200"/>
        <w:textAlignment w:val="auto"/>
        <w:rPr>
          <w:rFonts w:ascii="標楷體" w:eastAsia="標楷體" w:hAnsi="標楷體"/>
          <w:b/>
          <w:kern w:val="2"/>
          <w:sz w:val="32"/>
          <w:szCs w:val="32"/>
        </w:rPr>
      </w:pPr>
      <w:r w:rsidRPr="00FF105D">
        <w:rPr>
          <w:rFonts w:ascii="標楷體" w:eastAsia="標楷體" w:hAnsi="標楷體" w:hint="eastAsia"/>
          <w:kern w:val="2"/>
          <w:sz w:val="32"/>
          <w:szCs w:val="32"/>
        </w:rPr>
        <w:t xml:space="preserve">　</w:t>
      </w:r>
      <w:r w:rsidR="009D64D0" w:rsidRPr="00FF105D">
        <w:rPr>
          <w:rFonts w:ascii="標楷體" w:eastAsia="標楷體" w:hAnsi="標楷體" w:hint="eastAsia"/>
          <w:b/>
          <w:kern w:val="2"/>
          <w:sz w:val="32"/>
          <w:szCs w:val="32"/>
        </w:rPr>
        <w:t>委員列席1</w:t>
      </w:r>
      <w:r w:rsidR="009D64D0" w:rsidRPr="00FF105D">
        <w:rPr>
          <w:rFonts w:ascii="標楷體" w:eastAsia="標楷體" w:hAnsi="標楷體"/>
          <w:b/>
          <w:kern w:val="2"/>
          <w:sz w:val="32"/>
          <w:szCs w:val="32"/>
        </w:rPr>
        <w:t>5</w:t>
      </w:r>
      <w:r w:rsidR="009D64D0" w:rsidRPr="00FF105D">
        <w:rPr>
          <w:rFonts w:ascii="標楷體" w:eastAsia="標楷體" w:hAnsi="標楷體" w:hint="eastAsia"/>
          <w:b/>
          <w:kern w:val="2"/>
          <w:sz w:val="32"/>
          <w:szCs w:val="32"/>
        </w:rPr>
        <w:t>人</w:t>
      </w:r>
    </w:p>
    <w:p w14:paraId="0127633E" w14:textId="47301A76"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D212AB">
        <w:rPr>
          <w:rFonts w:ascii="標楷體" w:eastAsia="標楷體" w:hAnsi="標楷體" w:hint="eastAsia"/>
          <w:w w:val="95"/>
          <w:kern w:val="2"/>
          <w:sz w:val="32"/>
          <w:szCs w:val="32"/>
        </w:rPr>
        <w:t>列席官員</w:t>
      </w:r>
      <w:r w:rsidRPr="00FF105D">
        <w:rPr>
          <w:rFonts w:ascii="標楷體" w:eastAsia="標楷體" w:hAnsi="標楷體" w:hint="eastAsia"/>
          <w:kern w:val="16"/>
          <w:sz w:val="32"/>
          <w:szCs w:val="32"/>
        </w:rPr>
        <w:t xml:space="preserve">　</w:t>
      </w:r>
      <w:r w:rsidRPr="00FC2E58">
        <w:rPr>
          <w:rFonts w:ascii="標楷體" w:eastAsia="標楷體" w:hAnsi="標楷體" w:hint="eastAsia"/>
          <w:b/>
          <w:kern w:val="16"/>
          <w:sz w:val="32"/>
          <w:szCs w:val="32"/>
        </w:rPr>
        <w:t>金融監督管理委員會</w:t>
      </w: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w:t>
      </w:r>
      <w:r w:rsidRPr="00BE7F8E">
        <w:rPr>
          <w:rFonts w:ascii="標楷體" w:eastAsia="標楷體" w:hAnsi="標楷體" w:hint="eastAsia"/>
          <w:spacing w:val="26"/>
          <w:kern w:val="16"/>
          <w:sz w:val="32"/>
          <w:szCs w:val="32"/>
        </w:rPr>
        <w:t xml:space="preserve">　　</w:t>
      </w:r>
      <w:r w:rsidRPr="00FF105D">
        <w:rPr>
          <w:rFonts w:ascii="標楷體" w:eastAsia="標楷體" w:hAnsi="標楷體" w:hint="eastAsia"/>
          <w:kern w:val="16"/>
          <w:sz w:val="32"/>
          <w:szCs w:val="32"/>
        </w:rPr>
        <w:t>主任委員　　彭金隆</w:t>
      </w:r>
    </w:p>
    <w:p w14:paraId="5F16ED0E"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綜合規劃處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處長　　　　胡則華</w:t>
      </w:r>
    </w:p>
    <w:p w14:paraId="0D912063"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銀行局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局長　　　　莊琇媛</w:t>
      </w:r>
    </w:p>
    <w:p w14:paraId="13941CEE"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證券期貨局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局長　　　　張振山</w:t>
      </w:r>
    </w:p>
    <w:p w14:paraId="34269B52"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保險局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局長　　　　王麗惠</w:t>
      </w:r>
    </w:p>
    <w:p w14:paraId="48216FDB"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檢查局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局長　　　　童政彰</w:t>
      </w:r>
    </w:p>
    <w:p w14:paraId="45CD00F2"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臺灣證券交易所股份有限公司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董事長　　　林修銘</w:t>
      </w:r>
    </w:p>
    <w:p w14:paraId="64AA1C54"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總經理　　　李愛玲</w:t>
      </w:r>
    </w:p>
    <w:p w14:paraId="6D0DA93D"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臺灣集中保管結算所股份有限公司</w:t>
      </w:r>
      <w:r w:rsidR="00FC2E58">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董事長　　　林丙輝</w:t>
      </w:r>
    </w:p>
    <w:p w14:paraId="40228A7D"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總經理　　　陳德鄉</w:t>
      </w:r>
    </w:p>
    <w:p w14:paraId="0827A4AC"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財團法人中華民國證券櫃檯買賣中心董事長　　　簡立忠</w:t>
      </w:r>
    </w:p>
    <w:p w14:paraId="73E503FE"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總經理　　　陳麗卿</w:t>
      </w:r>
    </w:p>
    <w:p w14:paraId="33D7193E"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Pr="00FC2E58">
        <w:rPr>
          <w:rFonts w:ascii="標楷體" w:eastAsia="標楷體" w:hAnsi="標楷體" w:hint="eastAsia"/>
          <w:b/>
          <w:kern w:val="16"/>
          <w:sz w:val="32"/>
          <w:szCs w:val="32"/>
        </w:rPr>
        <w:t>財政部</w:t>
      </w: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政務次長　　李慶華</w:t>
      </w:r>
    </w:p>
    <w:p w14:paraId="5DF01DA3"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（部長莊翠雲請假）</w:t>
      </w:r>
    </w:p>
    <w:p w14:paraId="5FADE64E"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推動促參司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副司長　　　童偉碩</w:t>
      </w:r>
    </w:p>
    <w:p w14:paraId="2D693459"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國庫署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副署長　　　馬小惠</w:t>
      </w:r>
    </w:p>
    <w:p w14:paraId="380A1765"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賦稅署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署長　　　　宋秀玲</w:t>
      </w:r>
    </w:p>
    <w:p w14:paraId="76304818"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關務署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副署長　　　蘇淑貞</w:t>
      </w:r>
    </w:p>
    <w:p w14:paraId="354AA8B8"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國有財產署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副署長　　　王彩葉</w:t>
      </w:r>
    </w:p>
    <w:p w14:paraId="0C37792F"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lastRenderedPageBreak/>
        <w:t xml:space="preserve">　　　　　　財政資訊中心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副主任　　　謝明峯</w:t>
      </w:r>
    </w:p>
    <w:p w14:paraId="4730A77D"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Pr="00FC2E58">
        <w:rPr>
          <w:rFonts w:ascii="標楷體" w:eastAsia="標楷體" w:hAnsi="標楷體" w:hint="eastAsia"/>
          <w:b/>
          <w:kern w:val="16"/>
          <w:sz w:val="32"/>
          <w:szCs w:val="32"/>
        </w:rPr>
        <w:t>中央銀行</w:t>
      </w: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副總裁　　　嚴宗大</w:t>
      </w:r>
    </w:p>
    <w:p w14:paraId="30962EB8"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外匯局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局長　　　　蔡烱民</w:t>
      </w:r>
    </w:p>
    <w:p w14:paraId="0C8B0730"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Pr="00FC2E58">
        <w:rPr>
          <w:rFonts w:ascii="標楷體" w:eastAsia="標楷體" w:hAnsi="標楷體" w:hint="eastAsia"/>
          <w:b/>
          <w:kern w:val="16"/>
          <w:sz w:val="32"/>
          <w:szCs w:val="32"/>
        </w:rPr>
        <w:t>國家發展委員會</w:t>
      </w: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副主任委員　詹方冠</w:t>
      </w:r>
    </w:p>
    <w:p w14:paraId="4C9F74B5"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產業發展處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副處長　　　陳瓊華</w:t>
      </w:r>
    </w:p>
    <w:p w14:paraId="1C4D2D68"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Pr="00FC2E58">
        <w:rPr>
          <w:rFonts w:ascii="標楷體" w:eastAsia="標楷體" w:hAnsi="標楷體" w:hint="eastAsia"/>
          <w:b/>
          <w:kern w:val="16"/>
          <w:sz w:val="32"/>
          <w:szCs w:val="32"/>
        </w:rPr>
        <w:t>經濟部</w:t>
      </w:r>
      <w:r w:rsidRPr="00FF105D">
        <w:rPr>
          <w:rFonts w:ascii="標楷體" w:eastAsia="標楷體" w:hAnsi="標楷體" w:hint="eastAsia"/>
          <w:kern w:val="16"/>
          <w:sz w:val="32"/>
          <w:szCs w:val="32"/>
        </w:rPr>
        <w:t xml:space="preserve">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政務次長　　何晉滄</w:t>
      </w:r>
    </w:p>
    <w:p w14:paraId="57D3A69A"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中小及新創企業署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署長　　　　李冠志</w:t>
      </w:r>
    </w:p>
    <w:p w14:paraId="6DAB4825"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產業發展署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組長　　　　陳國軒</w:t>
      </w:r>
    </w:p>
    <w:p w14:paraId="5EFBAA5A"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w:t>
      </w:r>
      <w:r w:rsidRPr="00FC2E58">
        <w:rPr>
          <w:rFonts w:ascii="標楷體" w:eastAsia="標楷體" w:hAnsi="標楷體" w:hint="eastAsia"/>
          <w:b/>
          <w:kern w:val="16"/>
          <w:sz w:val="32"/>
          <w:szCs w:val="32"/>
        </w:rPr>
        <w:t>交通部</w:t>
      </w:r>
      <w:r w:rsidRPr="00FF105D">
        <w:rPr>
          <w:rFonts w:ascii="標楷體" w:eastAsia="標楷體" w:hAnsi="標楷體" w:hint="eastAsia"/>
          <w:kern w:val="16"/>
          <w:sz w:val="32"/>
          <w:szCs w:val="32"/>
        </w:rPr>
        <w:t xml:space="preserve">航政司　　</w:t>
      </w:r>
      <w:r w:rsidR="00FC2E58" w:rsidRPr="00FF105D">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 xml:space="preserve">　　　　　　司長　　　　韓振華</w:t>
      </w:r>
    </w:p>
    <w:p w14:paraId="77C322B9"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臺灣港務股份有限公司高雄分公司</w:t>
      </w:r>
      <w:r w:rsidR="00FC2E58">
        <w:rPr>
          <w:rFonts w:ascii="標楷體" w:eastAsia="標楷體" w:hAnsi="標楷體" w:hint="eastAsia"/>
          <w:kern w:val="16"/>
          <w:sz w:val="32"/>
          <w:szCs w:val="32"/>
        </w:rPr>
        <w:t xml:space="preserve">　</w:t>
      </w:r>
      <w:r w:rsidRPr="00FF105D">
        <w:rPr>
          <w:rFonts w:ascii="標楷體" w:eastAsia="標楷體" w:hAnsi="標楷體" w:hint="eastAsia"/>
          <w:kern w:val="16"/>
          <w:sz w:val="32"/>
          <w:szCs w:val="32"/>
        </w:rPr>
        <w:t>港務長　　　孫暐炫</w:t>
      </w:r>
    </w:p>
    <w:p w14:paraId="1417FFDB"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主　　席　陳召集委員玉珍</w:t>
      </w:r>
    </w:p>
    <w:p w14:paraId="77BF36B8"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專門委員</w:t>
      </w:r>
      <w:r w:rsidRPr="00FF105D">
        <w:rPr>
          <w:rFonts w:ascii="標楷體" w:eastAsia="標楷體" w:hAnsi="標楷體"/>
          <w:kern w:val="16"/>
          <w:sz w:val="32"/>
          <w:szCs w:val="32"/>
        </w:rPr>
        <w:t xml:space="preserve">　</w:t>
      </w:r>
      <w:r w:rsidRPr="00FF105D">
        <w:rPr>
          <w:rFonts w:ascii="標楷體" w:eastAsia="標楷體" w:hAnsi="標楷體" w:hint="eastAsia"/>
          <w:kern w:val="16"/>
          <w:sz w:val="32"/>
          <w:szCs w:val="32"/>
        </w:rPr>
        <w:t>林靜玟</w:t>
      </w:r>
    </w:p>
    <w:p w14:paraId="7DA31997"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kern w:val="16"/>
          <w:sz w:val="32"/>
          <w:szCs w:val="32"/>
        </w:rPr>
        <w:t>主任秘書　謝淑津</w:t>
      </w:r>
    </w:p>
    <w:p w14:paraId="7519B3A8"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kern w:val="16"/>
          <w:sz w:val="32"/>
          <w:szCs w:val="32"/>
        </w:rPr>
        <w:t xml:space="preserve">紀　　錄　</w:t>
      </w:r>
      <w:r w:rsidRPr="00FF105D">
        <w:rPr>
          <w:rFonts w:ascii="標楷體" w:eastAsia="標楷體" w:hAnsi="標楷體" w:hint="eastAsia"/>
          <w:kern w:val="16"/>
          <w:sz w:val="32"/>
          <w:szCs w:val="32"/>
        </w:rPr>
        <w:t xml:space="preserve">秘　書　吳人寬　研究員　黃惠雯　編　審　伍明清　</w:t>
      </w:r>
    </w:p>
    <w:p w14:paraId="760E3355" w14:textId="77777777" w:rsidR="009D64D0" w:rsidRPr="00FF105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FF105D">
        <w:rPr>
          <w:rFonts w:ascii="標楷體" w:eastAsia="標楷體" w:hAnsi="標楷體" w:hint="eastAsia"/>
          <w:kern w:val="16"/>
          <w:sz w:val="32"/>
          <w:szCs w:val="32"/>
        </w:rPr>
        <w:t xml:space="preserve">　　　　　科　長　喻　珊　科　員　劉雅欣　</w:t>
      </w:r>
    </w:p>
    <w:p w14:paraId="19D43519" w14:textId="77777777" w:rsidR="009D64D0" w:rsidRPr="00FC2E58" w:rsidRDefault="009D64D0" w:rsidP="00F470A8">
      <w:pPr>
        <w:widowControl w:val="0"/>
        <w:kinsoku w:val="0"/>
        <w:overflowPunct w:val="0"/>
        <w:autoSpaceDE w:val="0"/>
        <w:adjustRightInd w:val="0"/>
        <w:snapToGrid w:val="0"/>
        <w:spacing w:line="480" w:lineRule="exact"/>
        <w:ind w:leftChars="250" w:left="2112" w:rightChars="100" w:right="240" w:hangingChars="500" w:hanging="1512"/>
        <w:textAlignment w:val="auto"/>
        <w:rPr>
          <w:rFonts w:ascii="標楷體" w:eastAsia="標楷體" w:hAnsi="標楷體"/>
          <w:b/>
          <w:color w:val="000000" w:themeColor="text1"/>
          <w:spacing w:val="-18"/>
          <w:kern w:val="2"/>
          <w:sz w:val="32"/>
          <w:szCs w:val="32"/>
        </w:rPr>
      </w:pPr>
      <w:r w:rsidRPr="00FC2E58">
        <w:rPr>
          <w:rFonts w:ascii="標楷體" w:eastAsia="標楷體" w:hAnsi="標楷體" w:hint="eastAsia"/>
          <w:b/>
          <w:color w:val="000000" w:themeColor="text1"/>
          <w:spacing w:val="-18"/>
          <w:kern w:val="2"/>
          <w:sz w:val="32"/>
          <w:szCs w:val="32"/>
        </w:rPr>
        <w:t>報告事項</w:t>
      </w:r>
    </w:p>
    <w:p w14:paraId="7D05C53D" w14:textId="77777777" w:rsidR="009D64D0" w:rsidRPr="00FC2E58"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FC2E58">
        <w:rPr>
          <w:rFonts w:ascii="標楷體" w:eastAsia="標楷體" w:hAnsi="標楷體" w:hint="eastAsia"/>
          <w:color w:val="000000" w:themeColor="text1"/>
          <w:kern w:val="2"/>
          <w:sz w:val="32"/>
          <w:szCs w:val="32"/>
        </w:rPr>
        <w:t>一、宣讀上次會議議事錄。</w:t>
      </w:r>
    </w:p>
    <w:p w14:paraId="616CA819" w14:textId="77777777" w:rsidR="009D64D0" w:rsidRPr="00FC2E58"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FC2E58">
        <w:rPr>
          <w:rFonts w:ascii="標楷體" w:eastAsia="標楷體" w:hAnsi="標楷體" w:hint="eastAsia"/>
          <w:color w:val="000000" w:themeColor="text1"/>
          <w:kern w:val="2"/>
          <w:sz w:val="32"/>
          <w:szCs w:val="32"/>
        </w:rPr>
        <w:t>決定：議事錄確定。</w:t>
      </w:r>
    </w:p>
    <w:p w14:paraId="2079B980" w14:textId="77777777" w:rsidR="009D64D0" w:rsidRPr="00FC2E58" w:rsidRDefault="009D64D0" w:rsidP="00F470A8">
      <w:pPr>
        <w:widowControl w:val="0"/>
        <w:kinsoku w:val="0"/>
        <w:overflowPunct w:val="0"/>
        <w:autoSpaceDE w:val="0"/>
        <w:adjustRightInd w:val="0"/>
        <w:snapToGrid w:val="0"/>
        <w:spacing w:beforeLines="50" w:before="180" w:line="480" w:lineRule="exact"/>
        <w:ind w:left="657" w:hangingChars="205" w:hanging="657"/>
        <w:jc w:val="both"/>
        <w:textAlignment w:val="auto"/>
        <w:rPr>
          <w:rFonts w:ascii="標楷體" w:eastAsia="標楷體" w:hAnsi="標楷體"/>
          <w:b/>
          <w:color w:val="000000" w:themeColor="text1"/>
          <w:kern w:val="2"/>
          <w:sz w:val="32"/>
          <w:szCs w:val="32"/>
        </w:rPr>
      </w:pPr>
      <w:r w:rsidRPr="00FC2E58">
        <w:rPr>
          <w:rFonts w:ascii="標楷體" w:eastAsia="標楷體" w:hAnsi="標楷體" w:hint="eastAsia"/>
          <w:b/>
          <w:color w:val="000000" w:themeColor="text1"/>
          <w:kern w:val="2"/>
          <w:sz w:val="32"/>
          <w:szCs w:val="32"/>
        </w:rPr>
        <w:t>二、邀請金融監督管理委員會彭主任委員金隆、財政部莊部長翠雲、中央銀行、國家發展委員會、經濟部、交通部就「政府推動臺灣成為亞洲資產管理中心之具體作為暨如何協助金融科技及新創產業籌資現況與未來發展」進行專題報告，並備質詢。</w:t>
      </w:r>
    </w:p>
    <w:p w14:paraId="78CE24FC" w14:textId="77777777" w:rsidR="009D64D0" w:rsidRPr="00FC2E58"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color w:val="000000" w:themeColor="text1"/>
          <w:kern w:val="2"/>
          <w:sz w:val="32"/>
          <w:szCs w:val="32"/>
        </w:rPr>
      </w:pPr>
      <w:r w:rsidRPr="00FC2E58">
        <w:rPr>
          <w:rFonts w:ascii="標楷體" w:eastAsia="標楷體" w:hAnsi="標楷體" w:hint="eastAsia"/>
          <w:color w:val="000000" w:themeColor="text1"/>
          <w:kern w:val="2"/>
          <w:sz w:val="32"/>
          <w:szCs w:val="32"/>
        </w:rPr>
        <w:t>（經金融監督管理委員會主任委員彭金隆、國家發展委員會副主任委員詹方冠、經濟部政務次長何晉滄分別提出報告後，計有委員林德福、吳秉叡、郭國文、賴惠員、李彥秀、李坤城、賴士葆、顏寬恒、黃珊珊、伍麗華、陳玉珍、王鴻薇、王世堅、廖先翔、黃國昌、鍾佳濱、葉元之、沈發惠、葛如鈞、賴瑞隆、羅明才、邱志偉等2</w:t>
      </w:r>
      <w:r w:rsidRPr="00FC2E58">
        <w:rPr>
          <w:rFonts w:ascii="標楷體" w:eastAsia="標楷體" w:hAnsi="標楷體"/>
          <w:color w:val="000000" w:themeColor="text1"/>
          <w:kern w:val="2"/>
          <w:sz w:val="32"/>
          <w:szCs w:val="32"/>
        </w:rPr>
        <w:t>2</w:t>
      </w:r>
      <w:r w:rsidRPr="00FC2E58">
        <w:rPr>
          <w:rFonts w:ascii="標楷體" w:eastAsia="標楷體" w:hAnsi="標楷體" w:hint="eastAsia"/>
          <w:color w:val="000000" w:themeColor="text1"/>
          <w:kern w:val="2"/>
          <w:sz w:val="32"/>
          <w:szCs w:val="32"/>
        </w:rPr>
        <w:t>人提出質詢，均經金融監督管理委員會主任委員彭金隆、國家發展委員會副主任委員詹方冠、中央銀行副總裁嚴宗大、臺灣證券交易</w:t>
      </w:r>
      <w:r w:rsidRPr="00FC2E58">
        <w:rPr>
          <w:rFonts w:ascii="標楷體" w:eastAsia="標楷體" w:hAnsi="標楷體" w:hint="eastAsia"/>
          <w:color w:val="000000" w:themeColor="text1"/>
          <w:kern w:val="2"/>
          <w:sz w:val="32"/>
          <w:szCs w:val="32"/>
        </w:rPr>
        <w:lastRenderedPageBreak/>
        <w:t>所股份有限公司董事長林修銘、經濟部政務次長何晉滄、財政部政務次長李慶華及相關人員予以答復。）</w:t>
      </w:r>
    </w:p>
    <w:p w14:paraId="176DCE50" w14:textId="77777777" w:rsidR="009D64D0" w:rsidRPr="00FC2E58"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FC2E58">
        <w:rPr>
          <w:rFonts w:ascii="標楷體" w:eastAsia="標楷體" w:hAnsi="標楷體" w:hint="eastAsia"/>
          <w:b/>
          <w:color w:val="000000" w:themeColor="text1"/>
          <w:kern w:val="2"/>
          <w:sz w:val="32"/>
          <w:szCs w:val="32"/>
        </w:rPr>
        <w:t>決定：</w:t>
      </w:r>
    </w:p>
    <w:p w14:paraId="6A9082CA" w14:textId="77777777" w:rsidR="009D64D0" w:rsidRPr="00FC2E58"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FC2E58">
        <w:rPr>
          <w:rFonts w:ascii="標楷體" w:eastAsia="標楷體" w:hAnsi="標楷體" w:hint="eastAsia"/>
          <w:color w:val="000000" w:themeColor="text1"/>
          <w:kern w:val="2"/>
          <w:sz w:val="32"/>
          <w:szCs w:val="32"/>
        </w:rPr>
        <w:t>(一)報告及詢答完畢。</w:t>
      </w:r>
    </w:p>
    <w:p w14:paraId="44F67445" w14:textId="77777777" w:rsidR="009D64D0" w:rsidRPr="00FC2E58"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FC2E58">
        <w:rPr>
          <w:rFonts w:ascii="標楷體" w:eastAsia="標楷體" w:hAnsi="標楷體" w:hint="eastAsia"/>
          <w:color w:val="000000" w:themeColor="text1"/>
          <w:kern w:val="2"/>
          <w:sz w:val="32"/>
          <w:szCs w:val="32"/>
        </w:rPr>
        <w:t>(二)委員質詢未及答復或請補充資訊，請相關部會於一週內以書面答復；委員另要求期限者，從其所定。</w:t>
      </w:r>
    </w:p>
    <w:p w14:paraId="3DD762B1" w14:textId="77777777" w:rsidR="009D64D0" w:rsidRPr="00FC2E58"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FC2E58">
        <w:rPr>
          <w:rFonts w:ascii="標楷體" w:eastAsia="標楷體" w:hAnsi="標楷體" w:hint="eastAsia"/>
          <w:color w:val="000000" w:themeColor="text1"/>
          <w:kern w:val="2"/>
          <w:sz w:val="32"/>
          <w:szCs w:val="32"/>
        </w:rPr>
        <w:t>(三)委員林楚茵所提書面質詢，列入紀錄，刊登公報，並請相關部會以書面答復。</w:t>
      </w:r>
    </w:p>
    <w:p w14:paraId="0AF20229" w14:textId="77777777" w:rsidR="009D64D0" w:rsidRPr="00FC2E58" w:rsidRDefault="009D64D0" w:rsidP="00F470A8">
      <w:pPr>
        <w:widowControl w:val="0"/>
        <w:tabs>
          <w:tab w:val="left" w:pos="1418"/>
        </w:tabs>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kern w:val="2"/>
          <w:sz w:val="32"/>
          <w:szCs w:val="32"/>
        </w:rPr>
      </w:pPr>
      <w:r w:rsidRPr="00FC2E58">
        <w:rPr>
          <w:rFonts w:ascii="標楷體" w:eastAsia="標楷體" w:hAnsi="標楷體" w:hint="eastAsia"/>
          <w:b/>
          <w:kern w:val="2"/>
          <w:sz w:val="32"/>
          <w:szCs w:val="32"/>
        </w:rPr>
        <w:t>散會</w:t>
      </w:r>
    </w:p>
    <w:p w14:paraId="01499AEB"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7FC8C970" w14:textId="77777777" w:rsidR="009D64D0" w:rsidRPr="006D130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30" w:name="_Toc189487321"/>
      <w:r w:rsidRPr="006D130A">
        <w:rPr>
          <w:rFonts w:ascii="標楷體" w:eastAsia="標楷體" w:hAnsi="標楷體" w:hint="eastAsia"/>
          <w:b/>
          <w:spacing w:val="-20"/>
          <w:sz w:val="32"/>
          <w:szCs w:val="32"/>
        </w:rPr>
        <w:lastRenderedPageBreak/>
        <w:t>立法院第1</w:t>
      </w:r>
      <w:r w:rsidRPr="006D130A">
        <w:rPr>
          <w:rFonts w:ascii="標楷體" w:eastAsia="標楷體" w:hAnsi="標楷體"/>
          <w:b/>
          <w:spacing w:val="-20"/>
          <w:sz w:val="32"/>
          <w:szCs w:val="32"/>
        </w:rPr>
        <w:t>1</w:t>
      </w:r>
      <w:r w:rsidRPr="006D130A">
        <w:rPr>
          <w:rFonts w:ascii="標楷體" w:eastAsia="標楷體" w:hAnsi="標楷體" w:hint="eastAsia"/>
          <w:b/>
          <w:spacing w:val="-20"/>
          <w:sz w:val="32"/>
          <w:szCs w:val="32"/>
        </w:rPr>
        <w:t>屆第2會期財政委員會第5次全體委員會議議事錄</w:t>
      </w:r>
      <w:bookmarkEnd w:id="130"/>
    </w:p>
    <w:p w14:paraId="54E4C400" w14:textId="77777777" w:rsidR="009D64D0" w:rsidRPr="006247B4" w:rsidRDefault="009D64D0" w:rsidP="00F470A8">
      <w:pPr>
        <w:widowControl w:val="0"/>
        <w:kinsoku w:val="0"/>
        <w:overflowPunct w:val="0"/>
        <w:autoSpaceDN/>
        <w:adjustRightInd w:val="0"/>
        <w:snapToGrid w:val="0"/>
        <w:spacing w:line="480" w:lineRule="exact"/>
        <w:ind w:left="1600" w:rightChars="-149" w:right="-358" w:hangingChars="500" w:hanging="1600"/>
        <w:jc w:val="both"/>
        <w:textAlignment w:val="auto"/>
        <w:rPr>
          <w:rFonts w:ascii="標楷體" w:eastAsia="標楷體" w:hAnsi="標楷體"/>
          <w:color w:val="000000" w:themeColor="text1"/>
          <w:kern w:val="2"/>
          <w:sz w:val="32"/>
          <w:szCs w:val="32"/>
        </w:rPr>
      </w:pPr>
      <w:r w:rsidRPr="006247B4">
        <w:rPr>
          <w:rFonts w:ascii="標楷體" w:eastAsia="標楷體" w:hAnsi="標楷體" w:hint="eastAsia"/>
          <w:color w:val="000000" w:themeColor="text1"/>
          <w:kern w:val="2"/>
          <w:sz w:val="32"/>
          <w:szCs w:val="32"/>
        </w:rPr>
        <w:t>時　　間　中華民國11</w:t>
      </w:r>
      <w:r w:rsidRPr="006247B4">
        <w:rPr>
          <w:rFonts w:ascii="標楷體" w:eastAsia="標楷體" w:hAnsi="標楷體"/>
          <w:color w:val="000000" w:themeColor="text1"/>
          <w:kern w:val="2"/>
          <w:sz w:val="32"/>
          <w:szCs w:val="32"/>
        </w:rPr>
        <w:t>3</w:t>
      </w:r>
      <w:r w:rsidRPr="006247B4">
        <w:rPr>
          <w:rFonts w:ascii="標楷體" w:eastAsia="標楷體" w:hAnsi="標楷體" w:hint="eastAsia"/>
          <w:color w:val="000000" w:themeColor="text1"/>
          <w:kern w:val="2"/>
          <w:sz w:val="32"/>
          <w:szCs w:val="32"/>
        </w:rPr>
        <w:t>年10月30日（星期三）9時至1</w:t>
      </w:r>
      <w:r w:rsidRPr="006247B4">
        <w:rPr>
          <w:rFonts w:ascii="標楷體" w:eastAsia="標楷體" w:hAnsi="標楷體"/>
          <w:color w:val="000000" w:themeColor="text1"/>
          <w:kern w:val="2"/>
          <w:sz w:val="32"/>
          <w:szCs w:val="32"/>
        </w:rPr>
        <w:t>3</w:t>
      </w:r>
      <w:r w:rsidRPr="006247B4">
        <w:rPr>
          <w:rFonts w:ascii="標楷體" w:eastAsia="標楷體" w:hAnsi="標楷體" w:hint="eastAsia"/>
          <w:color w:val="000000" w:themeColor="text1"/>
          <w:kern w:val="2"/>
          <w:sz w:val="32"/>
          <w:szCs w:val="32"/>
        </w:rPr>
        <w:t>時4</w:t>
      </w:r>
      <w:r w:rsidRPr="006247B4">
        <w:rPr>
          <w:rFonts w:ascii="標楷體" w:eastAsia="標楷體" w:hAnsi="標楷體"/>
          <w:color w:val="000000" w:themeColor="text1"/>
          <w:kern w:val="2"/>
          <w:sz w:val="32"/>
          <w:szCs w:val="32"/>
        </w:rPr>
        <w:t>2</w:t>
      </w:r>
      <w:r w:rsidRPr="006247B4">
        <w:rPr>
          <w:rFonts w:ascii="標楷體" w:eastAsia="標楷體" w:hAnsi="標楷體" w:hint="eastAsia"/>
          <w:color w:val="000000" w:themeColor="text1"/>
          <w:kern w:val="2"/>
          <w:sz w:val="32"/>
          <w:szCs w:val="32"/>
        </w:rPr>
        <w:t>分</w:t>
      </w:r>
    </w:p>
    <w:p w14:paraId="6740122F" w14:textId="77777777" w:rsidR="009D64D0" w:rsidRPr="006247B4" w:rsidRDefault="009D64D0" w:rsidP="00F470A8">
      <w:pPr>
        <w:widowControl w:val="0"/>
        <w:kinsoku w:val="0"/>
        <w:overflowPunct w:val="0"/>
        <w:autoSpaceDN/>
        <w:adjustRightInd w:val="0"/>
        <w:snapToGrid w:val="0"/>
        <w:spacing w:line="480" w:lineRule="exact"/>
        <w:ind w:left="1600" w:rightChars="-149" w:right="-358" w:hangingChars="500" w:hanging="1600"/>
        <w:jc w:val="both"/>
        <w:textAlignment w:val="auto"/>
        <w:rPr>
          <w:rFonts w:ascii="標楷體" w:eastAsia="標楷體" w:hAnsi="標楷體"/>
          <w:color w:val="000000" w:themeColor="text1"/>
          <w:kern w:val="2"/>
          <w:sz w:val="32"/>
          <w:szCs w:val="32"/>
        </w:rPr>
      </w:pPr>
      <w:r w:rsidRPr="006247B4">
        <w:rPr>
          <w:rFonts w:ascii="標楷體" w:eastAsia="標楷體" w:hAnsi="標楷體" w:hint="eastAsia"/>
          <w:color w:val="000000" w:themeColor="text1"/>
          <w:kern w:val="2"/>
          <w:sz w:val="32"/>
          <w:szCs w:val="32"/>
        </w:rPr>
        <w:t>地　　點　群賢樓9樓大禮堂</w:t>
      </w:r>
    </w:p>
    <w:p w14:paraId="20067B47" w14:textId="77777777" w:rsidR="006247B4" w:rsidRDefault="009D64D0" w:rsidP="00F470A8">
      <w:pPr>
        <w:widowControl w:val="0"/>
        <w:kinsoku w:val="0"/>
        <w:overflowPunct w:val="0"/>
        <w:autoSpaceDN/>
        <w:adjustRightInd w:val="0"/>
        <w:snapToGrid w:val="0"/>
        <w:spacing w:line="480" w:lineRule="exact"/>
        <w:ind w:left="1600" w:rightChars="-149" w:right="-358" w:hangingChars="500" w:hanging="1600"/>
        <w:jc w:val="both"/>
        <w:textAlignment w:val="auto"/>
        <w:rPr>
          <w:rFonts w:ascii="標楷體" w:eastAsia="標楷體" w:hAnsi="標楷體"/>
          <w:color w:val="000000" w:themeColor="text1"/>
          <w:kern w:val="2"/>
          <w:sz w:val="32"/>
          <w:szCs w:val="32"/>
        </w:rPr>
      </w:pPr>
      <w:r w:rsidRPr="006247B4">
        <w:rPr>
          <w:rFonts w:ascii="標楷體" w:eastAsia="標楷體" w:hAnsi="標楷體" w:hint="eastAsia"/>
          <w:color w:val="000000" w:themeColor="text1"/>
          <w:kern w:val="2"/>
          <w:sz w:val="32"/>
          <w:szCs w:val="32"/>
        </w:rPr>
        <w:t>出席委員　林德福　吳秉叡　賴士葆　郭國文　賴惠員　李彥秀</w:t>
      </w:r>
    </w:p>
    <w:p w14:paraId="33B42358" w14:textId="77777777" w:rsidR="006247B4" w:rsidRDefault="006247B4" w:rsidP="00F470A8">
      <w:pPr>
        <w:widowControl w:val="0"/>
        <w:kinsoku w:val="0"/>
        <w:overflowPunct w:val="0"/>
        <w:autoSpaceDN/>
        <w:adjustRightInd w:val="0"/>
        <w:snapToGrid w:val="0"/>
        <w:spacing w:line="480" w:lineRule="exact"/>
        <w:ind w:left="1600" w:rightChars="-149" w:right="-358" w:hangingChars="500" w:hanging="1600"/>
        <w:jc w:val="both"/>
        <w:textAlignment w:val="auto"/>
        <w:rPr>
          <w:rFonts w:ascii="標楷體" w:eastAsia="標楷體" w:hAnsi="標楷體"/>
          <w:color w:val="000000" w:themeColor="text1"/>
          <w:kern w:val="2"/>
          <w:sz w:val="32"/>
          <w:szCs w:val="32"/>
        </w:rPr>
      </w:pPr>
      <w:r w:rsidRPr="006247B4">
        <w:rPr>
          <w:rFonts w:ascii="標楷體" w:eastAsia="標楷體" w:hAnsi="標楷體" w:hint="eastAsia"/>
          <w:color w:val="000000" w:themeColor="text1"/>
          <w:kern w:val="2"/>
          <w:sz w:val="32"/>
          <w:szCs w:val="32"/>
        </w:rPr>
        <w:t xml:space="preserve">　　　　</w:t>
      </w:r>
      <w:r w:rsidR="009D64D0" w:rsidRPr="006247B4">
        <w:rPr>
          <w:rFonts w:ascii="標楷體" w:eastAsia="標楷體" w:hAnsi="標楷體" w:hint="eastAsia"/>
          <w:color w:val="000000" w:themeColor="text1"/>
          <w:kern w:val="2"/>
          <w:sz w:val="32"/>
          <w:szCs w:val="32"/>
        </w:rPr>
        <w:t xml:space="preserve">　李坤城　</w:t>
      </w:r>
      <w:r w:rsidR="009D64D0" w:rsidRPr="00805738">
        <w:rPr>
          <w:rFonts w:ascii="標楷體" w:eastAsia="標楷體" w:hAnsi="標楷體" w:hint="eastAsia"/>
          <w:color w:val="000000" w:themeColor="text1"/>
          <w:kern w:val="2"/>
          <w:sz w:val="32"/>
          <w:szCs w:val="32"/>
        </w:rPr>
        <w:t>伍麗華</w:t>
      </w:r>
      <w:r w:rsidR="009D64D0" w:rsidRPr="006433C3">
        <w:rPr>
          <w:rFonts w:ascii="標楷體" w:eastAsia="標楷體" w:hAnsi="標楷體" w:hint="eastAsia"/>
          <w:color w:val="000000" w:themeColor="text1"/>
          <w:spacing w:val="-24"/>
          <w:kern w:val="2"/>
          <w:sz w:val="32"/>
          <w:szCs w:val="32"/>
        </w:rPr>
        <w:t>Saidhai Tahovecahe</w:t>
      </w:r>
      <w:r w:rsidR="009D64D0" w:rsidRPr="006247B4">
        <w:rPr>
          <w:rFonts w:ascii="標楷體" w:eastAsia="標楷體" w:hAnsi="標楷體" w:hint="eastAsia"/>
          <w:color w:val="000000" w:themeColor="text1"/>
          <w:kern w:val="2"/>
          <w:sz w:val="32"/>
          <w:szCs w:val="32"/>
        </w:rPr>
        <w:t xml:space="preserve">　黃珊珊　王鴻薇</w:t>
      </w:r>
    </w:p>
    <w:p w14:paraId="20BCA490" w14:textId="77777777" w:rsidR="009D64D0" w:rsidRPr="006247B4" w:rsidRDefault="009D64D0" w:rsidP="00F470A8">
      <w:pPr>
        <w:widowControl w:val="0"/>
        <w:kinsoku w:val="0"/>
        <w:overflowPunct w:val="0"/>
        <w:autoSpaceDN/>
        <w:adjustRightInd w:val="0"/>
        <w:snapToGrid w:val="0"/>
        <w:spacing w:line="480" w:lineRule="exact"/>
        <w:ind w:left="1600" w:rightChars="-149" w:right="-358" w:hangingChars="500" w:hanging="1600"/>
        <w:jc w:val="both"/>
        <w:textAlignment w:val="auto"/>
        <w:rPr>
          <w:rFonts w:ascii="標楷體" w:eastAsia="標楷體" w:hAnsi="標楷體"/>
          <w:color w:val="000000" w:themeColor="text1"/>
          <w:kern w:val="2"/>
          <w:sz w:val="32"/>
          <w:szCs w:val="32"/>
        </w:rPr>
      </w:pPr>
      <w:r w:rsidRPr="006247B4">
        <w:rPr>
          <w:rFonts w:ascii="標楷體" w:eastAsia="標楷體" w:hAnsi="標楷體" w:hint="eastAsia"/>
          <w:color w:val="000000" w:themeColor="text1"/>
          <w:kern w:val="2"/>
          <w:sz w:val="32"/>
          <w:szCs w:val="32"/>
        </w:rPr>
        <w:t xml:space="preserve">　</w:t>
      </w:r>
      <w:r w:rsidR="006247B4" w:rsidRPr="006247B4">
        <w:rPr>
          <w:rFonts w:ascii="標楷體" w:eastAsia="標楷體" w:hAnsi="標楷體" w:hint="eastAsia"/>
          <w:color w:val="000000" w:themeColor="text1"/>
          <w:kern w:val="2"/>
          <w:sz w:val="32"/>
          <w:szCs w:val="32"/>
        </w:rPr>
        <w:t xml:space="preserve">　　　　</w:t>
      </w:r>
      <w:r w:rsidRPr="006247B4">
        <w:rPr>
          <w:rFonts w:ascii="標楷體" w:eastAsia="標楷體" w:hAnsi="標楷體" w:hint="eastAsia"/>
          <w:color w:val="000000" w:themeColor="text1"/>
          <w:kern w:val="2"/>
          <w:sz w:val="32"/>
          <w:szCs w:val="32"/>
        </w:rPr>
        <w:t xml:space="preserve">陳玉珍　王世堅　顏寬恒　羅明才　</w:t>
      </w:r>
    </w:p>
    <w:p w14:paraId="0001E7A2" w14:textId="1478146C" w:rsidR="009D64D0" w:rsidRPr="006247B4" w:rsidRDefault="009D64D0" w:rsidP="00F470A8">
      <w:pPr>
        <w:widowControl w:val="0"/>
        <w:kinsoku w:val="0"/>
        <w:overflowPunct w:val="0"/>
        <w:autoSpaceDE w:val="0"/>
        <w:adjustRightInd w:val="0"/>
        <w:snapToGrid w:val="0"/>
        <w:spacing w:line="480" w:lineRule="exact"/>
        <w:ind w:firstLineChars="500" w:firstLine="1602"/>
        <w:textAlignment w:val="auto"/>
        <w:rPr>
          <w:rFonts w:ascii="標楷體" w:eastAsia="標楷體" w:hAnsi="標楷體"/>
          <w:b/>
          <w:color w:val="000000" w:themeColor="text1"/>
          <w:kern w:val="2"/>
          <w:sz w:val="32"/>
          <w:szCs w:val="32"/>
        </w:rPr>
      </w:pPr>
      <w:r w:rsidRPr="006247B4">
        <w:rPr>
          <w:rFonts w:ascii="標楷體" w:eastAsia="標楷體" w:hAnsi="標楷體" w:hint="eastAsia"/>
          <w:b/>
          <w:color w:val="000000" w:themeColor="text1"/>
          <w:kern w:val="2"/>
          <w:sz w:val="32"/>
          <w:szCs w:val="32"/>
        </w:rPr>
        <w:t>委員出席1</w:t>
      </w:r>
      <w:r w:rsidRPr="006247B4">
        <w:rPr>
          <w:rFonts w:ascii="標楷體" w:eastAsia="標楷體" w:hAnsi="標楷體"/>
          <w:b/>
          <w:color w:val="000000" w:themeColor="text1"/>
          <w:kern w:val="2"/>
          <w:sz w:val="32"/>
          <w:szCs w:val="32"/>
        </w:rPr>
        <w:t>4</w:t>
      </w:r>
      <w:r w:rsidRPr="006247B4">
        <w:rPr>
          <w:rFonts w:ascii="標楷體" w:eastAsia="標楷體" w:hAnsi="標楷體" w:hint="eastAsia"/>
          <w:b/>
          <w:color w:val="000000" w:themeColor="text1"/>
          <w:kern w:val="2"/>
          <w:sz w:val="32"/>
          <w:szCs w:val="32"/>
        </w:rPr>
        <w:t>人</w:t>
      </w:r>
    </w:p>
    <w:p w14:paraId="641FD19F" w14:textId="77777777" w:rsidR="009D64D0" w:rsidRPr="006247B4"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6247B4">
        <w:rPr>
          <w:rFonts w:ascii="標楷體" w:eastAsia="標楷體" w:hAnsi="標楷體" w:hint="eastAsia"/>
          <w:color w:val="000000" w:themeColor="text1"/>
          <w:kern w:val="2"/>
          <w:sz w:val="32"/>
          <w:szCs w:val="32"/>
        </w:rPr>
        <w:t xml:space="preserve">列席委員　黃國昌　洪孟楷　陳菁徽　鍾佳濱　林楚茵　楊瓊瓔　葛如鈞　鄭正鈐　陳亭妃　邱鎮軍　邱志偉　蘇清泉　葉元之　吳宗憲　高金素梅　謝龍介　陳冠廷　</w:t>
      </w:r>
    </w:p>
    <w:p w14:paraId="33B99B34" w14:textId="074E70F2" w:rsidR="009D64D0" w:rsidRPr="006247B4" w:rsidRDefault="009D64D0" w:rsidP="00F470A8">
      <w:pPr>
        <w:widowControl w:val="0"/>
        <w:kinsoku w:val="0"/>
        <w:overflowPunct w:val="0"/>
        <w:autoSpaceDE w:val="0"/>
        <w:adjustRightInd w:val="0"/>
        <w:snapToGrid w:val="0"/>
        <w:spacing w:line="480" w:lineRule="exact"/>
        <w:ind w:firstLineChars="500" w:firstLine="1602"/>
        <w:textAlignment w:val="auto"/>
        <w:rPr>
          <w:rFonts w:ascii="標楷體" w:eastAsia="標楷體" w:hAnsi="標楷體"/>
          <w:b/>
          <w:color w:val="000000" w:themeColor="text1"/>
          <w:kern w:val="2"/>
          <w:sz w:val="32"/>
          <w:szCs w:val="32"/>
        </w:rPr>
      </w:pPr>
      <w:r w:rsidRPr="006247B4">
        <w:rPr>
          <w:rFonts w:ascii="標楷體" w:eastAsia="標楷體" w:hAnsi="標楷體" w:hint="eastAsia"/>
          <w:b/>
          <w:color w:val="000000" w:themeColor="text1"/>
          <w:kern w:val="2"/>
          <w:sz w:val="32"/>
          <w:szCs w:val="32"/>
        </w:rPr>
        <w:t>委員列席1</w:t>
      </w:r>
      <w:r w:rsidRPr="006247B4">
        <w:rPr>
          <w:rFonts w:ascii="標楷體" w:eastAsia="標楷體" w:hAnsi="標楷體"/>
          <w:b/>
          <w:color w:val="000000" w:themeColor="text1"/>
          <w:kern w:val="2"/>
          <w:sz w:val="32"/>
          <w:szCs w:val="32"/>
        </w:rPr>
        <w:t>7</w:t>
      </w:r>
      <w:r w:rsidRPr="006247B4">
        <w:rPr>
          <w:rFonts w:ascii="標楷體" w:eastAsia="標楷體" w:hAnsi="標楷體" w:hint="eastAsia"/>
          <w:b/>
          <w:color w:val="000000" w:themeColor="text1"/>
          <w:kern w:val="2"/>
          <w:sz w:val="32"/>
          <w:szCs w:val="32"/>
        </w:rPr>
        <w:t>人</w:t>
      </w:r>
    </w:p>
    <w:p w14:paraId="7283E471"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列席官員　</w:t>
      </w:r>
      <w:r w:rsidRPr="006247B4">
        <w:rPr>
          <w:rFonts w:ascii="標楷體" w:eastAsia="標楷體" w:hAnsi="標楷體" w:hint="eastAsia"/>
          <w:b/>
          <w:color w:val="000000" w:themeColor="text1"/>
          <w:kern w:val="16"/>
          <w:sz w:val="32"/>
          <w:szCs w:val="32"/>
        </w:rPr>
        <w:t>金融監督管理委員會</w:t>
      </w:r>
      <w:r w:rsidRPr="006247B4">
        <w:rPr>
          <w:rFonts w:ascii="標楷體" w:eastAsia="標楷體" w:hAnsi="標楷體"/>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主任委員</w:t>
      </w:r>
      <w:r w:rsidRPr="006247B4">
        <w:rPr>
          <w:rFonts w:ascii="標楷體" w:eastAsia="標楷體" w:hAnsi="標楷體"/>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彭金隆</w:t>
      </w:r>
    </w:p>
    <w:p w14:paraId="48DFB8FD"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綜合規劃處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處長　　　胡則華</w:t>
      </w:r>
    </w:p>
    <w:p w14:paraId="49C89827"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法律事務處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處長　　　林志憲</w:t>
      </w:r>
    </w:p>
    <w:p w14:paraId="2F81ECA1"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國際業務處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處長　　　賴銘賢</w:t>
      </w:r>
    </w:p>
    <w:p w14:paraId="265FBBE0"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資訊服務處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處長　　　林裕泰</w:t>
      </w:r>
    </w:p>
    <w:p w14:paraId="41B73C9E"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秘書室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主任　　　張吉富</w:t>
      </w:r>
    </w:p>
    <w:p w14:paraId="2D9D54BD"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人事室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主任　　　任明坤</w:t>
      </w:r>
    </w:p>
    <w:p w14:paraId="07C89A40"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主計室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主任　　　戴美英</w:t>
      </w:r>
    </w:p>
    <w:p w14:paraId="35D23695"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政風室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主任　　　陳范回</w:t>
      </w:r>
    </w:p>
    <w:p w14:paraId="5C84C7D8"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銀行局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局長　　　莊琇媛</w:t>
      </w:r>
    </w:p>
    <w:p w14:paraId="6CF3A1E0"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證券期貨局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局長　　　張振山</w:t>
      </w:r>
    </w:p>
    <w:p w14:paraId="59960A9B"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保險局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局長　　　王麗惠</w:t>
      </w:r>
    </w:p>
    <w:p w14:paraId="6C21BC70"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檢查局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局長　　　童政彰</w:t>
      </w:r>
    </w:p>
    <w:p w14:paraId="6547169C"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中央存款保險股份有限公司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董事長　　黃天牧</w:t>
      </w:r>
    </w:p>
    <w:p w14:paraId="733B5DAC"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副總經理　黃光熙</w:t>
      </w:r>
    </w:p>
    <w:p w14:paraId="47858B1E"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(總經理鄭明慧請假)</w:t>
      </w:r>
    </w:p>
    <w:p w14:paraId="6936CCA5"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臺灣證券交易所股份有限公司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董事長　　</w:t>
      </w:r>
      <w:r w:rsidRPr="006247B4">
        <w:rPr>
          <w:rFonts w:ascii="標楷體" w:eastAsia="標楷體" w:hAnsi="標楷體"/>
          <w:color w:val="000000" w:themeColor="text1"/>
          <w:kern w:val="16"/>
          <w:sz w:val="32"/>
          <w:szCs w:val="32"/>
        </w:rPr>
        <w:t>林修銘</w:t>
      </w:r>
    </w:p>
    <w:p w14:paraId="7655D278"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總經理　　李愛玲</w:t>
      </w:r>
    </w:p>
    <w:p w14:paraId="55784173"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臺灣期貨交易所股份有限公司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董事長　　吳自心</w:t>
      </w:r>
    </w:p>
    <w:p w14:paraId="0173BC5C"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lastRenderedPageBreak/>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總經理　　周建隆</w:t>
      </w:r>
    </w:p>
    <w:p w14:paraId="500DD842"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臺灣集中保管結算所股份有限公司　　董事長　　林丙輝</w:t>
      </w:r>
    </w:p>
    <w:p w14:paraId="3E2E36B7"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總經理　　陳德鄉</w:t>
      </w:r>
    </w:p>
    <w:p w14:paraId="0DF5EE83"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財團法人中華民國證券櫃檯買賣中心　董事長　　簡立忠</w:t>
      </w:r>
    </w:p>
    <w:p w14:paraId="2ECBDDE0"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總經理　　陳麗卿</w:t>
      </w:r>
    </w:p>
    <w:p w14:paraId="5E0B9C63"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財團法人證券投資人及期貨交易人保護中心</w:t>
      </w:r>
    </w:p>
    <w:p w14:paraId="7E7B5CC6"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董事長　　張心悌</w:t>
      </w:r>
    </w:p>
    <w:p w14:paraId="5DA31DD3"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總經理　　林俊宏</w:t>
      </w:r>
    </w:p>
    <w:p w14:paraId="55BC1845"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財團法人中華民國證券暨期貨市場發展基金會</w:t>
      </w:r>
    </w:p>
    <w:p w14:paraId="2BFBE922"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6247B4" w:rsidRPr="006247B4">
        <w:rPr>
          <w:rFonts w:ascii="標楷體" w:eastAsia="標楷體" w:hAnsi="標楷體"/>
          <w:color w:val="000000" w:themeColor="text1"/>
          <w:kern w:val="16"/>
          <w:sz w:val="32"/>
          <w:szCs w:val="32"/>
        </w:rPr>
        <w:t xml:space="preserve">　</w:t>
      </w:r>
      <w:r w:rsidR="006247B4"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董事長　　張傳章</w:t>
      </w:r>
    </w:p>
    <w:p w14:paraId="7A2B7D90"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總經理　　張麗真</w:t>
      </w:r>
    </w:p>
    <w:p w14:paraId="717CF0B3"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財團法人聯合信用卡處理中心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董事長　　桂先農</w:t>
      </w:r>
    </w:p>
    <w:p w14:paraId="612AF8BD"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總經理　　林棟樑</w:t>
      </w:r>
    </w:p>
    <w:p w14:paraId="48955249"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財團法人金融聯合徵信中心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董事長　　郭建中</w:t>
      </w:r>
    </w:p>
    <w:p w14:paraId="23829C61"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總經理　　張國銘</w:t>
      </w:r>
    </w:p>
    <w:p w14:paraId="64B5F141"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財團法人台灣金融研訓院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代理院長　林仲威</w:t>
      </w:r>
    </w:p>
    <w:p w14:paraId="32F53769"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(董事長雷仲達請假)</w:t>
      </w:r>
    </w:p>
    <w:p w14:paraId="045B8719"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財團法人汽車交通事故特別補償基金　總經理　　林榮宏</w:t>
      </w:r>
    </w:p>
    <w:p w14:paraId="465A764A"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(董事長陳彥良請假)</w:t>
      </w:r>
    </w:p>
    <w:p w14:paraId="1778D52B"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財團法人住宅地震保險基金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董事長　　李松季</w:t>
      </w:r>
    </w:p>
    <w:p w14:paraId="119695C3"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總經理　　張嘉麟</w:t>
      </w:r>
    </w:p>
    <w:p w14:paraId="58FC03B9"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財團法人保險安定基金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董事長　　石百達</w:t>
      </w:r>
    </w:p>
    <w:p w14:paraId="5727BEA6"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總經理　　陳昌正</w:t>
      </w:r>
    </w:p>
    <w:p w14:paraId="2AC9DC78"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財團法人保險事業發展中心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代理董事長李松季</w:t>
      </w:r>
    </w:p>
    <w:p w14:paraId="1D1BAC3B"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總經理　　葉爾康</w:t>
      </w:r>
    </w:p>
    <w:p w14:paraId="49AB1598"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財團法人金融消費評議中心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董事長　　杜怡靜</w:t>
      </w:r>
    </w:p>
    <w:p w14:paraId="436850F8"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總經理　　羅俊瑋</w:t>
      </w:r>
    </w:p>
    <w:p w14:paraId="13F71163"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w:t>
      </w:r>
      <w:r w:rsidRPr="00A4221F">
        <w:rPr>
          <w:rFonts w:ascii="標楷體" w:eastAsia="標楷體" w:hAnsi="標楷體" w:hint="eastAsia"/>
          <w:b/>
          <w:color w:val="000000" w:themeColor="text1"/>
          <w:kern w:val="16"/>
          <w:sz w:val="32"/>
          <w:szCs w:val="32"/>
        </w:rPr>
        <w:t>財政部</w:t>
      </w: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部長　　　莊翠雲</w:t>
      </w:r>
    </w:p>
    <w:p w14:paraId="0862CDE6"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賦稅署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署長　　　宋秀玲</w:t>
      </w:r>
    </w:p>
    <w:p w14:paraId="5181963E"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法制處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處長　　　姚　瑩</w:t>
      </w:r>
    </w:p>
    <w:p w14:paraId="736DB05F"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lastRenderedPageBreak/>
        <w:t xml:space="preserve">　　　　　</w:t>
      </w:r>
      <w:r w:rsidRPr="00A4221F">
        <w:rPr>
          <w:rFonts w:ascii="標楷體" w:eastAsia="標楷體" w:hAnsi="標楷體" w:hint="eastAsia"/>
          <w:b/>
          <w:color w:val="000000" w:themeColor="text1"/>
          <w:kern w:val="16"/>
          <w:sz w:val="32"/>
          <w:szCs w:val="32"/>
        </w:rPr>
        <w:t>法務部</w:t>
      </w:r>
      <w:r w:rsidRPr="006247B4">
        <w:rPr>
          <w:rFonts w:ascii="標楷體" w:eastAsia="標楷體" w:hAnsi="標楷體" w:hint="eastAsia"/>
          <w:color w:val="000000" w:themeColor="text1"/>
          <w:kern w:val="16"/>
          <w:sz w:val="32"/>
          <w:szCs w:val="32"/>
        </w:rPr>
        <w:t xml:space="preserve">　　　　　　　　　　</w:t>
      </w:r>
      <w:r w:rsidR="00A4221F" w:rsidRPr="006247B4">
        <w:rPr>
          <w:rFonts w:ascii="標楷體" w:eastAsia="標楷體" w:hAnsi="標楷體"/>
          <w:color w:val="000000" w:themeColor="text1"/>
          <w:kern w:val="16"/>
          <w:sz w:val="32"/>
          <w:szCs w:val="32"/>
        </w:rPr>
        <w:t xml:space="preserve">　</w:t>
      </w:r>
      <w:r w:rsidR="00A4221F" w:rsidRPr="006247B4">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參事　　　林豐文</w:t>
      </w:r>
    </w:p>
    <w:p w14:paraId="52142346"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主　　席　賴召集委員惠員</w:t>
      </w:r>
    </w:p>
    <w:p w14:paraId="699A0A85"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專門委員　林靜玟</w:t>
      </w:r>
    </w:p>
    <w:p w14:paraId="55928534"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主任秘書　謝淑津</w:t>
      </w:r>
    </w:p>
    <w:p w14:paraId="710D0384"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紀　　錄　秘　書　吳人寬　研究員　黃惠雯　編　審　伍明清　</w:t>
      </w:r>
    </w:p>
    <w:p w14:paraId="1B4CC0D0" w14:textId="77777777" w:rsidR="009D64D0" w:rsidRPr="006247B4" w:rsidRDefault="009D64D0" w:rsidP="00F470A8">
      <w:pPr>
        <w:widowControl w:val="0"/>
        <w:tabs>
          <w:tab w:val="left" w:pos="9072"/>
        </w:tabs>
        <w:suppressAutoHyphens/>
        <w:overflowPunct w:val="0"/>
        <w:autoSpaceDE w:val="0"/>
        <w:snapToGrid w:val="0"/>
        <w:spacing w:line="480" w:lineRule="exact"/>
        <w:jc w:val="both"/>
        <w:rPr>
          <w:rFonts w:ascii="標楷體" w:eastAsia="標楷體" w:hAnsi="標楷體"/>
          <w:color w:val="000000" w:themeColor="text1"/>
          <w:kern w:val="16"/>
          <w:sz w:val="32"/>
          <w:szCs w:val="32"/>
        </w:rPr>
      </w:pPr>
      <w:r w:rsidRPr="006247B4">
        <w:rPr>
          <w:rFonts w:ascii="標楷體" w:eastAsia="標楷體" w:hAnsi="標楷體" w:hint="eastAsia"/>
          <w:color w:val="000000" w:themeColor="text1"/>
          <w:kern w:val="16"/>
          <w:sz w:val="32"/>
          <w:szCs w:val="32"/>
        </w:rPr>
        <w:t xml:space="preserve">　　　　　科　長　喻　珊　專　員　沈克彬</w:t>
      </w:r>
    </w:p>
    <w:p w14:paraId="6A8DA7BA" w14:textId="77777777" w:rsidR="009D64D0" w:rsidRPr="00A4221F" w:rsidRDefault="009D64D0" w:rsidP="00F470A8">
      <w:pPr>
        <w:widowControl w:val="0"/>
        <w:kinsoku w:val="0"/>
        <w:overflowPunct w:val="0"/>
        <w:autoSpaceDE w:val="0"/>
        <w:adjustRightInd w:val="0"/>
        <w:spacing w:beforeLines="50" w:before="180" w:line="480" w:lineRule="exact"/>
        <w:ind w:leftChars="201" w:left="482"/>
        <w:jc w:val="both"/>
        <w:textAlignment w:val="auto"/>
        <w:rPr>
          <w:rFonts w:ascii="標楷體" w:eastAsia="標楷體" w:hAnsi="標楷體" w:cs="Courier New"/>
          <w:b/>
          <w:kern w:val="2"/>
          <w:sz w:val="32"/>
          <w:szCs w:val="32"/>
        </w:rPr>
      </w:pPr>
      <w:r w:rsidRPr="00A4221F">
        <w:rPr>
          <w:rFonts w:ascii="標楷體" w:eastAsia="標楷體" w:hAnsi="標楷體" w:cs="Courier New" w:hint="eastAsia"/>
          <w:b/>
          <w:kern w:val="2"/>
          <w:sz w:val="32"/>
          <w:szCs w:val="32"/>
        </w:rPr>
        <w:t>報告事項</w:t>
      </w:r>
    </w:p>
    <w:p w14:paraId="5768854D" w14:textId="77777777" w:rsidR="009D64D0" w:rsidRPr="00A4221F"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一、宣讀上次會議議事錄。</w:t>
      </w:r>
    </w:p>
    <w:p w14:paraId="5FCEC90A" w14:textId="77777777" w:rsidR="009D64D0" w:rsidRPr="00A4221F"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決定：議事錄確定。</w:t>
      </w:r>
    </w:p>
    <w:p w14:paraId="1B037E52" w14:textId="77777777" w:rsidR="009D64D0" w:rsidRPr="00A4221F" w:rsidRDefault="009D64D0" w:rsidP="00F470A8">
      <w:pPr>
        <w:widowControl w:val="0"/>
        <w:kinsoku w:val="0"/>
        <w:overflowPunct w:val="0"/>
        <w:autoSpaceDE w:val="0"/>
        <w:adjustRightInd w:val="0"/>
        <w:snapToGrid w:val="0"/>
        <w:spacing w:beforeLines="50" w:before="180" w:line="480" w:lineRule="exact"/>
        <w:ind w:left="657" w:hangingChars="205" w:hanging="657"/>
        <w:jc w:val="both"/>
        <w:textAlignment w:val="auto"/>
        <w:rPr>
          <w:rFonts w:ascii="標楷體" w:eastAsia="標楷體" w:hAnsi="標楷體"/>
          <w:b/>
          <w:color w:val="000000" w:themeColor="text1"/>
          <w:kern w:val="2"/>
          <w:sz w:val="32"/>
          <w:szCs w:val="32"/>
        </w:rPr>
      </w:pPr>
      <w:r w:rsidRPr="00A4221F">
        <w:rPr>
          <w:rFonts w:ascii="標楷體" w:eastAsia="標楷體" w:hAnsi="標楷體" w:hint="eastAsia"/>
          <w:b/>
          <w:color w:val="000000" w:themeColor="text1"/>
          <w:kern w:val="2"/>
          <w:sz w:val="32"/>
          <w:szCs w:val="32"/>
        </w:rPr>
        <w:t>二、邀請金融監督管理委員會彭主任委員金隆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14:paraId="7011C2AA" w14:textId="77777777" w:rsidR="009D64D0" w:rsidRPr="00A4221F" w:rsidRDefault="009D64D0" w:rsidP="00F470A8">
      <w:pPr>
        <w:widowControl w:val="0"/>
        <w:kinsoku w:val="0"/>
        <w:overflowPunct w:val="0"/>
        <w:autoSpaceDE w:val="0"/>
        <w:adjustRightInd w:val="0"/>
        <w:snapToGrid w:val="0"/>
        <w:spacing w:beforeLines="50" w:before="180" w:line="480" w:lineRule="exact"/>
        <w:ind w:leftChars="-34" w:left="225" w:hangingChars="96" w:hanging="307"/>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經金融監督管理委員會主任委員彭金隆提出報告後，計有委員林德福、吳秉叡、賴士葆、郭國文、賴惠員、黃珊珊、李坤城、顏寬恒、李彥秀、洪孟楷、王世堅、林楚茵、吳宗憲、楊瓊瓔、陳玉珍、伍麗華、邱志偉、羅明才等18人提出質詢，均經金融監督管理委員會主任委員彭金隆、臺灣證券交易所股份有限公司董事長林修銘、臺灣期貨交易所股份有限公司董事長吳自心、臺灣集中保管結算所股份有限公司董事長林丙輝、財團法人中華民國證券櫃檯買賣中心董事長簡立忠及相關人員予以答復。）</w:t>
      </w:r>
    </w:p>
    <w:p w14:paraId="7465DA68" w14:textId="77777777" w:rsidR="009D64D0" w:rsidRPr="00A4221F"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A4221F">
        <w:rPr>
          <w:rFonts w:ascii="標楷體" w:eastAsia="標楷體" w:hAnsi="標楷體" w:hint="eastAsia"/>
          <w:b/>
          <w:color w:val="000000" w:themeColor="text1"/>
          <w:kern w:val="2"/>
          <w:sz w:val="32"/>
          <w:szCs w:val="32"/>
        </w:rPr>
        <w:t>決定：</w:t>
      </w:r>
    </w:p>
    <w:p w14:paraId="0278C24B" w14:textId="77777777" w:rsidR="009D64D0" w:rsidRPr="00A4221F"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(一)報告、說明及詢答完畢。</w:t>
      </w:r>
    </w:p>
    <w:p w14:paraId="6DC26A1F" w14:textId="77777777" w:rsidR="009D64D0" w:rsidRPr="00A4221F"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(二)委員質詢未及答復或請補充資訊，請金融監督管理委員會於一週內以書面答復；委員另要求期限者，從其所定。</w:t>
      </w:r>
    </w:p>
    <w:p w14:paraId="566E0DEA" w14:textId="77777777" w:rsidR="009D64D0" w:rsidRPr="00A4221F"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(三)委員王鴻薇、陳冠廷所提書面質詢，列入紀錄，刊登公報，並請金融監督管理委員會以書面答復。</w:t>
      </w:r>
    </w:p>
    <w:p w14:paraId="5718B514" w14:textId="77777777" w:rsidR="009D64D0" w:rsidRPr="00A4221F" w:rsidRDefault="009D64D0" w:rsidP="00F470A8">
      <w:pPr>
        <w:widowControl w:val="0"/>
        <w:kinsoku w:val="0"/>
        <w:overflowPunct w:val="0"/>
        <w:autoSpaceDE w:val="0"/>
        <w:adjustRightInd w:val="0"/>
        <w:snapToGrid w:val="0"/>
        <w:spacing w:beforeLines="50" w:before="180" w:line="480" w:lineRule="exact"/>
        <w:ind w:leftChars="201" w:left="482"/>
        <w:jc w:val="both"/>
        <w:textAlignment w:val="auto"/>
        <w:rPr>
          <w:rFonts w:ascii="標楷體" w:eastAsia="標楷體" w:hAnsi="標楷體"/>
          <w:b/>
          <w:color w:val="000000" w:themeColor="text1"/>
          <w:kern w:val="2"/>
          <w:sz w:val="32"/>
          <w:szCs w:val="32"/>
        </w:rPr>
      </w:pPr>
      <w:r w:rsidRPr="00A4221F">
        <w:rPr>
          <w:rFonts w:ascii="標楷體" w:eastAsia="標楷體" w:hAnsi="標楷體" w:hint="eastAsia"/>
          <w:b/>
          <w:color w:val="000000" w:themeColor="text1"/>
          <w:kern w:val="2"/>
          <w:sz w:val="32"/>
          <w:szCs w:val="32"/>
        </w:rPr>
        <w:lastRenderedPageBreak/>
        <w:t>討論事項</w:t>
      </w:r>
    </w:p>
    <w:p w14:paraId="69E7AFC2" w14:textId="77777777" w:rsidR="009D64D0" w:rsidRPr="009428A2" w:rsidRDefault="009D64D0" w:rsidP="00F470A8">
      <w:pPr>
        <w:pStyle w:val="Default"/>
        <w:overflowPunct w:val="0"/>
        <w:spacing w:line="460" w:lineRule="exact"/>
        <w:ind w:leftChars="10" w:left="24"/>
        <w:jc w:val="both"/>
        <w:rPr>
          <w:rFonts w:cs="Times New Roman"/>
          <w:b/>
          <w:bCs/>
          <w:sz w:val="36"/>
          <w:szCs w:val="36"/>
        </w:rPr>
      </w:pPr>
      <w:r w:rsidRPr="009428A2">
        <w:rPr>
          <w:rFonts w:cs="Times New Roman" w:hint="eastAsia"/>
          <w:b/>
          <w:bCs/>
          <w:sz w:val="32"/>
          <w:szCs w:val="32"/>
        </w:rPr>
        <w:t>一、繼續審查「證券交易稅條例」5案：</w:t>
      </w:r>
    </w:p>
    <w:p w14:paraId="784E8A1A" w14:textId="77777777" w:rsidR="009D64D0" w:rsidRDefault="009D64D0" w:rsidP="00F470A8">
      <w:pPr>
        <w:pStyle w:val="Default"/>
        <w:overflowPunct w:val="0"/>
        <w:spacing w:line="500" w:lineRule="exact"/>
        <w:ind w:leftChars="100" w:left="880" w:hangingChars="200" w:hanging="640"/>
        <w:jc w:val="both"/>
        <w:rPr>
          <w:rFonts w:cs="Times New Roman"/>
          <w:b/>
          <w:bCs/>
          <w:sz w:val="32"/>
          <w:szCs w:val="32"/>
        </w:rPr>
      </w:pPr>
      <w:r>
        <w:rPr>
          <w:rFonts w:cs="Times New Roman" w:hint="eastAsia"/>
          <w:bCs/>
          <w:sz w:val="32"/>
          <w:szCs w:val="32"/>
        </w:rPr>
        <w:t>(一)行政院函請審議「</w:t>
      </w:r>
      <w:r w:rsidRPr="00701F69">
        <w:rPr>
          <w:rFonts w:cs="Times New Roman" w:hint="eastAsia"/>
          <w:bCs/>
          <w:sz w:val="32"/>
          <w:szCs w:val="32"/>
        </w:rPr>
        <w:t>證券交易稅條例第二條之二</w:t>
      </w:r>
      <w:r>
        <w:rPr>
          <w:rFonts w:cs="Times New Roman" w:hint="eastAsia"/>
          <w:bCs/>
          <w:sz w:val="32"/>
          <w:szCs w:val="32"/>
        </w:rPr>
        <w:t>及</w:t>
      </w:r>
      <w:r w:rsidRPr="00701F69">
        <w:rPr>
          <w:rFonts w:cs="Times New Roman" w:hint="eastAsia"/>
          <w:bCs/>
          <w:sz w:val="32"/>
          <w:szCs w:val="32"/>
        </w:rPr>
        <w:t>第十二條條文修正草案</w:t>
      </w:r>
      <w:r w:rsidRPr="00E03498">
        <w:rPr>
          <w:rFonts w:cs="Times New Roman" w:hint="eastAsia"/>
          <w:bCs/>
          <w:sz w:val="32"/>
          <w:szCs w:val="32"/>
        </w:rPr>
        <w:t>」案</w:t>
      </w:r>
      <w:r w:rsidRPr="001C4217">
        <w:rPr>
          <w:rFonts w:cs="Times New Roman" w:hint="eastAsia"/>
          <w:bCs/>
          <w:sz w:val="32"/>
          <w:szCs w:val="32"/>
        </w:rPr>
        <w:t>。</w:t>
      </w:r>
    </w:p>
    <w:p w14:paraId="78150579" w14:textId="77777777" w:rsidR="009D64D0" w:rsidRPr="009428A2"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(二)本院委員</w:t>
      </w:r>
      <w:r w:rsidRPr="00701F69">
        <w:rPr>
          <w:rFonts w:cs="Times New Roman" w:hint="eastAsia"/>
          <w:bCs/>
          <w:sz w:val="32"/>
          <w:szCs w:val="32"/>
        </w:rPr>
        <w:t>羅明才等20人</w:t>
      </w:r>
      <w:r w:rsidRPr="00E03498">
        <w:rPr>
          <w:rFonts w:cs="Times New Roman" w:hint="eastAsia"/>
          <w:bCs/>
          <w:sz w:val="32"/>
          <w:szCs w:val="32"/>
        </w:rPr>
        <w:t>擬具「</w:t>
      </w:r>
      <w:r w:rsidRPr="00701F69">
        <w:rPr>
          <w:rFonts w:cs="Times New Roman" w:hint="eastAsia"/>
          <w:bCs/>
          <w:sz w:val="32"/>
          <w:szCs w:val="32"/>
        </w:rPr>
        <w:t>證券交易稅條例第二條之二條文修正草案</w:t>
      </w:r>
      <w:r w:rsidRPr="00E03498">
        <w:rPr>
          <w:rFonts w:cs="Times New Roman" w:hint="eastAsia"/>
          <w:bCs/>
          <w:sz w:val="32"/>
          <w:szCs w:val="32"/>
        </w:rPr>
        <w:t>」案</w:t>
      </w:r>
      <w:r w:rsidRPr="001C4217">
        <w:rPr>
          <w:rFonts w:cs="Times New Roman" w:hint="eastAsia"/>
          <w:bCs/>
          <w:sz w:val="32"/>
          <w:szCs w:val="32"/>
        </w:rPr>
        <w:t>。</w:t>
      </w:r>
    </w:p>
    <w:p w14:paraId="597FE0E0"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(三)</w:t>
      </w:r>
      <w:r w:rsidRPr="00767426">
        <w:rPr>
          <w:rFonts w:cs="Times New Roman" w:hint="eastAsia"/>
          <w:bCs/>
          <w:sz w:val="32"/>
          <w:szCs w:val="32"/>
        </w:rPr>
        <w:t>本院委員賴士葆等25人擬具「證券交易稅條例第二條之二及第十二條條文修正草案」</w:t>
      </w:r>
      <w:r w:rsidRPr="00E03498">
        <w:rPr>
          <w:rFonts w:cs="Times New Roman" w:hint="eastAsia"/>
          <w:bCs/>
          <w:sz w:val="32"/>
          <w:szCs w:val="32"/>
        </w:rPr>
        <w:t>案</w:t>
      </w:r>
      <w:r w:rsidRPr="001C4217">
        <w:rPr>
          <w:rFonts w:cs="Times New Roman" w:hint="eastAsia"/>
          <w:bCs/>
          <w:sz w:val="32"/>
          <w:szCs w:val="32"/>
        </w:rPr>
        <w:t>。</w:t>
      </w:r>
    </w:p>
    <w:p w14:paraId="19E2DD33"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(四)</w:t>
      </w:r>
      <w:r w:rsidRPr="00767426">
        <w:rPr>
          <w:rFonts w:cs="Times New Roman" w:hint="eastAsia"/>
          <w:bCs/>
          <w:sz w:val="32"/>
          <w:szCs w:val="32"/>
        </w:rPr>
        <w:t>本院委員伍麗華等19人擬具「證券交易稅條例第二條之二及第十二條條文修正草案」</w:t>
      </w:r>
      <w:r w:rsidRPr="00E03498">
        <w:rPr>
          <w:rFonts w:cs="Times New Roman" w:hint="eastAsia"/>
          <w:bCs/>
          <w:sz w:val="32"/>
          <w:szCs w:val="32"/>
        </w:rPr>
        <w:t>案</w:t>
      </w:r>
      <w:r w:rsidRPr="001C4217">
        <w:rPr>
          <w:rFonts w:cs="Times New Roman" w:hint="eastAsia"/>
          <w:bCs/>
          <w:sz w:val="32"/>
          <w:szCs w:val="32"/>
        </w:rPr>
        <w:t>。</w:t>
      </w:r>
    </w:p>
    <w:p w14:paraId="2F4CAF9E"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(五)</w:t>
      </w:r>
      <w:r w:rsidRPr="00E03498">
        <w:rPr>
          <w:rFonts w:cs="Times New Roman" w:hint="eastAsia"/>
          <w:bCs/>
          <w:sz w:val="32"/>
          <w:szCs w:val="32"/>
        </w:rPr>
        <w:t>本院委員</w:t>
      </w:r>
      <w:r w:rsidRPr="00701F69">
        <w:rPr>
          <w:rFonts w:cs="Times New Roman" w:hint="eastAsia"/>
          <w:bCs/>
          <w:sz w:val="32"/>
          <w:szCs w:val="32"/>
        </w:rPr>
        <w:t>邱志偉等19人</w:t>
      </w:r>
      <w:r w:rsidRPr="00E03498">
        <w:rPr>
          <w:rFonts w:cs="Times New Roman" w:hint="eastAsia"/>
          <w:bCs/>
          <w:sz w:val="32"/>
          <w:szCs w:val="32"/>
        </w:rPr>
        <w:t>擬具「</w:t>
      </w:r>
      <w:r w:rsidRPr="00701F69">
        <w:rPr>
          <w:rFonts w:cs="Times New Roman" w:hint="eastAsia"/>
          <w:bCs/>
          <w:sz w:val="32"/>
          <w:szCs w:val="32"/>
        </w:rPr>
        <w:t>證券交易稅條例第十二條條文修正草案</w:t>
      </w:r>
      <w:r w:rsidRPr="00E03498">
        <w:rPr>
          <w:rFonts w:cs="Times New Roman" w:hint="eastAsia"/>
          <w:bCs/>
          <w:sz w:val="32"/>
          <w:szCs w:val="32"/>
        </w:rPr>
        <w:t>」案</w:t>
      </w:r>
      <w:r w:rsidRPr="001C4217">
        <w:rPr>
          <w:rFonts w:cs="Times New Roman" w:hint="eastAsia"/>
          <w:bCs/>
          <w:sz w:val="32"/>
          <w:szCs w:val="32"/>
        </w:rPr>
        <w:t>。</w:t>
      </w:r>
    </w:p>
    <w:p w14:paraId="2BF9FBD1" w14:textId="77777777" w:rsidR="009D64D0" w:rsidRPr="009428A2" w:rsidRDefault="009D64D0" w:rsidP="00F470A8">
      <w:pPr>
        <w:pStyle w:val="Default"/>
        <w:overflowPunct w:val="0"/>
        <w:spacing w:line="500" w:lineRule="exact"/>
        <w:ind w:leftChars="9" w:left="663" w:hangingChars="200" w:hanging="641"/>
        <w:jc w:val="both"/>
        <w:rPr>
          <w:rFonts w:cs="Times New Roman"/>
          <w:b/>
          <w:bCs/>
          <w:sz w:val="32"/>
          <w:szCs w:val="32"/>
        </w:rPr>
      </w:pPr>
      <w:r w:rsidRPr="009428A2">
        <w:rPr>
          <w:rFonts w:cs="Times New Roman" w:hint="eastAsia"/>
          <w:b/>
          <w:bCs/>
          <w:sz w:val="32"/>
          <w:szCs w:val="32"/>
        </w:rPr>
        <w:t>二、審查「證券交易稅條例」5案：</w:t>
      </w:r>
    </w:p>
    <w:p w14:paraId="303E5C57"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(一)</w:t>
      </w:r>
      <w:r w:rsidRPr="005264EB">
        <w:rPr>
          <w:rFonts w:cs="Times New Roman" w:hint="eastAsia"/>
          <w:bCs/>
          <w:sz w:val="32"/>
          <w:szCs w:val="32"/>
        </w:rPr>
        <w:t>本院台灣民眾黨黨團擬具「證券交易稅條例部分條文修正草案」</w:t>
      </w:r>
      <w:r>
        <w:rPr>
          <w:rFonts w:cs="Times New Roman" w:hint="eastAsia"/>
          <w:bCs/>
          <w:sz w:val="32"/>
          <w:szCs w:val="32"/>
        </w:rPr>
        <w:t>案。</w:t>
      </w:r>
    </w:p>
    <w:p w14:paraId="63694028"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(二)</w:t>
      </w:r>
      <w:r w:rsidRPr="00767426">
        <w:rPr>
          <w:rFonts w:cs="Times New Roman" w:hint="eastAsia"/>
          <w:bCs/>
          <w:sz w:val="32"/>
          <w:szCs w:val="32"/>
        </w:rPr>
        <w:t>本院委員林楚茵等19人擬具「證券交易稅條例第二條之二條文修正草案」</w:t>
      </w:r>
      <w:r w:rsidRPr="00E03498">
        <w:rPr>
          <w:rFonts w:cs="Times New Roman" w:hint="eastAsia"/>
          <w:bCs/>
          <w:sz w:val="32"/>
          <w:szCs w:val="32"/>
        </w:rPr>
        <w:t>案</w:t>
      </w:r>
      <w:r w:rsidRPr="001C4217">
        <w:rPr>
          <w:rFonts w:cs="Times New Roman" w:hint="eastAsia"/>
          <w:bCs/>
          <w:sz w:val="32"/>
          <w:szCs w:val="32"/>
        </w:rPr>
        <w:t>。</w:t>
      </w:r>
    </w:p>
    <w:p w14:paraId="57CF3478"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(三)</w:t>
      </w:r>
      <w:r w:rsidRPr="005264EB">
        <w:rPr>
          <w:rFonts w:cs="Times New Roman" w:hint="eastAsia"/>
          <w:bCs/>
          <w:sz w:val="32"/>
          <w:szCs w:val="32"/>
        </w:rPr>
        <w:t>本院委員李坤城等22人擬具「證券交易稅條例第二條之二條文修正草案」</w:t>
      </w:r>
      <w:r>
        <w:rPr>
          <w:rFonts w:cs="Times New Roman" w:hint="eastAsia"/>
          <w:bCs/>
          <w:sz w:val="32"/>
          <w:szCs w:val="32"/>
        </w:rPr>
        <w:t>案。</w:t>
      </w:r>
    </w:p>
    <w:p w14:paraId="431CB5B0"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(四)</w:t>
      </w:r>
      <w:r w:rsidRPr="00767426">
        <w:rPr>
          <w:rFonts w:cs="Times New Roman" w:hint="eastAsia"/>
          <w:bCs/>
          <w:sz w:val="32"/>
          <w:szCs w:val="32"/>
        </w:rPr>
        <w:t>本院委員賴惠員等37人擬具「證券交易稅條例第二條之二及第十二條條文修正草案」</w:t>
      </w:r>
      <w:r w:rsidRPr="00E03498">
        <w:rPr>
          <w:rFonts w:cs="Times New Roman" w:hint="eastAsia"/>
          <w:bCs/>
          <w:sz w:val="32"/>
          <w:szCs w:val="32"/>
        </w:rPr>
        <w:t>案</w:t>
      </w:r>
      <w:r w:rsidRPr="001C4217">
        <w:rPr>
          <w:rFonts w:cs="Times New Roman" w:hint="eastAsia"/>
          <w:bCs/>
          <w:sz w:val="32"/>
          <w:szCs w:val="32"/>
        </w:rPr>
        <w:t>。</w:t>
      </w:r>
    </w:p>
    <w:p w14:paraId="3F72EF76" w14:textId="77777777" w:rsidR="009D64D0" w:rsidRDefault="009D64D0" w:rsidP="00F470A8">
      <w:pPr>
        <w:pStyle w:val="Default"/>
        <w:overflowPunct w:val="0"/>
        <w:spacing w:line="500" w:lineRule="exact"/>
        <w:ind w:leftChars="100" w:left="880" w:hangingChars="200" w:hanging="640"/>
        <w:jc w:val="both"/>
        <w:rPr>
          <w:rFonts w:cs="Times New Roman"/>
          <w:bCs/>
          <w:sz w:val="32"/>
          <w:szCs w:val="32"/>
        </w:rPr>
      </w:pPr>
      <w:r>
        <w:rPr>
          <w:rFonts w:cs="Times New Roman" w:hint="eastAsia"/>
          <w:bCs/>
          <w:sz w:val="32"/>
          <w:szCs w:val="32"/>
        </w:rPr>
        <w:t>(五)</w:t>
      </w:r>
      <w:r w:rsidRPr="005264EB">
        <w:rPr>
          <w:rFonts w:cs="Times New Roman" w:hint="eastAsia"/>
          <w:bCs/>
          <w:sz w:val="32"/>
          <w:szCs w:val="32"/>
        </w:rPr>
        <w:t>本院委員蔡易餘等16人擬具「證券交易稅條例第二條之二及第十二條條文修正草案」</w:t>
      </w:r>
      <w:r>
        <w:rPr>
          <w:rFonts w:cs="Times New Roman" w:hint="eastAsia"/>
          <w:bCs/>
          <w:sz w:val="32"/>
          <w:szCs w:val="32"/>
        </w:rPr>
        <w:t>案。</w:t>
      </w:r>
    </w:p>
    <w:p w14:paraId="3759697E" w14:textId="77777777" w:rsidR="009D64D0" w:rsidRPr="00440124" w:rsidRDefault="009D64D0" w:rsidP="00F470A8">
      <w:pPr>
        <w:pStyle w:val="Default"/>
        <w:overflowPunct w:val="0"/>
        <w:spacing w:line="500" w:lineRule="exact"/>
        <w:ind w:leftChars="9" w:left="663" w:hangingChars="200" w:hanging="641"/>
        <w:jc w:val="both"/>
        <w:rPr>
          <w:rFonts w:cs="Times New Roman"/>
          <w:b/>
          <w:bCs/>
          <w:sz w:val="32"/>
          <w:szCs w:val="32"/>
        </w:rPr>
      </w:pPr>
      <w:r w:rsidRPr="00440124">
        <w:rPr>
          <w:rFonts w:cs="Times New Roman" w:hint="eastAsia"/>
          <w:b/>
          <w:bCs/>
          <w:sz w:val="32"/>
          <w:szCs w:val="32"/>
        </w:rPr>
        <w:t>三、審查金融監督管理委員會函送「延長調降當日沖銷交易稅之稅式支出評估報告」及「研商延長調降當沖交易證券交易稅實施期間」公聽會之會議紀錄案。</w:t>
      </w:r>
    </w:p>
    <w:p w14:paraId="7C30E8A0" w14:textId="77777777" w:rsidR="009D64D0" w:rsidRPr="00A4221F"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A4221F">
        <w:rPr>
          <w:rFonts w:ascii="標楷體" w:eastAsia="標楷體" w:hAnsi="標楷體" w:hint="eastAsia"/>
          <w:b/>
          <w:color w:val="000000" w:themeColor="text1"/>
          <w:kern w:val="2"/>
          <w:sz w:val="32"/>
          <w:szCs w:val="32"/>
        </w:rPr>
        <w:t>決議：</w:t>
      </w:r>
    </w:p>
    <w:p w14:paraId="7B594ADE" w14:textId="77777777" w:rsidR="009D64D0" w:rsidRPr="00A4221F" w:rsidRDefault="009D64D0" w:rsidP="00F470A8">
      <w:pPr>
        <w:pStyle w:val="affff0"/>
        <w:widowControl w:val="0"/>
        <w:kinsoku w:val="0"/>
        <w:overflowPunct w:val="0"/>
        <w:autoSpaceDE w:val="0"/>
        <w:adjustRightInd w:val="0"/>
        <w:snapToGrid w:val="0"/>
        <w:spacing w:line="480" w:lineRule="exact"/>
        <w:ind w:leftChars="100" w:left="880" w:hangingChars="200" w:hanging="640"/>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(一)證券交易稅條例修正草案等1</w:t>
      </w:r>
      <w:r w:rsidRPr="00A4221F">
        <w:rPr>
          <w:rFonts w:ascii="標楷體" w:eastAsia="標楷體" w:hAnsi="標楷體"/>
          <w:color w:val="000000" w:themeColor="text1"/>
          <w:kern w:val="2"/>
          <w:sz w:val="32"/>
          <w:szCs w:val="32"/>
        </w:rPr>
        <w:t>0</w:t>
      </w:r>
      <w:r w:rsidRPr="00A4221F">
        <w:rPr>
          <w:rFonts w:ascii="標楷體" w:eastAsia="標楷體" w:hAnsi="標楷體" w:hint="eastAsia"/>
          <w:color w:val="000000" w:themeColor="text1"/>
          <w:kern w:val="2"/>
          <w:sz w:val="32"/>
          <w:szCs w:val="32"/>
        </w:rPr>
        <w:t>案，經參考金融監督管理委員會函送「延長調降當日沖銷交易稅之稅式支出評估報告」及「研</w:t>
      </w:r>
      <w:r w:rsidRPr="00A4221F">
        <w:rPr>
          <w:rFonts w:ascii="標楷體" w:eastAsia="標楷體" w:hAnsi="標楷體" w:hint="eastAsia"/>
          <w:color w:val="000000" w:themeColor="text1"/>
          <w:kern w:val="2"/>
          <w:sz w:val="32"/>
          <w:szCs w:val="32"/>
        </w:rPr>
        <w:lastRenderedPageBreak/>
        <w:t>商延長調降當沖交易證券交易稅實施期間」公聽會之會議紀錄案，全案審查完竣，審查結果：</w:t>
      </w:r>
    </w:p>
    <w:p w14:paraId="2B9A1385" w14:textId="77777777" w:rsidR="009D64D0" w:rsidRPr="00A4221F" w:rsidRDefault="009D64D0" w:rsidP="00F470A8">
      <w:pPr>
        <w:pStyle w:val="affff0"/>
        <w:widowControl w:val="0"/>
        <w:kinsoku w:val="0"/>
        <w:overflowPunct w:val="0"/>
        <w:autoSpaceDE w:val="0"/>
        <w:adjustRightInd w:val="0"/>
        <w:snapToGrid w:val="0"/>
        <w:spacing w:line="480" w:lineRule="exact"/>
        <w:ind w:leftChars="400" w:left="1760" w:hangingChars="250" w:hanging="800"/>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1.第二條之二及第十六條條文，均保留，送院會處理。</w:t>
      </w:r>
    </w:p>
    <w:p w14:paraId="50EBAC4F" w14:textId="77777777" w:rsidR="009D64D0" w:rsidRPr="00A4221F" w:rsidRDefault="009D64D0" w:rsidP="00F470A8">
      <w:pPr>
        <w:pStyle w:val="affff0"/>
        <w:widowControl w:val="0"/>
        <w:kinsoku w:val="0"/>
        <w:overflowPunct w:val="0"/>
        <w:autoSpaceDE w:val="0"/>
        <w:adjustRightInd w:val="0"/>
        <w:snapToGrid w:val="0"/>
        <w:spacing w:line="480" w:lineRule="exact"/>
        <w:ind w:leftChars="400" w:left="1760" w:hangingChars="250" w:hanging="800"/>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2.第八條及第九條之一條文，均維持現行條文。</w:t>
      </w:r>
    </w:p>
    <w:p w14:paraId="7C3E281D" w14:textId="77777777" w:rsidR="009D64D0" w:rsidRPr="00A4221F" w:rsidRDefault="009D64D0" w:rsidP="00F470A8">
      <w:pPr>
        <w:pStyle w:val="affff0"/>
        <w:widowControl w:val="0"/>
        <w:kinsoku w:val="0"/>
        <w:overflowPunct w:val="0"/>
        <w:autoSpaceDE w:val="0"/>
        <w:adjustRightInd w:val="0"/>
        <w:snapToGrid w:val="0"/>
        <w:spacing w:line="480" w:lineRule="exact"/>
        <w:ind w:leftChars="400" w:left="1760" w:hangingChars="250" w:hanging="800"/>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3.第十二條條文照行政院提案通過。</w:t>
      </w:r>
    </w:p>
    <w:p w14:paraId="7795E36F" w14:textId="77777777" w:rsidR="009D64D0" w:rsidRPr="00A4221F" w:rsidRDefault="009D64D0" w:rsidP="00F470A8">
      <w:pPr>
        <w:pStyle w:val="affff0"/>
        <w:widowControl w:val="0"/>
        <w:kinsoku w:val="0"/>
        <w:overflowPunct w:val="0"/>
        <w:autoSpaceDE w:val="0"/>
        <w:adjustRightInd w:val="0"/>
        <w:snapToGrid w:val="0"/>
        <w:spacing w:line="480" w:lineRule="exact"/>
        <w:ind w:leftChars="400" w:left="1760" w:hangingChars="250" w:hanging="800"/>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4.通過附帶決議1項：</w:t>
      </w:r>
    </w:p>
    <w:p w14:paraId="4C42FFC0" w14:textId="77777777" w:rsidR="009D64D0" w:rsidRPr="00A4221F" w:rsidRDefault="009D64D0" w:rsidP="00F470A8">
      <w:pPr>
        <w:pStyle w:val="affff0"/>
        <w:widowControl w:val="0"/>
        <w:kinsoku w:val="0"/>
        <w:overflowPunct w:val="0"/>
        <w:autoSpaceDN/>
        <w:adjustRightInd w:val="0"/>
        <w:snapToGrid w:val="0"/>
        <w:spacing w:line="480" w:lineRule="exact"/>
        <w:ind w:leftChars="525" w:left="1260"/>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請財政部及金融監督管理委員會針對證券交易稅條例、期貨交易稅條例、娛樂稅法代徵獎金實施狀況及存續之必要性進行檢討，蒐集意見，於2個月內向立法院財政委員會提出書面報告。</w:t>
      </w:r>
    </w:p>
    <w:p w14:paraId="415A4E47" w14:textId="77777777" w:rsidR="009D64D0" w:rsidRPr="00A4221F" w:rsidRDefault="00A4221F"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A4221F">
        <w:rPr>
          <w:rFonts w:ascii="標楷體" w:eastAsia="標楷體" w:hAnsi="標楷體" w:hint="eastAsia"/>
          <w:color w:val="000000" w:themeColor="text1"/>
          <w:kern w:val="2"/>
          <w:sz w:val="32"/>
          <w:szCs w:val="32"/>
        </w:rPr>
        <w:t>提案人：黃珊珊　賴士葆　賴惠員　伍麗華</w:t>
      </w:r>
    </w:p>
    <w:p w14:paraId="4079D85A" w14:textId="77777777" w:rsidR="009D64D0" w:rsidRPr="00A4221F" w:rsidRDefault="009D64D0" w:rsidP="00F470A8">
      <w:pPr>
        <w:pStyle w:val="affff0"/>
        <w:widowControl w:val="0"/>
        <w:kinsoku w:val="0"/>
        <w:overflowPunct w:val="0"/>
        <w:autoSpaceDE w:val="0"/>
        <w:adjustRightInd w:val="0"/>
        <w:snapToGrid w:val="0"/>
        <w:spacing w:line="480" w:lineRule="exact"/>
        <w:ind w:leftChars="100" w:left="880" w:hangingChars="200" w:hanging="640"/>
        <w:jc w:val="both"/>
        <w:textAlignment w:val="auto"/>
        <w:rPr>
          <w:rFonts w:ascii="華康楷書體W5" w:eastAsia="華康楷書體W5" w:hAnsi="標楷體"/>
          <w:bCs/>
          <w:kern w:val="2"/>
          <w:sz w:val="32"/>
          <w:szCs w:val="32"/>
        </w:rPr>
      </w:pPr>
      <w:r w:rsidRPr="00A4221F">
        <w:rPr>
          <w:rFonts w:ascii="華康楷書體W5" w:eastAsia="華康楷書體W5" w:hAnsi="標楷體" w:hint="eastAsia"/>
          <w:bCs/>
          <w:kern w:val="2"/>
          <w:sz w:val="32"/>
          <w:szCs w:val="32"/>
        </w:rPr>
        <w:t>(二)全案審查完竣，併案擬具審查報告，提報院會討論；院會討論前，須交由黨團協商；院會討論時由賴召集委員惠員補充說明。</w:t>
      </w:r>
    </w:p>
    <w:p w14:paraId="1D6DD761" w14:textId="77777777" w:rsidR="009D64D0" w:rsidRPr="009428A2" w:rsidRDefault="009D64D0" w:rsidP="00F470A8">
      <w:pPr>
        <w:pStyle w:val="Default"/>
        <w:overflowPunct w:val="0"/>
        <w:spacing w:line="500" w:lineRule="exact"/>
        <w:ind w:leftChars="9" w:left="663" w:hangingChars="200" w:hanging="641"/>
        <w:jc w:val="both"/>
        <w:rPr>
          <w:rFonts w:cs="Times New Roman"/>
          <w:b/>
          <w:bCs/>
          <w:sz w:val="32"/>
          <w:szCs w:val="32"/>
        </w:rPr>
      </w:pPr>
      <w:r w:rsidRPr="009428A2">
        <w:rPr>
          <w:rFonts w:cs="Times New Roman" w:hint="eastAsia"/>
          <w:b/>
          <w:bCs/>
          <w:sz w:val="32"/>
          <w:szCs w:val="32"/>
        </w:rPr>
        <w:t>四、</w:t>
      </w:r>
      <w:r w:rsidRPr="009428A2">
        <w:rPr>
          <w:rFonts w:hint="eastAsia"/>
          <w:b/>
          <w:bCs/>
          <w:sz w:val="32"/>
          <w:szCs w:val="32"/>
        </w:rPr>
        <w:t>討論中華民國114年度中央政府總預算案（含附屬單位預算及綜計表－營業及非營業部分）審查日程暨審查分配表草案。</w:t>
      </w:r>
    </w:p>
    <w:p w14:paraId="19EC602F" w14:textId="77777777" w:rsidR="009D64D0" w:rsidRPr="00A4221F" w:rsidRDefault="009D64D0" w:rsidP="00F470A8">
      <w:pPr>
        <w:widowControl w:val="0"/>
        <w:kinsoku w:val="0"/>
        <w:overflowPunct w:val="0"/>
        <w:autoSpaceDN/>
        <w:adjustRightInd w:val="0"/>
        <w:snapToGrid w:val="0"/>
        <w:spacing w:line="480" w:lineRule="exact"/>
        <w:ind w:left="641" w:hangingChars="200" w:hanging="641"/>
        <w:textAlignment w:val="auto"/>
        <w:rPr>
          <w:rFonts w:ascii="標楷體" w:eastAsia="標楷體" w:hAnsi="標楷體"/>
          <w:b/>
          <w:color w:val="000000" w:themeColor="text1"/>
          <w:kern w:val="2"/>
          <w:sz w:val="32"/>
          <w:szCs w:val="32"/>
        </w:rPr>
      </w:pPr>
      <w:r w:rsidRPr="00A4221F">
        <w:rPr>
          <w:rFonts w:ascii="標楷體" w:eastAsia="標楷體" w:hAnsi="標楷體" w:hint="eastAsia"/>
          <w:b/>
          <w:color w:val="000000" w:themeColor="text1"/>
          <w:kern w:val="2"/>
          <w:sz w:val="32"/>
          <w:szCs w:val="32"/>
        </w:rPr>
        <w:t>決議：</w:t>
      </w:r>
    </w:p>
    <w:p w14:paraId="1C32AA8A" w14:textId="77777777" w:rsidR="009D64D0" w:rsidRPr="00A4221F" w:rsidRDefault="009D64D0" w:rsidP="00F470A8">
      <w:pPr>
        <w:widowControl w:val="0"/>
        <w:kinsoku w:val="0"/>
        <w:overflowPunct w:val="0"/>
        <w:autoSpaceDN/>
        <w:adjustRightInd w:val="0"/>
        <w:snapToGrid w:val="0"/>
        <w:spacing w:line="480" w:lineRule="exact"/>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中華民國114年度中央政府總預算案（含附屬單位預算及綜計表－營業及非營業部分）審查日程暨審查分配表草案，照案通過，提報院會。</w:t>
      </w:r>
    </w:p>
    <w:p w14:paraId="5EC54433" w14:textId="77777777" w:rsidR="009D64D0" w:rsidRPr="00A4221F" w:rsidRDefault="009D64D0" w:rsidP="00F470A8">
      <w:pPr>
        <w:widowControl w:val="0"/>
        <w:kinsoku w:val="0"/>
        <w:overflowPunct w:val="0"/>
        <w:autoSpaceDN/>
        <w:adjustRightInd w:val="0"/>
        <w:snapToGrid w:val="0"/>
        <w:spacing w:line="480" w:lineRule="exact"/>
        <w:textAlignment w:val="auto"/>
        <w:rPr>
          <w:rFonts w:ascii="標楷體" w:eastAsia="標楷體" w:hAnsi="標楷體"/>
          <w:b/>
          <w:color w:val="000000" w:themeColor="text1"/>
          <w:kern w:val="2"/>
          <w:sz w:val="32"/>
          <w:szCs w:val="32"/>
        </w:rPr>
      </w:pPr>
      <w:r w:rsidRPr="00A4221F">
        <w:rPr>
          <w:rFonts w:ascii="標楷體" w:eastAsia="標楷體" w:hAnsi="標楷體" w:hint="eastAsia"/>
          <w:b/>
          <w:color w:val="000000" w:themeColor="text1"/>
          <w:kern w:val="2"/>
          <w:sz w:val="32"/>
          <w:szCs w:val="32"/>
        </w:rPr>
        <w:t>其他事項</w:t>
      </w:r>
    </w:p>
    <w:p w14:paraId="50D65116" w14:textId="77777777" w:rsidR="009D64D0" w:rsidRPr="00A4221F"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bCs/>
          <w:color w:val="000000" w:themeColor="text1"/>
          <w:kern w:val="0"/>
          <w:sz w:val="32"/>
          <w:szCs w:val="32"/>
        </w:rPr>
      </w:pPr>
      <w:r w:rsidRPr="00A4221F">
        <w:rPr>
          <w:rFonts w:ascii="標楷體" w:eastAsia="標楷體" w:hAnsi="標楷體" w:hint="eastAsia"/>
          <w:bCs/>
          <w:color w:val="000000" w:themeColor="text1"/>
          <w:kern w:val="0"/>
          <w:sz w:val="32"/>
          <w:szCs w:val="32"/>
        </w:rPr>
        <w:t>本次會議議事錄，授權由主席核定後確定。</w:t>
      </w:r>
    </w:p>
    <w:p w14:paraId="48F19CCC" w14:textId="77777777" w:rsidR="009D64D0" w:rsidRPr="00A4221F" w:rsidRDefault="009D64D0" w:rsidP="00F470A8">
      <w:pPr>
        <w:widowControl w:val="0"/>
        <w:tabs>
          <w:tab w:val="left" w:pos="1418"/>
        </w:tabs>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A4221F">
        <w:rPr>
          <w:rFonts w:ascii="標楷體" w:eastAsia="標楷體" w:hAnsi="標楷體" w:hint="eastAsia"/>
          <w:b/>
          <w:color w:val="000000" w:themeColor="text1"/>
          <w:kern w:val="2"/>
          <w:sz w:val="32"/>
          <w:szCs w:val="32"/>
        </w:rPr>
        <w:t>通過臨時提案5案：</w:t>
      </w:r>
    </w:p>
    <w:p w14:paraId="781915D9" w14:textId="77777777" w:rsidR="009D64D0" w:rsidRPr="00A4221F"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一、經查中華民國期貨業商業同業公會已在113年9月完成期貨商開戶徵信作業管理及提供高齡客户金融服務自律規則之修正，刪除</w:t>
      </w:r>
      <w:r w:rsidRPr="00A4221F">
        <w:rPr>
          <w:rFonts w:ascii="標楷體" w:eastAsia="標楷體" w:hAnsi="標楷體"/>
          <w:color w:val="000000" w:themeColor="text1"/>
          <w:kern w:val="2"/>
          <w:sz w:val="32"/>
          <w:szCs w:val="32"/>
        </w:rPr>
        <w:t>70</w:t>
      </w:r>
      <w:r w:rsidRPr="00A4221F">
        <w:rPr>
          <w:rFonts w:ascii="標楷體" w:eastAsia="標楷體" w:hAnsi="標楷體" w:hint="eastAsia"/>
          <w:color w:val="000000" w:themeColor="text1"/>
          <w:kern w:val="2"/>
          <w:sz w:val="32"/>
          <w:szCs w:val="32"/>
        </w:rPr>
        <w:t>歲以上期貨交易人無法開戶之資格條件及交易限制，大幅開放投資資格限制，回歸業者自行就</w:t>
      </w:r>
      <w:r w:rsidRPr="00A4221F">
        <w:rPr>
          <w:rFonts w:ascii="標楷體" w:eastAsia="標楷體" w:hAnsi="標楷體"/>
          <w:color w:val="000000" w:themeColor="text1"/>
          <w:kern w:val="2"/>
          <w:sz w:val="32"/>
          <w:szCs w:val="32"/>
        </w:rPr>
        <w:t>65</w:t>
      </w:r>
      <w:r w:rsidRPr="00A4221F">
        <w:rPr>
          <w:rFonts w:ascii="標楷體" w:eastAsia="標楷體" w:hAnsi="標楷體" w:hint="eastAsia"/>
          <w:color w:val="000000" w:themeColor="text1"/>
          <w:kern w:val="2"/>
          <w:sz w:val="32"/>
          <w:szCs w:val="32"/>
        </w:rPr>
        <w:t>歲高齡客户之</w:t>
      </w:r>
      <w:r w:rsidRPr="00A4221F">
        <w:rPr>
          <w:rFonts w:ascii="標楷體" w:eastAsia="標楷體" w:hAnsi="標楷體"/>
          <w:color w:val="000000" w:themeColor="text1"/>
          <w:kern w:val="2"/>
          <w:sz w:val="32"/>
          <w:szCs w:val="32"/>
        </w:rPr>
        <w:t>KYC</w:t>
      </w:r>
      <w:r w:rsidRPr="00A4221F">
        <w:rPr>
          <w:rFonts w:ascii="標楷體" w:eastAsia="標楷體" w:hAnsi="標楷體" w:hint="eastAsia"/>
          <w:color w:val="000000" w:themeColor="text1"/>
          <w:kern w:val="2"/>
          <w:sz w:val="32"/>
          <w:szCs w:val="32"/>
        </w:rPr>
        <w:t>評估機制。有鑑於期貨商品乃複雜性高風險、以小博大類型的金融商品，其投資適性為較須具備專業性及風險承受度的消費者，建議金融監督</w:t>
      </w:r>
      <w:r w:rsidRPr="00A4221F">
        <w:rPr>
          <w:rFonts w:ascii="標楷體" w:eastAsia="標楷體" w:hAnsi="標楷體" w:hint="eastAsia"/>
          <w:color w:val="000000" w:themeColor="text1"/>
          <w:kern w:val="2"/>
          <w:sz w:val="32"/>
          <w:szCs w:val="32"/>
        </w:rPr>
        <w:lastRenderedPageBreak/>
        <w:t>管理委員會仍須持續要求業者做好投資人適性評估及充分說明投資風險之義務，避免衍生交易爭議。另請金融監督管理委員會就目前各金融業高齡客户投資總額及近3年度爭議案件數統計資料，於3個月內向立法院財政委員會提出書面報告。</w:t>
      </w:r>
    </w:p>
    <w:p w14:paraId="75681A91" w14:textId="77777777" w:rsidR="009D64D0" w:rsidRPr="00A4221F" w:rsidRDefault="00A4221F"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A4221F">
        <w:rPr>
          <w:rFonts w:ascii="標楷體" w:eastAsia="標楷體" w:hAnsi="標楷體" w:hint="eastAsia"/>
          <w:color w:val="000000" w:themeColor="text1"/>
          <w:kern w:val="2"/>
          <w:sz w:val="32"/>
          <w:szCs w:val="32"/>
        </w:rPr>
        <w:t>提案人：吳秉叡　賴惠員　郭國文</w:t>
      </w:r>
    </w:p>
    <w:p w14:paraId="35D02CE1" w14:textId="77777777" w:rsidR="009D64D0" w:rsidRPr="00A4221F"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二、金融監督管理委員會於112年3月即已奉行政院指定擔任具金融投資或支付性質之虛擬資產平台的主管機關。虛擬資產屬新興監理項目，且市場變化快速，又詐騙及洗錢罪犯已漸多利用虛擬資產作為犯罪工具。爰建議應加速期程，早日完成專法，俾將虛擬資產納入妥善監理。說明：1.113年9月金融監督管理委員會在「虛擬資產專法制定進程」報告中揭示將分四大階段管理虛擬通貨平台及交易業務之事業(下稱VASP)，最終走向設專法管理。分別為第一階段從VASP洗錢防制辦法中，開始納管VASP；第二階段推動VASP設公會並制定自律規範管理；第三階段將在洗錢防制法中增訂VASP登記制、明確VASP定義及對非法業者課以刑責等；第四階段走向專法。2</w:t>
      </w:r>
      <w:r w:rsidRPr="00A4221F">
        <w:rPr>
          <w:rFonts w:ascii="標楷體" w:eastAsia="標楷體" w:hAnsi="標楷體"/>
          <w:color w:val="000000" w:themeColor="text1"/>
          <w:kern w:val="2"/>
          <w:sz w:val="32"/>
          <w:szCs w:val="32"/>
        </w:rPr>
        <w:t>.</w:t>
      </w:r>
      <w:r w:rsidRPr="00A4221F">
        <w:rPr>
          <w:rFonts w:ascii="標楷體" w:eastAsia="標楷體" w:hAnsi="標楷體" w:hint="eastAsia"/>
          <w:color w:val="000000" w:themeColor="text1"/>
          <w:kern w:val="2"/>
          <w:sz w:val="32"/>
          <w:szCs w:val="32"/>
        </w:rPr>
        <w:t>虛擬資產發展快速，網路資料顯示國際上有達萬種加密貨幣存在，加密貨幣交易總人口可能在</w:t>
      </w:r>
      <w:r w:rsidRPr="00A4221F">
        <w:rPr>
          <w:rFonts w:ascii="標楷體" w:eastAsia="標楷體" w:hAnsi="標楷體"/>
          <w:color w:val="000000" w:themeColor="text1"/>
          <w:kern w:val="2"/>
          <w:sz w:val="32"/>
          <w:szCs w:val="32"/>
        </w:rPr>
        <w:t>3.5</w:t>
      </w:r>
      <w:r w:rsidRPr="00A4221F">
        <w:rPr>
          <w:rFonts w:ascii="標楷體" w:eastAsia="標楷體" w:hAnsi="標楷體" w:hint="eastAsia"/>
          <w:color w:val="000000" w:themeColor="text1"/>
          <w:kern w:val="2"/>
          <w:sz w:val="32"/>
          <w:szCs w:val="32"/>
        </w:rPr>
        <w:t>億至</w:t>
      </w:r>
      <w:r w:rsidRPr="00A4221F">
        <w:rPr>
          <w:rFonts w:ascii="標楷體" w:eastAsia="標楷體" w:hAnsi="標楷體"/>
          <w:color w:val="000000" w:themeColor="text1"/>
          <w:kern w:val="2"/>
          <w:sz w:val="32"/>
          <w:szCs w:val="32"/>
        </w:rPr>
        <w:t>7</w:t>
      </w:r>
      <w:r w:rsidRPr="00A4221F">
        <w:rPr>
          <w:rFonts w:ascii="標楷體" w:eastAsia="標楷體" w:hAnsi="標楷體" w:hint="eastAsia"/>
          <w:color w:val="000000" w:themeColor="text1"/>
          <w:kern w:val="2"/>
          <w:sz w:val="32"/>
          <w:szCs w:val="32"/>
        </w:rPr>
        <w:t>億戶之間，加密貨幣總市值約為76.99兆元，每日市場交易總量則約為3.24兆元，且逐日快速成長中。3</w:t>
      </w:r>
      <w:r w:rsidRPr="00A4221F">
        <w:rPr>
          <w:rFonts w:ascii="標楷體" w:eastAsia="標楷體" w:hAnsi="標楷體"/>
          <w:color w:val="000000" w:themeColor="text1"/>
          <w:kern w:val="2"/>
          <w:sz w:val="32"/>
          <w:szCs w:val="32"/>
        </w:rPr>
        <w:t>.</w:t>
      </w:r>
      <w:r w:rsidRPr="00A4221F">
        <w:rPr>
          <w:rFonts w:ascii="標楷體" w:eastAsia="標楷體" w:hAnsi="標楷體" w:hint="eastAsia"/>
          <w:color w:val="000000" w:themeColor="text1"/>
          <w:kern w:val="2"/>
          <w:sz w:val="32"/>
          <w:szCs w:val="32"/>
        </w:rPr>
        <w:t>虛擬資產正常用在交易、轉移、支付以至投資，但亦有用在詐騙、洗錢等犯罪領域，先進國家多已逐漸納管，包括VASP之監理與自律、相關資訊之公開透明，如部分國家已建立所謂「虛擬資產指數」，作為投資及監理依據；洗錢防制亦將虚擬資產列入重點管制項目。4</w:t>
      </w:r>
      <w:r w:rsidRPr="00A4221F">
        <w:rPr>
          <w:rFonts w:ascii="標楷體" w:eastAsia="標楷體" w:hAnsi="標楷體"/>
          <w:color w:val="000000" w:themeColor="text1"/>
          <w:kern w:val="2"/>
          <w:sz w:val="32"/>
          <w:szCs w:val="32"/>
        </w:rPr>
        <w:t>.</w:t>
      </w:r>
      <w:r w:rsidRPr="00A4221F">
        <w:rPr>
          <w:rFonts w:ascii="標楷體" w:eastAsia="標楷體" w:hAnsi="標楷體" w:hint="eastAsia"/>
          <w:color w:val="000000" w:themeColor="text1"/>
          <w:kern w:val="2"/>
          <w:sz w:val="32"/>
          <w:szCs w:val="32"/>
        </w:rPr>
        <w:t>對於虚擬資產的監理，除請金融監督管理委員會加快進程外，尚須在穩健步伐的基礎上，加強各級同仁學習相關知能，密切注意市場變化，掌握市場即時資訊，與國際市場接軌，健全監理制度，強化投資人保護等面向。</w:t>
      </w:r>
    </w:p>
    <w:p w14:paraId="0E56857D" w14:textId="77777777" w:rsidR="009D64D0" w:rsidRPr="00A4221F" w:rsidRDefault="00FB4158"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A4221F">
        <w:rPr>
          <w:rFonts w:ascii="標楷體" w:eastAsia="標楷體" w:hAnsi="標楷體" w:hint="eastAsia"/>
          <w:color w:val="000000" w:themeColor="text1"/>
          <w:kern w:val="2"/>
          <w:sz w:val="32"/>
          <w:szCs w:val="32"/>
        </w:rPr>
        <w:t xml:space="preserve">提案人：吳秉叡　賴惠員　郭國文　</w:t>
      </w:r>
    </w:p>
    <w:p w14:paraId="284BC668" w14:textId="77777777" w:rsidR="009D64D0" w:rsidRPr="00A4221F"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三、有鑑於財政部113年主辦、臺北國稅局承辦之雲端種樹趣</w:t>
      </w:r>
      <w:r w:rsidRPr="00A4221F">
        <w:rPr>
          <w:rFonts w:ascii="標楷體" w:eastAsia="標楷體" w:hAnsi="標楷體"/>
          <w:color w:val="000000" w:themeColor="text1"/>
          <w:kern w:val="2"/>
          <w:sz w:val="32"/>
          <w:szCs w:val="32"/>
        </w:rPr>
        <w:t>e</w:t>
      </w:r>
      <w:r w:rsidRPr="00A4221F">
        <w:rPr>
          <w:rFonts w:ascii="標楷體" w:eastAsia="標楷體" w:hAnsi="標楷體" w:hint="eastAsia"/>
          <w:color w:val="000000" w:themeColor="text1"/>
          <w:kern w:val="2"/>
          <w:sz w:val="32"/>
          <w:szCs w:val="32"/>
        </w:rPr>
        <w:t>起集點樹網路活動，發生部分中獎者有重複中大獎之情事，輿情質疑該</w:t>
      </w:r>
      <w:r w:rsidRPr="00A4221F">
        <w:rPr>
          <w:rFonts w:ascii="標楷體" w:eastAsia="標楷體" w:hAnsi="標楷體" w:hint="eastAsia"/>
          <w:color w:val="000000" w:themeColor="text1"/>
          <w:kern w:val="2"/>
          <w:sz w:val="32"/>
          <w:szCs w:val="32"/>
        </w:rPr>
        <w:lastRenderedPageBreak/>
        <w:t>抽獎活動之公平性，嚴重影響政府機關之公信力。爰請財政部於1週內查明釐清1</w:t>
      </w:r>
      <w:r w:rsidRPr="00A4221F">
        <w:rPr>
          <w:rFonts w:ascii="標楷體" w:eastAsia="標楷體" w:hAnsi="標楷體"/>
          <w:color w:val="000000" w:themeColor="text1"/>
          <w:kern w:val="2"/>
          <w:sz w:val="32"/>
          <w:szCs w:val="32"/>
        </w:rPr>
        <w:t>13</w:t>
      </w:r>
      <w:r w:rsidRPr="00A4221F">
        <w:rPr>
          <w:rFonts w:ascii="標楷體" w:eastAsia="標楷體" w:hAnsi="標楷體" w:hint="eastAsia"/>
          <w:color w:val="000000" w:themeColor="text1"/>
          <w:kern w:val="2"/>
          <w:sz w:val="32"/>
          <w:szCs w:val="32"/>
        </w:rPr>
        <w:t>年結合統一發票推行辦理全國性重大施政統一發票兌獎</w:t>
      </w:r>
      <w:r w:rsidRPr="00A4221F">
        <w:rPr>
          <w:rFonts w:ascii="標楷體" w:eastAsia="標楷體" w:hAnsi="標楷體"/>
          <w:color w:val="000000" w:themeColor="text1"/>
          <w:kern w:val="2"/>
          <w:sz w:val="32"/>
          <w:szCs w:val="32"/>
        </w:rPr>
        <w:t>APP</w:t>
      </w:r>
      <w:r w:rsidRPr="00A4221F">
        <w:rPr>
          <w:rFonts w:ascii="標楷體" w:eastAsia="標楷體" w:hAnsi="標楷體" w:hint="eastAsia"/>
          <w:color w:val="000000" w:themeColor="text1"/>
          <w:kern w:val="2"/>
          <w:sz w:val="32"/>
          <w:szCs w:val="32"/>
        </w:rPr>
        <w:t>全國推廣活動委外服務案是否確有不公、舞弊情形，並公布抽獎活動之中獎率。</w:t>
      </w:r>
    </w:p>
    <w:p w14:paraId="7E074DE2" w14:textId="77777777" w:rsidR="009D64D0" w:rsidRPr="00A4221F" w:rsidRDefault="00FB4158"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A4221F">
        <w:rPr>
          <w:rFonts w:ascii="標楷體" w:eastAsia="標楷體" w:hAnsi="標楷體" w:hint="eastAsia"/>
          <w:color w:val="000000" w:themeColor="text1"/>
          <w:kern w:val="2"/>
          <w:sz w:val="32"/>
          <w:szCs w:val="32"/>
        </w:rPr>
        <w:t>提案人：黃珊珊　賴士葆　賴惠員　顏寬恒</w:t>
      </w:r>
    </w:p>
    <w:p w14:paraId="7943C997" w14:textId="77777777" w:rsidR="009D64D0" w:rsidRPr="00A4221F"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四、因應洗錢防制法修法通過，金融監督管理委員會提出虛擬資產服務之事業或人員洗錢防制登記辦法草案、虛擬通貨平台及交易業務事業防制洗錢及打擊資恐辦法修正草案，預計1</w:t>
      </w:r>
      <w:r w:rsidRPr="00A4221F">
        <w:rPr>
          <w:rFonts w:ascii="標楷體" w:eastAsia="標楷體" w:hAnsi="標楷體"/>
          <w:color w:val="000000" w:themeColor="text1"/>
          <w:kern w:val="2"/>
          <w:sz w:val="32"/>
          <w:szCs w:val="32"/>
        </w:rPr>
        <w:t>13</w:t>
      </w:r>
      <w:r w:rsidRPr="00A4221F">
        <w:rPr>
          <w:rFonts w:ascii="標楷體" w:eastAsia="標楷體" w:hAnsi="標楷體" w:hint="eastAsia"/>
          <w:color w:val="000000" w:themeColor="text1"/>
          <w:kern w:val="2"/>
          <w:sz w:val="32"/>
          <w:szCs w:val="32"/>
        </w:rPr>
        <w:t>年12月上路。惟業界面臨我國銀行不分風險，一律拒絕與VASP業者進行業務往來，導致VASP業者難以符合新增訂之辦法。若因實務操作導致多數業者無法從事業務，將導致產業地下化危機，進而削弱金融監督管理委員會監管VASP業者之範圍，也令相關子法之訂定形同虛設，爰請金融監督管理委員會銀行局與我國銀行進行協調，秉持以風險為基礎原則來審查VASP業者申請案，避免過度去風險化之情形，並於3週內向立法院財政委員會提出書面報告。</w:t>
      </w:r>
    </w:p>
    <w:p w14:paraId="389994AD" w14:textId="77777777" w:rsidR="009D64D0" w:rsidRPr="00A4221F" w:rsidRDefault="00FB4158"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A4221F">
        <w:rPr>
          <w:rFonts w:ascii="標楷體" w:eastAsia="標楷體" w:hAnsi="標楷體" w:hint="eastAsia"/>
          <w:color w:val="000000" w:themeColor="text1"/>
          <w:kern w:val="2"/>
          <w:sz w:val="32"/>
          <w:szCs w:val="32"/>
        </w:rPr>
        <w:t xml:space="preserve">提案人：郭國文　</w:t>
      </w:r>
    </w:p>
    <w:p w14:paraId="76E97D32" w14:textId="77777777" w:rsidR="009D64D0" w:rsidRPr="00A4221F" w:rsidRDefault="00FB4158"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A4221F">
        <w:rPr>
          <w:rFonts w:ascii="標楷體" w:eastAsia="標楷體" w:hAnsi="標楷體" w:hint="eastAsia"/>
          <w:color w:val="000000" w:themeColor="text1"/>
          <w:kern w:val="2"/>
          <w:sz w:val="32"/>
          <w:szCs w:val="32"/>
        </w:rPr>
        <w:t xml:space="preserve">連署人：賴惠員　伍麗華　</w:t>
      </w:r>
    </w:p>
    <w:p w14:paraId="7674EAE3" w14:textId="77777777" w:rsidR="009D64D0" w:rsidRPr="00A4221F"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color w:val="000000" w:themeColor="text1"/>
          <w:kern w:val="2"/>
          <w:sz w:val="32"/>
          <w:szCs w:val="32"/>
        </w:rPr>
      </w:pPr>
      <w:r w:rsidRPr="00A4221F">
        <w:rPr>
          <w:rFonts w:ascii="標楷體" w:eastAsia="標楷體" w:hAnsi="標楷體" w:hint="eastAsia"/>
          <w:color w:val="000000" w:themeColor="text1"/>
          <w:kern w:val="2"/>
          <w:sz w:val="32"/>
          <w:szCs w:val="32"/>
        </w:rPr>
        <w:t>五、面對我國壽險業發行之類全委保單近七成皆委託外商投信，甚至部分合約限定只投資境外基金與ETF，以至於放寬類全委投資規範並無壯大本土投信之效益，不應放入資產管理中心之壯大投信方案中。爰請金融監督管理委員會重新評估放寬類全委投資之必要性，以及其與壯大本土投信之關聯與效益，並於1個月內向立法院財政委員會提出書面報告。</w:t>
      </w:r>
    </w:p>
    <w:p w14:paraId="7E63ECE3" w14:textId="77777777" w:rsidR="009D64D0" w:rsidRPr="00FB4158" w:rsidRDefault="00FB4158"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FB4158">
        <w:rPr>
          <w:rFonts w:ascii="標楷體" w:eastAsia="標楷體" w:hAnsi="標楷體" w:hint="eastAsia"/>
          <w:color w:val="000000" w:themeColor="text1"/>
          <w:kern w:val="2"/>
          <w:sz w:val="32"/>
          <w:szCs w:val="32"/>
        </w:rPr>
        <w:t xml:space="preserve">提案人：郭國文　</w:t>
      </w:r>
    </w:p>
    <w:p w14:paraId="5A83CC5B" w14:textId="77777777" w:rsidR="009D64D0" w:rsidRPr="00FB4158" w:rsidRDefault="00FB4158" w:rsidP="00F470A8">
      <w:pPr>
        <w:widowControl w:val="0"/>
        <w:kinsoku w:val="0"/>
        <w:overflowPunct w:val="0"/>
        <w:autoSpaceDE w:val="0"/>
        <w:adjustRightInd w:val="0"/>
        <w:snapToGrid w:val="0"/>
        <w:spacing w:line="460" w:lineRule="exact"/>
        <w:ind w:leftChars="1063" w:left="2551"/>
        <w:jc w:val="both"/>
        <w:textAlignment w:val="auto"/>
        <w:rPr>
          <w:rFonts w:ascii="標楷體" w:eastAsia="標楷體" w:hAnsi="標楷體"/>
          <w:color w:val="000000" w:themeColor="text1"/>
          <w:kern w:val="2"/>
          <w:sz w:val="32"/>
          <w:szCs w:val="32"/>
        </w:rPr>
      </w:pPr>
      <w:r>
        <w:rPr>
          <w:rFonts w:ascii="標楷體" w:eastAsia="標楷體" w:hAnsi="標楷體" w:hint="eastAsia"/>
          <w:color w:val="000000" w:themeColor="text1"/>
          <w:kern w:val="16"/>
          <w:sz w:val="32"/>
          <w:szCs w:val="32"/>
        </w:rPr>
        <w:t xml:space="preserve">　</w:t>
      </w:r>
      <w:r w:rsidRPr="006247B4">
        <w:rPr>
          <w:rFonts w:ascii="標楷體" w:eastAsia="標楷體" w:hAnsi="標楷體" w:hint="eastAsia"/>
          <w:color w:val="000000" w:themeColor="text1"/>
          <w:kern w:val="16"/>
          <w:sz w:val="32"/>
          <w:szCs w:val="32"/>
        </w:rPr>
        <w:t xml:space="preserve">　　</w:t>
      </w:r>
      <w:r w:rsidR="009D64D0" w:rsidRPr="00FB4158">
        <w:rPr>
          <w:rFonts w:ascii="標楷體" w:eastAsia="標楷體" w:hAnsi="標楷體" w:hint="eastAsia"/>
          <w:color w:val="000000" w:themeColor="text1"/>
          <w:kern w:val="2"/>
          <w:sz w:val="32"/>
          <w:szCs w:val="32"/>
        </w:rPr>
        <w:t xml:space="preserve">連署人：賴惠員　伍麗華　</w:t>
      </w:r>
    </w:p>
    <w:p w14:paraId="0D439DB2" w14:textId="77777777" w:rsidR="009D64D0" w:rsidRPr="00A4221F" w:rsidRDefault="009D64D0" w:rsidP="00F470A8">
      <w:pPr>
        <w:pStyle w:val="af5"/>
        <w:widowControl w:val="0"/>
        <w:kinsoku w:val="0"/>
        <w:overflowPunct w:val="0"/>
        <w:autoSpaceDE w:val="0"/>
        <w:adjustRightInd w:val="0"/>
        <w:snapToGrid w:val="0"/>
        <w:spacing w:line="480" w:lineRule="exact"/>
        <w:jc w:val="both"/>
        <w:rPr>
          <w:rFonts w:ascii="標楷體" w:eastAsia="標楷體" w:hAnsi="標楷體"/>
          <w:b/>
          <w:bCs/>
          <w:color w:val="000000" w:themeColor="text1"/>
          <w:kern w:val="2"/>
          <w:sz w:val="32"/>
          <w:szCs w:val="32"/>
        </w:rPr>
      </w:pPr>
      <w:r w:rsidRPr="00A4221F">
        <w:rPr>
          <w:rFonts w:ascii="標楷體" w:eastAsia="標楷體" w:hAnsi="標楷體" w:hint="eastAsia"/>
          <w:b/>
          <w:bCs/>
          <w:color w:val="000000" w:themeColor="text1"/>
          <w:kern w:val="2"/>
          <w:sz w:val="32"/>
          <w:szCs w:val="32"/>
        </w:rPr>
        <w:t>散會</w:t>
      </w:r>
    </w:p>
    <w:p w14:paraId="760578F2"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4AFDE076"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31" w:name="_Toc189487322"/>
      <w:r w:rsidRPr="0008203A">
        <w:rPr>
          <w:rFonts w:ascii="標楷體" w:eastAsia="標楷體" w:hAnsi="標楷體" w:hint="eastAsia"/>
          <w:b/>
          <w:spacing w:val="-20"/>
          <w:sz w:val="32"/>
          <w:szCs w:val="32"/>
        </w:rPr>
        <w:lastRenderedPageBreak/>
        <w:t>立法院第1</w:t>
      </w:r>
      <w:r w:rsidRPr="0008203A">
        <w:rPr>
          <w:rFonts w:ascii="標楷體" w:eastAsia="標楷體" w:hAnsi="標楷體"/>
          <w:b/>
          <w:spacing w:val="-20"/>
          <w:sz w:val="32"/>
          <w:szCs w:val="32"/>
        </w:rPr>
        <w:t>1</w:t>
      </w:r>
      <w:r w:rsidRPr="0008203A">
        <w:rPr>
          <w:rFonts w:ascii="標楷體" w:eastAsia="標楷體" w:hAnsi="標楷體" w:hint="eastAsia"/>
          <w:b/>
          <w:spacing w:val="-20"/>
          <w:sz w:val="32"/>
          <w:szCs w:val="32"/>
        </w:rPr>
        <w:t>屆第2會期財政委員會第6次全體委員會議議事錄</w:t>
      </w:r>
      <w:bookmarkEnd w:id="131"/>
    </w:p>
    <w:p w14:paraId="0898F526" w14:textId="77777777" w:rsidR="009D64D0" w:rsidRPr="006433C3"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6433C3">
        <w:rPr>
          <w:rFonts w:ascii="標楷體" w:eastAsia="標楷體" w:hAnsi="標楷體" w:hint="eastAsia"/>
          <w:color w:val="000000" w:themeColor="text1"/>
          <w:kern w:val="2"/>
          <w:sz w:val="32"/>
          <w:szCs w:val="32"/>
        </w:rPr>
        <w:t>時　　間　中華民國</w:t>
      </w:r>
      <w:r w:rsidRPr="006433C3">
        <w:rPr>
          <w:rFonts w:ascii="標楷體" w:eastAsia="標楷體" w:hAnsi="標楷體"/>
          <w:color w:val="000000" w:themeColor="text1"/>
          <w:kern w:val="2"/>
          <w:sz w:val="32"/>
          <w:szCs w:val="32"/>
        </w:rPr>
        <w:t>113</w:t>
      </w:r>
      <w:r w:rsidRPr="006433C3">
        <w:rPr>
          <w:rFonts w:ascii="標楷體" w:eastAsia="標楷體" w:hAnsi="標楷體" w:hint="eastAsia"/>
          <w:color w:val="000000" w:themeColor="text1"/>
          <w:kern w:val="2"/>
          <w:sz w:val="32"/>
          <w:szCs w:val="32"/>
        </w:rPr>
        <w:t>年11月4日（星期一）</w:t>
      </w:r>
      <w:r w:rsidRPr="006433C3">
        <w:rPr>
          <w:rFonts w:ascii="標楷體" w:eastAsia="標楷體" w:hAnsi="標楷體"/>
          <w:color w:val="000000" w:themeColor="text1"/>
          <w:kern w:val="2"/>
          <w:sz w:val="32"/>
          <w:szCs w:val="32"/>
        </w:rPr>
        <w:t>9</w:t>
      </w:r>
      <w:r w:rsidRPr="006433C3">
        <w:rPr>
          <w:rFonts w:ascii="標楷體" w:eastAsia="標楷體" w:hAnsi="標楷體" w:hint="eastAsia"/>
          <w:color w:val="000000" w:themeColor="text1"/>
          <w:kern w:val="2"/>
          <w:sz w:val="32"/>
          <w:szCs w:val="32"/>
        </w:rPr>
        <w:t>時至</w:t>
      </w:r>
      <w:r w:rsidRPr="006433C3">
        <w:rPr>
          <w:rFonts w:ascii="標楷體" w:eastAsia="標楷體" w:hAnsi="標楷體"/>
          <w:color w:val="000000" w:themeColor="text1"/>
          <w:kern w:val="2"/>
          <w:sz w:val="32"/>
          <w:szCs w:val="32"/>
        </w:rPr>
        <w:t>22</w:t>
      </w:r>
      <w:r w:rsidRPr="006433C3">
        <w:rPr>
          <w:rFonts w:ascii="標楷體" w:eastAsia="標楷體" w:hAnsi="標楷體" w:hint="eastAsia"/>
          <w:color w:val="000000" w:themeColor="text1"/>
          <w:kern w:val="2"/>
          <w:sz w:val="32"/>
          <w:szCs w:val="32"/>
        </w:rPr>
        <w:t>時</w:t>
      </w:r>
      <w:r w:rsidRPr="006433C3">
        <w:rPr>
          <w:rFonts w:ascii="標楷體" w:eastAsia="標楷體" w:hAnsi="標楷體"/>
          <w:color w:val="000000" w:themeColor="text1"/>
          <w:kern w:val="2"/>
          <w:sz w:val="32"/>
          <w:szCs w:val="32"/>
        </w:rPr>
        <w:t>30</w:t>
      </w:r>
      <w:r w:rsidRPr="006433C3">
        <w:rPr>
          <w:rFonts w:ascii="標楷體" w:eastAsia="標楷體" w:hAnsi="標楷體" w:hint="eastAsia"/>
          <w:color w:val="000000" w:themeColor="text1"/>
          <w:kern w:val="2"/>
          <w:sz w:val="32"/>
          <w:szCs w:val="32"/>
        </w:rPr>
        <w:t>分</w:t>
      </w:r>
    </w:p>
    <w:p w14:paraId="6F0163F5" w14:textId="77777777" w:rsidR="009D64D0" w:rsidRPr="006433C3"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6433C3">
        <w:rPr>
          <w:rFonts w:ascii="標楷體" w:eastAsia="標楷體" w:hAnsi="標楷體" w:hint="eastAsia"/>
          <w:color w:val="000000" w:themeColor="text1"/>
          <w:kern w:val="2"/>
          <w:sz w:val="32"/>
          <w:szCs w:val="32"/>
        </w:rPr>
        <w:t xml:space="preserve">　　　　　中華民國</w:t>
      </w:r>
      <w:r w:rsidRPr="006433C3">
        <w:rPr>
          <w:rFonts w:ascii="標楷體" w:eastAsia="標楷體" w:hAnsi="標楷體"/>
          <w:color w:val="000000" w:themeColor="text1"/>
          <w:kern w:val="2"/>
          <w:sz w:val="32"/>
          <w:szCs w:val="32"/>
        </w:rPr>
        <w:t>113</w:t>
      </w:r>
      <w:r w:rsidRPr="006433C3">
        <w:rPr>
          <w:rFonts w:ascii="標楷體" w:eastAsia="標楷體" w:hAnsi="標楷體" w:hint="eastAsia"/>
          <w:color w:val="000000" w:themeColor="text1"/>
          <w:kern w:val="2"/>
          <w:sz w:val="32"/>
          <w:szCs w:val="32"/>
        </w:rPr>
        <w:t>年11月6日（星期三）</w:t>
      </w:r>
      <w:r w:rsidRPr="006433C3">
        <w:rPr>
          <w:rFonts w:ascii="標楷體" w:eastAsia="標楷體" w:hAnsi="標楷體"/>
          <w:color w:val="000000" w:themeColor="text1"/>
          <w:kern w:val="2"/>
          <w:sz w:val="32"/>
          <w:szCs w:val="32"/>
        </w:rPr>
        <w:t>9</w:t>
      </w:r>
      <w:r w:rsidRPr="006433C3">
        <w:rPr>
          <w:rFonts w:ascii="標楷體" w:eastAsia="標楷體" w:hAnsi="標楷體" w:hint="eastAsia"/>
          <w:color w:val="000000" w:themeColor="text1"/>
          <w:kern w:val="2"/>
          <w:sz w:val="32"/>
          <w:szCs w:val="32"/>
        </w:rPr>
        <w:t>時至</w:t>
      </w:r>
      <w:r w:rsidRPr="006433C3">
        <w:rPr>
          <w:rFonts w:ascii="標楷體" w:eastAsia="標楷體" w:hAnsi="標楷體"/>
          <w:color w:val="000000" w:themeColor="text1"/>
          <w:kern w:val="2"/>
          <w:sz w:val="32"/>
          <w:szCs w:val="32"/>
        </w:rPr>
        <w:t>9</w:t>
      </w:r>
      <w:r w:rsidRPr="006433C3">
        <w:rPr>
          <w:rFonts w:ascii="標楷體" w:eastAsia="標楷體" w:hAnsi="標楷體" w:hint="eastAsia"/>
          <w:color w:val="000000" w:themeColor="text1"/>
          <w:kern w:val="2"/>
          <w:sz w:val="32"/>
          <w:szCs w:val="32"/>
        </w:rPr>
        <w:t>時</w:t>
      </w:r>
      <w:r w:rsidRPr="006433C3">
        <w:rPr>
          <w:rFonts w:ascii="標楷體" w:eastAsia="標楷體" w:hAnsi="標楷體"/>
          <w:color w:val="000000" w:themeColor="text1"/>
          <w:kern w:val="2"/>
          <w:sz w:val="32"/>
          <w:szCs w:val="32"/>
        </w:rPr>
        <w:t>3</w:t>
      </w:r>
      <w:r w:rsidRPr="006433C3">
        <w:rPr>
          <w:rFonts w:ascii="標楷體" w:eastAsia="標楷體" w:hAnsi="標楷體" w:hint="eastAsia"/>
          <w:color w:val="000000" w:themeColor="text1"/>
          <w:kern w:val="2"/>
          <w:sz w:val="32"/>
          <w:szCs w:val="32"/>
        </w:rPr>
        <w:t>分</w:t>
      </w:r>
    </w:p>
    <w:p w14:paraId="23648DD7" w14:textId="77777777" w:rsidR="009D64D0" w:rsidRPr="006433C3"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6433C3">
        <w:rPr>
          <w:rFonts w:ascii="標楷體" w:eastAsia="標楷體" w:hAnsi="標楷體" w:hint="eastAsia"/>
          <w:color w:val="000000" w:themeColor="text1"/>
          <w:kern w:val="2"/>
          <w:sz w:val="32"/>
          <w:szCs w:val="32"/>
        </w:rPr>
        <w:t>地　　點　群賢樓9樓大禮堂</w:t>
      </w:r>
    </w:p>
    <w:p w14:paraId="63A230DE" w14:textId="77777777" w:rsidR="0096255C" w:rsidRPr="006433C3"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6433C3">
        <w:rPr>
          <w:rFonts w:ascii="標楷體" w:eastAsia="標楷體" w:hAnsi="標楷體" w:hint="eastAsia"/>
          <w:color w:val="000000" w:themeColor="text1"/>
          <w:kern w:val="2"/>
          <w:sz w:val="32"/>
          <w:szCs w:val="32"/>
        </w:rPr>
        <w:t xml:space="preserve">出席委員　賴惠員　王鴻薇　吳秉叡　李彥秀　黃珊珊　顏寬恒　</w:t>
      </w:r>
    </w:p>
    <w:p w14:paraId="6039A497" w14:textId="77777777" w:rsidR="0096255C" w:rsidRPr="006433C3" w:rsidRDefault="0096255C"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96255C">
        <w:rPr>
          <w:rFonts w:ascii="標楷體" w:eastAsia="標楷體" w:hAnsi="標楷體" w:hint="eastAsia"/>
          <w:color w:val="000000" w:themeColor="text1"/>
          <w:kern w:val="2"/>
          <w:sz w:val="32"/>
          <w:szCs w:val="32"/>
        </w:rPr>
        <w:t xml:space="preserve">　　　　　</w:t>
      </w:r>
      <w:r w:rsidR="009D64D0" w:rsidRPr="006433C3">
        <w:rPr>
          <w:rFonts w:ascii="標楷體" w:eastAsia="標楷體" w:hAnsi="標楷體" w:hint="eastAsia"/>
          <w:color w:val="000000" w:themeColor="text1"/>
          <w:kern w:val="2"/>
          <w:sz w:val="32"/>
          <w:szCs w:val="32"/>
        </w:rPr>
        <w:t xml:space="preserve">賴士葆　陳玉珍　羅明才　林德福　郭國文　李坤城　</w:t>
      </w:r>
    </w:p>
    <w:p w14:paraId="1E6C1CEF" w14:textId="77777777" w:rsidR="009D64D0" w:rsidRPr="006433C3" w:rsidRDefault="0096255C"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96255C">
        <w:rPr>
          <w:rFonts w:ascii="標楷體" w:eastAsia="標楷體" w:hAnsi="標楷體" w:hint="eastAsia"/>
          <w:color w:val="000000" w:themeColor="text1"/>
          <w:kern w:val="2"/>
          <w:sz w:val="32"/>
          <w:szCs w:val="32"/>
        </w:rPr>
        <w:t xml:space="preserve">　　　　　</w:t>
      </w:r>
      <w:r w:rsidR="009D64D0" w:rsidRPr="006433C3">
        <w:rPr>
          <w:rFonts w:ascii="標楷體" w:eastAsia="標楷體" w:hAnsi="標楷體" w:hint="eastAsia"/>
          <w:color w:val="000000" w:themeColor="text1"/>
          <w:kern w:val="2"/>
          <w:sz w:val="32"/>
          <w:szCs w:val="32"/>
        </w:rPr>
        <w:t>伍麗華</w:t>
      </w:r>
      <w:r w:rsidR="009D64D0" w:rsidRPr="006433C3">
        <w:rPr>
          <w:rFonts w:ascii="標楷體" w:eastAsia="標楷體" w:hAnsi="標楷體" w:hint="eastAsia"/>
          <w:color w:val="000000" w:themeColor="text1"/>
          <w:spacing w:val="-22"/>
          <w:kern w:val="2"/>
          <w:sz w:val="32"/>
          <w:szCs w:val="32"/>
        </w:rPr>
        <w:t>Saidhai Tahovecahe</w:t>
      </w:r>
      <w:r w:rsidR="009D64D0" w:rsidRPr="006433C3">
        <w:rPr>
          <w:rFonts w:ascii="標楷體" w:eastAsia="標楷體" w:hAnsi="標楷體" w:hint="eastAsia"/>
          <w:color w:val="000000" w:themeColor="text1"/>
          <w:kern w:val="2"/>
          <w:sz w:val="32"/>
          <w:szCs w:val="32"/>
        </w:rPr>
        <w:t xml:space="preserve">　王世堅　</w:t>
      </w:r>
    </w:p>
    <w:p w14:paraId="349EBBC4" w14:textId="384F361F" w:rsidR="009D64D0" w:rsidRPr="006433C3" w:rsidRDefault="009D64D0" w:rsidP="00F470A8">
      <w:pPr>
        <w:widowControl w:val="0"/>
        <w:kinsoku w:val="0"/>
        <w:overflowPunct w:val="0"/>
        <w:autoSpaceDE w:val="0"/>
        <w:adjustRightInd w:val="0"/>
        <w:snapToGrid w:val="0"/>
        <w:spacing w:line="480" w:lineRule="exact"/>
        <w:ind w:firstLineChars="500" w:firstLine="1602"/>
        <w:textAlignment w:val="auto"/>
        <w:rPr>
          <w:rFonts w:ascii="標楷體" w:eastAsia="標楷體" w:hAnsi="標楷體"/>
          <w:b/>
          <w:color w:val="000000" w:themeColor="text1"/>
          <w:kern w:val="2"/>
          <w:sz w:val="32"/>
          <w:szCs w:val="32"/>
        </w:rPr>
      </w:pPr>
      <w:r w:rsidRPr="006433C3">
        <w:rPr>
          <w:rFonts w:ascii="標楷體" w:eastAsia="標楷體" w:hAnsi="標楷體" w:hint="eastAsia"/>
          <w:b/>
          <w:color w:val="000000" w:themeColor="text1"/>
          <w:kern w:val="2"/>
          <w:sz w:val="32"/>
          <w:szCs w:val="32"/>
        </w:rPr>
        <w:t>委員出席1</w:t>
      </w:r>
      <w:r w:rsidRPr="006433C3">
        <w:rPr>
          <w:rFonts w:ascii="標楷體" w:eastAsia="標楷體" w:hAnsi="標楷體"/>
          <w:b/>
          <w:color w:val="000000" w:themeColor="text1"/>
          <w:kern w:val="2"/>
          <w:sz w:val="32"/>
          <w:szCs w:val="32"/>
        </w:rPr>
        <w:t>4</w:t>
      </w:r>
      <w:r w:rsidRPr="006433C3">
        <w:rPr>
          <w:rFonts w:ascii="標楷體" w:eastAsia="標楷體" w:hAnsi="標楷體" w:hint="eastAsia"/>
          <w:b/>
          <w:color w:val="000000" w:themeColor="text1"/>
          <w:kern w:val="2"/>
          <w:sz w:val="32"/>
          <w:szCs w:val="32"/>
        </w:rPr>
        <w:t>人</w:t>
      </w:r>
    </w:p>
    <w:p w14:paraId="489617DC" w14:textId="77777777" w:rsidR="009D64D0" w:rsidRPr="0096255C"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96255C">
        <w:rPr>
          <w:rFonts w:ascii="標楷體" w:eastAsia="標楷體" w:hAnsi="標楷體" w:hint="eastAsia"/>
          <w:color w:val="000000" w:themeColor="text1"/>
          <w:kern w:val="2"/>
          <w:sz w:val="32"/>
          <w:szCs w:val="32"/>
        </w:rPr>
        <w:t>列席委員　鄭天財</w:t>
      </w:r>
      <w:r w:rsidRPr="0096255C">
        <w:rPr>
          <w:rFonts w:ascii="標楷體" w:eastAsia="標楷體" w:hAnsi="標楷體"/>
          <w:color w:val="000000" w:themeColor="text1"/>
          <w:spacing w:val="-20"/>
          <w:kern w:val="2"/>
          <w:sz w:val="32"/>
          <w:szCs w:val="32"/>
        </w:rPr>
        <w:t>Sra Kacaw</w:t>
      </w:r>
      <w:r w:rsidRPr="0096255C">
        <w:rPr>
          <w:rFonts w:ascii="標楷體" w:eastAsia="標楷體" w:hAnsi="標楷體" w:hint="eastAsia"/>
          <w:color w:val="000000" w:themeColor="text1"/>
          <w:kern w:val="2"/>
          <w:sz w:val="32"/>
          <w:szCs w:val="32"/>
        </w:rPr>
        <w:t xml:space="preserve">　陳菁徽　羅智強　鍾佳濱　陳俊宇　鄭正鈐　邱鎮軍　洪孟楷　蘇清泉　何欣純　陳素月　楊瓊瓔　林俊憲　許宇甄　沈伯洋　葛如鈞　陳秀寳　徐富癸　牛煦庭</w:t>
      </w:r>
      <w:r w:rsidRPr="0096255C">
        <w:rPr>
          <w:rFonts w:ascii="標楷體" w:eastAsia="標楷體" w:hAnsi="標楷體" w:hint="eastAsia"/>
          <w:color w:val="000000" w:themeColor="text1"/>
          <w:spacing w:val="-56"/>
          <w:kern w:val="2"/>
          <w:sz w:val="32"/>
          <w:szCs w:val="32"/>
        </w:rPr>
        <w:t xml:space="preserve">　高金素梅　</w:t>
      </w:r>
      <w:r w:rsidRPr="0096255C">
        <w:rPr>
          <w:rFonts w:ascii="標楷體" w:eastAsia="標楷體" w:hAnsi="標楷體" w:hint="eastAsia"/>
          <w:color w:val="000000" w:themeColor="text1"/>
          <w:kern w:val="2"/>
          <w:sz w:val="32"/>
          <w:szCs w:val="32"/>
        </w:rPr>
        <w:t>許智傑　謝龍介　羅美玲　蔡易餘　林楚茵　張嘉郡　陳培瑜　郭昱晴　沈發惠　王育敏　張雅琳　陳冠廷　邱議瑩　王定宇　范　雲　賴瑞隆　王正旭　莊瑞雄　林思銘　葉元之　林岱樺　陳亭妃　吳沛憶　陳　瑩　林沛祥　林月琴　廖偉翔　吳思瑤　張智倫　陳超明　洪申翰　陳永康　廖先翔　黃建賓　徐巧芯　張啟楷　盧縣一　涂權吉　林國成　游　灝　羅廷瑋　丁學忠　麥玉珍　柯志恩　吳宗憲　邱若華　呂玉玲　傅崐萁　林憶君　馬文君　陳昭姿　黃　捷　吳春城　吳琪銘　張宏陸　黃　仁　林倩綺　邱志偉　王美惠　黃秀芳　劉建國　林淑芬　李昆澤　李柏毅　翁曉玲</w:t>
      </w:r>
    </w:p>
    <w:p w14:paraId="411E1B9A" w14:textId="51B3A0B4" w:rsidR="009D64D0" w:rsidRPr="0096255C" w:rsidRDefault="009D64D0" w:rsidP="00F470A8">
      <w:pPr>
        <w:widowControl w:val="0"/>
        <w:kinsoku w:val="0"/>
        <w:overflowPunct w:val="0"/>
        <w:autoSpaceDE w:val="0"/>
        <w:adjustRightInd w:val="0"/>
        <w:snapToGrid w:val="0"/>
        <w:spacing w:line="480" w:lineRule="exact"/>
        <w:ind w:firstLineChars="500" w:firstLine="1602"/>
        <w:textAlignment w:val="auto"/>
        <w:rPr>
          <w:rFonts w:ascii="標楷體" w:eastAsia="標楷體" w:hAnsi="標楷體"/>
          <w:b/>
          <w:color w:val="000000" w:themeColor="text1"/>
          <w:kern w:val="2"/>
          <w:sz w:val="32"/>
          <w:szCs w:val="32"/>
        </w:rPr>
      </w:pPr>
      <w:r w:rsidRPr="0096255C">
        <w:rPr>
          <w:rFonts w:ascii="標楷體" w:eastAsia="標楷體" w:hAnsi="標楷體" w:hint="eastAsia"/>
          <w:b/>
          <w:color w:val="000000" w:themeColor="text1"/>
          <w:kern w:val="2"/>
          <w:sz w:val="32"/>
          <w:szCs w:val="32"/>
        </w:rPr>
        <w:t>委員列席85人</w:t>
      </w:r>
    </w:p>
    <w:p w14:paraId="3B15C42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列席官員　113年1</w:t>
      </w:r>
      <w:r w:rsidRPr="00121B3A">
        <w:rPr>
          <w:rFonts w:ascii="標楷體" w:eastAsia="標楷體" w:hAnsi="標楷體"/>
          <w:color w:val="000000" w:themeColor="text1"/>
          <w:kern w:val="16"/>
          <w:sz w:val="32"/>
          <w:szCs w:val="32"/>
        </w:rPr>
        <w:t>1</w:t>
      </w:r>
      <w:r w:rsidRPr="00121B3A">
        <w:rPr>
          <w:rFonts w:ascii="標楷體" w:eastAsia="標楷體" w:hAnsi="標楷體" w:hint="eastAsia"/>
          <w:color w:val="000000" w:themeColor="text1"/>
          <w:kern w:val="16"/>
          <w:sz w:val="32"/>
          <w:szCs w:val="32"/>
        </w:rPr>
        <w:t>月</w:t>
      </w:r>
      <w:r w:rsidRPr="00121B3A">
        <w:rPr>
          <w:rFonts w:ascii="標楷體" w:eastAsia="標楷體" w:hAnsi="標楷體"/>
          <w:color w:val="000000" w:themeColor="text1"/>
          <w:kern w:val="16"/>
          <w:sz w:val="32"/>
          <w:szCs w:val="32"/>
        </w:rPr>
        <w:t>4</w:t>
      </w:r>
      <w:r w:rsidRPr="00121B3A">
        <w:rPr>
          <w:rFonts w:ascii="標楷體" w:eastAsia="標楷體" w:hAnsi="標楷體" w:hint="eastAsia"/>
          <w:color w:val="000000" w:themeColor="text1"/>
          <w:kern w:val="16"/>
          <w:sz w:val="32"/>
          <w:szCs w:val="32"/>
        </w:rPr>
        <w:t>日（星期一）</w:t>
      </w:r>
    </w:p>
    <w:p w14:paraId="4D11F004"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433C3">
        <w:rPr>
          <w:rFonts w:ascii="標楷體" w:eastAsia="標楷體" w:hAnsi="標楷體" w:hint="eastAsia"/>
          <w:b/>
          <w:color w:val="000000" w:themeColor="text1"/>
          <w:kern w:val="16"/>
          <w:sz w:val="32"/>
          <w:szCs w:val="32"/>
        </w:rPr>
        <w:t>財政部</w:t>
      </w: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部長　　　　莊翠雲</w:t>
      </w:r>
    </w:p>
    <w:p w14:paraId="4431B4FA"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法制處　　　　　　　　</w:t>
      </w:r>
      <w:r w:rsidR="00121B3A" w:rsidRPr="00121B3A">
        <w:rPr>
          <w:rFonts w:ascii="標楷體" w:eastAsia="標楷體" w:hAnsi="標楷體" w:hint="eastAsia"/>
          <w:color w:val="000000" w:themeColor="text1"/>
          <w:kern w:val="16"/>
          <w:sz w:val="32"/>
          <w:szCs w:val="32"/>
        </w:rPr>
        <w:t xml:space="preserve">　</w:t>
      </w:r>
      <w:r w:rsid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處長　　　　姚　瑩</w:t>
      </w:r>
    </w:p>
    <w:p w14:paraId="41F8A766"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國庫署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署長　　　　陳柏誠</w:t>
      </w:r>
    </w:p>
    <w:p w14:paraId="7B3ABFF4"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賦稅署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署長　　　　宋秀玲</w:t>
      </w:r>
    </w:p>
    <w:p w14:paraId="17E2F3EC"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b/>
          <w:color w:val="000000" w:themeColor="text1"/>
          <w:kern w:val="16"/>
          <w:sz w:val="32"/>
          <w:szCs w:val="32"/>
        </w:rPr>
        <w:t>行政院主計總處</w:t>
      </w: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主計長　　　陳淑姿</w:t>
      </w:r>
    </w:p>
    <w:p w14:paraId="78B45702"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lastRenderedPageBreak/>
        <w:t xml:space="preserve">　　　　　　公務預算處</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處長　　　　許永議</w:t>
      </w:r>
    </w:p>
    <w:p w14:paraId="397AE35C"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b/>
          <w:color w:val="000000" w:themeColor="text1"/>
          <w:kern w:val="16"/>
          <w:sz w:val="32"/>
          <w:szCs w:val="32"/>
        </w:rPr>
        <w:t>內政部</w:t>
      </w: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董建宏</w:t>
      </w:r>
    </w:p>
    <w:p w14:paraId="3A710F2C"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(1</w:t>
      </w:r>
      <w:r w:rsidRPr="00121B3A">
        <w:rPr>
          <w:rFonts w:ascii="標楷體" w:eastAsia="標楷體" w:hAnsi="標楷體"/>
          <w:color w:val="000000" w:themeColor="text1"/>
          <w:kern w:val="16"/>
          <w:sz w:val="32"/>
          <w:szCs w:val="32"/>
        </w:rPr>
        <w:t>4</w:t>
      </w:r>
      <w:r w:rsidRPr="00121B3A">
        <w:rPr>
          <w:rFonts w:ascii="標楷體" w:eastAsia="標楷體" w:hAnsi="標楷體" w:hint="eastAsia"/>
          <w:color w:val="000000" w:themeColor="text1"/>
          <w:kern w:val="16"/>
          <w:sz w:val="32"/>
          <w:szCs w:val="32"/>
        </w:rPr>
        <w:t>：</w:t>
      </w:r>
      <w:r w:rsidRPr="00121B3A">
        <w:rPr>
          <w:rFonts w:ascii="標楷體" w:eastAsia="標楷體" w:hAnsi="標楷體"/>
          <w:color w:val="000000" w:themeColor="text1"/>
          <w:kern w:val="16"/>
          <w:sz w:val="32"/>
          <w:szCs w:val="32"/>
        </w:rPr>
        <w:t>30</w:t>
      </w:r>
      <w:r w:rsidRPr="00121B3A">
        <w:rPr>
          <w:rFonts w:ascii="標楷體" w:eastAsia="標楷體" w:hAnsi="標楷體" w:hint="eastAsia"/>
          <w:color w:val="000000" w:themeColor="text1"/>
          <w:kern w:val="16"/>
          <w:sz w:val="32"/>
          <w:szCs w:val="32"/>
        </w:rPr>
        <w:t>後請假)</w:t>
      </w:r>
    </w:p>
    <w:p w14:paraId="1E5FE127"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民政司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專門委員　　劉立方</w:t>
      </w:r>
      <w:r w:rsidRPr="00121B3A">
        <w:rPr>
          <w:rFonts w:ascii="標楷體" w:eastAsia="標楷體" w:hAnsi="標楷體" w:hint="eastAsia"/>
          <w:color w:val="000000" w:themeColor="text1"/>
          <w:kern w:val="16"/>
          <w:sz w:val="32"/>
          <w:szCs w:val="32"/>
        </w:rPr>
        <w:cr/>
        <w:t xml:space="preserve">　　　　　　國土管理署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簡任視察　　朱偉廷</w:t>
      </w:r>
    </w:p>
    <w:p w14:paraId="5F4D6AA9" w14:textId="10FF3336" w:rsidR="009D64D0" w:rsidRPr="006433C3"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spacing w:val="-30"/>
          <w:kern w:val="16"/>
          <w:sz w:val="32"/>
          <w:szCs w:val="32"/>
        </w:rPr>
      </w:pPr>
      <w:r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b/>
          <w:color w:val="000000" w:themeColor="text1"/>
          <w:kern w:val="16"/>
          <w:sz w:val="32"/>
          <w:szCs w:val="32"/>
        </w:rPr>
        <w:t>國家發展委員會</w:t>
      </w:r>
      <w:r w:rsidRPr="00121B3A">
        <w:rPr>
          <w:rFonts w:ascii="標楷體" w:eastAsia="標楷體" w:hAnsi="標楷體" w:hint="eastAsia"/>
          <w:color w:val="000000" w:themeColor="text1"/>
          <w:kern w:val="16"/>
          <w:sz w:val="32"/>
          <w:szCs w:val="32"/>
        </w:rPr>
        <w:t xml:space="preserve">　　　</w:t>
      </w:r>
      <w:r w:rsid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w:t>
      </w:r>
      <w:r w:rsidR="006433C3" w:rsidRPr="00121B3A">
        <w:rPr>
          <w:rFonts w:ascii="標楷體" w:eastAsia="標楷體" w:hAnsi="標楷體" w:hint="eastAsia"/>
          <w:color w:val="000000" w:themeColor="text1"/>
          <w:kern w:val="16"/>
          <w:sz w:val="32"/>
          <w:szCs w:val="32"/>
        </w:rPr>
        <w:t xml:space="preserve">　</w:t>
      </w:r>
      <w:r w:rsidRPr="006433C3">
        <w:rPr>
          <w:rFonts w:ascii="標楷體" w:eastAsia="標楷體" w:hAnsi="標楷體" w:hint="eastAsia"/>
          <w:color w:val="000000" w:themeColor="text1"/>
          <w:spacing w:val="-30"/>
          <w:kern w:val="16"/>
          <w:sz w:val="32"/>
          <w:szCs w:val="32"/>
        </w:rPr>
        <w:t>政務副主任委員高仙桂</w:t>
      </w:r>
    </w:p>
    <w:p w14:paraId="3801B8E6"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(1</w:t>
      </w:r>
      <w:r w:rsidRPr="00121B3A">
        <w:rPr>
          <w:rFonts w:ascii="標楷體" w:eastAsia="標楷體" w:hAnsi="標楷體"/>
          <w:color w:val="000000" w:themeColor="text1"/>
          <w:kern w:val="16"/>
          <w:sz w:val="32"/>
          <w:szCs w:val="32"/>
        </w:rPr>
        <w:t>4</w:t>
      </w:r>
      <w:r w:rsidRPr="00121B3A">
        <w:rPr>
          <w:rFonts w:ascii="標楷體" w:eastAsia="標楷體" w:hAnsi="標楷體" w:hint="eastAsia"/>
          <w:color w:val="000000" w:themeColor="text1"/>
          <w:kern w:val="16"/>
          <w:sz w:val="32"/>
          <w:szCs w:val="32"/>
        </w:rPr>
        <w:t>：</w:t>
      </w:r>
      <w:r w:rsidRPr="00121B3A">
        <w:rPr>
          <w:rFonts w:ascii="標楷體" w:eastAsia="標楷體" w:hAnsi="標楷體"/>
          <w:color w:val="000000" w:themeColor="text1"/>
          <w:kern w:val="16"/>
          <w:sz w:val="32"/>
          <w:szCs w:val="32"/>
        </w:rPr>
        <w:t>30</w:t>
      </w:r>
      <w:r w:rsidRPr="00121B3A">
        <w:rPr>
          <w:rFonts w:ascii="標楷體" w:eastAsia="標楷體" w:hAnsi="標楷體" w:hint="eastAsia"/>
          <w:color w:val="000000" w:themeColor="text1"/>
          <w:kern w:val="16"/>
          <w:sz w:val="32"/>
          <w:szCs w:val="32"/>
        </w:rPr>
        <w:t>後請假)</w:t>
      </w:r>
    </w:p>
    <w:p w14:paraId="351F31C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經濟發展處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專門委員　　郭永騰</w:t>
      </w:r>
    </w:p>
    <w:p w14:paraId="08C5CAE2" w14:textId="092CC0F1" w:rsidR="009D64D0" w:rsidRPr="006433C3"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spacing w:val="-60"/>
          <w:kern w:val="16"/>
          <w:sz w:val="32"/>
          <w:szCs w:val="32"/>
        </w:rPr>
      </w:pPr>
      <w:r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b/>
          <w:color w:val="000000" w:themeColor="text1"/>
          <w:kern w:val="16"/>
          <w:sz w:val="32"/>
          <w:szCs w:val="32"/>
        </w:rPr>
        <w:t>原住民族委員會</w:t>
      </w:r>
      <w:r w:rsidRPr="00121B3A">
        <w:rPr>
          <w:rFonts w:ascii="標楷體" w:eastAsia="標楷體" w:hAnsi="標楷體" w:hint="eastAsia"/>
          <w:color w:val="000000" w:themeColor="text1"/>
          <w:kern w:val="16"/>
          <w:sz w:val="32"/>
          <w:szCs w:val="32"/>
        </w:rPr>
        <w:t xml:space="preserve">　　　　　　　</w:t>
      </w:r>
      <w:r w:rsidR="006433C3" w:rsidRPr="00121B3A">
        <w:rPr>
          <w:rFonts w:ascii="標楷體" w:eastAsia="標楷體" w:hAnsi="標楷體" w:hint="eastAsia"/>
          <w:color w:val="000000" w:themeColor="text1"/>
          <w:kern w:val="16"/>
          <w:sz w:val="32"/>
          <w:szCs w:val="32"/>
        </w:rPr>
        <w:t xml:space="preserve">　　</w:t>
      </w:r>
      <w:r w:rsidRPr="006433C3">
        <w:rPr>
          <w:rFonts w:ascii="標楷體" w:eastAsia="標楷體" w:hAnsi="標楷體" w:hint="eastAsia"/>
          <w:color w:val="000000" w:themeColor="text1"/>
          <w:spacing w:val="-60"/>
          <w:kern w:val="16"/>
          <w:sz w:val="32"/>
          <w:szCs w:val="32"/>
        </w:rPr>
        <w:t>政務副主任委員杜張梅莊</w:t>
      </w:r>
    </w:p>
    <w:p w14:paraId="2704F1EE"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b/>
          <w:color w:val="000000" w:themeColor="text1"/>
          <w:kern w:val="16"/>
          <w:sz w:val="32"/>
          <w:szCs w:val="32"/>
        </w:rPr>
        <w:t>環境部</w:t>
      </w: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施文真</w:t>
      </w:r>
    </w:p>
    <w:p w14:paraId="03C2094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(1</w:t>
      </w:r>
      <w:r w:rsidRPr="00121B3A">
        <w:rPr>
          <w:rFonts w:ascii="標楷體" w:eastAsia="標楷體" w:hAnsi="標楷體"/>
          <w:color w:val="000000" w:themeColor="text1"/>
          <w:kern w:val="16"/>
          <w:sz w:val="32"/>
          <w:szCs w:val="32"/>
        </w:rPr>
        <w:t>4</w:t>
      </w:r>
      <w:r w:rsidRPr="00121B3A">
        <w:rPr>
          <w:rFonts w:ascii="標楷體" w:eastAsia="標楷體" w:hAnsi="標楷體" w:hint="eastAsia"/>
          <w:color w:val="000000" w:themeColor="text1"/>
          <w:kern w:val="16"/>
          <w:sz w:val="32"/>
          <w:szCs w:val="32"/>
        </w:rPr>
        <w:t>：</w:t>
      </w:r>
      <w:r w:rsidRPr="00121B3A">
        <w:rPr>
          <w:rFonts w:ascii="標楷體" w:eastAsia="標楷體" w:hAnsi="標楷體"/>
          <w:color w:val="000000" w:themeColor="text1"/>
          <w:kern w:val="16"/>
          <w:sz w:val="32"/>
          <w:szCs w:val="32"/>
        </w:rPr>
        <w:t>30</w:t>
      </w:r>
      <w:r w:rsidRPr="00121B3A">
        <w:rPr>
          <w:rFonts w:ascii="標楷體" w:eastAsia="標楷體" w:hAnsi="標楷體" w:hint="eastAsia"/>
          <w:color w:val="000000" w:themeColor="text1"/>
          <w:kern w:val="16"/>
          <w:sz w:val="32"/>
          <w:szCs w:val="32"/>
        </w:rPr>
        <w:t>後請假)</w:t>
      </w:r>
    </w:p>
    <w:p w14:paraId="45EAF67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簡任技正　　孫忠偉</w:t>
      </w:r>
    </w:p>
    <w:p w14:paraId="61FEB907"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大氣環境司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科長　　　　謝仁碩</w:t>
      </w:r>
    </w:p>
    <w:p w14:paraId="040D346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b/>
          <w:color w:val="000000" w:themeColor="text1"/>
          <w:kern w:val="16"/>
          <w:sz w:val="32"/>
          <w:szCs w:val="32"/>
        </w:rPr>
        <w:t>農業部</w:t>
      </w: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黃昭欽</w:t>
      </w:r>
    </w:p>
    <w:p w14:paraId="09A06515"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會計處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處長　　　　蘇文樹</w:t>
      </w:r>
    </w:p>
    <w:p w14:paraId="69528E4C"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農民輔導司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簡任技正　　王東良</w:t>
      </w:r>
    </w:p>
    <w:p w14:paraId="1F29F83E"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資源永續利用司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簡任技正　　吳兆揚</w:t>
      </w:r>
    </w:p>
    <w:p w14:paraId="282514F4"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農村發展及水土保持署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簡任正工程司黃國鋒</w:t>
      </w:r>
    </w:p>
    <w:p w14:paraId="31A1917C"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b/>
          <w:color w:val="000000" w:themeColor="text1"/>
          <w:kern w:val="16"/>
          <w:sz w:val="32"/>
          <w:szCs w:val="32"/>
        </w:rPr>
        <w:t>法務部</w:t>
      </w: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參事　　　　林豐文</w:t>
      </w:r>
    </w:p>
    <w:p w14:paraId="1E570868"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113年11月6日（星期三）</w:t>
      </w:r>
    </w:p>
    <w:p w14:paraId="0BEA46C4"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財政部</w:t>
      </w:r>
      <w:r w:rsidRPr="00121B3A">
        <w:rPr>
          <w:rFonts w:ascii="標楷體" w:eastAsia="標楷體" w:hAnsi="標楷體" w:hint="eastAsia"/>
          <w:color w:val="000000" w:themeColor="text1"/>
          <w:kern w:val="16"/>
          <w:sz w:val="32"/>
          <w:szCs w:val="32"/>
        </w:rPr>
        <w:t xml:space="preserve">　　　　　　　　　　　</w:t>
      </w:r>
      <w:r w:rsidR="00121B3A"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部長　　　　莊翠雲</w:t>
      </w:r>
    </w:p>
    <w:p w14:paraId="35A97D88"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國庫署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署長　　　　陳柏誠</w:t>
      </w:r>
    </w:p>
    <w:p w14:paraId="4241AA5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賦稅署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署長　　　　宋秀玲</w:t>
      </w:r>
    </w:p>
    <w:p w14:paraId="6C2FAC15"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行政院主計總處</w:t>
      </w:r>
      <w:r w:rsidRPr="00121B3A">
        <w:rPr>
          <w:rFonts w:ascii="標楷體" w:eastAsia="標楷體" w:hAnsi="標楷體" w:hint="eastAsia"/>
          <w:color w:val="000000" w:themeColor="text1"/>
          <w:kern w:val="16"/>
          <w:sz w:val="32"/>
          <w:szCs w:val="32"/>
        </w:rPr>
        <w:t xml:space="preserve">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主計長　　　陳淑姿</w:t>
      </w:r>
    </w:p>
    <w:p w14:paraId="7BE9867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公務預算處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處長　　　　許永議</w:t>
      </w:r>
    </w:p>
    <w:p w14:paraId="48D90968"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內政部</w:t>
      </w:r>
      <w:r w:rsidRPr="00121B3A">
        <w:rPr>
          <w:rFonts w:ascii="標楷體" w:eastAsia="標楷體" w:hAnsi="標楷體" w:hint="eastAsia"/>
          <w:color w:val="000000" w:themeColor="text1"/>
          <w:kern w:val="16"/>
          <w:sz w:val="32"/>
          <w:szCs w:val="32"/>
        </w:rPr>
        <w:t xml:space="preserve">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董建宏</w:t>
      </w:r>
    </w:p>
    <w:p w14:paraId="494AA3D6"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民政司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專門委員　　劉立方</w:t>
      </w:r>
    </w:p>
    <w:p w14:paraId="4F7C2667"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國土管理署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簡任視察　　朱偉廷</w:t>
      </w:r>
    </w:p>
    <w:p w14:paraId="68DA1934" w14:textId="1339071B"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國家發展委員會</w:t>
      </w:r>
      <w:r w:rsidRPr="00121B3A">
        <w:rPr>
          <w:rFonts w:ascii="標楷體" w:eastAsia="標楷體" w:hAnsi="標楷體" w:hint="eastAsia"/>
          <w:color w:val="000000" w:themeColor="text1"/>
          <w:kern w:val="16"/>
          <w:sz w:val="32"/>
          <w:szCs w:val="32"/>
        </w:rPr>
        <w:t xml:space="preserve">　　　　</w:t>
      </w:r>
      <w:r w:rsidR="006930C7">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w:t>
      </w:r>
      <w:r w:rsidR="006433C3" w:rsidRPr="00121B3A">
        <w:rPr>
          <w:rFonts w:ascii="標楷體" w:eastAsia="標楷體" w:hAnsi="標楷體" w:hint="eastAsia"/>
          <w:color w:val="000000" w:themeColor="text1"/>
          <w:kern w:val="16"/>
          <w:sz w:val="32"/>
          <w:szCs w:val="32"/>
        </w:rPr>
        <w:t xml:space="preserve">　</w:t>
      </w:r>
      <w:r w:rsidRPr="006433C3">
        <w:rPr>
          <w:rFonts w:ascii="標楷體" w:eastAsia="標楷體" w:hAnsi="標楷體" w:hint="eastAsia"/>
          <w:color w:val="000000" w:themeColor="text1"/>
          <w:spacing w:val="-30"/>
          <w:kern w:val="16"/>
          <w:sz w:val="32"/>
          <w:szCs w:val="32"/>
        </w:rPr>
        <w:t>政務副主任委員高仙桂</w:t>
      </w:r>
    </w:p>
    <w:p w14:paraId="1205CD4A"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經濟發展處　　　　　　　</w:t>
      </w:r>
      <w:r w:rsidR="006930C7"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專門委員　　郭永騰</w:t>
      </w:r>
    </w:p>
    <w:p w14:paraId="03A14ADB" w14:textId="2EB19ABA"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lastRenderedPageBreak/>
        <w:t xml:space="preserve">　　　　　</w:t>
      </w:r>
      <w:r w:rsidRPr="00A03093">
        <w:rPr>
          <w:rFonts w:ascii="標楷體" w:eastAsia="標楷體" w:hAnsi="標楷體" w:hint="eastAsia"/>
          <w:b/>
          <w:color w:val="000000" w:themeColor="text1"/>
          <w:kern w:val="16"/>
          <w:sz w:val="32"/>
          <w:szCs w:val="32"/>
        </w:rPr>
        <w:t>原住民族委員會</w:t>
      </w:r>
      <w:r w:rsidRPr="00121B3A">
        <w:rPr>
          <w:rFonts w:ascii="標楷體" w:eastAsia="標楷體" w:hAnsi="標楷體" w:hint="eastAsia"/>
          <w:color w:val="000000" w:themeColor="text1"/>
          <w:kern w:val="16"/>
          <w:sz w:val="32"/>
          <w:szCs w:val="32"/>
        </w:rPr>
        <w:t xml:space="preserve">　　　　　　　</w:t>
      </w:r>
      <w:r w:rsidR="006433C3" w:rsidRPr="00121B3A">
        <w:rPr>
          <w:rFonts w:ascii="標楷體" w:eastAsia="標楷體" w:hAnsi="標楷體" w:hint="eastAsia"/>
          <w:color w:val="000000" w:themeColor="text1"/>
          <w:kern w:val="16"/>
          <w:sz w:val="32"/>
          <w:szCs w:val="32"/>
        </w:rPr>
        <w:t xml:space="preserve">　　</w:t>
      </w:r>
      <w:r w:rsidRPr="006433C3">
        <w:rPr>
          <w:rFonts w:ascii="標楷體" w:eastAsia="標楷體" w:hAnsi="標楷體" w:hint="eastAsia"/>
          <w:color w:val="000000" w:themeColor="text1"/>
          <w:spacing w:val="-60"/>
          <w:kern w:val="16"/>
          <w:sz w:val="32"/>
          <w:szCs w:val="32"/>
        </w:rPr>
        <w:t>政務副主任委員杜張梅莊</w:t>
      </w:r>
    </w:p>
    <w:p w14:paraId="5DC1652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環境部</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施文真</w:t>
      </w:r>
    </w:p>
    <w:p w14:paraId="5F52B92C"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農業部</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黃昭欽</w:t>
      </w:r>
    </w:p>
    <w:p w14:paraId="0396C0AD"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會計處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處長　　　　蘇文樹</w:t>
      </w:r>
    </w:p>
    <w:p w14:paraId="496A71B5"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農民輔導司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簡任技正　　王東良</w:t>
      </w:r>
    </w:p>
    <w:p w14:paraId="139903D3"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資源永續利用司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副司長　　　王玉真</w:t>
      </w:r>
    </w:p>
    <w:p w14:paraId="70346BAC"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農村發展及水土保持署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簡任正工程司黃國鋒</w:t>
      </w:r>
    </w:p>
    <w:p w14:paraId="2613A444"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衛生福利部</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林靜儀</w:t>
      </w:r>
    </w:p>
    <w:p w14:paraId="5A91851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國家通訊傳播委員會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主任秘書　　黃文哲</w:t>
      </w:r>
    </w:p>
    <w:p w14:paraId="1BAAB824"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(副主任委員翁柏宗請假)</w:t>
      </w:r>
    </w:p>
    <w:p w14:paraId="7F67042E"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主計室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主任　　　　蔡惠娟</w:t>
      </w:r>
    </w:p>
    <w:p w14:paraId="2E186760"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公平交易委員會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副主任委員　陳志民</w:t>
      </w:r>
    </w:p>
    <w:p w14:paraId="7942A1B7"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中央選舉委員會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副主任委員　陳朝建</w:t>
      </w:r>
    </w:p>
    <w:p w14:paraId="0C42F380"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主計室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主任　　　　林美婉</w:t>
      </w:r>
    </w:p>
    <w:p w14:paraId="7F843F73"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國立故宮博物院</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政務副院長　黃永泰</w:t>
      </w:r>
    </w:p>
    <w:p w14:paraId="0F8329B3"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中央銀行</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副總裁　　　朱美麗</w:t>
      </w:r>
    </w:p>
    <w:p w14:paraId="35E36283"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行政院人事行政總處</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政務副人事長李秉洲</w:t>
      </w:r>
    </w:p>
    <w:p w14:paraId="6F47150D"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行政院公共工程委員會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副主任委員　陳為祥</w:t>
      </w:r>
    </w:p>
    <w:p w14:paraId="14FF8F48"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客家委員會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參事　　　　范雪景</w:t>
      </w:r>
    </w:p>
    <w:p w14:paraId="2B2884DD"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(副主任委員范佐銘請假)</w:t>
      </w:r>
    </w:p>
    <w:p w14:paraId="4C7DE59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主計室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主任　　　　林秀春</w:t>
      </w:r>
    </w:p>
    <w:p w14:paraId="14DE448D" w14:textId="6669A212" w:rsidR="009D64D0" w:rsidRPr="00893626"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spacing w:val="-40"/>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國軍退除役官兵輔導委員會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00893626" w:rsidRPr="00121B3A">
        <w:rPr>
          <w:rFonts w:ascii="標楷體" w:eastAsia="標楷體" w:hAnsi="標楷體" w:hint="eastAsia"/>
          <w:color w:val="000000" w:themeColor="text1"/>
          <w:kern w:val="16"/>
          <w:sz w:val="32"/>
          <w:szCs w:val="32"/>
        </w:rPr>
        <w:t xml:space="preserve">　</w:t>
      </w:r>
      <w:r w:rsidRPr="00893626">
        <w:rPr>
          <w:rFonts w:ascii="標楷體" w:eastAsia="標楷體" w:hAnsi="標楷體" w:hint="eastAsia"/>
          <w:color w:val="000000" w:themeColor="text1"/>
          <w:spacing w:val="-40"/>
          <w:kern w:val="16"/>
          <w:sz w:val="32"/>
          <w:szCs w:val="32"/>
        </w:rPr>
        <w:t>政務副主任委員傅正誠</w:t>
      </w:r>
    </w:p>
    <w:p w14:paraId="2DF89583"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僑務委員會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政務副委員長阮昭雄</w:t>
      </w:r>
    </w:p>
    <w:p w14:paraId="348C9696" w14:textId="17E90622" w:rsidR="009D64D0" w:rsidRPr="00893626"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spacing w:val="-40"/>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海洋委員會</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00893626" w:rsidRPr="00121B3A">
        <w:rPr>
          <w:rFonts w:ascii="標楷體" w:eastAsia="標楷體" w:hAnsi="標楷體" w:hint="eastAsia"/>
          <w:color w:val="000000" w:themeColor="text1"/>
          <w:kern w:val="16"/>
          <w:sz w:val="32"/>
          <w:szCs w:val="32"/>
        </w:rPr>
        <w:t xml:space="preserve">　</w:t>
      </w:r>
      <w:r w:rsidRPr="00893626">
        <w:rPr>
          <w:rFonts w:ascii="標楷體" w:eastAsia="標楷體" w:hAnsi="標楷體" w:hint="eastAsia"/>
          <w:color w:val="000000" w:themeColor="text1"/>
          <w:spacing w:val="-40"/>
          <w:kern w:val="16"/>
          <w:sz w:val="32"/>
          <w:szCs w:val="32"/>
        </w:rPr>
        <w:t>政務副主任委員吳美紅</w:t>
      </w:r>
    </w:p>
    <w:p w14:paraId="1079C3B9" w14:textId="586587B3"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金融監督管理委員會</w:t>
      </w:r>
      <w:r w:rsidRPr="00121B3A">
        <w:rPr>
          <w:rFonts w:ascii="標楷體" w:eastAsia="標楷體" w:hAnsi="標楷體" w:hint="eastAsia"/>
          <w:color w:val="000000" w:themeColor="text1"/>
          <w:kern w:val="16"/>
          <w:sz w:val="32"/>
          <w:szCs w:val="32"/>
        </w:rPr>
        <w:t xml:space="preserve">　　　　　</w:t>
      </w:r>
      <w:r w:rsidR="0040044F">
        <w:rPr>
          <w:rFonts w:ascii="標楷體" w:eastAsia="標楷體" w:hAnsi="標楷體" w:hint="eastAsia"/>
          <w:color w:val="000000" w:themeColor="text1"/>
          <w:kern w:val="16"/>
          <w:sz w:val="32"/>
          <w:szCs w:val="32"/>
        </w:rPr>
        <w:t xml:space="preserve">　</w:t>
      </w:r>
      <w:r w:rsidR="00893626" w:rsidRPr="00121B3A">
        <w:rPr>
          <w:rFonts w:ascii="標楷體" w:eastAsia="標楷體" w:hAnsi="標楷體" w:hint="eastAsia"/>
          <w:color w:val="000000" w:themeColor="text1"/>
          <w:kern w:val="16"/>
          <w:sz w:val="32"/>
          <w:szCs w:val="32"/>
        </w:rPr>
        <w:t xml:space="preserve">　</w:t>
      </w:r>
      <w:r w:rsidRPr="00893626">
        <w:rPr>
          <w:rFonts w:ascii="標楷體" w:eastAsia="標楷體" w:hAnsi="標楷體" w:hint="eastAsia"/>
          <w:color w:val="000000" w:themeColor="text1"/>
          <w:spacing w:val="-40"/>
          <w:kern w:val="16"/>
          <w:sz w:val="32"/>
          <w:szCs w:val="32"/>
        </w:rPr>
        <w:t>政務副主任委員陳彥良</w:t>
      </w:r>
    </w:p>
    <w:p w14:paraId="2A5651C5"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銀行局　　　　　　　　　　</w:t>
      </w:r>
      <w:r w:rsidR="0040044F">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副局長　　　林志吉</w:t>
      </w:r>
    </w:p>
    <w:p w14:paraId="4C8BC9EF" w14:textId="65326967" w:rsidR="009D64D0" w:rsidRPr="00893626"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spacing w:val="-40"/>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大陸委員會</w:t>
      </w:r>
      <w:r w:rsidRPr="00121B3A">
        <w:rPr>
          <w:rFonts w:ascii="標楷體" w:eastAsia="標楷體" w:hAnsi="標楷體" w:hint="eastAsia"/>
          <w:color w:val="000000" w:themeColor="text1"/>
          <w:kern w:val="16"/>
          <w:sz w:val="32"/>
          <w:szCs w:val="32"/>
        </w:rPr>
        <w:t xml:space="preserve">　　　　　　　　　</w:t>
      </w:r>
      <w:r w:rsidR="0040044F">
        <w:rPr>
          <w:rFonts w:ascii="標楷體" w:eastAsia="標楷體" w:hAnsi="標楷體" w:hint="eastAsia"/>
          <w:color w:val="000000" w:themeColor="text1"/>
          <w:kern w:val="16"/>
          <w:sz w:val="32"/>
          <w:szCs w:val="32"/>
        </w:rPr>
        <w:t xml:space="preserve">　</w:t>
      </w:r>
      <w:r w:rsidR="00893626" w:rsidRPr="00121B3A">
        <w:rPr>
          <w:rFonts w:ascii="標楷體" w:eastAsia="標楷體" w:hAnsi="標楷體" w:hint="eastAsia"/>
          <w:color w:val="000000" w:themeColor="text1"/>
          <w:kern w:val="16"/>
          <w:sz w:val="32"/>
          <w:szCs w:val="32"/>
        </w:rPr>
        <w:t xml:space="preserve">　</w:t>
      </w:r>
      <w:r w:rsidRPr="00893626">
        <w:rPr>
          <w:rFonts w:ascii="標楷體" w:eastAsia="標楷體" w:hAnsi="標楷體" w:hint="eastAsia"/>
          <w:color w:val="000000" w:themeColor="text1"/>
          <w:spacing w:val="-40"/>
          <w:kern w:val="16"/>
          <w:sz w:val="32"/>
          <w:szCs w:val="32"/>
        </w:rPr>
        <w:t>政務副主任委員梁文傑</w:t>
      </w:r>
    </w:p>
    <w:p w14:paraId="29CEA7B9" w14:textId="3CA5183A" w:rsidR="009D64D0" w:rsidRPr="00893626"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spacing w:val="-40"/>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國家科學及技術委員會</w:t>
      </w:r>
      <w:r w:rsidRPr="00121B3A">
        <w:rPr>
          <w:rFonts w:ascii="標楷體" w:eastAsia="標楷體" w:hAnsi="標楷體" w:hint="eastAsia"/>
          <w:color w:val="000000" w:themeColor="text1"/>
          <w:kern w:val="16"/>
          <w:sz w:val="32"/>
          <w:szCs w:val="32"/>
        </w:rPr>
        <w:t xml:space="preserve">　　　　</w:t>
      </w:r>
      <w:r w:rsidR="0040044F">
        <w:rPr>
          <w:rFonts w:ascii="標楷體" w:eastAsia="標楷體" w:hAnsi="標楷體" w:hint="eastAsia"/>
          <w:color w:val="000000" w:themeColor="text1"/>
          <w:kern w:val="16"/>
          <w:sz w:val="32"/>
          <w:szCs w:val="32"/>
        </w:rPr>
        <w:t xml:space="preserve">　</w:t>
      </w:r>
      <w:r w:rsidR="00893626" w:rsidRPr="00121B3A">
        <w:rPr>
          <w:rFonts w:ascii="標楷體" w:eastAsia="標楷體" w:hAnsi="標楷體" w:hint="eastAsia"/>
          <w:color w:val="000000" w:themeColor="text1"/>
          <w:kern w:val="16"/>
          <w:sz w:val="32"/>
          <w:szCs w:val="32"/>
        </w:rPr>
        <w:t xml:space="preserve">　</w:t>
      </w:r>
      <w:r w:rsidRPr="00893626">
        <w:rPr>
          <w:rFonts w:ascii="標楷體" w:eastAsia="標楷體" w:hAnsi="標楷體" w:hint="eastAsia"/>
          <w:color w:val="000000" w:themeColor="text1"/>
          <w:spacing w:val="-40"/>
          <w:kern w:val="16"/>
          <w:sz w:val="32"/>
          <w:szCs w:val="32"/>
        </w:rPr>
        <w:t>常務副主任委員蘇振綱</w:t>
      </w:r>
    </w:p>
    <w:p w14:paraId="78052C23"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(政務副主任委員林法正及陳炳宇請假)</w:t>
      </w:r>
    </w:p>
    <w:p w14:paraId="797B22F0"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數位發展部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常務次長　　葉　寧</w:t>
      </w:r>
    </w:p>
    <w:p w14:paraId="03F84482"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lastRenderedPageBreak/>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(政務次長闕河鳴及林宜敬請假)</w:t>
      </w:r>
    </w:p>
    <w:p w14:paraId="6668D151"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文化部</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政務次長　　王時思</w:t>
      </w:r>
    </w:p>
    <w:p w14:paraId="5E330311"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主計處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副處長　　　吳浚郁</w:t>
      </w:r>
    </w:p>
    <w:p w14:paraId="6609799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勞動部</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常務次長　　陳明仁</w:t>
      </w:r>
    </w:p>
    <w:p w14:paraId="14899A14"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(政務次長許傳盛請假)</w:t>
      </w:r>
    </w:p>
    <w:p w14:paraId="7DE8A20A"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會計處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處長　　　　林美杏</w:t>
      </w:r>
    </w:p>
    <w:p w14:paraId="609D635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交通部</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政務次長　　陳彥伯</w:t>
      </w:r>
    </w:p>
    <w:p w14:paraId="10F94825"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經濟部</w:t>
      </w:r>
      <w:r w:rsidRPr="00121B3A">
        <w:rPr>
          <w:rFonts w:ascii="標楷體" w:eastAsia="標楷體" w:hAnsi="標楷體" w:hint="eastAsia"/>
          <w:color w:val="000000" w:themeColor="text1"/>
          <w:kern w:val="16"/>
          <w:sz w:val="32"/>
          <w:szCs w:val="32"/>
        </w:rPr>
        <w:t xml:space="preserve">　　　　　　　　　　</w:t>
      </w:r>
      <w:r w:rsidR="0040044F"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政務次長　　何晉滄</w:t>
      </w:r>
    </w:p>
    <w:p w14:paraId="46515BC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法務部</w:t>
      </w:r>
      <w:r w:rsidRPr="00121B3A">
        <w:rPr>
          <w:rFonts w:ascii="標楷體" w:eastAsia="標楷體" w:hAnsi="標楷體" w:hint="eastAsia"/>
          <w:color w:val="000000" w:themeColor="text1"/>
          <w:kern w:val="16"/>
          <w:sz w:val="32"/>
          <w:szCs w:val="32"/>
        </w:rPr>
        <w:t xml:space="preserve">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政務次長　　黃世杰</w:t>
      </w:r>
    </w:p>
    <w:p w14:paraId="3A39CA50" w14:textId="1E632E07" w:rsidR="009D64D0" w:rsidRPr="00893626"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spacing w:val="-76"/>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教育部</w:t>
      </w:r>
      <w:r w:rsidRPr="00121B3A">
        <w:rPr>
          <w:rFonts w:ascii="標楷體" w:eastAsia="標楷體" w:hAnsi="標楷體" w:hint="eastAsia"/>
          <w:color w:val="000000" w:themeColor="text1"/>
          <w:kern w:val="16"/>
          <w:sz w:val="32"/>
          <w:szCs w:val="32"/>
        </w:rPr>
        <w:t xml:space="preserve">　　　　　　　　　　</w:t>
      </w:r>
      <w:r w:rsidR="0027539C">
        <w:rPr>
          <w:rFonts w:ascii="標楷體" w:eastAsia="標楷體" w:hAnsi="標楷體" w:hint="eastAsia"/>
          <w:color w:val="000000" w:themeColor="text1"/>
          <w:kern w:val="16"/>
          <w:sz w:val="32"/>
          <w:szCs w:val="32"/>
        </w:rPr>
        <w:t xml:space="preserve">　</w:t>
      </w:r>
      <w:r w:rsidR="00893626"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政務次長　　</w:t>
      </w:r>
      <w:r w:rsidRPr="00893626">
        <w:rPr>
          <w:rFonts w:ascii="標楷體" w:eastAsia="標楷體" w:hAnsi="標楷體" w:hint="eastAsia"/>
          <w:color w:val="000000" w:themeColor="text1"/>
          <w:spacing w:val="-76"/>
          <w:kern w:val="16"/>
          <w:sz w:val="32"/>
          <w:szCs w:val="32"/>
        </w:rPr>
        <w:t>張廖萬堅</w:t>
      </w:r>
    </w:p>
    <w:p w14:paraId="561338AD"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國防部</w:t>
      </w:r>
      <w:r w:rsidRPr="00121B3A">
        <w:rPr>
          <w:rFonts w:ascii="標楷體" w:eastAsia="標楷體" w:hAnsi="標楷體" w:hint="eastAsia"/>
          <w:color w:val="000000" w:themeColor="text1"/>
          <w:kern w:val="16"/>
          <w:sz w:val="32"/>
          <w:szCs w:val="32"/>
        </w:rPr>
        <w:t xml:space="preserve">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常務次長　　楊基榮</w:t>
      </w:r>
    </w:p>
    <w:p w14:paraId="3A7227FA"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(副部長徐衍璞請假)</w:t>
      </w:r>
    </w:p>
    <w:p w14:paraId="48748793"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主計局歲計處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處長　　　　辛宜聰</w:t>
      </w:r>
    </w:p>
    <w:p w14:paraId="3981DF8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外交部</w:t>
      </w:r>
      <w:r w:rsidRPr="00121B3A">
        <w:rPr>
          <w:rFonts w:ascii="標楷體" w:eastAsia="標楷體" w:hAnsi="標楷體" w:hint="eastAsia"/>
          <w:color w:val="000000" w:themeColor="text1"/>
          <w:kern w:val="16"/>
          <w:sz w:val="32"/>
          <w:szCs w:val="32"/>
        </w:rPr>
        <w:t xml:space="preserve">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政務次長　　田中光</w:t>
      </w:r>
    </w:p>
    <w:p w14:paraId="46682E2E"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主計處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處長　　　　李佩華</w:t>
      </w:r>
    </w:p>
    <w:p w14:paraId="25C07E25"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臺北市政府</w:t>
      </w:r>
      <w:r w:rsidRPr="00121B3A">
        <w:rPr>
          <w:rFonts w:ascii="標楷體" w:eastAsia="標楷體" w:hAnsi="標楷體" w:hint="eastAsia"/>
          <w:color w:val="000000" w:themeColor="text1"/>
          <w:kern w:val="16"/>
          <w:sz w:val="32"/>
          <w:szCs w:val="32"/>
        </w:rPr>
        <w:t xml:space="preserve">財政局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副局長　　　鍾智耀</w:t>
      </w:r>
    </w:p>
    <w:p w14:paraId="64B40657"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新北市政府</w:t>
      </w:r>
      <w:r w:rsidRPr="00121B3A">
        <w:rPr>
          <w:rFonts w:ascii="標楷體" w:eastAsia="標楷體" w:hAnsi="標楷體" w:hint="eastAsia"/>
          <w:color w:val="000000" w:themeColor="text1"/>
          <w:kern w:val="16"/>
          <w:sz w:val="32"/>
          <w:szCs w:val="32"/>
        </w:rPr>
        <w:t xml:space="preserve">財政局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局長　　　　陳榮貴</w:t>
      </w:r>
    </w:p>
    <w:p w14:paraId="69641A95"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桃園市政府</w:t>
      </w:r>
      <w:r w:rsidRPr="00121B3A">
        <w:rPr>
          <w:rFonts w:ascii="標楷體" w:eastAsia="標楷體" w:hAnsi="標楷體" w:hint="eastAsia"/>
          <w:color w:val="000000" w:themeColor="text1"/>
          <w:kern w:val="16"/>
          <w:sz w:val="32"/>
          <w:szCs w:val="32"/>
        </w:rPr>
        <w:t xml:space="preserve">財政局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副局長　　　蔡美淑</w:t>
      </w:r>
    </w:p>
    <w:p w14:paraId="405CC44F"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臺中市政府</w:t>
      </w:r>
      <w:r w:rsidRPr="00121B3A">
        <w:rPr>
          <w:rFonts w:ascii="標楷體" w:eastAsia="標楷體" w:hAnsi="標楷體" w:hint="eastAsia"/>
          <w:color w:val="000000" w:themeColor="text1"/>
          <w:kern w:val="16"/>
          <w:sz w:val="32"/>
          <w:szCs w:val="32"/>
        </w:rPr>
        <w:t xml:space="preserve">財政局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副局長　　　游孟樫</w:t>
      </w:r>
    </w:p>
    <w:p w14:paraId="41E3E00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臺南市政府</w:t>
      </w:r>
      <w:r w:rsidRPr="00121B3A">
        <w:rPr>
          <w:rFonts w:ascii="標楷體" w:eastAsia="標楷體" w:hAnsi="標楷體" w:hint="eastAsia"/>
          <w:color w:val="000000" w:themeColor="text1"/>
          <w:kern w:val="16"/>
          <w:sz w:val="32"/>
          <w:szCs w:val="32"/>
        </w:rPr>
        <w:t xml:space="preserve">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副秘書長　　尤天厚</w:t>
      </w:r>
    </w:p>
    <w:p w14:paraId="5E16DB90"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高雄市政府</w:t>
      </w:r>
      <w:r w:rsidRPr="00121B3A">
        <w:rPr>
          <w:rFonts w:ascii="標楷體" w:eastAsia="標楷體" w:hAnsi="標楷體" w:hint="eastAsia"/>
          <w:color w:val="000000" w:themeColor="text1"/>
          <w:kern w:val="16"/>
          <w:sz w:val="32"/>
          <w:szCs w:val="32"/>
        </w:rPr>
        <w:t xml:space="preserve">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市長　　　　陳其邁</w:t>
      </w:r>
    </w:p>
    <w:p w14:paraId="2DF20DC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財政局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局長　　　　陳勇勝</w:t>
      </w:r>
    </w:p>
    <w:p w14:paraId="3A07B621" w14:textId="77777777" w:rsidR="009D64D0" w:rsidRPr="00121B3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新竹縣政府</w:t>
      </w:r>
      <w:r w:rsidRPr="00121B3A">
        <w:rPr>
          <w:rFonts w:ascii="標楷體" w:eastAsia="標楷體" w:hAnsi="標楷體" w:hint="eastAsia"/>
          <w:color w:val="000000" w:themeColor="text1"/>
          <w:kern w:val="16"/>
          <w:sz w:val="32"/>
          <w:szCs w:val="32"/>
        </w:rPr>
        <w:t xml:space="preserve">財政處　　　　　</w:t>
      </w:r>
      <w:r w:rsidR="0027539C"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副處長　　　范惠琪</w:t>
      </w:r>
    </w:p>
    <w:p w14:paraId="54E2EF3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苗栗縣政府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處長　　　　郭春美</w:t>
      </w:r>
    </w:p>
    <w:p w14:paraId="2100326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南投縣政府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副處長　　　林靜娟</w:t>
      </w:r>
    </w:p>
    <w:p w14:paraId="1F997075"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彰化縣政府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科長　　　　王淑君</w:t>
      </w:r>
    </w:p>
    <w:p w14:paraId="5C7BFB57"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雲林縣政府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副處長　　　張志盟</w:t>
      </w:r>
    </w:p>
    <w:p w14:paraId="1B66135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嘉義縣政府</w:t>
      </w:r>
      <w:r w:rsidRPr="00121B3A">
        <w:rPr>
          <w:rFonts w:ascii="標楷體" w:eastAsia="標楷體" w:hAnsi="標楷體" w:hint="eastAsia"/>
          <w:color w:val="000000" w:themeColor="text1"/>
          <w:kern w:val="16"/>
          <w:sz w:val="32"/>
          <w:szCs w:val="32"/>
        </w:rPr>
        <w:t xml:space="preserve">財政稅務局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副局長　　　王美藝</w:t>
      </w:r>
    </w:p>
    <w:p w14:paraId="3600EF89"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屏東縣政府</w:t>
      </w:r>
      <w:r w:rsidRPr="00121B3A">
        <w:rPr>
          <w:rFonts w:ascii="標楷體" w:eastAsia="標楷體" w:hAnsi="標楷體" w:hint="eastAsia"/>
          <w:color w:val="000000" w:themeColor="text1"/>
          <w:kern w:val="16"/>
          <w:sz w:val="32"/>
          <w:szCs w:val="32"/>
        </w:rPr>
        <w:t xml:space="preserve">財稅局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局長　　　　程　俊</w:t>
      </w:r>
    </w:p>
    <w:p w14:paraId="5CF2291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宜蘭縣政府</w:t>
      </w:r>
      <w:r w:rsidRPr="00121B3A">
        <w:rPr>
          <w:rFonts w:ascii="標楷體" w:eastAsia="標楷體" w:hAnsi="標楷體" w:hint="eastAsia"/>
          <w:color w:val="000000" w:themeColor="text1"/>
          <w:kern w:val="16"/>
          <w:sz w:val="32"/>
          <w:szCs w:val="32"/>
        </w:rPr>
        <w:t>財政稅務局</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副局長　　　蔡玉娩</w:t>
      </w:r>
    </w:p>
    <w:p w14:paraId="511E6A42"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lastRenderedPageBreak/>
        <w:t xml:space="preserve">　　　　　　</w:t>
      </w:r>
      <w:r w:rsidRPr="006930C7">
        <w:rPr>
          <w:rFonts w:ascii="標楷體" w:eastAsia="標楷體" w:hAnsi="標楷體" w:hint="eastAsia"/>
          <w:b/>
          <w:color w:val="000000" w:themeColor="text1"/>
          <w:kern w:val="16"/>
          <w:sz w:val="32"/>
          <w:szCs w:val="32"/>
        </w:rPr>
        <w:t>花蓮縣政府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副處長　　　黃淑梅</w:t>
      </w:r>
    </w:p>
    <w:p w14:paraId="16DF5433"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臺東縣政府</w:t>
      </w:r>
      <w:r w:rsidRPr="00121B3A">
        <w:rPr>
          <w:rFonts w:ascii="標楷體" w:eastAsia="標楷體" w:hAnsi="標楷體" w:hint="eastAsia"/>
          <w:color w:val="000000" w:themeColor="text1"/>
          <w:kern w:val="16"/>
          <w:sz w:val="32"/>
          <w:szCs w:val="32"/>
        </w:rPr>
        <w:t>財政及經濟發展處</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副處長　　　葉正鶴</w:t>
      </w:r>
    </w:p>
    <w:p w14:paraId="10ADE36D"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澎湖縣政府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參議　　　　盧春田</w:t>
      </w:r>
    </w:p>
    <w:p w14:paraId="79FA773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金門縣政府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副處長　　　關嘉荣</w:t>
      </w:r>
    </w:p>
    <w:p w14:paraId="18BCF9D6"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連江縣政府</w:t>
      </w:r>
      <w:r w:rsidRPr="00121B3A">
        <w:rPr>
          <w:rFonts w:ascii="標楷體" w:eastAsia="標楷體" w:hAnsi="標楷體" w:hint="eastAsia"/>
          <w:color w:val="000000" w:themeColor="text1"/>
          <w:kern w:val="16"/>
          <w:sz w:val="32"/>
          <w:szCs w:val="32"/>
        </w:rPr>
        <w:t xml:space="preserve">財政稅務局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局長　　　　陳歲金</w:t>
      </w:r>
    </w:p>
    <w:p w14:paraId="24C953B2"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基隆市政府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處長　　　　謝妙蓮</w:t>
      </w:r>
    </w:p>
    <w:p w14:paraId="5A9C9C0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6930C7">
        <w:rPr>
          <w:rFonts w:ascii="標楷體" w:eastAsia="標楷體" w:hAnsi="標楷體" w:hint="eastAsia"/>
          <w:b/>
          <w:color w:val="000000" w:themeColor="text1"/>
          <w:kern w:val="16"/>
          <w:sz w:val="32"/>
          <w:szCs w:val="32"/>
        </w:rPr>
        <w:t>新竹市政府</w:t>
      </w:r>
      <w:r w:rsidRPr="00121B3A">
        <w:rPr>
          <w:rFonts w:ascii="標楷體" w:eastAsia="標楷體" w:hAnsi="標楷體" w:hint="eastAsia"/>
          <w:color w:val="000000" w:themeColor="text1"/>
          <w:kern w:val="16"/>
          <w:sz w:val="32"/>
          <w:szCs w:val="32"/>
        </w:rPr>
        <w:t xml:space="preserve">財政處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副處長　　　黃湘鈴</w:t>
      </w:r>
    </w:p>
    <w:p w14:paraId="451B3DA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w:t>
      </w:r>
      <w:r w:rsidRPr="00A03093">
        <w:rPr>
          <w:rFonts w:ascii="標楷體" w:eastAsia="標楷體" w:hAnsi="標楷體" w:hint="eastAsia"/>
          <w:b/>
          <w:color w:val="000000" w:themeColor="text1"/>
          <w:kern w:val="16"/>
          <w:sz w:val="32"/>
          <w:szCs w:val="32"/>
        </w:rPr>
        <w:t>嘉義市政府</w:t>
      </w:r>
      <w:r w:rsidRPr="00121B3A">
        <w:rPr>
          <w:rFonts w:ascii="標楷體" w:eastAsia="標楷體" w:hAnsi="標楷體" w:hint="eastAsia"/>
          <w:color w:val="000000" w:themeColor="text1"/>
          <w:kern w:val="16"/>
          <w:sz w:val="32"/>
          <w:szCs w:val="32"/>
        </w:rPr>
        <w:t xml:space="preserve">財政稅務局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局長　　　　洪彩燕</w:t>
      </w:r>
    </w:p>
    <w:p w14:paraId="4119A3A2"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新北市烏來區公所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課員　　　　高培育</w:t>
      </w:r>
    </w:p>
    <w:p w14:paraId="0FA767E1"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高雄市茂林區公所　　　</w:t>
      </w:r>
      <w:r w:rsidR="009D6392" w:rsidRPr="00121B3A">
        <w:rPr>
          <w:rFonts w:ascii="標楷體" w:eastAsia="標楷體" w:hAnsi="標楷體" w:hint="eastAsia"/>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 xml:space="preserve">　　課長　　　　杜昇豪</w:t>
      </w:r>
    </w:p>
    <w:p w14:paraId="2448D70A"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主　　席　陳召集委員玉珍</w:t>
      </w:r>
    </w:p>
    <w:p w14:paraId="196E6C3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專門委員</w:t>
      </w:r>
      <w:r w:rsidRPr="00121B3A">
        <w:rPr>
          <w:rFonts w:ascii="標楷體" w:eastAsia="標楷體" w:hAnsi="標楷體"/>
          <w:color w:val="000000" w:themeColor="text1"/>
          <w:kern w:val="16"/>
          <w:sz w:val="32"/>
          <w:szCs w:val="32"/>
        </w:rPr>
        <w:t xml:space="preserve">　</w:t>
      </w:r>
      <w:r w:rsidRPr="00121B3A">
        <w:rPr>
          <w:rFonts w:ascii="標楷體" w:eastAsia="標楷體" w:hAnsi="標楷體" w:hint="eastAsia"/>
          <w:color w:val="000000" w:themeColor="text1"/>
          <w:kern w:val="16"/>
          <w:sz w:val="32"/>
          <w:szCs w:val="32"/>
        </w:rPr>
        <w:t>林靜玟</w:t>
      </w:r>
    </w:p>
    <w:p w14:paraId="3C3AE5DB"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color w:val="000000" w:themeColor="text1"/>
          <w:kern w:val="16"/>
          <w:sz w:val="32"/>
          <w:szCs w:val="32"/>
        </w:rPr>
        <w:t>主任秘書　謝淑津</w:t>
      </w:r>
    </w:p>
    <w:p w14:paraId="3A90D4E8"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color w:val="000000" w:themeColor="text1"/>
          <w:kern w:val="16"/>
          <w:sz w:val="32"/>
          <w:szCs w:val="32"/>
        </w:rPr>
        <w:t xml:space="preserve">紀　　錄　</w:t>
      </w:r>
      <w:r w:rsidRPr="00121B3A">
        <w:rPr>
          <w:rFonts w:ascii="標楷體" w:eastAsia="標楷體" w:hAnsi="標楷體" w:hint="eastAsia"/>
          <w:color w:val="000000" w:themeColor="text1"/>
          <w:kern w:val="16"/>
          <w:sz w:val="32"/>
          <w:szCs w:val="32"/>
        </w:rPr>
        <w:t xml:space="preserve">秘　書　吳人寬　研究員　黃惠雯　編　審　伍明清　</w:t>
      </w:r>
    </w:p>
    <w:p w14:paraId="614493A8" w14:textId="77777777" w:rsidR="009D64D0" w:rsidRPr="00121B3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21B3A">
        <w:rPr>
          <w:rFonts w:ascii="標楷體" w:eastAsia="標楷體" w:hAnsi="標楷體" w:hint="eastAsia"/>
          <w:color w:val="000000" w:themeColor="text1"/>
          <w:kern w:val="16"/>
          <w:sz w:val="32"/>
          <w:szCs w:val="32"/>
        </w:rPr>
        <w:t xml:space="preserve">　　　　　科　長　喻　珊　專　員　沈克彬　科　員　簡廷育　</w:t>
      </w:r>
    </w:p>
    <w:p w14:paraId="1EE189E5" w14:textId="77777777" w:rsidR="009D64D0" w:rsidRPr="009D6392" w:rsidRDefault="009D64D0" w:rsidP="00F470A8">
      <w:pPr>
        <w:widowControl w:val="0"/>
        <w:kinsoku w:val="0"/>
        <w:overflowPunct w:val="0"/>
        <w:autoSpaceDE w:val="0"/>
        <w:adjustRightInd w:val="0"/>
        <w:snapToGrid w:val="0"/>
        <w:spacing w:beforeLines="50" w:before="180" w:line="480" w:lineRule="exact"/>
        <w:ind w:leftChars="201" w:left="482"/>
        <w:jc w:val="both"/>
        <w:textAlignment w:val="auto"/>
        <w:rPr>
          <w:rFonts w:ascii="標楷體" w:eastAsia="標楷體" w:hAnsi="標楷體"/>
          <w:b/>
          <w:color w:val="000000" w:themeColor="text1"/>
          <w:kern w:val="2"/>
          <w:sz w:val="32"/>
          <w:szCs w:val="32"/>
        </w:rPr>
      </w:pPr>
      <w:r w:rsidRPr="009D6392">
        <w:rPr>
          <w:rFonts w:ascii="標楷體" w:eastAsia="標楷體" w:hAnsi="標楷體" w:hint="eastAsia"/>
          <w:b/>
          <w:color w:val="000000" w:themeColor="text1"/>
          <w:kern w:val="2"/>
          <w:sz w:val="32"/>
          <w:szCs w:val="32"/>
        </w:rPr>
        <w:t>討論事項</w:t>
      </w:r>
    </w:p>
    <w:p w14:paraId="4D73E551" w14:textId="77777777" w:rsidR="009D64D0" w:rsidRPr="00D64F37" w:rsidRDefault="009D64D0" w:rsidP="00F470A8">
      <w:pPr>
        <w:pStyle w:val="Default"/>
        <w:kinsoku w:val="0"/>
        <w:overflowPunct w:val="0"/>
        <w:snapToGrid w:val="0"/>
        <w:spacing w:line="480" w:lineRule="exact"/>
        <w:jc w:val="both"/>
        <w:rPr>
          <w:rFonts w:cs="Times New Roman"/>
          <w:b/>
          <w:bCs/>
          <w:color w:val="000000" w:themeColor="text1"/>
          <w:sz w:val="32"/>
          <w:szCs w:val="32"/>
        </w:rPr>
      </w:pPr>
      <w:r w:rsidRPr="00D64F37">
        <w:rPr>
          <w:rFonts w:cs="Times New Roman" w:hint="eastAsia"/>
          <w:b/>
          <w:bCs/>
          <w:color w:val="000000" w:themeColor="text1"/>
          <w:sz w:val="32"/>
          <w:szCs w:val="32"/>
        </w:rPr>
        <w:t>繼續審查「財政收支劃分法」22案：</w:t>
      </w:r>
    </w:p>
    <w:p w14:paraId="72312712"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(一)本院台灣民眾黨黨團擬具「財政收支劃分法修正草案」案。</w:t>
      </w:r>
    </w:p>
    <w:p w14:paraId="62B4C4CA"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(二)本院國民黨黨團、委員羅明才等23人、委員林思銘等20人、委員許宇甄等16人、委員洪孟楷等22人、委員丁學忠等17人、委員羅廷瑋等19人分別擬具「財政收支劃分法部分條文修正草案」等7案。</w:t>
      </w:r>
    </w:p>
    <w:p w14:paraId="4BEE5EE9"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(三)本院委員伍麗華</w:t>
      </w:r>
      <w:r w:rsidRPr="00D64F37">
        <w:rPr>
          <w:rFonts w:cs="Times New Roman"/>
          <w:bCs/>
          <w:color w:val="000000" w:themeColor="text1"/>
          <w:sz w:val="32"/>
          <w:szCs w:val="32"/>
        </w:rPr>
        <w:t>Saidhai</w:t>
      </w:r>
      <w:r w:rsidRPr="00D64F37">
        <w:rPr>
          <w:rFonts w:cs="Times New Roman" w:hint="eastAsia"/>
          <w:bCs/>
          <w:color w:val="000000" w:themeColor="text1"/>
          <w:sz w:val="32"/>
          <w:szCs w:val="32"/>
        </w:rPr>
        <w:t xml:space="preserve"> </w:t>
      </w:r>
      <w:r w:rsidRPr="00D64F37">
        <w:rPr>
          <w:rFonts w:cs="Times New Roman"/>
          <w:bCs/>
          <w:color w:val="000000" w:themeColor="text1"/>
          <w:sz w:val="32"/>
          <w:szCs w:val="32"/>
        </w:rPr>
        <w:t>Tahovecahe</w:t>
      </w:r>
      <w:r w:rsidRPr="00D64F37">
        <w:rPr>
          <w:rFonts w:cs="Times New Roman" w:hint="eastAsia"/>
          <w:bCs/>
          <w:color w:val="000000" w:themeColor="text1"/>
          <w:sz w:val="32"/>
          <w:szCs w:val="32"/>
        </w:rPr>
        <w:t>等17人擬具「財政收支劃分法第三條條文修正草案」案。</w:t>
      </w:r>
    </w:p>
    <w:p w14:paraId="12BBEF35"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(四)本院委員陳玉珍等24人、委員鄭正鈐等21人分別擬具「財政收支劃分法第八條條文修正草案」等2案。</w:t>
      </w:r>
    </w:p>
    <w:p w14:paraId="4ED48092"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(五)本院委員黃健豪等21人擬具「財政收支劃分法第八條及第十二條條文修正草案」案。</w:t>
      </w:r>
    </w:p>
    <w:p w14:paraId="49554358"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(六)本院委員王鴻薇等24人擬具「財政收支劃分法第八條、第十二</w:t>
      </w:r>
      <w:r w:rsidRPr="00D64F37">
        <w:rPr>
          <w:rFonts w:cs="Times New Roman" w:hint="eastAsia"/>
          <w:bCs/>
          <w:color w:val="000000" w:themeColor="text1"/>
          <w:sz w:val="32"/>
          <w:szCs w:val="32"/>
        </w:rPr>
        <w:lastRenderedPageBreak/>
        <w:t>條及第三十條條文修正草案」案。</w:t>
      </w:r>
    </w:p>
    <w:p w14:paraId="67056CCB"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(七)本院委員陳超明等17人、委員邱鎮軍等19人分別擬具「財政收支劃分法第八條、第十二條及第十六條之一條文修正草案」等2案。</w:t>
      </w:r>
    </w:p>
    <w:p w14:paraId="562BA22E"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(八)本院委員賴瑞隆等16人、委員蔡易餘等16人分別擬具「財政收支劃分法第十六條之一條文修正草案」等2案。</w:t>
      </w:r>
    </w:p>
    <w:p w14:paraId="62F990E8"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(九)本院委員賴士葆等29人擬具「財政收支劃分法第十六條之二、第三十七條之二及第三十八條之二條文修正草案」案。</w:t>
      </w:r>
    </w:p>
    <w:p w14:paraId="1B38F817" w14:textId="77777777" w:rsidR="009D64D0" w:rsidRPr="00D64F37" w:rsidRDefault="009D64D0" w:rsidP="00F470A8">
      <w:pPr>
        <w:pStyle w:val="Default"/>
        <w:kinsoku w:val="0"/>
        <w:overflowPunct w:val="0"/>
        <w:snapToGrid w:val="0"/>
        <w:spacing w:line="480" w:lineRule="exact"/>
        <w:ind w:leftChars="100" w:left="880" w:hangingChars="200" w:hanging="640"/>
        <w:jc w:val="both"/>
        <w:rPr>
          <w:rFonts w:cs="Times New Roman"/>
          <w:bCs/>
          <w:color w:val="000000" w:themeColor="text1"/>
          <w:sz w:val="32"/>
          <w:szCs w:val="32"/>
        </w:rPr>
      </w:pPr>
      <w:r w:rsidRPr="00D64F37">
        <w:rPr>
          <w:rFonts w:cs="Times New Roman" w:hint="eastAsia"/>
          <w:bCs/>
          <w:color w:val="000000" w:themeColor="text1"/>
          <w:sz w:val="32"/>
          <w:szCs w:val="32"/>
        </w:rPr>
        <w:t>(十)本院委員賴士葆等22人擬具「財政收支劃分法第三十八條之一條文修正草案」案。</w:t>
      </w:r>
    </w:p>
    <w:p w14:paraId="73923BBB" w14:textId="77777777" w:rsidR="009D64D0" w:rsidRPr="00D64F37" w:rsidRDefault="009D64D0" w:rsidP="00F470A8">
      <w:pPr>
        <w:pStyle w:val="Default"/>
        <w:kinsoku w:val="0"/>
        <w:overflowPunct w:val="0"/>
        <w:snapToGrid w:val="0"/>
        <w:spacing w:line="480" w:lineRule="exact"/>
        <w:ind w:leftChars="100" w:left="1200" w:hangingChars="300" w:hanging="960"/>
        <w:jc w:val="both"/>
        <w:rPr>
          <w:rFonts w:cs="Times New Roman"/>
          <w:bCs/>
          <w:color w:val="000000" w:themeColor="text1"/>
          <w:sz w:val="32"/>
          <w:szCs w:val="32"/>
        </w:rPr>
      </w:pPr>
      <w:r w:rsidRPr="00D64F37">
        <w:rPr>
          <w:rFonts w:cs="Times New Roman" w:hint="eastAsia"/>
          <w:bCs/>
          <w:color w:val="000000" w:themeColor="text1"/>
          <w:sz w:val="32"/>
          <w:szCs w:val="32"/>
        </w:rPr>
        <w:t>(十一)本院委員張嘉郡等27人擬具「財政收支劃分法第四條、第八條及第十二條條文修正草案」案。</w:t>
      </w:r>
    </w:p>
    <w:p w14:paraId="4C0A69AC" w14:textId="77777777" w:rsidR="009D64D0" w:rsidRPr="00D64F37" w:rsidRDefault="009D64D0" w:rsidP="00F470A8">
      <w:pPr>
        <w:pStyle w:val="Default"/>
        <w:kinsoku w:val="0"/>
        <w:overflowPunct w:val="0"/>
        <w:snapToGrid w:val="0"/>
        <w:spacing w:line="480" w:lineRule="exact"/>
        <w:ind w:leftChars="100" w:left="1200" w:hangingChars="300" w:hanging="960"/>
        <w:jc w:val="both"/>
        <w:rPr>
          <w:rFonts w:cs="Times New Roman"/>
          <w:bCs/>
          <w:color w:val="000000" w:themeColor="text1"/>
          <w:sz w:val="32"/>
          <w:szCs w:val="32"/>
        </w:rPr>
      </w:pPr>
      <w:r w:rsidRPr="00D64F37">
        <w:rPr>
          <w:rFonts w:cs="Times New Roman" w:hint="eastAsia"/>
          <w:bCs/>
          <w:color w:val="000000" w:themeColor="text1"/>
          <w:sz w:val="32"/>
          <w:szCs w:val="32"/>
        </w:rPr>
        <w:t>(十二)本院委員楊瓊瓔等32人擬具「財政收支劃分法第八條及第三十七條條文修正草案」案。</w:t>
      </w:r>
    </w:p>
    <w:p w14:paraId="4684C553" w14:textId="77777777" w:rsidR="009D64D0" w:rsidRDefault="009D64D0" w:rsidP="00F470A8">
      <w:pPr>
        <w:pStyle w:val="Default"/>
        <w:kinsoku w:val="0"/>
        <w:overflowPunct w:val="0"/>
        <w:snapToGrid w:val="0"/>
        <w:spacing w:line="480" w:lineRule="exact"/>
        <w:ind w:leftChars="100" w:left="1200" w:hangingChars="300" w:hanging="960"/>
        <w:jc w:val="both"/>
        <w:rPr>
          <w:rFonts w:cs="Times New Roman"/>
          <w:bCs/>
          <w:color w:val="000000" w:themeColor="text1"/>
          <w:sz w:val="32"/>
          <w:szCs w:val="32"/>
        </w:rPr>
      </w:pPr>
      <w:r w:rsidRPr="00D64F37">
        <w:rPr>
          <w:rFonts w:cs="Times New Roman" w:hint="eastAsia"/>
          <w:bCs/>
          <w:color w:val="000000" w:themeColor="text1"/>
          <w:sz w:val="32"/>
          <w:szCs w:val="32"/>
        </w:rPr>
        <w:t>(十三)本院委員鄭天財Sra Kacaw等18人擬具「財政收支劃分法增訂第三十條之一及第三十條之二條文草案」案。</w:t>
      </w:r>
    </w:p>
    <w:p w14:paraId="6E92D2D2" w14:textId="77777777" w:rsidR="009D64D0" w:rsidRPr="00C01165" w:rsidRDefault="009D64D0" w:rsidP="00F470A8">
      <w:pPr>
        <w:pStyle w:val="Default"/>
        <w:kinsoku w:val="0"/>
        <w:overflowPunct w:val="0"/>
        <w:snapToGrid w:val="0"/>
        <w:spacing w:beforeLines="50" w:before="180" w:line="480" w:lineRule="exact"/>
        <w:jc w:val="both"/>
        <w:rPr>
          <w:rFonts w:cs="Times New Roman"/>
          <w:b/>
          <w:bCs/>
          <w:color w:val="000000" w:themeColor="text1"/>
          <w:sz w:val="32"/>
          <w:szCs w:val="32"/>
        </w:rPr>
      </w:pPr>
      <w:r w:rsidRPr="00C01165">
        <w:rPr>
          <w:rFonts w:cs="Times New Roman" w:hint="eastAsia"/>
          <w:b/>
          <w:bCs/>
          <w:color w:val="000000" w:themeColor="text1"/>
          <w:sz w:val="32"/>
          <w:szCs w:val="32"/>
        </w:rPr>
        <w:t>主席宣告：</w:t>
      </w:r>
    </w:p>
    <w:p w14:paraId="11AEC20C" w14:textId="77777777" w:rsidR="009D64D0" w:rsidRPr="00D64F37" w:rsidRDefault="009D64D0" w:rsidP="00F470A8">
      <w:pPr>
        <w:pStyle w:val="Default"/>
        <w:kinsoku w:val="0"/>
        <w:overflowPunct w:val="0"/>
        <w:snapToGrid w:val="0"/>
        <w:spacing w:line="480" w:lineRule="exact"/>
        <w:jc w:val="both"/>
        <w:rPr>
          <w:rFonts w:cs="Times New Roman"/>
          <w:bCs/>
          <w:color w:val="000000" w:themeColor="text1"/>
          <w:sz w:val="32"/>
          <w:szCs w:val="32"/>
        </w:rPr>
      </w:pPr>
      <w:r>
        <w:rPr>
          <w:rFonts w:hint="eastAsia"/>
          <w:color w:val="000000" w:themeColor="text1"/>
          <w:sz w:val="32"/>
          <w:szCs w:val="32"/>
        </w:rPr>
        <w:t>李彥秀委員及高金素梅委員修正動議先前向本席表示要撤案，就不予宣讀，本日國民黨團委員同意</w:t>
      </w:r>
      <w:r w:rsidRPr="00C01165">
        <w:rPr>
          <w:rFonts w:hint="eastAsia"/>
          <w:color w:val="000000" w:themeColor="text1"/>
          <w:sz w:val="32"/>
          <w:szCs w:val="32"/>
        </w:rPr>
        <w:t>以國民黨黨團的財政收支劃分法修正提案作為討論依據</w:t>
      </w:r>
      <w:r>
        <w:rPr>
          <w:rFonts w:hint="eastAsia"/>
          <w:color w:val="000000" w:themeColor="text1"/>
          <w:sz w:val="32"/>
          <w:szCs w:val="32"/>
        </w:rPr>
        <w:t>。</w:t>
      </w:r>
    </w:p>
    <w:p w14:paraId="7856EE4B" w14:textId="77777777" w:rsidR="009D64D0" w:rsidRPr="009D6392"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9D6392">
        <w:rPr>
          <w:rFonts w:ascii="標楷體" w:eastAsia="標楷體" w:hAnsi="標楷體" w:hint="eastAsia"/>
          <w:b/>
          <w:color w:val="000000" w:themeColor="text1"/>
          <w:kern w:val="2"/>
          <w:sz w:val="32"/>
          <w:szCs w:val="32"/>
        </w:rPr>
        <w:t>決議：</w:t>
      </w:r>
    </w:p>
    <w:p w14:paraId="3A00AC55" w14:textId="77777777" w:rsidR="009D64D0" w:rsidRPr="009D6392"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9D6392">
        <w:rPr>
          <w:rFonts w:ascii="標楷體" w:eastAsia="標楷體" w:hAnsi="標楷體" w:hint="eastAsia"/>
          <w:color w:val="000000" w:themeColor="text1"/>
          <w:kern w:val="2"/>
          <w:sz w:val="32"/>
          <w:szCs w:val="32"/>
        </w:rPr>
        <w:t>一、第三條、第四條、第八條、第十二條、第十六條之一及第三十條條文，以及附表一、附表二：均保留，送院會處理。</w:t>
      </w:r>
    </w:p>
    <w:p w14:paraId="46E000BC" w14:textId="77777777" w:rsidR="009D64D0" w:rsidRPr="009D6392"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9D6392">
        <w:rPr>
          <w:rFonts w:ascii="標楷體" w:eastAsia="標楷體" w:hAnsi="標楷體" w:hint="eastAsia"/>
          <w:color w:val="000000" w:themeColor="text1"/>
          <w:kern w:val="2"/>
          <w:sz w:val="32"/>
          <w:szCs w:val="32"/>
        </w:rPr>
        <w:t>二、國民黨黨團、委員伍麗華Saidhai Tahovecahe等17人、委員賴瑞隆等16人、委員蔡易餘等16人分別擬具財政收支劃分法修正草案，以上各案審查完竣，併案擬具審查報告，提報院會討論；院會討論前，須交由黨團協商；院會討論時，由陳召集委員玉珍補充說明。</w:t>
      </w:r>
    </w:p>
    <w:p w14:paraId="1A890D8E" w14:textId="77777777" w:rsidR="009D6392"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9D6392">
        <w:rPr>
          <w:rFonts w:ascii="標楷體" w:eastAsia="標楷體" w:hAnsi="標楷體" w:hint="eastAsia"/>
          <w:b/>
          <w:color w:val="000000" w:themeColor="text1"/>
          <w:kern w:val="2"/>
          <w:sz w:val="32"/>
          <w:szCs w:val="32"/>
        </w:rPr>
        <w:t>散會</w:t>
      </w:r>
    </w:p>
    <w:p w14:paraId="16D9D196"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32" w:name="_Toc189487323"/>
      <w:r w:rsidRPr="0008203A">
        <w:rPr>
          <w:rFonts w:ascii="標楷體" w:eastAsia="標楷體" w:hAnsi="標楷體"/>
          <w:b/>
          <w:spacing w:val="-20"/>
          <w:sz w:val="32"/>
          <w:szCs w:val="32"/>
        </w:rPr>
        <w:lastRenderedPageBreak/>
        <w:t>立法院第</w:t>
      </w:r>
      <w:r w:rsidRPr="0008203A">
        <w:rPr>
          <w:rFonts w:ascii="標楷體" w:eastAsia="標楷體" w:hAnsi="標楷體" w:hint="eastAsia"/>
          <w:b/>
          <w:spacing w:val="-20"/>
          <w:sz w:val="32"/>
          <w:szCs w:val="32"/>
        </w:rPr>
        <w:t>11</w:t>
      </w:r>
      <w:r w:rsidRPr="0008203A">
        <w:rPr>
          <w:rFonts w:ascii="標楷體" w:eastAsia="標楷體" w:hAnsi="標楷體"/>
          <w:b/>
          <w:spacing w:val="-20"/>
          <w:sz w:val="32"/>
          <w:szCs w:val="32"/>
        </w:rPr>
        <w:t>屆第</w:t>
      </w:r>
      <w:r w:rsidRPr="0008203A">
        <w:rPr>
          <w:rFonts w:ascii="標楷體" w:eastAsia="標楷體" w:hAnsi="標楷體" w:hint="eastAsia"/>
          <w:b/>
          <w:spacing w:val="-20"/>
          <w:sz w:val="32"/>
          <w:szCs w:val="32"/>
        </w:rPr>
        <w:t>2</w:t>
      </w:r>
      <w:r w:rsidRPr="0008203A">
        <w:rPr>
          <w:rFonts w:ascii="標楷體" w:eastAsia="標楷體" w:hAnsi="標楷體"/>
          <w:b/>
          <w:spacing w:val="-20"/>
          <w:sz w:val="32"/>
          <w:szCs w:val="32"/>
        </w:rPr>
        <w:t>會期財政委員會第</w:t>
      </w:r>
      <w:r w:rsidRPr="0008203A">
        <w:rPr>
          <w:rFonts w:ascii="標楷體" w:eastAsia="標楷體" w:hAnsi="標楷體" w:hint="eastAsia"/>
          <w:b/>
          <w:spacing w:val="-20"/>
          <w:sz w:val="32"/>
          <w:szCs w:val="32"/>
        </w:rPr>
        <w:t>7</w:t>
      </w:r>
      <w:r w:rsidRPr="0008203A">
        <w:rPr>
          <w:rFonts w:ascii="標楷體" w:eastAsia="標楷體" w:hAnsi="標楷體"/>
          <w:b/>
          <w:spacing w:val="-20"/>
          <w:sz w:val="32"/>
          <w:szCs w:val="32"/>
        </w:rPr>
        <w:t>次全體委員會議議事錄</w:t>
      </w:r>
      <w:bookmarkEnd w:id="132"/>
    </w:p>
    <w:p w14:paraId="3D4A2888" w14:textId="77777777" w:rsidR="009D64D0" w:rsidRPr="00B95371" w:rsidRDefault="009D64D0" w:rsidP="00F470A8">
      <w:pPr>
        <w:widowControl w:val="0"/>
        <w:kinsoku w:val="0"/>
        <w:overflowPunct w:val="0"/>
        <w:autoSpaceDN/>
        <w:adjustRightInd w:val="0"/>
        <w:snapToGrid w:val="0"/>
        <w:spacing w:line="480" w:lineRule="exact"/>
        <w:ind w:left="1500" w:rightChars="-126" w:right="-302" w:hangingChars="500" w:hanging="1500"/>
        <w:textAlignment w:val="auto"/>
        <w:rPr>
          <w:rFonts w:ascii="標楷體" w:eastAsia="標楷體" w:hAnsi="標楷體"/>
          <w:color w:val="000000" w:themeColor="text1"/>
          <w:spacing w:val="-20"/>
          <w:kern w:val="2"/>
          <w:sz w:val="32"/>
          <w:szCs w:val="32"/>
        </w:rPr>
      </w:pPr>
      <w:r w:rsidRPr="00B95371">
        <w:rPr>
          <w:rFonts w:ascii="標楷體" w:eastAsia="標楷體" w:hAnsi="標楷體"/>
          <w:color w:val="000000" w:themeColor="text1"/>
          <w:spacing w:val="-20"/>
          <w:kern w:val="2"/>
          <w:sz w:val="32"/>
          <w:szCs w:val="32"/>
        </w:rPr>
        <w:t>時　　間　中華民國</w:t>
      </w:r>
      <w:r w:rsidRPr="00B95371">
        <w:rPr>
          <w:rFonts w:ascii="標楷體" w:eastAsia="標楷體" w:hAnsi="標楷體" w:hint="eastAsia"/>
          <w:color w:val="000000" w:themeColor="text1"/>
          <w:spacing w:val="-20"/>
          <w:kern w:val="2"/>
          <w:sz w:val="32"/>
          <w:szCs w:val="32"/>
        </w:rPr>
        <w:t>113</w:t>
      </w:r>
      <w:r w:rsidRPr="00B95371">
        <w:rPr>
          <w:rFonts w:ascii="標楷體" w:eastAsia="標楷體" w:hAnsi="標楷體"/>
          <w:color w:val="000000" w:themeColor="text1"/>
          <w:spacing w:val="-20"/>
          <w:kern w:val="2"/>
          <w:sz w:val="32"/>
          <w:szCs w:val="32"/>
        </w:rPr>
        <w:t>年</w:t>
      </w:r>
      <w:r w:rsidRPr="00B95371">
        <w:rPr>
          <w:rFonts w:ascii="標楷體" w:eastAsia="標楷體" w:hAnsi="標楷體" w:hint="eastAsia"/>
          <w:color w:val="000000" w:themeColor="text1"/>
          <w:spacing w:val="-20"/>
          <w:kern w:val="2"/>
          <w:sz w:val="32"/>
          <w:szCs w:val="32"/>
        </w:rPr>
        <w:t>11</w:t>
      </w:r>
      <w:r w:rsidRPr="00B95371">
        <w:rPr>
          <w:rFonts w:ascii="標楷體" w:eastAsia="標楷體" w:hAnsi="標楷體"/>
          <w:color w:val="000000" w:themeColor="text1"/>
          <w:spacing w:val="-20"/>
          <w:kern w:val="2"/>
          <w:sz w:val="32"/>
          <w:szCs w:val="32"/>
        </w:rPr>
        <w:t>月</w:t>
      </w:r>
      <w:r w:rsidRPr="00B95371">
        <w:rPr>
          <w:rFonts w:ascii="標楷體" w:eastAsia="標楷體" w:hAnsi="標楷體" w:hint="eastAsia"/>
          <w:color w:val="000000" w:themeColor="text1"/>
          <w:spacing w:val="-20"/>
          <w:kern w:val="2"/>
          <w:sz w:val="32"/>
          <w:szCs w:val="32"/>
        </w:rPr>
        <w:t>11</w:t>
      </w:r>
      <w:r w:rsidRPr="00B95371">
        <w:rPr>
          <w:rFonts w:ascii="標楷體" w:eastAsia="標楷體" w:hAnsi="標楷體"/>
          <w:color w:val="000000" w:themeColor="text1"/>
          <w:spacing w:val="-20"/>
          <w:kern w:val="2"/>
          <w:sz w:val="32"/>
          <w:szCs w:val="32"/>
        </w:rPr>
        <w:t>日（星期</w:t>
      </w:r>
      <w:r w:rsidRPr="00B95371">
        <w:rPr>
          <w:rFonts w:ascii="標楷體" w:eastAsia="標楷體" w:hAnsi="標楷體" w:hint="eastAsia"/>
          <w:color w:val="000000" w:themeColor="text1"/>
          <w:spacing w:val="-20"/>
          <w:kern w:val="2"/>
          <w:sz w:val="32"/>
          <w:szCs w:val="32"/>
        </w:rPr>
        <w:t>一</w:t>
      </w:r>
      <w:r w:rsidRPr="00B95371">
        <w:rPr>
          <w:rFonts w:ascii="標楷體" w:eastAsia="標楷體" w:hAnsi="標楷體"/>
          <w:color w:val="000000" w:themeColor="text1"/>
          <w:spacing w:val="-20"/>
          <w:kern w:val="2"/>
          <w:sz w:val="32"/>
          <w:szCs w:val="32"/>
        </w:rPr>
        <w:t>）9時至1</w:t>
      </w:r>
      <w:r w:rsidRPr="00B95371">
        <w:rPr>
          <w:rFonts w:ascii="標楷體" w:eastAsia="標楷體" w:hAnsi="標楷體" w:hint="eastAsia"/>
          <w:color w:val="000000" w:themeColor="text1"/>
          <w:spacing w:val="-20"/>
          <w:kern w:val="2"/>
          <w:sz w:val="32"/>
          <w:szCs w:val="32"/>
        </w:rPr>
        <w:t>7</w:t>
      </w:r>
      <w:r w:rsidRPr="00B95371">
        <w:rPr>
          <w:rFonts w:ascii="標楷體" w:eastAsia="標楷體" w:hAnsi="標楷體"/>
          <w:color w:val="000000" w:themeColor="text1"/>
          <w:spacing w:val="-20"/>
          <w:kern w:val="2"/>
          <w:sz w:val="32"/>
          <w:szCs w:val="32"/>
        </w:rPr>
        <w:t>時30分</w:t>
      </w:r>
    </w:p>
    <w:p w14:paraId="6101B65B" w14:textId="77777777" w:rsidR="009D64D0" w:rsidRPr="00B95371" w:rsidRDefault="009D64D0" w:rsidP="00F470A8">
      <w:pPr>
        <w:widowControl w:val="0"/>
        <w:kinsoku w:val="0"/>
        <w:overflowPunct w:val="0"/>
        <w:autoSpaceDN/>
        <w:adjustRightInd w:val="0"/>
        <w:snapToGrid w:val="0"/>
        <w:spacing w:line="480" w:lineRule="exact"/>
        <w:ind w:left="1500" w:rightChars="-126" w:right="-302" w:hangingChars="500" w:hanging="1500"/>
        <w:textAlignment w:val="auto"/>
        <w:rPr>
          <w:rFonts w:ascii="標楷體" w:eastAsia="標楷體" w:hAnsi="標楷體"/>
          <w:color w:val="000000" w:themeColor="text1"/>
          <w:spacing w:val="-20"/>
          <w:kern w:val="2"/>
          <w:sz w:val="32"/>
          <w:szCs w:val="32"/>
        </w:rPr>
      </w:pPr>
      <w:r w:rsidRPr="00B95371">
        <w:rPr>
          <w:rFonts w:ascii="標楷體" w:eastAsia="標楷體" w:hAnsi="標楷體"/>
          <w:color w:val="000000" w:themeColor="text1"/>
          <w:spacing w:val="-20"/>
          <w:kern w:val="2"/>
          <w:sz w:val="32"/>
          <w:szCs w:val="32"/>
        </w:rPr>
        <w:t xml:space="preserve">地　　點　</w:t>
      </w:r>
      <w:r w:rsidRPr="00B95371">
        <w:rPr>
          <w:rFonts w:ascii="標楷體" w:eastAsia="標楷體" w:hAnsi="標楷體" w:hint="eastAsia"/>
          <w:color w:val="000000" w:themeColor="text1"/>
          <w:spacing w:val="-20"/>
          <w:kern w:val="2"/>
          <w:sz w:val="32"/>
          <w:szCs w:val="32"/>
        </w:rPr>
        <w:t>群賢樓9樓大禮堂</w:t>
      </w:r>
    </w:p>
    <w:p w14:paraId="19BDAFCE" w14:textId="49826E9C" w:rsidR="00B95371" w:rsidRPr="00893626" w:rsidRDefault="009D64D0" w:rsidP="00F470A8">
      <w:pPr>
        <w:widowControl w:val="0"/>
        <w:kinsoku w:val="0"/>
        <w:overflowPunct w:val="0"/>
        <w:autoSpaceDN/>
        <w:adjustRightInd w:val="0"/>
        <w:snapToGrid w:val="0"/>
        <w:spacing w:line="480" w:lineRule="exact"/>
        <w:ind w:left="1500" w:rightChars="100" w:right="240" w:hangingChars="500" w:hanging="1500"/>
        <w:textAlignment w:val="auto"/>
        <w:rPr>
          <w:rFonts w:ascii="標楷體" w:eastAsia="標楷體" w:hAnsi="標楷體"/>
          <w:color w:val="000000" w:themeColor="text1"/>
          <w:kern w:val="2"/>
          <w:sz w:val="32"/>
          <w:szCs w:val="32"/>
        </w:rPr>
      </w:pPr>
      <w:r w:rsidRPr="00FD30BC">
        <w:rPr>
          <w:rFonts w:ascii="標楷體" w:eastAsia="標楷體" w:hAnsi="標楷體"/>
          <w:color w:val="000000" w:themeColor="text1"/>
          <w:spacing w:val="-20"/>
          <w:kern w:val="2"/>
          <w:sz w:val="32"/>
          <w:szCs w:val="32"/>
        </w:rPr>
        <w:t>出席委員</w:t>
      </w:r>
      <w:r w:rsidR="00FD30BC" w:rsidRPr="00B95371">
        <w:rPr>
          <w:rFonts w:ascii="標楷體" w:eastAsia="標楷體" w:hAnsi="標楷體"/>
          <w:color w:val="000000" w:themeColor="text1"/>
          <w:spacing w:val="-20"/>
          <w:kern w:val="2"/>
          <w:sz w:val="32"/>
          <w:szCs w:val="32"/>
        </w:rPr>
        <w:t xml:space="preserve">　</w:t>
      </w:r>
      <w:r w:rsidRPr="00893626">
        <w:rPr>
          <w:rFonts w:ascii="標楷體" w:eastAsia="標楷體" w:hAnsi="標楷體" w:hint="eastAsia"/>
          <w:color w:val="000000" w:themeColor="text1"/>
          <w:kern w:val="2"/>
          <w:sz w:val="32"/>
          <w:szCs w:val="32"/>
        </w:rPr>
        <w:t xml:space="preserve">林德福　吳秉叡　賴士葆　郭國文　王鴻薇　黃珊珊　</w:t>
      </w:r>
    </w:p>
    <w:p w14:paraId="1D0E3726" w14:textId="0A4625D5" w:rsidR="00B95371" w:rsidRPr="00893626" w:rsidRDefault="00D277DB" w:rsidP="00F470A8">
      <w:pPr>
        <w:widowControl w:val="0"/>
        <w:kinsoku w:val="0"/>
        <w:overflowPunct w:val="0"/>
        <w:autoSpaceDN/>
        <w:adjustRightInd w:val="0"/>
        <w:snapToGrid w:val="0"/>
        <w:spacing w:line="480" w:lineRule="exact"/>
        <w:ind w:left="1500" w:rightChars="100" w:right="240" w:hangingChars="500" w:hanging="1500"/>
        <w:textAlignment w:val="auto"/>
        <w:rPr>
          <w:rFonts w:ascii="標楷體" w:eastAsia="標楷體" w:hAnsi="標楷體"/>
          <w:color w:val="000000" w:themeColor="text1"/>
          <w:kern w:val="2"/>
          <w:sz w:val="32"/>
          <w:szCs w:val="32"/>
        </w:rPr>
      </w:pPr>
      <w:r w:rsidRPr="00B95371">
        <w:rPr>
          <w:rFonts w:ascii="標楷體" w:eastAsia="標楷體" w:hAnsi="標楷體"/>
          <w:color w:val="000000" w:themeColor="text1"/>
          <w:spacing w:val="-20"/>
          <w:kern w:val="2"/>
          <w:sz w:val="32"/>
          <w:szCs w:val="32"/>
        </w:rPr>
        <w:t xml:space="preserve">　　　　　</w:t>
      </w:r>
      <w:r w:rsidR="009D64D0" w:rsidRPr="00893626">
        <w:rPr>
          <w:rFonts w:ascii="標楷體" w:eastAsia="標楷體" w:hAnsi="標楷體" w:hint="eastAsia"/>
          <w:color w:val="000000" w:themeColor="text1"/>
          <w:kern w:val="2"/>
          <w:sz w:val="32"/>
          <w:szCs w:val="32"/>
        </w:rPr>
        <w:t xml:space="preserve">李坤城　李彥秀　顏寬恒　羅明才　陳玉珍　賴惠員　</w:t>
      </w:r>
    </w:p>
    <w:p w14:paraId="456660F4" w14:textId="6A61A7BD" w:rsidR="009D64D0" w:rsidRPr="00B95371" w:rsidRDefault="00D277DB" w:rsidP="00F470A8">
      <w:pPr>
        <w:widowControl w:val="0"/>
        <w:kinsoku w:val="0"/>
        <w:overflowPunct w:val="0"/>
        <w:autoSpaceDN/>
        <w:adjustRightInd w:val="0"/>
        <w:snapToGrid w:val="0"/>
        <w:spacing w:line="480" w:lineRule="exact"/>
        <w:ind w:left="1500" w:rightChars="-126" w:right="-302" w:hangingChars="500" w:hanging="1500"/>
        <w:textAlignment w:val="auto"/>
        <w:rPr>
          <w:rFonts w:ascii="標楷體" w:eastAsia="標楷體" w:hAnsi="標楷體"/>
          <w:color w:val="000000" w:themeColor="text1"/>
          <w:spacing w:val="-20"/>
          <w:kern w:val="2"/>
          <w:sz w:val="32"/>
          <w:szCs w:val="32"/>
        </w:rPr>
      </w:pPr>
      <w:r w:rsidRPr="00B95371">
        <w:rPr>
          <w:rFonts w:ascii="標楷體" w:eastAsia="標楷體" w:hAnsi="標楷體"/>
          <w:color w:val="000000" w:themeColor="text1"/>
          <w:spacing w:val="-20"/>
          <w:kern w:val="2"/>
          <w:sz w:val="32"/>
          <w:szCs w:val="32"/>
        </w:rPr>
        <w:t xml:space="preserve">　　　　　</w:t>
      </w:r>
      <w:r w:rsidR="009D64D0" w:rsidRPr="00FD30BC">
        <w:rPr>
          <w:rFonts w:ascii="標楷體" w:eastAsia="標楷體" w:hAnsi="標楷體" w:hint="eastAsia"/>
          <w:color w:val="000000" w:themeColor="text1"/>
          <w:kern w:val="2"/>
          <w:sz w:val="32"/>
          <w:szCs w:val="32"/>
        </w:rPr>
        <w:t>伍麗華</w:t>
      </w:r>
      <w:r w:rsidR="009D64D0" w:rsidRPr="00FD30BC">
        <w:rPr>
          <w:rFonts w:ascii="標楷體" w:eastAsia="標楷體" w:hAnsi="標楷體" w:hint="eastAsia"/>
          <w:color w:val="000000" w:themeColor="text1"/>
          <w:spacing w:val="-22"/>
          <w:kern w:val="2"/>
          <w:sz w:val="32"/>
          <w:szCs w:val="32"/>
        </w:rPr>
        <w:t>Saidhai Tahovecahe</w:t>
      </w:r>
      <w:r w:rsidR="009D64D0" w:rsidRPr="00B95371">
        <w:rPr>
          <w:rFonts w:ascii="標楷體" w:eastAsia="標楷體" w:hAnsi="標楷體" w:hint="eastAsia"/>
          <w:color w:val="000000" w:themeColor="text1"/>
          <w:spacing w:val="-20"/>
          <w:kern w:val="2"/>
          <w:sz w:val="32"/>
          <w:szCs w:val="32"/>
        </w:rPr>
        <w:t xml:space="preserve">　王世堅　</w:t>
      </w:r>
    </w:p>
    <w:p w14:paraId="03A25AAB" w14:textId="27A3E6B9" w:rsidR="009D64D0" w:rsidRPr="00B95371" w:rsidRDefault="00D277DB" w:rsidP="00F470A8">
      <w:pPr>
        <w:widowControl w:val="0"/>
        <w:kinsoku w:val="0"/>
        <w:overflowPunct w:val="0"/>
        <w:autoSpaceDN/>
        <w:adjustRightInd w:val="0"/>
        <w:snapToGrid w:val="0"/>
        <w:spacing w:line="480" w:lineRule="exact"/>
        <w:textAlignment w:val="auto"/>
        <w:rPr>
          <w:rFonts w:ascii="標楷體" w:eastAsia="標楷體" w:hAnsi="標楷體"/>
          <w:b/>
          <w:color w:val="000000" w:themeColor="text1"/>
          <w:kern w:val="2"/>
          <w:sz w:val="32"/>
          <w:szCs w:val="32"/>
        </w:rPr>
      </w:pPr>
      <w:r w:rsidRPr="00B95371">
        <w:rPr>
          <w:rFonts w:ascii="標楷體" w:eastAsia="標楷體" w:hAnsi="標楷體"/>
          <w:color w:val="000000" w:themeColor="text1"/>
          <w:spacing w:val="-20"/>
          <w:kern w:val="2"/>
          <w:sz w:val="32"/>
          <w:szCs w:val="32"/>
        </w:rPr>
        <w:t xml:space="preserve">　　　　　</w:t>
      </w:r>
      <w:r w:rsidR="009D64D0" w:rsidRPr="00B95371">
        <w:rPr>
          <w:rFonts w:ascii="標楷體" w:eastAsia="標楷體" w:hAnsi="標楷體"/>
          <w:b/>
          <w:color w:val="000000" w:themeColor="text1"/>
          <w:kern w:val="2"/>
          <w:sz w:val="32"/>
          <w:szCs w:val="32"/>
        </w:rPr>
        <w:t>委員出席1</w:t>
      </w:r>
      <w:r w:rsidR="009D64D0" w:rsidRPr="00B95371">
        <w:rPr>
          <w:rFonts w:ascii="標楷體" w:eastAsia="標楷體" w:hAnsi="標楷體" w:hint="eastAsia"/>
          <w:b/>
          <w:color w:val="000000" w:themeColor="text1"/>
          <w:kern w:val="2"/>
          <w:sz w:val="32"/>
          <w:szCs w:val="32"/>
        </w:rPr>
        <w:t>4</w:t>
      </w:r>
      <w:r w:rsidR="009D64D0" w:rsidRPr="00B95371">
        <w:rPr>
          <w:rFonts w:ascii="標楷體" w:eastAsia="標楷體" w:hAnsi="標楷體"/>
          <w:b/>
          <w:color w:val="000000" w:themeColor="text1"/>
          <w:kern w:val="2"/>
          <w:sz w:val="32"/>
          <w:szCs w:val="32"/>
        </w:rPr>
        <w:t>人</w:t>
      </w:r>
    </w:p>
    <w:p w14:paraId="638AE86F" w14:textId="77777777" w:rsidR="00D277DB" w:rsidRDefault="009D64D0" w:rsidP="00F470A8">
      <w:pPr>
        <w:widowControl w:val="0"/>
        <w:kinsoku w:val="0"/>
        <w:overflowPunct w:val="0"/>
        <w:autoSpaceDN/>
        <w:adjustRightInd w:val="0"/>
        <w:snapToGrid w:val="0"/>
        <w:spacing w:line="480" w:lineRule="exact"/>
        <w:ind w:left="1500" w:rightChars="100" w:right="240" w:hangingChars="500" w:hanging="1500"/>
        <w:textAlignment w:val="auto"/>
        <w:rPr>
          <w:rFonts w:ascii="標楷體" w:eastAsia="標楷體" w:hAnsi="標楷體"/>
          <w:color w:val="000000" w:themeColor="text1"/>
          <w:kern w:val="2"/>
          <w:sz w:val="32"/>
          <w:szCs w:val="32"/>
        </w:rPr>
      </w:pPr>
      <w:r w:rsidRPr="00FD30BC">
        <w:rPr>
          <w:rFonts w:ascii="標楷體" w:eastAsia="標楷體" w:hAnsi="標楷體"/>
          <w:color w:val="000000" w:themeColor="text1"/>
          <w:spacing w:val="-20"/>
          <w:kern w:val="2"/>
          <w:sz w:val="32"/>
          <w:szCs w:val="32"/>
        </w:rPr>
        <w:t>列席委員</w:t>
      </w:r>
      <w:r w:rsidRPr="00477195">
        <w:rPr>
          <w:rFonts w:ascii="標楷體" w:eastAsia="標楷體" w:hAnsi="標楷體"/>
          <w:color w:val="000000" w:themeColor="text1"/>
          <w:spacing w:val="-40"/>
          <w:kern w:val="2"/>
          <w:sz w:val="32"/>
          <w:szCs w:val="32"/>
        </w:rPr>
        <w:t xml:space="preserve">　</w:t>
      </w:r>
      <w:r w:rsidR="00D277DB">
        <w:rPr>
          <w:rFonts w:ascii="標楷體" w:eastAsia="標楷體" w:hAnsi="標楷體" w:hint="eastAsia"/>
          <w:color w:val="000000" w:themeColor="text1"/>
          <w:kern w:val="2"/>
          <w:sz w:val="32"/>
          <w:szCs w:val="32"/>
        </w:rPr>
        <w:t>黃國昌　洪孟楷　葉元之　張啓楷　羅智強　陳培瑜</w:t>
      </w:r>
    </w:p>
    <w:p w14:paraId="336CF92B" w14:textId="77777777" w:rsidR="00D277DB" w:rsidRDefault="00D277DB" w:rsidP="00F470A8">
      <w:pPr>
        <w:widowControl w:val="0"/>
        <w:kinsoku w:val="0"/>
        <w:overflowPunct w:val="0"/>
        <w:autoSpaceDN/>
        <w:adjustRightInd w:val="0"/>
        <w:snapToGrid w:val="0"/>
        <w:spacing w:line="480" w:lineRule="exact"/>
        <w:ind w:left="1500" w:rightChars="100" w:right="240" w:hangingChars="500" w:hanging="1500"/>
        <w:textAlignment w:val="auto"/>
        <w:rPr>
          <w:rFonts w:ascii="標楷體" w:eastAsia="標楷體" w:hAnsi="標楷體"/>
          <w:color w:val="000000" w:themeColor="text1"/>
          <w:kern w:val="2"/>
          <w:sz w:val="32"/>
          <w:szCs w:val="32"/>
        </w:rPr>
      </w:pPr>
      <w:r w:rsidRPr="00B95371">
        <w:rPr>
          <w:rFonts w:ascii="標楷體" w:eastAsia="標楷體" w:hAnsi="標楷體"/>
          <w:color w:val="000000" w:themeColor="text1"/>
          <w:spacing w:val="-20"/>
          <w:kern w:val="2"/>
          <w:sz w:val="32"/>
          <w:szCs w:val="32"/>
        </w:rPr>
        <w:t xml:space="preserve">　　　　　</w:t>
      </w:r>
      <w:r w:rsidR="009D64D0" w:rsidRPr="00B95371">
        <w:rPr>
          <w:rFonts w:ascii="標楷體" w:eastAsia="標楷體" w:hAnsi="標楷體" w:hint="eastAsia"/>
          <w:color w:val="000000" w:themeColor="text1"/>
          <w:kern w:val="2"/>
          <w:sz w:val="32"/>
          <w:szCs w:val="32"/>
        </w:rPr>
        <w:t>鄭天財</w:t>
      </w:r>
      <w:r w:rsidR="009D64D0" w:rsidRPr="00B95371">
        <w:rPr>
          <w:rFonts w:ascii="標楷體" w:eastAsia="標楷體" w:hAnsi="標楷體"/>
          <w:color w:val="000000" w:themeColor="text1"/>
          <w:spacing w:val="-26"/>
          <w:kern w:val="2"/>
          <w:sz w:val="32"/>
          <w:szCs w:val="32"/>
        </w:rPr>
        <w:t>Sra Kacaw</w:t>
      </w:r>
      <w:r>
        <w:rPr>
          <w:rFonts w:ascii="標楷體" w:eastAsia="標楷體" w:hAnsi="標楷體" w:hint="eastAsia"/>
          <w:color w:val="000000" w:themeColor="text1"/>
          <w:kern w:val="2"/>
          <w:sz w:val="32"/>
          <w:szCs w:val="32"/>
        </w:rPr>
        <w:t xml:space="preserve">　葛如鈞　黃健豪　謝龍介　王育敏</w:t>
      </w:r>
    </w:p>
    <w:p w14:paraId="52CB4CD4" w14:textId="77777777" w:rsidR="00D277DB" w:rsidRDefault="00D277DB" w:rsidP="00F470A8">
      <w:pPr>
        <w:widowControl w:val="0"/>
        <w:kinsoku w:val="0"/>
        <w:overflowPunct w:val="0"/>
        <w:autoSpaceDN/>
        <w:adjustRightInd w:val="0"/>
        <w:snapToGrid w:val="0"/>
        <w:spacing w:line="480" w:lineRule="exact"/>
        <w:ind w:left="1500" w:rightChars="100" w:right="240" w:hangingChars="500" w:hanging="1500"/>
        <w:textAlignment w:val="auto"/>
        <w:rPr>
          <w:rFonts w:ascii="標楷體" w:eastAsia="標楷體" w:hAnsi="標楷體"/>
          <w:color w:val="000000" w:themeColor="text1"/>
          <w:kern w:val="2"/>
          <w:sz w:val="32"/>
          <w:szCs w:val="32"/>
        </w:rPr>
      </w:pPr>
      <w:r w:rsidRPr="00B95371">
        <w:rPr>
          <w:rFonts w:ascii="標楷體" w:eastAsia="標楷體" w:hAnsi="標楷體"/>
          <w:color w:val="000000" w:themeColor="text1"/>
          <w:spacing w:val="-20"/>
          <w:kern w:val="2"/>
          <w:sz w:val="32"/>
          <w:szCs w:val="32"/>
        </w:rPr>
        <w:t xml:space="preserve">　　　　　</w:t>
      </w:r>
      <w:r w:rsidR="009D64D0" w:rsidRPr="00B95371">
        <w:rPr>
          <w:rFonts w:ascii="標楷體" w:eastAsia="標楷體" w:hAnsi="標楷體" w:hint="eastAsia"/>
          <w:color w:val="000000" w:themeColor="text1"/>
          <w:kern w:val="2"/>
          <w:sz w:val="32"/>
          <w:szCs w:val="32"/>
        </w:rPr>
        <w:t>吳思瑤　吳宗憲　林倩綺　陳菁徽　徐欣瑩　翁曉玲</w:t>
      </w:r>
    </w:p>
    <w:p w14:paraId="156617C4" w14:textId="77777777" w:rsidR="00D277DB" w:rsidRDefault="00D277DB" w:rsidP="00F470A8">
      <w:pPr>
        <w:widowControl w:val="0"/>
        <w:kinsoku w:val="0"/>
        <w:overflowPunct w:val="0"/>
        <w:autoSpaceDN/>
        <w:adjustRightInd w:val="0"/>
        <w:snapToGrid w:val="0"/>
        <w:spacing w:line="480" w:lineRule="exact"/>
        <w:ind w:left="1500" w:rightChars="100" w:right="240" w:hangingChars="500" w:hanging="1500"/>
        <w:textAlignment w:val="auto"/>
        <w:rPr>
          <w:rFonts w:ascii="標楷體" w:eastAsia="標楷體" w:hAnsi="標楷體"/>
          <w:color w:val="000000" w:themeColor="text1"/>
          <w:kern w:val="2"/>
          <w:sz w:val="32"/>
          <w:szCs w:val="32"/>
        </w:rPr>
      </w:pPr>
      <w:r w:rsidRPr="00B95371">
        <w:rPr>
          <w:rFonts w:ascii="標楷體" w:eastAsia="標楷體" w:hAnsi="標楷體"/>
          <w:color w:val="000000" w:themeColor="text1"/>
          <w:spacing w:val="-20"/>
          <w:kern w:val="2"/>
          <w:sz w:val="32"/>
          <w:szCs w:val="32"/>
        </w:rPr>
        <w:t xml:space="preserve">　　　　　</w:t>
      </w:r>
      <w:r w:rsidR="009D64D0" w:rsidRPr="00B95371">
        <w:rPr>
          <w:rFonts w:ascii="標楷體" w:eastAsia="標楷體" w:hAnsi="標楷體" w:hint="eastAsia"/>
          <w:color w:val="000000" w:themeColor="text1"/>
          <w:kern w:val="2"/>
          <w:sz w:val="32"/>
          <w:szCs w:val="32"/>
        </w:rPr>
        <w:t>吳春城　李柏毅　蔡易餘　郭昱晴　黃　捷　王美惠</w:t>
      </w:r>
    </w:p>
    <w:p w14:paraId="067D066D" w14:textId="27889880" w:rsidR="009D64D0" w:rsidRPr="00B95371" w:rsidRDefault="00D277DB" w:rsidP="00F470A8">
      <w:pPr>
        <w:widowControl w:val="0"/>
        <w:kinsoku w:val="0"/>
        <w:overflowPunct w:val="0"/>
        <w:autoSpaceDN/>
        <w:adjustRightInd w:val="0"/>
        <w:snapToGrid w:val="0"/>
        <w:spacing w:line="480" w:lineRule="exact"/>
        <w:ind w:left="1500" w:rightChars="100" w:right="240" w:hangingChars="500" w:hanging="1500"/>
        <w:textAlignment w:val="auto"/>
        <w:rPr>
          <w:rFonts w:ascii="標楷體" w:eastAsia="標楷體" w:hAnsi="標楷體"/>
          <w:color w:val="000000" w:themeColor="text1"/>
          <w:kern w:val="2"/>
          <w:sz w:val="32"/>
          <w:szCs w:val="32"/>
        </w:rPr>
      </w:pPr>
      <w:r w:rsidRPr="00B95371">
        <w:rPr>
          <w:rFonts w:ascii="標楷體" w:eastAsia="標楷體" w:hAnsi="標楷體"/>
          <w:color w:val="000000" w:themeColor="text1"/>
          <w:spacing w:val="-20"/>
          <w:kern w:val="2"/>
          <w:sz w:val="32"/>
          <w:szCs w:val="32"/>
        </w:rPr>
        <w:t xml:space="preserve">　　　　</w:t>
      </w:r>
      <w:r w:rsidR="009D64D0" w:rsidRPr="00B95371">
        <w:rPr>
          <w:rFonts w:ascii="標楷體" w:eastAsia="標楷體" w:hAnsi="標楷體" w:hint="eastAsia"/>
          <w:color w:val="000000" w:themeColor="text1"/>
          <w:kern w:val="2"/>
          <w:sz w:val="32"/>
          <w:szCs w:val="32"/>
        </w:rPr>
        <w:t xml:space="preserve">　張雅琳　林思銘　許宇甄　徐巧芯</w:t>
      </w:r>
    </w:p>
    <w:p w14:paraId="056C2ED6" w14:textId="77777777" w:rsidR="009D64D0" w:rsidRPr="00B95371" w:rsidRDefault="00B95371" w:rsidP="00F470A8">
      <w:pPr>
        <w:widowControl w:val="0"/>
        <w:kinsoku w:val="0"/>
        <w:overflowPunct w:val="0"/>
        <w:autoSpaceDN/>
        <w:adjustRightInd w:val="0"/>
        <w:snapToGrid w:val="0"/>
        <w:spacing w:line="480" w:lineRule="exact"/>
        <w:ind w:leftChars="500" w:left="1200"/>
        <w:textAlignment w:val="auto"/>
        <w:rPr>
          <w:rFonts w:ascii="標楷體" w:eastAsia="標楷體" w:hAnsi="標楷體"/>
          <w:b/>
          <w:color w:val="000000"/>
          <w:kern w:val="2"/>
          <w:sz w:val="32"/>
          <w:szCs w:val="32"/>
        </w:rPr>
      </w:pPr>
      <w:r>
        <w:rPr>
          <w:rFonts w:ascii="標楷體" w:eastAsia="標楷體" w:hAnsi="標楷體"/>
          <w:color w:val="000000" w:themeColor="text1"/>
          <w:spacing w:val="-20"/>
          <w:kern w:val="2"/>
          <w:sz w:val="32"/>
          <w:szCs w:val="32"/>
        </w:rPr>
        <w:t xml:space="preserve">　</w:t>
      </w:r>
      <w:r w:rsidR="009D64D0" w:rsidRPr="00B95371">
        <w:rPr>
          <w:rFonts w:ascii="標楷體" w:eastAsia="標楷體" w:hAnsi="標楷體"/>
          <w:b/>
          <w:color w:val="000000"/>
          <w:kern w:val="2"/>
          <w:sz w:val="32"/>
          <w:szCs w:val="32"/>
        </w:rPr>
        <w:t>委員列席</w:t>
      </w:r>
      <w:r w:rsidR="009D64D0" w:rsidRPr="00B95371">
        <w:rPr>
          <w:rFonts w:ascii="標楷體" w:eastAsia="標楷體" w:hAnsi="標楷體" w:hint="eastAsia"/>
          <w:b/>
          <w:color w:val="000000"/>
          <w:kern w:val="2"/>
          <w:sz w:val="32"/>
          <w:szCs w:val="32"/>
        </w:rPr>
        <w:t>27</w:t>
      </w:r>
      <w:r w:rsidR="009D64D0" w:rsidRPr="00B95371">
        <w:rPr>
          <w:rFonts w:ascii="標楷體" w:eastAsia="標楷體" w:hAnsi="標楷體"/>
          <w:b/>
          <w:color w:val="000000"/>
          <w:kern w:val="2"/>
          <w:sz w:val="32"/>
          <w:szCs w:val="32"/>
        </w:rPr>
        <w:t>人</w:t>
      </w:r>
    </w:p>
    <w:p w14:paraId="224D73CD"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FD30BC">
        <w:rPr>
          <w:rFonts w:ascii="標楷體" w:eastAsia="標楷體" w:hAnsi="標楷體"/>
          <w:color w:val="000000"/>
          <w:spacing w:val="-20"/>
          <w:kern w:val="16"/>
          <w:sz w:val="32"/>
          <w:szCs w:val="32"/>
        </w:rPr>
        <w:t>列席官員</w:t>
      </w:r>
      <w:r w:rsidRPr="00B95371">
        <w:rPr>
          <w:rFonts w:ascii="標楷體" w:eastAsia="標楷體" w:hAnsi="標楷體" w:hint="eastAsia"/>
          <w:color w:val="000000"/>
          <w:kern w:val="16"/>
          <w:sz w:val="32"/>
          <w:szCs w:val="32"/>
        </w:rPr>
        <w:t xml:space="preserve">　</w:t>
      </w:r>
      <w:r w:rsidRPr="00B95371">
        <w:rPr>
          <w:rFonts w:ascii="標楷體" w:eastAsia="標楷體" w:hAnsi="標楷體" w:hint="eastAsia"/>
          <w:b/>
          <w:color w:val="000000"/>
          <w:kern w:val="16"/>
          <w:sz w:val="32"/>
          <w:szCs w:val="32"/>
        </w:rPr>
        <w:t>行政院</w:t>
      </w:r>
      <w:r w:rsidRPr="00B95371">
        <w:rPr>
          <w:rFonts w:ascii="標楷體" w:eastAsia="標楷體" w:hAnsi="標楷體" w:hint="eastAsia"/>
          <w:color w:val="000000"/>
          <w:kern w:val="16"/>
          <w:sz w:val="32"/>
          <w:szCs w:val="32"/>
        </w:rPr>
        <w:t xml:space="preserve">　　　　　　　　　　　常務副秘書長李國興</w:t>
      </w:r>
    </w:p>
    <w:p w14:paraId="106051D2"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FD30BC">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(秘書長龔明鑫請假)</w:t>
      </w:r>
    </w:p>
    <w:p w14:paraId="5A2FB0AA"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FD30BC">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w:t>
      </w:r>
      <w:r w:rsidRPr="00B95371">
        <w:rPr>
          <w:rFonts w:ascii="標楷體" w:eastAsia="標楷體" w:hAnsi="標楷體" w:hint="eastAsia"/>
          <w:b/>
          <w:color w:val="000000"/>
          <w:kern w:val="16"/>
          <w:sz w:val="32"/>
          <w:szCs w:val="32"/>
        </w:rPr>
        <w:t>行政院主計總處</w:t>
      </w:r>
      <w:r w:rsidRPr="00B95371">
        <w:rPr>
          <w:rFonts w:ascii="標楷體" w:eastAsia="標楷體" w:hAnsi="標楷體" w:hint="eastAsia"/>
          <w:color w:val="000000"/>
          <w:kern w:val="16"/>
          <w:sz w:val="32"/>
          <w:szCs w:val="32"/>
        </w:rPr>
        <w:t xml:space="preserve">　　　　　　　主計長　　　陳淑姿</w:t>
      </w:r>
    </w:p>
    <w:p w14:paraId="72995F9E"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FD30BC">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主任秘書　　許雅玲</w:t>
      </w:r>
    </w:p>
    <w:p w14:paraId="00F625E4"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FD30BC">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綜合規劃處　　　　　　　　處長　　　　李奕君</w:t>
      </w:r>
    </w:p>
    <w:p w14:paraId="7E18481B"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公務預算處　　　　　　　　處長　　　　許永議</w:t>
      </w:r>
    </w:p>
    <w:p w14:paraId="0493416E"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基金預算處　　　　　　　　處長　　　　黃叔娟</w:t>
      </w:r>
    </w:p>
    <w:p w14:paraId="2041BD27"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會計決算處　　　　　　　　處長　　　　許一娟</w:t>
      </w:r>
    </w:p>
    <w:p w14:paraId="150250B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綜合統計處　　　　　　　　處長　　　　蔡鈺泰</w:t>
      </w:r>
    </w:p>
    <w:p w14:paraId="14E05F1E"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國勢普查處　　　　　　　　處長　　　　潘寧馨</w:t>
      </w:r>
    </w:p>
    <w:p w14:paraId="7EADD06B"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主計資訊處　　　　　　　　副處長　　　吳淑玲</w:t>
      </w:r>
    </w:p>
    <w:p w14:paraId="6D21A6DC"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人事處　　　　　　　　　　處長　　　　許文壽</w:t>
      </w:r>
    </w:p>
    <w:p w14:paraId="3F0B27DB"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秘書室　　　　　　　　　　主任　　　　楊滿娥</w:t>
      </w:r>
    </w:p>
    <w:p w14:paraId="2A04BF9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政風室　　　　　　　　　　主任　　　　陳美倫</w:t>
      </w:r>
    </w:p>
    <w:p w14:paraId="1338000B"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主計室　　　　　　　　　　主任　　　　詹媖珺</w:t>
      </w:r>
    </w:p>
    <w:p w14:paraId="66667232"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w:t>
      </w:r>
      <w:r w:rsidRPr="00B95371">
        <w:rPr>
          <w:rFonts w:ascii="標楷體" w:eastAsia="標楷體" w:hAnsi="標楷體" w:hint="eastAsia"/>
          <w:b/>
          <w:color w:val="000000"/>
          <w:kern w:val="16"/>
          <w:sz w:val="32"/>
          <w:szCs w:val="32"/>
        </w:rPr>
        <w:t>審計部</w:t>
      </w:r>
      <w:r w:rsidRPr="00B95371">
        <w:rPr>
          <w:rFonts w:ascii="標楷體" w:eastAsia="標楷體" w:hAnsi="標楷體" w:hint="eastAsia"/>
          <w:color w:val="000000"/>
          <w:kern w:val="16"/>
          <w:sz w:val="32"/>
          <w:szCs w:val="32"/>
        </w:rPr>
        <w:t xml:space="preserve">　　　　　　　　　　　審計長　　　陳瑞敏</w:t>
      </w:r>
    </w:p>
    <w:p w14:paraId="0337DDF5"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887629">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副審計長　　李順保</w:t>
      </w:r>
    </w:p>
    <w:p w14:paraId="114AA1CD"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lastRenderedPageBreak/>
        <w:t xml:space="preserve">　　　　</w:t>
      </w:r>
      <w:r w:rsidRPr="00B95371">
        <w:rPr>
          <w:rFonts w:ascii="標楷體" w:eastAsia="標楷體" w:hAnsi="標楷體" w:hint="eastAsia"/>
          <w:color w:val="000000"/>
          <w:kern w:val="16"/>
          <w:sz w:val="32"/>
          <w:szCs w:val="32"/>
        </w:rPr>
        <w:t xml:space="preserve">　　　　　　　　　　　　　　　主任秘書　　詹美玲</w:t>
      </w:r>
    </w:p>
    <w:p w14:paraId="772DE5E0"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第一廳　　　　　　　　　　廳長　　　　林汝玲</w:t>
      </w:r>
    </w:p>
    <w:p w14:paraId="36D8C041"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第二廳　　　　　　　　　　廳長　　　　陳正鏞</w:t>
      </w:r>
    </w:p>
    <w:p w14:paraId="34545D73"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第三廳　　　　　　　　　　廳長　　　　周琼怡</w:t>
      </w:r>
    </w:p>
    <w:p w14:paraId="2391C478"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第四廳　　　　　　　　　　廳長　　　　洪春熹</w:t>
      </w:r>
    </w:p>
    <w:p w14:paraId="2A2AF235"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第五廳　　　　　　　　　　廳長　　　　林建志</w:t>
      </w:r>
    </w:p>
    <w:p w14:paraId="4C9AA116"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第六廳　　　　　　　　　　廳長　　　　葉盈池</w:t>
      </w:r>
    </w:p>
    <w:p w14:paraId="6322ADEB"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覆審室　　　　　　　　　　主任　　　　王挺龍</w:t>
      </w:r>
    </w:p>
    <w:p w14:paraId="447703E9"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審計業務研究委員會　　　　執行秘書　　溫忠元</w:t>
      </w:r>
    </w:p>
    <w:p w14:paraId="24DDDEE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審計人員訓練委員會　　　　執行秘書　　張玫玉</w:t>
      </w:r>
    </w:p>
    <w:p w14:paraId="6EBE2FC4"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關鍵審計議題發展委員會　　執行秘書　　林勝賢</w:t>
      </w:r>
    </w:p>
    <w:p w14:paraId="113B7435"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資訊處　　　　　　　　　　處長　　　　邱團寶</w:t>
      </w:r>
    </w:p>
    <w:p w14:paraId="30E5CE6D"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總務處　　　　　　　　　　處長　　　　蕭瑞泳</w:t>
      </w:r>
    </w:p>
    <w:p w14:paraId="7B2CF5C6"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人事室　　　　　　　　　　主任　　　　黃炳煌</w:t>
      </w:r>
    </w:p>
    <w:p w14:paraId="06DDA664"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會計室　　　　　　　　　　主任　　　　王雪齡</w:t>
      </w:r>
    </w:p>
    <w:p w14:paraId="00450EBE"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政風室　　　　　　　　　　主任　　　　倪福華</w:t>
      </w:r>
    </w:p>
    <w:p w14:paraId="74533C47"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教育農林審計處　　　　　　處長　　　　李香美</w:t>
      </w:r>
    </w:p>
    <w:p w14:paraId="383C64E8"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交通建設審計處　　　　　　處長　　　　李奕勳</w:t>
      </w:r>
    </w:p>
    <w:p w14:paraId="7FF7FCE8"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臺北市審計處　　　　　　　處長　　　　張志乾</w:t>
      </w:r>
    </w:p>
    <w:p w14:paraId="67AE4E4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新北市審計處　　　　　　　處長　　　　張錫朧</w:t>
      </w:r>
    </w:p>
    <w:p w14:paraId="24FF1A9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桃園市審計處　　　　　　　處長　　　　張漢卿</w:t>
      </w:r>
    </w:p>
    <w:p w14:paraId="69AD0B25"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臺中市審計處　　　　　　　處長　　　　吳錦祥</w:t>
      </w:r>
    </w:p>
    <w:p w14:paraId="2E916BED"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臺南市審計處　　　　　　　處長　　　　陳三民</w:t>
      </w:r>
    </w:p>
    <w:p w14:paraId="1BE622A4"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高雄市審計處　　　　　　　處長　　　　林建成</w:t>
      </w:r>
    </w:p>
    <w:p w14:paraId="66CBA240"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基隆市審計室　　　　　　　主任　　　　朱韻雯</w:t>
      </w:r>
    </w:p>
    <w:p w14:paraId="2D1C65B1"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宜蘭縣審計室　　　　　　　主任　　　　陸冠聖</w:t>
      </w:r>
    </w:p>
    <w:p w14:paraId="3575F51E"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新竹縣審計室　　　　　　　主任　　　　黃美蘭</w:t>
      </w:r>
    </w:p>
    <w:p w14:paraId="0949541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新竹市審計室　　　　　　　主任　　　　劉玉珠</w:t>
      </w:r>
    </w:p>
    <w:p w14:paraId="5D2CE308"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苗栗縣審計室　　　　　　　主任　　　　郭麗玲</w:t>
      </w:r>
    </w:p>
    <w:p w14:paraId="1E0E8579"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彰化縣審計室　　　　　　　主任　　　　謝淑芬</w:t>
      </w:r>
    </w:p>
    <w:p w14:paraId="2E232516"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lastRenderedPageBreak/>
        <w:t xml:space="preserve">　　　　</w:t>
      </w:r>
      <w:r w:rsidRPr="00B95371">
        <w:rPr>
          <w:rFonts w:ascii="標楷體" w:eastAsia="標楷體" w:hAnsi="標楷體" w:hint="eastAsia"/>
          <w:color w:val="000000"/>
          <w:kern w:val="16"/>
          <w:sz w:val="32"/>
          <w:szCs w:val="32"/>
        </w:rPr>
        <w:t xml:space="preserve">　　南投縣審計室　　　　　　　主任　　　　楊美冠</w:t>
      </w:r>
    </w:p>
    <w:p w14:paraId="15528454"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雲林縣審計室　　　　　　　主任　　　　王文助</w:t>
      </w:r>
    </w:p>
    <w:p w14:paraId="19AB3AF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嘉義縣審計室　　　　　　　主任　　　　陳幸惠</w:t>
      </w:r>
    </w:p>
    <w:p w14:paraId="5903101E"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嘉義市審計室　　　　　　　主任　　　　魏識如</w:t>
      </w:r>
    </w:p>
    <w:p w14:paraId="658E33AD"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屏東縣審計室　　　　　　　主任　　　　李雪梅</w:t>
      </w:r>
    </w:p>
    <w:p w14:paraId="1B615974"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花蓮縣審計室　　　　　　　主任　　　　劉莉玲</w:t>
      </w:r>
    </w:p>
    <w:p w14:paraId="00B1764F"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臺東縣審計室　　　　　　　主任　　　　邱燦興</w:t>
      </w:r>
    </w:p>
    <w:p w14:paraId="33146CE6"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澎湖縣審計室　　　　　　　主任　　　　莊淑美</w:t>
      </w:r>
    </w:p>
    <w:p w14:paraId="31A26FE0"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金門縣審計室　　　　　　　主任　　　　楊大陽</w:t>
      </w:r>
    </w:p>
    <w:p w14:paraId="3FAAABD2"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w:t>
      </w:r>
      <w:r w:rsidRPr="00B95371">
        <w:rPr>
          <w:rFonts w:ascii="標楷體" w:eastAsia="標楷體" w:hAnsi="標楷體" w:hint="eastAsia"/>
          <w:b/>
          <w:color w:val="000000"/>
          <w:kern w:val="16"/>
          <w:sz w:val="32"/>
          <w:szCs w:val="32"/>
        </w:rPr>
        <w:t>財政部</w:t>
      </w:r>
      <w:r w:rsidRPr="00B95371">
        <w:rPr>
          <w:rFonts w:ascii="標楷體" w:eastAsia="標楷體" w:hAnsi="標楷體" w:hint="eastAsia"/>
          <w:color w:val="000000"/>
          <w:kern w:val="16"/>
          <w:sz w:val="32"/>
          <w:szCs w:val="32"/>
        </w:rPr>
        <w:t>國庫署　　　　　　　　署長　　　　陳柏誠</w:t>
      </w:r>
    </w:p>
    <w:p w14:paraId="118E6568"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B95371">
        <w:rPr>
          <w:rFonts w:ascii="標楷體" w:eastAsia="標楷體" w:hAnsi="標楷體" w:hint="eastAsia"/>
          <w:color w:val="000000"/>
          <w:kern w:val="16"/>
          <w:sz w:val="32"/>
          <w:szCs w:val="32"/>
        </w:rPr>
        <w:t xml:space="preserve">　　　　　　　　　　　　　　　　　　　(部長莊翠雲請假)</w:t>
      </w:r>
    </w:p>
    <w:p w14:paraId="1ED4F4F0"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5009FD">
        <w:rPr>
          <w:rFonts w:ascii="標楷體" w:eastAsia="標楷體" w:hAnsi="標楷體" w:hint="eastAsia"/>
          <w:color w:val="000000"/>
          <w:spacing w:val="-20"/>
          <w:kern w:val="16"/>
          <w:sz w:val="32"/>
          <w:szCs w:val="32"/>
        </w:rPr>
        <w:t xml:space="preserve">　　　　</w:t>
      </w:r>
      <w:r w:rsidRPr="00B95371">
        <w:rPr>
          <w:rFonts w:ascii="標楷體" w:eastAsia="標楷體" w:hAnsi="標楷體" w:hint="eastAsia"/>
          <w:color w:val="000000"/>
          <w:kern w:val="16"/>
          <w:sz w:val="32"/>
          <w:szCs w:val="32"/>
        </w:rPr>
        <w:t xml:space="preserve">　</w:t>
      </w:r>
      <w:r w:rsidRPr="00B95371">
        <w:rPr>
          <w:rFonts w:ascii="標楷體" w:eastAsia="標楷體" w:hAnsi="標楷體" w:hint="eastAsia"/>
          <w:b/>
          <w:color w:val="000000"/>
          <w:kern w:val="16"/>
          <w:sz w:val="32"/>
          <w:szCs w:val="32"/>
        </w:rPr>
        <w:t>行政院人事行政總處</w:t>
      </w:r>
      <w:r w:rsidRPr="00B95371">
        <w:rPr>
          <w:rFonts w:ascii="標楷體" w:eastAsia="標楷體" w:hAnsi="標楷體" w:hint="eastAsia"/>
          <w:color w:val="000000"/>
          <w:kern w:val="16"/>
          <w:sz w:val="32"/>
          <w:szCs w:val="32"/>
        </w:rPr>
        <w:t xml:space="preserve">　　　　　人事長　　　蘇俊榮</w:t>
      </w:r>
    </w:p>
    <w:p w14:paraId="6AC570D4"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B95371">
        <w:rPr>
          <w:rFonts w:ascii="標楷體" w:eastAsia="標楷體" w:hAnsi="標楷體"/>
          <w:color w:val="000000"/>
          <w:kern w:val="16"/>
          <w:sz w:val="32"/>
          <w:szCs w:val="32"/>
        </w:rPr>
        <w:t xml:space="preserve">主　　席　</w:t>
      </w:r>
      <w:r w:rsidRPr="00B95371">
        <w:rPr>
          <w:rFonts w:ascii="標楷體" w:eastAsia="標楷體" w:hAnsi="標楷體" w:hint="eastAsia"/>
          <w:color w:val="000000"/>
          <w:kern w:val="16"/>
          <w:sz w:val="32"/>
          <w:szCs w:val="32"/>
        </w:rPr>
        <w:t>賴</w:t>
      </w:r>
      <w:r w:rsidRPr="00B95371">
        <w:rPr>
          <w:rFonts w:ascii="標楷體" w:eastAsia="標楷體" w:hAnsi="標楷體"/>
          <w:color w:val="000000"/>
          <w:kern w:val="16"/>
          <w:sz w:val="32"/>
          <w:szCs w:val="32"/>
        </w:rPr>
        <w:t>召集委員</w:t>
      </w:r>
      <w:r w:rsidRPr="00B95371">
        <w:rPr>
          <w:rFonts w:ascii="標楷體" w:eastAsia="標楷體" w:hAnsi="標楷體" w:hint="eastAsia"/>
          <w:color w:val="000000"/>
          <w:kern w:val="16"/>
          <w:sz w:val="32"/>
          <w:szCs w:val="32"/>
        </w:rPr>
        <w:t>惠員</w:t>
      </w:r>
    </w:p>
    <w:p w14:paraId="33866675"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B95371">
        <w:rPr>
          <w:rFonts w:ascii="標楷體" w:eastAsia="標楷體" w:hAnsi="標楷體"/>
          <w:color w:val="000000"/>
          <w:kern w:val="16"/>
          <w:sz w:val="32"/>
          <w:szCs w:val="32"/>
        </w:rPr>
        <w:t xml:space="preserve">專門委員　</w:t>
      </w:r>
      <w:r w:rsidRPr="00B95371">
        <w:rPr>
          <w:rFonts w:ascii="標楷體" w:eastAsia="標楷體" w:hAnsi="標楷體" w:hint="eastAsia"/>
          <w:color w:val="000000"/>
          <w:kern w:val="16"/>
          <w:sz w:val="32"/>
          <w:szCs w:val="32"/>
        </w:rPr>
        <w:t>林靜玟</w:t>
      </w:r>
    </w:p>
    <w:p w14:paraId="461570A5"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B95371">
        <w:rPr>
          <w:rFonts w:ascii="標楷體" w:eastAsia="標楷體" w:hAnsi="標楷體"/>
          <w:color w:val="000000"/>
          <w:kern w:val="16"/>
          <w:sz w:val="32"/>
          <w:szCs w:val="32"/>
        </w:rPr>
        <w:t>主任秘書　謝淑津</w:t>
      </w:r>
    </w:p>
    <w:p w14:paraId="3F8F3120"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B95371">
        <w:rPr>
          <w:rFonts w:ascii="標楷體" w:eastAsia="標楷體" w:hAnsi="標楷體"/>
          <w:color w:val="000000"/>
          <w:kern w:val="16"/>
          <w:sz w:val="32"/>
          <w:szCs w:val="32"/>
        </w:rPr>
        <w:t xml:space="preserve">紀　　錄　秘　書　</w:t>
      </w:r>
      <w:r w:rsidRPr="00B95371">
        <w:rPr>
          <w:rFonts w:ascii="標楷體" w:eastAsia="標楷體" w:hAnsi="標楷體" w:hint="eastAsia"/>
          <w:color w:val="000000"/>
          <w:kern w:val="16"/>
          <w:sz w:val="32"/>
          <w:szCs w:val="32"/>
        </w:rPr>
        <w:t>吳人寬</w:t>
      </w:r>
      <w:r w:rsidRPr="00B95371">
        <w:rPr>
          <w:rFonts w:ascii="標楷體" w:eastAsia="標楷體" w:hAnsi="標楷體"/>
          <w:color w:val="000000"/>
          <w:kern w:val="16"/>
          <w:sz w:val="32"/>
          <w:szCs w:val="32"/>
        </w:rPr>
        <w:t xml:space="preserve">　</w:t>
      </w:r>
      <w:r w:rsidRPr="00B95371">
        <w:rPr>
          <w:rFonts w:ascii="標楷體" w:eastAsia="標楷體" w:hAnsi="標楷體" w:hint="eastAsia"/>
          <w:color w:val="000000"/>
          <w:kern w:val="16"/>
          <w:sz w:val="32"/>
          <w:szCs w:val="32"/>
        </w:rPr>
        <w:t>研究員</w:t>
      </w:r>
      <w:r w:rsidRPr="00B95371">
        <w:rPr>
          <w:rFonts w:ascii="標楷體" w:eastAsia="標楷體" w:hAnsi="標楷體"/>
          <w:color w:val="000000"/>
          <w:kern w:val="16"/>
          <w:sz w:val="32"/>
          <w:szCs w:val="32"/>
        </w:rPr>
        <w:t xml:space="preserve">　</w:t>
      </w:r>
      <w:r w:rsidRPr="00B95371">
        <w:rPr>
          <w:rFonts w:ascii="標楷體" w:eastAsia="標楷體" w:hAnsi="標楷體" w:hint="eastAsia"/>
          <w:color w:val="000000"/>
          <w:kern w:val="16"/>
          <w:sz w:val="32"/>
          <w:szCs w:val="32"/>
        </w:rPr>
        <w:t>黃惠雯</w:t>
      </w:r>
      <w:r w:rsidRPr="00B95371">
        <w:rPr>
          <w:rFonts w:ascii="標楷體" w:eastAsia="標楷體" w:hAnsi="標楷體"/>
          <w:color w:val="000000"/>
          <w:kern w:val="16"/>
          <w:sz w:val="32"/>
          <w:szCs w:val="32"/>
        </w:rPr>
        <w:t xml:space="preserve">　編　審　</w:t>
      </w:r>
      <w:r w:rsidRPr="00B95371">
        <w:rPr>
          <w:rFonts w:ascii="標楷體" w:eastAsia="標楷體" w:hAnsi="標楷體" w:hint="eastAsia"/>
          <w:color w:val="000000"/>
          <w:kern w:val="16"/>
          <w:sz w:val="32"/>
          <w:szCs w:val="32"/>
        </w:rPr>
        <w:t>伍明清</w:t>
      </w:r>
      <w:r w:rsidRPr="00B95371">
        <w:rPr>
          <w:rFonts w:ascii="標楷體" w:eastAsia="標楷體" w:hAnsi="標楷體"/>
          <w:color w:val="000000"/>
          <w:kern w:val="16"/>
          <w:sz w:val="32"/>
          <w:szCs w:val="32"/>
        </w:rPr>
        <w:t xml:space="preserve">　</w:t>
      </w:r>
    </w:p>
    <w:p w14:paraId="735C6187" w14:textId="77777777" w:rsidR="009D64D0" w:rsidRPr="00B95371"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color w:val="000000"/>
          <w:kern w:val="16"/>
          <w:sz w:val="32"/>
          <w:szCs w:val="32"/>
        </w:rPr>
      </w:pPr>
      <w:r w:rsidRPr="00B95371">
        <w:rPr>
          <w:rFonts w:ascii="標楷體" w:eastAsia="標楷體" w:hAnsi="標楷體"/>
          <w:color w:val="000000"/>
          <w:kern w:val="16"/>
          <w:sz w:val="32"/>
          <w:szCs w:val="32"/>
        </w:rPr>
        <w:t xml:space="preserve">　　　　　</w:t>
      </w:r>
      <w:r w:rsidRPr="00B95371">
        <w:rPr>
          <w:rFonts w:ascii="標楷體" w:eastAsia="標楷體" w:hAnsi="標楷體" w:hint="eastAsia"/>
          <w:color w:val="000000"/>
          <w:kern w:val="16"/>
          <w:sz w:val="32"/>
          <w:szCs w:val="32"/>
        </w:rPr>
        <w:t>科</w:t>
      </w:r>
      <w:r w:rsidRPr="00B95371">
        <w:rPr>
          <w:rFonts w:ascii="標楷體" w:eastAsia="標楷體" w:hAnsi="標楷體"/>
          <w:color w:val="000000"/>
          <w:kern w:val="16"/>
          <w:sz w:val="32"/>
          <w:szCs w:val="32"/>
        </w:rPr>
        <w:t xml:space="preserve">　長　</w:t>
      </w:r>
      <w:r w:rsidRPr="00B95371">
        <w:rPr>
          <w:rFonts w:ascii="標楷體" w:eastAsia="標楷體" w:hAnsi="標楷體" w:hint="eastAsia"/>
          <w:color w:val="000000"/>
          <w:kern w:val="16"/>
          <w:sz w:val="32"/>
          <w:szCs w:val="32"/>
        </w:rPr>
        <w:t>喻</w:t>
      </w:r>
      <w:r w:rsidRPr="00B95371">
        <w:rPr>
          <w:rFonts w:ascii="標楷體" w:eastAsia="標楷體" w:hAnsi="標楷體"/>
          <w:color w:val="000000"/>
          <w:kern w:val="16"/>
          <w:sz w:val="32"/>
          <w:szCs w:val="32"/>
        </w:rPr>
        <w:t xml:space="preserve">　</w:t>
      </w:r>
      <w:r w:rsidRPr="00B95371">
        <w:rPr>
          <w:rFonts w:ascii="標楷體" w:eastAsia="標楷體" w:hAnsi="標楷體" w:hint="eastAsia"/>
          <w:color w:val="000000"/>
          <w:kern w:val="16"/>
          <w:sz w:val="32"/>
          <w:szCs w:val="32"/>
        </w:rPr>
        <w:t xml:space="preserve">珊　科　員　簡廷育　</w:t>
      </w:r>
    </w:p>
    <w:p w14:paraId="3A166E21" w14:textId="77777777" w:rsidR="009D64D0" w:rsidRPr="00B95371" w:rsidRDefault="009D64D0" w:rsidP="00F470A8">
      <w:pPr>
        <w:widowControl w:val="0"/>
        <w:kinsoku w:val="0"/>
        <w:overflowPunct w:val="0"/>
        <w:autoSpaceDE w:val="0"/>
        <w:adjustRightInd w:val="0"/>
        <w:snapToGrid w:val="0"/>
        <w:spacing w:beforeLines="50" w:before="180" w:line="480" w:lineRule="exact"/>
        <w:ind w:leftChars="201" w:left="482"/>
        <w:jc w:val="both"/>
        <w:textAlignment w:val="auto"/>
        <w:rPr>
          <w:rFonts w:ascii="標楷體" w:eastAsia="標楷體" w:hAnsi="標楷體"/>
          <w:b/>
          <w:color w:val="000000" w:themeColor="text1"/>
          <w:kern w:val="2"/>
          <w:sz w:val="32"/>
          <w:szCs w:val="32"/>
        </w:rPr>
      </w:pPr>
      <w:r w:rsidRPr="00B95371">
        <w:rPr>
          <w:rFonts w:ascii="標楷體" w:eastAsia="標楷體" w:hAnsi="標楷體" w:hint="eastAsia"/>
          <w:b/>
          <w:color w:val="000000" w:themeColor="text1"/>
          <w:kern w:val="2"/>
          <w:sz w:val="32"/>
          <w:szCs w:val="32"/>
        </w:rPr>
        <w:t>討論事項</w:t>
      </w:r>
    </w:p>
    <w:p w14:paraId="098BCC05" w14:textId="77777777" w:rsidR="009D64D0" w:rsidRPr="00D61087" w:rsidRDefault="009D64D0" w:rsidP="00F470A8">
      <w:pPr>
        <w:pStyle w:val="Default"/>
        <w:overflowPunct w:val="0"/>
        <w:spacing w:line="500" w:lineRule="exact"/>
        <w:ind w:leftChars="9" w:left="682" w:hangingChars="206" w:hanging="660"/>
        <w:jc w:val="both"/>
        <w:rPr>
          <w:b/>
          <w:bCs/>
          <w:sz w:val="32"/>
          <w:szCs w:val="36"/>
        </w:rPr>
      </w:pPr>
      <w:r w:rsidRPr="00D61087">
        <w:rPr>
          <w:rFonts w:hint="eastAsia"/>
          <w:b/>
          <w:bCs/>
          <w:sz w:val="32"/>
          <w:szCs w:val="36"/>
        </w:rPr>
        <w:t>一、審查中華民國114年度中央政府總預算案有關</w:t>
      </w:r>
      <w:r w:rsidRPr="00D61087">
        <w:rPr>
          <w:rFonts w:hint="eastAsia"/>
          <w:b/>
          <w:sz w:val="32"/>
          <w:szCs w:val="32"/>
        </w:rPr>
        <w:t>主計總處暨</w:t>
      </w:r>
      <w:r w:rsidRPr="00D61087">
        <w:rPr>
          <w:rFonts w:hint="eastAsia"/>
          <w:b/>
          <w:bCs/>
          <w:sz w:val="32"/>
          <w:szCs w:val="36"/>
        </w:rPr>
        <w:t>審計部、審計部臺北市審計處、審計部新北市審計處、審計部桃園市審計處、審計部臺中市審計處、審計部臺南市審計處、審計部高雄市審計處部分。</w:t>
      </w:r>
    </w:p>
    <w:p w14:paraId="531EA219" w14:textId="77777777" w:rsidR="009D64D0" w:rsidRPr="00D61087" w:rsidRDefault="009D64D0" w:rsidP="00F470A8">
      <w:pPr>
        <w:pStyle w:val="Default"/>
        <w:overflowPunct w:val="0"/>
        <w:spacing w:line="500" w:lineRule="exact"/>
        <w:ind w:leftChars="9" w:left="682" w:hangingChars="206" w:hanging="660"/>
        <w:jc w:val="both"/>
        <w:rPr>
          <w:b/>
          <w:bCs/>
          <w:sz w:val="32"/>
          <w:szCs w:val="36"/>
        </w:rPr>
      </w:pPr>
      <w:r w:rsidRPr="00D61087">
        <w:rPr>
          <w:rFonts w:hint="eastAsia"/>
          <w:b/>
          <w:bCs/>
          <w:sz w:val="32"/>
          <w:szCs w:val="36"/>
        </w:rPr>
        <w:t>二、審查中華民國114年度中央政府總預算案有關直轄市及縣市政府。調整軍公教人員待遇準備。災害準備金。第二預備金。</w:t>
      </w:r>
    </w:p>
    <w:p w14:paraId="593D8175" w14:textId="77777777" w:rsidR="009D64D0" w:rsidRPr="00B95371" w:rsidRDefault="009D64D0" w:rsidP="00F470A8">
      <w:pPr>
        <w:widowControl w:val="0"/>
        <w:kinsoku w:val="0"/>
        <w:overflowPunct w:val="0"/>
        <w:autoSpaceDE w:val="0"/>
        <w:adjustRightInd w:val="0"/>
        <w:snapToGrid w:val="0"/>
        <w:spacing w:beforeLines="50" w:before="180" w:line="480" w:lineRule="exact"/>
        <w:jc w:val="both"/>
        <w:textAlignment w:val="auto"/>
        <w:rPr>
          <w:rFonts w:ascii="標楷體" w:eastAsia="標楷體" w:hAnsi="標楷體"/>
          <w:b/>
          <w:bCs/>
          <w:kern w:val="2"/>
          <w:sz w:val="32"/>
          <w:szCs w:val="36"/>
        </w:rPr>
      </w:pPr>
      <w:r w:rsidRPr="00B95371">
        <w:rPr>
          <w:rFonts w:ascii="標楷體" w:eastAsia="標楷體" w:hAnsi="標楷體" w:hint="eastAsia"/>
          <w:b/>
          <w:bCs/>
          <w:kern w:val="2"/>
          <w:sz w:val="32"/>
          <w:szCs w:val="36"/>
        </w:rPr>
        <w:t>其他事項</w:t>
      </w:r>
    </w:p>
    <w:p w14:paraId="279C4052" w14:textId="77777777" w:rsidR="009D64D0" w:rsidRPr="00B95371" w:rsidRDefault="009D64D0" w:rsidP="00F470A8">
      <w:pPr>
        <w:widowControl w:val="0"/>
        <w:kinsoku w:val="0"/>
        <w:overflowPunct w:val="0"/>
        <w:autoSpaceDN/>
        <w:adjustRightInd w:val="0"/>
        <w:snapToGrid w:val="0"/>
        <w:spacing w:line="480" w:lineRule="exact"/>
        <w:ind w:left="960" w:hangingChars="300" w:hanging="960"/>
        <w:jc w:val="both"/>
        <w:textAlignment w:val="auto"/>
        <w:rPr>
          <w:rFonts w:ascii="標楷體" w:eastAsia="標楷體" w:hAnsi="標楷體"/>
          <w:kern w:val="2"/>
          <w:sz w:val="32"/>
          <w:szCs w:val="32"/>
        </w:rPr>
      </w:pPr>
      <w:r w:rsidRPr="00B95371">
        <w:rPr>
          <w:rFonts w:ascii="標楷體" w:eastAsia="標楷體" w:hAnsi="標楷體" w:hint="eastAsia"/>
          <w:kern w:val="2"/>
          <w:sz w:val="32"/>
          <w:szCs w:val="32"/>
        </w:rPr>
        <w:t>案由：針對本院第11屆第2會期財政委員會第6次全體委員會議，議案之審查程序嚴重違反立法院職權行使法、立法院議事規則等(如說明)，本次會議審查結果應屬無效；且本次會議議事錄未依規定記載，應不予確定。</w:t>
      </w:r>
    </w:p>
    <w:p w14:paraId="305C42F6" w14:textId="77777777" w:rsidR="009D64D0" w:rsidRPr="00B95371" w:rsidRDefault="009D64D0" w:rsidP="00F470A8">
      <w:pPr>
        <w:widowControl w:val="0"/>
        <w:kinsoku w:val="0"/>
        <w:overflowPunct w:val="0"/>
        <w:autoSpaceDN/>
        <w:adjustRightInd w:val="0"/>
        <w:snapToGrid w:val="0"/>
        <w:spacing w:line="480" w:lineRule="exact"/>
        <w:ind w:left="960" w:hangingChars="300" w:hanging="960"/>
        <w:jc w:val="both"/>
        <w:textAlignment w:val="auto"/>
        <w:rPr>
          <w:rFonts w:ascii="標楷體" w:eastAsia="標楷體" w:hAnsi="標楷體"/>
          <w:kern w:val="2"/>
          <w:sz w:val="32"/>
          <w:szCs w:val="32"/>
        </w:rPr>
      </w:pPr>
      <w:r w:rsidRPr="00B95371">
        <w:rPr>
          <w:rFonts w:ascii="標楷體" w:eastAsia="標楷體" w:hAnsi="標楷體" w:hint="eastAsia"/>
          <w:kern w:val="2"/>
          <w:sz w:val="32"/>
          <w:szCs w:val="32"/>
        </w:rPr>
        <w:lastRenderedPageBreak/>
        <w:t>說明：</w:t>
      </w:r>
    </w:p>
    <w:p w14:paraId="5E81A18B" w14:textId="0B137A94" w:rsidR="009D64D0" w:rsidRPr="001442A1" w:rsidRDefault="001442A1" w:rsidP="00F470A8">
      <w:pPr>
        <w:widowControl w:val="0"/>
        <w:overflowPunct w:val="0"/>
        <w:autoSpaceDN/>
        <w:snapToGrid w:val="0"/>
        <w:spacing w:beforeLines="30" w:before="108"/>
        <w:ind w:left="640" w:hangingChars="200" w:hanging="640"/>
        <w:jc w:val="both"/>
        <w:textAlignment w:val="auto"/>
        <w:rPr>
          <w:rFonts w:ascii="標楷體" w:eastAsia="標楷體" w:hAnsi="標楷體"/>
          <w:sz w:val="32"/>
          <w:szCs w:val="32"/>
        </w:rPr>
      </w:pPr>
      <w:r>
        <w:rPr>
          <w:rFonts w:ascii="標楷體" w:eastAsia="標楷體" w:hAnsi="標楷體" w:hint="eastAsia"/>
          <w:sz w:val="32"/>
          <w:szCs w:val="32"/>
        </w:rPr>
        <w:t>一、</w:t>
      </w:r>
      <w:r w:rsidR="009D64D0" w:rsidRPr="001442A1">
        <w:rPr>
          <w:rFonts w:ascii="標楷體" w:eastAsia="標楷體" w:hAnsi="標楷體" w:hint="eastAsia"/>
          <w:sz w:val="32"/>
          <w:szCs w:val="32"/>
        </w:rPr>
        <w:t>法案之審查，依據立法院職權行使法第9條第2項及立法院各委員會組織法第21條規定：「應將議案朗讀，依次或逐條提付討論。」；另立法院議事規則第11條第2項規定「修正動議應連同原案未提出修正部分，先付討論。」。本次會議議程討論事項為繼續審查「財政收支劃分法」等22案，惟主席僅就其中4案(6條、2附表)進行逐條宣告，其餘各案及修正動議均未逐條提付討論，明顯違反立法院職權行使法、立法院議事規則等相關規定。</w:t>
      </w:r>
    </w:p>
    <w:p w14:paraId="2E1F4AF5" w14:textId="5CBAF8A2" w:rsidR="009D64D0" w:rsidRPr="00D61087" w:rsidRDefault="001442A1" w:rsidP="00F470A8">
      <w:pPr>
        <w:widowControl w:val="0"/>
        <w:overflowPunct w:val="0"/>
        <w:autoSpaceDN/>
        <w:snapToGrid w:val="0"/>
        <w:spacing w:beforeLines="30" w:before="108"/>
        <w:ind w:left="640" w:hangingChars="200" w:hanging="640"/>
        <w:jc w:val="both"/>
        <w:textAlignment w:val="auto"/>
        <w:rPr>
          <w:rFonts w:ascii="標楷體" w:eastAsia="標楷體" w:hAnsi="標楷體"/>
          <w:sz w:val="32"/>
          <w:szCs w:val="32"/>
        </w:rPr>
      </w:pPr>
      <w:r>
        <w:rPr>
          <w:rFonts w:ascii="標楷體" w:eastAsia="標楷體" w:hAnsi="標楷體" w:hint="eastAsia"/>
          <w:sz w:val="32"/>
          <w:szCs w:val="32"/>
        </w:rPr>
        <w:t>二、</w:t>
      </w:r>
      <w:r w:rsidR="009D64D0" w:rsidRPr="00D61087">
        <w:rPr>
          <w:rFonts w:ascii="標楷體" w:eastAsia="標楷體" w:hAnsi="標楷體" w:hint="eastAsia"/>
          <w:sz w:val="32"/>
          <w:szCs w:val="32"/>
        </w:rPr>
        <w:t>依據立法院議事規則第31條及第57條規定，審查會之逐條討論，發言不以一次為限。議事規則第33條規定「主席對於議案之討論，認為已達可付表決之程度時，經徵得出席委員同意後，得宣告停止討論。出席委員亦得提出停止討論之動議</w:t>
      </w:r>
      <w:r w:rsidR="009D64D0" w:rsidRPr="00D61087">
        <w:rPr>
          <w:rFonts w:ascii="標楷體" w:eastAsia="標楷體" w:hAnsi="標楷體"/>
          <w:sz w:val="32"/>
          <w:szCs w:val="32"/>
        </w:rPr>
        <w:t>…</w:t>
      </w:r>
      <w:r w:rsidR="009D64D0" w:rsidRPr="00D61087">
        <w:rPr>
          <w:rFonts w:ascii="標楷體" w:eastAsia="標楷體" w:hAnsi="標楷體" w:hint="eastAsia"/>
          <w:sz w:val="32"/>
          <w:szCs w:val="32"/>
        </w:rPr>
        <w:t>。」。然當日會議主席宣告進行逐條討論後，不僅未讓在場委員發言討論，且在未徵詢停止討論，也未有停止討論動議之下，即逕行條文處理，違反議事規則規定，剝奪委員實質討論空間。</w:t>
      </w:r>
    </w:p>
    <w:p w14:paraId="018B5D58" w14:textId="1D012FE3" w:rsidR="009D64D0" w:rsidRPr="001442A1" w:rsidRDefault="001442A1" w:rsidP="00F470A8">
      <w:pPr>
        <w:widowControl w:val="0"/>
        <w:overflowPunct w:val="0"/>
        <w:autoSpaceDN/>
        <w:snapToGrid w:val="0"/>
        <w:spacing w:beforeLines="30" w:before="108"/>
        <w:ind w:left="640" w:hangingChars="200" w:hanging="640"/>
        <w:jc w:val="both"/>
        <w:textAlignment w:val="auto"/>
        <w:rPr>
          <w:rFonts w:ascii="標楷體" w:eastAsia="標楷體" w:hAnsi="標楷體"/>
          <w:sz w:val="32"/>
          <w:szCs w:val="32"/>
        </w:rPr>
      </w:pPr>
      <w:r>
        <w:rPr>
          <w:rFonts w:ascii="標楷體" w:eastAsia="標楷體" w:hAnsi="標楷體" w:hint="eastAsia"/>
          <w:sz w:val="32"/>
          <w:szCs w:val="32"/>
        </w:rPr>
        <w:t>三、</w:t>
      </w:r>
      <w:r w:rsidR="009D64D0" w:rsidRPr="00D61087">
        <w:rPr>
          <w:rFonts w:ascii="標楷體" w:eastAsia="標楷體" w:hAnsi="標楷體" w:hint="eastAsia"/>
          <w:sz w:val="32"/>
          <w:szCs w:val="32"/>
        </w:rPr>
        <w:t>立法院議事規則第35條規定，議案之點名表決，須經出席委員提議，不經討論，由主席逕付表決；第36條第4項並規定「用投票或點名方法表決，可否兩方均不過半數時，本案不通過。」。另依立法院點名表決辦法第4條及第5條規定，</w:t>
      </w:r>
      <w:r w:rsidR="009D64D0" w:rsidRPr="001442A1">
        <w:rPr>
          <w:rFonts w:ascii="標楷體" w:eastAsia="標楷體" w:hAnsi="標楷體" w:hint="eastAsia"/>
          <w:sz w:val="32"/>
          <w:szCs w:val="32"/>
        </w:rPr>
        <w:t>點名表決，以當次出席委員簽到名簿為名冊，由主席依簽到名簿次序唱名。</w:t>
      </w:r>
    </w:p>
    <w:p w14:paraId="5A889F41" w14:textId="77777777" w:rsidR="009D64D0" w:rsidRPr="00D61087" w:rsidRDefault="009D64D0" w:rsidP="00F470A8">
      <w:pPr>
        <w:pStyle w:val="affff0"/>
        <w:overflowPunct w:val="0"/>
        <w:snapToGrid w:val="0"/>
        <w:spacing w:beforeLines="30" w:before="108"/>
        <w:ind w:left="567"/>
        <w:jc w:val="both"/>
        <w:rPr>
          <w:rFonts w:ascii="標楷體" w:eastAsia="標楷體" w:hAnsi="標楷體"/>
          <w:sz w:val="32"/>
          <w:szCs w:val="32"/>
        </w:rPr>
      </w:pPr>
      <w:r w:rsidRPr="00D61087">
        <w:rPr>
          <w:rFonts w:ascii="標楷體" w:eastAsia="標楷體" w:hAnsi="標楷體" w:cs="新細明體" w:hint="eastAsia"/>
          <w:color w:val="000000"/>
          <w:kern w:val="0"/>
          <w:sz w:val="32"/>
          <w:szCs w:val="32"/>
        </w:rPr>
        <w:t>本次會議</w:t>
      </w:r>
      <w:r w:rsidRPr="00D61087">
        <w:rPr>
          <w:rFonts w:ascii="標楷體" w:eastAsia="標楷體" w:hAnsi="標楷體" w:hint="eastAsia"/>
          <w:sz w:val="32"/>
          <w:szCs w:val="32"/>
        </w:rPr>
        <w:t>主席針對復議案之處理，</w:t>
      </w:r>
      <w:bookmarkStart w:id="133" w:name="_Hlk182176483"/>
      <w:r w:rsidRPr="00D61087">
        <w:rPr>
          <w:rFonts w:ascii="標楷體" w:eastAsia="標楷體" w:hAnsi="標楷體" w:hint="eastAsia"/>
          <w:sz w:val="32"/>
          <w:szCs w:val="32"/>
        </w:rPr>
        <w:t>在未宣告點名表決之提議人、未進行採點名表決方式之表決情況下，逕自宣告採點名表決</w:t>
      </w:r>
      <w:bookmarkEnd w:id="133"/>
      <w:r w:rsidRPr="00D61087">
        <w:rPr>
          <w:rFonts w:ascii="標楷體" w:eastAsia="標楷體" w:hAnsi="標楷體" w:hint="eastAsia"/>
          <w:sz w:val="32"/>
          <w:szCs w:val="32"/>
        </w:rPr>
        <w:t>；出席委員共有14人，卻僅唱名反對者（否方）6人，未依簽到名簿唱名。且依規定點名表決可否均不過半數，提案應不通過(不論可否)，但主席仍宣告復議案依否方(6人)表決結果不成立，嚴重違反議事規則及點名表決辦法，復議案之處理應屬無效。</w:t>
      </w:r>
    </w:p>
    <w:p w14:paraId="465279D9" w14:textId="2272A844" w:rsidR="009D64D0" w:rsidRPr="00D61087" w:rsidRDefault="001442A1" w:rsidP="00F470A8">
      <w:pPr>
        <w:widowControl w:val="0"/>
        <w:overflowPunct w:val="0"/>
        <w:autoSpaceDN/>
        <w:snapToGrid w:val="0"/>
        <w:spacing w:beforeLines="30" w:before="108"/>
        <w:ind w:left="640" w:hangingChars="200" w:hanging="640"/>
        <w:jc w:val="both"/>
        <w:textAlignment w:val="auto"/>
        <w:rPr>
          <w:rFonts w:ascii="標楷體" w:eastAsia="標楷體" w:hAnsi="標楷體"/>
          <w:sz w:val="32"/>
          <w:szCs w:val="32"/>
        </w:rPr>
      </w:pPr>
      <w:r>
        <w:rPr>
          <w:rFonts w:ascii="標楷體" w:eastAsia="標楷體" w:hAnsi="標楷體" w:hint="eastAsia"/>
          <w:sz w:val="32"/>
          <w:szCs w:val="32"/>
        </w:rPr>
        <w:t>四、</w:t>
      </w:r>
      <w:r w:rsidR="009D64D0" w:rsidRPr="00D61087">
        <w:rPr>
          <w:rFonts w:ascii="標楷體" w:eastAsia="標楷體" w:hAnsi="標楷體" w:hint="eastAsia"/>
          <w:sz w:val="32"/>
          <w:szCs w:val="32"/>
        </w:rPr>
        <w:t>立法院議事規則第53條，議事錄應記載下列事項：「</w:t>
      </w:r>
      <w:r w:rsidR="009D64D0" w:rsidRPr="00D61087">
        <w:rPr>
          <w:rFonts w:ascii="標楷體" w:eastAsia="標楷體" w:hAnsi="標楷體"/>
          <w:sz w:val="32"/>
          <w:szCs w:val="32"/>
        </w:rPr>
        <w:t>……</w:t>
      </w:r>
      <w:r w:rsidR="009D64D0" w:rsidRPr="00D61087">
        <w:rPr>
          <w:rFonts w:ascii="標楷體" w:eastAsia="標楷體" w:hAnsi="標楷體" w:hint="eastAsia"/>
          <w:sz w:val="32"/>
          <w:szCs w:val="32"/>
        </w:rPr>
        <w:t>十、議案及決議。十一、表決方法及可否之數。</w:t>
      </w:r>
      <w:r w:rsidR="009D64D0" w:rsidRPr="00D61087">
        <w:rPr>
          <w:rFonts w:ascii="標楷體" w:eastAsia="標楷體" w:hAnsi="標楷體"/>
          <w:sz w:val="32"/>
          <w:szCs w:val="32"/>
        </w:rPr>
        <w:t>…</w:t>
      </w:r>
      <w:r w:rsidR="009D64D0" w:rsidRPr="00D61087">
        <w:rPr>
          <w:rFonts w:ascii="標楷體" w:eastAsia="標楷體" w:hAnsi="標楷體" w:hint="eastAsia"/>
          <w:sz w:val="32"/>
          <w:szCs w:val="32"/>
        </w:rPr>
        <w:t>」，惟本次會議議事錄，對於討論事項所列議案及決議，僅列局部，未記載所有議案之決議；且未記載表決方法及可否之數，違反議事規則第53條規定。</w:t>
      </w:r>
    </w:p>
    <w:p w14:paraId="65195B16" w14:textId="0D464060" w:rsidR="009D64D0" w:rsidRPr="00D61087" w:rsidRDefault="001442A1" w:rsidP="00F470A8">
      <w:pPr>
        <w:widowControl w:val="0"/>
        <w:overflowPunct w:val="0"/>
        <w:autoSpaceDN/>
        <w:snapToGrid w:val="0"/>
        <w:spacing w:beforeLines="30" w:before="108"/>
        <w:ind w:left="640" w:hangingChars="200" w:hanging="640"/>
        <w:jc w:val="both"/>
        <w:textAlignment w:val="auto"/>
        <w:rPr>
          <w:rFonts w:ascii="標楷體" w:eastAsia="標楷體" w:hAnsi="標楷體"/>
          <w:sz w:val="32"/>
          <w:szCs w:val="32"/>
        </w:rPr>
      </w:pPr>
      <w:r>
        <w:rPr>
          <w:rFonts w:ascii="標楷體" w:eastAsia="標楷體" w:hAnsi="標楷體" w:hint="eastAsia"/>
          <w:sz w:val="32"/>
          <w:szCs w:val="32"/>
        </w:rPr>
        <w:lastRenderedPageBreak/>
        <w:t>五、</w:t>
      </w:r>
      <w:r w:rsidR="009D64D0" w:rsidRPr="00D61087">
        <w:rPr>
          <w:rFonts w:ascii="標楷體" w:eastAsia="標楷體" w:hAnsi="標楷體" w:hint="eastAsia"/>
          <w:sz w:val="32"/>
          <w:szCs w:val="32"/>
        </w:rPr>
        <w:t>綜上，本次議案之審查程序嚴重違反立法院職權行使法、立法院議事規則等相關規定，本次會議審查結果應屬無效；且本次會議議事錄未依規定記載，應不予確定。</w:t>
      </w:r>
    </w:p>
    <w:p w14:paraId="18C8525B" w14:textId="6DAA6417" w:rsidR="00B95371" w:rsidRDefault="00FA61AE" w:rsidP="00F470A8">
      <w:pPr>
        <w:widowControl w:val="0"/>
        <w:kinsoku w:val="0"/>
        <w:overflowPunct w:val="0"/>
        <w:autoSpaceDE w:val="0"/>
        <w:adjustRightInd w:val="0"/>
        <w:snapToGrid w:val="0"/>
        <w:spacing w:line="460" w:lineRule="exact"/>
        <w:ind w:leftChars="1063" w:left="3831" w:hangingChars="400" w:hanging="1280"/>
        <w:jc w:val="both"/>
        <w:textAlignment w:val="auto"/>
        <w:rPr>
          <w:rFonts w:ascii="標楷體" w:eastAsia="標楷體" w:hAnsi="標楷體"/>
          <w:color w:val="000000" w:themeColor="text1"/>
          <w:kern w:val="2"/>
          <w:sz w:val="32"/>
          <w:szCs w:val="32"/>
        </w:rPr>
      </w:pPr>
      <w:r w:rsidRPr="00B95371">
        <w:rPr>
          <w:rFonts w:ascii="標楷體" w:eastAsia="標楷體" w:hAnsi="標楷體" w:hint="eastAsia"/>
          <w:color w:val="000000" w:themeColor="text1"/>
          <w:kern w:val="2"/>
          <w:sz w:val="32"/>
          <w:szCs w:val="32"/>
        </w:rPr>
        <w:t xml:space="preserve">　　</w:t>
      </w:r>
      <w:r w:rsidR="009D64D0" w:rsidRPr="00B95371">
        <w:rPr>
          <w:rFonts w:ascii="標楷體" w:eastAsia="標楷體" w:hAnsi="標楷體" w:hint="eastAsia"/>
          <w:color w:val="000000" w:themeColor="text1"/>
          <w:kern w:val="2"/>
          <w:sz w:val="32"/>
          <w:szCs w:val="32"/>
        </w:rPr>
        <w:t xml:space="preserve">提案人：郭國文　賴惠員　李坤城　吳秉叡　</w:t>
      </w:r>
    </w:p>
    <w:p w14:paraId="580C2E18" w14:textId="6830BD9B" w:rsidR="009D64D0" w:rsidRPr="00B95371" w:rsidRDefault="00B95371" w:rsidP="00F470A8">
      <w:pPr>
        <w:widowControl w:val="0"/>
        <w:kinsoku w:val="0"/>
        <w:overflowPunct w:val="0"/>
        <w:autoSpaceDE w:val="0"/>
        <w:adjustRightInd w:val="0"/>
        <w:snapToGrid w:val="0"/>
        <w:spacing w:line="460" w:lineRule="exact"/>
        <w:ind w:leftChars="1063" w:left="3831" w:hangingChars="400" w:hanging="1280"/>
        <w:jc w:val="both"/>
        <w:textAlignment w:val="auto"/>
        <w:rPr>
          <w:rFonts w:ascii="標楷體" w:eastAsia="標楷體" w:hAnsi="標楷體"/>
          <w:color w:val="000000" w:themeColor="text1"/>
          <w:kern w:val="2"/>
          <w:sz w:val="32"/>
          <w:szCs w:val="32"/>
        </w:rPr>
      </w:pPr>
      <w:r w:rsidRPr="00B95371">
        <w:rPr>
          <w:rFonts w:ascii="標楷體" w:eastAsia="標楷體" w:hAnsi="標楷體" w:hint="eastAsia"/>
          <w:color w:val="000000" w:themeColor="text1"/>
          <w:kern w:val="2"/>
          <w:sz w:val="32"/>
          <w:szCs w:val="32"/>
        </w:rPr>
        <w:t xml:space="preserve">　　</w:t>
      </w:r>
      <w:r w:rsidR="00FA61AE" w:rsidRPr="00B95371">
        <w:rPr>
          <w:rFonts w:ascii="標楷體" w:eastAsia="標楷體" w:hAnsi="標楷體" w:hint="eastAsia"/>
          <w:color w:val="000000" w:themeColor="text1"/>
          <w:kern w:val="2"/>
          <w:sz w:val="32"/>
          <w:szCs w:val="32"/>
        </w:rPr>
        <w:t xml:space="preserve">　　</w:t>
      </w:r>
      <w:r w:rsidRPr="00B95371">
        <w:rPr>
          <w:rFonts w:ascii="標楷體" w:eastAsia="標楷體" w:hAnsi="標楷體" w:hint="eastAsia"/>
          <w:color w:val="000000" w:themeColor="text1"/>
          <w:kern w:val="2"/>
          <w:sz w:val="32"/>
          <w:szCs w:val="32"/>
        </w:rPr>
        <w:t xml:space="preserve">　　</w:t>
      </w:r>
      <w:r w:rsidR="009D64D0" w:rsidRPr="00B95371">
        <w:rPr>
          <w:rFonts w:ascii="標楷體" w:eastAsia="標楷體" w:hAnsi="標楷體" w:hint="eastAsia"/>
          <w:color w:val="000000" w:themeColor="text1"/>
          <w:kern w:val="2"/>
          <w:sz w:val="32"/>
          <w:szCs w:val="32"/>
        </w:rPr>
        <w:t>伍麗華　王世堅</w:t>
      </w:r>
    </w:p>
    <w:p w14:paraId="66514208" w14:textId="77777777" w:rsidR="009D64D0" w:rsidRPr="00D61087" w:rsidRDefault="009D64D0" w:rsidP="00F470A8">
      <w:pPr>
        <w:pStyle w:val="Default"/>
        <w:overflowPunct w:val="0"/>
        <w:spacing w:line="500" w:lineRule="exact"/>
        <w:ind w:leftChars="9" w:left="682" w:hangingChars="206" w:hanging="660"/>
        <w:jc w:val="both"/>
        <w:rPr>
          <w:b/>
          <w:bCs/>
          <w:sz w:val="32"/>
          <w:szCs w:val="36"/>
        </w:rPr>
      </w:pPr>
      <w:r w:rsidRPr="00D61087">
        <w:rPr>
          <w:rFonts w:hint="eastAsia"/>
          <w:b/>
          <w:bCs/>
          <w:sz w:val="32"/>
          <w:szCs w:val="36"/>
        </w:rPr>
        <w:t>散會時間已屆，散會。</w:t>
      </w:r>
    </w:p>
    <w:p w14:paraId="565F1BA6"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19B49AFB"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34" w:name="_Toc189487324"/>
      <w:r w:rsidRPr="0008203A">
        <w:rPr>
          <w:rFonts w:ascii="標楷體" w:eastAsia="標楷體" w:hAnsi="標楷體" w:hint="eastAsia"/>
          <w:b/>
          <w:spacing w:val="-20"/>
          <w:sz w:val="32"/>
          <w:szCs w:val="32"/>
        </w:rPr>
        <w:lastRenderedPageBreak/>
        <w:t>立法院第1</w:t>
      </w:r>
      <w:r w:rsidRPr="0008203A">
        <w:rPr>
          <w:rFonts w:ascii="標楷體" w:eastAsia="標楷體" w:hAnsi="標楷體"/>
          <w:b/>
          <w:spacing w:val="-20"/>
          <w:sz w:val="32"/>
          <w:szCs w:val="32"/>
        </w:rPr>
        <w:t>1</w:t>
      </w:r>
      <w:r w:rsidRPr="0008203A">
        <w:rPr>
          <w:rFonts w:ascii="標楷體" w:eastAsia="標楷體" w:hAnsi="標楷體" w:hint="eastAsia"/>
          <w:b/>
          <w:spacing w:val="-20"/>
          <w:sz w:val="32"/>
          <w:szCs w:val="32"/>
        </w:rPr>
        <w:t>屆第2會期財政委員會第8次全體委員會議議事錄</w:t>
      </w:r>
      <w:bookmarkEnd w:id="134"/>
    </w:p>
    <w:p w14:paraId="40AA4355" w14:textId="77777777" w:rsidR="009D64D0" w:rsidRPr="008E4F0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時　　間　中華民國</w:t>
      </w:r>
      <w:r w:rsidRPr="008E4F00">
        <w:rPr>
          <w:rFonts w:ascii="標楷體" w:eastAsia="標楷體" w:hAnsi="標楷體"/>
          <w:color w:val="000000" w:themeColor="text1"/>
          <w:kern w:val="2"/>
          <w:sz w:val="32"/>
          <w:szCs w:val="32"/>
        </w:rPr>
        <w:t>113</w:t>
      </w:r>
      <w:r w:rsidRPr="008E4F00">
        <w:rPr>
          <w:rFonts w:ascii="標楷體" w:eastAsia="標楷體" w:hAnsi="標楷體" w:hint="eastAsia"/>
          <w:color w:val="000000" w:themeColor="text1"/>
          <w:kern w:val="2"/>
          <w:sz w:val="32"/>
          <w:szCs w:val="32"/>
        </w:rPr>
        <w:t>年11月1</w:t>
      </w:r>
      <w:r w:rsidRPr="008E4F00">
        <w:rPr>
          <w:rFonts w:ascii="標楷體" w:eastAsia="標楷體" w:hAnsi="標楷體"/>
          <w:color w:val="000000" w:themeColor="text1"/>
          <w:kern w:val="2"/>
          <w:sz w:val="32"/>
          <w:szCs w:val="32"/>
        </w:rPr>
        <w:t>3</w:t>
      </w:r>
      <w:r w:rsidRPr="008E4F00">
        <w:rPr>
          <w:rFonts w:ascii="標楷體" w:eastAsia="標楷體" w:hAnsi="標楷體" w:hint="eastAsia"/>
          <w:color w:val="000000" w:themeColor="text1"/>
          <w:kern w:val="2"/>
          <w:sz w:val="32"/>
          <w:szCs w:val="32"/>
        </w:rPr>
        <w:t>日（星期三）</w:t>
      </w:r>
      <w:r w:rsidRPr="008E4F00">
        <w:rPr>
          <w:rFonts w:ascii="標楷體" w:eastAsia="標楷體" w:hAnsi="標楷體"/>
          <w:color w:val="000000" w:themeColor="text1"/>
          <w:kern w:val="2"/>
          <w:sz w:val="32"/>
          <w:szCs w:val="32"/>
        </w:rPr>
        <w:t>9</w:t>
      </w:r>
      <w:r w:rsidRPr="008E4F00">
        <w:rPr>
          <w:rFonts w:ascii="標楷體" w:eastAsia="標楷體" w:hAnsi="標楷體" w:hint="eastAsia"/>
          <w:color w:val="000000" w:themeColor="text1"/>
          <w:kern w:val="2"/>
          <w:sz w:val="32"/>
          <w:szCs w:val="32"/>
        </w:rPr>
        <w:t>時</w:t>
      </w:r>
      <w:r w:rsidRPr="008E4F00">
        <w:rPr>
          <w:rFonts w:ascii="標楷體" w:eastAsia="標楷體" w:hAnsi="標楷體"/>
          <w:color w:val="000000" w:themeColor="text1"/>
          <w:kern w:val="2"/>
          <w:sz w:val="32"/>
          <w:szCs w:val="32"/>
        </w:rPr>
        <w:t>3</w:t>
      </w:r>
      <w:r w:rsidRPr="008E4F00">
        <w:rPr>
          <w:rFonts w:ascii="標楷體" w:eastAsia="標楷體" w:hAnsi="標楷體" w:hint="eastAsia"/>
          <w:color w:val="000000" w:themeColor="text1"/>
          <w:kern w:val="2"/>
          <w:sz w:val="32"/>
          <w:szCs w:val="32"/>
        </w:rPr>
        <w:t>分至1</w:t>
      </w:r>
      <w:r w:rsidRPr="008E4F00">
        <w:rPr>
          <w:rFonts w:ascii="標楷體" w:eastAsia="標楷體" w:hAnsi="標楷體"/>
          <w:color w:val="000000" w:themeColor="text1"/>
          <w:kern w:val="2"/>
          <w:sz w:val="32"/>
          <w:szCs w:val="32"/>
        </w:rPr>
        <w:t>3</w:t>
      </w:r>
      <w:r w:rsidRPr="008E4F00">
        <w:rPr>
          <w:rFonts w:ascii="標楷體" w:eastAsia="標楷體" w:hAnsi="標楷體" w:hint="eastAsia"/>
          <w:color w:val="000000" w:themeColor="text1"/>
          <w:kern w:val="2"/>
          <w:sz w:val="32"/>
          <w:szCs w:val="32"/>
        </w:rPr>
        <w:t>時5</w:t>
      </w:r>
      <w:r w:rsidRPr="008E4F00">
        <w:rPr>
          <w:rFonts w:ascii="標楷體" w:eastAsia="標楷體" w:hAnsi="標楷體"/>
          <w:color w:val="000000" w:themeColor="text1"/>
          <w:kern w:val="2"/>
          <w:sz w:val="32"/>
          <w:szCs w:val="32"/>
        </w:rPr>
        <w:t>0</w:t>
      </w:r>
      <w:r w:rsidRPr="008E4F00">
        <w:rPr>
          <w:rFonts w:ascii="標楷體" w:eastAsia="標楷體" w:hAnsi="標楷體" w:hint="eastAsia"/>
          <w:color w:val="000000" w:themeColor="text1"/>
          <w:kern w:val="2"/>
          <w:sz w:val="32"/>
          <w:szCs w:val="32"/>
        </w:rPr>
        <w:t>分</w:t>
      </w:r>
    </w:p>
    <w:p w14:paraId="5EE5FDE7" w14:textId="77777777" w:rsidR="009D64D0" w:rsidRPr="008E4F0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中華民國11</w:t>
      </w:r>
      <w:r w:rsidRPr="008E4F00">
        <w:rPr>
          <w:rFonts w:ascii="標楷體" w:eastAsia="標楷體" w:hAnsi="標楷體"/>
          <w:color w:val="000000" w:themeColor="text1"/>
          <w:kern w:val="2"/>
          <w:sz w:val="32"/>
          <w:szCs w:val="32"/>
        </w:rPr>
        <w:t>3</w:t>
      </w:r>
      <w:r w:rsidRPr="008E4F00">
        <w:rPr>
          <w:rFonts w:ascii="標楷體" w:eastAsia="標楷體" w:hAnsi="標楷體" w:hint="eastAsia"/>
          <w:color w:val="000000" w:themeColor="text1"/>
          <w:kern w:val="2"/>
          <w:sz w:val="32"/>
          <w:szCs w:val="32"/>
        </w:rPr>
        <w:t>年1</w:t>
      </w:r>
      <w:r w:rsidRPr="008E4F00">
        <w:rPr>
          <w:rFonts w:ascii="標楷體" w:eastAsia="標楷體" w:hAnsi="標楷體"/>
          <w:color w:val="000000" w:themeColor="text1"/>
          <w:kern w:val="2"/>
          <w:sz w:val="32"/>
          <w:szCs w:val="32"/>
        </w:rPr>
        <w:t>1</w:t>
      </w:r>
      <w:r w:rsidRPr="008E4F00">
        <w:rPr>
          <w:rFonts w:ascii="標楷體" w:eastAsia="標楷體" w:hAnsi="標楷體" w:hint="eastAsia"/>
          <w:color w:val="000000" w:themeColor="text1"/>
          <w:kern w:val="2"/>
          <w:sz w:val="32"/>
          <w:szCs w:val="32"/>
        </w:rPr>
        <w:t>月1</w:t>
      </w:r>
      <w:r w:rsidRPr="008E4F00">
        <w:rPr>
          <w:rFonts w:ascii="標楷體" w:eastAsia="標楷體" w:hAnsi="標楷體"/>
          <w:color w:val="000000" w:themeColor="text1"/>
          <w:kern w:val="2"/>
          <w:sz w:val="32"/>
          <w:szCs w:val="32"/>
        </w:rPr>
        <w:t>4</w:t>
      </w:r>
      <w:r w:rsidRPr="008E4F00">
        <w:rPr>
          <w:rFonts w:ascii="標楷體" w:eastAsia="標楷體" w:hAnsi="標楷體" w:hint="eastAsia"/>
          <w:color w:val="000000" w:themeColor="text1"/>
          <w:kern w:val="2"/>
          <w:sz w:val="32"/>
          <w:szCs w:val="32"/>
        </w:rPr>
        <w:t>日（星期四）9時</w:t>
      </w:r>
      <w:r w:rsidRPr="008E4F00">
        <w:rPr>
          <w:rFonts w:ascii="標楷體" w:eastAsia="標楷體" w:hAnsi="標楷體"/>
          <w:color w:val="000000" w:themeColor="text1"/>
          <w:kern w:val="2"/>
          <w:sz w:val="32"/>
          <w:szCs w:val="32"/>
        </w:rPr>
        <w:t>1</w:t>
      </w:r>
      <w:r w:rsidRPr="008E4F00">
        <w:rPr>
          <w:rFonts w:ascii="標楷體" w:eastAsia="標楷體" w:hAnsi="標楷體" w:hint="eastAsia"/>
          <w:color w:val="000000" w:themeColor="text1"/>
          <w:kern w:val="2"/>
          <w:sz w:val="32"/>
          <w:szCs w:val="32"/>
        </w:rPr>
        <w:t>分至1</w:t>
      </w:r>
      <w:r w:rsidRPr="008E4F00">
        <w:rPr>
          <w:rFonts w:ascii="標楷體" w:eastAsia="標楷體" w:hAnsi="標楷體"/>
          <w:color w:val="000000" w:themeColor="text1"/>
          <w:kern w:val="2"/>
          <w:sz w:val="32"/>
          <w:szCs w:val="32"/>
        </w:rPr>
        <w:t>2</w:t>
      </w:r>
      <w:r w:rsidRPr="008E4F00">
        <w:rPr>
          <w:rFonts w:ascii="標楷體" w:eastAsia="標楷體" w:hAnsi="標楷體" w:hint="eastAsia"/>
          <w:color w:val="000000" w:themeColor="text1"/>
          <w:kern w:val="2"/>
          <w:sz w:val="32"/>
          <w:szCs w:val="32"/>
        </w:rPr>
        <w:t>時5</w:t>
      </w:r>
      <w:r w:rsidRPr="008E4F00">
        <w:rPr>
          <w:rFonts w:ascii="標楷體" w:eastAsia="標楷體" w:hAnsi="標楷體"/>
          <w:color w:val="000000" w:themeColor="text1"/>
          <w:kern w:val="2"/>
          <w:sz w:val="32"/>
          <w:szCs w:val="32"/>
        </w:rPr>
        <w:t>6</w:t>
      </w:r>
      <w:r w:rsidRPr="008E4F00">
        <w:rPr>
          <w:rFonts w:ascii="標楷體" w:eastAsia="標楷體" w:hAnsi="標楷體" w:hint="eastAsia"/>
          <w:color w:val="000000" w:themeColor="text1"/>
          <w:kern w:val="2"/>
          <w:sz w:val="32"/>
          <w:szCs w:val="32"/>
        </w:rPr>
        <w:t>分</w:t>
      </w:r>
    </w:p>
    <w:p w14:paraId="384A6195" w14:textId="77777777" w:rsidR="009D64D0" w:rsidRPr="008E4F0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地　　點　群賢樓9樓大禮堂（11月1</w:t>
      </w:r>
      <w:r w:rsidRPr="008E4F00">
        <w:rPr>
          <w:rFonts w:ascii="標楷體" w:eastAsia="標楷體" w:hAnsi="標楷體"/>
          <w:color w:val="000000" w:themeColor="text1"/>
          <w:kern w:val="2"/>
          <w:sz w:val="32"/>
          <w:szCs w:val="32"/>
        </w:rPr>
        <w:t>3</w:t>
      </w:r>
      <w:r w:rsidRPr="008E4F00">
        <w:rPr>
          <w:rFonts w:ascii="標楷體" w:eastAsia="標楷體" w:hAnsi="標楷體" w:hint="eastAsia"/>
          <w:color w:val="000000" w:themeColor="text1"/>
          <w:kern w:val="2"/>
          <w:sz w:val="32"/>
          <w:szCs w:val="32"/>
        </w:rPr>
        <w:t>日）</w:t>
      </w:r>
    </w:p>
    <w:p w14:paraId="188E62BB" w14:textId="77777777" w:rsidR="009D64D0" w:rsidRPr="008E4F0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群賢樓101會議室（11月14日）</w:t>
      </w:r>
    </w:p>
    <w:p w14:paraId="296E4BFE" w14:textId="77777777" w:rsidR="00913B6E" w:rsidRPr="008E4F0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出席委員　林德福　吳秉叡　郭國文　賴士葆　賴惠員　王鴻薇　</w:t>
      </w:r>
    </w:p>
    <w:p w14:paraId="076621A0" w14:textId="77777777" w:rsidR="00913B6E" w:rsidRPr="008E4F00" w:rsidRDefault="00913B6E"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color w:val="000000" w:themeColor="text1"/>
          <w:kern w:val="2"/>
          <w:sz w:val="32"/>
          <w:szCs w:val="32"/>
        </w:rPr>
        <w:t>李彥秀　李坤城　伍麗華</w:t>
      </w:r>
      <w:r w:rsidR="009D64D0" w:rsidRPr="008E4F00">
        <w:rPr>
          <w:rFonts w:ascii="標楷體" w:eastAsia="標楷體" w:hAnsi="標楷體" w:hint="eastAsia"/>
          <w:color w:val="000000" w:themeColor="text1"/>
          <w:spacing w:val="-20"/>
          <w:kern w:val="2"/>
          <w:sz w:val="32"/>
          <w:szCs w:val="32"/>
        </w:rPr>
        <w:t>Saidhai Tahovecahe</w:t>
      </w:r>
      <w:r w:rsidR="009D64D0" w:rsidRPr="008E4F00">
        <w:rPr>
          <w:rFonts w:ascii="標楷體" w:eastAsia="標楷體" w:hAnsi="標楷體" w:hint="eastAsia"/>
          <w:color w:val="000000" w:themeColor="text1"/>
          <w:kern w:val="2"/>
          <w:sz w:val="32"/>
          <w:szCs w:val="32"/>
        </w:rPr>
        <w:t xml:space="preserve">　陳玉珍　</w:t>
      </w:r>
    </w:p>
    <w:p w14:paraId="74249C23" w14:textId="77777777" w:rsidR="009D64D0" w:rsidRPr="008E4F00" w:rsidRDefault="00913B6E"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color w:val="000000" w:themeColor="text1"/>
          <w:kern w:val="2"/>
          <w:sz w:val="32"/>
          <w:szCs w:val="32"/>
        </w:rPr>
        <w:t xml:space="preserve">黃珊珊　顏寬恒　羅明才　王世堅　</w:t>
      </w:r>
    </w:p>
    <w:p w14:paraId="3B86E094" w14:textId="0C7AE0DF" w:rsidR="009D64D0" w:rsidRPr="008E4F00" w:rsidRDefault="008E4F00" w:rsidP="00F470A8">
      <w:pPr>
        <w:widowControl w:val="0"/>
        <w:kinsoku w:val="0"/>
        <w:overflowPunct w:val="0"/>
        <w:autoSpaceDE w:val="0"/>
        <w:adjustRightInd w:val="0"/>
        <w:snapToGrid w:val="0"/>
        <w:spacing w:line="480" w:lineRule="exact"/>
        <w:textAlignment w:val="auto"/>
        <w:rPr>
          <w:rFonts w:ascii="標楷體" w:eastAsia="標楷體" w:hAnsi="標楷體"/>
          <w:b/>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b/>
          <w:color w:val="000000" w:themeColor="text1"/>
          <w:kern w:val="2"/>
          <w:sz w:val="32"/>
          <w:szCs w:val="32"/>
        </w:rPr>
        <w:t>委員出席1</w:t>
      </w:r>
      <w:r w:rsidR="009D64D0" w:rsidRPr="008E4F00">
        <w:rPr>
          <w:rFonts w:ascii="標楷體" w:eastAsia="標楷體" w:hAnsi="標楷體"/>
          <w:b/>
          <w:color w:val="000000" w:themeColor="text1"/>
          <w:kern w:val="2"/>
          <w:sz w:val="32"/>
          <w:szCs w:val="32"/>
        </w:rPr>
        <w:t>4</w:t>
      </w:r>
      <w:r w:rsidR="009D64D0" w:rsidRPr="008E4F00">
        <w:rPr>
          <w:rFonts w:ascii="標楷體" w:eastAsia="標楷體" w:hAnsi="標楷體" w:hint="eastAsia"/>
          <w:b/>
          <w:color w:val="000000" w:themeColor="text1"/>
          <w:kern w:val="2"/>
          <w:sz w:val="32"/>
          <w:szCs w:val="32"/>
        </w:rPr>
        <w:t>人</w:t>
      </w:r>
    </w:p>
    <w:p w14:paraId="40625CF7" w14:textId="77777777" w:rsidR="00913B6E" w:rsidRPr="008E4F0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列席委員　黃國昌　鄭天財</w:t>
      </w:r>
      <w:r w:rsidRPr="008E4F00">
        <w:rPr>
          <w:rFonts w:ascii="標楷體" w:eastAsia="標楷體" w:hAnsi="標楷體"/>
          <w:color w:val="000000" w:themeColor="text1"/>
          <w:spacing w:val="-20"/>
          <w:kern w:val="2"/>
          <w:sz w:val="32"/>
          <w:szCs w:val="32"/>
        </w:rPr>
        <w:t>Sra Kacaw</w:t>
      </w:r>
      <w:r w:rsidRPr="008E4F00">
        <w:rPr>
          <w:rFonts w:ascii="標楷體" w:eastAsia="標楷體" w:hAnsi="標楷體" w:hint="eastAsia"/>
          <w:color w:val="000000" w:themeColor="text1"/>
          <w:kern w:val="2"/>
          <w:sz w:val="32"/>
          <w:szCs w:val="32"/>
        </w:rPr>
        <w:t xml:space="preserve">　羅廷瑋　葛如鈞　洪孟楷　</w:t>
      </w:r>
    </w:p>
    <w:p w14:paraId="18954959" w14:textId="77777777" w:rsidR="00913B6E" w:rsidRPr="008E4F00" w:rsidRDefault="00913B6E"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color w:val="000000" w:themeColor="text1"/>
          <w:kern w:val="2"/>
          <w:sz w:val="32"/>
          <w:szCs w:val="32"/>
        </w:rPr>
        <w:t>鄭正鈐　牛煦庭　羅智強　楊瓊瓔　何欣純</w:t>
      </w:r>
      <w:r w:rsidR="009D64D0" w:rsidRPr="008E4F00">
        <w:rPr>
          <w:rFonts w:ascii="標楷體" w:eastAsia="標楷體" w:hAnsi="標楷體" w:hint="eastAsia"/>
          <w:color w:val="000000" w:themeColor="text1"/>
          <w:spacing w:val="-36"/>
          <w:kern w:val="2"/>
          <w:sz w:val="32"/>
          <w:szCs w:val="32"/>
        </w:rPr>
        <w:t xml:space="preserve">　</w:t>
      </w:r>
      <w:r w:rsidR="009D64D0" w:rsidRPr="008E4F00">
        <w:rPr>
          <w:rFonts w:ascii="標楷體" w:eastAsia="標楷體" w:hAnsi="標楷體" w:hint="eastAsia"/>
          <w:color w:val="000000" w:themeColor="text1"/>
          <w:spacing w:val="-64"/>
          <w:kern w:val="2"/>
          <w:sz w:val="32"/>
          <w:szCs w:val="32"/>
        </w:rPr>
        <w:t xml:space="preserve">高金素梅　</w:t>
      </w:r>
    </w:p>
    <w:p w14:paraId="322B981A" w14:textId="77777777" w:rsidR="00913B6E" w:rsidRPr="008E4F00" w:rsidRDefault="00913B6E"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color w:val="000000" w:themeColor="text1"/>
          <w:kern w:val="2"/>
          <w:sz w:val="32"/>
          <w:szCs w:val="32"/>
        </w:rPr>
        <w:t xml:space="preserve">蔡易餘　吳思瑤　陳菁徽　陳培瑜　吳宗憲　謝龍介　</w:t>
      </w:r>
    </w:p>
    <w:p w14:paraId="4D76DCD6" w14:textId="77777777" w:rsidR="00913B6E" w:rsidRPr="008E4F00" w:rsidRDefault="00913B6E"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color w:val="000000" w:themeColor="text1"/>
          <w:kern w:val="2"/>
          <w:sz w:val="32"/>
          <w:szCs w:val="32"/>
        </w:rPr>
        <w:t xml:space="preserve">王育敏　林倩綺　傅崐萁　翁曉玲　林思銘　許宇甄　</w:t>
      </w:r>
    </w:p>
    <w:p w14:paraId="6402CAD7" w14:textId="77777777" w:rsidR="00913B6E" w:rsidRPr="008E4F00" w:rsidRDefault="00913B6E"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color w:val="000000" w:themeColor="text1"/>
          <w:kern w:val="2"/>
          <w:sz w:val="32"/>
          <w:szCs w:val="32"/>
        </w:rPr>
        <w:t xml:space="preserve">張智倫　蔡其昌　麥玉珍　張啓楷　邱鎮軍　涂權吉　</w:t>
      </w:r>
    </w:p>
    <w:p w14:paraId="5A2C96C9" w14:textId="77777777" w:rsidR="009D64D0" w:rsidRPr="008E4F00" w:rsidRDefault="00913B6E"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E4F00">
        <w:rPr>
          <w:rFonts w:ascii="標楷體" w:eastAsia="標楷體" w:hAnsi="標楷體" w:hint="eastAsia"/>
          <w:color w:val="000000" w:themeColor="text1"/>
          <w:kern w:val="2"/>
          <w:sz w:val="32"/>
          <w:szCs w:val="32"/>
        </w:rPr>
        <w:t xml:space="preserve">　　　　　</w:t>
      </w:r>
      <w:r w:rsidR="009D64D0" w:rsidRPr="008E4F00">
        <w:rPr>
          <w:rFonts w:ascii="標楷體" w:eastAsia="標楷體" w:hAnsi="標楷體" w:hint="eastAsia"/>
          <w:color w:val="000000" w:themeColor="text1"/>
          <w:kern w:val="2"/>
          <w:sz w:val="32"/>
          <w:szCs w:val="32"/>
        </w:rPr>
        <w:t xml:space="preserve">蘇清泉　邱志偉　黃健豪　陳冠廷　葉元之　</w:t>
      </w:r>
    </w:p>
    <w:p w14:paraId="7BA18072" w14:textId="4E97553D" w:rsidR="009D64D0" w:rsidRPr="00CB1789" w:rsidRDefault="008E4F00" w:rsidP="00F470A8">
      <w:pPr>
        <w:widowControl w:val="0"/>
        <w:kinsoku w:val="0"/>
        <w:overflowPunct w:val="0"/>
        <w:autoSpaceDE w:val="0"/>
        <w:adjustRightInd w:val="0"/>
        <w:snapToGrid w:val="0"/>
        <w:spacing w:line="480" w:lineRule="exact"/>
        <w:textAlignment w:val="auto"/>
        <w:rPr>
          <w:rFonts w:ascii="標楷體" w:eastAsia="標楷體" w:hAnsi="標楷體"/>
          <w:b/>
          <w:color w:val="000000" w:themeColor="text1"/>
          <w:w w:val="95"/>
          <w:kern w:val="2"/>
          <w:sz w:val="32"/>
          <w:szCs w:val="32"/>
        </w:rPr>
      </w:pPr>
      <w:r w:rsidRPr="008E4F00">
        <w:rPr>
          <w:rFonts w:ascii="標楷體" w:eastAsia="標楷體" w:hAnsi="標楷體" w:hint="eastAsia"/>
          <w:color w:val="000000" w:themeColor="text1"/>
          <w:kern w:val="2"/>
          <w:sz w:val="32"/>
          <w:szCs w:val="32"/>
        </w:rPr>
        <w:t xml:space="preserve">　　　　　</w:t>
      </w:r>
      <w:r w:rsidR="009D64D0" w:rsidRPr="00CB1789">
        <w:rPr>
          <w:rFonts w:ascii="標楷體" w:eastAsia="標楷體" w:hAnsi="標楷體" w:hint="eastAsia"/>
          <w:b/>
          <w:color w:val="000000" w:themeColor="text1"/>
          <w:w w:val="95"/>
          <w:kern w:val="2"/>
          <w:sz w:val="32"/>
          <w:szCs w:val="32"/>
        </w:rPr>
        <w:t>委員列席</w:t>
      </w:r>
      <w:r w:rsidR="009D64D0" w:rsidRPr="00CB1789">
        <w:rPr>
          <w:rFonts w:ascii="標楷體" w:eastAsia="標楷體" w:hAnsi="標楷體"/>
          <w:b/>
          <w:color w:val="000000" w:themeColor="text1"/>
          <w:w w:val="95"/>
          <w:kern w:val="2"/>
          <w:sz w:val="32"/>
          <w:szCs w:val="32"/>
        </w:rPr>
        <w:t>34</w:t>
      </w:r>
      <w:r w:rsidR="009D64D0" w:rsidRPr="00CB1789">
        <w:rPr>
          <w:rFonts w:ascii="標楷體" w:eastAsia="標楷體" w:hAnsi="標楷體" w:hint="eastAsia"/>
          <w:b/>
          <w:color w:val="000000" w:themeColor="text1"/>
          <w:w w:val="95"/>
          <w:kern w:val="2"/>
          <w:sz w:val="32"/>
          <w:szCs w:val="32"/>
        </w:rPr>
        <w:t>人</w:t>
      </w:r>
    </w:p>
    <w:p w14:paraId="7DC9970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8E4F00">
        <w:rPr>
          <w:rFonts w:ascii="標楷體" w:eastAsia="標楷體" w:hAnsi="標楷體" w:hint="eastAsia"/>
          <w:color w:val="000000" w:themeColor="text1"/>
          <w:kern w:val="2"/>
          <w:sz w:val="32"/>
          <w:szCs w:val="32"/>
        </w:rPr>
        <w:t>列席官員</w:t>
      </w:r>
      <w:r w:rsidRPr="00913B6E">
        <w:rPr>
          <w:rFonts w:ascii="標楷體" w:eastAsia="標楷體" w:hAnsi="標楷體" w:hint="eastAsia"/>
          <w:color w:val="000000" w:themeColor="text1"/>
          <w:kern w:val="16"/>
          <w:sz w:val="32"/>
          <w:szCs w:val="32"/>
        </w:rPr>
        <w:t xml:space="preserve">　113年1</w:t>
      </w:r>
      <w:r w:rsidRPr="00913B6E">
        <w:rPr>
          <w:rFonts w:ascii="標楷體" w:eastAsia="標楷體" w:hAnsi="標楷體"/>
          <w:color w:val="000000" w:themeColor="text1"/>
          <w:kern w:val="16"/>
          <w:sz w:val="32"/>
          <w:szCs w:val="32"/>
        </w:rPr>
        <w:t>1</w:t>
      </w:r>
      <w:r w:rsidRPr="00913B6E">
        <w:rPr>
          <w:rFonts w:ascii="標楷體" w:eastAsia="標楷體" w:hAnsi="標楷體" w:hint="eastAsia"/>
          <w:color w:val="000000" w:themeColor="text1"/>
          <w:kern w:val="16"/>
          <w:sz w:val="32"/>
          <w:szCs w:val="32"/>
        </w:rPr>
        <w:t>月13日（星期三）</w:t>
      </w:r>
    </w:p>
    <w:p w14:paraId="39B43DC3"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財政部</w:t>
      </w:r>
      <w:r w:rsidRPr="00913B6E">
        <w:rPr>
          <w:rFonts w:ascii="標楷體" w:eastAsia="標楷體" w:hAnsi="標楷體" w:hint="eastAsia"/>
          <w:color w:val="000000" w:themeColor="text1"/>
          <w:kern w:val="16"/>
          <w:sz w:val="32"/>
          <w:szCs w:val="32"/>
        </w:rPr>
        <w:t xml:space="preserve">　　　　　　　　　　　部長　　　　莊翠雲</w:t>
      </w:r>
    </w:p>
    <w:p w14:paraId="52B247AB"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綜合規劃司　　　　　　　　司長　　　　李瓊琳</w:t>
      </w:r>
    </w:p>
    <w:p w14:paraId="1C743F3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國際財政司　　　　　　　　司長　　　　丁碧蓮</w:t>
      </w:r>
    </w:p>
    <w:p w14:paraId="32A90D0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推動促參司　　　　　　　　司長　　　　張素珍</w:t>
      </w:r>
    </w:p>
    <w:p w14:paraId="1A64767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人事處　　　　　　　　　　處長　　　　張芳琪</w:t>
      </w:r>
    </w:p>
    <w:p w14:paraId="1B20A4CB"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會計處　　　　　　　　　　處長　　　　李秋月</w:t>
      </w:r>
    </w:p>
    <w:p w14:paraId="4E5ECE1F"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統計處　　　　　　　　　　處長　　　　蔡美娜</w:t>
      </w:r>
    </w:p>
    <w:p w14:paraId="261654F4"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政風處　　　　　　　　　　處長　　　　許家錦</w:t>
      </w:r>
    </w:p>
    <w:p w14:paraId="41C5D86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法制處　　　　　　　　　　處長　　　　姚　瑩</w:t>
      </w:r>
    </w:p>
    <w:p w14:paraId="5E0ABC8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秘書處　　　　　　　　　　處長　　　　楊金亨</w:t>
      </w:r>
    </w:p>
    <w:p w14:paraId="5CEE94B3"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資訊小組　　　　　　　　　主任　　　　尹致玲</w:t>
      </w:r>
    </w:p>
    <w:p w14:paraId="47CB903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國庫署　　　　　　　　　　署長　　　　陳柏誠</w:t>
      </w:r>
    </w:p>
    <w:p w14:paraId="67675043"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賦稅署　　　　　　　　　　署長　　　　宋秀玲</w:t>
      </w:r>
    </w:p>
    <w:p w14:paraId="017EF77B"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lastRenderedPageBreak/>
        <w:t xml:space="preserve">　　　　　　關務署　　　　　　　　　　署長　　　　彭英偉</w:t>
      </w:r>
    </w:p>
    <w:p w14:paraId="7EE8D4B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國有財產署　　　　　　　　署長　　　　曾國基</w:t>
      </w:r>
    </w:p>
    <w:p w14:paraId="45346E2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財政資訊中心　　　　　　　主任　　　　張文熙</w:t>
      </w:r>
    </w:p>
    <w:p w14:paraId="0773C50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財政人員訓練所　　　　　　所長　　　　許寧佑</w:t>
      </w:r>
    </w:p>
    <w:p w14:paraId="7F5ABA7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臺北國稅局　　　　　　　　局長　　　　吳蓮英</w:t>
      </w:r>
    </w:p>
    <w:p w14:paraId="56AF6887"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高雄國稅局　　　　　　　　局長　　　　翁培祐</w:t>
      </w:r>
    </w:p>
    <w:p w14:paraId="2249D70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北區國稅局　　　　　　　　局長　　　　李怡慧</w:t>
      </w:r>
    </w:p>
    <w:p w14:paraId="05CB65D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中區國稅局　　　　　　　　局長　　　　樓美鐘</w:t>
      </w:r>
    </w:p>
    <w:p w14:paraId="670F90D8"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南區國稅局　　　　　　　　局長　　　　李雅晶</w:t>
      </w:r>
    </w:p>
    <w:p w14:paraId="5B34AC3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臺灣金融控股股份有限公司　　董事長　　　凌忠嫄</w:t>
      </w:r>
    </w:p>
    <w:p w14:paraId="0EBEF26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(兼臺灣銀行股份有限公司董事長)</w:t>
      </w:r>
    </w:p>
    <w:p w14:paraId="4E670787"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施瑪莉</w:t>
      </w:r>
    </w:p>
    <w:p w14:paraId="6198AE44"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臺灣銀行股份有限公司　　　總經理　　　吳佳曉</w:t>
      </w:r>
    </w:p>
    <w:p w14:paraId="396259F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臺銀人壽保險股份有限公司　董事長　　　張志宏</w:t>
      </w:r>
    </w:p>
    <w:p w14:paraId="0D215A54"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劉啟聖</w:t>
      </w:r>
    </w:p>
    <w:p w14:paraId="539311F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臺銀綜合證券股份有限公司　董事長　　　許慈美</w:t>
      </w:r>
    </w:p>
    <w:p w14:paraId="4C244B0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代理總經理　林溫琴</w:t>
      </w:r>
    </w:p>
    <w:p w14:paraId="27601F45" w14:textId="74A023AF"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8E4F00">
        <w:rPr>
          <w:rFonts w:ascii="標楷體" w:eastAsia="標楷體" w:hAnsi="標楷體" w:hint="eastAsia"/>
          <w:color w:val="000000" w:themeColor="text1"/>
          <w:spacing w:val="-40"/>
          <w:kern w:val="16"/>
          <w:sz w:val="32"/>
          <w:szCs w:val="32"/>
        </w:rPr>
        <w:t>臺銀綜合保險經紀人股份有限公司</w:t>
      </w:r>
      <w:r w:rsidRPr="00913B6E">
        <w:rPr>
          <w:rFonts w:ascii="標楷體" w:eastAsia="標楷體" w:hAnsi="標楷體" w:hint="eastAsia"/>
          <w:color w:val="000000" w:themeColor="text1"/>
          <w:kern w:val="16"/>
          <w:sz w:val="32"/>
          <w:szCs w:val="32"/>
        </w:rPr>
        <w:t>總經理</w:t>
      </w:r>
      <w:r w:rsidR="008E4F00"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何明堯</w:t>
      </w:r>
    </w:p>
    <w:p w14:paraId="2D9C62F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(代理董事長)</w:t>
      </w:r>
    </w:p>
    <w:p w14:paraId="638DBA2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臺灣土地銀行股份有限公司　　董事長　　　何英明</w:t>
      </w:r>
    </w:p>
    <w:p w14:paraId="4F2C5AB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張志堅</w:t>
      </w:r>
    </w:p>
    <w:p w14:paraId="73A1F14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兆豐金融控股股份有限公司　　董事長　　　董瑞斌</w:t>
      </w:r>
    </w:p>
    <w:p w14:paraId="26B325B7"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(兼兆豐國際商業銀行股份有限公司董事長)</w:t>
      </w:r>
    </w:p>
    <w:p w14:paraId="41BA920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蕭玉美</w:t>
      </w:r>
    </w:p>
    <w:p w14:paraId="2D8016DE" w14:textId="3544DD80"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8E4F00">
        <w:rPr>
          <w:rFonts w:ascii="標楷體" w:eastAsia="標楷體" w:hAnsi="標楷體" w:hint="eastAsia"/>
          <w:color w:val="000000" w:themeColor="text1"/>
          <w:spacing w:val="-22"/>
          <w:kern w:val="16"/>
          <w:sz w:val="32"/>
          <w:szCs w:val="32"/>
        </w:rPr>
        <w:t>兆豐國際商業銀行股份有限公司</w:t>
      </w:r>
      <w:r w:rsidRPr="00913B6E">
        <w:rPr>
          <w:rFonts w:ascii="標楷體" w:eastAsia="標楷體" w:hAnsi="標楷體" w:hint="eastAsia"/>
          <w:color w:val="000000" w:themeColor="text1"/>
          <w:kern w:val="16"/>
          <w:sz w:val="32"/>
          <w:szCs w:val="32"/>
        </w:rPr>
        <w:t>總經理</w:t>
      </w:r>
      <w:r w:rsidR="008E4F00"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 xml:space="preserve">　</w:t>
      </w:r>
      <w:r w:rsidR="008E4F00"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黃永貞</w:t>
      </w:r>
    </w:p>
    <w:p w14:paraId="25FA08B5"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第一金融控股股份有限公司　　董事長　　　邱月琴</w:t>
      </w:r>
    </w:p>
    <w:p w14:paraId="042CDB3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(兼第一商業銀行股份有限公司董事長)</w:t>
      </w:r>
    </w:p>
    <w:p w14:paraId="47E300E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方螢基</w:t>
      </w:r>
    </w:p>
    <w:p w14:paraId="6AA5BC8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第一商業銀行股份有限公司　總經理　　　李嘉祥</w:t>
      </w:r>
    </w:p>
    <w:p w14:paraId="733DC255"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華南金融控股股份有限公司　　董事長　　　陳芬蘭</w:t>
      </w:r>
    </w:p>
    <w:p w14:paraId="2355216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lastRenderedPageBreak/>
        <w:t xml:space="preserve">　　　　　　　　　　　(兼華南商業銀行股份有限公司董事長)</w:t>
      </w:r>
    </w:p>
    <w:p w14:paraId="13F037D4"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李耀卿</w:t>
      </w:r>
    </w:p>
    <w:p w14:paraId="019A82B5"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華南商業銀行股份有限公司　總經理　　　黃俊智</w:t>
      </w:r>
    </w:p>
    <w:p w14:paraId="1F95003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合作金庫金融控股股份有限公司董事長　　　林衍茂</w:t>
      </w:r>
    </w:p>
    <w:p w14:paraId="3235389C"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(兼合作金庫商業銀行股份有限公司董事長)</w:t>
      </w:r>
    </w:p>
    <w:p w14:paraId="3EC991B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蘇佐政</w:t>
      </w:r>
    </w:p>
    <w:p w14:paraId="55E84E9E" w14:textId="593D7814"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264E99">
        <w:rPr>
          <w:rFonts w:ascii="標楷體" w:eastAsia="標楷體" w:hAnsi="標楷體" w:hint="eastAsia"/>
          <w:color w:val="000000" w:themeColor="text1"/>
          <w:spacing w:val="-22"/>
          <w:kern w:val="16"/>
          <w:sz w:val="32"/>
          <w:szCs w:val="32"/>
        </w:rPr>
        <w:t>合作金庫商業銀行股份有限公司</w:t>
      </w:r>
      <w:r w:rsidRPr="00913B6E">
        <w:rPr>
          <w:rFonts w:ascii="標楷體" w:eastAsia="標楷體" w:hAnsi="標楷體" w:hint="eastAsia"/>
          <w:color w:val="000000" w:themeColor="text1"/>
          <w:kern w:val="16"/>
          <w:sz w:val="32"/>
          <w:szCs w:val="32"/>
        </w:rPr>
        <w:t>總經理</w:t>
      </w:r>
      <w:r w:rsidR="00264E99"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 xml:space="preserve">　</w:t>
      </w:r>
      <w:r w:rsidR="00264E99"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王淑芳</w:t>
      </w:r>
    </w:p>
    <w:p w14:paraId="4C1CF4D7"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彰化商業銀行股份有限公司　　董事長　　　胡光華</w:t>
      </w:r>
    </w:p>
    <w:p w14:paraId="0DE9B61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周朝崇</w:t>
      </w:r>
    </w:p>
    <w:p w14:paraId="59FB9653"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臺灣中小企業銀行股份有限公司董事長　　　劉佩真</w:t>
      </w:r>
    </w:p>
    <w:p w14:paraId="23C2E5A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李國忠</w:t>
      </w:r>
    </w:p>
    <w:p w14:paraId="06F179BC"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中國輸出入銀行　　　　　　　理事主席　　戴燈山</w:t>
      </w:r>
    </w:p>
    <w:p w14:paraId="78D7E60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謝富華</w:t>
      </w:r>
    </w:p>
    <w:p w14:paraId="0D9FA3DC"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臺灣菸酒股份有限公司　　　　董事長　　　湯期安</w:t>
      </w:r>
    </w:p>
    <w:p w14:paraId="405DED3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賴煥宗</w:t>
      </w:r>
    </w:p>
    <w:p w14:paraId="6E61221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財政部印刷廠　　　　　　　　廠長　　　　王國龍</w:t>
      </w:r>
    </w:p>
    <w:p w14:paraId="1F662D38"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關貿網路股份有限公司　　　　董事長　　　張陸生</w:t>
      </w:r>
    </w:p>
    <w:p w14:paraId="2DE174D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高國峯</w:t>
      </w:r>
    </w:p>
    <w:p w14:paraId="3D4D32F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中央再保險股份有限公司　　　董事　　　　李宜芬</w:t>
      </w:r>
    </w:p>
    <w:p w14:paraId="55A981D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銓敘部</w:t>
      </w:r>
      <w:r w:rsidRPr="00913B6E">
        <w:rPr>
          <w:rFonts w:ascii="標楷體" w:eastAsia="標楷體" w:hAnsi="標楷體" w:hint="eastAsia"/>
          <w:color w:val="000000" w:themeColor="text1"/>
          <w:kern w:val="16"/>
          <w:sz w:val="32"/>
          <w:szCs w:val="32"/>
        </w:rPr>
        <w:t xml:space="preserve">　　　　　　　　　　　簡任稽核　　蔡斌仕</w:t>
      </w:r>
    </w:p>
    <w:p w14:paraId="62E76AA6"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交通部</w:t>
      </w:r>
      <w:r w:rsidRPr="00913B6E">
        <w:rPr>
          <w:rFonts w:ascii="標楷體" w:eastAsia="標楷體" w:hAnsi="標楷體" w:hint="eastAsia"/>
          <w:color w:val="000000" w:themeColor="text1"/>
          <w:kern w:val="16"/>
          <w:sz w:val="32"/>
          <w:szCs w:val="32"/>
        </w:rPr>
        <w:t>公共運輸及監理司　　　簡任技正　　王基洲</w:t>
      </w:r>
    </w:p>
    <w:p w14:paraId="62F3561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衛生福利部</w:t>
      </w:r>
      <w:r w:rsidRPr="00913B6E">
        <w:rPr>
          <w:rFonts w:ascii="標楷體" w:eastAsia="標楷體" w:hAnsi="標楷體" w:hint="eastAsia"/>
          <w:color w:val="000000" w:themeColor="text1"/>
          <w:kern w:val="16"/>
          <w:sz w:val="32"/>
          <w:szCs w:val="32"/>
        </w:rPr>
        <w:t>社會及家庭署　　　組長　　　　尤詒君</w:t>
      </w:r>
    </w:p>
    <w:p w14:paraId="2C39BC5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經濟部</w:t>
      </w:r>
      <w:r w:rsidRPr="00913B6E">
        <w:rPr>
          <w:rFonts w:ascii="標楷體" w:eastAsia="標楷體" w:hAnsi="標楷體" w:hint="eastAsia"/>
          <w:color w:val="000000" w:themeColor="text1"/>
          <w:kern w:val="16"/>
          <w:sz w:val="32"/>
          <w:szCs w:val="32"/>
        </w:rPr>
        <w:t>產業發展署　　　　　　副組長　　　鄒宇新</w:t>
      </w:r>
    </w:p>
    <w:p w14:paraId="3DFC3518"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環境部</w:t>
      </w:r>
      <w:r w:rsidRPr="00913B6E">
        <w:rPr>
          <w:rFonts w:ascii="標楷體" w:eastAsia="標楷體" w:hAnsi="標楷體" w:hint="eastAsia"/>
          <w:color w:val="000000" w:themeColor="text1"/>
          <w:kern w:val="16"/>
          <w:sz w:val="32"/>
          <w:szCs w:val="32"/>
        </w:rPr>
        <w:t>大氣環境司　　　　　　簡任技正　　呂澄洋</w:t>
      </w:r>
    </w:p>
    <w:p w14:paraId="0F8DB67C"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行政院主計總處</w:t>
      </w:r>
      <w:r w:rsidRPr="00913B6E">
        <w:rPr>
          <w:rFonts w:ascii="標楷體" w:eastAsia="標楷體" w:hAnsi="標楷體" w:hint="eastAsia"/>
          <w:color w:val="000000" w:themeColor="text1"/>
          <w:kern w:val="16"/>
          <w:sz w:val="32"/>
          <w:szCs w:val="32"/>
        </w:rPr>
        <w:t>公務預算處　　專門委員　　黃小娟</w:t>
      </w:r>
    </w:p>
    <w:p w14:paraId="4A9E6194"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法務部</w:t>
      </w:r>
      <w:r w:rsidRPr="00913B6E">
        <w:rPr>
          <w:rFonts w:ascii="標楷體" w:eastAsia="標楷體" w:hAnsi="標楷體" w:hint="eastAsia"/>
          <w:color w:val="000000" w:themeColor="text1"/>
          <w:kern w:val="16"/>
          <w:sz w:val="32"/>
          <w:szCs w:val="32"/>
        </w:rPr>
        <w:t xml:space="preserve">法制司　　　　　</w:t>
      </w:r>
      <w:r w:rsidR="00913B6E">
        <w:rPr>
          <w:rFonts w:ascii="標楷體" w:eastAsia="標楷體" w:hAnsi="標楷體" w:hint="eastAsia"/>
          <w:color w:val="000000" w:themeColor="text1"/>
          <w:kern w:val="16"/>
          <w:sz w:val="32"/>
          <w:szCs w:val="32"/>
        </w:rPr>
        <w:t xml:space="preserve">　　</w:t>
      </w:r>
      <w:r w:rsidR="00913B6E" w:rsidRPr="00913B6E">
        <w:rPr>
          <w:rFonts w:ascii="標楷體" w:eastAsia="標楷體" w:hAnsi="標楷體" w:hint="eastAsia"/>
          <w:color w:val="000000" w:themeColor="text1"/>
          <w:kern w:val="16"/>
          <w:sz w:val="32"/>
          <w:szCs w:val="32"/>
        </w:rPr>
        <w:t xml:space="preserve">　</w:t>
      </w:r>
      <w:r w:rsidRPr="002C30CF">
        <w:rPr>
          <w:rFonts w:ascii="標楷體" w:eastAsia="標楷體" w:hAnsi="標楷體" w:hint="eastAsia"/>
          <w:color w:val="000000" w:themeColor="text1"/>
          <w:spacing w:val="-30"/>
          <w:kern w:val="16"/>
          <w:sz w:val="32"/>
          <w:szCs w:val="32"/>
        </w:rPr>
        <w:t>調部辦事檢察官楊石宇</w:t>
      </w:r>
    </w:p>
    <w:p w14:paraId="39123CE3"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113年1</w:t>
      </w:r>
      <w:r w:rsidRPr="00913B6E">
        <w:rPr>
          <w:rFonts w:ascii="標楷體" w:eastAsia="標楷體" w:hAnsi="標楷體"/>
          <w:color w:val="000000" w:themeColor="text1"/>
          <w:kern w:val="16"/>
          <w:sz w:val="32"/>
          <w:szCs w:val="32"/>
        </w:rPr>
        <w:t>1</w:t>
      </w:r>
      <w:r w:rsidRPr="00913B6E">
        <w:rPr>
          <w:rFonts w:ascii="標楷體" w:eastAsia="標楷體" w:hAnsi="標楷體" w:hint="eastAsia"/>
          <w:color w:val="000000" w:themeColor="text1"/>
          <w:kern w:val="16"/>
          <w:sz w:val="32"/>
          <w:szCs w:val="32"/>
        </w:rPr>
        <w:t>月1</w:t>
      </w:r>
      <w:r w:rsidRPr="00913B6E">
        <w:rPr>
          <w:rFonts w:ascii="標楷體" w:eastAsia="標楷體" w:hAnsi="標楷體"/>
          <w:color w:val="000000" w:themeColor="text1"/>
          <w:kern w:val="16"/>
          <w:sz w:val="32"/>
          <w:szCs w:val="32"/>
        </w:rPr>
        <w:t>4</w:t>
      </w:r>
      <w:r w:rsidRPr="00913B6E">
        <w:rPr>
          <w:rFonts w:ascii="標楷體" w:eastAsia="標楷體" w:hAnsi="標楷體" w:hint="eastAsia"/>
          <w:color w:val="000000" w:themeColor="text1"/>
          <w:kern w:val="16"/>
          <w:sz w:val="32"/>
          <w:szCs w:val="32"/>
        </w:rPr>
        <w:t>日（星期四）</w:t>
      </w:r>
    </w:p>
    <w:p w14:paraId="0BB6AD4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中央銀行</w:t>
      </w:r>
      <w:r w:rsidRPr="00913B6E">
        <w:rPr>
          <w:rFonts w:ascii="標楷體" w:eastAsia="標楷體" w:hAnsi="標楷體" w:hint="eastAsia"/>
          <w:color w:val="000000" w:themeColor="text1"/>
          <w:kern w:val="16"/>
          <w:sz w:val="32"/>
          <w:szCs w:val="32"/>
        </w:rPr>
        <w:t xml:space="preserve">　　　　　　　　　　總裁　　　　楊金龍</w:t>
      </w:r>
    </w:p>
    <w:p w14:paraId="7A233ED5"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業務局　　　　　　　　　　局長　　　　潘榮耀</w:t>
      </w:r>
    </w:p>
    <w:p w14:paraId="352E65B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發行局　　　　　　　　　　局長　　　　鄧延達</w:t>
      </w:r>
    </w:p>
    <w:p w14:paraId="5002074F"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lastRenderedPageBreak/>
        <w:t xml:space="preserve">　　　　　　外匯局　　　　　　　　　　局長　　　　蔡烱民</w:t>
      </w:r>
    </w:p>
    <w:p w14:paraId="78DF410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國庫局　　　　　　　　　　局長　　　　賀培真</w:t>
      </w:r>
    </w:p>
    <w:p w14:paraId="27CDC55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金融業務檢查處　　　　　　處長　　　　潘雅慧</w:t>
      </w:r>
    </w:p>
    <w:p w14:paraId="1C19605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經濟研究處　　　　　　　　處長　　　　吳懿娟</w:t>
      </w:r>
    </w:p>
    <w:p w14:paraId="1490F3F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秘書處　　　　　　　　　　處長　　　　梁建菁</w:t>
      </w:r>
    </w:p>
    <w:p w14:paraId="17EC443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會計處　　　　　　　　　　處長　　　　郭淑蕙</w:t>
      </w:r>
    </w:p>
    <w:p w14:paraId="5E00D022"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資訊處　　　　　　　　　　處長　　　　李瑞枔</w:t>
      </w:r>
    </w:p>
    <w:p w14:paraId="603D9B5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人事室　　　　　　　　　　主任　　　　張淑惠</w:t>
      </w:r>
    </w:p>
    <w:p w14:paraId="367E3805"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法務室　　　　　　　　　　主任　　　　吳坤山</w:t>
      </w:r>
    </w:p>
    <w:p w14:paraId="2337ED9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中央印製廠　　　　　　　　　總經理　　　林宗模</w:t>
      </w:r>
    </w:p>
    <w:p w14:paraId="33A352B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中央造幣廠　　　　　　　　　廠長　　　　葉牧青</w:t>
      </w:r>
    </w:p>
    <w:p w14:paraId="1BA7FBB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財政部</w:t>
      </w:r>
      <w:r w:rsidRPr="00913B6E">
        <w:rPr>
          <w:rFonts w:ascii="標楷體" w:eastAsia="標楷體" w:hAnsi="標楷體" w:hint="eastAsia"/>
          <w:color w:val="000000" w:themeColor="text1"/>
          <w:kern w:val="16"/>
          <w:sz w:val="32"/>
          <w:szCs w:val="32"/>
        </w:rPr>
        <w:t xml:space="preserve">　　　　　　　　　　　部長　　　　莊翠雲</w:t>
      </w:r>
    </w:p>
    <w:p w14:paraId="166F48EF"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綜合規劃司　　　　　　　　司長　　　　李瓊琳</w:t>
      </w:r>
    </w:p>
    <w:p w14:paraId="464DC2E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國際財政司　　　　　　　　司長　　　　丁碧蓮</w:t>
      </w:r>
    </w:p>
    <w:p w14:paraId="303BF097"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推動促參司　　　　　　　　司長　　　　張素珍</w:t>
      </w:r>
    </w:p>
    <w:p w14:paraId="0689995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統計處　　　　　　　　　　處長　　　　蔡美娜</w:t>
      </w:r>
    </w:p>
    <w:p w14:paraId="67CB5E56"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國庫署　　　　　　　　　　署長　　　　陳柏誠</w:t>
      </w:r>
    </w:p>
    <w:p w14:paraId="7FEF05FF"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賦稅署　　　　　　　　　　署長　　　　宋秀玲</w:t>
      </w:r>
    </w:p>
    <w:p w14:paraId="0FC5F20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關務署　　　　　　　　　　署長　　　　彭英偉</w:t>
      </w:r>
    </w:p>
    <w:p w14:paraId="37E31A6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國有財產署　　　　　　　　署長　　　　曾國基</w:t>
      </w:r>
    </w:p>
    <w:p w14:paraId="1E79118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財政資訊中心　　　　　　　主任　　　　張文熙</w:t>
      </w:r>
    </w:p>
    <w:p w14:paraId="25A12FCC"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臺北國稅局　　　　　　　　局長　　　　吳蓮英</w:t>
      </w:r>
    </w:p>
    <w:p w14:paraId="33B365D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金融監督管理委員會</w:t>
      </w:r>
      <w:r w:rsidRPr="00913B6E">
        <w:rPr>
          <w:rFonts w:ascii="標楷體" w:eastAsia="標楷體" w:hAnsi="標楷體"/>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主任委員</w:t>
      </w:r>
      <w:r w:rsidRPr="00913B6E">
        <w:rPr>
          <w:rFonts w:ascii="標楷體" w:eastAsia="標楷體" w:hAnsi="標楷體"/>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 xml:space="preserve">　彭金隆</w:t>
      </w:r>
    </w:p>
    <w:p w14:paraId="04570D47"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國際業務處　　　　　　　　處長　　　　賴明賢</w:t>
      </w:r>
    </w:p>
    <w:p w14:paraId="1AA50F4C"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銀行局　　　　　　　　　　局長　　　　莊琇媛</w:t>
      </w:r>
    </w:p>
    <w:p w14:paraId="49489A6B"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證券期貨局　　　　　　　　局長　　　　張振山</w:t>
      </w:r>
    </w:p>
    <w:p w14:paraId="0158E37A"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保險局　　　　　　　　　　局長　　　　王麗惠</w:t>
      </w:r>
    </w:p>
    <w:p w14:paraId="4A1B6250"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檢查局　　　　　　　　　　局長　　　　童政彰</w:t>
      </w:r>
    </w:p>
    <w:p w14:paraId="17976A3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臺灣證券交易所股份有限公司　董事長　　　林修銘</w:t>
      </w:r>
    </w:p>
    <w:p w14:paraId="26D3569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　　　李愛玲</w:t>
      </w:r>
    </w:p>
    <w:p w14:paraId="14ACB931"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lastRenderedPageBreak/>
        <w:t xml:space="preserve">　　　　　</w:t>
      </w:r>
      <w:r w:rsidRPr="00264E99">
        <w:rPr>
          <w:rFonts w:ascii="標楷體" w:eastAsia="標楷體" w:hAnsi="標楷體" w:hint="eastAsia"/>
          <w:color w:val="000000" w:themeColor="text1"/>
          <w:spacing w:val="-40"/>
          <w:kern w:val="16"/>
          <w:sz w:val="32"/>
          <w:szCs w:val="32"/>
        </w:rPr>
        <w:t>財團法人中華民國證券櫃檯買賣中心</w:t>
      </w:r>
      <w:r w:rsidRPr="00264E99">
        <w:rPr>
          <w:rFonts w:ascii="標楷體" w:eastAsia="標楷體" w:hAnsi="標楷體" w:hint="eastAsia"/>
          <w:color w:val="000000" w:themeColor="text1"/>
          <w:kern w:val="16"/>
          <w:sz w:val="32"/>
          <w:szCs w:val="32"/>
        </w:rPr>
        <w:t>董事長</w:t>
      </w:r>
      <w:r w:rsidRPr="00913B6E">
        <w:rPr>
          <w:rFonts w:ascii="標楷體" w:eastAsia="標楷體" w:hAnsi="標楷體" w:hint="eastAsia"/>
          <w:color w:val="000000" w:themeColor="text1"/>
          <w:kern w:val="16"/>
          <w:sz w:val="32"/>
          <w:szCs w:val="32"/>
        </w:rPr>
        <w:t xml:space="preserve">　　　簡立忠</w:t>
      </w:r>
    </w:p>
    <w:p w14:paraId="41494F56"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(總經理陳麗卿請假)</w:t>
      </w:r>
    </w:p>
    <w:p w14:paraId="34757B79"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w:t>
      </w:r>
      <w:r w:rsidRPr="00913B6E">
        <w:rPr>
          <w:rFonts w:ascii="標楷體" w:eastAsia="標楷體" w:hAnsi="標楷體" w:hint="eastAsia"/>
          <w:b/>
          <w:color w:val="000000" w:themeColor="text1"/>
          <w:kern w:val="16"/>
          <w:sz w:val="32"/>
          <w:szCs w:val="32"/>
        </w:rPr>
        <w:t>行政院主計總處</w:t>
      </w:r>
      <w:r w:rsidRPr="00913B6E">
        <w:rPr>
          <w:rFonts w:ascii="標楷體" w:eastAsia="標楷體" w:hAnsi="標楷體" w:hint="eastAsia"/>
          <w:color w:val="000000" w:themeColor="text1"/>
          <w:kern w:val="16"/>
          <w:sz w:val="32"/>
          <w:szCs w:val="32"/>
        </w:rPr>
        <w:t>公務預算處　　專門委員　　李翊柔</w:t>
      </w:r>
    </w:p>
    <w:p w14:paraId="1A0E93A5"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基金預算處　　　　　　　　專門委員　　黃厚輯</w:t>
      </w:r>
    </w:p>
    <w:p w14:paraId="3C42EDB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主　　席　賴召集委員惠員</w:t>
      </w:r>
    </w:p>
    <w:p w14:paraId="6EA772D4"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專門委員</w:t>
      </w:r>
      <w:r w:rsidRPr="00913B6E">
        <w:rPr>
          <w:rFonts w:ascii="標楷體" w:eastAsia="標楷體" w:hAnsi="標楷體"/>
          <w:color w:val="000000" w:themeColor="text1"/>
          <w:kern w:val="16"/>
          <w:sz w:val="32"/>
          <w:szCs w:val="32"/>
        </w:rPr>
        <w:t xml:space="preserve">　</w:t>
      </w:r>
      <w:r w:rsidRPr="00913B6E">
        <w:rPr>
          <w:rFonts w:ascii="標楷體" w:eastAsia="標楷體" w:hAnsi="標楷體" w:hint="eastAsia"/>
          <w:color w:val="000000" w:themeColor="text1"/>
          <w:kern w:val="16"/>
          <w:sz w:val="32"/>
          <w:szCs w:val="32"/>
        </w:rPr>
        <w:t>林靜玟</w:t>
      </w:r>
    </w:p>
    <w:p w14:paraId="28ED22EE"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color w:val="000000" w:themeColor="text1"/>
          <w:kern w:val="16"/>
          <w:sz w:val="32"/>
          <w:szCs w:val="32"/>
        </w:rPr>
        <w:t>主任秘書　謝淑津</w:t>
      </w:r>
    </w:p>
    <w:p w14:paraId="2C61DE4D"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color w:val="000000" w:themeColor="text1"/>
          <w:kern w:val="16"/>
          <w:sz w:val="32"/>
          <w:szCs w:val="32"/>
        </w:rPr>
        <w:t xml:space="preserve">紀　　錄　</w:t>
      </w:r>
      <w:r w:rsidRPr="00913B6E">
        <w:rPr>
          <w:rFonts w:ascii="標楷體" w:eastAsia="標楷體" w:hAnsi="標楷體" w:hint="eastAsia"/>
          <w:color w:val="000000" w:themeColor="text1"/>
          <w:kern w:val="16"/>
          <w:sz w:val="32"/>
          <w:szCs w:val="32"/>
        </w:rPr>
        <w:t xml:space="preserve">秘　書　吳人寬　研究員　黃惠雯　編　審　伍明清　</w:t>
      </w:r>
    </w:p>
    <w:p w14:paraId="419A01A5" w14:textId="77777777" w:rsidR="009D64D0" w:rsidRPr="00913B6E"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913B6E">
        <w:rPr>
          <w:rFonts w:ascii="標楷體" w:eastAsia="標楷體" w:hAnsi="標楷體" w:hint="eastAsia"/>
          <w:color w:val="000000" w:themeColor="text1"/>
          <w:kern w:val="16"/>
          <w:sz w:val="32"/>
          <w:szCs w:val="32"/>
        </w:rPr>
        <w:t xml:space="preserve">　　　　　科　長　喻　珊　專　員　沈克彬　科　員　劉雅欣　</w:t>
      </w:r>
    </w:p>
    <w:p w14:paraId="4C3DF055" w14:textId="77777777" w:rsidR="009D64D0" w:rsidRPr="00D94DC3" w:rsidRDefault="009D64D0" w:rsidP="00F470A8">
      <w:pPr>
        <w:pStyle w:val="Default"/>
        <w:overflowPunct w:val="0"/>
        <w:spacing w:beforeLines="50" w:before="180" w:line="480" w:lineRule="exact"/>
        <w:ind w:leftChars="10" w:left="1827" w:hanging="1803"/>
        <w:jc w:val="both"/>
        <w:rPr>
          <w:rFonts w:cs="Times New Roman"/>
          <w:b/>
          <w:bCs/>
          <w:sz w:val="32"/>
          <w:szCs w:val="32"/>
        </w:rPr>
      </w:pPr>
      <w:r w:rsidRPr="00D94DC3">
        <w:rPr>
          <w:rFonts w:cs="Times New Roman"/>
          <w:b/>
          <w:bCs/>
          <w:sz w:val="32"/>
          <w:szCs w:val="32"/>
        </w:rPr>
        <w:t>11</w:t>
      </w:r>
      <w:r w:rsidRPr="00D94DC3">
        <w:rPr>
          <w:rFonts w:cs="Times New Roman" w:hint="eastAsia"/>
          <w:b/>
          <w:bCs/>
          <w:sz w:val="32"/>
          <w:szCs w:val="32"/>
        </w:rPr>
        <w:t>3年11月13日</w:t>
      </w:r>
    </w:p>
    <w:p w14:paraId="7F39BB1A" w14:textId="77777777" w:rsidR="009D64D0" w:rsidRDefault="009D64D0" w:rsidP="00F470A8">
      <w:pPr>
        <w:pStyle w:val="Default"/>
        <w:kinsoku w:val="0"/>
        <w:overflowPunct w:val="0"/>
        <w:spacing w:line="480" w:lineRule="exact"/>
        <w:jc w:val="both"/>
        <w:rPr>
          <w:rFonts w:cs="Times New Roman"/>
          <w:bCs/>
          <w:sz w:val="32"/>
          <w:szCs w:val="32"/>
        </w:rPr>
      </w:pPr>
      <w:r w:rsidRPr="00D94DC3">
        <w:rPr>
          <w:rFonts w:cs="Times New Roman" w:hint="eastAsia"/>
          <w:bCs/>
          <w:sz w:val="32"/>
          <w:szCs w:val="32"/>
        </w:rPr>
        <w:t>針對本院第11屆第2會期財政委員會第6次全體委員會議，議案之審查程序嚴重違反立法院職權行使法、立法院議事規則等(如說明)，本次會議審查結果應屬無效；且本次會議議事錄未依規定記載，應不予確定。</w:t>
      </w:r>
    </w:p>
    <w:p w14:paraId="64CBC68F" w14:textId="4E927251" w:rsidR="00B37FAC" w:rsidRDefault="00F355FA" w:rsidP="00F470A8">
      <w:pPr>
        <w:pStyle w:val="af5"/>
        <w:widowControl w:val="0"/>
        <w:kinsoku w:val="0"/>
        <w:overflowPunct w:val="0"/>
        <w:autoSpaceDE w:val="0"/>
        <w:adjustRightInd w:val="0"/>
        <w:snapToGrid w:val="0"/>
        <w:spacing w:line="480" w:lineRule="exact"/>
        <w:ind w:leftChars="1000" w:left="3680" w:hangingChars="400" w:hanging="1280"/>
        <w:rPr>
          <w:rFonts w:ascii="標楷體" w:eastAsia="標楷體" w:hAnsi="標楷體"/>
          <w:kern w:val="2"/>
          <w:sz w:val="32"/>
          <w:szCs w:val="32"/>
        </w:rPr>
      </w:pPr>
      <w:r w:rsidRPr="00B95371">
        <w:rPr>
          <w:rFonts w:ascii="標楷體" w:eastAsia="標楷體" w:hAnsi="標楷體" w:hint="eastAsia"/>
          <w:color w:val="000000" w:themeColor="text1"/>
          <w:kern w:val="2"/>
          <w:sz w:val="32"/>
          <w:szCs w:val="32"/>
        </w:rPr>
        <w:t xml:space="preserve">　　</w:t>
      </w:r>
      <w:r w:rsidR="009D64D0" w:rsidRPr="00B37FAC">
        <w:rPr>
          <w:rFonts w:ascii="標楷體" w:eastAsia="標楷體" w:hAnsi="標楷體" w:hint="eastAsia"/>
          <w:kern w:val="2"/>
          <w:sz w:val="32"/>
          <w:szCs w:val="32"/>
        </w:rPr>
        <w:t xml:space="preserve">提案人：郭國文　賴惠員　李坤城　吳秉叡　</w:t>
      </w:r>
    </w:p>
    <w:p w14:paraId="788D4E5D" w14:textId="03F0D137" w:rsidR="009D64D0" w:rsidRPr="00B37FAC" w:rsidRDefault="00F355FA" w:rsidP="00F470A8">
      <w:pPr>
        <w:pStyle w:val="af5"/>
        <w:widowControl w:val="0"/>
        <w:kinsoku w:val="0"/>
        <w:overflowPunct w:val="0"/>
        <w:autoSpaceDE w:val="0"/>
        <w:adjustRightInd w:val="0"/>
        <w:snapToGrid w:val="0"/>
        <w:spacing w:line="480" w:lineRule="exact"/>
        <w:ind w:leftChars="1000" w:left="3680" w:hangingChars="400" w:hanging="1280"/>
        <w:rPr>
          <w:rFonts w:ascii="標楷體" w:eastAsia="標楷體" w:hAnsi="標楷體"/>
          <w:kern w:val="2"/>
          <w:sz w:val="32"/>
          <w:szCs w:val="32"/>
        </w:rPr>
      </w:pPr>
      <w:r w:rsidRPr="00B95371">
        <w:rPr>
          <w:rFonts w:ascii="標楷體" w:eastAsia="標楷體" w:hAnsi="標楷體" w:hint="eastAsia"/>
          <w:color w:val="000000" w:themeColor="text1"/>
          <w:kern w:val="2"/>
          <w:sz w:val="32"/>
          <w:szCs w:val="32"/>
        </w:rPr>
        <w:t xml:space="preserve">　　</w:t>
      </w:r>
      <w:r w:rsidR="00B37FAC" w:rsidRPr="00B37FAC">
        <w:rPr>
          <w:rFonts w:ascii="標楷體" w:eastAsia="標楷體" w:hAnsi="標楷體" w:hint="eastAsia"/>
          <w:kern w:val="2"/>
          <w:sz w:val="32"/>
          <w:szCs w:val="32"/>
        </w:rPr>
        <w:t xml:space="preserve">　　　　</w:t>
      </w:r>
      <w:r w:rsidR="009D64D0" w:rsidRPr="00B37FAC">
        <w:rPr>
          <w:rFonts w:ascii="標楷體" w:eastAsia="標楷體" w:hAnsi="標楷體" w:hint="eastAsia"/>
          <w:kern w:val="2"/>
          <w:sz w:val="32"/>
          <w:szCs w:val="32"/>
        </w:rPr>
        <w:t xml:space="preserve">伍麗華　王世堅　</w:t>
      </w:r>
    </w:p>
    <w:p w14:paraId="60042DA2" w14:textId="77777777" w:rsidR="009D64D0" w:rsidRDefault="009D64D0" w:rsidP="00F470A8">
      <w:pPr>
        <w:pStyle w:val="Default"/>
        <w:kinsoku w:val="0"/>
        <w:overflowPunct w:val="0"/>
        <w:spacing w:line="480" w:lineRule="exact"/>
        <w:jc w:val="both"/>
        <w:rPr>
          <w:rFonts w:cs="Times New Roman"/>
          <w:bCs/>
          <w:sz w:val="32"/>
          <w:szCs w:val="32"/>
        </w:rPr>
      </w:pPr>
      <w:r w:rsidRPr="00032F45">
        <w:rPr>
          <w:rFonts w:cs="Times New Roman" w:hint="eastAsia"/>
          <w:b/>
          <w:bCs/>
          <w:sz w:val="32"/>
          <w:szCs w:val="32"/>
        </w:rPr>
        <w:t>表決結果</w:t>
      </w:r>
      <w:r w:rsidRPr="00D94DC3">
        <w:rPr>
          <w:rFonts w:cs="Times New Roman" w:hint="eastAsia"/>
          <w:bCs/>
          <w:sz w:val="32"/>
          <w:szCs w:val="32"/>
        </w:rPr>
        <w:t>：</w:t>
      </w:r>
      <w:r>
        <w:rPr>
          <w:rFonts w:cs="Times New Roman" w:hint="eastAsia"/>
          <w:bCs/>
          <w:sz w:val="32"/>
          <w:szCs w:val="32"/>
        </w:rPr>
        <w:t>贊成者少數，本案</w:t>
      </w:r>
      <w:r w:rsidRPr="00D94DC3">
        <w:rPr>
          <w:rFonts w:cs="Times New Roman" w:hint="eastAsia"/>
          <w:bCs/>
          <w:sz w:val="32"/>
          <w:szCs w:val="32"/>
        </w:rPr>
        <w:t>不通過</w:t>
      </w:r>
      <w:r>
        <w:rPr>
          <w:rFonts w:cs="Times New Roman" w:hint="eastAsia"/>
          <w:bCs/>
          <w:sz w:val="32"/>
          <w:szCs w:val="32"/>
        </w:rPr>
        <w:t>(</w:t>
      </w:r>
      <w:r w:rsidRPr="00D94DC3">
        <w:rPr>
          <w:rFonts w:cs="Times New Roman" w:hint="eastAsia"/>
          <w:bCs/>
          <w:sz w:val="32"/>
          <w:szCs w:val="32"/>
        </w:rPr>
        <w:t>贊成5票；不贊成7票</w:t>
      </w:r>
      <w:r>
        <w:rPr>
          <w:rFonts w:cs="Times New Roman" w:hint="eastAsia"/>
          <w:bCs/>
          <w:sz w:val="32"/>
          <w:szCs w:val="32"/>
        </w:rPr>
        <w:t>)。</w:t>
      </w:r>
    </w:p>
    <w:p w14:paraId="1B5796C4" w14:textId="77777777" w:rsidR="009D64D0" w:rsidRPr="00D94DC3" w:rsidRDefault="009D64D0" w:rsidP="00F470A8">
      <w:pPr>
        <w:pStyle w:val="Default"/>
        <w:overflowPunct w:val="0"/>
        <w:spacing w:beforeLines="50" w:before="180" w:line="480" w:lineRule="exact"/>
        <w:ind w:leftChars="200" w:left="2283" w:hanging="1803"/>
        <w:jc w:val="both"/>
        <w:rPr>
          <w:rFonts w:cs="Times New Roman"/>
          <w:b/>
          <w:bCs/>
          <w:sz w:val="32"/>
          <w:szCs w:val="32"/>
        </w:rPr>
      </w:pPr>
      <w:r w:rsidRPr="00D94DC3">
        <w:rPr>
          <w:rFonts w:cs="Times New Roman" w:hint="eastAsia"/>
          <w:b/>
          <w:bCs/>
          <w:sz w:val="32"/>
          <w:szCs w:val="32"/>
        </w:rPr>
        <w:t>報告事項</w:t>
      </w:r>
    </w:p>
    <w:p w14:paraId="0A3F9ACC" w14:textId="77777777" w:rsidR="009D64D0" w:rsidRPr="00D94DC3" w:rsidRDefault="009D64D0" w:rsidP="00F470A8">
      <w:pPr>
        <w:pStyle w:val="Default"/>
        <w:overflowPunct w:val="0"/>
        <w:spacing w:line="480" w:lineRule="exact"/>
        <w:ind w:leftChars="10" w:left="24"/>
        <w:jc w:val="both"/>
        <w:rPr>
          <w:rFonts w:cs="Times New Roman"/>
          <w:bCs/>
          <w:sz w:val="32"/>
          <w:szCs w:val="32"/>
        </w:rPr>
      </w:pPr>
      <w:r w:rsidRPr="00D94DC3">
        <w:rPr>
          <w:rFonts w:cs="Times New Roman" w:hint="eastAsia"/>
          <w:bCs/>
          <w:sz w:val="32"/>
          <w:szCs w:val="32"/>
        </w:rPr>
        <w:t>宣讀第六次、第七次會議議事錄。</w:t>
      </w:r>
    </w:p>
    <w:p w14:paraId="4522436C" w14:textId="77777777" w:rsidR="009D64D0" w:rsidRPr="00B37FAC" w:rsidRDefault="009D64D0" w:rsidP="00F470A8">
      <w:pPr>
        <w:widowControl w:val="0"/>
        <w:kinsoku w:val="0"/>
        <w:overflowPunct w:val="0"/>
        <w:autoSpaceDN/>
        <w:adjustRightInd w:val="0"/>
        <w:snapToGrid w:val="0"/>
        <w:spacing w:line="480" w:lineRule="exact"/>
        <w:jc w:val="both"/>
        <w:textAlignment w:val="auto"/>
        <w:rPr>
          <w:rFonts w:ascii="標楷體" w:eastAsia="標楷體" w:hAnsi="標楷體"/>
          <w:kern w:val="2"/>
          <w:sz w:val="32"/>
          <w:szCs w:val="32"/>
        </w:rPr>
      </w:pPr>
      <w:r w:rsidRPr="00B37FAC">
        <w:rPr>
          <w:rFonts w:ascii="標楷體" w:eastAsia="標楷體" w:hAnsi="標楷體"/>
          <w:kern w:val="2"/>
          <w:sz w:val="32"/>
          <w:szCs w:val="32"/>
        </w:rPr>
        <w:t>決定：議事錄確定。</w:t>
      </w:r>
    </w:p>
    <w:p w14:paraId="4E8172BB" w14:textId="77777777" w:rsidR="009D64D0" w:rsidRPr="00D94DC3" w:rsidRDefault="009D64D0" w:rsidP="00F470A8">
      <w:pPr>
        <w:pStyle w:val="Default"/>
        <w:overflowPunct w:val="0"/>
        <w:spacing w:beforeLines="50" w:before="180" w:line="460" w:lineRule="exact"/>
        <w:ind w:leftChars="200" w:left="2283" w:hanging="1803"/>
        <w:jc w:val="both"/>
        <w:rPr>
          <w:rFonts w:cs="Times New Roman"/>
          <w:b/>
          <w:bCs/>
          <w:sz w:val="32"/>
          <w:szCs w:val="32"/>
        </w:rPr>
      </w:pPr>
      <w:r w:rsidRPr="00D94DC3">
        <w:rPr>
          <w:rFonts w:cs="Times New Roman" w:hint="eastAsia"/>
          <w:b/>
          <w:bCs/>
          <w:sz w:val="32"/>
          <w:szCs w:val="32"/>
        </w:rPr>
        <w:t>討論事項</w:t>
      </w:r>
    </w:p>
    <w:p w14:paraId="571B4A5F" w14:textId="77777777" w:rsidR="009D64D0" w:rsidRPr="00D94DC3" w:rsidRDefault="009D64D0" w:rsidP="00F470A8">
      <w:pPr>
        <w:pStyle w:val="Default"/>
        <w:overflowPunct w:val="0"/>
        <w:spacing w:line="500" w:lineRule="exact"/>
        <w:ind w:left="640" w:hangingChars="200" w:hanging="640"/>
        <w:jc w:val="both"/>
        <w:rPr>
          <w:rFonts w:cs="Times New Roman"/>
          <w:bCs/>
          <w:sz w:val="32"/>
          <w:szCs w:val="32"/>
        </w:rPr>
      </w:pPr>
      <w:r w:rsidRPr="00D94DC3">
        <w:rPr>
          <w:rFonts w:cs="Times New Roman" w:hint="eastAsia"/>
          <w:bCs/>
          <w:sz w:val="32"/>
          <w:szCs w:val="32"/>
        </w:rPr>
        <w:t>一、審查「貨物稅條例」11案：</w:t>
      </w:r>
    </w:p>
    <w:p w14:paraId="4D010191" w14:textId="77777777" w:rsidR="009D64D0" w:rsidRPr="00D94DC3" w:rsidRDefault="009D64D0" w:rsidP="00F470A8">
      <w:pPr>
        <w:pStyle w:val="Default"/>
        <w:overflowPunct w:val="0"/>
        <w:spacing w:line="500" w:lineRule="exact"/>
        <w:ind w:leftChars="100" w:left="880" w:hangingChars="200" w:hanging="640"/>
        <w:jc w:val="both"/>
        <w:rPr>
          <w:rFonts w:cs="Times New Roman"/>
          <w:bCs/>
          <w:sz w:val="32"/>
          <w:szCs w:val="32"/>
        </w:rPr>
      </w:pPr>
      <w:r w:rsidRPr="00D94DC3">
        <w:rPr>
          <w:rFonts w:cs="Times New Roman" w:hint="eastAsia"/>
          <w:bCs/>
          <w:sz w:val="32"/>
          <w:szCs w:val="32"/>
        </w:rPr>
        <w:t>(一)</w:t>
      </w:r>
      <w:r w:rsidRPr="00D94DC3">
        <w:rPr>
          <w:rFonts w:hint="eastAsia"/>
          <w:bCs/>
          <w:sz w:val="32"/>
          <w:szCs w:val="32"/>
        </w:rPr>
        <w:t>行政院函請審議、本院</w:t>
      </w:r>
      <w:r w:rsidRPr="00D94DC3">
        <w:rPr>
          <w:rFonts w:cs="Times New Roman" w:hint="eastAsia"/>
          <w:bCs/>
          <w:sz w:val="32"/>
          <w:szCs w:val="32"/>
        </w:rPr>
        <w:t>台灣民眾黨黨團、委員張智倫等17人、委員賴士葆等26人、委員蔡其昌等18人、委員伍麗華</w:t>
      </w:r>
      <w:r w:rsidRPr="00D94DC3">
        <w:rPr>
          <w:rFonts w:cs="Times New Roman"/>
          <w:bCs/>
          <w:sz w:val="32"/>
          <w:szCs w:val="32"/>
        </w:rPr>
        <w:t>Saidhai</w:t>
      </w:r>
      <w:r w:rsidRPr="00D94DC3">
        <w:rPr>
          <w:rFonts w:cs="Times New Roman" w:hint="eastAsia"/>
          <w:bCs/>
          <w:sz w:val="32"/>
          <w:szCs w:val="32"/>
        </w:rPr>
        <w:t xml:space="preserve"> Tahovecahe等19人、委員陳冠廷等23人、委員陳菁徽等16人、委員賴惠員等18人分別擬具</w:t>
      </w:r>
      <w:r w:rsidRPr="00D94DC3">
        <w:rPr>
          <w:rFonts w:hint="eastAsia"/>
          <w:bCs/>
          <w:sz w:val="32"/>
          <w:szCs w:val="32"/>
        </w:rPr>
        <w:t>「</w:t>
      </w:r>
      <w:r w:rsidRPr="00D94DC3">
        <w:rPr>
          <w:rFonts w:cs="Times New Roman" w:hint="eastAsia"/>
          <w:bCs/>
          <w:sz w:val="32"/>
          <w:szCs w:val="32"/>
        </w:rPr>
        <w:t>貨物稅條例第十二條條文修正草案</w:t>
      </w:r>
      <w:r w:rsidRPr="00D94DC3">
        <w:rPr>
          <w:rFonts w:hint="eastAsia"/>
          <w:bCs/>
          <w:sz w:val="32"/>
          <w:szCs w:val="32"/>
        </w:rPr>
        <w:t>」等9案。</w:t>
      </w:r>
    </w:p>
    <w:p w14:paraId="3AA5F676" w14:textId="77777777" w:rsidR="009D64D0" w:rsidRPr="00D94DC3" w:rsidRDefault="009D64D0" w:rsidP="00F470A8">
      <w:pPr>
        <w:pStyle w:val="Default"/>
        <w:overflowPunct w:val="0"/>
        <w:spacing w:line="500" w:lineRule="exact"/>
        <w:ind w:leftChars="100" w:left="880" w:hangingChars="200" w:hanging="640"/>
        <w:jc w:val="both"/>
        <w:rPr>
          <w:rFonts w:cs="Times New Roman"/>
          <w:bCs/>
          <w:sz w:val="32"/>
          <w:szCs w:val="32"/>
        </w:rPr>
      </w:pPr>
      <w:r w:rsidRPr="00D94DC3">
        <w:rPr>
          <w:rFonts w:cs="Times New Roman" w:hint="eastAsia"/>
          <w:bCs/>
          <w:sz w:val="32"/>
          <w:szCs w:val="32"/>
        </w:rPr>
        <w:t>(二)本院委員顏寬恒等16人擬具「貨物稅條例第十二條及第十二條</w:t>
      </w:r>
      <w:r w:rsidRPr="00D94DC3">
        <w:rPr>
          <w:rFonts w:cs="Times New Roman" w:hint="eastAsia"/>
          <w:bCs/>
          <w:sz w:val="32"/>
          <w:szCs w:val="32"/>
        </w:rPr>
        <w:lastRenderedPageBreak/>
        <w:t>之三條文修正草案」案。</w:t>
      </w:r>
    </w:p>
    <w:p w14:paraId="0BECDE18" w14:textId="77777777" w:rsidR="009D64D0" w:rsidRPr="00D94DC3" w:rsidRDefault="009D64D0" w:rsidP="00F470A8">
      <w:pPr>
        <w:pStyle w:val="Default"/>
        <w:overflowPunct w:val="0"/>
        <w:spacing w:line="500" w:lineRule="exact"/>
        <w:ind w:leftChars="100" w:left="880" w:hangingChars="200" w:hanging="640"/>
        <w:jc w:val="both"/>
        <w:rPr>
          <w:rFonts w:cs="Times New Roman"/>
          <w:bCs/>
          <w:sz w:val="32"/>
          <w:szCs w:val="32"/>
        </w:rPr>
      </w:pPr>
      <w:r w:rsidRPr="00D94DC3">
        <w:rPr>
          <w:rFonts w:cs="Times New Roman" w:hint="eastAsia"/>
          <w:bCs/>
          <w:sz w:val="32"/>
          <w:szCs w:val="32"/>
        </w:rPr>
        <w:t>(三)本院委員郭國文等16人擬具「貨物稅條例第十二條及第十二條之六條文修正草案」案。</w:t>
      </w:r>
    </w:p>
    <w:p w14:paraId="1910EE4D" w14:textId="77777777" w:rsidR="009D64D0" w:rsidRPr="00D94DC3" w:rsidRDefault="009D64D0" w:rsidP="00F470A8">
      <w:pPr>
        <w:pStyle w:val="Default"/>
        <w:overflowPunct w:val="0"/>
        <w:spacing w:line="500" w:lineRule="exact"/>
        <w:ind w:left="640" w:hangingChars="200" w:hanging="640"/>
        <w:jc w:val="both"/>
        <w:rPr>
          <w:rFonts w:cs="Times New Roman"/>
          <w:b/>
          <w:bCs/>
          <w:sz w:val="32"/>
          <w:szCs w:val="32"/>
        </w:rPr>
      </w:pPr>
      <w:r w:rsidRPr="00D94DC3">
        <w:rPr>
          <w:rFonts w:cs="Times New Roman" w:hint="eastAsia"/>
          <w:bCs/>
          <w:sz w:val="32"/>
          <w:szCs w:val="32"/>
        </w:rPr>
        <w:t>二、審查中華民國114年度中央政府總預算案有關財政部及所屬單位歲入預算部分。</w:t>
      </w:r>
    </w:p>
    <w:p w14:paraId="3992C090" w14:textId="77777777" w:rsidR="009D64D0" w:rsidRPr="00D94DC3" w:rsidRDefault="009D64D0" w:rsidP="00F470A8">
      <w:pPr>
        <w:pStyle w:val="Default"/>
        <w:overflowPunct w:val="0"/>
        <w:spacing w:line="500" w:lineRule="exact"/>
        <w:ind w:left="640" w:hangingChars="200" w:hanging="640"/>
        <w:jc w:val="both"/>
        <w:rPr>
          <w:rFonts w:cs="Times New Roman"/>
          <w:bCs/>
          <w:sz w:val="32"/>
          <w:szCs w:val="32"/>
        </w:rPr>
      </w:pPr>
      <w:r w:rsidRPr="00D94DC3">
        <w:rPr>
          <w:rFonts w:cs="Times New Roman" w:hint="eastAsia"/>
          <w:bCs/>
          <w:sz w:val="32"/>
          <w:szCs w:val="32"/>
        </w:rPr>
        <w:t>三、審查中華民國114年度中央政府總預算案有關財政部、國庫署、財政資訊中心歲出預算部分。</w:t>
      </w:r>
    </w:p>
    <w:p w14:paraId="4DF21DD1" w14:textId="77777777" w:rsidR="009D64D0" w:rsidRPr="00D94DC3" w:rsidRDefault="009D64D0" w:rsidP="00F470A8">
      <w:pPr>
        <w:pStyle w:val="Default"/>
        <w:overflowPunct w:val="0"/>
        <w:spacing w:line="500" w:lineRule="exact"/>
        <w:ind w:left="640" w:hangingChars="200" w:hanging="640"/>
        <w:jc w:val="both"/>
        <w:rPr>
          <w:rFonts w:cs="Times New Roman"/>
          <w:bCs/>
          <w:sz w:val="32"/>
          <w:szCs w:val="32"/>
        </w:rPr>
      </w:pPr>
      <w:r w:rsidRPr="00D94DC3">
        <w:rPr>
          <w:rFonts w:cs="Times New Roman" w:hint="eastAsia"/>
          <w:bCs/>
          <w:sz w:val="32"/>
          <w:szCs w:val="32"/>
        </w:rPr>
        <w:t>四、審查中華民國114年度中央政府總預算案附屬單位預算非營業部分有關財政部主管債務基金－中央政府債務基金。</w:t>
      </w:r>
    </w:p>
    <w:p w14:paraId="5C6EBC08" w14:textId="77777777" w:rsidR="009D64D0" w:rsidRPr="00B37FAC" w:rsidRDefault="009D64D0" w:rsidP="00F470A8">
      <w:pPr>
        <w:widowControl w:val="0"/>
        <w:overflowPunct w:val="0"/>
        <w:autoSpaceDE w:val="0"/>
        <w:adjustRightInd w:val="0"/>
        <w:spacing w:line="480" w:lineRule="exact"/>
        <w:ind w:left="352" w:hangingChars="110" w:hanging="352"/>
        <w:jc w:val="both"/>
        <w:textAlignment w:val="auto"/>
        <w:rPr>
          <w:rFonts w:ascii="標楷體" w:eastAsia="標楷體" w:hAnsi="標楷體"/>
          <w:color w:val="000000" w:themeColor="text1"/>
          <w:kern w:val="2"/>
          <w:sz w:val="32"/>
          <w:szCs w:val="32"/>
        </w:rPr>
      </w:pPr>
      <w:r w:rsidRPr="00B37FAC">
        <w:rPr>
          <w:rFonts w:ascii="標楷體" w:eastAsia="標楷體" w:hAnsi="標楷體"/>
          <w:color w:val="000000" w:themeColor="text1"/>
          <w:kern w:val="2"/>
          <w:sz w:val="32"/>
          <w:szCs w:val="32"/>
        </w:rPr>
        <w:t>（</w:t>
      </w:r>
      <w:r w:rsidRPr="00B37FAC">
        <w:rPr>
          <w:rFonts w:ascii="標楷體" w:eastAsia="標楷體" w:hAnsi="標楷體" w:hint="eastAsia"/>
          <w:color w:val="000000" w:themeColor="text1"/>
          <w:kern w:val="2"/>
          <w:sz w:val="32"/>
          <w:szCs w:val="32"/>
        </w:rPr>
        <w:t>討論事項各案合併詢答。經台灣民眾黨黨團代表黃珊珊委員、委員賴士葆、顏寬恒、陳菁徽說明提案要旨，財政部部長莊翠雲分別就預算案及行政院提案報告並回應黨團、委員法律提案後，計有委員林德福、吳秉叡、郭國文、賴士葆、賴惠員、顏寬恒、李彥秀、李坤城、伍麗華、陳玉珍、黃珊珊、王鴻薇、羅明才、王世堅、羅廷瑋、羅智強、洪孟楷、黃國昌、陳培瑜等1</w:t>
      </w:r>
      <w:r w:rsidRPr="00B37FAC">
        <w:rPr>
          <w:rFonts w:ascii="標楷體" w:eastAsia="標楷體" w:hAnsi="標楷體"/>
          <w:color w:val="000000" w:themeColor="text1"/>
          <w:kern w:val="2"/>
          <w:sz w:val="32"/>
          <w:szCs w:val="32"/>
        </w:rPr>
        <w:t>9</w:t>
      </w:r>
      <w:r w:rsidRPr="00B37FAC">
        <w:rPr>
          <w:rFonts w:ascii="標楷體" w:eastAsia="標楷體" w:hAnsi="標楷體" w:hint="eastAsia"/>
          <w:color w:val="000000" w:themeColor="text1"/>
          <w:kern w:val="2"/>
          <w:sz w:val="32"/>
          <w:szCs w:val="32"/>
        </w:rPr>
        <w:t>人提出質詢，均經財政部部長莊翠雲、兆豐國際商業銀行股份有限公司董事長董瑞斌、臺灣銀行股份有限公司董事長凌忠嫄、交通部公共運輸及監理司簡任技正王基洲、臺灣菸酒股份有限公司董事長湯期安、合作金庫金融控股股份有限公司董事長林衍茂、臺灣土地銀行股份有限公司董事長何英明及相關人員予以說明及答復。委員蔡其昌所提書面質詢，列入紀錄，刊登公報，並請相關部會以書面答復。委員質詢未及答復或請補充資訊，請相關部會於一週內以書面答復；委員另要求期限者，從其所定。）</w:t>
      </w:r>
    </w:p>
    <w:p w14:paraId="1F306855" w14:textId="77777777" w:rsidR="009D64D0" w:rsidRPr="00B37FAC" w:rsidRDefault="009D64D0" w:rsidP="00F470A8">
      <w:pPr>
        <w:widowControl w:val="0"/>
        <w:kinsoku w:val="0"/>
        <w:overflowPunct w:val="0"/>
        <w:autoSpaceDE w:val="0"/>
        <w:adjustRightInd w:val="0"/>
        <w:snapToGrid w:val="0"/>
        <w:spacing w:beforeLines="50" w:before="180" w:line="480" w:lineRule="exact"/>
        <w:ind w:left="641" w:hangingChars="200" w:hanging="641"/>
        <w:jc w:val="both"/>
        <w:textAlignment w:val="auto"/>
        <w:rPr>
          <w:rFonts w:ascii="標楷體" w:eastAsia="標楷體" w:hAnsi="標楷體"/>
          <w:b/>
          <w:color w:val="000000" w:themeColor="text1"/>
          <w:kern w:val="2"/>
          <w:sz w:val="32"/>
          <w:szCs w:val="32"/>
        </w:rPr>
      </w:pPr>
      <w:r w:rsidRPr="00B37FAC">
        <w:rPr>
          <w:rFonts w:ascii="標楷體" w:eastAsia="標楷體" w:hAnsi="標楷體" w:hint="eastAsia"/>
          <w:b/>
          <w:color w:val="000000" w:themeColor="text1"/>
          <w:kern w:val="2"/>
          <w:sz w:val="32"/>
          <w:szCs w:val="32"/>
        </w:rPr>
        <w:t>決議：</w:t>
      </w:r>
    </w:p>
    <w:p w14:paraId="1F1F4E29" w14:textId="77777777" w:rsidR="009D64D0" w:rsidRPr="006E55DE"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6E55DE">
        <w:rPr>
          <w:rFonts w:ascii="標楷體" w:eastAsia="標楷體" w:hAnsi="標楷體" w:hint="eastAsia"/>
          <w:color w:val="000000" w:themeColor="text1"/>
          <w:kern w:val="2"/>
          <w:sz w:val="32"/>
          <w:szCs w:val="32"/>
        </w:rPr>
        <w:t>一、說明及詢答完畢。</w:t>
      </w:r>
    </w:p>
    <w:p w14:paraId="0F06471A" w14:textId="77777777" w:rsidR="009D64D0" w:rsidRPr="006E55DE"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6E55DE">
        <w:rPr>
          <w:rFonts w:ascii="標楷體" w:eastAsia="標楷體" w:hAnsi="標楷體" w:hint="eastAsia"/>
          <w:color w:val="000000" w:themeColor="text1"/>
          <w:kern w:val="2"/>
          <w:sz w:val="32"/>
          <w:szCs w:val="32"/>
        </w:rPr>
        <w:t>二、審查中華民國114年度中央政府總預算案有關財政部及所屬單位歲入預算部分；財政部、國庫署、財政資訊中心歲出預算部分及附屬單位預算非營業部分有關財政部主管債務基金－中央政府債務基金，均</w:t>
      </w:r>
      <w:r w:rsidRPr="006E55DE">
        <w:rPr>
          <w:rFonts w:ascii="標楷體" w:eastAsia="標楷體" w:hAnsi="標楷體" w:hint="eastAsia"/>
          <w:b/>
          <w:color w:val="000000" w:themeColor="text1"/>
          <w:kern w:val="2"/>
          <w:sz w:val="32"/>
          <w:szCs w:val="32"/>
        </w:rPr>
        <w:t>另擇期繼續審查。</w:t>
      </w:r>
    </w:p>
    <w:p w14:paraId="7EE25981" w14:textId="77777777" w:rsidR="009D64D0" w:rsidRPr="006E55DE"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bCs/>
          <w:kern w:val="2"/>
          <w:sz w:val="32"/>
          <w:szCs w:val="32"/>
        </w:rPr>
      </w:pPr>
      <w:r w:rsidRPr="006E55DE">
        <w:rPr>
          <w:rFonts w:ascii="標楷體" w:eastAsia="標楷體" w:hAnsi="標楷體" w:hint="eastAsia"/>
          <w:bCs/>
          <w:kern w:val="2"/>
          <w:sz w:val="32"/>
          <w:szCs w:val="32"/>
        </w:rPr>
        <w:lastRenderedPageBreak/>
        <w:t>三、審查「貨物稅條例」11案</w:t>
      </w:r>
    </w:p>
    <w:p w14:paraId="4C909862" w14:textId="77777777" w:rsidR="009D64D0" w:rsidRPr="006E55DE" w:rsidRDefault="009D64D0" w:rsidP="00F470A8">
      <w:pPr>
        <w:pStyle w:val="affff0"/>
        <w:widowControl w:val="0"/>
        <w:kinsoku w:val="0"/>
        <w:overflowPunct w:val="0"/>
        <w:autoSpaceDE w:val="0"/>
        <w:adjustRightInd w:val="0"/>
        <w:snapToGrid w:val="0"/>
        <w:spacing w:line="480" w:lineRule="exact"/>
        <w:ind w:leftChars="100" w:left="880" w:hangingChars="200" w:hanging="640"/>
        <w:jc w:val="both"/>
        <w:textAlignment w:val="auto"/>
        <w:rPr>
          <w:rFonts w:ascii="標楷體" w:eastAsia="標楷體" w:hAnsi="標楷體"/>
          <w:bCs/>
          <w:kern w:val="2"/>
          <w:sz w:val="32"/>
          <w:szCs w:val="32"/>
        </w:rPr>
      </w:pPr>
      <w:r w:rsidRPr="006E55DE">
        <w:rPr>
          <w:rFonts w:ascii="標楷體" w:eastAsia="標楷體" w:hAnsi="標楷體" w:hint="eastAsia"/>
          <w:bCs/>
          <w:kern w:val="2"/>
          <w:sz w:val="32"/>
          <w:szCs w:val="32"/>
        </w:rPr>
        <w:t>(一)審查結果：</w:t>
      </w:r>
    </w:p>
    <w:p w14:paraId="6232BE71" w14:textId="77777777" w:rsidR="009D64D0" w:rsidRPr="006E55DE" w:rsidRDefault="009D64D0" w:rsidP="00F470A8">
      <w:pPr>
        <w:pStyle w:val="affff0"/>
        <w:widowControl w:val="0"/>
        <w:kinsoku w:val="0"/>
        <w:overflowPunct w:val="0"/>
        <w:autoSpaceDE w:val="0"/>
        <w:adjustRightInd w:val="0"/>
        <w:snapToGrid w:val="0"/>
        <w:spacing w:line="480" w:lineRule="exact"/>
        <w:ind w:leftChars="300" w:left="1360" w:hangingChars="200" w:hanging="640"/>
        <w:jc w:val="both"/>
        <w:textAlignment w:val="auto"/>
        <w:rPr>
          <w:rFonts w:ascii="標楷體" w:eastAsia="標楷體" w:hAnsi="標楷體"/>
          <w:color w:val="000000" w:themeColor="text1"/>
          <w:kern w:val="2"/>
          <w:sz w:val="32"/>
          <w:szCs w:val="32"/>
        </w:rPr>
      </w:pPr>
      <w:r w:rsidRPr="006E55DE">
        <w:rPr>
          <w:rFonts w:ascii="標楷體" w:eastAsia="標楷體" w:hAnsi="標楷體" w:hint="eastAsia"/>
          <w:color w:val="000000" w:themeColor="text1"/>
          <w:kern w:val="2"/>
          <w:sz w:val="32"/>
          <w:szCs w:val="32"/>
        </w:rPr>
        <w:t>1.第十二條條文，照行政院提案通過。</w:t>
      </w:r>
    </w:p>
    <w:p w14:paraId="4FC0E2E5" w14:textId="77777777" w:rsidR="009D64D0" w:rsidRPr="006E55DE" w:rsidRDefault="009D64D0" w:rsidP="00F470A8">
      <w:pPr>
        <w:pStyle w:val="affff0"/>
        <w:widowControl w:val="0"/>
        <w:kinsoku w:val="0"/>
        <w:overflowPunct w:val="0"/>
        <w:autoSpaceDE w:val="0"/>
        <w:adjustRightInd w:val="0"/>
        <w:snapToGrid w:val="0"/>
        <w:spacing w:line="480" w:lineRule="exact"/>
        <w:ind w:leftChars="300" w:left="1360" w:hangingChars="200" w:hanging="640"/>
        <w:jc w:val="both"/>
        <w:textAlignment w:val="auto"/>
        <w:rPr>
          <w:rFonts w:ascii="標楷體" w:eastAsia="標楷體" w:hAnsi="標楷體"/>
          <w:color w:val="000000" w:themeColor="text1"/>
          <w:kern w:val="2"/>
          <w:sz w:val="32"/>
          <w:szCs w:val="32"/>
        </w:rPr>
      </w:pPr>
      <w:r w:rsidRPr="006E55DE">
        <w:rPr>
          <w:rFonts w:ascii="標楷體" w:eastAsia="標楷體" w:hAnsi="標楷體" w:hint="eastAsia"/>
          <w:color w:val="000000" w:themeColor="text1"/>
          <w:kern w:val="2"/>
          <w:sz w:val="32"/>
          <w:szCs w:val="32"/>
        </w:rPr>
        <w:t>2.第十二條之三及第十二條之六條文，均維持現行條文。</w:t>
      </w:r>
    </w:p>
    <w:p w14:paraId="35CD4FF9" w14:textId="77777777" w:rsidR="009D64D0" w:rsidRPr="006E55DE" w:rsidRDefault="009D64D0" w:rsidP="00F470A8">
      <w:pPr>
        <w:pStyle w:val="affff0"/>
        <w:widowControl w:val="0"/>
        <w:kinsoku w:val="0"/>
        <w:overflowPunct w:val="0"/>
        <w:autoSpaceDE w:val="0"/>
        <w:adjustRightInd w:val="0"/>
        <w:snapToGrid w:val="0"/>
        <w:spacing w:line="480" w:lineRule="exact"/>
        <w:ind w:leftChars="100" w:left="880" w:hangingChars="200" w:hanging="640"/>
        <w:jc w:val="both"/>
        <w:textAlignment w:val="auto"/>
        <w:rPr>
          <w:rFonts w:ascii="標楷體" w:eastAsia="標楷體" w:hAnsi="標楷體"/>
          <w:bCs/>
          <w:kern w:val="2"/>
          <w:sz w:val="32"/>
          <w:szCs w:val="32"/>
        </w:rPr>
      </w:pPr>
      <w:r w:rsidRPr="006E55DE">
        <w:rPr>
          <w:rFonts w:ascii="標楷體" w:eastAsia="標楷體" w:hAnsi="標楷體" w:hint="eastAsia"/>
          <w:bCs/>
          <w:kern w:val="2"/>
          <w:sz w:val="32"/>
          <w:szCs w:val="32"/>
        </w:rPr>
        <w:t>(二)全案審查完竣，併案擬具審查報告，提報院會討論；院會討論前，不須交由黨團協商；院會討論時由賴召集委員惠員補充說明。</w:t>
      </w:r>
    </w:p>
    <w:p w14:paraId="2081C2B3" w14:textId="77777777" w:rsidR="009D64D0" w:rsidRPr="006E55DE" w:rsidRDefault="009D64D0" w:rsidP="00F470A8">
      <w:pPr>
        <w:pStyle w:val="affff0"/>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6E55DE">
        <w:rPr>
          <w:rFonts w:ascii="標楷體" w:eastAsia="標楷體" w:hAnsi="標楷體" w:hint="eastAsia"/>
          <w:color w:val="000000" w:themeColor="text1"/>
          <w:kern w:val="2"/>
          <w:sz w:val="32"/>
          <w:szCs w:val="32"/>
        </w:rPr>
        <w:t>四、各委員如有相關預算提案，請於</w:t>
      </w:r>
      <w:r w:rsidRPr="006E55DE">
        <w:rPr>
          <w:rFonts w:ascii="標楷體" w:eastAsia="標楷體" w:hAnsi="標楷體" w:hint="eastAsia"/>
          <w:b/>
          <w:color w:val="000000" w:themeColor="text1"/>
          <w:kern w:val="2"/>
          <w:sz w:val="32"/>
          <w:szCs w:val="32"/>
        </w:rPr>
        <w:t>11月18日(星期一)中午12點以前</w:t>
      </w:r>
      <w:r w:rsidRPr="006E55DE">
        <w:rPr>
          <w:rFonts w:ascii="標楷體" w:eastAsia="標楷體" w:hAnsi="標楷體" w:hint="eastAsia"/>
          <w:color w:val="000000" w:themeColor="text1"/>
          <w:kern w:val="2"/>
          <w:sz w:val="32"/>
          <w:szCs w:val="32"/>
        </w:rPr>
        <w:t>送至財政委員會議事人員收件。</w:t>
      </w:r>
    </w:p>
    <w:p w14:paraId="2D170C32" w14:textId="77777777" w:rsidR="009D64D0" w:rsidRPr="006E55DE" w:rsidRDefault="009D64D0" w:rsidP="00F470A8">
      <w:pPr>
        <w:widowControl w:val="0"/>
        <w:kinsoku w:val="0"/>
        <w:overflowPunct w:val="0"/>
        <w:autoSpaceDE w:val="0"/>
        <w:adjustRightInd w:val="0"/>
        <w:snapToGrid w:val="0"/>
        <w:spacing w:beforeLines="50" w:before="180" w:line="480" w:lineRule="exact"/>
        <w:jc w:val="both"/>
        <w:textAlignment w:val="auto"/>
        <w:rPr>
          <w:rFonts w:ascii="標楷體" w:eastAsia="標楷體" w:hAnsi="標楷體"/>
          <w:b/>
          <w:color w:val="000000" w:themeColor="text1"/>
          <w:kern w:val="2"/>
          <w:sz w:val="32"/>
          <w:szCs w:val="32"/>
        </w:rPr>
      </w:pPr>
      <w:r w:rsidRPr="006E55DE">
        <w:rPr>
          <w:rFonts w:ascii="標楷體" w:eastAsia="標楷體" w:hAnsi="標楷體" w:hint="eastAsia"/>
          <w:b/>
          <w:color w:val="000000" w:themeColor="text1"/>
          <w:kern w:val="2"/>
          <w:sz w:val="32"/>
          <w:szCs w:val="32"/>
        </w:rPr>
        <w:t>通過臨時提案1案：</w:t>
      </w:r>
    </w:p>
    <w:p w14:paraId="683B925C" w14:textId="77777777" w:rsidR="009D64D0" w:rsidRPr="006E55DE"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color w:val="000000" w:themeColor="text1"/>
          <w:kern w:val="2"/>
          <w:sz w:val="32"/>
          <w:szCs w:val="32"/>
        </w:rPr>
      </w:pPr>
      <w:r w:rsidRPr="006E55DE">
        <w:rPr>
          <w:rFonts w:ascii="標楷體" w:eastAsia="標楷體" w:hAnsi="標楷體" w:hint="eastAsia"/>
          <w:color w:val="000000" w:themeColor="text1"/>
          <w:kern w:val="2"/>
          <w:sz w:val="32"/>
          <w:szCs w:val="32"/>
        </w:rPr>
        <w:t>一、報載財政部財政資訊中心1</w:t>
      </w:r>
      <w:r w:rsidRPr="006E55DE">
        <w:rPr>
          <w:rFonts w:ascii="標楷體" w:eastAsia="標楷體" w:hAnsi="標楷體"/>
          <w:color w:val="000000" w:themeColor="text1"/>
          <w:kern w:val="2"/>
          <w:sz w:val="32"/>
          <w:szCs w:val="32"/>
        </w:rPr>
        <w:t>13</w:t>
      </w:r>
      <w:r w:rsidRPr="006E55DE">
        <w:rPr>
          <w:rFonts w:ascii="標楷體" w:eastAsia="標楷體" w:hAnsi="標楷體" w:hint="eastAsia"/>
          <w:color w:val="000000" w:themeColor="text1"/>
          <w:kern w:val="2"/>
          <w:sz w:val="32"/>
          <w:szCs w:val="32"/>
        </w:rPr>
        <w:t>年多次因設備異常，致稅務服務中斷，經中心說明為設備老舊導致，然經查財政部於近年已提出多項稅務系統及資料中心設置擴充計畫，如財政部資料中心設置計畫、稅務便民服務及資源整合計畫、智能稅務服務計畫、財政部共用資料中心資源擴充計畫等以充實設備，卻仍出現設備老舊導致斷網一事。有鑑於稅務系統與民眾息息相關，且為24小時無間斷服務，財政資訊中心應留意設備維護及缺失改善方案，於4個月內向立法院財政委員會提出書面報告。</w:t>
      </w:r>
    </w:p>
    <w:p w14:paraId="506AB61A" w14:textId="77777777" w:rsidR="006E55DE" w:rsidRDefault="006E55DE" w:rsidP="00F470A8">
      <w:pPr>
        <w:pStyle w:val="af5"/>
        <w:widowControl w:val="0"/>
        <w:kinsoku w:val="0"/>
        <w:overflowPunct w:val="0"/>
        <w:autoSpaceDE w:val="0"/>
        <w:adjustRightInd w:val="0"/>
        <w:snapToGrid w:val="0"/>
        <w:spacing w:line="480" w:lineRule="atLeast"/>
        <w:ind w:leftChars="1001" w:left="3746" w:hangingChars="420" w:hanging="1344"/>
        <w:jc w:val="both"/>
        <w:rPr>
          <w:rFonts w:ascii="標楷體" w:eastAsia="標楷體" w:hAnsi="標楷體"/>
          <w:kern w:val="2"/>
          <w:sz w:val="32"/>
          <w:szCs w:val="32"/>
        </w:rPr>
      </w:pPr>
      <w:r w:rsidRPr="006E55DE">
        <w:rPr>
          <w:rFonts w:ascii="標楷體" w:eastAsia="標楷體" w:hAnsi="標楷體" w:hint="eastAsia"/>
          <w:kern w:val="2"/>
          <w:sz w:val="32"/>
          <w:szCs w:val="32"/>
        </w:rPr>
        <w:t xml:space="preserve">　　　</w:t>
      </w:r>
      <w:r w:rsidR="009D64D0" w:rsidRPr="006E55DE">
        <w:rPr>
          <w:rFonts w:ascii="標楷體" w:eastAsia="標楷體" w:hAnsi="標楷體" w:hint="eastAsia"/>
          <w:kern w:val="2"/>
          <w:sz w:val="32"/>
          <w:szCs w:val="32"/>
        </w:rPr>
        <w:t>提案人：吳秉叡　伍麗華　賴惠員　郭國文</w:t>
      </w:r>
    </w:p>
    <w:p w14:paraId="28D8E5C1" w14:textId="77777777" w:rsidR="009D64D0" w:rsidRPr="006E55DE" w:rsidRDefault="006E55DE" w:rsidP="00F470A8">
      <w:pPr>
        <w:pStyle w:val="af5"/>
        <w:widowControl w:val="0"/>
        <w:kinsoku w:val="0"/>
        <w:overflowPunct w:val="0"/>
        <w:autoSpaceDE w:val="0"/>
        <w:adjustRightInd w:val="0"/>
        <w:snapToGrid w:val="0"/>
        <w:spacing w:line="480" w:lineRule="atLeast"/>
        <w:ind w:leftChars="1001" w:left="3746" w:hangingChars="420" w:hanging="1344"/>
        <w:jc w:val="both"/>
        <w:rPr>
          <w:rFonts w:ascii="標楷體" w:eastAsia="標楷體" w:hAnsi="標楷體"/>
          <w:kern w:val="2"/>
          <w:sz w:val="32"/>
          <w:szCs w:val="32"/>
        </w:rPr>
      </w:pPr>
      <w:r w:rsidRPr="006E55DE">
        <w:rPr>
          <w:rFonts w:ascii="標楷體" w:eastAsia="標楷體" w:hAnsi="標楷體" w:hint="eastAsia"/>
          <w:kern w:val="2"/>
          <w:sz w:val="32"/>
          <w:szCs w:val="32"/>
        </w:rPr>
        <w:t xml:space="preserve">　　　　　　　</w:t>
      </w:r>
      <w:r w:rsidR="009D64D0" w:rsidRPr="006E55DE">
        <w:rPr>
          <w:rFonts w:ascii="標楷體" w:eastAsia="標楷體" w:hAnsi="標楷體" w:hint="eastAsia"/>
          <w:kern w:val="2"/>
          <w:sz w:val="32"/>
          <w:szCs w:val="32"/>
        </w:rPr>
        <w:t>李坤城</w:t>
      </w:r>
    </w:p>
    <w:p w14:paraId="23F2DC94" w14:textId="77777777" w:rsidR="009D64D0" w:rsidRPr="00D94DC3" w:rsidRDefault="009D64D0" w:rsidP="00F470A8">
      <w:pPr>
        <w:pStyle w:val="Default"/>
        <w:overflowPunct w:val="0"/>
        <w:spacing w:beforeLines="50" w:before="180" w:line="480" w:lineRule="exact"/>
        <w:ind w:leftChars="10" w:left="1827" w:hanging="1803"/>
        <w:jc w:val="both"/>
        <w:rPr>
          <w:rFonts w:cs="Times New Roman"/>
          <w:b/>
          <w:bCs/>
          <w:sz w:val="32"/>
          <w:szCs w:val="32"/>
        </w:rPr>
      </w:pPr>
      <w:r w:rsidRPr="00D94DC3">
        <w:rPr>
          <w:rFonts w:cs="Times New Roman"/>
          <w:b/>
          <w:bCs/>
          <w:sz w:val="32"/>
          <w:szCs w:val="32"/>
        </w:rPr>
        <w:t>11</w:t>
      </w:r>
      <w:r w:rsidRPr="00D94DC3">
        <w:rPr>
          <w:rFonts w:cs="Times New Roman" w:hint="eastAsia"/>
          <w:b/>
          <w:bCs/>
          <w:sz w:val="32"/>
          <w:szCs w:val="32"/>
        </w:rPr>
        <w:t>3年11月1</w:t>
      </w:r>
      <w:r>
        <w:rPr>
          <w:rFonts w:cs="Times New Roman"/>
          <w:b/>
          <w:bCs/>
          <w:sz w:val="32"/>
          <w:szCs w:val="32"/>
        </w:rPr>
        <w:t>4</w:t>
      </w:r>
      <w:r w:rsidRPr="00D94DC3">
        <w:rPr>
          <w:rFonts w:cs="Times New Roman" w:hint="eastAsia"/>
          <w:b/>
          <w:bCs/>
          <w:sz w:val="32"/>
          <w:szCs w:val="32"/>
        </w:rPr>
        <w:t>日</w:t>
      </w:r>
    </w:p>
    <w:p w14:paraId="3704EDD6" w14:textId="77777777" w:rsidR="009D64D0" w:rsidRPr="003B3A84" w:rsidRDefault="009D64D0" w:rsidP="00F470A8">
      <w:pPr>
        <w:widowControl w:val="0"/>
        <w:kinsoku w:val="0"/>
        <w:overflowPunct w:val="0"/>
        <w:autoSpaceDE w:val="0"/>
        <w:adjustRightInd w:val="0"/>
        <w:spacing w:line="480" w:lineRule="exact"/>
        <w:ind w:leftChars="201" w:left="482"/>
        <w:jc w:val="both"/>
        <w:textAlignment w:val="auto"/>
        <w:rPr>
          <w:rFonts w:ascii="標楷體" w:eastAsia="標楷體" w:hAnsi="標楷體" w:cs="Courier New"/>
          <w:b/>
          <w:kern w:val="2"/>
          <w:sz w:val="32"/>
          <w:szCs w:val="32"/>
        </w:rPr>
      </w:pPr>
      <w:r w:rsidRPr="003B3A84">
        <w:rPr>
          <w:rFonts w:ascii="標楷體" w:eastAsia="標楷體" w:hAnsi="標楷體" w:cs="Courier New" w:hint="eastAsia"/>
          <w:b/>
          <w:kern w:val="2"/>
          <w:sz w:val="32"/>
          <w:szCs w:val="32"/>
        </w:rPr>
        <w:t>報告事項</w:t>
      </w:r>
    </w:p>
    <w:p w14:paraId="5324FCF0" w14:textId="77777777" w:rsidR="009D64D0" w:rsidRPr="003B3A84"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b/>
          <w:color w:val="000000" w:themeColor="text1"/>
          <w:kern w:val="2"/>
          <w:sz w:val="32"/>
          <w:szCs w:val="32"/>
        </w:rPr>
      </w:pPr>
      <w:r w:rsidRPr="003B3A84">
        <w:rPr>
          <w:rFonts w:ascii="標楷體" w:eastAsia="標楷體" w:hAnsi="標楷體" w:hint="eastAsia"/>
          <w:b/>
          <w:color w:val="000000" w:themeColor="text1"/>
          <w:kern w:val="2"/>
          <w:sz w:val="32"/>
          <w:szCs w:val="32"/>
        </w:rPr>
        <w:t>邀請中央銀行楊總裁金龍、財政部莊部長翠雲、金融監督管理委員會彭主任委員金隆就「美國新任總統的貿易政策對台灣經濟與金融穩定之可能影響與對策」進行專題報告，並備質詢。</w:t>
      </w:r>
    </w:p>
    <w:p w14:paraId="4D0866FE" w14:textId="77777777" w:rsidR="009D64D0" w:rsidRPr="003B3A84" w:rsidRDefault="009D64D0" w:rsidP="00F470A8">
      <w:pPr>
        <w:widowControl w:val="0"/>
        <w:kinsoku w:val="0"/>
        <w:overflowPunct w:val="0"/>
        <w:autoSpaceDE w:val="0"/>
        <w:adjustRightInd w:val="0"/>
        <w:snapToGrid w:val="0"/>
        <w:spacing w:beforeLines="50" w:before="180" w:line="480" w:lineRule="exact"/>
        <w:ind w:leftChars="200" w:left="1137" w:hangingChars="205" w:hanging="657"/>
        <w:jc w:val="both"/>
        <w:textAlignment w:val="auto"/>
        <w:rPr>
          <w:rFonts w:ascii="標楷體" w:eastAsia="標楷體" w:hAnsi="標楷體"/>
          <w:b/>
          <w:color w:val="000000" w:themeColor="text1"/>
          <w:kern w:val="2"/>
          <w:sz w:val="32"/>
          <w:szCs w:val="32"/>
        </w:rPr>
      </w:pPr>
      <w:r w:rsidRPr="003B3A84">
        <w:rPr>
          <w:rFonts w:ascii="標楷體" w:eastAsia="標楷體" w:hAnsi="標楷體" w:hint="eastAsia"/>
          <w:b/>
          <w:color w:val="000000" w:themeColor="text1"/>
          <w:kern w:val="2"/>
          <w:sz w:val="32"/>
          <w:szCs w:val="32"/>
        </w:rPr>
        <w:t>討論事項</w:t>
      </w:r>
    </w:p>
    <w:p w14:paraId="5663F603" w14:textId="77777777" w:rsidR="009D64D0" w:rsidRPr="008338EC" w:rsidRDefault="009D64D0" w:rsidP="00F470A8">
      <w:pPr>
        <w:pStyle w:val="Default"/>
        <w:overflowPunct w:val="0"/>
        <w:spacing w:line="500" w:lineRule="exact"/>
        <w:ind w:leftChars="9" w:left="662" w:hangingChars="200" w:hanging="640"/>
        <w:jc w:val="both"/>
        <w:rPr>
          <w:rFonts w:cs="Times New Roman"/>
          <w:bCs/>
          <w:sz w:val="32"/>
          <w:szCs w:val="32"/>
        </w:rPr>
      </w:pPr>
      <w:r w:rsidRPr="008338EC">
        <w:rPr>
          <w:rFonts w:cs="Times New Roman" w:hint="eastAsia"/>
          <w:bCs/>
          <w:sz w:val="32"/>
          <w:szCs w:val="32"/>
        </w:rPr>
        <w:t>一、審查中華民國114年度中央政府總預算案：</w:t>
      </w:r>
    </w:p>
    <w:p w14:paraId="53E1C5D4" w14:textId="77777777" w:rsidR="009D64D0" w:rsidRPr="008338EC" w:rsidRDefault="009D64D0" w:rsidP="00F470A8">
      <w:pPr>
        <w:pStyle w:val="Default"/>
        <w:overflowPunct w:val="0"/>
        <w:spacing w:line="500" w:lineRule="exact"/>
        <w:ind w:leftChars="9" w:left="662" w:hangingChars="200" w:hanging="640"/>
        <w:jc w:val="both"/>
        <w:rPr>
          <w:rFonts w:cs="Times New Roman"/>
          <w:bCs/>
          <w:sz w:val="32"/>
          <w:szCs w:val="32"/>
        </w:rPr>
      </w:pPr>
      <w:r>
        <w:rPr>
          <w:rFonts w:cs="Times New Roman" w:hint="eastAsia"/>
          <w:bCs/>
          <w:sz w:val="32"/>
          <w:szCs w:val="32"/>
        </w:rPr>
        <w:t xml:space="preserve">    </w:t>
      </w:r>
      <w:r w:rsidRPr="008338EC">
        <w:rPr>
          <w:rFonts w:cs="Times New Roman" w:hint="eastAsia"/>
          <w:bCs/>
          <w:sz w:val="32"/>
          <w:szCs w:val="32"/>
        </w:rPr>
        <w:t>行政院歲入預算有關中央銀行股息紅利繳庫部分。</w:t>
      </w:r>
    </w:p>
    <w:p w14:paraId="176F2FB5" w14:textId="77777777" w:rsidR="009D64D0" w:rsidRDefault="009D64D0" w:rsidP="00F470A8">
      <w:pPr>
        <w:pStyle w:val="Default"/>
        <w:overflowPunct w:val="0"/>
        <w:spacing w:line="500" w:lineRule="exact"/>
        <w:ind w:leftChars="9" w:left="662" w:hangingChars="200" w:hanging="640"/>
        <w:jc w:val="both"/>
        <w:rPr>
          <w:rFonts w:cs="Times New Roman"/>
          <w:bCs/>
          <w:sz w:val="32"/>
          <w:szCs w:val="32"/>
        </w:rPr>
      </w:pPr>
      <w:r w:rsidRPr="008338EC">
        <w:rPr>
          <w:rFonts w:cs="Times New Roman" w:hint="eastAsia"/>
          <w:bCs/>
          <w:sz w:val="32"/>
          <w:szCs w:val="32"/>
        </w:rPr>
        <w:t>二、審查中華民國114年度中央政府總預算案附屬單位預算營業部分</w:t>
      </w:r>
      <w:r w:rsidRPr="0073753B">
        <w:rPr>
          <w:rFonts w:cs="Times New Roman" w:hint="eastAsia"/>
          <w:bCs/>
          <w:sz w:val="32"/>
          <w:szCs w:val="32"/>
        </w:rPr>
        <w:lastRenderedPageBreak/>
        <w:t>有關</w:t>
      </w:r>
      <w:r w:rsidRPr="008338EC">
        <w:rPr>
          <w:rFonts w:cs="Times New Roman" w:hint="eastAsia"/>
          <w:bCs/>
          <w:sz w:val="32"/>
          <w:szCs w:val="32"/>
        </w:rPr>
        <w:t>中央銀行（含中央造幣廠、中央印製廠）。</w:t>
      </w:r>
    </w:p>
    <w:p w14:paraId="1F85F67E" w14:textId="77777777" w:rsidR="009D64D0" w:rsidRDefault="009D64D0" w:rsidP="00F470A8">
      <w:pPr>
        <w:pStyle w:val="Default"/>
        <w:kinsoku w:val="0"/>
        <w:overflowPunct w:val="0"/>
        <w:spacing w:line="500" w:lineRule="exact"/>
        <w:ind w:left="320" w:hangingChars="100" w:hanging="320"/>
        <w:jc w:val="both"/>
        <w:rPr>
          <w:color w:val="000000" w:themeColor="text1"/>
          <w:sz w:val="32"/>
          <w:szCs w:val="32"/>
        </w:rPr>
      </w:pPr>
      <w:r w:rsidRPr="00BA74B5">
        <w:rPr>
          <w:rFonts w:hint="eastAsia"/>
          <w:color w:val="000000" w:themeColor="text1"/>
          <w:sz w:val="32"/>
          <w:szCs w:val="32"/>
        </w:rPr>
        <w:t>（報告</w:t>
      </w:r>
      <w:r>
        <w:rPr>
          <w:rFonts w:hint="eastAsia"/>
          <w:color w:val="000000" w:themeColor="text1"/>
          <w:sz w:val="32"/>
          <w:szCs w:val="32"/>
        </w:rPr>
        <w:t>、</w:t>
      </w:r>
      <w:r w:rsidRPr="00BA74B5">
        <w:rPr>
          <w:rFonts w:hint="eastAsia"/>
          <w:color w:val="000000" w:themeColor="text1"/>
          <w:sz w:val="32"/>
          <w:szCs w:val="32"/>
        </w:rPr>
        <w:t>討論</w:t>
      </w:r>
      <w:r>
        <w:rPr>
          <w:rFonts w:hint="eastAsia"/>
          <w:color w:val="000000" w:themeColor="text1"/>
          <w:sz w:val="32"/>
          <w:szCs w:val="32"/>
        </w:rPr>
        <w:t>事項</w:t>
      </w:r>
      <w:r w:rsidRPr="00BA74B5">
        <w:rPr>
          <w:rFonts w:hint="eastAsia"/>
          <w:color w:val="000000" w:themeColor="text1"/>
          <w:sz w:val="32"/>
          <w:szCs w:val="32"/>
        </w:rPr>
        <w:t>合併詢</w:t>
      </w:r>
      <w:r>
        <w:rPr>
          <w:rFonts w:hint="eastAsia"/>
          <w:color w:val="000000" w:themeColor="text1"/>
          <w:sz w:val="32"/>
          <w:szCs w:val="32"/>
        </w:rPr>
        <w:t>答</w:t>
      </w:r>
      <w:r w:rsidRPr="00BA74B5">
        <w:rPr>
          <w:rFonts w:hint="eastAsia"/>
          <w:color w:val="000000" w:themeColor="text1"/>
          <w:sz w:val="32"/>
          <w:szCs w:val="32"/>
        </w:rPr>
        <w:t>，經</w:t>
      </w:r>
      <w:r w:rsidRPr="00516415">
        <w:rPr>
          <w:rFonts w:hint="eastAsia"/>
          <w:sz w:val="32"/>
          <w:szCs w:val="32"/>
        </w:rPr>
        <w:t>中央銀行總裁楊金龍、財政部部長莊翠雲、金融監督管理委員會主任委員彭金隆</w:t>
      </w:r>
      <w:r w:rsidRPr="00BA74B5">
        <w:rPr>
          <w:rFonts w:hint="eastAsia"/>
          <w:color w:val="000000" w:themeColor="text1"/>
          <w:sz w:val="32"/>
          <w:szCs w:val="32"/>
        </w:rPr>
        <w:t>提出報告後，計有委</w:t>
      </w:r>
      <w:r w:rsidRPr="00BA74B5">
        <w:rPr>
          <w:rFonts w:hint="eastAsia"/>
          <w:sz w:val="32"/>
          <w:szCs w:val="32"/>
        </w:rPr>
        <w:t>員林德福、吳秉叡、賴士葆、郭國文、李彥秀、李坤城、王鴻薇、賴惠員、</w:t>
      </w:r>
      <w:r w:rsidRPr="00336BD4">
        <w:rPr>
          <w:rFonts w:hint="eastAsia"/>
          <w:sz w:val="32"/>
          <w:szCs w:val="32"/>
        </w:rPr>
        <w:t>羅明才、顏寬恒、黃珊珊、</w:t>
      </w:r>
      <w:r w:rsidRPr="00486789">
        <w:rPr>
          <w:rFonts w:hint="eastAsia"/>
          <w:sz w:val="32"/>
          <w:szCs w:val="32"/>
        </w:rPr>
        <w:t>伍麗華</w:t>
      </w:r>
      <w:r>
        <w:rPr>
          <w:rFonts w:hint="eastAsia"/>
          <w:sz w:val="32"/>
          <w:szCs w:val="32"/>
        </w:rPr>
        <w:t>、</w:t>
      </w:r>
      <w:r w:rsidRPr="00B578AD">
        <w:rPr>
          <w:rFonts w:hint="eastAsia"/>
          <w:sz w:val="32"/>
          <w:szCs w:val="32"/>
        </w:rPr>
        <w:t>陳玉珍</w:t>
      </w:r>
      <w:r>
        <w:rPr>
          <w:rFonts w:hint="eastAsia"/>
          <w:sz w:val="32"/>
          <w:szCs w:val="32"/>
        </w:rPr>
        <w:t>、黃國昌</w:t>
      </w:r>
      <w:r w:rsidRPr="00B578AD">
        <w:rPr>
          <w:rFonts w:hint="eastAsia"/>
          <w:sz w:val="32"/>
          <w:szCs w:val="32"/>
        </w:rPr>
        <w:t>、</w:t>
      </w:r>
      <w:r>
        <w:rPr>
          <w:rFonts w:hint="eastAsia"/>
          <w:sz w:val="32"/>
          <w:szCs w:val="32"/>
        </w:rPr>
        <w:t>洪孟楷</w:t>
      </w:r>
      <w:r w:rsidRPr="00E71A30">
        <w:rPr>
          <w:rFonts w:hint="eastAsia"/>
          <w:sz w:val="32"/>
          <w:szCs w:val="32"/>
        </w:rPr>
        <w:t>、</w:t>
      </w:r>
      <w:r w:rsidRPr="002D7D3C">
        <w:rPr>
          <w:rFonts w:hint="eastAsia"/>
          <w:sz w:val="32"/>
          <w:szCs w:val="32"/>
        </w:rPr>
        <w:t>羅廷瑋</w:t>
      </w:r>
      <w:r w:rsidRPr="00B578AD">
        <w:rPr>
          <w:rFonts w:hint="eastAsia"/>
          <w:sz w:val="32"/>
          <w:szCs w:val="32"/>
        </w:rPr>
        <w:t>、</w:t>
      </w:r>
      <w:r w:rsidRPr="00E71A30">
        <w:rPr>
          <w:rFonts w:hint="eastAsia"/>
          <w:sz w:val="32"/>
          <w:szCs w:val="32"/>
        </w:rPr>
        <w:t>楊瓊瓔</w:t>
      </w:r>
      <w:r w:rsidRPr="00B578AD">
        <w:rPr>
          <w:rFonts w:hint="eastAsia"/>
          <w:sz w:val="32"/>
          <w:szCs w:val="32"/>
        </w:rPr>
        <w:t>、</w:t>
      </w:r>
      <w:r w:rsidRPr="002D7D3C">
        <w:rPr>
          <w:rFonts w:hint="eastAsia"/>
          <w:sz w:val="32"/>
          <w:szCs w:val="32"/>
        </w:rPr>
        <w:t>麥玉珍</w:t>
      </w:r>
      <w:r w:rsidRPr="00B578AD">
        <w:rPr>
          <w:rFonts w:hint="eastAsia"/>
          <w:sz w:val="32"/>
          <w:szCs w:val="32"/>
        </w:rPr>
        <w:t>、</w:t>
      </w:r>
      <w:r w:rsidRPr="00A463A6">
        <w:rPr>
          <w:rFonts w:hint="eastAsia"/>
          <w:sz w:val="32"/>
          <w:szCs w:val="32"/>
        </w:rPr>
        <w:t>葉元之</w:t>
      </w:r>
      <w:r w:rsidRPr="00486789">
        <w:rPr>
          <w:rFonts w:hint="eastAsia"/>
          <w:sz w:val="32"/>
          <w:szCs w:val="32"/>
        </w:rPr>
        <w:t>等</w:t>
      </w:r>
      <w:r w:rsidRPr="00A463A6">
        <w:rPr>
          <w:sz w:val="32"/>
          <w:szCs w:val="32"/>
        </w:rPr>
        <w:t>19</w:t>
      </w:r>
      <w:r w:rsidRPr="00486789">
        <w:rPr>
          <w:rFonts w:hint="eastAsia"/>
          <w:sz w:val="32"/>
          <w:szCs w:val="32"/>
        </w:rPr>
        <w:t>人</w:t>
      </w:r>
      <w:r w:rsidRPr="00BA74B5">
        <w:rPr>
          <w:rFonts w:hint="eastAsia"/>
          <w:color w:val="000000" w:themeColor="text1"/>
          <w:sz w:val="32"/>
          <w:szCs w:val="32"/>
        </w:rPr>
        <w:t>提出質詢，均經</w:t>
      </w:r>
      <w:r w:rsidRPr="00330DFE">
        <w:rPr>
          <w:rFonts w:hint="eastAsia"/>
          <w:color w:val="000000" w:themeColor="text1"/>
          <w:sz w:val="32"/>
          <w:szCs w:val="32"/>
        </w:rPr>
        <w:t>中央銀行總裁楊金龍、金融監督管理委員會主任委員彭金隆</w:t>
      </w:r>
      <w:r w:rsidRPr="00BA74B5">
        <w:rPr>
          <w:rFonts w:hint="eastAsia"/>
          <w:kern w:val="3"/>
          <w:sz w:val="32"/>
          <w:szCs w:val="32"/>
        </w:rPr>
        <w:t>、</w:t>
      </w:r>
      <w:r w:rsidRPr="00330DFE">
        <w:rPr>
          <w:rFonts w:hint="eastAsia"/>
          <w:color w:val="000000" w:themeColor="text1"/>
          <w:sz w:val="32"/>
          <w:szCs w:val="32"/>
        </w:rPr>
        <w:t>財政部部長莊翠雲、</w:t>
      </w:r>
      <w:r w:rsidRPr="00DC0F4B">
        <w:rPr>
          <w:rFonts w:hint="eastAsia"/>
          <w:color w:val="000000" w:themeColor="text1"/>
          <w:sz w:val="32"/>
          <w:szCs w:val="32"/>
        </w:rPr>
        <w:t>臺灣證券交易所股份有限公司董事長林修銘</w:t>
      </w:r>
      <w:r w:rsidRPr="00314848">
        <w:rPr>
          <w:rFonts w:hint="eastAsia"/>
          <w:sz w:val="32"/>
          <w:szCs w:val="32"/>
        </w:rPr>
        <w:t>及</w:t>
      </w:r>
      <w:r w:rsidRPr="00BA74B5">
        <w:rPr>
          <w:rFonts w:hint="eastAsia"/>
          <w:color w:val="000000" w:themeColor="text1"/>
          <w:sz w:val="32"/>
          <w:szCs w:val="32"/>
        </w:rPr>
        <w:t>相關人員予以答復。）</w:t>
      </w:r>
    </w:p>
    <w:p w14:paraId="714DFB0A" w14:textId="77777777" w:rsidR="009D64D0" w:rsidRPr="003B3A84"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3B3A84">
        <w:rPr>
          <w:rFonts w:ascii="標楷體" w:eastAsia="標楷體" w:hAnsi="標楷體" w:hint="eastAsia"/>
          <w:b/>
          <w:color w:val="000000" w:themeColor="text1"/>
          <w:kern w:val="2"/>
          <w:sz w:val="32"/>
          <w:szCs w:val="32"/>
        </w:rPr>
        <w:t>決議：</w:t>
      </w:r>
    </w:p>
    <w:p w14:paraId="57A4A279" w14:textId="77777777" w:rsidR="009D64D0" w:rsidRPr="003B3A84" w:rsidRDefault="009D64D0" w:rsidP="00F470A8">
      <w:pPr>
        <w:pStyle w:val="af5"/>
        <w:widowControl w:val="0"/>
        <w:kinsoku w:val="0"/>
        <w:overflowPunct w:val="0"/>
        <w:autoSpaceDE w:val="0"/>
        <w:adjustRightInd w:val="0"/>
        <w:snapToGrid w:val="0"/>
        <w:spacing w:line="480" w:lineRule="exact"/>
        <w:ind w:leftChars="100" w:left="920" w:hanging="680"/>
        <w:jc w:val="both"/>
        <w:rPr>
          <w:rFonts w:ascii="標楷體" w:eastAsia="標楷體" w:hAnsi="標楷體"/>
          <w:color w:val="000000" w:themeColor="text1"/>
          <w:kern w:val="2"/>
          <w:sz w:val="32"/>
          <w:szCs w:val="32"/>
        </w:rPr>
      </w:pPr>
      <w:r w:rsidRPr="003B3A84">
        <w:rPr>
          <w:rFonts w:ascii="標楷體" w:eastAsia="標楷體" w:hAnsi="標楷體" w:hint="eastAsia"/>
          <w:color w:val="000000" w:themeColor="text1"/>
          <w:kern w:val="2"/>
          <w:sz w:val="32"/>
          <w:szCs w:val="32"/>
        </w:rPr>
        <w:t>(一)報告、說明及詢答完畢。</w:t>
      </w:r>
    </w:p>
    <w:p w14:paraId="61F9CEE7" w14:textId="77777777" w:rsidR="009D64D0" w:rsidRPr="003B3A84" w:rsidRDefault="009D64D0" w:rsidP="00F470A8">
      <w:pPr>
        <w:pStyle w:val="af5"/>
        <w:widowControl w:val="0"/>
        <w:kinsoku w:val="0"/>
        <w:overflowPunct w:val="0"/>
        <w:autoSpaceDE w:val="0"/>
        <w:adjustRightInd w:val="0"/>
        <w:snapToGrid w:val="0"/>
        <w:spacing w:line="480" w:lineRule="exact"/>
        <w:ind w:leftChars="100" w:left="920" w:hanging="680"/>
        <w:jc w:val="both"/>
        <w:rPr>
          <w:rFonts w:ascii="標楷體" w:eastAsia="標楷體" w:hAnsi="標楷體"/>
          <w:color w:val="000000" w:themeColor="text1"/>
          <w:kern w:val="2"/>
          <w:sz w:val="32"/>
          <w:szCs w:val="32"/>
        </w:rPr>
      </w:pPr>
      <w:r w:rsidRPr="003B3A84">
        <w:rPr>
          <w:rFonts w:ascii="標楷體" w:eastAsia="標楷體" w:hAnsi="標楷體" w:hint="eastAsia"/>
          <w:color w:val="000000" w:themeColor="text1"/>
          <w:kern w:val="2"/>
          <w:sz w:val="32"/>
          <w:szCs w:val="32"/>
        </w:rPr>
        <w:t>(二)委員質詢未及答復或請補充資訊，請相關部會於一週內以書面答復；委員另要求期限者，從其所定。</w:t>
      </w:r>
    </w:p>
    <w:p w14:paraId="478350AE" w14:textId="77777777" w:rsidR="009D64D0" w:rsidRPr="003B3A84" w:rsidRDefault="009D64D0" w:rsidP="00F470A8">
      <w:pPr>
        <w:pStyle w:val="af5"/>
        <w:widowControl w:val="0"/>
        <w:kinsoku w:val="0"/>
        <w:overflowPunct w:val="0"/>
        <w:autoSpaceDE w:val="0"/>
        <w:adjustRightInd w:val="0"/>
        <w:snapToGrid w:val="0"/>
        <w:spacing w:line="480" w:lineRule="exact"/>
        <w:ind w:leftChars="100" w:left="920" w:hanging="680"/>
        <w:jc w:val="both"/>
        <w:rPr>
          <w:rFonts w:ascii="標楷體" w:eastAsia="標楷體" w:hAnsi="標楷體"/>
          <w:color w:val="000000" w:themeColor="text1"/>
          <w:kern w:val="2"/>
          <w:sz w:val="32"/>
          <w:szCs w:val="32"/>
        </w:rPr>
      </w:pPr>
      <w:r w:rsidRPr="003B3A84">
        <w:rPr>
          <w:rFonts w:ascii="標楷體" w:eastAsia="標楷體" w:hAnsi="標楷體" w:hint="eastAsia"/>
          <w:color w:val="000000" w:themeColor="text1"/>
          <w:kern w:val="2"/>
          <w:sz w:val="32"/>
          <w:szCs w:val="32"/>
        </w:rPr>
        <w:t>(三)委員王世堅、何欣純、邱志偉所提書面質詢，列入紀錄，刊登公報，並請相關部會以書面答復。</w:t>
      </w:r>
    </w:p>
    <w:p w14:paraId="13BAF81C" w14:textId="77777777" w:rsidR="009D64D0" w:rsidRPr="003B3A84" w:rsidRDefault="009D64D0" w:rsidP="00F470A8">
      <w:pPr>
        <w:pStyle w:val="af5"/>
        <w:widowControl w:val="0"/>
        <w:kinsoku w:val="0"/>
        <w:overflowPunct w:val="0"/>
        <w:autoSpaceDE w:val="0"/>
        <w:adjustRightInd w:val="0"/>
        <w:snapToGrid w:val="0"/>
        <w:spacing w:line="480" w:lineRule="exact"/>
        <w:ind w:leftChars="100" w:left="920" w:hanging="680"/>
        <w:jc w:val="both"/>
        <w:rPr>
          <w:rFonts w:ascii="標楷體" w:eastAsia="標楷體" w:hAnsi="標楷體"/>
          <w:color w:val="000000" w:themeColor="text1"/>
          <w:kern w:val="2"/>
          <w:sz w:val="32"/>
          <w:szCs w:val="32"/>
        </w:rPr>
      </w:pPr>
      <w:r w:rsidRPr="003B3A84">
        <w:rPr>
          <w:rFonts w:ascii="標楷體" w:eastAsia="標楷體" w:hAnsi="標楷體" w:hint="eastAsia"/>
          <w:color w:val="000000" w:themeColor="text1"/>
          <w:kern w:val="2"/>
          <w:sz w:val="32"/>
          <w:szCs w:val="32"/>
        </w:rPr>
        <w:t>(四)審查中華民國114年度中央政府總預算案行政院歲入預算有關中央銀行股息紅利繳庫部分及附屬單位預算營業部分有關中央銀行（含中央造幣廠、中央印製廠），均</w:t>
      </w:r>
      <w:r w:rsidRPr="00D33B33">
        <w:rPr>
          <w:rFonts w:ascii="標楷體" w:eastAsia="標楷體" w:hAnsi="標楷體" w:hint="eastAsia"/>
          <w:b/>
          <w:color w:val="000000" w:themeColor="text1"/>
          <w:kern w:val="2"/>
          <w:sz w:val="32"/>
          <w:szCs w:val="32"/>
        </w:rPr>
        <w:t>另擇期繼續審查</w:t>
      </w:r>
      <w:r w:rsidRPr="003B3A84">
        <w:rPr>
          <w:rFonts w:ascii="標楷體" w:eastAsia="標楷體" w:hAnsi="標楷體" w:hint="eastAsia"/>
          <w:color w:val="000000" w:themeColor="text1"/>
          <w:kern w:val="2"/>
          <w:sz w:val="32"/>
          <w:szCs w:val="32"/>
        </w:rPr>
        <w:t>。</w:t>
      </w:r>
    </w:p>
    <w:p w14:paraId="06CCF5EF" w14:textId="77777777" w:rsidR="009D64D0" w:rsidRPr="003B3A84" w:rsidRDefault="009D64D0" w:rsidP="00F470A8">
      <w:pPr>
        <w:pStyle w:val="af5"/>
        <w:widowControl w:val="0"/>
        <w:kinsoku w:val="0"/>
        <w:overflowPunct w:val="0"/>
        <w:autoSpaceDE w:val="0"/>
        <w:adjustRightInd w:val="0"/>
        <w:snapToGrid w:val="0"/>
        <w:spacing w:line="480" w:lineRule="exact"/>
        <w:ind w:leftChars="100" w:left="920" w:hanging="680"/>
        <w:jc w:val="both"/>
        <w:rPr>
          <w:rFonts w:ascii="標楷體" w:eastAsia="標楷體" w:hAnsi="標楷體"/>
          <w:color w:val="000000" w:themeColor="text1"/>
          <w:kern w:val="2"/>
          <w:sz w:val="32"/>
          <w:szCs w:val="32"/>
        </w:rPr>
      </w:pPr>
      <w:r w:rsidRPr="003B3A84">
        <w:rPr>
          <w:rFonts w:ascii="標楷體" w:eastAsia="標楷體" w:hAnsi="標楷體" w:hint="eastAsia"/>
          <w:color w:val="000000" w:themeColor="text1"/>
          <w:kern w:val="2"/>
          <w:sz w:val="32"/>
          <w:szCs w:val="32"/>
        </w:rPr>
        <w:t>(五)各委員如有相關預算提案，請於</w:t>
      </w:r>
      <w:r w:rsidRPr="00D33B33">
        <w:rPr>
          <w:rFonts w:ascii="標楷體" w:eastAsia="標楷體" w:hAnsi="標楷體" w:hint="eastAsia"/>
          <w:b/>
          <w:color w:val="000000" w:themeColor="text1"/>
          <w:kern w:val="2"/>
          <w:sz w:val="32"/>
          <w:szCs w:val="32"/>
        </w:rPr>
        <w:t>11月</w:t>
      </w:r>
      <w:r w:rsidRPr="00D33B33">
        <w:rPr>
          <w:rFonts w:ascii="標楷體" w:eastAsia="標楷體" w:hAnsi="標楷體"/>
          <w:b/>
          <w:color w:val="000000" w:themeColor="text1"/>
          <w:kern w:val="2"/>
          <w:sz w:val="32"/>
          <w:szCs w:val="32"/>
        </w:rPr>
        <w:t>20</w:t>
      </w:r>
      <w:r w:rsidRPr="00D33B33">
        <w:rPr>
          <w:rFonts w:ascii="標楷體" w:eastAsia="標楷體" w:hAnsi="標楷體" w:hint="eastAsia"/>
          <w:b/>
          <w:color w:val="000000" w:themeColor="text1"/>
          <w:kern w:val="2"/>
          <w:sz w:val="32"/>
          <w:szCs w:val="32"/>
        </w:rPr>
        <w:t>日(星期三)中午12點以前</w:t>
      </w:r>
      <w:r w:rsidRPr="003B3A84">
        <w:rPr>
          <w:rFonts w:ascii="標楷體" w:eastAsia="標楷體" w:hAnsi="標楷體" w:hint="eastAsia"/>
          <w:color w:val="000000" w:themeColor="text1"/>
          <w:kern w:val="2"/>
          <w:sz w:val="32"/>
          <w:szCs w:val="32"/>
        </w:rPr>
        <w:t>送至財政委員會議事人員收件。</w:t>
      </w:r>
    </w:p>
    <w:p w14:paraId="0003884D" w14:textId="77777777" w:rsidR="009D64D0" w:rsidRPr="003B3A84"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3B3A84">
        <w:rPr>
          <w:rFonts w:ascii="標楷體" w:eastAsia="標楷體" w:hAnsi="標楷體" w:hint="eastAsia"/>
          <w:b/>
          <w:color w:val="000000" w:themeColor="text1"/>
          <w:kern w:val="2"/>
          <w:sz w:val="32"/>
          <w:szCs w:val="32"/>
        </w:rPr>
        <w:t>散會</w:t>
      </w:r>
    </w:p>
    <w:p w14:paraId="2290A779" w14:textId="77777777" w:rsidR="009D64D0" w:rsidRPr="00FE4945" w:rsidRDefault="009D64D0" w:rsidP="00F470A8">
      <w:pPr>
        <w:pStyle w:val="af5"/>
        <w:kinsoku w:val="0"/>
        <w:overflowPunct w:val="0"/>
        <w:autoSpaceDE w:val="0"/>
        <w:adjustRightInd w:val="0"/>
        <w:snapToGrid w:val="0"/>
        <w:spacing w:line="480" w:lineRule="atLeast"/>
        <w:ind w:leftChars="1001" w:left="3410" w:hangingChars="420" w:hanging="1008"/>
        <w:jc w:val="both"/>
        <w:rPr>
          <w:rFonts w:hAnsi="標楷體"/>
        </w:rPr>
      </w:pPr>
    </w:p>
    <w:p w14:paraId="22759AF6"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14C6940B"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35" w:name="_Toc189487325"/>
      <w:r w:rsidRPr="0008203A">
        <w:rPr>
          <w:rFonts w:ascii="標楷體" w:eastAsia="標楷體" w:hAnsi="標楷體"/>
          <w:b/>
          <w:spacing w:val="-20"/>
          <w:sz w:val="32"/>
          <w:szCs w:val="32"/>
        </w:rPr>
        <w:lastRenderedPageBreak/>
        <w:t>立法院第</w:t>
      </w:r>
      <w:r w:rsidRPr="0008203A">
        <w:rPr>
          <w:rFonts w:ascii="標楷體" w:eastAsia="標楷體" w:hAnsi="標楷體" w:hint="eastAsia"/>
          <w:b/>
          <w:spacing w:val="-20"/>
          <w:sz w:val="32"/>
          <w:szCs w:val="32"/>
        </w:rPr>
        <w:t>11</w:t>
      </w:r>
      <w:r w:rsidRPr="0008203A">
        <w:rPr>
          <w:rFonts w:ascii="標楷體" w:eastAsia="標楷體" w:hAnsi="標楷體"/>
          <w:b/>
          <w:spacing w:val="-20"/>
          <w:sz w:val="32"/>
          <w:szCs w:val="32"/>
        </w:rPr>
        <w:t>屆第</w:t>
      </w:r>
      <w:r w:rsidRPr="0008203A">
        <w:rPr>
          <w:rFonts w:ascii="標楷體" w:eastAsia="標楷體" w:hAnsi="標楷體" w:hint="eastAsia"/>
          <w:b/>
          <w:spacing w:val="-20"/>
          <w:sz w:val="32"/>
          <w:szCs w:val="32"/>
        </w:rPr>
        <w:t>2</w:t>
      </w:r>
      <w:r w:rsidRPr="0008203A">
        <w:rPr>
          <w:rFonts w:ascii="標楷體" w:eastAsia="標楷體" w:hAnsi="標楷體"/>
          <w:b/>
          <w:spacing w:val="-20"/>
          <w:sz w:val="32"/>
          <w:szCs w:val="32"/>
        </w:rPr>
        <w:t>會期財政委員會第</w:t>
      </w:r>
      <w:r w:rsidRPr="0008203A">
        <w:rPr>
          <w:rFonts w:ascii="標楷體" w:eastAsia="標楷體" w:hAnsi="標楷體" w:hint="eastAsia"/>
          <w:b/>
          <w:spacing w:val="-20"/>
          <w:sz w:val="32"/>
          <w:szCs w:val="32"/>
        </w:rPr>
        <w:t>9</w:t>
      </w:r>
      <w:r w:rsidRPr="0008203A">
        <w:rPr>
          <w:rFonts w:ascii="標楷體" w:eastAsia="標楷體" w:hAnsi="標楷體"/>
          <w:b/>
          <w:spacing w:val="-20"/>
          <w:sz w:val="32"/>
          <w:szCs w:val="32"/>
        </w:rPr>
        <w:t>次全體委員會議議事錄</w:t>
      </w:r>
      <w:bookmarkEnd w:id="135"/>
    </w:p>
    <w:p w14:paraId="212A1C76" w14:textId="77777777" w:rsidR="009D64D0" w:rsidRPr="00CB08F0" w:rsidRDefault="009D64D0" w:rsidP="00F470A8">
      <w:pPr>
        <w:widowControl w:val="0"/>
        <w:kinsoku w:val="0"/>
        <w:overflowPunct w:val="0"/>
        <w:autoSpaceDN/>
        <w:adjustRightInd w:val="0"/>
        <w:snapToGrid w:val="0"/>
        <w:spacing w:line="480" w:lineRule="exact"/>
        <w:ind w:left="1500" w:rightChars="-126" w:right="-302" w:hangingChars="500" w:hanging="1500"/>
        <w:textAlignment w:val="auto"/>
        <w:rPr>
          <w:rFonts w:ascii="標楷體" w:eastAsia="標楷體" w:hAnsi="標楷體"/>
          <w:color w:val="000000" w:themeColor="text1"/>
          <w:spacing w:val="-20"/>
          <w:kern w:val="2"/>
          <w:sz w:val="32"/>
          <w:szCs w:val="32"/>
        </w:rPr>
      </w:pPr>
      <w:r w:rsidRPr="00CB08F0">
        <w:rPr>
          <w:rFonts w:ascii="標楷體" w:eastAsia="標楷體" w:hAnsi="標楷體"/>
          <w:color w:val="000000" w:themeColor="text1"/>
          <w:spacing w:val="-20"/>
          <w:kern w:val="2"/>
          <w:sz w:val="32"/>
          <w:szCs w:val="32"/>
        </w:rPr>
        <w:t>時　　間　中華民國</w:t>
      </w:r>
      <w:r w:rsidRPr="00CB08F0">
        <w:rPr>
          <w:rFonts w:ascii="標楷體" w:eastAsia="標楷體" w:hAnsi="標楷體" w:hint="eastAsia"/>
          <w:color w:val="000000" w:themeColor="text1"/>
          <w:spacing w:val="-20"/>
          <w:kern w:val="2"/>
          <w:sz w:val="32"/>
          <w:szCs w:val="32"/>
        </w:rPr>
        <w:t>113</w:t>
      </w:r>
      <w:r w:rsidRPr="00CB08F0">
        <w:rPr>
          <w:rFonts w:ascii="標楷體" w:eastAsia="標楷體" w:hAnsi="標楷體"/>
          <w:color w:val="000000" w:themeColor="text1"/>
          <w:spacing w:val="-20"/>
          <w:kern w:val="2"/>
          <w:sz w:val="32"/>
          <w:szCs w:val="32"/>
        </w:rPr>
        <w:t>年</w:t>
      </w:r>
      <w:r w:rsidRPr="00CB08F0">
        <w:rPr>
          <w:rFonts w:ascii="標楷體" w:eastAsia="標楷體" w:hAnsi="標楷體" w:hint="eastAsia"/>
          <w:color w:val="000000" w:themeColor="text1"/>
          <w:spacing w:val="-20"/>
          <w:kern w:val="2"/>
          <w:sz w:val="32"/>
          <w:szCs w:val="32"/>
        </w:rPr>
        <w:t>11</w:t>
      </w:r>
      <w:r w:rsidRPr="00CB08F0">
        <w:rPr>
          <w:rFonts w:ascii="標楷體" w:eastAsia="標楷體" w:hAnsi="標楷體"/>
          <w:color w:val="000000" w:themeColor="text1"/>
          <w:spacing w:val="-20"/>
          <w:kern w:val="2"/>
          <w:sz w:val="32"/>
          <w:szCs w:val="32"/>
        </w:rPr>
        <w:t>月</w:t>
      </w:r>
      <w:r w:rsidRPr="00CB08F0">
        <w:rPr>
          <w:rFonts w:ascii="標楷體" w:eastAsia="標楷體" w:hAnsi="標楷體" w:hint="eastAsia"/>
          <w:color w:val="000000" w:themeColor="text1"/>
          <w:spacing w:val="-20"/>
          <w:kern w:val="2"/>
          <w:sz w:val="32"/>
          <w:szCs w:val="32"/>
        </w:rPr>
        <w:t>18</w:t>
      </w:r>
      <w:r w:rsidRPr="00CB08F0">
        <w:rPr>
          <w:rFonts w:ascii="標楷體" w:eastAsia="標楷體" w:hAnsi="標楷體"/>
          <w:color w:val="000000" w:themeColor="text1"/>
          <w:spacing w:val="-20"/>
          <w:kern w:val="2"/>
          <w:sz w:val="32"/>
          <w:szCs w:val="32"/>
        </w:rPr>
        <w:t>日（星期</w:t>
      </w:r>
      <w:r w:rsidRPr="00CB08F0">
        <w:rPr>
          <w:rFonts w:ascii="標楷體" w:eastAsia="標楷體" w:hAnsi="標楷體" w:hint="eastAsia"/>
          <w:color w:val="000000" w:themeColor="text1"/>
          <w:spacing w:val="-20"/>
          <w:kern w:val="2"/>
          <w:sz w:val="32"/>
          <w:szCs w:val="32"/>
        </w:rPr>
        <w:t>一</w:t>
      </w:r>
      <w:r w:rsidRPr="00CB08F0">
        <w:rPr>
          <w:rFonts w:ascii="標楷體" w:eastAsia="標楷體" w:hAnsi="標楷體"/>
          <w:color w:val="000000" w:themeColor="text1"/>
          <w:spacing w:val="-20"/>
          <w:kern w:val="2"/>
          <w:sz w:val="32"/>
          <w:szCs w:val="32"/>
        </w:rPr>
        <w:t>）9時</w:t>
      </w:r>
      <w:r w:rsidRPr="00CB08F0">
        <w:rPr>
          <w:rFonts w:ascii="標楷體" w:eastAsia="標楷體" w:hAnsi="標楷體" w:hint="eastAsia"/>
          <w:color w:val="000000" w:themeColor="text1"/>
          <w:spacing w:val="-20"/>
          <w:kern w:val="2"/>
          <w:sz w:val="32"/>
          <w:szCs w:val="32"/>
        </w:rPr>
        <w:t>1分</w:t>
      </w:r>
      <w:r w:rsidRPr="00CB08F0">
        <w:rPr>
          <w:rFonts w:ascii="標楷體" w:eastAsia="標楷體" w:hAnsi="標楷體"/>
          <w:color w:val="000000" w:themeColor="text1"/>
          <w:spacing w:val="-20"/>
          <w:kern w:val="2"/>
          <w:sz w:val="32"/>
          <w:szCs w:val="32"/>
        </w:rPr>
        <w:t>至12時14分</w:t>
      </w:r>
    </w:p>
    <w:p w14:paraId="6792AE5F" w14:textId="77777777" w:rsidR="009D64D0" w:rsidRPr="00CB08F0" w:rsidRDefault="009D64D0" w:rsidP="00F470A8">
      <w:pPr>
        <w:widowControl w:val="0"/>
        <w:kinsoku w:val="0"/>
        <w:overflowPunct w:val="0"/>
        <w:autoSpaceDN/>
        <w:adjustRightInd w:val="0"/>
        <w:snapToGrid w:val="0"/>
        <w:spacing w:line="480" w:lineRule="exact"/>
        <w:ind w:left="1500" w:rightChars="-126" w:right="-302" w:hangingChars="500" w:hanging="1500"/>
        <w:textAlignment w:val="auto"/>
        <w:rPr>
          <w:rFonts w:ascii="標楷體" w:eastAsia="標楷體" w:hAnsi="標楷體"/>
          <w:color w:val="000000" w:themeColor="text1"/>
          <w:spacing w:val="-20"/>
          <w:kern w:val="2"/>
          <w:sz w:val="32"/>
          <w:szCs w:val="32"/>
        </w:rPr>
      </w:pPr>
      <w:r w:rsidRPr="00CB08F0">
        <w:rPr>
          <w:rFonts w:ascii="標楷體" w:eastAsia="標楷體" w:hAnsi="標楷體"/>
          <w:color w:val="000000" w:themeColor="text1"/>
          <w:spacing w:val="-20"/>
          <w:kern w:val="2"/>
          <w:sz w:val="32"/>
          <w:szCs w:val="32"/>
        </w:rPr>
        <w:t xml:space="preserve">地　　點　</w:t>
      </w:r>
      <w:r w:rsidRPr="00CB08F0">
        <w:rPr>
          <w:rFonts w:ascii="標楷體" w:eastAsia="標楷體" w:hAnsi="標楷體" w:hint="eastAsia"/>
          <w:color w:val="000000" w:themeColor="text1"/>
          <w:spacing w:val="-20"/>
          <w:kern w:val="2"/>
          <w:sz w:val="32"/>
          <w:szCs w:val="32"/>
        </w:rPr>
        <w:t>群賢樓9樓大禮堂</w:t>
      </w:r>
    </w:p>
    <w:p w14:paraId="0138705C" w14:textId="77777777" w:rsidR="00067FDE" w:rsidRPr="00264E99" w:rsidRDefault="009D64D0"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color w:val="000000" w:themeColor="text1"/>
          <w:kern w:val="2"/>
          <w:sz w:val="32"/>
          <w:szCs w:val="32"/>
        </w:rPr>
        <w:t xml:space="preserve">出席委員　</w:t>
      </w:r>
      <w:r w:rsidRPr="00264E99">
        <w:rPr>
          <w:rFonts w:ascii="標楷體" w:eastAsia="標楷體" w:hAnsi="標楷體" w:hint="eastAsia"/>
          <w:color w:val="000000" w:themeColor="text1"/>
          <w:kern w:val="2"/>
          <w:sz w:val="32"/>
          <w:szCs w:val="32"/>
        </w:rPr>
        <w:t xml:space="preserve">林德福　吳秉叡　賴惠員　郭國文　賴士葆　王鴻薇　</w:t>
      </w:r>
    </w:p>
    <w:p w14:paraId="6D3B1C30" w14:textId="77777777" w:rsidR="002E0C53" w:rsidRPr="00264E99" w:rsidRDefault="00067FDE"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hint="eastAsia"/>
          <w:color w:val="000000" w:themeColor="text1"/>
          <w:kern w:val="2"/>
          <w:sz w:val="32"/>
          <w:szCs w:val="32"/>
        </w:rPr>
        <w:t xml:space="preserve">　　　　　</w:t>
      </w:r>
      <w:r w:rsidR="009D64D0" w:rsidRPr="00264E99">
        <w:rPr>
          <w:rFonts w:ascii="標楷體" w:eastAsia="標楷體" w:hAnsi="標楷體" w:hint="eastAsia"/>
          <w:color w:val="000000" w:themeColor="text1"/>
          <w:kern w:val="2"/>
          <w:sz w:val="32"/>
          <w:szCs w:val="32"/>
        </w:rPr>
        <w:t>羅明才　顏寬恒　李彥秀　伍麗華</w:t>
      </w:r>
      <w:r w:rsidR="009D64D0" w:rsidRPr="00264E99">
        <w:rPr>
          <w:rFonts w:ascii="標楷體" w:eastAsia="標楷體" w:hAnsi="標楷體" w:hint="eastAsia"/>
          <w:color w:val="000000" w:themeColor="text1"/>
          <w:spacing w:val="-20"/>
          <w:kern w:val="2"/>
          <w:sz w:val="32"/>
          <w:szCs w:val="32"/>
        </w:rPr>
        <w:t>Saidhai Tahovecahe</w:t>
      </w:r>
      <w:r w:rsidR="009D64D0" w:rsidRPr="00264E99">
        <w:rPr>
          <w:rFonts w:ascii="標楷體" w:eastAsia="標楷體" w:hAnsi="標楷體" w:hint="eastAsia"/>
          <w:color w:val="000000" w:themeColor="text1"/>
          <w:kern w:val="2"/>
          <w:sz w:val="32"/>
          <w:szCs w:val="32"/>
        </w:rPr>
        <w:t xml:space="preserve">　</w:t>
      </w:r>
    </w:p>
    <w:p w14:paraId="0FB54212" w14:textId="77777777" w:rsidR="009D64D0" w:rsidRPr="00264E99" w:rsidRDefault="002E0C53"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hint="eastAsia"/>
          <w:color w:val="000000" w:themeColor="text1"/>
          <w:kern w:val="2"/>
          <w:sz w:val="32"/>
          <w:szCs w:val="32"/>
        </w:rPr>
        <w:t xml:space="preserve">　　　　　</w:t>
      </w:r>
      <w:r w:rsidR="009D64D0" w:rsidRPr="00264E99">
        <w:rPr>
          <w:rFonts w:ascii="標楷體" w:eastAsia="標楷體" w:hAnsi="標楷體" w:hint="eastAsia"/>
          <w:color w:val="000000" w:themeColor="text1"/>
          <w:kern w:val="2"/>
          <w:sz w:val="32"/>
          <w:szCs w:val="32"/>
        </w:rPr>
        <w:t xml:space="preserve">李坤城　王世堅　黃珊珊　陳玉珍　</w:t>
      </w:r>
    </w:p>
    <w:p w14:paraId="37B46975" w14:textId="05D29751" w:rsidR="009D64D0" w:rsidRPr="000607F9" w:rsidRDefault="00264E99" w:rsidP="00F470A8">
      <w:pPr>
        <w:widowControl w:val="0"/>
        <w:kinsoku w:val="0"/>
        <w:overflowPunct w:val="0"/>
        <w:autoSpaceDN/>
        <w:adjustRightInd w:val="0"/>
        <w:snapToGrid w:val="0"/>
        <w:spacing w:line="480" w:lineRule="exact"/>
        <w:textAlignment w:val="auto"/>
        <w:rPr>
          <w:rFonts w:ascii="標楷體" w:eastAsia="標楷體" w:hAnsi="標楷體"/>
          <w:b/>
          <w:color w:val="000000" w:themeColor="text1"/>
          <w:kern w:val="2"/>
          <w:sz w:val="32"/>
          <w:szCs w:val="32"/>
        </w:rPr>
      </w:pPr>
      <w:r w:rsidRPr="00264E99">
        <w:rPr>
          <w:rFonts w:ascii="標楷體" w:eastAsia="標楷體" w:hAnsi="標楷體" w:hint="eastAsia"/>
          <w:color w:val="000000" w:themeColor="text1"/>
          <w:kern w:val="2"/>
          <w:sz w:val="32"/>
          <w:szCs w:val="32"/>
        </w:rPr>
        <w:t xml:space="preserve">　　　　　</w:t>
      </w:r>
      <w:r w:rsidR="009D64D0" w:rsidRPr="000607F9">
        <w:rPr>
          <w:rFonts w:ascii="標楷體" w:eastAsia="標楷體" w:hAnsi="標楷體"/>
          <w:b/>
          <w:color w:val="000000" w:themeColor="text1"/>
          <w:kern w:val="2"/>
          <w:sz w:val="32"/>
          <w:szCs w:val="32"/>
        </w:rPr>
        <w:t>委員出席1</w:t>
      </w:r>
      <w:r w:rsidR="009D64D0" w:rsidRPr="000607F9">
        <w:rPr>
          <w:rFonts w:ascii="標楷體" w:eastAsia="標楷體" w:hAnsi="標楷體" w:hint="eastAsia"/>
          <w:b/>
          <w:color w:val="000000" w:themeColor="text1"/>
          <w:kern w:val="2"/>
          <w:sz w:val="32"/>
          <w:szCs w:val="32"/>
        </w:rPr>
        <w:t>4</w:t>
      </w:r>
      <w:r w:rsidR="009D64D0" w:rsidRPr="000607F9">
        <w:rPr>
          <w:rFonts w:ascii="標楷體" w:eastAsia="標楷體" w:hAnsi="標楷體"/>
          <w:b/>
          <w:color w:val="000000" w:themeColor="text1"/>
          <w:kern w:val="2"/>
          <w:sz w:val="32"/>
          <w:szCs w:val="32"/>
        </w:rPr>
        <w:t>人</w:t>
      </w:r>
    </w:p>
    <w:p w14:paraId="1F3E7AD5" w14:textId="77777777" w:rsidR="009D64D0" w:rsidRPr="000607F9" w:rsidRDefault="009D64D0" w:rsidP="00F470A8">
      <w:pPr>
        <w:widowControl w:val="0"/>
        <w:kinsoku w:val="0"/>
        <w:overflowPunct w:val="0"/>
        <w:autoSpaceDN/>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0607F9">
        <w:rPr>
          <w:rFonts w:ascii="標楷體" w:eastAsia="標楷體" w:hAnsi="標楷體"/>
          <w:color w:val="000000" w:themeColor="text1"/>
          <w:kern w:val="2"/>
          <w:sz w:val="32"/>
          <w:szCs w:val="32"/>
        </w:rPr>
        <w:t xml:space="preserve">列席委員　</w:t>
      </w:r>
      <w:r w:rsidRPr="000607F9">
        <w:rPr>
          <w:rFonts w:ascii="標楷體" w:eastAsia="標楷體" w:hAnsi="標楷體" w:hint="eastAsia"/>
          <w:color w:val="000000" w:themeColor="text1"/>
          <w:kern w:val="2"/>
          <w:sz w:val="32"/>
          <w:szCs w:val="32"/>
        </w:rPr>
        <w:t>鍾佳濱　洪孟楷　鄭天財</w:t>
      </w:r>
      <w:r w:rsidRPr="00264E99">
        <w:rPr>
          <w:rFonts w:ascii="標楷體" w:eastAsia="標楷體" w:hAnsi="標楷體"/>
          <w:color w:val="000000" w:themeColor="text1"/>
          <w:spacing w:val="-24"/>
          <w:kern w:val="2"/>
          <w:sz w:val="32"/>
          <w:szCs w:val="32"/>
        </w:rPr>
        <w:t>Sra Kacaw</w:t>
      </w:r>
      <w:r w:rsidRPr="000607F9">
        <w:rPr>
          <w:rFonts w:ascii="標楷體" w:eastAsia="標楷體" w:hAnsi="標楷體" w:hint="eastAsia"/>
          <w:color w:val="000000" w:themeColor="text1"/>
          <w:kern w:val="2"/>
          <w:sz w:val="32"/>
          <w:szCs w:val="32"/>
        </w:rPr>
        <w:t xml:space="preserve">　鄭正鈐　邱志偉　楊瓊瓔　葛如鈞　陳菁徽　謝龍介　葉元之</w:t>
      </w:r>
    </w:p>
    <w:p w14:paraId="3AFB023D" w14:textId="3590E398" w:rsidR="009D64D0" w:rsidRPr="000607F9" w:rsidRDefault="00264E99" w:rsidP="00F470A8">
      <w:pPr>
        <w:widowControl w:val="0"/>
        <w:kinsoku w:val="0"/>
        <w:overflowPunct w:val="0"/>
        <w:autoSpaceDN/>
        <w:adjustRightInd w:val="0"/>
        <w:snapToGrid w:val="0"/>
        <w:spacing w:line="480" w:lineRule="exact"/>
        <w:textAlignment w:val="auto"/>
        <w:rPr>
          <w:rFonts w:ascii="標楷體" w:eastAsia="標楷體" w:hAnsi="標楷體"/>
          <w:b/>
          <w:color w:val="000000" w:themeColor="text1"/>
          <w:kern w:val="2"/>
          <w:sz w:val="32"/>
          <w:szCs w:val="32"/>
        </w:rPr>
      </w:pPr>
      <w:r w:rsidRPr="00264E99">
        <w:rPr>
          <w:rFonts w:ascii="標楷體" w:eastAsia="標楷體" w:hAnsi="標楷體" w:hint="eastAsia"/>
          <w:color w:val="000000" w:themeColor="text1"/>
          <w:kern w:val="2"/>
          <w:sz w:val="32"/>
          <w:szCs w:val="32"/>
        </w:rPr>
        <w:t xml:space="preserve">　　　　　</w:t>
      </w:r>
      <w:r w:rsidR="009D64D0" w:rsidRPr="000607F9">
        <w:rPr>
          <w:rFonts w:ascii="標楷體" w:eastAsia="標楷體" w:hAnsi="標楷體"/>
          <w:b/>
          <w:color w:val="000000" w:themeColor="text1"/>
          <w:kern w:val="2"/>
          <w:sz w:val="32"/>
          <w:szCs w:val="32"/>
        </w:rPr>
        <w:t>委員列席</w:t>
      </w:r>
      <w:r w:rsidR="009D64D0" w:rsidRPr="000607F9">
        <w:rPr>
          <w:rFonts w:ascii="標楷體" w:eastAsia="標楷體" w:hAnsi="標楷體" w:hint="eastAsia"/>
          <w:b/>
          <w:color w:val="000000" w:themeColor="text1"/>
          <w:kern w:val="2"/>
          <w:sz w:val="32"/>
          <w:szCs w:val="32"/>
        </w:rPr>
        <w:t>1</w:t>
      </w:r>
      <w:r w:rsidR="009D64D0" w:rsidRPr="000607F9">
        <w:rPr>
          <w:rFonts w:ascii="標楷體" w:eastAsia="標楷體" w:hAnsi="標楷體"/>
          <w:b/>
          <w:color w:val="000000" w:themeColor="text1"/>
          <w:kern w:val="2"/>
          <w:sz w:val="32"/>
          <w:szCs w:val="32"/>
        </w:rPr>
        <w:t>0人</w:t>
      </w:r>
    </w:p>
    <w:p w14:paraId="4A91B53A"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color w:val="000000" w:themeColor="text1"/>
          <w:kern w:val="16"/>
          <w:sz w:val="32"/>
          <w:szCs w:val="32"/>
        </w:rPr>
        <w:t>列席官員</w:t>
      </w:r>
      <w:r w:rsidRPr="00BC15CD">
        <w:rPr>
          <w:rFonts w:ascii="標楷體" w:eastAsia="標楷體" w:hAnsi="標楷體" w:hint="eastAsia"/>
          <w:color w:val="000000" w:themeColor="text1"/>
          <w:kern w:val="16"/>
          <w:sz w:val="32"/>
          <w:szCs w:val="32"/>
        </w:rPr>
        <w:t xml:space="preserve">　</w:t>
      </w:r>
      <w:r w:rsidRPr="00BC15CD">
        <w:rPr>
          <w:rFonts w:ascii="標楷體" w:eastAsia="標楷體" w:hAnsi="標楷體" w:hint="eastAsia"/>
          <w:b/>
          <w:color w:val="000000" w:themeColor="text1"/>
          <w:kern w:val="16"/>
          <w:sz w:val="32"/>
          <w:szCs w:val="32"/>
        </w:rPr>
        <w:t>財政部</w:t>
      </w:r>
      <w:r w:rsidRPr="00BC15CD">
        <w:rPr>
          <w:rFonts w:ascii="標楷體" w:eastAsia="標楷體" w:hAnsi="標楷體" w:hint="eastAsia"/>
          <w:color w:val="000000" w:themeColor="text1"/>
          <w:kern w:val="16"/>
          <w:sz w:val="32"/>
          <w:szCs w:val="32"/>
        </w:rPr>
        <w:t xml:space="preserve">　　　　　　　　　　　部長　　　　莊翠雲</w:t>
      </w:r>
    </w:p>
    <w:p w14:paraId="52E24E75"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會計處　　　　　　　　　　處長　　　　李秋月</w:t>
      </w:r>
    </w:p>
    <w:p w14:paraId="4EE8B6EB"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國庫署　　　　　　　　　　署長　　　　陳柏誠</w:t>
      </w:r>
    </w:p>
    <w:p w14:paraId="50BE3C19"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賦稅署　　　　　　　　　　署長　　　　宋秀玲</w:t>
      </w:r>
    </w:p>
    <w:p w14:paraId="2D14660C"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關務署　　　　　　　　　　署長　　　　彭英偉</w:t>
      </w:r>
    </w:p>
    <w:p w14:paraId="029BA178"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國有財產署　　　　　　　　署長　　　　曾國基</w:t>
      </w:r>
    </w:p>
    <w:p w14:paraId="278E3A88"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財政資訊中心　　　　　　　主任　　　　張文熙</w:t>
      </w:r>
    </w:p>
    <w:p w14:paraId="16684742"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臺北國稅局　　　　　　　　局長　　　　吳蓮英</w:t>
      </w:r>
    </w:p>
    <w:p w14:paraId="39825CE9"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高雄國稅局　　　　　　　　局長　　　　翁培祐</w:t>
      </w:r>
    </w:p>
    <w:p w14:paraId="59331762"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北區國稅局　　　　　　　　局長　　　　李怡慧</w:t>
      </w:r>
    </w:p>
    <w:p w14:paraId="1814E20C"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中區國稅局　　　　　　　　局長　　　　樓美鐘</w:t>
      </w:r>
    </w:p>
    <w:p w14:paraId="743098DC"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南區國稅局　　　　　　　　局長　　　　李雅晶</w:t>
      </w:r>
    </w:p>
    <w:p w14:paraId="07651A19"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w:t>
      </w:r>
      <w:r w:rsidRPr="00BC15CD">
        <w:rPr>
          <w:rFonts w:ascii="標楷體" w:eastAsia="標楷體" w:hAnsi="標楷體" w:hint="eastAsia"/>
          <w:b/>
          <w:color w:val="000000" w:themeColor="text1"/>
          <w:kern w:val="16"/>
          <w:sz w:val="32"/>
          <w:szCs w:val="32"/>
        </w:rPr>
        <w:t>行政院主計總處</w:t>
      </w:r>
      <w:r w:rsidRPr="00BC15CD">
        <w:rPr>
          <w:rFonts w:ascii="標楷體" w:eastAsia="標楷體" w:hAnsi="標楷體" w:hint="eastAsia"/>
          <w:color w:val="000000" w:themeColor="text1"/>
          <w:kern w:val="16"/>
          <w:sz w:val="32"/>
          <w:szCs w:val="32"/>
        </w:rPr>
        <w:t>公務預算處　　簡任視察　　李培源</w:t>
      </w:r>
    </w:p>
    <w:p w14:paraId="4CA6F365"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color w:val="000000" w:themeColor="text1"/>
          <w:kern w:val="16"/>
          <w:sz w:val="32"/>
          <w:szCs w:val="32"/>
        </w:rPr>
        <w:t xml:space="preserve">主　　席　</w:t>
      </w:r>
      <w:r w:rsidRPr="00BC15CD">
        <w:rPr>
          <w:rFonts w:ascii="標楷體" w:eastAsia="標楷體" w:hAnsi="標楷體" w:hint="eastAsia"/>
          <w:color w:val="000000" w:themeColor="text1"/>
          <w:kern w:val="16"/>
          <w:sz w:val="32"/>
          <w:szCs w:val="32"/>
        </w:rPr>
        <w:t>陳</w:t>
      </w:r>
      <w:r w:rsidRPr="00BC15CD">
        <w:rPr>
          <w:rFonts w:ascii="標楷體" w:eastAsia="標楷體" w:hAnsi="標楷體"/>
          <w:color w:val="000000" w:themeColor="text1"/>
          <w:kern w:val="16"/>
          <w:sz w:val="32"/>
          <w:szCs w:val="32"/>
        </w:rPr>
        <w:t>召集委員</w:t>
      </w:r>
      <w:r w:rsidRPr="00BC15CD">
        <w:rPr>
          <w:rFonts w:ascii="標楷體" w:eastAsia="標楷體" w:hAnsi="標楷體" w:hint="eastAsia"/>
          <w:color w:val="000000" w:themeColor="text1"/>
          <w:kern w:val="16"/>
          <w:sz w:val="32"/>
          <w:szCs w:val="32"/>
        </w:rPr>
        <w:t>玉珍</w:t>
      </w:r>
    </w:p>
    <w:p w14:paraId="3BD43A04"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color w:val="000000" w:themeColor="text1"/>
          <w:kern w:val="16"/>
          <w:sz w:val="32"/>
          <w:szCs w:val="32"/>
        </w:rPr>
        <w:t xml:space="preserve">專門委員　</w:t>
      </w:r>
      <w:r w:rsidRPr="00BC15CD">
        <w:rPr>
          <w:rFonts w:ascii="標楷體" w:eastAsia="標楷體" w:hAnsi="標楷體" w:hint="eastAsia"/>
          <w:color w:val="000000" w:themeColor="text1"/>
          <w:kern w:val="16"/>
          <w:sz w:val="32"/>
          <w:szCs w:val="32"/>
        </w:rPr>
        <w:t>林靜玟</w:t>
      </w:r>
    </w:p>
    <w:p w14:paraId="57C27A80"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color w:val="000000" w:themeColor="text1"/>
          <w:kern w:val="16"/>
          <w:sz w:val="32"/>
          <w:szCs w:val="32"/>
        </w:rPr>
        <w:t>主任秘書　謝淑津</w:t>
      </w:r>
    </w:p>
    <w:p w14:paraId="5AE2728A"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color w:val="000000" w:themeColor="text1"/>
          <w:kern w:val="16"/>
          <w:sz w:val="32"/>
          <w:szCs w:val="32"/>
        </w:rPr>
        <w:t xml:space="preserve">紀　　錄　</w:t>
      </w:r>
      <w:r w:rsidRPr="00BC15CD">
        <w:rPr>
          <w:rFonts w:ascii="標楷體" w:eastAsia="標楷體" w:hAnsi="標楷體" w:hint="eastAsia"/>
          <w:color w:val="000000" w:themeColor="text1"/>
          <w:kern w:val="16"/>
          <w:sz w:val="32"/>
          <w:szCs w:val="32"/>
        </w:rPr>
        <w:t xml:space="preserve">秘　書　吳人寬　研究員　黃惠雯　編　審　伍明清　</w:t>
      </w:r>
    </w:p>
    <w:p w14:paraId="3C510381" w14:textId="77777777" w:rsidR="009D64D0" w:rsidRPr="00BC15CD"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BC15CD">
        <w:rPr>
          <w:rFonts w:ascii="標楷體" w:eastAsia="標楷體" w:hAnsi="標楷體" w:hint="eastAsia"/>
          <w:color w:val="000000" w:themeColor="text1"/>
          <w:kern w:val="16"/>
          <w:sz w:val="32"/>
          <w:szCs w:val="32"/>
        </w:rPr>
        <w:t xml:space="preserve">　　　　　科　長　喻　珊　科　員　簡廷育　</w:t>
      </w:r>
    </w:p>
    <w:p w14:paraId="0B0050DF" w14:textId="77777777" w:rsidR="009D64D0" w:rsidRPr="00BC15CD" w:rsidRDefault="009D64D0" w:rsidP="00F470A8">
      <w:pPr>
        <w:widowControl w:val="0"/>
        <w:kinsoku w:val="0"/>
        <w:overflowPunct w:val="0"/>
        <w:autoSpaceDE w:val="0"/>
        <w:adjustRightInd w:val="0"/>
        <w:snapToGrid w:val="0"/>
        <w:spacing w:line="480" w:lineRule="exact"/>
        <w:ind w:leftChars="201" w:left="482"/>
        <w:jc w:val="both"/>
        <w:textAlignment w:val="auto"/>
        <w:rPr>
          <w:rFonts w:ascii="標楷體" w:eastAsia="標楷體" w:hAnsi="標楷體"/>
          <w:b/>
          <w:color w:val="000000" w:themeColor="text1"/>
          <w:kern w:val="2"/>
          <w:sz w:val="32"/>
          <w:szCs w:val="32"/>
        </w:rPr>
      </w:pPr>
      <w:r w:rsidRPr="00BC15CD">
        <w:rPr>
          <w:rFonts w:ascii="標楷體" w:eastAsia="標楷體" w:hAnsi="標楷體"/>
          <w:b/>
          <w:color w:val="000000" w:themeColor="text1"/>
          <w:kern w:val="2"/>
          <w:sz w:val="32"/>
          <w:szCs w:val="32"/>
        </w:rPr>
        <w:t>報告事項</w:t>
      </w:r>
    </w:p>
    <w:p w14:paraId="262B28CB" w14:textId="77777777" w:rsidR="009D64D0" w:rsidRPr="00BC15CD" w:rsidRDefault="009D64D0" w:rsidP="00F470A8">
      <w:pPr>
        <w:widowControl w:val="0"/>
        <w:kinsoku w:val="0"/>
        <w:overflowPunct w:val="0"/>
        <w:autoSpaceDN/>
        <w:adjustRightInd w:val="0"/>
        <w:snapToGrid w:val="0"/>
        <w:spacing w:line="480" w:lineRule="exact"/>
        <w:jc w:val="both"/>
        <w:textAlignment w:val="auto"/>
        <w:rPr>
          <w:rFonts w:ascii="標楷體" w:eastAsia="標楷體" w:hAnsi="標楷體"/>
          <w:color w:val="000000" w:themeColor="text1"/>
          <w:kern w:val="2"/>
          <w:sz w:val="32"/>
          <w:szCs w:val="32"/>
        </w:rPr>
      </w:pPr>
      <w:r w:rsidRPr="00BC15CD">
        <w:rPr>
          <w:rFonts w:ascii="標楷體" w:eastAsia="標楷體" w:hAnsi="標楷體"/>
          <w:color w:val="000000" w:themeColor="text1"/>
          <w:kern w:val="2"/>
          <w:sz w:val="32"/>
          <w:szCs w:val="32"/>
        </w:rPr>
        <w:t>宣讀上次會議議事錄。</w:t>
      </w:r>
    </w:p>
    <w:p w14:paraId="60C8CCE9" w14:textId="77777777" w:rsidR="009D64D0" w:rsidRPr="00BC15CD" w:rsidRDefault="009D64D0" w:rsidP="00F470A8">
      <w:pPr>
        <w:widowControl w:val="0"/>
        <w:kinsoku w:val="0"/>
        <w:overflowPunct w:val="0"/>
        <w:autoSpaceDN/>
        <w:adjustRightInd w:val="0"/>
        <w:snapToGrid w:val="0"/>
        <w:spacing w:line="480" w:lineRule="exact"/>
        <w:jc w:val="both"/>
        <w:textAlignment w:val="auto"/>
        <w:rPr>
          <w:rFonts w:ascii="標楷體" w:eastAsia="標楷體" w:hAnsi="標楷體"/>
          <w:color w:val="000000" w:themeColor="text1"/>
          <w:kern w:val="2"/>
          <w:sz w:val="32"/>
          <w:szCs w:val="32"/>
        </w:rPr>
      </w:pPr>
      <w:r w:rsidRPr="00BC15CD">
        <w:rPr>
          <w:rFonts w:ascii="標楷體" w:eastAsia="標楷體" w:hAnsi="標楷體"/>
          <w:color w:val="000000" w:themeColor="text1"/>
          <w:kern w:val="2"/>
          <w:sz w:val="32"/>
          <w:szCs w:val="32"/>
        </w:rPr>
        <w:lastRenderedPageBreak/>
        <w:t>決定：議事錄確定。</w:t>
      </w:r>
    </w:p>
    <w:p w14:paraId="1269E655" w14:textId="77777777" w:rsidR="009D64D0" w:rsidRPr="00BC15CD" w:rsidRDefault="009D64D0" w:rsidP="00F470A8">
      <w:pPr>
        <w:widowControl w:val="0"/>
        <w:kinsoku w:val="0"/>
        <w:overflowPunct w:val="0"/>
        <w:autoSpaceDE w:val="0"/>
        <w:adjustRightInd w:val="0"/>
        <w:snapToGrid w:val="0"/>
        <w:spacing w:line="480" w:lineRule="exact"/>
        <w:ind w:leftChars="201" w:left="482"/>
        <w:jc w:val="both"/>
        <w:textAlignment w:val="auto"/>
        <w:rPr>
          <w:rFonts w:ascii="標楷體" w:eastAsia="標楷體" w:hAnsi="標楷體"/>
          <w:b/>
          <w:color w:val="000000" w:themeColor="text1"/>
          <w:kern w:val="2"/>
          <w:sz w:val="32"/>
          <w:szCs w:val="32"/>
        </w:rPr>
      </w:pPr>
      <w:r w:rsidRPr="00BC15CD">
        <w:rPr>
          <w:rFonts w:ascii="標楷體" w:eastAsia="標楷體" w:hAnsi="標楷體" w:hint="eastAsia"/>
          <w:b/>
          <w:color w:val="000000" w:themeColor="text1"/>
          <w:kern w:val="2"/>
          <w:sz w:val="32"/>
          <w:szCs w:val="32"/>
        </w:rPr>
        <w:t>討論事項</w:t>
      </w:r>
    </w:p>
    <w:p w14:paraId="03B5FCA3" w14:textId="77777777" w:rsidR="009D64D0" w:rsidRPr="00B32A1D" w:rsidRDefault="009D64D0" w:rsidP="00F470A8">
      <w:pPr>
        <w:pStyle w:val="Default"/>
        <w:overflowPunct w:val="0"/>
        <w:spacing w:line="480" w:lineRule="exact"/>
        <w:ind w:leftChars="9" w:left="22"/>
        <w:jc w:val="both"/>
        <w:rPr>
          <w:b/>
          <w:color w:val="000000" w:themeColor="text1"/>
          <w:sz w:val="32"/>
          <w:szCs w:val="32"/>
        </w:rPr>
      </w:pPr>
      <w:r w:rsidRPr="00B32A1D">
        <w:rPr>
          <w:rFonts w:cs="Times New Roman" w:hint="eastAsia"/>
          <w:b/>
          <w:color w:val="000000" w:themeColor="text1"/>
          <w:sz w:val="32"/>
          <w:szCs w:val="32"/>
        </w:rPr>
        <w:t>審查中華民國114年度中央政府總預算案有關財政部賦稅署、臺北國稅局、高雄國稅局、北區國稅局及所屬、中區國稅局及所屬、南區國稅局及所屬、關務署及所屬、國有財產署及所屬歲出預算部分暨融資財源調度。</w:t>
      </w:r>
    </w:p>
    <w:p w14:paraId="77A99DB4" w14:textId="77777777" w:rsidR="009D64D0" w:rsidRPr="00BC15CD" w:rsidRDefault="009D64D0" w:rsidP="00F470A8">
      <w:pPr>
        <w:widowControl w:val="0"/>
        <w:overflowPunct w:val="0"/>
        <w:autoSpaceDE w:val="0"/>
        <w:adjustRightInd w:val="0"/>
        <w:spacing w:line="480" w:lineRule="exact"/>
        <w:ind w:left="352" w:hangingChars="110" w:hanging="352"/>
        <w:jc w:val="both"/>
        <w:textAlignment w:val="auto"/>
        <w:rPr>
          <w:rFonts w:ascii="標楷體" w:eastAsia="標楷體" w:hAnsi="標楷體"/>
          <w:color w:val="000000" w:themeColor="text1"/>
          <w:kern w:val="16"/>
          <w:sz w:val="32"/>
          <w:szCs w:val="32"/>
        </w:rPr>
      </w:pPr>
      <w:r w:rsidRPr="00BC15CD">
        <w:rPr>
          <w:rFonts w:ascii="標楷體" w:eastAsia="標楷體" w:hAnsi="標楷體"/>
          <w:color w:val="000000" w:themeColor="text1"/>
          <w:kern w:val="16"/>
          <w:sz w:val="32"/>
          <w:szCs w:val="32"/>
        </w:rPr>
        <w:t>（</w:t>
      </w:r>
      <w:r w:rsidRPr="00BC15CD">
        <w:rPr>
          <w:rFonts w:ascii="標楷體" w:eastAsia="標楷體" w:hAnsi="標楷體" w:hint="eastAsia"/>
          <w:color w:val="000000" w:themeColor="text1"/>
          <w:kern w:val="16"/>
          <w:sz w:val="32"/>
          <w:szCs w:val="32"/>
        </w:rPr>
        <w:t>經財政部部長莊翠雲就預算案提出報告後，計有委員林德福、吳秉叡、賴士葆、郭國文、賴惠員、王鴻薇、顏寬恒、李坤城、陳玉珍、李彥秀、羅明才、鍾佳濱、黃珊珊、伍麗華、王世堅等</w:t>
      </w:r>
      <w:r w:rsidRPr="00BC15CD">
        <w:rPr>
          <w:rFonts w:ascii="標楷體" w:eastAsia="標楷體" w:hAnsi="標楷體"/>
          <w:color w:val="000000" w:themeColor="text1"/>
          <w:kern w:val="16"/>
          <w:sz w:val="32"/>
          <w:szCs w:val="32"/>
        </w:rPr>
        <w:t>1</w:t>
      </w:r>
      <w:r w:rsidRPr="00BC15CD">
        <w:rPr>
          <w:rFonts w:ascii="標楷體" w:eastAsia="標楷體" w:hAnsi="標楷體" w:hint="eastAsia"/>
          <w:color w:val="000000" w:themeColor="text1"/>
          <w:kern w:val="16"/>
          <w:sz w:val="32"/>
          <w:szCs w:val="32"/>
        </w:rPr>
        <w:t>5人提出質詢，均經財政部部長莊翠雲及相關人員予以說明及答復。）</w:t>
      </w:r>
    </w:p>
    <w:p w14:paraId="4113EDD7" w14:textId="77777777" w:rsidR="009D64D0" w:rsidRPr="00BC15CD" w:rsidRDefault="009D64D0" w:rsidP="00F470A8">
      <w:pPr>
        <w:widowControl w:val="0"/>
        <w:overflowPunct w:val="0"/>
        <w:autoSpaceDE w:val="0"/>
        <w:adjustRightInd w:val="0"/>
        <w:spacing w:line="480" w:lineRule="exact"/>
        <w:ind w:left="352" w:hangingChars="110" w:hanging="352"/>
        <w:jc w:val="both"/>
        <w:textAlignment w:val="auto"/>
        <w:rPr>
          <w:rFonts w:ascii="標楷體" w:eastAsia="標楷體" w:hAnsi="標楷體"/>
          <w:b/>
          <w:color w:val="000000" w:themeColor="text1"/>
          <w:kern w:val="16"/>
          <w:sz w:val="32"/>
          <w:szCs w:val="32"/>
        </w:rPr>
      </w:pPr>
      <w:r w:rsidRPr="00BC15CD">
        <w:rPr>
          <w:rFonts w:ascii="標楷體" w:eastAsia="標楷體" w:hAnsi="標楷體" w:hint="eastAsia"/>
          <w:b/>
          <w:color w:val="000000" w:themeColor="text1"/>
          <w:kern w:val="16"/>
          <w:sz w:val="32"/>
          <w:szCs w:val="32"/>
        </w:rPr>
        <w:t>決議：</w:t>
      </w:r>
    </w:p>
    <w:p w14:paraId="349816DD" w14:textId="77777777" w:rsidR="009D64D0" w:rsidRPr="00BC15CD" w:rsidRDefault="009D64D0" w:rsidP="00F470A8">
      <w:pPr>
        <w:widowControl w:val="0"/>
        <w:kinsoku w:val="0"/>
        <w:overflowPunct w:val="0"/>
        <w:autoSpaceDE w:val="0"/>
        <w:adjustRightInd w:val="0"/>
        <w:snapToGrid w:val="0"/>
        <w:spacing w:line="480" w:lineRule="exact"/>
        <w:ind w:leftChars="121" w:left="930" w:hangingChars="200" w:hanging="640"/>
        <w:jc w:val="both"/>
        <w:textAlignment w:val="auto"/>
        <w:rPr>
          <w:rFonts w:ascii="標楷體" w:eastAsia="標楷體" w:hAnsi="標楷體"/>
          <w:color w:val="000000" w:themeColor="text1"/>
          <w:kern w:val="2"/>
          <w:sz w:val="32"/>
          <w:szCs w:val="32"/>
        </w:rPr>
      </w:pPr>
      <w:r w:rsidRPr="00BC15CD">
        <w:rPr>
          <w:rFonts w:ascii="標楷體" w:eastAsia="標楷體" w:hAnsi="標楷體" w:hint="eastAsia"/>
          <w:color w:val="000000" w:themeColor="text1"/>
          <w:kern w:val="2"/>
          <w:sz w:val="32"/>
          <w:szCs w:val="32"/>
        </w:rPr>
        <w:t>(一)說明及詢答完畢。</w:t>
      </w:r>
    </w:p>
    <w:p w14:paraId="49B1FA3F" w14:textId="77777777" w:rsidR="009D64D0" w:rsidRPr="00BC15CD" w:rsidRDefault="009D64D0" w:rsidP="00F470A8">
      <w:pPr>
        <w:widowControl w:val="0"/>
        <w:kinsoku w:val="0"/>
        <w:overflowPunct w:val="0"/>
        <w:autoSpaceDE w:val="0"/>
        <w:adjustRightInd w:val="0"/>
        <w:snapToGrid w:val="0"/>
        <w:spacing w:line="480" w:lineRule="exact"/>
        <w:ind w:leftChars="121" w:left="930" w:hangingChars="200" w:hanging="640"/>
        <w:jc w:val="both"/>
        <w:textAlignment w:val="auto"/>
        <w:rPr>
          <w:rFonts w:ascii="標楷體" w:eastAsia="標楷體" w:hAnsi="標楷體"/>
          <w:color w:val="000000" w:themeColor="text1"/>
          <w:kern w:val="2"/>
          <w:sz w:val="32"/>
          <w:szCs w:val="32"/>
        </w:rPr>
      </w:pPr>
      <w:r w:rsidRPr="00BC15CD">
        <w:rPr>
          <w:rFonts w:ascii="標楷體" w:eastAsia="標楷體" w:hAnsi="標楷體" w:hint="eastAsia"/>
          <w:color w:val="000000" w:themeColor="text1"/>
          <w:kern w:val="2"/>
          <w:sz w:val="32"/>
          <w:szCs w:val="32"/>
        </w:rPr>
        <w:t>(二)委員質詢未及答復或請補充資訊，請財政部於一週內以書面答復；委員另要求期限者，從其所定。</w:t>
      </w:r>
    </w:p>
    <w:p w14:paraId="4BDA142F" w14:textId="77777777" w:rsidR="009D64D0" w:rsidRPr="00BC15CD" w:rsidRDefault="009D64D0" w:rsidP="00F470A8">
      <w:pPr>
        <w:widowControl w:val="0"/>
        <w:kinsoku w:val="0"/>
        <w:overflowPunct w:val="0"/>
        <w:autoSpaceDE w:val="0"/>
        <w:adjustRightInd w:val="0"/>
        <w:snapToGrid w:val="0"/>
        <w:spacing w:line="480" w:lineRule="exact"/>
        <w:ind w:leftChars="121" w:left="930" w:hangingChars="200" w:hanging="640"/>
        <w:jc w:val="both"/>
        <w:textAlignment w:val="auto"/>
        <w:rPr>
          <w:rFonts w:ascii="標楷體" w:eastAsia="標楷體" w:hAnsi="標楷體"/>
          <w:color w:val="000000" w:themeColor="text1"/>
          <w:kern w:val="2"/>
          <w:sz w:val="32"/>
          <w:szCs w:val="32"/>
        </w:rPr>
      </w:pPr>
      <w:r w:rsidRPr="00BC15CD">
        <w:rPr>
          <w:rFonts w:ascii="標楷體" w:eastAsia="標楷體" w:hAnsi="標楷體" w:hint="eastAsia"/>
          <w:color w:val="000000" w:themeColor="text1"/>
          <w:kern w:val="2"/>
          <w:sz w:val="32"/>
          <w:szCs w:val="32"/>
        </w:rPr>
        <w:t>(三)中華民國114年度中央政府總預算案有關財政部賦稅署、臺北國稅局、高雄國稅局、北區國稅局及所屬、中區國稅局及所屬、南區國稅局及所屬、關務署及所屬、國有財產署及所屬歲出預算部分暨融資財源調度，均</w:t>
      </w:r>
      <w:r w:rsidRPr="00BC15CD">
        <w:rPr>
          <w:rFonts w:ascii="標楷體" w:eastAsia="標楷體" w:hAnsi="標楷體" w:hint="eastAsia"/>
          <w:b/>
          <w:color w:val="000000" w:themeColor="text1"/>
          <w:kern w:val="2"/>
          <w:sz w:val="32"/>
          <w:szCs w:val="32"/>
        </w:rPr>
        <w:t>另擇期繼續審查</w:t>
      </w:r>
      <w:r w:rsidRPr="00BC15CD">
        <w:rPr>
          <w:rFonts w:ascii="標楷體" w:eastAsia="標楷體" w:hAnsi="標楷體" w:hint="eastAsia"/>
          <w:color w:val="000000" w:themeColor="text1"/>
          <w:kern w:val="2"/>
          <w:sz w:val="32"/>
          <w:szCs w:val="32"/>
        </w:rPr>
        <w:t>。</w:t>
      </w:r>
    </w:p>
    <w:p w14:paraId="08452BFD" w14:textId="77777777" w:rsidR="009D64D0" w:rsidRPr="00BC15CD" w:rsidRDefault="009D64D0" w:rsidP="00F470A8">
      <w:pPr>
        <w:widowControl w:val="0"/>
        <w:kinsoku w:val="0"/>
        <w:overflowPunct w:val="0"/>
        <w:autoSpaceDE w:val="0"/>
        <w:adjustRightInd w:val="0"/>
        <w:snapToGrid w:val="0"/>
        <w:spacing w:line="480" w:lineRule="exact"/>
        <w:ind w:leftChars="121" w:left="930" w:hangingChars="200" w:hanging="640"/>
        <w:jc w:val="both"/>
        <w:textAlignment w:val="auto"/>
        <w:rPr>
          <w:rFonts w:ascii="標楷體" w:eastAsia="標楷體" w:hAnsi="標楷體"/>
          <w:color w:val="000000" w:themeColor="text1"/>
          <w:kern w:val="2"/>
          <w:sz w:val="32"/>
          <w:szCs w:val="32"/>
        </w:rPr>
      </w:pPr>
      <w:r w:rsidRPr="00BC15CD">
        <w:rPr>
          <w:rFonts w:ascii="標楷體" w:eastAsia="標楷體" w:hAnsi="標楷體" w:hint="eastAsia"/>
          <w:color w:val="000000" w:themeColor="text1"/>
          <w:kern w:val="2"/>
          <w:sz w:val="32"/>
          <w:szCs w:val="32"/>
        </w:rPr>
        <w:t>(四)各委員如有相關預算提案，請於</w:t>
      </w:r>
      <w:r w:rsidRPr="00BC15CD">
        <w:rPr>
          <w:rFonts w:ascii="標楷體" w:eastAsia="標楷體" w:hAnsi="標楷體" w:hint="eastAsia"/>
          <w:b/>
          <w:color w:val="000000" w:themeColor="text1"/>
          <w:kern w:val="2"/>
          <w:sz w:val="32"/>
          <w:szCs w:val="32"/>
        </w:rPr>
        <w:t>11月25日(星期一)中午12點以前</w:t>
      </w:r>
      <w:r w:rsidRPr="00BC15CD">
        <w:rPr>
          <w:rFonts w:ascii="標楷體" w:eastAsia="標楷體" w:hAnsi="標楷體" w:hint="eastAsia"/>
          <w:color w:val="000000" w:themeColor="text1"/>
          <w:kern w:val="2"/>
          <w:sz w:val="32"/>
          <w:szCs w:val="32"/>
        </w:rPr>
        <w:t>送至財政委員會議事人員收件。</w:t>
      </w:r>
    </w:p>
    <w:p w14:paraId="60B54560" w14:textId="77777777" w:rsidR="009D64D0" w:rsidRPr="00BC15CD" w:rsidRDefault="009D64D0" w:rsidP="00F470A8">
      <w:pPr>
        <w:widowControl w:val="0"/>
        <w:kinsoku w:val="0"/>
        <w:overflowPunct w:val="0"/>
        <w:autoSpaceDE w:val="0"/>
        <w:adjustRightInd w:val="0"/>
        <w:snapToGrid w:val="0"/>
        <w:spacing w:line="460" w:lineRule="exact"/>
        <w:ind w:left="616" w:hanging="630"/>
        <w:jc w:val="both"/>
        <w:textAlignment w:val="auto"/>
        <w:rPr>
          <w:rFonts w:ascii="標楷體" w:eastAsia="標楷體" w:hAnsi="標楷體" w:cs="Courier New"/>
          <w:b/>
          <w:color w:val="000000" w:themeColor="text1"/>
          <w:kern w:val="2"/>
          <w:sz w:val="32"/>
          <w:szCs w:val="32"/>
        </w:rPr>
      </w:pPr>
      <w:r w:rsidRPr="00BC15CD">
        <w:rPr>
          <w:rFonts w:ascii="標楷體" w:eastAsia="標楷體" w:hAnsi="標楷體" w:cs="Courier New" w:hint="eastAsia"/>
          <w:b/>
          <w:color w:val="000000" w:themeColor="text1"/>
          <w:kern w:val="2"/>
          <w:sz w:val="32"/>
          <w:szCs w:val="32"/>
        </w:rPr>
        <w:t>散會</w:t>
      </w:r>
    </w:p>
    <w:p w14:paraId="2533641F"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3F94B07C"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36" w:name="_Toc189487326"/>
      <w:r w:rsidRPr="0008203A">
        <w:rPr>
          <w:rFonts w:ascii="標楷體" w:eastAsia="標楷體" w:hAnsi="標楷體"/>
          <w:b/>
          <w:spacing w:val="-20"/>
          <w:sz w:val="32"/>
          <w:szCs w:val="32"/>
        </w:rPr>
        <w:lastRenderedPageBreak/>
        <w:t>立法院第</w:t>
      </w:r>
      <w:r w:rsidRPr="0008203A">
        <w:rPr>
          <w:rFonts w:ascii="標楷體" w:eastAsia="標楷體" w:hAnsi="標楷體" w:hint="eastAsia"/>
          <w:b/>
          <w:spacing w:val="-20"/>
          <w:sz w:val="32"/>
          <w:szCs w:val="32"/>
        </w:rPr>
        <w:t>11</w:t>
      </w:r>
      <w:r w:rsidRPr="0008203A">
        <w:rPr>
          <w:rFonts w:ascii="標楷體" w:eastAsia="標楷體" w:hAnsi="標楷體"/>
          <w:b/>
          <w:spacing w:val="-20"/>
          <w:sz w:val="32"/>
          <w:szCs w:val="32"/>
        </w:rPr>
        <w:t>屆第</w:t>
      </w:r>
      <w:r w:rsidRPr="0008203A">
        <w:rPr>
          <w:rFonts w:ascii="標楷體" w:eastAsia="標楷體" w:hAnsi="標楷體" w:hint="eastAsia"/>
          <w:b/>
          <w:spacing w:val="-20"/>
          <w:sz w:val="32"/>
          <w:szCs w:val="32"/>
        </w:rPr>
        <w:t>2</w:t>
      </w:r>
      <w:r w:rsidRPr="0008203A">
        <w:rPr>
          <w:rFonts w:ascii="標楷體" w:eastAsia="標楷體" w:hAnsi="標楷體"/>
          <w:b/>
          <w:spacing w:val="-20"/>
          <w:sz w:val="32"/>
          <w:szCs w:val="32"/>
        </w:rPr>
        <w:t>會期財政委員會第</w:t>
      </w:r>
      <w:r w:rsidRPr="0008203A">
        <w:rPr>
          <w:rFonts w:ascii="標楷體" w:eastAsia="標楷體" w:hAnsi="標楷體" w:hint="eastAsia"/>
          <w:b/>
          <w:spacing w:val="-20"/>
          <w:sz w:val="32"/>
          <w:szCs w:val="32"/>
        </w:rPr>
        <w:t>1</w:t>
      </w:r>
      <w:r w:rsidRPr="0008203A">
        <w:rPr>
          <w:rFonts w:ascii="標楷體" w:eastAsia="標楷體" w:hAnsi="標楷體"/>
          <w:b/>
          <w:spacing w:val="-20"/>
          <w:sz w:val="32"/>
          <w:szCs w:val="32"/>
        </w:rPr>
        <w:t>0次全體委員會議議事錄</w:t>
      </w:r>
      <w:bookmarkEnd w:id="136"/>
    </w:p>
    <w:p w14:paraId="464359DE"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時</w:t>
      </w:r>
      <w:r w:rsidRPr="00C23973">
        <w:rPr>
          <w:rFonts w:ascii="標楷體" w:eastAsia="標楷體" w:hAnsi="標楷體"/>
          <w:spacing w:val="-20"/>
          <w:kern w:val="2"/>
          <w:sz w:val="32"/>
          <w:szCs w:val="32"/>
        </w:rPr>
        <w:t xml:space="preserve">　　</w:t>
      </w:r>
      <w:r w:rsidRPr="00C23973">
        <w:rPr>
          <w:rFonts w:ascii="標楷體" w:eastAsia="標楷體" w:hAnsi="標楷體" w:hint="eastAsia"/>
          <w:spacing w:val="-20"/>
          <w:kern w:val="2"/>
          <w:sz w:val="32"/>
          <w:szCs w:val="32"/>
        </w:rPr>
        <w:t>間</w:t>
      </w:r>
      <w:r w:rsidRPr="00C23973">
        <w:rPr>
          <w:rFonts w:ascii="標楷體" w:eastAsia="標楷體" w:hAnsi="標楷體"/>
          <w:spacing w:val="-20"/>
          <w:kern w:val="2"/>
          <w:sz w:val="32"/>
          <w:szCs w:val="32"/>
        </w:rPr>
        <w:t xml:space="preserve">　中華民國</w:t>
      </w:r>
      <w:r w:rsidRPr="00C23973">
        <w:rPr>
          <w:rFonts w:ascii="標楷體" w:eastAsia="標楷體" w:hAnsi="標楷體" w:hint="eastAsia"/>
          <w:spacing w:val="-20"/>
          <w:kern w:val="2"/>
          <w:sz w:val="32"/>
          <w:szCs w:val="32"/>
        </w:rPr>
        <w:t>113</w:t>
      </w:r>
      <w:r w:rsidRPr="00C23973">
        <w:rPr>
          <w:rFonts w:ascii="標楷體" w:eastAsia="標楷體" w:hAnsi="標楷體"/>
          <w:spacing w:val="-20"/>
          <w:kern w:val="2"/>
          <w:sz w:val="32"/>
          <w:szCs w:val="32"/>
        </w:rPr>
        <w:t>年</w:t>
      </w:r>
      <w:r w:rsidRPr="00C23973">
        <w:rPr>
          <w:rFonts w:ascii="標楷體" w:eastAsia="標楷體" w:hAnsi="標楷體" w:hint="eastAsia"/>
          <w:spacing w:val="-20"/>
          <w:kern w:val="2"/>
          <w:sz w:val="32"/>
          <w:szCs w:val="32"/>
        </w:rPr>
        <w:t>11</w:t>
      </w:r>
      <w:r w:rsidRPr="00C23973">
        <w:rPr>
          <w:rFonts w:ascii="標楷體" w:eastAsia="標楷體" w:hAnsi="標楷體"/>
          <w:spacing w:val="-20"/>
          <w:kern w:val="2"/>
          <w:sz w:val="32"/>
          <w:szCs w:val="32"/>
        </w:rPr>
        <w:t>月</w:t>
      </w:r>
      <w:r w:rsidRPr="00C23973">
        <w:rPr>
          <w:rFonts w:ascii="標楷體" w:eastAsia="標楷體" w:hAnsi="標楷體" w:hint="eastAsia"/>
          <w:spacing w:val="-20"/>
          <w:kern w:val="2"/>
          <w:sz w:val="32"/>
          <w:szCs w:val="32"/>
        </w:rPr>
        <w:t>2</w:t>
      </w:r>
      <w:r w:rsidRPr="00C23973">
        <w:rPr>
          <w:rFonts w:ascii="標楷體" w:eastAsia="標楷體" w:hAnsi="標楷體"/>
          <w:spacing w:val="-20"/>
          <w:kern w:val="2"/>
          <w:sz w:val="32"/>
          <w:szCs w:val="32"/>
        </w:rPr>
        <w:t>5日（星期</w:t>
      </w:r>
      <w:r w:rsidRPr="00C23973">
        <w:rPr>
          <w:rFonts w:ascii="標楷體" w:eastAsia="標楷體" w:hAnsi="標楷體" w:hint="eastAsia"/>
          <w:spacing w:val="-20"/>
          <w:kern w:val="2"/>
          <w:sz w:val="32"/>
          <w:szCs w:val="32"/>
        </w:rPr>
        <w:t>一</w:t>
      </w:r>
      <w:r w:rsidRPr="00C23973">
        <w:rPr>
          <w:rFonts w:ascii="標楷體" w:eastAsia="標楷體" w:hAnsi="標楷體"/>
          <w:spacing w:val="-20"/>
          <w:kern w:val="2"/>
          <w:sz w:val="32"/>
          <w:szCs w:val="32"/>
        </w:rPr>
        <w:t>）9時至12時</w:t>
      </w:r>
      <w:r w:rsidRPr="00C23973">
        <w:rPr>
          <w:rFonts w:ascii="標楷體" w:eastAsia="標楷體" w:hAnsi="標楷體" w:hint="eastAsia"/>
          <w:spacing w:val="-20"/>
          <w:kern w:val="2"/>
          <w:sz w:val="32"/>
          <w:szCs w:val="32"/>
        </w:rPr>
        <w:t>57</w:t>
      </w:r>
      <w:r w:rsidRPr="00C23973">
        <w:rPr>
          <w:rFonts w:ascii="標楷體" w:eastAsia="標楷體" w:hAnsi="標楷體"/>
          <w:spacing w:val="-20"/>
          <w:kern w:val="2"/>
          <w:sz w:val="32"/>
          <w:szCs w:val="32"/>
        </w:rPr>
        <w:t>分</w:t>
      </w:r>
    </w:p>
    <w:p w14:paraId="20DB64CE"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C23973">
        <w:rPr>
          <w:rFonts w:ascii="標楷體" w:eastAsia="標楷體" w:hAnsi="標楷體"/>
          <w:spacing w:val="-20"/>
          <w:kern w:val="2"/>
          <w:sz w:val="32"/>
          <w:szCs w:val="32"/>
        </w:rPr>
        <w:t>中華民國</w:t>
      </w:r>
      <w:r w:rsidRPr="00C23973">
        <w:rPr>
          <w:rFonts w:ascii="標楷體" w:eastAsia="標楷體" w:hAnsi="標楷體" w:hint="eastAsia"/>
          <w:spacing w:val="-20"/>
          <w:kern w:val="2"/>
          <w:sz w:val="32"/>
          <w:szCs w:val="32"/>
        </w:rPr>
        <w:t>113</w:t>
      </w:r>
      <w:r w:rsidRPr="00C23973">
        <w:rPr>
          <w:rFonts w:ascii="標楷體" w:eastAsia="標楷體" w:hAnsi="標楷體"/>
          <w:spacing w:val="-20"/>
          <w:kern w:val="2"/>
          <w:sz w:val="32"/>
          <w:szCs w:val="32"/>
        </w:rPr>
        <w:t>年</w:t>
      </w:r>
      <w:r w:rsidRPr="00C23973">
        <w:rPr>
          <w:rFonts w:ascii="標楷體" w:eastAsia="標楷體" w:hAnsi="標楷體" w:hint="eastAsia"/>
          <w:spacing w:val="-20"/>
          <w:kern w:val="2"/>
          <w:sz w:val="32"/>
          <w:szCs w:val="32"/>
        </w:rPr>
        <w:t>11</w:t>
      </w:r>
      <w:r w:rsidRPr="00C23973">
        <w:rPr>
          <w:rFonts w:ascii="標楷體" w:eastAsia="標楷體" w:hAnsi="標楷體"/>
          <w:spacing w:val="-20"/>
          <w:kern w:val="2"/>
          <w:sz w:val="32"/>
          <w:szCs w:val="32"/>
        </w:rPr>
        <w:t>月</w:t>
      </w:r>
      <w:r w:rsidRPr="00C23973">
        <w:rPr>
          <w:rFonts w:ascii="標楷體" w:eastAsia="標楷體" w:hAnsi="標楷體" w:hint="eastAsia"/>
          <w:spacing w:val="-20"/>
          <w:kern w:val="2"/>
          <w:sz w:val="32"/>
          <w:szCs w:val="32"/>
        </w:rPr>
        <w:t>2</w:t>
      </w:r>
      <w:r w:rsidRPr="00C23973">
        <w:rPr>
          <w:rFonts w:ascii="標楷體" w:eastAsia="標楷體" w:hAnsi="標楷體"/>
          <w:spacing w:val="-20"/>
          <w:kern w:val="2"/>
          <w:sz w:val="32"/>
          <w:szCs w:val="32"/>
        </w:rPr>
        <w:t>8日（星期</w:t>
      </w:r>
      <w:r w:rsidRPr="00C23973">
        <w:rPr>
          <w:rFonts w:ascii="標楷體" w:eastAsia="標楷體" w:hAnsi="標楷體" w:hint="eastAsia"/>
          <w:spacing w:val="-20"/>
          <w:kern w:val="2"/>
          <w:sz w:val="32"/>
          <w:szCs w:val="32"/>
        </w:rPr>
        <w:t>四</w:t>
      </w:r>
      <w:r w:rsidRPr="00C23973">
        <w:rPr>
          <w:rFonts w:ascii="標楷體" w:eastAsia="標楷體" w:hAnsi="標楷體"/>
          <w:spacing w:val="-20"/>
          <w:kern w:val="2"/>
          <w:sz w:val="32"/>
          <w:szCs w:val="32"/>
        </w:rPr>
        <w:t>）9時至14時11分</w:t>
      </w:r>
    </w:p>
    <w:p w14:paraId="1BB6ED6F"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spacing w:val="-20"/>
          <w:kern w:val="2"/>
          <w:sz w:val="32"/>
          <w:szCs w:val="32"/>
        </w:rPr>
        <w:t xml:space="preserve">地　　點　</w:t>
      </w:r>
      <w:r w:rsidRPr="00C23973">
        <w:rPr>
          <w:rFonts w:ascii="標楷體" w:eastAsia="標楷體" w:hAnsi="標楷體" w:hint="eastAsia"/>
          <w:spacing w:val="-20"/>
          <w:kern w:val="2"/>
          <w:sz w:val="32"/>
          <w:szCs w:val="32"/>
        </w:rPr>
        <w:t>紅樓101會議室（11月25日）</w:t>
      </w:r>
    </w:p>
    <w:p w14:paraId="53BF7073"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群賢樓9樓大禮堂（11月28日）</w:t>
      </w:r>
    </w:p>
    <w:p w14:paraId="7249BD4C" w14:textId="77777777" w:rsidR="00C23973" w:rsidRPr="00264E99" w:rsidRDefault="009D64D0"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color w:val="000000" w:themeColor="text1"/>
          <w:kern w:val="2"/>
          <w:sz w:val="32"/>
          <w:szCs w:val="32"/>
        </w:rPr>
        <w:t xml:space="preserve">出席委員　</w:t>
      </w:r>
      <w:r w:rsidRPr="00264E99">
        <w:rPr>
          <w:rFonts w:ascii="標楷體" w:eastAsia="標楷體" w:hAnsi="標楷體" w:hint="eastAsia"/>
          <w:color w:val="000000" w:themeColor="text1"/>
          <w:kern w:val="2"/>
          <w:sz w:val="32"/>
          <w:szCs w:val="32"/>
        </w:rPr>
        <w:t>王鴻薇　林德福　伍麗華</w:t>
      </w:r>
      <w:r w:rsidRPr="00264E99">
        <w:rPr>
          <w:rFonts w:ascii="標楷體" w:eastAsia="標楷體" w:hAnsi="標楷體" w:hint="eastAsia"/>
          <w:color w:val="000000" w:themeColor="text1"/>
          <w:spacing w:val="-22"/>
          <w:kern w:val="2"/>
          <w:sz w:val="32"/>
          <w:szCs w:val="32"/>
        </w:rPr>
        <w:t>Saidhai Tahovecahe</w:t>
      </w:r>
      <w:r w:rsidRPr="00264E99">
        <w:rPr>
          <w:rFonts w:ascii="標楷體" w:eastAsia="標楷體" w:hAnsi="標楷體" w:hint="eastAsia"/>
          <w:color w:val="000000" w:themeColor="text1"/>
          <w:kern w:val="2"/>
          <w:sz w:val="32"/>
          <w:szCs w:val="32"/>
        </w:rPr>
        <w:t xml:space="preserve">　吳秉叡　</w:t>
      </w:r>
    </w:p>
    <w:p w14:paraId="11EFFE6E" w14:textId="77777777" w:rsidR="00C23973" w:rsidRPr="00264E99" w:rsidRDefault="00C23973"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color w:val="000000" w:themeColor="text1"/>
          <w:kern w:val="2"/>
          <w:sz w:val="32"/>
          <w:szCs w:val="32"/>
        </w:rPr>
        <w:t xml:space="preserve">　　　　　</w:t>
      </w:r>
      <w:r w:rsidR="009D64D0" w:rsidRPr="00264E99">
        <w:rPr>
          <w:rFonts w:ascii="標楷體" w:eastAsia="標楷體" w:hAnsi="標楷體" w:hint="eastAsia"/>
          <w:color w:val="000000" w:themeColor="text1"/>
          <w:kern w:val="2"/>
          <w:sz w:val="32"/>
          <w:szCs w:val="32"/>
        </w:rPr>
        <w:t xml:space="preserve">賴惠員　賴士葆　黃珊珊　羅明才　王世堅　陳玉珍　</w:t>
      </w:r>
    </w:p>
    <w:p w14:paraId="3F007224" w14:textId="77777777" w:rsidR="009D64D0" w:rsidRPr="00264E99" w:rsidRDefault="00C23973"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color w:val="000000" w:themeColor="text1"/>
          <w:kern w:val="2"/>
          <w:sz w:val="32"/>
          <w:szCs w:val="32"/>
        </w:rPr>
        <w:t xml:space="preserve">　　　　　</w:t>
      </w:r>
      <w:r w:rsidR="009D64D0" w:rsidRPr="00264E99">
        <w:rPr>
          <w:rFonts w:ascii="標楷體" w:eastAsia="標楷體" w:hAnsi="標楷體" w:hint="eastAsia"/>
          <w:color w:val="000000" w:themeColor="text1"/>
          <w:kern w:val="2"/>
          <w:sz w:val="32"/>
          <w:szCs w:val="32"/>
        </w:rPr>
        <w:t>郭國文　李坤城　顏寬恒　李彥秀</w:t>
      </w:r>
    </w:p>
    <w:p w14:paraId="0F27A10E" w14:textId="77777777" w:rsidR="009D64D0" w:rsidRPr="00264E99" w:rsidRDefault="00C23973"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b/>
          <w:color w:val="000000" w:themeColor="text1"/>
          <w:kern w:val="2"/>
          <w:sz w:val="32"/>
          <w:szCs w:val="32"/>
        </w:rPr>
      </w:pPr>
      <w:r w:rsidRPr="00264E99">
        <w:rPr>
          <w:rFonts w:ascii="標楷體" w:eastAsia="標楷體" w:hAnsi="標楷體"/>
          <w:color w:val="000000" w:themeColor="text1"/>
          <w:kern w:val="2"/>
          <w:sz w:val="32"/>
          <w:szCs w:val="32"/>
        </w:rPr>
        <w:t xml:space="preserve">　　　　　</w:t>
      </w:r>
      <w:r w:rsidR="009D64D0" w:rsidRPr="00264E99">
        <w:rPr>
          <w:rFonts w:ascii="標楷體" w:eastAsia="標楷體" w:hAnsi="標楷體"/>
          <w:b/>
          <w:color w:val="000000" w:themeColor="text1"/>
          <w:kern w:val="2"/>
          <w:sz w:val="32"/>
          <w:szCs w:val="32"/>
        </w:rPr>
        <w:t>委員出席14人</w:t>
      </w:r>
    </w:p>
    <w:p w14:paraId="7E5A3E9E" w14:textId="77777777" w:rsidR="00C23973" w:rsidRPr="00264E99" w:rsidRDefault="009D64D0"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color w:val="000000" w:themeColor="text1"/>
          <w:kern w:val="2"/>
          <w:sz w:val="32"/>
          <w:szCs w:val="32"/>
        </w:rPr>
        <w:t xml:space="preserve">列席委員　</w:t>
      </w:r>
      <w:r w:rsidRPr="00264E99">
        <w:rPr>
          <w:rFonts w:ascii="標楷體" w:eastAsia="標楷體" w:hAnsi="標楷體" w:hint="eastAsia"/>
          <w:color w:val="000000" w:themeColor="text1"/>
          <w:kern w:val="2"/>
          <w:sz w:val="32"/>
          <w:szCs w:val="32"/>
        </w:rPr>
        <w:t xml:space="preserve">鄭正鈐　葛如鈞　洪孟楷　葉元之　陳菁徽　黃國昌　</w:t>
      </w:r>
    </w:p>
    <w:p w14:paraId="67213DDD" w14:textId="726C25A8" w:rsidR="00C23973" w:rsidRPr="00264E99" w:rsidRDefault="00C23973"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color w:val="000000" w:themeColor="text1"/>
          <w:kern w:val="2"/>
          <w:sz w:val="32"/>
          <w:szCs w:val="32"/>
        </w:rPr>
        <w:t xml:space="preserve">　　　　　</w:t>
      </w:r>
      <w:r w:rsidR="009D64D0" w:rsidRPr="00264E99">
        <w:rPr>
          <w:rFonts w:ascii="標楷體" w:eastAsia="標楷體" w:hAnsi="標楷體" w:hint="eastAsia"/>
          <w:color w:val="000000" w:themeColor="text1"/>
          <w:kern w:val="2"/>
          <w:sz w:val="32"/>
          <w:szCs w:val="32"/>
        </w:rPr>
        <w:t>陳培瑜　楊瓊瓔　鄭天財</w:t>
      </w:r>
      <w:r w:rsidR="009D64D0" w:rsidRPr="00264E99">
        <w:rPr>
          <w:rFonts w:ascii="標楷體" w:eastAsia="標楷體" w:hAnsi="標楷體"/>
          <w:color w:val="000000" w:themeColor="text1"/>
          <w:spacing w:val="-26"/>
          <w:kern w:val="2"/>
          <w:sz w:val="32"/>
          <w:szCs w:val="32"/>
        </w:rPr>
        <w:t>Sra Kacaw</w:t>
      </w:r>
      <w:r w:rsidR="009D64D0" w:rsidRPr="00264E99">
        <w:rPr>
          <w:rFonts w:ascii="標楷體" w:eastAsia="標楷體" w:hAnsi="標楷體" w:hint="eastAsia"/>
          <w:color w:val="000000" w:themeColor="text1"/>
          <w:kern w:val="2"/>
          <w:sz w:val="32"/>
          <w:szCs w:val="32"/>
        </w:rPr>
        <w:t xml:space="preserve">　謝龍介　蘇清泉</w:t>
      </w:r>
      <w:r w:rsidR="00264E99" w:rsidRPr="00264E99">
        <w:rPr>
          <w:rFonts w:ascii="標楷體" w:eastAsia="標楷體" w:hAnsi="標楷體"/>
          <w:color w:val="000000" w:themeColor="text1"/>
          <w:kern w:val="2"/>
          <w:sz w:val="32"/>
          <w:szCs w:val="32"/>
        </w:rPr>
        <w:t xml:space="preserve">　</w:t>
      </w:r>
    </w:p>
    <w:p w14:paraId="014F3AE7" w14:textId="77777777" w:rsidR="009D64D0" w:rsidRPr="00264E99" w:rsidRDefault="00C23973"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color w:val="000000" w:themeColor="text1"/>
          <w:kern w:val="2"/>
          <w:sz w:val="32"/>
          <w:szCs w:val="32"/>
        </w:rPr>
      </w:pPr>
      <w:r w:rsidRPr="00264E99">
        <w:rPr>
          <w:rFonts w:ascii="標楷體" w:eastAsia="標楷體" w:hAnsi="標楷體"/>
          <w:color w:val="000000" w:themeColor="text1"/>
          <w:kern w:val="2"/>
          <w:sz w:val="32"/>
          <w:szCs w:val="32"/>
        </w:rPr>
        <w:t xml:space="preserve">　　　　　</w:t>
      </w:r>
      <w:r w:rsidR="009D64D0" w:rsidRPr="00264E99">
        <w:rPr>
          <w:rFonts w:ascii="標楷體" w:eastAsia="標楷體" w:hAnsi="標楷體" w:hint="eastAsia"/>
          <w:color w:val="000000" w:themeColor="text1"/>
          <w:kern w:val="2"/>
          <w:sz w:val="32"/>
          <w:szCs w:val="32"/>
        </w:rPr>
        <w:t>林楚茵　何欣純</w:t>
      </w:r>
    </w:p>
    <w:p w14:paraId="57936DCF" w14:textId="77777777" w:rsidR="009D64D0" w:rsidRPr="00264E99" w:rsidRDefault="00C23973" w:rsidP="00F470A8">
      <w:pPr>
        <w:widowControl w:val="0"/>
        <w:kinsoku w:val="0"/>
        <w:overflowPunct w:val="0"/>
        <w:autoSpaceDN/>
        <w:adjustRightInd w:val="0"/>
        <w:snapToGrid w:val="0"/>
        <w:spacing w:line="480" w:lineRule="exact"/>
        <w:ind w:left="1600" w:rightChars="-126" w:right="-302" w:hangingChars="500" w:hanging="1600"/>
        <w:textAlignment w:val="auto"/>
        <w:rPr>
          <w:rFonts w:ascii="標楷體" w:eastAsia="標楷體" w:hAnsi="標楷體"/>
          <w:b/>
          <w:color w:val="000000" w:themeColor="text1"/>
          <w:kern w:val="2"/>
          <w:sz w:val="32"/>
          <w:szCs w:val="32"/>
        </w:rPr>
      </w:pPr>
      <w:r w:rsidRPr="00264E99">
        <w:rPr>
          <w:rFonts w:ascii="標楷體" w:eastAsia="標楷體" w:hAnsi="標楷體"/>
          <w:color w:val="000000" w:themeColor="text1"/>
          <w:kern w:val="2"/>
          <w:sz w:val="32"/>
          <w:szCs w:val="32"/>
        </w:rPr>
        <w:t xml:space="preserve">　　　　　</w:t>
      </w:r>
      <w:r w:rsidR="009D64D0" w:rsidRPr="00264E99">
        <w:rPr>
          <w:rFonts w:ascii="標楷體" w:eastAsia="標楷體" w:hAnsi="標楷體"/>
          <w:b/>
          <w:color w:val="000000" w:themeColor="text1"/>
          <w:kern w:val="2"/>
          <w:sz w:val="32"/>
          <w:szCs w:val="32"/>
        </w:rPr>
        <w:t>委員列席13人</w:t>
      </w:r>
    </w:p>
    <w:p w14:paraId="4DE87963"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列席官員　113年11月25日（星期一）</w:t>
      </w:r>
    </w:p>
    <w:p w14:paraId="6A85B270" w14:textId="77777777" w:rsidR="009D64D0" w:rsidRPr="00C73362" w:rsidRDefault="009D64D0"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73362">
        <w:rPr>
          <w:rFonts w:ascii="標楷體" w:eastAsia="標楷體" w:hAnsi="標楷體" w:hint="eastAsia"/>
          <w:sz w:val="32"/>
          <w:szCs w:val="32"/>
        </w:rPr>
        <w:t xml:space="preserve">　　　　</w:t>
      </w:r>
      <w:r w:rsidR="004A0D0A">
        <w:rPr>
          <w:rFonts w:ascii="標楷體" w:eastAsia="標楷體" w:hAnsi="標楷體" w:hint="eastAsia"/>
          <w:sz w:val="32"/>
          <w:szCs w:val="32"/>
        </w:rPr>
        <w:t xml:space="preserve"> </w:t>
      </w:r>
      <w:r w:rsidRPr="00C73362">
        <w:rPr>
          <w:rFonts w:ascii="標楷體" w:eastAsia="標楷體" w:hAnsi="標楷體" w:hint="eastAsia"/>
          <w:b/>
          <w:sz w:val="32"/>
          <w:szCs w:val="32"/>
        </w:rPr>
        <w:t>中央銀行</w:t>
      </w:r>
      <w:r w:rsidRPr="00C73362">
        <w:rPr>
          <w:rFonts w:ascii="標楷體" w:eastAsia="標楷體" w:hAnsi="標楷體" w:hint="eastAsia"/>
          <w:sz w:val="32"/>
          <w:szCs w:val="32"/>
        </w:rPr>
        <w:t xml:space="preserve">　　　　　　　　　　</w:t>
      </w:r>
      <w:r w:rsidR="004A0D0A" w:rsidRPr="00C73362">
        <w:rPr>
          <w:rFonts w:ascii="標楷體" w:eastAsia="標楷體" w:hAnsi="標楷體" w:hint="eastAsia"/>
          <w:sz w:val="32"/>
          <w:szCs w:val="32"/>
        </w:rPr>
        <w:t xml:space="preserve">　</w:t>
      </w:r>
      <w:r w:rsidRPr="00C73362">
        <w:rPr>
          <w:rFonts w:ascii="標楷體" w:eastAsia="標楷體" w:hAnsi="標楷體" w:hint="eastAsia"/>
          <w:sz w:val="32"/>
          <w:szCs w:val="32"/>
        </w:rPr>
        <w:t>總裁　　　　楊金龍</w:t>
      </w:r>
    </w:p>
    <w:p w14:paraId="261B6CF9"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業務局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局長　　　　潘榮耀</w:t>
      </w:r>
    </w:p>
    <w:p w14:paraId="053050B8"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發行局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局長　　　　鄧延達</w:t>
      </w:r>
    </w:p>
    <w:p w14:paraId="29956887"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外匯局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局長　　　　蔡烱民</w:t>
      </w:r>
    </w:p>
    <w:p w14:paraId="63D7DA08"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金融業務檢查處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處長　　　　潘雅慧</w:t>
      </w:r>
    </w:p>
    <w:p w14:paraId="6AD460AF"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經濟研究處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處長　　　　吳懿娟</w:t>
      </w:r>
    </w:p>
    <w:p w14:paraId="708E1C79"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秘書處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處長　　　　梁建菁</w:t>
      </w:r>
    </w:p>
    <w:p w14:paraId="16E73463"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會計處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處長　　　　郭淑蕙</w:t>
      </w:r>
    </w:p>
    <w:p w14:paraId="3ED17921" w14:textId="77777777" w:rsidR="009D64D0" w:rsidRPr="00C23973" w:rsidRDefault="00C73362"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資訊處　　　　　　　　　　</w:t>
      </w:r>
      <w:r w:rsidR="00C23973"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處長　　　　李瑞枔</w:t>
      </w:r>
    </w:p>
    <w:p w14:paraId="0520C58D" w14:textId="77777777" w:rsidR="009D64D0" w:rsidRPr="00C23973" w:rsidRDefault="00C23973"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中央印製廠　　　　　　　　　</w:t>
      </w:r>
      <w:r w:rsidR="00720C76"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總經理　　　林宗模</w:t>
      </w:r>
    </w:p>
    <w:p w14:paraId="55476E8A" w14:textId="77777777" w:rsidR="009D64D0" w:rsidRPr="00C23973" w:rsidRDefault="00C23973" w:rsidP="00F470A8">
      <w:pPr>
        <w:widowControl w:val="0"/>
        <w:tabs>
          <w:tab w:val="left" w:pos="9072"/>
        </w:tabs>
        <w:suppressAutoHyphens/>
        <w:overflowPunct w:val="0"/>
        <w:snapToGrid w:val="0"/>
        <w:spacing w:line="460" w:lineRule="exact"/>
        <w:rPr>
          <w:rFonts w:ascii="標楷體" w:eastAsia="標楷體" w:hAnsi="標楷體"/>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 xml:space="preserve">中央造幣廠　　　　　　　　　</w:t>
      </w:r>
      <w:r w:rsidR="00720C76"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z w:val="32"/>
          <w:szCs w:val="32"/>
        </w:rPr>
        <w:t>廠長　　　　葉牧青</w:t>
      </w:r>
    </w:p>
    <w:p w14:paraId="30688671"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C73362">
        <w:rPr>
          <w:rFonts w:ascii="標楷體" w:eastAsia="標楷體" w:hAnsi="標楷體" w:hint="eastAsia"/>
          <w:b/>
          <w:sz w:val="32"/>
          <w:szCs w:val="32"/>
        </w:rPr>
        <w:t>財政部</w:t>
      </w:r>
      <w:r w:rsidR="00C73362" w:rsidRPr="00C73362">
        <w:rPr>
          <w:rFonts w:ascii="標楷體" w:eastAsia="標楷體" w:hAnsi="標楷體" w:hint="eastAsia"/>
          <w:sz w:val="32"/>
          <w:szCs w:val="32"/>
        </w:rPr>
        <w:t xml:space="preserve">　　　　　　　　　　</w:t>
      </w:r>
      <w:r w:rsidR="00C73362" w:rsidRPr="00C23973">
        <w:rPr>
          <w:rFonts w:ascii="標楷體" w:eastAsia="標楷體" w:hAnsi="標楷體" w:hint="eastAsia"/>
          <w:sz w:val="32"/>
          <w:szCs w:val="32"/>
        </w:rPr>
        <w:t xml:space="preserve">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部長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莊翠雲</w:t>
      </w:r>
    </w:p>
    <w:p w14:paraId="34FA5C84"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綜合規劃司　　　　　　　　</w:t>
      </w:r>
      <w:r w:rsidR="00C23973"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司長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李瓊琳</w:t>
      </w:r>
    </w:p>
    <w:p w14:paraId="03BC0807"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國際財政司　　　　　　　　</w:t>
      </w:r>
      <w:r w:rsidR="00C23973"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司長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丁碧蓮</w:t>
      </w:r>
    </w:p>
    <w:p w14:paraId="5F8CA060"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推動促參司　　　　　　　　</w:t>
      </w:r>
      <w:r w:rsidR="00C23973"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司長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張素珍</w:t>
      </w:r>
    </w:p>
    <w:p w14:paraId="30F166AE"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人事處　　　　　　　　　　</w:t>
      </w:r>
      <w:r w:rsidR="00C23973"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處長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張芳琪</w:t>
      </w:r>
    </w:p>
    <w:p w14:paraId="37FCF8F4"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會計處　　　　　　　　　　</w:t>
      </w:r>
      <w:r w:rsidR="00C23973"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處長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李秋月</w:t>
      </w:r>
    </w:p>
    <w:p w14:paraId="7EE77703"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lastRenderedPageBreak/>
        <w:t xml:space="preserve">　　　　　　統計處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處長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蔡美娜</w:t>
      </w:r>
    </w:p>
    <w:p w14:paraId="10CDAE25"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政風處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副處長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李伯章</w:t>
      </w:r>
    </w:p>
    <w:p w14:paraId="3D9E8541"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法制處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處長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姚　瑩</w:t>
      </w:r>
    </w:p>
    <w:p w14:paraId="056AD0DB"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秘書處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處長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楊金亨</w:t>
      </w:r>
    </w:p>
    <w:p w14:paraId="6DDB048C"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資訊小組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主任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尹致玲</w:t>
      </w:r>
    </w:p>
    <w:p w14:paraId="064A6866"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國庫署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署長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陳柏誠</w:t>
      </w:r>
    </w:p>
    <w:p w14:paraId="6F93B624"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賦稅署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署長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宋秀玲</w:t>
      </w:r>
    </w:p>
    <w:p w14:paraId="10BF7FE9"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關務署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署長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彭英偉</w:t>
      </w:r>
    </w:p>
    <w:p w14:paraId="1D9AD8CD"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國有財產署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署長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曾國基</w:t>
      </w:r>
    </w:p>
    <w:p w14:paraId="587BEB11"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財政資訊中心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主任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張文熙</w:t>
      </w:r>
    </w:p>
    <w:p w14:paraId="24F5C6AA"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財政人員訓練所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所長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許寧佑</w:t>
      </w:r>
    </w:p>
    <w:p w14:paraId="03D33949"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臺北國稅局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局長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吳蓮英</w:t>
      </w:r>
    </w:p>
    <w:p w14:paraId="59494A9C"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高雄國稅局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局長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翁培祐</w:t>
      </w:r>
    </w:p>
    <w:p w14:paraId="6BC01923"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北區國稅局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局長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李怡慧</w:t>
      </w:r>
    </w:p>
    <w:p w14:paraId="43914515"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中區國稅局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局長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樓美鐘</w:t>
      </w:r>
    </w:p>
    <w:p w14:paraId="371409BA"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南區國稅局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局長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李雅晶</w:t>
      </w:r>
    </w:p>
    <w:p w14:paraId="16C5E8E8"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臺灣金融控股股份有限公司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董事長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凌忠嫄</w:t>
      </w:r>
    </w:p>
    <w:p w14:paraId="4184D8EF"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C73362" w:rsidRPr="00C23973">
        <w:rPr>
          <w:rFonts w:ascii="標楷體" w:eastAsia="標楷體" w:hAnsi="標楷體" w:hint="eastAsia"/>
          <w:spacing w:val="-20"/>
          <w:kern w:val="2"/>
          <w:sz w:val="32"/>
          <w:szCs w:val="32"/>
        </w:rPr>
        <w:t xml:space="preserve">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(兼臺灣銀行股份有限公司董事長)</w:t>
      </w:r>
    </w:p>
    <w:p w14:paraId="20831BB2"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C73362"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總經理　　　</w:t>
      </w:r>
      <w:r w:rsidR="00C73362">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施瑪莉</w:t>
      </w:r>
    </w:p>
    <w:p w14:paraId="60CA5175"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臺灣銀行股份有限公司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總經理　　　</w:t>
      </w:r>
      <w:r w:rsidR="0047790A">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吳佳曉</w:t>
      </w:r>
    </w:p>
    <w:p w14:paraId="4CA3CE85"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臺銀人壽保險股份有限公司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董事長　　　</w:t>
      </w:r>
      <w:r w:rsidR="0047790A">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張志宏</w:t>
      </w:r>
    </w:p>
    <w:p w14:paraId="43369610"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總經理　　　</w:t>
      </w:r>
      <w:r w:rsidR="0047790A">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劉啟聖</w:t>
      </w:r>
    </w:p>
    <w:p w14:paraId="2027C42C"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臺銀綜合證券股份有限公司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董事長　　　</w:t>
      </w:r>
      <w:r w:rsidR="0047790A">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許慈美</w:t>
      </w:r>
    </w:p>
    <w:p w14:paraId="309D9617"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代理總經理　</w:t>
      </w:r>
      <w:r w:rsidR="0047790A">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林溫琴</w:t>
      </w:r>
    </w:p>
    <w:p w14:paraId="2893BC7C" w14:textId="6F2F358F"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臺銀綜合保險經紀人股份有限公司</w:t>
      </w:r>
      <w:r w:rsidR="00264E99" w:rsidRPr="00C23973">
        <w:rPr>
          <w:rFonts w:ascii="標楷體" w:eastAsia="標楷體" w:hAnsi="標楷體" w:hint="eastAsia"/>
          <w:spacing w:val="-20"/>
          <w:kern w:val="2"/>
          <w:sz w:val="32"/>
          <w:szCs w:val="32"/>
        </w:rPr>
        <w:t>總經理</w:t>
      </w:r>
      <w:r w:rsidRPr="00C23973">
        <w:rPr>
          <w:rFonts w:ascii="標楷體" w:eastAsia="標楷體" w:hAnsi="標楷體" w:hint="eastAsia"/>
          <w:spacing w:val="-20"/>
          <w:kern w:val="2"/>
          <w:sz w:val="32"/>
          <w:szCs w:val="32"/>
        </w:rPr>
        <w:t xml:space="preserve">　　　</w:t>
      </w:r>
      <w:r w:rsidR="00264E99">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何明堯</w:t>
      </w:r>
    </w:p>
    <w:p w14:paraId="46B2A981"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(代理董事長)</w:t>
      </w:r>
    </w:p>
    <w:p w14:paraId="4F1D8624"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臺灣土地銀行股份有限公司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董事長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何英明</w:t>
      </w:r>
    </w:p>
    <w:p w14:paraId="3AAFE979"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總經理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張志堅</w:t>
      </w:r>
    </w:p>
    <w:p w14:paraId="099C8AFF"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中國輸出入銀行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理事主席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戴燈山</w:t>
      </w:r>
    </w:p>
    <w:p w14:paraId="558D096A"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總經理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謝富華</w:t>
      </w:r>
    </w:p>
    <w:p w14:paraId="1EAF0ADD"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財政部印刷廠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廠長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王國龍</w:t>
      </w:r>
    </w:p>
    <w:p w14:paraId="3C409494"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lastRenderedPageBreak/>
        <w:t xml:space="preserve">　　　　　臺灣菸酒股份有限公司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董事長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湯期安</w:t>
      </w:r>
    </w:p>
    <w:p w14:paraId="1490D8DF"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總經理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賴煥宗</w:t>
      </w:r>
    </w:p>
    <w:p w14:paraId="13DC9418"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732FA8">
        <w:rPr>
          <w:rFonts w:ascii="標楷體" w:eastAsia="標楷體" w:hAnsi="標楷體" w:hint="eastAsia"/>
          <w:b/>
          <w:spacing w:val="-20"/>
          <w:kern w:val="2"/>
          <w:sz w:val="32"/>
          <w:szCs w:val="32"/>
        </w:rPr>
        <w:t>銓敘部</w:t>
      </w:r>
      <w:r w:rsidRPr="00C23973">
        <w:rPr>
          <w:rFonts w:ascii="標楷體" w:eastAsia="標楷體" w:hAnsi="標楷體" w:hint="eastAsia"/>
          <w:spacing w:val="-20"/>
          <w:kern w:val="2"/>
          <w:sz w:val="32"/>
          <w:szCs w:val="32"/>
        </w:rPr>
        <w:t xml:space="preserve">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簡任稽核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蔡斌仕</w:t>
      </w:r>
    </w:p>
    <w:p w14:paraId="102A0F39"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732FA8">
        <w:rPr>
          <w:rFonts w:ascii="標楷體" w:eastAsia="標楷體" w:hAnsi="標楷體" w:hint="eastAsia"/>
          <w:b/>
          <w:spacing w:val="-20"/>
          <w:kern w:val="2"/>
          <w:sz w:val="32"/>
          <w:szCs w:val="32"/>
        </w:rPr>
        <w:t>行政院主計總處</w:t>
      </w:r>
      <w:r w:rsidRPr="00C23973">
        <w:rPr>
          <w:rFonts w:ascii="標楷體" w:eastAsia="標楷體" w:hAnsi="標楷體" w:hint="eastAsia"/>
          <w:spacing w:val="-20"/>
          <w:kern w:val="2"/>
          <w:sz w:val="32"/>
          <w:szCs w:val="32"/>
        </w:rPr>
        <w:t xml:space="preserve">公務預算處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專門委員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李翊柔</w:t>
      </w:r>
    </w:p>
    <w:p w14:paraId="3896C185"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基金預算處　　　　　　　　</w:t>
      </w:r>
      <w:r w:rsidR="0047790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專門委員　　</w:t>
      </w:r>
      <w:r w:rsidR="00732FA8">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吳婉玉</w:t>
      </w:r>
    </w:p>
    <w:p w14:paraId="0A8ACD8E"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113年1</w:t>
      </w:r>
      <w:r w:rsidRPr="00C23973">
        <w:rPr>
          <w:rFonts w:ascii="標楷體" w:eastAsia="標楷體" w:hAnsi="標楷體"/>
          <w:spacing w:val="-20"/>
          <w:kern w:val="2"/>
          <w:sz w:val="32"/>
          <w:szCs w:val="32"/>
        </w:rPr>
        <w:t>1</w:t>
      </w:r>
      <w:r w:rsidRPr="00C23973">
        <w:rPr>
          <w:rFonts w:ascii="標楷體" w:eastAsia="標楷體" w:hAnsi="標楷體" w:hint="eastAsia"/>
          <w:spacing w:val="-20"/>
          <w:kern w:val="2"/>
          <w:sz w:val="32"/>
          <w:szCs w:val="32"/>
        </w:rPr>
        <w:t>月</w:t>
      </w:r>
      <w:r w:rsidRPr="00C23973">
        <w:rPr>
          <w:rFonts w:ascii="標楷體" w:eastAsia="標楷體" w:hAnsi="標楷體"/>
          <w:spacing w:val="-20"/>
          <w:kern w:val="2"/>
          <w:sz w:val="32"/>
          <w:szCs w:val="32"/>
        </w:rPr>
        <w:t>28</w:t>
      </w:r>
      <w:r w:rsidRPr="00C23973">
        <w:rPr>
          <w:rFonts w:ascii="標楷體" w:eastAsia="標楷體" w:hAnsi="標楷體" w:hint="eastAsia"/>
          <w:spacing w:val="-20"/>
          <w:kern w:val="2"/>
          <w:sz w:val="32"/>
          <w:szCs w:val="32"/>
        </w:rPr>
        <w:t>日（星期四）</w:t>
      </w:r>
    </w:p>
    <w:p w14:paraId="09FC89F2"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732FA8">
        <w:rPr>
          <w:rFonts w:ascii="標楷體" w:eastAsia="標楷體" w:hAnsi="標楷體" w:hint="eastAsia"/>
          <w:b/>
          <w:spacing w:val="-20"/>
          <w:kern w:val="2"/>
          <w:sz w:val="32"/>
          <w:szCs w:val="32"/>
        </w:rPr>
        <w:t>行政院</w:t>
      </w:r>
      <w:r w:rsidRPr="00C23973">
        <w:rPr>
          <w:rFonts w:ascii="標楷體" w:eastAsia="標楷體" w:hAnsi="標楷體" w:hint="eastAsia"/>
          <w:spacing w:val="-20"/>
          <w:kern w:val="2"/>
          <w:sz w:val="32"/>
          <w:szCs w:val="32"/>
        </w:rPr>
        <w:t xml:space="preserve">　　　　　　　　　　　</w:t>
      </w:r>
      <w:r w:rsidR="00411205" w:rsidRPr="00C23973">
        <w:rPr>
          <w:rFonts w:ascii="標楷體" w:eastAsia="標楷體" w:hAnsi="標楷體" w:hint="eastAsia"/>
          <w:spacing w:val="-20"/>
          <w:kern w:val="2"/>
          <w:sz w:val="32"/>
          <w:szCs w:val="32"/>
        </w:rPr>
        <w:t xml:space="preserve">　　</w:t>
      </w:r>
      <w:r w:rsidRPr="00411205">
        <w:rPr>
          <w:rFonts w:ascii="標楷體" w:eastAsia="標楷體" w:hAnsi="標楷體" w:hint="eastAsia"/>
          <w:spacing w:val="-30"/>
          <w:kern w:val="16"/>
          <w:sz w:val="32"/>
          <w:szCs w:val="32"/>
        </w:rPr>
        <w:t>常務副秘書長</w:t>
      </w:r>
      <w:r w:rsidR="00411205">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李國興</w:t>
      </w:r>
    </w:p>
    <w:p w14:paraId="3844B5B9" w14:textId="77777777" w:rsidR="009D64D0" w:rsidRPr="00C23973" w:rsidRDefault="00411205"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（秘書長龔明鑫請假）</w:t>
      </w:r>
    </w:p>
    <w:p w14:paraId="3EFC4583" w14:textId="77777777"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264E99">
        <w:rPr>
          <w:rFonts w:ascii="標楷體" w:eastAsia="標楷體" w:hAnsi="標楷體" w:hint="eastAsia"/>
          <w:b/>
          <w:spacing w:val="-20"/>
          <w:kern w:val="2"/>
          <w:sz w:val="32"/>
          <w:szCs w:val="32"/>
        </w:rPr>
        <w:t>行政院主計總處</w:t>
      </w:r>
      <w:r w:rsidR="009D64D0"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主計長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陳淑姿</w:t>
      </w:r>
    </w:p>
    <w:p w14:paraId="6F037B1E" w14:textId="77777777"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主任秘書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許雅玲</w:t>
      </w:r>
    </w:p>
    <w:p w14:paraId="73972781" w14:textId="77777777"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綜合規劃處　　　　　　　　</w:t>
      </w: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李奕君</w:t>
      </w:r>
    </w:p>
    <w:p w14:paraId="08D37894" w14:textId="77777777"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公務預算處　　　　　　　　</w:t>
      </w: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許永議</w:t>
      </w:r>
    </w:p>
    <w:p w14:paraId="33C56ADB" w14:textId="359847C3"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基金預算處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黃叔娟</w:t>
      </w:r>
    </w:p>
    <w:p w14:paraId="37A12A07" w14:textId="11702429"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會計決算處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許一娟</w:t>
      </w:r>
    </w:p>
    <w:p w14:paraId="3CD6198C" w14:textId="03CAB6C7"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綜合統計處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蔡鈺泰</w:t>
      </w:r>
    </w:p>
    <w:p w14:paraId="7C9EE2E0" w14:textId="48618182"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國勢普查處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潘寧馨</w:t>
      </w:r>
    </w:p>
    <w:p w14:paraId="7672B577" w14:textId="73F44319"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主計資訊處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吳淑慧</w:t>
      </w:r>
    </w:p>
    <w:p w14:paraId="29A88D71" w14:textId="0BAF5F64"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人事處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許文壽</w:t>
      </w:r>
    </w:p>
    <w:p w14:paraId="42470197" w14:textId="57331E2B"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秘書室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楊滿娥</w:t>
      </w:r>
    </w:p>
    <w:p w14:paraId="3914DA05" w14:textId="1C705F39"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政風室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陳美倫</w:t>
      </w:r>
    </w:p>
    <w:p w14:paraId="6FFCB553" w14:textId="2DE2436A" w:rsidR="009D64D0" w:rsidRPr="00C23973" w:rsidRDefault="00185822"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主計室　　　　　　　　　　</w:t>
      </w:r>
      <w:r w:rsidR="00264E99"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詹媖珺</w:t>
      </w:r>
    </w:p>
    <w:p w14:paraId="4CC5243E" w14:textId="606CAA7E"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264E99">
        <w:rPr>
          <w:rFonts w:ascii="標楷體" w:eastAsia="標楷體" w:hAnsi="標楷體" w:hint="eastAsia"/>
          <w:b/>
          <w:spacing w:val="-20"/>
          <w:kern w:val="2"/>
          <w:sz w:val="32"/>
          <w:szCs w:val="32"/>
        </w:rPr>
        <w:t>審計部</w:t>
      </w:r>
      <w:r w:rsidRPr="00C23973">
        <w:rPr>
          <w:rFonts w:ascii="標楷體" w:eastAsia="標楷體" w:hAnsi="標楷體" w:hint="eastAsia"/>
          <w:spacing w:val="-20"/>
          <w:kern w:val="2"/>
          <w:sz w:val="32"/>
          <w:szCs w:val="32"/>
        </w:rPr>
        <w:t xml:space="preserve">　　　　　　　　　　　</w:t>
      </w:r>
      <w:r w:rsidR="00264E99"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審計長　</w:t>
      </w:r>
      <w:r w:rsidR="008F6A33" w:rsidRPr="00C23973">
        <w:rPr>
          <w:rFonts w:ascii="標楷體" w:eastAsia="標楷體" w:hAnsi="標楷體" w:hint="eastAsia"/>
          <w:spacing w:val="-20"/>
          <w:kern w:val="2"/>
          <w:sz w:val="32"/>
          <w:szCs w:val="32"/>
        </w:rPr>
        <w:t xml:space="preserve">　　</w:t>
      </w:r>
      <w:r w:rsidR="008F6A3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陳瑞敏</w:t>
      </w:r>
    </w:p>
    <w:p w14:paraId="420C385D" w14:textId="26390F89"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副審計長</w:t>
      </w:r>
      <w:r w:rsidRPr="00C23973">
        <w:rPr>
          <w:rFonts w:ascii="標楷體" w:eastAsia="標楷體" w:hAnsi="標楷體" w:hint="eastAsia"/>
          <w:spacing w:val="-20"/>
          <w:kern w:val="2"/>
          <w:sz w:val="32"/>
          <w:szCs w:val="32"/>
        </w:rPr>
        <w:t xml:space="preserve">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李順保</w:t>
      </w:r>
    </w:p>
    <w:p w14:paraId="69DB1974" w14:textId="56EF196E"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主任秘書</w:t>
      </w:r>
      <w:r w:rsidRPr="00C23973">
        <w:rPr>
          <w:rFonts w:ascii="標楷體" w:eastAsia="標楷體" w:hAnsi="標楷體" w:hint="eastAsia"/>
          <w:spacing w:val="-20"/>
          <w:kern w:val="2"/>
          <w:sz w:val="32"/>
          <w:szCs w:val="32"/>
        </w:rPr>
        <w:t xml:space="preserve">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詹美玲</w:t>
      </w:r>
    </w:p>
    <w:p w14:paraId="156C76E5" w14:textId="230EA489"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第一廳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副廳長　</w:t>
      </w:r>
      <w:r w:rsidRPr="00C23973">
        <w:rPr>
          <w:rFonts w:ascii="標楷體" w:eastAsia="標楷體" w:hAnsi="標楷體" w:hint="eastAsia"/>
          <w:spacing w:val="-20"/>
          <w:kern w:val="2"/>
          <w:sz w:val="32"/>
          <w:szCs w:val="32"/>
        </w:rPr>
        <w:t xml:space="preserve">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陳建仲</w:t>
      </w:r>
    </w:p>
    <w:p w14:paraId="7D19FD6A" w14:textId="77777777"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 xml:space="preserve">　　</w:t>
      </w:r>
      <w:r>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（廳長林汝玲請假）</w:t>
      </w:r>
    </w:p>
    <w:p w14:paraId="691BBD9F" w14:textId="017B8E49"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第二廳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廳長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陳正鏞</w:t>
      </w:r>
    </w:p>
    <w:p w14:paraId="68466F2D" w14:textId="7B745242"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第三廳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廳長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周琼怡</w:t>
      </w:r>
    </w:p>
    <w:p w14:paraId="7123F932" w14:textId="023D565E"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第四廳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廳長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洪春熹</w:t>
      </w:r>
    </w:p>
    <w:p w14:paraId="0C1BE9EE" w14:textId="6676B9D6"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第五廳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廳長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林建志</w:t>
      </w:r>
    </w:p>
    <w:p w14:paraId="25E9FF31" w14:textId="020F41C5"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第六廳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廳長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葉盈池</w:t>
      </w:r>
    </w:p>
    <w:p w14:paraId="1CEFC954" w14:textId="7743AB9A"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lastRenderedPageBreak/>
        <w:t xml:space="preserve">　　　　　</w:t>
      </w:r>
      <w:r w:rsidR="009D64D0" w:rsidRPr="00C23973">
        <w:rPr>
          <w:rFonts w:ascii="標楷體" w:eastAsia="標楷體" w:hAnsi="標楷體" w:hint="eastAsia"/>
          <w:spacing w:val="-20"/>
          <w:kern w:val="2"/>
          <w:sz w:val="32"/>
          <w:szCs w:val="32"/>
        </w:rPr>
        <w:t xml:space="preserve">　覆審室　　　　　　　　　　</w:t>
      </w:r>
      <w:r w:rsidR="00A24C30"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王挺龍</w:t>
      </w:r>
    </w:p>
    <w:p w14:paraId="360B5CC7" w14:textId="59DABF27"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審計業務研究委員會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執行秘書</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溫忠元</w:t>
      </w:r>
    </w:p>
    <w:p w14:paraId="6CF32026" w14:textId="02AC8AF5"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審計人員訓練委員會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執行秘書</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張玫玉</w:t>
      </w:r>
    </w:p>
    <w:p w14:paraId="4625342F" w14:textId="1F428890"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關鍵審計議題發展委員會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執行秘書</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林勝賢</w:t>
      </w:r>
    </w:p>
    <w:p w14:paraId="1C4FDBF3" w14:textId="2F2D8677"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資訊處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邱團寶</w:t>
      </w:r>
    </w:p>
    <w:p w14:paraId="3EB5A9D5" w14:textId="4EE89317"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總務處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蕭瑞泳</w:t>
      </w:r>
    </w:p>
    <w:p w14:paraId="5A411ED4" w14:textId="144F191C"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人事室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黃炳煌</w:t>
      </w:r>
    </w:p>
    <w:p w14:paraId="0F488BAD" w14:textId="44984C7D"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會計室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王雪齡</w:t>
      </w:r>
    </w:p>
    <w:p w14:paraId="6D232B76" w14:textId="01C1CC7A"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政風室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倪福華</w:t>
      </w:r>
    </w:p>
    <w:p w14:paraId="79472FDF" w14:textId="6318404F"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教育農林審計處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李香美</w:t>
      </w:r>
    </w:p>
    <w:p w14:paraId="3B046E54" w14:textId="61A8B3F9"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交通建設審計處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李奕勳</w:t>
      </w:r>
    </w:p>
    <w:p w14:paraId="34097125" w14:textId="7B154357"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臺北市審計處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張志乾</w:t>
      </w:r>
    </w:p>
    <w:p w14:paraId="6946701B" w14:textId="691D185C"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新北市審計處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張錫朧</w:t>
      </w:r>
    </w:p>
    <w:p w14:paraId="4E47A994" w14:textId="0CC2EEDE"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桃園市審計處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張漢卿</w:t>
      </w:r>
    </w:p>
    <w:p w14:paraId="2E417094" w14:textId="11F7137E"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臺中市審計處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吳錦祥</w:t>
      </w:r>
    </w:p>
    <w:p w14:paraId="1F88A121" w14:textId="376AB791"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臺南市審計處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陳三民</w:t>
      </w:r>
    </w:p>
    <w:p w14:paraId="579A2DC7" w14:textId="4A353B1D"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高雄市審計處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處長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林建成</w:t>
      </w:r>
    </w:p>
    <w:p w14:paraId="50DB0D60" w14:textId="6729BE52"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基隆市審計室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朱韻雯</w:t>
      </w:r>
    </w:p>
    <w:p w14:paraId="7E9CECCB" w14:textId="5E286307"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宜蘭縣審計室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陸冠聖</w:t>
      </w:r>
    </w:p>
    <w:p w14:paraId="65352E8A" w14:textId="09EB2D6D"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新竹縣審計室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黃美蘭</w:t>
      </w:r>
    </w:p>
    <w:p w14:paraId="44475BA5" w14:textId="43F5F210"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新竹市審計室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8E785F" w:rsidRPr="00C23973">
        <w:rPr>
          <w:rFonts w:ascii="標楷體" w:eastAsia="標楷體" w:hAnsi="標楷體" w:hint="eastAsia"/>
          <w:spacing w:val="-20"/>
          <w:kern w:val="2"/>
          <w:sz w:val="32"/>
          <w:szCs w:val="32"/>
        </w:rPr>
        <w:t xml:space="preserve">　　</w:t>
      </w:r>
      <w:r w:rsidR="008E785F">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劉玉珠</w:t>
      </w:r>
    </w:p>
    <w:p w14:paraId="009397EC" w14:textId="14125198"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苗栗縣審計室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郭麗玲</w:t>
      </w:r>
    </w:p>
    <w:p w14:paraId="3937D715" w14:textId="37839A13"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彰化縣審計室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謝淑芬</w:t>
      </w:r>
    </w:p>
    <w:p w14:paraId="2E4309C3" w14:textId="4FB13D0E"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南投縣審計室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楊美冠</w:t>
      </w:r>
    </w:p>
    <w:p w14:paraId="5CDA4791" w14:textId="1204DD16"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雲林縣審計室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王文助</w:t>
      </w:r>
    </w:p>
    <w:p w14:paraId="3CF87BB0" w14:textId="72B9D25C"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嘉義縣審計室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spacing w:val="-20"/>
          <w:kern w:val="2"/>
          <w:sz w:val="32"/>
          <w:szCs w:val="32"/>
        </w:rPr>
        <w:t>陳幸惠</w:t>
      </w:r>
    </w:p>
    <w:p w14:paraId="23ADEC00" w14:textId="689E3745"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嘉義市審計室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魏識如</w:t>
      </w:r>
    </w:p>
    <w:p w14:paraId="62438667" w14:textId="00B35FDE"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屏東縣審計室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李雪梅</w:t>
      </w:r>
    </w:p>
    <w:p w14:paraId="5388056B" w14:textId="66592E32"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花蓮縣審計室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劉莉玲</w:t>
      </w:r>
    </w:p>
    <w:p w14:paraId="2444B835" w14:textId="6849F99F"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臺東縣審計室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邱燦興</w:t>
      </w:r>
    </w:p>
    <w:p w14:paraId="7B5B9707" w14:textId="0B6F1315"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澎湖縣審計室　　　　　　　</w:t>
      </w:r>
      <w:r w:rsidR="00D22EDD"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主任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莊淑美</w:t>
      </w:r>
    </w:p>
    <w:p w14:paraId="03BDD637" w14:textId="678C3E9E"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lastRenderedPageBreak/>
        <w:t xml:space="preserve">　　　　　</w:t>
      </w:r>
      <w:r w:rsidR="009D64D0" w:rsidRPr="00C23973">
        <w:rPr>
          <w:rFonts w:ascii="標楷體" w:eastAsia="標楷體" w:hAnsi="標楷體" w:hint="eastAsia"/>
          <w:spacing w:val="-20"/>
          <w:kern w:val="2"/>
          <w:sz w:val="32"/>
          <w:szCs w:val="32"/>
        </w:rPr>
        <w:t xml:space="preserve">　金門縣審計室　　　　　　　　　</w:t>
      </w:r>
      <w:r w:rsidR="00D22EDD" w:rsidRPr="00C23973">
        <w:rPr>
          <w:rFonts w:ascii="標楷體" w:eastAsia="標楷體" w:hAnsi="標楷體" w:hint="eastAsia"/>
          <w:spacing w:val="-20"/>
          <w:kern w:val="2"/>
          <w:sz w:val="32"/>
          <w:szCs w:val="32"/>
        </w:rPr>
        <w:t>主任</w:t>
      </w:r>
      <w:r w:rsidR="009D64D0" w:rsidRPr="00C23973">
        <w:rPr>
          <w:rFonts w:ascii="標楷體" w:eastAsia="標楷體" w:hAnsi="標楷體" w:hint="eastAsia"/>
          <w:spacing w:val="-20"/>
          <w:kern w:val="2"/>
          <w:sz w:val="32"/>
          <w:szCs w:val="32"/>
        </w:rPr>
        <w:t xml:space="preserve">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楊大陽</w:t>
      </w:r>
    </w:p>
    <w:p w14:paraId="24CFBA66" w14:textId="2B7823F2"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D22EDD">
        <w:rPr>
          <w:rFonts w:ascii="標楷體" w:eastAsia="標楷體" w:hAnsi="標楷體" w:hint="eastAsia"/>
          <w:b/>
          <w:spacing w:val="-20"/>
          <w:kern w:val="2"/>
          <w:sz w:val="32"/>
          <w:szCs w:val="32"/>
        </w:rPr>
        <w:t>財政部</w:t>
      </w:r>
      <w:r w:rsidRPr="00C23973">
        <w:rPr>
          <w:rFonts w:ascii="標楷體" w:eastAsia="標楷體" w:hAnsi="標楷體" w:hint="eastAsia"/>
          <w:spacing w:val="-20"/>
          <w:kern w:val="2"/>
          <w:sz w:val="32"/>
          <w:szCs w:val="32"/>
        </w:rPr>
        <w:t>國庫署</w:t>
      </w:r>
      <w:r w:rsidRPr="00C23973">
        <w:rPr>
          <w:rFonts w:ascii="標楷體" w:eastAsia="標楷體" w:hAnsi="標楷體"/>
          <w:spacing w:val="-20"/>
          <w:kern w:val="2"/>
          <w:sz w:val="32"/>
          <w:szCs w:val="32"/>
        </w:rPr>
        <w:t xml:space="preserve">　　　　　　　　　</w:t>
      </w:r>
      <w:r w:rsidRPr="00C23973">
        <w:rPr>
          <w:rFonts w:ascii="標楷體" w:eastAsia="標楷體" w:hAnsi="標楷體" w:hint="eastAsia"/>
          <w:spacing w:val="-20"/>
          <w:kern w:val="2"/>
          <w:sz w:val="32"/>
          <w:szCs w:val="32"/>
        </w:rPr>
        <w:t xml:space="preserve">　</w:t>
      </w:r>
      <w:r w:rsidR="00D22EDD" w:rsidRPr="00C23973">
        <w:rPr>
          <w:rFonts w:ascii="標楷體" w:eastAsia="標楷體" w:hAnsi="標楷體" w:hint="eastAsia"/>
          <w:spacing w:val="-20"/>
          <w:kern w:val="2"/>
          <w:sz w:val="32"/>
          <w:szCs w:val="32"/>
        </w:rPr>
        <w:t>署長</w:t>
      </w:r>
      <w:r w:rsidRPr="00C23973">
        <w:rPr>
          <w:rFonts w:ascii="標楷體" w:eastAsia="標楷體" w:hAnsi="標楷體" w:hint="eastAsia"/>
          <w:spacing w:val="-20"/>
          <w:kern w:val="2"/>
          <w:sz w:val="32"/>
          <w:szCs w:val="32"/>
        </w:rPr>
        <w:t xml:space="preserve">　　</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陳柏誠</w:t>
      </w:r>
    </w:p>
    <w:p w14:paraId="502E9A4B" w14:textId="43778F44"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Pr="00C23973">
        <w:rPr>
          <w:rFonts w:ascii="標楷體" w:eastAsia="標楷體" w:hAnsi="標楷體"/>
          <w:spacing w:val="-20"/>
          <w:kern w:val="2"/>
          <w:sz w:val="32"/>
          <w:szCs w:val="32"/>
        </w:rPr>
        <w:t xml:space="preserve">　　　　　　　　　　　　　　</w:t>
      </w:r>
      <w:r w:rsidR="00FB7FB7" w:rsidRPr="00C23973">
        <w:rPr>
          <w:rFonts w:ascii="標楷體" w:eastAsia="標楷體" w:hAnsi="標楷體" w:hint="eastAsia"/>
          <w:spacing w:val="-20"/>
          <w:kern w:val="2"/>
          <w:sz w:val="32"/>
          <w:szCs w:val="32"/>
        </w:rPr>
        <w:t xml:space="preserve">　　</w:t>
      </w:r>
      <w:r w:rsidR="00F355FA" w:rsidRPr="00C23973">
        <w:rPr>
          <w:rFonts w:ascii="標楷體" w:eastAsia="標楷體" w:hAnsi="標楷體" w:hint="eastAsia"/>
          <w:spacing w:val="-20"/>
          <w:kern w:val="2"/>
          <w:sz w:val="32"/>
          <w:szCs w:val="32"/>
        </w:rPr>
        <w:t xml:space="preserve">　</w:t>
      </w:r>
      <w:r w:rsidRPr="00C23973">
        <w:rPr>
          <w:rFonts w:ascii="標楷體" w:eastAsia="標楷體" w:hAnsi="標楷體" w:hint="eastAsia"/>
          <w:spacing w:val="-20"/>
          <w:kern w:val="2"/>
          <w:sz w:val="32"/>
          <w:szCs w:val="32"/>
        </w:rPr>
        <w:t>（部長莊翠雲請假）</w:t>
      </w:r>
    </w:p>
    <w:p w14:paraId="26E214C7" w14:textId="13FD54E7"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D22EDD">
        <w:rPr>
          <w:rFonts w:ascii="標楷體" w:eastAsia="標楷體" w:hAnsi="標楷體" w:hint="eastAsia"/>
          <w:b/>
          <w:spacing w:val="-20"/>
          <w:kern w:val="2"/>
          <w:sz w:val="32"/>
          <w:szCs w:val="32"/>
        </w:rPr>
        <w:t>行政院人事行政總處</w:t>
      </w:r>
      <w:r w:rsidR="009D64D0" w:rsidRPr="00C23973">
        <w:rPr>
          <w:rFonts w:ascii="標楷體" w:eastAsia="標楷體" w:hAnsi="標楷體" w:hint="eastAsia"/>
          <w:spacing w:val="-20"/>
          <w:kern w:val="2"/>
          <w:sz w:val="32"/>
          <w:szCs w:val="32"/>
        </w:rPr>
        <w:t xml:space="preserve">　　　　　　</w:t>
      </w:r>
      <w:r w:rsidR="00D22EDD" w:rsidRPr="00C23973">
        <w:rPr>
          <w:rFonts w:ascii="標楷體" w:eastAsia="標楷體" w:hAnsi="標楷體" w:hint="eastAsia"/>
          <w:spacing w:val="-20"/>
          <w:kern w:val="2"/>
          <w:sz w:val="32"/>
          <w:szCs w:val="32"/>
        </w:rPr>
        <w:t xml:space="preserve">　副人事長</w:t>
      </w:r>
      <w:r w:rsidR="00FB7FB7" w:rsidRPr="00C23973">
        <w:rPr>
          <w:rFonts w:ascii="標楷體" w:eastAsia="標楷體" w:hAnsi="標楷體" w:hint="eastAsia"/>
          <w:spacing w:val="-20"/>
          <w:kern w:val="2"/>
          <w:sz w:val="32"/>
          <w:szCs w:val="32"/>
        </w:rPr>
        <w:t xml:space="preserve">　　</w:t>
      </w:r>
      <w:r w:rsidR="00FB7FB7">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李秉洲</w:t>
      </w:r>
    </w:p>
    <w:p w14:paraId="4A43CE7D" w14:textId="598D9471" w:rsidR="009D64D0" w:rsidRPr="00C23973" w:rsidRDefault="008F6A33"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 xml:space="preserve">　　　　　　　　　　　　　　</w:t>
      </w:r>
      <w:r w:rsidR="00FB7FB7" w:rsidRPr="00C23973">
        <w:rPr>
          <w:rFonts w:ascii="標楷體" w:eastAsia="標楷體" w:hAnsi="標楷體" w:hint="eastAsia"/>
          <w:spacing w:val="-20"/>
          <w:kern w:val="2"/>
          <w:sz w:val="32"/>
          <w:szCs w:val="32"/>
        </w:rPr>
        <w:t xml:space="preserve">　</w:t>
      </w:r>
      <w:r w:rsidR="00F355FA">
        <w:rPr>
          <w:rFonts w:ascii="標楷體" w:eastAsia="標楷體" w:hAnsi="標楷體" w:hint="eastAsia"/>
          <w:spacing w:val="-20"/>
          <w:kern w:val="2"/>
          <w:sz w:val="32"/>
          <w:szCs w:val="32"/>
        </w:rPr>
        <w:t xml:space="preserve">  </w:t>
      </w:r>
      <w:r w:rsidR="009D64D0" w:rsidRPr="00C23973">
        <w:rPr>
          <w:rFonts w:ascii="標楷體" w:eastAsia="標楷體" w:hAnsi="標楷體" w:hint="eastAsia"/>
          <w:spacing w:val="-20"/>
          <w:kern w:val="2"/>
          <w:sz w:val="32"/>
          <w:szCs w:val="32"/>
        </w:rPr>
        <w:t>（人事長蘇俊榮請假）</w:t>
      </w:r>
    </w:p>
    <w:p w14:paraId="26557418"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spacing w:val="-20"/>
          <w:kern w:val="2"/>
          <w:sz w:val="32"/>
          <w:szCs w:val="32"/>
        </w:rPr>
        <w:t xml:space="preserve">主　　席　</w:t>
      </w:r>
      <w:r w:rsidRPr="00C23973">
        <w:rPr>
          <w:rFonts w:ascii="標楷體" w:eastAsia="標楷體" w:hAnsi="標楷體" w:hint="eastAsia"/>
          <w:spacing w:val="-20"/>
          <w:kern w:val="2"/>
          <w:sz w:val="32"/>
          <w:szCs w:val="32"/>
        </w:rPr>
        <w:t>賴</w:t>
      </w:r>
      <w:r w:rsidRPr="00C23973">
        <w:rPr>
          <w:rFonts w:ascii="標楷體" w:eastAsia="標楷體" w:hAnsi="標楷體"/>
          <w:spacing w:val="-20"/>
          <w:kern w:val="2"/>
          <w:sz w:val="32"/>
          <w:szCs w:val="32"/>
        </w:rPr>
        <w:t>召集委員</w:t>
      </w:r>
      <w:r w:rsidRPr="00C23973">
        <w:rPr>
          <w:rFonts w:ascii="標楷體" w:eastAsia="標楷體" w:hAnsi="標楷體" w:hint="eastAsia"/>
          <w:spacing w:val="-20"/>
          <w:kern w:val="2"/>
          <w:sz w:val="32"/>
          <w:szCs w:val="32"/>
        </w:rPr>
        <w:t>惠員</w:t>
      </w:r>
    </w:p>
    <w:p w14:paraId="375378AA"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spacing w:val="-20"/>
          <w:kern w:val="2"/>
          <w:sz w:val="32"/>
          <w:szCs w:val="32"/>
        </w:rPr>
        <w:t xml:space="preserve">專門委員　</w:t>
      </w:r>
      <w:r w:rsidRPr="00C23973">
        <w:rPr>
          <w:rFonts w:ascii="標楷體" w:eastAsia="標楷體" w:hAnsi="標楷體" w:hint="eastAsia"/>
          <w:spacing w:val="-20"/>
          <w:kern w:val="2"/>
          <w:sz w:val="32"/>
          <w:szCs w:val="32"/>
        </w:rPr>
        <w:t>林靜玟</w:t>
      </w:r>
    </w:p>
    <w:p w14:paraId="1848D13A"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spacing w:val="-20"/>
          <w:kern w:val="2"/>
          <w:sz w:val="32"/>
          <w:szCs w:val="32"/>
        </w:rPr>
        <w:t>主任秘書　謝淑津</w:t>
      </w:r>
    </w:p>
    <w:p w14:paraId="3C8F4BC7"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spacing w:val="-20"/>
          <w:kern w:val="2"/>
          <w:sz w:val="32"/>
          <w:szCs w:val="32"/>
        </w:rPr>
        <w:t xml:space="preserve">紀　　錄　秘　書　</w:t>
      </w:r>
      <w:r w:rsidRPr="00C23973">
        <w:rPr>
          <w:rFonts w:ascii="標楷體" w:eastAsia="標楷體" w:hAnsi="標楷體" w:hint="eastAsia"/>
          <w:spacing w:val="-20"/>
          <w:kern w:val="2"/>
          <w:sz w:val="32"/>
          <w:szCs w:val="32"/>
        </w:rPr>
        <w:t>吳人寬</w:t>
      </w:r>
      <w:r w:rsidRPr="00C23973">
        <w:rPr>
          <w:rFonts w:ascii="標楷體" w:eastAsia="標楷體" w:hAnsi="標楷體"/>
          <w:spacing w:val="-20"/>
          <w:kern w:val="2"/>
          <w:sz w:val="32"/>
          <w:szCs w:val="32"/>
        </w:rPr>
        <w:t xml:space="preserve">　</w:t>
      </w:r>
      <w:r w:rsidRPr="00C23973">
        <w:rPr>
          <w:rFonts w:ascii="標楷體" w:eastAsia="標楷體" w:hAnsi="標楷體" w:hint="eastAsia"/>
          <w:spacing w:val="-20"/>
          <w:kern w:val="2"/>
          <w:sz w:val="32"/>
          <w:szCs w:val="32"/>
        </w:rPr>
        <w:t>研究員</w:t>
      </w:r>
      <w:r w:rsidRPr="00C23973">
        <w:rPr>
          <w:rFonts w:ascii="標楷體" w:eastAsia="標楷體" w:hAnsi="標楷體"/>
          <w:spacing w:val="-20"/>
          <w:kern w:val="2"/>
          <w:sz w:val="32"/>
          <w:szCs w:val="32"/>
        </w:rPr>
        <w:t xml:space="preserve">　</w:t>
      </w:r>
      <w:r w:rsidRPr="00C23973">
        <w:rPr>
          <w:rFonts w:ascii="標楷體" w:eastAsia="標楷體" w:hAnsi="標楷體" w:hint="eastAsia"/>
          <w:spacing w:val="-20"/>
          <w:kern w:val="2"/>
          <w:sz w:val="32"/>
          <w:szCs w:val="32"/>
        </w:rPr>
        <w:t>黃惠雯</w:t>
      </w:r>
      <w:r w:rsidRPr="00C23973">
        <w:rPr>
          <w:rFonts w:ascii="標楷體" w:eastAsia="標楷體" w:hAnsi="標楷體"/>
          <w:spacing w:val="-20"/>
          <w:kern w:val="2"/>
          <w:sz w:val="32"/>
          <w:szCs w:val="32"/>
        </w:rPr>
        <w:t xml:space="preserve">　編　審　</w:t>
      </w:r>
      <w:r w:rsidRPr="00C23973">
        <w:rPr>
          <w:rFonts w:ascii="標楷體" w:eastAsia="標楷體" w:hAnsi="標楷體" w:hint="eastAsia"/>
          <w:spacing w:val="-20"/>
          <w:kern w:val="2"/>
          <w:sz w:val="32"/>
          <w:szCs w:val="32"/>
        </w:rPr>
        <w:t>伍明清</w:t>
      </w:r>
      <w:r w:rsidRPr="00C23973">
        <w:rPr>
          <w:rFonts w:ascii="標楷體" w:eastAsia="標楷體" w:hAnsi="標楷體"/>
          <w:spacing w:val="-20"/>
          <w:kern w:val="2"/>
          <w:sz w:val="32"/>
          <w:szCs w:val="32"/>
        </w:rPr>
        <w:t xml:space="preserve">　</w:t>
      </w:r>
    </w:p>
    <w:p w14:paraId="605AE37D" w14:textId="77777777" w:rsidR="009D64D0" w:rsidRPr="00C23973" w:rsidRDefault="009D64D0" w:rsidP="00F470A8">
      <w:pPr>
        <w:widowControl w:val="0"/>
        <w:kinsoku w:val="0"/>
        <w:overflowPunct w:val="0"/>
        <w:autoSpaceDN/>
        <w:adjustRightInd w:val="0"/>
        <w:snapToGrid w:val="0"/>
        <w:spacing w:line="460" w:lineRule="exact"/>
        <w:ind w:left="1500" w:rightChars="-126" w:right="-302" w:hangingChars="500" w:hanging="1500"/>
        <w:textAlignment w:val="auto"/>
        <w:rPr>
          <w:rFonts w:ascii="標楷體" w:eastAsia="標楷體" w:hAnsi="標楷體"/>
          <w:spacing w:val="-20"/>
          <w:kern w:val="2"/>
          <w:sz w:val="32"/>
          <w:szCs w:val="32"/>
        </w:rPr>
      </w:pPr>
      <w:r w:rsidRPr="00C23973">
        <w:rPr>
          <w:rFonts w:ascii="標楷體" w:eastAsia="標楷體" w:hAnsi="標楷體"/>
          <w:spacing w:val="-20"/>
          <w:kern w:val="2"/>
          <w:sz w:val="32"/>
          <w:szCs w:val="32"/>
        </w:rPr>
        <w:t xml:space="preserve">　　　　　</w:t>
      </w:r>
      <w:r w:rsidRPr="00C23973">
        <w:rPr>
          <w:rFonts w:ascii="標楷體" w:eastAsia="標楷體" w:hAnsi="標楷體" w:hint="eastAsia"/>
          <w:spacing w:val="-20"/>
          <w:kern w:val="2"/>
          <w:sz w:val="32"/>
          <w:szCs w:val="32"/>
        </w:rPr>
        <w:t>科</w:t>
      </w:r>
      <w:r w:rsidRPr="00C23973">
        <w:rPr>
          <w:rFonts w:ascii="標楷體" w:eastAsia="標楷體" w:hAnsi="標楷體"/>
          <w:spacing w:val="-20"/>
          <w:kern w:val="2"/>
          <w:sz w:val="32"/>
          <w:szCs w:val="32"/>
        </w:rPr>
        <w:t xml:space="preserve">　長　</w:t>
      </w:r>
      <w:r w:rsidRPr="00C23973">
        <w:rPr>
          <w:rFonts w:ascii="標楷體" w:eastAsia="標楷體" w:hAnsi="標楷體" w:hint="eastAsia"/>
          <w:spacing w:val="-20"/>
          <w:kern w:val="2"/>
          <w:sz w:val="32"/>
          <w:szCs w:val="32"/>
        </w:rPr>
        <w:t>喻</w:t>
      </w:r>
      <w:r w:rsidRPr="00C23973">
        <w:rPr>
          <w:rFonts w:ascii="標楷體" w:eastAsia="標楷體" w:hAnsi="標楷體"/>
          <w:spacing w:val="-20"/>
          <w:kern w:val="2"/>
          <w:sz w:val="32"/>
          <w:szCs w:val="32"/>
        </w:rPr>
        <w:t xml:space="preserve">　</w:t>
      </w:r>
      <w:r w:rsidRPr="00C23973">
        <w:rPr>
          <w:rFonts w:ascii="標楷體" w:eastAsia="標楷體" w:hAnsi="標楷體" w:hint="eastAsia"/>
          <w:spacing w:val="-20"/>
          <w:kern w:val="2"/>
          <w:sz w:val="32"/>
          <w:szCs w:val="32"/>
        </w:rPr>
        <w:t xml:space="preserve">珊　專　員　沈克彬　科　員　劉雅欣　</w:t>
      </w:r>
    </w:p>
    <w:p w14:paraId="19D61638" w14:textId="77777777" w:rsidR="009D64D0" w:rsidRPr="00CE5A70" w:rsidRDefault="009D64D0" w:rsidP="00F470A8">
      <w:pPr>
        <w:pStyle w:val="Default"/>
        <w:overflowPunct w:val="0"/>
        <w:adjustRightInd w:val="0"/>
        <w:snapToGrid w:val="0"/>
        <w:spacing w:beforeLines="50" w:before="180" w:line="460" w:lineRule="exact"/>
        <w:ind w:left="1803" w:hanging="1803"/>
        <w:jc w:val="both"/>
        <w:rPr>
          <w:rFonts w:cs="Times New Roman"/>
          <w:b/>
          <w:bCs/>
          <w:sz w:val="36"/>
          <w:szCs w:val="36"/>
        </w:rPr>
      </w:pPr>
      <w:r w:rsidRPr="00CE5A70">
        <w:rPr>
          <w:rFonts w:cs="Times New Roman"/>
          <w:b/>
          <w:bCs/>
          <w:sz w:val="36"/>
          <w:szCs w:val="36"/>
        </w:rPr>
        <w:t>11</w:t>
      </w:r>
      <w:r w:rsidRPr="00CE5A70">
        <w:rPr>
          <w:rFonts w:cs="Times New Roman" w:hint="eastAsia"/>
          <w:b/>
          <w:bCs/>
          <w:sz w:val="36"/>
          <w:szCs w:val="36"/>
        </w:rPr>
        <w:t>3年11月25日</w:t>
      </w:r>
    </w:p>
    <w:p w14:paraId="451F13B9" w14:textId="77777777" w:rsidR="009D64D0" w:rsidRPr="00CE5A70" w:rsidRDefault="009D64D0" w:rsidP="00F470A8">
      <w:pPr>
        <w:widowControl w:val="0"/>
        <w:kinsoku w:val="0"/>
        <w:overflowPunct w:val="0"/>
        <w:autoSpaceDE w:val="0"/>
        <w:adjustRightInd w:val="0"/>
        <w:snapToGrid w:val="0"/>
        <w:spacing w:line="460" w:lineRule="exact"/>
        <w:ind w:leftChars="201" w:left="482"/>
        <w:jc w:val="both"/>
        <w:textAlignment w:val="auto"/>
        <w:rPr>
          <w:rFonts w:ascii="標楷體" w:eastAsia="標楷體" w:hAnsi="標楷體"/>
          <w:b/>
          <w:kern w:val="2"/>
          <w:sz w:val="32"/>
          <w:szCs w:val="32"/>
        </w:rPr>
      </w:pPr>
      <w:r w:rsidRPr="00CE5A70">
        <w:rPr>
          <w:rFonts w:ascii="標楷體" w:eastAsia="標楷體" w:hAnsi="標楷體"/>
          <w:b/>
          <w:kern w:val="2"/>
          <w:sz w:val="32"/>
          <w:szCs w:val="32"/>
        </w:rPr>
        <w:t>報告事項</w:t>
      </w:r>
    </w:p>
    <w:p w14:paraId="54446E95" w14:textId="77777777" w:rsidR="009D64D0" w:rsidRPr="00CE5A70" w:rsidRDefault="009D64D0" w:rsidP="00F470A8">
      <w:pPr>
        <w:widowControl w:val="0"/>
        <w:kinsoku w:val="0"/>
        <w:overflowPunct w:val="0"/>
        <w:autoSpaceDN/>
        <w:adjustRightInd w:val="0"/>
        <w:snapToGrid w:val="0"/>
        <w:spacing w:line="460" w:lineRule="exact"/>
        <w:jc w:val="both"/>
        <w:textAlignment w:val="auto"/>
        <w:rPr>
          <w:rFonts w:ascii="標楷體" w:eastAsia="標楷體" w:hAnsi="標楷體"/>
          <w:kern w:val="2"/>
          <w:sz w:val="32"/>
          <w:szCs w:val="32"/>
        </w:rPr>
      </w:pPr>
      <w:r w:rsidRPr="00CE5A70">
        <w:rPr>
          <w:rFonts w:ascii="標楷體" w:eastAsia="標楷體" w:hAnsi="標楷體"/>
          <w:kern w:val="2"/>
          <w:sz w:val="32"/>
          <w:szCs w:val="32"/>
        </w:rPr>
        <w:t>宣讀上次會議議事錄。</w:t>
      </w:r>
    </w:p>
    <w:p w14:paraId="605323D1" w14:textId="77777777" w:rsidR="009D64D0" w:rsidRPr="00CE5A70" w:rsidRDefault="009D64D0" w:rsidP="00F470A8">
      <w:pPr>
        <w:widowControl w:val="0"/>
        <w:kinsoku w:val="0"/>
        <w:overflowPunct w:val="0"/>
        <w:autoSpaceDN/>
        <w:adjustRightInd w:val="0"/>
        <w:snapToGrid w:val="0"/>
        <w:spacing w:line="460" w:lineRule="exact"/>
        <w:jc w:val="both"/>
        <w:textAlignment w:val="auto"/>
        <w:rPr>
          <w:rFonts w:ascii="標楷體" w:eastAsia="標楷體" w:hAnsi="標楷體"/>
          <w:kern w:val="2"/>
          <w:sz w:val="32"/>
          <w:szCs w:val="32"/>
        </w:rPr>
      </w:pPr>
      <w:r w:rsidRPr="00CE5A70">
        <w:rPr>
          <w:rFonts w:ascii="標楷體" w:eastAsia="標楷體" w:hAnsi="標楷體"/>
          <w:kern w:val="2"/>
          <w:sz w:val="32"/>
          <w:szCs w:val="32"/>
        </w:rPr>
        <w:t>決定：議事錄確定。</w:t>
      </w:r>
    </w:p>
    <w:p w14:paraId="7091F306" w14:textId="77777777" w:rsidR="009D64D0" w:rsidRPr="00CE5A70" w:rsidRDefault="009D64D0" w:rsidP="00F470A8">
      <w:pPr>
        <w:widowControl w:val="0"/>
        <w:kinsoku w:val="0"/>
        <w:overflowPunct w:val="0"/>
        <w:autoSpaceDE w:val="0"/>
        <w:adjustRightInd w:val="0"/>
        <w:snapToGrid w:val="0"/>
        <w:spacing w:beforeLines="50" w:before="180" w:line="460" w:lineRule="exact"/>
        <w:ind w:leftChars="201" w:left="482"/>
        <w:jc w:val="both"/>
        <w:textAlignment w:val="auto"/>
        <w:rPr>
          <w:rFonts w:ascii="標楷體" w:eastAsia="標楷體" w:hAnsi="標楷體"/>
          <w:b/>
          <w:kern w:val="2"/>
          <w:sz w:val="32"/>
          <w:szCs w:val="32"/>
        </w:rPr>
      </w:pPr>
      <w:r w:rsidRPr="00CE5A70">
        <w:rPr>
          <w:rFonts w:ascii="標楷體" w:eastAsia="標楷體" w:hAnsi="標楷體" w:hint="eastAsia"/>
          <w:b/>
          <w:kern w:val="2"/>
          <w:sz w:val="32"/>
          <w:szCs w:val="32"/>
        </w:rPr>
        <w:t>討論事項</w:t>
      </w:r>
    </w:p>
    <w:p w14:paraId="2A250ED0" w14:textId="77777777" w:rsidR="009D64D0" w:rsidRPr="001E0F03" w:rsidRDefault="009D64D0" w:rsidP="00F470A8">
      <w:pPr>
        <w:pStyle w:val="Default"/>
        <w:overflowPunct w:val="0"/>
        <w:snapToGrid w:val="0"/>
        <w:spacing w:line="460" w:lineRule="exact"/>
        <w:ind w:leftChars="9" w:left="681" w:hangingChars="206" w:hanging="659"/>
        <w:jc w:val="both"/>
        <w:rPr>
          <w:rFonts w:cs="Times New Roman"/>
          <w:bCs/>
          <w:sz w:val="32"/>
          <w:szCs w:val="32"/>
        </w:rPr>
      </w:pPr>
      <w:r>
        <w:rPr>
          <w:rFonts w:cs="Times New Roman" w:hint="eastAsia"/>
          <w:bCs/>
          <w:sz w:val="32"/>
          <w:szCs w:val="32"/>
        </w:rPr>
        <w:t>一、</w:t>
      </w:r>
      <w:r w:rsidRPr="009350D7">
        <w:rPr>
          <w:rFonts w:cs="Times New Roman" w:hint="eastAsia"/>
          <w:bCs/>
          <w:sz w:val="32"/>
          <w:szCs w:val="32"/>
        </w:rPr>
        <w:t>繼續審查中華民國</w:t>
      </w:r>
      <w:r>
        <w:rPr>
          <w:rFonts w:cs="Times New Roman" w:hint="eastAsia"/>
          <w:bCs/>
          <w:sz w:val="32"/>
          <w:szCs w:val="32"/>
        </w:rPr>
        <w:t>114</w:t>
      </w:r>
      <w:r w:rsidRPr="009350D7">
        <w:rPr>
          <w:rFonts w:cs="Times New Roman" w:hint="eastAsia"/>
          <w:bCs/>
          <w:sz w:val="32"/>
          <w:szCs w:val="32"/>
        </w:rPr>
        <w:t>年度中央政府總預算案有關財政部及所屬單位歲入預算部分。</w:t>
      </w:r>
    </w:p>
    <w:p w14:paraId="6AB60F1C" w14:textId="77777777" w:rsidR="009D64D0" w:rsidRPr="00ED73A8" w:rsidRDefault="009D64D0" w:rsidP="00F470A8">
      <w:pPr>
        <w:pStyle w:val="Default"/>
        <w:overflowPunct w:val="0"/>
        <w:snapToGrid w:val="0"/>
        <w:spacing w:line="460" w:lineRule="exact"/>
        <w:ind w:leftChars="9" w:left="681" w:hangingChars="206" w:hanging="659"/>
        <w:jc w:val="both"/>
        <w:rPr>
          <w:rFonts w:cs="Times New Roman"/>
          <w:bCs/>
          <w:sz w:val="32"/>
          <w:szCs w:val="32"/>
        </w:rPr>
      </w:pPr>
      <w:r w:rsidRPr="001E0F03">
        <w:rPr>
          <w:rFonts w:cs="Times New Roman" w:hint="eastAsia"/>
          <w:bCs/>
          <w:sz w:val="32"/>
          <w:szCs w:val="32"/>
        </w:rPr>
        <w:t>二、</w:t>
      </w:r>
      <w:r w:rsidRPr="00ED73A8">
        <w:rPr>
          <w:rFonts w:cs="Times New Roman" w:hint="eastAsia"/>
          <w:bCs/>
          <w:sz w:val="32"/>
          <w:szCs w:val="32"/>
        </w:rPr>
        <w:t>繼續審查中華民國114年度中央政府總預算案有關財政部、國庫署、財政資訊中心歲出預算部分。</w:t>
      </w:r>
    </w:p>
    <w:p w14:paraId="656EA54C" w14:textId="77777777" w:rsidR="009D64D0" w:rsidRPr="00ED73A8" w:rsidRDefault="009D64D0" w:rsidP="00F470A8">
      <w:pPr>
        <w:pStyle w:val="Default"/>
        <w:overflowPunct w:val="0"/>
        <w:snapToGrid w:val="0"/>
        <w:spacing w:line="460" w:lineRule="exact"/>
        <w:ind w:leftChars="9" w:left="681" w:hangingChars="206" w:hanging="659"/>
        <w:jc w:val="both"/>
        <w:rPr>
          <w:rFonts w:cs="Times New Roman"/>
          <w:bCs/>
          <w:sz w:val="32"/>
          <w:szCs w:val="32"/>
        </w:rPr>
      </w:pPr>
      <w:r>
        <w:rPr>
          <w:rFonts w:cs="Times New Roman" w:hint="eastAsia"/>
          <w:bCs/>
          <w:sz w:val="32"/>
          <w:szCs w:val="32"/>
        </w:rPr>
        <w:t>三、繼續審查</w:t>
      </w:r>
      <w:r w:rsidRPr="00ED73A8">
        <w:rPr>
          <w:rFonts w:cs="Times New Roman" w:hint="eastAsia"/>
          <w:bCs/>
          <w:sz w:val="32"/>
          <w:szCs w:val="32"/>
        </w:rPr>
        <w:t>中華民國114年度中央政府總預算案附屬單位預算非營業部分有關</w:t>
      </w:r>
      <w:r w:rsidRPr="001E0F03">
        <w:rPr>
          <w:rFonts w:cs="Times New Roman" w:hint="eastAsia"/>
          <w:bCs/>
          <w:sz w:val="32"/>
          <w:szCs w:val="32"/>
        </w:rPr>
        <w:t>財政部主管</w:t>
      </w:r>
      <w:r>
        <w:rPr>
          <w:rFonts w:cs="Times New Roman" w:hint="eastAsia"/>
          <w:bCs/>
          <w:sz w:val="32"/>
          <w:szCs w:val="32"/>
        </w:rPr>
        <w:t>債務基</w:t>
      </w:r>
      <w:r w:rsidRPr="00ED73A8">
        <w:rPr>
          <w:rFonts w:cs="Times New Roman" w:hint="eastAsia"/>
          <w:bCs/>
          <w:sz w:val="32"/>
          <w:szCs w:val="32"/>
        </w:rPr>
        <w:t>金－中</w:t>
      </w:r>
      <w:r w:rsidRPr="001E0F03">
        <w:rPr>
          <w:rFonts w:cs="Times New Roman" w:hint="eastAsia"/>
          <w:bCs/>
          <w:sz w:val="32"/>
          <w:szCs w:val="32"/>
        </w:rPr>
        <w:t>央政府債務基金。</w:t>
      </w:r>
    </w:p>
    <w:p w14:paraId="60C845AD" w14:textId="77777777" w:rsidR="009D64D0" w:rsidRPr="00ED73A8" w:rsidRDefault="009D64D0" w:rsidP="00F470A8">
      <w:pPr>
        <w:pStyle w:val="Default"/>
        <w:overflowPunct w:val="0"/>
        <w:snapToGrid w:val="0"/>
        <w:spacing w:line="460" w:lineRule="exact"/>
        <w:ind w:leftChars="9" w:left="681" w:hangingChars="206" w:hanging="659"/>
        <w:jc w:val="both"/>
        <w:rPr>
          <w:rFonts w:cs="Times New Roman"/>
          <w:bCs/>
          <w:sz w:val="32"/>
          <w:szCs w:val="32"/>
        </w:rPr>
      </w:pPr>
      <w:r>
        <w:rPr>
          <w:rFonts w:cs="Times New Roman" w:hint="eastAsia"/>
          <w:bCs/>
          <w:sz w:val="32"/>
          <w:szCs w:val="32"/>
        </w:rPr>
        <w:t>四、繼續</w:t>
      </w:r>
      <w:r w:rsidRPr="00ED73A8">
        <w:rPr>
          <w:rFonts w:cs="Times New Roman" w:hint="eastAsia"/>
          <w:bCs/>
          <w:sz w:val="32"/>
          <w:szCs w:val="32"/>
        </w:rPr>
        <w:t>審查中華民國114年度中央政府總預算案：</w:t>
      </w:r>
    </w:p>
    <w:p w14:paraId="7E25DB5B" w14:textId="77777777" w:rsidR="009D64D0" w:rsidRPr="00ED73A8" w:rsidRDefault="009D64D0" w:rsidP="00F470A8">
      <w:pPr>
        <w:pStyle w:val="Default"/>
        <w:overflowPunct w:val="0"/>
        <w:snapToGrid w:val="0"/>
        <w:spacing w:line="460" w:lineRule="exact"/>
        <w:ind w:leftChars="250" w:left="1400" w:hangingChars="250" w:hanging="800"/>
        <w:jc w:val="both"/>
        <w:rPr>
          <w:rFonts w:cs="Times New Roman"/>
          <w:bCs/>
          <w:sz w:val="32"/>
          <w:szCs w:val="32"/>
        </w:rPr>
      </w:pPr>
      <w:r w:rsidRPr="00ED73A8">
        <w:rPr>
          <w:rFonts w:cs="Times New Roman" w:hint="eastAsia"/>
          <w:bCs/>
          <w:sz w:val="32"/>
          <w:szCs w:val="32"/>
        </w:rPr>
        <w:t>行政院歲入預算有關中央銀行股息紅利繳庫部分。</w:t>
      </w:r>
    </w:p>
    <w:p w14:paraId="0D5D2647" w14:textId="77777777" w:rsidR="009D64D0" w:rsidRDefault="009D64D0" w:rsidP="00F470A8">
      <w:pPr>
        <w:pStyle w:val="Default"/>
        <w:overflowPunct w:val="0"/>
        <w:snapToGrid w:val="0"/>
        <w:spacing w:line="460" w:lineRule="exact"/>
        <w:ind w:left="640" w:hangingChars="200" w:hanging="640"/>
        <w:jc w:val="both"/>
        <w:rPr>
          <w:rFonts w:cs="Times New Roman"/>
          <w:bCs/>
          <w:sz w:val="32"/>
          <w:szCs w:val="32"/>
        </w:rPr>
      </w:pPr>
      <w:r>
        <w:rPr>
          <w:rFonts w:cs="Times New Roman" w:hint="eastAsia"/>
          <w:bCs/>
          <w:sz w:val="32"/>
          <w:szCs w:val="32"/>
        </w:rPr>
        <w:t>五、繼續</w:t>
      </w:r>
      <w:r w:rsidRPr="004546D5">
        <w:rPr>
          <w:rFonts w:cs="Times New Roman" w:hint="eastAsia"/>
          <w:bCs/>
          <w:sz w:val="32"/>
          <w:szCs w:val="32"/>
        </w:rPr>
        <w:t>審查中華民國11</w:t>
      </w:r>
      <w:r>
        <w:rPr>
          <w:rFonts w:cs="Times New Roman" w:hint="eastAsia"/>
          <w:bCs/>
          <w:sz w:val="32"/>
          <w:szCs w:val="32"/>
        </w:rPr>
        <w:t>4</w:t>
      </w:r>
      <w:r w:rsidRPr="004546D5">
        <w:rPr>
          <w:rFonts w:cs="Times New Roman" w:hint="eastAsia"/>
          <w:bCs/>
          <w:sz w:val="32"/>
          <w:szCs w:val="32"/>
        </w:rPr>
        <w:t>年度中央政府總預算案附屬單位預算營業部分關於中央銀行（含中央造幣廠、中央印製廠）</w:t>
      </w:r>
      <w:r w:rsidRPr="001C4217">
        <w:rPr>
          <w:rFonts w:cs="Times New Roman" w:hint="eastAsia"/>
          <w:bCs/>
          <w:sz w:val="32"/>
          <w:szCs w:val="32"/>
        </w:rPr>
        <w:t>。</w:t>
      </w:r>
    </w:p>
    <w:p w14:paraId="49921AC7" w14:textId="77777777" w:rsidR="009D64D0" w:rsidRPr="00CE5A70" w:rsidRDefault="009D64D0" w:rsidP="00F470A8">
      <w:pPr>
        <w:widowControl w:val="0"/>
        <w:kinsoku w:val="0"/>
        <w:overflowPunct w:val="0"/>
        <w:autoSpaceDN/>
        <w:adjustRightInd w:val="0"/>
        <w:snapToGrid w:val="0"/>
        <w:spacing w:line="460" w:lineRule="exact"/>
        <w:jc w:val="both"/>
        <w:textAlignment w:val="auto"/>
        <w:rPr>
          <w:rFonts w:ascii="標楷體" w:eastAsia="標楷體" w:hAnsi="標楷體"/>
          <w:b/>
          <w:kern w:val="2"/>
          <w:sz w:val="32"/>
          <w:szCs w:val="32"/>
        </w:rPr>
      </w:pPr>
      <w:r w:rsidRPr="00CE5A70">
        <w:rPr>
          <w:rFonts w:ascii="標楷體" w:eastAsia="標楷體" w:hAnsi="標楷體" w:hint="eastAsia"/>
          <w:b/>
          <w:kern w:val="2"/>
          <w:sz w:val="32"/>
          <w:szCs w:val="32"/>
        </w:rPr>
        <w:t>決議：</w:t>
      </w:r>
    </w:p>
    <w:p w14:paraId="051A2BD9" w14:textId="77777777" w:rsidR="009D64D0" w:rsidRPr="00FD24F8" w:rsidRDefault="009D64D0" w:rsidP="00F470A8">
      <w:pPr>
        <w:pStyle w:val="Default"/>
        <w:overflowPunct w:val="0"/>
        <w:snapToGrid w:val="0"/>
        <w:spacing w:line="460" w:lineRule="exact"/>
        <w:ind w:left="641" w:hangingChars="200" w:hanging="641"/>
        <w:jc w:val="both"/>
        <w:rPr>
          <w:b/>
        </w:rPr>
      </w:pPr>
      <w:r>
        <w:rPr>
          <w:rFonts w:cs="Times New Roman" w:hint="eastAsia"/>
          <w:b/>
          <w:bCs/>
          <w:sz w:val="32"/>
          <w:szCs w:val="32"/>
        </w:rPr>
        <w:t>壹</w:t>
      </w:r>
      <w:r w:rsidRPr="00FD24F8">
        <w:rPr>
          <w:rFonts w:cs="Times New Roman" w:hint="eastAsia"/>
          <w:b/>
          <w:bCs/>
          <w:sz w:val="32"/>
          <w:szCs w:val="32"/>
        </w:rPr>
        <w:t>、中華民國114年度中央政府總預算案有關財政部及所屬單位歲入預算部分</w:t>
      </w:r>
      <w:r w:rsidRPr="00ED73A8">
        <w:rPr>
          <w:rFonts w:hint="eastAsia"/>
          <w:b/>
          <w:sz w:val="32"/>
          <w:szCs w:val="32"/>
        </w:rPr>
        <w:t>審查結果：</w:t>
      </w:r>
    </w:p>
    <w:p w14:paraId="5810D85B" w14:textId="77777777" w:rsidR="009D64D0" w:rsidRPr="00CE5A70" w:rsidRDefault="009D64D0" w:rsidP="00F470A8">
      <w:pPr>
        <w:widowControl w:val="0"/>
        <w:kinsoku w:val="0"/>
        <w:overflowPunct w:val="0"/>
        <w:autoSpaceDN/>
        <w:adjustRightInd w:val="0"/>
        <w:snapToGrid w:val="0"/>
        <w:spacing w:line="460" w:lineRule="exact"/>
        <w:jc w:val="both"/>
        <w:textAlignment w:val="auto"/>
        <w:rPr>
          <w:rFonts w:ascii="標楷體" w:eastAsia="標楷體" w:hAnsi="標楷體"/>
          <w:b/>
          <w:kern w:val="2"/>
          <w:sz w:val="32"/>
          <w:szCs w:val="32"/>
        </w:rPr>
      </w:pPr>
      <w:r w:rsidRPr="00CE5A70">
        <w:rPr>
          <w:rFonts w:ascii="標楷體" w:eastAsia="標楷體" w:hAnsi="標楷體" w:hint="eastAsia"/>
          <w:b/>
          <w:kern w:val="2"/>
          <w:sz w:val="32"/>
          <w:szCs w:val="32"/>
        </w:rPr>
        <w:t xml:space="preserve">　第1款　稅課收入</w:t>
      </w:r>
    </w:p>
    <w:p w14:paraId="19490190" w14:textId="77777777" w:rsidR="009D64D0" w:rsidRPr="00CE5A70" w:rsidRDefault="009D64D0" w:rsidP="00F470A8">
      <w:pPr>
        <w:widowControl w:val="0"/>
        <w:kinsoku w:val="0"/>
        <w:overflowPunct w:val="0"/>
        <w:autoSpaceDN/>
        <w:adjustRightInd w:val="0"/>
        <w:snapToGrid w:val="0"/>
        <w:spacing w:line="460" w:lineRule="exact"/>
        <w:ind w:leftChars="260" w:left="1904" w:hangingChars="400" w:hanging="1280"/>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第1項　財政部原列2兆7,739億9,228萬8千元，增列105億</w:t>
      </w:r>
      <w:r w:rsidRPr="00CE5A70">
        <w:rPr>
          <w:rFonts w:ascii="標楷體" w:eastAsia="標楷體" w:hAnsi="標楷體" w:cs="華康細明體" w:hint="eastAsia"/>
          <w:kern w:val="0"/>
          <w:sz w:val="32"/>
          <w:szCs w:val="32"/>
        </w:rPr>
        <w:lastRenderedPageBreak/>
        <w:t>元（科目自行調整），改列為2兆7,</w:t>
      </w:r>
      <w:r w:rsidRPr="00CE5A70">
        <w:rPr>
          <w:rFonts w:ascii="標楷體" w:eastAsia="標楷體" w:hAnsi="標楷體" w:cs="華康細明體"/>
          <w:kern w:val="0"/>
          <w:sz w:val="32"/>
          <w:szCs w:val="32"/>
        </w:rPr>
        <w:t>84</w:t>
      </w:r>
      <w:r w:rsidRPr="00CE5A70">
        <w:rPr>
          <w:rFonts w:ascii="標楷體" w:eastAsia="標楷體" w:hAnsi="標楷體" w:cs="華康細明體" w:hint="eastAsia"/>
          <w:kern w:val="0"/>
          <w:sz w:val="32"/>
          <w:szCs w:val="32"/>
        </w:rPr>
        <w:t>4億9</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228萬8千元。</w:t>
      </w:r>
    </w:p>
    <w:p w14:paraId="20CDB75F" w14:textId="77777777" w:rsidR="009D64D0" w:rsidRPr="00CE5A70" w:rsidRDefault="009D64D0" w:rsidP="00F470A8">
      <w:pPr>
        <w:widowControl w:val="0"/>
        <w:kinsoku w:val="0"/>
        <w:overflowPunct w:val="0"/>
        <w:autoSpaceDN/>
        <w:adjustRightInd w:val="0"/>
        <w:snapToGrid w:val="0"/>
        <w:spacing w:beforeLines="50" w:before="180" w:line="460" w:lineRule="exact"/>
        <w:textAlignment w:val="auto"/>
        <w:rPr>
          <w:rFonts w:ascii="標楷體" w:eastAsia="標楷體" w:hAnsi="標楷體" w:cs="華康細明體"/>
          <w:b/>
          <w:kern w:val="0"/>
          <w:sz w:val="32"/>
          <w:szCs w:val="32"/>
        </w:rPr>
      </w:pPr>
      <w:r w:rsidRPr="00CE5A70">
        <w:rPr>
          <w:rFonts w:ascii="標楷體" w:eastAsia="標楷體" w:hAnsi="標楷體" w:cs="華康細明體" w:hint="eastAsia"/>
          <w:b/>
          <w:kern w:val="0"/>
          <w:sz w:val="32"/>
          <w:szCs w:val="32"/>
        </w:rPr>
        <w:t xml:space="preserve">　第</w:t>
      </w:r>
      <w:r w:rsidRPr="00CE5A70">
        <w:rPr>
          <w:rFonts w:ascii="標楷體" w:eastAsia="標楷體" w:hAnsi="標楷體" w:cs="華康細明體"/>
          <w:b/>
          <w:kern w:val="0"/>
          <w:sz w:val="32"/>
          <w:szCs w:val="32"/>
        </w:rPr>
        <w:t>2</w:t>
      </w:r>
      <w:r w:rsidRPr="00CE5A70">
        <w:rPr>
          <w:rFonts w:ascii="標楷體" w:eastAsia="標楷體" w:hAnsi="標楷體" w:cs="華康細明體" w:hint="eastAsia"/>
          <w:b/>
          <w:kern w:val="0"/>
          <w:sz w:val="32"/>
          <w:szCs w:val="32"/>
        </w:rPr>
        <w:t>款　罰款及賠償收入</w:t>
      </w:r>
    </w:p>
    <w:p w14:paraId="0F008AFC"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第79項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財政部12萬5千元，照列。</w:t>
      </w:r>
    </w:p>
    <w:p w14:paraId="22E0A65D"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第80項  國庫署6萬1千元，照列。</w:t>
      </w:r>
    </w:p>
    <w:p w14:paraId="1F5AF5D5"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第81項  賦稅署，無列數。</w:t>
      </w:r>
    </w:p>
    <w:p w14:paraId="7F95C11F"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第82項  臺北國稅局9億9,820萬8千元，照列。</w:t>
      </w:r>
    </w:p>
    <w:p w14:paraId="2F1EACD0"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第83項  高雄國稅局3億4,471萬5千元，照列。</w:t>
      </w:r>
    </w:p>
    <w:p w14:paraId="46D8666D"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第84項  北區國稅局及所屬1</w:t>
      </w:r>
      <w:r w:rsidRPr="00CE5A70">
        <w:rPr>
          <w:rFonts w:ascii="標楷體" w:eastAsia="標楷體" w:hAnsi="標楷體" w:cs="華康細明體"/>
          <w:kern w:val="0"/>
          <w:sz w:val="32"/>
          <w:szCs w:val="32"/>
        </w:rPr>
        <w:t>2</w:t>
      </w:r>
      <w:r w:rsidRPr="00CE5A70">
        <w:rPr>
          <w:rFonts w:ascii="標楷體" w:eastAsia="標楷體" w:hAnsi="標楷體" w:cs="華康細明體" w:hint="eastAsia"/>
          <w:kern w:val="0"/>
          <w:sz w:val="32"/>
          <w:szCs w:val="32"/>
        </w:rPr>
        <w:t>億0,037萬1千元，照列。</w:t>
      </w:r>
    </w:p>
    <w:p w14:paraId="76DE4CA5"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第85項  中區國稅局及所屬7億8,178萬3千元，照列。</w:t>
      </w:r>
    </w:p>
    <w:p w14:paraId="492F491B"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第86項  南區國稅局及所屬4億1,304萬9千元，照列。</w:t>
      </w:r>
    </w:p>
    <w:p w14:paraId="361471B1"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第87項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關務署及所屬</w:t>
      </w:r>
      <w:r w:rsidRPr="00CE5A70">
        <w:rPr>
          <w:rFonts w:ascii="標楷體" w:eastAsia="標楷體" w:hAnsi="標楷體" w:cs="華康細明體"/>
          <w:kern w:val="0"/>
          <w:sz w:val="32"/>
          <w:szCs w:val="32"/>
        </w:rPr>
        <w:t>3</w:t>
      </w:r>
      <w:r w:rsidRPr="00CE5A70">
        <w:rPr>
          <w:rFonts w:ascii="標楷體" w:eastAsia="標楷體" w:hAnsi="標楷體" w:cs="華康細明體" w:hint="eastAsia"/>
          <w:kern w:val="0"/>
          <w:sz w:val="32"/>
          <w:szCs w:val="32"/>
        </w:rPr>
        <w:t>億0,188萬3千元，照列。</w:t>
      </w:r>
    </w:p>
    <w:p w14:paraId="495A67D2"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第88項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國有財產署及所屬，無列數。</w:t>
      </w:r>
    </w:p>
    <w:p w14:paraId="2C4DB8EF"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第89項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財政資訊中心1萬元，照列。</w:t>
      </w:r>
    </w:p>
    <w:p w14:paraId="3CBC73E7" w14:textId="77777777" w:rsidR="009D64D0" w:rsidRPr="00CE5A70" w:rsidRDefault="009D64D0" w:rsidP="00F470A8">
      <w:pPr>
        <w:widowControl w:val="0"/>
        <w:kinsoku w:val="0"/>
        <w:overflowPunct w:val="0"/>
        <w:autoSpaceDN/>
        <w:adjustRightInd w:val="0"/>
        <w:snapToGrid w:val="0"/>
        <w:spacing w:beforeLines="50" w:before="180" w:line="460" w:lineRule="exact"/>
        <w:textAlignment w:val="auto"/>
        <w:rPr>
          <w:rFonts w:ascii="標楷體" w:eastAsia="標楷體" w:hAnsi="標楷體" w:cs="華康細明體"/>
          <w:b/>
          <w:kern w:val="0"/>
          <w:sz w:val="32"/>
          <w:szCs w:val="32"/>
        </w:rPr>
      </w:pPr>
      <w:r w:rsidRPr="00CE5A70">
        <w:rPr>
          <w:rFonts w:ascii="標楷體" w:eastAsia="標楷體" w:hAnsi="標楷體" w:cs="華康細明體" w:hint="eastAsia"/>
          <w:b/>
          <w:kern w:val="0"/>
          <w:sz w:val="32"/>
          <w:szCs w:val="32"/>
        </w:rPr>
        <w:t xml:space="preserve">　第</w:t>
      </w:r>
      <w:r w:rsidRPr="00CE5A70">
        <w:rPr>
          <w:rFonts w:ascii="標楷體" w:eastAsia="標楷體" w:hAnsi="標楷體" w:cs="華康細明體"/>
          <w:b/>
          <w:kern w:val="0"/>
          <w:sz w:val="32"/>
          <w:szCs w:val="32"/>
        </w:rPr>
        <w:t>3</w:t>
      </w:r>
      <w:r w:rsidRPr="00CE5A70">
        <w:rPr>
          <w:rFonts w:ascii="標楷體" w:eastAsia="標楷體" w:hAnsi="標楷體" w:cs="華康細明體" w:hint="eastAsia"/>
          <w:b/>
          <w:kern w:val="0"/>
          <w:sz w:val="32"/>
          <w:szCs w:val="32"/>
        </w:rPr>
        <w:t xml:space="preserve">款　規費收入              </w:t>
      </w:r>
    </w:p>
    <w:p w14:paraId="24B73EE9"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第64項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財政部259萬元，照列。</w:t>
      </w:r>
    </w:p>
    <w:p w14:paraId="24F529E4"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w:t>
      </w:r>
      <w:r w:rsidRPr="00CE5A70">
        <w:rPr>
          <w:rFonts w:ascii="標楷體" w:eastAsia="標楷體" w:hAnsi="標楷體" w:cs="華康細明體"/>
          <w:kern w:val="0"/>
          <w:sz w:val="32"/>
          <w:szCs w:val="32"/>
        </w:rPr>
        <w:t>6</w:t>
      </w:r>
      <w:r w:rsidRPr="00CE5A70">
        <w:rPr>
          <w:rFonts w:ascii="標楷體" w:eastAsia="標楷體" w:hAnsi="標楷體" w:cs="華康細明體" w:hint="eastAsia"/>
          <w:kern w:val="0"/>
          <w:sz w:val="32"/>
          <w:szCs w:val="32"/>
        </w:rPr>
        <w:t>5項  國庫署</w:t>
      </w:r>
      <w:r w:rsidRPr="00CE5A70">
        <w:rPr>
          <w:rFonts w:ascii="標楷體" w:eastAsia="標楷體" w:hAnsi="標楷體" w:cs="華康細明體"/>
          <w:kern w:val="0"/>
          <w:sz w:val="32"/>
          <w:szCs w:val="32"/>
        </w:rPr>
        <w:t>6</w:t>
      </w:r>
      <w:r w:rsidRPr="00CE5A70">
        <w:rPr>
          <w:rFonts w:ascii="標楷體" w:eastAsia="標楷體" w:hAnsi="標楷體" w:cs="華康細明體" w:hint="eastAsia"/>
          <w:kern w:val="0"/>
          <w:sz w:val="32"/>
          <w:szCs w:val="32"/>
        </w:rPr>
        <w:t>,175萬1千元，照列。</w:t>
      </w:r>
    </w:p>
    <w:p w14:paraId="6C54E0F9"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第66項  賦稅署85萬7千元，照列。</w:t>
      </w:r>
    </w:p>
    <w:p w14:paraId="0F47A5CC"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第67項  臺北國稅局1億9,488萬1千元，照列。</w:t>
      </w:r>
    </w:p>
    <w:p w14:paraId="4AB047F8"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第68項  高雄國稅局3,990萬4千元，照列。</w:t>
      </w:r>
    </w:p>
    <w:p w14:paraId="67C5CC29"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第69項  北區國稅局及所屬7,971萬7千元，照列。</w:t>
      </w:r>
    </w:p>
    <w:p w14:paraId="2A361D48"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第70項  中區國稅局及所屬4,158萬元，照列。</w:t>
      </w:r>
    </w:p>
    <w:p w14:paraId="790E2B92"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第71項  南區國稅局及所屬2,337萬7千元，照列。</w:t>
      </w:r>
    </w:p>
    <w:p w14:paraId="2FAA66C4"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第72項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關務署及所屬，2億7,357萬2千元，照列。</w:t>
      </w:r>
    </w:p>
    <w:p w14:paraId="3735483E"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第73項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國有財產署及所屬，無列數。</w:t>
      </w:r>
    </w:p>
    <w:p w14:paraId="1221409A"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第74項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財政資訊中心3,272萬5千元，照列。</w:t>
      </w:r>
    </w:p>
    <w:p w14:paraId="20B811C3" w14:textId="77777777" w:rsidR="009D64D0" w:rsidRPr="00CE5A70" w:rsidRDefault="009D64D0" w:rsidP="00F470A8">
      <w:pPr>
        <w:widowControl w:val="0"/>
        <w:kinsoku w:val="0"/>
        <w:overflowPunct w:val="0"/>
        <w:autoSpaceDN/>
        <w:adjustRightInd w:val="0"/>
        <w:snapToGrid w:val="0"/>
        <w:spacing w:beforeLines="50" w:before="180" w:line="460" w:lineRule="exact"/>
        <w:textAlignment w:val="auto"/>
        <w:rPr>
          <w:rFonts w:ascii="標楷體" w:eastAsia="標楷體" w:hAnsi="標楷體" w:cs="華康細明體"/>
          <w:b/>
          <w:kern w:val="0"/>
          <w:sz w:val="32"/>
          <w:szCs w:val="32"/>
        </w:rPr>
      </w:pPr>
      <w:r w:rsidRPr="00CE5A70">
        <w:rPr>
          <w:rFonts w:ascii="標楷體" w:eastAsia="標楷體" w:hAnsi="標楷體" w:cs="華康細明體" w:hint="eastAsia"/>
          <w:b/>
          <w:kern w:val="0"/>
          <w:sz w:val="32"/>
          <w:szCs w:val="32"/>
        </w:rPr>
        <w:t xml:space="preserve">　第</w:t>
      </w:r>
      <w:r w:rsidRPr="00CE5A70">
        <w:rPr>
          <w:rFonts w:ascii="標楷體" w:eastAsia="標楷體" w:hAnsi="標楷體" w:cs="華康細明體"/>
          <w:b/>
          <w:kern w:val="0"/>
          <w:sz w:val="32"/>
          <w:szCs w:val="32"/>
        </w:rPr>
        <w:t>4</w:t>
      </w:r>
      <w:r w:rsidRPr="00CE5A70">
        <w:rPr>
          <w:rFonts w:ascii="標楷體" w:eastAsia="標楷體" w:hAnsi="標楷體" w:cs="華康細明體" w:hint="eastAsia"/>
          <w:b/>
          <w:kern w:val="0"/>
          <w:sz w:val="32"/>
          <w:szCs w:val="32"/>
        </w:rPr>
        <w:t xml:space="preserve">款　財產收入              </w:t>
      </w:r>
    </w:p>
    <w:p w14:paraId="508E3A0F"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w:t>
      </w:r>
      <w:r w:rsidRPr="00CE5A70">
        <w:rPr>
          <w:rFonts w:ascii="標楷體" w:eastAsia="標楷體" w:hAnsi="標楷體" w:cs="華康細明體"/>
          <w:kern w:val="0"/>
          <w:sz w:val="32"/>
          <w:szCs w:val="32"/>
        </w:rPr>
        <w:t>90</w:t>
      </w:r>
      <w:r w:rsidRPr="00CE5A70">
        <w:rPr>
          <w:rFonts w:ascii="標楷體" w:eastAsia="標楷體" w:hAnsi="標楷體" w:cs="華康細明體" w:hint="eastAsia"/>
          <w:kern w:val="0"/>
          <w:sz w:val="32"/>
          <w:szCs w:val="32"/>
        </w:rPr>
        <w:t>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財政部1</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295萬5千元，照列。</w:t>
      </w:r>
    </w:p>
    <w:p w14:paraId="7B563194"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第91項  國庫署13萬元，照列。</w:t>
      </w:r>
    </w:p>
    <w:p w14:paraId="34B8FCB1"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第92項  賦稅署69萬7千元，照列。</w:t>
      </w:r>
    </w:p>
    <w:p w14:paraId="37C2EAF1"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lastRenderedPageBreak/>
        <w:t>第93項  臺北國稅局175萬8千元，照列。</w:t>
      </w:r>
    </w:p>
    <w:p w14:paraId="4BBBF4D2"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第94項  高雄國稅局98萬2千元，照列。</w:t>
      </w:r>
    </w:p>
    <w:p w14:paraId="04ABEAE5"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第95項  北區國稅局及所屬487萬8千元，照列。</w:t>
      </w:r>
    </w:p>
    <w:p w14:paraId="525EF50F"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第96項  中區國稅局及所屬186萬1千元，照列。</w:t>
      </w:r>
    </w:p>
    <w:p w14:paraId="1FEC1E30"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第97項  南區國稅局及所屬70萬元，照列。</w:t>
      </w:r>
    </w:p>
    <w:p w14:paraId="404ED3D4"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w:t>
      </w:r>
      <w:r w:rsidRPr="00CE5A70">
        <w:rPr>
          <w:rFonts w:ascii="標楷體" w:eastAsia="標楷體" w:hAnsi="標楷體" w:cs="華康細明體"/>
          <w:kern w:val="0"/>
          <w:sz w:val="32"/>
          <w:szCs w:val="32"/>
        </w:rPr>
        <w:t>8</w:t>
      </w:r>
      <w:r w:rsidRPr="00CE5A70">
        <w:rPr>
          <w:rFonts w:ascii="標楷體" w:eastAsia="標楷體" w:hAnsi="標楷體" w:cs="華康細明體" w:hint="eastAsia"/>
          <w:kern w:val="0"/>
          <w:sz w:val="32"/>
          <w:szCs w:val="32"/>
        </w:rPr>
        <w:t>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關務署及所屬142萬元，照列。</w:t>
      </w:r>
    </w:p>
    <w:p w14:paraId="2B21554B" w14:textId="77777777" w:rsidR="009D64D0" w:rsidRPr="00CE5A70" w:rsidRDefault="009D64D0" w:rsidP="00F470A8">
      <w:pPr>
        <w:widowControl w:val="0"/>
        <w:kinsoku w:val="0"/>
        <w:overflowPunct w:val="0"/>
        <w:autoSpaceDN/>
        <w:adjustRightInd w:val="0"/>
        <w:snapToGrid w:val="0"/>
        <w:spacing w:line="460" w:lineRule="exact"/>
        <w:ind w:leftChars="260" w:left="2125" w:hangingChars="469" w:hanging="1501"/>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w:t>
      </w:r>
      <w:r w:rsidRPr="00CE5A70">
        <w:rPr>
          <w:rFonts w:ascii="標楷體" w:eastAsia="標楷體" w:hAnsi="標楷體" w:cs="華康細明體"/>
          <w:kern w:val="0"/>
          <w:sz w:val="32"/>
          <w:szCs w:val="32"/>
        </w:rPr>
        <w:t>9</w:t>
      </w:r>
      <w:r w:rsidRPr="00CE5A70">
        <w:rPr>
          <w:rFonts w:ascii="標楷體" w:eastAsia="標楷體" w:hAnsi="標楷體" w:cs="華康細明體" w:hint="eastAsia"/>
          <w:kern w:val="0"/>
          <w:sz w:val="32"/>
          <w:szCs w:val="32"/>
        </w:rPr>
        <w:t>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國有財產署及所屬原列191億3,837萬3千元，增列第1目「財產孳息」第2節「權利金」1億5</w:t>
      </w:r>
      <w:r w:rsidRPr="00CE5A70">
        <w:rPr>
          <w:rFonts w:ascii="標楷體" w:eastAsia="標楷體" w:hAnsi="標楷體" w:cs="華康細明體"/>
          <w:kern w:val="0"/>
          <w:sz w:val="32"/>
          <w:szCs w:val="32"/>
        </w:rPr>
        <w:t>,000</w:t>
      </w:r>
      <w:r w:rsidRPr="00CE5A70">
        <w:rPr>
          <w:rFonts w:ascii="標楷體" w:eastAsia="標楷體" w:hAnsi="標楷體" w:cs="華康細明體" w:hint="eastAsia"/>
          <w:kern w:val="0"/>
          <w:sz w:val="32"/>
          <w:szCs w:val="32"/>
        </w:rPr>
        <w:t>萬元、第3節「租金收入」2</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000萬元，共計增列1億7,000萬元，其餘均照列，改列為193億0</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837萬3千元。</w:t>
      </w:r>
    </w:p>
    <w:p w14:paraId="38D1D997" w14:textId="77777777" w:rsidR="009D64D0" w:rsidRPr="00CE5A70" w:rsidRDefault="009D64D0" w:rsidP="00F470A8">
      <w:pPr>
        <w:widowControl w:val="0"/>
        <w:kinsoku w:val="0"/>
        <w:overflowPunct w:val="0"/>
        <w:autoSpaceDN/>
        <w:adjustRightInd w:val="0"/>
        <w:snapToGrid w:val="0"/>
        <w:spacing w:line="460" w:lineRule="exact"/>
        <w:ind w:leftChars="260" w:left="4608" w:hangingChars="1245" w:hanging="3984"/>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w:t>
      </w:r>
      <w:r w:rsidRPr="00CE5A70">
        <w:rPr>
          <w:rFonts w:ascii="標楷體" w:eastAsia="標楷體" w:hAnsi="標楷體" w:cs="華康細明體"/>
          <w:kern w:val="0"/>
          <w:sz w:val="32"/>
          <w:szCs w:val="32"/>
        </w:rPr>
        <w:t>100</w:t>
      </w:r>
      <w:r w:rsidRPr="00CE5A70">
        <w:rPr>
          <w:rFonts w:ascii="標楷體" w:eastAsia="標楷體" w:hAnsi="標楷體" w:cs="華康細明體" w:hint="eastAsia"/>
          <w:kern w:val="0"/>
          <w:sz w:val="32"/>
          <w:szCs w:val="32"/>
        </w:rPr>
        <w:t>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財政資訊中心74萬8千元，照列。</w:t>
      </w:r>
    </w:p>
    <w:p w14:paraId="65954A4C" w14:textId="77777777" w:rsidR="009D64D0" w:rsidRPr="00CE5A70" w:rsidRDefault="009D64D0" w:rsidP="00F470A8">
      <w:pPr>
        <w:widowControl w:val="0"/>
        <w:kinsoku w:val="0"/>
        <w:overflowPunct w:val="0"/>
        <w:autoSpaceDN/>
        <w:adjustRightInd w:val="0"/>
        <w:snapToGrid w:val="0"/>
        <w:spacing w:beforeLines="50" w:before="180" w:line="460" w:lineRule="exact"/>
        <w:textAlignment w:val="auto"/>
        <w:rPr>
          <w:rFonts w:ascii="標楷體" w:eastAsia="標楷體" w:hAnsi="標楷體" w:cs="華康細明體"/>
          <w:b/>
          <w:kern w:val="0"/>
          <w:sz w:val="32"/>
          <w:szCs w:val="32"/>
        </w:rPr>
      </w:pPr>
      <w:r w:rsidRPr="00CE5A70">
        <w:rPr>
          <w:rFonts w:ascii="標楷體" w:eastAsia="標楷體" w:hAnsi="標楷體" w:cs="華康細明體" w:hint="eastAsia"/>
          <w:b/>
          <w:kern w:val="0"/>
          <w:sz w:val="32"/>
          <w:szCs w:val="32"/>
        </w:rPr>
        <w:t xml:space="preserve">　第</w:t>
      </w:r>
      <w:r w:rsidRPr="00CE5A70">
        <w:rPr>
          <w:rFonts w:ascii="標楷體" w:eastAsia="標楷體" w:hAnsi="標楷體" w:cs="華康細明體"/>
          <w:b/>
          <w:kern w:val="0"/>
          <w:sz w:val="32"/>
          <w:szCs w:val="32"/>
        </w:rPr>
        <w:t>5</w:t>
      </w:r>
      <w:r w:rsidRPr="00CE5A70">
        <w:rPr>
          <w:rFonts w:ascii="標楷體" w:eastAsia="標楷體" w:hAnsi="標楷體" w:cs="華康細明體" w:hint="eastAsia"/>
          <w:b/>
          <w:kern w:val="0"/>
          <w:sz w:val="32"/>
          <w:szCs w:val="32"/>
        </w:rPr>
        <w:t xml:space="preserve">款　營業盈餘及事業收入    </w:t>
      </w:r>
    </w:p>
    <w:p w14:paraId="2B503AA6" w14:textId="77777777" w:rsidR="009D64D0" w:rsidRPr="00CE5A70" w:rsidRDefault="009D64D0" w:rsidP="00F470A8">
      <w:pPr>
        <w:widowControl w:val="0"/>
        <w:kinsoku w:val="0"/>
        <w:overflowPunct w:val="0"/>
        <w:autoSpaceDE w:val="0"/>
        <w:adjustRightInd w:val="0"/>
        <w:snapToGrid w:val="0"/>
        <w:spacing w:line="460" w:lineRule="exact"/>
        <w:ind w:leftChars="260" w:left="1792" w:hangingChars="365" w:hanging="1168"/>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第4項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財政部原列166億9</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825萬1千元，暫照列，俟所屬營業基金審議確定後，再行調整外，增列第1目「營業基金盈餘繳庫」第1節「股息紅利繳庫」2億5</w:t>
      </w:r>
      <w:r w:rsidRPr="00CE5A70">
        <w:rPr>
          <w:rFonts w:ascii="標楷體" w:eastAsia="標楷體" w:hAnsi="標楷體" w:cs="華康細明體"/>
          <w:kern w:val="0"/>
          <w:sz w:val="32"/>
          <w:szCs w:val="32"/>
        </w:rPr>
        <w:t>,000</w:t>
      </w:r>
      <w:r w:rsidRPr="00CE5A70">
        <w:rPr>
          <w:rFonts w:ascii="標楷體" w:eastAsia="標楷體" w:hAnsi="標楷體" w:cs="華康細明體" w:hint="eastAsia"/>
          <w:kern w:val="0"/>
          <w:sz w:val="32"/>
          <w:szCs w:val="32"/>
        </w:rPr>
        <w:t>萬元、第2目「投資收益」第1節「投資股息紅利」4,007萬8千元，共計增列2億9,007萬8千元(科目均自行調整)，改列為169億8</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832萬9千元。</w:t>
      </w:r>
    </w:p>
    <w:p w14:paraId="3FE6C181" w14:textId="7B04C557" w:rsidR="009D64D0" w:rsidRPr="00CE5A70" w:rsidRDefault="005F20F9" w:rsidP="00F470A8">
      <w:pPr>
        <w:widowControl w:val="0"/>
        <w:kinsoku w:val="0"/>
        <w:overflowPunct w:val="0"/>
        <w:autoSpaceDE w:val="0"/>
        <w:adjustRightInd w:val="0"/>
        <w:snapToGrid w:val="0"/>
        <w:spacing w:line="460" w:lineRule="exact"/>
        <w:ind w:leftChars="260" w:left="1792" w:hangingChars="365" w:hanging="1168"/>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w:t>
      </w:r>
      <w:r>
        <w:rPr>
          <w:rFonts w:ascii="標楷體" w:eastAsia="標楷體" w:hAnsi="標楷體" w:cs="華康細明體" w:hint="eastAsia"/>
          <w:kern w:val="0"/>
          <w:sz w:val="32"/>
          <w:szCs w:val="32"/>
        </w:rPr>
        <w:t>5</w:t>
      </w:r>
      <w:r w:rsidRPr="00CE5A70">
        <w:rPr>
          <w:rFonts w:ascii="標楷體" w:eastAsia="標楷體" w:hAnsi="標楷體" w:cs="華康細明體" w:hint="eastAsia"/>
          <w:kern w:val="0"/>
          <w:sz w:val="32"/>
          <w:szCs w:val="32"/>
        </w:rPr>
        <w:t xml:space="preserve">項　</w:t>
      </w:r>
      <w:r w:rsidR="009D64D0" w:rsidRPr="00CE5A70">
        <w:rPr>
          <w:rFonts w:ascii="標楷體" w:eastAsia="標楷體" w:hAnsi="標楷體" w:cs="華康細明體" w:hint="eastAsia"/>
          <w:kern w:val="0"/>
          <w:sz w:val="32"/>
          <w:szCs w:val="32"/>
        </w:rPr>
        <w:t>國有財產署及所屬原列</w:t>
      </w:r>
      <w:r w:rsidR="009D64D0" w:rsidRPr="00CE5A70">
        <w:rPr>
          <w:rFonts w:ascii="標楷體" w:eastAsia="標楷體" w:hAnsi="標楷體" w:cs="華康細明體"/>
          <w:kern w:val="0"/>
          <w:sz w:val="32"/>
          <w:szCs w:val="32"/>
        </w:rPr>
        <w:t>5</w:t>
      </w:r>
      <w:r w:rsidR="009D64D0" w:rsidRPr="00CE5A70">
        <w:rPr>
          <w:rFonts w:ascii="標楷體" w:eastAsia="標楷體" w:hAnsi="標楷體" w:cs="華康細明體" w:hint="eastAsia"/>
          <w:kern w:val="0"/>
          <w:sz w:val="32"/>
          <w:szCs w:val="32"/>
        </w:rPr>
        <w:t>億5</w:t>
      </w:r>
      <w:r w:rsidR="009D64D0" w:rsidRPr="00CE5A70">
        <w:rPr>
          <w:rFonts w:ascii="標楷體" w:eastAsia="標楷體" w:hAnsi="標楷體" w:cs="華康細明體"/>
          <w:kern w:val="0"/>
          <w:sz w:val="32"/>
          <w:szCs w:val="32"/>
        </w:rPr>
        <w:t>,9</w:t>
      </w:r>
      <w:r w:rsidR="009D64D0" w:rsidRPr="00CE5A70">
        <w:rPr>
          <w:rFonts w:ascii="標楷體" w:eastAsia="標楷體" w:hAnsi="標楷體" w:cs="華康細明體" w:hint="eastAsia"/>
          <w:kern w:val="0"/>
          <w:sz w:val="32"/>
          <w:szCs w:val="32"/>
        </w:rPr>
        <w:t>28萬元（係台灣糖業股份有限公司股息紅利繳庫數)，暫照列，俟所屬營業基金審議確定後，再行調整。</w:t>
      </w:r>
    </w:p>
    <w:p w14:paraId="129A4B7B" w14:textId="77777777" w:rsidR="009D64D0" w:rsidRPr="00CE5A70" w:rsidRDefault="009D64D0" w:rsidP="00F470A8">
      <w:pPr>
        <w:widowControl w:val="0"/>
        <w:kinsoku w:val="0"/>
        <w:overflowPunct w:val="0"/>
        <w:autoSpaceDN/>
        <w:adjustRightInd w:val="0"/>
        <w:snapToGrid w:val="0"/>
        <w:spacing w:beforeLines="50" w:before="180" w:line="460" w:lineRule="exact"/>
        <w:textAlignment w:val="auto"/>
        <w:rPr>
          <w:rFonts w:ascii="標楷體" w:eastAsia="標楷體" w:hAnsi="標楷體" w:cs="華康細明體"/>
          <w:b/>
          <w:kern w:val="0"/>
          <w:sz w:val="32"/>
          <w:szCs w:val="32"/>
        </w:rPr>
      </w:pPr>
      <w:r w:rsidRPr="00CE5A70">
        <w:rPr>
          <w:rFonts w:ascii="標楷體" w:eastAsia="標楷體" w:hAnsi="標楷體" w:cs="華康細明體" w:hint="eastAsia"/>
          <w:b/>
          <w:kern w:val="0"/>
          <w:sz w:val="32"/>
          <w:szCs w:val="32"/>
        </w:rPr>
        <w:t xml:space="preserve">　第</w:t>
      </w:r>
      <w:r w:rsidRPr="00CE5A70">
        <w:rPr>
          <w:rFonts w:ascii="標楷體" w:eastAsia="標楷體" w:hAnsi="標楷體" w:cs="華康細明體"/>
          <w:b/>
          <w:kern w:val="0"/>
          <w:sz w:val="32"/>
          <w:szCs w:val="32"/>
        </w:rPr>
        <w:t>6</w:t>
      </w:r>
      <w:r w:rsidRPr="00CE5A70">
        <w:rPr>
          <w:rFonts w:ascii="標楷體" w:eastAsia="標楷體" w:hAnsi="標楷體" w:cs="華康細明體" w:hint="eastAsia"/>
          <w:b/>
          <w:kern w:val="0"/>
          <w:sz w:val="32"/>
          <w:szCs w:val="32"/>
        </w:rPr>
        <w:t xml:space="preserve">款　捐獻及贈與收入             </w:t>
      </w:r>
    </w:p>
    <w:p w14:paraId="444E6A73"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第1項</w:t>
      </w:r>
      <w:r w:rsidRPr="00CE5A70">
        <w:rPr>
          <w:rFonts w:ascii="標楷體" w:eastAsia="標楷體" w:hAnsi="標楷體" w:cs="華康細明體"/>
          <w:kern w:val="0"/>
          <w:sz w:val="32"/>
          <w:szCs w:val="32"/>
        </w:rPr>
        <w:t xml:space="preserve"> </w:t>
      </w:r>
      <w:r w:rsidRPr="00CE5A70">
        <w:rPr>
          <w:rFonts w:ascii="標楷體" w:eastAsia="標楷體" w:hAnsi="標楷體" w:cs="華康細明體" w:hint="eastAsia"/>
          <w:kern w:val="0"/>
          <w:sz w:val="32"/>
          <w:szCs w:val="32"/>
        </w:rPr>
        <w:t xml:space="preserve"> 國庫署，無列數。</w:t>
      </w:r>
    </w:p>
    <w:p w14:paraId="0F56A389" w14:textId="77777777" w:rsidR="009D64D0" w:rsidRPr="00CE5A70" w:rsidRDefault="009D64D0" w:rsidP="00F470A8">
      <w:pPr>
        <w:widowControl w:val="0"/>
        <w:kinsoku w:val="0"/>
        <w:overflowPunct w:val="0"/>
        <w:autoSpaceDN/>
        <w:adjustRightInd w:val="0"/>
        <w:snapToGrid w:val="0"/>
        <w:spacing w:beforeLines="50" w:before="180" w:line="460" w:lineRule="exact"/>
        <w:textAlignment w:val="auto"/>
        <w:rPr>
          <w:rFonts w:ascii="標楷體" w:eastAsia="標楷體" w:hAnsi="標楷體" w:cs="華康細明體"/>
          <w:b/>
          <w:kern w:val="0"/>
          <w:sz w:val="32"/>
          <w:szCs w:val="32"/>
        </w:rPr>
      </w:pPr>
      <w:r w:rsidRPr="00CE5A70">
        <w:rPr>
          <w:rFonts w:ascii="標楷體" w:eastAsia="標楷體" w:hAnsi="標楷體" w:cs="華康細明體" w:hint="eastAsia"/>
          <w:b/>
          <w:kern w:val="0"/>
          <w:sz w:val="32"/>
          <w:szCs w:val="32"/>
        </w:rPr>
        <w:t xml:space="preserve">　第</w:t>
      </w:r>
      <w:r w:rsidRPr="00CE5A70">
        <w:rPr>
          <w:rFonts w:ascii="標楷體" w:eastAsia="標楷體" w:hAnsi="標楷體" w:cs="華康細明體"/>
          <w:b/>
          <w:kern w:val="0"/>
          <w:sz w:val="32"/>
          <w:szCs w:val="32"/>
        </w:rPr>
        <w:t>7</w:t>
      </w:r>
      <w:r w:rsidRPr="00CE5A70">
        <w:rPr>
          <w:rFonts w:ascii="標楷體" w:eastAsia="標楷體" w:hAnsi="標楷體" w:cs="華康細明體" w:hint="eastAsia"/>
          <w:b/>
          <w:kern w:val="0"/>
          <w:sz w:val="32"/>
          <w:szCs w:val="32"/>
        </w:rPr>
        <w:t xml:space="preserve">款　其他收入              </w:t>
      </w:r>
    </w:p>
    <w:p w14:paraId="09CC6583" w14:textId="77777777" w:rsidR="009D64D0" w:rsidRPr="00CE5A70" w:rsidRDefault="009D64D0" w:rsidP="00F470A8">
      <w:pPr>
        <w:widowControl w:val="0"/>
        <w:kinsoku w:val="0"/>
        <w:overflowPunct w:val="0"/>
        <w:autoSpaceDE w:val="0"/>
        <w:adjustRightInd w:val="0"/>
        <w:snapToGrid w:val="0"/>
        <w:spacing w:line="460" w:lineRule="exact"/>
        <w:ind w:leftChars="260" w:left="1792" w:hangingChars="365" w:hanging="1168"/>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第89項　財政部5億3,039萬9千元，照列。</w:t>
      </w:r>
    </w:p>
    <w:p w14:paraId="015F028C" w14:textId="77777777" w:rsidR="009D64D0" w:rsidRPr="00CE5A70" w:rsidRDefault="009D64D0" w:rsidP="00F470A8">
      <w:pPr>
        <w:widowControl w:val="0"/>
        <w:kinsoku w:val="0"/>
        <w:overflowPunct w:val="0"/>
        <w:autoSpaceDE w:val="0"/>
        <w:adjustRightInd w:val="0"/>
        <w:snapToGrid w:val="0"/>
        <w:spacing w:line="460" w:lineRule="exact"/>
        <w:ind w:leftChars="260" w:left="1792" w:hangingChars="365" w:hanging="1168"/>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第90項　國庫署原列30億2,248萬5千元，增列第1目「雜項收入」第2節「其他雜項收入」1</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000萬元，其餘均照列，改列為30億3,248萬5千元。</w:t>
      </w:r>
    </w:p>
    <w:p w14:paraId="34F171ED"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第91項　賦稅署1,972萬9千元，照列。</w:t>
      </w:r>
    </w:p>
    <w:p w14:paraId="2DAC6C5D"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lastRenderedPageBreak/>
        <w:t>第92項　臺北國稅局3億2,022萬2千元，照列。</w:t>
      </w:r>
    </w:p>
    <w:p w14:paraId="4AC5F3E7"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第93項　高雄國稅局6,907萬9千元，照列。</w:t>
      </w:r>
    </w:p>
    <w:p w14:paraId="272ACB62"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第94項　北區國稅局及所屬9,995萬元，照列。</w:t>
      </w:r>
    </w:p>
    <w:p w14:paraId="2FC94452"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第95項　中區國稅局及所屬2,640萬6千元，照列。</w:t>
      </w:r>
    </w:p>
    <w:p w14:paraId="574ECFD6"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第96項　南區國稅局及所屬2,487萬1千元，照列。</w:t>
      </w:r>
    </w:p>
    <w:p w14:paraId="05881A9D"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第97項　關務署及所屬2,561萬7千元，照列。</w:t>
      </w:r>
    </w:p>
    <w:p w14:paraId="5171B2A7"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第98項　國有財產署及所屬5億0</w:t>
      </w:r>
      <w:r w:rsidRPr="00CE5A70">
        <w:rPr>
          <w:rFonts w:ascii="標楷體" w:eastAsia="標楷體" w:hAnsi="標楷體" w:cs="華康細明體"/>
          <w:kern w:val="0"/>
          <w:sz w:val="32"/>
          <w:szCs w:val="32"/>
        </w:rPr>
        <w:t>,</w:t>
      </w:r>
      <w:r w:rsidRPr="00CE5A70">
        <w:rPr>
          <w:rFonts w:ascii="標楷體" w:eastAsia="標楷體" w:hAnsi="標楷體" w:cs="華康細明體" w:hint="eastAsia"/>
          <w:kern w:val="0"/>
          <w:sz w:val="32"/>
          <w:szCs w:val="32"/>
        </w:rPr>
        <w:t>321萬7千元，照列。</w:t>
      </w:r>
    </w:p>
    <w:p w14:paraId="11DFA4A9" w14:textId="77777777" w:rsidR="009D64D0" w:rsidRPr="00CE5A70" w:rsidRDefault="009D64D0" w:rsidP="00F470A8">
      <w:pPr>
        <w:widowControl w:val="0"/>
        <w:kinsoku w:val="0"/>
        <w:overflowPunct w:val="0"/>
        <w:autoSpaceDE w:val="0"/>
        <w:adjustRightInd w:val="0"/>
        <w:snapToGrid w:val="0"/>
        <w:spacing w:line="460" w:lineRule="exact"/>
        <w:ind w:leftChars="260" w:left="1904" w:hangingChars="400" w:hanging="1280"/>
        <w:jc w:val="both"/>
        <w:textAlignment w:val="auto"/>
        <w:rPr>
          <w:rFonts w:ascii="標楷體" w:eastAsia="標楷體" w:hAnsi="標楷體" w:cs="華康細明體"/>
          <w:kern w:val="0"/>
          <w:sz w:val="32"/>
          <w:szCs w:val="32"/>
        </w:rPr>
      </w:pPr>
      <w:r w:rsidRPr="00CE5A70">
        <w:rPr>
          <w:rFonts w:ascii="標楷體" w:eastAsia="標楷體" w:hAnsi="標楷體" w:cs="華康細明體" w:hint="eastAsia"/>
          <w:kern w:val="0"/>
          <w:sz w:val="32"/>
          <w:szCs w:val="32"/>
        </w:rPr>
        <w:t>第99項　財政資訊中心8千元，照列。</w:t>
      </w:r>
    </w:p>
    <w:p w14:paraId="4BBCA1C3" w14:textId="77777777" w:rsidR="009D64D0" w:rsidRPr="00FD24F8" w:rsidRDefault="009D64D0" w:rsidP="00F470A8">
      <w:pPr>
        <w:pStyle w:val="Default"/>
        <w:overflowPunct w:val="0"/>
        <w:snapToGrid w:val="0"/>
        <w:spacing w:beforeLines="50" w:before="180" w:line="460" w:lineRule="exact"/>
        <w:ind w:left="641" w:hangingChars="200" w:hanging="641"/>
        <w:jc w:val="both"/>
        <w:rPr>
          <w:b/>
          <w:spacing w:val="-2"/>
        </w:rPr>
      </w:pPr>
      <w:r>
        <w:rPr>
          <w:rFonts w:cs="Times New Roman" w:hint="eastAsia"/>
          <w:b/>
          <w:bCs/>
          <w:sz w:val="32"/>
          <w:szCs w:val="32"/>
        </w:rPr>
        <w:t>貳</w:t>
      </w:r>
      <w:r w:rsidRPr="00FD24F8">
        <w:rPr>
          <w:rFonts w:cs="Times New Roman" w:hint="eastAsia"/>
          <w:b/>
          <w:bCs/>
          <w:sz w:val="32"/>
          <w:szCs w:val="32"/>
        </w:rPr>
        <w:t>、</w:t>
      </w:r>
      <w:r w:rsidRPr="00ED73A8">
        <w:rPr>
          <w:rFonts w:cs="Times New Roman" w:hint="eastAsia"/>
          <w:b/>
          <w:bCs/>
          <w:sz w:val="32"/>
          <w:szCs w:val="32"/>
        </w:rPr>
        <w:t>中華民國114年度中央政府總預算案有關財政部、國庫署、財政資訊中心歲出預算部分</w:t>
      </w:r>
      <w:r w:rsidRPr="00ED73A8">
        <w:rPr>
          <w:rFonts w:hint="eastAsia"/>
          <w:b/>
          <w:spacing w:val="-2"/>
          <w:sz w:val="32"/>
          <w:szCs w:val="32"/>
        </w:rPr>
        <w:t>審查結果：</w:t>
      </w:r>
    </w:p>
    <w:p w14:paraId="1E96A2CA" w14:textId="77777777" w:rsidR="009D64D0" w:rsidRPr="002D721C" w:rsidRDefault="009D64D0" w:rsidP="00F470A8">
      <w:pPr>
        <w:widowControl w:val="0"/>
        <w:tabs>
          <w:tab w:val="left" w:pos="1134"/>
          <w:tab w:val="left" w:pos="1418"/>
        </w:tabs>
        <w:overflowPunct w:val="0"/>
        <w:autoSpaceDN/>
        <w:adjustRightInd w:val="0"/>
        <w:snapToGrid w:val="0"/>
        <w:spacing w:line="460" w:lineRule="exact"/>
        <w:textAlignment w:val="auto"/>
        <w:rPr>
          <w:rFonts w:ascii="標楷體" w:eastAsia="標楷體" w:hAnsi="標楷體"/>
          <w:b/>
          <w:kern w:val="0"/>
          <w:sz w:val="32"/>
          <w:szCs w:val="32"/>
        </w:rPr>
      </w:pPr>
      <w:r w:rsidRPr="002D721C">
        <w:rPr>
          <w:rFonts w:ascii="標楷體" w:eastAsia="標楷體" w:hAnsi="標楷體" w:hint="eastAsia"/>
          <w:b/>
          <w:kern w:val="0"/>
          <w:sz w:val="32"/>
          <w:szCs w:val="32"/>
        </w:rPr>
        <w:t xml:space="preserve">　第10款　財政部主管</w:t>
      </w:r>
    </w:p>
    <w:p w14:paraId="13EFD6E8" w14:textId="77777777" w:rsidR="009D64D0" w:rsidRPr="002D721C" w:rsidRDefault="009D64D0" w:rsidP="00F470A8">
      <w:pPr>
        <w:widowControl w:val="0"/>
        <w:kinsoku w:val="0"/>
        <w:overflowPunct w:val="0"/>
        <w:autoSpaceDE w:val="0"/>
        <w:adjustRightInd w:val="0"/>
        <w:snapToGrid w:val="0"/>
        <w:spacing w:beforeLines="50" w:before="180" w:line="460" w:lineRule="exact"/>
        <w:ind w:leftChars="260" w:left="1745" w:hangingChars="350" w:hanging="1121"/>
        <w:jc w:val="both"/>
        <w:textAlignment w:val="auto"/>
        <w:rPr>
          <w:rFonts w:ascii="標楷體" w:eastAsia="標楷體" w:hAnsi="標楷體"/>
          <w:kern w:val="2"/>
          <w:sz w:val="32"/>
          <w:szCs w:val="32"/>
        </w:rPr>
      </w:pPr>
      <w:r w:rsidRPr="002D721C">
        <w:rPr>
          <w:rFonts w:ascii="標楷體" w:eastAsia="標楷體" w:hAnsi="標楷體" w:hint="eastAsia"/>
          <w:b/>
          <w:kern w:val="2"/>
          <w:sz w:val="32"/>
          <w:szCs w:val="32"/>
        </w:rPr>
        <w:t>第1項</w:t>
      </w:r>
      <w:r w:rsidRPr="002D721C">
        <w:rPr>
          <w:rFonts w:ascii="標楷體" w:eastAsia="標楷體" w:hAnsi="標楷體"/>
          <w:b/>
          <w:kern w:val="2"/>
          <w:sz w:val="32"/>
          <w:szCs w:val="32"/>
        </w:rPr>
        <w:t xml:space="preserve">　財政部</w:t>
      </w:r>
      <w:r w:rsidRPr="002D721C">
        <w:rPr>
          <w:rFonts w:ascii="標楷體" w:eastAsia="標楷體" w:hAnsi="標楷體" w:hint="eastAsia"/>
          <w:kern w:val="2"/>
          <w:sz w:val="32"/>
          <w:szCs w:val="32"/>
        </w:rPr>
        <w:t>原列134</w:t>
      </w:r>
      <w:r w:rsidRPr="002D721C">
        <w:rPr>
          <w:rFonts w:ascii="標楷體" w:eastAsia="標楷體" w:hAnsi="標楷體"/>
          <w:kern w:val="2"/>
          <w:sz w:val="32"/>
          <w:szCs w:val="32"/>
        </w:rPr>
        <w:t>億</w:t>
      </w:r>
      <w:r w:rsidRPr="002D721C">
        <w:rPr>
          <w:rFonts w:ascii="標楷體" w:eastAsia="標楷體" w:hAnsi="標楷體" w:hint="eastAsia"/>
          <w:kern w:val="2"/>
          <w:sz w:val="32"/>
          <w:szCs w:val="32"/>
        </w:rPr>
        <w:t>5</w:t>
      </w:r>
      <w:r w:rsidRPr="002D721C">
        <w:rPr>
          <w:rFonts w:ascii="標楷體" w:eastAsia="標楷體" w:hAnsi="標楷體"/>
          <w:kern w:val="2"/>
          <w:sz w:val="32"/>
          <w:szCs w:val="32"/>
        </w:rPr>
        <w:t>,</w:t>
      </w:r>
      <w:r w:rsidRPr="002D721C">
        <w:rPr>
          <w:rFonts w:ascii="標楷體" w:eastAsia="標楷體" w:hAnsi="標楷體" w:hint="eastAsia"/>
          <w:kern w:val="2"/>
          <w:sz w:val="32"/>
          <w:szCs w:val="32"/>
        </w:rPr>
        <w:t>605</w:t>
      </w:r>
      <w:r w:rsidRPr="002D721C">
        <w:rPr>
          <w:rFonts w:ascii="標楷體" w:eastAsia="標楷體" w:hAnsi="標楷體"/>
          <w:kern w:val="2"/>
          <w:sz w:val="32"/>
          <w:szCs w:val="32"/>
        </w:rPr>
        <w:t>萬</w:t>
      </w:r>
      <w:r w:rsidRPr="002D721C">
        <w:rPr>
          <w:rFonts w:ascii="標楷體" w:eastAsia="標楷體" w:hAnsi="標楷體" w:hint="eastAsia"/>
          <w:kern w:val="2"/>
          <w:sz w:val="32"/>
          <w:szCs w:val="32"/>
        </w:rPr>
        <w:t>6</w:t>
      </w:r>
      <w:r w:rsidRPr="002D721C">
        <w:rPr>
          <w:rFonts w:ascii="標楷體" w:eastAsia="標楷體" w:hAnsi="標楷體"/>
          <w:kern w:val="2"/>
          <w:sz w:val="32"/>
          <w:szCs w:val="32"/>
        </w:rPr>
        <w:t>千元，</w:t>
      </w:r>
      <w:r w:rsidRPr="002D721C">
        <w:rPr>
          <w:rFonts w:ascii="標楷體" w:eastAsia="標楷體" w:hAnsi="標楷體" w:hint="eastAsia"/>
          <w:kern w:val="2"/>
          <w:sz w:val="32"/>
          <w:szCs w:val="32"/>
        </w:rPr>
        <w:t>減列第1目「一般行政」項下「基本行政工作維持」30萬元(含「業務費」20萬元）、第3目「促參業務」項下「促進民間參與公共建設業務」之「業務費」70萬元，共計減列100萬元（科目均自行調整），其餘均照列，改列為134</w:t>
      </w:r>
      <w:r w:rsidRPr="002D721C">
        <w:rPr>
          <w:rFonts w:ascii="標楷體" w:eastAsia="標楷體" w:hAnsi="標楷體"/>
          <w:kern w:val="2"/>
          <w:sz w:val="32"/>
          <w:szCs w:val="32"/>
        </w:rPr>
        <w:t>億</w:t>
      </w:r>
      <w:r w:rsidRPr="002D721C">
        <w:rPr>
          <w:rFonts w:ascii="標楷體" w:eastAsia="標楷體" w:hAnsi="標楷體" w:hint="eastAsia"/>
          <w:kern w:val="2"/>
          <w:sz w:val="32"/>
          <w:szCs w:val="32"/>
        </w:rPr>
        <w:t>5</w:t>
      </w:r>
      <w:r w:rsidRPr="002D721C">
        <w:rPr>
          <w:rFonts w:ascii="標楷體" w:eastAsia="標楷體" w:hAnsi="標楷體"/>
          <w:kern w:val="2"/>
          <w:sz w:val="32"/>
          <w:szCs w:val="32"/>
        </w:rPr>
        <w:t>,</w:t>
      </w:r>
      <w:r w:rsidRPr="002D721C">
        <w:rPr>
          <w:rFonts w:ascii="標楷體" w:eastAsia="標楷體" w:hAnsi="標楷體" w:hint="eastAsia"/>
          <w:kern w:val="2"/>
          <w:sz w:val="32"/>
          <w:szCs w:val="32"/>
        </w:rPr>
        <w:t>505</w:t>
      </w:r>
      <w:r w:rsidRPr="002D721C">
        <w:rPr>
          <w:rFonts w:ascii="標楷體" w:eastAsia="標楷體" w:hAnsi="標楷體"/>
          <w:kern w:val="2"/>
          <w:sz w:val="32"/>
          <w:szCs w:val="32"/>
        </w:rPr>
        <w:t>萬</w:t>
      </w:r>
      <w:r w:rsidRPr="002D721C">
        <w:rPr>
          <w:rFonts w:ascii="標楷體" w:eastAsia="標楷體" w:hAnsi="標楷體" w:hint="eastAsia"/>
          <w:kern w:val="2"/>
          <w:sz w:val="32"/>
          <w:szCs w:val="32"/>
        </w:rPr>
        <w:t>6</w:t>
      </w:r>
      <w:r w:rsidRPr="002D721C">
        <w:rPr>
          <w:rFonts w:ascii="標楷體" w:eastAsia="標楷體" w:hAnsi="標楷體"/>
          <w:kern w:val="2"/>
          <w:sz w:val="32"/>
          <w:szCs w:val="32"/>
        </w:rPr>
        <w:t>千元</w:t>
      </w:r>
      <w:r w:rsidRPr="002D721C">
        <w:rPr>
          <w:rFonts w:ascii="標楷體" w:eastAsia="標楷體" w:hAnsi="標楷體" w:hint="eastAsia"/>
          <w:kern w:val="2"/>
          <w:sz w:val="32"/>
          <w:szCs w:val="32"/>
        </w:rPr>
        <w:t>。</w:t>
      </w:r>
    </w:p>
    <w:p w14:paraId="73144C9B" w14:textId="12D047CC" w:rsidR="009D64D0" w:rsidRPr="002D721C" w:rsidRDefault="009D64D0" w:rsidP="00F470A8">
      <w:pPr>
        <w:widowControl w:val="0"/>
        <w:tabs>
          <w:tab w:val="left" w:pos="709"/>
          <w:tab w:val="left" w:pos="851"/>
        </w:tabs>
        <w:kinsoku w:val="0"/>
        <w:overflowPunct w:val="0"/>
        <w:autoSpaceDE w:val="0"/>
        <w:adjustRightInd w:val="0"/>
        <w:snapToGrid w:val="0"/>
        <w:spacing w:line="460" w:lineRule="exact"/>
        <w:jc w:val="both"/>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本項提案1案，保留，送院會處理</w:t>
      </w:r>
      <w:r w:rsidR="00AE2214">
        <w:rPr>
          <w:rFonts w:ascii="標楷體" w:eastAsia="標楷體" w:hAnsi="標楷體" w:hint="eastAsia"/>
          <w:kern w:val="0"/>
          <w:sz w:val="32"/>
          <w:szCs w:val="32"/>
        </w:rPr>
        <w:t>:</w:t>
      </w:r>
    </w:p>
    <w:p w14:paraId="6CCBDDB4" w14:textId="77777777" w:rsidR="009D64D0" w:rsidRPr="002D721C" w:rsidRDefault="009D64D0" w:rsidP="00F470A8">
      <w:pPr>
        <w:widowControl w:val="0"/>
        <w:tabs>
          <w:tab w:val="left" w:pos="709"/>
          <w:tab w:val="left" w:pos="851"/>
        </w:tabs>
        <w:kinsoku w:val="0"/>
        <w:overflowPunct w:val="0"/>
        <w:autoSpaceDE w:val="0"/>
        <w:adjustRightInd w:val="0"/>
        <w:snapToGrid w:val="0"/>
        <w:spacing w:line="460" w:lineRule="exact"/>
        <w:ind w:left="1274" w:hangingChars="398" w:hanging="1274"/>
        <w:jc w:val="both"/>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(一)查財政部</w:t>
      </w:r>
      <w:r w:rsidRPr="002D721C">
        <w:rPr>
          <w:rFonts w:ascii="標楷體" w:eastAsia="標楷體" w:hAnsi="標楷體"/>
          <w:kern w:val="0"/>
          <w:sz w:val="32"/>
          <w:szCs w:val="32"/>
        </w:rPr>
        <w:t>114</w:t>
      </w:r>
      <w:r w:rsidRPr="002D721C">
        <w:rPr>
          <w:rFonts w:ascii="標楷體" w:eastAsia="標楷體" w:hAnsi="標楷體" w:hint="eastAsia"/>
          <w:kern w:val="0"/>
          <w:sz w:val="32"/>
          <w:szCs w:val="32"/>
        </w:rPr>
        <w:t>年度單位預算案於「促參業務</w:t>
      </w:r>
      <w:r w:rsidRPr="002D721C">
        <w:rPr>
          <w:rFonts w:ascii="標楷體" w:eastAsia="標楷體" w:hAnsi="標楷體"/>
          <w:kern w:val="0"/>
          <w:sz w:val="32"/>
          <w:szCs w:val="32"/>
        </w:rPr>
        <w:t>-</w:t>
      </w:r>
      <w:r w:rsidRPr="002D721C">
        <w:rPr>
          <w:rFonts w:ascii="標楷體" w:eastAsia="標楷體" w:hAnsi="標楷體" w:hint="eastAsia"/>
          <w:kern w:val="0"/>
          <w:sz w:val="32"/>
          <w:szCs w:val="32"/>
        </w:rPr>
        <w:t>促進民間參與公共建設業務」項下編列「一般事務費」</w:t>
      </w:r>
      <w:r w:rsidRPr="002D721C">
        <w:rPr>
          <w:rFonts w:ascii="標楷體" w:eastAsia="標楷體" w:hAnsi="標楷體"/>
          <w:kern w:val="0"/>
          <w:sz w:val="32"/>
          <w:szCs w:val="32"/>
        </w:rPr>
        <w:t>35002</w:t>
      </w:r>
      <w:r w:rsidRPr="002D721C">
        <w:rPr>
          <w:rFonts w:ascii="標楷體" w:eastAsia="標楷體" w:hAnsi="標楷體" w:hint="eastAsia"/>
          <w:kern w:val="0"/>
          <w:sz w:val="32"/>
          <w:szCs w:val="32"/>
        </w:rPr>
        <w:t>千元；惟近年促參案爭議頻傳，去年新增</w:t>
      </w:r>
      <w:r w:rsidRPr="002D721C">
        <w:rPr>
          <w:rFonts w:ascii="標楷體" w:eastAsia="標楷體" w:hAnsi="標楷體"/>
          <w:kern w:val="0"/>
          <w:sz w:val="32"/>
          <w:szCs w:val="32"/>
        </w:rPr>
        <w:t>8</w:t>
      </w:r>
      <w:r w:rsidRPr="002D721C">
        <w:rPr>
          <w:rFonts w:ascii="標楷體" w:eastAsia="標楷體" w:hAnsi="標楷體" w:hint="eastAsia"/>
          <w:kern w:val="0"/>
          <w:sz w:val="32"/>
          <w:szCs w:val="32"/>
        </w:rPr>
        <w:t>件促參案提前終止契約，增加金額約數十億元，財政部雖於去年</w:t>
      </w:r>
      <w:r w:rsidRPr="002D721C">
        <w:rPr>
          <w:rFonts w:ascii="標楷體" w:eastAsia="標楷體" w:hAnsi="標楷體"/>
          <w:kern w:val="0"/>
          <w:sz w:val="32"/>
          <w:szCs w:val="32"/>
        </w:rPr>
        <w:t>7</w:t>
      </w:r>
      <w:r w:rsidRPr="002D721C">
        <w:rPr>
          <w:rFonts w:ascii="標楷體" w:eastAsia="標楷體" w:hAnsi="標楷體" w:hint="eastAsia"/>
          <w:kern w:val="0"/>
          <w:sz w:val="32"/>
          <w:szCs w:val="32"/>
        </w:rPr>
        <w:t>月起成立「促參案履約爭議調解會」，但統計至今僅</w:t>
      </w:r>
      <w:r w:rsidRPr="002D721C">
        <w:rPr>
          <w:rFonts w:ascii="標楷體" w:eastAsia="標楷體" w:hAnsi="標楷體"/>
          <w:kern w:val="0"/>
          <w:sz w:val="32"/>
          <w:szCs w:val="32"/>
        </w:rPr>
        <w:t>11</w:t>
      </w:r>
      <w:r w:rsidRPr="002D721C">
        <w:rPr>
          <w:rFonts w:ascii="標楷體" w:eastAsia="標楷體" w:hAnsi="標楷體" w:hint="eastAsia"/>
          <w:kern w:val="0"/>
          <w:sz w:val="32"/>
          <w:szCs w:val="32"/>
        </w:rPr>
        <w:t>件促參案提出調解申請，亦只有</w:t>
      </w:r>
      <w:r w:rsidRPr="002D721C">
        <w:rPr>
          <w:rFonts w:ascii="標楷體" w:eastAsia="標楷體" w:hAnsi="標楷體"/>
          <w:kern w:val="0"/>
          <w:sz w:val="32"/>
          <w:szCs w:val="32"/>
        </w:rPr>
        <w:t>4</w:t>
      </w:r>
      <w:r w:rsidRPr="002D721C">
        <w:rPr>
          <w:rFonts w:ascii="標楷體" w:eastAsia="標楷體" w:hAnsi="標楷體" w:hint="eastAsia"/>
          <w:kern w:val="0"/>
          <w:sz w:val="32"/>
          <w:szCs w:val="32"/>
        </w:rPr>
        <w:t>件調解完成，爭議處理之成效有限。鑑此，爰提案減列財政部「促參業務</w:t>
      </w:r>
      <w:r w:rsidRPr="002D721C">
        <w:rPr>
          <w:rFonts w:ascii="標楷體" w:eastAsia="標楷體" w:hAnsi="標楷體"/>
          <w:kern w:val="0"/>
          <w:sz w:val="32"/>
          <w:szCs w:val="32"/>
        </w:rPr>
        <w:t>-</w:t>
      </w:r>
      <w:r w:rsidRPr="002D721C">
        <w:rPr>
          <w:rFonts w:ascii="標楷體" w:eastAsia="標楷體" w:hAnsi="標楷體" w:hint="eastAsia"/>
          <w:kern w:val="0"/>
          <w:sz w:val="32"/>
          <w:szCs w:val="32"/>
        </w:rPr>
        <w:t>促進民間參與公共建設業務</w:t>
      </w:r>
      <w:r w:rsidRPr="002D721C">
        <w:rPr>
          <w:rFonts w:ascii="標楷體" w:eastAsia="標楷體" w:hAnsi="標楷體"/>
          <w:kern w:val="0"/>
          <w:sz w:val="32"/>
          <w:szCs w:val="32"/>
        </w:rPr>
        <w:t>-</w:t>
      </w:r>
      <w:r w:rsidRPr="002D721C">
        <w:rPr>
          <w:rFonts w:ascii="標楷體" w:eastAsia="標楷體" w:hAnsi="標楷體" w:hint="eastAsia"/>
          <w:kern w:val="0"/>
          <w:sz w:val="32"/>
          <w:szCs w:val="32"/>
        </w:rPr>
        <w:t>一般事務費」</w:t>
      </w:r>
      <w:r w:rsidRPr="002D721C">
        <w:rPr>
          <w:rFonts w:ascii="標楷體" w:eastAsia="標楷體" w:hAnsi="標楷體"/>
          <w:kern w:val="0"/>
          <w:sz w:val="32"/>
          <w:szCs w:val="32"/>
        </w:rPr>
        <w:t>10000</w:t>
      </w:r>
      <w:r w:rsidRPr="002D721C">
        <w:rPr>
          <w:rFonts w:ascii="標楷體" w:eastAsia="標楷體" w:hAnsi="標楷體" w:hint="eastAsia"/>
          <w:kern w:val="0"/>
          <w:sz w:val="32"/>
          <w:szCs w:val="32"/>
        </w:rPr>
        <w:t>千元。</w:t>
      </w:r>
    </w:p>
    <w:p w14:paraId="640524EB" w14:textId="77777777" w:rsidR="009D64D0" w:rsidRPr="002D721C" w:rsidRDefault="002D721C"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 xml:space="preserve">提案人：王世堅　</w:t>
      </w:r>
    </w:p>
    <w:p w14:paraId="3466462E" w14:textId="77777777" w:rsidR="009D64D0" w:rsidRPr="002D721C" w:rsidRDefault="002D721C"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連署人：郭國文　賴惠員</w:t>
      </w:r>
    </w:p>
    <w:p w14:paraId="529F2163" w14:textId="77777777" w:rsidR="009D64D0" w:rsidRPr="002D721C" w:rsidRDefault="009D64D0" w:rsidP="00F470A8">
      <w:pPr>
        <w:widowControl w:val="0"/>
        <w:tabs>
          <w:tab w:val="left" w:pos="709"/>
          <w:tab w:val="left" w:pos="851"/>
        </w:tabs>
        <w:kinsoku w:val="0"/>
        <w:overflowPunct w:val="0"/>
        <w:autoSpaceDE w:val="0"/>
        <w:adjustRightInd w:val="0"/>
        <w:snapToGrid w:val="0"/>
        <w:spacing w:line="460" w:lineRule="exact"/>
        <w:jc w:val="both"/>
        <w:textAlignment w:val="auto"/>
        <w:rPr>
          <w:rFonts w:ascii="標楷體" w:eastAsia="標楷體" w:hAnsi="標楷體"/>
          <w:kern w:val="2"/>
          <w:sz w:val="32"/>
          <w:szCs w:val="32"/>
        </w:rPr>
      </w:pPr>
      <w:r w:rsidRPr="002D721C">
        <w:rPr>
          <w:rFonts w:ascii="標楷體" w:eastAsia="標楷體" w:hAnsi="標楷體" w:hint="eastAsia"/>
          <w:kern w:val="2"/>
          <w:sz w:val="32"/>
          <w:szCs w:val="32"/>
        </w:rPr>
        <w:t xml:space="preserve">　　本項通過決議33項：</w:t>
      </w:r>
    </w:p>
    <w:p w14:paraId="3DD0A22A" w14:textId="77777777" w:rsidR="009D64D0" w:rsidRPr="002D721C" w:rsidRDefault="009D64D0" w:rsidP="00F470A8">
      <w:pPr>
        <w:widowControl w:val="0"/>
        <w:tabs>
          <w:tab w:val="left" w:pos="709"/>
          <w:tab w:val="left" w:pos="851"/>
        </w:tabs>
        <w:kinsoku w:val="0"/>
        <w:overflowPunct w:val="0"/>
        <w:autoSpaceDE w:val="0"/>
        <w:adjustRightInd w:val="0"/>
        <w:snapToGrid w:val="0"/>
        <w:spacing w:line="460" w:lineRule="exact"/>
        <w:ind w:left="1274" w:hangingChars="398" w:hanging="1274"/>
        <w:jc w:val="both"/>
        <w:textAlignment w:val="auto"/>
        <w:rPr>
          <w:rFonts w:ascii="標楷體" w:eastAsia="標楷體" w:hAnsi="標楷體"/>
          <w:kern w:val="2"/>
          <w:sz w:val="32"/>
          <w:szCs w:val="32"/>
        </w:rPr>
      </w:pPr>
      <w:r w:rsidRPr="002D721C">
        <w:rPr>
          <w:rFonts w:ascii="標楷體" w:eastAsia="標楷體" w:hAnsi="標楷體" w:hint="eastAsia"/>
          <w:kern w:val="2"/>
          <w:sz w:val="32"/>
          <w:szCs w:val="32"/>
        </w:rPr>
        <w:t xml:space="preserve">　　(一)114年度財政部預算案於第1目「一般行政」項下「基本行政工作維持」之「業務費」編列9,317萬2千元，我國國營事業</w:t>
      </w:r>
      <w:r w:rsidRPr="002D721C">
        <w:rPr>
          <w:rFonts w:ascii="標楷體" w:eastAsia="標楷體" w:hAnsi="標楷體" w:hint="eastAsia"/>
          <w:kern w:val="2"/>
          <w:sz w:val="32"/>
          <w:szCs w:val="32"/>
        </w:rPr>
        <w:lastRenderedPageBreak/>
        <w:t>之管理，均依照國營事業管理法規定辦理。依照國營事業管理法第14條規定，國營事業之人員待遇及福利，應由行政院規定標準，並不得為標準以外之開支。惟我國國營事業雖多占各該事業之市場寡占地位(如台灣糖業股份有限公司、台灣自來水股份有限公司、台灣電力股份有限公司)，並非我國所有國營事業均如此。財政部所主管之國營金融事業，其所居之金融市場便是完全競爭之市場。準此，財政部對公股行庫之管理，似有參酌金融市場之現況，而有另定標準，而非僅適用行政院主計總處所編定之附屬單位預算共同項目編列作業規範之必要。爰凍結該項預算十分之一，俟財政部於3個月內向立法院財政委員會提出為健全國營金融事業之市場競爭力，就金融市場作為完全競爭市場，如何使國營金融事業相關待遇(包括員工薪資、績效獎金等面向)得以具市場競爭力因應措施之書面報告後，始得動支。</w:t>
      </w:r>
    </w:p>
    <w:p w14:paraId="07E9FEE0" w14:textId="77777777" w:rsidR="009D64D0" w:rsidRPr="002D721C" w:rsidRDefault="002D721C"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提案人：黃珊珊　顏寬恒　王鴻薇　陳玉珍</w:t>
      </w:r>
    </w:p>
    <w:p w14:paraId="36E39425" w14:textId="77777777" w:rsidR="009D64D0" w:rsidRPr="002D721C"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2D721C">
        <w:rPr>
          <w:rFonts w:ascii="標楷體" w:eastAsia="標楷體" w:hAnsi="標楷體" w:hint="eastAsia"/>
          <w:kern w:val="2"/>
          <w:sz w:val="32"/>
          <w:szCs w:val="32"/>
        </w:rPr>
        <w:t xml:space="preserve">　　(二)114年度財政部預算案於第1目「一般行政」項下「基本行政工作維持」之「業務費」編列9,317萬2千元，財政收支劃分法係規範中華民國各級政府財政收支之劃分、調劑及分類之根本大法，然自88年最後修正迄今，我國行政區劃、經濟社會發展已大幅變化，加之地方政府需承擔諸多地方自治事項，卻未有足夠之財源負擔，全台從中央到地方政府首長及民代多有要求檢討法規之聲浪。查財政部為推動修法，除邀集專家學者進行法規研析，更多次邀集地方政府會商，統籌分配稅款之分配指標，並表示凝聚修法共識已有初步成果。為兼顧國家大政與地方發展，應儘早弭平爭端。爰凍結該項預算300萬元，俟財政部就財政收支劃分法修正研議情形，於1個月內向立法院財政委員會提出書面報告後，始得動支</w:t>
      </w:r>
    </w:p>
    <w:p w14:paraId="53B70ED4" w14:textId="77777777" w:rsidR="009D64D0" w:rsidRPr="002D721C" w:rsidRDefault="002D721C"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提案人：黃珊珊　顏寬恒　王鴻薇　陳玉珍</w:t>
      </w:r>
    </w:p>
    <w:p w14:paraId="30C0CE7B" w14:textId="77777777" w:rsidR="009D64D0" w:rsidRPr="002D721C"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2D721C">
        <w:rPr>
          <w:rFonts w:ascii="標楷體" w:eastAsia="標楷體" w:hAnsi="標楷體" w:hint="eastAsia"/>
          <w:kern w:val="2"/>
          <w:sz w:val="32"/>
          <w:szCs w:val="32"/>
        </w:rPr>
        <w:t xml:space="preserve">　　(三)114年度財政部預算案於第1目「一般行政」項下「基本行政工作維持」中「業務費」之「教育訓練費」編列96萬8千元。經查，112年度預算執行率高達124﹪，截至113年8月底</w:t>
      </w:r>
      <w:r w:rsidRPr="002D721C">
        <w:rPr>
          <w:rFonts w:ascii="標楷體" w:eastAsia="標楷體" w:hAnsi="標楷體" w:hint="eastAsia"/>
          <w:kern w:val="2"/>
          <w:sz w:val="32"/>
          <w:szCs w:val="32"/>
        </w:rPr>
        <w:lastRenderedPageBreak/>
        <w:t>預算執行率也已達74﹪，顯見預算編列不盡詳實，需挪用其他科目，為撙節預算。爰凍結該項預算十分之一，俟財政部於3個月內向立法院財政委員會提出書面報告後，始得動支。</w:t>
      </w:r>
    </w:p>
    <w:p w14:paraId="6FBE1B00" w14:textId="77777777" w:rsidR="009D64D0" w:rsidRPr="002D721C" w:rsidRDefault="002D721C"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 xml:space="preserve">提案人：顏寬恒　</w:t>
      </w:r>
    </w:p>
    <w:p w14:paraId="6B1EB26D" w14:textId="77777777" w:rsidR="009D64D0" w:rsidRPr="002D721C" w:rsidRDefault="002D721C"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連署人：王鴻薇　賴士葆　陳玉珍</w:t>
      </w:r>
    </w:p>
    <w:p w14:paraId="13B0014D" w14:textId="77777777" w:rsidR="009D64D0" w:rsidRPr="009B0BAE"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2D721C">
        <w:rPr>
          <w:rFonts w:ascii="標楷體" w:eastAsia="標楷體" w:hAnsi="標楷體" w:hint="eastAsia"/>
          <w:kern w:val="2"/>
          <w:sz w:val="32"/>
          <w:szCs w:val="32"/>
        </w:rPr>
        <w:t xml:space="preserve">　　(四)114年度財政部預算案於第3目「促參業務」項下「促進民間參與公共建設業務」編列9,039萬3千元。惟查，截至113年8月底止，促參案件提前終止契約比率為12.01%，較112年同期之11.89%，高出0.12個百分點。截至113年8月底止，依促進民間參與公共建設法辦理之簽約案計1,673件、民間投資金額1兆0</w:t>
      </w:r>
      <w:r w:rsidRPr="002D721C">
        <w:rPr>
          <w:rFonts w:ascii="標楷體" w:eastAsia="標楷體" w:hAnsi="標楷體"/>
          <w:kern w:val="2"/>
          <w:sz w:val="32"/>
          <w:szCs w:val="32"/>
        </w:rPr>
        <w:t>,</w:t>
      </w:r>
      <w:r w:rsidRPr="002D721C">
        <w:rPr>
          <w:rFonts w:ascii="標楷體" w:eastAsia="標楷體" w:hAnsi="標楷體" w:hint="eastAsia"/>
          <w:kern w:val="2"/>
          <w:sz w:val="32"/>
          <w:szCs w:val="32"/>
        </w:rPr>
        <w:t>161億元，契約期間估計可減少政府財政支出達1兆8,480億元，增加政府收入7,134億元，創造逾18萬個就業機會；惟於此期間提前終止契約件數達201件，解約金額合計1,294.54億元；提前終止契約案件數占全體案件數之12.01%，該比率較112年8月底之11.89%，高出</w:t>
      </w:r>
      <w:r w:rsidRPr="009B0BAE">
        <w:rPr>
          <w:rFonts w:ascii="標楷體" w:eastAsia="標楷體" w:hAnsi="標楷體" w:hint="eastAsia"/>
          <w:kern w:val="2"/>
          <w:sz w:val="32"/>
          <w:szCs w:val="32"/>
        </w:rPr>
        <w:t>0.12個百分點。爰凍結該項預算二十分之一，俟財政部於1個月內向立法院財政委員會提出書面報告後，始得動支。</w:t>
      </w:r>
    </w:p>
    <w:p w14:paraId="622EAAA2" w14:textId="77777777" w:rsidR="009D64D0" w:rsidRPr="002D721C" w:rsidRDefault="009B0B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 xml:space="preserve">提案人：王鴻薇　</w:t>
      </w:r>
    </w:p>
    <w:p w14:paraId="3354E384" w14:textId="77777777" w:rsidR="009D64D0" w:rsidRPr="002D721C" w:rsidRDefault="009B0B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 xml:space="preserve">連署人：賴士葆　顏寬恒　</w:t>
      </w:r>
    </w:p>
    <w:p w14:paraId="5AA9108C" w14:textId="77777777" w:rsidR="009D64D0" w:rsidRPr="009E6594"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9E6594">
        <w:rPr>
          <w:rFonts w:ascii="標楷體" w:eastAsia="標楷體" w:hAnsi="標楷體" w:hint="eastAsia"/>
          <w:kern w:val="2"/>
          <w:sz w:val="32"/>
          <w:szCs w:val="32"/>
        </w:rPr>
        <w:t xml:space="preserve">　　(五)114年度財政部預算案於第3目「促參業務」項下「促進民間參與公共建設業務」編列9,039萬3千元。促進民間參與公共建設法可以替政府減少財政支出，然截至113年8月底止，促參案件提前終止契約比率為12.01%，比例仍高，尚待檢討，且可能發生設施設置待處理或資產閒置之情形。爰凍結該項預算二十分之一，俟財政部於3個月內向立法院財政委員會提出書面報告後，始得動支。</w:t>
      </w:r>
    </w:p>
    <w:p w14:paraId="22ECC3A5" w14:textId="77777777" w:rsidR="009D64D0" w:rsidRPr="002D721C" w:rsidRDefault="009B0B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 xml:space="preserve">提案人：顏寬恒　</w:t>
      </w:r>
    </w:p>
    <w:p w14:paraId="701A6349" w14:textId="77777777" w:rsidR="009D64D0" w:rsidRPr="002D721C" w:rsidRDefault="009B0B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2D721C">
        <w:rPr>
          <w:rFonts w:ascii="標楷體" w:eastAsia="標楷體" w:hAnsi="標楷體" w:hint="eastAsia"/>
          <w:kern w:val="0"/>
          <w:sz w:val="32"/>
          <w:szCs w:val="32"/>
        </w:rPr>
        <w:t>連署人：王鴻薇　陳玉珍　賴士葆</w:t>
      </w:r>
    </w:p>
    <w:p w14:paraId="3F5FD943" w14:textId="77777777" w:rsidR="009D64D0" w:rsidRPr="009E6594"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9E6594">
        <w:rPr>
          <w:rFonts w:ascii="標楷體" w:eastAsia="標楷體" w:hAnsi="標楷體" w:hint="eastAsia"/>
          <w:kern w:val="2"/>
          <w:sz w:val="32"/>
          <w:szCs w:val="32"/>
        </w:rPr>
        <w:t xml:space="preserve">　　(六)查114年度財政部預算案於第3目「促參業務」項下「促進民間參與公共建設業務」之「業務費」編列5,339萬3千元；惟</w:t>
      </w:r>
      <w:r w:rsidRPr="009E6594">
        <w:rPr>
          <w:rFonts w:ascii="標楷體" w:eastAsia="標楷體" w:hAnsi="標楷體" w:hint="eastAsia"/>
          <w:kern w:val="2"/>
          <w:sz w:val="32"/>
          <w:szCs w:val="32"/>
        </w:rPr>
        <w:lastRenderedPageBreak/>
        <w:t>全國促參案爭議頻傳，自103年統計至112年為止，提前終止之促參案共197件，金額達1</w:t>
      </w:r>
      <w:r w:rsidRPr="009E6594">
        <w:rPr>
          <w:rFonts w:ascii="標楷體" w:eastAsia="標楷體" w:hAnsi="標楷體"/>
          <w:kern w:val="2"/>
          <w:sz w:val="32"/>
          <w:szCs w:val="32"/>
        </w:rPr>
        <w:t>,</w:t>
      </w:r>
      <w:r w:rsidRPr="009E6594">
        <w:rPr>
          <w:rFonts w:ascii="標楷體" w:eastAsia="標楷體" w:hAnsi="標楷體" w:hint="eastAsia"/>
          <w:kern w:val="2"/>
          <w:sz w:val="32"/>
          <w:szCs w:val="32"/>
        </w:rPr>
        <w:t>293億元，占整體的案件12.1%，比例居高不下，嚴重影響促參業務推動成效。鑑此，爰凍結該項預算十分之一，俟財政部向立法院財政委員會提出有效減少促參案件爭議之相關規劃後，始得動支。</w:t>
      </w:r>
    </w:p>
    <w:p w14:paraId="5B1EAEFD" w14:textId="29D8FDE8" w:rsidR="009D64D0" w:rsidRPr="009B0BAE" w:rsidRDefault="00924E61"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提案人：王世堅　</w:t>
      </w:r>
    </w:p>
    <w:p w14:paraId="432BFCF9" w14:textId="09AD6C9B" w:rsidR="009D64D0" w:rsidRPr="009B0BAE" w:rsidRDefault="00924E61"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連署人：郭國文　賴惠員</w:t>
      </w:r>
    </w:p>
    <w:p w14:paraId="0994A6DD" w14:textId="77777777" w:rsidR="009D64D0" w:rsidRPr="00AE2214"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9E6594">
        <w:rPr>
          <w:rFonts w:ascii="標楷體" w:eastAsia="標楷體" w:hAnsi="標楷體" w:hint="eastAsia"/>
          <w:kern w:val="2"/>
          <w:sz w:val="32"/>
          <w:szCs w:val="32"/>
        </w:rPr>
        <w:t xml:space="preserve">　　(七)114年度財政部預算案於第3目「促參業務」項下「促進民間參與公共建設業務」之「業務費」編列5,339萬3千元，有鑑於基隆東岸停車場促參OT案之法規適用引發諸多爭議，該案雖已進入司法訴訟程序，但民間投資者恐會因擔憂法遵成本過高，且容易遭受政治攻擊風險，而使民間未來參與公共建設意願降低，不利我國提升公共服務水準，加速社會經濟發展。查財政部係促進民間參與公共建設法之法規主管機關，卻未能於各級政府機關訂定與執行促參契約時，積極給予法規解釋協助及輔導，多以尊重權責機關判斷作為逃避之詞；不僅使國家行政資源浪費於爭訟之上，更使國家經濟建設發展停滯，降低民間參與公共建設意願，影響甚廣。據財政部推動促參司資料，截至113年8月底止提前終止契約件數達201件，解約金額合計1,294.54億元；提前終止契約案件數占全體案件數之12.01%，該比率較112年8月底之11.89%，高出0.12個百分點。爰凍結該項預算二十分之一，俟財政部於3個月內就促參爭議案件分析彙編計畫、針對各機關處理促參案件之主動輔導及防弊機制精進作為向立</w:t>
      </w:r>
      <w:r w:rsidRPr="00AE2214">
        <w:rPr>
          <w:rFonts w:ascii="標楷體" w:eastAsia="標楷體" w:hAnsi="標楷體" w:hint="eastAsia"/>
          <w:kern w:val="2"/>
          <w:sz w:val="32"/>
          <w:szCs w:val="32"/>
        </w:rPr>
        <w:t>法院財政委員會提出書面報告後，始得動支。</w:t>
      </w:r>
    </w:p>
    <w:p w14:paraId="78E30D19" w14:textId="5F35AE3E" w:rsidR="00AE2214" w:rsidRDefault="00924E61"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提案人：黃珊珊　顏寬恒　王鴻薇　陳玉珍</w:t>
      </w:r>
    </w:p>
    <w:p w14:paraId="26D22DED" w14:textId="076F71B4" w:rsidR="009D64D0" w:rsidRPr="009B0BAE" w:rsidRDefault="00924E61"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　</w:t>
      </w:r>
      <w:r w:rsidR="00AE2214" w:rsidRPr="009B0BAE">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李坤城　賴惠員　郭國文</w:t>
      </w:r>
    </w:p>
    <w:p w14:paraId="68389511" w14:textId="3C02DC03" w:rsidR="009D64D0" w:rsidRPr="009B0BAE" w:rsidRDefault="00924E61"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連署人：羅明才　</w:t>
      </w:r>
    </w:p>
    <w:p w14:paraId="5DBBA150" w14:textId="77777777" w:rsidR="009D64D0" w:rsidRPr="009E6594"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9E6594">
        <w:rPr>
          <w:rFonts w:ascii="標楷體" w:eastAsia="標楷體" w:hAnsi="標楷體" w:hint="eastAsia"/>
          <w:kern w:val="2"/>
          <w:sz w:val="32"/>
          <w:szCs w:val="32"/>
        </w:rPr>
        <w:t xml:space="preserve">　　(八)114年度財政部預算案於第6目「捐助支出」編列1億5,964萬3千元，為創造我國與國際組織交流合作機會，建構與國際接軌及更廣泛之國際租稅合作網絡，提升我國國際能見度，</w:t>
      </w:r>
      <w:r w:rsidRPr="009E6594">
        <w:rPr>
          <w:rFonts w:ascii="標楷體" w:eastAsia="標楷體" w:hAnsi="標楷體" w:hint="eastAsia"/>
          <w:kern w:val="2"/>
          <w:sz w:val="32"/>
          <w:szCs w:val="32"/>
        </w:rPr>
        <w:lastRenderedPageBreak/>
        <w:t>114年度財政部編列預算認捐亞洲開發銀行(ADB)國內資源調配信託基金(Domestic Resource Mobilization Trust Fund,DRMTF)共6,600萬元。查DRMTF於106年設立，由日本首先捐助200萬美元並持續增加捐款；我國於111年5月加入捐助100萬美元，使該基金成為多捐助者之信託基金。截至112年3月底，累積基金約1,200萬美元。基金主要功能之一係協助開發中會員國稅制及稅政改革。亞洲開發銀行現有68個會員國，位於亞太地區49國中，有41國仍為ADB定義之開發中國家，其中包含我國在太平洋地區3個友邦馬紹爾群島、帛琉及吐瓦魯國。為提升增進對我友邦協助及增加我國國際能見度，爰凍結該項預算800萬元，俟財政部於1個月內向立法院財政委員會就如何加強DRMTF對我國邦交國協助提出書面報告後，始得動支。</w:t>
      </w:r>
    </w:p>
    <w:p w14:paraId="022868BC" w14:textId="4B62DD39" w:rsidR="009D64D0" w:rsidRPr="009B0BAE" w:rsidRDefault="00924E61"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提案人：黃珊珊　顏寬恒　王鴻薇　郭國文</w:t>
      </w:r>
    </w:p>
    <w:p w14:paraId="6346B2A3" w14:textId="4AED1516" w:rsidR="009D64D0" w:rsidRPr="009B0BAE" w:rsidRDefault="00924E61"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Pr>
          <w:rFonts w:ascii="標楷體" w:eastAsia="標楷體" w:hAnsi="標楷體" w:hint="eastAsia"/>
          <w:kern w:val="0"/>
          <w:sz w:val="32"/>
          <w:szCs w:val="32"/>
        </w:rPr>
        <w:t>連署人：賴惠員　李坤城　賴士葆　陳玉珍</w:t>
      </w:r>
    </w:p>
    <w:p w14:paraId="2A3FF5DA" w14:textId="77777777" w:rsidR="009D64D0" w:rsidRPr="009E6594"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9E6594">
        <w:rPr>
          <w:rFonts w:ascii="標楷體" w:eastAsia="標楷體" w:hAnsi="標楷體" w:hint="eastAsia"/>
          <w:kern w:val="2"/>
          <w:sz w:val="32"/>
          <w:szCs w:val="32"/>
        </w:rPr>
        <w:t xml:space="preserve">　　(九)我國金融市場競爭激烈，根據金融監督管理委員會統計資料，截至113年8月底本國銀行共38家總行，3,388家分行，加計外國銀行在臺分行、信用合作社、農會信用部、中華郵政股份有限公司儲匯處分支機構及其他金融機構，總計多達6,297家之分支機構，顯示國內銀行業為高度競爭之行業，迥異於其他國營事業如獨占或寡占之台灣中油股份有限公司、台灣電力股份有限公司等所面對的市場態樣。國營金融事業機構之各項員工待遇及福利措施卻仍沿用62年之單一薪給制度之規範作為拘束而缺乏彈性，與純民營或泛公股相較，均無法在立足點上與之競爭，在攬才留才上將漸失誘因。綜上，本國銀行在經營上面對相同之完全競爭市場環境，但國營金融事業機構(含臺灣金融控股股份有限公司、臺灣土地銀行股份有限公司及中國輸出入銀行)員工之薪酬、福利措施卻不及其他泛公股金控(銀行)，爰請財政部會同行政院人事行政總處提出拉近國營金融事業機構與泛公股金融同業之伙食費、生育補助、獎金、員工福利信託等福利</w:t>
      </w:r>
      <w:r w:rsidRPr="009E6594">
        <w:rPr>
          <w:rFonts w:ascii="標楷體" w:eastAsia="標楷體" w:hAnsi="標楷體" w:hint="eastAsia"/>
          <w:kern w:val="2"/>
          <w:sz w:val="32"/>
          <w:szCs w:val="32"/>
        </w:rPr>
        <w:lastRenderedPageBreak/>
        <w:t>相關方案，於1個月內向立法院財政委員會提出書面改進方案，以提升其競爭力。</w:t>
      </w:r>
    </w:p>
    <w:p w14:paraId="26D5354B" w14:textId="77777777" w:rsidR="00F70A93"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提案人：賴士葆　李坤城　賴惠員　黃珊珊</w:t>
      </w:r>
    </w:p>
    <w:p w14:paraId="72C7867B" w14:textId="2B4B6518" w:rsidR="009D64D0" w:rsidRPr="009B0BAE" w:rsidRDefault="009D64D0"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B0BAE">
        <w:rPr>
          <w:rFonts w:ascii="標楷體" w:eastAsia="標楷體" w:hAnsi="標楷體" w:hint="eastAsia"/>
          <w:kern w:val="0"/>
          <w:sz w:val="32"/>
          <w:szCs w:val="32"/>
        </w:rPr>
        <w:t xml:space="preserve">　</w:t>
      </w:r>
      <w:r w:rsidR="00F70A93" w:rsidRPr="002D721C">
        <w:rPr>
          <w:rFonts w:ascii="標楷體" w:eastAsia="標楷體" w:hAnsi="標楷體" w:hint="eastAsia"/>
          <w:kern w:val="0"/>
          <w:sz w:val="32"/>
          <w:szCs w:val="32"/>
        </w:rPr>
        <w:t xml:space="preserve">　　　　</w:t>
      </w:r>
      <w:r w:rsidR="00F70A93">
        <w:rPr>
          <w:rFonts w:ascii="標楷體" w:eastAsia="標楷體" w:hAnsi="標楷體" w:hint="eastAsia"/>
          <w:kern w:val="0"/>
          <w:sz w:val="32"/>
          <w:szCs w:val="32"/>
        </w:rPr>
        <w:t xml:space="preserve">　</w:t>
      </w:r>
      <w:r w:rsidRPr="009B0BAE">
        <w:rPr>
          <w:rFonts w:ascii="標楷體" w:eastAsia="標楷體" w:hAnsi="標楷體" w:hint="eastAsia"/>
          <w:kern w:val="0"/>
          <w:sz w:val="32"/>
          <w:szCs w:val="32"/>
        </w:rPr>
        <w:t>王世堅</w:t>
      </w:r>
    </w:p>
    <w:p w14:paraId="6B7F182A" w14:textId="77777777" w:rsidR="009D64D0" w:rsidRPr="009E6594"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9E6594">
        <w:rPr>
          <w:rFonts w:ascii="標楷體" w:eastAsia="標楷體" w:hAnsi="標楷體" w:hint="eastAsia"/>
          <w:kern w:val="2"/>
          <w:sz w:val="32"/>
          <w:szCs w:val="32"/>
        </w:rPr>
        <w:t xml:space="preserve">　　(十)查114年度財政部預算案於第1目「一般行政」編列4億6,854萬1千元；其計畫內容包含行政事務推行及管理、人事、統計、會計、資訊作業等。惟按審計部於113年7月底公告之112年度中央政府總決算審核報告指出：「政府推動普發現金政策，與全民共享經濟成果，惟尚未評估政策執行成效……」等語。鑑於普發現金計畫符合資格之民眾已於112年10月31日（符合資格之新生兒為113年1月31日）完成發放，總計發放1,412億0</w:t>
      </w:r>
      <w:r w:rsidRPr="009E6594">
        <w:rPr>
          <w:rFonts w:ascii="標楷體" w:eastAsia="標楷體" w:hAnsi="標楷體"/>
          <w:kern w:val="2"/>
          <w:sz w:val="32"/>
          <w:szCs w:val="32"/>
        </w:rPr>
        <w:t>,</w:t>
      </w:r>
      <w:r w:rsidRPr="009E6594">
        <w:rPr>
          <w:rFonts w:ascii="標楷體" w:eastAsia="標楷體" w:hAnsi="標楷體" w:hint="eastAsia"/>
          <w:kern w:val="2"/>
          <w:sz w:val="32"/>
          <w:szCs w:val="32"/>
        </w:rPr>
        <w:t>227萬餘元，占預算數之99.69</w:t>
      </w:r>
      <w:r w:rsidRPr="009E6594">
        <w:rPr>
          <w:rFonts w:ascii="標楷體" w:eastAsia="標楷體" w:hAnsi="標楷體"/>
          <w:kern w:val="2"/>
          <w:sz w:val="32"/>
          <w:szCs w:val="32"/>
        </w:rPr>
        <w:t>%</w:t>
      </w:r>
      <w:r w:rsidRPr="009E6594">
        <w:rPr>
          <w:rFonts w:ascii="標楷體" w:eastAsia="標楷體" w:hAnsi="標楷體" w:hint="eastAsia"/>
          <w:kern w:val="2"/>
          <w:sz w:val="32"/>
          <w:szCs w:val="32"/>
        </w:rPr>
        <w:t>；實際領取人數計2,348萬餘人，占符合領取資格人數2,370萬餘人之99.08</w:t>
      </w:r>
      <w:r w:rsidRPr="009E6594">
        <w:rPr>
          <w:rFonts w:ascii="標楷體" w:eastAsia="標楷體" w:hAnsi="標楷體"/>
          <w:kern w:val="2"/>
          <w:sz w:val="32"/>
          <w:szCs w:val="32"/>
        </w:rPr>
        <w:t>%</w:t>
      </w:r>
      <w:r w:rsidRPr="009E6594">
        <w:rPr>
          <w:rFonts w:ascii="標楷體" w:eastAsia="標楷體" w:hAnsi="標楷體" w:hint="eastAsia"/>
          <w:kern w:val="2"/>
          <w:sz w:val="32"/>
          <w:szCs w:val="32"/>
        </w:rPr>
        <w:t>。本計畫執行完成至今已近1年，且多數民眾均已於112年完成領取，因此應有條件進行政策經濟效益評估。綜上所述，要求財政部於3個月內向立法院財政委員會提出全民共享普發現金政策執行成效書面報告。</w:t>
      </w:r>
    </w:p>
    <w:p w14:paraId="05CEEA4A" w14:textId="0466A58F"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提案人：賴惠員　</w:t>
      </w:r>
    </w:p>
    <w:p w14:paraId="6DFEC311" w14:textId="2575A37F"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連署人：吳秉叡　郭國文　　</w:t>
      </w:r>
    </w:p>
    <w:p w14:paraId="618E4721"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十一)據113年度總預算所提之主決議第57項次，財政部稱已遵奉行政院指示，著手進行財政收支劃分法修法之研議，惟迄今仍未能提出修法草案，亦未見完整之評估報告及修法方向意見，顯未見其成效，請財政部於</w:t>
      </w:r>
      <w:r w:rsidRPr="008A4786">
        <w:rPr>
          <w:rFonts w:ascii="標楷體" w:eastAsia="標楷體" w:hAnsi="標楷體"/>
          <w:kern w:val="0"/>
          <w:sz w:val="32"/>
          <w:szCs w:val="32"/>
        </w:rPr>
        <w:t>3</w:t>
      </w:r>
      <w:r w:rsidRPr="008A4786">
        <w:rPr>
          <w:rFonts w:ascii="標楷體" w:eastAsia="標楷體" w:hAnsi="標楷體" w:hint="eastAsia"/>
          <w:kern w:val="0"/>
          <w:sz w:val="32"/>
          <w:szCs w:val="32"/>
        </w:rPr>
        <w:t>個月内向立法院財政委員會提出書面報告。</w:t>
      </w:r>
    </w:p>
    <w:p w14:paraId="2A4BA2D1" w14:textId="32BBAB6C"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提案人：李彥秀　</w:t>
      </w:r>
    </w:p>
    <w:p w14:paraId="32B1FFFF" w14:textId="0BF4E1FC"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連署人：羅明才　陳玉珍　</w:t>
      </w:r>
    </w:p>
    <w:p w14:paraId="71B6ABD5"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十二)114年度財政部預算案於第1目「一般行政」項下「基本行政工作維持」之「業務費」編列9,317萬2千元。其中辦理2項委託研究計畫編列180萬元，並未說明其內容，無法判別其計畫之必要性。爰要求財政部於1個月內向立法院財政委員會提出書面報告。</w:t>
      </w:r>
    </w:p>
    <w:p w14:paraId="07EAEE30" w14:textId="1CC18181"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9B0BAE">
        <w:rPr>
          <w:rFonts w:ascii="標楷體" w:eastAsia="標楷體" w:hAnsi="標楷體" w:hint="eastAsia"/>
          <w:kern w:val="0"/>
          <w:sz w:val="32"/>
          <w:szCs w:val="32"/>
        </w:rPr>
        <w:t xml:space="preserve">提案人：郭國文　</w:t>
      </w:r>
    </w:p>
    <w:p w14:paraId="5AC058D0" w14:textId="5CC1C638"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連署人：賴惠員　李坤城</w:t>
      </w:r>
    </w:p>
    <w:p w14:paraId="201C184E"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十三)114年度財政部預算案於第1目「一般行政」項下「基本行政工作維持」中「業務費」之「一般事務費」編列預算3,972萬9千元。經查，財政部為推動性別平等計畫，目前國營事業董、監事任一性別比率不少於三分之一之標準，並未達標，期各國營事業加速改善，又國營事業人員任用經常性政治操作，以致觀感不佳，期能改善。請財政部於3個月內向立法院財政委員會提出書面報告。</w:t>
      </w:r>
    </w:p>
    <w:p w14:paraId="70DD1BA9" w14:textId="3E9700E8"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提案人：顏寬恒　</w:t>
      </w:r>
    </w:p>
    <w:p w14:paraId="6D7B0C7E" w14:textId="5982D1AF"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連署人：王鴻薇　賴士葆　陳玉珍</w:t>
      </w:r>
    </w:p>
    <w:p w14:paraId="249B1F68"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(十四)114年度財政部預算案於第3目「促參業務」編列9</w:t>
      </w:r>
      <w:r w:rsidRPr="008A4786">
        <w:rPr>
          <w:rFonts w:ascii="標楷體" w:eastAsia="標楷體" w:hAnsi="標楷體"/>
          <w:kern w:val="0"/>
          <w:sz w:val="32"/>
          <w:szCs w:val="32"/>
        </w:rPr>
        <w:t>,</w:t>
      </w:r>
      <w:r w:rsidRPr="008A4786">
        <w:rPr>
          <w:rFonts w:ascii="標楷體" w:eastAsia="標楷體" w:hAnsi="標楷體" w:hint="eastAsia"/>
          <w:kern w:val="0"/>
          <w:sz w:val="32"/>
          <w:szCs w:val="32"/>
        </w:rPr>
        <w:t>039萬3千元，較113年度增加72萬1千元。看似增加幅度不大，但分析其中個別項目，「資訊服務費」增加90萬元，「約用人員酬金」增加147萬3千元，「一般事務費」增加424萬7千元，以及「資訊軟硬體設備費」增加300萬元等4項增幅較大，且未清楚說明用途，似可撙節。基於國家財政經費宜撙節使用下，請財政部向立法院財政委員會提出協助金門具體推動促參業務之書面報告。</w:t>
      </w:r>
    </w:p>
    <w:p w14:paraId="6E10A654" w14:textId="216492AC"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提案人：陳玉珍</w:t>
      </w:r>
    </w:p>
    <w:p w14:paraId="0FC9E4A5" w14:textId="5FECC7D8"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連署人：羅明才　顏寬恒　</w:t>
      </w:r>
    </w:p>
    <w:p w14:paraId="4F5558CB" w14:textId="77777777" w:rsidR="009D64D0" w:rsidRPr="008A4786" w:rsidRDefault="009D64D0" w:rsidP="00F470A8">
      <w:pPr>
        <w:tabs>
          <w:tab w:val="left" w:pos="709"/>
          <w:tab w:val="left" w:pos="851"/>
        </w:tabs>
        <w:overflowPunct w:val="0"/>
        <w:autoSpaceDE w:val="0"/>
        <w:spacing w:line="460" w:lineRule="exact"/>
        <w:ind w:left="1600" w:hangingChars="500" w:hanging="1600"/>
        <w:jc w:val="both"/>
        <w:rPr>
          <w:rFonts w:ascii="標楷體" w:eastAsia="標楷體" w:hAnsi="標楷體"/>
          <w:kern w:val="0"/>
          <w:sz w:val="32"/>
          <w:szCs w:val="32"/>
        </w:rPr>
      </w:pPr>
      <w:r w:rsidRPr="008A4786">
        <w:rPr>
          <w:rFonts w:ascii="標楷體" w:eastAsia="標楷體" w:hAnsi="標楷體" w:hint="eastAsia"/>
          <w:kern w:val="0"/>
          <w:sz w:val="32"/>
          <w:szCs w:val="32"/>
        </w:rPr>
        <w:t xml:space="preserve">　　(十五)114年度財政部預算案於第3目「促參業務」項下「促進民間參與公共建設業務」編列9,039萬3千元。據113年7月底報導，財政部莊翠雲部長於促參研習會上指出：113年前7個月間，民間投資公共建設金額高達767億元，其中促參案件就有201億元。部長也於會中提及：113年下半年至114年上半年止，已公開的案源尚有76件，總金額達1</w:t>
      </w:r>
      <w:r w:rsidRPr="008A4786">
        <w:rPr>
          <w:rFonts w:ascii="標楷體" w:eastAsia="標楷體" w:hAnsi="標楷體"/>
          <w:kern w:val="0"/>
          <w:sz w:val="32"/>
          <w:szCs w:val="32"/>
        </w:rPr>
        <w:t>,</w:t>
      </w:r>
      <w:r w:rsidRPr="008A4786">
        <w:rPr>
          <w:rFonts w:ascii="標楷體" w:eastAsia="標楷體" w:hAnsi="標楷體" w:hint="eastAsia"/>
          <w:kern w:val="0"/>
          <w:sz w:val="32"/>
          <w:szCs w:val="32"/>
        </w:rPr>
        <w:t>300億元為歷年新高。然就我國公共建設，尤以社會住宅案件觀之，各機關於辦理建設時，仍多以逐年編列公務預算、發行公債等方式籌措財源，致社會住宅整體新建比例較低。鑑此，為提升促參案件用於公共建設之比例、促進公</w:t>
      </w:r>
      <w:r w:rsidRPr="008A4786">
        <w:rPr>
          <w:rFonts w:ascii="標楷體" w:eastAsia="標楷體" w:hAnsi="標楷體" w:hint="eastAsia"/>
          <w:kern w:val="0"/>
          <w:sz w:val="32"/>
          <w:szCs w:val="32"/>
        </w:rPr>
        <w:lastRenderedPageBreak/>
        <w:t>共建設興建速度與發展，請財政部於1個月內向立法院財政委員會就如何鼓勵各機關於公共建設案中運用促參資源提出書面報告。</w:t>
      </w:r>
    </w:p>
    <w:p w14:paraId="183C4F32" w14:textId="4878B5CC"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提案人：賴惠員　</w:t>
      </w:r>
    </w:p>
    <w:p w14:paraId="5CB6F6C5" w14:textId="393F53A0"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連署人：吳秉叡　郭國文</w:t>
      </w:r>
    </w:p>
    <w:p w14:paraId="7225D9F3" w14:textId="77777777" w:rsidR="009D64D0" w:rsidRPr="008A4786" w:rsidRDefault="009D64D0" w:rsidP="00F470A8">
      <w:pPr>
        <w:tabs>
          <w:tab w:val="left" w:pos="709"/>
          <w:tab w:val="left" w:pos="851"/>
        </w:tabs>
        <w:overflowPunct w:val="0"/>
        <w:autoSpaceDE w:val="0"/>
        <w:spacing w:line="460" w:lineRule="exact"/>
        <w:ind w:left="1600" w:hangingChars="500" w:hanging="1600"/>
        <w:jc w:val="both"/>
        <w:rPr>
          <w:rFonts w:ascii="標楷體" w:eastAsia="標楷體" w:hAnsi="標楷體"/>
          <w:kern w:val="0"/>
          <w:sz w:val="32"/>
          <w:szCs w:val="32"/>
        </w:rPr>
      </w:pPr>
      <w:r w:rsidRPr="008A4786">
        <w:rPr>
          <w:rFonts w:ascii="標楷體" w:eastAsia="標楷體" w:hAnsi="標楷體" w:hint="eastAsia"/>
          <w:kern w:val="0"/>
          <w:sz w:val="32"/>
          <w:szCs w:val="32"/>
        </w:rPr>
        <w:t xml:space="preserve">　　(十六)114年度財政部預算案於第9目「投資支出」第1節「中美洲銀行股本」編列2億7,625萬元。中美洲銀行近期有諸多爭議，資金運用上不但不透明而且有許多不合理的支出，請財政部提出書面報告並具體提出這筆錢花下去對於台灣實質的幫助為何，再者鑑於114年度中央政府總預算案尚須舉借債務706億元，允宜盱衡國內財政情勢妥為運用。建請財政部於1個月內就此筆投資支出預算對我國實際幫助向立法院財政委員會提出書面報告。</w:t>
      </w:r>
    </w:p>
    <w:p w14:paraId="31273F2E" w14:textId="6445D567"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提案人：李坤城　賴惠員　郭國文</w:t>
      </w:r>
    </w:p>
    <w:p w14:paraId="49AFA3F3" w14:textId="77777777" w:rsidR="009D64D0" w:rsidRPr="008A4786" w:rsidRDefault="009D64D0" w:rsidP="00F470A8">
      <w:pPr>
        <w:tabs>
          <w:tab w:val="left" w:pos="709"/>
          <w:tab w:val="left" w:pos="851"/>
        </w:tabs>
        <w:overflowPunct w:val="0"/>
        <w:autoSpaceDE w:val="0"/>
        <w:spacing w:line="460" w:lineRule="exact"/>
        <w:ind w:left="1600" w:hangingChars="500" w:hanging="1600"/>
        <w:jc w:val="both"/>
        <w:rPr>
          <w:rFonts w:ascii="標楷體" w:eastAsia="標楷體" w:hAnsi="標楷體"/>
          <w:kern w:val="0"/>
          <w:sz w:val="32"/>
          <w:szCs w:val="32"/>
        </w:rPr>
      </w:pPr>
      <w:r w:rsidRPr="008A4786">
        <w:rPr>
          <w:rFonts w:ascii="標楷體" w:eastAsia="標楷體" w:hAnsi="標楷體" w:hint="eastAsia"/>
          <w:kern w:val="0"/>
          <w:sz w:val="32"/>
          <w:szCs w:val="32"/>
        </w:rPr>
        <w:t xml:space="preserve">　　(十七)查詢98年11月26日發布之新聞稿銓敘部表示：91年底止尚待國庫撥補數約620億元，扣除91年度財政部所編列撥補數約為219餘億元，則91年底尚有約400億元尚待財政部撥補，是以，財政部配合於92年度編列400億元撥補。而隨著請領養老給付中屬於修法前應給付之年資逐年減少，每年潛藏負債實現數亦將逐年減少。從財政部歷年編列之虧損補貼，預算數確實逐年減少，但虧損補貼從109年度68.7億元最低，從110年度反轉增加為77.1億元、111年度74.6億元、112年度76.03億元、113年度90.18億元、114年度104.16億元，近4年不減反增，有違常理。因此，要求財政部於3個月內向立法院財政委員會提出書面報告。</w:t>
      </w:r>
    </w:p>
    <w:p w14:paraId="72316BC1" w14:textId="4EDD03FF"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提案人：李坤城　賴惠員　郭國文</w:t>
      </w:r>
    </w:p>
    <w:p w14:paraId="6CFFBA14" w14:textId="77777777" w:rsidR="009D64D0" w:rsidRPr="008A4786" w:rsidRDefault="009D64D0" w:rsidP="00F470A8">
      <w:pPr>
        <w:tabs>
          <w:tab w:val="left" w:pos="709"/>
          <w:tab w:val="left" w:pos="851"/>
        </w:tabs>
        <w:overflowPunct w:val="0"/>
        <w:autoSpaceDE w:val="0"/>
        <w:spacing w:line="460" w:lineRule="exact"/>
        <w:ind w:left="1600" w:hangingChars="500" w:hanging="1600"/>
        <w:jc w:val="both"/>
        <w:rPr>
          <w:rFonts w:ascii="標楷體" w:eastAsia="標楷體" w:hAnsi="標楷體"/>
          <w:kern w:val="0"/>
          <w:sz w:val="32"/>
          <w:szCs w:val="32"/>
        </w:rPr>
      </w:pPr>
      <w:r w:rsidRPr="008A4786">
        <w:rPr>
          <w:rFonts w:ascii="標楷體" w:eastAsia="標楷體" w:hAnsi="標楷體" w:hint="eastAsia"/>
          <w:kern w:val="0"/>
          <w:sz w:val="32"/>
          <w:szCs w:val="32"/>
        </w:rPr>
        <w:t xml:space="preserve">　　(十八)總統府氣候變遷對策委員會第二次會議，提出深度節能方案，公部門等應一起帶頭節能。查財政部及所屬機關112年總用電數為6,084萬7,006度，平均每月用電507萬0,583度；113年1至7月用電數為3,061萬1,160度，平均每月用電437萬3,022度；但114年用電預估為6,230萬3,068度，</w:t>
      </w:r>
      <w:r w:rsidRPr="008A4786">
        <w:rPr>
          <w:rFonts w:ascii="標楷體" w:eastAsia="標楷體" w:hAnsi="標楷體" w:hint="eastAsia"/>
          <w:kern w:val="0"/>
          <w:sz w:val="32"/>
          <w:szCs w:val="32"/>
        </w:rPr>
        <w:lastRenderedPageBreak/>
        <w:t>平均每月用電519萬1,922度，完全沒有節能用電之思維，爰要求財政部於3個月內向立法院財政委員會提出節約用電書面報告。</w:t>
      </w:r>
    </w:p>
    <w:p w14:paraId="299291EB" w14:textId="1F5EDF88"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提案人：李坤城　賴惠員　郭國文</w:t>
      </w:r>
    </w:p>
    <w:p w14:paraId="76F4B990" w14:textId="77777777" w:rsidR="009D64D0" w:rsidRPr="008A4786" w:rsidRDefault="009D64D0" w:rsidP="00F470A8">
      <w:pPr>
        <w:tabs>
          <w:tab w:val="left" w:pos="709"/>
          <w:tab w:val="left" w:pos="851"/>
        </w:tabs>
        <w:overflowPunct w:val="0"/>
        <w:autoSpaceDE w:val="0"/>
        <w:spacing w:line="460" w:lineRule="exact"/>
        <w:ind w:left="1600" w:hangingChars="500" w:hanging="1600"/>
        <w:jc w:val="both"/>
        <w:rPr>
          <w:rFonts w:ascii="標楷體" w:eastAsia="標楷體" w:hAnsi="標楷體"/>
          <w:kern w:val="0"/>
          <w:sz w:val="32"/>
          <w:szCs w:val="32"/>
        </w:rPr>
      </w:pPr>
      <w:r w:rsidRPr="008A4786">
        <w:rPr>
          <w:rFonts w:ascii="標楷體" w:eastAsia="標楷體" w:hAnsi="標楷體" w:hint="eastAsia"/>
          <w:kern w:val="0"/>
          <w:sz w:val="32"/>
          <w:szCs w:val="32"/>
        </w:rPr>
        <w:t xml:space="preserve">　　(十九)截至113年8月底止，依促進民間參與公共建設法辦理之簽約案計1,673件、民間投資金額1兆0</w:t>
      </w:r>
      <w:r w:rsidRPr="008A4786">
        <w:rPr>
          <w:rFonts w:ascii="標楷體" w:eastAsia="標楷體" w:hAnsi="標楷體"/>
          <w:kern w:val="0"/>
          <w:sz w:val="32"/>
          <w:szCs w:val="32"/>
        </w:rPr>
        <w:t>,</w:t>
      </w:r>
      <w:r w:rsidRPr="008A4786">
        <w:rPr>
          <w:rFonts w:ascii="標楷體" w:eastAsia="標楷體" w:hAnsi="標楷體" w:hint="eastAsia"/>
          <w:kern w:val="0"/>
          <w:sz w:val="32"/>
          <w:szCs w:val="32"/>
        </w:rPr>
        <w:t>161億元；惟於此期間提前終止契約件數達201件，解約金額合計1,294.54億元；提前終止契約案件數占全體案件數之12.01%，該比率較112年8月底之11.89%，高出0.12個百分點。鑑於促參案件提前解約後，恐發生設施設置不全待處理或資產閒置情形，爰要求財政部整理歷年提前解約案件並進行個案分析，於3個月內向立法院財政委員會提出書面報告。</w:t>
      </w:r>
    </w:p>
    <w:p w14:paraId="257FB74F" w14:textId="54F7946E"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提案人：李坤城　賴惠員　郭國文</w:t>
      </w:r>
    </w:p>
    <w:p w14:paraId="2FA81E0D"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(二　十)有鑑於以往政府提出重大建設特別預算，有預為規劃償債財源與以未來營運所得償還債務，對健全國家財政秩序尚具良性影響，然近幾年來特別預算財源多為公債及賒借收入，未預為規劃償債財源，恐影響財政健全，有加重後代債務負擔之隱憂，爰要求財政部針對最近10年特別預算條例中列有排除適用預算法、公共債務法或財政紀律法等相關規範，提出檢討分析對國家財政負擔及財政稅收之影響，於3個月內向立法院財政委員會提出書面報告。</w:t>
      </w:r>
    </w:p>
    <w:p w14:paraId="5F95B615" w14:textId="097F6278"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提案人：賴士葆　林德福　顏寬恒　</w:t>
      </w:r>
    </w:p>
    <w:p w14:paraId="0D7729E9"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二十一)近5年來中央政府總預算歲入結構中，稅課收入占歲入總額之比率均逾八成，114年度預算案之占比更高達87.97%，因此估測精準度對於歲出資源之配置及財政收支平衡有著重大影響。經查114年度總預算案稅課收入編列2兆7,739.92億元，較113年度增加4,599.72億元，增幅19.88%，惟經濟成長率反映稅課收入應成正比，始得適當。因此114年稅課收入編列增幅是否精準，請財政部就外界對稅課收入編列之疑慮，於3個月內向立法</w:t>
      </w:r>
      <w:r w:rsidRPr="008A4786">
        <w:rPr>
          <w:rFonts w:ascii="標楷體" w:eastAsia="標楷體" w:hAnsi="標楷體" w:hint="eastAsia"/>
          <w:kern w:val="0"/>
          <w:sz w:val="32"/>
          <w:szCs w:val="32"/>
        </w:rPr>
        <w:lastRenderedPageBreak/>
        <w:t>院財政委員會提出書面報告。</w:t>
      </w:r>
    </w:p>
    <w:p w14:paraId="2F8F80CC" w14:textId="772196FE"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提案人：林德福　賴士葆　顏寬恒　</w:t>
      </w:r>
    </w:p>
    <w:p w14:paraId="2F4CF1F2"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二十二)有鑑於近年從價課徵之營業稅、關稅、貨物稅等稅收增加，部分原因係受物價上漲所致，由於屬間接稅業者易將稅捐轉嫁由消費者負擔，雖所得稅法訂有隨物價調整免稅額之機制，惟仍有時間落差，致納稅者在受CPI增加影響實質薪資下降時，所負擔之稅負不減反增。爰要求財政部按基本工資、經濟成長率及消費者物價指數波動，適時檢討相關調整機制，追溯調整年度個人綜合所得稅免稅額，於2個月內向立法院財政委員會提出書面報告。</w:t>
      </w:r>
    </w:p>
    <w:p w14:paraId="35EA909B" w14:textId="51F7DFFB"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提案人：賴士葆　林德福　顏寬恒　</w:t>
      </w:r>
    </w:p>
    <w:p w14:paraId="02BA4CED"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二十三)有鑑於政府面對少子女化之人口結構變遷，自107年度起預算規模亦逐年提高，114年度預算案數已高達1,177億元，經費補助雖有助於減輕生養子女之負擔，惟囿於補助期間及金額，誘因相對有限，宜積極研議建構合於生養子女之環境因素。爰要求財政部提高幼兒學前特別扣除為行政院主計總處公布前一年度國人平均年總薪資之半數，以提升年輕人對於生育之意願，俾達成計畫目標，於2個月內向立法院財政委員會提出書面報告。</w:t>
      </w:r>
    </w:p>
    <w:p w14:paraId="4025BF91" w14:textId="0EB3A432"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提案人：賴士葆　林德福　顏寬恒　</w:t>
      </w:r>
    </w:p>
    <w:p w14:paraId="0333029C"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(二十四)有鑑於美中貿易戰持續，我對美國之貿易依存度持續增加，已躍居第二大出口市場，113年前1</w:t>
      </w:r>
      <w:r w:rsidRPr="008A4786">
        <w:rPr>
          <w:rFonts w:ascii="標楷體" w:eastAsia="標楷體" w:hAnsi="標楷體"/>
          <w:kern w:val="0"/>
          <w:sz w:val="32"/>
          <w:szCs w:val="32"/>
        </w:rPr>
        <w:t>0</w:t>
      </w:r>
      <w:r w:rsidRPr="008A4786">
        <w:rPr>
          <w:rFonts w:ascii="標楷體" w:eastAsia="標楷體" w:hAnsi="標楷體" w:hint="eastAsia"/>
          <w:kern w:val="0"/>
          <w:sz w:val="32"/>
          <w:szCs w:val="32"/>
        </w:rPr>
        <w:t>月對美國出超已達529億美元，顯示出口市場結構出現顯著變化，為免美國新政府對台貿易制裁提高關稅。爰要求財政部會同經濟部對美國出口至臺灣產品提出相對應關稅變動策略，及分析對政府相關進出口關稅可能造成影響，以降低對國內業者之衝擊，於3個月向立法院財政委員會提出書面報告。</w:t>
      </w:r>
    </w:p>
    <w:p w14:paraId="56F7D87D" w14:textId="49083132"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提案人：賴士葆　林德福　顏寬恒　</w:t>
      </w:r>
    </w:p>
    <w:p w14:paraId="7D3907A1" w14:textId="77777777" w:rsidR="009D64D0" w:rsidRPr="008A4786"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8A4786">
        <w:rPr>
          <w:rFonts w:ascii="標楷體" w:eastAsia="標楷體" w:hAnsi="標楷體" w:hint="eastAsia"/>
          <w:kern w:val="0"/>
          <w:sz w:val="32"/>
          <w:szCs w:val="32"/>
        </w:rPr>
        <w:t xml:space="preserve">　　(二十五)娛樂稅法之制定源起於31年，當時政府因抗戰而財政困</w:t>
      </w:r>
      <w:r w:rsidRPr="008A4786">
        <w:rPr>
          <w:rFonts w:ascii="標楷體" w:eastAsia="標楷體" w:hAnsi="標楷體" w:hint="eastAsia"/>
          <w:kern w:val="0"/>
          <w:sz w:val="32"/>
          <w:szCs w:val="32"/>
        </w:rPr>
        <w:lastRenderedPageBreak/>
        <w:t>窘，為充裕國庫稅收，並提倡戰時儉約生活風氣，以寓禁於徵的方式，對民眾娛樂消費行為進行課稅，以改善社會奢靡風氣。然而，隨社會發展與社會風氣的改變，國家宜積極保障人民從事各項休閒娛樂的自由與權力，而娛樂稅法之立法目的及課徵項目，顯與現行社會發展情勢相違背。因此，行政院於113年9月通過娛樂稅法部分條文修正草案，推動修法授權地方政府得視產業發展、政策需要及財政狀況，停徵藝文活動及競技比賽課稅項目之娛樂稅。財政部統計處近期僅有於107年完成近年娛樂稅徵起情形及稅源分布結構分析報告。然而，107年迄今，財政部則並未再對娛樂稅有過進一步分析報告公開，恐難有效檢視娛樂稅法相關修正成效及差短彌補。爰此，請財政部於3個月內就110年迄今娛樂稅徵起情形及稅源結構分析向立法院財政委員會提出書面報告。</w:t>
      </w:r>
    </w:p>
    <w:p w14:paraId="0FE6A2A1" w14:textId="5F6B0A09"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提案人：黃珊珊　顏寬恒　王鴻薇　陳玉珍</w:t>
      </w:r>
    </w:p>
    <w:p w14:paraId="1DF9A6C6"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二十六)有鑑於中央再保險股份有限公司為國內唯一本土專業再保險公司，主要業務係承受與轉分國內外保險業之財產及人身再保險業務，以誠信經營，安定、健全、維護保險市場，分散客戶風險，促進保險事業發展與履行企業社會責任為宗旨。惟查財政部作為第二大股東，近年配合公營事業民營化方針，持續辦理中央再保險股份有限公司之釋股作業，並編列預算支付證券交易稅及手續費等經費，公股占比恐持續下滑。考量中央再保險公司營運狀況佳，持續有盈餘繳庫，為中央政府創造收入，又再保險業務仍有部分協助政策性任務價值，未來是否繼續擴大釋股宜審慎考量。爰請財政部於1個月內就中央再保險公司承擔之政策性任務盤點及未來財政部對其釋股計畫向立法院財政委員會提出書面報告。</w:t>
      </w:r>
    </w:p>
    <w:p w14:paraId="0D7FBAD2" w14:textId="18780731"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提案人：黃珊珊　顏寬恒　王鴻薇　陳玉珍</w:t>
      </w:r>
    </w:p>
    <w:p w14:paraId="782EC94D"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(二十七)台灣詐騙事件頻傳，向為民眾關注之重點，政府為打擊</w:t>
      </w:r>
      <w:r w:rsidRPr="005B37B1">
        <w:rPr>
          <w:rFonts w:ascii="標楷體" w:eastAsia="標楷體" w:hAnsi="標楷體" w:hint="eastAsia"/>
          <w:kern w:val="0"/>
          <w:sz w:val="32"/>
          <w:szCs w:val="32"/>
        </w:rPr>
        <w:lastRenderedPageBreak/>
        <w:t>詐騙，推出打詐四法並投入相當資源。然而詐騙發生主要來源之網路平台，配合政府推動廣告實名制之態度消極，甚至檢舉詐騙廣告無效，而被盜用之名人帳號、粉專反遭下架之荒謬情形，猶如對我國公權力之挑釁。爰此，財政部應督促所屬機關、所轄公股事業及其轉投資事業，在網路平台未能遵循我國法令規定，積極配合我國政府打詐行動之前，暫停所有廣告投放。</w:t>
      </w:r>
    </w:p>
    <w:p w14:paraId="35ED85F6" w14:textId="01BC2816"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提案人：郭國文</w:t>
      </w:r>
    </w:p>
    <w:p w14:paraId="7438F2EC" w14:textId="4B57A748"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連署人：賴惠員　李坤城　</w:t>
      </w:r>
    </w:p>
    <w:p w14:paraId="47CC4FA7"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二十八)立法院預算中心評估報告表示，截至113年8月底止，促參案件提前終止契約比率為12.01%，較112年同期之11.89%，高出0.12個百分點，據財政部推動促參司所提供資料得知，文教設施提前解約件數最多，農業及資源循環再利用設施提前解約率及解約金額最高，觀光遊憩設施提前解約金額占簽約金額比率最高。鑑於促參案件提前解約後，恐發生設施設置不全待處理或資產閒置情形，請財政部於1個月內針對各類解約案件後續處置方式及現行處理情形，向立法院財政委員會提出書面報告。</w:t>
      </w:r>
    </w:p>
    <w:p w14:paraId="0418A6B1" w14:textId="3E155326"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提案人：林德福　賴士葆　顏寬恒　</w:t>
      </w:r>
    </w:p>
    <w:p w14:paraId="40BF92CB"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二十九)114年度財政部預算案於第6目「捐助支出」項下編列「對亞洲開發銀行國內資源調配信託基金捐助」6,600萬元，較上次於111年度捐助之2,905萬元，增幅127.2%。據財政部表示，我國參與捐助該基金，可加深我國與亞洲開發銀行、其會員國及其他國際租稅領域之國際組織實質合作，提升我國國際形象與能見度。惟此說法過於簡要，衡諸114年中央政府總預算案尚須舉借債務706億元及移用以前年度歲計賸餘500億元，合共1,206億元予以彌平，且本次捐助均屬經常支出，故財政部宜更清楚說明捐助該筆金額之效益。爰此，建請財政部於</w:t>
      </w:r>
      <w:r w:rsidRPr="005B37B1">
        <w:rPr>
          <w:rFonts w:ascii="標楷體" w:eastAsia="標楷體" w:hAnsi="標楷體"/>
          <w:kern w:val="0"/>
          <w:sz w:val="32"/>
          <w:szCs w:val="32"/>
        </w:rPr>
        <w:t>1</w:t>
      </w:r>
      <w:r w:rsidRPr="005B37B1">
        <w:rPr>
          <w:rFonts w:ascii="標楷體" w:eastAsia="標楷體" w:hAnsi="標楷體" w:hint="eastAsia"/>
          <w:kern w:val="0"/>
          <w:sz w:val="32"/>
          <w:szCs w:val="32"/>
        </w:rPr>
        <w:t>個月內就此筆捐助預算提出具體之捐助效益報告，並向立法</w:t>
      </w:r>
      <w:r w:rsidRPr="005B37B1">
        <w:rPr>
          <w:rFonts w:ascii="標楷體" w:eastAsia="標楷體" w:hAnsi="標楷體" w:hint="eastAsia"/>
          <w:kern w:val="0"/>
          <w:sz w:val="32"/>
          <w:szCs w:val="32"/>
        </w:rPr>
        <w:lastRenderedPageBreak/>
        <w:t>院財政委員會提出書面報告。</w:t>
      </w:r>
    </w:p>
    <w:p w14:paraId="106F3BF5" w14:textId="793D045F"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提案人：陳玉珍　</w:t>
      </w:r>
    </w:p>
    <w:p w14:paraId="165BE10D" w14:textId="32B12325"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連署人：羅明才　顏寬恒　</w:t>
      </w:r>
    </w:p>
    <w:p w14:paraId="5DD5684B"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(三　十)114年度財政部預算案於第9目「投資支出」項下編列「中美洲銀行股本」2億7</w:t>
      </w:r>
      <w:r w:rsidRPr="005B37B1">
        <w:rPr>
          <w:rFonts w:ascii="標楷體" w:eastAsia="標楷體" w:hAnsi="標楷體"/>
          <w:kern w:val="0"/>
          <w:sz w:val="32"/>
          <w:szCs w:val="32"/>
        </w:rPr>
        <w:t>,</w:t>
      </w:r>
      <w:r w:rsidRPr="005B37B1">
        <w:rPr>
          <w:rFonts w:ascii="標楷體" w:eastAsia="標楷體" w:hAnsi="標楷體" w:hint="eastAsia"/>
          <w:kern w:val="0"/>
          <w:sz w:val="32"/>
          <w:szCs w:val="32"/>
        </w:rPr>
        <w:t>625萬元，成立目的在提供融資及技術協助以促進中美洲地區經濟及社會發展。中美洲銀行（CABEI,</w:t>
      </w:r>
      <w:r w:rsidRPr="005B37B1">
        <w:rPr>
          <w:rFonts w:ascii="標楷體" w:eastAsia="標楷體" w:hAnsi="標楷體"/>
          <w:kern w:val="0"/>
          <w:sz w:val="32"/>
          <w:szCs w:val="32"/>
        </w:rPr>
        <w:t xml:space="preserve"> </w:t>
      </w:r>
      <w:r w:rsidRPr="005B37B1">
        <w:rPr>
          <w:rFonts w:ascii="標楷體" w:eastAsia="標楷體" w:hAnsi="標楷體" w:hint="eastAsia"/>
          <w:kern w:val="0"/>
          <w:sz w:val="32"/>
          <w:szCs w:val="32"/>
        </w:rPr>
        <w:t>BCIE)，為中美洲區域性開發銀行，台灣不僅為區域外正式成員，更是最大股東，持股11.09%。惟我國雖長年以捐助和融資支持中美洲經濟開發，但仍有多個中南美洲國家與我國陸續斷交，且外媒亦有報導中美洲銀行多次提供鞏固獨裁政權資金。爰此，建請財政部於</w:t>
      </w:r>
      <w:r w:rsidRPr="005B37B1">
        <w:rPr>
          <w:rFonts w:ascii="標楷體" w:eastAsia="標楷體" w:hAnsi="標楷體"/>
          <w:kern w:val="0"/>
          <w:sz w:val="32"/>
          <w:szCs w:val="32"/>
        </w:rPr>
        <w:t>1</w:t>
      </w:r>
      <w:r w:rsidRPr="005B37B1">
        <w:rPr>
          <w:rFonts w:ascii="標楷體" w:eastAsia="標楷體" w:hAnsi="標楷體" w:hint="eastAsia"/>
          <w:kern w:val="0"/>
          <w:sz w:val="32"/>
          <w:szCs w:val="32"/>
        </w:rPr>
        <w:t>個月內就此筆捐助預算提出具體改善檢討報告，並向立法院財政委員會提出書面報告。</w:t>
      </w:r>
    </w:p>
    <w:p w14:paraId="5F0EE467" w14:textId="13FAA9AD"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提案人：陳玉珍　</w:t>
      </w:r>
    </w:p>
    <w:p w14:paraId="595D377B" w14:textId="400E4D8F"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連署人：羅明才　顏寬恒　</w:t>
      </w:r>
    </w:p>
    <w:p w14:paraId="68265162"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三十一)為配合世界各國低碳永續政策，我國於112年將溫室氣體減量及管理法名稱修正為氣候變遷因應法，作為2050年淨零碳排之法制基礎，其中運用金融市場之力量推動永續發展，為目前國際上金融發展政策之核心。惟中央政府至今尚無發行相關永續發展債券，且依立法院預算中心評估報告表示，詢據財政部國庫署說明，仍待相關機關研謀。爰要求財政部敦促相關機關之研議規劃進度，提出精準時程說明，以示中央政府推動永續發展之決心，請於3個月內向立法院財政委員會提出書面報告。</w:t>
      </w:r>
    </w:p>
    <w:p w14:paraId="210D056E" w14:textId="518E15DA"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提案人：林德福　賴士葆　顏寬恒　</w:t>
      </w:r>
    </w:p>
    <w:p w14:paraId="0B9604DC"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三十二)我國於111年3月公布臺灣2050淨零排放路徑及策略總說明，提供至2050年淨零之軌跡與行動路徑，總統並於112年2月15日公布將溫室氣體減量及管理法名稱修正為氣候變遷因應法，作為2050年淨零碳排之法制基礎。該法第6條第5款明定，促成投資及產業追求永續發展之良性循環，係因應氣候變遷相關計畫或方案基本原則之一</w:t>
      </w:r>
      <w:r w:rsidRPr="005B37B1">
        <w:rPr>
          <w:rFonts w:ascii="標楷體" w:eastAsia="標楷體" w:hAnsi="標楷體" w:hint="eastAsia"/>
          <w:kern w:val="0"/>
          <w:sz w:val="32"/>
          <w:szCs w:val="32"/>
        </w:rPr>
        <w:lastRenderedPageBreak/>
        <w:t>，且政府應建構綠色金融機制及推動措施。截至113年8月底止，流通在外餘額以綠色債券3,653.77億元最高，可持續發展債券1,190.96億元次之，社會責任債券666.12億元再次之，可持續發展連結債券</w:t>
      </w:r>
      <w:r w:rsidRPr="005B37B1">
        <w:rPr>
          <w:rFonts w:ascii="標楷體" w:eastAsia="標楷體" w:hAnsi="標楷體"/>
          <w:kern w:val="0"/>
          <w:sz w:val="32"/>
          <w:szCs w:val="32"/>
        </w:rPr>
        <w:t>79</w:t>
      </w:r>
      <w:r w:rsidRPr="005B37B1">
        <w:rPr>
          <w:rFonts w:ascii="標楷體" w:eastAsia="標楷體" w:hAnsi="標楷體" w:hint="eastAsia"/>
          <w:kern w:val="0"/>
          <w:sz w:val="32"/>
          <w:szCs w:val="32"/>
        </w:rPr>
        <w:t>億元居末。爰要求財政部對於永續發展債劵的規劃，於</w:t>
      </w:r>
      <w:r w:rsidRPr="005B37B1">
        <w:rPr>
          <w:rFonts w:ascii="標楷體" w:eastAsia="標楷體" w:hAnsi="標楷體"/>
          <w:kern w:val="0"/>
          <w:sz w:val="32"/>
          <w:szCs w:val="32"/>
        </w:rPr>
        <w:t>3</w:t>
      </w:r>
      <w:r w:rsidRPr="005B37B1">
        <w:rPr>
          <w:rFonts w:ascii="標楷體" w:eastAsia="標楷體" w:hAnsi="標楷體" w:hint="eastAsia"/>
          <w:kern w:val="0"/>
          <w:sz w:val="32"/>
          <w:szCs w:val="32"/>
        </w:rPr>
        <w:t>個月內向立法院財政委員會提出具體規劃。</w:t>
      </w:r>
    </w:p>
    <w:p w14:paraId="154532BB" w14:textId="2E109020"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提案人：李坤城　賴惠員　郭國文</w:t>
      </w:r>
    </w:p>
    <w:p w14:paraId="1AB7FC5D" w14:textId="77777777" w:rsidR="009D64D0" w:rsidRPr="005B37B1"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5B37B1">
        <w:rPr>
          <w:rFonts w:ascii="標楷體" w:eastAsia="標楷體" w:hAnsi="標楷體" w:hint="eastAsia"/>
          <w:kern w:val="0"/>
          <w:sz w:val="32"/>
          <w:szCs w:val="32"/>
        </w:rPr>
        <w:t xml:space="preserve">　　(三十三)114年度財政部印刷廠預算案編列營業收入6億7,929萬7千元，包括統一發票相關收入5億8,422萬5千元，以及表格什件銷貨收入9,507萬2千元，足見統一發票為主要業務。因近年受行動支付、電子發票等衝擊，恐有影響營收之虞，由109至112年度統一發票相關業務收入占營業收入比率逾八成，高度依賴統一發票相關業務，以及是項業務收入比113年度預算減少，可資證明。請財政部針對相關營業狀況於1個月內向立法院財政委員會提出書面報告。</w:t>
      </w:r>
    </w:p>
    <w:p w14:paraId="1F5939C1" w14:textId="4672DB4F"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提案人：林德福　賴士葆　顏寬恒　</w:t>
      </w:r>
    </w:p>
    <w:p w14:paraId="3D095CE8" w14:textId="77777777" w:rsidR="009D64D0" w:rsidRPr="006B6748" w:rsidRDefault="009D64D0" w:rsidP="00F470A8">
      <w:pPr>
        <w:widowControl w:val="0"/>
        <w:tabs>
          <w:tab w:val="left" w:pos="1134"/>
          <w:tab w:val="left" w:pos="1418"/>
        </w:tabs>
        <w:kinsoku w:val="0"/>
        <w:overflowPunct w:val="0"/>
        <w:autoSpaceDE w:val="0"/>
        <w:adjustRightInd w:val="0"/>
        <w:spacing w:line="480" w:lineRule="exact"/>
        <w:ind w:left="1789" w:hangingChars="559" w:hanging="1789"/>
        <w:jc w:val="both"/>
        <w:textAlignment w:val="auto"/>
        <w:rPr>
          <w:rFonts w:ascii="標楷體" w:eastAsia="標楷體" w:hAnsi="標楷體"/>
          <w:kern w:val="0"/>
          <w:sz w:val="32"/>
          <w:szCs w:val="32"/>
        </w:rPr>
      </w:pPr>
      <w:r w:rsidRPr="006B6748">
        <w:rPr>
          <w:rFonts w:ascii="標楷體" w:eastAsia="標楷體" w:hAnsi="標楷體" w:hint="eastAsia"/>
          <w:kern w:val="0"/>
          <w:sz w:val="32"/>
          <w:szCs w:val="32"/>
        </w:rPr>
        <w:t xml:space="preserve">　　</w:t>
      </w:r>
      <w:r w:rsidRPr="006B6748">
        <w:rPr>
          <w:rFonts w:ascii="標楷體" w:eastAsia="標楷體" w:hAnsi="標楷體" w:hint="eastAsia"/>
          <w:b/>
          <w:kern w:val="0"/>
          <w:sz w:val="32"/>
          <w:szCs w:val="32"/>
        </w:rPr>
        <w:t>第2項　國庫署</w:t>
      </w:r>
      <w:r w:rsidRPr="006B6748">
        <w:rPr>
          <w:rFonts w:ascii="標楷體" w:eastAsia="標楷體" w:hAnsi="標楷體" w:hint="eastAsia"/>
          <w:kern w:val="0"/>
          <w:sz w:val="32"/>
          <w:szCs w:val="32"/>
        </w:rPr>
        <w:t>原列1,143億6,593萬6千元，減列第2目「國庫業務」160萬元(含「業務費」80萬元、「菸酒管理作業」50萬元)、第4目「國債付息」項下「國債付息」中「債務費」之「債務利息」10億元、第5目「國債經理」項下「國債經理」中「債務費」之「手續費」500萬元，共計減列10億0,660萬元（科目均自行調整），其餘均照列，改列為1,133億5,933萬6千元。</w:t>
      </w:r>
    </w:p>
    <w:p w14:paraId="2B3E082C" w14:textId="77777777" w:rsidR="009D64D0" w:rsidRPr="00664845" w:rsidRDefault="009D64D0" w:rsidP="00F470A8">
      <w:pPr>
        <w:widowControl w:val="0"/>
        <w:overflowPunct w:val="0"/>
        <w:autoSpaceDE w:val="0"/>
        <w:adjustRightInd w:val="0"/>
        <w:spacing w:line="480" w:lineRule="exact"/>
        <w:textAlignment w:val="auto"/>
        <w:rPr>
          <w:rFonts w:ascii="標楷體" w:eastAsia="標楷體" w:hAnsi="標楷體" w:cs="華康細明體"/>
          <w:kern w:val="0"/>
          <w:sz w:val="32"/>
          <w:szCs w:val="32"/>
        </w:rPr>
      </w:pPr>
      <w:r w:rsidRPr="00664845">
        <w:rPr>
          <w:rFonts w:ascii="標楷體" w:eastAsia="標楷體" w:hAnsi="標楷體" w:cs="華康細明體" w:hint="eastAsia"/>
          <w:kern w:val="0"/>
          <w:sz w:val="32"/>
          <w:szCs w:val="32"/>
        </w:rPr>
        <w:t xml:space="preserve">　　本項通過決議2</w:t>
      </w:r>
      <w:r w:rsidRPr="00664845">
        <w:rPr>
          <w:rFonts w:ascii="標楷體" w:eastAsia="標楷體" w:hAnsi="標楷體" w:cs="華康細明體"/>
          <w:kern w:val="0"/>
          <w:sz w:val="32"/>
          <w:szCs w:val="32"/>
        </w:rPr>
        <w:t>2</w:t>
      </w:r>
      <w:r w:rsidRPr="00664845">
        <w:rPr>
          <w:rFonts w:ascii="標楷體" w:eastAsia="標楷體" w:hAnsi="標楷體" w:cs="華康細明體" w:hint="eastAsia"/>
          <w:kern w:val="0"/>
          <w:sz w:val="32"/>
          <w:szCs w:val="32"/>
        </w:rPr>
        <w:t>項：</w:t>
      </w:r>
    </w:p>
    <w:p w14:paraId="05CC5C4D"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一)114年度財政部國庫署預算案於第2目「國庫業務」編列3億6,511萬2千元，相關預期成果提及促進公股事業強化公司治理及風險管理，惟近日有關台灣金聯資產管理股份有限公司董事長突遭撤換一案，財政部竟不顧社會觀感，推薦毫無金融經驗之人選，且其家族成員涉及掏空案造成全國農業金庫股份有限公司呆帳。施前董事長亦表示，自己是因擋人財路</w:t>
      </w:r>
      <w:r w:rsidRPr="00664845">
        <w:rPr>
          <w:rFonts w:ascii="標楷體" w:eastAsia="標楷體" w:hAnsi="標楷體" w:hint="eastAsia"/>
          <w:kern w:val="2"/>
          <w:sz w:val="32"/>
          <w:szCs w:val="32"/>
        </w:rPr>
        <w:lastRenderedPageBreak/>
        <w:t>而遭撤換。爰凍結該項預算二十分之一，俟財政部國庫署於1個月內向立法院財政委員會提出書面報告後，始得動支。</w:t>
      </w:r>
    </w:p>
    <w:p w14:paraId="0BFDA10F" w14:textId="0F970FDE"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提案人：王鴻薇　</w:t>
      </w:r>
    </w:p>
    <w:p w14:paraId="1C1880F0" w14:textId="3D2E8A12" w:rsidR="009D64D0" w:rsidRPr="009B0BAE" w:rsidRDefault="00F70A9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連署人：賴士葆　顏寬恒</w:t>
      </w:r>
    </w:p>
    <w:p w14:paraId="73172B69"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二)財政部國庫署為公股股權管理機關，負責國營事業及公股股權管理、公股事業董監改選派等事宜，以促進公股事業強化公司治理及風險管理，提升經營績效，增進國庫權益。經查，財政部為配合政府協助青年購屋政策，協調公股行庫辦理新青安貸款，惟規劃及執行過程過於輕忽，導致部分投資客不當利用。再者，民間融資公司近年業務大幅成長，部分營運手法引發社會爭議，而其資金不少來自公股行庫借貸。考量公股行庫營運作為與政府形象息息相關，對於社會所關注事項之業務，財政部應加強督導公股銀行落實授信審核、強化貸後管理及稽查，杜絕不符政府政策或引發社會爭議之情事。爰凍結第2目「國庫業務」預算200萬元，俟財政部國庫署於2個月內向立法院財政委員會提出書面報告後，始得動支。</w:t>
      </w:r>
    </w:p>
    <w:p w14:paraId="5AE94C23" w14:textId="72B5B78D"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提案人：郭國文　黃珊珊　王鴻薇　顏寬恒　</w:t>
      </w:r>
    </w:p>
    <w:p w14:paraId="431AB142" w14:textId="18FD8A37"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連署人：賴惠員　李坤城</w:t>
      </w:r>
    </w:p>
    <w:p w14:paraId="720F02F2"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三)查114年度財政部國庫署預算案於第2目「國庫業務」項下「債務管理作業」編列「業務費」42萬5千元；惟據財政部統計，近10年由財政部代為發行之乙類公債僅有交通部，其餘部會之自償性公共建設預算，仍多以銀行借款或用基金自有資金之方式籌措，卻未見財政部積極與各部會溝通，不利於擴大公共建設之資金來源。鑑此，爰凍結該項預算五分之一，俟財政部國庫署於3個月內向立法院財政委員會提出擴大乙類公債發行之方案書面報告後，始得動支。</w:t>
      </w:r>
    </w:p>
    <w:p w14:paraId="44F0F32D" w14:textId="0C3045FD"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提案人：王世堅　</w:t>
      </w:r>
    </w:p>
    <w:p w14:paraId="6AADE986" w14:textId="43161F02"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連署人：郭國文　賴惠員</w:t>
      </w:r>
    </w:p>
    <w:p w14:paraId="2CE4B444"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(四)114年度財政部國庫署預算案於第2目「國庫業務」項下「財</w:t>
      </w:r>
      <w:r w:rsidRPr="00664845">
        <w:rPr>
          <w:rFonts w:ascii="標楷體" w:eastAsia="標楷體" w:hAnsi="標楷體" w:hint="eastAsia"/>
          <w:kern w:val="2"/>
          <w:sz w:val="32"/>
          <w:szCs w:val="32"/>
        </w:rPr>
        <w:lastRenderedPageBreak/>
        <w:t>務規劃作業」編列78萬3千元。立法院第9屆第2會期財政委員會第11次全體委員會議通過臨時提案：「為使公益彩券回饋金之運用及管理法制化，爰要求財政部檢討『公益彩券回饋金運用及管理作業要點』，並於1個月內向立法院財政委員會提出立法計畫，比照公益彩券盈餘，將回饋金納入公益彩券發行條例之管理範圍。」因此，行政院遂於106年4月20日通過公益彩券發行條例部分條文修正草案並函請立法院審議。該草案主要回應各界針對目前公益彩券回饋金運用及監督管理僅以行政規則規範尚有不足之質疑，將回饋金運用及監督管理，比照公益彩券盈餘，納入公益彩券發行條例規範。惟行政院提案歷經多時，法制化作業仍未竟全功。為使公益彩券回饋金監管作業更加完善，爰凍結該項預算二十分之一，俟財政部國庫署於</w:t>
      </w:r>
      <w:r w:rsidRPr="00664845">
        <w:rPr>
          <w:rFonts w:ascii="標楷體" w:eastAsia="標楷體" w:hAnsi="標楷體"/>
          <w:kern w:val="2"/>
          <w:sz w:val="32"/>
          <w:szCs w:val="32"/>
        </w:rPr>
        <w:t>2</w:t>
      </w:r>
      <w:r w:rsidRPr="00664845">
        <w:rPr>
          <w:rFonts w:ascii="標楷體" w:eastAsia="標楷體" w:hAnsi="標楷體" w:hint="eastAsia"/>
          <w:kern w:val="2"/>
          <w:sz w:val="32"/>
          <w:szCs w:val="32"/>
        </w:rPr>
        <w:t>個月內就近3年公益彩券回饋金運用狀況及修法評估向立法院財政委員會提出書面報告後，始得動支。</w:t>
      </w:r>
    </w:p>
    <w:p w14:paraId="5CE44E79" w14:textId="1F42263E"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提案人：黃珊珊　王鴻薇　顏寬恒　</w:t>
      </w:r>
    </w:p>
    <w:p w14:paraId="3DA35385"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五)114年度財政部國庫署預算案於第2目「國庫業務」項下「私劣菸品查緝作業」編列2億5,569萬3千元。近年各地均有私菸工廠遭到查緝，顯見私菸利益依然龐大，且危害國人健康不淺，菸捐是分配在中央與地方私劣菸品查緝之執行率及違法菸類查獲數量等，經查，均較112年同期為低，財政部國庫署應該要提升菸捐之使用效率，中央與各地方政府的聯繫應該要更加密切，且中央應該要適時協助各地方政府，以提升查緝效能及違法菸品緝獲數量，維護國民健康。爰凍結該項預算二十分之一，俟財政部國庫署於3個月內向立法院財政委員會提出書面報告後，始得動支。</w:t>
      </w:r>
    </w:p>
    <w:p w14:paraId="3DC7EDCF" w14:textId="6686F195"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提案人：顏寬恒　</w:t>
      </w:r>
    </w:p>
    <w:p w14:paraId="39FAE588" w14:textId="41EB7FD2"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連署人：王鴻薇　賴士葆　陳玉珍</w:t>
      </w:r>
    </w:p>
    <w:p w14:paraId="6944693F"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(六)有鑑於非法加熱菸及電子煙氾濫，查114年度財政部國庫署預算案於第2目「國庫業務」項下「私劣菸品查緝作業」編</w:t>
      </w:r>
      <w:r w:rsidRPr="00664845">
        <w:rPr>
          <w:rFonts w:ascii="標楷體" w:eastAsia="標楷體" w:hAnsi="標楷體" w:hint="eastAsia"/>
          <w:kern w:val="2"/>
          <w:sz w:val="32"/>
          <w:szCs w:val="32"/>
        </w:rPr>
        <w:lastRenderedPageBreak/>
        <w:t>列2億5,569萬3千元。112年2月15日修正公布之菸害防制法，衛生福利部已依該法第7條規定公告加熱菸為指定菸品。衛生福利部公告指定之菸品，業者應於製造或輸入前，向該部申請健康風險評估審查，經核定通過後，始得為之。欲產製加熱菸者，不論是否取具菸製造業許可執照，應向衛生福利部申請審查並通過後，再向財政部申請新增其他菸品產品種類、或設立許可，並俟取得換（核）發之菸製造業許可執照後，始得產製經核定通過之加熱菸。至取得菸進口業許可執照之業者如欲進口加熱菸，應先向衛生福利部確認該菸品是否業經審查通過，倘未經審查通過，應向該部申請審查並俟通過後，再辦理進口之相關事宜。依據財政部國庫署主管之菸酒管理法，販賣、運輸、轉讓或意圖販賣、運輸、轉讓而陳列或貯放私菸、私酒者，處新臺幣3萬元以上5</w:t>
      </w:r>
      <w:r w:rsidRPr="00664845">
        <w:rPr>
          <w:rFonts w:ascii="標楷體" w:eastAsia="標楷體" w:hAnsi="標楷體"/>
          <w:kern w:val="2"/>
          <w:sz w:val="32"/>
          <w:szCs w:val="32"/>
        </w:rPr>
        <w:t>0</w:t>
      </w:r>
      <w:r w:rsidRPr="00664845">
        <w:rPr>
          <w:rFonts w:ascii="標楷體" w:eastAsia="標楷體" w:hAnsi="標楷體" w:hint="eastAsia"/>
          <w:kern w:val="2"/>
          <w:sz w:val="32"/>
          <w:szCs w:val="32"/>
        </w:rPr>
        <w:t>萬元以下罰鍰。爰凍結該項預算二十分之一，俟財政部國庫署於1個月內就加強實體與網路巡查違法販售加熱菸及電子煙稽查計畫與預算編列狀況向立法院財政委員會提出書面報告後，始得動支。</w:t>
      </w:r>
    </w:p>
    <w:p w14:paraId="008683BC" w14:textId="533F0E3A"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提案人：黃珊珊　王鴻薇　顏寬恒　</w:t>
      </w:r>
    </w:p>
    <w:p w14:paraId="437881B6"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七)114年度財政部國庫署預算案於第2目「國庫業務」項下編列「私劣菸品查緝作業」2億5,569萬3千元，係辦理中央及地方政府查緝機關辦理私劣菸品查緝等相關經費。經查，本項經費較113年度增加904萬6千元，惟執行效率不佳，截至113年6月底止，辦理中央與地方私劣菸品查緝之菸捐執行率僅60.5</w:t>
      </w:r>
      <w:r w:rsidRPr="00664845">
        <w:rPr>
          <w:rFonts w:ascii="標楷體" w:eastAsia="標楷體" w:hAnsi="標楷體"/>
          <w:kern w:val="2"/>
          <w:sz w:val="32"/>
          <w:szCs w:val="32"/>
        </w:rPr>
        <w:t>%</w:t>
      </w:r>
      <w:r w:rsidRPr="00664845">
        <w:rPr>
          <w:rFonts w:ascii="標楷體" w:eastAsia="標楷體" w:hAnsi="標楷體" w:hint="eastAsia"/>
          <w:kern w:val="2"/>
          <w:sz w:val="32"/>
          <w:szCs w:val="32"/>
        </w:rPr>
        <w:t>，低於1</w:t>
      </w:r>
      <w:r w:rsidRPr="00664845">
        <w:rPr>
          <w:rFonts w:ascii="標楷體" w:eastAsia="標楷體" w:hAnsi="標楷體"/>
          <w:kern w:val="2"/>
          <w:sz w:val="32"/>
          <w:szCs w:val="32"/>
        </w:rPr>
        <w:t>12</w:t>
      </w:r>
      <w:r w:rsidRPr="00664845">
        <w:rPr>
          <w:rFonts w:ascii="標楷體" w:eastAsia="標楷體" w:hAnsi="標楷體" w:hint="eastAsia"/>
          <w:kern w:val="2"/>
          <w:sz w:val="32"/>
          <w:szCs w:val="32"/>
        </w:rPr>
        <w:t>年同期之72.1</w:t>
      </w:r>
      <w:r w:rsidRPr="00664845">
        <w:rPr>
          <w:rFonts w:ascii="標楷體" w:eastAsia="標楷體" w:hAnsi="標楷體"/>
          <w:kern w:val="2"/>
          <w:sz w:val="32"/>
          <w:szCs w:val="32"/>
        </w:rPr>
        <w:t>%</w:t>
      </w:r>
      <w:r w:rsidRPr="00664845">
        <w:rPr>
          <w:rFonts w:ascii="標楷體" w:eastAsia="標楷體" w:hAnsi="標楷體" w:hint="eastAsia"/>
          <w:kern w:val="2"/>
          <w:sz w:val="32"/>
          <w:szCs w:val="32"/>
        </w:rPr>
        <w:t>；違法菸品查獲數量559.02萬包，較112年同期之720.76萬包減少幅度達22.4</w:t>
      </w:r>
      <w:r w:rsidRPr="00664845">
        <w:rPr>
          <w:rFonts w:ascii="標楷體" w:eastAsia="標楷體" w:hAnsi="標楷體"/>
          <w:kern w:val="2"/>
          <w:sz w:val="32"/>
          <w:szCs w:val="32"/>
        </w:rPr>
        <w:t>%</w:t>
      </w:r>
      <w:r w:rsidRPr="00664845">
        <w:rPr>
          <w:rFonts w:ascii="標楷體" w:eastAsia="標楷體" w:hAnsi="標楷體" w:hint="eastAsia"/>
          <w:kern w:val="2"/>
          <w:sz w:val="32"/>
          <w:szCs w:val="32"/>
        </w:rPr>
        <w:t>，為維護國人健康，查緝效能容有改善之空間。爰凍結該項預算200萬元，俟財政部國庫署向立法院財政委員會提出書面報告後，始得動支。</w:t>
      </w:r>
    </w:p>
    <w:p w14:paraId="011508BA" w14:textId="227AF8A1"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提案人：郭國文　</w:t>
      </w:r>
    </w:p>
    <w:p w14:paraId="1EFC6BD7" w14:textId="0AAB71A9"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連署人：賴惠員　李坤城</w:t>
      </w:r>
    </w:p>
    <w:p w14:paraId="54C1C749"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lastRenderedPageBreak/>
        <w:t xml:space="preserve">　　(八)查114年度財政部國庫署預算案於第2目「國庫業務」項下「私劣菸品查緝作業」之「業務費」編列「一般事務費」7,338萬6千元，列有辦理媒體宣導、委外人力及違規菸品查緝等費用，由於近來多起毒駕與電子煙有關，及112年上路的菸害防制法全面禁止電子煙，然成案率低顯示對新興菸品查緝不力有戕害青少年身心健康，為免費用浮濫使用，是項經費可予精簡。爰凍結第2目「國庫業務」項下「私劣菸品查緝作業」預算2億5,</w:t>
      </w:r>
      <w:r w:rsidRPr="00664845">
        <w:rPr>
          <w:rFonts w:ascii="標楷體" w:eastAsia="標楷體" w:hAnsi="標楷體"/>
          <w:kern w:val="2"/>
          <w:sz w:val="32"/>
          <w:szCs w:val="32"/>
        </w:rPr>
        <w:t>569</w:t>
      </w:r>
      <w:r w:rsidRPr="00664845">
        <w:rPr>
          <w:rFonts w:ascii="標楷體" w:eastAsia="標楷體" w:hAnsi="標楷體" w:hint="eastAsia"/>
          <w:kern w:val="2"/>
          <w:sz w:val="32"/>
          <w:szCs w:val="32"/>
        </w:rPr>
        <w:t>萬3千元之二十分之一，俟財政部國庫署向立法院財政委員會提出書面報告後，始得動支。</w:t>
      </w:r>
    </w:p>
    <w:p w14:paraId="290718FF" w14:textId="1E760910"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提案人：賴士葆　林德福　顏寬恒</w:t>
      </w:r>
    </w:p>
    <w:p w14:paraId="1056A5CA"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九)按114年度財政部國庫署預算案於第1目「一般行政」編列3億1,939萬2千元。惟據審計部於113年7月底公告之112年度中央政府總決算審核報告指出：「部分機關未辦理規費法制化作業，或未定期檢討收費基準，規費管理資訊系統之使用效益亦待提升」等語。經查，為健全規費制度、有效利用公共資源及維護人民權益，於91年制定公布規費法，規範規費種類及徵收範圍、計費原則及定期檢討機制等。據財政部國庫署公開之統計數據，108至112年度各機關規費收入介於555至612億餘元，非營業基金專款專用規費收入則介於455至574億餘元。經查，部分機關多年來以行政規則收取規費，迄未依據規費法規定辦理規費法制化作業；又部分機關93至107年間所訂規費收費基準從未檢討，顯未落實規費法每3年至少應檢討一次之規定。次查，財政部規費管理資訊系統運作多年以來，仍有諸多機關未申請使用者帳號、部分機關修訂規費收取基準等資料，漏未至系統登載更新，影響資料庫之完整性及正確性，致財政部未能有效運用資訊系統掌握各機關規費開徵全貌，影響推動規費法制化及定期檢討機制之處理效率。鑑此，為督促落實規費法制化及資訊庫完整、正確性作業，爰請財政部國庫署於</w:t>
      </w:r>
      <w:r w:rsidRPr="00664845">
        <w:rPr>
          <w:rFonts w:ascii="標楷體" w:eastAsia="標楷體" w:hAnsi="標楷體"/>
          <w:kern w:val="2"/>
          <w:sz w:val="32"/>
          <w:szCs w:val="32"/>
        </w:rPr>
        <w:t>1</w:t>
      </w:r>
      <w:r w:rsidRPr="00664845">
        <w:rPr>
          <w:rFonts w:ascii="標楷體" w:eastAsia="標楷體" w:hAnsi="標楷體" w:hint="eastAsia"/>
          <w:kern w:val="2"/>
          <w:sz w:val="32"/>
          <w:szCs w:val="32"/>
        </w:rPr>
        <w:t>個月內向立法院財政委員會就如何敦促各機關落實規費法制化及定期資料更新提出</w:t>
      </w:r>
      <w:r w:rsidRPr="00664845">
        <w:rPr>
          <w:rFonts w:ascii="標楷體" w:eastAsia="標楷體" w:hAnsi="標楷體" w:hint="eastAsia"/>
          <w:kern w:val="2"/>
          <w:sz w:val="32"/>
          <w:szCs w:val="32"/>
        </w:rPr>
        <w:lastRenderedPageBreak/>
        <w:t>書面報告。</w:t>
      </w:r>
    </w:p>
    <w:p w14:paraId="6722DDDE" w14:textId="03144962"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提案人：賴惠員　</w:t>
      </w:r>
    </w:p>
    <w:p w14:paraId="3FA68349" w14:textId="579FBEEC"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連署人：吳秉叡　郭國文</w:t>
      </w:r>
    </w:p>
    <w:p w14:paraId="72076819" w14:textId="77777777" w:rsidR="009D64D0" w:rsidRPr="0066484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64845">
        <w:rPr>
          <w:rFonts w:ascii="標楷體" w:eastAsia="標楷體" w:hAnsi="標楷體" w:hint="eastAsia"/>
          <w:kern w:val="2"/>
          <w:sz w:val="32"/>
          <w:szCs w:val="32"/>
        </w:rPr>
        <w:t xml:space="preserve">　　(十)114年度財政部國庫署預算案於第1目「一般行政」項下「基本行政工作維持」之「業務費」編列2,693萬4千元。財政收支劃分法係規範中華民國各級政府財政收支之劃分、調劑及分類之根本大法，然自88年最後修正迄今，我國行政區劃、經濟社會發展已大幅變化，加之地方政府需承擔諸多地方自治事項，卻未有足夠之財源負擔，全台從中央到地方政府首長及民代多有要求檢討法規之聲浪。查財政部為推動修法，除邀集專家學者進行法規研析，更多次邀集地方政府會商，統籌分配稅款之分配指標，並表示凝聚修法共識已有初步成果。惟目前僅蒐集現任縣市首長意見，為廣納意見、理性討論，允宜積極蒐集歷任行政院長、地方政府首長對於財政收支劃分法之修正意見及實務經驗。請財政部國庫署於6個月內就近1</w:t>
      </w:r>
      <w:r w:rsidRPr="00664845">
        <w:rPr>
          <w:rFonts w:ascii="標楷體" w:eastAsia="標楷體" w:hAnsi="標楷體"/>
          <w:kern w:val="2"/>
          <w:sz w:val="32"/>
          <w:szCs w:val="32"/>
        </w:rPr>
        <w:t>0</w:t>
      </w:r>
      <w:r w:rsidRPr="00664845">
        <w:rPr>
          <w:rFonts w:ascii="標楷體" w:eastAsia="標楷體" w:hAnsi="標楷體" w:hint="eastAsia"/>
          <w:kern w:val="2"/>
          <w:sz w:val="32"/>
          <w:szCs w:val="32"/>
        </w:rPr>
        <w:t>年歷任中央、地方首長對於財政收支劃分法修正建言及實務經驗分享向立法院財政委員會提出書面報告。</w:t>
      </w:r>
    </w:p>
    <w:p w14:paraId="21318C75" w14:textId="42ED92E7"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提案人：黃珊珊　王鴻薇　顏寬恒　</w:t>
      </w:r>
    </w:p>
    <w:p w14:paraId="04E62446" w14:textId="77777777" w:rsidR="009D64D0" w:rsidRPr="00465A42"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465A42">
        <w:rPr>
          <w:rFonts w:ascii="標楷體" w:eastAsia="標楷體" w:hAnsi="標楷體" w:hint="eastAsia"/>
          <w:kern w:val="0"/>
          <w:sz w:val="32"/>
          <w:szCs w:val="32"/>
        </w:rPr>
        <w:t xml:space="preserve">　　(十一)114年度財政部國庫署預算案於第1目「一般行政」項下「基本行政工作維持」之「業務費」編列2,693萬4千元。據審計部調查，財政部為提升規費管理效能，自</w:t>
      </w:r>
      <w:r w:rsidRPr="00465A42">
        <w:rPr>
          <w:rFonts w:ascii="標楷體" w:eastAsia="標楷體" w:hAnsi="標楷體"/>
          <w:kern w:val="0"/>
          <w:sz w:val="32"/>
          <w:szCs w:val="32"/>
        </w:rPr>
        <w:t>107</w:t>
      </w:r>
      <w:r w:rsidRPr="00465A42">
        <w:rPr>
          <w:rFonts w:ascii="標楷體" w:eastAsia="標楷體" w:hAnsi="標楷體" w:hint="eastAsia"/>
          <w:kern w:val="0"/>
          <w:sz w:val="32"/>
          <w:szCs w:val="32"/>
        </w:rPr>
        <w:t>年</w:t>
      </w:r>
      <w:r w:rsidRPr="00465A42">
        <w:rPr>
          <w:rFonts w:ascii="標楷體" w:eastAsia="標楷體" w:hAnsi="標楷體"/>
          <w:kern w:val="0"/>
          <w:sz w:val="32"/>
          <w:szCs w:val="32"/>
        </w:rPr>
        <w:t>12</w:t>
      </w:r>
      <w:r w:rsidRPr="00465A42">
        <w:rPr>
          <w:rFonts w:ascii="標楷體" w:eastAsia="標楷體" w:hAnsi="標楷體" w:hint="eastAsia"/>
          <w:kern w:val="0"/>
          <w:sz w:val="32"/>
          <w:szCs w:val="32"/>
        </w:rPr>
        <w:t>月建置啟用規費管理資訊系統，惟系統運作多年以來，仍有諸多機關未申請使用者帳號，又間有部分機關修訂規費收取基準等資料，漏未至系統登載更新，影響資料庫之完整性及正確性，致財政部未能有效運用資訊系統掌握各機關規費開徵全貌，仍須仰賴承辦人員自行存管之清冊辦理規費管理作業，影響推動規費法制化及定期檢討機制之處理效率等情事。依規費法，規費業務主管機關應訂定或調整收費基準，並檢附成本資料，洽商該級政府規費主管機關同意，中央政府各機關對於轄管收取規費之收費基準，每</w:t>
      </w:r>
      <w:r w:rsidRPr="00465A42">
        <w:rPr>
          <w:rFonts w:ascii="標楷體" w:eastAsia="標楷體" w:hAnsi="標楷體"/>
          <w:kern w:val="0"/>
          <w:sz w:val="32"/>
          <w:szCs w:val="32"/>
        </w:rPr>
        <w:t>3</w:t>
      </w:r>
      <w:r w:rsidRPr="00465A42">
        <w:rPr>
          <w:rFonts w:ascii="標楷體" w:eastAsia="標楷體" w:hAnsi="標楷體" w:hint="eastAsia"/>
          <w:kern w:val="0"/>
          <w:sz w:val="32"/>
          <w:szCs w:val="32"/>
        </w:rPr>
        <w:t>年至少應辦理一次檢討，若有未訂定收費基準者，亦應</w:t>
      </w:r>
      <w:r w:rsidRPr="00465A42">
        <w:rPr>
          <w:rFonts w:ascii="標楷體" w:eastAsia="標楷體" w:hAnsi="標楷體" w:hint="eastAsia"/>
          <w:kern w:val="0"/>
          <w:sz w:val="32"/>
          <w:szCs w:val="32"/>
        </w:rPr>
        <w:lastRenderedPageBreak/>
        <w:t>完成辦理規費法制化作業。請財政部國庫署於3個月內就中央地方各機關規費法制化及應檢討期程統整、規費管理資訊系統填報精進計畫向立法院財政委員會提出書面報告。</w:t>
      </w:r>
    </w:p>
    <w:p w14:paraId="0C0A34A6" w14:textId="175D7B33"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提案人：黃珊珊　王鴻薇　顏寬恒　</w:t>
      </w:r>
    </w:p>
    <w:p w14:paraId="7E928603" w14:textId="77777777" w:rsidR="009D64D0" w:rsidRPr="00465A42"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465A42">
        <w:rPr>
          <w:rFonts w:ascii="標楷體" w:eastAsia="標楷體" w:hAnsi="標楷體" w:hint="eastAsia"/>
          <w:kern w:val="0"/>
          <w:sz w:val="32"/>
          <w:szCs w:val="32"/>
        </w:rPr>
        <w:t xml:space="preserve">　　(十二)受地緣政治影響，台灣成為眾多國際駭客攻擊之目標，金融業、政府及大型企業網站遭受境外網路外部攻擊大增。不僅是政府單位，恐連私人企業都將遭受到衝擊，台灣資安恐面臨挑戰。據報載，公股行庫內部最新資料顯示，9月起攻擊較先前有翻倍之情勢，甚有銀行年增達3倍以上。駭客組織對政府及金融單位網站發動DDoS攻擊，導致多家銀行網站一度停擺。另外，資安公司CrowdStrike產品更新作業，引發微軟Windows作業系統大規模當機，亦有銀行ATM系統當機、集團供應商遭勒索軟體攻擊等資安事件。請財政部國庫署於3個月內就協助公股行庫加強資安防護作為向立法院財政委員會提出書面報告。</w:t>
      </w:r>
    </w:p>
    <w:p w14:paraId="562C2CC1" w14:textId="67C6F589"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提案人：黃珊珊　王鴻薇　顏寬恒　</w:t>
      </w:r>
    </w:p>
    <w:p w14:paraId="77BDD821" w14:textId="77777777" w:rsidR="009D64D0" w:rsidRPr="00465A42"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465A42">
        <w:rPr>
          <w:rFonts w:ascii="標楷體" w:eastAsia="標楷體" w:hAnsi="標楷體" w:hint="eastAsia"/>
          <w:kern w:val="0"/>
          <w:sz w:val="32"/>
          <w:szCs w:val="32"/>
        </w:rPr>
        <w:t xml:space="preserve">　　(十三)114年度財政部國庫署預算案於第2目「國庫業務」項下編列「公股管理作業」44萬4千元，係辦理國營事業及公股股權管理、公股事業董監改選派等事宜相關經費。然查推動新青安貸款，協助無自有住宅民眾安心成家，減輕購屋負擔之成效仍待檢驗，卻存有投機客、人頭戶及貸後轉租之情事，財政部應督導公股銀行落實新青安貸款徵授信審核、強化貸後管理及稽查，請財政部國庫署向立法院財政委員會提出檢討改善書面報告。</w:t>
      </w:r>
    </w:p>
    <w:p w14:paraId="49195908" w14:textId="5717F694"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提案人：陳玉珍　</w:t>
      </w:r>
    </w:p>
    <w:p w14:paraId="6C79693C" w14:textId="725F5BAC"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連署人：羅明才　顏寬恒</w:t>
      </w:r>
    </w:p>
    <w:p w14:paraId="08C72121"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十四)114年度財政部國庫署預算案於第2目「國庫業務」項下編列「私劣菸品查緝作業」2億5,569萬3千元，係辦理中央及地方政府查緝機關辦理私劣菸品查緝等相關經費。然查菸捐分配於中央與地方私劣菸品查緝之執行率及違法菸類</w:t>
      </w:r>
      <w:r w:rsidRPr="00EE23B4">
        <w:rPr>
          <w:rFonts w:ascii="標楷體" w:eastAsia="標楷體" w:hAnsi="標楷體" w:hint="eastAsia"/>
          <w:kern w:val="0"/>
          <w:sz w:val="32"/>
          <w:szCs w:val="32"/>
        </w:rPr>
        <w:lastRenderedPageBreak/>
        <w:t>查獲數量等，均較1</w:t>
      </w:r>
      <w:r w:rsidRPr="00EE23B4">
        <w:rPr>
          <w:rFonts w:ascii="標楷體" w:eastAsia="標楷體" w:hAnsi="標楷體"/>
          <w:kern w:val="0"/>
          <w:sz w:val="32"/>
          <w:szCs w:val="32"/>
        </w:rPr>
        <w:t>12</w:t>
      </w:r>
      <w:r w:rsidRPr="00EE23B4">
        <w:rPr>
          <w:rFonts w:ascii="標楷體" w:eastAsia="標楷體" w:hAnsi="標楷體" w:hint="eastAsia"/>
          <w:kern w:val="0"/>
          <w:sz w:val="32"/>
          <w:szCs w:val="32"/>
        </w:rPr>
        <w:t>年同期為低，為提升菸捐之使用效率，請財政部國庫署向立法院財政委員會提出檢討改善書面報告。</w:t>
      </w:r>
    </w:p>
    <w:p w14:paraId="5A4EAC0E" w14:textId="08C87D37"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提案人：陳玉珍　</w:t>
      </w:r>
    </w:p>
    <w:p w14:paraId="172B705A" w14:textId="58061FE1"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連署人：羅明才　顏寬恒</w:t>
      </w:r>
    </w:p>
    <w:p w14:paraId="7881E94F"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十五)查114年度財政部國庫署預算案於第2目「國庫業務」編列3億6,511萬2千元。該項業務職責包含審酌我國過去、現在、未來之財務狀況，適度透過公債及國債之發行穩定國內財政。惟審計部於113年7月底公告之112年度中央政府總決算審核報告指出：「中央政府總決算歲入歲出賸餘已連續6年度超逾千億元……惟近年編列各項特別預算多以舉債支應，致長期債務餘額持續累增，又面臨人口高齡化之趨勢，政府財務負擔漸趨沉重，允宜審慎規劃運用歲計賸餘，並持續強化債務管控，以蓄積因應經濟變局之財政韌性。」是以，鑑於近年國際情勢因多處戰爭及各國大選而有劇烈變化、政治及經濟環境尚非屬穩定且可樂觀預測，財政部國庫署應更審慎評估我國近年財務狀況，始能維持我國財政之穩定性。綜上所述，請財政部國庫署於3個月內向立法院財政委員會就我國現有公債、國債之發行量對我國未來5年財政之影響提出書面報告。</w:t>
      </w:r>
    </w:p>
    <w:p w14:paraId="2AE079E1" w14:textId="37220E4B"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提案人：賴惠員　</w:t>
      </w:r>
    </w:p>
    <w:p w14:paraId="00B08216" w14:textId="37B070DA"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連署人：吳秉叡　郭國文</w:t>
      </w:r>
    </w:p>
    <w:p w14:paraId="0E7B3533"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(十六)財政部國庫署於「國庫及支付管理」辦理歲入預算籌編等工作，惟自110年以來，已連續4年歲入大幅超徵，110年度超徵約4,300億元、111年度約5,200億元、112年度約</w:t>
      </w:r>
      <w:r w:rsidRPr="00EE23B4">
        <w:rPr>
          <w:rFonts w:ascii="標楷體" w:eastAsia="標楷體" w:hAnsi="標楷體"/>
          <w:kern w:val="0"/>
          <w:sz w:val="32"/>
          <w:szCs w:val="32"/>
        </w:rPr>
        <w:t>3</w:t>
      </w:r>
      <w:r w:rsidRPr="00EE23B4">
        <w:rPr>
          <w:rFonts w:ascii="標楷體" w:eastAsia="標楷體" w:hAnsi="標楷體" w:hint="eastAsia"/>
          <w:kern w:val="0"/>
          <w:sz w:val="32"/>
          <w:szCs w:val="32"/>
        </w:rPr>
        <w:t>,</w:t>
      </w:r>
      <w:r w:rsidRPr="00EE23B4">
        <w:rPr>
          <w:rFonts w:ascii="標楷體" w:eastAsia="標楷體" w:hAnsi="標楷體"/>
          <w:kern w:val="0"/>
          <w:sz w:val="32"/>
          <w:szCs w:val="32"/>
        </w:rPr>
        <w:t>600</w:t>
      </w:r>
      <w:r w:rsidRPr="00EE23B4">
        <w:rPr>
          <w:rFonts w:ascii="標楷體" w:eastAsia="標楷體" w:hAnsi="標楷體" w:hint="eastAsia"/>
          <w:kern w:val="0"/>
          <w:sz w:val="32"/>
          <w:szCs w:val="32"/>
        </w:rPr>
        <w:t>億元，</w:t>
      </w:r>
      <w:r w:rsidRPr="00EE23B4">
        <w:rPr>
          <w:rFonts w:ascii="標楷體" w:eastAsia="標楷體" w:hAnsi="標楷體"/>
          <w:kern w:val="0"/>
          <w:sz w:val="32"/>
          <w:szCs w:val="32"/>
        </w:rPr>
        <w:t>113</w:t>
      </w:r>
      <w:r w:rsidRPr="00EE23B4">
        <w:rPr>
          <w:rFonts w:ascii="標楷體" w:eastAsia="標楷體" w:hAnsi="標楷體" w:hint="eastAsia"/>
          <w:kern w:val="0"/>
          <w:sz w:val="32"/>
          <w:szCs w:val="32"/>
        </w:rPr>
        <w:t>年度亦預估超徵達</w:t>
      </w:r>
      <w:r w:rsidRPr="00EE23B4">
        <w:rPr>
          <w:rFonts w:ascii="標楷體" w:eastAsia="標楷體" w:hAnsi="標楷體"/>
          <w:kern w:val="0"/>
          <w:sz w:val="32"/>
          <w:szCs w:val="32"/>
        </w:rPr>
        <w:t>4,000</w:t>
      </w:r>
      <w:r w:rsidRPr="00EE23B4">
        <w:rPr>
          <w:rFonts w:ascii="標楷體" w:eastAsia="標楷體" w:hAnsi="標楷體" w:hint="eastAsia"/>
          <w:kern w:val="0"/>
          <w:sz w:val="32"/>
          <w:szCs w:val="32"/>
        </w:rPr>
        <w:t>億元，查財政部於</w:t>
      </w:r>
      <w:r w:rsidRPr="00EE23B4">
        <w:rPr>
          <w:rFonts w:ascii="標楷體" w:eastAsia="標楷體" w:hAnsi="標楷體"/>
          <w:kern w:val="0"/>
          <w:sz w:val="32"/>
          <w:szCs w:val="32"/>
        </w:rPr>
        <w:t>112</w:t>
      </w:r>
      <w:r w:rsidRPr="00EE23B4">
        <w:rPr>
          <w:rFonts w:ascii="標楷體" w:eastAsia="標楷體" w:hAnsi="標楷體" w:hint="eastAsia"/>
          <w:kern w:val="0"/>
          <w:sz w:val="32"/>
          <w:szCs w:val="32"/>
        </w:rPr>
        <w:t>年即宣示成立財政部税收估測專案小組，並納入</w:t>
      </w:r>
      <w:r w:rsidRPr="00EE23B4">
        <w:rPr>
          <w:rFonts w:ascii="標楷體" w:eastAsia="標楷體" w:hAnsi="標楷體"/>
          <w:kern w:val="0"/>
          <w:sz w:val="32"/>
          <w:szCs w:val="32"/>
        </w:rPr>
        <w:t>113</w:t>
      </w:r>
      <w:r w:rsidRPr="00EE23B4">
        <w:rPr>
          <w:rFonts w:ascii="標楷體" w:eastAsia="標楷體" w:hAnsi="標楷體" w:hint="eastAsia"/>
          <w:kern w:val="0"/>
          <w:sz w:val="32"/>
          <w:szCs w:val="32"/>
        </w:rPr>
        <w:t>年度各項稅收估測之參考，但仍大幅超徵</w:t>
      </w:r>
      <w:r w:rsidRPr="00EE23B4">
        <w:rPr>
          <w:rFonts w:ascii="標楷體" w:eastAsia="標楷體" w:hAnsi="標楷體"/>
          <w:kern w:val="0"/>
          <w:sz w:val="32"/>
          <w:szCs w:val="32"/>
        </w:rPr>
        <w:t>4,000</w:t>
      </w:r>
      <w:r w:rsidRPr="00EE23B4">
        <w:rPr>
          <w:rFonts w:ascii="標楷體" w:eastAsia="標楷體" w:hAnsi="標楷體" w:hint="eastAsia"/>
          <w:kern w:val="0"/>
          <w:sz w:val="32"/>
          <w:szCs w:val="32"/>
        </w:rPr>
        <w:t>億元，難認有發揮效益，請財政部國庫署於3個月內向立法院財政委員會提出書面報告。</w:t>
      </w:r>
    </w:p>
    <w:p w14:paraId="27B4A9A4" w14:textId="382AD79B"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提案人：李彥秀　</w:t>
      </w:r>
    </w:p>
    <w:p w14:paraId="58DCBBD3" w14:textId="7FE00EDB"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9B0BAE">
        <w:rPr>
          <w:rFonts w:ascii="標楷體" w:eastAsia="標楷體" w:hAnsi="標楷體" w:hint="eastAsia"/>
          <w:kern w:val="0"/>
          <w:sz w:val="32"/>
          <w:szCs w:val="32"/>
        </w:rPr>
        <w:t>連署人：羅明才　陳玉珍</w:t>
      </w:r>
    </w:p>
    <w:p w14:paraId="271E7B89"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十七)114年度財政部國庫署預算案於第2目「國庫業務」項下「債務管理作業」之「業務費」編列42萬5千元。為接軌世界，政府提出臺灣2050淨零排放路徑及策略總說明，然中央政府尚無發行永續發展債券，接軌國際趨勢並利我國永續發展政策，請財政部國庫署於3個月內向立法院財政委員會提出書面報告。</w:t>
      </w:r>
    </w:p>
    <w:p w14:paraId="57760BE3" w14:textId="1A5CB6E7"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提案人：顏寬恒　</w:t>
      </w:r>
    </w:p>
    <w:p w14:paraId="66B2EA7D" w14:textId="6E832EEF"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連署人：王鴻薇　賴士葆　陳玉珍</w:t>
      </w:r>
    </w:p>
    <w:p w14:paraId="78DAB43E"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十八)113年度總預算所提之主決議第57項次，財政部稱已遵奉行政院指示，著手進行財政收支劃分法修法之研議，惟迄今仍未能提出修法草案，亦未見完整之評估報告及修法方向意見，顯未見其成效，請財政部國庫署於3個月內向立法院財政委員會提出書面報告。</w:t>
      </w:r>
    </w:p>
    <w:p w14:paraId="7941B1DF" w14:textId="07E225BA"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提案人：李彥秀　</w:t>
      </w:r>
    </w:p>
    <w:p w14:paraId="6851A1E2" w14:textId="79324391"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連署人：羅明才　陳玉珍</w:t>
      </w:r>
    </w:p>
    <w:p w14:paraId="1EBC4E45"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十九)114年度財政部國庫署預算案於第2目「國庫業務」項下「公股管理作業」編列44萬4千元。新青安政策的立意良善，但卻漏洞百出，財政部透過最直接方式介入，採用補貼以及放寬信貸範圍的方式，不外乎帶動了房價的上漲，也衍生出許多投機行為。經查，截至113年8月底止，累計查核1,575件未符購屋自住使用。因此，公股銀行應落實新青安貸款徵授信審核、強化貸後管理及稽查。爰請財政部國庫署向立法院財政委員會提出專案報告。</w:t>
      </w:r>
    </w:p>
    <w:p w14:paraId="39136783" w14:textId="71BE263B"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 xml:space="preserve">提案人：顏寬恒　</w:t>
      </w:r>
    </w:p>
    <w:p w14:paraId="3876DA24" w14:textId="4B17603F" w:rsidR="009D64D0" w:rsidRPr="009B0BAE"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9B0BAE">
        <w:rPr>
          <w:rFonts w:ascii="標楷體" w:eastAsia="標楷體" w:hAnsi="標楷體" w:hint="eastAsia"/>
          <w:kern w:val="0"/>
          <w:sz w:val="32"/>
          <w:szCs w:val="32"/>
        </w:rPr>
        <w:t>連署人：王鴻薇　賴士葆　陳玉珍</w:t>
      </w:r>
    </w:p>
    <w:p w14:paraId="429B70D8"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(二　十)按114年度財政部國庫署預算案於第2目「國庫業務」項下「公股管理作業」編列44萬4千元。惟據審計部於113年7月底公告之112年度中央政府總決算審核報告指出：「財政部成立ESG倡議平臺分階段推動各項具體方案，督導公股金融事業落實推動綠色金融，惟永續發展債券</w:t>
      </w:r>
      <w:r w:rsidRPr="00EE23B4">
        <w:rPr>
          <w:rFonts w:ascii="標楷體" w:eastAsia="標楷體" w:hAnsi="標楷體" w:hint="eastAsia"/>
          <w:kern w:val="0"/>
          <w:sz w:val="32"/>
          <w:szCs w:val="32"/>
        </w:rPr>
        <w:lastRenderedPageBreak/>
        <w:t>發行量仍有提升空間，方案執行目標亦待滾動調整修正」等語。經查財政部為順應國際綠色金融發展趨勢，於110年9月成立ESG倡議平臺，並訂定財政部ESG倡議平臺具體執行方案，期藉由公股金融事業之聯合倡議，引導產業及投資人重視ESG議題，建構完善之永續金融圈。惟在110至112年度8家金融各該年度發行金額執行方案目標已達成之情形下，未能延續過往年度推動量能；又財團法人中華民國證券櫃檯買賣中心業於111年建立可持續發展連結債券（SLB）櫃檯買賣制度，惟各公股金融事業迄無發行是類債券，亦待督促研議發行之可行性。鑑此，為敦促提升公股金融事業發展綠色金融成效，落實金融事業符合ESG倡議目標，請財政部國庫署於1個月內向立法院財政委員會就如何延續公股行庫落實推動綠色、永續金融提出書面報告。</w:t>
      </w:r>
    </w:p>
    <w:p w14:paraId="6044D92C" w14:textId="7D1BC6BC"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 xml:space="preserve">提案人：賴惠員　</w:t>
      </w:r>
    </w:p>
    <w:p w14:paraId="4C4C4A7F" w14:textId="74493791"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連署人：吳秉叡　郭國文</w:t>
      </w:r>
    </w:p>
    <w:p w14:paraId="25D2B7FD"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二十一)114年度財政部國庫署預算案於第2目「國庫業務」項下「菸酒管理作業」編列3,740萬9千元。我國於91年加入WTO會員，同時廢止菸酒專賣制度，改課菸酒稅與關稅，使得酒類進口量上升。財政部國庫署「菸酒巿場占有率分析表-國產及進口酒類總量表」統計，我國國產酒類市占率93年仍有73.56%，惟到113年9月底大幅下滑，僅剩46.96%。依據經濟部統計處資料，進口酒中以啤酒進口2億4</w:t>
      </w:r>
      <w:r w:rsidRPr="00EE23B4">
        <w:rPr>
          <w:rFonts w:ascii="標楷體" w:eastAsia="標楷體" w:hAnsi="標楷體"/>
          <w:kern w:val="0"/>
          <w:sz w:val="32"/>
          <w:szCs w:val="32"/>
        </w:rPr>
        <w:t>,</w:t>
      </w:r>
      <w:r w:rsidRPr="00EE23B4">
        <w:rPr>
          <w:rFonts w:ascii="標楷體" w:eastAsia="標楷體" w:hAnsi="標楷體" w:hint="eastAsia"/>
          <w:kern w:val="0"/>
          <w:sz w:val="32"/>
          <w:szCs w:val="32"/>
        </w:rPr>
        <w:t>700萬公升，占75.8%為大宗，年增9.3%，近10年平均成長5.6%，以來自中國大陸(已連續4年為主要進口來源)占逾五成最多。我國民眾熟悉之美、日系啤酒品牌基於成本及銷售考量，多至中國大陸設廠，以低價方式傾銷到台灣，造成本地啤酒釀造產業衝擊。為推廣我國國產優質酒類，請財政部國庫署於1個月內就協助我國國產優質啤酒釀造產業推廣計畫向立法院財政委員會提出書面報告。</w:t>
      </w:r>
    </w:p>
    <w:p w14:paraId="1FE93430" w14:textId="6C23CABD"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CC7A43">
        <w:rPr>
          <w:rFonts w:ascii="標楷體" w:eastAsia="標楷體" w:hAnsi="標楷體" w:hint="eastAsia"/>
          <w:kern w:val="0"/>
          <w:sz w:val="32"/>
          <w:szCs w:val="32"/>
        </w:rPr>
        <w:t xml:space="preserve">提案人：黃珊珊　王鴻薇　顏寬恒　</w:t>
      </w:r>
    </w:p>
    <w:p w14:paraId="5083CFA8" w14:textId="77777777" w:rsidR="009D64D0" w:rsidRPr="00EE23B4" w:rsidRDefault="009D64D0" w:rsidP="00F470A8">
      <w:pPr>
        <w:widowControl w:val="0"/>
        <w:tabs>
          <w:tab w:val="left" w:pos="709"/>
          <w:tab w:val="left" w:pos="851"/>
        </w:tabs>
        <w:kinsoku w:val="0"/>
        <w:overflowPunct w:val="0"/>
        <w:autoSpaceDE w:val="0"/>
        <w:adjustRightInd w:val="0"/>
        <w:snapToGrid w:val="0"/>
        <w:spacing w:line="460" w:lineRule="exact"/>
        <w:ind w:left="1920" w:hangingChars="600" w:hanging="1920"/>
        <w:jc w:val="both"/>
        <w:textAlignment w:val="auto"/>
        <w:rPr>
          <w:rFonts w:ascii="標楷體" w:eastAsia="標楷體" w:hAnsi="標楷體"/>
          <w:kern w:val="0"/>
          <w:sz w:val="32"/>
          <w:szCs w:val="32"/>
        </w:rPr>
      </w:pPr>
      <w:r w:rsidRPr="00EE23B4">
        <w:rPr>
          <w:rFonts w:ascii="標楷體" w:eastAsia="標楷體" w:hAnsi="標楷體" w:hint="eastAsia"/>
          <w:kern w:val="0"/>
          <w:sz w:val="32"/>
          <w:szCs w:val="32"/>
        </w:rPr>
        <w:t xml:space="preserve">　　(二十二)鑑於公益彩券發行25年，但借牌經營亂象仍層出不窮，據估計，目前實際由社會弱勢者經營比率僅剩五成左右，且出借牌照將成為他人利用工具；非法借牌經營者挾其優勢經濟能力搶奪銷售業績，等同壓縮弱勢者經營績效，將危害弱勢族群權益。然而實務上，考量營運所需的龐大資金及障礙者本人未必具經營能力等情況，弱勢者借牌多出於迫不得已；故請財政部國庫署以研議公益彩券合理借牌經營方針，同時提供弱勢經營者貸款方案為題，於1個月內向立法院財政委員會提出書面報告。</w:t>
      </w:r>
    </w:p>
    <w:p w14:paraId="6BC23F0A" w14:textId="3AF532C5"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 xml:space="preserve">提案人：王世堅　</w:t>
      </w:r>
    </w:p>
    <w:p w14:paraId="15F948C3" w14:textId="2A020758"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連署人：郭國文　賴惠員</w:t>
      </w:r>
    </w:p>
    <w:p w14:paraId="17692A7F" w14:textId="77777777" w:rsidR="009D64D0" w:rsidRPr="0045235E" w:rsidRDefault="009D64D0" w:rsidP="00F470A8">
      <w:pPr>
        <w:widowControl w:val="0"/>
        <w:tabs>
          <w:tab w:val="left" w:pos="709"/>
          <w:tab w:val="left" w:pos="851"/>
        </w:tabs>
        <w:kinsoku w:val="0"/>
        <w:overflowPunct w:val="0"/>
        <w:autoSpaceDE w:val="0"/>
        <w:adjustRightInd w:val="0"/>
        <w:snapToGrid w:val="0"/>
        <w:spacing w:line="460" w:lineRule="exact"/>
        <w:ind w:left="1968" w:hangingChars="615" w:hanging="1968"/>
        <w:jc w:val="both"/>
        <w:textAlignment w:val="auto"/>
        <w:rPr>
          <w:rFonts w:ascii="標楷體" w:eastAsia="標楷體" w:hAnsi="標楷體"/>
          <w:kern w:val="0"/>
          <w:sz w:val="32"/>
          <w:szCs w:val="32"/>
        </w:rPr>
      </w:pPr>
      <w:r w:rsidRPr="0045235E">
        <w:rPr>
          <w:rFonts w:ascii="標楷體" w:eastAsia="標楷體" w:hAnsi="標楷體" w:hint="eastAsia"/>
          <w:kern w:val="0"/>
          <w:sz w:val="32"/>
          <w:szCs w:val="32"/>
        </w:rPr>
        <w:t xml:space="preserve">　　</w:t>
      </w:r>
      <w:r w:rsidRPr="0045235E">
        <w:rPr>
          <w:rFonts w:ascii="標楷體" w:eastAsia="標楷體" w:hAnsi="標楷體" w:hint="eastAsia"/>
          <w:b/>
          <w:kern w:val="0"/>
          <w:sz w:val="32"/>
          <w:szCs w:val="32"/>
        </w:rPr>
        <w:t>第11項　財政資訊中心</w:t>
      </w:r>
      <w:r w:rsidRPr="0045235E">
        <w:rPr>
          <w:rFonts w:ascii="標楷體" w:eastAsia="標楷體" w:hAnsi="標楷體" w:hint="eastAsia"/>
          <w:kern w:val="0"/>
          <w:sz w:val="32"/>
          <w:szCs w:val="32"/>
        </w:rPr>
        <w:t>原列22億2,405萬1千元，減列第2目「財政資訊業務」310萬元(含「國稅核課系統及資料集中處理經費」50萬元、「資通資源管理」100萬元、「財政資料管理」10萬元、「電子發票管理經費」50萬元；科目均自行調整)，其餘均照列，改列為22億2,095萬1千元。</w:t>
      </w:r>
    </w:p>
    <w:p w14:paraId="389012D1" w14:textId="77777777" w:rsidR="009D64D0" w:rsidRPr="0045235E" w:rsidRDefault="009D64D0" w:rsidP="00F470A8">
      <w:pPr>
        <w:widowControl w:val="0"/>
        <w:tabs>
          <w:tab w:val="left" w:pos="709"/>
          <w:tab w:val="left" w:pos="851"/>
        </w:tabs>
        <w:kinsoku w:val="0"/>
        <w:overflowPunct w:val="0"/>
        <w:autoSpaceDE w:val="0"/>
        <w:adjustRightInd w:val="0"/>
        <w:snapToGrid w:val="0"/>
        <w:spacing w:line="460" w:lineRule="exact"/>
        <w:ind w:left="1600" w:hangingChars="500" w:hanging="1600"/>
        <w:jc w:val="both"/>
        <w:textAlignment w:val="auto"/>
        <w:rPr>
          <w:rFonts w:ascii="標楷體" w:eastAsia="標楷體" w:hAnsi="標楷體"/>
          <w:kern w:val="0"/>
          <w:sz w:val="32"/>
          <w:szCs w:val="32"/>
        </w:rPr>
      </w:pPr>
      <w:r w:rsidRPr="0045235E">
        <w:rPr>
          <w:rFonts w:ascii="標楷體" w:eastAsia="標楷體" w:hAnsi="標楷體" w:hint="eastAsia"/>
          <w:kern w:val="0"/>
          <w:sz w:val="32"/>
          <w:szCs w:val="32"/>
        </w:rPr>
        <w:t xml:space="preserve">　　本項通過決議3項：</w:t>
      </w:r>
    </w:p>
    <w:p w14:paraId="0A2EBD1D" w14:textId="77777777" w:rsidR="009D64D0" w:rsidRPr="0045235E" w:rsidRDefault="009D64D0" w:rsidP="00F470A8">
      <w:pPr>
        <w:widowControl w:val="0"/>
        <w:tabs>
          <w:tab w:val="left" w:pos="709"/>
          <w:tab w:val="left" w:pos="851"/>
        </w:tabs>
        <w:kinsoku w:val="0"/>
        <w:overflowPunct w:val="0"/>
        <w:autoSpaceDE w:val="0"/>
        <w:adjustRightInd w:val="0"/>
        <w:snapToGrid w:val="0"/>
        <w:spacing w:line="460" w:lineRule="exact"/>
        <w:ind w:left="1274" w:hangingChars="398" w:hanging="1274"/>
        <w:jc w:val="both"/>
        <w:textAlignment w:val="auto"/>
        <w:rPr>
          <w:rFonts w:ascii="標楷體" w:eastAsia="標楷體" w:hAnsi="標楷體"/>
          <w:kern w:val="2"/>
          <w:sz w:val="32"/>
          <w:szCs w:val="32"/>
        </w:rPr>
      </w:pPr>
      <w:r w:rsidRPr="0045235E">
        <w:rPr>
          <w:rFonts w:ascii="標楷體" w:eastAsia="標楷體" w:hAnsi="標楷體" w:hint="eastAsia"/>
          <w:kern w:val="2"/>
          <w:sz w:val="32"/>
          <w:szCs w:val="32"/>
        </w:rPr>
        <w:t xml:space="preserve">　　(一)114年度財政部財政資訊中心預算案於第2目「財政資訊業務」編列17億3,443萬6千元。受地緣政治影響，台灣成為眾多國際駭客攻擊之目標，金融業、政府及大型企業網站遭受境外網路外部攻擊大增。不僅是政府單位，恐連私人企業都將遭受到衝擊，台灣資安恐面臨挑戰。據報載，公股行庫內部最新資料顯示，9月起攻擊較先前有翻倍之情勢，甚有銀行年增達3倍以上。駭客組織對政府及金融單位網站發動DDoS攻擊，導致多家銀行網站一度停擺。另外，資安公司CrowdStrike產品更新作業，引發微軟Windows作業系統大規模當機，亦有銀行ATM系統當機、集團供應商遭勒索軟體攻擊等資安事件。爰凍結該項預算500萬元，俟財政部財政資訊中心於1個月內就強化稅務資料與資通及網路安全防護向</w:t>
      </w:r>
      <w:r w:rsidRPr="0045235E">
        <w:rPr>
          <w:rFonts w:ascii="標楷體" w:eastAsia="標楷體" w:hAnsi="標楷體" w:hint="eastAsia"/>
          <w:kern w:val="2"/>
          <w:sz w:val="32"/>
          <w:szCs w:val="32"/>
        </w:rPr>
        <w:lastRenderedPageBreak/>
        <w:t>立法院財政委員會提出書面報告後，始得動支。</w:t>
      </w:r>
    </w:p>
    <w:p w14:paraId="3E19A534" w14:textId="690C1E58"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提案人：黃珊珊　顏寬恒　王鴻薇</w:t>
      </w:r>
    </w:p>
    <w:p w14:paraId="78E3810C" w14:textId="77777777" w:rsidR="009D64D0" w:rsidRPr="0045235E"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45235E">
        <w:rPr>
          <w:rFonts w:ascii="標楷體" w:eastAsia="標楷體" w:hAnsi="標楷體" w:hint="eastAsia"/>
          <w:kern w:val="2"/>
          <w:sz w:val="32"/>
          <w:szCs w:val="32"/>
        </w:rPr>
        <w:t xml:space="preserve">　　(二)114年度財政部財政資訊中心預算案於第2目「財政資訊業務」項下「電子發票管理經費」編列1億4,907萬6千元。據立法院預算中心評估報告指出，從各市縣電子發票開立情形以觀，僅臺北市及連江縣雲端發票使用率分別為76.9%、67.9%高於全國平均值，其餘20市縣均低於全國平均值，其中前3低者分別為嘉義縣之42.0%、屏東縣之46.0%及南投縣之46.8%。財政部財政資訊中心自94年度推動電子發票計畫，迄114年度止相關推動預算(案)數累計已編列30億餘元，惟截至113年8月底止，雲端發票使用率58.81%，該比率已臨近114年度設定目標值60%，允宜上調目標值。爰凍結該項預算二十分之一，俟財政部財政資訊中心於1個月內就強化電子發票推廣計畫及推廣各機關政府採購案優先採購電子發票商家之計畫及配套向立法院財政委員會提出書面報告後，始得動支。</w:t>
      </w:r>
    </w:p>
    <w:p w14:paraId="4ADA9C4D" w14:textId="2165B06E"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提案人：黃珊珊　顏寬恒　王鴻薇</w:t>
      </w:r>
    </w:p>
    <w:p w14:paraId="3FAB0206" w14:textId="77777777" w:rsidR="009D64D0" w:rsidRPr="0045235E" w:rsidRDefault="009D64D0" w:rsidP="00F470A8">
      <w:pPr>
        <w:tabs>
          <w:tab w:val="left" w:pos="709"/>
          <w:tab w:val="left" w:pos="851"/>
        </w:tabs>
        <w:overflowPunct w:val="0"/>
        <w:autoSpaceDE w:val="0"/>
        <w:spacing w:line="460" w:lineRule="exact"/>
        <w:ind w:left="1274" w:hangingChars="398" w:hanging="1274"/>
        <w:jc w:val="both"/>
        <w:rPr>
          <w:rFonts w:ascii="標楷體" w:eastAsia="標楷體" w:hAnsi="標楷體"/>
          <w:kern w:val="2"/>
          <w:sz w:val="32"/>
          <w:szCs w:val="32"/>
        </w:rPr>
      </w:pPr>
      <w:r w:rsidRPr="0045235E">
        <w:rPr>
          <w:rFonts w:ascii="標楷體" w:eastAsia="標楷體" w:hAnsi="標楷體" w:hint="eastAsia"/>
          <w:kern w:val="2"/>
          <w:sz w:val="32"/>
          <w:szCs w:val="32"/>
        </w:rPr>
        <w:t xml:space="preserve">　　(三)114年度財政部財政資訊中心預算案於第2目「財政資訊業務」項下「電子發票管理經費」中「業務費」之「一般事務費」編列預算101萬元。財政部財政資訊中心為辦理電子發票推廣採購宣導品，經查，截至113年7月底止，共有31項宣導品購置逾2年，且庫存量逾原採購數三分之一，實屬浪費，為撙節國家預算。爰凍結該項預算十分之一，俟財政部財政資訊中心於3個月內向立法院財政委員會提出書面報告後，始得動支。</w:t>
      </w:r>
    </w:p>
    <w:p w14:paraId="1E798808" w14:textId="33851CEE"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 xml:space="preserve">提案人：顏寬恒　</w:t>
      </w:r>
    </w:p>
    <w:p w14:paraId="37646B4E" w14:textId="775454C6"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連署人：王鴻薇　賴士葆　陳玉珍</w:t>
      </w:r>
    </w:p>
    <w:p w14:paraId="2275655B" w14:textId="77777777" w:rsidR="009D64D0" w:rsidRPr="0045235E" w:rsidRDefault="009D64D0" w:rsidP="00F470A8">
      <w:pPr>
        <w:widowControl w:val="0"/>
        <w:overflowPunct w:val="0"/>
        <w:autoSpaceDE w:val="0"/>
        <w:adjustRightInd w:val="0"/>
        <w:snapToGrid w:val="0"/>
        <w:spacing w:line="460" w:lineRule="exact"/>
        <w:ind w:leftChars="275" w:left="2101" w:hangingChars="450" w:hanging="1441"/>
        <w:textAlignment w:val="auto"/>
        <w:rPr>
          <w:rFonts w:ascii="標楷體" w:eastAsia="標楷體" w:hAnsi="標楷體"/>
          <w:b/>
          <w:color w:val="000000" w:themeColor="text1"/>
          <w:kern w:val="2"/>
          <w:sz w:val="32"/>
          <w:szCs w:val="32"/>
        </w:rPr>
      </w:pPr>
      <w:r w:rsidRPr="0045235E">
        <w:rPr>
          <w:rFonts w:ascii="標楷體" w:eastAsia="標楷體" w:hAnsi="標楷體" w:hint="eastAsia"/>
          <w:b/>
          <w:color w:val="000000" w:themeColor="text1"/>
          <w:kern w:val="2"/>
          <w:sz w:val="32"/>
          <w:szCs w:val="32"/>
        </w:rPr>
        <w:t>有關政事別歲出預算隨同以上機關別審查結果調整。</w:t>
      </w:r>
    </w:p>
    <w:p w14:paraId="0CBE1B9E" w14:textId="77777777" w:rsidR="009D64D0" w:rsidRPr="00FD24F8" w:rsidRDefault="009D64D0" w:rsidP="00F470A8">
      <w:pPr>
        <w:pStyle w:val="Default"/>
        <w:overflowPunct w:val="0"/>
        <w:adjustRightInd w:val="0"/>
        <w:snapToGrid w:val="0"/>
        <w:spacing w:line="460" w:lineRule="exact"/>
        <w:ind w:left="641" w:hangingChars="200" w:hanging="641"/>
        <w:jc w:val="both"/>
        <w:rPr>
          <w:rFonts w:cs="Times New Roman"/>
          <w:b/>
          <w:bCs/>
          <w:sz w:val="32"/>
          <w:szCs w:val="32"/>
        </w:rPr>
      </w:pPr>
      <w:r>
        <w:rPr>
          <w:rFonts w:cs="Times New Roman" w:hint="eastAsia"/>
          <w:b/>
          <w:bCs/>
          <w:sz w:val="32"/>
          <w:szCs w:val="32"/>
        </w:rPr>
        <w:t>參</w:t>
      </w:r>
      <w:r w:rsidRPr="00FD24F8">
        <w:rPr>
          <w:rFonts w:cs="Times New Roman" w:hint="eastAsia"/>
          <w:b/>
          <w:bCs/>
          <w:sz w:val="32"/>
          <w:szCs w:val="32"/>
        </w:rPr>
        <w:t>、</w:t>
      </w:r>
      <w:r w:rsidRPr="00ED73A8">
        <w:rPr>
          <w:rFonts w:cs="Times New Roman" w:hint="eastAsia"/>
          <w:b/>
          <w:bCs/>
          <w:sz w:val="32"/>
          <w:szCs w:val="32"/>
        </w:rPr>
        <w:t>中華民國114年度中央政府總預算案附屬單位預算非營業部分有關</w:t>
      </w:r>
      <w:r w:rsidRPr="00FD24F8">
        <w:rPr>
          <w:rFonts w:cs="Times New Roman" w:hint="eastAsia"/>
          <w:b/>
          <w:bCs/>
          <w:sz w:val="32"/>
          <w:szCs w:val="32"/>
        </w:rPr>
        <w:t>財政部主管債務基</w:t>
      </w:r>
      <w:r w:rsidRPr="00ED73A8">
        <w:rPr>
          <w:rFonts w:cs="Times New Roman" w:hint="eastAsia"/>
          <w:b/>
          <w:bCs/>
          <w:sz w:val="32"/>
          <w:szCs w:val="32"/>
        </w:rPr>
        <w:t>金－中</w:t>
      </w:r>
      <w:r w:rsidRPr="00FD24F8">
        <w:rPr>
          <w:rFonts w:cs="Times New Roman" w:hint="eastAsia"/>
          <w:b/>
          <w:bCs/>
          <w:sz w:val="32"/>
          <w:szCs w:val="32"/>
        </w:rPr>
        <w:t>央政府債務基金</w:t>
      </w:r>
      <w:r w:rsidRPr="00ED73A8">
        <w:rPr>
          <w:rFonts w:cs="Times New Roman" w:hint="eastAsia"/>
          <w:b/>
          <w:bCs/>
          <w:sz w:val="32"/>
          <w:szCs w:val="32"/>
        </w:rPr>
        <w:t>審查結果：</w:t>
      </w:r>
    </w:p>
    <w:p w14:paraId="743641C7" w14:textId="77777777" w:rsidR="009D64D0" w:rsidRPr="00A75A2C" w:rsidRDefault="009D64D0" w:rsidP="00F470A8">
      <w:pPr>
        <w:widowControl w:val="0"/>
        <w:overflowPunct w:val="0"/>
        <w:autoSpaceDE w:val="0"/>
        <w:adjustRightInd w:val="0"/>
        <w:snapToGrid w:val="0"/>
        <w:spacing w:line="460" w:lineRule="exact"/>
        <w:ind w:leftChars="275" w:left="2100" w:hangingChars="450" w:hanging="1440"/>
        <w:textAlignment w:val="auto"/>
        <w:rPr>
          <w:rFonts w:ascii="標楷體" w:eastAsia="標楷體" w:hAnsi="標楷體"/>
          <w:color w:val="000000" w:themeColor="text1"/>
          <w:kern w:val="2"/>
          <w:sz w:val="32"/>
          <w:szCs w:val="32"/>
        </w:rPr>
      </w:pPr>
      <w:r w:rsidRPr="00A75A2C">
        <w:rPr>
          <w:rFonts w:ascii="標楷體" w:eastAsia="標楷體" w:hAnsi="標楷體" w:hint="eastAsia"/>
          <w:color w:val="000000" w:themeColor="text1"/>
          <w:kern w:val="2"/>
          <w:sz w:val="32"/>
          <w:szCs w:val="32"/>
        </w:rPr>
        <w:t>一</w:t>
      </w:r>
      <w:r w:rsidRPr="00A75A2C">
        <w:rPr>
          <w:rFonts w:ascii="標楷體" w:eastAsia="標楷體" w:hAnsi="標楷體"/>
          <w:color w:val="000000" w:themeColor="text1"/>
          <w:kern w:val="2"/>
          <w:sz w:val="32"/>
          <w:szCs w:val="32"/>
        </w:rPr>
        <w:t>、</w:t>
      </w:r>
      <w:r w:rsidRPr="00A75A2C">
        <w:rPr>
          <w:rFonts w:ascii="標楷體" w:eastAsia="標楷體" w:hAnsi="標楷體" w:hint="eastAsia"/>
          <w:color w:val="000000" w:themeColor="text1"/>
          <w:kern w:val="2"/>
          <w:sz w:val="32"/>
          <w:szCs w:val="32"/>
        </w:rPr>
        <w:t>債務基金－中央政府債務基金</w:t>
      </w:r>
    </w:p>
    <w:p w14:paraId="60867723" w14:textId="77777777" w:rsidR="009D64D0" w:rsidRPr="00A75A2C" w:rsidRDefault="009D64D0" w:rsidP="00F470A8">
      <w:pPr>
        <w:widowControl w:val="0"/>
        <w:kinsoku w:val="0"/>
        <w:overflowPunct w:val="0"/>
        <w:autoSpaceDN/>
        <w:adjustRightInd w:val="0"/>
        <w:snapToGrid w:val="0"/>
        <w:spacing w:line="460" w:lineRule="exact"/>
        <w:ind w:leftChars="300" w:left="720"/>
        <w:jc w:val="both"/>
        <w:textAlignment w:val="auto"/>
        <w:rPr>
          <w:rFonts w:ascii="標楷體" w:eastAsia="標楷體" w:hAnsi="標楷體"/>
          <w:bCs/>
          <w:kern w:val="0"/>
          <w:sz w:val="32"/>
          <w:szCs w:val="32"/>
        </w:rPr>
      </w:pPr>
      <w:r w:rsidRPr="00A75A2C">
        <w:rPr>
          <w:rFonts w:ascii="標楷體" w:eastAsia="標楷體" w:hAnsi="標楷體" w:hint="eastAsia"/>
          <w:bCs/>
          <w:kern w:val="0"/>
          <w:sz w:val="32"/>
          <w:szCs w:val="32"/>
        </w:rPr>
        <w:lastRenderedPageBreak/>
        <w:t>(一)業務計畫：應依據基金來源與用途審查結果，隨同調整。</w:t>
      </w:r>
    </w:p>
    <w:p w14:paraId="21955FB2" w14:textId="77777777" w:rsidR="009D64D0" w:rsidRPr="00A75A2C" w:rsidRDefault="009D64D0" w:rsidP="00F470A8">
      <w:pPr>
        <w:widowControl w:val="0"/>
        <w:kinsoku w:val="0"/>
        <w:overflowPunct w:val="0"/>
        <w:autoSpaceDN/>
        <w:adjustRightInd w:val="0"/>
        <w:snapToGrid w:val="0"/>
        <w:spacing w:line="460" w:lineRule="exact"/>
        <w:ind w:leftChars="300" w:left="720"/>
        <w:jc w:val="both"/>
        <w:textAlignment w:val="auto"/>
        <w:rPr>
          <w:rFonts w:ascii="標楷體" w:eastAsia="標楷體" w:hAnsi="標楷體"/>
          <w:bCs/>
          <w:kern w:val="0"/>
          <w:sz w:val="32"/>
          <w:szCs w:val="32"/>
        </w:rPr>
      </w:pPr>
      <w:r w:rsidRPr="00A75A2C">
        <w:rPr>
          <w:rFonts w:ascii="標楷體" w:eastAsia="標楷體" w:hAnsi="標楷體" w:hint="eastAsia"/>
          <w:bCs/>
          <w:kern w:val="0"/>
          <w:sz w:val="32"/>
          <w:szCs w:val="32"/>
        </w:rPr>
        <w:t>(二)基金來源、用途及餘絀：</w:t>
      </w:r>
    </w:p>
    <w:p w14:paraId="7A84EB4E" w14:textId="77777777" w:rsidR="009D64D0" w:rsidRPr="00A75A2C" w:rsidRDefault="009D64D0" w:rsidP="00F470A8">
      <w:pPr>
        <w:widowControl w:val="0"/>
        <w:kinsoku w:val="0"/>
        <w:overflowPunct w:val="0"/>
        <w:autoSpaceDN/>
        <w:adjustRightInd w:val="0"/>
        <w:snapToGrid w:val="0"/>
        <w:spacing w:line="460" w:lineRule="exact"/>
        <w:ind w:leftChars="500" w:left="3120" w:hangingChars="600" w:hanging="1920"/>
        <w:jc w:val="both"/>
        <w:textAlignment w:val="auto"/>
        <w:rPr>
          <w:rFonts w:ascii="標楷體" w:eastAsia="標楷體" w:hAnsi="標楷體"/>
          <w:kern w:val="16"/>
          <w:sz w:val="32"/>
          <w:szCs w:val="32"/>
        </w:rPr>
      </w:pPr>
      <w:r w:rsidRPr="00A75A2C">
        <w:rPr>
          <w:rFonts w:ascii="標楷體" w:eastAsia="標楷體" w:hAnsi="標楷體" w:hint="eastAsia"/>
          <w:kern w:val="16"/>
          <w:sz w:val="32"/>
          <w:szCs w:val="32"/>
        </w:rPr>
        <w:t>1.基金來源：原列9</w:t>
      </w:r>
      <w:r w:rsidRPr="00A75A2C">
        <w:rPr>
          <w:rFonts w:ascii="標楷體" w:eastAsia="標楷體" w:hAnsi="標楷體"/>
          <w:kern w:val="16"/>
          <w:sz w:val="32"/>
          <w:szCs w:val="32"/>
        </w:rPr>
        <w:t>,</w:t>
      </w:r>
      <w:r w:rsidRPr="00A75A2C">
        <w:rPr>
          <w:rFonts w:ascii="標楷體" w:eastAsia="標楷體" w:hAnsi="標楷體" w:hint="eastAsia"/>
          <w:kern w:val="16"/>
          <w:sz w:val="32"/>
          <w:szCs w:val="32"/>
        </w:rPr>
        <w:t>129億6,726萬5千元，配合114 年度中央政府總預算案審議結果減列財政部國庫署第4目「國債付息」項下「國債付息」中「債務費」之「債務利息」10億元、第5目「國債經理」項下「國債經理」中「債務費」之「手續費」500萬元，本項應隨同修正減列「債務收入」項下「債務事務費收入」500萬元、「債務付息收入」10億元，共計減列10億0,500萬元，其餘均照列，改列為9,119億6,226萬5千元。</w:t>
      </w:r>
    </w:p>
    <w:p w14:paraId="5843FFA7" w14:textId="77777777" w:rsidR="009D64D0" w:rsidRPr="00A75A2C" w:rsidRDefault="009D64D0" w:rsidP="00F470A8">
      <w:pPr>
        <w:widowControl w:val="0"/>
        <w:kinsoku w:val="0"/>
        <w:overflowPunct w:val="0"/>
        <w:autoSpaceDN/>
        <w:adjustRightInd w:val="0"/>
        <w:snapToGrid w:val="0"/>
        <w:spacing w:line="460" w:lineRule="exact"/>
        <w:ind w:leftChars="500" w:left="3184" w:hangingChars="620" w:hanging="1984"/>
        <w:jc w:val="both"/>
        <w:textAlignment w:val="auto"/>
        <w:rPr>
          <w:rFonts w:ascii="標楷體" w:eastAsia="標楷體" w:hAnsi="標楷體"/>
          <w:kern w:val="16"/>
          <w:sz w:val="32"/>
          <w:szCs w:val="32"/>
        </w:rPr>
      </w:pPr>
      <w:r w:rsidRPr="00A75A2C">
        <w:rPr>
          <w:rFonts w:ascii="標楷體" w:eastAsia="標楷體" w:hAnsi="標楷體" w:hint="eastAsia"/>
          <w:kern w:val="16"/>
          <w:sz w:val="32"/>
          <w:szCs w:val="32"/>
        </w:rPr>
        <w:t>2.基金用途：原列9,129億6,525萬1千元，配合114 年度中央政府總預算案審議結果減列財政部國庫署第4目「國債付息」項下「國債付息」中「債務費」之「債務利息」10億元、第5目「國債經理」項下「國債經理」中「債務費」之「手續費」500萬元，本項應隨同修正減列「還本付息計畫」項下「債務事務費支出」500萬元、「債務付息支出」10億元，共計減列10億0,500萬元，其餘均照列，改列為9,119億6,025萬1千元。</w:t>
      </w:r>
    </w:p>
    <w:p w14:paraId="43B38E4C" w14:textId="77777777" w:rsidR="009D64D0" w:rsidRPr="00A75A2C" w:rsidRDefault="009D64D0" w:rsidP="00F470A8">
      <w:pPr>
        <w:widowControl w:val="0"/>
        <w:kinsoku w:val="0"/>
        <w:overflowPunct w:val="0"/>
        <w:autoSpaceDN/>
        <w:adjustRightInd w:val="0"/>
        <w:snapToGrid w:val="0"/>
        <w:spacing w:line="460" w:lineRule="exact"/>
        <w:ind w:leftChars="500" w:left="3184" w:hangingChars="620" w:hanging="1984"/>
        <w:jc w:val="both"/>
        <w:textAlignment w:val="auto"/>
        <w:rPr>
          <w:rFonts w:ascii="標楷體" w:eastAsia="標楷體" w:hAnsi="標楷體"/>
          <w:kern w:val="16"/>
          <w:sz w:val="32"/>
          <w:szCs w:val="32"/>
        </w:rPr>
      </w:pPr>
      <w:r w:rsidRPr="00A75A2C">
        <w:rPr>
          <w:rFonts w:ascii="標楷體" w:eastAsia="標楷體" w:hAnsi="標楷體" w:hint="eastAsia"/>
          <w:kern w:val="16"/>
          <w:sz w:val="32"/>
          <w:szCs w:val="32"/>
        </w:rPr>
        <w:t>3.本期賸餘：201萬4千元，照列。</w:t>
      </w:r>
    </w:p>
    <w:p w14:paraId="5A66D146" w14:textId="77777777" w:rsidR="009D64D0" w:rsidRPr="00A75A2C" w:rsidRDefault="009D64D0" w:rsidP="00F470A8">
      <w:pPr>
        <w:widowControl w:val="0"/>
        <w:kinsoku w:val="0"/>
        <w:overflowPunct w:val="0"/>
        <w:autoSpaceDN/>
        <w:adjustRightInd w:val="0"/>
        <w:snapToGrid w:val="0"/>
        <w:spacing w:line="460" w:lineRule="exact"/>
        <w:ind w:leftChars="300" w:left="720"/>
        <w:jc w:val="both"/>
        <w:textAlignment w:val="auto"/>
        <w:rPr>
          <w:rFonts w:ascii="標楷體" w:eastAsia="標楷體" w:hAnsi="標楷體"/>
          <w:bCs/>
          <w:kern w:val="0"/>
          <w:sz w:val="32"/>
          <w:szCs w:val="32"/>
        </w:rPr>
      </w:pPr>
      <w:r w:rsidRPr="00A75A2C">
        <w:rPr>
          <w:rFonts w:ascii="標楷體" w:eastAsia="標楷體" w:hAnsi="標楷體" w:hint="eastAsia"/>
          <w:bCs/>
          <w:kern w:val="0"/>
          <w:sz w:val="32"/>
          <w:szCs w:val="32"/>
        </w:rPr>
        <w:t>(三)解繳公庫：無列數。</w:t>
      </w:r>
    </w:p>
    <w:p w14:paraId="35775833" w14:textId="77777777" w:rsidR="009D64D0" w:rsidRPr="00A75A2C" w:rsidRDefault="009D64D0" w:rsidP="00F470A8">
      <w:pPr>
        <w:widowControl w:val="0"/>
        <w:kinsoku w:val="0"/>
        <w:overflowPunct w:val="0"/>
        <w:autoSpaceDN/>
        <w:adjustRightInd w:val="0"/>
        <w:snapToGrid w:val="0"/>
        <w:spacing w:line="460" w:lineRule="exact"/>
        <w:ind w:leftChars="300" w:left="720"/>
        <w:jc w:val="both"/>
        <w:textAlignment w:val="auto"/>
        <w:rPr>
          <w:rFonts w:ascii="標楷體" w:eastAsia="標楷體" w:hAnsi="標楷體"/>
          <w:bCs/>
          <w:kern w:val="0"/>
          <w:sz w:val="32"/>
          <w:szCs w:val="32"/>
        </w:rPr>
      </w:pPr>
      <w:r w:rsidRPr="00A75A2C">
        <w:rPr>
          <w:rFonts w:ascii="標楷體" w:eastAsia="標楷體" w:hAnsi="標楷體" w:hint="eastAsia"/>
          <w:bCs/>
          <w:kern w:val="0"/>
          <w:sz w:val="32"/>
          <w:szCs w:val="32"/>
        </w:rPr>
        <w:t>(四)通過決議2項：</w:t>
      </w:r>
    </w:p>
    <w:p w14:paraId="3E7F7A57" w14:textId="77777777" w:rsidR="009D64D0" w:rsidRPr="00A75A2C" w:rsidRDefault="009D64D0" w:rsidP="00F470A8">
      <w:pPr>
        <w:tabs>
          <w:tab w:val="left" w:pos="709"/>
          <w:tab w:val="left" w:pos="851"/>
        </w:tabs>
        <w:kinsoku w:val="0"/>
        <w:overflowPunct w:val="0"/>
        <w:autoSpaceDE w:val="0"/>
        <w:adjustRightInd w:val="0"/>
        <w:snapToGrid w:val="0"/>
        <w:spacing w:line="460" w:lineRule="exact"/>
        <w:ind w:leftChars="500" w:left="1520" w:hangingChars="100" w:hanging="320"/>
        <w:jc w:val="both"/>
        <w:rPr>
          <w:rFonts w:ascii="標楷體" w:eastAsia="標楷體" w:hAnsi="標楷體"/>
          <w:sz w:val="32"/>
          <w:szCs w:val="32"/>
        </w:rPr>
      </w:pPr>
      <w:r w:rsidRPr="00A75A2C">
        <w:rPr>
          <w:rFonts w:ascii="標楷體" w:eastAsia="標楷體" w:hAnsi="標楷體" w:hint="eastAsia"/>
          <w:sz w:val="32"/>
          <w:szCs w:val="32"/>
        </w:rPr>
        <w:t>1.公共債務法第12條第1項規定：「為強化債務管理，中央及直轄市應以當年度稅課收入至少百分之五至六；縣(市)及鄉（鎮、市）應以其上年度依第5條第4項所定之公共債務未償餘額預算數至少百分之一，編列債務之還本。其以舉債支應部分，應計入第5條第7項至第9項規定之每年度舉債額度。」然而，從107至113年度債務還本編列情形以觀</w:t>
      </w:r>
      <w:r w:rsidRPr="00A75A2C">
        <w:rPr>
          <w:rFonts w:ascii="標楷體" w:eastAsia="標楷體" w:hAnsi="標楷體" w:hint="eastAsia"/>
          <w:sz w:val="32"/>
          <w:szCs w:val="32"/>
        </w:rPr>
        <w:lastRenderedPageBreak/>
        <w:t>，107至112年度編列數介於792至1,110億元間，占各該年度稅課收入比率介於5.06%至5.12%間，雖符合法定規定，惟均遠低於法定6%之上限。為遵守財政紀律及避免債留子孫，且我國經濟稅收狀況良好，允宜優先編列債務還本收入。查114年度中央政府債務基金預算案「基金來源」項下「債務收入」之「債務還本收入」編列1,415億元，占稅課收入編列數2兆7</w:t>
      </w:r>
      <w:r w:rsidRPr="00A75A2C">
        <w:rPr>
          <w:rFonts w:ascii="標楷體" w:eastAsia="標楷體" w:hAnsi="標楷體"/>
          <w:sz w:val="32"/>
          <w:szCs w:val="32"/>
        </w:rPr>
        <w:t>,</w:t>
      </w:r>
      <w:r w:rsidRPr="00A75A2C">
        <w:rPr>
          <w:rFonts w:ascii="標楷體" w:eastAsia="標楷體" w:hAnsi="標楷體" w:hint="eastAsia"/>
          <w:sz w:val="32"/>
          <w:szCs w:val="32"/>
        </w:rPr>
        <w:t>740億元之5.1%，僅高於法定比率0.1個百分點，爰建議視財政狀況依公共債務法規定，增加債務還本。</w:t>
      </w:r>
    </w:p>
    <w:p w14:paraId="3B851EF7" w14:textId="0BCB559B"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提案人：黃珊珊　顏寬恒　王鴻薇</w:t>
      </w:r>
    </w:p>
    <w:p w14:paraId="7D01CEE1" w14:textId="77777777" w:rsidR="009D64D0" w:rsidRPr="00A75A2C" w:rsidRDefault="009D64D0" w:rsidP="00F470A8">
      <w:pPr>
        <w:tabs>
          <w:tab w:val="left" w:pos="709"/>
          <w:tab w:val="left" w:pos="851"/>
        </w:tabs>
        <w:kinsoku w:val="0"/>
        <w:overflowPunct w:val="0"/>
        <w:autoSpaceDE w:val="0"/>
        <w:adjustRightInd w:val="0"/>
        <w:snapToGrid w:val="0"/>
        <w:spacing w:line="460" w:lineRule="exact"/>
        <w:ind w:leftChars="500" w:left="1520" w:hangingChars="100" w:hanging="320"/>
        <w:jc w:val="both"/>
        <w:rPr>
          <w:rFonts w:ascii="標楷體" w:eastAsia="標楷體" w:hAnsi="標楷體"/>
          <w:sz w:val="32"/>
          <w:szCs w:val="32"/>
        </w:rPr>
      </w:pPr>
      <w:r w:rsidRPr="00A75A2C">
        <w:rPr>
          <w:rFonts w:ascii="標楷體" w:eastAsia="標楷體" w:hAnsi="標楷體"/>
          <w:sz w:val="32"/>
          <w:szCs w:val="32"/>
        </w:rPr>
        <w:t>2.</w:t>
      </w:r>
      <w:r w:rsidRPr="00A75A2C">
        <w:rPr>
          <w:rFonts w:ascii="標楷體" w:eastAsia="標楷體" w:hAnsi="標楷體" w:hint="eastAsia"/>
          <w:sz w:val="32"/>
          <w:szCs w:val="32"/>
        </w:rPr>
        <w:t>據財政部國庫署公布資料，截至</w:t>
      </w:r>
      <w:r w:rsidRPr="00A75A2C">
        <w:rPr>
          <w:rFonts w:ascii="標楷體" w:eastAsia="標楷體" w:hAnsi="標楷體"/>
          <w:sz w:val="32"/>
          <w:szCs w:val="32"/>
        </w:rPr>
        <w:t>113</w:t>
      </w:r>
      <w:r w:rsidRPr="00A75A2C">
        <w:rPr>
          <w:rFonts w:ascii="標楷體" w:eastAsia="標楷體" w:hAnsi="標楷體" w:hint="eastAsia"/>
          <w:sz w:val="32"/>
          <w:szCs w:val="32"/>
        </w:rPr>
        <w:t>年</w:t>
      </w:r>
      <w:r w:rsidRPr="00A75A2C">
        <w:rPr>
          <w:rFonts w:ascii="標楷體" w:eastAsia="標楷體" w:hAnsi="標楷體"/>
          <w:sz w:val="32"/>
          <w:szCs w:val="32"/>
        </w:rPr>
        <w:t>9</w:t>
      </w:r>
      <w:r w:rsidRPr="00A75A2C">
        <w:rPr>
          <w:rFonts w:ascii="標楷體" w:eastAsia="標楷體" w:hAnsi="標楷體" w:hint="eastAsia"/>
          <w:sz w:val="32"/>
          <w:szCs w:val="32"/>
        </w:rPr>
        <w:t>月底止，中央政府1年以上公共債務未償餘額實際數</w:t>
      </w:r>
      <w:r w:rsidRPr="00A75A2C">
        <w:rPr>
          <w:rFonts w:ascii="標楷體" w:eastAsia="標楷體" w:hAnsi="標楷體"/>
          <w:sz w:val="32"/>
          <w:szCs w:val="32"/>
        </w:rPr>
        <w:t>5</w:t>
      </w:r>
      <w:r w:rsidRPr="00A75A2C">
        <w:rPr>
          <w:rFonts w:ascii="標楷體" w:eastAsia="標楷體" w:hAnsi="標楷體" w:hint="eastAsia"/>
          <w:sz w:val="32"/>
          <w:szCs w:val="32"/>
        </w:rPr>
        <w:t>兆</w:t>
      </w:r>
      <w:r w:rsidRPr="00A75A2C">
        <w:rPr>
          <w:rFonts w:ascii="標楷體" w:eastAsia="標楷體" w:hAnsi="標楷體"/>
          <w:sz w:val="32"/>
          <w:szCs w:val="32"/>
        </w:rPr>
        <w:t>8,780</w:t>
      </w:r>
      <w:r w:rsidRPr="00A75A2C">
        <w:rPr>
          <w:rFonts w:ascii="標楷體" w:eastAsia="標楷體" w:hAnsi="標楷體" w:hint="eastAsia"/>
          <w:sz w:val="32"/>
          <w:szCs w:val="32"/>
        </w:rPr>
        <w:t>億元，中央政府1年以上公共債務未償餘額決算數及預算案數均呈上升趨勢，較112年同期增加</w:t>
      </w:r>
      <w:r w:rsidRPr="00A75A2C">
        <w:rPr>
          <w:rFonts w:ascii="標楷體" w:eastAsia="標楷體" w:hAnsi="標楷體"/>
          <w:sz w:val="32"/>
          <w:szCs w:val="32"/>
        </w:rPr>
        <w:t>442</w:t>
      </w:r>
      <w:r w:rsidRPr="00A75A2C">
        <w:rPr>
          <w:rFonts w:ascii="標楷體" w:eastAsia="標楷體" w:hAnsi="標楷體" w:hint="eastAsia"/>
          <w:sz w:val="32"/>
          <w:szCs w:val="32"/>
        </w:rPr>
        <w:t>億元。另依</w:t>
      </w:r>
      <w:r w:rsidRPr="00A75A2C">
        <w:rPr>
          <w:rFonts w:ascii="標楷體" w:eastAsia="標楷體" w:hAnsi="標楷體"/>
          <w:sz w:val="32"/>
          <w:szCs w:val="32"/>
        </w:rPr>
        <w:t>114</w:t>
      </w:r>
      <w:r w:rsidRPr="00A75A2C">
        <w:rPr>
          <w:rFonts w:ascii="標楷體" w:eastAsia="標楷體" w:hAnsi="標楷體" w:hint="eastAsia"/>
          <w:sz w:val="32"/>
          <w:szCs w:val="32"/>
        </w:rPr>
        <w:t>年度中央政府總預算案列示，預估</w:t>
      </w:r>
      <w:r w:rsidRPr="00A75A2C">
        <w:rPr>
          <w:rFonts w:ascii="標楷體" w:eastAsia="標楷體" w:hAnsi="標楷體"/>
          <w:sz w:val="32"/>
          <w:szCs w:val="32"/>
        </w:rPr>
        <w:t>114</w:t>
      </w:r>
      <w:r w:rsidRPr="00A75A2C">
        <w:rPr>
          <w:rFonts w:ascii="標楷體" w:eastAsia="標楷體" w:hAnsi="標楷體" w:hint="eastAsia"/>
          <w:sz w:val="32"/>
          <w:szCs w:val="32"/>
        </w:rPr>
        <w:t>年底</w:t>
      </w:r>
      <w:r w:rsidRPr="00A75A2C">
        <w:rPr>
          <w:rFonts w:ascii="標楷體" w:eastAsia="標楷體" w:hAnsi="標楷體"/>
          <w:sz w:val="32"/>
          <w:szCs w:val="32"/>
        </w:rPr>
        <w:t>1</w:t>
      </w:r>
      <w:r w:rsidRPr="00A75A2C">
        <w:rPr>
          <w:rFonts w:ascii="標楷體" w:eastAsia="標楷體" w:hAnsi="標楷體" w:hint="eastAsia"/>
          <w:sz w:val="32"/>
          <w:szCs w:val="32"/>
        </w:rPr>
        <w:t>年以上債務未償餘額預算案數為</w:t>
      </w:r>
      <w:r w:rsidRPr="00A75A2C">
        <w:rPr>
          <w:rFonts w:ascii="標楷體" w:eastAsia="標楷體" w:hAnsi="標楷體"/>
          <w:sz w:val="32"/>
          <w:szCs w:val="32"/>
        </w:rPr>
        <w:t>6</w:t>
      </w:r>
      <w:r w:rsidRPr="00A75A2C">
        <w:rPr>
          <w:rFonts w:ascii="標楷體" w:eastAsia="標楷體" w:hAnsi="標楷體" w:hint="eastAsia"/>
          <w:sz w:val="32"/>
          <w:szCs w:val="32"/>
        </w:rPr>
        <w:t>兆</w:t>
      </w:r>
      <w:r w:rsidRPr="00A75A2C">
        <w:rPr>
          <w:rFonts w:ascii="標楷體" w:eastAsia="標楷體" w:hAnsi="標楷體"/>
          <w:sz w:val="32"/>
          <w:szCs w:val="32"/>
        </w:rPr>
        <w:t>8,098</w:t>
      </w:r>
      <w:r w:rsidRPr="00A75A2C">
        <w:rPr>
          <w:rFonts w:ascii="標楷體" w:eastAsia="標楷體" w:hAnsi="標楷體" w:hint="eastAsia"/>
          <w:sz w:val="32"/>
          <w:szCs w:val="32"/>
        </w:rPr>
        <w:t>億元，亦較</w:t>
      </w:r>
      <w:r w:rsidRPr="00A75A2C">
        <w:rPr>
          <w:rFonts w:ascii="標楷體" w:eastAsia="標楷體" w:hAnsi="標楷體"/>
          <w:sz w:val="32"/>
          <w:szCs w:val="32"/>
        </w:rPr>
        <w:t>113</w:t>
      </w:r>
      <w:r w:rsidRPr="00A75A2C">
        <w:rPr>
          <w:rFonts w:ascii="標楷體" w:eastAsia="標楷體" w:hAnsi="標楷體" w:hint="eastAsia"/>
          <w:sz w:val="32"/>
          <w:szCs w:val="32"/>
        </w:rPr>
        <w:t>年度增加</w:t>
      </w:r>
      <w:r w:rsidRPr="00A75A2C">
        <w:rPr>
          <w:rFonts w:ascii="標楷體" w:eastAsia="標楷體" w:hAnsi="標楷體"/>
          <w:sz w:val="32"/>
          <w:szCs w:val="32"/>
        </w:rPr>
        <w:t>898</w:t>
      </w:r>
      <w:r w:rsidRPr="00A75A2C">
        <w:rPr>
          <w:rFonts w:ascii="標楷體" w:eastAsia="標楷體" w:hAnsi="標楷體" w:hint="eastAsia"/>
          <w:sz w:val="32"/>
          <w:szCs w:val="32"/>
        </w:rPr>
        <w:t>億元，評估債務管理之績效容有必要。惟查</w:t>
      </w:r>
      <w:r w:rsidRPr="00A75A2C">
        <w:rPr>
          <w:rFonts w:ascii="標楷體" w:eastAsia="標楷體" w:hAnsi="標楷體"/>
          <w:sz w:val="32"/>
          <w:szCs w:val="32"/>
        </w:rPr>
        <w:t>109</w:t>
      </w:r>
      <w:r w:rsidRPr="00A75A2C">
        <w:rPr>
          <w:rFonts w:ascii="標楷體" w:eastAsia="標楷體" w:hAnsi="標楷體" w:hint="eastAsia"/>
          <w:sz w:val="32"/>
          <w:szCs w:val="32"/>
        </w:rPr>
        <w:t>至</w:t>
      </w:r>
      <w:r w:rsidRPr="00A75A2C">
        <w:rPr>
          <w:rFonts w:ascii="標楷體" w:eastAsia="標楷體" w:hAnsi="標楷體"/>
          <w:sz w:val="32"/>
          <w:szCs w:val="32"/>
        </w:rPr>
        <w:t>113</w:t>
      </w:r>
      <w:r w:rsidRPr="00A75A2C">
        <w:rPr>
          <w:rFonts w:ascii="標楷體" w:eastAsia="標楷體" w:hAnsi="標楷體" w:hint="eastAsia"/>
          <w:sz w:val="32"/>
          <w:szCs w:val="32"/>
        </w:rPr>
        <w:t>年度則均將中央政府債息支出占稅課收入比率小於</w:t>
      </w:r>
      <w:r w:rsidRPr="00A75A2C">
        <w:rPr>
          <w:rFonts w:ascii="標楷體" w:eastAsia="標楷體" w:hAnsi="標楷體"/>
          <w:sz w:val="32"/>
          <w:szCs w:val="32"/>
        </w:rPr>
        <w:t>6.5%</w:t>
      </w:r>
      <w:r w:rsidRPr="00A75A2C">
        <w:rPr>
          <w:rFonts w:ascii="標楷體" w:eastAsia="標楷體" w:hAnsi="標楷體" w:hint="eastAsia"/>
          <w:sz w:val="32"/>
          <w:szCs w:val="32"/>
        </w:rPr>
        <w:t>列為關鍵績效指標，惟財政部國庫署官網目前僅列示</w:t>
      </w:r>
      <w:r w:rsidRPr="00A75A2C">
        <w:rPr>
          <w:rFonts w:ascii="標楷體" w:eastAsia="標楷體" w:hAnsi="標楷體"/>
          <w:sz w:val="32"/>
          <w:szCs w:val="32"/>
        </w:rPr>
        <w:t>105</w:t>
      </w:r>
      <w:r w:rsidRPr="00A75A2C">
        <w:rPr>
          <w:rFonts w:ascii="標楷體" w:eastAsia="標楷體" w:hAnsi="標楷體" w:hint="eastAsia"/>
          <w:sz w:val="32"/>
          <w:szCs w:val="32"/>
        </w:rPr>
        <w:t>至</w:t>
      </w:r>
      <w:r w:rsidRPr="00A75A2C">
        <w:rPr>
          <w:rFonts w:ascii="標楷體" w:eastAsia="標楷體" w:hAnsi="標楷體"/>
          <w:sz w:val="32"/>
          <w:szCs w:val="32"/>
        </w:rPr>
        <w:t>113</w:t>
      </w:r>
      <w:r w:rsidRPr="00A75A2C">
        <w:rPr>
          <w:rFonts w:ascii="標楷體" w:eastAsia="標楷體" w:hAnsi="標楷體" w:hint="eastAsia"/>
          <w:sz w:val="32"/>
          <w:szCs w:val="32"/>
        </w:rPr>
        <w:t>年度債務管理關鍵績效指標，尚未公布</w:t>
      </w:r>
      <w:r w:rsidRPr="00A75A2C">
        <w:rPr>
          <w:rFonts w:ascii="標楷體" w:eastAsia="標楷體" w:hAnsi="標楷體"/>
          <w:sz w:val="32"/>
          <w:szCs w:val="32"/>
        </w:rPr>
        <w:t>114</w:t>
      </w:r>
      <w:r w:rsidRPr="00A75A2C">
        <w:rPr>
          <w:rFonts w:ascii="標楷體" w:eastAsia="標楷體" w:hAnsi="標楷體" w:hint="eastAsia"/>
          <w:sz w:val="32"/>
          <w:szCs w:val="32"/>
        </w:rPr>
        <w:t>年度債務管理關鍵績效指標，允宜補列。又債務管理關鍵績效指標債息支出占稅課收入比率自</w:t>
      </w:r>
      <w:r w:rsidRPr="00A75A2C">
        <w:rPr>
          <w:rFonts w:ascii="標楷體" w:eastAsia="標楷體" w:hAnsi="標楷體"/>
          <w:sz w:val="32"/>
          <w:szCs w:val="32"/>
        </w:rPr>
        <w:t>109</w:t>
      </w:r>
      <w:r w:rsidRPr="00A75A2C">
        <w:rPr>
          <w:rFonts w:ascii="標楷體" w:eastAsia="標楷體" w:hAnsi="標楷體" w:hint="eastAsia"/>
          <w:sz w:val="32"/>
          <w:szCs w:val="32"/>
        </w:rPr>
        <w:t>年度起目標值均為小於</w:t>
      </w:r>
      <w:r w:rsidRPr="00A75A2C">
        <w:rPr>
          <w:rFonts w:ascii="標楷體" w:eastAsia="標楷體" w:hAnsi="標楷體"/>
          <w:sz w:val="32"/>
          <w:szCs w:val="32"/>
        </w:rPr>
        <w:t>6.50%</w:t>
      </w:r>
      <w:r w:rsidRPr="00A75A2C">
        <w:rPr>
          <w:rFonts w:ascii="標楷體" w:eastAsia="標楷體" w:hAnsi="標楷體" w:hint="eastAsia"/>
          <w:sz w:val="32"/>
          <w:szCs w:val="32"/>
        </w:rPr>
        <w:t>，觀察</w:t>
      </w:r>
      <w:r w:rsidRPr="00A75A2C">
        <w:rPr>
          <w:rFonts w:ascii="標楷體" w:eastAsia="標楷體" w:hAnsi="標楷體"/>
          <w:sz w:val="32"/>
          <w:szCs w:val="32"/>
        </w:rPr>
        <w:t>109</w:t>
      </w:r>
      <w:r w:rsidRPr="00A75A2C">
        <w:rPr>
          <w:rFonts w:ascii="標楷體" w:eastAsia="標楷體" w:hAnsi="標楷體" w:hint="eastAsia"/>
          <w:sz w:val="32"/>
          <w:szCs w:val="32"/>
        </w:rPr>
        <w:t>至</w:t>
      </w:r>
      <w:r w:rsidRPr="00A75A2C">
        <w:rPr>
          <w:rFonts w:ascii="標楷體" w:eastAsia="標楷體" w:hAnsi="標楷體"/>
          <w:sz w:val="32"/>
          <w:szCs w:val="32"/>
        </w:rPr>
        <w:t>112</w:t>
      </w:r>
      <w:r w:rsidRPr="00A75A2C">
        <w:rPr>
          <w:rFonts w:ascii="標楷體" w:eastAsia="標楷體" w:hAnsi="標楷體" w:hint="eastAsia"/>
          <w:sz w:val="32"/>
          <w:szCs w:val="32"/>
        </w:rPr>
        <w:t>年度執行成果，因稅課收入決算數逐年增加，致該比率分別為</w:t>
      </w:r>
      <w:r w:rsidRPr="00A75A2C">
        <w:rPr>
          <w:rFonts w:ascii="標楷體" w:eastAsia="標楷體" w:hAnsi="標楷體"/>
          <w:sz w:val="32"/>
          <w:szCs w:val="32"/>
        </w:rPr>
        <w:t>5.92%</w:t>
      </w:r>
      <w:r w:rsidRPr="00A75A2C">
        <w:rPr>
          <w:rFonts w:ascii="標楷體" w:eastAsia="標楷體" w:hAnsi="標楷體" w:hint="eastAsia"/>
          <w:sz w:val="32"/>
          <w:szCs w:val="32"/>
        </w:rPr>
        <w:t>、</w:t>
      </w:r>
      <w:r w:rsidRPr="00A75A2C">
        <w:rPr>
          <w:rFonts w:ascii="標楷體" w:eastAsia="標楷體" w:hAnsi="標楷體"/>
          <w:sz w:val="32"/>
          <w:szCs w:val="32"/>
        </w:rPr>
        <w:t>4.38%</w:t>
      </w:r>
      <w:r w:rsidRPr="00A75A2C">
        <w:rPr>
          <w:rFonts w:ascii="標楷體" w:eastAsia="標楷體" w:hAnsi="標楷體" w:hint="eastAsia"/>
          <w:sz w:val="32"/>
          <w:szCs w:val="32"/>
        </w:rPr>
        <w:t>、</w:t>
      </w:r>
      <w:r w:rsidRPr="00A75A2C">
        <w:rPr>
          <w:rFonts w:ascii="標楷體" w:eastAsia="標楷體" w:hAnsi="標楷體"/>
          <w:sz w:val="32"/>
          <w:szCs w:val="32"/>
        </w:rPr>
        <w:t>3.58%</w:t>
      </w:r>
      <w:r w:rsidRPr="00A75A2C">
        <w:rPr>
          <w:rFonts w:ascii="標楷體" w:eastAsia="標楷體" w:hAnsi="標楷體" w:hint="eastAsia"/>
          <w:sz w:val="32"/>
          <w:szCs w:val="32"/>
        </w:rPr>
        <w:t>及</w:t>
      </w:r>
      <w:r w:rsidRPr="00A75A2C">
        <w:rPr>
          <w:rFonts w:ascii="標楷體" w:eastAsia="標楷體" w:hAnsi="標楷體"/>
          <w:sz w:val="32"/>
          <w:szCs w:val="32"/>
        </w:rPr>
        <w:t>3.33%</w:t>
      </w:r>
      <w:r w:rsidRPr="00A75A2C">
        <w:rPr>
          <w:rFonts w:ascii="標楷體" w:eastAsia="標楷體" w:hAnsi="標楷體" w:hint="eastAsia"/>
          <w:sz w:val="32"/>
          <w:szCs w:val="32"/>
        </w:rPr>
        <w:t>，呈逐年下降。</w:t>
      </w:r>
      <w:r w:rsidRPr="00A75A2C">
        <w:rPr>
          <w:rFonts w:ascii="標楷體" w:eastAsia="標楷體" w:hAnsi="標楷體"/>
          <w:sz w:val="32"/>
          <w:szCs w:val="32"/>
        </w:rPr>
        <w:t>112</w:t>
      </w:r>
      <w:r w:rsidRPr="00A75A2C">
        <w:rPr>
          <w:rFonts w:ascii="標楷體" w:eastAsia="標楷體" w:hAnsi="標楷體" w:hint="eastAsia"/>
          <w:sz w:val="32"/>
          <w:szCs w:val="32"/>
        </w:rPr>
        <w:t>年度已較</w:t>
      </w:r>
      <w:r w:rsidRPr="00A75A2C">
        <w:rPr>
          <w:rFonts w:ascii="標楷體" w:eastAsia="標楷體" w:hAnsi="標楷體"/>
          <w:sz w:val="32"/>
          <w:szCs w:val="32"/>
        </w:rPr>
        <w:t>109</w:t>
      </w:r>
      <w:r w:rsidRPr="00A75A2C">
        <w:rPr>
          <w:rFonts w:ascii="標楷體" w:eastAsia="標楷體" w:hAnsi="標楷體" w:hint="eastAsia"/>
          <w:sz w:val="32"/>
          <w:szCs w:val="32"/>
        </w:rPr>
        <w:t>年度下降</w:t>
      </w:r>
      <w:r w:rsidRPr="00A75A2C">
        <w:rPr>
          <w:rFonts w:ascii="標楷體" w:eastAsia="標楷體" w:hAnsi="標楷體"/>
          <w:sz w:val="32"/>
          <w:szCs w:val="32"/>
        </w:rPr>
        <w:t>2.59</w:t>
      </w:r>
      <w:r w:rsidRPr="00A75A2C">
        <w:rPr>
          <w:rFonts w:ascii="標楷體" w:eastAsia="標楷體" w:hAnsi="標楷體" w:hint="eastAsia"/>
          <w:sz w:val="32"/>
          <w:szCs w:val="32"/>
        </w:rPr>
        <w:t>個百分點，與目標值上限</w:t>
      </w:r>
      <w:r w:rsidRPr="00A75A2C">
        <w:rPr>
          <w:rFonts w:ascii="標楷體" w:eastAsia="標楷體" w:hAnsi="標楷體"/>
          <w:sz w:val="32"/>
          <w:szCs w:val="32"/>
        </w:rPr>
        <w:t>6.5%</w:t>
      </w:r>
      <w:r w:rsidRPr="00A75A2C">
        <w:rPr>
          <w:rFonts w:ascii="標楷體" w:eastAsia="標楷體" w:hAnsi="標楷體" w:hint="eastAsia"/>
          <w:sz w:val="32"/>
          <w:szCs w:val="32"/>
        </w:rPr>
        <w:t>更差距達</w:t>
      </w:r>
      <w:r w:rsidRPr="00A75A2C">
        <w:rPr>
          <w:rFonts w:ascii="標楷體" w:eastAsia="標楷體" w:hAnsi="標楷體"/>
          <w:sz w:val="32"/>
          <w:szCs w:val="32"/>
        </w:rPr>
        <w:t>3.17</w:t>
      </w:r>
      <w:r w:rsidRPr="00A75A2C">
        <w:rPr>
          <w:rFonts w:ascii="標楷體" w:eastAsia="標楷體" w:hAnsi="標楷體" w:hint="eastAsia"/>
          <w:sz w:val="32"/>
          <w:szCs w:val="32"/>
        </w:rPr>
        <w:t>個百分點，顯示該目標值之設定已呈寬鬆，容有調整空間。爰請財政部於</w:t>
      </w:r>
      <w:r w:rsidRPr="00A75A2C">
        <w:rPr>
          <w:rFonts w:ascii="標楷體" w:eastAsia="標楷體" w:hAnsi="標楷體"/>
          <w:sz w:val="32"/>
          <w:szCs w:val="32"/>
        </w:rPr>
        <w:t>3</w:t>
      </w:r>
      <w:r w:rsidRPr="00A75A2C">
        <w:rPr>
          <w:rFonts w:ascii="標楷體" w:eastAsia="標楷體" w:hAnsi="標楷體" w:hint="eastAsia"/>
          <w:sz w:val="32"/>
          <w:szCs w:val="32"/>
        </w:rPr>
        <w:t>個月內就債務管理關鍵績效指標之檢討與公告向立法院財政委員會提出書面報告。</w:t>
      </w:r>
    </w:p>
    <w:p w14:paraId="496A962F" w14:textId="6954F2BD"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提案人：黃珊珊　顏寬恒　王鴻薇</w:t>
      </w:r>
    </w:p>
    <w:p w14:paraId="19105A13" w14:textId="77777777" w:rsidR="009D64D0" w:rsidRPr="00ED73A8" w:rsidRDefault="009D64D0" w:rsidP="00F470A8">
      <w:pPr>
        <w:pStyle w:val="Default"/>
        <w:overflowPunct w:val="0"/>
        <w:snapToGrid w:val="0"/>
        <w:spacing w:line="460" w:lineRule="exact"/>
        <w:ind w:left="641" w:hangingChars="200" w:hanging="641"/>
        <w:jc w:val="both"/>
        <w:rPr>
          <w:rFonts w:cs="Times New Roman"/>
          <w:b/>
          <w:bCs/>
          <w:sz w:val="32"/>
          <w:szCs w:val="32"/>
        </w:rPr>
      </w:pPr>
      <w:r>
        <w:rPr>
          <w:rFonts w:cs="Times New Roman" w:hint="eastAsia"/>
          <w:b/>
          <w:bCs/>
          <w:sz w:val="32"/>
          <w:szCs w:val="32"/>
        </w:rPr>
        <w:t>肆</w:t>
      </w:r>
      <w:r w:rsidRPr="00FD24F8">
        <w:rPr>
          <w:rFonts w:cs="Times New Roman" w:hint="eastAsia"/>
          <w:b/>
          <w:bCs/>
          <w:sz w:val="32"/>
          <w:szCs w:val="32"/>
        </w:rPr>
        <w:t>、中華民國114年度中央政府總預算案行政院歲入預算有關中央銀行股息紅利繳庫部分</w:t>
      </w:r>
      <w:r w:rsidRPr="00ED73A8">
        <w:rPr>
          <w:rFonts w:cs="Times New Roman" w:hint="eastAsia"/>
          <w:b/>
          <w:bCs/>
          <w:sz w:val="32"/>
          <w:szCs w:val="32"/>
        </w:rPr>
        <w:t>審查結果：</w:t>
      </w:r>
    </w:p>
    <w:p w14:paraId="235C4BF1" w14:textId="77777777" w:rsidR="009D64D0" w:rsidRPr="00A75A2C" w:rsidRDefault="009D64D0" w:rsidP="00F470A8">
      <w:pPr>
        <w:widowControl w:val="0"/>
        <w:kinsoku w:val="0"/>
        <w:overflowPunct w:val="0"/>
        <w:autoSpaceDN/>
        <w:adjustRightInd w:val="0"/>
        <w:snapToGrid w:val="0"/>
        <w:spacing w:line="460" w:lineRule="exact"/>
        <w:jc w:val="both"/>
        <w:textAlignment w:val="auto"/>
        <w:rPr>
          <w:rFonts w:ascii="標楷體" w:eastAsia="標楷體" w:hAnsi="標楷體"/>
          <w:b/>
          <w:bCs/>
          <w:kern w:val="2"/>
          <w:sz w:val="32"/>
          <w:szCs w:val="32"/>
        </w:rPr>
      </w:pPr>
      <w:r w:rsidRPr="00A75A2C">
        <w:rPr>
          <w:rFonts w:ascii="標楷體" w:eastAsia="標楷體" w:hAnsi="標楷體" w:hint="eastAsia"/>
          <w:b/>
          <w:bCs/>
          <w:kern w:val="2"/>
          <w:sz w:val="32"/>
          <w:szCs w:val="32"/>
        </w:rPr>
        <w:lastRenderedPageBreak/>
        <w:t xml:space="preserve">　　</w:t>
      </w:r>
      <w:r w:rsidRPr="00A75A2C">
        <w:rPr>
          <w:rFonts w:ascii="標楷體" w:eastAsia="標楷體" w:hAnsi="標楷體"/>
          <w:b/>
          <w:bCs/>
          <w:kern w:val="2"/>
          <w:sz w:val="32"/>
          <w:szCs w:val="32"/>
        </w:rPr>
        <w:t>第5款　營業盈餘及事業收入</w:t>
      </w:r>
    </w:p>
    <w:p w14:paraId="26DA2981" w14:textId="77777777" w:rsidR="009D64D0" w:rsidRPr="00D73538" w:rsidRDefault="009D64D0" w:rsidP="00F470A8">
      <w:pPr>
        <w:widowControl w:val="0"/>
        <w:kinsoku w:val="0"/>
        <w:overflowPunct w:val="0"/>
        <w:autoSpaceDE w:val="0"/>
        <w:adjustRightInd w:val="0"/>
        <w:snapToGrid w:val="0"/>
        <w:spacing w:line="460" w:lineRule="exact"/>
        <w:ind w:left="2083" w:hangingChars="651" w:hanging="2083"/>
        <w:jc w:val="both"/>
        <w:textAlignment w:val="auto"/>
        <w:rPr>
          <w:rFonts w:ascii="標楷體" w:eastAsia="標楷體" w:hAnsi="標楷體"/>
          <w:bCs/>
          <w:kern w:val="2"/>
          <w:sz w:val="32"/>
          <w:szCs w:val="32"/>
        </w:rPr>
      </w:pPr>
      <w:r w:rsidRPr="00D73538">
        <w:rPr>
          <w:rFonts w:ascii="標楷體" w:eastAsia="標楷體" w:hAnsi="標楷體" w:hint="eastAsia"/>
          <w:bCs/>
          <w:kern w:val="2"/>
          <w:sz w:val="32"/>
          <w:szCs w:val="32"/>
        </w:rPr>
        <w:t xml:space="preserve">　　　</w:t>
      </w:r>
      <w:r w:rsidRPr="00D73538">
        <w:rPr>
          <w:rFonts w:ascii="標楷體" w:eastAsia="標楷體" w:hAnsi="標楷體"/>
          <w:bCs/>
          <w:kern w:val="2"/>
          <w:sz w:val="32"/>
          <w:szCs w:val="32"/>
        </w:rPr>
        <w:t xml:space="preserve">第1項　</w:t>
      </w:r>
      <w:r w:rsidRPr="00D73538">
        <w:rPr>
          <w:rFonts w:ascii="標楷體" w:eastAsia="標楷體" w:hAnsi="標楷體" w:hint="eastAsia"/>
          <w:bCs/>
          <w:kern w:val="2"/>
          <w:sz w:val="32"/>
          <w:szCs w:val="32"/>
        </w:rPr>
        <w:t>行政院第1目「營業基金盈餘繳庫」原列2</w:t>
      </w:r>
      <w:r w:rsidRPr="00D73538">
        <w:rPr>
          <w:rFonts w:ascii="標楷體" w:eastAsia="標楷體" w:hAnsi="標楷體"/>
          <w:bCs/>
          <w:kern w:val="2"/>
          <w:sz w:val="32"/>
          <w:szCs w:val="32"/>
        </w:rPr>
        <w:t>,</w:t>
      </w:r>
      <w:r w:rsidRPr="00D73538">
        <w:rPr>
          <w:rFonts w:ascii="標楷體" w:eastAsia="標楷體" w:hAnsi="標楷體" w:hint="eastAsia"/>
          <w:bCs/>
          <w:kern w:val="2"/>
          <w:sz w:val="32"/>
          <w:szCs w:val="32"/>
        </w:rPr>
        <w:t>000億2</w:t>
      </w:r>
      <w:r w:rsidRPr="00D73538">
        <w:rPr>
          <w:rFonts w:ascii="標楷體" w:eastAsia="標楷體" w:hAnsi="標楷體"/>
          <w:bCs/>
          <w:kern w:val="2"/>
          <w:sz w:val="32"/>
          <w:szCs w:val="32"/>
        </w:rPr>
        <w:t>,</w:t>
      </w:r>
      <w:r w:rsidRPr="00D73538">
        <w:rPr>
          <w:rFonts w:ascii="標楷體" w:eastAsia="標楷體" w:hAnsi="標楷體" w:hint="eastAsia"/>
          <w:bCs/>
          <w:kern w:val="2"/>
          <w:sz w:val="32"/>
          <w:szCs w:val="32"/>
        </w:rPr>
        <w:t>914萬2千元（係中央銀行股息紅利繳庫數），暫照列，俟所屬營業基金審議確定後，再行調整。</w:t>
      </w:r>
    </w:p>
    <w:p w14:paraId="1A77023F" w14:textId="77777777" w:rsidR="009D64D0" w:rsidRPr="00ED73A8" w:rsidRDefault="009D64D0" w:rsidP="00F470A8">
      <w:pPr>
        <w:pStyle w:val="Default"/>
        <w:overflowPunct w:val="0"/>
        <w:snapToGrid w:val="0"/>
        <w:spacing w:line="460" w:lineRule="exact"/>
        <w:ind w:left="641" w:hangingChars="200" w:hanging="641"/>
        <w:jc w:val="both"/>
        <w:rPr>
          <w:rFonts w:cs="Times New Roman"/>
          <w:b/>
          <w:bCs/>
          <w:sz w:val="32"/>
          <w:szCs w:val="32"/>
        </w:rPr>
      </w:pPr>
      <w:r>
        <w:rPr>
          <w:rFonts w:cs="Times New Roman" w:hint="eastAsia"/>
          <w:b/>
          <w:bCs/>
          <w:sz w:val="32"/>
          <w:szCs w:val="32"/>
        </w:rPr>
        <w:t>伍</w:t>
      </w:r>
      <w:r w:rsidRPr="00FD24F8">
        <w:rPr>
          <w:rFonts w:cs="Times New Roman" w:hint="eastAsia"/>
          <w:b/>
          <w:bCs/>
          <w:sz w:val="32"/>
          <w:szCs w:val="32"/>
        </w:rPr>
        <w:t>、中華民國114年度中央政府總預算案附屬單位預算營業部分關於中央銀行（含中央造幣廠、中央印製廠）</w:t>
      </w:r>
      <w:r w:rsidRPr="00ED73A8">
        <w:rPr>
          <w:rFonts w:cs="Times New Roman" w:hint="eastAsia"/>
          <w:b/>
          <w:bCs/>
          <w:sz w:val="32"/>
          <w:szCs w:val="32"/>
        </w:rPr>
        <w:t>審查結果：</w:t>
      </w:r>
    </w:p>
    <w:p w14:paraId="629DF032" w14:textId="77777777" w:rsidR="009D64D0" w:rsidRPr="00601331" w:rsidRDefault="009D64D0" w:rsidP="00F470A8">
      <w:pPr>
        <w:widowControl w:val="0"/>
        <w:kinsoku w:val="0"/>
        <w:overflowPunct w:val="0"/>
        <w:autoSpaceDE w:val="0"/>
        <w:adjustRightInd w:val="0"/>
        <w:snapToGrid w:val="0"/>
        <w:spacing w:line="460" w:lineRule="exact"/>
        <w:ind w:left="1280" w:hangingChars="400" w:hanging="1280"/>
        <w:jc w:val="both"/>
        <w:textAlignment w:val="auto"/>
        <w:rPr>
          <w:rFonts w:ascii="標楷體" w:eastAsia="標楷體" w:hAnsi="標楷體"/>
          <w:kern w:val="2"/>
          <w:sz w:val="32"/>
          <w:szCs w:val="32"/>
        </w:rPr>
      </w:pPr>
      <w:r w:rsidRPr="00601331">
        <w:rPr>
          <w:rFonts w:ascii="標楷體" w:eastAsia="標楷體" w:hAnsi="標楷體" w:hint="eastAsia"/>
          <w:kern w:val="2"/>
          <w:sz w:val="32"/>
          <w:szCs w:val="32"/>
        </w:rPr>
        <w:t xml:space="preserve">　　(一)業務計畫：應依據營業收支、金融保險成本、轉投資、重大之建設事業及資金運用等項之審查結果，隨同調整。</w:t>
      </w:r>
    </w:p>
    <w:p w14:paraId="601488AD" w14:textId="77777777" w:rsidR="009D64D0" w:rsidRPr="00601331" w:rsidRDefault="009D64D0" w:rsidP="00F470A8">
      <w:pPr>
        <w:widowControl w:val="0"/>
        <w:kinsoku w:val="0"/>
        <w:overflowPunct w:val="0"/>
        <w:autoSpaceDE w:val="0"/>
        <w:adjustRightInd w:val="0"/>
        <w:snapToGrid w:val="0"/>
        <w:spacing w:line="460" w:lineRule="exact"/>
        <w:ind w:left="1280" w:hangingChars="400" w:hanging="1280"/>
        <w:jc w:val="both"/>
        <w:textAlignment w:val="auto"/>
        <w:rPr>
          <w:rFonts w:ascii="標楷體" w:eastAsia="標楷體" w:hAnsi="標楷體"/>
          <w:kern w:val="2"/>
          <w:sz w:val="32"/>
          <w:szCs w:val="32"/>
        </w:rPr>
      </w:pPr>
      <w:r w:rsidRPr="00601331">
        <w:rPr>
          <w:rFonts w:ascii="標楷體" w:eastAsia="標楷體" w:hAnsi="標楷體" w:hint="eastAsia"/>
          <w:kern w:val="2"/>
          <w:sz w:val="32"/>
          <w:szCs w:val="32"/>
        </w:rPr>
        <w:t xml:space="preserve">　　(二)營業收支：</w:t>
      </w:r>
    </w:p>
    <w:p w14:paraId="0ECC3EE0" w14:textId="77777777" w:rsidR="009D64D0" w:rsidRPr="00601331" w:rsidRDefault="009D64D0" w:rsidP="00F470A8">
      <w:pPr>
        <w:widowControl w:val="0"/>
        <w:kinsoku w:val="0"/>
        <w:overflowPunct w:val="0"/>
        <w:autoSpaceDE w:val="0"/>
        <w:adjustRightInd w:val="0"/>
        <w:snapToGrid w:val="0"/>
        <w:spacing w:line="460" w:lineRule="exact"/>
        <w:ind w:leftChars="350" w:left="840"/>
        <w:jc w:val="both"/>
        <w:textAlignment w:val="auto"/>
        <w:rPr>
          <w:rFonts w:ascii="標楷體" w:eastAsia="標楷體" w:hAnsi="標楷體" w:cs="華康細明體"/>
          <w:kern w:val="0"/>
          <w:sz w:val="32"/>
          <w:szCs w:val="32"/>
        </w:rPr>
      </w:pPr>
      <w:r w:rsidRPr="00601331">
        <w:rPr>
          <w:rFonts w:ascii="標楷體" w:eastAsia="標楷體" w:hAnsi="標楷體" w:cs="華康細明體" w:hint="eastAsia"/>
          <w:kern w:val="0"/>
          <w:sz w:val="32"/>
          <w:szCs w:val="32"/>
        </w:rPr>
        <w:t>1.營業總收入：4,261億7,779萬6千元，照列。</w:t>
      </w:r>
    </w:p>
    <w:p w14:paraId="4C94CBAD" w14:textId="77777777" w:rsidR="009D64D0" w:rsidRPr="00601331" w:rsidRDefault="009D64D0" w:rsidP="00F470A8">
      <w:pPr>
        <w:widowControl w:val="0"/>
        <w:kinsoku w:val="0"/>
        <w:overflowPunct w:val="0"/>
        <w:autoSpaceDE w:val="0"/>
        <w:adjustRightInd w:val="0"/>
        <w:snapToGrid w:val="0"/>
        <w:spacing w:line="460" w:lineRule="exact"/>
        <w:ind w:leftChars="350" w:left="1160" w:hangingChars="100" w:hanging="320"/>
        <w:jc w:val="both"/>
        <w:textAlignment w:val="auto"/>
        <w:rPr>
          <w:rFonts w:ascii="標楷體" w:eastAsia="標楷體" w:hAnsi="標楷體" w:cs="華康細明體"/>
          <w:kern w:val="0"/>
          <w:sz w:val="32"/>
          <w:szCs w:val="32"/>
        </w:rPr>
      </w:pPr>
      <w:r w:rsidRPr="00601331">
        <w:rPr>
          <w:rFonts w:ascii="標楷體" w:eastAsia="標楷體" w:hAnsi="標楷體" w:cs="華康細明體" w:hint="eastAsia"/>
          <w:kern w:val="0"/>
          <w:sz w:val="32"/>
          <w:szCs w:val="32"/>
        </w:rPr>
        <w:t>2.營業總支出(不含所得稅費用)：原列2</w:t>
      </w:r>
      <w:r w:rsidRPr="00601331">
        <w:rPr>
          <w:rFonts w:ascii="標楷體" w:eastAsia="標楷體" w:hAnsi="標楷體" w:cs="華康細明體"/>
          <w:kern w:val="0"/>
          <w:sz w:val="32"/>
          <w:szCs w:val="32"/>
        </w:rPr>
        <w:t>,</w:t>
      </w:r>
      <w:r w:rsidRPr="00601331">
        <w:rPr>
          <w:rFonts w:ascii="標楷體" w:eastAsia="標楷體" w:hAnsi="標楷體" w:cs="華康細明體" w:hint="eastAsia"/>
          <w:kern w:val="0"/>
          <w:sz w:val="32"/>
          <w:szCs w:val="32"/>
        </w:rPr>
        <w:t>508億5,032萬3千元，減列：</w:t>
      </w:r>
    </w:p>
    <w:p w14:paraId="03567D73" w14:textId="77777777" w:rsidR="009D64D0" w:rsidRPr="00601331" w:rsidRDefault="009D64D0" w:rsidP="00F470A8">
      <w:pPr>
        <w:widowControl w:val="0"/>
        <w:kinsoku w:val="0"/>
        <w:overflowPunct w:val="0"/>
        <w:autoSpaceDE w:val="0"/>
        <w:adjustRightInd w:val="0"/>
        <w:snapToGrid w:val="0"/>
        <w:spacing w:line="460" w:lineRule="exact"/>
        <w:jc w:val="both"/>
        <w:textAlignment w:val="auto"/>
        <w:rPr>
          <w:rFonts w:ascii="標楷體" w:eastAsia="標楷體" w:hAnsi="標楷體" w:cs="華康細明體"/>
          <w:kern w:val="0"/>
          <w:sz w:val="32"/>
          <w:szCs w:val="32"/>
        </w:rPr>
      </w:pPr>
      <w:r w:rsidRPr="00601331">
        <w:rPr>
          <w:rFonts w:ascii="標楷體" w:eastAsia="標楷體" w:hAnsi="標楷體" w:cs="華康細明體" w:hint="eastAsia"/>
          <w:kern w:val="0"/>
          <w:sz w:val="32"/>
          <w:szCs w:val="32"/>
        </w:rPr>
        <w:t xml:space="preserve">　　　　(1)「營業成本」1億9,870萬元（科目自行調整）：</w:t>
      </w:r>
    </w:p>
    <w:p w14:paraId="281750D6" w14:textId="77777777" w:rsidR="009D64D0" w:rsidRPr="00601331" w:rsidRDefault="009D64D0" w:rsidP="00F470A8">
      <w:pPr>
        <w:widowControl w:val="0"/>
        <w:kinsoku w:val="0"/>
        <w:overflowPunct w:val="0"/>
        <w:autoSpaceDE w:val="0"/>
        <w:adjustRightInd w:val="0"/>
        <w:snapToGrid w:val="0"/>
        <w:spacing w:line="460" w:lineRule="exact"/>
        <w:ind w:leftChars="600" w:left="2080" w:hangingChars="200" w:hanging="640"/>
        <w:jc w:val="both"/>
        <w:textAlignment w:val="auto"/>
        <w:rPr>
          <w:rFonts w:ascii="標楷體" w:eastAsia="標楷體" w:hAnsi="標楷體" w:cs="華康細明體"/>
          <w:kern w:val="0"/>
          <w:sz w:val="32"/>
          <w:szCs w:val="32"/>
        </w:rPr>
      </w:pPr>
      <w:r w:rsidRPr="00601331">
        <w:rPr>
          <w:rFonts w:ascii="標楷體" w:eastAsia="標楷體" w:hAnsi="標楷體" w:cs="華康細明體" w:hint="eastAsia"/>
          <w:kern w:val="0"/>
          <w:sz w:val="32"/>
          <w:szCs w:val="32"/>
        </w:rPr>
        <w:fldChar w:fldCharType="begin"/>
      </w:r>
      <w:r w:rsidRPr="00601331">
        <w:rPr>
          <w:rFonts w:ascii="標楷體" w:eastAsia="標楷體" w:hAnsi="標楷體" w:cs="華康細明體" w:hint="eastAsia"/>
          <w:kern w:val="0"/>
          <w:sz w:val="32"/>
          <w:szCs w:val="32"/>
        </w:rPr>
        <w:instrText xml:space="preserve"> eq \o\ac(○,1)</w:instrText>
      </w:r>
      <w:r w:rsidRPr="00601331">
        <w:rPr>
          <w:rFonts w:ascii="標楷體" w:eastAsia="標楷體" w:hAnsi="標楷體" w:cs="華康細明體" w:hint="eastAsia"/>
          <w:kern w:val="0"/>
          <w:sz w:val="32"/>
          <w:szCs w:val="32"/>
        </w:rPr>
        <w:fldChar w:fldCharType="end"/>
      </w:r>
      <w:r w:rsidRPr="00601331">
        <w:rPr>
          <w:rFonts w:ascii="標楷體" w:eastAsia="標楷體" w:hAnsi="標楷體" w:cs="華康細明體" w:hint="eastAsia"/>
          <w:kern w:val="0"/>
          <w:sz w:val="32"/>
          <w:szCs w:val="32"/>
        </w:rPr>
        <w:t>中央銀行「金融保險成本」項下：</w:t>
      </w:r>
    </w:p>
    <w:p w14:paraId="2184F417" w14:textId="77777777" w:rsidR="009D64D0" w:rsidRPr="00A901F5" w:rsidRDefault="009D64D0" w:rsidP="00F470A8">
      <w:pPr>
        <w:widowControl w:val="0"/>
        <w:kinsoku w:val="0"/>
        <w:overflowPunct w:val="0"/>
        <w:autoSpaceDE w:val="0"/>
        <w:adjustRightInd w:val="0"/>
        <w:snapToGrid w:val="0"/>
        <w:spacing w:line="460" w:lineRule="exact"/>
        <w:ind w:leftChars="650" w:left="2200" w:hangingChars="200" w:hanging="640"/>
        <w:jc w:val="both"/>
        <w:textAlignment w:val="auto"/>
        <w:rPr>
          <w:rFonts w:ascii="標楷體" w:eastAsia="標楷體" w:hAnsi="標楷體" w:cs="華康細明體"/>
          <w:kern w:val="0"/>
          <w:sz w:val="32"/>
          <w:szCs w:val="32"/>
        </w:rPr>
      </w:pPr>
      <w:r w:rsidRPr="00A901F5">
        <w:rPr>
          <w:rFonts w:ascii="標楷體" w:eastAsia="標楷體" w:hAnsi="標楷體" w:cs="華康細明體" w:hint="eastAsia"/>
          <w:kern w:val="0"/>
          <w:sz w:val="32"/>
          <w:szCs w:val="32"/>
        </w:rPr>
        <w:t xml:space="preserve">  「利息費用」1億9,220萬元。</w:t>
      </w:r>
    </w:p>
    <w:p w14:paraId="0494E1BD" w14:textId="77777777" w:rsidR="009D64D0" w:rsidRPr="00A901F5" w:rsidRDefault="00A901F5" w:rsidP="00F470A8">
      <w:pPr>
        <w:widowControl w:val="0"/>
        <w:kinsoku w:val="0"/>
        <w:overflowPunct w:val="0"/>
        <w:autoSpaceDE w:val="0"/>
        <w:adjustRightInd w:val="0"/>
        <w:snapToGrid w:val="0"/>
        <w:spacing w:line="460" w:lineRule="exact"/>
        <w:ind w:leftChars="650" w:left="2200" w:hangingChars="200" w:hanging="640"/>
        <w:jc w:val="both"/>
        <w:textAlignment w:val="auto"/>
        <w:rPr>
          <w:rFonts w:ascii="標楷體" w:eastAsia="標楷體" w:hAnsi="標楷體" w:cs="華康細明體"/>
          <w:kern w:val="0"/>
          <w:sz w:val="32"/>
          <w:szCs w:val="32"/>
        </w:rPr>
      </w:pPr>
      <w:r>
        <w:rPr>
          <w:rFonts w:ascii="標楷體" w:eastAsia="標楷體" w:hAnsi="標楷體" w:cs="華康細明體" w:hint="eastAsia"/>
          <w:kern w:val="0"/>
          <w:sz w:val="32"/>
          <w:szCs w:val="32"/>
        </w:rPr>
        <w:t xml:space="preserve">  </w:t>
      </w:r>
      <w:r w:rsidR="009D64D0" w:rsidRPr="00A901F5">
        <w:rPr>
          <w:rFonts w:ascii="標楷體" w:eastAsia="標楷體" w:hAnsi="標楷體" w:cs="華康細明體" w:hint="eastAsia"/>
          <w:kern w:val="0"/>
          <w:sz w:val="32"/>
          <w:szCs w:val="32"/>
        </w:rPr>
        <w:t>「手續費用」20萬元。</w:t>
      </w:r>
    </w:p>
    <w:p w14:paraId="5EA4B8CB" w14:textId="77777777" w:rsidR="009D64D0" w:rsidRPr="00A901F5" w:rsidRDefault="00A901F5" w:rsidP="00F470A8">
      <w:pPr>
        <w:widowControl w:val="0"/>
        <w:kinsoku w:val="0"/>
        <w:overflowPunct w:val="0"/>
        <w:autoSpaceDE w:val="0"/>
        <w:adjustRightInd w:val="0"/>
        <w:snapToGrid w:val="0"/>
        <w:spacing w:line="460" w:lineRule="exact"/>
        <w:ind w:leftChars="650" w:left="2200" w:hangingChars="200" w:hanging="640"/>
        <w:jc w:val="both"/>
        <w:textAlignment w:val="auto"/>
        <w:rPr>
          <w:rFonts w:ascii="標楷體" w:eastAsia="標楷體" w:hAnsi="標楷體" w:cs="華康細明體"/>
          <w:kern w:val="0"/>
          <w:sz w:val="32"/>
          <w:szCs w:val="32"/>
        </w:rPr>
      </w:pPr>
      <w:r>
        <w:rPr>
          <w:rFonts w:ascii="標楷體" w:eastAsia="標楷體" w:hAnsi="標楷體" w:cs="華康細明體" w:hint="eastAsia"/>
          <w:kern w:val="0"/>
          <w:sz w:val="32"/>
          <w:szCs w:val="32"/>
        </w:rPr>
        <w:t xml:space="preserve">  </w:t>
      </w:r>
      <w:r w:rsidR="009D64D0" w:rsidRPr="00A901F5">
        <w:rPr>
          <w:rFonts w:ascii="標楷體" w:eastAsia="標楷體" w:hAnsi="標楷體" w:cs="華康細明體" w:hint="eastAsia"/>
          <w:kern w:val="0"/>
          <w:sz w:val="32"/>
          <w:szCs w:val="32"/>
        </w:rPr>
        <w:t>「發行硬幣費用」3</w:t>
      </w:r>
      <w:r w:rsidR="009D64D0" w:rsidRPr="00A901F5">
        <w:rPr>
          <w:rFonts w:ascii="標楷體" w:eastAsia="標楷體" w:hAnsi="標楷體" w:cs="華康細明體"/>
          <w:kern w:val="0"/>
          <w:sz w:val="32"/>
          <w:szCs w:val="32"/>
        </w:rPr>
        <w:t>00</w:t>
      </w:r>
      <w:r w:rsidR="009D64D0" w:rsidRPr="00A901F5">
        <w:rPr>
          <w:rFonts w:ascii="標楷體" w:eastAsia="標楷體" w:hAnsi="標楷體" w:cs="華康細明體" w:hint="eastAsia"/>
          <w:kern w:val="0"/>
          <w:sz w:val="32"/>
          <w:szCs w:val="32"/>
        </w:rPr>
        <w:t>萬元。</w:t>
      </w:r>
    </w:p>
    <w:p w14:paraId="7052393B" w14:textId="77777777" w:rsidR="009D64D0" w:rsidRPr="00A901F5" w:rsidRDefault="00A901F5" w:rsidP="00F470A8">
      <w:pPr>
        <w:widowControl w:val="0"/>
        <w:kinsoku w:val="0"/>
        <w:overflowPunct w:val="0"/>
        <w:autoSpaceDE w:val="0"/>
        <w:adjustRightInd w:val="0"/>
        <w:snapToGrid w:val="0"/>
        <w:spacing w:line="460" w:lineRule="exact"/>
        <w:ind w:leftChars="650" w:left="2200" w:hangingChars="200" w:hanging="640"/>
        <w:jc w:val="both"/>
        <w:textAlignment w:val="auto"/>
        <w:rPr>
          <w:rFonts w:ascii="標楷體" w:eastAsia="標楷體" w:hAnsi="標楷體" w:cs="華康細明體"/>
          <w:kern w:val="0"/>
          <w:sz w:val="32"/>
          <w:szCs w:val="32"/>
        </w:rPr>
      </w:pPr>
      <w:r>
        <w:rPr>
          <w:rFonts w:ascii="標楷體" w:eastAsia="標楷體" w:hAnsi="標楷體" w:cs="華康細明體" w:hint="eastAsia"/>
          <w:kern w:val="0"/>
          <w:sz w:val="32"/>
          <w:szCs w:val="32"/>
        </w:rPr>
        <w:t xml:space="preserve">  </w:t>
      </w:r>
      <w:r w:rsidR="009D64D0" w:rsidRPr="00A901F5">
        <w:rPr>
          <w:rFonts w:ascii="標楷體" w:eastAsia="標楷體" w:hAnsi="標楷體" w:cs="華康細明體" w:hint="eastAsia"/>
          <w:kern w:val="0"/>
          <w:sz w:val="32"/>
          <w:szCs w:val="32"/>
        </w:rPr>
        <w:t>「發行鈔券費用」50萬元。</w:t>
      </w:r>
    </w:p>
    <w:p w14:paraId="1D6A8572" w14:textId="77777777" w:rsidR="009D64D0" w:rsidRPr="00A901F5" w:rsidRDefault="009D64D0" w:rsidP="00F470A8">
      <w:pPr>
        <w:widowControl w:val="0"/>
        <w:kinsoku w:val="0"/>
        <w:overflowPunct w:val="0"/>
        <w:autoSpaceDE w:val="0"/>
        <w:adjustRightInd w:val="0"/>
        <w:snapToGrid w:val="0"/>
        <w:spacing w:line="460" w:lineRule="exact"/>
        <w:ind w:leftChars="600" w:left="1760" w:hangingChars="100" w:hanging="320"/>
        <w:jc w:val="both"/>
        <w:textAlignment w:val="auto"/>
        <w:rPr>
          <w:rFonts w:ascii="標楷體" w:eastAsia="標楷體" w:hAnsi="標楷體"/>
          <w:kern w:val="2"/>
          <w:sz w:val="32"/>
          <w:szCs w:val="32"/>
        </w:rPr>
      </w:pPr>
      <w:r w:rsidRPr="00A901F5">
        <w:rPr>
          <w:rFonts w:ascii="標楷體" w:eastAsia="標楷體" w:hAnsi="標楷體" w:hint="eastAsia"/>
          <w:kern w:val="2"/>
          <w:sz w:val="32"/>
          <w:szCs w:val="32"/>
        </w:rPr>
        <w:fldChar w:fldCharType="begin"/>
      </w:r>
      <w:r w:rsidRPr="00A901F5">
        <w:rPr>
          <w:rFonts w:ascii="標楷體" w:eastAsia="標楷體" w:hAnsi="標楷體" w:hint="eastAsia"/>
          <w:kern w:val="2"/>
          <w:sz w:val="32"/>
          <w:szCs w:val="32"/>
        </w:rPr>
        <w:instrText xml:space="preserve"> eq \o\ac(○,2)</w:instrText>
      </w:r>
      <w:r w:rsidRPr="00A901F5">
        <w:rPr>
          <w:rFonts w:ascii="標楷體" w:eastAsia="標楷體" w:hAnsi="標楷體" w:hint="eastAsia"/>
          <w:kern w:val="2"/>
          <w:sz w:val="32"/>
          <w:szCs w:val="32"/>
        </w:rPr>
        <w:fldChar w:fldCharType="end"/>
      </w:r>
      <w:r w:rsidRPr="00A901F5">
        <w:rPr>
          <w:rFonts w:ascii="標楷體" w:eastAsia="標楷體" w:hAnsi="標楷體" w:hint="eastAsia"/>
          <w:kern w:val="2"/>
          <w:sz w:val="32"/>
          <w:szCs w:val="32"/>
        </w:rPr>
        <w:t>中央造幣廠「銷售成本」項下「銷貨成本」100萬元。</w:t>
      </w:r>
    </w:p>
    <w:p w14:paraId="1A8E2761" w14:textId="77777777" w:rsidR="009D64D0" w:rsidRPr="00A901F5" w:rsidRDefault="009D64D0" w:rsidP="00F470A8">
      <w:pPr>
        <w:widowControl w:val="0"/>
        <w:kinsoku w:val="0"/>
        <w:overflowPunct w:val="0"/>
        <w:autoSpaceDE w:val="0"/>
        <w:adjustRightInd w:val="0"/>
        <w:snapToGrid w:val="0"/>
        <w:spacing w:line="460" w:lineRule="exact"/>
        <w:ind w:leftChars="600" w:left="1760" w:hangingChars="100" w:hanging="320"/>
        <w:jc w:val="both"/>
        <w:textAlignment w:val="auto"/>
        <w:rPr>
          <w:rFonts w:ascii="標楷體" w:eastAsia="標楷體" w:hAnsi="標楷體"/>
          <w:kern w:val="2"/>
          <w:sz w:val="32"/>
          <w:szCs w:val="32"/>
        </w:rPr>
      </w:pPr>
      <w:r w:rsidRPr="00A901F5">
        <w:rPr>
          <w:rFonts w:ascii="標楷體" w:eastAsia="標楷體" w:hAnsi="標楷體" w:hint="eastAsia"/>
          <w:kern w:val="2"/>
          <w:sz w:val="32"/>
          <w:szCs w:val="32"/>
        </w:rPr>
        <w:fldChar w:fldCharType="begin"/>
      </w:r>
      <w:r w:rsidRPr="00A901F5">
        <w:rPr>
          <w:rFonts w:ascii="標楷體" w:eastAsia="標楷體" w:hAnsi="標楷體" w:hint="eastAsia"/>
          <w:kern w:val="2"/>
          <w:sz w:val="32"/>
          <w:szCs w:val="32"/>
        </w:rPr>
        <w:instrText xml:space="preserve"> eq \o\ac(○,3)</w:instrText>
      </w:r>
      <w:r w:rsidRPr="00A901F5">
        <w:rPr>
          <w:rFonts w:ascii="標楷體" w:eastAsia="標楷體" w:hAnsi="標楷體" w:hint="eastAsia"/>
          <w:kern w:val="2"/>
          <w:sz w:val="32"/>
          <w:szCs w:val="32"/>
        </w:rPr>
        <w:fldChar w:fldCharType="end"/>
      </w:r>
      <w:r w:rsidRPr="00A901F5">
        <w:rPr>
          <w:rFonts w:ascii="標楷體" w:eastAsia="標楷體" w:hAnsi="標楷體" w:hint="eastAsia"/>
          <w:kern w:val="2"/>
          <w:sz w:val="32"/>
          <w:szCs w:val="32"/>
        </w:rPr>
        <w:t>中央印製廠「銷售成本」項下「銷貨成本」180萬元。</w:t>
      </w:r>
    </w:p>
    <w:p w14:paraId="5A897A38" w14:textId="77777777" w:rsidR="009D64D0" w:rsidRPr="00A901F5" w:rsidRDefault="009D64D0" w:rsidP="00F470A8">
      <w:pPr>
        <w:widowControl w:val="0"/>
        <w:kinsoku w:val="0"/>
        <w:overflowPunct w:val="0"/>
        <w:autoSpaceDE w:val="0"/>
        <w:adjustRightInd w:val="0"/>
        <w:snapToGrid w:val="0"/>
        <w:spacing w:line="460" w:lineRule="exact"/>
        <w:jc w:val="both"/>
        <w:textAlignment w:val="auto"/>
        <w:rPr>
          <w:rFonts w:ascii="標楷體" w:eastAsia="標楷體" w:hAnsi="標楷體" w:cs="華康細明體"/>
          <w:spacing w:val="-10"/>
          <w:kern w:val="0"/>
          <w:sz w:val="32"/>
          <w:szCs w:val="32"/>
        </w:rPr>
      </w:pPr>
      <w:r w:rsidRPr="00A901F5">
        <w:rPr>
          <w:rFonts w:ascii="標楷體" w:eastAsia="標楷體" w:hAnsi="標楷體" w:cs="華康細明體" w:hint="eastAsia"/>
          <w:spacing w:val="-10"/>
          <w:kern w:val="0"/>
          <w:sz w:val="32"/>
          <w:szCs w:val="32"/>
        </w:rPr>
        <w:t xml:space="preserve">　　　　(2)「營業費用」130萬元：</w:t>
      </w:r>
    </w:p>
    <w:p w14:paraId="6722A935" w14:textId="77777777" w:rsidR="009D64D0" w:rsidRPr="00A901F5" w:rsidRDefault="009D64D0" w:rsidP="00F470A8">
      <w:pPr>
        <w:widowControl w:val="0"/>
        <w:kinsoku w:val="0"/>
        <w:overflowPunct w:val="0"/>
        <w:autoSpaceDE w:val="0"/>
        <w:adjustRightInd w:val="0"/>
        <w:snapToGrid w:val="0"/>
        <w:spacing w:line="460" w:lineRule="exact"/>
        <w:ind w:leftChars="600" w:left="1760" w:hangingChars="100" w:hanging="320"/>
        <w:jc w:val="both"/>
        <w:textAlignment w:val="auto"/>
        <w:rPr>
          <w:rFonts w:ascii="標楷體" w:eastAsia="標楷體" w:hAnsi="標楷體"/>
          <w:kern w:val="2"/>
          <w:sz w:val="32"/>
          <w:szCs w:val="32"/>
        </w:rPr>
      </w:pPr>
      <w:r w:rsidRPr="00A901F5">
        <w:rPr>
          <w:rFonts w:ascii="標楷體" w:eastAsia="標楷體" w:hAnsi="標楷體" w:hint="eastAsia"/>
          <w:kern w:val="2"/>
          <w:sz w:val="32"/>
          <w:szCs w:val="32"/>
        </w:rPr>
        <w:fldChar w:fldCharType="begin"/>
      </w:r>
      <w:r w:rsidRPr="00A901F5">
        <w:rPr>
          <w:rFonts w:ascii="標楷體" w:eastAsia="標楷體" w:hAnsi="標楷體" w:hint="eastAsia"/>
          <w:kern w:val="2"/>
          <w:sz w:val="32"/>
          <w:szCs w:val="32"/>
        </w:rPr>
        <w:instrText xml:space="preserve"> eq \o\ac(○,1)</w:instrText>
      </w:r>
      <w:r w:rsidRPr="00A901F5">
        <w:rPr>
          <w:rFonts w:ascii="標楷體" w:eastAsia="標楷體" w:hAnsi="標楷體" w:hint="eastAsia"/>
          <w:kern w:val="2"/>
          <w:sz w:val="32"/>
          <w:szCs w:val="32"/>
        </w:rPr>
        <w:fldChar w:fldCharType="end"/>
      </w:r>
      <w:r w:rsidRPr="00A901F5">
        <w:rPr>
          <w:rFonts w:ascii="標楷體" w:eastAsia="標楷體" w:hAnsi="標楷體" w:hint="eastAsia"/>
          <w:kern w:val="2"/>
          <w:sz w:val="32"/>
          <w:szCs w:val="32"/>
        </w:rPr>
        <w:t>中央銀行「管理費用」項下「服務費用」之「專業服務費」10萬元。</w:t>
      </w:r>
    </w:p>
    <w:p w14:paraId="37C2418D" w14:textId="77777777" w:rsidR="009D64D0" w:rsidRPr="00A901F5" w:rsidRDefault="009D64D0" w:rsidP="00F470A8">
      <w:pPr>
        <w:widowControl w:val="0"/>
        <w:kinsoku w:val="0"/>
        <w:overflowPunct w:val="0"/>
        <w:autoSpaceDE w:val="0"/>
        <w:adjustRightInd w:val="0"/>
        <w:snapToGrid w:val="0"/>
        <w:spacing w:line="460" w:lineRule="exact"/>
        <w:ind w:leftChars="600" w:left="1760" w:hangingChars="100" w:hanging="320"/>
        <w:jc w:val="both"/>
        <w:textAlignment w:val="auto"/>
        <w:rPr>
          <w:rFonts w:ascii="標楷體" w:eastAsia="標楷體" w:hAnsi="標楷體"/>
          <w:kern w:val="2"/>
          <w:sz w:val="32"/>
          <w:szCs w:val="32"/>
        </w:rPr>
      </w:pPr>
      <w:r w:rsidRPr="00A901F5">
        <w:rPr>
          <w:rFonts w:ascii="標楷體" w:eastAsia="標楷體" w:hAnsi="標楷體" w:hint="eastAsia"/>
          <w:kern w:val="2"/>
          <w:sz w:val="32"/>
          <w:szCs w:val="32"/>
        </w:rPr>
        <w:fldChar w:fldCharType="begin"/>
      </w:r>
      <w:r w:rsidRPr="00A901F5">
        <w:rPr>
          <w:rFonts w:ascii="標楷體" w:eastAsia="標楷體" w:hAnsi="標楷體" w:hint="eastAsia"/>
          <w:kern w:val="2"/>
          <w:sz w:val="32"/>
          <w:szCs w:val="32"/>
        </w:rPr>
        <w:instrText xml:space="preserve"> eq \o\ac(○,2)</w:instrText>
      </w:r>
      <w:r w:rsidRPr="00A901F5">
        <w:rPr>
          <w:rFonts w:ascii="標楷體" w:eastAsia="標楷體" w:hAnsi="標楷體" w:hint="eastAsia"/>
          <w:kern w:val="2"/>
          <w:sz w:val="32"/>
          <w:szCs w:val="32"/>
        </w:rPr>
        <w:fldChar w:fldCharType="end"/>
      </w:r>
      <w:r w:rsidRPr="00A901F5">
        <w:rPr>
          <w:rFonts w:ascii="標楷體" w:eastAsia="標楷體" w:hAnsi="標楷體" w:hint="eastAsia"/>
          <w:kern w:val="2"/>
          <w:sz w:val="32"/>
          <w:szCs w:val="32"/>
        </w:rPr>
        <w:t>中央印製廠「業務費用」20萬元、「管理費用」100萬元。</w:t>
      </w:r>
    </w:p>
    <w:p w14:paraId="32599C42" w14:textId="77777777" w:rsidR="009D64D0" w:rsidRPr="00A901F5" w:rsidRDefault="009D64D0" w:rsidP="00F470A8">
      <w:pPr>
        <w:widowControl w:val="0"/>
        <w:kinsoku w:val="0"/>
        <w:overflowPunct w:val="0"/>
        <w:autoSpaceDE w:val="0"/>
        <w:adjustRightInd w:val="0"/>
        <w:snapToGrid w:val="0"/>
        <w:spacing w:line="460" w:lineRule="exact"/>
        <w:ind w:leftChars="500" w:left="1200"/>
        <w:jc w:val="both"/>
        <w:textAlignment w:val="auto"/>
        <w:rPr>
          <w:rFonts w:ascii="標楷體" w:eastAsia="標楷體" w:hAnsi="標楷體" w:cs="華康細明體"/>
          <w:kern w:val="0"/>
          <w:sz w:val="32"/>
          <w:szCs w:val="32"/>
        </w:rPr>
      </w:pPr>
      <w:r w:rsidRPr="00A901F5">
        <w:rPr>
          <w:rFonts w:ascii="標楷體" w:eastAsia="標楷體" w:hAnsi="標楷體" w:cs="華康細明體" w:hint="eastAsia"/>
          <w:kern w:val="0"/>
          <w:sz w:val="32"/>
          <w:szCs w:val="32"/>
        </w:rPr>
        <w:t>以上共計減列2億元，其餘均照列，改列為2</w:t>
      </w:r>
      <w:r w:rsidRPr="00A901F5">
        <w:rPr>
          <w:rFonts w:ascii="標楷體" w:eastAsia="標楷體" w:hAnsi="標楷體" w:cs="華康細明體"/>
          <w:kern w:val="0"/>
          <w:sz w:val="32"/>
          <w:szCs w:val="32"/>
        </w:rPr>
        <w:t>,</w:t>
      </w:r>
      <w:r w:rsidRPr="00A901F5">
        <w:rPr>
          <w:rFonts w:ascii="標楷體" w:eastAsia="標楷體" w:hAnsi="標楷體" w:cs="華康細明體" w:hint="eastAsia"/>
          <w:kern w:val="0"/>
          <w:sz w:val="32"/>
          <w:szCs w:val="32"/>
        </w:rPr>
        <w:t>506億5,032萬3千元。</w:t>
      </w:r>
    </w:p>
    <w:p w14:paraId="32CC683E" w14:textId="77777777" w:rsidR="009D64D0" w:rsidRPr="00A901F5" w:rsidRDefault="009D64D0" w:rsidP="00F470A8">
      <w:pPr>
        <w:widowControl w:val="0"/>
        <w:kinsoku w:val="0"/>
        <w:overflowPunct w:val="0"/>
        <w:autoSpaceDE w:val="0"/>
        <w:adjustRightInd w:val="0"/>
        <w:snapToGrid w:val="0"/>
        <w:spacing w:line="460" w:lineRule="exact"/>
        <w:ind w:leftChars="350" w:left="1160" w:hangingChars="100" w:hanging="320"/>
        <w:jc w:val="both"/>
        <w:textAlignment w:val="auto"/>
        <w:rPr>
          <w:rFonts w:ascii="標楷體" w:eastAsia="標楷體" w:hAnsi="標楷體" w:cs="華康細明體"/>
          <w:kern w:val="0"/>
          <w:sz w:val="32"/>
          <w:szCs w:val="32"/>
        </w:rPr>
      </w:pPr>
      <w:r w:rsidRPr="00A901F5">
        <w:rPr>
          <w:rFonts w:ascii="標楷體" w:eastAsia="標楷體" w:hAnsi="標楷體" w:cs="華康細明體" w:hint="eastAsia"/>
          <w:kern w:val="0"/>
          <w:sz w:val="32"/>
          <w:szCs w:val="32"/>
        </w:rPr>
        <w:t>3.稅前淨利：原列1,753億2,747萬3千元，增列2億元，改列為1,755億2,747萬3千元。</w:t>
      </w:r>
    </w:p>
    <w:p w14:paraId="66C7EB50" w14:textId="77777777" w:rsidR="009D64D0" w:rsidRPr="00A901F5" w:rsidRDefault="009D64D0" w:rsidP="00F470A8">
      <w:pPr>
        <w:widowControl w:val="0"/>
        <w:kinsoku w:val="0"/>
        <w:overflowPunct w:val="0"/>
        <w:autoSpaceDE w:val="0"/>
        <w:adjustRightInd w:val="0"/>
        <w:snapToGrid w:val="0"/>
        <w:spacing w:line="460" w:lineRule="exact"/>
        <w:textAlignment w:val="auto"/>
        <w:rPr>
          <w:rFonts w:ascii="標楷體" w:eastAsia="標楷體" w:hAnsi="標楷體"/>
          <w:kern w:val="2"/>
          <w:sz w:val="32"/>
          <w:szCs w:val="32"/>
        </w:rPr>
      </w:pPr>
      <w:r w:rsidRPr="00A901F5">
        <w:rPr>
          <w:rFonts w:ascii="標楷體" w:eastAsia="標楷體" w:hAnsi="標楷體" w:hint="eastAsia"/>
          <w:kern w:val="2"/>
          <w:sz w:val="32"/>
          <w:szCs w:val="32"/>
        </w:rPr>
        <w:t xml:space="preserve">　　(三)金融保險成本：營業總支出應隨同調整。</w:t>
      </w:r>
    </w:p>
    <w:p w14:paraId="1E9B3F45" w14:textId="77777777" w:rsidR="009D64D0" w:rsidRPr="00A901F5" w:rsidRDefault="009D64D0" w:rsidP="00F470A8">
      <w:pPr>
        <w:widowControl w:val="0"/>
        <w:kinsoku w:val="0"/>
        <w:overflowPunct w:val="0"/>
        <w:autoSpaceDE w:val="0"/>
        <w:adjustRightInd w:val="0"/>
        <w:snapToGrid w:val="0"/>
        <w:spacing w:line="460" w:lineRule="exact"/>
        <w:textAlignment w:val="auto"/>
        <w:rPr>
          <w:rFonts w:ascii="標楷體" w:eastAsia="標楷體" w:hAnsi="標楷體"/>
          <w:kern w:val="2"/>
          <w:sz w:val="32"/>
          <w:szCs w:val="32"/>
        </w:rPr>
      </w:pPr>
      <w:r w:rsidRPr="00A901F5">
        <w:rPr>
          <w:rFonts w:ascii="標楷體" w:eastAsia="標楷體" w:hAnsi="標楷體" w:hint="eastAsia"/>
          <w:kern w:val="2"/>
          <w:sz w:val="32"/>
          <w:szCs w:val="32"/>
        </w:rPr>
        <w:t xml:space="preserve">　　(四)轉投資計畫：無列數。</w:t>
      </w:r>
    </w:p>
    <w:p w14:paraId="44D7006D" w14:textId="77777777" w:rsidR="009D64D0" w:rsidRPr="00A901F5" w:rsidRDefault="009D64D0" w:rsidP="00F470A8">
      <w:pPr>
        <w:widowControl w:val="0"/>
        <w:kinsoku w:val="0"/>
        <w:overflowPunct w:val="0"/>
        <w:autoSpaceDE w:val="0"/>
        <w:adjustRightInd w:val="0"/>
        <w:snapToGrid w:val="0"/>
        <w:spacing w:line="460" w:lineRule="exact"/>
        <w:textAlignment w:val="auto"/>
        <w:rPr>
          <w:rFonts w:ascii="標楷體" w:eastAsia="標楷體" w:hAnsi="標楷體"/>
          <w:kern w:val="2"/>
          <w:sz w:val="32"/>
          <w:szCs w:val="32"/>
        </w:rPr>
      </w:pPr>
      <w:r w:rsidRPr="00A901F5">
        <w:rPr>
          <w:rFonts w:ascii="標楷體" w:eastAsia="標楷體" w:hAnsi="標楷體" w:hint="eastAsia"/>
          <w:kern w:val="2"/>
          <w:sz w:val="32"/>
          <w:szCs w:val="32"/>
        </w:rPr>
        <w:lastRenderedPageBreak/>
        <w:t xml:space="preserve">　　(五)重大之建設事業：4億8,127萬7千元，照列。</w:t>
      </w:r>
    </w:p>
    <w:p w14:paraId="07381E95" w14:textId="77777777" w:rsidR="009D64D0" w:rsidRPr="00A901F5" w:rsidRDefault="009D64D0" w:rsidP="00F470A8">
      <w:pPr>
        <w:widowControl w:val="0"/>
        <w:kinsoku w:val="0"/>
        <w:overflowPunct w:val="0"/>
        <w:autoSpaceDE w:val="0"/>
        <w:adjustRightInd w:val="0"/>
        <w:snapToGrid w:val="0"/>
        <w:spacing w:beforeLines="30" w:before="108" w:line="460" w:lineRule="exact"/>
        <w:ind w:left="1280" w:hangingChars="400" w:hanging="1280"/>
        <w:jc w:val="both"/>
        <w:textAlignment w:val="auto"/>
        <w:rPr>
          <w:rFonts w:ascii="標楷體" w:eastAsia="標楷體" w:hAnsi="標楷體" w:cs="華康細明體"/>
          <w:kern w:val="0"/>
          <w:sz w:val="32"/>
          <w:szCs w:val="32"/>
        </w:rPr>
      </w:pPr>
      <w:r w:rsidRPr="00A901F5">
        <w:rPr>
          <w:rFonts w:ascii="標楷體" w:eastAsia="標楷體" w:hAnsi="標楷體" w:cs="華康細明體" w:hint="eastAsia"/>
          <w:kern w:val="0"/>
          <w:sz w:val="32"/>
          <w:szCs w:val="32"/>
        </w:rPr>
        <w:t xml:space="preserve">　　(六)資金運用：應依據營業收支、金融保險成本、盈虧撥補、轉投資及重大之建設事業等項之審查結果，隨同調整。</w:t>
      </w:r>
    </w:p>
    <w:p w14:paraId="0EF9EA76" w14:textId="77777777" w:rsidR="009D64D0" w:rsidRPr="00A901F5" w:rsidRDefault="009D64D0" w:rsidP="00F470A8">
      <w:pPr>
        <w:widowControl w:val="0"/>
        <w:kinsoku w:val="0"/>
        <w:overflowPunct w:val="0"/>
        <w:autoSpaceDE w:val="0"/>
        <w:adjustRightInd w:val="0"/>
        <w:snapToGrid w:val="0"/>
        <w:spacing w:beforeLines="30" w:before="108" w:line="460" w:lineRule="exact"/>
        <w:ind w:left="1280" w:hangingChars="400" w:hanging="1280"/>
        <w:jc w:val="both"/>
        <w:textAlignment w:val="auto"/>
        <w:rPr>
          <w:rFonts w:ascii="標楷體" w:eastAsia="標楷體" w:hAnsi="標楷體" w:cs="華康細明體"/>
          <w:kern w:val="0"/>
          <w:sz w:val="32"/>
          <w:szCs w:val="32"/>
        </w:rPr>
      </w:pPr>
      <w:r w:rsidRPr="00A901F5">
        <w:rPr>
          <w:rFonts w:ascii="標楷體" w:eastAsia="標楷體" w:hAnsi="標楷體" w:cs="華康細明體" w:hint="eastAsia"/>
          <w:kern w:val="0"/>
          <w:sz w:val="32"/>
          <w:szCs w:val="32"/>
        </w:rPr>
        <w:t xml:space="preserve">　　(七)通過決議3</w:t>
      </w:r>
      <w:r w:rsidRPr="00A901F5">
        <w:rPr>
          <w:rFonts w:ascii="標楷體" w:eastAsia="標楷體" w:hAnsi="標楷體" w:cs="華康細明體"/>
          <w:kern w:val="0"/>
          <w:sz w:val="32"/>
          <w:szCs w:val="32"/>
        </w:rPr>
        <w:t>0</w:t>
      </w:r>
      <w:r w:rsidRPr="00A901F5">
        <w:rPr>
          <w:rFonts w:ascii="標楷體" w:eastAsia="標楷體" w:hAnsi="標楷體" w:cs="華康細明體" w:hint="eastAsia"/>
          <w:kern w:val="0"/>
          <w:sz w:val="32"/>
          <w:szCs w:val="32"/>
        </w:rPr>
        <w:t>項：</w:t>
      </w:r>
    </w:p>
    <w:p w14:paraId="24A46A6A" w14:textId="77777777" w:rsidR="009D64D0" w:rsidRPr="00A901F5" w:rsidRDefault="009D64D0" w:rsidP="00F470A8">
      <w:pPr>
        <w:widowControl w:val="0"/>
        <w:kinsoku w:val="0"/>
        <w:overflowPunct w:val="0"/>
        <w:autoSpaceDE w:val="0"/>
        <w:snapToGrid w:val="0"/>
        <w:spacing w:line="460" w:lineRule="exact"/>
        <w:ind w:leftChars="300" w:left="1040" w:hangingChars="100" w:hanging="320"/>
        <w:jc w:val="both"/>
        <w:textAlignment w:val="auto"/>
        <w:rPr>
          <w:rFonts w:ascii="標楷體" w:eastAsia="標楷體" w:hAnsi="標楷體"/>
          <w:kern w:val="2"/>
          <w:sz w:val="32"/>
          <w:szCs w:val="32"/>
        </w:rPr>
      </w:pPr>
      <w:r w:rsidRPr="00A901F5">
        <w:rPr>
          <w:rFonts w:ascii="標楷體" w:eastAsia="標楷體" w:hAnsi="標楷體" w:hint="eastAsia"/>
          <w:kern w:val="2"/>
          <w:sz w:val="32"/>
          <w:szCs w:val="32"/>
        </w:rPr>
        <w:t>1</w:t>
      </w:r>
      <w:r w:rsidRPr="00A901F5">
        <w:rPr>
          <w:rFonts w:ascii="標楷體" w:eastAsia="標楷體" w:hAnsi="標楷體"/>
          <w:kern w:val="2"/>
          <w:sz w:val="32"/>
          <w:szCs w:val="32"/>
        </w:rPr>
        <w:t>.</w:t>
      </w:r>
      <w:r w:rsidRPr="00A901F5">
        <w:rPr>
          <w:rFonts w:ascii="標楷體" w:eastAsia="標楷體" w:hAnsi="標楷體" w:hint="eastAsia"/>
          <w:kern w:val="2"/>
          <w:sz w:val="32"/>
          <w:szCs w:val="32"/>
        </w:rPr>
        <w:t>114年度中央銀行預算案於貳、經營政策之一、調節金融列有持續執行選擇性信用管制措施，督促金融機構控管不動產授信風險。惟自中央銀行實施選擇性信用管制措施以來，因不動產貸款集中度問題仍然存在，截至113年度8月底，購屋貸款餘額持續快速增加，多數銀行的建築貸款已接近法定及內部警戒上限，中央銀行應滾動檢討選擇性信用管制措施，並適時滾動檢討相關措施，以維持金融穩定並兼顧民眾需求。請中央銀行於1個月內向立法院財政委員會提出書面報告</w:t>
      </w:r>
      <w:r w:rsidRPr="00A901F5">
        <w:rPr>
          <w:rFonts w:ascii="標楷體" w:eastAsia="標楷體" w:hAnsi="標楷體"/>
          <w:kern w:val="2"/>
          <w:sz w:val="32"/>
          <w:szCs w:val="32"/>
        </w:rPr>
        <w:t>。</w:t>
      </w:r>
    </w:p>
    <w:p w14:paraId="52932B2A" w14:textId="3CE3F9C7"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提案人：伍麗華</w:t>
      </w:r>
    </w:p>
    <w:p w14:paraId="72EBCF1C" w14:textId="33B1E159"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連署人：王世堅　賴惠員</w:t>
      </w:r>
    </w:p>
    <w:p w14:paraId="5B7551BE" w14:textId="77777777" w:rsidR="009D64D0" w:rsidRPr="0075375D" w:rsidRDefault="009D64D0" w:rsidP="00F470A8">
      <w:pPr>
        <w:widowControl w:val="0"/>
        <w:kinsoku w:val="0"/>
        <w:overflowPunct w:val="0"/>
        <w:autoSpaceDE w:val="0"/>
        <w:snapToGrid w:val="0"/>
        <w:spacing w:line="460" w:lineRule="exact"/>
        <w:ind w:leftChars="300" w:left="1040" w:hangingChars="100" w:hanging="320"/>
        <w:jc w:val="both"/>
        <w:textAlignment w:val="auto"/>
        <w:rPr>
          <w:rFonts w:ascii="標楷體" w:eastAsia="標楷體" w:hAnsi="標楷體"/>
          <w:kern w:val="2"/>
          <w:sz w:val="32"/>
          <w:szCs w:val="32"/>
        </w:rPr>
      </w:pPr>
      <w:r w:rsidRPr="0075375D">
        <w:rPr>
          <w:rFonts w:ascii="標楷體" w:eastAsia="標楷體" w:hAnsi="標楷體" w:hint="eastAsia"/>
          <w:kern w:val="2"/>
          <w:sz w:val="32"/>
          <w:szCs w:val="32"/>
        </w:rPr>
        <w:t>2</w:t>
      </w:r>
      <w:r w:rsidRPr="0075375D">
        <w:rPr>
          <w:rFonts w:ascii="標楷體" w:eastAsia="標楷體" w:hAnsi="標楷體"/>
          <w:kern w:val="2"/>
          <w:sz w:val="32"/>
          <w:szCs w:val="32"/>
        </w:rPr>
        <w:t>.</w:t>
      </w:r>
      <w:r w:rsidRPr="0075375D">
        <w:rPr>
          <w:rFonts w:ascii="標楷體" w:eastAsia="標楷體" w:hAnsi="標楷體" w:hint="eastAsia"/>
          <w:kern w:val="2"/>
          <w:sz w:val="32"/>
          <w:szCs w:val="32"/>
        </w:rPr>
        <w:t>查114年度中央銀行預算案於「營業費用」項下「業務費用」編列18億7</w:t>
      </w:r>
      <w:r w:rsidRPr="0075375D">
        <w:rPr>
          <w:rFonts w:ascii="標楷體" w:eastAsia="標楷體" w:hAnsi="標楷體"/>
          <w:kern w:val="2"/>
          <w:sz w:val="32"/>
          <w:szCs w:val="32"/>
        </w:rPr>
        <w:t>,</w:t>
      </w:r>
      <w:r w:rsidRPr="0075375D">
        <w:rPr>
          <w:rFonts w:ascii="標楷體" w:eastAsia="標楷體" w:hAnsi="標楷體" w:hint="eastAsia"/>
          <w:kern w:val="2"/>
          <w:sz w:val="32"/>
          <w:szCs w:val="32"/>
        </w:rPr>
        <w:t>459萬8千元。惟按審計部公告之112年度中央政府總決算審核報告指出：「全球消費者物價指數（CPI）年增率已放緩，惟仍超過2%之通膨警戒線，中央銀行因應國內電價調整影響，已上修國內CPI年增率，未來影響通膨走勢不確定性仍高…」等語。查全球主要經濟體為因應2022年初俄烏戰事造成原油等大宗商品價格高漲，已陸續啟動調升利率及縮減購債規模等貨幣緊縮政策，以紓緩通膨壓力。中央銀行為減緩國內通膨壓力，採取漸進式之緊縮性貨幣政策調升利率，於111年3月至112年底止，已升息五次，累計升幅0.75個百分點，112年度國內CPI年增率2.49%，較111年度之2.95%減少0.46%，且113年3月為2.14%，均仍超過2%之通膨警戒線。另查據該行113年3月召開理監事會後記者會參考資料，俄烏戰事及中東情勢緊張，恐推升全球航運成本與影響原油等大宗商品價格，增添全球通膨發展之不確定性。鑑此，請中央銀行於1個月內向立法院財政委員會提出書面報告。</w:t>
      </w:r>
    </w:p>
    <w:p w14:paraId="3ECDC781" w14:textId="36B4976D"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提案人：賴惠員</w:t>
      </w:r>
    </w:p>
    <w:p w14:paraId="776B85C3" w14:textId="3F331ABB"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CC7A43">
        <w:rPr>
          <w:rFonts w:ascii="標楷體" w:eastAsia="標楷體" w:hAnsi="標楷體" w:hint="eastAsia"/>
          <w:kern w:val="0"/>
          <w:sz w:val="32"/>
          <w:szCs w:val="32"/>
        </w:rPr>
        <w:t>連署人：伍麗華　李坤城</w:t>
      </w:r>
    </w:p>
    <w:p w14:paraId="72F78B3D" w14:textId="77777777" w:rsidR="009D64D0" w:rsidRPr="0075375D" w:rsidRDefault="009D64D0" w:rsidP="00F470A8">
      <w:pPr>
        <w:widowControl w:val="0"/>
        <w:kinsoku w:val="0"/>
        <w:overflowPunct w:val="0"/>
        <w:autoSpaceDE w:val="0"/>
        <w:snapToGrid w:val="0"/>
        <w:spacing w:line="460" w:lineRule="exact"/>
        <w:ind w:leftChars="300" w:left="1040" w:hangingChars="100" w:hanging="320"/>
        <w:jc w:val="both"/>
        <w:textAlignment w:val="auto"/>
        <w:rPr>
          <w:rFonts w:ascii="標楷體" w:eastAsia="標楷體" w:hAnsi="標楷體"/>
          <w:kern w:val="2"/>
          <w:sz w:val="32"/>
          <w:szCs w:val="32"/>
        </w:rPr>
      </w:pPr>
      <w:r w:rsidRPr="0075375D">
        <w:rPr>
          <w:rFonts w:ascii="標楷體" w:eastAsia="標楷體" w:hAnsi="標楷體"/>
          <w:kern w:val="2"/>
          <w:sz w:val="32"/>
          <w:szCs w:val="32"/>
        </w:rPr>
        <w:t>3</w:t>
      </w:r>
      <w:r w:rsidRPr="0075375D">
        <w:rPr>
          <w:rFonts w:ascii="標楷體" w:eastAsia="標楷體" w:hAnsi="標楷體" w:hint="eastAsia"/>
          <w:kern w:val="2"/>
          <w:sz w:val="32"/>
          <w:szCs w:val="32"/>
        </w:rPr>
        <w:t>.查114年度中央銀行預算案於「營業費用」項下「業務費用」編列18億7</w:t>
      </w:r>
      <w:r w:rsidRPr="0075375D">
        <w:rPr>
          <w:rFonts w:ascii="標楷體" w:eastAsia="標楷體" w:hAnsi="標楷體"/>
          <w:kern w:val="2"/>
          <w:sz w:val="32"/>
          <w:szCs w:val="32"/>
        </w:rPr>
        <w:t>,</w:t>
      </w:r>
      <w:r w:rsidRPr="0075375D">
        <w:rPr>
          <w:rFonts w:ascii="標楷體" w:eastAsia="標楷體" w:hAnsi="標楷體" w:hint="eastAsia"/>
          <w:kern w:val="2"/>
          <w:sz w:val="32"/>
          <w:szCs w:val="32"/>
        </w:rPr>
        <w:t>459萬8千元。惟按審計部公告之112年度中央政府總決算審核報告指出：「氣候變遷衍生之風險將對總體經濟發展與金融穩定形成挑戰，各國中央銀行已持續進行測試分析，允宜借鏡國際經驗積極推動，俾利研訂審慎監理策略，以妥適因應對總體經濟之衝擊。」等語。查中央銀行為順應國際發展趨勢，並配合2050年淨零轉型規劃，於111年12月發布該行因應氣候變遷策略方案，包含政策目標、核心策略，以及從貨幣政策等五大面向分階段推動11項政策措施。然截至112年底止，該行運用貨幣政策操作工具協助促進永續金融發展等3項短期措施已執行完成外，其餘仍尚在辦理或規劃中。鑑此，請中央銀行於1個月內向立法院財政委員會提出書面報告。</w:t>
      </w:r>
    </w:p>
    <w:p w14:paraId="1DA597AD" w14:textId="480878F3"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提案人：賴惠員</w:t>
      </w:r>
    </w:p>
    <w:p w14:paraId="74B88CB4" w14:textId="086621DB"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連署人：伍麗華　李坤城</w:t>
      </w:r>
    </w:p>
    <w:p w14:paraId="66FAD2D2" w14:textId="77777777" w:rsidR="009D64D0" w:rsidRPr="0075375D" w:rsidRDefault="009D64D0" w:rsidP="00F470A8">
      <w:pPr>
        <w:widowControl w:val="0"/>
        <w:kinsoku w:val="0"/>
        <w:overflowPunct w:val="0"/>
        <w:autoSpaceDE w:val="0"/>
        <w:snapToGrid w:val="0"/>
        <w:spacing w:line="460" w:lineRule="exact"/>
        <w:ind w:leftChars="300" w:left="1040" w:hangingChars="100" w:hanging="320"/>
        <w:jc w:val="both"/>
        <w:textAlignment w:val="auto"/>
        <w:rPr>
          <w:rFonts w:ascii="標楷體" w:eastAsia="標楷體" w:hAnsi="標楷體"/>
          <w:kern w:val="2"/>
          <w:sz w:val="32"/>
          <w:szCs w:val="32"/>
        </w:rPr>
      </w:pPr>
      <w:r w:rsidRPr="0075375D">
        <w:rPr>
          <w:rFonts w:ascii="標楷體" w:eastAsia="標楷體" w:hAnsi="標楷體"/>
          <w:kern w:val="2"/>
          <w:sz w:val="32"/>
          <w:szCs w:val="32"/>
        </w:rPr>
        <w:t>4.</w:t>
      </w:r>
      <w:r w:rsidRPr="0075375D">
        <w:rPr>
          <w:rFonts w:ascii="標楷體" w:eastAsia="標楷體" w:hAnsi="標楷體" w:hint="eastAsia"/>
          <w:kern w:val="2"/>
          <w:sz w:val="32"/>
          <w:szCs w:val="32"/>
        </w:rPr>
        <w:t>查114年度中央銀行預算案於「營業費用」項下「管理費用」之「服務費用」編列6</w:t>
      </w:r>
      <w:r w:rsidRPr="0075375D">
        <w:rPr>
          <w:rFonts w:ascii="標楷體" w:eastAsia="標楷體" w:hAnsi="標楷體"/>
          <w:kern w:val="2"/>
          <w:sz w:val="32"/>
          <w:szCs w:val="32"/>
        </w:rPr>
        <w:t>,</w:t>
      </w:r>
      <w:r w:rsidRPr="0075375D">
        <w:rPr>
          <w:rFonts w:ascii="標楷體" w:eastAsia="標楷體" w:hAnsi="標楷體" w:hint="eastAsia"/>
          <w:kern w:val="2"/>
          <w:sz w:val="32"/>
          <w:szCs w:val="32"/>
        </w:rPr>
        <w:t>397萬1千元。惟按審計部於113年7月底公告之112年度中央政府總決算審核報告指出：「中央銀行為防範過多信用資產流向不動產市場，已多次採取選擇性信用管制措施，…部分建商購地貸款久未動工，承貸國營行庫未衡酌收回貸款額度或採取利率加碼等措施」等語。依據近3年查核臺灣銀行股份有限公司及臺灣土地銀行股份有限公司等國營銀行遵循中央銀行健全房地市場信用管制措施情形，除不動產貸款餘額仍呈逐年增加，至112年底合計近3兆元外，其中臺灣土地銀行股份有限公司承作購地貸款逾18個月仍未動工部分之餘額與占比亦持續增加，112年底餘額並較110年底增幅達16.20%；另抽查該2家國營銀行發現有部分購地貸款案件於初次核貸後遲未動工或動工期限之訂定有欠合理，存有養地疑慮。鑑此，請中央銀行於1個月內向立法院財政委員會提出書面報告。</w:t>
      </w:r>
    </w:p>
    <w:p w14:paraId="3F769ED3" w14:textId="617CEE25"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CC7A43">
        <w:rPr>
          <w:rFonts w:ascii="標楷體" w:eastAsia="標楷體" w:hAnsi="標楷體" w:hint="eastAsia"/>
          <w:kern w:val="0"/>
          <w:sz w:val="32"/>
          <w:szCs w:val="32"/>
        </w:rPr>
        <w:t>提案人：賴惠員</w:t>
      </w:r>
    </w:p>
    <w:p w14:paraId="44B7EB01" w14:textId="3D6B8F6C"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連署人：伍麗華　李坤城</w:t>
      </w:r>
    </w:p>
    <w:p w14:paraId="5EBF63D9" w14:textId="77777777" w:rsidR="009D64D0" w:rsidRPr="0075375D" w:rsidRDefault="009D64D0" w:rsidP="00F470A8">
      <w:pPr>
        <w:overflowPunct w:val="0"/>
        <w:autoSpaceDE w:val="0"/>
        <w:spacing w:line="460" w:lineRule="exact"/>
        <w:ind w:leftChars="300" w:left="1040" w:hangingChars="100" w:hanging="320"/>
        <w:jc w:val="both"/>
        <w:rPr>
          <w:rFonts w:ascii="標楷體" w:eastAsia="標楷體" w:hAnsi="標楷體"/>
          <w:kern w:val="2"/>
          <w:sz w:val="32"/>
          <w:szCs w:val="32"/>
        </w:rPr>
      </w:pPr>
      <w:r w:rsidRPr="0075375D">
        <w:rPr>
          <w:rFonts w:ascii="標楷體" w:eastAsia="標楷體" w:hAnsi="標楷體"/>
          <w:kern w:val="2"/>
          <w:sz w:val="32"/>
          <w:szCs w:val="32"/>
        </w:rPr>
        <w:t>5.</w:t>
      </w:r>
      <w:r w:rsidRPr="0075375D">
        <w:rPr>
          <w:rFonts w:ascii="標楷體" w:eastAsia="標楷體" w:hAnsi="標楷體" w:hint="eastAsia"/>
          <w:kern w:val="2"/>
          <w:sz w:val="32"/>
          <w:szCs w:val="32"/>
        </w:rPr>
        <w:t>查114年度中央銀行預算案於「營業費用」項下「管理費用」之「服務費用」編列6</w:t>
      </w:r>
      <w:r w:rsidRPr="0075375D">
        <w:rPr>
          <w:rFonts w:ascii="標楷體" w:eastAsia="標楷體" w:hAnsi="標楷體"/>
          <w:kern w:val="2"/>
          <w:sz w:val="32"/>
          <w:szCs w:val="32"/>
        </w:rPr>
        <w:t>,</w:t>
      </w:r>
      <w:r w:rsidRPr="0075375D">
        <w:rPr>
          <w:rFonts w:ascii="標楷體" w:eastAsia="標楷體" w:hAnsi="標楷體" w:hint="eastAsia"/>
          <w:kern w:val="2"/>
          <w:sz w:val="32"/>
          <w:szCs w:val="32"/>
        </w:rPr>
        <w:t>397萬1千元。惟按審計部於113年7月底公告之112年度中央政府總決算審核報告指出：「中央銀行為防範過多信用資產流向不動產市場，已多次採取選擇性信用管制措施，惟不動產貸款集中度仍較往年攀升…」等語。查中央銀行於109年底修正發布中央銀行對金融機構辦理不動產抵押貸款業務規定，並逐步推出調降各項住宅貸款成數上限、自然人實施特定地區第2戶購屋貸款成數限制等。截至112年底止，已執行五波管制措施，加大管控強度。據中央銀行公開網站資料統計，112年底全體銀行不動產貸款集中度為37.29%，不僅較111年底之36.83%，增加0.46個百分點，並為109年12月實施管制措施以來最高，顯示銀行信用資源仍有過度流向不動產市場之虞。鑑此，請中央銀行於1個月內就降低不動產貸款集中度之具體方法及期程向立法院財政委員會提出書面報告。</w:t>
      </w:r>
    </w:p>
    <w:p w14:paraId="6F66578B" w14:textId="63BC0778"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提案人：賴惠員</w:t>
      </w:r>
    </w:p>
    <w:p w14:paraId="443955EC" w14:textId="7E78FFAB" w:rsidR="009D64D0" w:rsidRPr="00CC7A43" w:rsidRDefault="00027C3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CC7A43">
        <w:rPr>
          <w:rFonts w:ascii="標楷體" w:eastAsia="標楷體" w:hAnsi="標楷體" w:hint="eastAsia"/>
          <w:kern w:val="0"/>
          <w:sz w:val="32"/>
          <w:szCs w:val="32"/>
        </w:rPr>
        <w:t>連署人：伍麗華　李坤城</w:t>
      </w:r>
    </w:p>
    <w:p w14:paraId="66A22443" w14:textId="77777777" w:rsidR="009D64D0" w:rsidRPr="0075375D" w:rsidRDefault="009D64D0" w:rsidP="00F470A8">
      <w:pPr>
        <w:overflowPunct w:val="0"/>
        <w:autoSpaceDE w:val="0"/>
        <w:spacing w:line="460" w:lineRule="exact"/>
        <w:ind w:leftChars="300" w:left="1040" w:hangingChars="100" w:hanging="320"/>
        <w:jc w:val="both"/>
        <w:rPr>
          <w:rFonts w:ascii="標楷體" w:eastAsia="標楷體" w:hAnsi="標楷體"/>
          <w:kern w:val="2"/>
          <w:sz w:val="32"/>
          <w:szCs w:val="32"/>
        </w:rPr>
      </w:pPr>
      <w:bookmarkStart w:id="137" w:name="_Hlk117591829"/>
      <w:r w:rsidRPr="0075375D">
        <w:rPr>
          <w:rFonts w:ascii="標楷體" w:eastAsia="標楷體" w:hAnsi="標楷體"/>
          <w:kern w:val="2"/>
          <w:sz w:val="32"/>
          <w:szCs w:val="32"/>
        </w:rPr>
        <w:t>6</w:t>
      </w:r>
      <w:r w:rsidRPr="0075375D">
        <w:rPr>
          <w:rFonts w:ascii="標楷體" w:eastAsia="標楷體" w:hAnsi="標楷體" w:hint="eastAsia"/>
          <w:kern w:val="2"/>
          <w:sz w:val="32"/>
          <w:szCs w:val="32"/>
        </w:rPr>
        <w:t>.</w:t>
      </w:r>
      <w:bookmarkEnd w:id="137"/>
      <w:r w:rsidRPr="0075375D">
        <w:rPr>
          <w:rFonts w:ascii="標楷體" w:eastAsia="標楷體" w:hAnsi="標楷體" w:hint="eastAsia"/>
          <w:kern w:val="2"/>
          <w:sz w:val="32"/>
          <w:szCs w:val="32"/>
        </w:rPr>
        <w:t>經查，目前國內金融狀況呈現資金流出現象，自109年度490億7,400萬美元遽增至110年度1,063億4,900萬美元，顯見我國雖出口強勁，帶動經濟發展，但金融機構及國人投資策略於國內為維持經濟發展之低利率環境，尋求更高收益而轉向國際市場，現階段金融環境面臨臺海、中東地區衝突等地緣政治風險，又美國大選後國際金融有眾多不確定因素，且部分國家貨幣政策調整影響等因素，不穩定性升高，為避免鉅額資金匯出匯入衝擊匯市，爰請中央銀行針對國際金融動態及跨境資金移動為題，於2個月內向立法院財政委員會提出書面報告。</w:t>
      </w:r>
    </w:p>
    <w:p w14:paraId="7555FCE5" w14:textId="03BD5575"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顏寬恒　賴士葆　王鴻薇</w:t>
      </w:r>
    </w:p>
    <w:p w14:paraId="7ED3E63B" w14:textId="77777777" w:rsidR="009D64D0" w:rsidRPr="0075375D" w:rsidRDefault="009D64D0" w:rsidP="00F470A8">
      <w:pPr>
        <w:overflowPunct w:val="0"/>
        <w:autoSpaceDE w:val="0"/>
        <w:spacing w:line="460" w:lineRule="exact"/>
        <w:ind w:leftChars="300" w:left="1040" w:hangingChars="100" w:hanging="320"/>
        <w:jc w:val="both"/>
        <w:rPr>
          <w:rFonts w:ascii="標楷體" w:eastAsia="標楷體" w:hAnsi="標楷體"/>
          <w:kern w:val="2"/>
          <w:sz w:val="32"/>
          <w:szCs w:val="32"/>
        </w:rPr>
      </w:pPr>
      <w:r w:rsidRPr="0075375D">
        <w:rPr>
          <w:rFonts w:ascii="標楷體" w:eastAsia="標楷體" w:hAnsi="標楷體"/>
          <w:kern w:val="2"/>
          <w:sz w:val="32"/>
          <w:szCs w:val="32"/>
        </w:rPr>
        <w:lastRenderedPageBreak/>
        <w:t>7</w:t>
      </w:r>
      <w:r w:rsidRPr="0075375D">
        <w:rPr>
          <w:rFonts w:ascii="標楷體" w:eastAsia="標楷體" w:hAnsi="標楷體" w:hint="eastAsia"/>
          <w:kern w:val="2"/>
          <w:sz w:val="32"/>
          <w:szCs w:val="32"/>
        </w:rPr>
        <w:t>.美國財政部每半年向美國國會提交外匯政策報告作為判斷不公平貿易之準據，倘若被列為匯率操縱國將被要求改善或採行懲罰措施，恐有礙貿易往來及匯率調節，不利產業深根發展，我國於113年11月持續被美國列為匯率操縱國觀察名單，顯見中央銀行應更加精進匯率之握，又美國為我國第三大出口市場，被列為匯率操縱國貿易合作及經濟發展將受到極大影響，國內各產業也恐崩盤，為保障各產業及國內金融之穩定，爰請中央銀行針對匯率調節信用，鞏固幣信，外匯調度為題，於2個月內向立法院財政委員會提出書面報告。</w:t>
      </w:r>
    </w:p>
    <w:p w14:paraId="22346E2E" w14:textId="7ADC7681"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顏寬恒　賴士葆　王鴻薇</w:t>
      </w:r>
    </w:p>
    <w:p w14:paraId="5073A138" w14:textId="77777777" w:rsidR="009D64D0" w:rsidRPr="0075375D" w:rsidRDefault="009D64D0" w:rsidP="00F470A8">
      <w:pPr>
        <w:overflowPunct w:val="0"/>
        <w:autoSpaceDE w:val="0"/>
        <w:spacing w:line="460" w:lineRule="exact"/>
        <w:ind w:leftChars="300" w:left="1040" w:hangingChars="100" w:hanging="320"/>
        <w:jc w:val="both"/>
        <w:rPr>
          <w:rFonts w:ascii="標楷體" w:eastAsia="標楷體" w:hAnsi="標楷體"/>
          <w:kern w:val="2"/>
          <w:sz w:val="32"/>
          <w:szCs w:val="32"/>
        </w:rPr>
      </w:pPr>
      <w:r w:rsidRPr="0075375D">
        <w:rPr>
          <w:rFonts w:ascii="標楷體" w:eastAsia="標楷體" w:hAnsi="標楷體"/>
          <w:kern w:val="2"/>
          <w:sz w:val="32"/>
          <w:szCs w:val="32"/>
        </w:rPr>
        <w:t>8.</w:t>
      </w:r>
      <w:r w:rsidRPr="0075375D">
        <w:rPr>
          <w:rFonts w:ascii="標楷體" w:eastAsia="標楷體" w:hAnsi="標楷體" w:hint="eastAsia"/>
          <w:kern w:val="2"/>
          <w:sz w:val="32"/>
          <w:szCs w:val="32"/>
        </w:rPr>
        <w:t>美國財政部每半年向國會提交外匯政策報告作為判斷不公平貿易之準據，列為匯率操縱國將被要求改善或採行懲罰措施，恐有礙貿易往來及匯率調節，不利產業深根發展，我國於113年6月持續被美國列為匯率操縱國觀察名單，雖非操縱國，惟美國係我國第三大出口市場，貿易合作攸關經濟發展，且美國為台灣最堅實之民主陣營夥伴，為鞏固產業競爭優勢，並與美國維持良好關係與良性溝通，爰請中央銀行於3個月內針對如何避免再次被列為美國匯率操縱國觀察名單之議題，向立法院財政委員會提出書面報告</w:t>
      </w:r>
      <w:r w:rsidRPr="0075375D">
        <w:rPr>
          <w:rFonts w:ascii="標楷體" w:eastAsia="標楷體" w:hAnsi="標楷體"/>
          <w:kern w:val="2"/>
          <w:sz w:val="32"/>
          <w:szCs w:val="32"/>
        </w:rPr>
        <w:t>。</w:t>
      </w:r>
    </w:p>
    <w:p w14:paraId="7EFCB842" w14:textId="2038489A"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李坤城　賴惠員　伍麗華</w:t>
      </w:r>
    </w:p>
    <w:p w14:paraId="4035B0CA" w14:textId="77777777" w:rsidR="009D64D0" w:rsidRPr="0075375D" w:rsidRDefault="009D64D0" w:rsidP="00F470A8">
      <w:pPr>
        <w:overflowPunct w:val="0"/>
        <w:autoSpaceDE w:val="0"/>
        <w:spacing w:line="460" w:lineRule="exact"/>
        <w:ind w:leftChars="300" w:left="1040" w:hangingChars="100" w:hanging="320"/>
        <w:jc w:val="both"/>
        <w:rPr>
          <w:rFonts w:ascii="標楷體" w:eastAsia="標楷體" w:hAnsi="標楷體"/>
          <w:kern w:val="2"/>
          <w:sz w:val="32"/>
          <w:szCs w:val="32"/>
        </w:rPr>
      </w:pPr>
      <w:r w:rsidRPr="0075375D">
        <w:rPr>
          <w:rFonts w:ascii="標楷體" w:eastAsia="標楷體" w:hAnsi="標楷體"/>
          <w:kern w:val="2"/>
          <w:sz w:val="32"/>
          <w:szCs w:val="32"/>
        </w:rPr>
        <w:t>9</w:t>
      </w:r>
      <w:r w:rsidRPr="0075375D">
        <w:rPr>
          <w:rFonts w:ascii="標楷體" w:eastAsia="標楷體" w:hAnsi="標楷體" w:hint="eastAsia"/>
          <w:kern w:val="2"/>
          <w:sz w:val="32"/>
          <w:szCs w:val="32"/>
        </w:rPr>
        <w:t>.據美國財政部最新公布半年度匯率政策報告(檢視期間為2023年下半年至2024年上半年)，未將任何貿易對手國列為匯率操縱國，惟將中國大陸、德國、新加坡、越南、日本及台灣續列為觀察名單，另新增南韓為觀察名單。匯率政策報告指出，台灣對美國商品及服務貿易順差達570億美元、台灣經常帳順差對GDP比率為14.7%、我國中央銀行淨賣匯約110億美元(GDP之負1.4%)。因台灣僅觸及前兩項美方檢視標準，爰被續列為觀察名單。惟考量美國選後政治變局及政策變化，中央銀行允宜更加審慎應對。爰請中央銀行於1個月內就中央銀行貨幣政策可能面臨之外部風險挑戰及後續影響向立法院財政委員會提出書面報告。</w:t>
      </w:r>
    </w:p>
    <w:p w14:paraId="66CC161D" w14:textId="78CDC547"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黃珊珊　賴惠員　陳玉珍</w:t>
      </w:r>
    </w:p>
    <w:p w14:paraId="3E79437B" w14:textId="77777777" w:rsidR="009D64D0" w:rsidRPr="0075375D" w:rsidRDefault="009D64D0" w:rsidP="00F470A8">
      <w:pPr>
        <w:overflowPunct w:val="0"/>
        <w:autoSpaceDE w:val="0"/>
        <w:spacing w:line="460" w:lineRule="exact"/>
        <w:ind w:leftChars="300" w:left="1200" w:hangingChars="150" w:hanging="480"/>
        <w:jc w:val="both"/>
        <w:rPr>
          <w:rFonts w:ascii="標楷體" w:eastAsia="標楷體" w:hAnsi="標楷體"/>
          <w:kern w:val="2"/>
          <w:sz w:val="32"/>
          <w:szCs w:val="32"/>
        </w:rPr>
      </w:pPr>
      <w:r w:rsidRPr="0075375D">
        <w:rPr>
          <w:rFonts w:ascii="標楷體" w:eastAsia="標楷體" w:hAnsi="標楷體" w:hint="eastAsia"/>
          <w:kern w:val="2"/>
          <w:sz w:val="32"/>
          <w:szCs w:val="32"/>
        </w:rPr>
        <w:t>1</w:t>
      </w:r>
      <w:r w:rsidRPr="0075375D">
        <w:rPr>
          <w:rFonts w:ascii="標楷體" w:eastAsia="標楷體" w:hAnsi="標楷體"/>
          <w:kern w:val="2"/>
          <w:sz w:val="32"/>
          <w:szCs w:val="32"/>
        </w:rPr>
        <w:t>0</w:t>
      </w:r>
      <w:r w:rsidRPr="0075375D">
        <w:rPr>
          <w:rFonts w:ascii="標楷體" w:eastAsia="標楷體" w:hAnsi="標楷體" w:hint="eastAsia"/>
          <w:kern w:val="2"/>
          <w:sz w:val="32"/>
          <w:szCs w:val="32"/>
        </w:rPr>
        <w:t>.鑑於美國公債因公共債務攀升、赤字常居高不下，近年美國政府常面臨觸及舉債上限或政府關門等窘境，加以美國前為抑制通貨膨脹採取緊縮政策，美元指數走升，為使外匯準備多元化降低美元影響性、調節匯率及獲利考量，據美國財政部公布之美國國際資本流動報告(TIC)顯示，日本及中國大陸2024年以來持續減持美國公債75億美元及417億美元，惟仍為前二大主要持有國，後續拋售行為將影響價格下跌、流動性及該國匯率，容須密切留意。中央銀行表示外匯存底以持有安全性佳及流動性高之美國公債為主，多持有至到期；113年8月底外幣債券包括收取孳息等以歐美等先進國家高信用評等政府公債為主之債券17兆3,872億6,900萬2千元及以交易為目的美國公債3億1,242萬4千元，合共17兆3,875億8,142萬6千元。中央銀行外幣資產包括含美國公債在內之先進國家債券，其數額及價格波動代表變現價值，攸關匯率調節及緊急危機應變能力。又美國貨幣政策影響美元走勢，現已進入降息循環，調整幅度仍待觀察，爰中央銀行允宜密切留意適時調節，俾維護幣值穩定並協助經濟發展，針對相關問題於3個月內向立法院財政委員會提出檢討報告。</w:t>
      </w:r>
    </w:p>
    <w:p w14:paraId="4D1EA391" w14:textId="005562B9"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提案人：李坤城　賴惠員　伍麗華　吳秉叡</w:t>
      </w:r>
    </w:p>
    <w:p w14:paraId="2B75E25F" w14:textId="77777777" w:rsidR="009D64D0" w:rsidRPr="0075375D" w:rsidRDefault="009D64D0" w:rsidP="00F470A8">
      <w:pPr>
        <w:overflowPunct w:val="0"/>
        <w:autoSpaceDE w:val="0"/>
        <w:spacing w:line="460" w:lineRule="exact"/>
        <w:ind w:leftChars="300" w:left="1200" w:hangingChars="150" w:hanging="480"/>
        <w:jc w:val="both"/>
        <w:rPr>
          <w:rFonts w:ascii="標楷體" w:eastAsia="標楷體" w:hAnsi="標楷體"/>
          <w:kern w:val="2"/>
          <w:sz w:val="32"/>
          <w:szCs w:val="32"/>
        </w:rPr>
      </w:pPr>
      <w:r w:rsidRPr="0075375D">
        <w:rPr>
          <w:rFonts w:ascii="標楷體" w:eastAsia="標楷體" w:hAnsi="標楷體" w:hint="eastAsia"/>
          <w:kern w:val="2"/>
          <w:sz w:val="32"/>
          <w:szCs w:val="32"/>
        </w:rPr>
        <w:t>1</w:t>
      </w:r>
      <w:r w:rsidRPr="0075375D">
        <w:rPr>
          <w:rFonts w:ascii="標楷體" w:eastAsia="標楷體" w:hAnsi="標楷體"/>
          <w:kern w:val="2"/>
          <w:sz w:val="32"/>
          <w:szCs w:val="32"/>
        </w:rPr>
        <w:t>1</w:t>
      </w:r>
      <w:r w:rsidRPr="0075375D">
        <w:rPr>
          <w:rFonts w:ascii="標楷體" w:eastAsia="標楷體" w:hAnsi="標楷體" w:hint="eastAsia"/>
          <w:kern w:val="2"/>
          <w:sz w:val="32"/>
          <w:szCs w:val="32"/>
        </w:rPr>
        <w:t>.中央銀行外幣資產包括含美國公債在內之先進國家債券，其數額及價格波動代表變現價值，其價值攸關匯率調節及緊急危機應變能力。由於日本與中國大陸2024年以來持續減少持有美國公債，此2國又為前二大主要持有國，仍具相當影響力，新任美國總統川普之國際金融政策恐有大幅度之改變，爰請中央銀行以針對未來國際情勢中央銀行外幣資產-美國國債之增減為題，於2個月內向立法院財政委員會提出書面報告。</w:t>
      </w:r>
    </w:p>
    <w:p w14:paraId="647A112E" w14:textId="3DBCC766"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顏寬恒　賴士葆　王鴻薇</w:t>
      </w:r>
    </w:p>
    <w:p w14:paraId="39F1F42B" w14:textId="77777777" w:rsidR="009D64D0" w:rsidRPr="0075375D"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75375D">
        <w:rPr>
          <w:rFonts w:ascii="標楷體" w:eastAsia="標楷體" w:hAnsi="標楷體" w:hint="eastAsia"/>
          <w:kern w:val="2"/>
          <w:sz w:val="32"/>
          <w:szCs w:val="32"/>
        </w:rPr>
        <w:t>1</w:t>
      </w:r>
      <w:r w:rsidRPr="0075375D">
        <w:rPr>
          <w:rFonts w:ascii="標楷體" w:eastAsia="標楷體" w:hAnsi="標楷體"/>
          <w:kern w:val="2"/>
          <w:sz w:val="32"/>
          <w:szCs w:val="32"/>
        </w:rPr>
        <w:t>2</w:t>
      </w:r>
      <w:r w:rsidRPr="0075375D">
        <w:rPr>
          <w:rFonts w:ascii="標楷體" w:eastAsia="標楷體" w:hAnsi="標楷體" w:hint="eastAsia"/>
          <w:kern w:val="2"/>
          <w:sz w:val="32"/>
          <w:szCs w:val="32"/>
        </w:rPr>
        <w:t>.中央銀行為有效管理龐大外匯資產，將部分外匯資產委託金融機構投資，114年金額約140億美元，雖僅占外匯資產約</w:t>
      </w:r>
      <w:r w:rsidRPr="0075375D">
        <w:rPr>
          <w:rFonts w:ascii="標楷體" w:eastAsia="標楷體" w:hAnsi="標楷體" w:hint="eastAsia"/>
          <w:kern w:val="2"/>
          <w:sz w:val="32"/>
          <w:szCs w:val="32"/>
        </w:rPr>
        <w:lastRenderedPageBreak/>
        <w:t>2.7%，然而105至112年8年間績效只有3年達到目標，而且只有2年比自營操作好。若中央銀行評估因業務之需要，確有委外之需求，亦應慎選受託機構，督促其提升績效，並參酌績效增減委託金額，以有效管理外匯資產。爰要求中央銀行於1個月內向立法院財政委員會提出如何精進委外操作檢討報告。</w:t>
      </w:r>
    </w:p>
    <w:p w14:paraId="1230E306" w14:textId="5664B491"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提案人：郭國文</w:t>
      </w:r>
    </w:p>
    <w:p w14:paraId="78822901" w14:textId="3F50BDD6"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連署人：賴惠員　伍麗華　吳秉叡</w:t>
      </w:r>
    </w:p>
    <w:p w14:paraId="346C04AC"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t>1</w:t>
      </w:r>
      <w:r w:rsidRPr="00C71FE0">
        <w:rPr>
          <w:rFonts w:ascii="標楷體" w:eastAsia="標楷體" w:hAnsi="標楷體"/>
          <w:kern w:val="2"/>
          <w:sz w:val="32"/>
          <w:szCs w:val="32"/>
        </w:rPr>
        <w:t>3</w:t>
      </w:r>
      <w:r w:rsidRPr="00C71FE0">
        <w:rPr>
          <w:rFonts w:ascii="標楷體" w:eastAsia="標楷體" w:hAnsi="標楷體" w:hint="eastAsia"/>
          <w:kern w:val="2"/>
          <w:sz w:val="32"/>
          <w:szCs w:val="32"/>
        </w:rPr>
        <w:t>.因美中貿易戰供應鏈重組促使臺商資金回流及半導體投資帶動經濟發展、股市熱絡，加以我國利率相對不高，以及新青安貸款政策降低購屋門檻，致房價價格急劇上漲，形成預期心理，衍生房貸增加，政府亦加大補貼之現象。為遏止炒作或不合理價量猖獗，健全房市並使房價合理化，為配合行政院健全房地產市場方案，中央銀行推出審慎措施，實施選擇性信用管制，並於113年9月祭出第七波選擇性信用管制，打擊投機炒作房市行為，增加開槓桿交易成本。為促進房地產市場之健全，爰請中央銀行於1個月內就歷次選擇性信用管制措施成效及檢視指標向立法院財政委員會提出書面報告。</w:t>
      </w:r>
    </w:p>
    <w:p w14:paraId="2EFC1752" w14:textId="0825E8A5"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提案人：黃珊珊　賴惠員　陳玉珍</w:t>
      </w:r>
    </w:p>
    <w:p w14:paraId="181780A7"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t>1</w:t>
      </w:r>
      <w:r w:rsidRPr="00C71FE0">
        <w:rPr>
          <w:rFonts w:ascii="標楷體" w:eastAsia="標楷體" w:hAnsi="標楷體"/>
          <w:kern w:val="2"/>
          <w:sz w:val="32"/>
          <w:szCs w:val="32"/>
        </w:rPr>
        <w:t>4</w:t>
      </w:r>
      <w:r w:rsidRPr="00C71FE0">
        <w:rPr>
          <w:rFonts w:ascii="標楷體" w:eastAsia="標楷體" w:hAnsi="標楷體" w:hint="eastAsia"/>
          <w:kern w:val="2"/>
          <w:sz w:val="32"/>
          <w:szCs w:val="32"/>
        </w:rPr>
        <w:t>.中央銀行於113年度實施選擇性信用管制措施以來，因受新青安政策影響，不動產貸款集中度問題，113年度至8月底購置住宅貸款餘額急速增加，多數銀行建築放款趨近法定及內部警戒上限，引發民眾恐慌，爰請中央銀行針對銀行建築放款趨近法定及內部警戒上限為題，於2個月內向立法院財政委員會提出書面報告。</w:t>
      </w:r>
    </w:p>
    <w:p w14:paraId="58AF54AB" w14:textId="428FDFFF"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提案人：顏寬恒　賴士葆　王鴻薇</w:t>
      </w:r>
    </w:p>
    <w:p w14:paraId="59500155"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t>1</w:t>
      </w:r>
      <w:r w:rsidRPr="00C71FE0">
        <w:rPr>
          <w:rFonts w:ascii="標楷體" w:eastAsia="標楷體" w:hAnsi="標楷體"/>
          <w:kern w:val="2"/>
          <w:sz w:val="32"/>
          <w:szCs w:val="32"/>
        </w:rPr>
        <w:t>5</w:t>
      </w:r>
      <w:r w:rsidRPr="00C71FE0">
        <w:rPr>
          <w:rFonts w:ascii="標楷體" w:eastAsia="標楷體" w:hAnsi="標楷體" w:hint="eastAsia"/>
          <w:kern w:val="2"/>
          <w:sz w:val="32"/>
          <w:szCs w:val="32"/>
        </w:rPr>
        <w:t>.近期受房市熱和新青安政策影響，常有民眾反映在銀行無法申請到房屋貸款，中央銀行113年9月19日祭出史上最嚴的第七波房市管制措施，但不動產貸款集中度問題猶存，113年度至8月底購置住宅貸款餘額急速增加，多數銀行建築放款趨近法定及內部警戒上限，爰請中央銀行檢討選擇性信用管</w:t>
      </w:r>
      <w:r w:rsidRPr="00C71FE0">
        <w:rPr>
          <w:rFonts w:ascii="標楷體" w:eastAsia="標楷體" w:hAnsi="標楷體" w:hint="eastAsia"/>
          <w:kern w:val="2"/>
          <w:sz w:val="32"/>
          <w:szCs w:val="32"/>
        </w:rPr>
        <w:lastRenderedPageBreak/>
        <w:t>制措施的使用時機，並針對相關問題，於3個月內向立法院財政委員會提出檢討報告。</w:t>
      </w:r>
    </w:p>
    <w:p w14:paraId="6D4FF238" w14:textId="61980360"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提案人：李坤城　賴惠員　伍麗華　吳秉叡</w:t>
      </w:r>
    </w:p>
    <w:p w14:paraId="2F0C2E1A"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t>1</w:t>
      </w:r>
      <w:r w:rsidRPr="00C71FE0">
        <w:rPr>
          <w:rFonts w:ascii="標楷體" w:eastAsia="標楷體" w:hAnsi="標楷體"/>
          <w:kern w:val="2"/>
          <w:sz w:val="32"/>
          <w:szCs w:val="32"/>
        </w:rPr>
        <w:t>6.</w:t>
      </w:r>
      <w:r w:rsidRPr="00C71FE0">
        <w:rPr>
          <w:rFonts w:ascii="標楷體" w:eastAsia="標楷體" w:hAnsi="標楷體" w:hint="eastAsia"/>
          <w:kern w:val="2"/>
          <w:sz w:val="32"/>
          <w:szCs w:val="32"/>
        </w:rPr>
        <w:t>早自110年9月起，中央銀行第四波選擇性信用管制即規定各銀行對於購地貸款須讓建商切結一定期間內(18個月)動工興建，但據審計部抽查結果顯示，臺灣銀行股份有限公司及臺灣土地銀行股份有限公司並未完全遵循中央銀行健全房地市場信用管制；除2家銀行近3年不動產貸款餘額達2兆9,625億餘元未見趨緩外，臺灣土地銀行股份有限公司承作購地貸款逾18個月仍未動工部分之餘額與占比更是持續增加，112年底餘額並較110年底增幅達16.20</w:t>
      </w:r>
      <w:r w:rsidRPr="00C71FE0">
        <w:rPr>
          <w:rFonts w:ascii="標楷體" w:eastAsia="標楷體" w:hAnsi="標楷體"/>
          <w:kern w:val="2"/>
          <w:sz w:val="32"/>
          <w:szCs w:val="32"/>
        </w:rPr>
        <w:t>%</w:t>
      </w:r>
      <w:r w:rsidRPr="00C71FE0">
        <w:rPr>
          <w:rFonts w:ascii="標楷體" w:eastAsia="標楷體" w:hAnsi="標楷體" w:hint="eastAsia"/>
          <w:kern w:val="2"/>
          <w:sz w:val="32"/>
          <w:szCs w:val="32"/>
        </w:rPr>
        <w:t>；其餘國銀若經抽查亦可能有類此情事。鑑此，請中央銀行針對如何使各銀行確實遵循信用管制，並研議提高依中央銀行法第38條金融檢查之頻率為題，於1個月內向立法院財政委員會提出書面報告</w:t>
      </w:r>
      <w:r w:rsidRPr="00C71FE0">
        <w:rPr>
          <w:rFonts w:ascii="標楷體" w:eastAsia="標楷體" w:hAnsi="標楷體"/>
          <w:kern w:val="2"/>
          <w:sz w:val="32"/>
          <w:szCs w:val="32"/>
        </w:rPr>
        <w:t>。</w:t>
      </w:r>
    </w:p>
    <w:p w14:paraId="01517AAF" w14:textId="7686C9DA"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王世堅</w:t>
      </w:r>
    </w:p>
    <w:p w14:paraId="2DDC39E2" w14:textId="260242AD"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連署人：李坤城　郭國文</w:t>
      </w:r>
    </w:p>
    <w:p w14:paraId="74A55051"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t>1</w:t>
      </w:r>
      <w:r w:rsidRPr="00C71FE0">
        <w:rPr>
          <w:rFonts w:ascii="標楷體" w:eastAsia="標楷體" w:hAnsi="標楷體"/>
          <w:kern w:val="2"/>
          <w:sz w:val="32"/>
          <w:szCs w:val="32"/>
        </w:rPr>
        <w:t>7.</w:t>
      </w:r>
      <w:r w:rsidRPr="00C71FE0">
        <w:rPr>
          <w:rFonts w:ascii="標楷體" w:eastAsia="標楷體" w:hAnsi="標楷體" w:hint="eastAsia"/>
          <w:kern w:val="2"/>
          <w:sz w:val="32"/>
          <w:szCs w:val="32"/>
        </w:rPr>
        <w:t>因美中貿易戰供應鏈重組促使臺商資金回流及半導體投資帶動經濟發展、股市熱絡，加以我國利率相對不高，以及新青安貸款政策降低購屋門檻，致房價價格急劇上漲，形成預期心理，衍生房貸增加，政府亦加大補貼之現象。為遏止炒作或不合理價量猖獗，健全房市並使房價合理化，為配合行政院健全房地產市場方案，中央銀行推出審慎措施，實施選擇性信用管制，並於113年9月祭出第七波選擇性信用管制，打擊投機炒作房市行為，增加開槓桿交易成本。惟查，似有銀行業者未配合中央銀行政策，嚴格落實放貸信用管制之貸前審查及貸後管理。爰請中央銀行於1個月內就與金融監督管理委員會進行不動產專案金檢之分工及近3年不動產專案金檢之次數、檢查狀況與後續處置向立法院財政委員會提出書面報告。</w:t>
      </w:r>
    </w:p>
    <w:p w14:paraId="05072821" w14:textId="72766941"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黃珊珊　賴惠員　陳玉珍</w:t>
      </w:r>
    </w:p>
    <w:p w14:paraId="7E9B3D0C"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lastRenderedPageBreak/>
        <w:t>1</w:t>
      </w:r>
      <w:r w:rsidRPr="00C71FE0">
        <w:rPr>
          <w:rFonts w:ascii="標楷體" w:eastAsia="標楷體" w:hAnsi="標楷體"/>
          <w:kern w:val="2"/>
          <w:sz w:val="32"/>
          <w:szCs w:val="32"/>
        </w:rPr>
        <w:t>8</w:t>
      </w:r>
      <w:r w:rsidRPr="00C71FE0">
        <w:rPr>
          <w:rFonts w:ascii="標楷體" w:eastAsia="標楷體" w:hAnsi="標楷體" w:hint="eastAsia"/>
          <w:kern w:val="2"/>
          <w:sz w:val="32"/>
          <w:szCs w:val="32"/>
        </w:rPr>
        <w:t>.為健全房市並使房價合理化，中央銀行自109年起至今實施七次選擇性信用管制，除遏止不動產炒作，並避免信用資源過度集中不動產，進而影響金融穩定。然而截至113年9月，全體銀行不動產放款集中度仍達37.38%，依然接近歷史高點，放款餘額高達14.3兆元。另根據金融監督管理委員會統計，截至113年9月商業銀行建築放款占總存款及金融債券比重達26.82%，若加計以行政命令排除之項目，更高達29.61%，接近銀行法第72條之二30%之上限。考量近年不動產狀態，未來2至3年將進入大量交屋階段，信用資源之運用更顯重要，加以近期住宅價格仍呈現上漲趨勢，尚未看到信用管制之效果，後續仍應密切注意，並積極應變。再者，除銀行業外，亦應注意融資公司等類金融公司以間接方式將信用資源流向不動產市場，抵銷信用管制措施之效果。請中央銀行就上述關切事項以及精進相關措施避免影響有自用住宅需求民眾，於1個月內向立法院財政委員會提出書面報告。</w:t>
      </w:r>
    </w:p>
    <w:p w14:paraId="2481E501" w14:textId="34E2C940"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提案人：郭國文</w:t>
      </w:r>
    </w:p>
    <w:p w14:paraId="263B23B8" w14:textId="5D98DD8F"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連署人：賴惠員　伍麗華　吳秉叡</w:t>
      </w:r>
    </w:p>
    <w:p w14:paraId="45D600D7"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kern w:val="2"/>
          <w:sz w:val="32"/>
          <w:szCs w:val="32"/>
        </w:rPr>
        <w:t>19</w:t>
      </w:r>
      <w:r w:rsidRPr="00C71FE0">
        <w:rPr>
          <w:rFonts w:ascii="標楷體" w:eastAsia="標楷體" w:hAnsi="標楷體" w:hint="eastAsia"/>
          <w:kern w:val="2"/>
          <w:sz w:val="32"/>
          <w:szCs w:val="32"/>
        </w:rPr>
        <w:t>.查中央銀行為抑制炒房行為，於113年9月推出第七波選擇性信用管制，包含規範自然人名下有房屋者之第1戶購屋貸款不得有寬限期、自然人第2戶購屋貸款最高成數由六成降為五成，並擴大實施地區至全國等。惟該方案公布之初，各界即反應此案恐將錯殺無辜，傷及繼承、換屋者，亦接獲許多民眾陳情，雖中央銀行於隔月推出豁免條款，針對繼承、換屋者排除適用，然打房相關政策施行應更加謹慎，避免造成市場混亂。爰此，建請中央銀行未來推出相關政策，應加強評估作業，與各相關單位溝通協調，並於2個月內向立法院財政委員會提出書面報告。</w:t>
      </w:r>
    </w:p>
    <w:p w14:paraId="3DEB1E62" w14:textId="1F2B13B6"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王鴻薇</w:t>
      </w:r>
    </w:p>
    <w:p w14:paraId="7FF96D1D" w14:textId="5CF179C7" w:rsidR="009D64D0" w:rsidRPr="005E04ED" w:rsidRDefault="0041085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連署人：顏寬恒　陳玉珍</w:t>
      </w:r>
    </w:p>
    <w:p w14:paraId="1EDBF7BC"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t>2</w:t>
      </w:r>
      <w:r w:rsidRPr="00C71FE0">
        <w:rPr>
          <w:rFonts w:ascii="標楷體" w:eastAsia="標楷體" w:hAnsi="標楷體"/>
          <w:kern w:val="2"/>
          <w:sz w:val="32"/>
          <w:szCs w:val="32"/>
        </w:rPr>
        <w:t>0</w:t>
      </w:r>
      <w:r w:rsidRPr="00C71FE0">
        <w:rPr>
          <w:rFonts w:ascii="標楷體" w:eastAsia="標楷體" w:hAnsi="標楷體" w:hint="eastAsia"/>
          <w:kern w:val="2"/>
          <w:sz w:val="32"/>
          <w:szCs w:val="32"/>
        </w:rPr>
        <w:t>.為因應數位經濟發展衍生之多元支付需求，建構安全、效率之支付生態體系，全球中央銀行有94%投入數位貨幣研發工</w:t>
      </w:r>
      <w:r w:rsidRPr="00C71FE0">
        <w:rPr>
          <w:rFonts w:ascii="標楷體" w:eastAsia="標楷體" w:hAnsi="標楷體" w:hint="eastAsia"/>
          <w:kern w:val="2"/>
          <w:sz w:val="32"/>
          <w:szCs w:val="32"/>
        </w:rPr>
        <w:lastRenderedPageBreak/>
        <w:t>作，法國、日本、南韓、墨西哥、瑞士、英國及美國等7國中央銀行參加國際清算銀行跨境結算實驗計畫。又據中央銀行報告指出，我國中央銀行數位貨幣（CBDC）已完成研究測試，進入與大眾溝通的階段，並開始探索代幣化技術的可能應用，特別是針對特殊目的代幣。此類特殊目的智慧代幣，能讓企業及使用者自行設定代幣的轉移及使用條件，可應用於多元場域，包括押標金、保證金等不同用途，為未來金融創新提供廣泛的潛力。然而，CBDC的落實及特殊目的代幣的推廣仍面臨諸多挑戰。在資安層面，如何防範潛在的駭客攻擊及洗錢活動，確保數位貨幣的安全性，是未來推行的首要任務。此外，數位貨幣的運行將涉及大規模的個人資料收集與處理，因此需要更嚴格的個人資料保護機制，避免資訊外洩或濫用問題。同時，現行法規仍需適應數位貨幣的特性，法規調適與修訂工作刻不容緩，以因應未來多元的應用場景。為確保CBDC及代幣化技術之開發應用不落於國際，中央銀行應加速研究步伐，積極與民眾溝通其應用價值與未來潛力。爰請中央銀行於1個月內就每半年之CBDC發展與推動進展報告之計畫向立法院財政委員會提出書面報告。</w:t>
      </w:r>
    </w:p>
    <w:p w14:paraId="77BBA70F" w14:textId="3A451040"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黃珊珊　賴惠員　陳玉珍</w:t>
      </w:r>
    </w:p>
    <w:p w14:paraId="7504DA64" w14:textId="77777777" w:rsidR="009D64D0" w:rsidRPr="00C71FE0"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C71FE0">
        <w:rPr>
          <w:rFonts w:ascii="標楷體" w:eastAsia="標楷體" w:hAnsi="標楷體" w:hint="eastAsia"/>
          <w:kern w:val="2"/>
          <w:sz w:val="32"/>
          <w:szCs w:val="32"/>
        </w:rPr>
        <w:t>2</w:t>
      </w:r>
      <w:r w:rsidRPr="00C71FE0">
        <w:rPr>
          <w:rFonts w:ascii="標楷體" w:eastAsia="標楷體" w:hAnsi="標楷體"/>
          <w:kern w:val="2"/>
          <w:sz w:val="32"/>
          <w:szCs w:val="32"/>
        </w:rPr>
        <w:t>1</w:t>
      </w:r>
      <w:r w:rsidRPr="00C71FE0">
        <w:rPr>
          <w:rFonts w:ascii="標楷體" w:eastAsia="標楷體" w:hAnsi="標楷體" w:hint="eastAsia"/>
          <w:kern w:val="2"/>
          <w:sz w:val="32"/>
          <w:szCs w:val="32"/>
        </w:rPr>
        <w:t>.為因應數位經濟發展衍生之多元支付需求，建構安全、效率之支付生態體系，中央銀行業已完成批發型及零售型中央銀行數位貨幣試驗，後續將與數位發展部合作發行數位券，然中央銀行規劃於發行數位券時所試用的零售型雛型平台未完全成熟，易面臨大規模使用導致技術故障、隱私、安全等多方面風險，且又未經充分測試，難以全面考量關鍵細節及實務應用之挑戰，故為汲取先進國家經驗及降低風險，爰要求中央銀行應掌握發展趨勢，研議以監理沙盒方式進行試驗，俾使試行作業暢順，於風險控制下加速數位貨幣發展進程，並於2個月內向立法院財政委員會提出書面報告</w:t>
      </w:r>
      <w:r w:rsidRPr="00C71FE0">
        <w:rPr>
          <w:rFonts w:ascii="標楷體" w:eastAsia="標楷體" w:hAnsi="標楷體"/>
          <w:kern w:val="2"/>
          <w:sz w:val="32"/>
          <w:szCs w:val="32"/>
        </w:rPr>
        <w:t>。</w:t>
      </w:r>
    </w:p>
    <w:p w14:paraId="563B168D" w14:textId="1D153E2F"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羅明才</w:t>
      </w:r>
    </w:p>
    <w:p w14:paraId="33DD128A" w14:textId="17E1CA02"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w:t>
      </w:r>
      <w:r w:rsidR="009D64D0" w:rsidRPr="005E04ED">
        <w:rPr>
          <w:rFonts w:ascii="標楷體" w:eastAsia="標楷體" w:hAnsi="標楷體"/>
          <w:kern w:val="0"/>
          <w:sz w:val="32"/>
          <w:szCs w:val="32"/>
        </w:rPr>
        <w:t>人：</w:t>
      </w:r>
      <w:r w:rsidR="009D64D0" w:rsidRPr="005E04ED">
        <w:rPr>
          <w:rFonts w:ascii="標楷體" w:eastAsia="標楷體" w:hAnsi="標楷體" w:hint="eastAsia"/>
          <w:kern w:val="0"/>
          <w:sz w:val="32"/>
          <w:szCs w:val="32"/>
        </w:rPr>
        <w:t>顏寬恒　陳玉珍</w:t>
      </w:r>
    </w:p>
    <w:p w14:paraId="431D0084"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lastRenderedPageBreak/>
        <w:t>2</w:t>
      </w:r>
      <w:r w:rsidRPr="00F94DF8">
        <w:rPr>
          <w:rFonts w:ascii="標楷體" w:eastAsia="標楷體" w:hAnsi="標楷體"/>
          <w:kern w:val="2"/>
          <w:sz w:val="32"/>
          <w:szCs w:val="32"/>
        </w:rPr>
        <w:t>2</w:t>
      </w:r>
      <w:r w:rsidRPr="00F94DF8">
        <w:rPr>
          <w:rFonts w:ascii="標楷體" w:eastAsia="標楷體" w:hAnsi="標楷體" w:hint="eastAsia"/>
          <w:kern w:val="2"/>
          <w:sz w:val="32"/>
          <w:szCs w:val="32"/>
        </w:rPr>
        <w:t>.113年11月美國聯準會（Fed）雖降息1碼，但決策者也對外表示會先把注意力轉回通膨風險上，並權衡降息的幅度、甚至不排除放慢降息步調；反觀我國113年前10月平均CPI年增率仍為2.19%，若113年全年CPI再高於2%，將是連續3年達通膨警戒。況且我國CPI也屢遭外界質疑因能源補貼政策，及租金指數因抽樣只看全國，沒有區分地區而失真，無法反映真實物價。鑑此，請中央銀行針對物價通膨程度與升息決策之考量為題，於1個月內向立法院財政委員會提出書面報告。</w:t>
      </w:r>
    </w:p>
    <w:p w14:paraId="4AA98D43" w14:textId="0D6E0F6D"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王世堅</w:t>
      </w:r>
    </w:p>
    <w:p w14:paraId="659D1DDA" w14:textId="4D717394"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連署人：李坤城　郭國文</w:t>
      </w:r>
    </w:p>
    <w:p w14:paraId="578F1E38"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t>2</w:t>
      </w:r>
      <w:r w:rsidRPr="00F94DF8">
        <w:rPr>
          <w:rFonts w:ascii="標楷體" w:eastAsia="標楷體" w:hAnsi="標楷體"/>
          <w:kern w:val="2"/>
          <w:sz w:val="32"/>
          <w:szCs w:val="32"/>
        </w:rPr>
        <w:t>3</w:t>
      </w:r>
      <w:r w:rsidRPr="00F94DF8">
        <w:rPr>
          <w:rFonts w:ascii="標楷體" w:eastAsia="標楷體" w:hAnsi="標楷體" w:hint="eastAsia"/>
          <w:kern w:val="2"/>
          <w:sz w:val="32"/>
          <w:szCs w:val="32"/>
        </w:rPr>
        <w:t>.依據中央銀行法第3條：「本行設總行於中央政府所在地，並得於國內設立分行及辦事處；必要時得於國外設立辦事處。分行及辦事處之設立、裁撤，須經理事會決議，報請行政院核准。」因此，中央銀行於海外設置倫敦、紐約二個辦事處，透過台北、倫敦及紐約三個營業場所，可24小時不間斷從事外匯交易、管理外匯資產，確保外匯資產安全及維持足夠流動性的前提下，致力於提高外匯資產的報酬率；此外，亦可加強與當地主管機關、金融同業的聯繫、搜集國際金融資訊，以及培訓本行國際金融人才。有鑑於日本、韓國、新加坡之中央銀行於海外重要市場設置多處分支機構，又經查我國中央銀行過去曾評估東京海外辦事處，爰請中央銀行於1個月內就設置海外辦事處之成效評析及拓點需求評估向立法院財政委員會提出書面報告。</w:t>
      </w:r>
    </w:p>
    <w:p w14:paraId="28872502" w14:textId="0F4894A5"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黃珊珊　賴惠員　陳玉珍</w:t>
      </w:r>
    </w:p>
    <w:p w14:paraId="63A38F52"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t>2</w:t>
      </w:r>
      <w:r w:rsidRPr="00F94DF8">
        <w:rPr>
          <w:rFonts w:ascii="標楷體" w:eastAsia="標楷體" w:hAnsi="標楷體"/>
          <w:kern w:val="2"/>
          <w:sz w:val="32"/>
          <w:szCs w:val="32"/>
        </w:rPr>
        <w:t>4.</w:t>
      </w:r>
      <w:r w:rsidRPr="00F94DF8">
        <w:rPr>
          <w:rFonts w:ascii="標楷體" w:eastAsia="標楷體" w:hAnsi="標楷體" w:hint="eastAsia"/>
          <w:kern w:val="2"/>
          <w:sz w:val="32"/>
          <w:szCs w:val="32"/>
        </w:rPr>
        <w:t>隨著小額支付工具愈趨普及，消費者的支付習慣亦逐漸改變，拿到零錢大多直接存在家裡，導致市面上流通的硬幣減少，有需求的店家只好跑到銀行換錢，於是中央銀行被迫加碼鑄造更多硬幣，除了增加鑄幣成本，亦增加碳排放，危害地球。中央銀行自103年起推動硬幣再流通計畫回收利用，硬幣回收量逐年遞增，惟112年度新增硬幣發行量減幅趨</w:t>
      </w:r>
      <w:r w:rsidRPr="00F94DF8">
        <w:rPr>
          <w:rFonts w:ascii="標楷體" w:eastAsia="標楷體" w:hAnsi="標楷體" w:hint="eastAsia"/>
          <w:kern w:val="2"/>
          <w:sz w:val="32"/>
          <w:szCs w:val="32"/>
        </w:rPr>
        <w:lastRenderedPageBreak/>
        <w:t>緩，僅較111年度減少131萬枚，撙節成本效果降低。為降低發行費用及碳排放，爰要求中央銀行加強推動硬幣再流通計畫，鼓勵民眾回存零錢，並於2個月內向立法院財政委員會提出書面報告。</w:t>
      </w:r>
    </w:p>
    <w:p w14:paraId="14BE3594" w14:textId="2B2ABEF3"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羅明才</w:t>
      </w:r>
    </w:p>
    <w:p w14:paraId="601A1ABF" w14:textId="531B6A19"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w:t>
      </w:r>
      <w:r w:rsidR="009D64D0" w:rsidRPr="005E04ED">
        <w:rPr>
          <w:rFonts w:ascii="標楷體" w:eastAsia="標楷體" w:hAnsi="標楷體"/>
          <w:kern w:val="0"/>
          <w:sz w:val="32"/>
          <w:szCs w:val="32"/>
        </w:rPr>
        <w:t>人：</w:t>
      </w:r>
      <w:r w:rsidR="009D64D0" w:rsidRPr="005E04ED">
        <w:rPr>
          <w:rFonts w:ascii="標楷體" w:eastAsia="標楷體" w:hAnsi="標楷體" w:hint="eastAsia"/>
          <w:kern w:val="0"/>
          <w:sz w:val="32"/>
          <w:szCs w:val="32"/>
        </w:rPr>
        <w:t>顏寬恒　陳玉珍</w:t>
      </w:r>
    </w:p>
    <w:p w14:paraId="64810320"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t>2</w:t>
      </w:r>
      <w:r w:rsidRPr="00F94DF8">
        <w:rPr>
          <w:rFonts w:ascii="標楷體" w:eastAsia="標楷體" w:hAnsi="標楷體"/>
          <w:kern w:val="2"/>
          <w:sz w:val="32"/>
          <w:szCs w:val="32"/>
        </w:rPr>
        <w:t>5.</w:t>
      </w:r>
      <w:r w:rsidRPr="00F94DF8">
        <w:rPr>
          <w:rFonts w:ascii="標楷體" w:eastAsia="標楷體" w:hAnsi="標楷體" w:hint="eastAsia"/>
          <w:kern w:val="2"/>
          <w:sz w:val="32"/>
          <w:szCs w:val="32"/>
        </w:rPr>
        <w:t>有鑑於中央銀行針對鈔券印製、硬幣鑄造、護照印製之技術研發及相關設備採購維護、人才培育所費不貲；又查全球多國中央銀行之部分鈔券係委託歐美及中國大陸印鈔商印製，以節省成本，減少購置昂貴的印鈔設備，並確保使用最先進技術。舉例來說，據報載2012年日本財務省和獨立行政法人造幣局宣布從孟加拉獲得了鑄造5億枚硬幣的訂單；所羅門群島貨幣係由英國公司德納羅設計和印製。為促進增加中央銀行收益及活化利用資產，爰請中央銀行於1個月內就各國委託海外印製鈔票概況及海外拓展中央銀行受託印製鈔券、鑄造硬幣、印製護照之可行性及法制研析向立法院財政委員會提出書面報告。</w:t>
      </w:r>
    </w:p>
    <w:p w14:paraId="4461D87D" w14:textId="1F2C5430"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黃珊珊　賴惠員　陳玉珍</w:t>
      </w:r>
    </w:p>
    <w:p w14:paraId="78BB0288"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t>2</w:t>
      </w:r>
      <w:r w:rsidRPr="00F94DF8">
        <w:rPr>
          <w:rFonts w:ascii="標楷體" w:eastAsia="標楷體" w:hAnsi="標楷體"/>
          <w:kern w:val="2"/>
          <w:sz w:val="32"/>
          <w:szCs w:val="32"/>
        </w:rPr>
        <w:t>6.</w:t>
      </w:r>
      <w:r w:rsidRPr="00F94DF8">
        <w:rPr>
          <w:rFonts w:ascii="標楷體" w:eastAsia="標楷體" w:hAnsi="標楷體" w:hint="eastAsia"/>
          <w:kern w:val="2"/>
          <w:sz w:val="32"/>
          <w:szCs w:val="32"/>
        </w:rPr>
        <w:t>為提升鈔票防偽性，日本財務省公告於2024年7月3日正式發行日幣新鈔，面額為一萬日圓、五千日圓、一千日圓，同時引進全球首見之防偽線肖像全像攝影防偽技術。惟據日媒報導，縱使至少多前已宣布更換新版紙鈔，但日本財務省在2024年5月對產業團體進行調查後發現，大部分金融機構自動櫃員機、鐵路自動售票機、超商收銀機均完成更換設備，但投幣式停車場、餐飲店的自動販賣機等更換率僅有五成左右，飲料自動販賣機僅有三成可完成更新作業。主要原因係更換成本過高，加上僅有部分地方政府提供補助，因此部分商家趁此機會，改為僅接受電子支付，既不需更換新設備，有可省卻收現金找零之麻煩。由於伍拾圓、伍佰圓假鈔氾濫，商家時有傳出拒收狀況，因此多有論者建議應更換改版，提升防偽技術。然相關官方及民間設備更換之費用所費</w:t>
      </w:r>
      <w:r w:rsidRPr="00F94DF8">
        <w:rPr>
          <w:rFonts w:ascii="標楷體" w:eastAsia="標楷體" w:hAnsi="標楷體" w:hint="eastAsia"/>
          <w:kern w:val="2"/>
          <w:sz w:val="32"/>
          <w:szCs w:val="32"/>
        </w:rPr>
        <w:lastRenderedPageBreak/>
        <w:t>不貲，政策評估不可不慎，但仍需前瞻性思考，以便不時之需。爰請中央銀行於1個月內就為防免偽鈔幣之改版需求評估及借鑑日鈔改版對我國未來鈔券改版或推展數位貨幣之成本推估向立法院財政委員會提出書面報告。</w:t>
      </w:r>
    </w:p>
    <w:p w14:paraId="395D146B" w14:textId="3455335B"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kern w:val="0"/>
          <w:sz w:val="32"/>
          <w:szCs w:val="32"/>
        </w:rPr>
        <w:t>提案人：</w:t>
      </w:r>
      <w:r w:rsidR="009D64D0" w:rsidRPr="005E04ED">
        <w:rPr>
          <w:rFonts w:ascii="標楷體" w:eastAsia="標楷體" w:hAnsi="標楷體" w:hint="eastAsia"/>
          <w:kern w:val="0"/>
          <w:sz w:val="32"/>
          <w:szCs w:val="32"/>
        </w:rPr>
        <w:t>黃珊珊　賴惠員　陳玉珍</w:t>
      </w:r>
    </w:p>
    <w:p w14:paraId="42E50DD6"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t>2</w:t>
      </w:r>
      <w:r w:rsidRPr="00F94DF8">
        <w:rPr>
          <w:rFonts w:ascii="標楷體" w:eastAsia="標楷體" w:hAnsi="標楷體"/>
          <w:kern w:val="2"/>
          <w:sz w:val="32"/>
          <w:szCs w:val="32"/>
        </w:rPr>
        <w:t>7</w:t>
      </w:r>
      <w:r w:rsidRPr="00F94DF8">
        <w:rPr>
          <w:rFonts w:ascii="標楷體" w:eastAsia="標楷體" w:hAnsi="標楷體" w:hint="eastAsia"/>
          <w:kern w:val="2"/>
          <w:sz w:val="32"/>
          <w:szCs w:val="32"/>
        </w:rPr>
        <w:t>.有鑑於中央銀行發行國幣，並肩負穩定國家金融發展、維持物價平穩、維護國幣幣值、管理外匯存底等重要任務，辦理相關業務自有必要支出廣告、宣傳等與媒體相關費用。經查，中央銀行於114年度媒體政策及業務宣導費彙計表業務總支出部分編列115萬元的媒體廣告刊登及製作宣導費，然觀諸中央銀行於影音平台Youtube上公開之影片近年瀏覽次數似有不佳情況。為確保愛惜鈔券、紅包在心不在新、新台幣防偽、數位新台幣等中央銀行重大政策得以推展，爰請中央銀行於1個月內就提升中央銀行社群宣傳效能之計畫向立法院財政委員會提出書面報告。</w:t>
      </w:r>
    </w:p>
    <w:p w14:paraId="685090B9" w14:textId="4316B98B"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提案人：黃珊珊　賴惠員　陳玉珍</w:t>
      </w:r>
    </w:p>
    <w:p w14:paraId="75CCFC12"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t>2</w:t>
      </w:r>
      <w:r w:rsidRPr="00F94DF8">
        <w:rPr>
          <w:rFonts w:ascii="標楷體" w:eastAsia="標楷體" w:hAnsi="標楷體"/>
          <w:kern w:val="2"/>
          <w:sz w:val="32"/>
          <w:szCs w:val="32"/>
        </w:rPr>
        <w:t>8</w:t>
      </w:r>
      <w:r w:rsidRPr="00F94DF8">
        <w:rPr>
          <w:rFonts w:ascii="標楷體" w:eastAsia="標楷體" w:hAnsi="標楷體" w:hint="eastAsia"/>
          <w:kern w:val="2"/>
          <w:sz w:val="32"/>
          <w:szCs w:val="32"/>
        </w:rPr>
        <w:t>.查114年度中央造幣廠預算案於「營業費用」項下「其他營業費用」之「研究發展費用」編列1</w:t>
      </w:r>
      <w:r w:rsidRPr="00F94DF8">
        <w:rPr>
          <w:rFonts w:ascii="標楷體" w:eastAsia="標楷體" w:hAnsi="標楷體"/>
          <w:kern w:val="2"/>
          <w:sz w:val="32"/>
          <w:szCs w:val="32"/>
        </w:rPr>
        <w:t>,</w:t>
      </w:r>
      <w:r w:rsidRPr="00F94DF8">
        <w:rPr>
          <w:rFonts w:ascii="標楷體" w:eastAsia="標楷體" w:hAnsi="標楷體" w:hint="eastAsia"/>
          <w:kern w:val="2"/>
          <w:sz w:val="32"/>
          <w:szCs w:val="32"/>
        </w:rPr>
        <w:t>201萬2千元。惟按審計部公告之112年度中央政府總決算審核報告指出：「中央造幣廠及印製廠已提出永續發展目標自願檢視報告，惟兩廠實踐淨零轉型步調及造幣廠之能源管理尚待加強」等語。查中央銀行為響應政府推動淨零碳排政策，已就所屬製造業之造幣廠及印製廠初步規劃其永續發展短中長期作為；中央造幣廠及中央印製廠亦於111年12月提出111年永續發展目標自願檢視報告，展現具環境責任之永續生產模式為施政主軸。惟查中央造幣廠已於112年度進行溫室氣體及流通幣碳足跡等盤查作業，並通過第三方外部單位查證；惟中央印製廠相關盤查採購程序，甫於112年12月完成決標，113年8月始能進行溫室氣體盤查之外部查證，兩廠淨零轉型步調略有差異。又中央造幣廠112年度設備汰舊換新13項，節電約12萬餘度、效益金額約41萬餘元，惟該等能源管理作為偏向廠務節能措</w:t>
      </w:r>
      <w:r w:rsidRPr="00F94DF8">
        <w:rPr>
          <w:rFonts w:ascii="標楷體" w:eastAsia="標楷體" w:hAnsi="標楷體" w:hint="eastAsia"/>
          <w:kern w:val="2"/>
          <w:sz w:val="32"/>
          <w:szCs w:val="32"/>
        </w:rPr>
        <w:lastRenderedPageBreak/>
        <w:t>施，對於廠內老舊生產設備，尚未規劃汰舊換新計畫。鑑此，請中央造幣廠於1個月內向立法院財政委員會提出書面報告。</w:t>
      </w:r>
    </w:p>
    <w:p w14:paraId="53EF29D6" w14:textId="37553ADD"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提案人：賴惠員</w:t>
      </w:r>
    </w:p>
    <w:p w14:paraId="1924D4C8" w14:textId="616A9126"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連署人：伍麗華　李坤城　吳秉叡</w:t>
      </w:r>
    </w:p>
    <w:p w14:paraId="3503AE8F"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kern w:val="2"/>
          <w:sz w:val="32"/>
          <w:szCs w:val="32"/>
        </w:rPr>
        <w:t>29</w:t>
      </w:r>
      <w:r w:rsidRPr="00F94DF8">
        <w:rPr>
          <w:rFonts w:ascii="標楷體" w:eastAsia="標楷體" w:hAnsi="標楷體" w:hint="eastAsia"/>
          <w:kern w:val="2"/>
          <w:sz w:val="32"/>
          <w:szCs w:val="32"/>
        </w:rPr>
        <w:t>.查114年度中央印製廠預算案於「營業費用」項下「管理費用」編列8</w:t>
      </w:r>
      <w:r w:rsidRPr="00F94DF8">
        <w:rPr>
          <w:rFonts w:ascii="標楷體" w:eastAsia="標楷體" w:hAnsi="標楷體"/>
          <w:kern w:val="2"/>
          <w:sz w:val="32"/>
          <w:szCs w:val="32"/>
        </w:rPr>
        <w:t>,</w:t>
      </w:r>
      <w:r w:rsidRPr="00F94DF8">
        <w:rPr>
          <w:rFonts w:ascii="標楷體" w:eastAsia="標楷體" w:hAnsi="標楷體" w:hint="eastAsia"/>
          <w:kern w:val="2"/>
          <w:sz w:val="32"/>
          <w:szCs w:val="32"/>
        </w:rPr>
        <w:t>009萬7千元。惟按審計部公告之112年度中央政府總決算審核報告指出：「中央印製廠之中高齡（50歲以上）員工占比偏高，恐存有人力缺口及專業斷層之隱憂」等語。查112年底中央印製廠員工人數872人，員工年齡50歲以上中高齡員工占51.26%，其中60歲以上者占25.34%；又據銓敘部公布之112年第4季全國公務人員人力素質統計季報刊載，中央印製廠員工平均年齡為48.81歲，較全國公營事業機構公務人員平均年齡45.02歲超出3.79歲，顯示人力結構趨於老化，恐存有潛藏人力缺口及專業斷層之隱憂。鑑此，請中央印製廠於1個月內針對如何避免出現勞力缺口及人才斷層向立法院財政委員會提出書面報告。</w:t>
      </w:r>
    </w:p>
    <w:p w14:paraId="694C7CBD" w14:textId="04FE3365"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提案人：賴惠員</w:t>
      </w:r>
    </w:p>
    <w:p w14:paraId="365A41DE" w14:textId="3DF2F1F0"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連署人：伍麗華　李坤城　吳秉叡</w:t>
      </w:r>
    </w:p>
    <w:p w14:paraId="3F9DA802" w14:textId="77777777" w:rsidR="009D64D0" w:rsidRPr="00F94DF8" w:rsidRDefault="009D64D0" w:rsidP="00F470A8">
      <w:pPr>
        <w:overflowPunct w:val="0"/>
        <w:autoSpaceDE w:val="0"/>
        <w:spacing w:line="460" w:lineRule="exact"/>
        <w:ind w:leftChars="299" w:left="1214" w:hangingChars="155" w:hanging="496"/>
        <w:jc w:val="both"/>
        <w:rPr>
          <w:rFonts w:ascii="標楷體" w:eastAsia="標楷體" w:hAnsi="標楷體"/>
          <w:kern w:val="2"/>
          <w:sz w:val="32"/>
          <w:szCs w:val="32"/>
        </w:rPr>
      </w:pPr>
      <w:r w:rsidRPr="00F94DF8">
        <w:rPr>
          <w:rFonts w:ascii="標楷體" w:eastAsia="標楷體" w:hAnsi="標楷體" w:hint="eastAsia"/>
          <w:kern w:val="2"/>
          <w:sz w:val="32"/>
          <w:szCs w:val="32"/>
        </w:rPr>
        <w:t>3</w:t>
      </w:r>
      <w:r w:rsidRPr="00F94DF8">
        <w:rPr>
          <w:rFonts w:ascii="標楷體" w:eastAsia="標楷體" w:hAnsi="標楷體"/>
          <w:kern w:val="2"/>
          <w:sz w:val="32"/>
          <w:szCs w:val="32"/>
        </w:rPr>
        <w:t>0</w:t>
      </w:r>
      <w:r w:rsidRPr="00F94DF8">
        <w:rPr>
          <w:rFonts w:ascii="標楷體" w:eastAsia="標楷體" w:hAnsi="標楷體" w:hint="eastAsia"/>
          <w:kern w:val="2"/>
          <w:sz w:val="32"/>
          <w:szCs w:val="32"/>
        </w:rPr>
        <w:t>.查114年度中央印製廠預算案於「營業費用」項下「其他營業費用」之「研究發展費用」編列4</w:t>
      </w:r>
      <w:r w:rsidRPr="00F94DF8">
        <w:rPr>
          <w:rFonts w:ascii="標楷體" w:eastAsia="標楷體" w:hAnsi="標楷體"/>
          <w:kern w:val="2"/>
          <w:sz w:val="32"/>
          <w:szCs w:val="32"/>
        </w:rPr>
        <w:t>,</w:t>
      </w:r>
      <w:r w:rsidRPr="00F94DF8">
        <w:rPr>
          <w:rFonts w:ascii="標楷體" w:eastAsia="標楷體" w:hAnsi="標楷體" w:hint="eastAsia"/>
          <w:kern w:val="2"/>
          <w:sz w:val="32"/>
          <w:szCs w:val="32"/>
        </w:rPr>
        <w:t>905萬1千元。惟按審計部公告之112年度中央政府總決算審核報告指出：「中央印製廠112年底原物料庫存金額為近5年度最高，且部分庫存原物料久未動用，甚有長達10年以上情事」等語。經查中央印製廠庫存原物料金額由108年底之13.5億餘元，增加至112年底之22億餘元，增加8.5億餘元。又112年底庫存原物料中，購入原物料驗收入庫後逾10年仍未領用完竣者，計有370項9,029萬餘元，主要係於90與92年間購入貳仟元及貳佰元鈔券紙，及於93與97年購置MRP新版護照封皮（配合改版未再用於護照印製）。鑑此，請中央印製廠於1個月內向立法院財政委員會提出書面報告。</w:t>
      </w:r>
    </w:p>
    <w:p w14:paraId="1E431DB6" w14:textId="004B8461"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5E04ED">
        <w:rPr>
          <w:rFonts w:ascii="標楷體" w:eastAsia="標楷體" w:hAnsi="標楷體" w:hint="eastAsia"/>
          <w:kern w:val="0"/>
          <w:sz w:val="32"/>
          <w:szCs w:val="32"/>
        </w:rPr>
        <w:t>提案人：賴惠員</w:t>
      </w:r>
    </w:p>
    <w:p w14:paraId="0FD77F73" w14:textId="0B5DD35F" w:rsidR="009D64D0" w:rsidRPr="005E04ED"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5E04ED">
        <w:rPr>
          <w:rFonts w:ascii="標楷體" w:eastAsia="標楷體" w:hAnsi="標楷體" w:hint="eastAsia"/>
          <w:kern w:val="0"/>
          <w:sz w:val="32"/>
          <w:szCs w:val="32"/>
        </w:rPr>
        <w:t>連署人：伍麗華　李坤城　吳秉叡</w:t>
      </w:r>
    </w:p>
    <w:p w14:paraId="59411852" w14:textId="77777777" w:rsidR="009D64D0" w:rsidRPr="00FD24F8" w:rsidRDefault="009D64D0" w:rsidP="00F470A8">
      <w:pPr>
        <w:pStyle w:val="Default"/>
        <w:overflowPunct w:val="0"/>
        <w:snapToGrid w:val="0"/>
        <w:spacing w:beforeLines="50" w:before="180" w:line="460" w:lineRule="exact"/>
        <w:ind w:left="1803" w:hanging="1803"/>
        <w:jc w:val="both"/>
        <w:rPr>
          <w:rFonts w:cs="Times New Roman"/>
          <w:bCs/>
          <w:sz w:val="32"/>
          <w:szCs w:val="32"/>
        </w:rPr>
      </w:pPr>
      <w:r w:rsidRPr="00FD24F8">
        <w:rPr>
          <w:rFonts w:cs="Times New Roman"/>
          <w:b/>
          <w:bCs/>
          <w:sz w:val="36"/>
          <w:szCs w:val="36"/>
        </w:rPr>
        <w:t>11</w:t>
      </w:r>
      <w:r w:rsidRPr="00FD24F8">
        <w:rPr>
          <w:rFonts w:cs="Times New Roman" w:hint="eastAsia"/>
          <w:b/>
          <w:bCs/>
          <w:sz w:val="36"/>
          <w:szCs w:val="36"/>
        </w:rPr>
        <w:t>3年11月2</w:t>
      </w:r>
      <w:r>
        <w:rPr>
          <w:rFonts w:cs="Times New Roman"/>
          <w:b/>
          <w:bCs/>
          <w:sz w:val="36"/>
          <w:szCs w:val="36"/>
        </w:rPr>
        <w:t>8</w:t>
      </w:r>
      <w:r w:rsidRPr="00FD24F8">
        <w:rPr>
          <w:rFonts w:cs="Times New Roman" w:hint="eastAsia"/>
          <w:b/>
          <w:bCs/>
          <w:sz w:val="36"/>
          <w:szCs w:val="36"/>
        </w:rPr>
        <w:t>日</w:t>
      </w:r>
    </w:p>
    <w:p w14:paraId="314EEED0" w14:textId="77777777" w:rsidR="009D64D0" w:rsidRPr="004A7A8A" w:rsidRDefault="009D64D0" w:rsidP="00F470A8">
      <w:pPr>
        <w:overflowPunct w:val="0"/>
        <w:autoSpaceDE w:val="0"/>
        <w:spacing w:line="460" w:lineRule="exact"/>
        <w:ind w:leftChars="201" w:left="482"/>
        <w:jc w:val="both"/>
        <w:rPr>
          <w:rFonts w:ascii="標楷體" w:eastAsia="標楷體" w:hAnsi="標楷體"/>
          <w:b/>
          <w:sz w:val="32"/>
          <w:szCs w:val="32"/>
        </w:rPr>
      </w:pPr>
      <w:r w:rsidRPr="004A7A8A">
        <w:rPr>
          <w:rFonts w:ascii="標楷體" w:eastAsia="標楷體" w:hAnsi="標楷體"/>
          <w:b/>
          <w:sz w:val="32"/>
          <w:szCs w:val="32"/>
        </w:rPr>
        <w:t>報告事項</w:t>
      </w:r>
    </w:p>
    <w:p w14:paraId="3C2C600E" w14:textId="77777777" w:rsidR="009D64D0" w:rsidRPr="004A7A8A" w:rsidRDefault="009D64D0" w:rsidP="00F470A8">
      <w:pPr>
        <w:widowControl w:val="0"/>
        <w:kinsoku w:val="0"/>
        <w:overflowPunct w:val="0"/>
        <w:autoSpaceDN/>
        <w:adjustRightInd w:val="0"/>
        <w:snapToGrid w:val="0"/>
        <w:spacing w:line="460" w:lineRule="exact"/>
        <w:jc w:val="both"/>
        <w:textAlignment w:val="auto"/>
        <w:rPr>
          <w:rFonts w:ascii="標楷體" w:eastAsia="標楷體" w:hAnsi="標楷體"/>
          <w:b/>
          <w:kern w:val="2"/>
          <w:sz w:val="32"/>
          <w:szCs w:val="32"/>
        </w:rPr>
      </w:pPr>
      <w:r w:rsidRPr="004A7A8A">
        <w:rPr>
          <w:rFonts w:ascii="標楷體" w:eastAsia="標楷體" w:hAnsi="標楷體" w:hint="eastAsia"/>
          <w:b/>
          <w:kern w:val="2"/>
          <w:sz w:val="32"/>
          <w:szCs w:val="32"/>
        </w:rPr>
        <w:t>邀請行政院主計總處陳主計長淑姿、審計部陳審計長瑞敏率所屬單位主管列席業務報告，並備質詢</w:t>
      </w:r>
      <w:r w:rsidRPr="004A7A8A">
        <w:rPr>
          <w:rFonts w:ascii="標楷體" w:eastAsia="標楷體" w:hAnsi="標楷體"/>
          <w:b/>
          <w:kern w:val="2"/>
          <w:sz w:val="32"/>
          <w:szCs w:val="32"/>
        </w:rPr>
        <w:t>。</w:t>
      </w:r>
    </w:p>
    <w:p w14:paraId="0D6DBF4C" w14:textId="77777777" w:rsidR="009D64D0" w:rsidRPr="004A7A8A" w:rsidRDefault="009D64D0" w:rsidP="00F470A8">
      <w:pPr>
        <w:widowControl w:val="0"/>
        <w:kinsoku w:val="0"/>
        <w:overflowPunct w:val="0"/>
        <w:autoSpaceDE w:val="0"/>
        <w:adjustRightInd w:val="0"/>
        <w:snapToGrid w:val="0"/>
        <w:spacing w:beforeLines="50" w:before="180" w:line="460" w:lineRule="exact"/>
        <w:ind w:leftChars="201" w:left="482"/>
        <w:jc w:val="both"/>
        <w:textAlignment w:val="auto"/>
        <w:rPr>
          <w:rFonts w:ascii="標楷體" w:eastAsia="標楷體" w:hAnsi="標楷體"/>
          <w:b/>
          <w:kern w:val="2"/>
          <w:sz w:val="32"/>
          <w:szCs w:val="32"/>
        </w:rPr>
      </w:pPr>
      <w:r w:rsidRPr="004A7A8A">
        <w:rPr>
          <w:rFonts w:ascii="標楷體" w:eastAsia="標楷體" w:hAnsi="標楷體" w:hint="eastAsia"/>
          <w:b/>
          <w:kern w:val="2"/>
          <w:sz w:val="32"/>
          <w:szCs w:val="32"/>
        </w:rPr>
        <w:t>討論事項</w:t>
      </w:r>
    </w:p>
    <w:p w14:paraId="465081A7" w14:textId="77777777" w:rsidR="009D64D0" w:rsidRPr="004A7A8A" w:rsidRDefault="009D64D0" w:rsidP="00F470A8">
      <w:pPr>
        <w:widowControl w:val="0"/>
        <w:kinsoku w:val="0"/>
        <w:overflowPunct w:val="0"/>
        <w:autoSpaceDE w:val="0"/>
        <w:adjustRightInd w:val="0"/>
        <w:snapToGrid w:val="0"/>
        <w:spacing w:line="480" w:lineRule="exact"/>
        <w:ind w:left="641" w:hangingChars="200" w:hanging="641"/>
        <w:jc w:val="both"/>
        <w:textAlignment w:val="auto"/>
        <w:rPr>
          <w:rFonts w:ascii="標楷體" w:eastAsia="標楷體" w:hAnsi="標楷體"/>
          <w:b/>
          <w:kern w:val="2"/>
          <w:sz w:val="32"/>
          <w:szCs w:val="32"/>
        </w:rPr>
      </w:pPr>
      <w:r w:rsidRPr="004A7A8A">
        <w:rPr>
          <w:rFonts w:ascii="標楷體" w:eastAsia="標楷體" w:hAnsi="標楷體" w:hint="eastAsia"/>
          <w:b/>
          <w:kern w:val="2"/>
          <w:sz w:val="32"/>
          <w:szCs w:val="32"/>
        </w:rPr>
        <w:t>一、審查中華民國114年度中央政府總預算案有關主計總處暨審計部、審計部臺北市審計處、審計部新北市審計處、審計部桃園市審計處、審計部臺中市審計處、審計部臺南市審計處、審計部高雄市審計處部分。</w:t>
      </w:r>
    </w:p>
    <w:p w14:paraId="198AC29B" w14:textId="77777777" w:rsidR="009D64D0" w:rsidRPr="004A7A8A" w:rsidRDefault="009D64D0" w:rsidP="00F470A8">
      <w:pPr>
        <w:widowControl w:val="0"/>
        <w:kinsoku w:val="0"/>
        <w:overflowPunct w:val="0"/>
        <w:autoSpaceDE w:val="0"/>
        <w:adjustRightInd w:val="0"/>
        <w:snapToGrid w:val="0"/>
        <w:spacing w:line="480" w:lineRule="exact"/>
        <w:ind w:left="641" w:hangingChars="200" w:hanging="641"/>
        <w:jc w:val="both"/>
        <w:textAlignment w:val="auto"/>
        <w:rPr>
          <w:rFonts w:ascii="標楷體" w:eastAsia="標楷體" w:hAnsi="標楷體"/>
          <w:b/>
          <w:kern w:val="2"/>
          <w:sz w:val="32"/>
          <w:szCs w:val="32"/>
        </w:rPr>
      </w:pPr>
      <w:r w:rsidRPr="004A7A8A">
        <w:rPr>
          <w:rFonts w:ascii="標楷體" w:eastAsia="標楷體" w:hAnsi="標楷體" w:hint="eastAsia"/>
          <w:b/>
          <w:kern w:val="2"/>
          <w:sz w:val="32"/>
          <w:szCs w:val="32"/>
        </w:rPr>
        <w:t>二、審查中華民國114年度中央政府總預算案有關直轄市及縣市政府。調整軍公教人員待遇準備。災害準備金。第二預備金。</w:t>
      </w:r>
    </w:p>
    <w:p w14:paraId="7B586D1A" w14:textId="77777777" w:rsidR="009D64D0" w:rsidRPr="004A7A8A" w:rsidRDefault="009D64D0" w:rsidP="00F470A8">
      <w:pPr>
        <w:widowControl w:val="0"/>
        <w:overflowPunct w:val="0"/>
        <w:autoSpaceDE w:val="0"/>
        <w:adjustRightInd w:val="0"/>
        <w:spacing w:line="480" w:lineRule="exact"/>
        <w:ind w:left="352" w:hangingChars="110" w:hanging="352"/>
        <w:jc w:val="both"/>
        <w:textAlignment w:val="auto"/>
        <w:rPr>
          <w:rFonts w:ascii="華康楷書體W5" w:eastAsia="華康楷書體W5" w:hAnsi="標楷體"/>
          <w:color w:val="000000" w:themeColor="text1"/>
          <w:kern w:val="2"/>
          <w:sz w:val="32"/>
          <w:szCs w:val="32"/>
        </w:rPr>
      </w:pPr>
      <w:r w:rsidRPr="004A7A8A">
        <w:rPr>
          <w:rFonts w:ascii="華康楷書體W5" w:eastAsia="華康楷書體W5" w:hAnsi="標楷體"/>
          <w:color w:val="000000" w:themeColor="text1"/>
          <w:kern w:val="2"/>
          <w:sz w:val="32"/>
          <w:szCs w:val="32"/>
        </w:rPr>
        <w:t>（</w:t>
      </w:r>
      <w:r w:rsidRPr="004A7A8A">
        <w:rPr>
          <w:rFonts w:ascii="華康楷書體W5" w:eastAsia="華康楷書體W5" w:hAnsi="標楷體" w:hint="eastAsia"/>
          <w:color w:val="000000" w:themeColor="text1"/>
          <w:kern w:val="2"/>
          <w:sz w:val="32"/>
          <w:szCs w:val="32"/>
        </w:rPr>
        <w:t>報告、討論事項合併詢答。經行政院常務副秘書長李國興、行政院主計總處主計長陳淑姿、審計部審計長陳瑞敏提出報告後，計有委員林德福、吳秉叡、賴士葆、郭國文、顏寬恒、陳玉珍、王鴻薇、李坤城、伍麗華、王世堅、羅明才、黃國昌、楊瓊瓔、賴惠員、陳培瑜、洪孟楷、葉元之、黃珊珊等1</w:t>
      </w:r>
      <w:r w:rsidRPr="004A7A8A">
        <w:rPr>
          <w:rFonts w:ascii="華康楷書體W5" w:eastAsia="華康楷書體W5" w:hAnsi="標楷體"/>
          <w:color w:val="000000" w:themeColor="text1"/>
          <w:kern w:val="2"/>
          <w:sz w:val="32"/>
          <w:szCs w:val="32"/>
        </w:rPr>
        <w:t>8</w:t>
      </w:r>
      <w:r w:rsidRPr="004A7A8A">
        <w:rPr>
          <w:rFonts w:ascii="華康楷書體W5" w:eastAsia="華康楷書體W5" w:hAnsi="標楷體" w:hint="eastAsia"/>
          <w:color w:val="000000" w:themeColor="text1"/>
          <w:kern w:val="2"/>
          <w:sz w:val="32"/>
          <w:szCs w:val="32"/>
        </w:rPr>
        <w:t>人提出質詢，均經行政院主計總處主計長陳淑姿、財政部國庫署署長陳柏誠、審計部審計長陳瑞敏、行政院人事行政總處副人事長李秉洲、行政院常務副秘書長李國興及相關人員予以說明及答復。委員李彥秀所提書面質詢，列入紀錄，刊登公報，並請相關部會以書面答復。委員質詢未及答復或請補充資訊，請相關部會於一週內以書面答復；委員另要求期限者，從其所定。）</w:t>
      </w:r>
    </w:p>
    <w:p w14:paraId="0A5E7283" w14:textId="77777777" w:rsidR="009D64D0" w:rsidRPr="004A7A8A" w:rsidRDefault="009D64D0" w:rsidP="00F470A8">
      <w:pPr>
        <w:widowControl w:val="0"/>
        <w:overflowPunct w:val="0"/>
        <w:autoSpaceDE w:val="0"/>
        <w:adjustRightInd w:val="0"/>
        <w:spacing w:line="480" w:lineRule="exact"/>
        <w:ind w:left="352" w:hangingChars="110" w:hanging="352"/>
        <w:jc w:val="both"/>
        <w:textAlignment w:val="auto"/>
        <w:rPr>
          <w:rFonts w:ascii="華康楷書體W5" w:eastAsia="華康楷書體W5" w:hAnsi="標楷體"/>
          <w:b/>
          <w:color w:val="000000" w:themeColor="text1"/>
          <w:kern w:val="2"/>
          <w:sz w:val="32"/>
          <w:szCs w:val="32"/>
        </w:rPr>
      </w:pPr>
      <w:r w:rsidRPr="004A7A8A">
        <w:rPr>
          <w:rFonts w:ascii="華康楷書體W5" w:eastAsia="華康楷書體W5" w:hAnsi="標楷體" w:hint="eastAsia"/>
          <w:b/>
          <w:color w:val="000000" w:themeColor="text1"/>
          <w:kern w:val="2"/>
          <w:sz w:val="32"/>
          <w:szCs w:val="32"/>
        </w:rPr>
        <w:t>決議：</w:t>
      </w:r>
    </w:p>
    <w:p w14:paraId="645BCD00" w14:textId="77777777" w:rsidR="009D64D0" w:rsidRPr="004A7A8A" w:rsidRDefault="009D64D0" w:rsidP="00F470A8">
      <w:pPr>
        <w:widowControl w:val="0"/>
        <w:overflowPunct w:val="0"/>
        <w:autoSpaceDE w:val="0"/>
        <w:adjustRightInd w:val="0"/>
        <w:spacing w:line="480" w:lineRule="exact"/>
        <w:ind w:left="352" w:hangingChars="110" w:hanging="352"/>
        <w:jc w:val="both"/>
        <w:textAlignment w:val="auto"/>
        <w:rPr>
          <w:rFonts w:ascii="華康楷書體W5" w:eastAsia="華康楷書體W5" w:hAnsi="標楷體"/>
          <w:b/>
          <w:color w:val="000000" w:themeColor="text1"/>
          <w:kern w:val="2"/>
          <w:sz w:val="32"/>
          <w:szCs w:val="32"/>
        </w:rPr>
      </w:pPr>
      <w:r w:rsidRPr="004A7A8A">
        <w:rPr>
          <w:rFonts w:ascii="華康楷書體W5" w:eastAsia="華康楷書體W5" w:hAnsi="標楷體" w:hint="eastAsia"/>
          <w:b/>
          <w:color w:val="000000" w:themeColor="text1"/>
          <w:kern w:val="2"/>
          <w:sz w:val="32"/>
          <w:szCs w:val="32"/>
        </w:rPr>
        <w:t>壹、報告、說明及詢答完畢。</w:t>
      </w:r>
    </w:p>
    <w:p w14:paraId="30D468CB" w14:textId="77777777" w:rsidR="009D64D0" w:rsidRPr="004A7A8A" w:rsidRDefault="009D64D0" w:rsidP="00F470A8">
      <w:pPr>
        <w:widowControl w:val="0"/>
        <w:overflowPunct w:val="0"/>
        <w:autoSpaceDE w:val="0"/>
        <w:adjustRightInd w:val="0"/>
        <w:spacing w:line="480" w:lineRule="exact"/>
        <w:ind w:left="352" w:hangingChars="110" w:hanging="352"/>
        <w:jc w:val="both"/>
        <w:textAlignment w:val="auto"/>
        <w:rPr>
          <w:rFonts w:ascii="華康楷書體W5" w:eastAsia="華康楷書體W5" w:hAnsi="標楷體"/>
          <w:b/>
          <w:color w:val="000000" w:themeColor="text1"/>
          <w:kern w:val="2"/>
          <w:sz w:val="32"/>
          <w:szCs w:val="32"/>
        </w:rPr>
      </w:pPr>
      <w:r w:rsidRPr="004A7A8A">
        <w:rPr>
          <w:rFonts w:ascii="華康楷書體W5" w:eastAsia="華康楷書體W5" w:hAnsi="標楷體" w:hint="eastAsia"/>
          <w:b/>
          <w:color w:val="000000" w:themeColor="text1"/>
          <w:kern w:val="2"/>
          <w:sz w:val="32"/>
          <w:szCs w:val="32"/>
        </w:rPr>
        <w:t>貳、114年度中央政府總預算案有關主計總處暨審計部、審計部臺北市審計處、審計部新北市審計處、審計部桃園市審計處、審計部臺中市審計處、審計部臺南市審計處、審計部高雄市審計處預算</w:t>
      </w:r>
      <w:r w:rsidRPr="004A7A8A">
        <w:rPr>
          <w:rFonts w:ascii="華康楷書體W5" w:eastAsia="華康楷書體W5" w:hAnsi="標楷體" w:hint="eastAsia"/>
          <w:b/>
          <w:color w:val="000000" w:themeColor="text1"/>
          <w:kern w:val="2"/>
          <w:sz w:val="32"/>
          <w:szCs w:val="32"/>
        </w:rPr>
        <w:lastRenderedPageBreak/>
        <w:t>審查結果：</w:t>
      </w:r>
    </w:p>
    <w:p w14:paraId="5FC50DE2" w14:textId="77777777" w:rsidR="009D64D0" w:rsidRPr="004A7A8A" w:rsidRDefault="009D64D0" w:rsidP="00F470A8">
      <w:pPr>
        <w:widowControl w:val="0"/>
        <w:overflowPunct w:val="0"/>
        <w:autoSpaceDE w:val="0"/>
        <w:adjustRightInd w:val="0"/>
        <w:spacing w:line="480" w:lineRule="exact"/>
        <w:ind w:left="352" w:hangingChars="110" w:hanging="352"/>
        <w:jc w:val="both"/>
        <w:textAlignment w:val="auto"/>
        <w:rPr>
          <w:rFonts w:ascii="華康楷書體W5" w:eastAsia="華康楷書體W5" w:hAnsi="標楷體"/>
          <w:b/>
          <w:color w:val="000000" w:themeColor="text1"/>
          <w:kern w:val="2"/>
          <w:sz w:val="32"/>
          <w:szCs w:val="32"/>
        </w:rPr>
      </w:pPr>
      <w:r w:rsidRPr="004A7A8A">
        <w:rPr>
          <w:rFonts w:ascii="華康楷書體W5" w:eastAsia="華康楷書體W5" w:hAnsi="標楷體" w:hint="eastAsia"/>
          <w:b/>
          <w:color w:val="000000" w:themeColor="text1"/>
          <w:kern w:val="2"/>
          <w:sz w:val="32"/>
          <w:szCs w:val="32"/>
        </w:rPr>
        <w:t>一、歲入部分</w:t>
      </w:r>
    </w:p>
    <w:p w14:paraId="25B284A6" w14:textId="77777777" w:rsidR="009D64D0" w:rsidRPr="004A7A8A" w:rsidRDefault="009D64D0" w:rsidP="00F470A8">
      <w:pPr>
        <w:widowControl w:val="0"/>
        <w:tabs>
          <w:tab w:val="left" w:pos="426"/>
        </w:tabs>
        <w:kinsoku w:val="0"/>
        <w:overflowPunct w:val="0"/>
        <w:autoSpaceDE w:val="0"/>
        <w:adjustRightInd w:val="0"/>
        <w:snapToGrid w:val="0"/>
        <w:spacing w:line="480" w:lineRule="exact"/>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 xml:space="preserve">　第2款　罰款及賠償收入</w:t>
      </w:r>
    </w:p>
    <w:p w14:paraId="4C979D36"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第6項　主計總處，無列數。</w:t>
      </w:r>
    </w:p>
    <w:p w14:paraId="6F76F057"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第63項　審計部，無列數。</w:t>
      </w:r>
    </w:p>
    <w:p w14:paraId="40EF1DA3"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第64項　審計部臺北市審計處，無列數。</w:t>
      </w:r>
    </w:p>
    <w:p w14:paraId="3050BC93"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第65項　審計部高雄市審計處，無列數。</w:t>
      </w:r>
    </w:p>
    <w:p w14:paraId="245F1C62" w14:textId="77777777" w:rsidR="009D64D0" w:rsidRPr="004A7A8A" w:rsidRDefault="009D64D0" w:rsidP="00F470A8">
      <w:pPr>
        <w:widowControl w:val="0"/>
        <w:tabs>
          <w:tab w:val="left" w:pos="426"/>
        </w:tabs>
        <w:kinsoku w:val="0"/>
        <w:overflowPunct w:val="0"/>
        <w:autoSpaceDE w:val="0"/>
        <w:adjustRightInd w:val="0"/>
        <w:snapToGrid w:val="0"/>
        <w:spacing w:line="480" w:lineRule="exact"/>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 xml:space="preserve">　第3款　規費收入</w:t>
      </w:r>
    </w:p>
    <w:p w14:paraId="6FD0B24A"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第5項　主計總處9萬7千元，照列。</w:t>
      </w:r>
    </w:p>
    <w:p w14:paraId="3454C728" w14:textId="77777777" w:rsidR="009D64D0" w:rsidRPr="004A7A8A" w:rsidRDefault="009D64D0" w:rsidP="00F470A8">
      <w:pPr>
        <w:widowControl w:val="0"/>
        <w:tabs>
          <w:tab w:val="left" w:pos="426"/>
        </w:tabs>
        <w:kinsoku w:val="0"/>
        <w:overflowPunct w:val="0"/>
        <w:autoSpaceDE w:val="0"/>
        <w:adjustRightInd w:val="0"/>
        <w:snapToGrid w:val="0"/>
        <w:spacing w:line="480" w:lineRule="exact"/>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 xml:space="preserve">　第4款　財產收入</w:t>
      </w:r>
    </w:p>
    <w:p w14:paraId="33691031"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第7項　主計總處39萬6千元，照列。</w:t>
      </w:r>
    </w:p>
    <w:p w14:paraId="609EE64A"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第69項　審計部123萬3千元，照列。</w:t>
      </w:r>
    </w:p>
    <w:p w14:paraId="4AF59174"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第70項　審計部臺北市審計處3萬2千元，照列。</w:t>
      </w:r>
    </w:p>
    <w:p w14:paraId="49D9F08C"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第71項　審計部新北市審計處1萬2千元，照列。</w:t>
      </w:r>
    </w:p>
    <w:p w14:paraId="48EE09CB"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第72項　審計部桃園市審計處5千元，照列。</w:t>
      </w:r>
    </w:p>
    <w:p w14:paraId="6EFA8FE7"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第73項　審計部臺中市審計處5千元，照列。</w:t>
      </w:r>
    </w:p>
    <w:p w14:paraId="1D6F84FC"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第74項　審計部臺南市審計處12萬7千元，照列。</w:t>
      </w:r>
    </w:p>
    <w:p w14:paraId="5A4D78F5"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第75項　審計部高雄市審計處4萬元，照列。</w:t>
      </w:r>
    </w:p>
    <w:p w14:paraId="69263ECB" w14:textId="77777777" w:rsidR="009D64D0" w:rsidRPr="004A7A8A" w:rsidRDefault="009D64D0" w:rsidP="00F470A8">
      <w:pPr>
        <w:widowControl w:val="0"/>
        <w:tabs>
          <w:tab w:val="left" w:pos="426"/>
        </w:tabs>
        <w:kinsoku w:val="0"/>
        <w:overflowPunct w:val="0"/>
        <w:autoSpaceDE w:val="0"/>
        <w:adjustRightInd w:val="0"/>
        <w:snapToGrid w:val="0"/>
        <w:spacing w:line="480" w:lineRule="exact"/>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 xml:space="preserve">　第7款　其他收入</w:t>
      </w:r>
    </w:p>
    <w:p w14:paraId="7B43F23F"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第7項　主計總處89萬5千元，照列。</w:t>
      </w:r>
    </w:p>
    <w:p w14:paraId="78B1486E"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第69項　審計部103萬5千元，照列。</w:t>
      </w:r>
    </w:p>
    <w:p w14:paraId="44349361"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第70項　審計部臺北市審計處1萬6千元，照列。</w:t>
      </w:r>
    </w:p>
    <w:p w14:paraId="3006CDFA"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第71項　審計部新北市審計處8千元，照列。</w:t>
      </w:r>
    </w:p>
    <w:p w14:paraId="1018AC37"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第72項　審計部桃園市審計處，無列數。</w:t>
      </w:r>
    </w:p>
    <w:p w14:paraId="1D937CE5"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第73項　審計部臺中市審計處，無列數。</w:t>
      </w:r>
    </w:p>
    <w:p w14:paraId="3E2B1889"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Chars="200" w:left="480"/>
        <w:jc w:val="both"/>
        <w:textAlignment w:val="auto"/>
        <w:rPr>
          <w:rFonts w:ascii="標楷體" w:eastAsia="標楷體" w:hAnsi="標楷體" w:cs="華康細明體"/>
          <w:kern w:val="0"/>
          <w:sz w:val="32"/>
          <w:szCs w:val="32"/>
        </w:rPr>
      </w:pPr>
      <w:r w:rsidRPr="004A7A8A">
        <w:rPr>
          <w:rFonts w:ascii="標楷體" w:eastAsia="標楷體" w:hAnsi="標楷體" w:cs="華康細明體" w:hint="eastAsia"/>
          <w:kern w:val="0"/>
          <w:sz w:val="32"/>
          <w:szCs w:val="32"/>
        </w:rPr>
        <w:t>第74項　審計部臺南市審計處，無列數。</w:t>
      </w:r>
    </w:p>
    <w:p w14:paraId="16591437" w14:textId="77777777" w:rsidR="009D64D0" w:rsidRPr="004A7A8A" w:rsidRDefault="009D64D0" w:rsidP="00F470A8">
      <w:pPr>
        <w:widowControl w:val="0"/>
        <w:tabs>
          <w:tab w:val="left" w:pos="1134"/>
          <w:tab w:val="left" w:pos="1418"/>
        </w:tabs>
        <w:overflowPunct w:val="0"/>
        <w:autoSpaceDN/>
        <w:adjustRightInd w:val="0"/>
        <w:spacing w:line="480" w:lineRule="exact"/>
        <w:ind w:left="641" w:hangingChars="200" w:hanging="641"/>
        <w:textAlignment w:val="auto"/>
        <w:rPr>
          <w:rFonts w:ascii="標楷體" w:eastAsia="標楷體" w:hAnsi="標楷體" w:cs="華康細明體"/>
          <w:b/>
          <w:kern w:val="0"/>
          <w:sz w:val="32"/>
          <w:szCs w:val="32"/>
        </w:rPr>
      </w:pPr>
      <w:r w:rsidRPr="004A7A8A">
        <w:rPr>
          <w:rFonts w:ascii="標楷體" w:eastAsia="標楷體" w:hAnsi="標楷體" w:cs="華康細明體" w:hint="eastAsia"/>
          <w:b/>
          <w:kern w:val="0"/>
          <w:sz w:val="32"/>
          <w:szCs w:val="32"/>
        </w:rPr>
        <w:t>二、歲出部分</w:t>
      </w:r>
    </w:p>
    <w:p w14:paraId="726950A7" w14:textId="77777777" w:rsidR="009D64D0" w:rsidRPr="00834C76" w:rsidRDefault="009D64D0" w:rsidP="00F470A8">
      <w:pPr>
        <w:pStyle w:val="Default"/>
        <w:kinsoku w:val="0"/>
        <w:overflowPunct w:val="0"/>
        <w:spacing w:line="500" w:lineRule="exact"/>
        <w:jc w:val="both"/>
        <w:rPr>
          <w:rFonts w:cs="華康細明體"/>
          <w:sz w:val="32"/>
          <w:szCs w:val="32"/>
        </w:rPr>
      </w:pPr>
      <w:r w:rsidRPr="00CC50C6">
        <w:rPr>
          <w:rFonts w:cs="華康細明體" w:hint="eastAsia"/>
          <w:sz w:val="32"/>
          <w:szCs w:val="32"/>
        </w:rPr>
        <w:t xml:space="preserve">　第2款　</w:t>
      </w:r>
      <w:r w:rsidRPr="00834C76">
        <w:rPr>
          <w:rFonts w:cs="華康細明體" w:hint="eastAsia"/>
          <w:sz w:val="32"/>
          <w:szCs w:val="32"/>
        </w:rPr>
        <w:t>行政院主管</w:t>
      </w:r>
    </w:p>
    <w:p w14:paraId="4D480C3B" w14:textId="77777777" w:rsidR="009D64D0" w:rsidRPr="00B5727E" w:rsidRDefault="009D64D0" w:rsidP="00F470A8">
      <w:pPr>
        <w:pStyle w:val="Default"/>
        <w:kinsoku w:val="0"/>
        <w:overflowPunct w:val="0"/>
        <w:spacing w:line="500" w:lineRule="exact"/>
        <w:ind w:leftChars="200" w:left="1440" w:hangingChars="300" w:hanging="960"/>
        <w:jc w:val="both"/>
        <w:rPr>
          <w:bCs/>
          <w:sz w:val="32"/>
          <w:szCs w:val="36"/>
        </w:rPr>
      </w:pPr>
      <w:r w:rsidRPr="00B5727E">
        <w:rPr>
          <w:rFonts w:hint="eastAsia"/>
          <w:bCs/>
          <w:sz w:val="32"/>
          <w:szCs w:val="36"/>
        </w:rPr>
        <w:t>第2項</w:t>
      </w:r>
      <w:r w:rsidRPr="00CC50C6">
        <w:rPr>
          <w:rFonts w:cs="華康細明體" w:hint="eastAsia"/>
          <w:sz w:val="32"/>
          <w:szCs w:val="32"/>
        </w:rPr>
        <w:t xml:space="preserve">　</w:t>
      </w:r>
      <w:r w:rsidRPr="00D86267">
        <w:rPr>
          <w:rFonts w:hint="eastAsia"/>
          <w:bCs/>
          <w:sz w:val="32"/>
          <w:szCs w:val="36"/>
        </w:rPr>
        <w:t>主計總處原列14億6,643萬1千元，減列第1目「一般行政」項下「基本行政工作維持」50萬元、第6目「國勢普查業</w:t>
      </w:r>
      <w:r w:rsidRPr="00D86267">
        <w:rPr>
          <w:rFonts w:hint="eastAsia"/>
          <w:bCs/>
          <w:sz w:val="32"/>
          <w:szCs w:val="36"/>
        </w:rPr>
        <w:lastRenderedPageBreak/>
        <w:t>務」100萬元、第8目「主計資訊業務」120萬元、第9目「一般建築及設備」第3節「其他設備」200萬元，共計減列470萬元（科目均自行調整），其餘均照列，改列為14億6,173萬1千元。</w:t>
      </w:r>
    </w:p>
    <w:p w14:paraId="600A0D1F"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jc w:val="both"/>
        <w:textAlignment w:val="auto"/>
        <w:rPr>
          <w:rFonts w:ascii="標楷體" w:eastAsia="標楷體" w:hAnsi="標楷體" w:cs="華康細明體"/>
          <w:color w:val="000000" w:themeColor="text1"/>
          <w:kern w:val="0"/>
          <w:sz w:val="32"/>
          <w:szCs w:val="32"/>
        </w:rPr>
      </w:pPr>
      <w:r w:rsidRPr="004A7A8A">
        <w:rPr>
          <w:rFonts w:ascii="標楷體" w:eastAsia="標楷體" w:hAnsi="標楷體" w:cs="華康細明體" w:hint="eastAsia"/>
          <w:color w:val="000000" w:themeColor="text1"/>
          <w:kern w:val="0"/>
          <w:sz w:val="32"/>
          <w:szCs w:val="32"/>
        </w:rPr>
        <w:t xml:space="preserve">　　本項通過決議28項：</w:t>
      </w:r>
    </w:p>
    <w:p w14:paraId="7CA6485B"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4A7A8A">
        <w:rPr>
          <w:rFonts w:ascii="標楷體" w:eastAsia="標楷體" w:hAnsi="標楷體" w:hint="eastAsia"/>
          <w:color w:val="000000" w:themeColor="text1"/>
          <w:kern w:val="0"/>
          <w:sz w:val="32"/>
          <w:szCs w:val="32"/>
        </w:rPr>
        <w:t xml:space="preserve">　　(ㄧ)114年度行政院主計總處預算案於第1目「一般行政」編列9億4</w:t>
      </w:r>
      <w:r w:rsidRPr="004A7A8A">
        <w:rPr>
          <w:rFonts w:ascii="標楷體" w:eastAsia="標楷體" w:hAnsi="標楷體"/>
          <w:color w:val="000000" w:themeColor="text1"/>
          <w:kern w:val="0"/>
          <w:sz w:val="32"/>
          <w:szCs w:val="32"/>
        </w:rPr>
        <w:t>,</w:t>
      </w:r>
      <w:r w:rsidRPr="004A7A8A">
        <w:rPr>
          <w:rFonts w:ascii="標楷體" w:eastAsia="標楷體" w:hAnsi="標楷體" w:hint="eastAsia"/>
          <w:color w:val="000000" w:themeColor="text1"/>
          <w:kern w:val="0"/>
          <w:sz w:val="32"/>
          <w:szCs w:val="32"/>
        </w:rPr>
        <w:t>174萬3千元。依現行預算法第88條規定，國營事業預算年度內如欲進行固定資產之建設、改良、擴充等，應補辦預算。惟考量國營金融事業之需與金融同業競爭；隨金融科技發展，金融業之固定資產建設、改良、擴充等需求急迫，且須快速競爭。於預算編列上，應予其更為彈性之規定，以使國營金融事業得於金融市場中，與其他民營之金融同業競爭。爰凍結該項預算扣除人事經費外預算十分之一，俟行政院主計總處於3個月內，就因應國營金融事業所處之金融市場係完全競爭市場，似有與以其有別於寡占、獨占市場之相關規定；就預算執行相關規定研議修正方向、推動期程及預期成效向立法院財政委員會提出書面報告後，始得動支。</w:t>
      </w:r>
    </w:p>
    <w:p w14:paraId="1232D30E" w14:textId="490BEA3C" w:rsidR="004A7A8A"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提案人：黃珊珊　陳玉珍　王鴻薇　李彥秀</w:t>
      </w:r>
    </w:p>
    <w:p w14:paraId="42D78DA3" w14:textId="1F730B79"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　</w:t>
      </w:r>
      <w:r w:rsidR="004A7A8A" w:rsidRPr="00837C56">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賴士葆　</w:t>
      </w:r>
    </w:p>
    <w:p w14:paraId="62617FFA" w14:textId="22E6A298"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連署人：林德福　羅明才　顏寬恒</w:t>
      </w:r>
    </w:p>
    <w:p w14:paraId="51778AE3"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4A7A8A">
        <w:rPr>
          <w:rFonts w:ascii="標楷體" w:eastAsia="標楷體" w:hAnsi="標楷體" w:hint="eastAsia"/>
          <w:color w:val="000000" w:themeColor="text1"/>
          <w:kern w:val="0"/>
          <w:sz w:val="32"/>
          <w:szCs w:val="32"/>
        </w:rPr>
        <w:t xml:space="preserve">　　(二)114年度行政院主計總處預算案於第1目「一般行政」編列9億4,174萬3千元。依據行政院人事行政總處111年辦理員額評鑑計畫報告，行政院人事行政總處要求行政院主計總處：1.應檢討機關業務辦理方式，將節餘人力重新調整至當前主要核心業務。2.請研提超額約僱人力精簡計畫。3.請研議業務單位人員調整及輪調機制，並依未來業務發展趨勢，評估推動跨機關資訊整合或共享。4.合理運用勞務承攬人力，確保勞工權益：行政院主計總處近4年勞務承攬運用人數有逐年增加之趨勢，若未來持續將部分業務檢討委外，請依勞動基準法及政府機關（構）運用勞務承攬參考原則等規定，合</w:t>
      </w:r>
      <w:r w:rsidRPr="004A7A8A">
        <w:rPr>
          <w:rFonts w:ascii="標楷體" w:eastAsia="標楷體" w:hAnsi="標楷體" w:hint="eastAsia"/>
          <w:color w:val="000000" w:themeColor="text1"/>
          <w:kern w:val="0"/>
          <w:sz w:val="32"/>
          <w:szCs w:val="32"/>
        </w:rPr>
        <w:lastRenderedPageBreak/>
        <w:t>理運用勞務承攬人力，並落實相關勞動權益保障措施。爰凍結該項預算400萬元，俟行政院主計總處於1個月內，就員額評鑑要求檢討之改善情形向立法院財政委員會提出書面報告後，始得動支。</w:t>
      </w:r>
    </w:p>
    <w:p w14:paraId="721803F9" w14:textId="3ACBB2AE"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提案人：黃珊珊　陳玉珍　王鴻薇</w:t>
      </w:r>
    </w:p>
    <w:p w14:paraId="1E5D5BAC"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4A7A8A">
        <w:rPr>
          <w:rFonts w:ascii="標楷體" w:eastAsia="標楷體" w:hAnsi="標楷體" w:hint="eastAsia"/>
          <w:color w:val="000000" w:themeColor="text1"/>
          <w:kern w:val="0"/>
          <w:sz w:val="32"/>
          <w:szCs w:val="32"/>
        </w:rPr>
        <w:t xml:space="preserve">　　(三)查114年度行政院主計總處預算案於第1目「一般行政」項下「政府內部控制監督機制規劃及督導」編列「業務費」229萬4千元。雖與113年度相同，但較112年度同機關預算案編列203萬4千元增列26萬元於國外旅費，惟若僅為出席OECD資深預算官員委員會績效及成效會議，是否須編列如此預算，容有疑義。另隨科技進步，近期各機關均在維護國家資訊安全的基礎上，透過電子、無紙化的方式進行作業，故印刷及紙張等耗材經費亦應酌減。據此，基於撙節政府支出、提倡環境保護之原則，爰凍結該項預算22萬元，俟行政院主計總處向立法院財政委員會提出書面報告後，始得動支。</w:t>
      </w:r>
    </w:p>
    <w:p w14:paraId="7E92A4D4" w14:textId="7265545D"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提案人：王世堅</w:t>
      </w:r>
    </w:p>
    <w:p w14:paraId="5ACA66EE" w14:textId="4FB77F98"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連署人：賴惠員　李坤城</w:t>
      </w:r>
    </w:p>
    <w:p w14:paraId="21DB9380"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4A7A8A">
        <w:rPr>
          <w:rFonts w:ascii="標楷體" w:eastAsia="標楷體" w:hAnsi="標楷體" w:hint="eastAsia"/>
          <w:color w:val="000000" w:themeColor="text1"/>
          <w:kern w:val="0"/>
          <w:sz w:val="32"/>
          <w:szCs w:val="32"/>
        </w:rPr>
        <w:t xml:space="preserve">　　(四)114年度行政院主計總處預算案於第1目「一般行政」項下「政府內部控制監督機制規劃及督導」編列229萬4千元。行政院主計總處之職掌涵蓋，我國政府內部控制監督機制之規劃及推動。目前主要作為係要求各機關學校簽署內部控制聲明書及推動運用資訊工具協助內部稽核。有鑑於國際上，包括我國金融監督管理委員會，為推動金融機構等私部門問責制度之建立，目前刻正推動導入責任地圖制度，透過責任地圖紀錄公司內部管理與治理架構之整體樣貌，明定高階管理人員權責分配、內部呈報流程圖、完善交接程序等制度，確保當風險及舞弊事件發生時，明確問責對象。此制度有助於強化內稽內控效能，以及有利於各單位進行事前防堵、事後補漏，允宜考慮導入公部門。爰凍結該項預算二十分之一，俟行政院主計總處於3個月內，就責任地圖導入公部門內部控</w:t>
      </w:r>
      <w:r w:rsidRPr="004A7A8A">
        <w:rPr>
          <w:rFonts w:ascii="標楷體" w:eastAsia="標楷體" w:hAnsi="標楷體" w:hint="eastAsia"/>
          <w:color w:val="000000" w:themeColor="text1"/>
          <w:kern w:val="0"/>
          <w:sz w:val="32"/>
          <w:szCs w:val="32"/>
        </w:rPr>
        <w:lastRenderedPageBreak/>
        <w:t>制制度之可行性向立法院財政委員會提出書面報告後，始得動支。</w:t>
      </w:r>
    </w:p>
    <w:p w14:paraId="7FB66392" w14:textId="3854556E"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提案人：黃珊珊　陳玉珍　王鴻薇</w:t>
      </w:r>
    </w:p>
    <w:p w14:paraId="1316E296" w14:textId="77777777" w:rsidR="009D64D0" w:rsidRPr="004A7A8A"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4A7A8A">
        <w:rPr>
          <w:rFonts w:ascii="標楷體" w:eastAsia="標楷體" w:hAnsi="標楷體" w:hint="eastAsia"/>
          <w:color w:val="000000" w:themeColor="text1"/>
          <w:kern w:val="0"/>
          <w:sz w:val="32"/>
          <w:szCs w:val="32"/>
        </w:rPr>
        <w:t xml:space="preserve">　　(五)114年度行政院主計總處預算案於第2目「中央總預算核編及執行」編列531萬4千元。依據預算法第62條之1第2項規定：「前項辦理政策及業務宣導之預算，各主管機關應就其執行情形加強管理，按月於機關資訊公開區公布宣導主題、媒體類型、期程、金額、執行單位等事項，並於主計總處網站專區公布，按季送立法院備查。」有鑑於詐騙案件層出不窮，經分析許多案件發生於非實名制社群平台上，透過假冒金融機構及政府機關，濫用民眾對這些機構之信任，進而詐取財物，但此類社群平台處置案件經常極為緩慢。因此，兆豐國際商業銀行股份有限公司為避免客戶及社會大眾受不當訊息所誤導，於113年11月初率先宣布暫停在非實名制登錄之社群網站、平台、帳號投放任何廣告及業務行銷活動，更有諸多金融同業加入響應。公部門允宜思考是否要一同響應，暫停於非實名制平台投放廣告，以正視聽。爰凍結該項預算十分之一，俟行政院主計總處於3個月內，就113年中央政府各機關投放廣告於非實名制網路平台之金額與件數向立法院財政委員會提出書面報告後，始得動支。</w:t>
      </w:r>
    </w:p>
    <w:p w14:paraId="6FFF426C" w14:textId="343D5E66" w:rsidR="004A7A8A"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提案人：黃珊珊　陳玉珍　王鴻薇　李彥秀</w:t>
      </w:r>
    </w:p>
    <w:p w14:paraId="2EA41056" w14:textId="26730C31"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　</w:t>
      </w:r>
      <w:r w:rsidR="00EA5131" w:rsidRPr="00837C56">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賴士葆　</w:t>
      </w:r>
    </w:p>
    <w:p w14:paraId="67138AAE" w14:textId="52CAD29D"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連署人：林德福　羅明才　顏寬恒</w:t>
      </w:r>
    </w:p>
    <w:p w14:paraId="73BC3470"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六)114年度行政院主計總處預算案於第2目「中央總預算核編及執行」項下「中央總預算之核編與執行」編列468萬6千元。就人均歲出水準觀察各市縣平均每位民眾可享受之公共服務水準情形，檢視各市縣於獲得統籌分配稅款及補助、協助收入前後之變化，其中彰化縣人均財政能力排序在統籌分配稅款及補助、協助收入調整前後，該縣每位民眾可享之公共服務水準均居末位，而新北市、臺中市及新竹市之人均歲出經</w:t>
      </w:r>
      <w:r w:rsidRPr="00EA5131">
        <w:rPr>
          <w:rFonts w:ascii="標楷體" w:eastAsia="標楷體" w:hAnsi="標楷體" w:hint="eastAsia"/>
          <w:color w:val="000000" w:themeColor="text1"/>
          <w:kern w:val="0"/>
          <w:sz w:val="32"/>
          <w:szCs w:val="32"/>
        </w:rPr>
        <w:lastRenderedPageBreak/>
        <w:t>調整後序位低於原人均財政能力，與其他市縣相比調幅相對較大；此外，原住民地區鄉公所中央補助收入占比超過50%，補助收入之公平性對原鄉地區影響甚大。就人均歲出以觀，財源分配似尚有可精進調整之處，允宜適時滾動調整，以平衡各地方政府資源差異，並維持各區域一致性之公共服務水準，俾達全國經濟平衡發展之目標。爰凍結該項預算十分之一，俟行政院主計總處於1個月內向立法院財政委員會提出書面報告後，始得動支。</w:t>
      </w:r>
    </w:p>
    <w:p w14:paraId="163496DD" w14:textId="7336E9FB"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提案人：伍麗華</w:t>
      </w:r>
    </w:p>
    <w:p w14:paraId="7A8C5E98" w14:textId="03697892"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連署人：李坤城　王世堅</w:t>
      </w:r>
    </w:p>
    <w:p w14:paraId="7615E3E7"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七)查114年度行政院主計總處預算案於第2目「中央總預算核編及執行」項下「地方政府主計業務之督導與查核」編列「業務費」62萬8千元，列有通訊及一般事務印刷雜支等費用，考量政府債務未償還餘額逐年增加，是項費用可予減少，爰凍結該項預算十分之一，俟行政院主計總處向立法院財政委員會提出書面報告後，始得動支。</w:t>
      </w:r>
    </w:p>
    <w:p w14:paraId="40D50A55" w14:textId="48546E89"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提案人：賴士葆　顏寬恒　林德福　</w:t>
      </w:r>
    </w:p>
    <w:p w14:paraId="47FA2AA2"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八)114年度行政院主計總處預算案於第2目「中央總預算核編及執行」項下「地方政府主計業務之督導與查核」編列62萬8千元。自88年1月制定地方制度法，為配合修正財政收支劃分法及增修補助規範等，至今已經過了20餘年。各縣市政府財政狀況分配不均，造成地方建設多有窒礙難行之處，112年度各縣市政府之自籌財源占歲出比例仍然偏低，經統籌分配稅款調整後，多數縣市之自有財源占歲出比率多數仍未達到50%，行政院主計總處應積極協助地方政府檢討收入不足以及歲入下降之項目，以充裕地方財政，達成地方政府財政自主之目標，以利地方建設之推行。爰凍結該項預算十分之一，俟行政院主計總處於2個月內向立法院財政委員會提出書面報告後，始得動支。</w:t>
      </w:r>
    </w:p>
    <w:p w14:paraId="634254D4" w14:textId="0FB02A64"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提案人：顏寬恒　</w:t>
      </w:r>
    </w:p>
    <w:p w14:paraId="02BD29E7" w14:textId="3FB135F0"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837C56">
        <w:rPr>
          <w:rFonts w:ascii="標楷體" w:eastAsia="標楷體" w:hAnsi="標楷體" w:hint="eastAsia"/>
          <w:kern w:val="0"/>
          <w:sz w:val="32"/>
          <w:szCs w:val="32"/>
        </w:rPr>
        <w:t>連署人：王鴻薇　賴士葆</w:t>
      </w:r>
    </w:p>
    <w:p w14:paraId="2DFD3113"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九)114年度行政院主計總處預算案於第3目「特種基金預算核編及執行」編列266萬1千元。我國國營事業之管理，均依照國營事業管理法規定辦理。依照國營事業管理法第14條規定，國營事業之人員待遇及福利，應由行政院規定標準，並不得為標準以外之開支。惟我國國營事業雖多占各該事業之市場寡占地位(如台灣糖業股份有限公司、台灣自來水股份有限公司、台灣電力股份有限公司)，並非我國所有國營事業均如此。財政部所主管之國營金融事業，其所居之金融市場便是完全競爭之市場。準此，財政部對公股行庫之管理，似有參酌金融市場之現況，而有另定標準，而非僅適用行政院主計總處所編定之附屬單位預算共同項目編列作業規範之必要。爰凍結該項預算十分之一，俟行政院主計總處於3個月內，配合財政部就為使國營金融事業得於完全競爭之金融市場提升競爭力，就如何使公股金融事業之員工待遇，使之得以具備一定之市場競爭力所應為之法規調適、因應措施及相關實施期程向立法院財政委員會提出書面報告後，始得動支。</w:t>
      </w:r>
    </w:p>
    <w:p w14:paraId="65507B8C" w14:textId="3B24F53F" w:rsidR="00EA5131"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提案人：黃珊珊　陳玉珍　王鴻薇　賴士葆</w:t>
      </w:r>
    </w:p>
    <w:p w14:paraId="5BA08BF0" w14:textId="72E390DA" w:rsidR="00EA5131"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　</w:t>
      </w:r>
      <w:r w:rsidR="00EA5131" w:rsidRPr="00837C56">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顏寬恒　林德福　李彥秀　伍麗華</w:t>
      </w:r>
    </w:p>
    <w:p w14:paraId="39256D79" w14:textId="7E6F517C"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　</w:t>
      </w:r>
      <w:r w:rsidR="00EA5131" w:rsidRPr="00837C56">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郭國文</w:t>
      </w:r>
    </w:p>
    <w:p w14:paraId="6BE59B63" w14:textId="6F4FDF83"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連署人：李坤城　王世堅　羅明才　賴惠員</w:t>
      </w:r>
    </w:p>
    <w:p w14:paraId="62871C66"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十)自COVID-19疫情以來，國內物價上漲幅度甚大，然而行政機關各項一般事務支出未能合理調整，行政院主計總處雖表示並無硬性規定價格，但現實運作上，各機關多參考或揣摩行政院主計總處之意見。另外，各級兼任教師鐘點費標準偏低，近10年調漲幅度僅5%至29%，而外聘專家學者講座鐘點費上限2千元、國家級裁判每日上限1</w:t>
      </w:r>
      <w:r w:rsidRPr="00EA5131">
        <w:rPr>
          <w:rFonts w:ascii="標楷體" w:eastAsia="標楷體" w:hAnsi="標楷體"/>
          <w:color w:val="000000" w:themeColor="text1"/>
          <w:kern w:val="0"/>
          <w:sz w:val="32"/>
          <w:szCs w:val="32"/>
        </w:rPr>
        <w:t>,</w:t>
      </w:r>
      <w:r w:rsidRPr="00EA5131">
        <w:rPr>
          <w:rFonts w:ascii="標楷體" w:eastAsia="標楷體" w:hAnsi="標楷體" w:hint="eastAsia"/>
          <w:color w:val="000000" w:themeColor="text1"/>
          <w:kern w:val="0"/>
          <w:sz w:val="32"/>
          <w:szCs w:val="32"/>
        </w:rPr>
        <w:t>500元等等，又如各項委辦計畫經費編列基準，均遠低於市場行情，形同國家帶頭壓低薪資，實有通盤檢討之必要。爰凍結第4目「會計及決算業務」項下「會計事務處理及決算核編」預算50萬元，俟行</w:t>
      </w:r>
      <w:r w:rsidRPr="00EA5131">
        <w:rPr>
          <w:rFonts w:ascii="標楷體" w:eastAsia="標楷體" w:hAnsi="標楷體" w:hint="eastAsia"/>
          <w:color w:val="000000" w:themeColor="text1"/>
          <w:kern w:val="0"/>
          <w:sz w:val="32"/>
          <w:szCs w:val="32"/>
        </w:rPr>
        <w:lastRenderedPageBreak/>
        <w:t>政院主計總處於1個月內向立法院財政委員會提出書面報告後，始得動支。</w:t>
      </w:r>
    </w:p>
    <w:p w14:paraId="74596392" w14:textId="51027F67"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提案人：郭國文</w:t>
      </w:r>
    </w:p>
    <w:p w14:paraId="244DD52C" w14:textId="5C6BE435"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連署人：伍麗華　賴惠員</w:t>
      </w:r>
    </w:p>
    <w:p w14:paraId="58F7B9A5"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十ㄧ)查114年度行政院主計總處預算案於第5目「綜合統計業務」項下「辦理統計行政與統計標準」編列「業務費」205萬3千元。較113年度編列之148萬元高出57萬3千元；惟我國CPI長期被外界質疑失真，尤其對居住成本的估算；目前CPI僅調查房租，未納入房價，但行政院主計總處對房租指數抽樣之樣本數1</w:t>
      </w:r>
      <w:r w:rsidRPr="00EA5131">
        <w:rPr>
          <w:rFonts w:ascii="標楷體" w:eastAsia="標楷體" w:hAnsi="標楷體"/>
          <w:color w:val="000000" w:themeColor="text1"/>
          <w:kern w:val="0"/>
          <w:sz w:val="32"/>
          <w:szCs w:val="32"/>
        </w:rPr>
        <w:t>,</w:t>
      </w:r>
      <w:r w:rsidRPr="00EA5131">
        <w:rPr>
          <w:rFonts w:ascii="標楷體" w:eastAsia="標楷體" w:hAnsi="標楷體" w:hint="eastAsia"/>
          <w:color w:val="000000" w:themeColor="text1"/>
          <w:kern w:val="0"/>
          <w:sz w:val="32"/>
          <w:szCs w:val="32"/>
        </w:rPr>
        <w:t>350件且數年未調整，指數走勢與民間統計顯有落差，恐無法反映真實市況。據此，爰凍結該項預算五分之一，俟行政院主計總處提出提高房租指數抽樣之樣本數至萬戶以上，或研議逐步將房價、房貸及利率等因素納入CPI之方案，向立法院財政委員會提出書面報告後，始得動支。</w:t>
      </w:r>
    </w:p>
    <w:p w14:paraId="3299E5C7" w14:textId="6F88ED1C"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提案人：王世堅　</w:t>
      </w:r>
    </w:p>
    <w:p w14:paraId="5510E047" w14:textId="2469B34C"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連署人：賴惠員　李坤城</w:t>
      </w:r>
    </w:p>
    <w:p w14:paraId="0378ED99"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十二)114年度行政院主計總處預算案於第5目「綜合統計業務」項下「辦理綜合統計」編列1,416萬6千元。針對行政院主計總處現行CPI計算基準有調整及重新評估之必要以及行政院主計總處與中央銀行之間對CPI預測落差等問題，就現行CPI計算方式及計算基準有以下疑慮：1</w:t>
      </w:r>
      <w:r w:rsidRPr="00EA5131">
        <w:rPr>
          <w:rFonts w:ascii="標楷體" w:eastAsia="標楷體" w:hAnsi="標楷體"/>
          <w:color w:val="000000" w:themeColor="text1"/>
          <w:kern w:val="0"/>
          <w:sz w:val="32"/>
          <w:szCs w:val="32"/>
        </w:rPr>
        <w:t>.</w:t>
      </w:r>
      <w:r w:rsidRPr="00EA5131">
        <w:rPr>
          <w:rFonts w:ascii="標楷體" w:eastAsia="標楷體" w:hAnsi="標楷體" w:hint="eastAsia"/>
          <w:color w:val="000000" w:themeColor="text1"/>
          <w:kern w:val="0"/>
          <w:sz w:val="32"/>
          <w:szCs w:val="32"/>
        </w:rPr>
        <w:t>現行的CPI計算基準中，並未將房價反映在物價上。尤其是近期新青安上路後，許多民眾都加入購屋行列，每月的房貸支出應該也要納入物價計算，才能真實反映民眾生活成本。2</w:t>
      </w:r>
      <w:r w:rsidRPr="00EA5131">
        <w:rPr>
          <w:rFonts w:ascii="標楷體" w:eastAsia="標楷體" w:hAnsi="標楷體"/>
          <w:color w:val="000000" w:themeColor="text1"/>
          <w:kern w:val="0"/>
          <w:sz w:val="32"/>
          <w:szCs w:val="32"/>
        </w:rPr>
        <w:t>.</w:t>
      </w:r>
      <w:r w:rsidRPr="00EA5131">
        <w:rPr>
          <w:rFonts w:ascii="標楷體" w:eastAsia="標楷體" w:hAnsi="標楷體" w:hint="eastAsia"/>
          <w:color w:val="000000" w:themeColor="text1"/>
          <w:kern w:val="0"/>
          <w:sz w:val="32"/>
          <w:szCs w:val="32"/>
        </w:rPr>
        <w:t>現行CPI中房租項目的採樣標準雖然有做調整，但採樣的大多數仍是以房租變化較為穩定的社會住宅為主，而針對非社宅及包租代管的一般出租住宅則欠缺數據。但這部分民間房仲業者也有在做定期的分析，行政院主計總處無法做到的原因為何？爰凍結該項預算十分之一，俟行政院主計總</w:t>
      </w:r>
      <w:r w:rsidRPr="00EA5131">
        <w:rPr>
          <w:rFonts w:ascii="標楷體" w:eastAsia="標楷體" w:hAnsi="標楷體" w:hint="eastAsia"/>
          <w:color w:val="000000" w:themeColor="text1"/>
          <w:kern w:val="0"/>
          <w:sz w:val="32"/>
          <w:szCs w:val="32"/>
        </w:rPr>
        <w:lastRenderedPageBreak/>
        <w:t>處於3個月內向立法院財政委員會提出書面報告後，始得動支。</w:t>
      </w:r>
    </w:p>
    <w:p w14:paraId="513FA5FA" w14:textId="2ACB8C06"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提案人：賴惠員　伍麗華　李坤城</w:t>
      </w:r>
    </w:p>
    <w:p w14:paraId="11CF45C9"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十三)114年度行政院主計總處預算案於第5目「綜合統計業務」項下「辦理綜合統計」之「業務費」編列「贈送物價調查、金融業概況調查、民營電廠營運及投資概況調查、傳播業營收及固定投資概況調查與服務業營運及投資概況調查廠商紀念品」預算353萬3千元。有鑑於贈送紀念品之對象均為廠商，與向個別自然人調查後贈送禮品有別，似有檢討贈送紀念品之必要性。爰凍結該項預算五分之一，俟行政院主計總處於1個月內，就近3年採購及贈送廠商紀念品之概況及贈送紀念品是否明顯有助於提升廠商受訪意願向立法院財政委員會提出書面報告後，始得動支。</w:t>
      </w:r>
    </w:p>
    <w:p w14:paraId="57B4DAF4" w14:textId="09CF4B1E"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提案人：黃珊珊　陳玉珍　王鴻薇</w:t>
      </w:r>
    </w:p>
    <w:p w14:paraId="50409F8D"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(十四)114年度行政院主計總處預算案於第6目「國勢普查業務」編列1億2,206萬3千元，相較於113年度預算數增加2,451萬元。但暌違30年引起社會高度重視，且更能反映台灣貧富差距問題的「國富統計」僅編列與</w:t>
      </w:r>
      <w:r w:rsidRPr="00EA5131">
        <w:rPr>
          <w:rFonts w:ascii="標楷體" w:eastAsia="標楷體" w:hAnsi="標楷體"/>
          <w:color w:val="000000" w:themeColor="text1"/>
          <w:kern w:val="0"/>
          <w:sz w:val="32"/>
          <w:szCs w:val="32"/>
        </w:rPr>
        <w:t>113</w:t>
      </w:r>
      <w:r w:rsidRPr="00EA5131">
        <w:rPr>
          <w:rFonts w:ascii="標楷體" w:eastAsia="標楷體" w:hAnsi="標楷體" w:hint="eastAsia"/>
          <w:color w:val="000000" w:themeColor="text1"/>
          <w:kern w:val="0"/>
          <w:sz w:val="32"/>
          <w:szCs w:val="32"/>
        </w:rPr>
        <w:t>年度相同的經費70萬3千元，且一般業務費占絕大多數。新政府上任，行政院主計總處對未來國勢普查業務應有更明確與完整檢討與規劃。綜合上述，爰凍結「國富統計」預算二分之一，俟行政院主計總處向立法院財政委員會提出書面報告後，始得動支。</w:t>
      </w:r>
    </w:p>
    <w:p w14:paraId="5A35C70D" w14:textId="0AC60DAE"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提案人：李彥秀　賴士葆　王鴻薇</w:t>
      </w:r>
    </w:p>
    <w:p w14:paraId="5C222DF7" w14:textId="77777777" w:rsidR="009D64D0" w:rsidRPr="00EA5131"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EA5131">
        <w:rPr>
          <w:rFonts w:ascii="標楷體" w:eastAsia="標楷體" w:hAnsi="標楷體" w:hint="eastAsia"/>
          <w:color w:val="000000" w:themeColor="text1"/>
          <w:kern w:val="0"/>
          <w:sz w:val="32"/>
          <w:szCs w:val="32"/>
        </w:rPr>
        <w:t xml:space="preserve">　　(十五)114年度行政院主計總處預算案於第6目「國勢普查業務」項下「各機關統計調查及調查網管理」編列1,779萬1千元。國家統計資料經常未有原住民族數據，難以分析原住民族現況，進而造成施政方針擬定困難。基於族群主流化，族群相關之分析應如同性別，普遍落實於政府機關各統計，俾利族群主流化之施政方針，提升各機關對族群之敏感</w:t>
      </w:r>
      <w:r w:rsidRPr="00EA5131">
        <w:rPr>
          <w:rFonts w:ascii="標楷體" w:eastAsia="標楷體" w:hAnsi="標楷體" w:hint="eastAsia"/>
          <w:color w:val="000000" w:themeColor="text1"/>
          <w:kern w:val="0"/>
          <w:sz w:val="32"/>
          <w:szCs w:val="32"/>
        </w:rPr>
        <w:lastRenderedPageBreak/>
        <w:t>度。爰凍結該項預算十分之一，俟行政院主計總處於1個月內向立法院財政委員會提出書面報告後，始得動支。</w:t>
      </w:r>
    </w:p>
    <w:p w14:paraId="264A3A51" w14:textId="1ADE0367"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提案人：伍麗華</w:t>
      </w:r>
    </w:p>
    <w:p w14:paraId="08AC0A40" w14:textId="40DEA58C"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連署人：李坤城　王世堅</w:t>
      </w:r>
    </w:p>
    <w:p w14:paraId="4B11DE0A" w14:textId="77777777" w:rsidR="009D64D0" w:rsidRPr="00B64BB2"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B64BB2">
        <w:rPr>
          <w:rFonts w:ascii="標楷體" w:eastAsia="標楷體" w:hAnsi="標楷體" w:hint="eastAsia"/>
          <w:color w:val="000000" w:themeColor="text1"/>
          <w:kern w:val="0"/>
          <w:sz w:val="32"/>
          <w:szCs w:val="32"/>
        </w:rPr>
        <w:t xml:space="preserve">　　(十六)114年度行政院主計總處預算案於第8目「主計資訊業務」編列1億4,778萬5千元。推廣電子發票是我國的重要國策，除了減少紙張浪費外，更重要的是結合電子帳務系統協助商家、政府，在稅務申報、經費報支時，可以更加簡便。為推動電子發票使用，同時減少公務員核銷時的作業時間，台北市政府曾大力響應中央政策推行電子化核銷，透過政府採購做為政策引導，鼓勵公務員多採購使用電子發票的商家，達成推廣電子發票、節約資源、提高效率、增加中央營業稅收入目的。又據行政院主計總處105年新加坡內稽內控出國考察報告觀察，自97年起新加坡政府要求所有參與政府採購之廠商均須開立電子發票，以避免人工開立發票可能產生錯誤，或紙本發票遺失等情形。爰凍結該項預算二十分之一，俟行政院主計總處於1個月內，就強化數位政府效能，提升電子化核銷推動方針及時程計畫並說明電子發票執行現況，向立法院財政委員會提出書面報告後，始得動支。</w:t>
      </w:r>
    </w:p>
    <w:p w14:paraId="07800698" w14:textId="27125C31"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提案人：黃珊珊　陳玉珍　王鴻薇　郭國文</w:t>
      </w:r>
    </w:p>
    <w:p w14:paraId="5589AA58" w14:textId="6FC7D236"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連署人：伍麗華　賴惠員</w:t>
      </w:r>
    </w:p>
    <w:p w14:paraId="1D58C37E" w14:textId="77777777" w:rsidR="009D64D0" w:rsidRPr="00B64BB2"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B64BB2">
        <w:rPr>
          <w:rFonts w:ascii="標楷體" w:eastAsia="標楷體" w:hAnsi="標楷體" w:hint="eastAsia"/>
          <w:color w:val="000000" w:themeColor="text1"/>
          <w:kern w:val="0"/>
          <w:sz w:val="32"/>
          <w:szCs w:val="32"/>
        </w:rPr>
        <w:t xml:space="preserve">　　(十七)查114年度行政院主計總處預算案於第2目「中央總預算核編及執行」項下「中央總預算之核編與執行」之「業務費」編列「一般事務費」302萬元，列有編印作業手冊及相關預算表等費用，考量政府債務未償還餘額逐年增加，是項費用可予減少，爰請行政院主計總處向立法院財政委員會提出書面報告。</w:t>
      </w:r>
    </w:p>
    <w:p w14:paraId="04F61B35" w14:textId="6E418A55" w:rsidR="002D7DC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提案人：賴士葆　顏寬恒　林德福　李坤城</w:t>
      </w:r>
    </w:p>
    <w:p w14:paraId="71508439" w14:textId="7BB51B10"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 xml:space="preserve">　</w:t>
      </w:r>
      <w:r w:rsidR="002D7DC6" w:rsidRPr="00837C56">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吳秉叡　賴惠員</w:t>
      </w:r>
    </w:p>
    <w:p w14:paraId="38ED7B8A" w14:textId="77777777" w:rsidR="009D64D0" w:rsidRPr="00B64BB2"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B64BB2">
        <w:rPr>
          <w:rFonts w:ascii="標楷體" w:eastAsia="標楷體" w:hAnsi="標楷體" w:hint="eastAsia"/>
          <w:color w:val="000000" w:themeColor="text1"/>
          <w:kern w:val="0"/>
          <w:sz w:val="32"/>
          <w:szCs w:val="32"/>
        </w:rPr>
        <w:lastRenderedPageBreak/>
        <w:t xml:space="preserve">　　(十八)114年度行政院主計總處預算案於第5目「綜合統計業務」編列3</w:t>
      </w:r>
      <w:r w:rsidRPr="00B64BB2">
        <w:rPr>
          <w:rFonts w:ascii="標楷體" w:eastAsia="標楷體" w:hAnsi="標楷體"/>
          <w:color w:val="000000" w:themeColor="text1"/>
          <w:kern w:val="0"/>
          <w:sz w:val="32"/>
          <w:szCs w:val="32"/>
        </w:rPr>
        <w:t>,</w:t>
      </w:r>
      <w:r w:rsidRPr="00B64BB2">
        <w:rPr>
          <w:rFonts w:ascii="標楷體" w:eastAsia="標楷體" w:hAnsi="標楷體" w:hint="eastAsia"/>
          <w:color w:val="000000" w:themeColor="text1"/>
          <w:kern w:val="0"/>
          <w:sz w:val="32"/>
          <w:szCs w:val="32"/>
        </w:rPr>
        <w:t>022萬8千元，較113年度增幅約10%。經查，政府各部門政策之推動高度仰賴有效之統計，其中戶籍制度更是重要連結，舉凡教育、社福、民社政等政策推動與補助，多與戶籍制度掛勾。然而我國為高度移動自由國家，加以租屋不易設籍等現實考量，人籍不合之情形相當普遍，而學術界多年來也多有呼籲應重視普查工作，或改進現有抽查技巧，務必使調查統計數據貼近現實狀況，以利各級機關據以規劃推動政策，並彌補各項政策補助與戶籍制度掛勾而無法享受補助之民眾，並讓政府各項補助能落實於真正需要之人。爰請行政院主計總處向立法院財政委員會提出書面報告。</w:t>
      </w:r>
    </w:p>
    <w:p w14:paraId="09A9284A" w14:textId="0B9372F7"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提案人：郭國文</w:t>
      </w:r>
    </w:p>
    <w:p w14:paraId="397B597A" w14:textId="5079D716"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連署人：伍麗華　賴惠員</w:t>
      </w:r>
    </w:p>
    <w:p w14:paraId="4C2478CF" w14:textId="77777777" w:rsidR="009D64D0" w:rsidRPr="00B64BB2"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color w:val="000000" w:themeColor="text1"/>
          <w:kern w:val="0"/>
          <w:sz w:val="32"/>
          <w:szCs w:val="32"/>
        </w:rPr>
      </w:pPr>
      <w:r w:rsidRPr="00B64BB2">
        <w:rPr>
          <w:rFonts w:ascii="標楷體" w:eastAsia="標楷體" w:hAnsi="標楷體" w:hint="eastAsia"/>
          <w:color w:val="000000" w:themeColor="text1"/>
          <w:kern w:val="0"/>
          <w:sz w:val="32"/>
          <w:szCs w:val="32"/>
        </w:rPr>
        <w:t xml:space="preserve">　　(十九)有鑑於預算法第6</w:t>
      </w:r>
      <w:r w:rsidRPr="00B64BB2">
        <w:rPr>
          <w:rFonts w:ascii="標楷體" w:eastAsia="標楷體" w:hAnsi="標楷體"/>
          <w:color w:val="000000" w:themeColor="text1"/>
          <w:kern w:val="0"/>
          <w:sz w:val="32"/>
          <w:szCs w:val="32"/>
        </w:rPr>
        <w:t>3</w:t>
      </w:r>
      <w:r w:rsidRPr="00B64BB2">
        <w:rPr>
          <w:rFonts w:ascii="標楷體" w:eastAsia="標楷體" w:hAnsi="標楷體" w:hint="eastAsia"/>
          <w:color w:val="000000" w:themeColor="text1"/>
          <w:kern w:val="0"/>
          <w:sz w:val="32"/>
          <w:szCs w:val="32"/>
        </w:rPr>
        <w:t>條規定各機關之歲出分配預算，其計畫或業務科目之各用途別科目中有一科目之經費不足，而他科目有賸餘時，得辦理流用，由於允許流用金額高達原預算數額20%，造成各機關在執行過程中頻繁流用，勢必削弱預算控制力與透明度，進而影響財政紀律，為有效限制預算用途別科目流用彈性，促使各部會謹慎預算編列使用，爰要求行政院主計總處將經費流用上限從20%調降至5%可行性研究，及對近5年流用大數據進行研析，並分類檢討衍生因素，於3個月內向立法院財政委員會提出具體作法。</w:t>
      </w:r>
    </w:p>
    <w:p w14:paraId="2E3B6EB9" w14:textId="4B6A9F64" w:rsidR="009D64D0" w:rsidRPr="00837C56"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837C56">
        <w:rPr>
          <w:rFonts w:ascii="標楷體" w:eastAsia="標楷體" w:hAnsi="標楷體" w:hint="eastAsia"/>
          <w:kern w:val="0"/>
          <w:sz w:val="32"/>
          <w:szCs w:val="32"/>
        </w:rPr>
        <w:t>提案人：賴士葆　顏寬恒　林德福</w:t>
      </w:r>
    </w:p>
    <w:p w14:paraId="39137AA9" w14:textId="77777777" w:rsidR="009D64D0" w:rsidRPr="00B64BB2"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B64BB2">
        <w:rPr>
          <w:rFonts w:ascii="標楷體" w:eastAsia="標楷體" w:hAnsi="標楷體" w:hint="eastAsia"/>
          <w:color w:val="000000" w:themeColor="text1"/>
          <w:kern w:val="0"/>
          <w:sz w:val="32"/>
          <w:szCs w:val="32"/>
        </w:rPr>
        <w:t xml:space="preserve">　　(二　十)有鑑於預算法規定各機關之歲出分配預算，其計畫或各用途別科目允許流用原預算數額20%，致造成各機關在執行過程中頻繁流用，為使資訊公開透明。爰要求行政院主計總處按單位預算書內各項費用彙計表內之格式區分工作計畫、第一級用途別科目、原預算數、流入數、</w:t>
      </w:r>
      <w:r w:rsidRPr="00B64BB2">
        <w:rPr>
          <w:rFonts w:ascii="標楷體" w:eastAsia="標楷體" w:hAnsi="標楷體" w:hint="eastAsia"/>
          <w:color w:val="000000" w:themeColor="text1"/>
          <w:kern w:val="0"/>
          <w:sz w:val="32"/>
          <w:szCs w:val="32"/>
        </w:rPr>
        <w:lastRenderedPageBreak/>
        <w:t>流出數、流用後預算數、決算數、流用比例及預期效益說明，編製前一年度預算書與決算書之各項費用流用統計分析表，另預算單位網站應同時公布上述統計分析表，於3個月內向立法院財政委員會提出具體作法。</w:t>
      </w:r>
    </w:p>
    <w:p w14:paraId="3B557BDD" w14:textId="1C5A8D28"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提案人：賴士葆　顏寬恒　林德福</w:t>
      </w:r>
    </w:p>
    <w:p w14:paraId="597D984A"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ㄧ)114年度行政院主計總處預算案於第2目「中央總預算核編及執行」業務計畫項下「地方政府主計業務之督導與查核」分支計畫編列62萬8千元，係督導地方預算編製及執行業務暨預算資料蒐集與分析；惟自88年1月制定地方制度法與其後配合修正財政收支劃分法及增修補助規範等，迄今業經20餘年；然地方政府財政狀況原即豐瘠不均，各市縣自籌財源占歲出比例仍多偏低，尤以縣市該占比甚偏低，經統籌分配稅款調整後，多數縣市之自有財源占歲出比率多數仍未及50%。請行政院主計總處針對督導查核地方預算執行缺失情形，研議有效補救辦法，並於1個月內向立法院財政委員會提出書面報告。</w:t>
      </w:r>
    </w:p>
    <w:p w14:paraId="424821E7" w14:textId="75630275"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提案人：林德福　羅明才　賴士葆</w:t>
      </w:r>
    </w:p>
    <w:p w14:paraId="64497EA5"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二)有鑑於各部會特別收入基金財務管理及運作之良窳，影響政府財政甚鉅，而部分特別收入基金缺乏獨立特定收入財源而多仰賴國庫撥款，且性質偏屬公務功能，與預算法第4條特別收入基金相關規定未盡相符。爰要求行政院主計總處針對114年度特別收入基金預計短絀者提出檢討改編列單位預算或予以裁撤之可行性，於3個月內向立法院財政委員會提具體作法之書面報告。</w:t>
      </w:r>
    </w:p>
    <w:p w14:paraId="728C7713" w14:textId="26818D41"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提案人：賴士葆　王鴻薇　陳玉珍</w:t>
      </w:r>
    </w:p>
    <w:p w14:paraId="11C10CC4"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三)近年非營業特種基金單位數逐年增加，支出規模龐大，且部分因財源過度仰賴國庫撥補，限縮了政府統籌規劃及運用財政收入的能力，恐排擠其他重要施政經費需求，爰要求行政院主計總處妥善檢討非營業特種基金的存</w:t>
      </w:r>
      <w:r w:rsidRPr="003D3239">
        <w:rPr>
          <w:rFonts w:ascii="標楷體" w:eastAsia="標楷體" w:hAnsi="標楷體" w:hint="eastAsia"/>
          <w:color w:val="000000" w:themeColor="text1"/>
          <w:kern w:val="0"/>
          <w:sz w:val="32"/>
          <w:szCs w:val="32"/>
        </w:rPr>
        <w:lastRenderedPageBreak/>
        <w:t>續，辦理加強輔導或辦理退場，以利政府財政健全，並於3個月內向立法院財政委員會提出書面報告。</w:t>
      </w:r>
    </w:p>
    <w:p w14:paraId="36136E3B" w14:textId="4DE1539E"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提案人：羅明才　賴士葆　陳玉珍</w:t>
      </w:r>
    </w:p>
    <w:p w14:paraId="22789BA9"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四)立法院預算中心評估報告指出，112年度非營業特種基金固定資產建設改良擴充計畫整體預算執行率未達七成，其中部分基金執行率已連續3年未達八成，尤有甚者，部分非營業特種基金固定資產建設改良擴充計畫尚保留108年度以前預算。請行政院主計總處針對相關非營業特種基金預算執行狀況，於3個月內向立法院財政委員會提出書面報告。</w:t>
      </w:r>
    </w:p>
    <w:p w14:paraId="07F86E27" w14:textId="1353F894"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提案人：林德福　羅明才　賴士葆</w:t>
      </w:r>
    </w:p>
    <w:p w14:paraId="60A673C8"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五)近6年中央政府特別收入基金接受公庫撥款收入總額均逾千億元，114年度受撥數僅低於111年度，其中10個(分)基金高度仰賴國庫撥款收入，並有7個(分)基金自111年度起連續4年接受公庫撥補收入占比逾九成，除與預算法第4條特別收入基金相關規定意旨未盡相符外，亦影響政府財政統籌調度能力；尤有甚者，基金於111至114年度間受撥補收入多呈增長趨勢，恐影響排擠政府其他重要施政計畫，無疑造成政府財政負擔。請行政院主計總處說明理由及因應對策，並於3個月內向立法院財政委員會提出書面報告。</w:t>
      </w:r>
    </w:p>
    <w:p w14:paraId="6CB4A089" w14:textId="5D4D02E1"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提案人：林德福　羅明才　賴士葆</w:t>
      </w:r>
    </w:p>
    <w:p w14:paraId="687FA2A6"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六)按行政院主計總處近期公布台灣家庭財富分配統計結果：110年時台灣每戶家庭平均財富1,638萬元，而前20%家庭平均財富5,133萬元，後20%家庭平均財富77萬元，差距高達66.9倍，顯見我國貧富差距持續擴大；此外，我國員工薪資報酬占國內生產毛額已持續數年不到44%，遠低於美日韓，恐加劇我國貧富差距擴大。另就過去1</w:t>
      </w:r>
      <w:r w:rsidRPr="003D3239">
        <w:rPr>
          <w:rFonts w:ascii="標楷體" w:eastAsia="標楷體" w:hAnsi="標楷體"/>
          <w:color w:val="000000" w:themeColor="text1"/>
          <w:kern w:val="0"/>
          <w:sz w:val="32"/>
          <w:szCs w:val="32"/>
        </w:rPr>
        <w:t>0</w:t>
      </w:r>
      <w:r w:rsidRPr="003D3239">
        <w:rPr>
          <w:rFonts w:ascii="標楷體" w:eastAsia="標楷體" w:hAnsi="標楷體" w:hint="eastAsia"/>
          <w:color w:val="000000" w:themeColor="text1"/>
          <w:kern w:val="0"/>
          <w:sz w:val="32"/>
          <w:szCs w:val="32"/>
        </w:rPr>
        <w:t>年政府不斷調高最低工資，但結果卻是最高薪與最低薪者調幅高，但中等薪資者變化小，導致仍有超過三分</w:t>
      </w:r>
      <w:r w:rsidRPr="003D3239">
        <w:rPr>
          <w:rFonts w:ascii="標楷體" w:eastAsia="標楷體" w:hAnsi="標楷體" w:hint="eastAsia"/>
          <w:color w:val="000000" w:themeColor="text1"/>
          <w:kern w:val="0"/>
          <w:sz w:val="32"/>
          <w:szCs w:val="32"/>
        </w:rPr>
        <w:lastRenderedPageBreak/>
        <w:t>之二勞工，領不到薪資平均數。鑑此，請行政院主計總處針對我國中等薪資者薪資成長率過低之原因分析及相比鄰國我國員工薪資報酬占國內生產毛額之比例為何較低兩者為題，於2個月內向立法院財政委員會提出書面報告。</w:t>
      </w:r>
    </w:p>
    <w:p w14:paraId="038FB651" w14:textId="7699FCF0"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 xml:space="preserve">提案人：王世堅　</w:t>
      </w:r>
    </w:p>
    <w:p w14:paraId="3B51E624" w14:textId="432E5A78"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連署人：賴惠員　李坤城</w:t>
      </w:r>
    </w:p>
    <w:p w14:paraId="4FF6CD11"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七)為減少紙本使用及運送至各立委研究室之成本浪費，中央政府總預算案與附屬單位預算及其綜計表，自115年度總預算起，除洽詢統計之個別立委紙本預算書需求數外，行政院主計總處應以提供電子檔為原則，並於年度總預算報告質詢前，上傳立法院預決算知識庫網頁。</w:t>
      </w:r>
    </w:p>
    <w:p w14:paraId="4A25E4C9" w14:textId="55C7B069"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提案人：李坤城　吳秉叡　賴惠員</w:t>
      </w:r>
    </w:p>
    <w:p w14:paraId="2AC6C42B" w14:textId="77777777" w:rsidR="009D64D0" w:rsidRPr="003D3239"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olor w:val="000000" w:themeColor="text1"/>
          <w:kern w:val="0"/>
          <w:sz w:val="32"/>
          <w:szCs w:val="32"/>
        </w:rPr>
      </w:pPr>
      <w:r w:rsidRPr="003D3239">
        <w:rPr>
          <w:rFonts w:ascii="標楷體" w:eastAsia="標楷體" w:hAnsi="標楷體" w:hint="eastAsia"/>
          <w:color w:val="000000" w:themeColor="text1"/>
          <w:kern w:val="0"/>
          <w:sz w:val="32"/>
          <w:szCs w:val="32"/>
        </w:rPr>
        <w:t xml:space="preserve">　　(二十八)總統府氣候變遷對策委員會第二次會議，提出深度節能方案，公部門等應一起帶頭節能。查行政院主計總處112年度用電度數為209萬6,875度，每月平均17萬4,739度，113年1至7月用電度數為113萬5,943度，每月平均16萬2,277度，然114年度用電預算編列僅依台灣電力股份有限公司電價調整原則，對應行業別調幅為14%，因此，114年度預算數增幅為13</w:t>
      </w:r>
      <w:r w:rsidRPr="003D3239">
        <w:rPr>
          <w:rFonts w:ascii="標楷體" w:eastAsia="標楷體" w:hAnsi="標楷體"/>
          <w:color w:val="000000" w:themeColor="text1"/>
          <w:kern w:val="0"/>
          <w:sz w:val="32"/>
          <w:szCs w:val="32"/>
        </w:rPr>
        <w:t>.2%</w:t>
      </w:r>
      <w:r w:rsidRPr="003D3239">
        <w:rPr>
          <w:rFonts w:ascii="標楷體" w:eastAsia="標楷體" w:hAnsi="標楷體" w:hint="eastAsia"/>
          <w:color w:val="000000" w:themeColor="text1"/>
          <w:kern w:val="0"/>
          <w:sz w:val="32"/>
          <w:szCs w:val="32"/>
        </w:rPr>
        <w:t>，完全沒有節能用電之思維，爰要求行政院主計總處於</w:t>
      </w:r>
      <w:r w:rsidRPr="003D3239">
        <w:rPr>
          <w:rFonts w:ascii="標楷體" w:eastAsia="標楷體" w:hAnsi="標楷體"/>
          <w:color w:val="000000" w:themeColor="text1"/>
          <w:kern w:val="0"/>
          <w:sz w:val="32"/>
          <w:szCs w:val="32"/>
        </w:rPr>
        <w:t>3</w:t>
      </w:r>
      <w:r w:rsidRPr="003D3239">
        <w:rPr>
          <w:rFonts w:ascii="標楷體" w:eastAsia="標楷體" w:hAnsi="標楷體" w:hint="eastAsia"/>
          <w:color w:val="000000" w:themeColor="text1"/>
          <w:kern w:val="0"/>
          <w:sz w:val="32"/>
          <w:szCs w:val="32"/>
        </w:rPr>
        <w:t>個月內提出節能用電計畫，並向立法院財政委員會提出書面報告。</w:t>
      </w:r>
    </w:p>
    <w:p w14:paraId="26607499" w14:textId="02CAB2C2" w:rsidR="009D64D0" w:rsidRPr="006578A7"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6578A7">
        <w:rPr>
          <w:rFonts w:ascii="標楷體" w:eastAsia="標楷體" w:hAnsi="標楷體" w:hint="eastAsia"/>
          <w:kern w:val="0"/>
          <w:sz w:val="32"/>
          <w:szCs w:val="32"/>
        </w:rPr>
        <w:t>提案人：李坤城　吳秉叡　賴惠員</w:t>
      </w:r>
    </w:p>
    <w:p w14:paraId="5D65D64A"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s="華康細明體"/>
          <w:kern w:val="0"/>
          <w:sz w:val="32"/>
          <w:szCs w:val="32"/>
        </w:rPr>
      </w:pPr>
      <w:r w:rsidRPr="00BD47C4">
        <w:rPr>
          <w:rFonts w:ascii="標楷體" w:eastAsia="標楷體" w:hAnsi="標楷體" w:cs="華康細明體" w:hint="eastAsia"/>
          <w:kern w:val="0"/>
          <w:sz w:val="32"/>
          <w:szCs w:val="32"/>
        </w:rPr>
        <w:t xml:space="preserve">　第</w:t>
      </w:r>
      <w:r w:rsidRPr="00BD47C4">
        <w:rPr>
          <w:rFonts w:ascii="標楷體" w:eastAsia="標楷體" w:hAnsi="標楷體" w:cs="華康細明體"/>
          <w:kern w:val="0"/>
          <w:sz w:val="32"/>
          <w:szCs w:val="32"/>
        </w:rPr>
        <w:t>6</w:t>
      </w:r>
      <w:r w:rsidRPr="00BD47C4">
        <w:rPr>
          <w:rFonts w:ascii="標楷體" w:eastAsia="標楷體" w:hAnsi="標楷體" w:cs="華康細明體" w:hint="eastAsia"/>
          <w:kern w:val="0"/>
          <w:sz w:val="32"/>
          <w:szCs w:val="32"/>
        </w:rPr>
        <w:t>款　監察院主管</w:t>
      </w:r>
    </w:p>
    <w:p w14:paraId="26DAC461" w14:textId="77777777" w:rsidR="009D64D0" w:rsidRPr="00BD47C4" w:rsidRDefault="009D64D0" w:rsidP="00F470A8">
      <w:pPr>
        <w:widowControl w:val="0"/>
        <w:tabs>
          <w:tab w:val="left" w:pos="1134"/>
          <w:tab w:val="left" w:pos="1418"/>
        </w:tabs>
        <w:kinsoku w:val="0"/>
        <w:overflowPunct w:val="0"/>
        <w:autoSpaceDE w:val="0"/>
        <w:adjustRightInd w:val="0"/>
        <w:spacing w:line="480" w:lineRule="exact"/>
        <w:ind w:left="1760" w:hangingChars="550" w:hanging="176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第</w:t>
      </w:r>
      <w:r w:rsidRPr="00BD47C4">
        <w:rPr>
          <w:rFonts w:ascii="標楷體" w:eastAsia="標楷體" w:hAnsi="標楷體"/>
          <w:kern w:val="2"/>
          <w:sz w:val="32"/>
          <w:szCs w:val="32"/>
        </w:rPr>
        <w:t>2</w:t>
      </w:r>
      <w:r w:rsidRPr="00BD47C4">
        <w:rPr>
          <w:rFonts w:ascii="標楷體" w:eastAsia="標楷體" w:hAnsi="標楷體" w:hint="eastAsia"/>
          <w:kern w:val="2"/>
          <w:sz w:val="32"/>
          <w:szCs w:val="32"/>
        </w:rPr>
        <w:t>項　審計部原列13億6,115萬5千元，減列第1目「一般行政」項下「基本行政工作維持」10萬元、「辦公事務設備汰換及辦公廳舍整修」50萬元、第2目「中央政府審計」項下「中央政府審計工作」10萬元，共計減列70萬元(科目均自行調整)，其餘均照列，改列為13億6,045萬5千元。</w:t>
      </w:r>
    </w:p>
    <w:p w14:paraId="31AC7B81" w14:textId="77777777" w:rsidR="009D64D0" w:rsidRPr="00BD47C4" w:rsidRDefault="009D64D0" w:rsidP="00F470A8">
      <w:pPr>
        <w:widowControl w:val="0"/>
        <w:tabs>
          <w:tab w:val="left" w:pos="1134"/>
          <w:tab w:val="left" w:pos="1418"/>
        </w:tabs>
        <w:kinsoku w:val="0"/>
        <w:overflowPunct w:val="0"/>
        <w:autoSpaceDE w:val="0"/>
        <w:adjustRightInd w:val="0"/>
        <w:spacing w:line="480" w:lineRule="exact"/>
        <w:ind w:left="1760" w:hangingChars="550" w:hanging="176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本項通過決議17項：</w:t>
      </w:r>
    </w:p>
    <w:p w14:paraId="410ADB88"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lastRenderedPageBreak/>
        <w:t xml:space="preserve">　　(一)查</w:t>
      </w:r>
      <w:r w:rsidRPr="00BD47C4">
        <w:rPr>
          <w:rFonts w:ascii="標楷體" w:eastAsia="標楷體" w:hAnsi="標楷體"/>
          <w:kern w:val="2"/>
          <w:sz w:val="32"/>
          <w:szCs w:val="32"/>
        </w:rPr>
        <w:t>114年度審計部預算案於第1目「一般行政」項下「基本行政工作維持」中「業務費」之「物品」編列407萬3千元。</w:t>
      </w:r>
      <w:r w:rsidRPr="00BD47C4">
        <w:rPr>
          <w:rFonts w:ascii="標楷體" w:eastAsia="標楷體" w:hAnsi="標楷體" w:hint="eastAsia"/>
          <w:kern w:val="2"/>
          <w:sz w:val="32"/>
          <w:szCs w:val="32"/>
        </w:rPr>
        <w:t>次查，113年度同項目編列預算數為391萬4千元、112年度同項目決算數為340萬9千元，每年呈現上升趨勢，但並未明確說明為何需要增列。且從112年度決算書中亦可看出，340萬元之經費已可支應審計部一整年度之物品費花費，應無再逐年增列之必要。再查，114年度審計部編列歲入預算中「廢舊物資售費」占14萬8千元，其中包含廢棄紙張及報廢財產等資源，顯見前開物品項下部分影印之文書並未被妥善使用，有浪費之疑慮。鑑此，為配合環境部節約資源、永續利用的政策目標；並考量近年世界情勢變化劇烈、為預防國家財政受全球化趨勢影響陷入蕭條，應撙節政府支出以備不時之需。</w:t>
      </w:r>
      <w:r w:rsidRPr="00BD47C4">
        <w:rPr>
          <w:rFonts w:ascii="標楷體" w:eastAsia="標楷體" w:hAnsi="標楷體"/>
          <w:kern w:val="2"/>
          <w:sz w:val="32"/>
          <w:szCs w:val="32"/>
        </w:rPr>
        <w:t>爰凍結該項預算</w:t>
      </w:r>
      <w:r w:rsidRPr="00BD47C4">
        <w:rPr>
          <w:rFonts w:ascii="標楷體" w:eastAsia="標楷體" w:hAnsi="標楷體" w:hint="eastAsia"/>
          <w:kern w:val="2"/>
          <w:sz w:val="32"/>
          <w:szCs w:val="32"/>
        </w:rPr>
        <w:t>十分之一</w:t>
      </w:r>
      <w:r w:rsidRPr="00BD47C4">
        <w:rPr>
          <w:rFonts w:ascii="標楷體" w:eastAsia="標楷體" w:hAnsi="標楷體"/>
          <w:kern w:val="2"/>
          <w:sz w:val="32"/>
          <w:szCs w:val="32"/>
        </w:rPr>
        <w:t>，俟審計部於3個月內向立法院財政委員會提出書面報告後，始得動支</w:t>
      </w:r>
      <w:r w:rsidRPr="00BD47C4">
        <w:rPr>
          <w:rFonts w:ascii="標楷體" w:eastAsia="標楷體" w:hAnsi="標楷體" w:hint="eastAsia"/>
          <w:kern w:val="2"/>
          <w:sz w:val="32"/>
          <w:szCs w:val="32"/>
        </w:rPr>
        <w:t>。</w:t>
      </w:r>
    </w:p>
    <w:p w14:paraId="5894B7D0" w14:textId="065D9A8F"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 xml:space="preserve">提案人：賴惠員　</w:t>
      </w:r>
    </w:p>
    <w:p w14:paraId="5C5C845F" w14:textId="7DEEB98F"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連署人：伍麗華　李坤城</w:t>
      </w:r>
    </w:p>
    <w:p w14:paraId="644F1A3C"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(二)</w:t>
      </w:r>
      <w:r w:rsidRPr="00BD47C4">
        <w:rPr>
          <w:rFonts w:ascii="標楷體" w:eastAsia="標楷體" w:hAnsi="標楷體"/>
          <w:kern w:val="2"/>
          <w:sz w:val="32"/>
          <w:szCs w:val="32"/>
        </w:rPr>
        <w:t>114</w:t>
      </w:r>
      <w:r w:rsidRPr="00BD47C4">
        <w:rPr>
          <w:rFonts w:ascii="標楷體" w:eastAsia="標楷體" w:hAnsi="標楷體" w:hint="eastAsia"/>
          <w:kern w:val="2"/>
          <w:sz w:val="32"/>
          <w:szCs w:val="32"/>
        </w:rPr>
        <w:t>年度審計部預算案於第2目「中央政府審計」項下「中央政府審計工作」中「業務費」之「委辦費」編列1</w:t>
      </w:r>
      <w:r w:rsidRPr="00BD47C4">
        <w:rPr>
          <w:rFonts w:ascii="標楷體" w:eastAsia="標楷體" w:hAnsi="標楷體"/>
          <w:kern w:val="2"/>
          <w:sz w:val="32"/>
          <w:szCs w:val="32"/>
        </w:rPr>
        <w:t>50</w:t>
      </w:r>
      <w:r w:rsidRPr="00BD47C4">
        <w:rPr>
          <w:rFonts w:ascii="標楷體" w:eastAsia="標楷體" w:hAnsi="標楷體" w:hint="eastAsia"/>
          <w:kern w:val="2"/>
          <w:sz w:val="32"/>
          <w:szCs w:val="32"/>
        </w:rPr>
        <w:t>萬元，辦理：1.審計機關運用生成式人工智慧於審計業務之進階研究。2.審計機關查核公私協力夥伴關係（PPP）之研究等兩項計畫。經查，審計部於113年業已辦理審計機關導入及運用人工智慧（AI）技術精進審計業務之研究及審計機關導入前瞻生態系架構精進審計核心功能之研究等兩項委外研究，甚至1</w:t>
      </w:r>
      <w:r w:rsidRPr="00BD47C4">
        <w:rPr>
          <w:rFonts w:ascii="標楷體" w:eastAsia="標楷體" w:hAnsi="標楷體"/>
          <w:kern w:val="2"/>
          <w:sz w:val="32"/>
          <w:szCs w:val="32"/>
        </w:rPr>
        <w:t>12</w:t>
      </w:r>
      <w:r w:rsidRPr="00BD47C4">
        <w:rPr>
          <w:rFonts w:ascii="標楷體" w:eastAsia="標楷體" w:hAnsi="標楷體" w:hint="eastAsia"/>
          <w:kern w:val="2"/>
          <w:sz w:val="32"/>
          <w:szCs w:val="32"/>
        </w:rPr>
        <w:t>年也有辦理政府數位審計之研究及審計機關核定財務責任法制精進之研究等兩項計畫。有鑑於不少機關將委外研究視為例行事務，為委外研究而委外研究，卻未能對機關業務提供幫助，相關委外研究計畫之擬定應嚴謹評估其合理性及必要性，避免浪費公帑。爰凍結第1目「中央政府審計」項下「中央政府審計工作」之「業務費」預算50萬元，俟審計部於3個月內向立法院財政委員會提出書面報告後，始</w:t>
      </w:r>
      <w:r w:rsidRPr="00BD47C4">
        <w:rPr>
          <w:rFonts w:ascii="標楷體" w:eastAsia="標楷體" w:hAnsi="標楷體" w:hint="eastAsia"/>
          <w:kern w:val="2"/>
          <w:sz w:val="32"/>
          <w:szCs w:val="32"/>
        </w:rPr>
        <w:lastRenderedPageBreak/>
        <w:t>得動支。</w:t>
      </w:r>
    </w:p>
    <w:p w14:paraId="49AE54F3" w14:textId="6B42BC16"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 xml:space="preserve">提案人：郭國文　</w:t>
      </w:r>
    </w:p>
    <w:p w14:paraId="3FFDD05C" w14:textId="1AFCED5E"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連署人：伍麗華　賴惠員</w:t>
      </w:r>
    </w:p>
    <w:p w14:paraId="072F2A59"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三)114年度審計部預算案於第2目「中央政府審計」項下「中央政府審計工作」中「業務費」之「國內組織會費」編列5萬4千元。經查，審計部以自身名義參與國內專業組織及學術團體，分別是中華民國電腦稽核協會、社團法人台灣舞弊防治與鑑識協會、中華會計教育學會以及中華民國內部稽核協會。其中審計部自85年1月起即以團體會員之身分加入中華會計教育學會，該學會之會員申請書訂有團體會員得繳納永久會費20萬元，相較常年會費每年1萬元，審計部如擬繼續長期參加該學會，似有更具成本效益之會費繳納方式。爰凍結該項預算2萬元，俟審計部於1個月內，就盤點審計部參與各團體組織之最具效益會費繳納方式向立法院財政委員會提出書面報告後，始得動支。</w:t>
      </w:r>
    </w:p>
    <w:p w14:paraId="37785267" w14:textId="70713939"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提案人：黃珊珊　陳玉珍　王鴻薇</w:t>
      </w:r>
    </w:p>
    <w:p w14:paraId="1DFE0A7E"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四)114年度審計部預算案於第3目「縣市地方審計」項下「縣市地方審計工作」編列996萬3千元。據財政部統計，109至112年度整體市縣自籌財源占歲入之比率呈現逐年下降，109年為45.37%，至112年度該比率下降至37.48%，已減7.89%；16個縣（市）政府部分，112年度整體自籌財源占歲入比率為19.99%，除嘉義縣、澎湖縣、金門縣及連江縣等4縣112年度占比較111年度上升外，其餘12縣（市）則有10個縣（市）自110年起均呈逐年下降趨勢，且110至112年度連續3年16個縣市該比率均不及五成，又多數縣市遠低於整體直轄市政府112年度之比率46.20%。由於大多數原鄉位於非直轄市，縣市政府財政能力將影響原鄉發展與建設，審計部宜賡續監督各市縣落實開源節流措施，強化債務管控機制，以利地方財政健全發展，促進原鄉之財務健全與財政自主能力。爰凍結該項預算十分之一，俟審計部於1個月內向立法院財政委員</w:t>
      </w:r>
      <w:r w:rsidRPr="00BD47C4">
        <w:rPr>
          <w:rFonts w:ascii="標楷體" w:eastAsia="標楷體" w:hAnsi="標楷體" w:hint="eastAsia"/>
          <w:kern w:val="2"/>
          <w:sz w:val="32"/>
          <w:szCs w:val="32"/>
        </w:rPr>
        <w:lastRenderedPageBreak/>
        <w:t>會提出書面報告後，始得動支。</w:t>
      </w:r>
    </w:p>
    <w:p w14:paraId="35E54BC8" w14:textId="5CD5810E"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 xml:space="preserve">提案人：伍麗華　</w:t>
      </w:r>
    </w:p>
    <w:p w14:paraId="3899007D" w14:textId="52BFD978"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連署人：李坤城　王世堅</w:t>
      </w:r>
    </w:p>
    <w:p w14:paraId="60B4842A"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(五)114年度審計部預算案第1目「一般行政」編列12億4</w:t>
      </w:r>
      <w:r w:rsidRPr="00BD47C4">
        <w:rPr>
          <w:rFonts w:ascii="標楷體" w:eastAsia="標楷體" w:hAnsi="標楷體"/>
          <w:kern w:val="2"/>
          <w:sz w:val="32"/>
          <w:szCs w:val="32"/>
        </w:rPr>
        <w:t>,</w:t>
      </w:r>
      <w:r w:rsidRPr="00BD47C4">
        <w:rPr>
          <w:rFonts w:ascii="標楷體" w:eastAsia="標楷體" w:hAnsi="標楷體" w:hint="eastAsia"/>
          <w:kern w:val="2"/>
          <w:sz w:val="32"/>
          <w:szCs w:val="32"/>
        </w:rPr>
        <w:t>064萬6千元，主要係支援審計部各項工作計畫之達成。然查部分縣市審計室之職員工作負擔，顯有差距，舉例來說，金門縣查核之財物金額大於嘉義市及澎湖縣，其職員編制卻與澎湖縣人員數相同，少於嘉義市，人力配置顯未盡合理，恐不利於整體人力資源運用。爰請審計部檢討各縣市審計人力配置情形。</w:t>
      </w:r>
    </w:p>
    <w:p w14:paraId="083F2769" w14:textId="4F0D05F3"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 xml:space="preserve">提案人：陳玉珍　</w:t>
      </w:r>
    </w:p>
    <w:p w14:paraId="79D7AD0D" w14:textId="0E42ACE7"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連署人：羅明才　顏寬恒</w:t>
      </w:r>
    </w:p>
    <w:p w14:paraId="6216B79E"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(六)114年度審計部預算案於「中央政府審計」工作計畫中，包括「國外旅費」編列496萬6千元，計有視察、訪問、開會計畫等，較113年度預算案增加72萬7千元，增幅17.15%，請審計部基於撙節原則控管國外旅費。</w:t>
      </w:r>
    </w:p>
    <w:p w14:paraId="1C8F17D2" w14:textId="2EF90354"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 xml:space="preserve">提案人：陳玉珍　</w:t>
      </w:r>
    </w:p>
    <w:p w14:paraId="38918A96" w14:textId="7969826F"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連署人：羅明才　顏寬恒</w:t>
      </w:r>
    </w:p>
    <w:p w14:paraId="427E7848"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七)114年度審計部預算案於第2目「中央政府審計」項下「中央政府審計工作」中「業務費」之「資訊服務費」編列2,819萬3千元。審計部自78年引進ACL電腦審計軟體，運用電腦軟體輔助查核工作，迄今已逾30年，電腦審計技術及應用日臻成熟，惟112年度審計部及其所屬之臺北市、新北市、桃園市、臺南市及高雄市5個直轄市審計處運用電腦軟體輔助查核件數占總查核件數比率下降，其間或有受審計機關積極辦理各項查核工作，致查核總件數增加幅度大於運用電腦軟體輔助查核件數增加幅度之影響，惟仍顯示其運用電腦軟體輔助查核容有進步空間，審計部及所屬審計機關允宜賡續積極運用數位科技輔助查核，以提升數位審計工作效能，請審計部於</w:t>
      </w:r>
      <w:r w:rsidRPr="00BD47C4">
        <w:rPr>
          <w:rFonts w:ascii="標楷體" w:eastAsia="標楷體" w:hAnsi="標楷體"/>
          <w:kern w:val="2"/>
          <w:sz w:val="32"/>
          <w:szCs w:val="32"/>
        </w:rPr>
        <w:t>1</w:t>
      </w:r>
      <w:r w:rsidRPr="00BD47C4">
        <w:rPr>
          <w:rFonts w:ascii="標楷體" w:eastAsia="標楷體" w:hAnsi="標楷體" w:hint="eastAsia"/>
          <w:kern w:val="2"/>
          <w:sz w:val="32"/>
          <w:szCs w:val="32"/>
        </w:rPr>
        <w:t>個月內向立法院財政委員會提出書面報告。</w:t>
      </w:r>
    </w:p>
    <w:p w14:paraId="08D92931" w14:textId="44434F65"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lastRenderedPageBreak/>
        <w:t xml:space="preserve">　　</w:t>
      </w:r>
      <w:r w:rsidR="009D64D0" w:rsidRPr="003E582F">
        <w:rPr>
          <w:rFonts w:ascii="標楷體" w:eastAsia="標楷體" w:hAnsi="標楷體" w:hint="eastAsia"/>
          <w:kern w:val="0"/>
          <w:sz w:val="32"/>
          <w:szCs w:val="32"/>
        </w:rPr>
        <w:t xml:space="preserve">提案人：伍麗華　</w:t>
      </w:r>
    </w:p>
    <w:p w14:paraId="0E0DF7C6" w14:textId="7CF89849"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連署人：李坤城　王世堅</w:t>
      </w:r>
    </w:p>
    <w:p w14:paraId="48E71888"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八)114年度審計部預算於第2目「中央政府審計」計畫項下編列國外旅費496萬6千元，較113年度預算案增加72萬7千元，增幅17%，而國內外旅費向來為行政機關編列預算嚴格控管項目，有關出國進修、研究及實習計畫均應從嚴核定。審計部雖非行政院所屬機關，預算編製不受行政院相關規定拘束，但仍應本於撙節之原則，從嚴編列，爰請審計部於1個月內向立法院財政委員會提出外館審計報告之書面報告。</w:t>
      </w:r>
    </w:p>
    <w:p w14:paraId="64A4FCAF" w14:textId="0523028D"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 xml:space="preserve">提案人：郭國文　</w:t>
      </w:r>
    </w:p>
    <w:p w14:paraId="287EB944" w14:textId="4283A0E4"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連署人：伍麗華　賴惠員</w:t>
      </w:r>
    </w:p>
    <w:p w14:paraId="20962A91"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(九)</w:t>
      </w:r>
      <w:r w:rsidRPr="00BD47C4">
        <w:rPr>
          <w:rFonts w:ascii="標楷體" w:eastAsia="標楷體" w:hAnsi="標楷體"/>
          <w:kern w:val="2"/>
          <w:sz w:val="32"/>
          <w:szCs w:val="32"/>
        </w:rPr>
        <w:t>114年度審計部預算案</w:t>
      </w:r>
      <w:r w:rsidRPr="00BD47C4">
        <w:rPr>
          <w:rFonts w:ascii="標楷體" w:eastAsia="標楷體" w:hAnsi="標楷體" w:hint="eastAsia"/>
          <w:kern w:val="2"/>
          <w:sz w:val="32"/>
          <w:szCs w:val="32"/>
        </w:rPr>
        <w:t>於第2目</w:t>
      </w:r>
      <w:r w:rsidRPr="00BD47C4">
        <w:rPr>
          <w:rFonts w:ascii="標楷體" w:eastAsia="標楷體" w:hAnsi="標楷體"/>
          <w:kern w:val="2"/>
          <w:sz w:val="32"/>
          <w:szCs w:val="32"/>
        </w:rPr>
        <w:t>「中央政府審計」工作計畫項下編列「資訊服務費」2,819萬3千元及「其他設備」工作計畫項下編列「資訊軟硬體設備費」3,175萬元，其中包括電腦審計軟體更新授權、建置審計資料平台以及數位審計資料檔案區塊鍊服務平台等經費。我國持續朝向數位政府、資料治理的目標邁進，以期達到電子化政府的目標。審計部自78年引進ACL電腦審計軟體，運用電腦軟體輔助查核工作，至今已超過30年，電腦審計技術及應用應</w:t>
      </w:r>
      <w:r w:rsidRPr="00BD47C4">
        <w:rPr>
          <w:rFonts w:ascii="標楷體" w:eastAsia="標楷體" w:hAnsi="標楷體" w:hint="eastAsia"/>
          <w:kern w:val="2"/>
          <w:sz w:val="32"/>
          <w:szCs w:val="32"/>
        </w:rPr>
        <w:t>已</w:t>
      </w:r>
      <w:r w:rsidRPr="00BD47C4">
        <w:rPr>
          <w:rFonts w:ascii="標楷體" w:eastAsia="標楷體" w:hAnsi="標楷體"/>
          <w:kern w:val="2"/>
          <w:sz w:val="32"/>
          <w:szCs w:val="32"/>
        </w:rPr>
        <w:t>成熟。然112年度審計部及其所屬之臺北市、新北市、桃園市、臺南市及高雄市5個直轄市審計處運用電腦軟體輔助查核件數占總查核件數比率下降，雖然其中有受審計機關積極辦理各項查核工作，致查核總件數增加幅度大於運用電腦軟體輔助查核件數增加幅度之影響，但根據</w:t>
      </w:r>
      <w:r w:rsidRPr="00BD47C4">
        <w:rPr>
          <w:rFonts w:ascii="標楷體" w:eastAsia="標楷體" w:hAnsi="標楷體" w:hint="eastAsia"/>
          <w:kern w:val="2"/>
          <w:sz w:val="32"/>
          <w:szCs w:val="32"/>
        </w:rPr>
        <w:t>立法院</w:t>
      </w:r>
      <w:r w:rsidRPr="00BD47C4">
        <w:rPr>
          <w:rFonts w:ascii="標楷體" w:eastAsia="標楷體" w:hAnsi="標楷體"/>
          <w:kern w:val="2"/>
          <w:sz w:val="32"/>
          <w:szCs w:val="32"/>
        </w:rPr>
        <w:t>預算中心</w:t>
      </w:r>
      <w:r w:rsidRPr="00BD47C4">
        <w:rPr>
          <w:rFonts w:ascii="標楷體" w:eastAsia="標楷體" w:hAnsi="標楷體" w:hint="eastAsia"/>
          <w:kern w:val="2"/>
          <w:sz w:val="32"/>
          <w:szCs w:val="32"/>
        </w:rPr>
        <w:t>評估</w:t>
      </w:r>
      <w:r w:rsidRPr="00BD47C4">
        <w:rPr>
          <w:rFonts w:ascii="標楷體" w:eastAsia="標楷體" w:hAnsi="標楷體"/>
          <w:kern w:val="2"/>
          <w:sz w:val="32"/>
          <w:szCs w:val="32"/>
        </w:rPr>
        <w:t>報告數據仍顯示其運用電腦軟體輔助查核容有進步空間，審計部及所屬審計機關應持續積極運用數位科技輔助查核，以提升數位審計工作效能，達成政府數位治理的目標</w:t>
      </w:r>
      <w:r w:rsidRPr="00BD47C4">
        <w:rPr>
          <w:rFonts w:ascii="標楷體" w:eastAsia="標楷體" w:hAnsi="標楷體" w:hint="eastAsia"/>
          <w:kern w:val="2"/>
          <w:sz w:val="32"/>
          <w:szCs w:val="32"/>
        </w:rPr>
        <w:t>。</w:t>
      </w:r>
      <w:r w:rsidRPr="00BD47C4">
        <w:rPr>
          <w:rFonts w:ascii="標楷體" w:eastAsia="標楷體" w:hAnsi="標楷體"/>
          <w:kern w:val="2"/>
          <w:sz w:val="32"/>
          <w:szCs w:val="32"/>
        </w:rPr>
        <w:t>爰此，請審計部針對運用電腦軟體輔助查核系統精進作為</w:t>
      </w:r>
      <w:r w:rsidRPr="00BD47C4">
        <w:rPr>
          <w:rFonts w:ascii="標楷體" w:eastAsia="標楷體" w:hAnsi="標楷體" w:hint="eastAsia"/>
          <w:kern w:val="2"/>
          <w:sz w:val="32"/>
          <w:szCs w:val="32"/>
        </w:rPr>
        <w:t>，</w:t>
      </w:r>
      <w:r w:rsidRPr="00BD47C4">
        <w:rPr>
          <w:rFonts w:ascii="標楷體" w:eastAsia="標楷體" w:hAnsi="標楷體"/>
          <w:kern w:val="2"/>
          <w:sz w:val="32"/>
          <w:szCs w:val="32"/>
        </w:rPr>
        <w:t>於2個月內向立法院財政委員會提出書面報告</w:t>
      </w:r>
      <w:r w:rsidRPr="00BD47C4">
        <w:rPr>
          <w:rFonts w:ascii="標楷體" w:eastAsia="標楷體" w:hAnsi="標楷體" w:hint="eastAsia"/>
          <w:kern w:val="2"/>
          <w:sz w:val="32"/>
          <w:szCs w:val="32"/>
        </w:rPr>
        <w:t>。</w:t>
      </w:r>
    </w:p>
    <w:p w14:paraId="3BEBAD61" w14:textId="77E7FCD1"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提案人：顏寬恒　賴士葆　王鴻薇</w:t>
      </w:r>
    </w:p>
    <w:p w14:paraId="5B673EA0"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lastRenderedPageBreak/>
        <w:t xml:space="preserve">　　(十)</w:t>
      </w:r>
      <w:r w:rsidRPr="00BD47C4">
        <w:rPr>
          <w:rFonts w:ascii="標楷體" w:eastAsia="標楷體" w:hAnsi="標楷體"/>
          <w:kern w:val="2"/>
          <w:sz w:val="32"/>
          <w:szCs w:val="32"/>
        </w:rPr>
        <w:t>審計部自110年度起推動政府智能審計方案，114年度分別於「中央政府審計」工作計畫項下編列3,206萬元及「其他設備」工作計畫項下編列2,840萬元，合計6,046萬元，較113年度增加201萬2千元，增幅3.44%。計畫之績效指標為重要評估計畫執行成效之客觀標準，然審計部提供之政府智能審計發展方案，截至113年8月底，已執行項目及預期效益大多僅為文字性敘述，例如強化資通安全防護項目，依據資通安全管理法辦理資安管理面、技術面及訓練面之法遵應辦事項，引進源碼檢測工具系統等。審計部應參考該方案之計畫書所擬相關欲改善事項、健全績效評估制度並建構完整績效指標體系，以利客觀評估實施績效，優化審計品質</w:t>
      </w:r>
      <w:r w:rsidRPr="00BD47C4">
        <w:rPr>
          <w:rFonts w:ascii="標楷體" w:eastAsia="標楷體" w:hAnsi="標楷體" w:hint="eastAsia"/>
          <w:kern w:val="2"/>
          <w:sz w:val="32"/>
          <w:szCs w:val="32"/>
        </w:rPr>
        <w:t>。</w:t>
      </w:r>
      <w:r w:rsidRPr="00BD47C4">
        <w:rPr>
          <w:rFonts w:ascii="標楷體" w:eastAsia="標楷體" w:hAnsi="標楷體"/>
          <w:kern w:val="2"/>
          <w:sz w:val="32"/>
          <w:szCs w:val="32"/>
        </w:rPr>
        <w:t>爰此，請審計部針對智能審計發展方案精進作為</w:t>
      </w:r>
      <w:r w:rsidRPr="00BD47C4">
        <w:rPr>
          <w:rFonts w:ascii="標楷體" w:eastAsia="標楷體" w:hAnsi="標楷體" w:hint="eastAsia"/>
          <w:kern w:val="2"/>
          <w:sz w:val="32"/>
          <w:szCs w:val="32"/>
        </w:rPr>
        <w:t>，</w:t>
      </w:r>
      <w:r w:rsidRPr="00BD47C4">
        <w:rPr>
          <w:rFonts w:ascii="標楷體" w:eastAsia="標楷體" w:hAnsi="標楷體"/>
          <w:kern w:val="2"/>
          <w:sz w:val="32"/>
          <w:szCs w:val="32"/>
        </w:rPr>
        <w:t>於2個月內向立法院財政委員會提出書面報告</w:t>
      </w:r>
      <w:r w:rsidRPr="00BD47C4">
        <w:rPr>
          <w:rFonts w:ascii="標楷體" w:eastAsia="標楷體" w:hAnsi="標楷體" w:hint="eastAsia"/>
          <w:kern w:val="2"/>
          <w:sz w:val="32"/>
          <w:szCs w:val="32"/>
        </w:rPr>
        <w:t>。</w:t>
      </w:r>
    </w:p>
    <w:p w14:paraId="22DA588B" w14:textId="4262F740"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提案人：顏寬恒　王鴻薇　賴士葆</w:t>
      </w:r>
    </w:p>
    <w:p w14:paraId="2D838CDC"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十一)審計部鑑於中央政府總決算審核報告第1、2冊頁數加總近1,400頁，過於厚重不便使用者查閱及攜行。惟審計部決算報告線上查詢平台之資料全文檢索功能及資料均需跳轉多個頁面，學習門檻較高，不利於非一般大眾使用者直觀檢索，允宜精進使用者介面（</w:t>
      </w:r>
      <w:r w:rsidRPr="00BD47C4">
        <w:rPr>
          <w:rFonts w:ascii="標楷體" w:eastAsia="標楷體" w:hAnsi="標楷體"/>
          <w:kern w:val="2"/>
          <w:sz w:val="32"/>
          <w:szCs w:val="32"/>
        </w:rPr>
        <w:t>User</w:t>
      </w:r>
      <w:r w:rsidRPr="00BD47C4">
        <w:rPr>
          <w:rFonts w:ascii="標楷體" w:eastAsia="標楷體" w:hAnsi="標楷體" w:hint="eastAsia"/>
          <w:kern w:val="2"/>
          <w:sz w:val="32"/>
          <w:szCs w:val="32"/>
        </w:rPr>
        <w:t xml:space="preserve"> </w:t>
      </w:r>
      <w:r w:rsidRPr="00BD47C4">
        <w:rPr>
          <w:rFonts w:ascii="標楷體" w:eastAsia="標楷體" w:hAnsi="標楷體"/>
          <w:kern w:val="2"/>
          <w:sz w:val="32"/>
          <w:szCs w:val="32"/>
        </w:rPr>
        <w:t>Interface</w:t>
      </w:r>
      <w:r w:rsidRPr="00BD47C4">
        <w:rPr>
          <w:rFonts w:ascii="標楷體" w:eastAsia="標楷體" w:hAnsi="標楷體" w:hint="eastAsia"/>
          <w:kern w:val="2"/>
          <w:sz w:val="32"/>
          <w:szCs w:val="32"/>
        </w:rPr>
        <w:t>）及使用者體驗（</w:t>
      </w:r>
      <w:r w:rsidRPr="00BD47C4">
        <w:rPr>
          <w:rFonts w:ascii="標楷體" w:eastAsia="標楷體" w:hAnsi="標楷體"/>
          <w:kern w:val="2"/>
          <w:sz w:val="32"/>
          <w:szCs w:val="32"/>
        </w:rPr>
        <w:t>User Experience</w:t>
      </w:r>
      <w:r w:rsidRPr="00BD47C4">
        <w:rPr>
          <w:rFonts w:ascii="標楷體" w:eastAsia="標楷體" w:hAnsi="標楷體" w:hint="eastAsia"/>
          <w:kern w:val="2"/>
          <w:sz w:val="32"/>
          <w:szCs w:val="32"/>
        </w:rPr>
        <w:t>），另外亦無法於民眾常用之搜索引擎查詢報告內容。爰請審計部於1個月內，就審計決算報告之內容數位化與便利大眾檢索之U</w:t>
      </w:r>
      <w:r w:rsidRPr="00BD47C4">
        <w:rPr>
          <w:rFonts w:ascii="標楷體" w:eastAsia="標楷體" w:hAnsi="標楷體"/>
          <w:kern w:val="2"/>
          <w:sz w:val="32"/>
          <w:szCs w:val="32"/>
        </w:rPr>
        <w:t>I</w:t>
      </w:r>
      <w:r w:rsidRPr="00BD47C4">
        <w:rPr>
          <w:rFonts w:ascii="標楷體" w:eastAsia="標楷體" w:hAnsi="標楷體" w:hint="eastAsia"/>
          <w:kern w:val="2"/>
          <w:sz w:val="32"/>
          <w:szCs w:val="32"/>
        </w:rPr>
        <w:t>、</w:t>
      </w:r>
      <w:r w:rsidRPr="00BD47C4">
        <w:rPr>
          <w:rFonts w:ascii="標楷體" w:eastAsia="標楷體" w:hAnsi="標楷體"/>
          <w:kern w:val="2"/>
          <w:sz w:val="32"/>
          <w:szCs w:val="32"/>
        </w:rPr>
        <w:t>UX</w:t>
      </w:r>
      <w:r w:rsidRPr="00BD47C4">
        <w:rPr>
          <w:rFonts w:ascii="標楷體" w:eastAsia="標楷體" w:hAnsi="標楷體" w:hint="eastAsia"/>
          <w:kern w:val="2"/>
          <w:sz w:val="32"/>
          <w:szCs w:val="32"/>
        </w:rPr>
        <w:t>改善檢討，向立法院財政委員會提出書面報告。</w:t>
      </w:r>
    </w:p>
    <w:p w14:paraId="2ABFAEE3" w14:textId="0CE159A5"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提案人：黃珊珊　陳玉珍　王鴻薇</w:t>
      </w:r>
    </w:p>
    <w:p w14:paraId="16A50193"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十二)為維護國家安全及重大利益，依據公務人員任用法及涉及國家安全或重大利益公務人員特殊查核辦法規定，要求特定職務公務人員，在任職前應辦理特殊查核，確保其未有國安風險。經查行政院主計總處辦理外交部、國防部及國安局預算之重要官員，以及監察院外交國防委員會官員均已納入須辦理特殊查核職務。審計部第二廳主要辦理國防</w:t>
      </w:r>
      <w:r w:rsidRPr="00BD47C4">
        <w:rPr>
          <w:rFonts w:ascii="標楷體" w:eastAsia="標楷體" w:hAnsi="標楷體" w:hint="eastAsia"/>
          <w:kern w:val="2"/>
          <w:sz w:val="32"/>
          <w:szCs w:val="32"/>
        </w:rPr>
        <w:lastRenderedPageBreak/>
        <w:t>公務審計室，恐接觸重要秘密資料，惟仍似無任何審計部重要公務人員被納入特殊查核職務名單。爰請審計部於1個月內，就檢討審計部所書須辦理特殊查核之職務，向立法院財政委員會提出書面報告。</w:t>
      </w:r>
    </w:p>
    <w:p w14:paraId="533A2657" w14:textId="3E3E6135"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提案人：黃珊珊　陳玉珍　王鴻薇</w:t>
      </w:r>
    </w:p>
    <w:p w14:paraId="78DDAB72"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十三)審計部出版政府審計季刊，訂購者多為公務機關，惟查該部均定期公開季刊電子檔，又該刊之稿費及編輯費用均由政府支出，允宜即時公開刊物內容供公眾閱覽研究；並且為求早日達成氣候變遷因應法第4條第1項規定139年溫室氣體淨零排放之目標，並節制紙張使用，似無必要再以紙本之方式繼續販售。爰請審計部於1個月內，就將最新一期政府審計季刊及時以電子化方式出刊供公務機關及公眾免費閱覽之可行性向立法院財政委員會提出書面報告。</w:t>
      </w:r>
    </w:p>
    <w:p w14:paraId="6B073E6E" w14:textId="1EF6A381"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提案人：黃珊珊　陳玉珍　王鴻薇</w:t>
      </w:r>
    </w:p>
    <w:p w14:paraId="0FF2F248"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(十四)有鑑於勞動部勞動力發展署北基宜花金馬分署分署長長期濫用職場霸凌下屬，導致同仁身心健康出現狀況，進而發生輕生憾事，而此案件決不是單一事件。行政院長卓榮泰11</w:t>
      </w:r>
      <w:r w:rsidRPr="00BD47C4">
        <w:rPr>
          <w:rFonts w:ascii="標楷體" w:eastAsia="標楷體" w:hAnsi="標楷體"/>
          <w:kern w:val="2"/>
          <w:sz w:val="32"/>
          <w:szCs w:val="32"/>
        </w:rPr>
        <w:t>3</w:t>
      </w:r>
      <w:r w:rsidRPr="00BD47C4">
        <w:rPr>
          <w:rFonts w:ascii="標楷體" w:eastAsia="標楷體" w:hAnsi="標楷體" w:hint="eastAsia"/>
          <w:kern w:val="2"/>
          <w:sz w:val="32"/>
          <w:szCs w:val="32"/>
        </w:rPr>
        <w:t>年11月21日於行政院會表示，對於近日公務機關霸凌事件，已責成各部會及各機關立刻全面盤查機關職場霸凌防治作業辦法，確實建立有效、安全的防範機制，提供所屬同仁適切的保護。惟查現行職場霸凌作業規範多有缺漏，如未強制要求聘請外部專家學者委員、調查時未落實迴避機制、缺乏外部客觀調查機制等問題，恐無法解決現今職場霸凌情況。爰請審計部於3個月內，就全國公務機關霸凌處置缺失及法規疏漏進行專案審計，並向立法院財政委員會提出書面報告。</w:t>
      </w:r>
    </w:p>
    <w:p w14:paraId="7645726B" w14:textId="5FD564FB"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提案人：黃珊珊　陳玉珍　王鴻薇</w:t>
      </w:r>
    </w:p>
    <w:p w14:paraId="614370E6"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(十五)依行政院主計總處網站公告資料，有關衛生福利部及該總處對各縣市近社會福利補助經費考核結果，全部縣市編列之社會福利預算均超過一致標準。另據審計部各地方審計</w:t>
      </w:r>
      <w:r w:rsidRPr="00BD47C4">
        <w:rPr>
          <w:rFonts w:ascii="標楷體" w:eastAsia="標楷體" w:hAnsi="標楷體" w:hint="eastAsia"/>
          <w:kern w:val="2"/>
          <w:sz w:val="32"/>
          <w:szCs w:val="32"/>
        </w:rPr>
        <w:lastRenderedPageBreak/>
        <w:t>處室統計未設排富條款者比例偏高，為避免地方政府增加非法定福利預算，影響社會福利資源合理配置外，也造成政府財政負擔，爰要求審計部於每年提出決算報告後</w:t>
      </w:r>
      <w:r w:rsidRPr="00BD47C4">
        <w:rPr>
          <w:rFonts w:ascii="標楷體" w:eastAsia="標楷體" w:hAnsi="標楷體"/>
          <w:kern w:val="2"/>
          <w:sz w:val="32"/>
          <w:szCs w:val="32"/>
        </w:rPr>
        <w:t>1</w:t>
      </w:r>
      <w:r w:rsidRPr="00BD47C4">
        <w:rPr>
          <w:rFonts w:ascii="標楷體" w:eastAsia="標楷體" w:hAnsi="標楷體" w:hint="eastAsia"/>
          <w:kern w:val="2"/>
          <w:sz w:val="32"/>
          <w:szCs w:val="32"/>
        </w:rPr>
        <w:t>個月內，向立法院財政委員會提出縣市政府非法定福利預算之書面報告。</w:t>
      </w:r>
    </w:p>
    <w:p w14:paraId="734F1579" w14:textId="68AC2A51"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提案人：李坤城　吳秉叡　賴惠員</w:t>
      </w:r>
    </w:p>
    <w:p w14:paraId="3BF7AEB4"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(十六)審計部於113年度成立審計業務推廣應用生成式AI工作小組，完善生成式 AI（ChatGPT）之審計應用發展，並建置「SafeGPT-審計機關ChatGPT安全服務」，針對機敏內容，提供安全提問之應用環境；另開發多項生成式AI相關應用程式，逐步推展審計業務應用。審計部落實政府推動數位轉型立意良善，但相關實施成果應由全民來監督，爰要求審計部於3個月內向立法院財政委員會提出書面報告。</w:t>
      </w:r>
    </w:p>
    <w:p w14:paraId="27F61106" w14:textId="56A4C208"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提案人：李坤城　吳秉叡　賴惠員</w:t>
      </w:r>
    </w:p>
    <w:p w14:paraId="25F7E0A8" w14:textId="77777777" w:rsidR="009D64D0" w:rsidRPr="00BD47C4"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BD47C4">
        <w:rPr>
          <w:rFonts w:ascii="標楷體" w:eastAsia="標楷體" w:hAnsi="標楷體" w:hint="eastAsia"/>
          <w:kern w:val="2"/>
          <w:sz w:val="32"/>
          <w:szCs w:val="32"/>
        </w:rPr>
        <w:t xml:space="preserve">　　(十七)總統府氣候變遷對策委員會第二次會議，提出深度節能方案，公部門等應一起帶頭節能。查審計部及所屬112年度用電度數為308萬6,762度，每月平均25萬7,230度，113年1至7月用電度數為156萬1,913度，每月平均22萬3,130度，然114年預算編列預估用電度數為316萬2,277度，每月平均26萬3,523度，超過112、113年度的用電數，爰要求審計部於3個月內提出節能用電計畫，並向立法院財政委員會提出書面報告。</w:t>
      </w:r>
    </w:p>
    <w:p w14:paraId="31725FD4" w14:textId="56271556" w:rsidR="009D64D0" w:rsidRPr="003E582F" w:rsidRDefault="006F4DA3"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2D721C">
        <w:rPr>
          <w:rFonts w:ascii="標楷體" w:eastAsia="標楷體" w:hAnsi="標楷體" w:hint="eastAsia"/>
          <w:kern w:val="0"/>
          <w:sz w:val="32"/>
          <w:szCs w:val="32"/>
        </w:rPr>
        <w:t xml:space="preserve">　　</w:t>
      </w:r>
      <w:r w:rsidR="009D64D0" w:rsidRPr="003E582F">
        <w:rPr>
          <w:rFonts w:ascii="標楷體" w:eastAsia="標楷體" w:hAnsi="標楷體" w:hint="eastAsia"/>
          <w:kern w:val="0"/>
          <w:sz w:val="32"/>
          <w:szCs w:val="32"/>
        </w:rPr>
        <w:t>提案人：李坤城　吳秉叡　賴惠員</w:t>
      </w:r>
    </w:p>
    <w:p w14:paraId="0BD316D8" w14:textId="77777777" w:rsidR="009D64D0" w:rsidRPr="007E033C" w:rsidRDefault="009D64D0" w:rsidP="00F470A8">
      <w:pPr>
        <w:widowControl w:val="0"/>
        <w:tabs>
          <w:tab w:val="left" w:pos="851"/>
          <w:tab w:val="left" w:pos="1134"/>
          <w:tab w:val="left" w:pos="1418"/>
        </w:tabs>
        <w:kinsoku w:val="0"/>
        <w:overflowPunct w:val="0"/>
        <w:autoSpaceDE w:val="0"/>
        <w:adjustRightInd w:val="0"/>
        <w:spacing w:line="480" w:lineRule="exact"/>
        <w:ind w:left="1946" w:hangingChars="608" w:hanging="1946"/>
        <w:textAlignment w:val="auto"/>
        <w:rPr>
          <w:rFonts w:ascii="標楷體" w:eastAsia="標楷體" w:hAnsi="標楷體"/>
          <w:kern w:val="2"/>
          <w:sz w:val="32"/>
          <w:szCs w:val="32"/>
        </w:rPr>
      </w:pPr>
      <w:r w:rsidRPr="007E033C">
        <w:rPr>
          <w:rFonts w:ascii="標楷體" w:eastAsia="標楷體" w:hAnsi="標楷體" w:hint="eastAsia"/>
          <w:kern w:val="2"/>
          <w:sz w:val="32"/>
          <w:szCs w:val="32"/>
        </w:rPr>
        <w:t xml:space="preserve">　　第</w:t>
      </w:r>
      <w:r w:rsidRPr="007E033C">
        <w:rPr>
          <w:rFonts w:ascii="標楷體" w:eastAsia="標楷體" w:hAnsi="標楷體"/>
          <w:kern w:val="2"/>
          <w:sz w:val="32"/>
          <w:szCs w:val="32"/>
        </w:rPr>
        <w:t>3</w:t>
      </w:r>
      <w:r w:rsidRPr="007E033C">
        <w:rPr>
          <w:rFonts w:ascii="標楷體" w:eastAsia="標楷體" w:hAnsi="標楷體" w:hint="eastAsia"/>
          <w:kern w:val="2"/>
          <w:sz w:val="32"/>
          <w:szCs w:val="32"/>
        </w:rPr>
        <w:t>項　審計部臺北市審計處8,457萬2千元，照列。</w:t>
      </w:r>
    </w:p>
    <w:p w14:paraId="3C20133E" w14:textId="77777777" w:rsidR="009D64D0" w:rsidRPr="007E033C" w:rsidRDefault="009D64D0" w:rsidP="00F470A8">
      <w:pPr>
        <w:widowControl w:val="0"/>
        <w:tabs>
          <w:tab w:val="left" w:pos="851"/>
          <w:tab w:val="left" w:pos="1134"/>
          <w:tab w:val="left" w:pos="1418"/>
        </w:tabs>
        <w:kinsoku w:val="0"/>
        <w:overflowPunct w:val="0"/>
        <w:autoSpaceDE w:val="0"/>
        <w:adjustRightInd w:val="0"/>
        <w:spacing w:line="480" w:lineRule="exact"/>
        <w:ind w:left="1946" w:hangingChars="608" w:hanging="1946"/>
        <w:textAlignment w:val="auto"/>
        <w:rPr>
          <w:rFonts w:ascii="標楷體" w:eastAsia="標楷體" w:hAnsi="標楷體"/>
          <w:kern w:val="2"/>
          <w:sz w:val="32"/>
          <w:szCs w:val="32"/>
        </w:rPr>
      </w:pPr>
      <w:r w:rsidRPr="007E033C">
        <w:rPr>
          <w:rFonts w:ascii="標楷體" w:eastAsia="標楷體" w:hAnsi="標楷體" w:hint="eastAsia"/>
          <w:kern w:val="2"/>
          <w:sz w:val="32"/>
          <w:szCs w:val="32"/>
        </w:rPr>
        <w:t xml:space="preserve">　　第</w:t>
      </w:r>
      <w:r w:rsidRPr="007E033C">
        <w:rPr>
          <w:rFonts w:ascii="標楷體" w:eastAsia="標楷體" w:hAnsi="標楷體"/>
          <w:kern w:val="2"/>
          <w:sz w:val="32"/>
          <w:szCs w:val="32"/>
        </w:rPr>
        <w:t>4</w:t>
      </w:r>
      <w:r w:rsidRPr="007E033C">
        <w:rPr>
          <w:rFonts w:ascii="標楷體" w:eastAsia="標楷體" w:hAnsi="標楷體" w:hint="eastAsia"/>
          <w:kern w:val="2"/>
          <w:sz w:val="32"/>
          <w:szCs w:val="32"/>
        </w:rPr>
        <w:t>項　審計部新北市審計處7,043萬7千元，照列。</w:t>
      </w:r>
    </w:p>
    <w:p w14:paraId="358F02E6" w14:textId="77777777" w:rsidR="009D64D0" w:rsidRPr="007E033C" w:rsidRDefault="009D64D0" w:rsidP="00F470A8">
      <w:pPr>
        <w:widowControl w:val="0"/>
        <w:tabs>
          <w:tab w:val="left" w:pos="851"/>
          <w:tab w:val="left" w:pos="1134"/>
          <w:tab w:val="left" w:pos="1418"/>
        </w:tabs>
        <w:kinsoku w:val="0"/>
        <w:overflowPunct w:val="0"/>
        <w:autoSpaceDE w:val="0"/>
        <w:adjustRightInd w:val="0"/>
        <w:spacing w:line="480" w:lineRule="exact"/>
        <w:ind w:left="1946" w:hangingChars="608" w:hanging="1946"/>
        <w:textAlignment w:val="auto"/>
        <w:rPr>
          <w:rFonts w:ascii="標楷體" w:eastAsia="標楷體" w:hAnsi="標楷體"/>
          <w:kern w:val="2"/>
          <w:sz w:val="32"/>
          <w:szCs w:val="32"/>
        </w:rPr>
      </w:pPr>
      <w:r w:rsidRPr="007E033C">
        <w:rPr>
          <w:rFonts w:ascii="標楷體" w:eastAsia="標楷體" w:hAnsi="標楷體" w:hint="eastAsia"/>
          <w:kern w:val="2"/>
          <w:sz w:val="32"/>
          <w:szCs w:val="32"/>
        </w:rPr>
        <w:t xml:space="preserve">　　第</w:t>
      </w:r>
      <w:r w:rsidRPr="007E033C">
        <w:rPr>
          <w:rFonts w:ascii="標楷體" w:eastAsia="標楷體" w:hAnsi="標楷體"/>
          <w:kern w:val="2"/>
          <w:sz w:val="32"/>
          <w:szCs w:val="32"/>
        </w:rPr>
        <w:t>5</w:t>
      </w:r>
      <w:r w:rsidRPr="007E033C">
        <w:rPr>
          <w:rFonts w:ascii="標楷體" w:eastAsia="標楷體" w:hAnsi="標楷體" w:hint="eastAsia"/>
          <w:kern w:val="2"/>
          <w:sz w:val="32"/>
          <w:szCs w:val="32"/>
        </w:rPr>
        <w:t>項　審計部桃園市審計處6,647萬4千元，照列。</w:t>
      </w:r>
    </w:p>
    <w:p w14:paraId="4A6EEF12" w14:textId="77777777" w:rsidR="009D64D0" w:rsidRPr="007E033C" w:rsidRDefault="009D64D0" w:rsidP="00F470A8">
      <w:pPr>
        <w:widowControl w:val="0"/>
        <w:tabs>
          <w:tab w:val="left" w:pos="851"/>
          <w:tab w:val="left" w:pos="1134"/>
          <w:tab w:val="left" w:pos="1418"/>
        </w:tabs>
        <w:kinsoku w:val="0"/>
        <w:overflowPunct w:val="0"/>
        <w:autoSpaceDE w:val="0"/>
        <w:adjustRightInd w:val="0"/>
        <w:spacing w:line="480" w:lineRule="exact"/>
        <w:ind w:left="1946" w:hangingChars="608" w:hanging="1946"/>
        <w:textAlignment w:val="auto"/>
        <w:rPr>
          <w:rFonts w:ascii="標楷體" w:eastAsia="標楷體" w:hAnsi="標楷體"/>
          <w:kern w:val="2"/>
          <w:sz w:val="32"/>
          <w:szCs w:val="32"/>
        </w:rPr>
      </w:pPr>
      <w:r w:rsidRPr="007E033C">
        <w:rPr>
          <w:rFonts w:ascii="標楷體" w:eastAsia="標楷體" w:hAnsi="標楷體" w:hint="eastAsia"/>
          <w:kern w:val="2"/>
          <w:sz w:val="32"/>
          <w:szCs w:val="32"/>
        </w:rPr>
        <w:t xml:space="preserve">　　第</w:t>
      </w:r>
      <w:r w:rsidRPr="007E033C">
        <w:rPr>
          <w:rFonts w:ascii="標楷體" w:eastAsia="標楷體" w:hAnsi="標楷體"/>
          <w:kern w:val="2"/>
          <w:sz w:val="32"/>
          <w:szCs w:val="32"/>
        </w:rPr>
        <w:t>6</w:t>
      </w:r>
      <w:r w:rsidRPr="007E033C">
        <w:rPr>
          <w:rFonts w:ascii="標楷體" w:eastAsia="標楷體" w:hAnsi="標楷體" w:hint="eastAsia"/>
          <w:kern w:val="2"/>
          <w:sz w:val="32"/>
          <w:szCs w:val="32"/>
        </w:rPr>
        <w:t>項　審計部臺中市審計處7,399萬元，照列。</w:t>
      </w:r>
    </w:p>
    <w:p w14:paraId="1CD66440" w14:textId="77777777" w:rsidR="009D64D0" w:rsidRPr="007E033C" w:rsidRDefault="009D64D0" w:rsidP="00F470A8">
      <w:pPr>
        <w:widowControl w:val="0"/>
        <w:tabs>
          <w:tab w:val="left" w:pos="851"/>
          <w:tab w:val="left" w:pos="1134"/>
          <w:tab w:val="left" w:pos="1418"/>
        </w:tabs>
        <w:kinsoku w:val="0"/>
        <w:overflowPunct w:val="0"/>
        <w:autoSpaceDE w:val="0"/>
        <w:adjustRightInd w:val="0"/>
        <w:spacing w:line="480" w:lineRule="exact"/>
        <w:ind w:left="1946" w:hangingChars="608" w:hanging="1946"/>
        <w:textAlignment w:val="auto"/>
        <w:rPr>
          <w:rFonts w:ascii="標楷體" w:eastAsia="標楷體" w:hAnsi="標楷體"/>
          <w:kern w:val="2"/>
          <w:sz w:val="32"/>
          <w:szCs w:val="32"/>
        </w:rPr>
      </w:pPr>
      <w:r w:rsidRPr="007E033C">
        <w:rPr>
          <w:rFonts w:ascii="標楷體" w:eastAsia="標楷體" w:hAnsi="標楷體" w:hint="eastAsia"/>
          <w:kern w:val="2"/>
          <w:sz w:val="32"/>
          <w:szCs w:val="32"/>
        </w:rPr>
        <w:t xml:space="preserve">　　第7項　審計部臺南市審計處6,912萬6千元，照列。</w:t>
      </w:r>
    </w:p>
    <w:p w14:paraId="67D0B580" w14:textId="77777777" w:rsidR="009D64D0" w:rsidRPr="007E033C" w:rsidRDefault="009D64D0" w:rsidP="00F470A8">
      <w:pPr>
        <w:widowControl w:val="0"/>
        <w:tabs>
          <w:tab w:val="left" w:pos="851"/>
          <w:tab w:val="left" w:pos="1134"/>
          <w:tab w:val="left" w:pos="1418"/>
        </w:tabs>
        <w:kinsoku w:val="0"/>
        <w:overflowPunct w:val="0"/>
        <w:autoSpaceDE w:val="0"/>
        <w:adjustRightInd w:val="0"/>
        <w:spacing w:line="480" w:lineRule="exact"/>
        <w:ind w:left="1946" w:hangingChars="608" w:hanging="1946"/>
        <w:textAlignment w:val="auto"/>
        <w:rPr>
          <w:rFonts w:ascii="標楷體" w:eastAsia="標楷體" w:hAnsi="標楷體"/>
          <w:kern w:val="2"/>
          <w:sz w:val="32"/>
          <w:szCs w:val="32"/>
        </w:rPr>
      </w:pPr>
      <w:r w:rsidRPr="007E033C">
        <w:rPr>
          <w:rFonts w:ascii="標楷體" w:eastAsia="標楷體" w:hAnsi="標楷體" w:hint="eastAsia"/>
          <w:kern w:val="2"/>
          <w:sz w:val="32"/>
          <w:szCs w:val="32"/>
        </w:rPr>
        <w:t xml:space="preserve">　　第</w:t>
      </w:r>
      <w:r w:rsidRPr="007E033C">
        <w:rPr>
          <w:rFonts w:ascii="標楷體" w:eastAsia="標楷體" w:hAnsi="標楷體"/>
          <w:kern w:val="2"/>
          <w:sz w:val="32"/>
          <w:szCs w:val="32"/>
        </w:rPr>
        <w:t>8</w:t>
      </w:r>
      <w:r w:rsidRPr="007E033C">
        <w:rPr>
          <w:rFonts w:ascii="標楷體" w:eastAsia="標楷體" w:hAnsi="標楷體" w:hint="eastAsia"/>
          <w:kern w:val="2"/>
          <w:sz w:val="32"/>
          <w:szCs w:val="32"/>
        </w:rPr>
        <w:t>項　審計部高雄市審計處8,335萬元，照列。</w:t>
      </w:r>
    </w:p>
    <w:p w14:paraId="4CCFEFED" w14:textId="77777777" w:rsidR="009D64D0" w:rsidRPr="007E033C" w:rsidRDefault="009D64D0" w:rsidP="00F470A8">
      <w:pPr>
        <w:widowControl w:val="0"/>
        <w:kinsoku w:val="0"/>
        <w:overflowPunct w:val="0"/>
        <w:autoSpaceDE w:val="0"/>
        <w:adjustRightInd w:val="0"/>
        <w:snapToGrid w:val="0"/>
        <w:spacing w:afterLines="50" w:after="180" w:line="480" w:lineRule="exact"/>
        <w:jc w:val="both"/>
        <w:textAlignment w:val="auto"/>
        <w:rPr>
          <w:rFonts w:ascii="標楷體" w:eastAsia="標楷體" w:hAnsi="標楷體"/>
          <w:b/>
          <w:kern w:val="2"/>
          <w:sz w:val="32"/>
          <w:szCs w:val="32"/>
        </w:rPr>
      </w:pPr>
      <w:r w:rsidRPr="007E033C">
        <w:rPr>
          <w:rFonts w:ascii="標楷體" w:eastAsia="標楷體" w:hAnsi="標楷體" w:hint="eastAsia"/>
          <w:b/>
          <w:kern w:val="2"/>
          <w:sz w:val="32"/>
          <w:szCs w:val="32"/>
        </w:rPr>
        <w:t>有關政事別歲出預算隨同以上機關別審查結果調整。</w:t>
      </w:r>
    </w:p>
    <w:p w14:paraId="60343DAC" w14:textId="77777777" w:rsidR="009D64D0" w:rsidRPr="00B5727E" w:rsidRDefault="009D64D0" w:rsidP="00F470A8">
      <w:pPr>
        <w:pStyle w:val="Default"/>
        <w:overflowPunct w:val="0"/>
        <w:spacing w:line="500" w:lineRule="exact"/>
        <w:ind w:leftChars="9" w:left="682" w:hangingChars="206" w:hanging="660"/>
        <w:jc w:val="both"/>
        <w:rPr>
          <w:b/>
          <w:bCs/>
          <w:sz w:val="32"/>
          <w:szCs w:val="36"/>
        </w:rPr>
      </w:pPr>
      <w:r>
        <w:rPr>
          <w:rFonts w:hint="eastAsia"/>
          <w:b/>
          <w:bCs/>
          <w:sz w:val="32"/>
          <w:szCs w:val="32"/>
        </w:rPr>
        <w:lastRenderedPageBreak/>
        <w:t>參</w:t>
      </w:r>
      <w:r w:rsidRPr="00B5727E">
        <w:rPr>
          <w:rFonts w:hint="eastAsia"/>
          <w:b/>
          <w:bCs/>
          <w:sz w:val="32"/>
          <w:szCs w:val="32"/>
        </w:rPr>
        <w:t>、</w:t>
      </w:r>
      <w:r w:rsidRPr="00B5727E">
        <w:rPr>
          <w:rFonts w:hint="eastAsia"/>
          <w:b/>
          <w:bCs/>
          <w:sz w:val="32"/>
          <w:szCs w:val="36"/>
        </w:rPr>
        <w:t>114年度中央政府總預算案有關直轄市及縣市政府。調整軍公教人員待遇準備。災害準備金。第二預備金審查結果：</w:t>
      </w:r>
    </w:p>
    <w:p w14:paraId="4F2EE2E0" w14:textId="77777777" w:rsidR="009D64D0" w:rsidRPr="007E033C"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s="華康細明體"/>
          <w:kern w:val="0"/>
          <w:sz w:val="32"/>
          <w:szCs w:val="32"/>
        </w:rPr>
      </w:pPr>
      <w:r w:rsidRPr="007E033C">
        <w:rPr>
          <w:rFonts w:ascii="標楷體" w:eastAsia="標楷體" w:hAnsi="標楷體" w:cs="華康細明體" w:hint="eastAsia"/>
          <w:kern w:val="0"/>
          <w:sz w:val="32"/>
          <w:szCs w:val="32"/>
        </w:rPr>
        <w:t xml:space="preserve">　第26款　直轄市及縣市政府</w:t>
      </w:r>
    </w:p>
    <w:p w14:paraId="54C27AB9" w14:textId="77777777" w:rsidR="009D64D0" w:rsidRPr="007E033C"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s="華康細明體"/>
          <w:kern w:val="0"/>
          <w:sz w:val="32"/>
          <w:szCs w:val="32"/>
        </w:rPr>
      </w:pPr>
      <w:r w:rsidRPr="007E033C">
        <w:rPr>
          <w:rFonts w:ascii="標楷體" w:eastAsia="標楷體" w:hAnsi="標楷體" w:cs="華康細明體" w:hint="eastAsia"/>
          <w:kern w:val="0"/>
          <w:sz w:val="32"/>
          <w:szCs w:val="32"/>
        </w:rPr>
        <w:t xml:space="preserve">　　第1項　直轄市及縣市一般性補助款2,501億1,279萬元，照列。</w:t>
      </w:r>
    </w:p>
    <w:p w14:paraId="43EAF2C2" w14:textId="77777777" w:rsidR="009D64D0" w:rsidRPr="007E033C"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s="華康細明體"/>
          <w:kern w:val="0"/>
          <w:sz w:val="32"/>
          <w:szCs w:val="32"/>
        </w:rPr>
      </w:pPr>
      <w:r w:rsidRPr="007E033C">
        <w:rPr>
          <w:rFonts w:ascii="標楷體" w:eastAsia="標楷體" w:hAnsi="標楷體" w:cs="華康細明體" w:hint="eastAsia"/>
          <w:kern w:val="0"/>
          <w:sz w:val="32"/>
          <w:szCs w:val="32"/>
        </w:rPr>
        <w:t xml:space="preserve">　第27款　調整軍公教人員待遇準備99億3,107萬9千元，照列。</w:t>
      </w:r>
    </w:p>
    <w:p w14:paraId="276FD75E" w14:textId="77777777" w:rsidR="009D64D0" w:rsidRPr="007E033C"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s="華康細明體"/>
          <w:kern w:val="0"/>
          <w:sz w:val="32"/>
          <w:szCs w:val="32"/>
        </w:rPr>
      </w:pPr>
      <w:r w:rsidRPr="007E033C">
        <w:rPr>
          <w:rFonts w:ascii="標楷體" w:eastAsia="標楷體" w:hAnsi="標楷體" w:cs="華康細明體" w:hint="eastAsia"/>
          <w:kern w:val="0"/>
          <w:sz w:val="32"/>
          <w:szCs w:val="32"/>
        </w:rPr>
        <w:t xml:space="preserve">　第28款　災害準備金50億元，照列。</w:t>
      </w:r>
    </w:p>
    <w:p w14:paraId="08A5F14A" w14:textId="77777777" w:rsidR="009D64D0" w:rsidRPr="007E033C"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cs="華康細明體"/>
          <w:kern w:val="0"/>
          <w:sz w:val="32"/>
          <w:szCs w:val="32"/>
        </w:rPr>
      </w:pPr>
      <w:r w:rsidRPr="007E033C">
        <w:rPr>
          <w:rFonts w:ascii="標楷體" w:eastAsia="標楷體" w:hAnsi="標楷體" w:cs="華康細明體" w:hint="eastAsia"/>
          <w:kern w:val="0"/>
          <w:sz w:val="32"/>
          <w:szCs w:val="32"/>
        </w:rPr>
        <w:t xml:space="preserve">　第29款　第二預備金80億元，照列。</w:t>
      </w:r>
    </w:p>
    <w:p w14:paraId="612669F0" w14:textId="77777777" w:rsidR="009D64D0" w:rsidRPr="007E033C" w:rsidRDefault="009D64D0" w:rsidP="00F470A8">
      <w:pPr>
        <w:widowControl w:val="0"/>
        <w:kinsoku w:val="0"/>
        <w:overflowPunct w:val="0"/>
        <w:autoSpaceDE w:val="0"/>
        <w:adjustRightInd w:val="0"/>
        <w:snapToGrid w:val="0"/>
        <w:spacing w:beforeLines="50" w:before="180" w:line="440" w:lineRule="exact"/>
        <w:jc w:val="both"/>
        <w:textAlignment w:val="auto"/>
        <w:rPr>
          <w:rFonts w:ascii="標楷體" w:eastAsia="標楷體" w:hAnsi="標楷體" w:cs="Courier New"/>
          <w:b/>
          <w:kern w:val="2"/>
          <w:sz w:val="32"/>
          <w:szCs w:val="32"/>
        </w:rPr>
      </w:pPr>
      <w:r w:rsidRPr="007E033C">
        <w:rPr>
          <w:rFonts w:ascii="標楷體" w:eastAsia="標楷體" w:hAnsi="標楷體" w:cs="Courier New" w:hint="eastAsia"/>
          <w:b/>
          <w:kern w:val="2"/>
          <w:sz w:val="32"/>
          <w:szCs w:val="32"/>
        </w:rPr>
        <w:t>散會</w:t>
      </w:r>
    </w:p>
    <w:p w14:paraId="19BB1606" w14:textId="77777777" w:rsidR="009D64D0" w:rsidRPr="00471D1C" w:rsidRDefault="009D64D0" w:rsidP="00F470A8">
      <w:pPr>
        <w:overflowPunct w:val="0"/>
        <w:autoSpaceDE w:val="0"/>
        <w:spacing w:line="460" w:lineRule="exact"/>
        <w:ind w:left="616" w:hanging="630"/>
        <w:jc w:val="both"/>
        <w:rPr>
          <w:rFonts w:ascii="標楷體" w:eastAsia="標楷體" w:hAnsi="標楷體"/>
        </w:rPr>
      </w:pPr>
    </w:p>
    <w:p w14:paraId="3948A4FE"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32EE82AF"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38" w:name="_Toc189487327"/>
      <w:r w:rsidRPr="0008203A">
        <w:rPr>
          <w:rFonts w:ascii="標楷體" w:eastAsia="標楷體" w:hAnsi="標楷體"/>
          <w:b/>
          <w:spacing w:val="-20"/>
          <w:sz w:val="32"/>
          <w:szCs w:val="32"/>
        </w:rPr>
        <w:lastRenderedPageBreak/>
        <w:t>立法院第</w:t>
      </w:r>
      <w:r w:rsidRPr="0008203A">
        <w:rPr>
          <w:rFonts w:ascii="標楷體" w:eastAsia="標楷體" w:hAnsi="標楷體" w:hint="eastAsia"/>
          <w:b/>
          <w:spacing w:val="-20"/>
          <w:sz w:val="32"/>
          <w:szCs w:val="32"/>
        </w:rPr>
        <w:t>11</w:t>
      </w:r>
      <w:r w:rsidRPr="0008203A">
        <w:rPr>
          <w:rFonts w:ascii="標楷體" w:eastAsia="標楷體" w:hAnsi="標楷體"/>
          <w:b/>
          <w:spacing w:val="-20"/>
          <w:sz w:val="32"/>
          <w:szCs w:val="32"/>
        </w:rPr>
        <w:t>屆第</w:t>
      </w:r>
      <w:r w:rsidRPr="0008203A">
        <w:rPr>
          <w:rFonts w:ascii="標楷體" w:eastAsia="標楷體" w:hAnsi="標楷體" w:hint="eastAsia"/>
          <w:b/>
          <w:spacing w:val="-20"/>
          <w:sz w:val="32"/>
          <w:szCs w:val="32"/>
        </w:rPr>
        <w:t>2</w:t>
      </w:r>
      <w:r w:rsidRPr="0008203A">
        <w:rPr>
          <w:rFonts w:ascii="標楷體" w:eastAsia="標楷體" w:hAnsi="標楷體"/>
          <w:b/>
          <w:spacing w:val="-20"/>
          <w:sz w:val="32"/>
          <w:szCs w:val="32"/>
        </w:rPr>
        <w:t>會期財政委員會第</w:t>
      </w:r>
      <w:r w:rsidRPr="0008203A">
        <w:rPr>
          <w:rFonts w:ascii="標楷體" w:eastAsia="標楷體" w:hAnsi="標楷體" w:hint="eastAsia"/>
          <w:b/>
          <w:spacing w:val="-20"/>
          <w:sz w:val="32"/>
          <w:szCs w:val="32"/>
        </w:rPr>
        <w:t>11</w:t>
      </w:r>
      <w:r w:rsidRPr="0008203A">
        <w:rPr>
          <w:rFonts w:ascii="標楷體" w:eastAsia="標楷體" w:hAnsi="標楷體"/>
          <w:b/>
          <w:spacing w:val="-20"/>
          <w:sz w:val="32"/>
          <w:szCs w:val="32"/>
        </w:rPr>
        <w:t>次全體委員會議議事錄</w:t>
      </w:r>
      <w:bookmarkEnd w:id="138"/>
    </w:p>
    <w:p w14:paraId="03184852" w14:textId="77777777" w:rsidR="009D64D0" w:rsidRPr="0079285D" w:rsidRDefault="009D64D0"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hint="eastAsia"/>
          <w:kern w:val="2"/>
          <w:sz w:val="32"/>
          <w:szCs w:val="32"/>
        </w:rPr>
        <w:t>時</w:t>
      </w:r>
      <w:r w:rsidRPr="0079285D">
        <w:rPr>
          <w:rFonts w:ascii="標楷體" w:eastAsia="標楷體" w:hAnsi="標楷體"/>
          <w:kern w:val="2"/>
          <w:sz w:val="32"/>
          <w:szCs w:val="32"/>
        </w:rPr>
        <w:t xml:space="preserve">　　</w:t>
      </w:r>
      <w:r w:rsidRPr="0079285D">
        <w:rPr>
          <w:rFonts w:ascii="標楷體" w:eastAsia="標楷體" w:hAnsi="標楷體" w:hint="eastAsia"/>
          <w:kern w:val="2"/>
          <w:sz w:val="32"/>
          <w:szCs w:val="32"/>
        </w:rPr>
        <w:t>間</w:t>
      </w:r>
      <w:r w:rsidRPr="0079285D">
        <w:rPr>
          <w:rFonts w:ascii="標楷體" w:eastAsia="標楷體" w:hAnsi="標楷體"/>
          <w:kern w:val="2"/>
          <w:sz w:val="32"/>
          <w:szCs w:val="32"/>
        </w:rPr>
        <w:t xml:space="preserve">　中華民國</w:t>
      </w:r>
      <w:r w:rsidRPr="0079285D">
        <w:rPr>
          <w:rFonts w:ascii="標楷體" w:eastAsia="標楷體" w:hAnsi="標楷體" w:hint="eastAsia"/>
          <w:kern w:val="2"/>
          <w:sz w:val="32"/>
          <w:szCs w:val="32"/>
        </w:rPr>
        <w:t>113</w:t>
      </w:r>
      <w:r w:rsidRPr="0079285D">
        <w:rPr>
          <w:rFonts w:ascii="標楷體" w:eastAsia="標楷體" w:hAnsi="標楷體"/>
          <w:kern w:val="2"/>
          <w:sz w:val="32"/>
          <w:szCs w:val="32"/>
        </w:rPr>
        <w:t>年</w:t>
      </w:r>
      <w:r w:rsidRPr="0079285D">
        <w:rPr>
          <w:rFonts w:ascii="標楷體" w:eastAsia="標楷體" w:hAnsi="標楷體" w:hint="eastAsia"/>
          <w:kern w:val="2"/>
          <w:sz w:val="32"/>
          <w:szCs w:val="32"/>
        </w:rPr>
        <w:t>12</w:t>
      </w:r>
      <w:r w:rsidRPr="0079285D">
        <w:rPr>
          <w:rFonts w:ascii="標楷體" w:eastAsia="標楷體" w:hAnsi="標楷體"/>
          <w:kern w:val="2"/>
          <w:sz w:val="32"/>
          <w:szCs w:val="32"/>
        </w:rPr>
        <w:t>月</w:t>
      </w:r>
      <w:r w:rsidRPr="0079285D">
        <w:rPr>
          <w:rFonts w:ascii="標楷體" w:eastAsia="標楷體" w:hAnsi="標楷體" w:hint="eastAsia"/>
          <w:kern w:val="2"/>
          <w:sz w:val="32"/>
          <w:szCs w:val="32"/>
        </w:rPr>
        <w:t>18</w:t>
      </w:r>
      <w:r w:rsidRPr="0079285D">
        <w:rPr>
          <w:rFonts w:ascii="標楷體" w:eastAsia="標楷體" w:hAnsi="標楷體"/>
          <w:kern w:val="2"/>
          <w:sz w:val="32"/>
          <w:szCs w:val="32"/>
        </w:rPr>
        <w:t>日（星期</w:t>
      </w:r>
      <w:r w:rsidRPr="0079285D">
        <w:rPr>
          <w:rFonts w:ascii="標楷體" w:eastAsia="標楷體" w:hAnsi="標楷體" w:hint="eastAsia"/>
          <w:kern w:val="2"/>
          <w:sz w:val="32"/>
          <w:szCs w:val="32"/>
        </w:rPr>
        <w:t>三</w:t>
      </w:r>
      <w:r w:rsidRPr="0079285D">
        <w:rPr>
          <w:rFonts w:ascii="標楷體" w:eastAsia="標楷體" w:hAnsi="標楷體"/>
          <w:kern w:val="2"/>
          <w:sz w:val="32"/>
          <w:szCs w:val="32"/>
        </w:rPr>
        <w:t>）9時至11時</w:t>
      </w:r>
    </w:p>
    <w:p w14:paraId="559B35F9" w14:textId="77777777" w:rsidR="009D64D0" w:rsidRPr="0079285D" w:rsidRDefault="009D64D0"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hint="eastAsia"/>
          <w:kern w:val="2"/>
          <w:sz w:val="32"/>
          <w:szCs w:val="32"/>
        </w:rPr>
        <w:t xml:space="preserve">　　　　　</w:t>
      </w:r>
      <w:r w:rsidRPr="0079285D">
        <w:rPr>
          <w:rFonts w:ascii="標楷體" w:eastAsia="標楷體" w:hAnsi="標楷體"/>
          <w:kern w:val="2"/>
          <w:sz w:val="32"/>
          <w:szCs w:val="32"/>
        </w:rPr>
        <w:t>中華民國</w:t>
      </w:r>
      <w:r w:rsidRPr="0079285D">
        <w:rPr>
          <w:rFonts w:ascii="標楷體" w:eastAsia="標楷體" w:hAnsi="標楷體" w:hint="eastAsia"/>
          <w:kern w:val="2"/>
          <w:sz w:val="32"/>
          <w:szCs w:val="32"/>
        </w:rPr>
        <w:t>113</w:t>
      </w:r>
      <w:r w:rsidRPr="0079285D">
        <w:rPr>
          <w:rFonts w:ascii="標楷體" w:eastAsia="標楷體" w:hAnsi="標楷體"/>
          <w:kern w:val="2"/>
          <w:sz w:val="32"/>
          <w:szCs w:val="32"/>
        </w:rPr>
        <w:t>年</w:t>
      </w:r>
      <w:r w:rsidRPr="0079285D">
        <w:rPr>
          <w:rFonts w:ascii="標楷體" w:eastAsia="標楷體" w:hAnsi="標楷體" w:hint="eastAsia"/>
          <w:kern w:val="2"/>
          <w:sz w:val="32"/>
          <w:szCs w:val="32"/>
        </w:rPr>
        <w:t>12</w:t>
      </w:r>
      <w:r w:rsidRPr="0079285D">
        <w:rPr>
          <w:rFonts w:ascii="標楷體" w:eastAsia="標楷體" w:hAnsi="標楷體"/>
          <w:kern w:val="2"/>
          <w:sz w:val="32"/>
          <w:szCs w:val="32"/>
        </w:rPr>
        <w:t>月</w:t>
      </w:r>
      <w:r w:rsidRPr="0079285D">
        <w:rPr>
          <w:rFonts w:ascii="標楷體" w:eastAsia="標楷體" w:hAnsi="標楷體" w:hint="eastAsia"/>
          <w:kern w:val="2"/>
          <w:sz w:val="32"/>
          <w:szCs w:val="32"/>
        </w:rPr>
        <w:t>1</w:t>
      </w:r>
      <w:r w:rsidRPr="0079285D">
        <w:rPr>
          <w:rFonts w:ascii="標楷體" w:eastAsia="標楷體" w:hAnsi="標楷體"/>
          <w:kern w:val="2"/>
          <w:sz w:val="32"/>
          <w:szCs w:val="32"/>
        </w:rPr>
        <w:t>9日（星期</w:t>
      </w:r>
      <w:r w:rsidRPr="0079285D">
        <w:rPr>
          <w:rFonts w:ascii="標楷體" w:eastAsia="標楷體" w:hAnsi="標楷體" w:hint="eastAsia"/>
          <w:kern w:val="2"/>
          <w:sz w:val="32"/>
          <w:szCs w:val="32"/>
        </w:rPr>
        <w:t>四</w:t>
      </w:r>
      <w:r w:rsidRPr="0079285D">
        <w:rPr>
          <w:rFonts w:ascii="標楷體" w:eastAsia="標楷體" w:hAnsi="標楷體"/>
          <w:kern w:val="2"/>
          <w:sz w:val="32"/>
          <w:szCs w:val="32"/>
        </w:rPr>
        <w:t>）9時至12時</w:t>
      </w:r>
      <w:r w:rsidRPr="0079285D">
        <w:rPr>
          <w:rFonts w:ascii="標楷體" w:eastAsia="標楷體" w:hAnsi="標楷體" w:hint="eastAsia"/>
          <w:kern w:val="2"/>
          <w:sz w:val="32"/>
          <w:szCs w:val="32"/>
        </w:rPr>
        <w:t>1</w:t>
      </w:r>
      <w:r w:rsidRPr="0079285D">
        <w:rPr>
          <w:rFonts w:ascii="標楷體" w:eastAsia="標楷體" w:hAnsi="標楷體"/>
          <w:kern w:val="2"/>
          <w:sz w:val="32"/>
          <w:szCs w:val="32"/>
        </w:rPr>
        <w:t>8</w:t>
      </w:r>
      <w:r w:rsidRPr="0079285D">
        <w:rPr>
          <w:rFonts w:ascii="標楷體" w:eastAsia="標楷體" w:hAnsi="標楷體" w:hint="eastAsia"/>
          <w:kern w:val="2"/>
          <w:sz w:val="32"/>
          <w:szCs w:val="32"/>
        </w:rPr>
        <w:t>分</w:t>
      </w:r>
    </w:p>
    <w:p w14:paraId="3E72768A" w14:textId="77777777" w:rsidR="009D64D0" w:rsidRPr="0079285D" w:rsidRDefault="009D64D0"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kern w:val="2"/>
          <w:sz w:val="32"/>
          <w:szCs w:val="32"/>
        </w:rPr>
        <w:t xml:space="preserve">地　　點　</w:t>
      </w:r>
      <w:r w:rsidRPr="0079285D">
        <w:rPr>
          <w:rFonts w:ascii="標楷體" w:eastAsia="標楷體" w:hAnsi="標楷體" w:hint="eastAsia"/>
          <w:kern w:val="2"/>
          <w:sz w:val="32"/>
          <w:szCs w:val="32"/>
        </w:rPr>
        <w:t>群賢樓9樓大禮堂（1</w:t>
      </w:r>
      <w:r w:rsidRPr="0079285D">
        <w:rPr>
          <w:rFonts w:ascii="標楷體" w:eastAsia="標楷體" w:hAnsi="標楷體"/>
          <w:kern w:val="2"/>
          <w:sz w:val="32"/>
          <w:szCs w:val="32"/>
        </w:rPr>
        <w:t>2</w:t>
      </w:r>
      <w:r w:rsidRPr="0079285D">
        <w:rPr>
          <w:rFonts w:ascii="標楷體" w:eastAsia="標楷體" w:hAnsi="標楷體" w:hint="eastAsia"/>
          <w:kern w:val="2"/>
          <w:sz w:val="32"/>
          <w:szCs w:val="32"/>
        </w:rPr>
        <w:t>月1</w:t>
      </w:r>
      <w:r w:rsidRPr="0079285D">
        <w:rPr>
          <w:rFonts w:ascii="標楷體" w:eastAsia="標楷體" w:hAnsi="標楷體"/>
          <w:kern w:val="2"/>
          <w:sz w:val="32"/>
          <w:szCs w:val="32"/>
        </w:rPr>
        <w:t>8</w:t>
      </w:r>
      <w:r w:rsidRPr="0079285D">
        <w:rPr>
          <w:rFonts w:ascii="標楷體" w:eastAsia="標楷體" w:hAnsi="標楷體" w:hint="eastAsia"/>
          <w:kern w:val="2"/>
          <w:sz w:val="32"/>
          <w:szCs w:val="32"/>
        </w:rPr>
        <w:t>日）</w:t>
      </w:r>
    </w:p>
    <w:p w14:paraId="483A57E3" w14:textId="77777777" w:rsidR="009D64D0" w:rsidRPr="0079285D" w:rsidRDefault="009D64D0"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hint="eastAsia"/>
          <w:kern w:val="2"/>
          <w:sz w:val="32"/>
          <w:szCs w:val="32"/>
        </w:rPr>
        <w:t xml:space="preserve">　　　　　紅樓302會議室（1</w:t>
      </w:r>
      <w:r w:rsidRPr="0079285D">
        <w:rPr>
          <w:rFonts w:ascii="標楷體" w:eastAsia="標楷體" w:hAnsi="標楷體"/>
          <w:kern w:val="2"/>
          <w:sz w:val="32"/>
          <w:szCs w:val="32"/>
        </w:rPr>
        <w:t>2</w:t>
      </w:r>
      <w:r w:rsidRPr="0079285D">
        <w:rPr>
          <w:rFonts w:ascii="標楷體" w:eastAsia="標楷體" w:hAnsi="標楷體" w:hint="eastAsia"/>
          <w:kern w:val="2"/>
          <w:sz w:val="32"/>
          <w:szCs w:val="32"/>
        </w:rPr>
        <w:t>月1</w:t>
      </w:r>
      <w:r w:rsidRPr="0079285D">
        <w:rPr>
          <w:rFonts w:ascii="標楷體" w:eastAsia="標楷體" w:hAnsi="標楷體"/>
          <w:kern w:val="2"/>
          <w:sz w:val="32"/>
          <w:szCs w:val="32"/>
        </w:rPr>
        <w:t>9</w:t>
      </w:r>
      <w:r w:rsidRPr="0079285D">
        <w:rPr>
          <w:rFonts w:ascii="標楷體" w:eastAsia="標楷體" w:hAnsi="標楷體" w:hint="eastAsia"/>
          <w:kern w:val="2"/>
          <w:sz w:val="32"/>
          <w:szCs w:val="32"/>
        </w:rPr>
        <w:t>日）</w:t>
      </w:r>
    </w:p>
    <w:p w14:paraId="68284D3B" w14:textId="77777777" w:rsidR="0079285D" w:rsidRPr="0079285D" w:rsidRDefault="009D64D0"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kern w:val="2"/>
          <w:sz w:val="32"/>
          <w:szCs w:val="32"/>
        </w:rPr>
        <w:t xml:space="preserve">出席委員　</w:t>
      </w:r>
      <w:r w:rsidRPr="0079285D">
        <w:rPr>
          <w:rFonts w:ascii="標楷體" w:eastAsia="標楷體" w:hAnsi="標楷體" w:hint="eastAsia"/>
          <w:kern w:val="2"/>
          <w:sz w:val="32"/>
          <w:szCs w:val="32"/>
        </w:rPr>
        <w:t>吳秉叡　李坤城　賴惠員　伍麗華</w:t>
      </w:r>
      <w:r w:rsidRPr="0079285D">
        <w:rPr>
          <w:rFonts w:ascii="標楷體" w:eastAsia="標楷體" w:hAnsi="標楷體" w:hint="eastAsia"/>
          <w:spacing w:val="-22"/>
          <w:kern w:val="2"/>
          <w:sz w:val="32"/>
          <w:szCs w:val="32"/>
        </w:rPr>
        <w:t>Saidhai Tahovecahe</w:t>
      </w:r>
      <w:r w:rsidRPr="0079285D">
        <w:rPr>
          <w:rFonts w:ascii="標楷體" w:eastAsia="標楷體" w:hAnsi="標楷體" w:hint="eastAsia"/>
          <w:kern w:val="2"/>
          <w:sz w:val="32"/>
          <w:szCs w:val="32"/>
        </w:rPr>
        <w:t xml:space="preserve">　</w:t>
      </w:r>
    </w:p>
    <w:p w14:paraId="63E6D2E7" w14:textId="4C048632" w:rsidR="0079285D" w:rsidRPr="0079285D" w:rsidRDefault="0079285D"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hint="eastAsia"/>
          <w:kern w:val="2"/>
          <w:sz w:val="32"/>
          <w:szCs w:val="32"/>
        </w:rPr>
        <w:t xml:space="preserve">　　　　　</w:t>
      </w:r>
      <w:r w:rsidR="009D64D0" w:rsidRPr="0079285D">
        <w:rPr>
          <w:rFonts w:ascii="標楷體" w:eastAsia="標楷體" w:hAnsi="標楷體" w:hint="eastAsia"/>
          <w:kern w:val="2"/>
          <w:sz w:val="32"/>
          <w:szCs w:val="32"/>
        </w:rPr>
        <w:t xml:space="preserve">黃珊珊　陳玉珍　羅明才　賴士葆　王鴻薇　王世堅　</w:t>
      </w:r>
    </w:p>
    <w:p w14:paraId="014A6B72" w14:textId="35943514" w:rsidR="009D64D0" w:rsidRPr="0079285D" w:rsidRDefault="0079285D"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hint="eastAsia"/>
          <w:kern w:val="2"/>
          <w:sz w:val="32"/>
          <w:szCs w:val="32"/>
        </w:rPr>
        <w:t xml:space="preserve">　　　　　</w:t>
      </w:r>
      <w:r w:rsidR="009D64D0" w:rsidRPr="0079285D">
        <w:rPr>
          <w:rFonts w:ascii="標楷體" w:eastAsia="標楷體" w:hAnsi="標楷體" w:hint="eastAsia"/>
          <w:kern w:val="2"/>
          <w:sz w:val="32"/>
          <w:szCs w:val="32"/>
        </w:rPr>
        <w:t>郭國文　林德福　李彥秀　顏寬恒</w:t>
      </w:r>
    </w:p>
    <w:p w14:paraId="1F08AEEF" w14:textId="601B57E2" w:rsidR="009D64D0" w:rsidRPr="0079285D" w:rsidRDefault="006F67CF" w:rsidP="00F470A8">
      <w:pPr>
        <w:widowControl w:val="0"/>
        <w:kinsoku w:val="0"/>
        <w:overflowPunct w:val="0"/>
        <w:autoSpaceDE w:val="0"/>
        <w:adjustRightInd w:val="0"/>
        <w:snapToGrid w:val="0"/>
        <w:spacing w:line="460" w:lineRule="exact"/>
        <w:textAlignment w:val="auto"/>
        <w:rPr>
          <w:rFonts w:ascii="標楷體" w:eastAsia="標楷體" w:hAnsi="標楷體"/>
          <w:b/>
          <w:kern w:val="2"/>
          <w:sz w:val="32"/>
          <w:szCs w:val="32"/>
        </w:rPr>
      </w:pPr>
      <w:r w:rsidRPr="0079285D">
        <w:rPr>
          <w:rFonts w:ascii="標楷體" w:eastAsia="標楷體" w:hAnsi="標楷體" w:hint="eastAsia"/>
          <w:kern w:val="2"/>
          <w:sz w:val="32"/>
          <w:szCs w:val="32"/>
        </w:rPr>
        <w:t xml:space="preserve">　　　　　</w:t>
      </w:r>
      <w:r w:rsidR="009D64D0" w:rsidRPr="0079285D">
        <w:rPr>
          <w:rFonts w:ascii="標楷體" w:eastAsia="標楷體" w:hAnsi="標楷體"/>
          <w:b/>
          <w:kern w:val="2"/>
          <w:sz w:val="32"/>
          <w:szCs w:val="32"/>
        </w:rPr>
        <w:t>委員出席</w:t>
      </w:r>
      <w:r w:rsidR="009D64D0" w:rsidRPr="0079285D">
        <w:rPr>
          <w:rFonts w:ascii="標楷體" w:eastAsia="標楷體" w:hAnsi="標楷體" w:hint="eastAsia"/>
          <w:b/>
          <w:kern w:val="2"/>
          <w:sz w:val="32"/>
          <w:szCs w:val="32"/>
        </w:rPr>
        <w:t>1</w:t>
      </w:r>
      <w:r w:rsidR="009D64D0" w:rsidRPr="0079285D">
        <w:rPr>
          <w:rFonts w:ascii="標楷體" w:eastAsia="標楷體" w:hAnsi="標楷體"/>
          <w:b/>
          <w:kern w:val="2"/>
          <w:sz w:val="32"/>
          <w:szCs w:val="32"/>
        </w:rPr>
        <w:t>4人</w:t>
      </w:r>
    </w:p>
    <w:p w14:paraId="402C545B" w14:textId="60228848" w:rsidR="0079285D" w:rsidRPr="0079285D" w:rsidRDefault="009D64D0"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kern w:val="2"/>
          <w:sz w:val="32"/>
          <w:szCs w:val="32"/>
        </w:rPr>
        <w:t xml:space="preserve">列席委員　</w:t>
      </w:r>
      <w:r w:rsidRPr="0079285D">
        <w:rPr>
          <w:rFonts w:ascii="標楷體" w:eastAsia="標楷體" w:hAnsi="標楷體" w:hint="eastAsia"/>
          <w:kern w:val="2"/>
          <w:sz w:val="32"/>
          <w:szCs w:val="32"/>
        </w:rPr>
        <w:t xml:space="preserve">王義川　鍾佳濱　鄭正鈐　</w:t>
      </w:r>
      <w:r w:rsidRPr="006F67CF">
        <w:rPr>
          <w:rFonts w:ascii="標楷體" w:eastAsia="標楷體" w:hAnsi="標楷體" w:hint="eastAsia"/>
          <w:spacing w:val="-70"/>
          <w:kern w:val="2"/>
          <w:sz w:val="32"/>
          <w:szCs w:val="32"/>
        </w:rPr>
        <w:t>高金素梅</w:t>
      </w:r>
      <w:r w:rsidRPr="0079285D">
        <w:rPr>
          <w:rFonts w:ascii="標楷體" w:eastAsia="標楷體" w:hAnsi="標楷體" w:hint="eastAsia"/>
          <w:kern w:val="2"/>
          <w:sz w:val="32"/>
          <w:szCs w:val="32"/>
        </w:rPr>
        <w:t xml:space="preserve">　謝龍介　蘇清泉</w:t>
      </w:r>
      <w:r w:rsidR="0079285D" w:rsidRPr="0079285D">
        <w:rPr>
          <w:rFonts w:ascii="標楷體" w:eastAsia="標楷體" w:hAnsi="標楷體" w:hint="eastAsia"/>
          <w:kern w:val="2"/>
          <w:sz w:val="32"/>
          <w:szCs w:val="32"/>
        </w:rPr>
        <w:t xml:space="preserve">　</w:t>
      </w:r>
    </w:p>
    <w:p w14:paraId="2D7468F4" w14:textId="77777777" w:rsidR="0079285D" w:rsidRPr="0079285D" w:rsidRDefault="0079285D"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hint="eastAsia"/>
          <w:kern w:val="2"/>
          <w:sz w:val="32"/>
          <w:szCs w:val="32"/>
        </w:rPr>
        <w:t xml:space="preserve">　　　　</w:t>
      </w:r>
      <w:r w:rsidR="009D64D0" w:rsidRPr="0079285D">
        <w:rPr>
          <w:rFonts w:ascii="標楷體" w:eastAsia="標楷體" w:hAnsi="標楷體" w:hint="eastAsia"/>
          <w:kern w:val="2"/>
          <w:sz w:val="32"/>
          <w:szCs w:val="32"/>
        </w:rPr>
        <w:t xml:space="preserve">　葉元之　陳俊宇　莊瑞雄　洪孟楷　林思銘　麥玉珍　</w:t>
      </w:r>
    </w:p>
    <w:p w14:paraId="2B2BDB59" w14:textId="1DF85E22" w:rsidR="009D64D0" w:rsidRPr="0079285D" w:rsidRDefault="0079285D" w:rsidP="00F470A8">
      <w:pPr>
        <w:widowControl w:val="0"/>
        <w:kinsoku w:val="0"/>
        <w:overflowPunct w:val="0"/>
        <w:autoSpaceDE w:val="0"/>
        <w:adjustRightInd w:val="0"/>
        <w:snapToGrid w:val="0"/>
        <w:spacing w:line="460" w:lineRule="exact"/>
        <w:ind w:left="1600" w:rightChars="-126" w:right="-302" w:hangingChars="500" w:hanging="1600"/>
        <w:textAlignment w:val="auto"/>
        <w:rPr>
          <w:rFonts w:ascii="標楷體" w:eastAsia="標楷體" w:hAnsi="標楷體"/>
          <w:kern w:val="2"/>
          <w:sz w:val="32"/>
          <w:szCs w:val="32"/>
        </w:rPr>
      </w:pPr>
      <w:r w:rsidRPr="0079285D">
        <w:rPr>
          <w:rFonts w:ascii="標楷體" w:eastAsia="標楷體" w:hAnsi="標楷體" w:hint="eastAsia"/>
          <w:kern w:val="2"/>
          <w:sz w:val="32"/>
          <w:szCs w:val="32"/>
        </w:rPr>
        <w:t xml:space="preserve">　　　　　</w:t>
      </w:r>
      <w:r w:rsidR="009D64D0" w:rsidRPr="0079285D">
        <w:rPr>
          <w:rFonts w:ascii="標楷體" w:eastAsia="標楷體" w:hAnsi="標楷體" w:hint="eastAsia"/>
          <w:kern w:val="2"/>
          <w:sz w:val="32"/>
          <w:szCs w:val="32"/>
        </w:rPr>
        <w:t xml:space="preserve">楊瓊瓔　</w:t>
      </w:r>
    </w:p>
    <w:p w14:paraId="4C8AA01D" w14:textId="1FCD28B3" w:rsidR="009D64D0" w:rsidRPr="0079285D" w:rsidRDefault="006F67CF" w:rsidP="00F470A8">
      <w:pPr>
        <w:widowControl w:val="0"/>
        <w:kinsoku w:val="0"/>
        <w:overflowPunct w:val="0"/>
        <w:autoSpaceDE w:val="0"/>
        <w:adjustRightInd w:val="0"/>
        <w:snapToGrid w:val="0"/>
        <w:spacing w:line="460" w:lineRule="exact"/>
        <w:textAlignment w:val="auto"/>
        <w:rPr>
          <w:rFonts w:ascii="標楷體" w:eastAsia="標楷體" w:hAnsi="標楷體"/>
          <w:b/>
          <w:kern w:val="2"/>
          <w:sz w:val="32"/>
          <w:szCs w:val="32"/>
        </w:rPr>
      </w:pPr>
      <w:r w:rsidRPr="0079285D">
        <w:rPr>
          <w:rFonts w:ascii="標楷體" w:eastAsia="標楷體" w:hAnsi="標楷體" w:hint="eastAsia"/>
          <w:kern w:val="2"/>
          <w:sz w:val="32"/>
          <w:szCs w:val="32"/>
        </w:rPr>
        <w:t xml:space="preserve">　　　　　</w:t>
      </w:r>
      <w:r w:rsidR="009D64D0" w:rsidRPr="0079285D">
        <w:rPr>
          <w:rFonts w:ascii="標楷體" w:eastAsia="標楷體" w:hAnsi="標楷體"/>
          <w:b/>
          <w:kern w:val="2"/>
          <w:sz w:val="32"/>
          <w:szCs w:val="32"/>
        </w:rPr>
        <w:t>委員列席13人</w:t>
      </w:r>
    </w:p>
    <w:p w14:paraId="7D2D5242"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列席官員　113年1</w:t>
      </w:r>
      <w:r w:rsidRPr="00DD2820">
        <w:rPr>
          <w:rFonts w:ascii="標楷體" w:eastAsia="標楷體" w:hAnsi="標楷體"/>
          <w:kern w:val="16"/>
          <w:sz w:val="32"/>
          <w:szCs w:val="32"/>
        </w:rPr>
        <w:t>2</w:t>
      </w:r>
      <w:r w:rsidRPr="00DD2820">
        <w:rPr>
          <w:rFonts w:ascii="標楷體" w:eastAsia="標楷體" w:hAnsi="標楷體" w:hint="eastAsia"/>
          <w:kern w:val="16"/>
          <w:sz w:val="32"/>
          <w:szCs w:val="32"/>
        </w:rPr>
        <w:t>月1</w:t>
      </w:r>
      <w:r w:rsidRPr="00DD2820">
        <w:rPr>
          <w:rFonts w:ascii="標楷體" w:eastAsia="標楷體" w:hAnsi="標楷體"/>
          <w:kern w:val="16"/>
          <w:sz w:val="32"/>
          <w:szCs w:val="32"/>
        </w:rPr>
        <w:t>8</w:t>
      </w:r>
      <w:r w:rsidRPr="00DD2820">
        <w:rPr>
          <w:rFonts w:ascii="標楷體" w:eastAsia="標楷體" w:hAnsi="標楷體" w:hint="eastAsia"/>
          <w:kern w:val="16"/>
          <w:sz w:val="32"/>
          <w:szCs w:val="32"/>
        </w:rPr>
        <w:t>日（星期三）</w:t>
      </w:r>
    </w:p>
    <w:p w14:paraId="4EB9AEB4"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w:t>
      </w:r>
      <w:r w:rsidRPr="00DD2820">
        <w:rPr>
          <w:rFonts w:ascii="標楷體" w:eastAsia="標楷體" w:hAnsi="標楷體" w:hint="eastAsia"/>
          <w:b/>
          <w:kern w:val="16"/>
          <w:sz w:val="32"/>
          <w:szCs w:val="32"/>
        </w:rPr>
        <w:t>財政部</w:t>
      </w:r>
      <w:r w:rsidRPr="00DD2820">
        <w:rPr>
          <w:rFonts w:ascii="標楷體" w:eastAsia="標楷體" w:hAnsi="標楷體" w:hint="eastAsia"/>
          <w:kern w:val="16"/>
          <w:sz w:val="32"/>
          <w:szCs w:val="32"/>
        </w:rPr>
        <w:t xml:space="preserve">　　　　　　　　　　　部長　　　　莊翠雲</w:t>
      </w:r>
    </w:p>
    <w:p w14:paraId="44700BA1"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會計處　　　　　　　　　　處長　　　　李秋月</w:t>
      </w:r>
    </w:p>
    <w:p w14:paraId="197AE9F8"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國庫署　　　　　　　　　　副署長　　　馬小惠</w:t>
      </w:r>
    </w:p>
    <w:p w14:paraId="1B6E97B4"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賦稅署　　　　　　　　　　署長　　　　宋秀玲</w:t>
      </w:r>
    </w:p>
    <w:p w14:paraId="7CBE883D"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關務署　　　　　　　　　　署長　　　　彭英偉</w:t>
      </w:r>
    </w:p>
    <w:p w14:paraId="347D80AD"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國有財產署　　　　　　　　署長　　　　曾國基</w:t>
      </w:r>
    </w:p>
    <w:p w14:paraId="4DBE31B5"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臺北國稅局　　　　　　　　局長　　　　吳蓮英</w:t>
      </w:r>
    </w:p>
    <w:p w14:paraId="1485C3D3"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高雄國稅局　　　　　　　　局長　　　　翁培祐</w:t>
      </w:r>
    </w:p>
    <w:p w14:paraId="6AB62BAC"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北區國稅局　　　　　　　　局長　　　　李怡慧</w:t>
      </w:r>
    </w:p>
    <w:p w14:paraId="69B66443"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中區國稅局　　　　　　　　局長　　　　樓美鐘</w:t>
      </w:r>
    </w:p>
    <w:p w14:paraId="15314512"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南區國稅局　　　　　　　　局長　　　　李雅晶</w:t>
      </w:r>
    </w:p>
    <w:p w14:paraId="1E337824"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w:t>
      </w:r>
      <w:r w:rsidRPr="00DD2820">
        <w:rPr>
          <w:rFonts w:ascii="標楷體" w:eastAsia="標楷體" w:hAnsi="標楷體" w:hint="eastAsia"/>
          <w:b/>
          <w:kern w:val="16"/>
          <w:sz w:val="32"/>
          <w:szCs w:val="32"/>
        </w:rPr>
        <w:t>行政院主計總處</w:t>
      </w:r>
      <w:r w:rsidRPr="00DD2820">
        <w:rPr>
          <w:rFonts w:ascii="標楷體" w:eastAsia="標楷體" w:hAnsi="標楷體" w:hint="eastAsia"/>
          <w:kern w:val="16"/>
          <w:sz w:val="32"/>
          <w:szCs w:val="32"/>
        </w:rPr>
        <w:t>公務預算處　　專門委員　　吳銘修</w:t>
      </w:r>
    </w:p>
    <w:p w14:paraId="3794C430" w14:textId="77777777" w:rsidR="009D64D0" w:rsidRPr="00DD2820" w:rsidRDefault="009D64D0" w:rsidP="00F470A8">
      <w:pPr>
        <w:widowControl w:val="0"/>
        <w:tabs>
          <w:tab w:val="left" w:pos="9072"/>
        </w:tabs>
        <w:kinsoku w:val="0"/>
        <w:overflowPunct w:val="0"/>
        <w:autoSpaceDE w:val="0"/>
        <w:adjustRightInd w:val="0"/>
        <w:snapToGrid w:val="0"/>
        <w:spacing w:line="460" w:lineRule="exact"/>
        <w:textAlignment w:val="auto"/>
        <w:rPr>
          <w:rFonts w:ascii="標楷體" w:eastAsia="標楷體" w:hAnsi="標楷體"/>
          <w:spacing w:val="-20"/>
          <w:kern w:val="2"/>
          <w:sz w:val="32"/>
          <w:szCs w:val="32"/>
        </w:rPr>
      </w:pPr>
      <w:r w:rsidRPr="00DD2820">
        <w:rPr>
          <w:rFonts w:ascii="標楷體" w:eastAsia="標楷體" w:hAnsi="標楷體" w:hint="eastAsia"/>
          <w:spacing w:val="-20"/>
          <w:kern w:val="2"/>
          <w:sz w:val="32"/>
          <w:szCs w:val="32"/>
        </w:rPr>
        <w:t xml:space="preserve">　　　　　113年1</w:t>
      </w:r>
      <w:r w:rsidRPr="00DD2820">
        <w:rPr>
          <w:rFonts w:ascii="標楷體" w:eastAsia="標楷體" w:hAnsi="標楷體"/>
          <w:spacing w:val="-20"/>
          <w:kern w:val="2"/>
          <w:sz w:val="32"/>
          <w:szCs w:val="32"/>
        </w:rPr>
        <w:t>2</w:t>
      </w:r>
      <w:r w:rsidRPr="00DD2820">
        <w:rPr>
          <w:rFonts w:ascii="標楷體" w:eastAsia="標楷體" w:hAnsi="標楷體" w:hint="eastAsia"/>
          <w:spacing w:val="-20"/>
          <w:kern w:val="2"/>
          <w:sz w:val="32"/>
          <w:szCs w:val="32"/>
        </w:rPr>
        <w:t>月</w:t>
      </w:r>
      <w:r w:rsidRPr="00DD2820">
        <w:rPr>
          <w:rFonts w:ascii="標楷體" w:eastAsia="標楷體" w:hAnsi="標楷體"/>
          <w:spacing w:val="-20"/>
          <w:kern w:val="2"/>
          <w:sz w:val="32"/>
          <w:szCs w:val="32"/>
        </w:rPr>
        <w:t>19</w:t>
      </w:r>
      <w:r w:rsidRPr="00DD2820">
        <w:rPr>
          <w:rFonts w:ascii="標楷體" w:eastAsia="標楷體" w:hAnsi="標楷體" w:hint="eastAsia"/>
          <w:spacing w:val="-20"/>
          <w:kern w:val="2"/>
          <w:sz w:val="32"/>
          <w:szCs w:val="32"/>
        </w:rPr>
        <w:t>日（星期四）</w:t>
      </w:r>
    </w:p>
    <w:p w14:paraId="6137275F"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w:t>
      </w:r>
      <w:r w:rsidRPr="00DD2820">
        <w:rPr>
          <w:rFonts w:ascii="標楷體" w:eastAsia="標楷體" w:hAnsi="標楷體" w:hint="eastAsia"/>
          <w:b/>
          <w:kern w:val="16"/>
          <w:sz w:val="32"/>
          <w:szCs w:val="32"/>
        </w:rPr>
        <w:t>金融監督管理委員會</w:t>
      </w:r>
      <w:r w:rsidRPr="00DD2820">
        <w:rPr>
          <w:rFonts w:ascii="標楷體" w:eastAsia="標楷體" w:hAnsi="標楷體" w:hint="eastAsia"/>
          <w:kern w:val="16"/>
          <w:sz w:val="32"/>
          <w:szCs w:val="32"/>
        </w:rPr>
        <w:t xml:space="preserve">　　　　　主任委員　　彭金隆</w:t>
      </w:r>
    </w:p>
    <w:p w14:paraId="1BEE61B9"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綜合規劃處　　　　　　　　處長　　　　胡則華</w:t>
      </w:r>
    </w:p>
    <w:p w14:paraId="2327B380"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法律事務處　　　　　　　　處長　　　　林志憲</w:t>
      </w:r>
    </w:p>
    <w:p w14:paraId="451DFF4E"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國際業務處　　　　　　　　處長　　　　賴銘賢</w:t>
      </w:r>
    </w:p>
    <w:p w14:paraId="2AD829F4"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lastRenderedPageBreak/>
        <w:t xml:space="preserve">　　　　　　資訊服務處　　　　　　　　處長　　　　林裕泰</w:t>
      </w:r>
    </w:p>
    <w:p w14:paraId="41CE4E95"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秘書室　　　　　　　　　　主任　　　　張吉富</w:t>
      </w:r>
    </w:p>
    <w:p w14:paraId="22A974E9"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人事室　　　　　　　　　　主任　　　　任明坤</w:t>
      </w:r>
    </w:p>
    <w:p w14:paraId="59F6CCC2"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主計室　　　　　　　　　　主任　　　　戴美英</w:t>
      </w:r>
    </w:p>
    <w:p w14:paraId="6C1A1E91"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銀行局　　　　　　　　　　局長　　　　莊琇媛</w:t>
      </w:r>
    </w:p>
    <w:p w14:paraId="411396B0"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證券期貨局　　　　　　　　局長　　　　張振山</w:t>
      </w:r>
    </w:p>
    <w:p w14:paraId="2788BB13"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保險局　　　　　　　　　　局長　　　　王麗惠</w:t>
      </w:r>
    </w:p>
    <w:p w14:paraId="437D9946"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檢查局　　　　　　　　　　局長　　　　童政彰</w:t>
      </w:r>
    </w:p>
    <w:p w14:paraId="446DF64F"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中央存款保險股份有限公司　　董事長　　　黃天牧</w:t>
      </w:r>
    </w:p>
    <w:p w14:paraId="498F1369"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總經理　　　鄭明慧</w:t>
      </w:r>
    </w:p>
    <w:p w14:paraId="10E86D67"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w:t>
      </w:r>
      <w:r w:rsidRPr="00DD2820">
        <w:rPr>
          <w:rFonts w:ascii="標楷體" w:eastAsia="標楷體" w:hAnsi="標楷體" w:hint="eastAsia"/>
          <w:b/>
          <w:kern w:val="16"/>
          <w:sz w:val="32"/>
          <w:szCs w:val="32"/>
        </w:rPr>
        <w:t>行政院主計總處</w:t>
      </w:r>
      <w:r w:rsidRPr="00DD2820">
        <w:rPr>
          <w:rFonts w:ascii="標楷體" w:eastAsia="標楷體" w:hAnsi="標楷體" w:hint="eastAsia"/>
          <w:kern w:val="16"/>
          <w:sz w:val="32"/>
          <w:szCs w:val="32"/>
        </w:rPr>
        <w:t>公務預算處　　專門委員　　廖玉琳</w:t>
      </w:r>
    </w:p>
    <w:p w14:paraId="3FB9BC1E" w14:textId="77777777" w:rsidR="009D64D0" w:rsidRPr="00DD2820" w:rsidRDefault="009D64D0" w:rsidP="00F470A8">
      <w:pPr>
        <w:widowControl w:val="0"/>
        <w:kinsoku w:val="0"/>
        <w:overflowPunct w:val="0"/>
        <w:autoSpaceDE w:val="0"/>
        <w:adjustRightInd w:val="0"/>
        <w:snapToGrid w:val="0"/>
        <w:spacing w:line="460" w:lineRule="exact"/>
        <w:ind w:left="1600" w:rightChars="100" w:right="240" w:hangingChars="500" w:hanging="1600"/>
        <w:textAlignment w:val="auto"/>
        <w:rPr>
          <w:rFonts w:ascii="標楷體" w:eastAsia="標楷體" w:hAnsi="標楷體"/>
          <w:kern w:val="16"/>
          <w:sz w:val="32"/>
          <w:szCs w:val="32"/>
        </w:rPr>
      </w:pPr>
      <w:r w:rsidRPr="00DD2820">
        <w:rPr>
          <w:rFonts w:ascii="標楷體" w:eastAsia="標楷體" w:hAnsi="標楷體" w:hint="eastAsia"/>
          <w:kern w:val="16"/>
          <w:sz w:val="32"/>
          <w:szCs w:val="32"/>
        </w:rPr>
        <w:t xml:space="preserve">　　　　　　基金預算處　　　　　　　　專門委員　　戴群芳</w:t>
      </w:r>
    </w:p>
    <w:p w14:paraId="5372B179" w14:textId="77777777" w:rsidR="009D64D0" w:rsidRPr="00C51086" w:rsidRDefault="009D64D0" w:rsidP="00F470A8">
      <w:pPr>
        <w:widowControl w:val="0"/>
        <w:kinsoku w:val="0"/>
        <w:overflowPunct w:val="0"/>
        <w:autoSpaceDE w:val="0"/>
        <w:snapToGrid w:val="0"/>
        <w:spacing w:line="460" w:lineRule="exact"/>
        <w:textAlignment w:val="auto"/>
        <w:rPr>
          <w:rFonts w:ascii="標楷體" w:eastAsia="標楷體" w:hAnsi="標楷體"/>
          <w:kern w:val="16"/>
          <w:sz w:val="32"/>
          <w:szCs w:val="32"/>
        </w:rPr>
      </w:pPr>
      <w:r w:rsidRPr="00C51086">
        <w:rPr>
          <w:rFonts w:ascii="標楷體" w:eastAsia="標楷體" w:hAnsi="標楷體"/>
          <w:kern w:val="16"/>
          <w:sz w:val="32"/>
          <w:szCs w:val="32"/>
        </w:rPr>
        <w:t xml:space="preserve">主　　席　</w:t>
      </w:r>
      <w:r w:rsidRPr="00C51086">
        <w:rPr>
          <w:rFonts w:ascii="標楷體" w:eastAsia="標楷體" w:hAnsi="標楷體" w:hint="eastAsia"/>
          <w:kern w:val="16"/>
          <w:sz w:val="32"/>
          <w:szCs w:val="32"/>
        </w:rPr>
        <w:t>陳</w:t>
      </w:r>
      <w:r w:rsidRPr="00C51086">
        <w:rPr>
          <w:rFonts w:ascii="標楷體" w:eastAsia="標楷體" w:hAnsi="標楷體"/>
          <w:kern w:val="16"/>
          <w:sz w:val="32"/>
          <w:szCs w:val="32"/>
        </w:rPr>
        <w:t>召集委員</w:t>
      </w:r>
      <w:r w:rsidRPr="00C51086">
        <w:rPr>
          <w:rFonts w:ascii="標楷體" w:eastAsia="標楷體" w:hAnsi="標楷體" w:hint="eastAsia"/>
          <w:kern w:val="16"/>
          <w:sz w:val="32"/>
          <w:szCs w:val="32"/>
        </w:rPr>
        <w:t>玉珍</w:t>
      </w:r>
    </w:p>
    <w:p w14:paraId="720F6258" w14:textId="77777777" w:rsidR="009D64D0" w:rsidRPr="00C51086" w:rsidRDefault="009D64D0" w:rsidP="00F470A8">
      <w:pPr>
        <w:widowControl w:val="0"/>
        <w:kinsoku w:val="0"/>
        <w:overflowPunct w:val="0"/>
        <w:autoSpaceDE w:val="0"/>
        <w:snapToGrid w:val="0"/>
        <w:spacing w:line="460" w:lineRule="exact"/>
        <w:textAlignment w:val="auto"/>
        <w:rPr>
          <w:rFonts w:ascii="標楷體" w:eastAsia="標楷體" w:hAnsi="標楷體"/>
          <w:kern w:val="16"/>
          <w:sz w:val="32"/>
          <w:szCs w:val="32"/>
        </w:rPr>
      </w:pPr>
      <w:r w:rsidRPr="00C51086">
        <w:rPr>
          <w:rFonts w:ascii="標楷體" w:eastAsia="標楷體" w:hAnsi="標楷體"/>
          <w:kern w:val="16"/>
          <w:sz w:val="32"/>
          <w:szCs w:val="32"/>
        </w:rPr>
        <w:t xml:space="preserve">專門委員　</w:t>
      </w:r>
      <w:r w:rsidRPr="00C51086">
        <w:rPr>
          <w:rFonts w:ascii="標楷體" w:eastAsia="標楷體" w:hAnsi="標楷體" w:hint="eastAsia"/>
          <w:kern w:val="16"/>
          <w:sz w:val="32"/>
          <w:szCs w:val="32"/>
        </w:rPr>
        <w:t>林靜玟</w:t>
      </w:r>
    </w:p>
    <w:p w14:paraId="533CBFAE" w14:textId="77777777" w:rsidR="009D64D0" w:rsidRPr="00C51086" w:rsidRDefault="009D64D0" w:rsidP="00F470A8">
      <w:pPr>
        <w:widowControl w:val="0"/>
        <w:kinsoku w:val="0"/>
        <w:overflowPunct w:val="0"/>
        <w:autoSpaceDE w:val="0"/>
        <w:snapToGrid w:val="0"/>
        <w:spacing w:line="460" w:lineRule="exact"/>
        <w:textAlignment w:val="auto"/>
        <w:rPr>
          <w:rFonts w:ascii="標楷體" w:eastAsia="標楷體" w:hAnsi="標楷體"/>
          <w:kern w:val="16"/>
          <w:sz w:val="32"/>
          <w:szCs w:val="32"/>
        </w:rPr>
      </w:pPr>
      <w:r w:rsidRPr="00C51086">
        <w:rPr>
          <w:rFonts w:ascii="標楷體" w:eastAsia="標楷體" w:hAnsi="標楷體"/>
          <w:kern w:val="16"/>
          <w:sz w:val="32"/>
          <w:szCs w:val="32"/>
        </w:rPr>
        <w:t>主任秘書　謝淑津</w:t>
      </w:r>
    </w:p>
    <w:p w14:paraId="5C925DD6" w14:textId="77777777" w:rsidR="009D64D0" w:rsidRPr="00C51086" w:rsidRDefault="009D64D0" w:rsidP="00F470A8">
      <w:pPr>
        <w:widowControl w:val="0"/>
        <w:kinsoku w:val="0"/>
        <w:overflowPunct w:val="0"/>
        <w:autoSpaceDE w:val="0"/>
        <w:snapToGrid w:val="0"/>
        <w:spacing w:line="460" w:lineRule="exact"/>
        <w:textAlignment w:val="auto"/>
        <w:rPr>
          <w:rFonts w:ascii="標楷體" w:eastAsia="標楷體" w:hAnsi="標楷體"/>
          <w:kern w:val="16"/>
          <w:sz w:val="32"/>
          <w:szCs w:val="32"/>
        </w:rPr>
      </w:pPr>
      <w:r w:rsidRPr="00C51086">
        <w:rPr>
          <w:rFonts w:ascii="標楷體" w:eastAsia="標楷體" w:hAnsi="標楷體"/>
          <w:kern w:val="16"/>
          <w:sz w:val="32"/>
          <w:szCs w:val="32"/>
        </w:rPr>
        <w:t xml:space="preserve">紀　　錄　秘　書　</w:t>
      </w:r>
      <w:r w:rsidRPr="00C51086">
        <w:rPr>
          <w:rFonts w:ascii="標楷體" w:eastAsia="標楷體" w:hAnsi="標楷體" w:hint="eastAsia"/>
          <w:kern w:val="16"/>
          <w:sz w:val="32"/>
          <w:szCs w:val="32"/>
        </w:rPr>
        <w:t>吳人寬</w:t>
      </w:r>
      <w:r w:rsidRPr="00C51086">
        <w:rPr>
          <w:rFonts w:ascii="標楷體" w:eastAsia="標楷體" w:hAnsi="標楷體"/>
          <w:kern w:val="16"/>
          <w:sz w:val="32"/>
          <w:szCs w:val="32"/>
        </w:rPr>
        <w:t xml:space="preserve">　</w:t>
      </w:r>
      <w:r w:rsidRPr="00C51086">
        <w:rPr>
          <w:rFonts w:ascii="標楷體" w:eastAsia="標楷體" w:hAnsi="標楷體" w:hint="eastAsia"/>
          <w:kern w:val="16"/>
          <w:sz w:val="32"/>
          <w:szCs w:val="32"/>
        </w:rPr>
        <w:t>研究員</w:t>
      </w:r>
      <w:r w:rsidRPr="00C51086">
        <w:rPr>
          <w:rFonts w:ascii="標楷體" w:eastAsia="標楷體" w:hAnsi="標楷體"/>
          <w:kern w:val="16"/>
          <w:sz w:val="32"/>
          <w:szCs w:val="32"/>
        </w:rPr>
        <w:t xml:space="preserve">　</w:t>
      </w:r>
      <w:r w:rsidRPr="00C51086">
        <w:rPr>
          <w:rFonts w:ascii="標楷體" w:eastAsia="標楷體" w:hAnsi="標楷體" w:hint="eastAsia"/>
          <w:kern w:val="16"/>
          <w:sz w:val="32"/>
          <w:szCs w:val="32"/>
        </w:rPr>
        <w:t>黃惠雯</w:t>
      </w:r>
      <w:r w:rsidRPr="00C51086">
        <w:rPr>
          <w:rFonts w:ascii="標楷體" w:eastAsia="標楷體" w:hAnsi="標楷體"/>
          <w:kern w:val="16"/>
          <w:sz w:val="32"/>
          <w:szCs w:val="32"/>
        </w:rPr>
        <w:t xml:space="preserve">　編　審　</w:t>
      </w:r>
      <w:r w:rsidRPr="00C51086">
        <w:rPr>
          <w:rFonts w:ascii="標楷體" w:eastAsia="標楷體" w:hAnsi="標楷體" w:hint="eastAsia"/>
          <w:kern w:val="16"/>
          <w:sz w:val="32"/>
          <w:szCs w:val="32"/>
        </w:rPr>
        <w:t>伍明清</w:t>
      </w:r>
      <w:r w:rsidRPr="00C51086">
        <w:rPr>
          <w:rFonts w:ascii="標楷體" w:eastAsia="標楷體" w:hAnsi="標楷體"/>
          <w:kern w:val="16"/>
          <w:sz w:val="32"/>
          <w:szCs w:val="32"/>
        </w:rPr>
        <w:t xml:space="preserve">　</w:t>
      </w:r>
    </w:p>
    <w:p w14:paraId="7626BC98" w14:textId="77777777" w:rsidR="009D64D0" w:rsidRPr="00C51086" w:rsidRDefault="009D64D0" w:rsidP="00F470A8">
      <w:pPr>
        <w:widowControl w:val="0"/>
        <w:kinsoku w:val="0"/>
        <w:overflowPunct w:val="0"/>
        <w:autoSpaceDE w:val="0"/>
        <w:snapToGrid w:val="0"/>
        <w:spacing w:line="460" w:lineRule="exact"/>
        <w:textAlignment w:val="auto"/>
        <w:rPr>
          <w:rFonts w:ascii="標楷體" w:eastAsia="標楷體" w:hAnsi="標楷體"/>
          <w:kern w:val="16"/>
          <w:sz w:val="32"/>
          <w:szCs w:val="32"/>
        </w:rPr>
      </w:pPr>
      <w:r w:rsidRPr="00C51086">
        <w:rPr>
          <w:rFonts w:ascii="標楷體" w:eastAsia="標楷體" w:hAnsi="標楷體"/>
          <w:kern w:val="16"/>
          <w:sz w:val="32"/>
          <w:szCs w:val="32"/>
        </w:rPr>
        <w:t xml:space="preserve">　　　　　</w:t>
      </w:r>
      <w:r w:rsidRPr="00C51086">
        <w:rPr>
          <w:rFonts w:ascii="標楷體" w:eastAsia="標楷體" w:hAnsi="標楷體" w:hint="eastAsia"/>
          <w:kern w:val="16"/>
          <w:sz w:val="32"/>
          <w:szCs w:val="32"/>
        </w:rPr>
        <w:t>科</w:t>
      </w:r>
      <w:r w:rsidRPr="00C51086">
        <w:rPr>
          <w:rFonts w:ascii="標楷體" w:eastAsia="標楷體" w:hAnsi="標楷體"/>
          <w:kern w:val="16"/>
          <w:sz w:val="32"/>
          <w:szCs w:val="32"/>
        </w:rPr>
        <w:t xml:space="preserve">　長　</w:t>
      </w:r>
      <w:r w:rsidRPr="00C51086">
        <w:rPr>
          <w:rFonts w:ascii="標楷體" w:eastAsia="標楷體" w:hAnsi="標楷體" w:hint="eastAsia"/>
          <w:kern w:val="16"/>
          <w:sz w:val="32"/>
          <w:szCs w:val="32"/>
        </w:rPr>
        <w:t>喻</w:t>
      </w:r>
      <w:r w:rsidRPr="00C51086">
        <w:rPr>
          <w:rFonts w:ascii="標楷體" w:eastAsia="標楷體" w:hAnsi="標楷體"/>
          <w:kern w:val="16"/>
          <w:sz w:val="32"/>
          <w:szCs w:val="32"/>
        </w:rPr>
        <w:t xml:space="preserve">　</w:t>
      </w:r>
      <w:r w:rsidRPr="00C51086">
        <w:rPr>
          <w:rFonts w:ascii="標楷體" w:eastAsia="標楷體" w:hAnsi="標楷體" w:hint="eastAsia"/>
          <w:kern w:val="16"/>
          <w:sz w:val="32"/>
          <w:szCs w:val="32"/>
        </w:rPr>
        <w:t>珊　專　員　沈克彬　科</w:t>
      </w:r>
      <w:r w:rsidRPr="00C51086">
        <w:rPr>
          <w:rFonts w:ascii="標楷體" w:eastAsia="標楷體" w:hAnsi="標楷體"/>
          <w:kern w:val="16"/>
          <w:sz w:val="32"/>
          <w:szCs w:val="32"/>
        </w:rPr>
        <w:t xml:space="preserve">　</w:t>
      </w:r>
      <w:r w:rsidRPr="00C51086">
        <w:rPr>
          <w:rFonts w:ascii="標楷體" w:eastAsia="標楷體" w:hAnsi="標楷體" w:hint="eastAsia"/>
          <w:kern w:val="16"/>
          <w:sz w:val="32"/>
          <w:szCs w:val="32"/>
        </w:rPr>
        <w:t>員</w:t>
      </w:r>
      <w:r w:rsidRPr="00C51086">
        <w:rPr>
          <w:rFonts w:ascii="標楷體" w:eastAsia="標楷體" w:hAnsi="標楷體"/>
          <w:kern w:val="16"/>
          <w:sz w:val="32"/>
          <w:szCs w:val="32"/>
        </w:rPr>
        <w:t xml:space="preserve">　</w:t>
      </w:r>
      <w:r w:rsidRPr="00C51086">
        <w:rPr>
          <w:rFonts w:ascii="標楷體" w:eastAsia="標楷體" w:hAnsi="標楷體" w:hint="eastAsia"/>
          <w:kern w:val="16"/>
          <w:sz w:val="32"/>
          <w:szCs w:val="32"/>
        </w:rPr>
        <w:t>劉雅欣</w:t>
      </w:r>
      <w:r w:rsidRPr="00C51086">
        <w:rPr>
          <w:rFonts w:ascii="標楷體" w:eastAsia="標楷體" w:hAnsi="標楷體"/>
          <w:kern w:val="16"/>
          <w:sz w:val="32"/>
          <w:szCs w:val="32"/>
        </w:rPr>
        <w:t xml:space="preserve">　</w:t>
      </w:r>
    </w:p>
    <w:p w14:paraId="471E1BF6" w14:textId="77777777" w:rsidR="009D64D0" w:rsidRPr="002E379D" w:rsidRDefault="009D64D0" w:rsidP="00F470A8">
      <w:pPr>
        <w:pStyle w:val="Default"/>
        <w:kinsoku w:val="0"/>
        <w:overflowPunct w:val="0"/>
        <w:snapToGrid w:val="0"/>
        <w:spacing w:beforeLines="50" w:before="180" w:line="460" w:lineRule="exact"/>
        <w:ind w:left="1803" w:hanging="1803"/>
        <w:jc w:val="both"/>
        <w:rPr>
          <w:rFonts w:cs="Times New Roman"/>
          <w:bCs/>
          <w:sz w:val="32"/>
          <w:szCs w:val="32"/>
        </w:rPr>
      </w:pPr>
      <w:r w:rsidRPr="002E379D">
        <w:rPr>
          <w:rFonts w:cs="Times New Roman"/>
          <w:b/>
          <w:bCs/>
          <w:sz w:val="32"/>
          <w:szCs w:val="32"/>
        </w:rPr>
        <w:t>11</w:t>
      </w:r>
      <w:r w:rsidRPr="002E379D">
        <w:rPr>
          <w:rFonts w:cs="Times New Roman" w:hint="eastAsia"/>
          <w:b/>
          <w:bCs/>
          <w:sz w:val="32"/>
          <w:szCs w:val="32"/>
        </w:rPr>
        <w:t>3年12月18日</w:t>
      </w:r>
    </w:p>
    <w:p w14:paraId="6923993C" w14:textId="77777777" w:rsidR="009D64D0" w:rsidRPr="00C51086" w:rsidRDefault="009D64D0" w:rsidP="00F470A8">
      <w:pPr>
        <w:widowControl w:val="0"/>
        <w:kinsoku w:val="0"/>
        <w:overflowPunct w:val="0"/>
        <w:autoSpaceDE w:val="0"/>
        <w:adjustRightInd w:val="0"/>
        <w:snapToGrid w:val="0"/>
        <w:spacing w:line="460" w:lineRule="exact"/>
        <w:ind w:leftChars="201" w:left="482"/>
        <w:jc w:val="both"/>
        <w:textAlignment w:val="auto"/>
        <w:rPr>
          <w:rFonts w:ascii="標楷體" w:eastAsia="標楷體" w:hAnsi="標楷體"/>
          <w:b/>
          <w:kern w:val="2"/>
          <w:sz w:val="32"/>
          <w:szCs w:val="32"/>
        </w:rPr>
      </w:pPr>
      <w:r w:rsidRPr="00C51086">
        <w:rPr>
          <w:rFonts w:ascii="標楷體" w:eastAsia="標楷體" w:hAnsi="標楷體"/>
          <w:b/>
          <w:kern w:val="2"/>
          <w:sz w:val="32"/>
          <w:szCs w:val="32"/>
        </w:rPr>
        <w:t>報告事項</w:t>
      </w:r>
    </w:p>
    <w:p w14:paraId="15BA9014" w14:textId="77777777" w:rsidR="009D64D0" w:rsidRPr="00C51086" w:rsidRDefault="009D64D0" w:rsidP="00F470A8">
      <w:pPr>
        <w:widowControl w:val="0"/>
        <w:kinsoku w:val="0"/>
        <w:overflowPunct w:val="0"/>
        <w:autoSpaceDE w:val="0"/>
        <w:adjustRightInd w:val="0"/>
        <w:snapToGrid w:val="0"/>
        <w:spacing w:line="460" w:lineRule="exact"/>
        <w:jc w:val="both"/>
        <w:textAlignment w:val="auto"/>
        <w:rPr>
          <w:rFonts w:ascii="標楷體" w:eastAsia="標楷體" w:hAnsi="標楷體"/>
          <w:kern w:val="2"/>
          <w:sz w:val="32"/>
          <w:szCs w:val="32"/>
        </w:rPr>
      </w:pPr>
      <w:r w:rsidRPr="00C51086">
        <w:rPr>
          <w:rFonts w:ascii="標楷體" w:eastAsia="標楷體" w:hAnsi="標楷體"/>
          <w:kern w:val="2"/>
          <w:sz w:val="32"/>
          <w:szCs w:val="32"/>
        </w:rPr>
        <w:t>宣讀上次會議議事錄。</w:t>
      </w:r>
    </w:p>
    <w:p w14:paraId="31361DB7" w14:textId="77777777" w:rsidR="009D64D0" w:rsidRPr="00C51086" w:rsidRDefault="009D64D0" w:rsidP="00F470A8">
      <w:pPr>
        <w:widowControl w:val="0"/>
        <w:kinsoku w:val="0"/>
        <w:overflowPunct w:val="0"/>
        <w:autoSpaceDE w:val="0"/>
        <w:adjustRightInd w:val="0"/>
        <w:snapToGrid w:val="0"/>
        <w:spacing w:line="460" w:lineRule="exact"/>
        <w:jc w:val="both"/>
        <w:textAlignment w:val="auto"/>
        <w:rPr>
          <w:rFonts w:ascii="標楷體" w:eastAsia="標楷體" w:hAnsi="標楷體"/>
          <w:kern w:val="2"/>
          <w:sz w:val="32"/>
          <w:szCs w:val="32"/>
        </w:rPr>
      </w:pPr>
      <w:r w:rsidRPr="00C51086">
        <w:rPr>
          <w:rFonts w:ascii="標楷體" w:eastAsia="標楷體" w:hAnsi="標楷體"/>
          <w:kern w:val="2"/>
          <w:sz w:val="32"/>
          <w:szCs w:val="32"/>
        </w:rPr>
        <w:t>決定：議事錄確定。</w:t>
      </w:r>
    </w:p>
    <w:p w14:paraId="041ED624" w14:textId="77777777" w:rsidR="009D64D0" w:rsidRPr="00C51086" w:rsidRDefault="009D64D0" w:rsidP="00F470A8">
      <w:pPr>
        <w:widowControl w:val="0"/>
        <w:kinsoku w:val="0"/>
        <w:overflowPunct w:val="0"/>
        <w:autoSpaceDE w:val="0"/>
        <w:adjustRightInd w:val="0"/>
        <w:snapToGrid w:val="0"/>
        <w:spacing w:line="460" w:lineRule="exact"/>
        <w:ind w:leftChars="201" w:left="482"/>
        <w:jc w:val="both"/>
        <w:textAlignment w:val="auto"/>
        <w:rPr>
          <w:rFonts w:ascii="標楷體" w:eastAsia="標楷體" w:hAnsi="標楷體"/>
          <w:b/>
          <w:kern w:val="2"/>
          <w:sz w:val="32"/>
          <w:szCs w:val="32"/>
        </w:rPr>
      </w:pPr>
      <w:r w:rsidRPr="00C51086">
        <w:rPr>
          <w:rFonts w:ascii="標楷體" w:eastAsia="標楷體" w:hAnsi="標楷體" w:hint="eastAsia"/>
          <w:b/>
          <w:kern w:val="2"/>
          <w:sz w:val="32"/>
          <w:szCs w:val="32"/>
        </w:rPr>
        <w:t>討論事項</w:t>
      </w:r>
    </w:p>
    <w:p w14:paraId="2E09E2B2" w14:textId="77777777" w:rsidR="009D64D0" w:rsidRPr="002E379D" w:rsidRDefault="009D64D0" w:rsidP="00F470A8">
      <w:pPr>
        <w:pStyle w:val="Default"/>
        <w:kinsoku w:val="0"/>
        <w:overflowPunct w:val="0"/>
        <w:snapToGrid w:val="0"/>
        <w:spacing w:line="460" w:lineRule="exact"/>
        <w:jc w:val="both"/>
        <w:rPr>
          <w:rFonts w:cs="Times New Roman"/>
          <w:bCs/>
          <w:sz w:val="32"/>
          <w:szCs w:val="32"/>
        </w:rPr>
      </w:pPr>
      <w:r w:rsidRPr="002E379D">
        <w:rPr>
          <w:rFonts w:cs="Times New Roman" w:hint="eastAsia"/>
          <w:bCs/>
          <w:sz w:val="32"/>
          <w:szCs w:val="32"/>
        </w:rPr>
        <w:t>繼續審查中華民國114年度中央政府總預算案有關財政部賦稅署、臺北國稅局、高雄國稅局、北區國稅局及所屬、中區國稅局及所屬、南區國稅局及所屬、關務署及所屬、國有財產署及所屬歲出預算部分暨融資財源調度。</w:t>
      </w:r>
    </w:p>
    <w:p w14:paraId="4C4A824E" w14:textId="77777777" w:rsidR="009D64D0" w:rsidRPr="00C51086" w:rsidRDefault="009D64D0" w:rsidP="00F470A8">
      <w:pPr>
        <w:widowControl w:val="0"/>
        <w:kinsoku w:val="0"/>
        <w:overflowPunct w:val="0"/>
        <w:autoSpaceDE w:val="0"/>
        <w:adjustRightInd w:val="0"/>
        <w:snapToGrid w:val="0"/>
        <w:spacing w:line="460" w:lineRule="exact"/>
        <w:jc w:val="both"/>
        <w:textAlignment w:val="auto"/>
        <w:rPr>
          <w:rFonts w:ascii="標楷體" w:eastAsia="標楷體" w:hAnsi="標楷體"/>
          <w:b/>
          <w:kern w:val="2"/>
          <w:sz w:val="32"/>
          <w:szCs w:val="32"/>
        </w:rPr>
      </w:pPr>
      <w:r w:rsidRPr="00C51086">
        <w:rPr>
          <w:rFonts w:ascii="標楷體" w:eastAsia="標楷體" w:hAnsi="標楷體" w:hint="eastAsia"/>
          <w:b/>
          <w:kern w:val="2"/>
          <w:sz w:val="32"/>
          <w:szCs w:val="32"/>
        </w:rPr>
        <w:t>決議：</w:t>
      </w:r>
    </w:p>
    <w:p w14:paraId="6175DAA7" w14:textId="77777777" w:rsidR="009D64D0" w:rsidRPr="002E379D" w:rsidRDefault="009D64D0" w:rsidP="00F470A8">
      <w:pPr>
        <w:pStyle w:val="Default"/>
        <w:kinsoku w:val="0"/>
        <w:overflowPunct w:val="0"/>
        <w:snapToGrid w:val="0"/>
        <w:spacing w:line="460" w:lineRule="exact"/>
        <w:ind w:left="641" w:hangingChars="200" w:hanging="641"/>
        <w:jc w:val="both"/>
        <w:rPr>
          <w:b/>
          <w:sz w:val="32"/>
          <w:szCs w:val="32"/>
        </w:rPr>
      </w:pPr>
      <w:r w:rsidRPr="002E379D">
        <w:rPr>
          <w:rFonts w:cs="Times New Roman" w:hint="eastAsia"/>
          <w:b/>
          <w:bCs/>
          <w:sz w:val="32"/>
          <w:szCs w:val="32"/>
        </w:rPr>
        <w:t>一、中華民國114年度中央政府總預算案有關財政部賦稅署、臺北國稅局、高雄國稅局、北區國稅局及所屬、中區國稅局及所屬、南區國稅局及所屬、關務署及所屬、國有財產署及所屬歲出預算審查結果：</w:t>
      </w:r>
      <w:r w:rsidRPr="002E379D">
        <w:rPr>
          <w:b/>
          <w:sz w:val="32"/>
          <w:szCs w:val="32"/>
        </w:rPr>
        <w:t xml:space="preserve"> </w:t>
      </w:r>
    </w:p>
    <w:p w14:paraId="01521D3A" w14:textId="77777777" w:rsidR="009D64D0" w:rsidRPr="00C51086" w:rsidRDefault="009D64D0" w:rsidP="00F470A8">
      <w:pPr>
        <w:widowControl w:val="0"/>
        <w:kinsoku w:val="0"/>
        <w:overflowPunct w:val="0"/>
        <w:autoSpaceDE w:val="0"/>
        <w:adjustRightInd w:val="0"/>
        <w:snapToGrid w:val="0"/>
        <w:spacing w:line="480" w:lineRule="exact"/>
        <w:ind w:leftChars="100" w:left="871" w:hangingChars="197" w:hanging="631"/>
        <w:jc w:val="both"/>
        <w:textAlignment w:val="auto"/>
        <w:rPr>
          <w:rFonts w:ascii="標楷體" w:eastAsia="標楷體" w:hAnsi="標楷體"/>
          <w:b/>
          <w:kern w:val="0"/>
          <w:sz w:val="32"/>
          <w:szCs w:val="32"/>
        </w:rPr>
      </w:pPr>
      <w:r w:rsidRPr="00C51086">
        <w:rPr>
          <w:rFonts w:ascii="標楷體" w:eastAsia="標楷體" w:hAnsi="標楷體" w:hint="eastAsia"/>
          <w:b/>
          <w:kern w:val="0"/>
          <w:sz w:val="32"/>
          <w:szCs w:val="32"/>
        </w:rPr>
        <w:lastRenderedPageBreak/>
        <w:t>第10款　財政部主管</w:t>
      </w:r>
    </w:p>
    <w:p w14:paraId="4637E468" w14:textId="77777777" w:rsidR="009D64D0" w:rsidRPr="00C51086" w:rsidRDefault="009D64D0" w:rsidP="00F470A8">
      <w:pPr>
        <w:widowControl w:val="0"/>
        <w:kinsoku w:val="0"/>
        <w:overflowPunct w:val="0"/>
        <w:autoSpaceDE w:val="0"/>
        <w:adjustRightInd w:val="0"/>
        <w:snapToGrid w:val="0"/>
        <w:spacing w:line="480" w:lineRule="exact"/>
        <w:ind w:leftChars="-8" w:left="1783" w:hangingChars="563" w:hanging="1802"/>
        <w:jc w:val="both"/>
        <w:textAlignment w:val="auto"/>
        <w:rPr>
          <w:rFonts w:ascii="標楷體" w:eastAsia="標楷體" w:hAnsi="標楷體"/>
          <w:kern w:val="2"/>
          <w:sz w:val="32"/>
          <w:szCs w:val="32"/>
        </w:rPr>
      </w:pPr>
      <w:r w:rsidRPr="00C51086">
        <w:rPr>
          <w:rFonts w:ascii="標楷體" w:eastAsia="標楷體" w:hAnsi="標楷體" w:hint="eastAsia"/>
          <w:kern w:val="2"/>
          <w:sz w:val="32"/>
          <w:szCs w:val="32"/>
        </w:rPr>
        <w:t xml:space="preserve">　　</w:t>
      </w:r>
      <w:r w:rsidRPr="00C51086">
        <w:rPr>
          <w:rFonts w:ascii="標楷體" w:eastAsia="標楷體" w:hAnsi="標楷體" w:hint="eastAsia"/>
          <w:b/>
          <w:kern w:val="2"/>
          <w:sz w:val="32"/>
          <w:szCs w:val="32"/>
        </w:rPr>
        <w:t>第3項　賦稅署</w:t>
      </w:r>
      <w:r w:rsidRPr="00C51086">
        <w:rPr>
          <w:rFonts w:ascii="標楷體" w:eastAsia="標楷體" w:hAnsi="標楷體" w:hint="eastAsia"/>
          <w:kern w:val="2"/>
          <w:sz w:val="32"/>
          <w:szCs w:val="32"/>
        </w:rPr>
        <w:t>原列204億3</w:t>
      </w:r>
      <w:r w:rsidRPr="00C51086">
        <w:rPr>
          <w:rFonts w:ascii="標楷體" w:eastAsia="標楷體" w:hAnsi="標楷體"/>
          <w:kern w:val="2"/>
          <w:sz w:val="32"/>
          <w:szCs w:val="32"/>
        </w:rPr>
        <w:t>,</w:t>
      </w:r>
      <w:r w:rsidRPr="00C51086">
        <w:rPr>
          <w:rFonts w:ascii="標楷體" w:eastAsia="標楷體" w:hAnsi="標楷體" w:hint="eastAsia"/>
          <w:kern w:val="2"/>
          <w:sz w:val="32"/>
          <w:szCs w:val="32"/>
        </w:rPr>
        <w:t>609萬2千元，減列第3目「統一發票給獎及推行」項下「統一發票給獎及推行」中「業務費」之「委辦費」2</w:t>
      </w:r>
      <w:r w:rsidRPr="00C51086">
        <w:rPr>
          <w:rFonts w:ascii="標楷體" w:eastAsia="標楷體" w:hAnsi="標楷體"/>
          <w:kern w:val="2"/>
          <w:sz w:val="32"/>
          <w:szCs w:val="32"/>
        </w:rPr>
        <w:t>,</w:t>
      </w:r>
      <w:r w:rsidRPr="00C51086">
        <w:rPr>
          <w:rFonts w:ascii="標楷體" w:eastAsia="標楷體" w:hAnsi="標楷體" w:hint="eastAsia"/>
          <w:kern w:val="2"/>
          <w:sz w:val="32"/>
          <w:szCs w:val="32"/>
        </w:rPr>
        <w:t>300萬元、「一般事務費」100萬元，共計減列2</w:t>
      </w:r>
      <w:r w:rsidRPr="00C51086">
        <w:rPr>
          <w:rFonts w:ascii="標楷體" w:eastAsia="標楷體" w:hAnsi="標楷體"/>
          <w:kern w:val="2"/>
          <w:sz w:val="32"/>
          <w:szCs w:val="32"/>
        </w:rPr>
        <w:t>,40</w:t>
      </w:r>
      <w:r w:rsidRPr="00C51086">
        <w:rPr>
          <w:rFonts w:ascii="標楷體" w:eastAsia="標楷體" w:hAnsi="標楷體" w:hint="eastAsia"/>
          <w:kern w:val="2"/>
          <w:sz w:val="32"/>
          <w:szCs w:val="32"/>
        </w:rPr>
        <w:t>0萬元（科目均自行調整），其餘均照列，改列為204億1</w:t>
      </w:r>
      <w:r w:rsidRPr="00C51086">
        <w:rPr>
          <w:rFonts w:ascii="標楷體" w:eastAsia="標楷體" w:hAnsi="標楷體"/>
          <w:kern w:val="2"/>
          <w:sz w:val="32"/>
          <w:szCs w:val="32"/>
        </w:rPr>
        <w:t>,</w:t>
      </w:r>
      <w:r w:rsidRPr="00C51086">
        <w:rPr>
          <w:rFonts w:ascii="標楷體" w:eastAsia="標楷體" w:hAnsi="標楷體" w:hint="eastAsia"/>
          <w:kern w:val="2"/>
          <w:sz w:val="32"/>
          <w:szCs w:val="32"/>
        </w:rPr>
        <w:t>209萬2千元。</w:t>
      </w:r>
    </w:p>
    <w:p w14:paraId="6942354F" w14:textId="77777777" w:rsidR="009D64D0" w:rsidRPr="003D143B" w:rsidRDefault="009D64D0" w:rsidP="00F470A8">
      <w:pPr>
        <w:widowControl w:val="0"/>
        <w:kinsoku w:val="0"/>
        <w:overflowPunct w:val="0"/>
        <w:autoSpaceDE w:val="0"/>
        <w:adjustRightInd w:val="0"/>
        <w:snapToGrid w:val="0"/>
        <w:spacing w:line="480" w:lineRule="exact"/>
        <w:ind w:leftChars="-8" w:left="1783" w:hangingChars="563" w:hanging="1802"/>
        <w:jc w:val="both"/>
        <w:textAlignment w:val="auto"/>
        <w:rPr>
          <w:rFonts w:ascii="標楷體" w:eastAsia="標楷體" w:hAnsi="標楷體"/>
          <w:kern w:val="2"/>
          <w:sz w:val="32"/>
          <w:szCs w:val="32"/>
        </w:rPr>
      </w:pPr>
      <w:r w:rsidRPr="003D143B">
        <w:rPr>
          <w:rFonts w:ascii="標楷體" w:eastAsia="標楷體" w:hAnsi="標楷體" w:hint="eastAsia"/>
          <w:kern w:val="2"/>
          <w:sz w:val="32"/>
          <w:szCs w:val="32"/>
        </w:rPr>
        <w:t xml:space="preserve">　　本項通過決議39項：</w:t>
      </w:r>
      <w:bookmarkStart w:id="139" w:name="_Hlk86417761"/>
    </w:p>
    <w:p w14:paraId="2C04009A" w14:textId="77777777" w:rsidR="009D64D0" w:rsidRPr="004830EB"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D143B">
        <w:rPr>
          <w:rFonts w:ascii="標楷體" w:eastAsia="標楷體" w:hAnsi="標楷體" w:hint="eastAsia"/>
          <w:kern w:val="2"/>
          <w:sz w:val="32"/>
          <w:szCs w:val="32"/>
        </w:rPr>
        <w:t xml:space="preserve">　　(一)114年度財政部賦稅署預算案於第1目「一般行政」項下「基本行政工作維持」編列3,178萬4千元。為有效獎勵對稅務工作有功之機關及人員，激勵其士氣，提高稅務行政效率，財政部訂定財政部核發稅務獎勵金作業要點針對各項工作績效優異發放稅務獎勵金，惟該獎金之性質定位及適法性，屢遭民眾質疑。據107年監察院調查，稅務獎勵金係財政部考量稅務人員事繁責重，為衡平稅務人員工作質量與提高薪資待遇所設，其本質目的偏向於稅務人員薪俸不足之補償，對於鼓勵人員留任及激勵工作績效，容有正面積極之功能。惟該項補償性質之給與未回歸俸給法檢討，卻逕以獎金形式行之，衍生分配爭議及民眾誤解，實有欠妥。又監察院指出，基於審計部多次指正稅務獎勵金之發放對象及標準有欠合理，各界亦質疑該獎金未能照顧第一線基層稅務同仁，此外，立法院於102年作成應請行政院完成薪資待遇合理化法制作業之決議等，財政部雖於同年提出回歸俸給法制辦理之方案，然未獲行政院重視，仍因循舊制，造成外界不必要的誤解，傷害稅務人員尊嚴及政府形象，實欠妥當。爰凍結該項預算150萬元，俟財政部賦稅署於2個月內，就稅務獎勵金回歸俸給</w:t>
      </w:r>
      <w:r w:rsidRPr="004830EB">
        <w:rPr>
          <w:rFonts w:ascii="標楷體" w:eastAsia="標楷體" w:hAnsi="標楷體" w:hint="eastAsia"/>
          <w:kern w:val="2"/>
          <w:sz w:val="32"/>
          <w:szCs w:val="32"/>
        </w:rPr>
        <w:t>法制之評估精進作為，向立法院財政委員會提出書面報告後，始得動支。</w:t>
      </w:r>
    </w:p>
    <w:p w14:paraId="3097D2D0" w14:textId="716C2486" w:rsidR="009D64D0" w:rsidRPr="00C15B5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C15B5F">
        <w:rPr>
          <w:rFonts w:ascii="標楷體" w:eastAsia="標楷體" w:hAnsi="標楷體" w:hint="eastAsia"/>
          <w:kern w:val="0"/>
          <w:sz w:val="32"/>
          <w:szCs w:val="32"/>
        </w:rPr>
        <w:t>提案人：黃珊珊　陳玉珍　王鴻薇</w:t>
      </w:r>
    </w:p>
    <w:p w14:paraId="4B7F3840"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(二)114年度財政部賦稅署預算案於第1目「一般行政」項下「基本行政工作維持」編列3,178萬4千元。財政乃庶政之母，稅</w:t>
      </w:r>
      <w:r w:rsidRPr="003E44ED">
        <w:rPr>
          <w:rFonts w:ascii="標楷體" w:eastAsia="標楷體" w:hAnsi="標楷體" w:hint="eastAsia"/>
          <w:kern w:val="2"/>
          <w:sz w:val="32"/>
          <w:szCs w:val="32"/>
        </w:rPr>
        <w:lastRenderedPageBreak/>
        <w:t>務機關及稅務人員依法為確保國家財政收入，需要積極落實查核，遏止逃漏稅，維護租稅公平正義。因此一線基層同仁需承擔向民眾追稅壓力、同儕壓力、上司壓力，易使身心健康出現問題。據臺大管理論叢社會壓力、承諾與稅務員反功能行為：實驗研究指出：近年來由於稅務員離職率偏高，稅務員從原單位離職後，大部分轉進其他公務單位的相關職缺，接受與非原來稅務專長的職務，政府因而不斷地舉辦國家考試來招收新進稅務員，後果將導致稅務員經驗不足及公務體系的人才配置扭曲。此外，稅務員的養成，國家必須投入大量訓練成本與長期經驗的累積，稅務員經驗不足不但會導致租稅查核品質下降，並浪費國家長期投入的訓練成本。爰凍結該項預算150萬元，俟財政部賦稅署於2個月內，就精進稅務機關員工協助方案及心理輔導諮商制度，向立法院財政委員會提出書面報告後，始得動支。</w:t>
      </w:r>
    </w:p>
    <w:p w14:paraId="6A9DBC0D" w14:textId="71E45A4D"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提案人：黃珊珊　陳玉珍　王鴻薇</w:t>
      </w:r>
    </w:p>
    <w:p w14:paraId="40441F88"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三)114年度財政部賦稅署預算案於第1目「一般行政」項下「基本行政工作維持」編列3,178萬4千元。據立法院法制局研究，為了疏減訟源、減少徵納雙方之紛爭，各級稅捐稽徵機關在本位上亟思各種手段與方法，迄今仍然卯勁思考制定疏減訟源方法，其中稅務協談最常被使用。然稅捐稽徵機關稅務案件協談作業要點雖早於78年4月12日訂定，供各級稅捐稽徵機關執行參考，惟因非經立法程序，對徵納雙方均無拘束力，故成效不彰。而稽徵機關唯恐倘將稅務協談制度明定於稅捐稽徵法，可能導致納稅義務人動輒要求稽徵機關進行協談而造成行政上之困擾，罔顧納稅義務人之權益且戰且走、一味迴避，以致造成協談制度20多年來始終處於妾身未明之混沌狀態，實有違行政機關應依法行政、法律保留原則及租稅法律主義。此觀點亦同樣見於財政部107年度自行研究報告納稅者權利保護法施行對稅務行政之影響-以行政救濟之研究建議中，肯認稅務協談在稽徵實務上有其積極之作用，</w:t>
      </w:r>
      <w:r w:rsidRPr="003E44ED">
        <w:rPr>
          <w:rFonts w:ascii="標楷體" w:eastAsia="標楷體" w:hAnsi="標楷體" w:hint="eastAsia"/>
          <w:kern w:val="2"/>
          <w:sz w:val="32"/>
          <w:szCs w:val="32"/>
        </w:rPr>
        <w:lastRenderedPageBreak/>
        <w:t>然而稅務協談因無法律授權依據而不具法律拘束力，致納稅義務人與稅捐稽徵機關協談後復提起爭訟情事迭起。惟在體制上存在模糊之空間，致難以落實租稅法律主義與公平原則，建議增修相關法令規定使稅務協談法制化，對稅政改革與納稅義務人權益保障均至為重要，並可達疏減訟源之效。爰凍結該項預算150萬元，俟財政部賦稅署於2個月內，就租稅協談法制化之立法計畫，向立法院財政委員會提出書面報告後，始得動支。</w:t>
      </w:r>
    </w:p>
    <w:p w14:paraId="107A71F6" w14:textId="6D3A433C"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提案人：黃珊珊　陳玉珍　王鴻薇</w:t>
      </w:r>
    </w:p>
    <w:p w14:paraId="44729DC5"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四)114年度財政部賦稅署預算案於第1目「一般行政」項下「基本行政工作維持」編列3,178萬4千元。我國網路報稅績效良好，以綜合所得稅為例，113年申報112年度綜合所得稅案件，網路申報比率達84﹪以上。然而退稅部分仍待加強，時有民眾反映政府要求人民於一定期限內報稅，但是退稅處理時程卻未曾規定，同一類型退稅，時間可以短至數天，亦可長至數月，作業流程存在高度不確定性，實應參酌行政程序法之規定，原則性規定退稅處理時限，讓民眾有所預期。爰凍結該項預算150萬元，俟財政部賦稅署向立法院財政委員會提出書面報告後，始得動支。</w:t>
      </w:r>
    </w:p>
    <w:p w14:paraId="7C1B5944" w14:textId="20EF63E9"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提案人：郭國文</w:t>
      </w:r>
    </w:p>
    <w:p w14:paraId="403C8994" w14:textId="1BB81D26"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連署人：賴惠員　王世堅</w:t>
      </w:r>
    </w:p>
    <w:p w14:paraId="6D76C09D"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五)114年度財政部賦稅署預算案於第2目「賦稅業務」編列預算2,412萬1千元。依據財政紀律法第5條第1項規定：「中央政府各級機關、立法委員所提法律案大幅增加政府歲出或減少歲入者，應先具體指明彌補資金之來源。」同法第2條、第6條規定指明政府實施租稅優惠時應提出稅式支出評估，研析實施效益及成本、稅收損失金額、財源籌措方式、實施年限、績效評估機制，確保租稅優惠法規可行且具有效性。為照顧民眾、促進產業發展，近年立法院提出或通過多項稅賦優惠法律，惟修法討論過程中，稅賦優惠措施不一定均為政府</w:t>
      </w:r>
      <w:r w:rsidRPr="003E44ED">
        <w:rPr>
          <w:rFonts w:ascii="標楷體" w:eastAsia="標楷體" w:hAnsi="標楷體" w:hint="eastAsia"/>
          <w:kern w:val="2"/>
          <w:sz w:val="32"/>
          <w:szCs w:val="32"/>
        </w:rPr>
        <w:lastRenderedPageBreak/>
        <w:t>提案，財政部經常以立法委員提案稅損過大，作為反對實施稅賦優惠，而未全面考量實施稅賦優惠後，所帶來的政策效益及其他稅收平衡補足狀況。爰凍結該項預算50萬元，俟財政部賦稅署於2個月內，就協助立法委員提出稅式支出評估之機制，向立法院財政委員會提出書面報告後，始得動支。</w:t>
      </w:r>
    </w:p>
    <w:p w14:paraId="7FC83CAB" w14:textId="3741B2E0"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提案人：黃珊珊　陳玉珍　王鴻薇</w:t>
      </w:r>
    </w:p>
    <w:p w14:paraId="3FCC7338"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六)114年度財政部賦稅署預算案於第2目「賦稅業務」編列2,412萬1千元。據內政部統計資料，假投資自110年起連3年蟬聯詐欺財產損害金額第一名，詐騙集團常冒用名人名義及照片成立投資群組廣發簡訊，或傳送飆股訊息，使用標榜穩賺不賠、高報酬零風險等字眼引導民眾加入偽冒的投資LINE群組，並誘使民眾下載不明的投資軟體APP進行投資，初期小有獲利，等民眾加碼投資後，歹徒立即音訊全無，讓民眾辛苦錢一夕之間成為泡沫。國人希望藉由投資累積退休財富準備之需求迫切，但缺乏找尋正確投資管道之金融素養。政府允宜加大提高合法、適宜投資管道之宣傳及鼓勵措施。經查，多國為鼓勵國民進行長期投資，自行累積退休準備，進而設計稅賦優惠制度。如日本政府設置NISA投資免稅帳戶、南韓施行KISA個人儲蓄帳戶。而我國金融監督管理委員會刻正進行設置TISA個人投資儲蓄帳戶前置作業，惟初期擴大稅賦優惠之制度設計進展有限。爰凍結該項預算50萬元，俟財政部賦稅署於2個月內，就提高鼓勵我國個人投資儲蓄稅賦優惠之可行性跨國比較，向立法院財政委員會提出書面報告後，始得動支。</w:t>
      </w:r>
    </w:p>
    <w:p w14:paraId="216CF201" w14:textId="3AE6A6CD"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提案人：黃珊珊　陳玉珍　王鴻薇</w:t>
      </w:r>
    </w:p>
    <w:p w14:paraId="6B8CCEDA"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七)114年度財政部賦稅署預算案於第2目「賦稅業務」項下「革新稅制改善稅政經費」編列364萬5千元。菸酒稅恐影響原住民族釀酒行為，阻礙部落祭典所需釀酒及私釀酒之交易，且原住民私釀酒多為少量、親友間交易，然被檢舉後，恐將面臨大額裁罰金額，不堪族人負荷，更阻礙釀酒文化之實踐。</w:t>
      </w:r>
      <w:r w:rsidRPr="003E44ED">
        <w:rPr>
          <w:rFonts w:ascii="標楷體" w:eastAsia="標楷體" w:hAnsi="標楷體" w:hint="eastAsia"/>
          <w:kern w:val="2"/>
          <w:sz w:val="32"/>
          <w:szCs w:val="32"/>
        </w:rPr>
        <w:lastRenderedPageBreak/>
        <w:t>財政部應研擬針對原住民釀酒的專章，另訂標準，以免現行法規不利原住民文化行為之傳承。爰凍結該項預算50萬元，俟財政部賦稅署於1個月內向立法院財政委員會提出書面報告後，始得動支。</w:t>
      </w:r>
    </w:p>
    <w:p w14:paraId="13E86DC5" w14:textId="5E4B575E"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提案人：伍麗華</w:t>
      </w:r>
    </w:p>
    <w:p w14:paraId="56C7D9AF" w14:textId="51AF571C" w:rsidR="009D64D0" w:rsidRPr="0087328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87328A">
        <w:rPr>
          <w:rFonts w:ascii="標楷體" w:eastAsia="標楷體" w:hAnsi="標楷體" w:hint="eastAsia"/>
          <w:kern w:val="0"/>
          <w:sz w:val="32"/>
          <w:szCs w:val="32"/>
        </w:rPr>
        <w:t>連署人：王世堅　吳秉叡</w:t>
      </w:r>
    </w:p>
    <w:p w14:paraId="4BF6F47A"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八)114年度財政部賦稅署預算案於第2目「賦稅業務」項下「革新稅制改善稅政經費」編列364萬5千元，辦理革新稅制、修訂稅法，建立合理租稅制度，提高稅務行政效率等業務。經查，我國賦稅制度改革由來已久，然而部分稅制早已背離原本時空背景，如娛樂稅、印花稅、貨物稅等，又如所得稅扣除額之修訂亦同，始終欠缺結構性、完整性的改變，導致不公平情事多有存在，實有精進之必要。爰凍結該項預算30萬元，俟財政部賦稅署於3個月內向立法院財政委員會提出書面報告後，始得動支。</w:t>
      </w:r>
    </w:p>
    <w:p w14:paraId="5C0DC75B" w14:textId="7B735ABD" w:rsidR="009D64D0" w:rsidRPr="003438DC"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438DC">
        <w:rPr>
          <w:rFonts w:ascii="標楷體" w:eastAsia="標楷體" w:hAnsi="標楷體" w:hint="eastAsia"/>
          <w:kern w:val="0"/>
          <w:sz w:val="32"/>
          <w:szCs w:val="32"/>
        </w:rPr>
        <w:t>提案人：郭國文</w:t>
      </w:r>
    </w:p>
    <w:p w14:paraId="17A5E280" w14:textId="3EC60489" w:rsidR="009D64D0" w:rsidRPr="003438DC"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438DC">
        <w:rPr>
          <w:rFonts w:ascii="標楷體" w:eastAsia="標楷體" w:hAnsi="標楷體" w:hint="eastAsia"/>
          <w:kern w:val="0"/>
          <w:sz w:val="32"/>
          <w:szCs w:val="32"/>
        </w:rPr>
        <w:t>連署人：賴惠員　王世堅</w:t>
      </w:r>
    </w:p>
    <w:p w14:paraId="51EF0651"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九)114年度財政部賦稅署預算案於第2目「賦稅業務」項下「革新稅制改善稅政經費」之「業務費」編列364萬5千元。為使稅制更加公平合理，且符合國際潮流同時政府亦能保有健全稅收，目前所實施的所得稅制優化方案，在綜合所得稅課稅上核有最高所得者稅負減輕幅度遠高於其他階層情況，顯見稅改制度在促進財富重分配上效果仍不彰，租稅公平性仍尚待檢討強化。爰凍結該項預算二十分之一，俟財政部賦稅署於3個月內向立法院財政委員會提出書面報告後，始得動支。</w:t>
      </w:r>
    </w:p>
    <w:p w14:paraId="59D225A5" w14:textId="74AF9248" w:rsidR="009D64D0" w:rsidRPr="003438DC"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438DC">
        <w:rPr>
          <w:rFonts w:ascii="標楷體" w:eastAsia="標楷體" w:hAnsi="標楷體" w:hint="eastAsia"/>
          <w:kern w:val="0"/>
          <w:sz w:val="32"/>
          <w:szCs w:val="32"/>
        </w:rPr>
        <w:t xml:space="preserve">提案人：顏寬恒　</w:t>
      </w:r>
    </w:p>
    <w:p w14:paraId="6DFB0B12" w14:textId="5BB29661" w:rsidR="009D64D0" w:rsidRPr="003438DC"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438DC">
        <w:rPr>
          <w:rFonts w:ascii="標楷體" w:eastAsia="標楷體" w:hAnsi="標楷體" w:hint="eastAsia"/>
          <w:kern w:val="0"/>
          <w:sz w:val="32"/>
          <w:szCs w:val="32"/>
        </w:rPr>
        <w:t>連署人：王鴻薇　賴士葆</w:t>
      </w:r>
    </w:p>
    <w:p w14:paraId="52E4B377" w14:textId="77777777" w:rsidR="009D64D0" w:rsidRPr="003E44ED"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(十)114年度財政部賦稅署預算案於第2目「賦稅業務」項下「稅務稽核及稽徵業務經費」編列332萬7千元。惟據行政院主計</w:t>
      </w:r>
      <w:r w:rsidRPr="003E44ED">
        <w:rPr>
          <w:rFonts w:ascii="標楷體" w:eastAsia="標楷體" w:hAnsi="標楷體" w:hint="eastAsia"/>
          <w:kern w:val="2"/>
          <w:sz w:val="32"/>
          <w:szCs w:val="32"/>
        </w:rPr>
        <w:lastRenderedPageBreak/>
        <w:t>總處國民所得及國富統計報告，111年收入低於中位數，財富卻高於中位之家庭約占全體15.96﹪；另據財政部財政資訊中心統計，35歲以下且109年度適用綜合所得稅稅率為零，而持有房地產或贈與他人財產者，計有6萬餘人，顯見部分家庭收入與財富顯不相當，其財富源自非課稅所得之累積，嚴重影響稅制發揮所得重分配功能。爰凍結該項預算十分之一，俟財政部賦稅署向立法院財政委員會提出解析所得與財產之關聯並確實稽徵之方案書面報告後，始得動支。</w:t>
      </w:r>
    </w:p>
    <w:p w14:paraId="2AC5B4DF" w14:textId="3790FBFB" w:rsidR="009D64D0" w:rsidRPr="003438DC"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438DC">
        <w:rPr>
          <w:rFonts w:ascii="標楷體" w:eastAsia="標楷體" w:hAnsi="標楷體" w:hint="eastAsia"/>
          <w:kern w:val="0"/>
          <w:sz w:val="32"/>
          <w:szCs w:val="32"/>
        </w:rPr>
        <w:t>提案人：王世堅</w:t>
      </w:r>
    </w:p>
    <w:p w14:paraId="7DB8A447" w14:textId="38039EB6" w:rsidR="009D64D0" w:rsidRPr="003438DC"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438DC">
        <w:rPr>
          <w:rFonts w:ascii="標楷體" w:eastAsia="標楷體" w:hAnsi="標楷體" w:hint="eastAsia"/>
          <w:kern w:val="0"/>
          <w:sz w:val="32"/>
          <w:szCs w:val="32"/>
        </w:rPr>
        <w:t>連署人：李坤城　郭國文</w:t>
      </w:r>
    </w:p>
    <w:p w14:paraId="2F832CC2"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一)114年度財政部賦稅署預算案於第3目「統一發票給獎及推行」編列187億7,472萬元，統一發票中獎獎金預算案數較113年度預算數增加35.57億元，政府稅收增加是全台灣的人民共同努力的結果，應妥適規劃增加相關給獎獎別、組數，讓全民共享經濟成長、稅收增加的果實。爰凍結該項預算100萬元，俟財政部賦稅署向立法院財政委員會提出書面報告後，始得動支。</w:t>
      </w:r>
    </w:p>
    <w:p w14:paraId="5658D6C8" w14:textId="3735D86D" w:rsidR="009D64D0" w:rsidRPr="003438DC"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438DC">
        <w:rPr>
          <w:rFonts w:ascii="標楷體" w:eastAsia="標楷體" w:hAnsi="標楷體" w:hint="eastAsia"/>
          <w:kern w:val="0"/>
          <w:sz w:val="32"/>
          <w:szCs w:val="32"/>
        </w:rPr>
        <w:t>提案人：李坤城　王世堅　郭國文</w:t>
      </w:r>
    </w:p>
    <w:p w14:paraId="29349B5D"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二)114年度財政部賦稅署預算案於第3目「統一發票給獎及推行」項下「統一發票給獎及推行」中「業務費」之「一般事務費」編列「用以辦理統一發票給獎及推行，運用平面媒體、廣播媒體、網路媒體(含社群媒體)及電視媒體辦理統一發票政策宣導經費」預算3,882萬4千元。惟近日財政部辦理雲端發票抽獎活動，竟發生相同民眾重複中大獎，引發外界質疑，並有其他抽獎活動亦發生相同情形，且財政部之調查報告，尚無法釐清外界疑慮。爰凍結該項預算十分之一，俟財政部賦稅署於3個月內向立法院財政委員會提出書面報告後，始得動支。但倘法務部調查局調查認定財政部確有不法情事，則改專案報告並經同意後，始得動支。</w:t>
      </w:r>
    </w:p>
    <w:p w14:paraId="6238F70E" w14:textId="2654DF6F" w:rsidR="009D64D0" w:rsidRPr="00326495"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lastRenderedPageBreak/>
        <w:t xml:space="preserve">　　</w:t>
      </w:r>
      <w:r w:rsidR="009D64D0" w:rsidRPr="00326495">
        <w:rPr>
          <w:rFonts w:ascii="標楷體" w:eastAsia="標楷體" w:hAnsi="標楷體" w:hint="eastAsia"/>
          <w:kern w:val="0"/>
          <w:sz w:val="32"/>
          <w:szCs w:val="32"/>
        </w:rPr>
        <w:t>提案人：王鴻薇　郭國文</w:t>
      </w:r>
    </w:p>
    <w:p w14:paraId="3E6ABDBC" w14:textId="7EFC6CBE" w:rsidR="009D64D0" w:rsidRPr="00326495"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26495">
        <w:rPr>
          <w:rFonts w:ascii="標楷體" w:eastAsia="標楷體" w:hAnsi="標楷體" w:hint="eastAsia"/>
          <w:kern w:val="0"/>
          <w:sz w:val="32"/>
          <w:szCs w:val="32"/>
        </w:rPr>
        <w:t>連署人：賴士葆　陳玉珍　王世堅　李坤城</w:t>
      </w:r>
    </w:p>
    <w:p w14:paraId="1FFDB37C"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三)114年度財政部賦稅署預算案於第1目「一般行政」項下「基本行政工作維持」編列3,178萬4千元。我國綜合所得稅採自動申報制，個人出租房屋收取租金，應依所得稅法第14條第1項第5類規定列報租賃所得。納稅義務人倘未依規定申報，經稽徵機關查獲有短漏報租賃所得者，將依規定補稅並裁處罰鍰。惟我國住宅租賃所得逃漏稅狀況嚴重，形成龐大之租屋黑市，不僅使國家財政收入受損，違反租稅公平性，更嚴重的狀況，是使租客不敢申請租金補貼，不敢遷入戶籍，進而影響其他補助申請、投票權、受教育權等。雖然，財政部近年陸續針對辦理住宅租賃所得專案查核計畫，總查獲件補稅金額達2.8億元，惟查核範圍僅侷限5戶以上囤房大戶，打擊租屋黑市效果恐有限，加之稽查人力短缺，恐無法持續全面擴大，宜採用其他配套制度，強化效能。爰要求財政部賦稅署於4個月內，就未來3年稽查住宅租賃逃漏稅計畫、運用新興科技與租賃契約登錄制度稽查住宅租賃逃漏稅之可行性及推動短期豁免逃漏稅補稅加罰，或推動住宅租賃所得分離課稅，鼓勵房東自行主動申報之租稅可行性，向立法院財政委員會提出書面報告。</w:t>
      </w:r>
    </w:p>
    <w:p w14:paraId="62DB5BE2" w14:textId="543881F8" w:rsidR="009D64D0" w:rsidRPr="00326495"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26495">
        <w:rPr>
          <w:rFonts w:ascii="標楷體" w:eastAsia="標楷體" w:hAnsi="標楷體" w:hint="eastAsia"/>
          <w:kern w:val="0"/>
          <w:sz w:val="32"/>
          <w:szCs w:val="32"/>
        </w:rPr>
        <w:t>提案人：黃珊珊　陳玉珍　王鴻薇</w:t>
      </w:r>
    </w:p>
    <w:p w14:paraId="1460E404"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四)114年度財政部賦稅署預算案於第1目「一般行政」項下「基本行政工作維持」編列3,178萬4千元。我國住宅租賃所得逃漏稅狀況嚴重，形成龐大之租屋黑市，不僅使國家財政收入受損，違反租稅公平性，更嚴重的狀況，是使租客不敢申請租金補貼，不敢遷入戶籍，進而影響其他補助申請、投票權、受教育權等。為進一步釐清我國住宅租賃市場狀況，爰要求財政部賦稅署於3個月內，就精進所得稅申報格式，建置蒐集我國住宅租賃所得資料之時程計畫，</w:t>
      </w:r>
      <w:r w:rsidRPr="003E44ED">
        <w:rPr>
          <w:rFonts w:ascii="標楷體" w:eastAsia="標楷體" w:hAnsi="標楷體" w:hint="eastAsia"/>
          <w:kern w:val="2"/>
          <w:sz w:val="32"/>
          <w:szCs w:val="32"/>
        </w:rPr>
        <w:lastRenderedPageBreak/>
        <w:t>向立法院財政委員會提出書面報告。</w:t>
      </w:r>
    </w:p>
    <w:p w14:paraId="64182B0B" w14:textId="1594EE91" w:rsidR="009D64D0" w:rsidRPr="00326495"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26495">
        <w:rPr>
          <w:rFonts w:ascii="標楷體" w:eastAsia="標楷體" w:hAnsi="標楷體" w:hint="eastAsia"/>
          <w:kern w:val="0"/>
          <w:sz w:val="32"/>
          <w:szCs w:val="32"/>
        </w:rPr>
        <w:t>提案人：黃珊珊　陳玉珍　王鴻薇</w:t>
      </w:r>
    </w:p>
    <w:p w14:paraId="0E382AAD"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五)114年度財政部賦稅署預算案於第1目「一般行政」項下「基本行政工作維持」編列3,178萬4千元。使用牌照稅法第7條第1項第8款：「供持有身心障礙手冊或證明，並領有駕駛執照者使用，且為該身心障礙者所有之車輛，每人以一輛為限；因身心障礙情況，致無駕駛執照者，其本人、配偶或同一戶籍二親等以內親屬所有，供該身心障礙者使用之車輛，每一身心障礙者以一輛為限。」為避免租稅減免浮濫，103年特別制定規範，限制僅有同戶籍二親等內親屬得以享有免稅優惠。惟社經環境已然變遷，加上各項稅制之優惠規定，主要照顧者不一定會將戶籍放置於被照顧者同戶籍內，允宜檢討是否有法規配套之必要，照顧更多國民，降低生活負擔。爰請財政部賦稅署於3個月內，就身心障礙者免徵使用牌照稅精進措施，向立法院財政委員會提出書面報告。</w:t>
      </w:r>
    </w:p>
    <w:p w14:paraId="1BC9F4FC" w14:textId="5FBF7B0C" w:rsidR="009D64D0" w:rsidRPr="00326495"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26495">
        <w:rPr>
          <w:rFonts w:ascii="標楷體" w:eastAsia="標楷體" w:hAnsi="標楷體" w:hint="eastAsia"/>
          <w:kern w:val="0"/>
          <w:sz w:val="32"/>
          <w:szCs w:val="32"/>
        </w:rPr>
        <w:t>提案人：黃珊珊　陳玉珍　王鴻薇</w:t>
      </w:r>
    </w:p>
    <w:p w14:paraId="2DC81BA0"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(十六)114年度財政部賦稅署預算案於第1目「一般行政」項下「基本行政工作維持」編列3,178萬4千元。財政部</w:t>
      </w:r>
      <w:r w:rsidRPr="003E44ED">
        <w:rPr>
          <w:rFonts w:ascii="標楷體" w:eastAsia="標楷體" w:hAnsi="標楷體"/>
          <w:kern w:val="2"/>
          <w:sz w:val="32"/>
          <w:szCs w:val="32"/>
        </w:rPr>
        <w:t>112</w:t>
      </w:r>
      <w:r w:rsidRPr="003E44ED">
        <w:rPr>
          <w:rFonts w:ascii="標楷體" w:eastAsia="標楷體" w:hAnsi="標楷體" w:hint="eastAsia"/>
          <w:kern w:val="2"/>
          <w:sz w:val="32"/>
          <w:szCs w:val="32"/>
        </w:rPr>
        <w:t>年度自行研究報告證券交易税代徵獎金制度存廢之探討研究結論指明，現行稅捐稽徵制度之中，代徵獎金制度並非稅捐稽徵之常態制度，僅見於證券交易稅、期貨交易稅及娛樂稅等稅目，而現行證券交易稅條例設計代徵獎金制度有其歷史背景等因素，惟隨著時空背景不同、法令規範修正及科技進步，似有檢討證券交易稅代徵獎金制度存廢之必要。該研究分析，就現行證券交易稅代徵制度而言，不論是場內交易或場外交易，代徵人應負擔之協力義務，與所得稅扣繳制度賦予扣繳義務人應負擔之協力義務相較，兩者協力義務內容相近。加上現行從事有價證券之交易已無早期繁瑣人工作業程序，又採行扣繳制度並無扣繳獎金，有</w:t>
      </w:r>
      <w:r w:rsidRPr="003E44ED">
        <w:rPr>
          <w:rFonts w:ascii="標楷體" w:eastAsia="標楷體" w:hAnsi="標楷體" w:hint="eastAsia"/>
          <w:kern w:val="2"/>
          <w:sz w:val="32"/>
          <w:szCs w:val="32"/>
        </w:rPr>
        <w:lastRenderedPageBreak/>
        <w:t>失公允。爰要求財政部賦稅署於4個月內，就建立績優扣繳義務人之獎勵制度可行性，向立法院財政委員會提出書面報告。</w:t>
      </w:r>
    </w:p>
    <w:p w14:paraId="70D885D0" w14:textId="179F29B7" w:rsidR="009D64D0" w:rsidRPr="00326495"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326495">
        <w:rPr>
          <w:rFonts w:ascii="標楷體" w:eastAsia="標楷體" w:hAnsi="標楷體" w:hint="eastAsia"/>
          <w:kern w:val="0"/>
          <w:sz w:val="32"/>
          <w:szCs w:val="32"/>
        </w:rPr>
        <w:t>提案人：黃珊珊　陳玉珍　王鴻薇</w:t>
      </w:r>
    </w:p>
    <w:bookmarkEnd w:id="139"/>
    <w:p w14:paraId="3D9281B6"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七)114年度財政部賦稅署預算案於第1目「一般行政」項下「基本行政工作維持」編列3,178萬4千元。財政部北區國稅局106年曾表示，因違法行為所賺取的所得，例如從事地下期貨、賭博、走私、販賣毒品等，若是未經沒收或負擔賠償義務，基於量能課稅、實質課稅原則，應納入納稅人的所得課稅。依所得稅法第2條規定，凡有中華民國來源所得的個人，應就其來源所得課徵綜合所得稅。財政部北區國稅局指出，基於營利目的從事一般經濟交易活動而獲利時，即使該交易活動違反法律上的規定，甚至屬於犯罪可罰的行為，仍屬於課稅對象的營業收益範圍。財政部北區國稅局進一步指出，依財政部81年2月20日台財稅字第810759763號令規定，經營六合彩賭博的收入，沒有沒入的部分，屬所得稅法第14條所規定的其他所得，應以其收入額減除成本，及必要費用後的餘額為所得額，合併課徵綜合所得稅。因此，一般違法行為的所得，或無犯罪被害人的所得，應納入所得課稅。爰要求財政部賦稅署於3個月內，就個人不法所得（如黃牛票加價轉售）課徵所得稅之法令研析，向立法院財政委員會提出書面報告。</w:t>
      </w:r>
    </w:p>
    <w:p w14:paraId="3886F46A" w14:textId="67B88D5F"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提案人：黃珊珊　陳玉珍　王鴻薇</w:t>
      </w:r>
    </w:p>
    <w:p w14:paraId="2C5B636C"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(十八)114年度財政部賦稅署預算案於第2目「賦稅業務」編列預算2,412萬1千元，其中「防制菸品稅捐逃漏經費」項下編列1</w:t>
      </w:r>
      <w:r w:rsidRPr="003E44ED">
        <w:rPr>
          <w:rFonts w:ascii="標楷體" w:eastAsia="標楷體" w:hAnsi="標楷體"/>
          <w:kern w:val="2"/>
          <w:sz w:val="32"/>
          <w:szCs w:val="32"/>
        </w:rPr>
        <w:t>,</w:t>
      </w:r>
      <w:r w:rsidRPr="003E44ED">
        <w:rPr>
          <w:rFonts w:ascii="標楷體" w:eastAsia="標楷體" w:hAnsi="標楷體" w:hint="eastAsia"/>
          <w:kern w:val="2"/>
          <w:sz w:val="32"/>
          <w:szCs w:val="32"/>
        </w:rPr>
        <w:t>345萬7千元，其中媒體政策宣導經費達201萬元似可撙節。基於國家財政經費宜撙節使用，財政部賦稅署經費有限，不應購買電視媒體宣傳。</w:t>
      </w:r>
    </w:p>
    <w:p w14:paraId="4901E2B4" w14:textId="21910B0D"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提案人：陳玉珍</w:t>
      </w:r>
    </w:p>
    <w:p w14:paraId="6862DD45" w14:textId="2316E83C"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連署人：羅明才　顏寬恒</w:t>
      </w:r>
    </w:p>
    <w:p w14:paraId="33CF7DA7" w14:textId="77777777" w:rsidR="009D64D0" w:rsidRPr="003E44ED" w:rsidRDefault="009D64D0" w:rsidP="00F470A8">
      <w:pPr>
        <w:widowControl w:val="0"/>
        <w:kinsoku w:val="0"/>
        <w:overflowPunct w:val="0"/>
        <w:autoSpaceDE w:val="0"/>
        <w:adjustRightInd w:val="0"/>
        <w:snapToGrid w:val="0"/>
        <w:spacing w:line="480" w:lineRule="exact"/>
        <w:ind w:leftChars="-8" w:left="1581" w:hangingChars="500" w:hanging="160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lastRenderedPageBreak/>
        <w:t xml:space="preserve">　　(十九)114年度財政部賦稅署預算案於第2目「賦稅業務」編列預算2,412萬1千元，其主要工作項目之一，即是革新稅制、修訂稅法，以建立合理租稅制度。然自107年度起實施所得稅制優化方案，惟實施後在綜合所得稅課稅上核有最高所得者稅負減輕幅度遠高於其他階層情況，顯示相關稅改於促進財富重分配效果仍屬有限，租稅公平性仍尚待檢討強化，且離島地區企業所得稅負擔是否公平尤應檢討評估。爰要求財政部賦稅署就促進離島地區產業發展減徵營利事業所得稅之可行性，於3個月內向立法院財政委員會提出書面報告。</w:t>
      </w:r>
    </w:p>
    <w:p w14:paraId="3A14447D" w14:textId="0DD2A5D2"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提案人：陳玉珍</w:t>
      </w:r>
    </w:p>
    <w:p w14:paraId="36943A90" w14:textId="18764804"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連署人：羅明才　顏寬恒</w:t>
      </w:r>
    </w:p>
    <w:p w14:paraId="6F978744" w14:textId="77777777" w:rsidR="009D64D0" w:rsidRPr="003E44E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3E44ED">
        <w:rPr>
          <w:rFonts w:ascii="標楷體" w:eastAsia="標楷體" w:hAnsi="標楷體" w:hint="eastAsia"/>
          <w:kern w:val="2"/>
          <w:sz w:val="32"/>
          <w:szCs w:val="32"/>
        </w:rPr>
        <w:t xml:space="preserve">　　(二　十)114年度財政部賦稅署預算案於第2目「賦稅業務」編列2,412萬1千元，其主要工作項目之一，即是革新稅制、修訂稅法，以建立合理租稅制度。然近3年我國綜合所得稅實徵數累計成長率達42.42%，不乏因所得稅係按名目所得課徵，將隨薪資因物價上漲調薪而增加，雖所得稅法訂有隨物價調整免稅額之機制，惟仍有時間落差，致納稅者在受CPI上漲影響而實質薪資下降時，所負擔之稅負卻不減反增，允宜適時檢討相關調整機制，俾減輕納稅者負擔。爰要求財政部賦稅署就調整綜合所得稅免稅額及相關扣除額政策方向辦理情形，向立法院財政委員會提出書面報告。</w:t>
      </w:r>
    </w:p>
    <w:p w14:paraId="232D3D8E" w14:textId="1E0C884C"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提案人：陳玉珍</w:t>
      </w:r>
    </w:p>
    <w:p w14:paraId="199F422F" w14:textId="12DD5FE4"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連署人：羅明才　顏寬恒</w:t>
      </w:r>
    </w:p>
    <w:p w14:paraId="0DBAD780"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一)114年度財政部賦稅署預算案於第2目「賦稅業務」編列2,412萬1千元，其主要工作項目之一，即是革新稅制、修訂稅法，以建立合理租稅制度。然政府為改善財富過於集中及代際間之移轉造成所得分配不均問題，雖透過多次修正遺產及贈與稅法調整稅率，惟由相關之統計資</w:t>
      </w:r>
      <w:r w:rsidRPr="00187EFD">
        <w:rPr>
          <w:rFonts w:ascii="標楷體" w:eastAsia="標楷體" w:hAnsi="標楷體" w:hint="eastAsia"/>
          <w:kern w:val="2"/>
          <w:sz w:val="32"/>
          <w:szCs w:val="32"/>
        </w:rPr>
        <w:lastRenderedPageBreak/>
        <w:t>料得知，稅收之成長主要來自贈與稅，且每筆徵稅案件之贈與金額大幅提高、而遺產稅實徵案件中適用20%以上稅率之件數及有效稅率均較97年下降，顯示納稅人透過贈與方式移轉財產之情況有增加現象，政府欲藉由修正遺產及贈與稅稅率以促進財富重分配之效果恐有限。爰請財政部賦稅署於3個月內向立法院財政委員會提出檢討改善之書面報告（含國際稅制比較）。</w:t>
      </w:r>
    </w:p>
    <w:p w14:paraId="53E9F57B" w14:textId="3D7053A4"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提案人：陳玉珍</w:t>
      </w:r>
    </w:p>
    <w:p w14:paraId="517B616D" w14:textId="7D944B4F"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連署人：羅明才　顏寬恒</w:t>
      </w:r>
    </w:p>
    <w:p w14:paraId="0555621A"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二)114年度財政部賦稅署預算案於第2目「賦稅業務」編列預算2,412萬1千元。113年1月3日總統公布修正房屋稅條例部分條文，推動囤房稅2.0政策，並已於113年7月1日上路，將於114年5月正式開徵。該政策目標期能達成多屋重稅、自住減稅、出租申報所得減稅。財政部曾發布新聞稿說明，為確保民眾權益並兼顧簡政便民，113年6月30日以前房屋稅稅籍資料記載為自住房屋，納稅義務人本人、配偶或直系親屬已於該屋辦竣戶籍登記者，納稅義務人無須申報，稽徵機關將依戶政資料逕行核定續按自住稅率課徵房屋稅。至尚未辦竣戶籍登記者，各稽徵機關已訂定輔導措施，將寄發輔導通知書，輔導於114年3月24日以前辦竣戶籍登記，經輔導並於114年3月24日以前辦竣戶籍登記者，稽徵機關將依戶政資料逕行核定續按自住稅率課徵房屋稅，納稅義務人亦無須申報；屆期仍未辦竣戶籍登記者，將自114年期起改按非自住稅率課徵房屋稅。為避免民眾漏未辦竣戶籍登記，衍生爭議，浪費行政成本。爰請財政部賦稅署於3個月內，就囤房稅2.0新制之全國宣導、輔導計畫，向立法院財政委員會提出書面報告。</w:t>
      </w:r>
    </w:p>
    <w:p w14:paraId="37A12835" w14:textId="34D44E59"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提案人：黃珊珊　陳玉珍　王鴻薇</w:t>
      </w:r>
    </w:p>
    <w:p w14:paraId="3C904BE6"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(二十三)114年度財政部賦稅署預算案於第2目「賦稅業務」編列</w:t>
      </w:r>
      <w:r w:rsidRPr="00187EFD">
        <w:rPr>
          <w:rFonts w:ascii="標楷體" w:eastAsia="標楷體" w:hAnsi="標楷體" w:hint="eastAsia"/>
          <w:kern w:val="2"/>
          <w:sz w:val="32"/>
          <w:szCs w:val="32"/>
        </w:rPr>
        <w:lastRenderedPageBreak/>
        <w:t>2,412萬1千元。我國貨物稅之徵收，歷史悠久，35年制定之貨物稅條例，恢復徵收麥粉、水泥、茶葉、皮毛、紙箔、迷信用紙及飲料品之貨物稅，並開徵化妝品貨物稅；在70年代以前，茶葉、皮毛、紙類、化粧品、木柴、棉紗、調味粉、人造絲、火柴、糖類、塑膠、元條型鋼、鋼琴、電子琴、水泥、飲料等，均曾是重要的稅收來源，然隨著經濟快速發展、國民所得提高，該等貨物之稅收比重已大幅降低，甚至有若干項目業已取消課稅。早期彩色電視、錄音機、音響、電冰箱、冷暖氣機、汽機車屬於奢侈性消費產品，對其課徵有部分寓禁於徵意味，然隨著數位化、全球化時代變遷，許多消費產品已成為民生必需品。加上對於電器產品、機製飲料等項目之課徵邏輯不一，難以使民眾、業者，甚至是與我國貿易談判之國家信服。查財政部刻正進行貨物稅條例通盤檢討，研究將其整併綠色稅制、健康稅捐，惟修法檢討進程緩慢，仍需在過渡期間釐清徵稅邏輯，及函令免徵項目之豁免原因，以便未來法制研修。爰請財政部賦稅署於3個月內，就貨物稅歷年函釋再彙整檢討及補充解釋計畫，向立法院財政委員會提出書面報告。</w:t>
      </w:r>
    </w:p>
    <w:p w14:paraId="06BC9DCF" w14:textId="77014F71"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提案人：黃珊珊　陳玉珍　王鴻薇</w:t>
      </w:r>
    </w:p>
    <w:p w14:paraId="0CFECD38"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四)114年度財政部賦稅署預算案於第2目「賦稅業務」編列2,412萬1千元。免去生理用品之營業稅已成為國際趨勢，包括愛爾蘭、英國、加拿大、肯亞及美國部分州均已免除生理用品之加值型營業稅；德國亦降低生理用品之相關加值型營業稅率；而蘇格蘭除了免除生理用品之營業稅外，更進一步對全境免費提供生理用品。反觀我國財政部反對生理用品免營業稅修法理由之一：倘營業人未將減稅利益全數反映至商品售價，買受人實無法享受減稅利益，反而使國庫擴大稅收損失。查我國對於營業稅免徵之規定繁多，舉例而言，為因應經濟特殊情況，</w:t>
      </w:r>
      <w:r w:rsidRPr="00187EFD">
        <w:rPr>
          <w:rFonts w:ascii="標楷體" w:eastAsia="標楷體" w:hAnsi="標楷體" w:hint="eastAsia"/>
          <w:kern w:val="2"/>
          <w:sz w:val="32"/>
          <w:szCs w:val="32"/>
        </w:rPr>
        <w:lastRenderedPageBreak/>
        <w:t>調節物資供應，對進口小麥、大麥、玉米或黃豆應徵之營業稅，得由行政院機動調整，但財政部似未同樣有將減稅利益全數反映至商品售價之顧慮。爰請財政部賦稅署於3個月內，就減稅利益反映至商品售價之稽核機制與概況，向立法院財政委員會提出書面報告。</w:t>
      </w:r>
    </w:p>
    <w:p w14:paraId="2613879B" w14:textId="551C282E"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提案人：黃珊珊　陳玉珍　王鴻薇</w:t>
      </w:r>
    </w:p>
    <w:p w14:paraId="564609DE"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五)114年度財政部賦稅署預算案於第2目「賦稅業務」項下「革新稅制改善稅政經費」編列364萬5千元，但對早已不合時宜之汽機車貨物稅、印花稅、娛樂稅等，卻未見改革、亦未積極研議將上開稅目整合為綠色稅制。鑑此，爰請財政部賦稅署於3個月內向立法院財政委員會提出汽機車貨物稅、印花稅及娛樂稅稅制（政）檢討書面報告。</w:t>
      </w:r>
    </w:p>
    <w:p w14:paraId="57F56B34" w14:textId="26612650"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提案人：王世堅</w:t>
      </w:r>
    </w:p>
    <w:p w14:paraId="7D1E96C2" w14:textId="6D26A72F"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連署人：李坤城　郭國文</w:t>
      </w:r>
    </w:p>
    <w:p w14:paraId="198A8DC2"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六)114年度財政部賦稅署預算案於第2目「賦稅業務」項下「革新稅制改善稅政經費」編列364萬5千元。所得稅係按名目所得課徵，但在物價持續上漲而實質所得成長增幅有限下，雖所得稅法訂有隨物價調整免稅額之機制，惟仍有時間落差，致納稅者在受CPI增加影響而實質薪資下降時，稅負卻增加，恐加重民眾生活負擔。財政部及賦稅署應適時檢討相關調整機制，俾減輕納稅者負擔。爰要求財政部賦稅署於1個月內向立法院財政委員會提出書面報告。</w:t>
      </w:r>
    </w:p>
    <w:p w14:paraId="736D19EC" w14:textId="752A1127"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提案人：伍麗華</w:t>
      </w:r>
    </w:p>
    <w:p w14:paraId="3B8879C1" w14:textId="36BAAAFC"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連署人：王世堅　吳秉叡</w:t>
      </w:r>
    </w:p>
    <w:p w14:paraId="7DB3C73D"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七)依據憲法法庭113年憲判字第11號判決，擬制遺產的受贈人如為被繼承人配偶，其與其他繼承人，應如何負擔遺產稅，欠缺明確規範，導致其他繼承人須以被繼承人配偶受贈財產增益負擔遺產稅，擬制遺產與總遺產稅制</w:t>
      </w:r>
      <w:r w:rsidRPr="00187EFD">
        <w:rPr>
          <w:rFonts w:ascii="標楷體" w:eastAsia="標楷體" w:hAnsi="標楷體" w:hint="eastAsia"/>
          <w:kern w:val="2"/>
          <w:sz w:val="32"/>
          <w:szCs w:val="32"/>
        </w:rPr>
        <w:lastRenderedPageBreak/>
        <w:t>向來爭議不斷，財政部賦稅署應儘速研議是否檢討相關稅制與規範。爰請財政部賦稅署於1個月內向立法院財政委員會提出檢討相關稅制之辦理情形書面報告。</w:t>
      </w:r>
    </w:p>
    <w:p w14:paraId="74EF5F1A" w14:textId="4BC18F8B"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提案人：李彥秀</w:t>
      </w:r>
    </w:p>
    <w:p w14:paraId="1E2050AC" w14:textId="0656EB59"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連署人：羅明才　顏寬恒</w:t>
      </w:r>
    </w:p>
    <w:p w14:paraId="58C3A36F"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八)114年度財政部賦稅署預算案於第2目「賦稅業務」項下「租稅教育與宣傳及健全風紀經費」中「業務費」之「一般事務費」編列140萬4千元，其中推動稅制改革，強化施政宣傳與溝通所需相關經費編列20萬元；運用平面媒體、廣播媒體、網路媒體(含社群媒體)及電視媒體辦理政策宣導經費編列5萬元，惟鮮少於各類媒體上出現與推動稅制改革相關之宣導。鑑此，爰請財政部賦稅署應於3個月內向立法院財政委員會提出113年推廣使用統一發票租稅教育及宣導活動辦理成效之書面報告。</w:t>
      </w:r>
    </w:p>
    <w:p w14:paraId="6461C811" w14:textId="6589C265"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提案人：王世堅</w:t>
      </w:r>
    </w:p>
    <w:p w14:paraId="16451FDA" w14:textId="41EBF092"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連署人：李坤城　郭國文</w:t>
      </w:r>
    </w:p>
    <w:p w14:paraId="74E3A258"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二十九)114年度財政部賦稅署預算案於第2目「賦稅業務」項下「稅務稽核及稽徵業務經費」編列332萬7千元。次查審計部於113年7月底公告之112年度中央政府總決算審核報告指出：「部分個人年紀尚輕且適用綜所稅稅率為零，卻具資力贈與他人財產或持有高額房地產，財富源自非課稅所得之累積，影響稅制發揮所得重分配功能」等語。據行政院主計總處國民所得統計，依家庭財富及收入10分位聯合家數分配分析，收入低於中位數，財富卻高於中位之家庭約占全體15.96﹪，其中收入為第1分位組、財富為第10分位組之家庭約2萬餘戶，部分家庭收入與財富顯不相當。又據財政部財政資訊中心提供資訊統計，35歲以下且109年度適用綜合所得稅稅率為零，而持有房地產或贈與他人財產者，計有6萬餘人；部分個人109至111年度各項所得低於50萬元，惟具資力贈與</w:t>
      </w:r>
      <w:r w:rsidRPr="00187EFD">
        <w:rPr>
          <w:rFonts w:ascii="標楷體" w:eastAsia="標楷體" w:hAnsi="標楷體" w:hint="eastAsia"/>
          <w:kern w:val="2"/>
          <w:sz w:val="32"/>
          <w:szCs w:val="32"/>
        </w:rPr>
        <w:lastRenderedPageBreak/>
        <w:t>他人財產或持有多筆房地產，舉如贈與他人財產價額，或持有、增加房地產價值有超逾4千萬元等情事，部分所得似有隱藏未納入課稅情形。綜上所述，爰要求財政部賦稅署於1個月內向立法院財政委員會提出如何善用各機關間資訊，改善現行所得稅稽核作業之書面報告。</w:t>
      </w:r>
    </w:p>
    <w:p w14:paraId="5BD7F3FE" w14:textId="797AF79F"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提案人：賴惠員</w:t>
      </w:r>
    </w:p>
    <w:p w14:paraId="06B83204" w14:textId="6C555B83"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連署人：王世堅　郭國文</w:t>
      </w:r>
    </w:p>
    <w:p w14:paraId="636375A7"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　十)114年度財政部賦稅署預算案於第2目「賦稅業務」項下「稅務稽核及稽徵業務經費」編列332萬7千元。惟據審計部於113年7月底公告之112年度中央政府總決算審核報告指出：「財政部及各地方稅務機關運用跨領域資料庫，主動核免身心障礙者使用牌照稅……惟地方稅務機關各自發展及提供身心障礙免稅服務不一，且其規定申辦免稅之行政作業，存有執行窒礙之處……」等語。經查，財政部及各地方稅務機關主動核免身心障礙者使用牌照稅執行情形，係由各地方政府自行研擬相關作業方法，並無統一之作法；且據地方稅務機關反映使用牌照稅法第7條第1項第8款規定，身心障礙者領有駕駛執照時，車主必須為身心障礙者本人，方能辦理免稅，致擁有駕駛執照但無車輛之身心障礙者為申辦免稅，必須事先將車輛過戶或註銷駕駛執照，增加地方稅務機關及身心障礙者申辦免稅行政手續，與法規降低身心障礙者免稅優惠及便利性目標不符。鑑此，為督促財政部賦稅署精進現有免稅優惠實施方式，便利身心障礙者申辦免稅優惠，爰請財政部賦稅署於3個月內向立法院財政委員會就相關精進措施提出書面報告。</w:t>
      </w:r>
    </w:p>
    <w:p w14:paraId="79A57C54" w14:textId="2FC59B05"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提案人：賴惠員</w:t>
      </w:r>
    </w:p>
    <w:p w14:paraId="5C9F9B99" w14:textId="43CDD85E"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連署人：王世堅　郭國文</w:t>
      </w:r>
    </w:p>
    <w:p w14:paraId="72212ACC"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(三十一)我國現行規範各項稅目之法律與法規命令甚繁，相關函釋令更是繁雜，納稅義務人與稅捐機關間對相關法令規</w:t>
      </w:r>
      <w:r w:rsidRPr="00187EFD">
        <w:rPr>
          <w:rFonts w:ascii="標楷體" w:eastAsia="標楷體" w:hAnsi="標楷體" w:hint="eastAsia"/>
          <w:kern w:val="2"/>
          <w:sz w:val="32"/>
          <w:szCs w:val="32"/>
        </w:rPr>
        <w:lastRenderedPageBreak/>
        <w:t>定見解不同或對事實認定有歧異，而對稅捐機關作成稅捐或罰鍰之處分有不服時，可循復查、訴願、行政訴訟等程序救濟，近3年5區國稅局每年新增民眾申請稅務案件復查之件數約2千件，究其原因為民眾常因未能明瞭相關法規而漏報或短報，當其了解相關法規後多數均願繳納相關稅款，惟對於裁罰數額認定負擔過重，查稅務違章案件裁罰金額或倍數參考表第4點雖可因違章情節較輕而減低裁罰金額，但各國稅局仍多僅依漏報金額為裁罰依據，未能實質考量納稅義務人之違章情節輕重，致使相關規定形同具文。財政部賦稅署應思考如何落實相關規定，於3個月內向立法院財政委員會提出書面報告。</w:t>
      </w:r>
    </w:p>
    <w:p w14:paraId="7D73DBBA" w14:textId="52CB8164"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提案人：李彥秀</w:t>
      </w:r>
    </w:p>
    <w:p w14:paraId="60C16614" w14:textId="088C08A4"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連署人：羅明才　顏寬恒</w:t>
      </w:r>
    </w:p>
    <w:p w14:paraId="767602AD"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(三十二)114年度財政部賦稅署預算案於第3目「統一發票給獎及推行」編列187億7,472萬元，其中「一般事務費」預算數2億6</w:t>
      </w:r>
      <w:r w:rsidRPr="00187EFD">
        <w:rPr>
          <w:rFonts w:ascii="標楷體" w:eastAsia="標楷體" w:hAnsi="標楷體"/>
          <w:kern w:val="2"/>
          <w:sz w:val="32"/>
          <w:szCs w:val="32"/>
        </w:rPr>
        <w:t>,</w:t>
      </w:r>
      <w:r w:rsidRPr="00187EFD">
        <w:rPr>
          <w:rFonts w:ascii="標楷體" w:eastAsia="標楷體" w:hAnsi="標楷體" w:hint="eastAsia"/>
          <w:kern w:val="2"/>
          <w:sz w:val="32"/>
          <w:szCs w:val="32"/>
        </w:rPr>
        <w:t>828萬6千元，包含辦理統一發票資料調查及稽查、教育與宣導等費用，其中運用平面媒體、廣播媒體、網路媒體（含社群媒體）及電視媒體辦理統一發票政策宣導經費3,882萬4千元，相較於113年度預算增幅偏大，似可撙節。基於國家財政經費宜撙節使用，因財政部賦稅署經費有限，使用電視媒體時僅能辦理租稅法令宣導。</w:t>
      </w:r>
    </w:p>
    <w:p w14:paraId="285198E4" w14:textId="1A0BB92D"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提案人：陳玉珍</w:t>
      </w:r>
    </w:p>
    <w:p w14:paraId="5D6327FC" w14:textId="3B79E214"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連署人：羅明才　顏寬恒</w:t>
      </w:r>
    </w:p>
    <w:p w14:paraId="4001E17D"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(三十三)鑑於全國稅收已連續4年超徵，其中差距數甚有達到4</w:t>
      </w:r>
      <w:r w:rsidRPr="00187EFD">
        <w:rPr>
          <w:rFonts w:ascii="標楷體" w:eastAsia="標楷體" w:hAnsi="標楷體"/>
          <w:kern w:val="2"/>
          <w:sz w:val="32"/>
          <w:szCs w:val="32"/>
        </w:rPr>
        <w:t>,</w:t>
      </w:r>
      <w:r w:rsidRPr="00187EFD">
        <w:rPr>
          <w:rFonts w:ascii="標楷體" w:eastAsia="標楷體" w:hAnsi="標楷體" w:hint="eastAsia"/>
          <w:kern w:val="2"/>
          <w:sz w:val="32"/>
          <w:szCs w:val="32"/>
        </w:rPr>
        <w:t>000億元以上者，估測技術顯有不足。再者，114年度預算案在預期經濟成長率(3.26%)低於113年(3.90%)下，所編課稅收入卻反而較113年度增加19.88%，更創歷史新高，預測的準確性令人不無疑義。稅收預測準確性</w:t>
      </w:r>
      <w:r w:rsidRPr="00187EFD">
        <w:rPr>
          <w:rFonts w:ascii="標楷體" w:eastAsia="標楷體" w:hAnsi="標楷體" w:hint="eastAsia"/>
          <w:kern w:val="2"/>
          <w:sz w:val="32"/>
          <w:szCs w:val="32"/>
        </w:rPr>
        <w:lastRenderedPageBreak/>
        <w:t>攸關政府歲出資源的配置與財政收支平衡，爰要求財政部賦稅署精進相關預測模型，俾期估測值貼近實徵數，以利財政健全，並於2個月內向立法院財政委員會提出書面報告。</w:t>
      </w:r>
    </w:p>
    <w:p w14:paraId="23344451" w14:textId="3FC48CBE"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提案人：羅明才　賴士葆　陳玉珍</w:t>
      </w:r>
    </w:p>
    <w:p w14:paraId="272D8AFA"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(三十四)經查</w:t>
      </w:r>
      <w:r w:rsidRPr="00187EFD">
        <w:rPr>
          <w:rFonts w:ascii="標楷體" w:eastAsia="標楷體" w:hAnsi="標楷體"/>
          <w:kern w:val="2"/>
          <w:sz w:val="32"/>
          <w:szCs w:val="32"/>
        </w:rPr>
        <w:t>114</w:t>
      </w:r>
      <w:r w:rsidRPr="00187EFD">
        <w:rPr>
          <w:rFonts w:ascii="標楷體" w:eastAsia="標楷體" w:hAnsi="標楷體" w:hint="eastAsia"/>
          <w:kern w:val="2"/>
          <w:sz w:val="32"/>
          <w:szCs w:val="32"/>
        </w:rPr>
        <w:t>年度中央政府總預算收入編列</w:t>
      </w:r>
      <w:r w:rsidRPr="00187EFD">
        <w:rPr>
          <w:rFonts w:ascii="標楷體" w:eastAsia="標楷體" w:hAnsi="標楷體"/>
          <w:kern w:val="2"/>
          <w:sz w:val="32"/>
          <w:szCs w:val="32"/>
        </w:rPr>
        <w:t>2</w:t>
      </w:r>
      <w:r w:rsidRPr="00187EFD">
        <w:rPr>
          <w:rFonts w:ascii="標楷體" w:eastAsia="標楷體" w:hAnsi="標楷體" w:hint="eastAsia"/>
          <w:kern w:val="2"/>
          <w:sz w:val="32"/>
          <w:szCs w:val="32"/>
        </w:rPr>
        <w:t>兆</w:t>
      </w:r>
      <w:r w:rsidRPr="00187EFD">
        <w:rPr>
          <w:rFonts w:ascii="標楷體" w:eastAsia="標楷體" w:hAnsi="標楷體"/>
          <w:kern w:val="2"/>
          <w:sz w:val="32"/>
          <w:szCs w:val="32"/>
        </w:rPr>
        <w:t>7,739.92</w:t>
      </w:r>
      <w:r w:rsidRPr="00187EFD">
        <w:rPr>
          <w:rFonts w:ascii="標楷體" w:eastAsia="標楷體" w:hAnsi="標楷體" w:hint="eastAsia"/>
          <w:kern w:val="2"/>
          <w:sz w:val="32"/>
          <w:szCs w:val="32"/>
        </w:rPr>
        <w:t>億元，分別為所得稅</w:t>
      </w:r>
      <w:r w:rsidRPr="00187EFD">
        <w:rPr>
          <w:rFonts w:ascii="標楷體" w:eastAsia="標楷體" w:hAnsi="標楷體"/>
          <w:kern w:val="2"/>
          <w:sz w:val="32"/>
          <w:szCs w:val="32"/>
        </w:rPr>
        <w:t>1</w:t>
      </w:r>
      <w:r w:rsidRPr="00187EFD">
        <w:rPr>
          <w:rFonts w:ascii="標楷體" w:eastAsia="標楷體" w:hAnsi="標楷體" w:hint="eastAsia"/>
          <w:kern w:val="2"/>
          <w:sz w:val="32"/>
          <w:szCs w:val="32"/>
        </w:rPr>
        <w:t>兆</w:t>
      </w:r>
      <w:r w:rsidRPr="00187EFD">
        <w:rPr>
          <w:rFonts w:ascii="標楷體" w:eastAsia="標楷體" w:hAnsi="標楷體"/>
          <w:kern w:val="2"/>
          <w:sz w:val="32"/>
          <w:szCs w:val="32"/>
        </w:rPr>
        <w:t>7,485.08</w:t>
      </w:r>
      <w:r w:rsidRPr="00187EFD">
        <w:rPr>
          <w:rFonts w:ascii="標楷體" w:eastAsia="標楷體" w:hAnsi="標楷體" w:hint="eastAsia"/>
          <w:kern w:val="2"/>
          <w:sz w:val="32"/>
          <w:szCs w:val="32"/>
        </w:rPr>
        <w:t>億元、營業稅</w:t>
      </w:r>
      <w:r w:rsidRPr="00187EFD">
        <w:rPr>
          <w:rFonts w:ascii="標楷體" w:eastAsia="標楷體" w:hAnsi="標楷體"/>
          <w:kern w:val="2"/>
          <w:sz w:val="32"/>
          <w:szCs w:val="32"/>
        </w:rPr>
        <w:t>3,830.04</w:t>
      </w:r>
      <w:r w:rsidRPr="00187EFD">
        <w:rPr>
          <w:rFonts w:ascii="標楷體" w:eastAsia="標楷體" w:hAnsi="標楷體" w:hint="eastAsia"/>
          <w:kern w:val="2"/>
          <w:sz w:val="32"/>
          <w:szCs w:val="32"/>
        </w:rPr>
        <w:t>億元、證券交易稅</w:t>
      </w:r>
      <w:r w:rsidRPr="00187EFD">
        <w:rPr>
          <w:rFonts w:ascii="標楷體" w:eastAsia="標楷體" w:hAnsi="標楷體"/>
          <w:kern w:val="2"/>
          <w:sz w:val="32"/>
          <w:szCs w:val="32"/>
        </w:rPr>
        <w:t>2,635.20</w:t>
      </w:r>
      <w:r w:rsidRPr="00187EFD">
        <w:rPr>
          <w:rFonts w:ascii="標楷體" w:eastAsia="標楷體" w:hAnsi="標楷體" w:hint="eastAsia"/>
          <w:kern w:val="2"/>
          <w:sz w:val="32"/>
          <w:szCs w:val="32"/>
        </w:rPr>
        <w:t>億元、貨物稅</w:t>
      </w:r>
      <w:r w:rsidRPr="00187EFD">
        <w:rPr>
          <w:rFonts w:ascii="標楷體" w:eastAsia="標楷體" w:hAnsi="標楷體"/>
          <w:kern w:val="2"/>
          <w:sz w:val="32"/>
          <w:szCs w:val="32"/>
        </w:rPr>
        <w:t>1,525.29</w:t>
      </w:r>
      <w:r w:rsidRPr="00187EFD">
        <w:rPr>
          <w:rFonts w:ascii="標楷體" w:eastAsia="標楷體" w:hAnsi="標楷體" w:hint="eastAsia"/>
          <w:kern w:val="2"/>
          <w:sz w:val="32"/>
          <w:szCs w:val="32"/>
        </w:rPr>
        <w:t>億元、關稅</w:t>
      </w:r>
      <w:r w:rsidRPr="00187EFD">
        <w:rPr>
          <w:rFonts w:ascii="標楷體" w:eastAsia="標楷體" w:hAnsi="標楷體"/>
          <w:kern w:val="2"/>
          <w:sz w:val="32"/>
          <w:szCs w:val="32"/>
        </w:rPr>
        <w:t>1,623.53</w:t>
      </w:r>
      <w:r w:rsidRPr="00187EFD">
        <w:rPr>
          <w:rFonts w:ascii="標楷體" w:eastAsia="標楷體" w:hAnsi="標楷體" w:hint="eastAsia"/>
          <w:kern w:val="2"/>
          <w:sz w:val="32"/>
          <w:szCs w:val="32"/>
        </w:rPr>
        <w:t>億元、菸酒稅</w:t>
      </w:r>
      <w:r w:rsidRPr="00187EFD">
        <w:rPr>
          <w:rFonts w:ascii="標楷體" w:eastAsia="標楷體" w:hAnsi="標楷體"/>
          <w:kern w:val="2"/>
          <w:sz w:val="32"/>
          <w:szCs w:val="32"/>
        </w:rPr>
        <w:t>331.82</w:t>
      </w:r>
      <w:r w:rsidRPr="00187EFD">
        <w:rPr>
          <w:rFonts w:ascii="標楷體" w:eastAsia="標楷體" w:hAnsi="標楷體" w:hint="eastAsia"/>
          <w:kern w:val="2"/>
          <w:sz w:val="32"/>
          <w:szCs w:val="32"/>
        </w:rPr>
        <w:t>億元、遺產及贈與稅</w:t>
      </w:r>
      <w:r w:rsidRPr="00187EFD">
        <w:rPr>
          <w:rFonts w:ascii="標楷體" w:eastAsia="標楷體" w:hAnsi="標楷體"/>
          <w:kern w:val="2"/>
          <w:sz w:val="32"/>
          <w:szCs w:val="32"/>
        </w:rPr>
        <w:t>153.49</w:t>
      </w:r>
      <w:r w:rsidRPr="00187EFD">
        <w:rPr>
          <w:rFonts w:ascii="標楷體" w:eastAsia="標楷體" w:hAnsi="標楷體" w:hint="eastAsia"/>
          <w:kern w:val="2"/>
          <w:sz w:val="32"/>
          <w:szCs w:val="32"/>
        </w:rPr>
        <w:t>億元、期貨交易稅</w:t>
      </w:r>
      <w:r w:rsidRPr="00187EFD">
        <w:rPr>
          <w:rFonts w:ascii="標楷體" w:eastAsia="標楷體" w:hAnsi="標楷體"/>
          <w:kern w:val="2"/>
          <w:sz w:val="32"/>
          <w:szCs w:val="32"/>
        </w:rPr>
        <w:t>90.13</w:t>
      </w:r>
      <w:r w:rsidRPr="00187EFD">
        <w:rPr>
          <w:rFonts w:ascii="標楷體" w:eastAsia="標楷體" w:hAnsi="標楷體" w:hint="eastAsia"/>
          <w:kern w:val="2"/>
          <w:sz w:val="32"/>
          <w:szCs w:val="32"/>
        </w:rPr>
        <w:t>億元、特種貨物及勞務稅</w:t>
      </w:r>
      <w:r w:rsidRPr="00187EFD">
        <w:rPr>
          <w:rFonts w:ascii="標楷體" w:eastAsia="標楷體" w:hAnsi="標楷體"/>
          <w:kern w:val="2"/>
          <w:sz w:val="32"/>
          <w:szCs w:val="32"/>
        </w:rPr>
        <w:t>65.34</w:t>
      </w:r>
      <w:r w:rsidRPr="00187EFD">
        <w:rPr>
          <w:rFonts w:ascii="標楷體" w:eastAsia="標楷體" w:hAnsi="標楷體" w:hint="eastAsia"/>
          <w:kern w:val="2"/>
          <w:sz w:val="32"/>
          <w:szCs w:val="32"/>
        </w:rPr>
        <w:t>億元，合共較</w:t>
      </w:r>
      <w:r w:rsidRPr="00187EFD">
        <w:rPr>
          <w:rFonts w:ascii="標楷體" w:eastAsia="標楷體" w:hAnsi="標楷體"/>
          <w:kern w:val="2"/>
          <w:sz w:val="32"/>
          <w:szCs w:val="32"/>
        </w:rPr>
        <w:t>113</w:t>
      </w:r>
      <w:r w:rsidRPr="00187EFD">
        <w:rPr>
          <w:rFonts w:ascii="標楷體" w:eastAsia="標楷體" w:hAnsi="標楷體" w:hint="eastAsia"/>
          <w:kern w:val="2"/>
          <w:sz w:val="32"/>
          <w:szCs w:val="32"/>
        </w:rPr>
        <w:t>年度預算增加</w:t>
      </w:r>
      <w:r w:rsidRPr="00187EFD">
        <w:rPr>
          <w:rFonts w:ascii="標楷體" w:eastAsia="標楷體" w:hAnsi="標楷體"/>
          <w:kern w:val="2"/>
          <w:sz w:val="32"/>
          <w:szCs w:val="32"/>
        </w:rPr>
        <w:t>4,599.72</w:t>
      </w:r>
      <w:r w:rsidRPr="00187EFD">
        <w:rPr>
          <w:rFonts w:ascii="標楷體" w:eastAsia="標楷體" w:hAnsi="標楷體" w:hint="eastAsia"/>
          <w:kern w:val="2"/>
          <w:sz w:val="32"/>
          <w:szCs w:val="32"/>
        </w:rPr>
        <w:t>億元，稅課收入占歲入結構比率為</w:t>
      </w:r>
      <w:r w:rsidRPr="00187EFD">
        <w:rPr>
          <w:rFonts w:ascii="標楷體" w:eastAsia="標楷體" w:hAnsi="標楷體"/>
          <w:kern w:val="2"/>
          <w:sz w:val="32"/>
          <w:szCs w:val="32"/>
        </w:rPr>
        <w:t>87.97%</w:t>
      </w:r>
      <w:r w:rsidRPr="00187EFD">
        <w:rPr>
          <w:rFonts w:ascii="標楷體" w:eastAsia="標楷體" w:hAnsi="標楷體" w:hint="eastAsia"/>
          <w:kern w:val="2"/>
          <w:sz w:val="32"/>
          <w:szCs w:val="32"/>
        </w:rPr>
        <w:t>，</w:t>
      </w:r>
      <w:r w:rsidRPr="00187EFD">
        <w:rPr>
          <w:rFonts w:ascii="標楷體" w:eastAsia="標楷體" w:hAnsi="標楷體"/>
          <w:kern w:val="2"/>
          <w:sz w:val="32"/>
          <w:szCs w:val="32"/>
        </w:rPr>
        <w:t>110</w:t>
      </w:r>
      <w:r w:rsidRPr="00187EFD">
        <w:rPr>
          <w:rFonts w:ascii="標楷體" w:eastAsia="標楷體" w:hAnsi="標楷體" w:hint="eastAsia"/>
          <w:kern w:val="2"/>
          <w:sz w:val="32"/>
          <w:szCs w:val="32"/>
        </w:rPr>
        <w:t>至</w:t>
      </w:r>
      <w:r w:rsidRPr="00187EFD">
        <w:rPr>
          <w:rFonts w:ascii="標楷體" w:eastAsia="標楷體" w:hAnsi="標楷體"/>
          <w:kern w:val="2"/>
          <w:sz w:val="32"/>
          <w:szCs w:val="32"/>
        </w:rPr>
        <w:t>112</w:t>
      </w:r>
      <w:r w:rsidRPr="00187EFD">
        <w:rPr>
          <w:rFonts w:ascii="標楷體" w:eastAsia="標楷體" w:hAnsi="標楷體" w:hint="eastAsia"/>
          <w:kern w:val="2"/>
          <w:sz w:val="32"/>
          <w:szCs w:val="32"/>
        </w:rPr>
        <w:t>年度中央政府總預算稅課收入連年實徵數遠逾預算數，且差距數甚有達</w:t>
      </w:r>
      <w:r w:rsidRPr="00187EFD">
        <w:rPr>
          <w:rFonts w:ascii="標楷體" w:eastAsia="標楷體" w:hAnsi="標楷體"/>
          <w:kern w:val="2"/>
          <w:sz w:val="32"/>
          <w:szCs w:val="32"/>
        </w:rPr>
        <w:t>4,000</w:t>
      </w:r>
      <w:r w:rsidRPr="00187EFD">
        <w:rPr>
          <w:rFonts w:ascii="標楷體" w:eastAsia="標楷體" w:hAnsi="標楷體" w:hint="eastAsia"/>
          <w:kern w:val="2"/>
          <w:sz w:val="32"/>
          <w:szCs w:val="32"/>
        </w:rPr>
        <w:t>億元以上者，顯見預估技術落差甚大、掌握國內金融情勢成效不彰，民眾多認為超徵稅收、觀感不佳，爰此，請財政部賦稅署針對稅課收入預估、精進相關預測模型為題，於3個月內向立法院財政委員會提出書面報告。</w:t>
      </w:r>
    </w:p>
    <w:p w14:paraId="19397177" w14:textId="5441BB4A"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提案人：顏寬恒　王鴻薇　賴士葆</w:t>
      </w:r>
    </w:p>
    <w:p w14:paraId="4BC29123"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五)近年來CPI年增率均為上漲(除109年受COVID-19疫情影響下降外)，受薪階級的每月名目薪資亦逐年調增，但若考量物價上漲因素，實質薪資近3年累計則反呈負成長1.35%。所得稅是按名目所得課徵，雖訂有隨物價調整免稅額之機制，但在時間上仍有落差，以致納稅者在受CPI上漲影響而實質薪資下降時，所負擔的稅負其實不減反增，造成民怨。爰要求財政部賦稅署應適時檢討相關免稅額、扣除額及課稅級距的調整機制，以符合實況，減少民眾負擔，並於2個月內向立法院財政委員會提出書面報告。</w:t>
      </w:r>
    </w:p>
    <w:p w14:paraId="0246BA52" w14:textId="77777777" w:rsidR="009D64D0" w:rsidRPr="002E379D" w:rsidRDefault="009D64D0" w:rsidP="00F470A8">
      <w:pPr>
        <w:overflowPunct w:val="0"/>
        <w:ind w:leftChars="240" w:left="1068" w:hangingChars="205" w:hanging="492"/>
        <w:jc w:val="both"/>
        <w:rPr>
          <w:rFonts w:ascii="標楷體" w:eastAsia="標楷體" w:hAnsi="標楷體"/>
        </w:rPr>
      </w:pPr>
      <w:r w:rsidRPr="002E379D">
        <w:rPr>
          <w:rFonts w:ascii="標楷體" w:eastAsia="標楷體" w:hAnsi="標楷體"/>
          <w:noProof/>
        </w:rPr>
        <w:lastRenderedPageBreak/>
        <w:drawing>
          <wp:anchor distT="0" distB="0" distL="114300" distR="114300" simplePos="0" relativeHeight="251717632" behindDoc="0" locked="0" layoutInCell="1" allowOverlap="1" wp14:anchorId="44F827D8" wp14:editId="7F1D639B">
            <wp:simplePos x="0" y="0"/>
            <wp:positionH relativeFrom="column">
              <wp:posOffset>1198245</wp:posOffset>
            </wp:positionH>
            <wp:positionV relativeFrom="paragraph">
              <wp:posOffset>104775</wp:posOffset>
            </wp:positionV>
            <wp:extent cx="4849495" cy="1969135"/>
            <wp:effectExtent l="0" t="0" r="8255" b="0"/>
            <wp:wrapSquare wrapText="bothSides"/>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49495" cy="1969135"/>
                    </a:xfrm>
                    <a:prstGeom prst="rect">
                      <a:avLst/>
                    </a:prstGeom>
                    <a:noFill/>
                  </pic:spPr>
                </pic:pic>
              </a:graphicData>
            </a:graphic>
            <wp14:sizeRelH relativeFrom="margin">
              <wp14:pctWidth>0</wp14:pctWidth>
            </wp14:sizeRelH>
            <wp14:sizeRelV relativeFrom="margin">
              <wp14:pctHeight>0</wp14:pctHeight>
            </wp14:sizeRelV>
          </wp:anchor>
        </w:drawing>
      </w:r>
    </w:p>
    <w:p w14:paraId="6E667DA7" w14:textId="77777777" w:rsidR="009D64D0" w:rsidRPr="002E379D" w:rsidRDefault="009D64D0" w:rsidP="00F470A8">
      <w:pPr>
        <w:overflowPunct w:val="0"/>
        <w:ind w:leftChars="240" w:left="1068" w:hangingChars="205" w:hanging="492"/>
        <w:jc w:val="both"/>
        <w:rPr>
          <w:rFonts w:ascii="標楷體" w:eastAsia="標楷體" w:hAnsi="標楷體"/>
        </w:rPr>
      </w:pPr>
    </w:p>
    <w:p w14:paraId="6CEF73C4" w14:textId="77777777" w:rsidR="009D64D0" w:rsidRPr="002E379D" w:rsidRDefault="009D64D0" w:rsidP="00F470A8">
      <w:pPr>
        <w:overflowPunct w:val="0"/>
        <w:ind w:leftChars="240" w:left="1068" w:hangingChars="205" w:hanging="492"/>
        <w:jc w:val="both"/>
        <w:rPr>
          <w:rFonts w:ascii="標楷體" w:eastAsia="標楷體" w:hAnsi="標楷體"/>
        </w:rPr>
      </w:pPr>
    </w:p>
    <w:p w14:paraId="39391FF6" w14:textId="77777777" w:rsidR="009D64D0" w:rsidRPr="002E379D" w:rsidRDefault="009D64D0" w:rsidP="00F470A8">
      <w:pPr>
        <w:overflowPunct w:val="0"/>
        <w:ind w:leftChars="240" w:left="1068" w:hangingChars="205" w:hanging="492"/>
        <w:jc w:val="both"/>
        <w:rPr>
          <w:rFonts w:ascii="標楷體" w:eastAsia="標楷體" w:hAnsi="標楷體"/>
        </w:rPr>
      </w:pPr>
    </w:p>
    <w:p w14:paraId="5F8C00A6" w14:textId="77777777" w:rsidR="009D64D0" w:rsidRPr="002E379D" w:rsidRDefault="009D64D0" w:rsidP="00F470A8">
      <w:pPr>
        <w:overflowPunct w:val="0"/>
        <w:ind w:leftChars="240" w:left="1068" w:hangingChars="205" w:hanging="492"/>
        <w:jc w:val="both"/>
        <w:rPr>
          <w:rFonts w:ascii="標楷體" w:eastAsia="標楷體" w:hAnsi="標楷體"/>
        </w:rPr>
      </w:pPr>
    </w:p>
    <w:p w14:paraId="1901C9CE" w14:textId="77777777" w:rsidR="009D64D0" w:rsidRPr="002E379D" w:rsidRDefault="009D64D0" w:rsidP="00F470A8">
      <w:pPr>
        <w:overflowPunct w:val="0"/>
        <w:ind w:leftChars="240" w:left="1068" w:hangingChars="205" w:hanging="492"/>
        <w:jc w:val="both"/>
        <w:rPr>
          <w:rFonts w:ascii="標楷體" w:eastAsia="標楷體" w:hAnsi="標楷體"/>
        </w:rPr>
      </w:pPr>
    </w:p>
    <w:p w14:paraId="74A7B415" w14:textId="77777777" w:rsidR="009D64D0" w:rsidRPr="002E379D" w:rsidRDefault="009D64D0" w:rsidP="00F470A8">
      <w:pPr>
        <w:overflowPunct w:val="0"/>
        <w:ind w:leftChars="240" w:left="1068" w:hangingChars="205" w:hanging="492"/>
        <w:jc w:val="both"/>
        <w:rPr>
          <w:rFonts w:ascii="標楷體" w:eastAsia="標楷體" w:hAnsi="標楷體"/>
        </w:rPr>
      </w:pPr>
      <w:r w:rsidRPr="002E379D">
        <w:rPr>
          <w:rFonts w:ascii="標楷體" w:eastAsia="標楷體" w:hAnsi="標楷體" w:hint="eastAsia"/>
        </w:rPr>
        <w:t xml:space="preserve">      </w:t>
      </w:r>
    </w:p>
    <w:p w14:paraId="60B47812" w14:textId="093DD537"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提案人：羅明才　賴士葆　陳玉珍　王鴻薇</w:t>
      </w:r>
    </w:p>
    <w:p w14:paraId="066F40DB"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六)鑑於政府運用稅制應發揮所得重分配及平衡社會財富功能，惟據行政院主計總處公布，110年家庭財富分配統計，前、後20%的家庭，貧富差距達66.9倍，和80年統計的16.8倍相比，貧富差距明顯擴大；考量國內外經濟社會情勢及租稅公平等，財政部賦稅署宜適時檢討修正各項稅制，俾強化租稅改善所得分配效果。爰請財政部賦稅署以恢復107年刪除之所得稅法第5條第6款之最高45%課稅級距為題，於1個月內向立法院財政委員會提出書面報告。</w:t>
      </w:r>
    </w:p>
    <w:p w14:paraId="7517BDC3" w14:textId="61CF1BF8"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提案人：王世堅</w:t>
      </w:r>
    </w:p>
    <w:p w14:paraId="2AD7E87D" w14:textId="7C812B5C"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連署人：李坤城　郭國文</w:t>
      </w:r>
    </w:p>
    <w:p w14:paraId="37FEC69F"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七)114年度總預算案遺產及贈與稅，中央分配數編列153億4,900萬元較113年度預算數增加11億5,000萬元。然內政部統計月報，建物所有權移轉登記原因為繼承者，近10年統計數，逐年增加。又遺產及贈與稅中央政府實徵數，110年度182.6億元，111年度200.1億元，112年度212.9億元，114年度預算數僅估列153億元，明顯偏低。爰請財政部賦稅署就114年度有關遺產稅及贈與稅的編列原則為遺產稅及贈與稅具有機會稅性質，經參考近5年該二稅全國實徵數扣除大額案件繳納稅額後餘額之平均數提出檢討，並於3個月內向立法院財政委員會提出書面報告。</w:t>
      </w:r>
    </w:p>
    <w:p w14:paraId="441698FA" w14:textId="302A7834"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lastRenderedPageBreak/>
        <w:t xml:space="preserve">　　</w:t>
      </w:r>
      <w:r w:rsidR="009D64D0" w:rsidRPr="00F1440A">
        <w:rPr>
          <w:rFonts w:ascii="標楷體" w:eastAsia="標楷體" w:hAnsi="標楷體" w:hint="eastAsia"/>
          <w:kern w:val="0"/>
          <w:sz w:val="32"/>
          <w:szCs w:val="32"/>
        </w:rPr>
        <w:t>提案人：李坤城　王世堅　郭國文</w:t>
      </w:r>
    </w:p>
    <w:p w14:paraId="31F79925"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(三十八)依據加值型及非加值型營業稅法第26條及小規模營業人營業稅起徵點規定，我國買賣業、水產業、礦冶業、包作業、印刷業、公用事業、娛樂業、 運輸業、照相業及一般飲食業等業別之起徵點為每月銷售額8萬元。銷售裝潢業、廣告業、修理業、加工業、旅宿業、理髮業、沐浴業、勞務承攬業、倉庫業、租賃業、代辦業、行紀業、技術及設計業及公證業等業別之起徵點為每月銷售額4萬元。查財政部已於113年10月23日預告修正小規模營業人營業稅起徵點草案，將一般餐飲業等業別之起徵點每月銷售額調升至10萬元，將勞務承攬業等銷售額調升至5萬元。有鑑於小規模營業人營業稅起徵點上一次最後的法規調整距今已有17年未因應社會經濟環境變化調整，允宜隨同經濟成長與消費者物價指數成長建立檢討機制。又為鼓勵小規模營業人於實體商店銷售貨物或勞務接受消費者使用行動支付，財政部108年8月16日台財稅字第10804615550號令修正發布小規模營業人導入行動支付適用租稅優惠作業規範，規定適用租稅優惠期間至114年12月31日，享有每月銷售額達20萬元時，仍按1%稅率查定課徵營業稅，並免使用統一發票。請財政部賦稅署於1個月內，就建立小規模營業人營業稅起徵點檢討機制及是否延長小規模營業人導入行動支付適用租稅優惠，向立法院財政委員會提出書面報告。</w:t>
      </w:r>
    </w:p>
    <w:p w14:paraId="02BAF09E" w14:textId="0E160226"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提案人：黃珊珊　陳玉珍　王鴻薇</w:t>
      </w:r>
    </w:p>
    <w:p w14:paraId="58AD9E83" w14:textId="77777777" w:rsidR="009D64D0" w:rsidRPr="00187EFD" w:rsidRDefault="009D64D0" w:rsidP="00F470A8">
      <w:pPr>
        <w:widowControl w:val="0"/>
        <w:kinsoku w:val="0"/>
        <w:overflowPunct w:val="0"/>
        <w:autoSpaceDE w:val="0"/>
        <w:adjustRightInd w:val="0"/>
        <w:snapToGrid w:val="0"/>
        <w:spacing w:line="480" w:lineRule="exact"/>
        <w:ind w:leftChars="-8" w:left="1901" w:hangingChars="600" w:hanging="1920"/>
        <w:jc w:val="both"/>
        <w:textAlignment w:val="auto"/>
        <w:rPr>
          <w:rFonts w:ascii="標楷體" w:eastAsia="標楷體" w:hAnsi="標楷體"/>
          <w:kern w:val="2"/>
          <w:sz w:val="32"/>
          <w:szCs w:val="32"/>
        </w:rPr>
      </w:pPr>
      <w:r w:rsidRPr="00187EFD">
        <w:rPr>
          <w:rFonts w:ascii="標楷體" w:eastAsia="標楷體" w:hAnsi="標楷體" w:hint="eastAsia"/>
          <w:kern w:val="2"/>
          <w:sz w:val="32"/>
          <w:szCs w:val="32"/>
        </w:rPr>
        <w:t xml:space="preserve">　　(三十九)有鑑於財政部臺北國稅局於113年度舉辦雲端種樹趣 e 起集點樹網路雲端發票抽獎活動，有4人重複中大獎引發爭議，為避免抽獎程式設計邏輯可能逾越活動目的，爰要求財政部賦稅署未來規劃多元租稅宣導，如有辦理抽獎活動的必要，應比照公益彩券與統一發票使用開獎機、號碼球開獎模式，並現場直播，以期公平合理及具</w:t>
      </w:r>
      <w:r w:rsidRPr="00187EFD">
        <w:rPr>
          <w:rFonts w:ascii="標楷體" w:eastAsia="標楷體" w:hAnsi="標楷體" w:hint="eastAsia"/>
          <w:kern w:val="2"/>
          <w:sz w:val="32"/>
          <w:szCs w:val="32"/>
        </w:rPr>
        <w:lastRenderedPageBreak/>
        <w:t>公信力，於3個月內向立法院財政委員會提出具體作法之書面報告。</w:t>
      </w:r>
    </w:p>
    <w:p w14:paraId="17A6DB84" w14:textId="2F176719" w:rsidR="009D64D0" w:rsidRPr="00F1440A"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F1440A">
        <w:rPr>
          <w:rFonts w:ascii="標楷體" w:eastAsia="標楷體" w:hAnsi="標楷體" w:hint="eastAsia"/>
          <w:kern w:val="0"/>
          <w:sz w:val="32"/>
          <w:szCs w:val="32"/>
        </w:rPr>
        <w:t>提案人：賴士葆　陳玉珍　王鴻薇</w:t>
      </w:r>
    </w:p>
    <w:p w14:paraId="77400BD9" w14:textId="77777777" w:rsidR="009D64D0" w:rsidRPr="00874175" w:rsidRDefault="009D64D0" w:rsidP="00F470A8">
      <w:pPr>
        <w:widowControl w:val="0"/>
        <w:kinsoku w:val="0"/>
        <w:overflowPunct w:val="0"/>
        <w:autoSpaceDE w:val="0"/>
        <w:adjustRightInd w:val="0"/>
        <w:snapToGrid w:val="0"/>
        <w:spacing w:line="480" w:lineRule="exact"/>
        <w:ind w:leftChars="-8" w:left="1783" w:hangingChars="563" w:hanging="1802"/>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w:t>
      </w:r>
      <w:r w:rsidRPr="00874175">
        <w:rPr>
          <w:rFonts w:ascii="標楷體" w:eastAsia="標楷體" w:hAnsi="標楷體" w:hint="eastAsia"/>
          <w:b/>
          <w:kern w:val="2"/>
          <w:sz w:val="32"/>
          <w:szCs w:val="32"/>
        </w:rPr>
        <w:t>第4項　臺北國稅局</w:t>
      </w:r>
      <w:r w:rsidRPr="00874175">
        <w:rPr>
          <w:rFonts w:ascii="標楷體" w:eastAsia="標楷體" w:hAnsi="標楷體" w:hint="eastAsia"/>
          <w:kern w:val="2"/>
          <w:sz w:val="32"/>
          <w:szCs w:val="32"/>
        </w:rPr>
        <w:t>原列27億7,662萬8千元，減列第2目「國稅稽徵業務」項下「稅款徵收及處理」之「業務費」30萬元(科目自行調整），其餘均照列，改列為27億7,632萬8千元。</w:t>
      </w:r>
    </w:p>
    <w:p w14:paraId="6F138D2C" w14:textId="77777777" w:rsidR="009D64D0" w:rsidRPr="00874175" w:rsidRDefault="009D64D0" w:rsidP="00F470A8">
      <w:pPr>
        <w:widowControl w:val="0"/>
        <w:kinsoku w:val="0"/>
        <w:overflowPunct w:val="0"/>
        <w:autoSpaceDE w:val="0"/>
        <w:adjustRightInd w:val="0"/>
        <w:snapToGrid w:val="0"/>
        <w:spacing w:line="480" w:lineRule="exact"/>
        <w:ind w:leftChars="-8" w:left="1783" w:hangingChars="563" w:hanging="1802"/>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本項通過決議3項：</w:t>
      </w:r>
    </w:p>
    <w:p w14:paraId="5C1BCF3D" w14:textId="77777777" w:rsidR="009D64D0" w:rsidRPr="00874175"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(一)財政部臺北國稅局所辦理之雲端種樹趣 e起集點樹活動，發生數人於不同期數重複中大獎之情形，根據檢討報告之記載，廠商逕行調整抽獎人之權重，讓符合條件之人可提高中獎率及優先中獎機會。然檢討報告中未載明財政部臺北國稅局有無授權廠商調整抽獎人的權重？若未授權則廠商私自調整權重這件事是否違反相關契約？另檢討報告中未提到被廠商私自調整的權重，於中獎後是會歸零還是持續加權，如果持續加權，即與財政部臺北國稅局訂定之中獎後次數歸零目的相違背。檢討報告中提及廠商調整權重的行為跟活動目的有無關聯要等待司法調查，然該活動是財政部臺北國稅局舉辦，活動目的亦係財政部臺北國稅局制定，財政部臺北國稅局自行認定廠商之行為是否符合活動目的，卻稱需待法務部調查局之調查結果。財政部臺北國稅局應檢討相關之行政作為及廠商行為是否有疏失，並於2個月內向立法院財政委員會提出書面報告。</w:t>
      </w:r>
    </w:p>
    <w:p w14:paraId="31EA338C" w14:textId="3BCDAD1D" w:rsidR="009D64D0" w:rsidRPr="000F41ED"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0F41ED">
        <w:rPr>
          <w:rFonts w:ascii="標楷體" w:eastAsia="標楷體" w:hAnsi="標楷體" w:hint="eastAsia"/>
          <w:kern w:val="0"/>
          <w:sz w:val="32"/>
          <w:szCs w:val="32"/>
        </w:rPr>
        <w:t>提案人：李彥秀</w:t>
      </w:r>
    </w:p>
    <w:p w14:paraId="00C85A47" w14:textId="064EFA38" w:rsidR="009D64D0" w:rsidRPr="000F41ED"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0F41ED">
        <w:rPr>
          <w:rFonts w:ascii="標楷體" w:eastAsia="標楷體" w:hAnsi="標楷體" w:hint="eastAsia"/>
          <w:kern w:val="0"/>
          <w:sz w:val="32"/>
          <w:szCs w:val="32"/>
        </w:rPr>
        <w:t>連署人：羅明才　顏寬恒</w:t>
      </w:r>
    </w:p>
    <w:p w14:paraId="213C1629" w14:textId="77777777" w:rsidR="009D64D0" w:rsidRPr="00874175"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二)我國現行規範各項稅目之法律與法規命令甚繁，相關函釋令更是繁雜，納稅義務人與稅捐機關間對相關法令規定見解不同或對事實認定有歧異，而對稅捐機關作成稅捐或罰鍰之處分有不服時，可循復查、訴願、行政訴訟等程序救濟，近3年財政部臺北國稅局每年新增民眾申請稅務案件復查之件數</w:t>
      </w:r>
      <w:r w:rsidRPr="00874175">
        <w:rPr>
          <w:rFonts w:ascii="標楷體" w:eastAsia="標楷體" w:hAnsi="標楷體" w:hint="eastAsia"/>
          <w:kern w:val="2"/>
          <w:sz w:val="32"/>
          <w:szCs w:val="32"/>
        </w:rPr>
        <w:lastRenderedPageBreak/>
        <w:t>約500件，究其原因為民眾常因未能明瞭相關法規而漏報或短報，當其了解相關法規後多數均願繳納相關稅款，惟對於裁罰數額認定負擔過重，查稅務違章案件裁罰金額或倍數參考表第4點雖可因違章情節較輕而減低裁罰金額，但各國稅局仍多僅依漏報金額為裁罰依據，未能實質考量納稅義務人之違章情節輕重，致使相關規定形同具文，財政部臺北國稅局應思考如何落實相關規定，並於3個月內向立法院財政委員會提出書面報告。</w:t>
      </w:r>
    </w:p>
    <w:p w14:paraId="192AD780" w14:textId="1F73DF99" w:rsidR="009D64D0" w:rsidRPr="000F41ED"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0F41ED">
        <w:rPr>
          <w:rFonts w:ascii="標楷體" w:eastAsia="標楷體" w:hAnsi="標楷體" w:hint="eastAsia"/>
          <w:kern w:val="0"/>
          <w:sz w:val="32"/>
          <w:szCs w:val="32"/>
        </w:rPr>
        <w:t>提案人：李彥秀</w:t>
      </w:r>
    </w:p>
    <w:p w14:paraId="1B99F5BF" w14:textId="4CCE0880" w:rsidR="009D64D0" w:rsidRPr="000F41ED"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0F41ED">
        <w:rPr>
          <w:rFonts w:ascii="標楷體" w:eastAsia="標楷體" w:hAnsi="標楷體" w:hint="eastAsia"/>
          <w:kern w:val="0"/>
          <w:sz w:val="32"/>
          <w:szCs w:val="32"/>
        </w:rPr>
        <w:t>連署人：羅明才　顏寬恒</w:t>
      </w:r>
    </w:p>
    <w:p w14:paraId="7C7570F8" w14:textId="77777777" w:rsidR="009D64D0" w:rsidRPr="00874175"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三)114年度財政部臺北國稅局預算案於第2目「國稅稽徵業務」項下「法務案件處理」編列1,664萬7千元。近年各國稅局每年新增民眾申請稅務案件復查之件數仍多，且未結案件審理進度緩慢，經查，平均審理天數多近一年，又復查結果為撤銷原處分者高達四成，顯見稅務案件仍有進步之空間，單位應加強教育訓練，並強化稅務人員專業知能，避免造成民眾之不便。爰要求財政部臺北國稅局於3個月內向立法院財政委員會提出書面報告。</w:t>
      </w:r>
    </w:p>
    <w:p w14:paraId="407BD4B7" w14:textId="3D3F0CFB"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提案人：顏寬恒</w:t>
      </w:r>
    </w:p>
    <w:p w14:paraId="699C4107" w14:textId="32AE0026"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連署人：王鴻薇　賴士葆</w:t>
      </w:r>
    </w:p>
    <w:p w14:paraId="2A778D80" w14:textId="77777777" w:rsidR="009D64D0" w:rsidRPr="00874175" w:rsidRDefault="009D64D0" w:rsidP="00F470A8">
      <w:pPr>
        <w:widowControl w:val="0"/>
        <w:kinsoku w:val="0"/>
        <w:overflowPunct w:val="0"/>
        <w:autoSpaceDE w:val="0"/>
        <w:adjustRightInd w:val="0"/>
        <w:snapToGrid w:val="0"/>
        <w:spacing w:line="480" w:lineRule="exact"/>
        <w:ind w:leftChars="-8" w:left="1783" w:hangingChars="563" w:hanging="1802"/>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w:t>
      </w:r>
      <w:r w:rsidRPr="00874175">
        <w:rPr>
          <w:rFonts w:ascii="標楷體" w:eastAsia="標楷體" w:hAnsi="標楷體" w:hint="eastAsia"/>
          <w:b/>
          <w:kern w:val="2"/>
          <w:sz w:val="32"/>
          <w:szCs w:val="32"/>
        </w:rPr>
        <w:t>第5項　高雄國稅局</w:t>
      </w:r>
      <w:r w:rsidRPr="00874175">
        <w:rPr>
          <w:rFonts w:ascii="標楷體" w:eastAsia="標楷體" w:hAnsi="標楷體" w:hint="eastAsia"/>
          <w:kern w:val="2"/>
          <w:sz w:val="32"/>
          <w:szCs w:val="32"/>
        </w:rPr>
        <w:t>原列18億3,644萬2千元，減列第1目「一般行政」項下「基本行政工作維持」之「業務費」20萬元（科目自行調整），其餘均照列，改列為18億3,624萬2千元。</w:t>
      </w:r>
    </w:p>
    <w:p w14:paraId="477C26D0" w14:textId="77777777" w:rsidR="009D64D0" w:rsidRPr="00874175" w:rsidRDefault="009D64D0" w:rsidP="00F470A8">
      <w:pPr>
        <w:widowControl w:val="0"/>
        <w:kinsoku w:val="0"/>
        <w:overflowPunct w:val="0"/>
        <w:autoSpaceDE w:val="0"/>
        <w:adjustRightInd w:val="0"/>
        <w:snapToGrid w:val="0"/>
        <w:spacing w:line="480" w:lineRule="exact"/>
        <w:ind w:leftChars="-8" w:left="1783" w:hangingChars="563" w:hanging="1802"/>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本項通過決議</w:t>
      </w:r>
      <w:r w:rsidRPr="00874175">
        <w:rPr>
          <w:rFonts w:ascii="標楷體" w:eastAsia="標楷體" w:hAnsi="標楷體"/>
          <w:kern w:val="2"/>
          <w:sz w:val="32"/>
          <w:szCs w:val="32"/>
        </w:rPr>
        <w:t>2</w:t>
      </w:r>
      <w:r w:rsidRPr="00874175">
        <w:rPr>
          <w:rFonts w:ascii="標楷體" w:eastAsia="標楷體" w:hAnsi="標楷體" w:hint="eastAsia"/>
          <w:kern w:val="2"/>
          <w:sz w:val="32"/>
          <w:szCs w:val="32"/>
        </w:rPr>
        <w:t>項：</w:t>
      </w:r>
    </w:p>
    <w:p w14:paraId="00E9E610" w14:textId="77777777" w:rsidR="009D64D0" w:rsidRPr="00874175"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(一)114年度財政部高雄國稅局預算案於第2目「國稅稽徵業務」項下「電子處理及運用」中「業務費」之「資訊服務費」編列1,</w:t>
      </w:r>
      <w:r w:rsidRPr="00874175">
        <w:rPr>
          <w:rFonts w:ascii="標楷體" w:eastAsia="標楷體" w:hAnsi="標楷體"/>
          <w:kern w:val="2"/>
          <w:sz w:val="32"/>
          <w:szCs w:val="32"/>
        </w:rPr>
        <w:t>253</w:t>
      </w:r>
      <w:r w:rsidRPr="00874175">
        <w:rPr>
          <w:rFonts w:ascii="標楷體" w:eastAsia="標楷體" w:hAnsi="標楷體" w:hint="eastAsia"/>
          <w:kern w:val="2"/>
          <w:sz w:val="32"/>
          <w:szCs w:val="32"/>
        </w:rPr>
        <w:t>萬</w:t>
      </w:r>
      <w:r w:rsidRPr="00874175">
        <w:rPr>
          <w:rFonts w:ascii="標楷體" w:eastAsia="標楷體" w:hAnsi="標楷體"/>
          <w:kern w:val="2"/>
          <w:sz w:val="32"/>
          <w:szCs w:val="32"/>
        </w:rPr>
        <w:t>8</w:t>
      </w:r>
      <w:r w:rsidRPr="00874175">
        <w:rPr>
          <w:rFonts w:ascii="標楷體" w:eastAsia="標楷體" w:hAnsi="標楷體" w:hint="eastAsia"/>
          <w:kern w:val="2"/>
          <w:sz w:val="32"/>
          <w:szCs w:val="32"/>
        </w:rPr>
        <w:t>千元，列有電腦資訊設備系統維護、資料登打及設備租用等費用，較1</w:t>
      </w:r>
      <w:r w:rsidRPr="00874175">
        <w:rPr>
          <w:rFonts w:ascii="標楷體" w:eastAsia="標楷體" w:hAnsi="標楷體"/>
          <w:kern w:val="2"/>
          <w:sz w:val="32"/>
          <w:szCs w:val="32"/>
        </w:rPr>
        <w:t>13</w:t>
      </w:r>
      <w:r w:rsidRPr="00874175">
        <w:rPr>
          <w:rFonts w:ascii="標楷體" w:eastAsia="標楷體" w:hAnsi="標楷體" w:hint="eastAsia"/>
          <w:kern w:val="2"/>
          <w:sz w:val="32"/>
          <w:szCs w:val="32"/>
        </w:rPr>
        <w:t>年度預算增加；考量政府債務未償還餘額逐年增加，是項經費可予精簡，以減少公帑支出。爰</w:t>
      </w:r>
      <w:r w:rsidRPr="00874175">
        <w:rPr>
          <w:rFonts w:ascii="標楷體" w:eastAsia="標楷體" w:hAnsi="標楷體" w:hint="eastAsia"/>
          <w:kern w:val="2"/>
          <w:sz w:val="32"/>
          <w:szCs w:val="32"/>
        </w:rPr>
        <w:lastRenderedPageBreak/>
        <w:t>凍結該項預算十分之一，俟財政部高雄國稅局向立法院財政委員會提出書面報告後，始得動支。</w:t>
      </w:r>
    </w:p>
    <w:p w14:paraId="282BA7E4" w14:textId="5C996677"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提案人：賴士葆　林德福　顏寬恒</w:t>
      </w:r>
    </w:p>
    <w:p w14:paraId="2DD49286" w14:textId="77777777" w:rsidR="009D64D0" w:rsidRPr="00874175" w:rsidRDefault="009D64D0" w:rsidP="00F470A8">
      <w:pPr>
        <w:widowControl w:val="0"/>
        <w:kinsoku w:val="0"/>
        <w:overflowPunct w:val="0"/>
        <w:autoSpaceDE w:val="0"/>
        <w:adjustRightInd w:val="0"/>
        <w:snapToGrid w:val="0"/>
        <w:spacing w:line="480" w:lineRule="exact"/>
        <w:ind w:leftChars="-8" w:left="1261" w:hangingChars="400" w:hanging="1280"/>
        <w:jc w:val="both"/>
        <w:textAlignment w:val="auto"/>
        <w:rPr>
          <w:rFonts w:ascii="標楷體" w:eastAsia="標楷體" w:hAnsi="標楷體"/>
          <w:kern w:val="2"/>
          <w:sz w:val="32"/>
          <w:szCs w:val="32"/>
        </w:rPr>
      </w:pPr>
      <w:r w:rsidRPr="00874175">
        <w:rPr>
          <w:rFonts w:ascii="標楷體" w:eastAsia="標楷體" w:hAnsi="標楷體" w:hint="eastAsia"/>
          <w:kern w:val="2"/>
          <w:sz w:val="32"/>
          <w:szCs w:val="32"/>
        </w:rPr>
        <w:t xml:space="preserve">　　(二)114年度財政部高雄國稅局預算案於第2目「國稅稽徵業務」項下「法務案件處理」編列546萬5千元。近年各國稅局每年新增民眾申請稅務案件復查之件數仍多，且未結案件審理進度緩慢，經查，平均審理天數多近一年，又復查結果為撤銷原處分者高達四成，顯見稅務案件仍有進步之空間，單位應加強教育訓練，並強化稅務人員專業知能，避免造成民眾之不便。爰要求財政部高雄國稅局於3個月內向立法院財政委員會提出書面報告。</w:t>
      </w:r>
    </w:p>
    <w:p w14:paraId="4F05E29A" w14:textId="1365C9AF"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 xml:space="preserve">提案人：顏寬恒　</w:t>
      </w:r>
    </w:p>
    <w:p w14:paraId="2FD30DD1" w14:textId="45752763"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連署人：王鴻薇　賴士葆</w:t>
      </w:r>
    </w:p>
    <w:p w14:paraId="4EC5E13E" w14:textId="77777777" w:rsidR="009D64D0" w:rsidRPr="00874175" w:rsidRDefault="009D64D0" w:rsidP="00F470A8">
      <w:pPr>
        <w:widowControl w:val="0"/>
        <w:kinsoku w:val="0"/>
        <w:overflowPunct w:val="0"/>
        <w:autoSpaceDE w:val="0"/>
        <w:spacing w:line="480" w:lineRule="exact"/>
        <w:ind w:left="1760" w:hangingChars="550" w:hanging="1760"/>
        <w:jc w:val="both"/>
        <w:textAlignment w:val="auto"/>
        <w:rPr>
          <w:rFonts w:ascii="標楷體" w:eastAsia="標楷體" w:hAnsi="標楷體"/>
          <w:bCs/>
          <w:kern w:val="2"/>
          <w:sz w:val="32"/>
          <w:szCs w:val="32"/>
        </w:rPr>
      </w:pPr>
      <w:r w:rsidRPr="00874175">
        <w:rPr>
          <w:rFonts w:ascii="標楷體" w:eastAsia="標楷體" w:hAnsi="標楷體" w:hint="eastAsia"/>
          <w:bCs/>
          <w:kern w:val="2"/>
          <w:sz w:val="32"/>
          <w:szCs w:val="32"/>
        </w:rPr>
        <w:t xml:space="preserve">　　</w:t>
      </w:r>
      <w:r w:rsidRPr="00874175">
        <w:rPr>
          <w:rFonts w:ascii="標楷體" w:eastAsia="標楷體" w:hAnsi="標楷體" w:hint="eastAsia"/>
          <w:b/>
          <w:bCs/>
          <w:kern w:val="2"/>
          <w:sz w:val="32"/>
          <w:szCs w:val="32"/>
        </w:rPr>
        <w:t>第6項　北區國稅局及所屬</w:t>
      </w:r>
      <w:r w:rsidRPr="00874175">
        <w:rPr>
          <w:rFonts w:ascii="標楷體" w:eastAsia="標楷體" w:hAnsi="標楷體" w:hint="eastAsia"/>
          <w:bCs/>
          <w:kern w:val="2"/>
          <w:sz w:val="32"/>
          <w:szCs w:val="32"/>
        </w:rPr>
        <w:t>原列30億2,760萬8千元，減列第1目「一般行政」項下「基本行政工作維持」之「業務費」20萬元、第2目「國稅稽徵業務」項下「稅款徵收及處理」之「業務費」20萬元，共計減列40萬元（科目均自行調整），其餘均照列，改列為30億2,720萬8千元。</w:t>
      </w:r>
    </w:p>
    <w:p w14:paraId="185EEAF5" w14:textId="77777777" w:rsidR="009D64D0" w:rsidRPr="000C6F72" w:rsidRDefault="009D64D0" w:rsidP="00F470A8">
      <w:pPr>
        <w:widowControl w:val="0"/>
        <w:kinsoku w:val="0"/>
        <w:overflowPunct w:val="0"/>
        <w:autoSpaceDE w:val="0"/>
        <w:spacing w:line="480" w:lineRule="exact"/>
        <w:ind w:left="1760" w:hangingChars="550" w:hanging="1760"/>
        <w:jc w:val="both"/>
        <w:textAlignment w:val="auto"/>
        <w:rPr>
          <w:rFonts w:ascii="標楷體" w:eastAsia="標楷體" w:hAnsi="標楷體"/>
          <w:bCs/>
          <w:kern w:val="2"/>
          <w:sz w:val="32"/>
          <w:szCs w:val="32"/>
        </w:rPr>
      </w:pPr>
      <w:r w:rsidRPr="000C6F72">
        <w:rPr>
          <w:rFonts w:ascii="標楷體" w:eastAsia="標楷體" w:hAnsi="標楷體" w:hint="eastAsia"/>
          <w:bCs/>
          <w:kern w:val="2"/>
          <w:sz w:val="32"/>
          <w:szCs w:val="32"/>
        </w:rPr>
        <w:t xml:space="preserve">　　本項通過決議3項：</w:t>
      </w:r>
    </w:p>
    <w:p w14:paraId="0C686DE8" w14:textId="77777777" w:rsidR="009D64D0" w:rsidRPr="000C6F72" w:rsidRDefault="009D64D0" w:rsidP="00F470A8">
      <w:pPr>
        <w:widowControl w:val="0"/>
        <w:kinsoku w:val="0"/>
        <w:overflowPunct w:val="0"/>
        <w:autoSpaceDE w:val="0"/>
        <w:spacing w:line="480" w:lineRule="exact"/>
        <w:ind w:left="1280" w:hangingChars="400" w:hanging="1280"/>
        <w:jc w:val="both"/>
        <w:textAlignment w:val="auto"/>
        <w:rPr>
          <w:rFonts w:ascii="標楷體" w:eastAsia="標楷體" w:hAnsi="標楷體"/>
          <w:bCs/>
          <w:kern w:val="2"/>
          <w:sz w:val="32"/>
          <w:szCs w:val="32"/>
        </w:rPr>
      </w:pPr>
      <w:r w:rsidRPr="000C6F72">
        <w:rPr>
          <w:rFonts w:ascii="標楷體" w:eastAsia="標楷體" w:hAnsi="標楷體" w:hint="eastAsia"/>
          <w:bCs/>
          <w:kern w:val="2"/>
          <w:sz w:val="32"/>
          <w:szCs w:val="32"/>
        </w:rPr>
        <w:t xml:space="preserve">　　(一)114年度財政部北區國稅局及所屬預算案於第3目「一般建築及設備」第1節「營建工程」項下「購建辦公大樓」中「設備及投資」之「房屋建築及設備費」編列8,785萬5千元。114年度預算案於一般建築及設備編列營建工程經費，經查，執行中之部分計畫存有執行落後情事，為撙節國家預算，期建設能如期完工。爰凍結該項預算二十分之一，俟財政部北區國稅局於3個月內向立法院財政委員會提出書面報告後，始得動支。</w:t>
      </w:r>
    </w:p>
    <w:p w14:paraId="1D4D19E7" w14:textId="3AB323D6"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 xml:space="preserve">提案人：顏寬恒　</w:t>
      </w:r>
    </w:p>
    <w:p w14:paraId="31E7645F" w14:textId="7FDEBD9D"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連署人：王鴻薇　賴士葆</w:t>
      </w:r>
    </w:p>
    <w:p w14:paraId="150265DC" w14:textId="77777777" w:rsidR="009D64D0" w:rsidRPr="000C6F72" w:rsidRDefault="009D64D0" w:rsidP="00F470A8">
      <w:pPr>
        <w:widowControl w:val="0"/>
        <w:kinsoku w:val="0"/>
        <w:overflowPunct w:val="0"/>
        <w:autoSpaceDE w:val="0"/>
        <w:spacing w:line="480" w:lineRule="exact"/>
        <w:ind w:left="1280" w:hangingChars="400" w:hanging="1280"/>
        <w:jc w:val="both"/>
        <w:textAlignment w:val="auto"/>
        <w:rPr>
          <w:rFonts w:ascii="標楷體" w:eastAsia="標楷體" w:hAnsi="標楷體"/>
          <w:bCs/>
          <w:kern w:val="2"/>
          <w:sz w:val="32"/>
          <w:szCs w:val="32"/>
        </w:rPr>
      </w:pPr>
      <w:r w:rsidRPr="000C6F72">
        <w:rPr>
          <w:rFonts w:ascii="標楷體" w:eastAsia="標楷體" w:hAnsi="標楷體" w:hint="eastAsia"/>
          <w:bCs/>
          <w:kern w:val="2"/>
          <w:sz w:val="32"/>
          <w:szCs w:val="32"/>
        </w:rPr>
        <w:t xml:space="preserve">　　(二)114年度財政部北區國稅局及所屬預算案於第1目「一般行政</w:t>
      </w:r>
      <w:r w:rsidRPr="000C6F72">
        <w:rPr>
          <w:rFonts w:ascii="標楷體" w:eastAsia="標楷體" w:hAnsi="標楷體" w:hint="eastAsia"/>
          <w:bCs/>
          <w:kern w:val="2"/>
          <w:sz w:val="32"/>
          <w:szCs w:val="32"/>
        </w:rPr>
        <w:lastRenderedPageBreak/>
        <w:t>」編列25億5,501萬8千元。財政部北區國稅局106年曾表示，因違法行為所賺取的所得，例如從事地下期貨、賭博、走私、販賣毒品等，若是未經沒收或負擔賠償義務，基於量能課稅、實質課稅原則，應納入納稅人的所得課稅。依所得稅法第2條規定，凡有中華民國來源所得的個人，應就其來源所得課徵綜合所得稅。財政部北區國稅局指出，基於營利目的從事一般經濟交易活動而獲利時，即使該交易活動違反法律上的規定，甚至屬於犯罪可罰的行為，仍屬於課稅對象的營業收益範圍。財政部北區國稅局進一步指出，依財政部81年2月20日台財稅字第810759763號令規定，經營六合彩賭博的收入，沒有沒入的部分，屬所得稅法第14條所規定的其他所得，應以其收入額減除成本，及必要費用後的餘額為所得額，合併課徵綜合所得稅。因此，一般違法行為的所得，或無犯罪被害人的所得，應納入所得課稅。請財政部北區國稅局於3個月內，就北區國稅局強化與檢調單位聯繫及即時掌握不法所得相關輿情之作為，向立法院財政委員會提出書面報告。</w:t>
      </w:r>
    </w:p>
    <w:p w14:paraId="180A5821" w14:textId="3030D8FD"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提案人：黃珊珊　陳玉珍　王鴻薇</w:t>
      </w:r>
    </w:p>
    <w:p w14:paraId="5FE3AE19" w14:textId="77777777" w:rsidR="009D64D0" w:rsidRPr="000C6F72" w:rsidRDefault="009D64D0" w:rsidP="00F470A8">
      <w:pPr>
        <w:widowControl w:val="0"/>
        <w:kinsoku w:val="0"/>
        <w:overflowPunct w:val="0"/>
        <w:autoSpaceDE w:val="0"/>
        <w:spacing w:line="480" w:lineRule="exact"/>
        <w:ind w:left="1280" w:hangingChars="400" w:hanging="1280"/>
        <w:jc w:val="both"/>
        <w:textAlignment w:val="auto"/>
        <w:rPr>
          <w:rFonts w:ascii="標楷體" w:eastAsia="標楷體" w:hAnsi="標楷體"/>
          <w:bCs/>
          <w:kern w:val="2"/>
          <w:sz w:val="32"/>
          <w:szCs w:val="32"/>
        </w:rPr>
      </w:pPr>
      <w:r w:rsidRPr="000C6F72">
        <w:rPr>
          <w:rFonts w:ascii="標楷體" w:eastAsia="標楷體" w:hAnsi="標楷體" w:hint="eastAsia"/>
          <w:bCs/>
          <w:kern w:val="2"/>
          <w:sz w:val="32"/>
          <w:szCs w:val="32"/>
        </w:rPr>
        <w:t xml:space="preserve">　　(三)114年度財政部北區國稅局及所屬預算案於第2目「國稅稽徵業務」項下「法務案件處理」編列1,083萬1千元。近年各國稅局每年新增民眾申請稅務案件復查之件數仍多，且未結案件審理進度緩慢，經查，平均審理天數多近一年，又復查結果為撤銷原處分者高達四成，顯見稅務案件仍有進步之空間，單位應加強教育訓練，並強化稅務人員專業知能，避免造成民眾之不便，爰要求財政部北區國稅局於3個月內向立法院財政委員會提出書面報告。</w:t>
      </w:r>
    </w:p>
    <w:p w14:paraId="3C9AD331" w14:textId="3C3CB0F3"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 xml:space="preserve">提案人：顏寬恒　</w:t>
      </w:r>
    </w:p>
    <w:p w14:paraId="1AA4DE0A" w14:textId="285DFA3F" w:rsidR="009D64D0" w:rsidRPr="0092210E"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2210E">
        <w:rPr>
          <w:rFonts w:ascii="標楷體" w:eastAsia="標楷體" w:hAnsi="標楷體" w:hint="eastAsia"/>
          <w:kern w:val="0"/>
          <w:sz w:val="32"/>
          <w:szCs w:val="32"/>
        </w:rPr>
        <w:t>連署人：王鴻薇　賴士葆</w:t>
      </w:r>
    </w:p>
    <w:p w14:paraId="41E6D3F0" w14:textId="77777777" w:rsidR="009D64D0" w:rsidRPr="000C6F72" w:rsidRDefault="009D64D0" w:rsidP="00F470A8">
      <w:pPr>
        <w:widowControl w:val="0"/>
        <w:kinsoku w:val="0"/>
        <w:overflowPunct w:val="0"/>
        <w:autoSpaceDE w:val="0"/>
        <w:spacing w:line="480" w:lineRule="exact"/>
        <w:ind w:left="1760" w:hangingChars="550" w:hanging="1760"/>
        <w:jc w:val="both"/>
        <w:textAlignment w:val="auto"/>
        <w:rPr>
          <w:rFonts w:ascii="標楷體" w:eastAsia="標楷體" w:hAnsi="標楷體"/>
          <w:bCs/>
          <w:kern w:val="2"/>
          <w:sz w:val="32"/>
          <w:szCs w:val="32"/>
        </w:rPr>
      </w:pPr>
      <w:r w:rsidRPr="000C6F72">
        <w:rPr>
          <w:rFonts w:ascii="標楷體" w:eastAsia="標楷體" w:hAnsi="標楷體" w:hint="eastAsia"/>
          <w:bCs/>
          <w:kern w:val="2"/>
          <w:sz w:val="32"/>
          <w:szCs w:val="32"/>
        </w:rPr>
        <w:t xml:space="preserve">　　</w:t>
      </w:r>
      <w:r w:rsidRPr="000C6F72">
        <w:rPr>
          <w:rFonts w:ascii="標楷體" w:eastAsia="標楷體" w:hAnsi="標楷體" w:hint="eastAsia"/>
          <w:b/>
          <w:bCs/>
          <w:kern w:val="2"/>
          <w:sz w:val="32"/>
          <w:szCs w:val="32"/>
        </w:rPr>
        <w:t>第7項　中區國稅局及所屬</w:t>
      </w:r>
      <w:r w:rsidRPr="000C6F72">
        <w:rPr>
          <w:rFonts w:ascii="標楷體" w:eastAsia="標楷體" w:hAnsi="標楷體" w:hint="eastAsia"/>
          <w:bCs/>
          <w:kern w:val="2"/>
          <w:sz w:val="32"/>
          <w:szCs w:val="32"/>
        </w:rPr>
        <w:t>原列25億5,652萬9千元，減列第2目「國稅稽徵業務」項下「稅款徵收及處理」之「業務費」</w:t>
      </w:r>
      <w:r w:rsidRPr="000C6F72">
        <w:rPr>
          <w:rFonts w:ascii="標楷體" w:eastAsia="標楷體" w:hAnsi="標楷體" w:hint="eastAsia"/>
          <w:bCs/>
          <w:kern w:val="2"/>
          <w:sz w:val="32"/>
          <w:szCs w:val="32"/>
        </w:rPr>
        <w:lastRenderedPageBreak/>
        <w:t>15萬元、「電子處理及運用」之「業務費」15萬元，共計減列30萬元（科目均自行調整），其餘均照列，改列為25億5,622萬9千元。</w:t>
      </w:r>
    </w:p>
    <w:p w14:paraId="4F5D81C4" w14:textId="77777777" w:rsidR="009D64D0" w:rsidRPr="000C6F72"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kern w:val="2"/>
          <w:sz w:val="32"/>
          <w:szCs w:val="32"/>
        </w:rPr>
      </w:pPr>
      <w:r w:rsidRPr="000C6F72">
        <w:rPr>
          <w:rFonts w:ascii="標楷體" w:eastAsia="標楷體" w:hAnsi="標楷體" w:hint="eastAsia"/>
          <w:kern w:val="2"/>
          <w:sz w:val="32"/>
          <w:szCs w:val="32"/>
        </w:rPr>
        <w:t xml:space="preserve">　　本項通過決議2項：</w:t>
      </w:r>
    </w:p>
    <w:p w14:paraId="51482567" w14:textId="77777777" w:rsidR="009D64D0" w:rsidRPr="000C6F72" w:rsidRDefault="009D64D0" w:rsidP="00F470A8">
      <w:pPr>
        <w:widowControl w:val="0"/>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 xml:space="preserve">　　(一)114年度財政部中區國稅局及所屬預算案於第1目「一般行政」項下「基本行政工作維持」中「設備及投資」之「雜項設備費」編列1</w:t>
      </w:r>
      <w:r w:rsidRPr="000C6F72">
        <w:rPr>
          <w:rFonts w:ascii="標楷體" w:eastAsia="標楷體" w:hAnsi="標楷體"/>
          <w:kern w:val="2"/>
          <w:sz w:val="32"/>
          <w:szCs w:val="32"/>
        </w:rPr>
        <w:t>,</w:t>
      </w:r>
      <w:r w:rsidRPr="000C6F72">
        <w:rPr>
          <w:rFonts w:ascii="標楷體" w:eastAsia="標楷體" w:hAnsi="標楷體" w:hint="eastAsia"/>
          <w:kern w:val="2"/>
          <w:sz w:val="32"/>
          <w:szCs w:val="32"/>
        </w:rPr>
        <w:t>113萬4千元，列有新增汰換空調設備等費用；考量政府債務未償還餘額逐年增加，是項經費可予精簡，以減少公帑支出。爰凍結該項預算十分之一，俟財政部中區國稅局向立法院財政委員會提出書面報告後，始得動支。</w:t>
      </w:r>
    </w:p>
    <w:p w14:paraId="57CFBB28" w14:textId="524F7786"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 xml:space="preserve">提案人：賴士葆　林德福　顏寬恒　</w:t>
      </w:r>
    </w:p>
    <w:p w14:paraId="574BC618" w14:textId="77777777" w:rsidR="009D64D0" w:rsidRPr="000C6F72" w:rsidRDefault="009D64D0" w:rsidP="00F470A8">
      <w:pPr>
        <w:widowControl w:val="0"/>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 xml:space="preserve">　　(二)114年度財政部中區國稅局及所屬預算案於第2目「國稅稽徵業務」項下「法務案件處理」編列961萬2千元。近年各國稅局每年新增民眾申請稅務案件復查之件數仍多，且未結案件審理進度緩慢，經查，平均審理天數多近一年，又復查結果為撤銷原處分者高達四成，顯見稅務案件仍有進步之空間，單位應加強教育訓練，並強化稅務人員專業知能，避免造成民眾之不便。爰要求財政部中區國稅局於3個月內向立法院財政委員會提出書面報告。</w:t>
      </w:r>
    </w:p>
    <w:p w14:paraId="10FB7B63" w14:textId="6B8A6D64"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 xml:space="preserve">提案人：顏寬恒　</w:t>
      </w:r>
    </w:p>
    <w:p w14:paraId="1AB93153" w14:textId="337423C9"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連署人：王鴻薇　賴士葆</w:t>
      </w:r>
    </w:p>
    <w:p w14:paraId="4DA60502" w14:textId="77777777" w:rsidR="009D64D0" w:rsidRPr="000C6F72" w:rsidRDefault="009D64D0" w:rsidP="00F470A8">
      <w:pPr>
        <w:widowControl w:val="0"/>
        <w:kinsoku w:val="0"/>
        <w:overflowPunct w:val="0"/>
        <w:autoSpaceDE w:val="0"/>
        <w:spacing w:line="480" w:lineRule="exact"/>
        <w:ind w:left="1760" w:hangingChars="550" w:hanging="1760"/>
        <w:jc w:val="both"/>
        <w:textAlignment w:val="auto"/>
        <w:rPr>
          <w:rFonts w:ascii="標楷體" w:eastAsia="標楷體" w:hAnsi="標楷體"/>
          <w:bCs/>
          <w:kern w:val="2"/>
          <w:sz w:val="32"/>
          <w:szCs w:val="32"/>
        </w:rPr>
      </w:pPr>
      <w:r w:rsidRPr="000C6F72">
        <w:rPr>
          <w:rFonts w:ascii="標楷體" w:eastAsia="標楷體" w:hAnsi="標楷體" w:hint="eastAsia"/>
          <w:bCs/>
          <w:kern w:val="2"/>
          <w:sz w:val="32"/>
          <w:szCs w:val="32"/>
        </w:rPr>
        <w:t xml:space="preserve">　　</w:t>
      </w:r>
      <w:r w:rsidRPr="000C6F72">
        <w:rPr>
          <w:rFonts w:ascii="標楷體" w:eastAsia="標楷體" w:hAnsi="標楷體" w:hint="eastAsia"/>
          <w:b/>
          <w:bCs/>
          <w:kern w:val="2"/>
          <w:sz w:val="32"/>
          <w:szCs w:val="32"/>
        </w:rPr>
        <w:t>第8項　南區國稅局及所屬</w:t>
      </w:r>
      <w:r w:rsidRPr="000C6F72">
        <w:rPr>
          <w:rFonts w:ascii="標楷體" w:eastAsia="標楷體" w:hAnsi="標楷體" w:hint="eastAsia"/>
          <w:bCs/>
          <w:kern w:val="2"/>
          <w:sz w:val="32"/>
          <w:szCs w:val="32"/>
        </w:rPr>
        <w:t>原列20億1,096萬1千元，減列第2目「國稅稽徵業務」項下「稅款徵收及處理」之「業務費」10萬元（科目自行調整），其餘均照列，改列為20億1,086萬1千元。</w:t>
      </w:r>
    </w:p>
    <w:p w14:paraId="751AFEFB" w14:textId="77777777" w:rsidR="009D64D0" w:rsidRPr="000C6F72" w:rsidRDefault="009D64D0" w:rsidP="00F470A8">
      <w:pPr>
        <w:widowControl w:val="0"/>
        <w:kinsoku w:val="0"/>
        <w:overflowPunct w:val="0"/>
        <w:autoSpaceDE w:val="0"/>
        <w:adjustRightInd w:val="0"/>
        <w:snapToGrid w:val="0"/>
        <w:spacing w:line="480" w:lineRule="exact"/>
        <w:textAlignment w:val="auto"/>
        <w:rPr>
          <w:rFonts w:ascii="標楷體" w:eastAsia="標楷體" w:hAnsi="標楷體"/>
          <w:kern w:val="2"/>
          <w:sz w:val="32"/>
          <w:szCs w:val="32"/>
        </w:rPr>
      </w:pPr>
      <w:r w:rsidRPr="000C6F72">
        <w:rPr>
          <w:rFonts w:ascii="標楷體" w:eastAsia="標楷體" w:hAnsi="標楷體" w:hint="eastAsia"/>
          <w:kern w:val="2"/>
          <w:sz w:val="32"/>
          <w:szCs w:val="32"/>
        </w:rPr>
        <w:t xml:space="preserve">　　本項通過決議1項：</w:t>
      </w:r>
    </w:p>
    <w:p w14:paraId="27B4DA8C" w14:textId="77777777" w:rsidR="009D64D0" w:rsidRPr="000C6F72" w:rsidRDefault="009D64D0" w:rsidP="00F470A8">
      <w:pPr>
        <w:widowControl w:val="0"/>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 xml:space="preserve">　　(一)114年度財政部南區國稅局及所屬預算案於第2目「國稅稽徵業務」項下「法務案件處理」編列493萬3千元。近年各國稅局每年新增民眾申請稅務案件復查之件數仍多，且未結案件審理進度緩慢，經查，平均審理天數多近一年，又復查結果</w:t>
      </w:r>
      <w:r w:rsidRPr="000C6F72">
        <w:rPr>
          <w:rFonts w:ascii="標楷體" w:eastAsia="標楷體" w:hAnsi="標楷體" w:hint="eastAsia"/>
          <w:kern w:val="2"/>
          <w:sz w:val="32"/>
          <w:szCs w:val="32"/>
        </w:rPr>
        <w:lastRenderedPageBreak/>
        <w:t>為撤銷原處分者高達四成，顯見稅務案件仍有進步之空間，單位應加強教育訓練，並強化稅務人員專業知能，避免造成民眾之不便。爰要求財政部南區國稅局於3個月內向立法院財政委員會提出書面報告。</w:t>
      </w:r>
    </w:p>
    <w:p w14:paraId="6030EDF8" w14:textId="6871FE30"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 xml:space="preserve">提案人：顏寬恒　</w:t>
      </w:r>
    </w:p>
    <w:p w14:paraId="50263D60" w14:textId="198EFA2D"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連署人：王鴻薇　賴士葆</w:t>
      </w:r>
    </w:p>
    <w:p w14:paraId="660D767F" w14:textId="77777777" w:rsidR="009D64D0" w:rsidRPr="000C6F72" w:rsidRDefault="009D64D0" w:rsidP="00F470A8">
      <w:pPr>
        <w:widowControl w:val="0"/>
        <w:kinsoku w:val="0"/>
        <w:overflowPunct w:val="0"/>
        <w:autoSpaceDE w:val="0"/>
        <w:adjustRightInd w:val="0"/>
        <w:snapToGrid w:val="0"/>
        <w:spacing w:line="480" w:lineRule="exact"/>
        <w:ind w:leftChars="200" w:left="1601" w:hangingChars="350" w:hanging="1121"/>
        <w:jc w:val="both"/>
        <w:textAlignment w:val="auto"/>
        <w:rPr>
          <w:rFonts w:ascii="標楷體" w:eastAsia="標楷體" w:hAnsi="標楷體"/>
          <w:kern w:val="0"/>
          <w:sz w:val="32"/>
          <w:szCs w:val="32"/>
        </w:rPr>
      </w:pPr>
      <w:r w:rsidRPr="00724715">
        <w:rPr>
          <w:rFonts w:ascii="標楷體" w:eastAsia="標楷體" w:hAnsi="標楷體" w:hint="eastAsia"/>
          <w:b/>
          <w:kern w:val="0"/>
          <w:sz w:val="32"/>
          <w:szCs w:val="32"/>
        </w:rPr>
        <w:t>第9項</w:t>
      </w:r>
      <w:r w:rsidRPr="000C6F72">
        <w:rPr>
          <w:rFonts w:ascii="標楷體" w:eastAsia="標楷體" w:hAnsi="標楷體" w:hint="eastAsia"/>
          <w:kern w:val="0"/>
          <w:sz w:val="32"/>
          <w:szCs w:val="32"/>
        </w:rPr>
        <w:t xml:space="preserve">　</w:t>
      </w:r>
      <w:r w:rsidRPr="000C6F72">
        <w:rPr>
          <w:rFonts w:ascii="標楷體" w:eastAsia="標楷體" w:hAnsi="標楷體" w:hint="eastAsia"/>
          <w:b/>
          <w:kern w:val="0"/>
          <w:sz w:val="32"/>
          <w:szCs w:val="32"/>
        </w:rPr>
        <w:t>關務署及所屬</w:t>
      </w:r>
      <w:r w:rsidRPr="000C6F72">
        <w:rPr>
          <w:rFonts w:ascii="標楷體" w:eastAsia="標楷體" w:hAnsi="標楷體" w:hint="eastAsia"/>
          <w:kern w:val="0"/>
          <w:sz w:val="32"/>
          <w:szCs w:val="32"/>
        </w:rPr>
        <w:t>原列7</w:t>
      </w:r>
      <w:r w:rsidRPr="000C6F72">
        <w:rPr>
          <w:rFonts w:ascii="標楷體" w:eastAsia="標楷體" w:hAnsi="標楷體"/>
          <w:kern w:val="0"/>
          <w:sz w:val="32"/>
          <w:szCs w:val="32"/>
        </w:rPr>
        <w:t>5</w:t>
      </w:r>
      <w:r w:rsidRPr="000C6F72">
        <w:rPr>
          <w:rFonts w:ascii="標楷體" w:eastAsia="標楷體" w:hAnsi="標楷體" w:hint="eastAsia"/>
          <w:kern w:val="0"/>
          <w:sz w:val="32"/>
          <w:szCs w:val="32"/>
        </w:rPr>
        <w:t>億</w:t>
      </w:r>
      <w:r w:rsidRPr="000C6F72">
        <w:rPr>
          <w:rFonts w:ascii="標楷體" w:eastAsia="標楷體" w:hAnsi="標楷體"/>
          <w:kern w:val="0"/>
          <w:sz w:val="32"/>
          <w:szCs w:val="32"/>
        </w:rPr>
        <w:t>1,</w:t>
      </w:r>
      <w:r w:rsidRPr="000C6F72">
        <w:rPr>
          <w:rFonts w:ascii="標楷體" w:eastAsia="標楷體" w:hAnsi="標楷體" w:hint="eastAsia"/>
          <w:kern w:val="0"/>
          <w:sz w:val="32"/>
          <w:szCs w:val="32"/>
        </w:rPr>
        <w:t>9</w:t>
      </w:r>
      <w:r w:rsidRPr="000C6F72">
        <w:rPr>
          <w:rFonts w:ascii="標楷體" w:eastAsia="標楷體" w:hAnsi="標楷體"/>
          <w:kern w:val="0"/>
          <w:sz w:val="32"/>
          <w:szCs w:val="32"/>
        </w:rPr>
        <w:t>42</w:t>
      </w:r>
      <w:r w:rsidRPr="000C6F72">
        <w:rPr>
          <w:rFonts w:ascii="標楷體" w:eastAsia="標楷體" w:hAnsi="標楷體" w:hint="eastAsia"/>
          <w:kern w:val="0"/>
          <w:sz w:val="32"/>
          <w:szCs w:val="32"/>
        </w:rPr>
        <w:t>萬</w:t>
      </w:r>
      <w:r w:rsidRPr="000C6F72">
        <w:rPr>
          <w:rFonts w:ascii="標楷體" w:eastAsia="標楷體" w:hAnsi="標楷體"/>
          <w:kern w:val="0"/>
          <w:sz w:val="32"/>
          <w:szCs w:val="32"/>
        </w:rPr>
        <w:t>3</w:t>
      </w:r>
      <w:r w:rsidRPr="000C6F72">
        <w:rPr>
          <w:rFonts w:ascii="標楷體" w:eastAsia="標楷體" w:hAnsi="標楷體" w:hint="eastAsia"/>
          <w:kern w:val="0"/>
          <w:sz w:val="32"/>
          <w:szCs w:val="32"/>
        </w:rPr>
        <w:t>千元，減列第1目「一般行政」項下「基本行政工作維持」之「業務費」100萬元、第2目「關稅業務」550萬元，共計減列650萬元（科目均自行調整），其餘均照列，改列為7</w:t>
      </w:r>
      <w:r w:rsidRPr="000C6F72">
        <w:rPr>
          <w:rFonts w:ascii="標楷體" w:eastAsia="標楷體" w:hAnsi="標楷體"/>
          <w:kern w:val="0"/>
          <w:sz w:val="32"/>
          <w:szCs w:val="32"/>
        </w:rPr>
        <w:t>5</w:t>
      </w:r>
      <w:r w:rsidRPr="000C6F72">
        <w:rPr>
          <w:rFonts w:ascii="標楷體" w:eastAsia="標楷體" w:hAnsi="標楷體" w:hint="eastAsia"/>
          <w:kern w:val="0"/>
          <w:sz w:val="32"/>
          <w:szCs w:val="32"/>
        </w:rPr>
        <w:t>億</w:t>
      </w:r>
      <w:r w:rsidRPr="000C6F72">
        <w:rPr>
          <w:rFonts w:ascii="標楷體" w:eastAsia="標楷體" w:hAnsi="標楷體"/>
          <w:kern w:val="0"/>
          <w:sz w:val="32"/>
          <w:szCs w:val="32"/>
        </w:rPr>
        <w:t>1,</w:t>
      </w:r>
      <w:r w:rsidRPr="000C6F72">
        <w:rPr>
          <w:rFonts w:ascii="標楷體" w:eastAsia="標楷體" w:hAnsi="標楷體" w:hint="eastAsia"/>
          <w:kern w:val="0"/>
          <w:sz w:val="32"/>
          <w:szCs w:val="32"/>
        </w:rPr>
        <w:t>29</w:t>
      </w:r>
      <w:r w:rsidRPr="000C6F72">
        <w:rPr>
          <w:rFonts w:ascii="標楷體" w:eastAsia="標楷體" w:hAnsi="標楷體"/>
          <w:kern w:val="0"/>
          <w:sz w:val="32"/>
          <w:szCs w:val="32"/>
        </w:rPr>
        <w:t>2</w:t>
      </w:r>
      <w:r w:rsidRPr="000C6F72">
        <w:rPr>
          <w:rFonts w:ascii="標楷體" w:eastAsia="標楷體" w:hAnsi="標楷體" w:hint="eastAsia"/>
          <w:kern w:val="0"/>
          <w:sz w:val="32"/>
          <w:szCs w:val="32"/>
        </w:rPr>
        <w:t>萬</w:t>
      </w:r>
      <w:r w:rsidRPr="000C6F72">
        <w:rPr>
          <w:rFonts w:ascii="標楷體" w:eastAsia="標楷體" w:hAnsi="標楷體"/>
          <w:kern w:val="0"/>
          <w:sz w:val="32"/>
          <w:szCs w:val="32"/>
        </w:rPr>
        <w:t>3</w:t>
      </w:r>
      <w:r w:rsidRPr="000C6F72">
        <w:rPr>
          <w:rFonts w:ascii="標楷體" w:eastAsia="標楷體" w:hAnsi="標楷體" w:hint="eastAsia"/>
          <w:kern w:val="0"/>
          <w:sz w:val="32"/>
          <w:szCs w:val="32"/>
        </w:rPr>
        <w:t>千元。</w:t>
      </w:r>
    </w:p>
    <w:p w14:paraId="2D87D22F"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2400" w:hangingChars="600" w:hanging="192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本項通過決議20項：</w:t>
      </w:r>
    </w:p>
    <w:p w14:paraId="4E972C11"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一)114年度財政部關務署及所屬預算案於第1目「一般行政」編列60億1,630萬6千元。現行入境旅客攜帶行李物品免稅額度2萬元，係於78年訂定，業逾30年未檢討，財政部於113年6月24日修正發布入境旅客攜帶行李物品報驗稅放辦法，參據物價指數、國民所得、國際物價及國際趨勢等因素通盤考量，修正該辦法第11條，提高免稅額度至3萬5千元。除此之外，另有民眾建言應一併參考國外先進國家，檢討我國入境旅客攜帶其他自用家用行李物品（如菸酒）之免徵進口稅攜帶數量。經查財政部刻正進行可行性研究中。為避免未來仍發生多年未檢討之狀況，允宜建立定期檢討機制。爰凍結該項預算300萬元，俟財政部關務署於1個月內，研議攜帶自用家用行李物品免稅金額及數量定期檢討機制建立，向立法院財政委員會提出書面報告後，始得動支。</w:t>
      </w:r>
    </w:p>
    <w:p w14:paraId="18825D99" w14:textId="31CE7F1E"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 xml:space="preserve">提案人：黃珊珊　陳玉珍　王鴻薇　</w:t>
      </w:r>
    </w:p>
    <w:p w14:paraId="5C4D6CC1"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(二)114年度財政部關務署及所屬預算案於第1目「一般行政」項下「基本行政工作維持」編列2億4</w:t>
      </w:r>
      <w:r w:rsidRPr="000C6F72">
        <w:rPr>
          <w:rFonts w:ascii="標楷體" w:eastAsia="標楷體" w:hAnsi="標楷體"/>
          <w:kern w:val="2"/>
          <w:sz w:val="32"/>
          <w:szCs w:val="32"/>
        </w:rPr>
        <w:t>,</w:t>
      </w:r>
      <w:r w:rsidRPr="000C6F72">
        <w:rPr>
          <w:rFonts w:ascii="標楷體" w:eastAsia="標楷體" w:hAnsi="標楷體" w:hint="eastAsia"/>
          <w:kern w:val="2"/>
          <w:sz w:val="32"/>
          <w:szCs w:val="32"/>
        </w:rPr>
        <w:t>695萬1千元，有鑑於財政部關務署基隆關北投育成中心（溫泉路119號）為重要文化資產，歷經立法院財政委員會2次考察要求妥善處理，迄今3年進度緩慢，且與台北市政府就無償撥用一事，台北市文化局</w:t>
      </w:r>
      <w:r w:rsidRPr="000C6F72">
        <w:rPr>
          <w:rFonts w:ascii="標楷體" w:eastAsia="標楷體" w:hAnsi="標楷體" w:hint="eastAsia"/>
          <w:kern w:val="2"/>
          <w:sz w:val="32"/>
          <w:szCs w:val="32"/>
        </w:rPr>
        <w:lastRenderedPageBreak/>
        <w:t>至今仍無明確承諾，一旦未能如預期撥用，並由台北市政府出資修復，未來文資保存工作將更加困難，為避免後續修復工作延宕，財政部關務署應對於後續預算及修復進度速謀備案。爰凍結該項預算300萬元，俟財政部關務署於1個月內向立法院財政委員會提出書面報告後，始得動支。</w:t>
      </w:r>
    </w:p>
    <w:p w14:paraId="21520E78" w14:textId="5342C619"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 xml:space="preserve">提案人：郭國文　</w:t>
      </w:r>
    </w:p>
    <w:p w14:paraId="6401C9B7" w14:textId="487F8065" w:rsidR="009D64D0" w:rsidRPr="00AF6208"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AF6208">
        <w:rPr>
          <w:rFonts w:ascii="標楷體" w:eastAsia="標楷體" w:hAnsi="標楷體" w:hint="eastAsia"/>
          <w:kern w:val="0"/>
          <w:sz w:val="32"/>
          <w:szCs w:val="32"/>
        </w:rPr>
        <w:t xml:space="preserve">連署人：賴惠員　王世堅　</w:t>
      </w:r>
    </w:p>
    <w:p w14:paraId="33A44D32"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(三)114年度財政部關務署及所屬預算案於第2目「關稅業務」編列15億0</w:t>
      </w:r>
      <w:r w:rsidRPr="000C6F72">
        <w:rPr>
          <w:rFonts w:ascii="標楷體" w:eastAsia="標楷體" w:hAnsi="標楷體"/>
          <w:kern w:val="2"/>
          <w:sz w:val="32"/>
          <w:szCs w:val="32"/>
        </w:rPr>
        <w:t>,</w:t>
      </w:r>
      <w:r w:rsidRPr="000C6F72">
        <w:rPr>
          <w:rFonts w:ascii="標楷體" w:eastAsia="標楷體" w:hAnsi="標楷體" w:hint="eastAsia"/>
          <w:kern w:val="2"/>
          <w:sz w:val="32"/>
          <w:szCs w:val="32"/>
        </w:rPr>
        <w:t>026萬7千元，其中「數位海關再造計畫」編列2億5,000萬元，係為強化現有通關資訊系統。然查其計畫書核定本，其114年度預算經費需求數為2億6,511萬元，但實際114年度編列預算案數2億5,000萬元，顯有落差。再加上財政部關務署公開徵求廠商意見時，卻無廠商表達意見，未來該計畫推動後，是否讓使用者感覺便利，符合實際需求，難以知悉。爰凍結第2目「關稅業務」預算500萬元，俟財政部關務署重新提出完整評估，並向立法院財政委員會提出書面報告後，始得動支。</w:t>
      </w:r>
    </w:p>
    <w:p w14:paraId="4132373A" w14:textId="780DAC0B"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提案人：陳玉珍　</w:t>
      </w:r>
    </w:p>
    <w:p w14:paraId="3E7D9186" w14:textId="28C5DA60"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連署人：羅明才　顏寬恒　</w:t>
      </w:r>
    </w:p>
    <w:p w14:paraId="72449945"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(四)114年度財政部關務署及所屬預算案於第2目「關稅業務」編列15億0</w:t>
      </w:r>
      <w:r w:rsidRPr="000C6F72">
        <w:rPr>
          <w:rFonts w:ascii="標楷體" w:eastAsia="標楷體" w:hAnsi="標楷體"/>
          <w:kern w:val="2"/>
          <w:sz w:val="32"/>
          <w:szCs w:val="32"/>
        </w:rPr>
        <w:t>,</w:t>
      </w:r>
      <w:r w:rsidRPr="000C6F72">
        <w:rPr>
          <w:rFonts w:ascii="標楷體" w:eastAsia="標楷體" w:hAnsi="標楷體" w:hint="eastAsia"/>
          <w:kern w:val="2"/>
          <w:sz w:val="32"/>
          <w:szCs w:val="32"/>
        </w:rPr>
        <w:t>026萬7千元。海關緝私條例第6條：「海關緝私，應在中華民國通商口岸，沿海24海里以內之水域，及依本條例或其他法律得為查緝之區域或場所為之」，而巡緝艇係海關依法執行海上查緝職責之必要工具。海洋委員會海巡署成立後，其查緝範圍以非通商口岸為主，海關則主要負責通商口岸（含港區錨地及臨近水域）之查緝任務。近年財政部關務署推動巡緝艇汰舊換新計畫，汰除多少老舊巡緝船艇，加強安全性及巡緝性能。惟有鑑於地緣政治風險增加、台海情勢緊張，有必要加強整合我國海洋委員會海巡署、財政部關務署、農業部漁業署海域守備之力量，避免權責分散，重複建置</w:t>
      </w:r>
      <w:r w:rsidRPr="000C6F72">
        <w:rPr>
          <w:rFonts w:ascii="標楷體" w:eastAsia="標楷體" w:hAnsi="標楷體" w:hint="eastAsia"/>
          <w:kern w:val="2"/>
          <w:sz w:val="32"/>
          <w:szCs w:val="32"/>
        </w:rPr>
        <w:lastRenderedPageBreak/>
        <w:t>人力培訓、船艦養護等資源。爰凍結該項預算500萬元，俟財政部關務署於1個月內向立法院財政委員會提出海關與海巡海上聯合查緝作業情形書面報告後，始得動支。</w:t>
      </w:r>
    </w:p>
    <w:p w14:paraId="4CB8D2DE" w14:textId="550F65FA"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提案人：黃珊珊　陳玉珍　王鴻薇　</w:t>
      </w:r>
    </w:p>
    <w:p w14:paraId="697E7094"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(五)114年度財政部關務署及所屬預算案於第2目「關稅業務」編列15億0,026萬7千元。台美合作大港計畫於95年開始實施。美國能源部投注近5</w:t>
      </w:r>
      <w:r w:rsidRPr="000C6F72">
        <w:rPr>
          <w:rFonts w:ascii="標楷體" w:eastAsia="標楷體" w:hAnsi="標楷體"/>
          <w:kern w:val="2"/>
          <w:sz w:val="32"/>
          <w:szCs w:val="32"/>
        </w:rPr>
        <w:t>,</w:t>
      </w:r>
      <w:r w:rsidRPr="000C6F72">
        <w:rPr>
          <w:rFonts w:ascii="標楷體" w:eastAsia="標楷體" w:hAnsi="標楷體" w:hint="eastAsia"/>
          <w:kern w:val="2"/>
          <w:sz w:val="32"/>
          <w:szCs w:val="32"/>
        </w:rPr>
        <w:t>500萬美元實施大港計畫，提供經費訓練人員並在高雄港安裝監控設備，包括38座門式輻射測器、手持輻射偵測設備、無線通訊設備以及一座中央監控站。該計畫設備99年正式啟用，由美方維運3年，財政部關務署於102年9月取得大港計畫的所有權，自行負責後續所有設備維持運作經費，擔負起保護台灣人民和國際貨櫃，包括運往美國的貨櫃的運輸安全的責任，使其免於核輻射的威脅。有鑑於近年國際局勢緊張及核污染，允宜加強查緝作為及設備更新，維護國際核子保安機制。另外，財政部關務署亦定期公開查緝成果，展示我國是負責任的國際成員。爰凍結該項預算500萬元，俟財政部關務署於1個月內，就大港計畫之設備汰購需求檢討及查緝成果公開可行性向立法院財政委員會提出書面報告後，始得動支。</w:t>
      </w:r>
    </w:p>
    <w:p w14:paraId="32B1C71E" w14:textId="39436DB5"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提案人：黃珊珊　陳玉珍　王鴻薇　</w:t>
      </w:r>
    </w:p>
    <w:p w14:paraId="69308C35"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六)114年度財政部關務署及所屬預算案於第2目「關稅業務」編列15億0,026萬7千元。有鑑於財政部關務署之關稅業務中辦理業務，包括關稅資料處理及資安防護與設備建置與維護等作業。財政部關務署業務涉及個人資料安全維護與管理，需謹慎避免個人資料遭竊或洩漏等問題。近來受地緣政治影響，台灣成為眾多國際駭客攻擊之目標，金融業、政府及大型企業網站遭受境外網路外部攻擊大增，台灣資安恐面臨挑戰。且據報載，公股行庫內部最新資料顯示，9月起攻擊較先前有翻倍之情勢，甚有銀行年增達三倍以上。駭客組織對政府及金融單位網站發動DDoS攻擊，導致多家銀行網站一度停擺</w:t>
      </w:r>
      <w:r w:rsidRPr="000C6F72">
        <w:rPr>
          <w:rFonts w:ascii="標楷體" w:eastAsia="標楷體" w:hAnsi="標楷體" w:hint="eastAsia"/>
          <w:kern w:val="2"/>
          <w:sz w:val="32"/>
          <w:szCs w:val="32"/>
        </w:rPr>
        <w:lastRenderedPageBreak/>
        <w:t>。爰凍結該項預算500萬元，俟財政部關務署於3個月內，就強化關務資料資安防護措施計畫向立法院財政委員會提出書面報告後，始得動支。</w:t>
      </w:r>
    </w:p>
    <w:p w14:paraId="067FC3F2" w14:textId="54AEE673"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提案人：黃珊珊　陳玉珍　王鴻薇　</w:t>
      </w:r>
    </w:p>
    <w:p w14:paraId="6E8CC399"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(七)114年度財政部關務署及所屬預算案於第2目「關稅業務」項下「查緝業務」編列7億7</w:t>
      </w:r>
      <w:r w:rsidRPr="000C6F72">
        <w:rPr>
          <w:rFonts w:ascii="標楷體" w:eastAsia="標楷體" w:hAnsi="標楷體"/>
          <w:kern w:val="2"/>
          <w:sz w:val="32"/>
          <w:szCs w:val="32"/>
        </w:rPr>
        <w:t>,</w:t>
      </w:r>
      <w:r w:rsidRPr="000C6F72">
        <w:rPr>
          <w:rFonts w:ascii="標楷體" w:eastAsia="標楷體" w:hAnsi="標楷體" w:hint="eastAsia"/>
          <w:kern w:val="2"/>
          <w:sz w:val="32"/>
          <w:szCs w:val="32"/>
        </w:rPr>
        <w:t>311萬2千元，惟就財政部關務署關稅業務項下之歲出計畫內容欄中指出此計畫內容包含法規研擬，卻未見相關預算編列；考量各界對關稅相關法規時有不同意見，如海外進口低價免稅額度、汽車與其零部件關稅稅率及保健食品關稅稅率等，都有待財政部關務署積極與各部會研擬相關法規，方能合理查緝。鑑此，爰凍結該項預算十分之一，俟財政部關務署研擬關稅法規改革方案，向立法院財政委員會提出書面報告後，始得動支。</w:t>
      </w:r>
    </w:p>
    <w:p w14:paraId="2938B6A0" w14:textId="09435B07"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提案人：王世堅　</w:t>
      </w:r>
    </w:p>
    <w:p w14:paraId="7FC2DD48" w14:textId="41350D47"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連署人：李坤城　郭國文　</w:t>
      </w:r>
    </w:p>
    <w:p w14:paraId="71B00618"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八)114年度財政部關務署及所屬預算案於第2目「關稅業務」項下「查緝業務」編列「旅客行李檢查及貨物查緝處理等經費」預算3億3,565萬3千元。然據民眾反映，進口汽車後再出口是否能申退貨物稅，財政部處理方式迭有更動，執法缺乏依據，造成貿易商無所適從及經濟損失，爰凍結該項預算1</w:t>
      </w:r>
      <w:r w:rsidRPr="000C6F72">
        <w:rPr>
          <w:rFonts w:ascii="標楷體" w:eastAsia="標楷體" w:hAnsi="標楷體"/>
          <w:kern w:val="2"/>
          <w:sz w:val="32"/>
          <w:szCs w:val="32"/>
        </w:rPr>
        <w:t>00</w:t>
      </w:r>
      <w:r w:rsidRPr="000C6F72">
        <w:rPr>
          <w:rFonts w:ascii="標楷體" w:eastAsia="標楷體" w:hAnsi="標楷體" w:hint="eastAsia"/>
          <w:kern w:val="2"/>
          <w:sz w:val="32"/>
          <w:szCs w:val="32"/>
        </w:rPr>
        <w:t>萬元，俟財政部關務署於1個月內向立法院財政委員會提出書面報告後，始得動支。</w:t>
      </w:r>
    </w:p>
    <w:p w14:paraId="08E6B923" w14:textId="5AF45EBD"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提案人：伍麗華　郭國文　</w:t>
      </w:r>
    </w:p>
    <w:p w14:paraId="16593548" w14:textId="441C3B73"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連署人：王世堅　吳秉叡　賴惠員　</w:t>
      </w:r>
    </w:p>
    <w:p w14:paraId="775DBC28"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九)114年度財政部關務署及所屬預算案於第2目「關稅業務」項下「關稅資料處理」編列2億3,109萬7千元。財政部關務署於113年6月提高入境旅客攜帶行李物品的免稅額度，其理由為參照物價指數、國民所得、國際物價等因素後，將入境免稅額度由2萬元提高至3.5萬元，惟查進口包裹仍限制每次2千元內方免稅，故財政部關務署應蒐集主要國家(不低於20個)關</w:t>
      </w:r>
      <w:r w:rsidRPr="000C6F72">
        <w:rPr>
          <w:rFonts w:ascii="標楷體" w:eastAsia="標楷體" w:hAnsi="標楷體" w:hint="eastAsia"/>
          <w:kern w:val="2"/>
          <w:sz w:val="32"/>
          <w:szCs w:val="32"/>
        </w:rPr>
        <w:lastRenderedPageBreak/>
        <w:t>於低價包裹免稅額度之現況後，並綜合考量相關因素後進行調整。爰凍結該項預算500萬元，俟財政部關務署向立法院財政委員會提出書面報告後，始得動支。</w:t>
      </w:r>
    </w:p>
    <w:p w14:paraId="620842CA" w14:textId="15E32DE8"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提案人：李彥秀　</w:t>
      </w:r>
    </w:p>
    <w:p w14:paraId="71F72DC0" w14:textId="4CB97B34"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連署人：羅明才　顏寬恒　</w:t>
      </w:r>
    </w:p>
    <w:p w14:paraId="32A30DF2"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120" w:hangingChars="200" w:hanging="64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十)114年度財政部關務署及所屬預算案於第2目「關稅業務」項下「數位海關再造計畫」編列2億5,000萬元。數位海關再造計畫為5年之連續性計畫，第1年經費2億5,000萬元，查112年資訊交換平臺累計之資料筆數為3億6千多筆，資料量龐大，財政部關務署應檢討現行各關、港、貿之窗口服務反應問題，整體性彙整未來貨物進出口業務及資訊交換需求，同時將民眾及業者之意見納入數位化再造之考量。爰凍結該項預算500萬元，俟財政部關務署於3個月內向立法院財政委員會提出書面報告後，始得動支。</w:t>
      </w:r>
    </w:p>
    <w:p w14:paraId="345AC5AC" w14:textId="22864391"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提案人：顏寬恒　郭國文</w:t>
      </w:r>
    </w:p>
    <w:p w14:paraId="195E1946" w14:textId="23E0120B"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連署人：王鴻薇　賴士葆　賴惠員　王世堅</w:t>
      </w:r>
    </w:p>
    <w:p w14:paraId="49FC5856"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十一)114年度財政部關務署及所屬預算案於第2目「關稅業務」項下「數位海關再造計畫」編列2億5,000萬元。財政部關務署114年度新增辦理數位海關再造計畫，規劃將關港貿單一窗口服務網及相關服務，重新進行分類整併與改造系統程式架構，允宜彙整現行關港貿單一窗口服務反應之問題，通盤衡酌未來貨物進出口業務及資訊交換需求等成長趨勢，並廣為徵詢民眾及業者之意見反饋，以設計符合未來需求之系統架構及採購妥適之資訊設備。爰凍結該項預算十分之一，俟財政部關務署向立法院財政委員會提出書面報告後，始得動支。</w:t>
      </w:r>
    </w:p>
    <w:p w14:paraId="70D5C723" w14:textId="421DDAC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提案人：李坤城　賴惠員　郭國文　</w:t>
      </w:r>
    </w:p>
    <w:p w14:paraId="54457922" w14:textId="77777777" w:rsidR="009D64D0" w:rsidRPr="000C6F72"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0C6F72">
        <w:rPr>
          <w:rFonts w:ascii="標楷體" w:eastAsia="標楷體" w:hAnsi="標楷體" w:hint="eastAsia"/>
          <w:kern w:val="2"/>
          <w:sz w:val="32"/>
          <w:szCs w:val="32"/>
        </w:rPr>
        <w:t>(十二)114年度財政部關務署及所屬預算案於第1目「一般行政」編列60億1,630萬6千元。據財政部汽機車稅制檢討及改革方案書面報告指出，我國自91年加入世界貿易組織(WTO)並</w:t>
      </w:r>
      <w:r w:rsidRPr="000C6F72">
        <w:rPr>
          <w:rFonts w:ascii="標楷體" w:eastAsia="標楷體" w:hAnsi="標楷體" w:hint="eastAsia"/>
          <w:kern w:val="2"/>
          <w:sz w:val="32"/>
          <w:szCs w:val="32"/>
        </w:rPr>
        <w:lastRenderedPageBreak/>
        <w:t>承諾關稅減讓。汽車(小客車)關稅稅率於91年調為29%，並分10年逐年調降至17.5%，維持迄今；機車關稅稅率自91年25%逐年調降至95年，依汽缸容量不同，現行為18%或20%。我國已提出申請加入跨太平洋夥伴全面進步協定(CPTPP)，倘該協定成員國成立臺灣入會工作小組，我國終須針對車輛產業進行大幅降稅承諾，目前車輛關稅將是重要談判籌碼。我國車輛產業正值燃油車轉型電動車之關鍵時刻，倘調降或取消關稅，恐致國產車廠及零組件廠關廠撤離之虞，影響約847.74億元產值及8.26萬相關從業人員生計，亦導致國產車競爭力與研發技術能量下滑，衝擊下世代車輛產業發展。又依據WTO最惠國待遇原則，對進口貨物自發性調降關稅稅率，該稅率將一體適用於所有WTO會員國，爰自發性調降關稅恐壓縮嗣後我對洽簽貿易協定或經濟合作協議之談判空間，為保留談判籌碼，現階段宜維持現行關稅稅率。爰要求財政部關務署徵詢經濟部產業發展署於3個月內，就台灣若加入CPTPP調降車輛關稅之關稅預估及產業影響，向立法院財政委員會提出書面報告。</w:t>
      </w:r>
    </w:p>
    <w:p w14:paraId="0844EB17" w14:textId="3E60790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提案人：黃珊珊　陳玉珍　王鴻薇　</w:t>
      </w:r>
    </w:p>
    <w:p w14:paraId="56FB8DBF"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(十三)11</w:t>
      </w:r>
      <w:r w:rsidRPr="003426E5">
        <w:rPr>
          <w:rFonts w:ascii="標楷體" w:eastAsia="標楷體" w:hAnsi="標楷體"/>
          <w:kern w:val="2"/>
          <w:sz w:val="32"/>
          <w:szCs w:val="32"/>
        </w:rPr>
        <w:t>4</w:t>
      </w:r>
      <w:r w:rsidRPr="003426E5">
        <w:rPr>
          <w:rFonts w:ascii="標楷體" w:eastAsia="標楷體" w:hAnsi="標楷體" w:hint="eastAsia"/>
          <w:kern w:val="2"/>
          <w:sz w:val="32"/>
          <w:szCs w:val="32"/>
        </w:rPr>
        <w:t>年度財政部關務署及所屬預算案於第2目「關稅業務」編列15億0,026萬7千元。基隆海港大樓建物前身為日治時期之基隆港合同廳舍由台灣總督府交通局鈴置良一設計，內含港務相關的官署與民間單位，有三稅關、海事出張所、水上警察署、築港出張所、港務部、專賣局出張所、埠頭郵便局及鐵道埠頭事務所等空間，戰後由交通部港務局接收，供給交通部港務局及相關單位或企業繼續使用。現況則為財政部關務署、交通部航港局共同使用。海港大樓整體上仍保留原貌，是目前基隆市少數的重要港西歷史建築之一，亦是台灣現存早期現代主義的主要作品，值得加以保存，並已於92年登錄為基隆市歷史建築。為近來觀光旅遊發展興盛，應加強保留珍貴文化資產之原始風貌及積</w:t>
      </w:r>
      <w:r w:rsidRPr="003426E5">
        <w:rPr>
          <w:rFonts w:ascii="標楷體" w:eastAsia="標楷體" w:hAnsi="標楷體" w:hint="eastAsia"/>
          <w:kern w:val="2"/>
          <w:sz w:val="32"/>
          <w:szCs w:val="32"/>
        </w:rPr>
        <w:lastRenderedPageBreak/>
        <w:t>極加強修復，似應重新檢討基隆海港大樓之文資身分。爰要求財政部關務署會同交通部航港局於2個月內，就強化基隆海港大樓文資保存機制向立法院財政委員會提出書面報告。</w:t>
      </w:r>
    </w:p>
    <w:p w14:paraId="0B79C1AA" w14:textId="609538DD"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提案人：黃珊珊　陳玉珍　王鴻薇　</w:t>
      </w:r>
    </w:p>
    <w:p w14:paraId="5907521A"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十四)按114年度財政部關務署及所屬預算案於第2目「關稅業務」項下「稽徵業務」編列1億7,633萬6千元。惟據審計部於113年7月底公告之112年度中央政府總決算審核報告指出：「關務署推動物聯網全時監控建置計畫，期提升關務運作效率及杜絕走私，惟因業者陳情而暫緩實施貨物即時追蹤機制，延宕計畫目標之達成</w:t>
      </w:r>
      <w:r w:rsidRPr="003426E5">
        <w:rPr>
          <w:rFonts w:ascii="標楷體" w:eastAsia="標楷體" w:hAnsi="標楷體"/>
          <w:kern w:val="2"/>
          <w:sz w:val="32"/>
          <w:szCs w:val="32"/>
        </w:rPr>
        <w:t>……</w:t>
      </w:r>
      <w:r w:rsidRPr="003426E5">
        <w:rPr>
          <w:rFonts w:ascii="標楷體" w:eastAsia="標楷體" w:hAnsi="標楷體" w:hint="eastAsia"/>
          <w:kern w:val="2"/>
          <w:sz w:val="32"/>
          <w:szCs w:val="32"/>
        </w:rPr>
        <w:t>」等語。查財政部關務署為發展貨櫃移動監管機制，擬訂物聯網全時監控建置計畫，案經財政部提報為109年度科技發展計畫，計畫經費1億8,719萬餘元，期程為109至112年度。截至112年底止，物聯網計畫實際支用1億8,583萬餘元。次查，由於原計畫未將業者設備建置成本預為因應，嗣遭業者陳情抗議，財政部關務署逕於111年9月暫緩相關子法修正作業，截至112年底止，仍未完備相關法規，多數貨櫃拖車仍未裝設車載機及車機封條。又查，委託建置物聯網系統平臺雖已於112年12月結算驗收，惟因子法尚未修正，無法強制貨櫃拖車全面裝置即時追蹤設備，致系統上線後使用率偏低，無法發揮計畫原訂預期目標。基此，為督促財政部關務署儘速完成物聯網全時監控建置計畫，爰要求財政部關務署於1個月內向立法院財政委員會針對後續具體辦理期程及預期成效提出書面報告。</w:t>
      </w:r>
    </w:p>
    <w:p w14:paraId="08E583E5" w14:textId="6D5EA6B4"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提案人：賴惠員</w:t>
      </w:r>
    </w:p>
    <w:p w14:paraId="68019080" w14:textId="7DC8957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連署人：王世堅　郭國文</w:t>
      </w:r>
    </w:p>
    <w:p w14:paraId="1F117411"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(十五)114年度財政部關務署及所屬預算案於第2目「關稅業務」項下「稽徵業務」之「業務費」編列1億7</w:t>
      </w:r>
      <w:r w:rsidRPr="003426E5">
        <w:rPr>
          <w:rFonts w:ascii="標楷體" w:eastAsia="標楷體" w:hAnsi="標楷體"/>
          <w:kern w:val="2"/>
          <w:sz w:val="32"/>
          <w:szCs w:val="32"/>
        </w:rPr>
        <w:t>,</w:t>
      </w:r>
      <w:r w:rsidRPr="003426E5">
        <w:rPr>
          <w:rFonts w:ascii="標楷體" w:eastAsia="標楷體" w:hAnsi="標楷體" w:hint="eastAsia"/>
          <w:kern w:val="2"/>
          <w:sz w:val="32"/>
          <w:szCs w:val="32"/>
        </w:rPr>
        <w:t>633萬6千元。有關民眾跨境網購遭遇詐騙或瑕疵而辦理退免稅事宜，財政</w:t>
      </w:r>
      <w:r w:rsidRPr="003426E5">
        <w:rPr>
          <w:rFonts w:ascii="標楷體" w:eastAsia="標楷體" w:hAnsi="標楷體" w:hint="eastAsia"/>
          <w:kern w:val="2"/>
          <w:sz w:val="32"/>
          <w:szCs w:val="32"/>
        </w:rPr>
        <w:lastRenderedPageBreak/>
        <w:t>部關務署於113年5月已大幅簡化所需文件及手續，然而仍必須以紙本方式郵寄或臨櫃辦理，實不符稅務電子化之趨勢，應儘速建置網路退稅系統，方便民眾辦理。爰要求財政部關務署於3個月內向立法院財政委員會提出精進辦法及時程書面報告。</w:t>
      </w:r>
    </w:p>
    <w:p w14:paraId="7B9E636C" w14:textId="1741E4DB"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提案人：郭國文　</w:t>
      </w:r>
    </w:p>
    <w:p w14:paraId="06592FBB" w14:textId="3A291D49"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連署人：賴惠員　王世堅</w:t>
      </w:r>
    </w:p>
    <w:p w14:paraId="2688D866"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(十六)114年度財政部關務署及所屬預算案於第2目「關稅業務」項下「關稅資料處理」編列2億3,109萬7千元。惟財政部關務署於1</w:t>
      </w:r>
      <w:r w:rsidRPr="003426E5">
        <w:rPr>
          <w:rFonts w:ascii="標楷體" w:eastAsia="標楷體" w:hAnsi="標楷體"/>
          <w:kern w:val="2"/>
          <w:sz w:val="32"/>
          <w:szCs w:val="32"/>
        </w:rPr>
        <w:t>09</w:t>
      </w:r>
      <w:r w:rsidRPr="003426E5">
        <w:rPr>
          <w:rFonts w:ascii="標楷體" w:eastAsia="標楷體" w:hAnsi="標楷體" w:hint="eastAsia"/>
          <w:kern w:val="2"/>
          <w:sz w:val="32"/>
          <w:szCs w:val="32"/>
        </w:rPr>
        <w:t>年推動之物聯網全時監控建置計畫，原期提升關務運作效率及杜絕走私，卻因業者陳情而暫緩實施貨物即時追蹤機制，延宕計畫目標之達成，而財政部關務署雖已修正相關法令以鼓勵業者自備車機封條、亦改以貨櫃加封量占比最大之運輸業者為優先對象來逐步推動，但對計畫期程之改善仍未見說明。鑑此，爰要求財政部關務署於1個月內向立法院財政委員會提出新計畫目標達成之期程書面報告。</w:t>
      </w:r>
    </w:p>
    <w:p w14:paraId="6AE2951F" w14:textId="45D9E6C5"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提案人：王世堅　</w:t>
      </w:r>
    </w:p>
    <w:p w14:paraId="117FBED3" w14:textId="6F66E02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連署人：李坤城　郭國文</w:t>
      </w:r>
    </w:p>
    <w:p w14:paraId="6CC8622B"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十七)114年度財政部關務署及所屬預算案於第2目「關稅業務」項下「數位海關再造計畫」編列2億5,000萬元。財政部公告修正促進民間參與公共建設法施行細則，配合國家政策發展，擴大民間參與公共建設類別，新增數位建設為促進民間參與公共建設法的</w:t>
      </w:r>
      <w:hyperlink r:id="rId12" w:history="1">
        <w:r w:rsidRPr="003426E5">
          <w:rPr>
            <w:rFonts w:ascii="標楷體" w:eastAsia="標楷體" w:hAnsi="標楷體" w:hint="eastAsia"/>
            <w:kern w:val="2"/>
            <w:sz w:val="32"/>
            <w:szCs w:val="32"/>
          </w:rPr>
          <w:t>公共建設</w:t>
        </w:r>
      </w:hyperlink>
      <w:r w:rsidRPr="003426E5">
        <w:rPr>
          <w:rFonts w:ascii="標楷體" w:eastAsia="標楷體" w:hAnsi="標楷體" w:hint="eastAsia"/>
          <w:kern w:val="2"/>
          <w:sz w:val="32"/>
          <w:szCs w:val="32"/>
        </w:rPr>
        <w:t>類別。財政部關務署進行數位海關再造計畫，亦應研議考慮納入促參，爰要求財政部關務署於1個月內向立法院財政委員會提出書面報告。</w:t>
      </w:r>
    </w:p>
    <w:p w14:paraId="5E6AEA54" w14:textId="44F45E45"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提案人：伍麗華　</w:t>
      </w:r>
    </w:p>
    <w:p w14:paraId="46AC8922" w14:textId="7EA7D6F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連署人：王世堅　吳秉叡</w:t>
      </w:r>
    </w:p>
    <w:p w14:paraId="6415B76A"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(十八)114年度財政部關務署及所屬預算案於第2目「關稅業務」項下「次世代人工智慧輔助緝私計畫」編列6,472萬2千元</w:t>
      </w:r>
      <w:r w:rsidRPr="003426E5">
        <w:rPr>
          <w:rFonts w:ascii="標楷體" w:eastAsia="標楷體" w:hAnsi="標楷體" w:hint="eastAsia"/>
          <w:kern w:val="2"/>
          <w:sz w:val="32"/>
          <w:szCs w:val="32"/>
        </w:rPr>
        <w:lastRenderedPageBreak/>
        <w:t>。次世代人工智慧輔助緝私計畫係財政部關務署為強化查緝行李托運、快遞貨物及提升進口郵件之查驗量能，財政部關務署應與國內、國際相關單位合作，強化影像樣本之豐富性，以利AI學習，進而完成AI生成影像辨識開發及應用。爰要求財政部關務署於3個月內向立法院財政委員會提出書面報告。</w:t>
      </w:r>
    </w:p>
    <w:p w14:paraId="302A4416" w14:textId="305FAE72"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提案人：顏寬恒　</w:t>
      </w:r>
    </w:p>
    <w:p w14:paraId="6082CD04" w14:textId="2B51D40B"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連署人：王鴻薇　賴士葆</w:t>
      </w:r>
    </w:p>
    <w:p w14:paraId="1500082B"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十九)114年度財政部關務署及所屬預算案於第2目「關稅業務」項下「次世代人工智慧輔助緝私計畫」之「業務費」編列1,315萬8千元。財政部將數位建設新增為促參類別，旨為推動先進網路、完備數位包容、縮短數位落差、加速產業數位轉型及促進跨域創新運用等產業所需的數位軟硬體及其設施，財政部關務署推動次世代人工智慧輔助緝私計畫，亦應評估納入促參可能性，以財政部自身部會為首，推動數位公共建設參與。爰要求財政部關務署於1個月內向立法院財政委員會提出書面報告。</w:t>
      </w:r>
    </w:p>
    <w:p w14:paraId="3D461ACF" w14:textId="0C6E34A0"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提案人：伍麗華　</w:t>
      </w:r>
    </w:p>
    <w:p w14:paraId="457F5216" w14:textId="4E463046"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連署人：王世堅　吳秉叡</w:t>
      </w:r>
    </w:p>
    <w:p w14:paraId="407CFC7F" w14:textId="77777777" w:rsidR="009D64D0" w:rsidRPr="003426E5" w:rsidRDefault="009D64D0" w:rsidP="00F470A8">
      <w:pPr>
        <w:widowControl w:val="0"/>
        <w:tabs>
          <w:tab w:val="left" w:pos="1134"/>
          <w:tab w:val="left" w:pos="1418"/>
        </w:tabs>
        <w:kinsoku w:val="0"/>
        <w:overflowPunct w:val="0"/>
        <w:autoSpaceDE w:val="0"/>
        <w:adjustRightInd w:val="0"/>
        <w:spacing w:line="480" w:lineRule="exact"/>
        <w:ind w:leftChars="200" w:left="1440" w:hangingChars="300" w:hanging="960"/>
        <w:jc w:val="both"/>
        <w:textAlignment w:val="auto"/>
        <w:rPr>
          <w:rFonts w:ascii="標楷體" w:eastAsia="標楷體" w:hAnsi="標楷體"/>
          <w:kern w:val="2"/>
          <w:sz w:val="32"/>
          <w:szCs w:val="32"/>
        </w:rPr>
      </w:pPr>
      <w:r w:rsidRPr="003426E5">
        <w:rPr>
          <w:rFonts w:ascii="標楷體" w:eastAsia="標楷體" w:hAnsi="標楷體" w:hint="eastAsia"/>
          <w:kern w:val="2"/>
          <w:sz w:val="32"/>
          <w:szCs w:val="32"/>
        </w:rPr>
        <w:t>(二十)114年度財政部關務署及所屬預算案於第2目「關稅業務」新增辦理「次世代人工智慧輔助緝私計畫」，規劃導入生成式AI強化人工智慧輔助X光影像辨識能力，鑑於生成式AI所產生之資料的致命缺陷，即在於資料之真實性，爰要求財政部關務署除應強化違禁品影像樣本的豐富性，以供生成式AI學習，更須經資深儀檢關員逐一檢視AI生成之影像合格後，始能納入訓練資料集運用，以確保影像的真實性，並於2個月內向立法院財政委員會提出書面報告。</w:t>
      </w:r>
    </w:p>
    <w:p w14:paraId="15EF5A33" w14:textId="0CC426E8"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提案人：羅明才　賴士葆　陳玉珍</w:t>
      </w:r>
    </w:p>
    <w:p w14:paraId="1A6403A3" w14:textId="77777777" w:rsidR="009D64D0" w:rsidRPr="006971F5" w:rsidRDefault="009D64D0" w:rsidP="00F470A8">
      <w:pPr>
        <w:widowControl w:val="0"/>
        <w:kinsoku w:val="0"/>
        <w:overflowPunct w:val="0"/>
        <w:autoSpaceDE w:val="0"/>
        <w:adjustRightInd w:val="0"/>
        <w:snapToGrid w:val="0"/>
        <w:spacing w:line="480" w:lineRule="exact"/>
        <w:ind w:leftChars="200" w:left="1601" w:hangingChars="350" w:hanging="1121"/>
        <w:jc w:val="both"/>
        <w:textAlignment w:val="auto"/>
        <w:rPr>
          <w:rFonts w:ascii="標楷體" w:eastAsia="標楷體" w:hAnsi="標楷體"/>
          <w:kern w:val="0"/>
          <w:sz w:val="32"/>
          <w:szCs w:val="32"/>
        </w:rPr>
      </w:pPr>
      <w:r w:rsidRPr="006971F5">
        <w:rPr>
          <w:rFonts w:ascii="標楷體" w:eastAsia="標楷體" w:hAnsi="標楷體" w:hint="eastAsia"/>
          <w:b/>
          <w:kern w:val="0"/>
          <w:sz w:val="32"/>
          <w:szCs w:val="32"/>
        </w:rPr>
        <w:t>第10項　國有財產署及所屬</w:t>
      </w:r>
      <w:r w:rsidRPr="006971F5">
        <w:rPr>
          <w:rFonts w:ascii="標楷體" w:eastAsia="標楷體" w:hAnsi="標楷體" w:hint="eastAsia"/>
          <w:kern w:val="0"/>
          <w:sz w:val="32"/>
          <w:szCs w:val="32"/>
        </w:rPr>
        <w:t>原列32億</w:t>
      </w:r>
      <w:r w:rsidRPr="006971F5">
        <w:rPr>
          <w:rFonts w:ascii="標楷體" w:eastAsia="標楷體" w:hAnsi="標楷體"/>
          <w:kern w:val="0"/>
          <w:sz w:val="32"/>
          <w:szCs w:val="32"/>
        </w:rPr>
        <w:t>4,670</w:t>
      </w:r>
      <w:r w:rsidRPr="006971F5">
        <w:rPr>
          <w:rFonts w:ascii="標楷體" w:eastAsia="標楷體" w:hAnsi="標楷體" w:hint="eastAsia"/>
          <w:kern w:val="0"/>
          <w:sz w:val="32"/>
          <w:szCs w:val="32"/>
        </w:rPr>
        <w:t>萬1千元，減列第1目「一般行政」項下「基本行政工作維持」之「業務費」50萬</w:t>
      </w:r>
      <w:r w:rsidRPr="006971F5">
        <w:rPr>
          <w:rFonts w:ascii="標楷體" w:eastAsia="標楷體" w:hAnsi="標楷體" w:hint="eastAsia"/>
          <w:kern w:val="0"/>
          <w:sz w:val="32"/>
          <w:szCs w:val="32"/>
        </w:rPr>
        <w:lastRenderedPageBreak/>
        <w:t>元（科目自行調整），其餘均照列，改列為32億</w:t>
      </w:r>
      <w:r w:rsidRPr="006971F5">
        <w:rPr>
          <w:rFonts w:ascii="標楷體" w:eastAsia="標楷體" w:hAnsi="標楷體"/>
          <w:kern w:val="0"/>
          <w:sz w:val="32"/>
          <w:szCs w:val="32"/>
        </w:rPr>
        <w:t>4,6</w:t>
      </w:r>
      <w:r w:rsidRPr="006971F5">
        <w:rPr>
          <w:rFonts w:ascii="標楷體" w:eastAsia="標楷體" w:hAnsi="標楷體" w:hint="eastAsia"/>
          <w:kern w:val="0"/>
          <w:sz w:val="32"/>
          <w:szCs w:val="32"/>
        </w:rPr>
        <w:t>2</w:t>
      </w:r>
      <w:r w:rsidRPr="006971F5">
        <w:rPr>
          <w:rFonts w:ascii="標楷體" w:eastAsia="標楷體" w:hAnsi="標楷體"/>
          <w:kern w:val="0"/>
          <w:sz w:val="32"/>
          <w:szCs w:val="32"/>
        </w:rPr>
        <w:t>0</w:t>
      </w:r>
      <w:r w:rsidRPr="006971F5">
        <w:rPr>
          <w:rFonts w:ascii="標楷體" w:eastAsia="標楷體" w:hAnsi="標楷體" w:hint="eastAsia"/>
          <w:kern w:val="0"/>
          <w:sz w:val="32"/>
          <w:szCs w:val="32"/>
        </w:rPr>
        <w:t>萬1千元。</w:t>
      </w:r>
    </w:p>
    <w:p w14:paraId="09EC4508" w14:textId="77777777" w:rsidR="009D64D0" w:rsidRPr="006971F5" w:rsidRDefault="009D64D0" w:rsidP="00F470A8">
      <w:pPr>
        <w:widowControl w:val="0"/>
        <w:kinsoku w:val="0"/>
        <w:overflowPunct w:val="0"/>
        <w:autoSpaceDN/>
        <w:adjustRightInd w:val="0"/>
        <w:snapToGrid w:val="0"/>
        <w:spacing w:beforeLines="50" w:before="180" w:line="480" w:lineRule="exact"/>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本項通過決議21項：</w:t>
      </w:r>
    </w:p>
    <w:p w14:paraId="4820FBF4"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(一)</w:t>
      </w:r>
      <w:r w:rsidRPr="006971F5">
        <w:rPr>
          <w:rFonts w:ascii="標楷體" w:eastAsia="標楷體" w:hAnsi="標楷體"/>
          <w:kern w:val="2"/>
          <w:sz w:val="32"/>
          <w:szCs w:val="32"/>
        </w:rPr>
        <w:t>114年度財政部國有財產署及所屬預算案於第2目「國有財產業務」</w:t>
      </w:r>
      <w:r w:rsidRPr="006971F5">
        <w:rPr>
          <w:rFonts w:ascii="標楷體" w:eastAsia="標楷體" w:hAnsi="標楷體" w:hint="eastAsia"/>
          <w:kern w:val="2"/>
          <w:sz w:val="32"/>
          <w:szCs w:val="32"/>
        </w:rPr>
        <w:t>項下「國有財產接收保管」之「業務費」</w:t>
      </w:r>
      <w:r w:rsidRPr="006971F5">
        <w:rPr>
          <w:rFonts w:ascii="標楷體" w:eastAsia="標楷體" w:hAnsi="標楷體"/>
          <w:kern w:val="2"/>
          <w:sz w:val="32"/>
          <w:szCs w:val="32"/>
        </w:rPr>
        <w:t>編列7,</w:t>
      </w:r>
      <w:r w:rsidRPr="006971F5">
        <w:rPr>
          <w:rFonts w:ascii="標楷體" w:eastAsia="標楷體" w:hAnsi="標楷體" w:hint="eastAsia"/>
          <w:kern w:val="2"/>
          <w:sz w:val="32"/>
          <w:szCs w:val="32"/>
        </w:rPr>
        <w:t>088</w:t>
      </w:r>
      <w:r w:rsidRPr="006971F5">
        <w:rPr>
          <w:rFonts w:ascii="標楷體" w:eastAsia="標楷體" w:hAnsi="標楷體"/>
          <w:kern w:val="2"/>
          <w:sz w:val="32"/>
          <w:szCs w:val="32"/>
        </w:rPr>
        <w:t>萬</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千元。有鑑於國有土地長年遭</w:t>
      </w:r>
      <w:r w:rsidRPr="006971F5">
        <w:rPr>
          <w:rFonts w:ascii="標楷體" w:eastAsia="標楷體" w:hAnsi="標楷體" w:hint="eastAsia"/>
          <w:kern w:val="2"/>
          <w:sz w:val="32"/>
          <w:szCs w:val="32"/>
        </w:rPr>
        <w:t>占</w:t>
      </w:r>
      <w:r w:rsidRPr="006971F5">
        <w:rPr>
          <w:rFonts w:ascii="標楷體" w:eastAsia="標楷體" w:hAnsi="標楷體"/>
          <w:kern w:val="2"/>
          <w:sz w:val="32"/>
          <w:szCs w:val="32"/>
        </w:rPr>
        <w:t>用，已是多年無法解決的難題。立法院預算中心</w:t>
      </w:r>
      <w:r w:rsidRPr="006971F5">
        <w:rPr>
          <w:rFonts w:ascii="標楷體" w:eastAsia="標楷體" w:hAnsi="標楷體" w:hint="eastAsia"/>
          <w:kern w:val="2"/>
          <w:sz w:val="32"/>
          <w:szCs w:val="32"/>
        </w:rPr>
        <w:t>評估報告</w:t>
      </w:r>
      <w:r w:rsidRPr="006971F5">
        <w:rPr>
          <w:rFonts w:ascii="標楷體" w:eastAsia="標楷體" w:hAnsi="標楷體"/>
          <w:kern w:val="2"/>
          <w:sz w:val="32"/>
          <w:szCs w:val="32"/>
        </w:rPr>
        <w:t>指出，截至112年7月底止，國有非公用土地被占用筆數及面積各為37萬3千餘筆(錄)及1萬5千餘公頃，恐影響國有非公用財產使用收益。惟</w:t>
      </w:r>
      <w:r w:rsidRPr="006971F5">
        <w:rPr>
          <w:rFonts w:ascii="標楷體" w:eastAsia="標楷體" w:hAnsi="標楷體" w:hint="eastAsia"/>
          <w:kern w:val="2"/>
          <w:sz w:val="32"/>
          <w:szCs w:val="32"/>
        </w:rPr>
        <w:t>財政部</w:t>
      </w:r>
      <w:r w:rsidRPr="006971F5">
        <w:rPr>
          <w:rFonts w:ascii="標楷體" w:eastAsia="標楷體" w:hAnsi="標楷體"/>
          <w:kern w:val="2"/>
          <w:sz w:val="32"/>
          <w:szCs w:val="32"/>
        </w:rPr>
        <w:t>國有財產署指出，勘查人力有限，派遣人員實地勘查時，經常遇到現場障礙物、天然地形及人為因素阻隔，甚至存在危及人身安全的隱患，導致無法順利完成勘查，使過往實地探測土地現況有其困難。另比較財政部國有財產署106至111年處理被</w:t>
      </w:r>
      <w:r w:rsidRPr="006971F5">
        <w:rPr>
          <w:rFonts w:ascii="標楷體" w:eastAsia="標楷體" w:hAnsi="標楷體" w:hint="eastAsia"/>
          <w:kern w:val="2"/>
          <w:sz w:val="32"/>
          <w:szCs w:val="32"/>
        </w:rPr>
        <w:t>占</w:t>
      </w:r>
      <w:r w:rsidRPr="006971F5">
        <w:rPr>
          <w:rFonts w:ascii="標楷體" w:eastAsia="標楷體" w:hAnsi="標楷體"/>
          <w:kern w:val="2"/>
          <w:sz w:val="32"/>
          <w:szCs w:val="32"/>
        </w:rPr>
        <w:t>用土地筆數及面積，顯示財政部國有財產署優先去化較大面積之被占用土地。由於被占用之較大面積土地漸減，所餘較小及較瑣細之被占用土地，亟待研擬較細緻之處理方式。爰此，凍結該項預算</w:t>
      </w:r>
      <w:r w:rsidRPr="006971F5">
        <w:rPr>
          <w:rFonts w:ascii="標楷體" w:eastAsia="標楷體" w:hAnsi="標楷體" w:hint="eastAsia"/>
          <w:kern w:val="2"/>
          <w:sz w:val="32"/>
          <w:szCs w:val="32"/>
        </w:rPr>
        <w:t>二十分之一</w:t>
      </w:r>
      <w:r w:rsidRPr="006971F5">
        <w:rPr>
          <w:rFonts w:ascii="標楷體" w:eastAsia="標楷體" w:hAnsi="標楷體"/>
          <w:kern w:val="2"/>
          <w:sz w:val="32"/>
          <w:szCs w:val="32"/>
        </w:rPr>
        <w:t>，俟財政部國有財產署於3個月內</w:t>
      </w:r>
      <w:r w:rsidRPr="006971F5">
        <w:rPr>
          <w:rFonts w:ascii="標楷體" w:eastAsia="標楷體" w:hAnsi="標楷體" w:hint="eastAsia"/>
          <w:kern w:val="2"/>
          <w:sz w:val="32"/>
          <w:szCs w:val="32"/>
        </w:rPr>
        <w:t>，</w:t>
      </w:r>
      <w:r w:rsidRPr="006971F5">
        <w:rPr>
          <w:rFonts w:ascii="標楷體" w:eastAsia="標楷體" w:hAnsi="標楷體"/>
          <w:kern w:val="2"/>
          <w:sz w:val="32"/>
          <w:szCs w:val="32"/>
        </w:rPr>
        <w:t>就如何利用無人機</w:t>
      </w:r>
      <w:r w:rsidRPr="006971F5">
        <w:rPr>
          <w:rFonts w:ascii="標楷體" w:eastAsia="標楷體" w:hAnsi="標楷體" w:hint="eastAsia"/>
          <w:kern w:val="2"/>
          <w:sz w:val="32"/>
          <w:szCs w:val="32"/>
        </w:rPr>
        <w:t>等</w:t>
      </w:r>
      <w:r w:rsidRPr="006971F5">
        <w:rPr>
          <w:rFonts w:ascii="標楷體" w:eastAsia="標楷體" w:hAnsi="標楷體"/>
          <w:kern w:val="2"/>
          <w:sz w:val="32"/>
          <w:szCs w:val="32"/>
        </w:rPr>
        <w:t>新興科技，突破實地勘</w:t>
      </w:r>
      <w:r w:rsidRPr="006971F5">
        <w:rPr>
          <w:rFonts w:ascii="標楷體" w:eastAsia="標楷體" w:hAnsi="標楷體" w:hint="eastAsia"/>
          <w:kern w:val="2"/>
          <w:sz w:val="32"/>
          <w:szCs w:val="32"/>
        </w:rPr>
        <w:t>查</w:t>
      </w:r>
      <w:r w:rsidRPr="006971F5">
        <w:rPr>
          <w:rFonts w:ascii="標楷體" w:eastAsia="標楷體" w:hAnsi="標楷體"/>
          <w:kern w:val="2"/>
          <w:sz w:val="32"/>
          <w:szCs w:val="32"/>
        </w:rPr>
        <w:t>困境及加速處理國有土地遭</w:t>
      </w:r>
      <w:r w:rsidRPr="006971F5">
        <w:rPr>
          <w:rFonts w:ascii="標楷體" w:eastAsia="標楷體" w:hAnsi="標楷體" w:hint="eastAsia"/>
          <w:kern w:val="2"/>
          <w:sz w:val="32"/>
          <w:szCs w:val="32"/>
        </w:rPr>
        <w:t>占</w:t>
      </w:r>
      <w:r w:rsidRPr="006971F5">
        <w:rPr>
          <w:rFonts w:ascii="標楷體" w:eastAsia="標楷體" w:hAnsi="標楷體"/>
          <w:kern w:val="2"/>
          <w:sz w:val="32"/>
          <w:szCs w:val="32"/>
        </w:rPr>
        <w:t>用情</w:t>
      </w:r>
      <w:r w:rsidRPr="006971F5">
        <w:rPr>
          <w:rFonts w:ascii="標楷體" w:eastAsia="標楷體" w:hAnsi="標楷體" w:hint="eastAsia"/>
          <w:kern w:val="2"/>
          <w:sz w:val="32"/>
          <w:szCs w:val="32"/>
        </w:rPr>
        <w:t>事</w:t>
      </w:r>
      <w:r w:rsidRPr="006971F5">
        <w:rPr>
          <w:rFonts w:ascii="標楷體" w:eastAsia="標楷體" w:hAnsi="標楷體"/>
          <w:kern w:val="2"/>
          <w:sz w:val="32"/>
          <w:szCs w:val="32"/>
        </w:rPr>
        <w:t>，以增進國有非公用土地之管理與使用效益</w:t>
      </w:r>
      <w:r w:rsidRPr="006971F5">
        <w:rPr>
          <w:rFonts w:ascii="標楷體" w:eastAsia="標楷體" w:hAnsi="標楷體" w:hint="eastAsia"/>
          <w:kern w:val="2"/>
          <w:sz w:val="32"/>
          <w:szCs w:val="32"/>
        </w:rPr>
        <w:t>，</w:t>
      </w:r>
      <w:r w:rsidRPr="006971F5">
        <w:rPr>
          <w:rFonts w:ascii="標楷體" w:eastAsia="標楷體" w:hAnsi="標楷體"/>
          <w:kern w:val="2"/>
          <w:sz w:val="32"/>
          <w:szCs w:val="32"/>
        </w:rPr>
        <w:t>向立法院財政委員會提出</w:t>
      </w:r>
      <w:r w:rsidRPr="006971F5">
        <w:rPr>
          <w:rFonts w:ascii="標楷體" w:eastAsia="標楷體" w:hAnsi="標楷體" w:hint="eastAsia"/>
          <w:kern w:val="2"/>
          <w:sz w:val="32"/>
          <w:szCs w:val="32"/>
        </w:rPr>
        <w:t>書面</w:t>
      </w:r>
      <w:r w:rsidRPr="006971F5">
        <w:rPr>
          <w:rFonts w:ascii="標楷體" w:eastAsia="標楷體" w:hAnsi="標楷體"/>
          <w:kern w:val="2"/>
          <w:sz w:val="32"/>
          <w:szCs w:val="32"/>
        </w:rPr>
        <w:t>報告</w:t>
      </w:r>
      <w:r w:rsidRPr="006971F5">
        <w:rPr>
          <w:rFonts w:ascii="標楷體" w:eastAsia="標楷體" w:hAnsi="標楷體" w:hint="eastAsia"/>
          <w:kern w:val="2"/>
          <w:sz w:val="32"/>
          <w:szCs w:val="32"/>
        </w:rPr>
        <w:t>後</w:t>
      </w:r>
      <w:r w:rsidRPr="006971F5">
        <w:rPr>
          <w:rFonts w:ascii="標楷體" w:eastAsia="標楷體" w:hAnsi="標楷體"/>
          <w:kern w:val="2"/>
          <w:sz w:val="32"/>
          <w:szCs w:val="32"/>
        </w:rPr>
        <w:t>，始得動支</w:t>
      </w:r>
      <w:r w:rsidRPr="006971F5">
        <w:rPr>
          <w:rFonts w:ascii="標楷體" w:eastAsia="標楷體" w:hAnsi="標楷體" w:hint="eastAsia"/>
          <w:kern w:val="2"/>
          <w:sz w:val="32"/>
          <w:szCs w:val="32"/>
        </w:rPr>
        <w:t>。</w:t>
      </w:r>
    </w:p>
    <w:p w14:paraId="346E9463" w14:textId="322E4DD8"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提案人：黃珊珊　陳玉珍　王鴻薇</w:t>
      </w:r>
    </w:p>
    <w:p w14:paraId="113F5E27"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(二)114年度財政部國有財產署及所屬</w:t>
      </w:r>
      <w:r w:rsidRPr="006971F5">
        <w:rPr>
          <w:rFonts w:ascii="標楷體" w:eastAsia="標楷體" w:hAnsi="標楷體"/>
          <w:kern w:val="2"/>
          <w:sz w:val="32"/>
          <w:szCs w:val="32"/>
        </w:rPr>
        <w:t>預算案於</w:t>
      </w:r>
      <w:r w:rsidRPr="006971F5">
        <w:rPr>
          <w:rFonts w:ascii="標楷體" w:eastAsia="標楷體" w:hAnsi="標楷體" w:hint="eastAsia"/>
          <w:kern w:val="2"/>
          <w:sz w:val="32"/>
          <w:szCs w:val="32"/>
        </w:rPr>
        <w:t>第2目「國有財產業務」項下「國有財產接收保管」之「業務費」編列7</w:t>
      </w:r>
      <w:r w:rsidRPr="006971F5">
        <w:rPr>
          <w:rFonts w:ascii="標楷體" w:eastAsia="標楷體" w:hAnsi="標楷體"/>
          <w:kern w:val="2"/>
          <w:sz w:val="32"/>
          <w:szCs w:val="32"/>
        </w:rPr>
        <w:t>,</w:t>
      </w:r>
      <w:r w:rsidRPr="006971F5">
        <w:rPr>
          <w:rFonts w:ascii="標楷體" w:eastAsia="標楷體" w:hAnsi="標楷體" w:hint="eastAsia"/>
          <w:kern w:val="2"/>
          <w:sz w:val="32"/>
          <w:szCs w:val="32"/>
        </w:rPr>
        <w:t>088萬3千元，依據遺產及贈與稅法第30條第4項規定，納稅義務人於符合一定條件下，得以實物抵繳稅額，經稽徵機關審核同意後，由財政部國有財產署所屬各分署負責辦理抵稅實物之接管及處理，然自108至113年抵稅實物處理情形，合計抵繳金額2,118億元，其中已處理846億元，待處理1,272億元，處理比率未達四成，</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應積極處理，並適</w:t>
      </w:r>
      <w:r w:rsidRPr="006971F5">
        <w:rPr>
          <w:rFonts w:ascii="標楷體" w:eastAsia="標楷體" w:hAnsi="標楷體" w:hint="eastAsia"/>
          <w:kern w:val="2"/>
          <w:sz w:val="32"/>
          <w:szCs w:val="32"/>
        </w:rPr>
        <w:lastRenderedPageBreak/>
        <w:t>時檢討相關法規，以加速去化抵稅實物。爰凍結該項預算200萬元，俟財政部國有財產署向立法院財政委員會提出書面報告</w:t>
      </w:r>
      <w:r w:rsidRPr="006971F5">
        <w:rPr>
          <w:rFonts w:ascii="標楷體" w:eastAsia="標楷體" w:hAnsi="標楷體"/>
          <w:kern w:val="2"/>
          <w:sz w:val="32"/>
          <w:szCs w:val="32"/>
        </w:rPr>
        <w:t>後</w:t>
      </w:r>
      <w:r w:rsidRPr="006971F5">
        <w:rPr>
          <w:rFonts w:ascii="標楷體" w:eastAsia="標楷體" w:hAnsi="標楷體" w:hint="eastAsia"/>
          <w:kern w:val="2"/>
          <w:sz w:val="32"/>
          <w:szCs w:val="32"/>
        </w:rPr>
        <w:t>，始得動支。</w:t>
      </w:r>
    </w:p>
    <w:p w14:paraId="470BBCE2" w14:textId="26F21DEB"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提案人：李彥秀　</w:t>
      </w:r>
    </w:p>
    <w:p w14:paraId="285A0537" w14:textId="14BD8DAE"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連署人：羅明才　顏寬恒</w:t>
      </w:r>
    </w:p>
    <w:p w14:paraId="2086E407"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(三)</w:t>
      </w:r>
      <w:r w:rsidRPr="006971F5">
        <w:rPr>
          <w:rFonts w:ascii="標楷體" w:eastAsia="標楷體" w:hAnsi="標楷體"/>
          <w:kern w:val="2"/>
          <w:sz w:val="32"/>
          <w:szCs w:val="32"/>
        </w:rPr>
        <w:t>114年度財政部國有財產署及所屬預算案於第2目「國有財產業務」</w:t>
      </w:r>
      <w:r w:rsidRPr="006971F5">
        <w:rPr>
          <w:rFonts w:ascii="標楷體" w:eastAsia="標楷體" w:hAnsi="標楷體" w:hint="eastAsia"/>
          <w:kern w:val="2"/>
          <w:sz w:val="32"/>
          <w:szCs w:val="32"/>
        </w:rPr>
        <w:t>項下「國有財產管理處分」之「業務費」</w:t>
      </w:r>
      <w:r w:rsidRPr="006971F5">
        <w:rPr>
          <w:rFonts w:ascii="標楷體" w:eastAsia="標楷體" w:hAnsi="標楷體"/>
          <w:kern w:val="2"/>
          <w:sz w:val="32"/>
          <w:szCs w:val="32"/>
        </w:rPr>
        <w:t>編列</w:t>
      </w:r>
      <w:r w:rsidRPr="006971F5">
        <w:rPr>
          <w:rFonts w:ascii="標楷體" w:eastAsia="標楷體" w:hAnsi="標楷體" w:hint="eastAsia"/>
          <w:kern w:val="2"/>
          <w:sz w:val="32"/>
          <w:szCs w:val="32"/>
        </w:rPr>
        <w:t>1</w:t>
      </w:r>
      <w:r w:rsidRPr="006971F5">
        <w:rPr>
          <w:rFonts w:ascii="標楷體" w:eastAsia="標楷體" w:hAnsi="標楷體"/>
          <w:kern w:val="2"/>
          <w:sz w:val="32"/>
          <w:szCs w:val="32"/>
        </w:rPr>
        <w:t>7</w:t>
      </w:r>
      <w:r w:rsidRPr="006971F5">
        <w:rPr>
          <w:rFonts w:ascii="標楷體" w:eastAsia="標楷體" w:hAnsi="標楷體" w:hint="eastAsia"/>
          <w:kern w:val="2"/>
          <w:sz w:val="32"/>
          <w:szCs w:val="32"/>
        </w:rPr>
        <w:t>億7</w:t>
      </w:r>
      <w:r w:rsidRPr="006971F5">
        <w:rPr>
          <w:rFonts w:ascii="標楷體" w:eastAsia="標楷體" w:hAnsi="標楷體"/>
          <w:kern w:val="2"/>
          <w:sz w:val="32"/>
          <w:szCs w:val="32"/>
        </w:rPr>
        <w:t>,</w:t>
      </w:r>
      <w:r w:rsidRPr="006971F5">
        <w:rPr>
          <w:rFonts w:ascii="標楷體" w:eastAsia="標楷體" w:hAnsi="標楷體" w:hint="eastAsia"/>
          <w:kern w:val="2"/>
          <w:sz w:val="32"/>
          <w:szCs w:val="32"/>
        </w:rPr>
        <w:t>331</w:t>
      </w:r>
      <w:r w:rsidRPr="006971F5">
        <w:rPr>
          <w:rFonts w:ascii="標楷體" w:eastAsia="標楷體" w:hAnsi="標楷體"/>
          <w:kern w:val="2"/>
          <w:sz w:val="32"/>
          <w:szCs w:val="32"/>
        </w:rPr>
        <w:t>萬</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千元。戰後，日本在臺公私產業均歸中華民國政府接收。35年1月政府開始遣返總數達29</w:t>
      </w:r>
      <w:r w:rsidRPr="006971F5">
        <w:rPr>
          <w:rFonts w:ascii="標楷體" w:eastAsia="標楷體" w:hAnsi="標楷體" w:hint="eastAsia"/>
          <w:kern w:val="2"/>
          <w:sz w:val="32"/>
          <w:szCs w:val="32"/>
        </w:rPr>
        <w:t>萬</w:t>
      </w:r>
      <w:r w:rsidRPr="006971F5">
        <w:rPr>
          <w:rFonts w:ascii="標楷體" w:eastAsia="標楷體" w:hAnsi="標楷體"/>
          <w:kern w:val="2"/>
          <w:sz w:val="32"/>
          <w:szCs w:val="32"/>
        </w:rPr>
        <w:t>2,713名的日本僑民，並且開始接收日人私有財產，於是在臺灣省接收委員會下設置日產處理、標售、清算委員會。其後陸續由臺灣省公產管理處、</w:t>
      </w:r>
      <w:r w:rsidRPr="006971F5">
        <w:rPr>
          <w:rFonts w:ascii="標楷體" w:eastAsia="標楷體" w:hAnsi="標楷體" w:hint="eastAsia"/>
          <w:kern w:val="2"/>
          <w:sz w:val="32"/>
          <w:szCs w:val="32"/>
        </w:rPr>
        <w:t>臺灣土地銀行股份有限公司</w:t>
      </w:r>
      <w:r w:rsidRPr="006971F5">
        <w:rPr>
          <w:rFonts w:ascii="標楷體" w:eastAsia="標楷體" w:hAnsi="標楷體"/>
          <w:kern w:val="2"/>
          <w:sz w:val="32"/>
          <w:szCs w:val="32"/>
        </w:rPr>
        <w:t>公產代管部、財政部國有財產局辦理。日人私有財產部分，總共接收房屋</w:t>
      </w:r>
      <w:r w:rsidRPr="006971F5">
        <w:rPr>
          <w:rFonts w:ascii="標楷體" w:eastAsia="標楷體" w:hAnsi="標楷體" w:hint="eastAsia"/>
          <w:kern w:val="2"/>
          <w:sz w:val="32"/>
          <w:szCs w:val="32"/>
        </w:rPr>
        <w:t>2</w:t>
      </w:r>
      <w:r w:rsidRPr="006971F5">
        <w:rPr>
          <w:rFonts w:ascii="標楷體" w:eastAsia="標楷體" w:hAnsi="標楷體"/>
          <w:kern w:val="2"/>
          <w:sz w:val="32"/>
          <w:szCs w:val="32"/>
        </w:rPr>
        <w:t>萬餘棟、土地近</w:t>
      </w:r>
      <w:r w:rsidRPr="006971F5">
        <w:rPr>
          <w:rFonts w:ascii="標楷體" w:eastAsia="標楷體" w:hAnsi="標楷體" w:hint="eastAsia"/>
          <w:kern w:val="2"/>
          <w:sz w:val="32"/>
          <w:szCs w:val="32"/>
        </w:rPr>
        <w:t>2</w:t>
      </w:r>
      <w:r w:rsidRPr="006971F5">
        <w:rPr>
          <w:rFonts w:ascii="標楷體" w:eastAsia="標楷體" w:hAnsi="標楷體"/>
          <w:kern w:val="2"/>
          <w:sz w:val="32"/>
          <w:szCs w:val="32"/>
        </w:rPr>
        <w:t>萬甲，另有工場設備、原料成品、運輸設備及工具等動產，全部價值約合舊臺幣14億餘元，在接管後交付處理，處理後剩餘的財產及出租財產，是現有國有非公用財產來源之一。惟當年作業均已紙本謄抄紀錄，加上不動產登記買賣移轉登記制度紊亂，疑有發生</w:t>
      </w:r>
      <w:r w:rsidRPr="006971F5">
        <w:rPr>
          <w:rFonts w:ascii="標楷體" w:eastAsia="標楷體" w:hAnsi="標楷體" w:hint="eastAsia"/>
          <w:kern w:val="2"/>
          <w:sz w:val="32"/>
          <w:szCs w:val="32"/>
        </w:rPr>
        <w:t>臺灣土地銀行股份有限公司</w:t>
      </w:r>
      <w:r w:rsidRPr="006971F5">
        <w:rPr>
          <w:rFonts w:ascii="標楷體" w:eastAsia="標楷體" w:hAnsi="標楷體"/>
          <w:kern w:val="2"/>
          <w:sz w:val="32"/>
          <w:szCs w:val="32"/>
        </w:rPr>
        <w:t>公產代管處已出售之日產，卻未完成產權移轉登記之狀況，並且未有保存完善當年買賣紀錄等資料，使相關土地爭議。爰凍結</w:t>
      </w:r>
      <w:r w:rsidRPr="006971F5">
        <w:rPr>
          <w:rFonts w:ascii="標楷體" w:eastAsia="標楷體" w:hAnsi="標楷體" w:hint="eastAsia"/>
          <w:kern w:val="2"/>
          <w:sz w:val="32"/>
          <w:szCs w:val="32"/>
        </w:rPr>
        <w:t>該項</w:t>
      </w:r>
      <w:r w:rsidRPr="006971F5">
        <w:rPr>
          <w:rFonts w:ascii="標楷體" w:eastAsia="標楷體" w:hAnsi="標楷體"/>
          <w:kern w:val="2"/>
          <w:sz w:val="32"/>
          <w:szCs w:val="32"/>
        </w:rPr>
        <w:t>預算</w:t>
      </w:r>
      <w:r w:rsidRPr="006971F5">
        <w:rPr>
          <w:rFonts w:ascii="標楷體" w:eastAsia="標楷體" w:hAnsi="標楷體" w:hint="eastAsia"/>
          <w:kern w:val="2"/>
          <w:sz w:val="32"/>
          <w:szCs w:val="32"/>
        </w:rPr>
        <w:t>200萬元</w:t>
      </w:r>
      <w:r w:rsidRPr="006971F5">
        <w:rPr>
          <w:rFonts w:ascii="標楷體" w:eastAsia="標楷體" w:hAnsi="標楷體"/>
          <w:kern w:val="2"/>
          <w:sz w:val="32"/>
          <w:szCs w:val="32"/>
        </w:rPr>
        <w:t>，俟財政部國有財產署於</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個月內，就</w:t>
      </w:r>
      <w:r w:rsidRPr="006971F5">
        <w:rPr>
          <w:rFonts w:ascii="標楷體" w:eastAsia="標楷體" w:hAnsi="標楷體" w:hint="eastAsia"/>
          <w:kern w:val="2"/>
          <w:sz w:val="32"/>
          <w:szCs w:val="32"/>
        </w:rPr>
        <w:t>相關</w:t>
      </w:r>
      <w:r w:rsidRPr="006971F5">
        <w:rPr>
          <w:rFonts w:ascii="標楷體" w:eastAsia="標楷體" w:hAnsi="標楷體"/>
          <w:kern w:val="2"/>
          <w:sz w:val="32"/>
          <w:szCs w:val="32"/>
        </w:rPr>
        <w:t>救濟作為向立法院財政委員會提出書面報告後，始得動支</w:t>
      </w:r>
      <w:r w:rsidRPr="006971F5">
        <w:rPr>
          <w:rFonts w:ascii="標楷體" w:eastAsia="標楷體" w:hAnsi="標楷體" w:hint="eastAsia"/>
          <w:kern w:val="2"/>
          <w:sz w:val="32"/>
          <w:szCs w:val="32"/>
        </w:rPr>
        <w:t>。</w:t>
      </w:r>
    </w:p>
    <w:p w14:paraId="71E69A3C" w14:textId="6594B7B1"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提案人：黃珊珊　陳玉珍　王鴻薇</w:t>
      </w:r>
    </w:p>
    <w:p w14:paraId="36B7EAC1"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(四)</w:t>
      </w:r>
      <w:r w:rsidRPr="006971F5">
        <w:rPr>
          <w:rFonts w:ascii="標楷體" w:eastAsia="標楷體" w:hAnsi="標楷體"/>
          <w:kern w:val="2"/>
          <w:sz w:val="32"/>
          <w:szCs w:val="32"/>
        </w:rPr>
        <w:t>114年度財政部國有財產署及所屬預算案於第2目「國有財產業務」</w:t>
      </w:r>
      <w:r w:rsidRPr="006971F5">
        <w:rPr>
          <w:rFonts w:ascii="標楷體" w:eastAsia="標楷體" w:hAnsi="標楷體" w:hint="eastAsia"/>
          <w:kern w:val="2"/>
          <w:sz w:val="32"/>
          <w:szCs w:val="32"/>
        </w:rPr>
        <w:t>項下「國有財產管理處分」之「業務費」</w:t>
      </w:r>
      <w:r w:rsidRPr="006971F5">
        <w:rPr>
          <w:rFonts w:ascii="標楷體" w:eastAsia="標楷體" w:hAnsi="標楷體"/>
          <w:kern w:val="2"/>
          <w:sz w:val="32"/>
          <w:szCs w:val="32"/>
        </w:rPr>
        <w:t>編列</w:t>
      </w:r>
      <w:r w:rsidRPr="006971F5">
        <w:rPr>
          <w:rFonts w:ascii="標楷體" w:eastAsia="標楷體" w:hAnsi="標楷體" w:hint="eastAsia"/>
          <w:kern w:val="2"/>
          <w:sz w:val="32"/>
          <w:szCs w:val="32"/>
        </w:rPr>
        <w:t>1</w:t>
      </w:r>
      <w:r w:rsidRPr="006971F5">
        <w:rPr>
          <w:rFonts w:ascii="標楷體" w:eastAsia="標楷體" w:hAnsi="標楷體"/>
          <w:kern w:val="2"/>
          <w:sz w:val="32"/>
          <w:szCs w:val="32"/>
        </w:rPr>
        <w:t>7</w:t>
      </w:r>
      <w:r w:rsidRPr="006971F5">
        <w:rPr>
          <w:rFonts w:ascii="標楷體" w:eastAsia="標楷體" w:hAnsi="標楷體" w:hint="eastAsia"/>
          <w:kern w:val="2"/>
          <w:sz w:val="32"/>
          <w:szCs w:val="32"/>
        </w:rPr>
        <w:t>億7</w:t>
      </w:r>
      <w:r w:rsidRPr="006971F5">
        <w:rPr>
          <w:rFonts w:ascii="標楷體" w:eastAsia="標楷體" w:hAnsi="標楷體"/>
          <w:kern w:val="2"/>
          <w:sz w:val="32"/>
          <w:szCs w:val="32"/>
        </w:rPr>
        <w:t>,</w:t>
      </w:r>
      <w:r w:rsidRPr="006971F5">
        <w:rPr>
          <w:rFonts w:ascii="標楷體" w:eastAsia="標楷體" w:hAnsi="標楷體" w:hint="eastAsia"/>
          <w:kern w:val="2"/>
          <w:sz w:val="32"/>
          <w:szCs w:val="32"/>
        </w:rPr>
        <w:t>331</w:t>
      </w:r>
      <w:r w:rsidRPr="006971F5">
        <w:rPr>
          <w:rFonts w:ascii="標楷體" w:eastAsia="標楷體" w:hAnsi="標楷體"/>
          <w:kern w:val="2"/>
          <w:sz w:val="32"/>
          <w:szCs w:val="32"/>
        </w:rPr>
        <w:t>萬</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千元。依據審計部112年度中央政府總決算審核報告指出，財政部國有財產署95年6月9日作成國有基地出租（售）須考量整體開發利用效益之認定原則，未將土地之地段價值等要件予以納入考量，致無法避免位屬臺北市信義區及</w:t>
      </w:r>
      <w:r w:rsidRPr="006971F5">
        <w:rPr>
          <w:rFonts w:ascii="標楷體" w:eastAsia="標楷體" w:hAnsi="標楷體"/>
          <w:kern w:val="2"/>
          <w:sz w:val="32"/>
          <w:szCs w:val="32"/>
        </w:rPr>
        <w:lastRenderedPageBreak/>
        <w:t>大安區等為高價值地段之國有土地，遭有心人士藉由申租、申購等方式，刻意創造為畸零地，損及國有土地可運用效益。財政部國有財產署嗣後考量有關整體利用係屬抽象性之宣示與規範，及國產計價已參考市價查估等由，於97年通函所屬停止適用，影響所及，該署所屬辦理標售案件，得逕將一宗國有土地之部分遭占用或出租土地辦理分割，並就其餘國有土地辦理標售，致標售後將使分割出之剩餘國有土地形成為畸零地或未臨路之裡地，減損土地利用價值，損及國產權益。爰凍結</w:t>
      </w:r>
      <w:r w:rsidRPr="006971F5">
        <w:rPr>
          <w:rFonts w:ascii="標楷體" w:eastAsia="標楷體" w:hAnsi="標楷體" w:hint="eastAsia"/>
          <w:kern w:val="2"/>
          <w:sz w:val="32"/>
          <w:szCs w:val="32"/>
        </w:rPr>
        <w:t>該項</w:t>
      </w:r>
      <w:r w:rsidRPr="006971F5">
        <w:rPr>
          <w:rFonts w:ascii="標楷體" w:eastAsia="標楷體" w:hAnsi="標楷體"/>
          <w:kern w:val="2"/>
          <w:sz w:val="32"/>
          <w:szCs w:val="32"/>
        </w:rPr>
        <w:t>預算</w:t>
      </w:r>
      <w:r w:rsidRPr="006971F5">
        <w:rPr>
          <w:rFonts w:ascii="標楷體" w:eastAsia="標楷體" w:hAnsi="標楷體" w:hint="eastAsia"/>
          <w:kern w:val="2"/>
          <w:sz w:val="32"/>
          <w:szCs w:val="32"/>
        </w:rPr>
        <w:t>200萬元</w:t>
      </w:r>
      <w:r w:rsidRPr="006971F5">
        <w:rPr>
          <w:rFonts w:ascii="標楷體" w:eastAsia="標楷體" w:hAnsi="標楷體"/>
          <w:kern w:val="2"/>
          <w:sz w:val="32"/>
          <w:szCs w:val="32"/>
        </w:rPr>
        <w:t>，俟財政部國有財產署於</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個月內，向立法院財政委員會提出書面報告後，始得動支</w:t>
      </w:r>
      <w:r w:rsidRPr="006971F5">
        <w:rPr>
          <w:rFonts w:ascii="標楷體" w:eastAsia="標楷體" w:hAnsi="標楷體" w:hint="eastAsia"/>
          <w:kern w:val="2"/>
          <w:sz w:val="32"/>
          <w:szCs w:val="32"/>
        </w:rPr>
        <w:t>。</w:t>
      </w:r>
    </w:p>
    <w:p w14:paraId="48B5CACD" w14:textId="77995DE3"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提案人：黃珊珊　陳玉珍　王鴻薇</w:t>
      </w:r>
    </w:p>
    <w:p w14:paraId="0131E867"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(五)</w:t>
      </w:r>
      <w:r w:rsidRPr="006971F5">
        <w:rPr>
          <w:rFonts w:ascii="標楷體" w:eastAsia="標楷體" w:hAnsi="標楷體"/>
          <w:kern w:val="2"/>
          <w:sz w:val="32"/>
          <w:szCs w:val="32"/>
        </w:rPr>
        <w:t>114年度財政部國有財產署及所屬預算案於第2目「國有財產業務」</w:t>
      </w:r>
      <w:r w:rsidRPr="006971F5">
        <w:rPr>
          <w:rFonts w:ascii="標楷體" w:eastAsia="標楷體" w:hAnsi="標楷體" w:hint="eastAsia"/>
          <w:kern w:val="2"/>
          <w:sz w:val="32"/>
          <w:szCs w:val="32"/>
        </w:rPr>
        <w:t>項下「國有財產管理處分」之「業務費」</w:t>
      </w:r>
      <w:r w:rsidRPr="006971F5">
        <w:rPr>
          <w:rFonts w:ascii="標楷體" w:eastAsia="標楷體" w:hAnsi="標楷體"/>
          <w:kern w:val="2"/>
          <w:sz w:val="32"/>
          <w:szCs w:val="32"/>
        </w:rPr>
        <w:t>編列</w:t>
      </w:r>
      <w:r w:rsidRPr="006971F5">
        <w:rPr>
          <w:rFonts w:ascii="標楷體" w:eastAsia="標楷體" w:hAnsi="標楷體" w:hint="eastAsia"/>
          <w:kern w:val="2"/>
          <w:sz w:val="32"/>
          <w:szCs w:val="32"/>
        </w:rPr>
        <w:t>1</w:t>
      </w:r>
      <w:r w:rsidRPr="006971F5">
        <w:rPr>
          <w:rFonts w:ascii="標楷體" w:eastAsia="標楷體" w:hAnsi="標楷體"/>
          <w:kern w:val="2"/>
          <w:sz w:val="32"/>
          <w:szCs w:val="32"/>
        </w:rPr>
        <w:t>7</w:t>
      </w:r>
      <w:r w:rsidRPr="006971F5">
        <w:rPr>
          <w:rFonts w:ascii="標楷體" w:eastAsia="標楷體" w:hAnsi="標楷體" w:hint="eastAsia"/>
          <w:kern w:val="2"/>
          <w:sz w:val="32"/>
          <w:szCs w:val="32"/>
        </w:rPr>
        <w:t>億7</w:t>
      </w:r>
      <w:r w:rsidRPr="006971F5">
        <w:rPr>
          <w:rFonts w:ascii="標楷體" w:eastAsia="標楷體" w:hAnsi="標楷體"/>
          <w:kern w:val="2"/>
          <w:sz w:val="32"/>
          <w:szCs w:val="32"/>
        </w:rPr>
        <w:t>,</w:t>
      </w:r>
      <w:r w:rsidRPr="006971F5">
        <w:rPr>
          <w:rFonts w:ascii="標楷體" w:eastAsia="標楷體" w:hAnsi="標楷體" w:hint="eastAsia"/>
          <w:kern w:val="2"/>
          <w:sz w:val="32"/>
          <w:szCs w:val="32"/>
        </w:rPr>
        <w:t>331</w:t>
      </w:r>
      <w:r w:rsidRPr="006971F5">
        <w:rPr>
          <w:rFonts w:ascii="標楷體" w:eastAsia="標楷體" w:hAnsi="標楷體"/>
          <w:kern w:val="2"/>
          <w:sz w:val="32"/>
          <w:szCs w:val="32"/>
        </w:rPr>
        <w:t>萬</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千元。據財政部國有財產署提供立法院預算中心資料，經財政部國有財產署清查，目前尚有長榮國際儲運股份有限公司等4家公司占用新北市汐止區貨櫃集散站內國有土地。長榮國際儲運股份有限公司占用25筆國有非公用土地，面積計1萬2,432.27平方公尺，前於112年經監察院糾正，要求該署檢討改善。另查中國貨櫃運輸股份有限公司占用28筆國有非公用土地，面積計5,624.18平方公尺；東亞運輸倉儲股份有限公司占用22筆國有非公用土地，面積計4,582.22平方公尺；環球倉儲股份有限公司占用12筆國有非公用土地，面積計2,431.06平方公尺；合計占用87筆國有非公用土地。4家公司占用新北市汐止區貨櫃集散站內87筆國有非公用土地，截至113年8月底止，僅收回長榮國際儲運股份有限公司占用之8筆保護區土地已完成植林，經該署北區分署同意辦理點交收回，其餘79筆國有非公用土地尚未收回。鑑於長榮國際儲運股份有限公司已獲判決，允宜輔導該公司取得合法使用權源或要求騰空交還等事宜；至中國貨櫃運輸股份有限公司等3家公司，允宜配合法院判決，儘速追繳使用補償金</w:t>
      </w:r>
      <w:r w:rsidRPr="006971F5">
        <w:rPr>
          <w:rFonts w:ascii="標楷體" w:eastAsia="標楷體" w:hAnsi="標楷體"/>
          <w:kern w:val="2"/>
          <w:sz w:val="32"/>
          <w:szCs w:val="32"/>
        </w:rPr>
        <w:lastRenderedPageBreak/>
        <w:t>，後續並依國有財產法等規定辦理。爰凍結</w:t>
      </w:r>
      <w:r w:rsidRPr="006971F5">
        <w:rPr>
          <w:rFonts w:ascii="標楷體" w:eastAsia="標楷體" w:hAnsi="標楷體" w:hint="eastAsia"/>
          <w:kern w:val="2"/>
          <w:sz w:val="32"/>
          <w:szCs w:val="32"/>
        </w:rPr>
        <w:t>該項</w:t>
      </w:r>
      <w:r w:rsidRPr="006971F5">
        <w:rPr>
          <w:rFonts w:ascii="標楷體" w:eastAsia="標楷體" w:hAnsi="標楷體"/>
          <w:kern w:val="2"/>
          <w:sz w:val="32"/>
          <w:szCs w:val="32"/>
        </w:rPr>
        <w:t>預算</w:t>
      </w:r>
      <w:r w:rsidRPr="006971F5">
        <w:rPr>
          <w:rFonts w:ascii="標楷體" w:eastAsia="標楷體" w:hAnsi="標楷體" w:hint="eastAsia"/>
          <w:kern w:val="2"/>
          <w:sz w:val="32"/>
          <w:szCs w:val="32"/>
        </w:rPr>
        <w:t>200萬元</w:t>
      </w:r>
      <w:r w:rsidRPr="006971F5">
        <w:rPr>
          <w:rFonts w:ascii="標楷體" w:eastAsia="標楷體" w:hAnsi="標楷體"/>
          <w:kern w:val="2"/>
          <w:sz w:val="32"/>
          <w:szCs w:val="32"/>
        </w:rPr>
        <w:t>，俟財政部國有財產署於</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個月內，就汐止區貨櫃集散站內被占用國有地處置進度</w:t>
      </w:r>
      <w:r w:rsidRPr="006971F5">
        <w:rPr>
          <w:rFonts w:ascii="標楷體" w:eastAsia="標楷體" w:hAnsi="標楷體" w:hint="eastAsia"/>
          <w:kern w:val="2"/>
          <w:sz w:val="32"/>
          <w:szCs w:val="32"/>
        </w:rPr>
        <w:t>，</w:t>
      </w:r>
      <w:r w:rsidRPr="006971F5">
        <w:rPr>
          <w:rFonts w:ascii="標楷體" w:eastAsia="標楷體" w:hAnsi="標楷體"/>
          <w:kern w:val="2"/>
          <w:sz w:val="32"/>
          <w:szCs w:val="32"/>
        </w:rPr>
        <w:t>向立法院財政委員會提出書面報告後，始得動支</w:t>
      </w:r>
      <w:r w:rsidRPr="006971F5">
        <w:rPr>
          <w:rFonts w:ascii="標楷體" w:eastAsia="標楷體" w:hAnsi="標楷體" w:hint="eastAsia"/>
          <w:kern w:val="2"/>
          <w:sz w:val="32"/>
          <w:szCs w:val="32"/>
        </w:rPr>
        <w:t>。</w:t>
      </w:r>
    </w:p>
    <w:p w14:paraId="72AD674B" w14:textId="7898ACB0"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提案人：黃珊珊　陳玉珍　王鴻薇</w:t>
      </w:r>
    </w:p>
    <w:p w14:paraId="0160AB14"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六)按114年度財政部國有財產署及所屬預算案於第2目「國有財產業務」項下「國有財產管理處分」之「業務費」編列17億7,331萬3千元。惟據審計部於113年7月底公告之112年度中央政府總決算審核報告指出：「國有財產署配合國土計畫之實施，定期召開會議研議國有非公用土地管理因應措施，惟歷來出租審辦作業未審視土地使用管制相關規定，致地上使用情形未盡適法」等語。經查，國有基地出租案件係基於民眾使用土地已存在相當程度之經濟依賴，將被占用不動產納入合法使用關係管理，然因歷來未審視申租案件之使用是否符合土地使用管制規定，致地上使用情形未盡適法。亦有已出租耕地遭闢建廠房違約使用多年，卻逕循例核准續租換約；或同屬違規使用之土地，部分核予基地租約、部分占用列管之差別處理等情事。按政府為促進國土永續發展，將土地資源劃分為國土保育地區、海洋資源地區、農業發展地區及城鄉發展地區等4種功能分區，</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雖就位處國土保育地區第一類範圍之出租案件，通知承租人依規定辦理土地使用合法作業，惟位處其他國土功能分區分類之租案，亦有涉及違規使用及未符功能分區使用之情形。鑑此，為敦促</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落實國有土地出租符合土地使用分區之使用方式。爰凍結該項預算200萬元，俟財政部國有財產署於3個月內向立法院財政委員會提出書面報告後，始得動支。</w:t>
      </w:r>
    </w:p>
    <w:p w14:paraId="748FBC75" w14:textId="553AEB4B"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提案人：賴惠員　</w:t>
      </w:r>
    </w:p>
    <w:p w14:paraId="493DDC6D" w14:textId="480789F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連署人：王世堅　郭國文</w:t>
      </w:r>
    </w:p>
    <w:p w14:paraId="653E13A4"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(七)114年度財政部國有財產署及所屬預算案於第2目「國有財產</w:t>
      </w:r>
      <w:r w:rsidRPr="006971F5">
        <w:rPr>
          <w:rFonts w:ascii="標楷體" w:eastAsia="標楷體" w:hAnsi="標楷體" w:hint="eastAsia"/>
          <w:kern w:val="2"/>
          <w:sz w:val="32"/>
          <w:szCs w:val="32"/>
        </w:rPr>
        <w:lastRenderedPageBreak/>
        <w:t>業務」項下「國有財產管理處分」之「業務費」編列1</w:t>
      </w:r>
      <w:r w:rsidRPr="006971F5">
        <w:rPr>
          <w:rFonts w:ascii="標楷體" w:eastAsia="標楷體" w:hAnsi="標楷體"/>
          <w:kern w:val="2"/>
          <w:sz w:val="32"/>
          <w:szCs w:val="32"/>
        </w:rPr>
        <w:t>7</w:t>
      </w:r>
      <w:r w:rsidRPr="006971F5">
        <w:rPr>
          <w:rFonts w:ascii="標楷體" w:eastAsia="標楷體" w:hAnsi="標楷體" w:hint="eastAsia"/>
          <w:kern w:val="2"/>
          <w:sz w:val="32"/>
          <w:szCs w:val="32"/>
        </w:rPr>
        <w:t>億</w:t>
      </w:r>
      <w:r w:rsidRPr="006971F5">
        <w:rPr>
          <w:rFonts w:ascii="標楷體" w:eastAsia="標楷體" w:hAnsi="標楷體"/>
          <w:kern w:val="2"/>
          <w:sz w:val="32"/>
          <w:szCs w:val="32"/>
        </w:rPr>
        <w:t>7,331</w:t>
      </w:r>
      <w:r w:rsidRPr="006971F5">
        <w:rPr>
          <w:rFonts w:ascii="標楷體" w:eastAsia="標楷體" w:hAnsi="標楷體" w:hint="eastAsia"/>
          <w:kern w:val="2"/>
          <w:sz w:val="32"/>
          <w:szCs w:val="32"/>
        </w:rPr>
        <w:t>萬</w:t>
      </w:r>
      <w:r w:rsidRPr="006971F5">
        <w:rPr>
          <w:rFonts w:ascii="標楷體" w:eastAsia="標楷體" w:hAnsi="標楷體"/>
          <w:kern w:val="2"/>
          <w:sz w:val="32"/>
          <w:szCs w:val="32"/>
        </w:rPr>
        <w:t>3</w:t>
      </w:r>
      <w:r w:rsidRPr="006971F5">
        <w:rPr>
          <w:rFonts w:ascii="標楷體" w:eastAsia="標楷體" w:hAnsi="標楷體" w:hint="eastAsia"/>
          <w:kern w:val="2"/>
          <w:sz w:val="32"/>
          <w:szCs w:val="32"/>
        </w:rPr>
        <w:t>千元，財政部國有財產署於處分彰化縣芳苑鄉之國有農業用地，將其</w:t>
      </w:r>
      <w:r w:rsidRPr="006971F5">
        <w:rPr>
          <w:rFonts w:ascii="標楷體" w:eastAsia="標楷體" w:hAnsi="標楷體"/>
          <w:kern w:val="2"/>
          <w:sz w:val="32"/>
          <w:szCs w:val="32"/>
        </w:rPr>
        <w:t>釋出供光電開發</w:t>
      </w:r>
      <w:r w:rsidRPr="006971F5">
        <w:rPr>
          <w:rFonts w:ascii="標楷體" w:eastAsia="標楷體" w:hAnsi="標楷體" w:hint="eastAsia"/>
          <w:kern w:val="2"/>
          <w:sz w:val="32"/>
          <w:szCs w:val="32"/>
        </w:rPr>
        <w:t>業者申請，並發給開發同意書，然查該地區為</w:t>
      </w:r>
      <w:r w:rsidRPr="006971F5">
        <w:rPr>
          <w:rFonts w:ascii="標楷體" w:eastAsia="標楷體" w:hAnsi="標楷體"/>
          <w:kern w:val="2"/>
          <w:sz w:val="32"/>
          <w:szCs w:val="32"/>
        </w:rPr>
        <w:t>平坦農地，有九成的農地仍在耕作</w:t>
      </w:r>
      <w:r w:rsidRPr="006971F5">
        <w:rPr>
          <w:rFonts w:ascii="標楷體" w:eastAsia="標楷體" w:hAnsi="標楷體" w:hint="eastAsia"/>
          <w:kern w:val="2"/>
          <w:sz w:val="32"/>
          <w:szCs w:val="32"/>
        </w:rPr>
        <w:t>，且依現行規定須農業部同意變更土地用途後方得為之，然本案中並未先徵詢農業部之意見，財政部國有財產署</w:t>
      </w:r>
      <w:r w:rsidRPr="006971F5">
        <w:rPr>
          <w:rFonts w:ascii="標楷體" w:eastAsia="標楷體" w:hAnsi="標楷體"/>
          <w:kern w:val="2"/>
          <w:sz w:val="32"/>
          <w:szCs w:val="32"/>
        </w:rPr>
        <w:t>未評估</w:t>
      </w:r>
      <w:r w:rsidRPr="006971F5">
        <w:rPr>
          <w:rFonts w:ascii="標楷體" w:eastAsia="標楷體" w:hAnsi="標楷體" w:hint="eastAsia"/>
          <w:kern w:val="2"/>
          <w:sz w:val="32"/>
          <w:szCs w:val="32"/>
        </w:rPr>
        <w:t>該</w:t>
      </w:r>
      <w:r w:rsidRPr="006971F5">
        <w:rPr>
          <w:rFonts w:ascii="標楷體" w:eastAsia="標楷體" w:hAnsi="標楷體"/>
          <w:kern w:val="2"/>
          <w:sz w:val="32"/>
          <w:szCs w:val="32"/>
        </w:rPr>
        <w:t>國有地申請綠能開發的可行性，忽略</w:t>
      </w:r>
      <w:r w:rsidRPr="006971F5">
        <w:rPr>
          <w:rFonts w:ascii="標楷體" w:eastAsia="標楷體" w:hAnsi="標楷體" w:hint="eastAsia"/>
          <w:kern w:val="2"/>
          <w:sz w:val="32"/>
          <w:szCs w:val="32"/>
        </w:rPr>
        <w:t>該國有地仍有</w:t>
      </w:r>
      <w:r w:rsidRPr="006971F5">
        <w:rPr>
          <w:rFonts w:ascii="標楷體" w:eastAsia="標楷體" w:hAnsi="標楷體"/>
          <w:kern w:val="2"/>
          <w:sz w:val="32"/>
          <w:szCs w:val="32"/>
        </w:rPr>
        <w:t>農民長期耕作</w:t>
      </w:r>
      <w:r w:rsidRPr="006971F5">
        <w:rPr>
          <w:rFonts w:ascii="標楷體" w:eastAsia="標楷體" w:hAnsi="標楷體" w:hint="eastAsia"/>
          <w:kern w:val="2"/>
          <w:sz w:val="32"/>
          <w:szCs w:val="32"/>
        </w:rPr>
        <w:t>之</w:t>
      </w:r>
      <w:r w:rsidRPr="006971F5">
        <w:rPr>
          <w:rFonts w:ascii="標楷體" w:eastAsia="標楷體" w:hAnsi="標楷體"/>
          <w:kern w:val="2"/>
          <w:sz w:val="32"/>
          <w:szCs w:val="32"/>
        </w:rPr>
        <w:t>事實，</w:t>
      </w:r>
      <w:r w:rsidRPr="006971F5">
        <w:rPr>
          <w:rFonts w:ascii="標楷體" w:eastAsia="標楷體" w:hAnsi="標楷體" w:hint="eastAsia"/>
          <w:kern w:val="2"/>
          <w:sz w:val="32"/>
          <w:szCs w:val="32"/>
        </w:rPr>
        <w:t>卻逕行</w:t>
      </w:r>
      <w:r w:rsidRPr="006971F5">
        <w:rPr>
          <w:rFonts w:ascii="標楷體" w:eastAsia="標楷體" w:hAnsi="標楷體"/>
          <w:kern w:val="2"/>
          <w:sz w:val="32"/>
          <w:szCs w:val="32"/>
        </w:rPr>
        <w:t>同意業者申請開發</w:t>
      </w:r>
      <w:r w:rsidRPr="006971F5">
        <w:rPr>
          <w:rFonts w:ascii="標楷體" w:eastAsia="標楷體" w:hAnsi="標楷體" w:hint="eastAsia"/>
          <w:kern w:val="2"/>
          <w:sz w:val="32"/>
          <w:szCs w:val="32"/>
        </w:rPr>
        <w:t>，恐有破壞農地之虞，亦造成施行農作之承租農民蒙受開發商之壓力，應檢討現行</w:t>
      </w:r>
      <w:r w:rsidRPr="006971F5">
        <w:rPr>
          <w:rFonts w:ascii="標楷體" w:eastAsia="標楷體" w:hAnsi="標楷體"/>
          <w:kern w:val="2"/>
          <w:sz w:val="32"/>
          <w:szCs w:val="32"/>
        </w:rPr>
        <w:t>國有非公用土地提供申請開發案件處理程序</w:t>
      </w:r>
      <w:r w:rsidRPr="006971F5">
        <w:rPr>
          <w:rFonts w:ascii="標楷體" w:eastAsia="標楷體" w:hAnsi="標楷體" w:hint="eastAsia"/>
          <w:kern w:val="2"/>
          <w:sz w:val="32"/>
          <w:szCs w:val="32"/>
        </w:rPr>
        <w:t>，是否應先待</w:t>
      </w:r>
      <w:r w:rsidRPr="006971F5">
        <w:rPr>
          <w:rFonts w:ascii="標楷體" w:eastAsia="標楷體" w:hAnsi="標楷體"/>
          <w:kern w:val="2"/>
          <w:sz w:val="32"/>
          <w:szCs w:val="32"/>
        </w:rPr>
        <w:t>業者提出之開發計畫，確實具法規可行性後，再開具國有土地同意合併開發證明</w:t>
      </w:r>
      <w:r w:rsidRPr="006971F5">
        <w:rPr>
          <w:rFonts w:ascii="標楷體" w:eastAsia="標楷體" w:hAnsi="標楷體" w:hint="eastAsia"/>
          <w:kern w:val="2"/>
          <w:sz w:val="32"/>
          <w:szCs w:val="32"/>
        </w:rPr>
        <w:t>。爰凍結該項預算200萬元，俟財政部國有財產署向立法院財政委員會提出書面報告後，始得動支。</w:t>
      </w:r>
    </w:p>
    <w:p w14:paraId="198476D0" w14:textId="042AE6F6"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提案人：李彥秀　</w:t>
      </w:r>
    </w:p>
    <w:p w14:paraId="09CEC330" w14:textId="43AEDBF6"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連署人：羅明才　顏寬恒</w:t>
      </w:r>
    </w:p>
    <w:p w14:paraId="5C22AFB3"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(八)</w:t>
      </w:r>
      <w:r w:rsidRPr="006971F5">
        <w:rPr>
          <w:rFonts w:ascii="標楷體" w:eastAsia="標楷體" w:hAnsi="標楷體"/>
          <w:kern w:val="2"/>
          <w:sz w:val="32"/>
          <w:szCs w:val="32"/>
        </w:rPr>
        <w:t>114年度財政部國有財產署及所屬預算案於第2目「國有財產業務」項下「國有財產管理處分」</w:t>
      </w:r>
      <w:r w:rsidRPr="006971F5">
        <w:rPr>
          <w:rFonts w:ascii="標楷體" w:eastAsia="標楷體" w:hAnsi="標楷體" w:hint="eastAsia"/>
          <w:kern w:val="2"/>
          <w:sz w:val="32"/>
          <w:szCs w:val="32"/>
        </w:rPr>
        <w:t>之</w:t>
      </w:r>
      <w:r w:rsidRPr="006971F5">
        <w:rPr>
          <w:rFonts w:ascii="標楷體" w:eastAsia="標楷體" w:hAnsi="標楷體"/>
          <w:kern w:val="2"/>
          <w:sz w:val="32"/>
          <w:szCs w:val="32"/>
        </w:rPr>
        <w:t>「業務費」編列「強勢外來入侵種移除防治及復育計畫」第1年經費1,617萬元，其中外來物種如：</w:t>
      </w:r>
      <w:r w:rsidRPr="006971F5">
        <w:rPr>
          <w:rFonts w:ascii="標楷體" w:eastAsia="標楷體" w:hAnsi="標楷體" w:hint="eastAsia"/>
          <w:kern w:val="2"/>
          <w:sz w:val="32"/>
          <w:szCs w:val="32"/>
        </w:rPr>
        <w:t>銀合歡，嚴重影響本土物種甚至擾民，</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應加強防範。爰凍結該項預算二十</w:t>
      </w:r>
      <w:r w:rsidRPr="006971F5">
        <w:rPr>
          <w:rFonts w:ascii="標楷體" w:eastAsia="標楷體" w:hAnsi="標楷體"/>
          <w:kern w:val="2"/>
          <w:sz w:val="32"/>
          <w:szCs w:val="32"/>
        </w:rPr>
        <w:t>分之</w:t>
      </w:r>
      <w:r w:rsidRPr="006971F5">
        <w:rPr>
          <w:rFonts w:ascii="標楷體" w:eastAsia="標楷體" w:hAnsi="標楷體" w:hint="eastAsia"/>
          <w:kern w:val="2"/>
          <w:sz w:val="32"/>
          <w:szCs w:val="32"/>
        </w:rPr>
        <w:t>一</w:t>
      </w:r>
      <w:r w:rsidRPr="006971F5">
        <w:rPr>
          <w:rFonts w:ascii="標楷體" w:eastAsia="標楷體" w:hAnsi="標楷體"/>
          <w:kern w:val="2"/>
          <w:sz w:val="32"/>
          <w:szCs w:val="32"/>
        </w:rPr>
        <w:t>，俟財政部國有財產署於3個月內向立法院財政委員會提出</w:t>
      </w:r>
      <w:r w:rsidRPr="006971F5">
        <w:rPr>
          <w:rFonts w:ascii="標楷體" w:eastAsia="標楷體" w:hAnsi="標楷體" w:hint="eastAsia"/>
          <w:kern w:val="2"/>
          <w:sz w:val="32"/>
          <w:szCs w:val="32"/>
        </w:rPr>
        <w:t>書面報告後</w:t>
      </w:r>
      <w:r w:rsidRPr="006971F5">
        <w:rPr>
          <w:rFonts w:ascii="標楷體" w:eastAsia="標楷體" w:hAnsi="標楷體"/>
          <w:kern w:val="2"/>
          <w:sz w:val="32"/>
          <w:szCs w:val="32"/>
        </w:rPr>
        <w:t>，始得動支</w:t>
      </w:r>
      <w:r w:rsidRPr="006971F5">
        <w:rPr>
          <w:rFonts w:ascii="標楷體" w:eastAsia="標楷體" w:hAnsi="標楷體" w:hint="eastAsia"/>
          <w:kern w:val="2"/>
          <w:sz w:val="32"/>
          <w:szCs w:val="32"/>
        </w:rPr>
        <w:t>。</w:t>
      </w:r>
    </w:p>
    <w:p w14:paraId="39BB46C3" w14:textId="3F9548A5"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提案人：顏寬恒　</w:t>
      </w:r>
    </w:p>
    <w:p w14:paraId="60966D6C" w14:textId="52D44F06"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連署人：王鴻薇　賴士葆</w:t>
      </w:r>
    </w:p>
    <w:p w14:paraId="05F0A620"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(九)</w:t>
      </w:r>
      <w:r w:rsidRPr="006971F5">
        <w:rPr>
          <w:rFonts w:ascii="標楷體" w:eastAsia="標楷體" w:hAnsi="標楷體"/>
          <w:kern w:val="2"/>
          <w:sz w:val="32"/>
          <w:szCs w:val="32"/>
        </w:rPr>
        <w:t>114年度財政部國有財產署及所屬預算案於第2目「國有財產業務」項下「國有財產管理處分」</w:t>
      </w:r>
      <w:r w:rsidRPr="006971F5">
        <w:rPr>
          <w:rFonts w:ascii="標楷體" w:eastAsia="標楷體" w:hAnsi="標楷體" w:hint="eastAsia"/>
          <w:kern w:val="2"/>
          <w:sz w:val="32"/>
          <w:szCs w:val="32"/>
        </w:rPr>
        <w:t>之</w:t>
      </w:r>
      <w:r w:rsidRPr="006971F5">
        <w:rPr>
          <w:rFonts w:ascii="標楷體" w:eastAsia="標楷體" w:hAnsi="標楷體"/>
          <w:kern w:val="2"/>
          <w:sz w:val="32"/>
          <w:szCs w:val="32"/>
        </w:rPr>
        <w:t>「業務費」編列17億7,331萬3千元</w:t>
      </w:r>
      <w:r w:rsidRPr="006971F5">
        <w:rPr>
          <w:rFonts w:ascii="標楷體" w:eastAsia="標楷體" w:hAnsi="標楷體" w:hint="eastAsia"/>
          <w:kern w:val="2"/>
          <w:sz w:val="32"/>
          <w:szCs w:val="32"/>
        </w:rPr>
        <w:t>。國有土地常因實際管理單位未能有效控管土地之運用，致使時常發生遭人占用之情形，而</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依法規須向占用人請求返還土地或不當得利等，故編列辦理國有非公用財產出租、換約及租金收繳等業務所需經費</w:t>
      </w:r>
      <w:r w:rsidRPr="006971F5">
        <w:rPr>
          <w:rFonts w:ascii="標楷體" w:eastAsia="標楷體" w:hAnsi="標楷體" w:hint="eastAsia"/>
          <w:kern w:val="2"/>
          <w:sz w:val="32"/>
          <w:szCs w:val="32"/>
        </w:rPr>
        <w:lastRenderedPageBreak/>
        <w:t>，惟查新北市汐止區貨櫃集散站內國有土地共25筆國有非公用土地，面積計1萬2,432.27平方公尺遭占用，及同區之土地亦有遭占用之情事，</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應積極向占用人追溯收取使用補償金。爰凍結該項預算200萬元，俟</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向</w:t>
      </w:r>
      <w:r w:rsidRPr="006971F5">
        <w:rPr>
          <w:rFonts w:ascii="標楷體" w:eastAsia="標楷體" w:hAnsi="標楷體"/>
          <w:kern w:val="2"/>
          <w:sz w:val="32"/>
          <w:szCs w:val="32"/>
        </w:rPr>
        <w:t>立法院</w:t>
      </w:r>
      <w:r w:rsidRPr="006971F5">
        <w:rPr>
          <w:rFonts w:ascii="標楷體" w:eastAsia="標楷體" w:hAnsi="標楷體" w:hint="eastAsia"/>
          <w:kern w:val="2"/>
          <w:sz w:val="32"/>
          <w:szCs w:val="32"/>
        </w:rPr>
        <w:t>財政委員會提出書面報告後，始得動支。</w:t>
      </w:r>
    </w:p>
    <w:p w14:paraId="7C21BD96" w14:textId="63E55632"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提案人：李彥秀　</w:t>
      </w:r>
    </w:p>
    <w:p w14:paraId="35732AE3" w14:textId="690B29E6"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連署人：羅明才　顏寬恒</w:t>
      </w:r>
    </w:p>
    <w:p w14:paraId="1E4128FF"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274" w:hangingChars="398" w:hanging="1274"/>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(十)</w:t>
      </w:r>
      <w:r w:rsidRPr="006971F5">
        <w:rPr>
          <w:rFonts w:ascii="標楷體" w:eastAsia="標楷體" w:hAnsi="標楷體"/>
          <w:kern w:val="2"/>
          <w:sz w:val="32"/>
          <w:szCs w:val="32"/>
        </w:rPr>
        <w:t>114年度財政部國有財產署及所屬預算案於第2目「國有財產業務」項下「國有財</w:t>
      </w:r>
      <w:r w:rsidRPr="006971F5">
        <w:rPr>
          <w:rFonts w:ascii="標楷體" w:eastAsia="標楷體" w:hAnsi="標楷體" w:hint="eastAsia"/>
          <w:kern w:val="2"/>
          <w:sz w:val="32"/>
          <w:szCs w:val="32"/>
        </w:rPr>
        <w:t>產管理處分</w:t>
      </w:r>
      <w:r w:rsidRPr="006971F5">
        <w:rPr>
          <w:rFonts w:ascii="標楷體" w:eastAsia="標楷體" w:hAnsi="標楷體"/>
          <w:kern w:val="2"/>
          <w:sz w:val="32"/>
          <w:szCs w:val="32"/>
        </w:rPr>
        <w:t>」</w:t>
      </w:r>
      <w:r w:rsidRPr="006971F5">
        <w:rPr>
          <w:rFonts w:ascii="標楷體" w:eastAsia="標楷體" w:hAnsi="標楷體" w:hint="eastAsia"/>
          <w:kern w:val="2"/>
          <w:sz w:val="32"/>
          <w:szCs w:val="32"/>
        </w:rPr>
        <w:t>之</w:t>
      </w:r>
      <w:r w:rsidRPr="006971F5">
        <w:rPr>
          <w:rFonts w:ascii="標楷體" w:eastAsia="標楷體" w:hAnsi="標楷體"/>
          <w:kern w:val="2"/>
          <w:sz w:val="32"/>
          <w:szCs w:val="32"/>
        </w:rPr>
        <w:t>「國有非公用文化資產修復及管理維護計畫」第4年經費編列1億1,059萬7千元。</w:t>
      </w:r>
      <w:r w:rsidRPr="006971F5">
        <w:rPr>
          <w:rFonts w:ascii="標楷體" w:eastAsia="標楷體" w:hAnsi="標楷體" w:hint="eastAsia"/>
          <w:kern w:val="2"/>
          <w:sz w:val="32"/>
          <w:szCs w:val="32"/>
        </w:rPr>
        <w:t>經查</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所管理之文化資產，包含不少原住民文化資產，如考古遺址、部落內建物等，請</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於辦理原住民族文化資產調查研究及修復再利用時，應邀集當地原住民鄉鎮市區公所及在地原民文史團體參與，以協助保存維護原住民族文資，尊重原民文化傳承。</w:t>
      </w:r>
      <w:r w:rsidRPr="006971F5">
        <w:rPr>
          <w:rFonts w:ascii="標楷體" w:eastAsia="標楷體" w:hAnsi="標楷體"/>
          <w:kern w:val="2"/>
          <w:sz w:val="32"/>
          <w:szCs w:val="32"/>
        </w:rPr>
        <w:t>爰凍結該項預算</w:t>
      </w:r>
      <w:r w:rsidRPr="006971F5">
        <w:rPr>
          <w:rFonts w:ascii="標楷體" w:eastAsia="標楷體" w:hAnsi="標楷體" w:hint="eastAsia"/>
          <w:kern w:val="2"/>
          <w:sz w:val="32"/>
          <w:szCs w:val="32"/>
        </w:rPr>
        <w:t>1</w:t>
      </w:r>
      <w:r w:rsidRPr="006971F5">
        <w:rPr>
          <w:rFonts w:ascii="標楷體" w:eastAsia="標楷體" w:hAnsi="標楷體"/>
          <w:kern w:val="2"/>
          <w:sz w:val="32"/>
          <w:szCs w:val="32"/>
        </w:rPr>
        <w:t>00萬元，俟財政部國有財產署於</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個月內向立法院財政委員會提出書面報告後，始得動支</w:t>
      </w:r>
      <w:r w:rsidRPr="006971F5">
        <w:rPr>
          <w:rFonts w:ascii="標楷體" w:eastAsia="標楷體" w:hAnsi="標楷體" w:hint="eastAsia"/>
          <w:kern w:val="2"/>
          <w:sz w:val="32"/>
          <w:szCs w:val="32"/>
        </w:rPr>
        <w:t>。</w:t>
      </w:r>
    </w:p>
    <w:p w14:paraId="44CE9302" w14:textId="1CEB44A8"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提案人：伍麗華　</w:t>
      </w:r>
    </w:p>
    <w:p w14:paraId="43EA7B6F" w14:textId="29AD9101"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連署人：王世堅　吳秉叡</w:t>
      </w:r>
    </w:p>
    <w:p w14:paraId="158E24A6"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(十一)按114年度財政部國有財產署及所屬預算案於第2目「國有財產業務」項下「國有財產改良利用」編列1</w:t>
      </w:r>
      <w:r w:rsidRPr="006971F5">
        <w:rPr>
          <w:rFonts w:ascii="標楷體" w:eastAsia="標楷體" w:hAnsi="標楷體"/>
          <w:kern w:val="2"/>
          <w:sz w:val="32"/>
          <w:szCs w:val="32"/>
        </w:rPr>
        <w:t>,</w:t>
      </w:r>
      <w:r w:rsidRPr="006971F5">
        <w:rPr>
          <w:rFonts w:ascii="標楷體" w:eastAsia="標楷體" w:hAnsi="標楷體" w:hint="eastAsia"/>
          <w:kern w:val="2"/>
          <w:sz w:val="32"/>
          <w:szCs w:val="32"/>
        </w:rPr>
        <w:t>185萬4千元。惟據審計部於113年7月底公告之112年度中央政府總決算審核報告指出：「國有非公用土地公開招標設定地上權，有助增加政府財政收入，惟執行成效及土地資源配置仍有精進空間，且分戶移轉潛存履約管理風險」等語。經查，國有非公用土地招標設定地上權業務辦理情形，近5年度標脫宗數雖由108年度之11宗，增加為110年度之28宗，惟112年度又下降為18宗，標脫率亦減少為51.43%；決標權利金總金額亦減少為45億餘元，標脫成效略有衰減。又近5年194宗標脫案件中，扣除解約11宗，及刻由得標人評</w:t>
      </w:r>
      <w:r w:rsidRPr="006971F5">
        <w:rPr>
          <w:rFonts w:ascii="標楷體" w:eastAsia="標楷體" w:hAnsi="標楷體" w:hint="eastAsia"/>
          <w:kern w:val="2"/>
          <w:sz w:val="32"/>
          <w:szCs w:val="32"/>
        </w:rPr>
        <w:lastRenderedPageBreak/>
        <w:t>估用途之51宗後，作為住宅使用者67宗（50.76%），餘65宗（49.24%）為商場、旅館、商業辦公室、廠房、店鋪等，顯示地上權標脫案件主要供興建住宅或商業使用，</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雖規劃指定產業公開招標設定地上權，供社會、文化、教育、慈善、救濟團體等公共福利或慈善救濟等非營利事業使用，惟尚無成案案件。鑑此，為敦促</w:t>
      </w:r>
      <w:r w:rsidRPr="006971F5">
        <w:rPr>
          <w:rFonts w:ascii="標楷體" w:eastAsia="標楷體" w:hAnsi="標楷體"/>
          <w:kern w:val="2"/>
          <w:sz w:val="32"/>
          <w:szCs w:val="32"/>
        </w:rPr>
        <w:t>財政部國有財產署</w:t>
      </w:r>
      <w:r w:rsidRPr="006971F5">
        <w:rPr>
          <w:rFonts w:ascii="標楷體" w:eastAsia="標楷體" w:hAnsi="標楷體" w:hint="eastAsia"/>
          <w:kern w:val="2"/>
          <w:sz w:val="32"/>
          <w:szCs w:val="32"/>
        </w:rPr>
        <w:t>落實國有土地設定地上權業務辦理成效。爰凍結該項預算二十分之一，俟財政部國有財產署於3個月內，就如何精進國有非公用土地公開招標設定地上權執行成效向立法院財政委員會提出書面報告後，始得動支。</w:t>
      </w:r>
    </w:p>
    <w:p w14:paraId="0920A72F" w14:textId="79ACC05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提案人：賴惠員　</w:t>
      </w:r>
    </w:p>
    <w:p w14:paraId="44BA765D" w14:textId="2B16B8DF"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連署人：王世堅　郭國文</w:t>
      </w:r>
    </w:p>
    <w:p w14:paraId="405BA1C8" w14:textId="77777777" w:rsidR="009D64D0" w:rsidRPr="006971F5"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6971F5">
        <w:rPr>
          <w:rFonts w:ascii="標楷體" w:eastAsia="標楷體" w:hAnsi="標楷體" w:hint="eastAsia"/>
          <w:kern w:val="2"/>
          <w:sz w:val="32"/>
          <w:szCs w:val="32"/>
        </w:rPr>
        <w:t xml:space="preserve">　　(十二)</w:t>
      </w:r>
      <w:r w:rsidRPr="006971F5">
        <w:rPr>
          <w:rFonts w:ascii="標楷體" w:eastAsia="標楷體" w:hAnsi="標楷體"/>
          <w:kern w:val="2"/>
          <w:sz w:val="32"/>
          <w:szCs w:val="32"/>
        </w:rPr>
        <w:t>114年度財政部國有財產署及所屬預算案於第2目「國有財產業務」</w:t>
      </w:r>
      <w:r w:rsidRPr="006971F5">
        <w:rPr>
          <w:rFonts w:ascii="標楷體" w:eastAsia="標楷體" w:hAnsi="標楷體" w:hint="eastAsia"/>
          <w:kern w:val="2"/>
          <w:sz w:val="32"/>
          <w:szCs w:val="32"/>
        </w:rPr>
        <w:t>項下「國有財產改良利用」</w:t>
      </w:r>
      <w:r w:rsidRPr="006971F5">
        <w:rPr>
          <w:rFonts w:ascii="標楷體" w:eastAsia="標楷體" w:hAnsi="標楷體"/>
          <w:kern w:val="2"/>
          <w:sz w:val="32"/>
          <w:szCs w:val="32"/>
        </w:rPr>
        <w:t>編列</w:t>
      </w:r>
      <w:r w:rsidRPr="006971F5">
        <w:rPr>
          <w:rFonts w:ascii="標楷體" w:eastAsia="標楷體" w:hAnsi="標楷體" w:hint="eastAsia"/>
          <w:kern w:val="2"/>
          <w:sz w:val="32"/>
          <w:szCs w:val="32"/>
        </w:rPr>
        <w:t>1</w:t>
      </w:r>
      <w:r w:rsidRPr="006971F5">
        <w:rPr>
          <w:rFonts w:ascii="標楷體" w:eastAsia="標楷體" w:hAnsi="標楷體"/>
          <w:kern w:val="2"/>
          <w:sz w:val="32"/>
          <w:szCs w:val="32"/>
        </w:rPr>
        <w:t>,</w:t>
      </w:r>
      <w:r w:rsidRPr="006971F5">
        <w:rPr>
          <w:rFonts w:ascii="標楷體" w:eastAsia="標楷體" w:hAnsi="標楷體" w:hint="eastAsia"/>
          <w:kern w:val="2"/>
          <w:sz w:val="32"/>
          <w:szCs w:val="32"/>
        </w:rPr>
        <w:t>185</w:t>
      </w:r>
      <w:r w:rsidRPr="006971F5">
        <w:rPr>
          <w:rFonts w:ascii="標楷體" w:eastAsia="標楷體" w:hAnsi="標楷體"/>
          <w:kern w:val="2"/>
          <w:sz w:val="32"/>
          <w:szCs w:val="32"/>
        </w:rPr>
        <w:t>萬</w:t>
      </w:r>
      <w:r w:rsidRPr="006971F5">
        <w:rPr>
          <w:rFonts w:ascii="標楷體" w:eastAsia="標楷體" w:hAnsi="標楷體" w:hint="eastAsia"/>
          <w:kern w:val="2"/>
          <w:sz w:val="32"/>
          <w:szCs w:val="32"/>
        </w:rPr>
        <w:t>4</w:t>
      </w:r>
      <w:r w:rsidRPr="006971F5">
        <w:rPr>
          <w:rFonts w:ascii="標楷體" w:eastAsia="標楷體" w:hAnsi="標楷體"/>
          <w:kern w:val="2"/>
          <w:sz w:val="32"/>
          <w:szCs w:val="32"/>
        </w:rPr>
        <w:t>千元。行政院106年3月6日核定之社會住宅興辦計畫，目標於113年達成政府直接興建12萬戶，惟查截至113年10月31日，含既有、新完工、興建中及已決標待公開總戶數，僅有11.1萬戶；又以社會住宅預定完工時間分析，即使施工進度正常未有延後，社會住宅興辦計畫至113年底結束時，完工戶數3.7萬戶；至120年底之完工戶數始達9.8萬戶，難以滿足民眾居住需求。又依住宅法第19條及第20條規定，政府興辦社會住宅可採新建、接受捐贈、購買建築物、土地變更及容積獎勵之捐贈、以公有土地設定地上權予民間合作興建，或以公有土地或建築物參與都市更新分回建築物及其基地等方式。政府宜更為積極鼓勵民間參與社會住宅之興建及營運。爰凍結</w:t>
      </w:r>
      <w:r w:rsidRPr="006971F5">
        <w:rPr>
          <w:rFonts w:ascii="標楷體" w:eastAsia="標楷體" w:hAnsi="標楷體" w:hint="eastAsia"/>
          <w:kern w:val="2"/>
          <w:sz w:val="32"/>
          <w:szCs w:val="32"/>
        </w:rPr>
        <w:t>該項</w:t>
      </w:r>
      <w:r w:rsidRPr="006971F5">
        <w:rPr>
          <w:rFonts w:ascii="標楷體" w:eastAsia="標楷體" w:hAnsi="標楷體"/>
          <w:kern w:val="2"/>
          <w:sz w:val="32"/>
          <w:szCs w:val="32"/>
        </w:rPr>
        <w:t>預算</w:t>
      </w:r>
      <w:r w:rsidRPr="006971F5">
        <w:rPr>
          <w:rFonts w:ascii="標楷體" w:eastAsia="標楷體" w:hAnsi="標楷體" w:hint="eastAsia"/>
          <w:kern w:val="2"/>
          <w:sz w:val="32"/>
          <w:szCs w:val="32"/>
        </w:rPr>
        <w:t>二十分之一</w:t>
      </w:r>
      <w:r w:rsidRPr="006971F5">
        <w:rPr>
          <w:rFonts w:ascii="標楷體" w:eastAsia="標楷體" w:hAnsi="標楷體"/>
          <w:kern w:val="2"/>
          <w:sz w:val="32"/>
          <w:szCs w:val="32"/>
        </w:rPr>
        <w:t>，俟財政部國有財產署於</w:t>
      </w:r>
      <w:r w:rsidRPr="006971F5">
        <w:rPr>
          <w:rFonts w:ascii="標楷體" w:eastAsia="標楷體" w:hAnsi="標楷體" w:hint="eastAsia"/>
          <w:kern w:val="2"/>
          <w:sz w:val="32"/>
          <w:szCs w:val="32"/>
        </w:rPr>
        <w:t>3</w:t>
      </w:r>
      <w:r w:rsidRPr="006971F5">
        <w:rPr>
          <w:rFonts w:ascii="標楷體" w:eastAsia="標楷體" w:hAnsi="標楷體"/>
          <w:kern w:val="2"/>
          <w:sz w:val="32"/>
          <w:szCs w:val="32"/>
        </w:rPr>
        <w:t>個月內，就</w:t>
      </w:r>
      <w:r w:rsidRPr="006971F5">
        <w:rPr>
          <w:rFonts w:ascii="標楷體" w:eastAsia="標楷體" w:hAnsi="標楷體" w:hint="eastAsia"/>
          <w:kern w:val="2"/>
          <w:sz w:val="32"/>
          <w:szCs w:val="32"/>
        </w:rPr>
        <w:t>國有非公用土地配合</w:t>
      </w:r>
      <w:r w:rsidRPr="006971F5">
        <w:rPr>
          <w:rFonts w:ascii="標楷體" w:eastAsia="標楷體" w:hAnsi="標楷體"/>
          <w:kern w:val="2"/>
          <w:sz w:val="32"/>
          <w:szCs w:val="32"/>
        </w:rPr>
        <w:t>社會住宅、合作住宅、地上權住宅、使用權住宅之土地</w:t>
      </w:r>
      <w:r w:rsidRPr="006971F5">
        <w:rPr>
          <w:rFonts w:ascii="標楷體" w:eastAsia="標楷體" w:hAnsi="標楷體" w:hint="eastAsia"/>
          <w:kern w:val="2"/>
          <w:sz w:val="32"/>
          <w:szCs w:val="32"/>
        </w:rPr>
        <w:t>租金</w:t>
      </w:r>
      <w:r w:rsidRPr="006971F5">
        <w:rPr>
          <w:rFonts w:ascii="標楷體" w:eastAsia="標楷體" w:hAnsi="標楷體"/>
          <w:kern w:val="2"/>
          <w:sz w:val="32"/>
          <w:szCs w:val="32"/>
        </w:rPr>
        <w:t>優惠及作業</w:t>
      </w:r>
      <w:r w:rsidRPr="006971F5">
        <w:rPr>
          <w:rFonts w:ascii="標楷體" w:eastAsia="標楷體" w:hAnsi="標楷體" w:hint="eastAsia"/>
          <w:kern w:val="2"/>
          <w:sz w:val="32"/>
          <w:szCs w:val="32"/>
        </w:rPr>
        <w:t>方式，</w:t>
      </w:r>
      <w:r w:rsidRPr="006971F5">
        <w:rPr>
          <w:rFonts w:ascii="標楷體" w:eastAsia="標楷體" w:hAnsi="標楷體"/>
          <w:kern w:val="2"/>
          <w:sz w:val="32"/>
          <w:szCs w:val="32"/>
        </w:rPr>
        <w:t>向立法院財政委員會提出書面報告後，始得動支</w:t>
      </w:r>
      <w:r w:rsidRPr="006971F5">
        <w:rPr>
          <w:rFonts w:ascii="標楷體" w:eastAsia="標楷體" w:hAnsi="標楷體" w:hint="eastAsia"/>
          <w:kern w:val="2"/>
          <w:sz w:val="32"/>
          <w:szCs w:val="32"/>
        </w:rPr>
        <w:t>。</w:t>
      </w:r>
    </w:p>
    <w:p w14:paraId="165A40E3" w14:textId="731CFA41"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lastRenderedPageBreak/>
        <w:t xml:space="preserve">　　</w:t>
      </w:r>
      <w:r w:rsidR="009D64D0" w:rsidRPr="0099218F">
        <w:rPr>
          <w:rFonts w:ascii="標楷體" w:eastAsia="標楷體" w:hAnsi="標楷體" w:hint="eastAsia"/>
          <w:kern w:val="0"/>
          <w:sz w:val="32"/>
          <w:szCs w:val="32"/>
        </w:rPr>
        <w:t>提案人：黃珊珊　陳玉珍　王鴻薇</w:t>
      </w:r>
    </w:p>
    <w:p w14:paraId="1F780608"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(十三)</w:t>
      </w:r>
      <w:r w:rsidRPr="004E0F8F">
        <w:rPr>
          <w:rFonts w:ascii="標楷體" w:eastAsia="標楷體" w:hAnsi="標楷體"/>
          <w:kern w:val="2"/>
          <w:sz w:val="32"/>
          <w:szCs w:val="32"/>
        </w:rPr>
        <w:t>114年度財政部國有財產署及所屬預算案於第2目「國有財產業務」項下「國有公用財產」</w:t>
      </w:r>
      <w:r w:rsidRPr="004E0F8F">
        <w:rPr>
          <w:rFonts w:ascii="標楷體" w:eastAsia="標楷體" w:hAnsi="標楷體" w:hint="eastAsia"/>
          <w:kern w:val="2"/>
          <w:sz w:val="32"/>
          <w:szCs w:val="32"/>
        </w:rPr>
        <w:t>之</w:t>
      </w:r>
      <w:r w:rsidRPr="004E0F8F">
        <w:rPr>
          <w:rFonts w:ascii="標楷體" w:eastAsia="標楷體" w:hAnsi="標楷體"/>
          <w:kern w:val="2"/>
          <w:sz w:val="32"/>
          <w:szCs w:val="32"/>
        </w:rPr>
        <w:t>「業務費」編列237萬5千元。查截至112年底止，中央及各縣市政府</w:t>
      </w:r>
      <w:r w:rsidRPr="004E0F8F">
        <w:rPr>
          <w:rFonts w:ascii="標楷體" w:eastAsia="標楷體" w:hAnsi="標楷體" w:hint="eastAsia"/>
          <w:kern w:val="2"/>
          <w:sz w:val="32"/>
          <w:szCs w:val="32"/>
        </w:rPr>
        <w:t>經管</w:t>
      </w:r>
      <w:r w:rsidRPr="004E0F8F">
        <w:rPr>
          <w:rFonts w:ascii="標楷體" w:eastAsia="標楷體" w:hAnsi="標楷體"/>
          <w:kern w:val="2"/>
          <w:sz w:val="32"/>
          <w:szCs w:val="32"/>
        </w:rPr>
        <w:t>之國有土地仍有2萬3,745筆土地被占用，財政部國有財產署應</w:t>
      </w:r>
      <w:r w:rsidRPr="004E0F8F">
        <w:rPr>
          <w:rFonts w:ascii="標楷體" w:eastAsia="標楷體" w:hAnsi="標楷體" w:hint="eastAsia"/>
          <w:kern w:val="2"/>
          <w:sz w:val="32"/>
          <w:szCs w:val="32"/>
        </w:rPr>
        <w:t>督導公產管理機關</w:t>
      </w:r>
      <w:r w:rsidRPr="004E0F8F">
        <w:rPr>
          <w:rFonts w:ascii="標楷體" w:eastAsia="標楷體" w:hAnsi="標楷體"/>
          <w:kern w:val="2"/>
          <w:sz w:val="32"/>
          <w:szCs w:val="32"/>
        </w:rPr>
        <w:t>制定分年計畫，儘速辦理追討流程</w:t>
      </w:r>
      <w:r w:rsidRPr="004E0F8F">
        <w:rPr>
          <w:rFonts w:ascii="標楷體" w:eastAsia="標楷體" w:hAnsi="標楷體" w:hint="eastAsia"/>
          <w:kern w:val="2"/>
          <w:sz w:val="32"/>
          <w:szCs w:val="32"/>
        </w:rPr>
        <w:t>。</w:t>
      </w:r>
      <w:r w:rsidRPr="004E0F8F">
        <w:rPr>
          <w:rFonts w:ascii="標楷體" w:eastAsia="標楷體" w:hAnsi="標楷體"/>
          <w:kern w:val="2"/>
          <w:sz w:val="32"/>
          <w:szCs w:val="32"/>
        </w:rPr>
        <w:t>爰凍結該項預算</w:t>
      </w:r>
      <w:r w:rsidRPr="004E0F8F">
        <w:rPr>
          <w:rFonts w:ascii="標楷體" w:eastAsia="標楷體" w:hAnsi="標楷體" w:hint="eastAsia"/>
          <w:kern w:val="2"/>
          <w:sz w:val="32"/>
          <w:szCs w:val="32"/>
        </w:rPr>
        <w:t>二十</w:t>
      </w:r>
      <w:r w:rsidRPr="004E0F8F">
        <w:rPr>
          <w:rFonts w:ascii="標楷體" w:eastAsia="標楷體" w:hAnsi="標楷體"/>
          <w:kern w:val="2"/>
          <w:sz w:val="32"/>
          <w:szCs w:val="32"/>
        </w:rPr>
        <w:t>分之</w:t>
      </w:r>
      <w:r w:rsidRPr="004E0F8F">
        <w:rPr>
          <w:rFonts w:ascii="標楷體" w:eastAsia="標楷體" w:hAnsi="標楷體" w:hint="eastAsia"/>
          <w:kern w:val="2"/>
          <w:sz w:val="32"/>
          <w:szCs w:val="32"/>
        </w:rPr>
        <w:t>一</w:t>
      </w:r>
      <w:r w:rsidRPr="004E0F8F">
        <w:rPr>
          <w:rFonts w:ascii="標楷體" w:eastAsia="標楷體" w:hAnsi="標楷體"/>
          <w:kern w:val="2"/>
          <w:sz w:val="32"/>
          <w:szCs w:val="32"/>
        </w:rPr>
        <w:t>，俟財政部國有財產署於3個月內向立法院財政委員會提出</w:t>
      </w:r>
      <w:r w:rsidRPr="004E0F8F">
        <w:rPr>
          <w:rFonts w:ascii="標楷體" w:eastAsia="標楷體" w:hAnsi="標楷體" w:hint="eastAsia"/>
          <w:kern w:val="2"/>
          <w:sz w:val="32"/>
          <w:szCs w:val="32"/>
        </w:rPr>
        <w:t>書面</w:t>
      </w:r>
      <w:r w:rsidRPr="004E0F8F">
        <w:rPr>
          <w:rFonts w:ascii="標楷體" w:eastAsia="標楷體" w:hAnsi="標楷體"/>
          <w:kern w:val="2"/>
          <w:sz w:val="32"/>
          <w:szCs w:val="32"/>
        </w:rPr>
        <w:t>報告</w:t>
      </w:r>
      <w:r w:rsidRPr="004E0F8F">
        <w:rPr>
          <w:rFonts w:ascii="標楷體" w:eastAsia="標楷體" w:hAnsi="標楷體" w:hint="eastAsia"/>
          <w:kern w:val="2"/>
          <w:sz w:val="32"/>
          <w:szCs w:val="32"/>
        </w:rPr>
        <w:t>後</w:t>
      </w:r>
      <w:r w:rsidRPr="004E0F8F">
        <w:rPr>
          <w:rFonts w:ascii="標楷體" w:eastAsia="標楷體" w:hAnsi="標楷體"/>
          <w:kern w:val="2"/>
          <w:sz w:val="32"/>
          <w:szCs w:val="32"/>
        </w:rPr>
        <w:t>，始得動支。</w:t>
      </w:r>
    </w:p>
    <w:p w14:paraId="5A8C11E8" w14:textId="78D77741"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提案人：顏寬恒　</w:t>
      </w:r>
    </w:p>
    <w:p w14:paraId="4A97E98A" w14:textId="4D826CDF"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連署人：王鴻薇　賴士葆</w:t>
      </w:r>
    </w:p>
    <w:p w14:paraId="40E7416D"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(十四)114年度財政部國有財產署及所屬預算案於</w:t>
      </w:r>
      <w:r w:rsidRPr="004E0F8F">
        <w:rPr>
          <w:rFonts w:ascii="標楷體" w:eastAsia="標楷體" w:hAnsi="標楷體"/>
          <w:kern w:val="2"/>
          <w:sz w:val="32"/>
          <w:szCs w:val="32"/>
        </w:rPr>
        <w:t>第2目「國有財產業務」項下「國有公用財產」</w:t>
      </w:r>
      <w:r w:rsidRPr="004E0F8F">
        <w:rPr>
          <w:rFonts w:ascii="標楷體" w:eastAsia="標楷體" w:hAnsi="標楷體" w:hint="eastAsia"/>
          <w:kern w:val="2"/>
          <w:sz w:val="32"/>
          <w:szCs w:val="32"/>
        </w:rPr>
        <w:t>中「設備及投資」之</w:t>
      </w:r>
      <w:r w:rsidRPr="004E0F8F">
        <w:rPr>
          <w:rFonts w:ascii="標楷體" w:eastAsia="標楷體" w:hAnsi="標楷體"/>
          <w:kern w:val="2"/>
          <w:sz w:val="32"/>
          <w:szCs w:val="32"/>
        </w:rPr>
        <w:t>「</w:t>
      </w:r>
      <w:r w:rsidRPr="004E0F8F">
        <w:rPr>
          <w:rFonts w:ascii="標楷體" w:eastAsia="標楷體" w:hAnsi="標楷體" w:hint="eastAsia"/>
          <w:kern w:val="2"/>
          <w:sz w:val="32"/>
          <w:szCs w:val="32"/>
        </w:rPr>
        <w:t>機械設備費</w:t>
      </w:r>
      <w:r w:rsidRPr="004E0F8F">
        <w:rPr>
          <w:rFonts w:ascii="標楷體" w:eastAsia="標楷體" w:hAnsi="標楷體"/>
          <w:kern w:val="2"/>
          <w:sz w:val="32"/>
          <w:szCs w:val="32"/>
        </w:rPr>
        <w:t>」</w:t>
      </w:r>
      <w:r w:rsidRPr="004E0F8F">
        <w:rPr>
          <w:rFonts w:ascii="標楷體" w:eastAsia="標楷體" w:hAnsi="標楷體" w:hint="eastAsia"/>
          <w:kern w:val="2"/>
          <w:sz w:val="32"/>
          <w:szCs w:val="32"/>
        </w:rPr>
        <w:t>編列1</w:t>
      </w:r>
      <w:r w:rsidRPr="004E0F8F">
        <w:rPr>
          <w:rFonts w:ascii="標楷體" w:eastAsia="標楷體" w:hAnsi="標楷體"/>
          <w:kern w:val="2"/>
          <w:sz w:val="32"/>
          <w:szCs w:val="32"/>
        </w:rPr>
        <w:t>,</w:t>
      </w:r>
      <w:r w:rsidRPr="004E0F8F">
        <w:rPr>
          <w:rFonts w:ascii="標楷體" w:eastAsia="標楷體" w:hAnsi="標楷體" w:hint="eastAsia"/>
          <w:kern w:val="2"/>
          <w:sz w:val="32"/>
          <w:szCs w:val="32"/>
        </w:rPr>
        <w:t>246萬元，列有承德首長宿舍電梯汰換等費用；考量政府財政支出逐年增加，是項經費可予精簡，以撙節公帑支出。</w:t>
      </w:r>
      <w:r w:rsidRPr="004E0F8F">
        <w:rPr>
          <w:rFonts w:ascii="標楷體" w:eastAsia="標楷體" w:hAnsi="標楷體"/>
          <w:kern w:val="2"/>
          <w:sz w:val="32"/>
          <w:szCs w:val="32"/>
        </w:rPr>
        <w:t>爰凍結該項預算</w:t>
      </w:r>
      <w:r w:rsidRPr="004E0F8F">
        <w:rPr>
          <w:rFonts w:ascii="標楷體" w:eastAsia="標楷體" w:hAnsi="標楷體" w:hint="eastAsia"/>
          <w:kern w:val="2"/>
          <w:sz w:val="32"/>
          <w:szCs w:val="32"/>
        </w:rPr>
        <w:t>120萬元</w:t>
      </w:r>
      <w:r w:rsidRPr="004E0F8F">
        <w:rPr>
          <w:rFonts w:ascii="標楷體" w:eastAsia="標楷體" w:hAnsi="標楷體"/>
          <w:kern w:val="2"/>
          <w:sz w:val="32"/>
          <w:szCs w:val="32"/>
        </w:rPr>
        <w:t>，俟財政部國有財產署向立法院財政委員會提出</w:t>
      </w:r>
      <w:r w:rsidRPr="004E0F8F">
        <w:rPr>
          <w:rFonts w:ascii="標楷體" w:eastAsia="標楷體" w:hAnsi="標楷體" w:hint="eastAsia"/>
          <w:kern w:val="2"/>
          <w:sz w:val="32"/>
          <w:szCs w:val="32"/>
        </w:rPr>
        <w:t>書面</w:t>
      </w:r>
      <w:r w:rsidRPr="004E0F8F">
        <w:rPr>
          <w:rFonts w:ascii="標楷體" w:eastAsia="標楷體" w:hAnsi="標楷體"/>
          <w:kern w:val="2"/>
          <w:sz w:val="32"/>
          <w:szCs w:val="32"/>
        </w:rPr>
        <w:t>報告</w:t>
      </w:r>
      <w:r w:rsidRPr="004E0F8F">
        <w:rPr>
          <w:rFonts w:ascii="標楷體" w:eastAsia="標楷體" w:hAnsi="標楷體" w:hint="eastAsia"/>
          <w:kern w:val="2"/>
          <w:sz w:val="32"/>
          <w:szCs w:val="32"/>
        </w:rPr>
        <w:t>後</w:t>
      </w:r>
      <w:r w:rsidRPr="004E0F8F">
        <w:rPr>
          <w:rFonts w:ascii="標楷體" w:eastAsia="標楷體" w:hAnsi="標楷體"/>
          <w:kern w:val="2"/>
          <w:sz w:val="32"/>
          <w:szCs w:val="32"/>
        </w:rPr>
        <w:t>，始得動支。</w:t>
      </w:r>
    </w:p>
    <w:p w14:paraId="02C5DAD4" w14:textId="663A02AE"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提案人：賴士葆　林德福　顏寬恒</w:t>
      </w:r>
    </w:p>
    <w:p w14:paraId="7B689D87"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(十五)</w:t>
      </w:r>
      <w:r w:rsidRPr="004E0F8F">
        <w:rPr>
          <w:rFonts w:ascii="標楷體" w:eastAsia="標楷體" w:hAnsi="標楷體"/>
          <w:kern w:val="2"/>
          <w:sz w:val="32"/>
          <w:szCs w:val="32"/>
        </w:rPr>
        <w:t>114年度財政部國有財產署及所屬預算案於第3目「一般建築及設備」第1節「營建工程」編列1億7,035萬8千元。財政部國有財產署現有辦公廳舍位於光復南路，屋齡已逾40年，經108年內政部營建署辦理會勘確認建物因基礎差異沉陷，有結構安全疑慮，且屋齡老舊混凝土已發生劣化等，致長期以來產生漏水問題，經盤點臺北市轄內國有機關用地，皆無適當地點可提供該署搬遷使用，評估後有原址興建必要。以設定地上權方式供廠商合作興建2棟政府辦公廳舍，原興建期程為110至113年度，總經費11億8,020萬1千元，後因招標流標及考量物價上漲等因素，於111年3月、112年1月及113年6月共3度修改計畫，總經費增為17億2,947萬3千元，並調整計畫期程為112至118年度</w:t>
      </w:r>
      <w:r w:rsidRPr="004E0F8F">
        <w:rPr>
          <w:rFonts w:ascii="標楷體" w:eastAsia="標楷體" w:hAnsi="標楷體" w:hint="eastAsia"/>
          <w:kern w:val="2"/>
          <w:sz w:val="32"/>
          <w:szCs w:val="32"/>
        </w:rPr>
        <w:t>。</w:t>
      </w:r>
      <w:r w:rsidRPr="004E0F8F">
        <w:rPr>
          <w:rFonts w:ascii="標楷體" w:eastAsia="標楷體" w:hAnsi="標楷體"/>
          <w:kern w:val="2"/>
          <w:sz w:val="32"/>
          <w:szCs w:val="32"/>
        </w:rPr>
        <w:t>惟立</w:t>
      </w:r>
      <w:r w:rsidRPr="004E0F8F">
        <w:rPr>
          <w:rFonts w:ascii="標楷體" w:eastAsia="標楷體" w:hAnsi="標楷體"/>
          <w:kern w:val="2"/>
          <w:sz w:val="32"/>
          <w:szCs w:val="32"/>
        </w:rPr>
        <w:lastRenderedPageBreak/>
        <w:t>法院預算中心</w:t>
      </w:r>
      <w:r w:rsidRPr="004E0F8F">
        <w:rPr>
          <w:rFonts w:ascii="標楷體" w:eastAsia="標楷體" w:hAnsi="標楷體" w:hint="eastAsia"/>
          <w:kern w:val="2"/>
          <w:sz w:val="32"/>
          <w:szCs w:val="32"/>
        </w:rPr>
        <w:t>評估報告</w:t>
      </w:r>
      <w:r w:rsidRPr="004E0F8F">
        <w:rPr>
          <w:rFonts w:ascii="標楷體" w:eastAsia="標楷體" w:hAnsi="標楷體"/>
          <w:kern w:val="2"/>
          <w:sz w:val="32"/>
          <w:szCs w:val="32"/>
        </w:rPr>
        <w:t>指出：財政部國有財產署辦公廳取得案前於110至112年間多次招標均因無廠商投標而流標，分別於111、112及113年函報行政院3度修改中長程個案計畫。鑑於已多次修改計畫，允宜依最新規劃時程加速辦理，並確實控管計畫執行進度，以如期如質完成。爰凍結該項預算</w:t>
      </w:r>
      <w:r w:rsidRPr="004E0F8F">
        <w:rPr>
          <w:rFonts w:ascii="標楷體" w:eastAsia="標楷體" w:hAnsi="標楷體" w:hint="eastAsia"/>
          <w:kern w:val="2"/>
          <w:sz w:val="32"/>
          <w:szCs w:val="32"/>
        </w:rPr>
        <w:t>二十分之一</w:t>
      </w:r>
      <w:r w:rsidRPr="004E0F8F">
        <w:rPr>
          <w:rFonts w:ascii="標楷體" w:eastAsia="標楷體" w:hAnsi="標楷體"/>
          <w:kern w:val="2"/>
          <w:sz w:val="32"/>
          <w:szCs w:val="32"/>
        </w:rPr>
        <w:t>，俟財政部國有財產署於3個月內，就財政部國有財產署辦公廳舍建置案之歷次流標檢討會議概況及精進作為，向立法院財政委員會提出書面報告後，始得動支</w:t>
      </w:r>
      <w:r w:rsidRPr="004E0F8F">
        <w:rPr>
          <w:rFonts w:ascii="標楷體" w:eastAsia="標楷體" w:hAnsi="標楷體" w:hint="eastAsia"/>
          <w:kern w:val="2"/>
          <w:sz w:val="32"/>
          <w:szCs w:val="32"/>
        </w:rPr>
        <w:t>。</w:t>
      </w:r>
    </w:p>
    <w:p w14:paraId="77702BD1" w14:textId="2B397E69"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提案人：黃珊珊　陳玉珍　王鴻薇</w:t>
      </w:r>
    </w:p>
    <w:p w14:paraId="254DF7B9"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(十六)</w:t>
      </w:r>
      <w:r w:rsidRPr="004E0F8F">
        <w:rPr>
          <w:rFonts w:ascii="標楷體" w:eastAsia="標楷體" w:hAnsi="標楷體"/>
          <w:kern w:val="2"/>
          <w:sz w:val="32"/>
          <w:szCs w:val="32"/>
        </w:rPr>
        <w:t>114年度財政部國有財產署及所屬預算案於第2目「國有財產業務」</w:t>
      </w:r>
      <w:r w:rsidRPr="004E0F8F">
        <w:rPr>
          <w:rFonts w:ascii="標楷體" w:eastAsia="標楷體" w:hAnsi="標楷體" w:hint="eastAsia"/>
          <w:kern w:val="2"/>
          <w:sz w:val="32"/>
          <w:szCs w:val="32"/>
        </w:rPr>
        <w:t>項下「國有財產改良利用」</w:t>
      </w:r>
      <w:r w:rsidRPr="004E0F8F">
        <w:rPr>
          <w:rFonts w:ascii="標楷體" w:eastAsia="標楷體" w:hAnsi="標楷體"/>
          <w:kern w:val="2"/>
          <w:sz w:val="32"/>
          <w:szCs w:val="32"/>
        </w:rPr>
        <w:t>編列</w:t>
      </w:r>
      <w:r w:rsidRPr="004E0F8F">
        <w:rPr>
          <w:rFonts w:ascii="標楷體" w:eastAsia="標楷體" w:hAnsi="標楷體" w:hint="eastAsia"/>
          <w:kern w:val="2"/>
          <w:sz w:val="32"/>
          <w:szCs w:val="32"/>
        </w:rPr>
        <w:t>1</w:t>
      </w:r>
      <w:r w:rsidRPr="004E0F8F">
        <w:rPr>
          <w:rFonts w:ascii="標楷體" w:eastAsia="標楷體" w:hAnsi="標楷體"/>
          <w:kern w:val="2"/>
          <w:sz w:val="32"/>
          <w:szCs w:val="32"/>
        </w:rPr>
        <w:t>,</w:t>
      </w:r>
      <w:r w:rsidRPr="004E0F8F">
        <w:rPr>
          <w:rFonts w:ascii="標楷體" w:eastAsia="標楷體" w:hAnsi="標楷體" w:hint="eastAsia"/>
          <w:kern w:val="2"/>
          <w:sz w:val="32"/>
          <w:szCs w:val="32"/>
        </w:rPr>
        <w:t>185</w:t>
      </w:r>
      <w:r w:rsidRPr="004E0F8F">
        <w:rPr>
          <w:rFonts w:ascii="標楷體" w:eastAsia="標楷體" w:hAnsi="標楷體"/>
          <w:kern w:val="2"/>
          <w:sz w:val="32"/>
          <w:szCs w:val="32"/>
        </w:rPr>
        <w:t>萬</w:t>
      </w:r>
      <w:r w:rsidRPr="004E0F8F">
        <w:rPr>
          <w:rFonts w:ascii="標楷體" w:eastAsia="標楷體" w:hAnsi="標楷體" w:hint="eastAsia"/>
          <w:kern w:val="2"/>
          <w:sz w:val="32"/>
          <w:szCs w:val="32"/>
        </w:rPr>
        <w:t>4</w:t>
      </w:r>
      <w:r w:rsidRPr="004E0F8F">
        <w:rPr>
          <w:rFonts w:ascii="標楷體" w:eastAsia="標楷體" w:hAnsi="標楷體"/>
          <w:kern w:val="2"/>
          <w:sz w:val="32"/>
          <w:szCs w:val="32"/>
        </w:rPr>
        <w:t>千元。財政部國有財產署為增加政府財政收入，依國有非公用土地設定地上權作業要點規定，將可供單獨開發建築使用之國有非公用土地公開招標設定地上權，由所屬各分署及辦事處篩選坵形方整、區位及基地條件良好之土地，評估納入備供活化資料庫，作為地上權儲備標的，並依各年度招標批次及期程，選定適合標的辦理鑑界、查估土地市價及擬具招標建議條件等，報由該署審議小組評定後，續辦公告招標事宜。惟審計部指出，標脫率自108年度之42.31</w:t>
      </w:r>
      <w:r w:rsidRPr="004E0F8F">
        <w:rPr>
          <w:rFonts w:ascii="標楷體" w:eastAsia="標楷體" w:hAnsi="標楷體" w:hint="eastAsia"/>
          <w:kern w:val="2"/>
          <w:sz w:val="32"/>
          <w:szCs w:val="32"/>
        </w:rPr>
        <w:t>%</w:t>
      </w:r>
      <w:r w:rsidRPr="004E0F8F">
        <w:rPr>
          <w:rFonts w:ascii="標楷體" w:eastAsia="標楷體" w:hAnsi="標楷體"/>
          <w:kern w:val="2"/>
          <w:sz w:val="32"/>
          <w:szCs w:val="32"/>
        </w:rPr>
        <w:t>，增加為111年度之60.98</w:t>
      </w:r>
      <w:r w:rsidRPr="004E0F8F">
        <w:rPr>
          <w:rFonts w:ascii="標楷體" w:eastAsia="標楷體" w:hAnsi="標楷體" w:hint="eastAsia"/>
          <w:kern w:val="2"/>
          <w:sz w:val="32"/>
          <w:szCs w:val="32"/>
        </w:rPr>
        <w:t>%</w:t>
      </w:r>
      <w:r w:rsidRPr="004E0F8F">
        <w:rPr>
          <w:rFonts w:ascii="標楷體" w:eastAsia="標楷體" w:hAnsi="標楷體"/>
          <w:kern w:val="2"/>
          <w:sz w:val="32"/>
          <w:szCs w:val="32"/>
        </w:rPr>
        <w:t>，112年度又減少為51.43</w:t>
      </w:r>
      <w:r w:rsidRPr="004E0F8F">
        <w:rPr>
          <w:rFonts w:ascii="標楷體" w:eastAsia="標楷體" w:hAnsi="標楷體" w:hint="eastAsia"/>
          <w:kern w:val="2"/>
          <w:sz w:val="32"/>
          <w:szCs w:val="32"/>
        </w:rPr>
        <w:t>%</w:t>
      </w:r>
      <w:r w:rsidRPr="004E0F8F">
        <w:rPr>
          <w:rFonts w:ascii="標楷體" w:eastAsia="標楷體" w:hAnsi="標楷體"/>
          <w:kern w:val="2"/>
          <w:sz w:val="32"/>
          <w:szCs w:val="32"/>
        </w:rPr>
        <w:t>；決標權利金總金額亦由108年度之70億餘元，減少為111年度之54億餘元及112年度之45億餘元，標脫成效略有衰減，且間有位處都市計畫精華地區、交通便捷區位之土地，納列備供活化資料庫多年遲未規劃辦理列標；或標脫後解約案件未積極規劃後續活化作業等，顯示地上權執行成效及實務作業仍有精進空間。又財政部國有財產署地上權標脫案件主要供興建住宅或商業使用，財政部國有財產署雖規劃指定產業公開招標設定地上權，供社會、文化、教育、慈善、救濟團體等公共福利或慈善救濟等非營利事業使用</w:t>
      </w:r>
      <w:r w:rsidRPr="004E0F8F">
        <w:rPr>
          <w:rFonts w:ascii="標楷體" w:eastAsia="標楷體" w:hAnsi="標楷體"/>
          <w:kern w:val="2"/>
          <w:sz w:val="32"/>
          <w:szCs w:val="32"/>
        </w:rPr>
        <w:lastRenderedPageBreak/>
        <w:t>，惟尚無成案案件。</w:t>
      </w:r>
      <w:r w:rsidRPr="004E0F8F">
        <w:rPr>
          <w:rFonts w:ascii="標楷體" w:eastAsia="標楷體" w:hAnsi="標楷體" w:hint="eastAsia"/>
          <w:kern w:val="2"/>
          <w:sz w:val="32"/>
          <w:szCs w:val="32"/>
        </w:rPr>
        <w:t>請</w:t>
      </w:r>
      <w:r w:rsidRPr="004E0F8F">
        <w:rPr>
          <w:rFonts w:ascii="標楷體" w:eastAsia="標楷體" w:hAnsi="標楷體"/>
          <w:kern w:val="2"/>
          <w:sz w:val="32"/>
          <w:szCs w:val="32"/>
        </w:rPr>
        <w:t>財政部國有財產署於</w:t>
      </w:r>
      <w:r w:rsidRPr="004E0F8F">
        <w:rPr>
          <w:rFonts w:ascii="標楷體" w:eastAsia="標楷體" w:hAnsi="標楷體" w:hint="eastAsia"/>
          <w:kern w:val="2"/>
          <w:sz w:val="32"/>
          <w:szCs w:val="32"/>
        </w:rPr>
        <w:t>3</w:t>
      </w:r>
      <w:r w:rsidRPr="004E0F8F">
        <w:rPr>
          <w:rFonts w:ascii="標楷體" w:eastAsia="標楷體" w:hAnsi="標楷體"/>
          <w:kern w:val="2"/>
          <w:sz w:val="32"/>
          <w:szCs w:val="32"/>
        </w:rPr>
        <w:t>個月內，就</w:t>
      </w:r>
      <w:r w:rsidRPr="004E0F8F">
        <w:rPr>
          <w:rFonts w:ascii="標楷體" w:eastAsia="標楷體" w:hAnsi="標楷體" w:hint="eastAsia"/>
          <w:kern w:val="2"/>
          <w:sz w:val="32"/>
          <w:szCs w:val="32"/>
        </w:rPr>
        <w:t>如何精進</w:t>
      </w:r>
      <w:r w:rsidRPr="004E0F8F">
        <w:rPr>
          <w:rFonts w:ascii="標楷體" w:eastAsia="標楷體" w:hAnsi="標楷體"/>
          <w:kern w:val="2"/>
          <w:sz w:val="32"/>
          <w:szCs w:val="32"/>
        </w:rPr>
        <w:t>國有非公用土地</w:t>
      </w:r>
      <w:r w:rsidRPr="004E0F8F">
        <w:rPr>
          <w:rFonts w:ascii="標楷體" w:eastAsia="標楷體" w:hAnsi="標楷體" w:hint="eastAsia"/>
          <w:kern w:val="2"/>
          <w:sz w:val="32"/>
          <w:szCs w:val="32"/>
        </w:rPr>
        <w:t>公開招標</w:t>
      </w:r>
      <w:r w:rsidRPr="004E0F8F">
        <w:rPr>
          <w:rFonts w:ascii="標楷體" w:eastAsia="標楷體" w:hAnsi="標楷體"/>
          <w:kern w:val="2"/>
          <w:sz w:val="32"/>
          <w:szCs w:val="32"/>
        </w:rPr>
        <w:t>設定地上權</w:t>
      </w:r>
      <w:r w:rsidRPr="004E0F8F">
        <w:rPr>
          <w:rFonts w:ascii="標楷體" w:eastAsia="標楷體" w:hAnsi="標楷體" w:hint="eastAsia"/>
          <w:kern w:val="2"/>
          <w:sz w:val="32"/>
          <w:szCs w:val="32"/>
        </w:rPr>
        <w:t>執行成效，</w:t>
      </w:r>
      <w:r w:rsidRPr="004E0F8F">
        <w:rPr>
          <w:rFonts w:ascii="標楷體" w:eastAsia="標楷體" w:hAnsi="標楷體"/>
          <w:kern w:val="2"/>
          <w:sz w:val="32"/>
          <w:szCs w:val="32"/>
        </w:rPr>
        <w:t>向立法院財政委員會提出書面報告</w:t>
      </w:r>
      <w:r w:rsidRPr="004E0F8F">
        <w:rPr>
          <w:rFonts w:ascii="標楷體" w:eastAsia="標楷體" w:hAnsi="標楷體" w:hint="eastAsia"/>
          <w:kern w:val="2"/>
          <w:sz w:val="32"/>
          <w:szCs w:val="32"/>
        </w:rPr>
        <w:t>。</w:t>
      </w:r>
    </w:p>
    <w:p w14:paraId="3B25455B" w14:textId="3DC8A308"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提案人：黃珊珊　陳玉珍　王鴻薇</w:t>
      </w:r>
    </w:p>
    <w:p w14:paraId="1FE28309"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(十七)依據遺產及贈與稅法第30條第4項規定，納稅義務人於符合一定條件下，得以實物抵繳稅額，經稽徵機關審核同意後，由</w:t>
      </w:r>
      <w:r w:rsidRPr="004E0F8F">
        <w:rPr>
          <w:rFonts w:ascii="標楷體" w:eastAsia="標楷體" w:hAnsi="標楷體"/>
          <w:kern w:val="2"/>
          <w:sz w:val="32"/>
          <w:szCs w:val="32"/>
        </w:rPr>
        <w:t>財政部</w:t>
      </w:r>
      <w:r w:rsidRPr="004E0F8F">
        <w:rPr>
          <w:rFonts w:ascii="標楷體" w:eastAsia="標楷體" w:hAnsi="標楷體" w:hint="eastAsia"/>
          <w:kern w:val="2"/>
          <w:sz w:val="32"/>
          <w:szCs w:val="32"/>
        </w:rPr>
        <w:t>國有財產署所屬各分署負責辦理抵稅實物之接管及處理。</w:t>
      </w:r>
      <w:r w:rsidRPr="004E0F8F">
        <w:rPr>
          <w:rFonts w:ascii="標楷體" w:eastAsia="標楷體" w:hAnsi="標楷體"/>
          <w:kern w:val="2"/>
          <w:sz w:val="32"/>
          <w:szCs w:val="32"/>
        </w:rPr>
        <w:t>財政部</w:t>
      </w:r>
      <w:r w:rsidRPr="004E0F8F">
        <w:rPr>
          <w:rFonts w:ascii="標楷體" w:eastAsia="標楷體" w:hAnsi="標楷體" w:hint="eastAsia"/>
          <w:kern w:val="2"/>
          <w:sz w:val="32"/>
          <w:szCs w:val="32"/>
        </w:rPr>
        <w:t>國有財產署辦理接管抵稅實物處理業務，截至1</w:t>
      </w:r>
      <w:r w:rsidRPr="004E0F8F">
        <w:rPr>
          <w:rFonts w:ascii="標楷體" w:eastAsia="標楷體" w:hAnsi="標楷體"/>
          <w:kern w:val="2"/>
          <w:sz w:val="32"/>
          <w:szCs w:val="32"/>
        </w:rPr>
        <w:t>13</w:t>
      </w:r>
      <w:r w:rsidRPr="004E0F8F">
        <w:rPr>
          <w:rFonts w:ascii="標楷體" w:eastAsia="標楷體" w:hAnsi="標楷體" w:hint="eastAsia"/>
          <w:kern w:val="2"/>
          <w:sz w:val="32"/>
          <w:szCs w:val="32"/>
        </w:rPr>
        <w:t>年10月，合計抵繳金額2,118億元，其中已處理850億元，待處理1,268億元(含公共設施用地656億元，約占51%)。有鑑於部分抵稅實物價值易隨時間減損，恐影響國庫收入，</w:t>
      </w:r>
      <w:r w:rsidRPr="004E0F8F">
        <w:rPr>
          <w:rFonts w:ascii="標楷體" w:eastAsia="標楷體" w:hAnsi="標楷體"/>
          <w:kern w:val="2"/>
          <w:sz w:val="32"/>
          <w:szCs w:val="32"/>
        </w:rPr>
        <w:t>財政部</w:t>
      </w:r>
      <w:r w:rsidRPr="004E0F8F">
        <w:rPr>
          <w:rFonts w:ascii="標楷體" w:eastAsia="標楷體" w:hAnsi="標楷體" w:hint="eastAsia"/>
          <w:kern w:val="2"/>
          <w:sz w:val="32"/>
          <w:szCs w:val="32"/>
        </w:rPr>
        <w:t>國有財產署應協助分署及辦事處積極處理，並適時檢討法規、簡化流程可行性，以加速去化抵稅實物，維護國庫權益。</w:t>
      </w:r>
    </w:p>
    <w:p w14:paraId="4FC9B4FA" w14:textId="404E7767"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提案人：郭國文　</w:t>
      </w:r>
    </w:p>
    <w:p w14:paraId="0830CA51" w14:textId="16B092D8"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連署人：賴惠員　王世堅</w:t>
      </w:r>
    </w:p>
    <w:p w14:paraId="52CE43B1"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(十八)</w:t>
      </w:r>
      <w:r w:rsidRPr="004E0F8F">
        <w:rPr>
          <w:rFonts w:ascii="標楷體" w:eastAsia="標楷體" w:hAnsi="標楷體"/>
          <w:kern w:val="2"/>
          <w:sz w:val="32"/>
          <w:szCs w:val="32"/>
        </w:rPr>
        <w:t>114年度財政部國有財產署及所屬預算案於第2目「國有財產業務」項下「國有財</w:t>
      </w:r>
      <w:r w:rsidRPr="004E0F8F">
        <w:rPr>
          <w:rFonts w:ascii="標楷體" w:eastAsia="標楷體" w:hAnsi="標楷體" w:hint="eastAsia"/>
          <w:kern w:val="2"/>
          <w:sz w:val="32"/>
          <w:szCs w:val="32"/>
        </w:rPr>
        <w:t>產管理處分</w:t>
      </w:r>
      <w:r w:rsidRPr="004E0F8F">
        <w:rPr>
          <w:rFonts w:ascii="標楷體" w:eastAsia="標楷體" w:hAnsi="標楷體"/>
          <w:kern w:val="2"/>
          <w:sz w:val="32"/>
          <w:szCs w:val="32"/>
        </w:rPr>
        <w:t>」</w:t>
      </w:r>
      <w:r w:rsidRPr="004E0F8F">
        <w:rPr>
          <w:rFonts w:ascii="標楷體" w:eastAsia="標楷體" w:hAnsi="標楷體" w:hint="eastAsia"/>
          <w:kern w:val="2"/>
          <w:sz w:val="32"/>
          <w:szCs w:val="32"/>
        </w:rPr>
        <w:t>之</w:t>
      </w:r>
      <w:r w:rsidRPr="004E0F8F">
        <w:rPr>
          <w:rFonts w:ascii="標楷體" w:eastAsia="標楷體" w:hAnsi="標楷體"/>
          <w:kern w:val="2"/>
          <w:sz w:val="32"/>
          <w:szCs w:val="32"/>
        </w:rPr>
        <w:t>「國有非公用文化資產修復及管理維護計畫」編列1億1,059萬7千元</w:t>
      </w:r>
      <w:r w:rsidRPr="004E0F8F">
        <w:rPr>
          <w:rFonts w:ascii="標楷體" w:eastAsia="標楷體" w:hAnsi="標楷體" w:hint="eastAsia"/>
          <w:kern w:val="2"/>
          <w:sz w:val="32"/>
          <w:szCs w:val="32"/>
        </w:rPr>
        <w:t>。財政部國有財產署國有非公用文化資產修復及管理維護計畫之計畫期程自111年至116年，總經費8億5</w:t>
      </w:r>
      <w:r w:rsidRPr="004E0F8F">
        <w:rPr>
          <w:rFonts w:ascii="標楷體" w:eastAsia="標楷體" w:hAnsi="標楷體"/>
          <w:kern w:val="2"/>
          <w:sz w:val="32"/>
          <w:szCs w:val="32"/>
        </w:rPr>
        <w:t>,</w:t>
      </w:r>
      <w:r w:rsidRPr="004E0F8F">
        <w:rPr>
          <w:rFonts w:ascii="標楷體" w:eastAsia="標楷體" w:hAnsi="標楷體" w:hint="eastAsia"/>
          <w:kern w:val="2"/>
          <w:sz w:val="32"/>
          <w:szCs w:val="32"/>
        </w:rPr>
        <w:t>255萬9千元，114年度編列1億</w:t>
      </w:r>
      <w:r w:rsidRPr="004E0F8F">
        <w:rPr>
          <w:rFonts w:ascii="標楷體" w:eastAsia="標楷體" w:hAnsi="標楷體"/>
          <w:kern w:val="2"/>
          <w:sz w:val="32"/>
          <w:szCs w:val="32"/>
        </w:rPr>
        <w:t>1,059</w:t>
      </w:r>
      <w:r w:rsidRPr="004E0F8F">
        <w:rPr>
          <w:rFonts w:ascii="標楷體" w:eastAsia="標楷體" w:hAnsi="標楷體" w:hint="eastAsia"/>
          <w:kern w:val="2"/>
          <w:sz w:val="32"/>
          <w:szCs w:val="32"/>
        </w:rPr>
        <w:t>萬</w:t>
      </w:r>
      <w:r w:rsidRPr="004E0F8F">
        <w:rPr>
          <w:rFonts w:ascii="標楷體" w:eastAsia="標楷體" w:hAnsi="標楷體"/>
          <w:kern w:val="2"/>
          <w:sz w:val="32"/>
          <w:szCs w:val="32"/>
        </w:rPr>
        <w:t>7</w:t>
      </w:r>
      <w:r w:rsidRPr="004E0F8F">
        <w:rPr>
          <w:rFonts w:ascii="標楷體" w:eastAsia="標楷體" w:hAnsi="標楷體" w:hint="eastAsia"/>
          <w:kern w:val="2"/>
          <w:sz w:val="32"/>
          <w:szCs w:val="32"/>
        </w:rPr>
        <w:t>千元。經查，</w:t>
      </w:r>
      <w:r w:rsidRPr="004E0F8F">
        <w:rPr>
          <w:rFonts w:ascii="標楷體" w:eastAsia="標楷體" w:hAnsi="標楷體"/>
          <w:kern w:val="2"/>
          <w:sz w:val="32"/>
          <w:szCs w:val="32"/>
        </w:rPr>
        <w:t>財政部國有財產署</w:t>
      </w:r>
      <w:r w:rsidRPr="004E0F8F">
        <w:rPr>
          <w:rFonts w:ascii="標楷體" w:eastAsia="標楷體" w:hAnsi="標楷體" w:hint="eastAsia"/>
          <w:kern w:val="2"/>
          <w:sz w:val="32"/>
          <w:szCs w:val="32"/>
        </w:rPr>
        <w:t>經管文資達344處，本計畫共辦理17處文資修復再利用及維護管理，截至113年9月底完成11處文化資產修復再利用計畫、2處文化資產修復工程。另提供79處文化資產認養、14處委託管理、51處出租、3處文化資產標租及2處委託改良利用。顯示經管文資修復經費相當有限，除民間認養外，活化數量及模式仍相當有限，多數文資僅能進行巡查作業。考量文化資產數量仍多，後續維護管理及活化作業相當浩大，</w:t>
      </w:r>
      <w:r w:rsidRPr="004E0F8F">
        <w:rPr>
          <w:rFonts w:ascii="標楷體" w:eastAsia="標楷體" w:hAnsi="標楷體"/>
          <w:kern w:val="2"/>
          <w:sz w:val="32"/>
          <w:szCs w:val="32"/>
        </w:rPr>
        <w:t>財政部國有財產署</w:t>
      </w:r>
      <w:r w:rsidRPr="004E0F8F">
        <w:rPr>
          <w:rFonts w:ascii="標楷體" w:eastAsia="標楷體" w:hAnsi="標楷體" w:hint="eastAsia"/>
          <w:kern w:val="2"/>
          <w:sz w:val="32"/>
          <w:szCs w:val="32"/>
        </w:rPr>
        <w:t>應積極盤查全國國有非公用文</w:t>
      </w:r>
      <w:r w:rsidRPr="004E0F8F">
        <w:rPr>
          <w:rFonts w:ascii="標楷體" w:eastAsia="標楷體" w:hAnsi="標楷體" w:hint="eastAsia"/>
          <w:kern w:val="2"/>
          <w:sz w:val="32"/>
          <w:szCs w:val="32"/>
        </w:rPr>
        <w:lastRenderedPageBreak/>
        <w:t>資予以納管，並協調文化單位擬定管理維護及修復再利用計畫，爭取足額預算，保護國有重要文化資產。</w:t>
      </w:r>
    </w:p>
    <w:p w14:paraId="4E07B4F7" w14:textId="5BDB8FDF"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提案人：郭國文　</w:t>
      </w:r>
    </w:p>
    <w:p w14:paraId="18B65581" w14:textId="2DC35CB1"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連署人：賴惠員　王世堅</w:t>
      </w:r>
    </w:p>
    <w:p w14:paraId="25FAED50"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600" w:hangingChars="500" w:hanging="160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(十九)根據</w:t>
      </w:r>
      <w:r w:rsidRPr="004E0F8F">
        <w:rPr>
          <w:rFonts w:ascii="標楷體" w:eastAsia="標楷體" w:hAnsi="標楷體"/>
          <w:kern w:val="2"/>
          <w:sz w:val="32"/>
          <w:szCs w:val="32"/>
        </w:rPr>
        <w:t>財政部國有財產署</w:t>
      </w:r>
      <w:r w:rsidRPr="004E0F8F">
        <w:rPr>
          <w:rFonts w:ascii="標楷體" w:eastAsia="標楷體" w:hAnsi="標楷體" w:hint="eastAsia"/>
          <w:kern w:val="2"/>
          <w:sz w:val="32"/>
          <w:szCs w:val="32"/>
        </w:rPr>
        <w:t>統計，截至112年底，國有土地參與都市更新案件1,707件，面積約103.59公頃；存續中案件551件，面積43.02公頃。已分回417戶建物、510席停車位，11戶刻驗屋中尚未完成接管；292戶已標售；1戶已標租；10戶已撥用提供予臺北市、新北市政府作社會住宅；100戶經洽住宅主管機關無作社會住宅需求，視市場狀況，將以標售、標租或其他方式辦理活化。考量社會住宅為國家重大政策，而且內政部陸續拋出地上權、使用權住宅概念，</w:t>
      </w:r>
      <w:r w:rsidRPr="004E0F8F">
        <w:rPr>
          <w:rFonts w:ascii="標楷體" w:eastAsia="標楷體" w:hAnsi="標楷體"/>
          <w:kern w:val="2"/>
          <w:sz w:val="32"/>
          <w:szCs w:val="32"/>
        </w:rPr>
        <w:t>財政部國有財產署</w:t>
      </w:r>
      <w:r w:rsidRPr="004E0F8F">
        <w:rPr>
          <w:rFonts w:ascii="標楷體" w:eastAsia="標楷體" w:hAnsi="標楷體" w:hint="eastAsia"/>
          <w:kern w:val="2"/>
          <w:sz w:val="32"/>
          <w:szCs w:val="32"/>
        </w:rPr>
        <w:t>參與都市更新時，應參考政策之需要，取得適合之物件，優先作為社會住宅使用，避免分回房地閒置。</w:t>
      </w:r>
    </w:p>
    <w:p w14:paraId="266ED96D" w14:textId="374A8693"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提案人：郭國文　</w:t>
      </w:r>
    </w:p>
    <w:p w14:paraId="0597E964" w14:textId="1C32F90F"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連署人：賴惠員　王世堅</w:t>
      </w:r>
    </w:p>
    <w:p w14:paraId="2FE15D0C"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(二　十)</w:t>
      </w:r>
      <w:r w:rsidRPr="004E0F8F">
        <w:rPr>
          <w:rFonts w:ascii="標楷體" w:eastAsia="標楷體" w:hAnsi="標楷體"/>
          <w:kern w:val="2"/>
          <w:sz w:val="32"/>
          <w:szCs w:val="32"/>
        </w:rPr>
        <w:t>114年度財政部國有財產署及所屬預算案於第2目「國有財產業務」項下「國有公用財產」</w:t>
      </w:r>
      <w:r w:rsidRPr="004E0F8F">
        <w:rPr>
          <w:rFonts w:ascii="標楷體" w:eastAsia="標楷體" w:hAnsi="標楷體" w:hint="eastAsia"/>
          <w:kern w:val="2"/>
          <w:sz w:val="32"/>
          <w:szCs w:val="32"/>
        </w:rPr>
        <w:t>編列「</w:t>
      </w:r>
      <w:r w:rsidRPr="004E0F8F">
        <w:rPr>
          <w:rFonts w:ascii="標楷體" w:eastAsia="標楷體" w:hAnsi="標楷體"/>
          <w:kern w:val="2"/>
          <w:sz w:val="32"/>
          <w:szCs w:val="32"/>
        </w:rPr>
        <w:t>協助各級政府機關、學校取得因公務、公共所需國有土地加速國家建設</w:t>
      </w:r>
      <w:r w:rsidRPr="004E0F8F">
        <w:rPr>
          <w:rFonts w:ascii="標楷體" w:eastAsia="標楷體" w:hAnsi="標楷體" w:hint="eastAsia"/>
          <w:kern w:val="2"/>
          <w:sz w:val="32"/>
          <w:szCs w:val="32"/>
        </w:rPr>
        <w:t>」預算</w:t>
      </w:r>
      <w:r w:rsidRPr="004E0F8F">
        <w:rPr>
          <w:rFonts w:ascii="標楷體" w:eastAsia="標楷體" w:hAnsi="標楷體"/>
          <w:kern w:val="2"/>
          <w:sz w:val="32"/>
          <w:szCs w:val="32"/>
        </w:rPr>
        <w:t>106萬9千元。</w:t>
      </w:r>
      <w:r w:rsidRPr="004E0F8F">
        <w:rPr>
          <w:rFonts w:ascii="標楷體" w:eastAsia="標楷體" w:hAnsi="標楷體" w:hint="eastAsia"/>
          <w:kern w:val="2"/>
          <w:sz w:val="32"/>
          <w:szCs w:val="32"/>
        </w:rPr>
        <w:t>現今仍有許多部落公共建設，如活動中心、學校、派出所、衛生所等公有設施，尚未能合法取得土地，</w:t>
      </w:r>
      <w:r w:rsidRPr="004E0F8F">
        <w:rPr>
          <w:rFonts w:ascii="標楷體" w:eastAsia="標楷體" w:hAnsi="標楷體"/>
          <w:kern w:val="2"/>
          <w:sz w:val="32"/>
          <w:szCs w:val="32"/>
        </w:rPr>
        <w:t>財政部國有財產署</w:t>
      </w:r>
      <w:r w:rsidRPr="004E0F8F">
        <w:rPr>
          <w:rFonts w:ascii="標楷體" w:eastAsia="標楷體" w:hAnsi="標楷體" w:hint="eastAsia"/>
          <w:kern w:val="2"/>
          <w:sz w:val="32"/>
          <w:szCs w:val="32"/>
        </w:rPr>
        <w:t>應優先於原住民族地區如高屏及花東地區，會同原住民族委員會舉辦撥用業務教育訓練，加強宣導撥用國有原住民保留地之作業規定及程序，協助需地機關加速撥用取得部落公共建設所需用地，以促進部落發展。</w:t>
      </w:r>
    </w:p>
    <w:p w14:paraId="73BB6647" w14:textId="79AFBD4F"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提案人：伍麗華　</w:t>
      </w:r>
    </w:p>
    <w:p w14:paraId="774FB896" w14:textId="0BCA097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連署人：王世堅　吳秉叡</w:t>
      </w:r>
    </w:p>
    <w:p w14:paraId="48694A01" w14:textId="77777777" w:rsidR="009D64D0" w:rsidRPr="004E0F8F" w:rsidRDefault="009D64D0" w:rsidP="00F470A8">
      <w:pPr>
        <w:widowControl w:val="0"/>
        <w:tabs>
          <w:tab w:val="left" w:pos="709"/>
          <w:tab w:val="left" w:pos="851"/>
        </w:tabs>
        <w:kinsoku w:val="0"/>
        <w:overflowPunct w:val="0"/>
        <w:autoSpaceDE w:val="0"/>
        <w:adjustRightInd w:val="0"/>
        <w:snapToGrid w:val="0"/>
        <w:spacing w:line="480" w:lineRule="exact"/>
        <w:ind w:left="1920" w:hangingChars="600" w:hanging="1920"/>
        <w:jc w:val="both"/>
        <w:textAlignment w:val="auto"/>
        <w:rPr>
          <w:rFonts w:ascii="標楷體" w:eastAsia="標楷體" w:hAnsi="標楷體"/>
          <w:kern w:val="2"/>
          <w:sz w:val="32"/>
          <w:szCs w:val="32"/>
        </w:rPr>
      </w:pPr>
      <w:r w:rsidRPr="004E0F8F">
        <w:rPr>
          <w:rFonts w:ascii="標楷體" w:eastAsia="標楷體" w:hAnsi="標楷體" w:hint="eastAsia"/>
          <w:kern w:val="2"/>
          <w:sz w:val="32"/>
          <w:szCs w:val="32"/>
        </w:rPr>
        <w:t xml:space="preserve">　　(二十一)據112年度審計部中央政府總決算審核報告指出，國有</w:t>
      </w:r>
      <w:r w:rsidRPr="004E0F8F">
        <w:rPr>
          <w:rFonts w:ascii="標楷體" w:eastAsia="標楷體" w:hAnsi="標楷體" w:hint="eastAsia"/>
          <w:kern w:val="2"/>
          <w:sz w:val="32"/>
          <w:szCs w:val="32"/>
        </w:rPr>
        <w:lastRenderedPageBreak/>
        <w:t>非公用土地公開招標設定地上權，雖有助增加政府財政收入，惟執行成效及土地資源配置仍有精進空間；近5年度（108至112年度）標脫宗數雖由108年度之11宗，增加為110年度之28宗，惟112年度下降為18宗，決標權利金總金額亦由108年度之70億餘元，減少為111年度之54億餘元及112年度之45億餘元；且分戶移轉潛存履約管理風險，允宜滾動檢討推動措施及完備相關配套機制，俾使地上權制度健全發展，故請財政部國有財產署以如何精進國有非公用土地公開招標設定地上權執行成效為題，於1個月內向立法院財政委員會提出書面報告。</w:t>
      </w:r>
    </w:p>
    <w:p w14:paraId="0A48D76B" w14:textId="1B1F8CFC"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提案人：王世堅　</w:t>
      </w:r>
    </w:p>
    <w:p w14:paraId="277CC930" w14:textId="087FD36F" w:rsidR="009D64D0" w:rsidRPr="0099218F" w:rsidRDefault="004830EB"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C15B5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連署人：李坤城　郭國文</w:t>
      </w:r>
    </w:p>
    <w:p w14:paraId="793EFB71" w14:textId="77777777" w:rsidR="009D64D0" w:rsidRPr="009F46B5" w:rsidRDefault="009D64D0" w:rsidP="00F470A8">
      <w:pPr>
        <w:widowControl w:val="0"/>
        <w:kinsoku w:val="0"/>
        <w:overflowPunct w:val="0"/>
        <w:autoSpaceDE w:val="0"/>
        <w:adjustRightInd w:val="0"/>
        <w:snapToGrid w:val="0"/>
        <w:spacing w:line="460" w:lineRule="exact"/>
        <w:ind w:leftChars="200" w:left="1784" w:hangingChars="407" w:hanging="1304"/>
        <w:textAlignment w:val="auto"/>
        <w:rPr>
          <w:rFonts w:ascii="標楷體" w:eastAsia="標楷體" w:hAnsi="標楷體"/>
          <w:b/>
          <w:kern w:val="2"/>
          <w:sz w:val="32"/>
          <w:szCs w:val="32"/>
        </w:rPr>
      </w:pPr>
      <w:r w:rsidRPr="009F46B5">
        <w:rPr>
          <w:rFonts w:ascii="標楷體" w:eastAsia="標楷體" w:hAnsi="標楷體" w:hint="eastAsia"/>
          <w:b/>
          <w:kern w:val="2"/>
          <w:sz w:val="32"/>
          <w:szCs w:val="32"/>
        </w:rPr>
        <w:t>有關政事別歲出預算隨同以上機關別審查結果調整。</w:t>
      </w:r>
    </w:p>
    <w:p w14:paraId="0041296C" w14:textId="77777777" w:rsidR="009D64D0" w:rsidRPr="009F46B5" w:rsidRDefault="009D64D0" w:rsidP="00F470A8">
      <w:pPr>
        <w:pStyle w:val="Default"/>
        <w:kinsoku w:val="0"/>
        <w:overflowPunct w:val="0"/>
        <w:adjustRightInd w:val="0"/>
        <w:snapToGrid w:val="0"/>
        <w:spacing w:beforeLines="50" w:before="180" w:line="460" w:lineRule="exact"/>
        <w:ind w:left="641" w:hangingChars="200" w:hanging="641"/>
        <w:jc w:val="both"/>
        <w:rPr>
          <w:rFonts w:cs="Times New Roman"/>
          <w:b/>
          <w:bCs/>
          <w:sz w:val="32"/>
          <w:szCs w:val="32"/>
        </w:rPr>
      </w:pPr>
      <w:r w:rsidRPr="002E379D">
        <w:rPr>
          <w:rFonts w:cs="Times New Roman" w:hint="eastAsia"/>
          <w:b/>
          <w:bCs/>
          <w:sz w:val="32"/>
          <w:szCs w:val="32"/>
        </w:rPr>
        <w:t>二、融資財源調度部分</w:t>
      </w:r>
      <w:r w:rsidRPr="009F46B5">
        <w:rPr>
          <w:rFonts w:cs="Times New Roman" w:hint="eastAsia"/>
          <w:b/>
          <w:bCs/>
          <w:sz w:val="32"/>
          <w:szCs w:val="32"/>
        </w:rPr>
        <w:t>：</w:t>
      </w:r>
      <w:r w:rsidRPr="009F46B5">
        <w:rPr>
          <w:rFonts w:cs="Times New Roman"/>
          <w:b/>
          <w:bCs/>
          <w:sz w:val="32"/>
          <w:szCs w:val="32"/>
        </w:rPr>
        <w:t xml:space="preserve"> </w:t>
      </w:r>
    </w:p>
    <w:p w14:paraId="5EDEC204" w14:textId="77777777" w:rsidR="009D64D0" w:rsidRPr="009F46B5" w:rsidRDefault="009D64D0" w:rsidP="00F470A8">
      <w:pPr>
        <w:widowControl w:val="0"/>
        <w:kinsoku w:val="0"/>
        <w:overflowPunct w:val="0"/>
        <w:autoSpaceDE w:val="0"/>
        <w:adjustRightInd w:val="0"/>
        <w:snapToGrid w:val="0"/>
        <w:spacing w:line="460" w:lineRule="exact"/>
        <w:ind w:leftChars="200" w:left="480"/>
        <w:jc w:val="both"/>
        <w:textAlignment w:val="auto"/>
        <w:rPr>
          <w:rFonts w:ascii="標楷體" w:eastAsia="標楷體" w:hAnsi="標楷體"/>
          <w:kern w:val="2"/>
          <w:sz w:val="32"/>
          <w:szCs w:val="32"/>
        </w:rPr>
      </w:pPr>
      <w:r w:rsidRPr="009F46B5">
        <w:rPr>
          <w:rFonts w:ascii="標楷體" w:eastAsia="標楷體" w:hAnsi="標楷體" w:hint="eastAsia"/>
          <w:kern w:val="2"/>
          <w:sz w:val="32"/>
          <w:szCs w:val="32"/>
        </w:rPr>
        <w:t>中華民國114年度中央政府總預算案有關融資財源調度部分，編列債務之償還1,415億元，另歲入歲出賸餘208億9,728萬1千元。合共尚須融資調度數1,206億0,271萬9千元，以舉借債務706億0,271萬9千元及移用以前年度歲計賸餘500億元予以彌平，均暫照列，俟總預算案歲入歲出審議結果，再行調整。</w:t>
      </w:r>
    </w:p>
    <w:p w14:paraId="22C5EC9F" w14:textId="77777777" w:rsidR="009D64D0" w:rsidRPr="002E379D" w:rsidRDefault="009D64D0" w:rsidP="00F470A8">
      <w:pPr>
        <w:pStyle w:val="Default"/>
        <w:kinsoku w:val="0"/>
        <w:overflowPunct w:val="0"/>
        <w:snapToGrid w:val="0"/>
        <w:spacing w:beforeLines="50" w:before="180" w:line="460" w:lineRule="exact"/>
        <w:ind w:left="1803" w:hanging="1803"/>
        <w:jc w:val="both"/>
        <w:rPr>
          <w:rFonts w:cs="Times New Roman"/>
          <w:bCs/>
          <w:sz w:val="32"/>
          <w:szCs w:val="32"/>
        </w:rPr>
      </w:pPr>
      <w:r w:rsidRPr="002E379D">
        <w:rPr>
          <w:rFonts w:cs="Times New Roman"/>
          <w:b/>
          <w:bCs/>
          <w:sz w:val="32"/>
          <w:szCs w:val="32"/>
        </w:rPr>
        <w:t>11</w:t>
      </w:r>
      <w:r w:rsidRPr="002E379D">
        <w:rPr>
          <w:rFonts w:cs="Times New Roman" w:hint="eastAsia"/>
          <w:b/>
          <w:bCs/>
          <w:sz w:val="32"/>
          <w:szCs w:val="32"/>
        </w:rPr>
        <w:t>3年</w:t>
      </w:r>
      <w:r w:rsidRPr="00135DCA">
        <w:rPr>
          <w:rFonts w:cs="Times New Roman" w:hint="eastAsia"/>
          <w:b/>
          <w:bCs/>
          <w:sz w:val="32"/>
          <w:szCs w:val="32"/>
        </w:rPr>
        <w:t>12月1</w:t>
      </w:r>
      <w:r>
        <w:rPr>
          <w:rFonts w:cs="Times New Roman"/>
          <w:b/>
          <w:bCs/>
          <w:sz w:val="32"/>
          <w:szCs w:val="32"/>
        </w:rPr>
        <w:t>9</w:t>
      </w:r>
      <w:r w:rsidRPr="002E379D">
        <w:rPr>
          <w:rFonts w:cs="Times New Roman" w:hint="eastAsia"/>
          <w:b/>
          <w:bCs/>
          <w:sz w:val="32"/>
          <w:szCs w:val="32"/>
        </w:rPr>
        <w:t>日</w:t>
      </w:r>
    </w:p>
    <w:p w14:paraId="1E135778" w14:textId="77777777" w:rsidR="009D64D0" w:rsidRPr="009F46B5" w:rsidRDefault="009D64D0" w:rsidP="00F470A8">
      <w:pPr>
        <w:widowControl w:val="0"/>
        <w:kinsoku w:val="0"/>
        <w:overflowPunct w:val="0"/>
        <w:autoSpaceDE w:val="0"/>
        <w:adjustRightInd w:val="0"/>
        <w:snapToGrid w:val="0"/>
        <w:spacing w:line="460" w:lineRule="exact"/>
        <w:ind w:leftChars="201" w:left="482"/>
        <w:jc w:val="both"/>
        <w:textAlignment w:val="auto"/>
        <w:rPr>
          <w:rFonts w:ascii="標楷體" w:eastAsia="標楷體" w:hAnsi="標楷體"/>
          <w:b/>
          <w:kern w:val="2"/>
          <w:sz w:val="32"/>
          <w:szCs w:val="32"/>
        </w:rPr>
      </w:pPr>
      <w:r w:rsidRPr="009F46B5">
        <w:rPr>
          <w:rFonts w:ascii="標楷體" w:eastAsia="標楷體" w:hAnsi="標楷體" w:hint="eastAsia"/>
          <w:b/>
          <w:kern w:val="2"/>
          <w:sz w:val="32"/>
          <w:szCs w:val="32"/>
        </w:rPr>
        <w:t>討論事項</w:t>
      </w:r>
    </w:p>
    <w:p w14:paraId="670F69E9" w14:textId="77777777" w:rsidR="009D64D0" w:rsidRPr="008338EC" w:rsidRDefault="009D64D0" w:rsidP="00F470A8">
      <w:pPr>
        <w:pStyle w:val="Default"/>
        <w:overflowPunct w:val="0"/>
        <w:spacing w:line="500" w:lineRule="exact"/>
        <w:ind w:leftChars="9" w:left="662" w:hangingChars="200" w:hanging="640"/>
        <w:jc w:val="both"/>
        <w:rPr>
          <w:rFonts w:cs="Times New Roman"/>
          <w:bCs/>
          <w:sz w:val="32"/>
          <w:szCs w:val="32"/>
        </w:rPr>
      </w:pPr>
      <w:r w:rsidRPr="008338EC">
        <w:rPr>
          <w:rFonts w:cs="Times New Roman" w:hint="eastAsia"/>
          <w:bCs/>
          <w:sz w:val="32"/>
          <w:szCs w:val="32"/>
        </w:rPr>
        <w:t>一、</w:t>
      </w:r>
      <w:r w:rsidRPr="00497A16">
        <w:rPr>
          <w:rFonts w:cs="Times New Roman" w:hint="eastAsia"/>
          <w:bCs/>
          <w:sz w:val="32"/>
          <w:szCs w:val="32"/>
        </w:rPr>
        <w:t>審查中華民國114年度中央政府總預算案有關金融監督管理委員會、銀行局、證券期貨局、保險局、檢查局收支部分</w:t>
      </w:r>
      <w:r w:rsidRPr="008338EC">
        <w:rPr>
          <w:rFonts w:cs="Times New Roman" w:hint="eastAsia"/>
          <w:bCs/>
          <w:sz w:val="32"/>
          <w:szCs w:val="32"/>
        </w:rPr>
        <w:t>。</w:t>
      </w:r>
    </w:p>
    <w:p w14:paraId="555F0F3F" w14:textId="77777777" w:rsidR="009D64D0" w:rsidRDefault="009D64D0" w:rsidP="00F470A8">
      <w:pPr>
        <w:pStyle w:val="Default"/>
        <w:overflowPunct w:val="0"/>
        <w:spacing w:line="500" w:lineRule="exact"/>
        <w:ind w:leftChars="9" w:left="662" w:hangingChars="200" w:hanging="640"/>
        <w:jc w:val="both"/>
        <w:rPr>
          <w:rFonts w:cs="Times New Roman"/>
          <w:bCs/>
          <w:sz w:val="32"/>
          <w:szCs w:val="32"/>
        </w:rPr>
      </w:pPr>
      <w:r w:rsidRPr="008338EC">
        <w:rPr>
          <w:rFonts w:cs="Times New Roman" w:hint="eastAsia"/>
          <w:bCs/>
          <w:sz w:val="32"/>
          <w:szCs w:val="32"/>
        </w:rPr>
        <w:t>二、</w:t>
      </w:r>
      <w:r w:rsidRPr="00497A16">
        <w:rPr>
          <w:rFonts w:cs="Times New Roman" w:hint="eastAsia"/>
          <w:bCs/>
          <w:sz w:val="32"/>
          <w:szCs w:val="32"/>
        </w:rPr>
        <w:t>審查中華民國114年度中央政府總預算案附屬單位預算營業部分，有關金融監督管理委員會主管中央存款保險股份有限公司</w:t>
      </w:r>
      <w:r w:rsidRPr="008338EC">
        <w:rPr>
          <w:rFonts w:cs="Times New Roman" w:hint="eastAsia"/>
          <w:bCs/>
          <w:sz w:val="32"/>
          <w:szCs w:val="32"/>
        </w:rPr>
        <w:t>。</w:t>
      </w:r>
    </w:p>
    <w:p w14:paraId="3AD8CA8A" w14:textId="77777777" w:rsidR="009D64D0" w:rsidRPr="00497A16" w:rsidRDefault="009D64D0" w:rsidP="00F470A8">
      <w:pPr>
        <w:pStyle w:val="Default"/>
        <w:overflowPunct w:val="0"/>
        <w:spacing w:line="500" w:lineRule="exact"/>
        <w:ind w:leftChars="9" w:left="662" w:hangingChars="200" w:hanging="640"/>
        <w:jc w:val="both"/>
        <w:rPr>
          <w:rFonts w:cs="Times New Roman"/>
          <w:bCs/>
          <w:sz w:val="32"/>
          <w:szCs w:val="32"/>
        </w:rPr>
      </w:pPr>
      <w:r>
        <w:rPr>
          <w:rFonts w:cs="Times New Roman" w:hint="eastAsia"/>
          <w:bCs/>
          <w:sz w:val="32"/>
          <w:szCs w:val="32"/>
        </w:rPr>
        <w:t>三</w:t>
      </w:r>
      <w:r w:rsidRPr="008338EC">
        <w:rPr>
          <w:rFonts w:cs="Times New Roman" w:hint="eastAsia"/>
          <w:bCs/>
          <w:sz w:val="32"/>
          <w:szCs w:val="32"/>
        </w:rPr>
        <w:t>、</w:t>
      </w:r>
      <w:r w:rsidRPr="001C4217">
        <w:rPr>
          <w:rFonts w:cs="Times New Roman" w:hint="eastAsia"/>
          <w:bCs/>
          <w:sz w:val="32"/>
          <w:szCs w:val="32"/>
        </w:rPr>
        <w:t>審查中華民國</w:t>
      </w:r>
      <w:r>
        <w:rPr>
          <w:rFonts w:cs="Times New Roman" w:hint="eastAsia"/>
          <w:bCs/>
          <w:sz w:val="32"/>
          <w:szCs w:val="32"/>
        </w:rPr>
        <w:t>114</w:t>
      </w:r>
      <w:r w:rsidRPr="008E5943">
        <w:rPr>
          <w:rFonts w:cs="Times New Roman" w:hint="eastAsia"/>
          <w:bCs/>
          <w:sz w:val="32"/>
          <w:szCs w:val="32"/>
        </w:rPr>
        <w:t>年度中央政府總預算案附屬單位預算非營業部分，有關金融監督管理委員會主管</w:t>
      </w:r>
      <w:r w:rsidRPr="001C4217">
        <w:rPr>
          <w:rFonts w:cs="Times New Roman" w:hint="eastAsia"/>
          <w:bCs/>
          <w:sz w:val="32"/>
          <w:szCs w:val="32"/>
        </w:rPr>
        <w:t>：</w:t>
      </w:r>
    </w:p>
    <w:p w14:paraId="29DEE421" w14:textId="77777777" w:rsidR="009D64D0" w:rsidRPr="009F46B5" w:rsidRDefault="009D64D0" w:rsidP="00F470A8">
      <w:pPr>
        <w:widowControl w:val="0"/>
        <w:kinsoku w:val="0"/>
        <w:overflowPunct w:val="0"/>
        <w:autoSpaceDE w:val="0"/>
        <w:adjustRightInd w:val="0"/>
        <w:snapToGrid w:val="0"/>
        <w:spacing w:line="460" w:lineRule="exact"/>
        <w:ind w:leftChars="201" w:left="482"/>
        <w:jc w:val="both"/>
        <w:textAlignment w:val="auto"/>
        <w:rPr>
          <w:rFonts w:ascii="標楷體" w:eastAsia="標楷體" w:hAnsi="標楷體"/>
          <w:kern w:val="2"/>
          <w:sz w:val="32"/>
          <w:szCs w:val="32"/>
        </w:rPr>
      </w:pPr>
      <w:r w:rsidRPr="009F46B5">
        <w:rPr>
          <w:rFonts w:ascii="標楷體" w:eastAsia="標楷體" w:hAnsi="標楷體" w:hint="eastAsia"/>
          <w:kern w:val="2"/>
          <w:sz w:val="32"/>
          <w:szCs w:val="32"/>
        </w:rPr>
        <w:t>(一)特別收入基金－金融監督管理基金。</w:t>
      </w:r>
    </w:p>
    <w:p w14:paraId="66E29137" w14:textId="77777777" w:rsidR="009D64D0" w:rsidRPr="009F46B5" w:rsidRDefault="009D64D0" w:rsidP="00F470A8">
      <w:pPr>
        <w:widowControl w:val="0"/>
        <w:kinsoku w:val="0"/>
        <w:overflowPunct w:val="0"/>
        <w:autoSpaceDE w:val="0"/>
        <w:adjustRightInd w:val="0"/>
        <w:snapToGrid w:val="0"/>
        <w:spacing w:line="460" w:lineRule="exact"/>
        <w:ind w:leftChars="201" w:left="482"/>
        <w:jc w:val="both"/>
        <w:textAlignment w:val="auto"/>
        <w:rPr>
          <w:rFonts w:ascii="標楷體" w:eastAsia="標楷體" w:hAnsi="標楷體"/>
          <w:kern w:val="2"/>
          <w:sz w:val="32"/>
          <w:szCs w:val="32"/>
        </w:rPr>
      </w:pPr>
      <w:r w:rsidRPr="009F46B5">
        <w:rPr>
          <w:rFonts w:ascii="標楷體" w:eastAsia="標楷體" w:hAnsi="標楷體" w:hint="eastAsia"/>
          <w:kern w:val="2"/>
          <w:sz w:val="32"/>
          <w:szCs w:val="32"/>
        </w:rPr>
        <w:t>(二)信託基金－保險業務發展基金。</w:t>
      </w:r>
    </w:p>
    <w:p w14:paraId="1CE9D2E9" w14:textId="77777777" w:rsidR="009D64D0" w:rsidRPr="00D30D58" w:rsidRDefault="009D64D0" w:rsidP="00F470A8">
      <w:pPr>
        <w:pStyle w:val="Default"/>
        <w:kinsoku w:val="0"/>
        <w:overflowPunct w:val="0"/>
        <w:spacing w:line="500" w:lineRule="exact"/>
        <w:ind w:left="320" w:hangingChars="100" w:hanging="320"/>
        <w:jc w:val="both"/>
        <w:rPr>
          <w:sz w:val="32"/>
          <w:szCs w:val="32"/>
        </w:rPr>
      </w:pPr>
      <w:r w:rsidRPr="00D30D58">
        <w:rPr>
          <w:rFonts w:hint="eastAsia"/>
          <w:sz w:val="32"/>
          <w:szCs w:val="32"/>
        </w:rPr>
        <w:lastRenderedPageBreak/>
        <w:t>（討論事項各案合併詢答。經金融監督管理委員會主任委員彭金隆就預算案提出報告後，計有委員林德福、吳秉叡、賴士葆、賴惠員、王鴻薇、李坤城、李彥秀、伍麗華、陳玉珍、顏寬恒、黃珊珊、郭國文、洪孟楷、羅明才、葉元之等</w:t>
      </w:r>
      <w:r w:rsidRPr="00D30D58">
        <w:rPr>
          <w:sz w:val="32"/>
          <w:szCs w:val="32"/>
        </w:rPr>
        <w:t>15</w:t>
      </w:r>
      <w:r w:rsidRPr="00D30D58">
        <w:rPr>
          <w:rFonts w:hint="eastAsia"/>
          <w:sz w:val="32"/>
          <w:szCs w:val="32"/>
        </w:rPr>
        <w:t>人提出質詢，均經金融監督管理委員會主任委員彭金隆及相關人員予以答復。）</w:t>
      </w:r>
    </w:p>
    <w:p w14:paraId="514CE5A6" w14:textId="77777777" w:rsidR="009D64D0" w:rsidRPr="009F46B5"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9F46B5">
        <w:rPr>
          <w:rFonts w:ascii="標楷體" w:eastAsia="標楷體" w:hAnsi="標楷體" w:hint="eastAsia"/>
          <w:b/>
          <w:color w:val="000000" w:themeColor="text1"/>
          <w:kern w:val="2"/>
          <w:sz w:val="32"/>
          <w:szCs w:val="32"/>
        </w:rPr>
        <w:t>決議：</w:t>
      </w:r>
    </w:p>
    <w:p w14:paraId="0E12E334" w14:textId="77777777" w:rsidR="009D64D0" w:rsidRPr="009F46B5"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9F46B5">
        <w:rPr>
          <w:rFonts w:ascii="標楷體" w:eastAsia="標楷體" w:hAnsi="標楷體" w:hint="eastAsia"/>
          <w:color w:val="000000" w:themeColor="text1"/>
          <w:kern w:val="2"/>
          <w:sz w:val="32"/>
          <w:szCs w:val="32"/>
        </w:rPr>
        <w:t>一、說明及詢答完畢。</w:t>
      </w:r>
    </w:p>
    <w:p w14:paraId="05A309D3" w14:textId="77777777" w:rsidR="009D64D0" w:rsidRPr="009F46B5"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9F46B5">
        <w:rPr>
          <w:rFonts w:ascii="標楷體" w:eastAsia="標楷體" w:hAnsi="標楷體" w:hint="eastAsia"/>
          <w:color w:val="000000" w:themeColor="text1"/>
          <w:kern w:val="2"/>
          <w:sz w:val="32"/>
          <w:szCs w:val="32"/>
        </w:rPr>
        <w:t>二、委員質詢未及答復或請補充資訊，請金融監督管理委員會於一週內以書面答復；委員另要求期限者，從其所定。</w:t>
      </w:r>
    </w:p>
    <w:p w14:paraId="5ABCA583" w14:textId="77777777" w:rsidR="009D64D0" w:rsidRPr="009F46B5"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9F46B5">
        <w:rPr>
          <w:rFonts w:ascii="標楷體" w:eastAsia="標楷體" w:hAnsi="標楷體" w:hint="eastAsia"/>
          <w:color w:val="000000" w:themeColor="text1"/>
          <w:kern w:val="2"/>
          <w:sz w:val="32"/>
          <w:szCs w:val="32"/>
        </w:rPr>
        <w:t>三、委員楊瓊瓔所提書面質詢，列入紀錄，刊登公報，並請金融監督管理委員會以書面答復。</w:t>
      </w:r>
    </w:p>
    <w:p w14:paraId="122685D5" w14:textId="77777777" w:rsidR="009D64D0" w:rsidRPr="009F46B5" w:rsidRDefault="009D64D0" w:rsidP="00F470A8">
      <w:pPr>
        <w:widowControl w:val="0"/>
        <w:kinsoku w:val="0"/>
        <w:overflowPunct w:val="0"/>
        <w:autoSpaceDE w:val="0"/>
        <w:adjustRightInd w:val="0"/>
        <w:snapToGrid w:val="0"/>
        <w:spacing w:line="480" w:lineRule="exact"/>
        <w:ind w:left="640" w:hangingChars="200" w:hanging="640"/>
        <w:jc w:val="both"/>
        <w:textAlignment w:val="auto"/>
        <w:rPr>
          <w:rFonts w:ascii="標楷體" w:eastAsia="標楷體" w:hAnsi="標楷體"/>
          <w:color w:val="000000" w:themeColor="text1"/>
          <w:kern w:val="2"/>
          <w:sz w:val="32"/>
          <w:szCs w:val="32"/>
        </w:rPr>
      </w:pPr>
      <w:r w:rsidRPr="009F46B5">
        <w:rPr>
          <w:rFonts w:ascii="標楷體" w:eastAsia="標楷體" w:hAnsi="標楷體" w:hint="eastAsia"/>
          <w:color w:val="000000" w:themeColor="text1"/>
          <w:kern w:val="2"/>
          <w:sz w:val="32"/>
          <w:szCs w:val="32"/>
        </w:rPr>
        <w:t>四、中華民國114年度中央政府總預算案有關金融監督管理委員會、銀行局、證券期貨局、保險局、檢查局收支部分；附屬單位預算營業部分有關金融監督管理委員會主管中央存款保險股份有限公司及附屬單位預算非營業部分有關金融監督管理委員會主管(一)特別收入基金－金融監督管理基金、(二)信託基金－保險業務發展基金，均</w:t>
      </w:r>
      <w:r w:rsidRPr="009F46B5">
        <w:rPr>
          <w:rFonts w:ascii="標楷體" w:eastAsia="標楷體" w:hAnsi="標楷體" w:hint="eastAsia"/>
          <w:b/>
          <w:color w:val="000000" w:themeColor="text1"/>
          <w:kern w:val="2"/>
          <w:sz w:val="32"/>
          <w:szCs w:val="32"/>
        </w:rPr>
        <w:t>另擇期繼續審查。</w:t>
      </w:r>
    </w:p>
    <w:p w14:paraId="6AE8FDCA" w14:textId="77777777" w:rsidR="009D64D0" w:rsidRPr="009F46B5" w:rsidRDefault="009D64D0" w:rsidP="00F470A8">
      <w:pPr>
        <w:pStyle w:val="af5"/>
        <w:widowControl w:val="0"/>
        <w:kinsoku w:val="0"/>
        <w:overflowPunct w:val="0"/>
        <w:autoSpaceDE w:val="0"/>
        <w:adjustRightInd w:val="0"/>
        <w:snapToGrid w:val="0"/>
        <w:spacing w:line="480" w:lineRule="exact"/>
        <w:ind w:left="1602" w:hanging="1602"/>
        <w:jc w:val="both"/>
        <w:rPr>
          <w:rFonts w:ascii="標楷體" w:eastAsia="標楷體" w:hAnsi="標楷體"/>
          <w:b/>
          <w:bCs/>
          <w:color w:val="000000" w:themeColor="text1"/>
          <w:kern w:val="2"/>
          <w:sz w:val="32"/>
          <w:szCs w:val="32"/>
        </w:rPr>
      </w:pPr>
      <w:r w:rsidRPr="009F46B5">
        <w:rPr>
          <w:rFonts w:ascii="標楷體" w:eastAsia="標楷體" w:hAnsi="標楷體" w:hint="eastAsia"/>
          <w:b/>
          <w:bCs/>
          <w:color w:val="000000" w:themeColor="text1"/>
          <w:kern w:val="2"/>
          <w:sz w:val="32"/>
          <w:szCs w:val="32"/>
        </w:rPr>
        <w:t>散會</w:t>
      </w:r>
    </w:p>
    <w:p w14:paraId="075D1E2E"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1A5B7E7D"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40" w:name="_Toc189487328"/>
      <w:r w:rsidRPr="0008203A">
        <w:rPr>
          <w:rFonts w:ascii="標楷體" w:eastAsia="標楷體" w:hAnsi="標楷體" w:hint="eastAsia"/>
          <w:b/>
          <w:spacing w:val="-20"/>
          <w:sz w:val="32"/>
          <w:szCs w:val="32"/>
        </w:rPr>
        <w:lastRenderedPageBreak/>
        <w:t>立法院第1</w:t>
      </w:r>
      <w:r w:rsidRPr="0008203A">
        <w:rPr>
          <w:rFonts w:ascii="標楷體" w:eastAsia="標楷體" w:hAnsi="標楷體"/>
          <w:b/>
          <w:spacing w:val="-20"/>
          <w:sz w:val="32"/>
          <w:szCs w:val="32"/>
        </w:rPr>
        <w:t>1</w:t>
      </w:r>
      <w:r w:rsidRPr="0008203A">
        <w:rPr>
          <w:rFonts w:ascii="標楷體" w:eastAsia="標楷體" w:hAnsi="標楷體" w:hint="eastAsia"/>
          <w:b/>
          <w:spacing w:val="-20"/>
          <w:sz w:val="32"/>
          <w:szCs w:val="32"/>
        </w:rPr>
        <w:t>屆第</w:t>
      </w:r>
      <w:r w:rsidRPr="0008203A">
        <w:rPr>
          <w:rFonts w:ascii="標楷體" w:eastAsia="標楷體" w:hAnsi="標楷體"/>
          <w:b/>
          <w:spacing w:val="-20"/>
          <w:sz w:val="32"/>
          <w:szCs w:val="32"/>
        </w:rPr>
        <w:t>2</w:t>
      </w:r>
      <w:r w:rsidRPr="0008203A">
        <w:rPr>
          <w:rFonts w:ascii="標楷體" w:eastAsia="標楷體" w:hAnsi="標楷體" w:hint="eastAsia"/>
          <w:b/>
          <w:spacing w:val="-20"/>
          <w:sz w:val="32"/>
          <w:szCs w:val="32"/>
        </w:rPr>
        <w:t>會期財政委員會第12次全體委員會議議事錄</w:t>
      </w:r>
      <w:bookmarkEnd w:id="140"/>
    </w:p>
    <w:p w14:paraId="43104898" w14:textId="77777777" w:rsidR="009D64D0" w:rsidRPr="008018F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時　　間　中華民國113年12月</w:t>
      </w:r>
      <w:r w:rsidRPr="008018F0">
        <w:rPr>
          <w:rFonts w:ascii="標楷體" w:eastAsia="標楷體" w:hAnsi="標楷體"/>
          <w:color w:val="000000" w:themeColor="text1"/>
          <w:kern w:val="2"/>
          <w:sz w:val="32"/>
          <w:szCs w:val="32"/>
        </w:rPr>
        <w:t>2</w:t>
      </w:r>
      <w:r w:rsidRPr="008018F0">
        <w:rPr>
          <w:rFonts w:ascii="標楷體" w:eastAsia="標楷體" w:hAnsi="標楷體" w:hint="eastAsia"/>
          <w:color w:val="000000" w:themeColor="text1"/>
          <w:kern w:val="2"/>
          <w:sz w:val="32"/>
          <w:szCs w:val="32"/>
        </w:rPr>
        <w:t>3日（星期一）9時2分至12時</w:t>
      </w:r>
      <w:r w:rsidRPr="008018F0">
        <w:rPr>
          <w:rFonts w:ascii="標楷體" w:eastAsia="標楷體" w:hAnsi="標楷體"/>
          <w:color w:val="000000" w:themeColor="text1"/>
          <w:kern w:val="2"/>
          <w:sz w:val="32"/>
          <w:szCs w:val="32"/>
        </w:rPr>
        <w:t>4</w:t>
      </w:r>
      <w:r w:rsidRPr="008018F0">
        <w:rPr>
          <w:rFonts w:ascii="標楷體" w:eastAsia="標楷體" w:hAnsi="標楷體" w:hint="eastAsia"/>
          <w:color w:val="000000" w:themeColor="text1"/>
          <w:kern w:val="2"/>
          <w:sz w:val="32"/>
          <w:szCs w:val="32"/>
        </w:rPr>
        <w:t>分</w:t>
      </w:r>
    </w:p>
    <w:p w14:paraId="62BDB81F" w14:textId="77777777" w:rsidR="009D64D0" w:rsidRPr="008018F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地　　點　群賢樓9樓大禮堂</w:t>
      </w:r>
    </w:p>
    <w:p w14:paraId="234D735A" w14:textId="77777777" w:rsidR="001D09DA" w:rsidRPr="008018F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 xml:space="preserve">出席委員　林德福　吳秉叡　賴士葆　賴惠員　郭國文　顏寬恒　</w:t>
      </w:r>
    </w:p>
    <w:p w14:paraId="6D4F015C" w14:textId="77777777" w:rsidR="001D09DA" w:rsidRPr="008018F0" w:rsidRDefault="001D09DA"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 xml:space="preserve">　　　　　</w:t>
      </w:r>
      <w:r w:rsidR="009D64D0" w:rsidRPr="008018F0">
        <w:rPr>
          <w:rFonts w:ascii="標楷體" w:eastAsia="標楷體" w:hAnsi="標楷體" w:hint="eastAsia"/>
          <w:color w:val="000000" w:themeColor="text1"/>
          <w:kern w:val="2"/>
          <w:sz w:val="32"/>
          <w:szCs w:val="32"/>
        </w:rPr>
        <w:t>黃珊珊　李坤城　伍麗華</w:t>
      </w:r>
      <w:r w:rsidR="009D64D0" w:rsidRPr="008018F0">
        <w:rPr>
          <w:rFonts w:ascii="標楷體" w:eastAsia="標楷體" w:hAnsi="標楷體" w:hint="eastAsia"/>
          <w:color w:val="000000" w:themeColor="text1"/>
          <w:spacing w:val="-20"/>
          <w:kern w:val="2"/>
          <w:sz w:val="32"/>
          <w:szCs w:val="32"/>
        </w:rPr>
        <w:t>Saidhai Tahovecahe</w:t>
      </w:r>
      <w:r w:rsidR="009D64D0" w:rsidRPr="008018F0">
        <w:rPr>
          <w:rFonts w:ascii="標楷體" w:eastAsia="標楷體" w:hAnsi="標楷體" w:hint="eastAsia"/>
          <w:color w:val="000000" w:themeColor="text1"/>
          <w:kern w:val="2"/>
          <w:sz w:val="32"/>
          <w:szCs w:val="32"/>
        </w:rPr>
        <w:t xml:space="preserve">　羅明才　</w:t>
      </w:r>
    </w:p>
    <w:p w14:paraId="0AF41312" w14:textId="77777777" w:rsidR="009D64D0" w:rsidRPr="008018F0" w:rsidRDefault="001D09DA"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 xml:space="preserve">　　　　　</w:t>
      </w:r>
      <w:r w:rsidR="009D64D0" w:rsidRPr="008018F0">
        <w:rPr>
          <w:rFonts w:ascii="標楷體" w:eastAsia="標楷體" w:hAnsi="標楷體" w:hint="eastAsia"/>
          <w:color w:val="000000" w:themeColor="text1"/>
          <w:kern w:val="2"/>
          <w:sz w:val="32"/>
          <w:szCs w:val="32"/>
        </w:rPr>
        <w:t>王鴻薇　王世堅　陳玉珍</w:t>
      </w:r>
    </w:p>
    <w:p w14:paraId="508C5BB3" w14:textId="77777777" w:rsidR="009D64D0" w:rsidRPr="008018F0" w:rsidRDefault="001D09DA"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b/>
          <w:color w:val="000000" w:themeColor="text1"/>
          <w:spacing w:val="-18"/>
          <w:kern w:val="2"/>
          <w:sz w:val="32"/>
          <w:szCs w:val="32"/>
        </w:rPr>
      </w:pPr>
      <w:r w:rsidRPr="008018F0">
        <w:rPr>
          <w:rFonts w:ascii="標楷體" w:eastAsia="標楷體" w:hAnsi="標楷體" w:hint="eastAsia"/>
          <w:color w:val="000000" w:themeColor="text1"/>
          <w:kern w:val="2"/>
          <w:sz w:val="32"/>
          <w:szCs w:val="32"/>
        </w:rPr>
        <w:t xml:space="preserve">　　　　　</w:t>
      </w:r>
      <w:r w:rsidR="009D64D0" w:rsidRPr="008018F0">
        <w:rPr>
          <w:rFonts w:ascii="標楷體" w:eastAsia="標楷體" w:hAnsi="標楷體" w:hint="eastAsia"/>
          <w:b/>
          <w:color w:val="000000" w:themeColor="text1"/>
          <w:spacing w:val="-18"/>
          <w:kern w:val="2"/>
          <w:sz w:val="32"/>
          <w:szCs w:val="32"/>
        </w:rPr>
        <w:t>委員出席13人</w:t>
      </w:r>
    </w:p>
    <w:p w14:paraId="33A6CAC7" w14:textId="77777777" w:rsidR="001D09DA" w:rsidRPr="008018F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 xml:space="preserve">列席委員　鄭正鈐　張啓楷　洪孟楷　葉元之　陳菁徽　楊瓊瓔　</w:t>
      </w:r>
    </w:p>
    <w:p w14:paraId="20BE0B96" w14:textId="77777777" w:rsidR="009D64D0" w:rsidRPr="008018F0" w:rsidRDefault="001D09DA"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 xml:space="preserve">　　　　　</w:t>
      </w:r>
      <w:r w:rsidR="009D64D0" w:rsidRPr="008018F0">
        <w:rPr>
          <w:rFonts w:ascii="標楷體" w:eastAsia="標楷體" w:hAnsi="標楷體" w:hint="eastAsia"/>
          <w:color w:val="000000" w:themeColor="text1"/>
          <w:kern w:val="2"/>
          <w:sz w:val="32"/>
          <w:szCs w:val="32"/>
        </w:rPr>
        <w:t>王義川</w:t>
      </w:r>
    </w:p>
    <w:p w14:paraId="35CF446C" w14:textId="77777777" w:rsidR="009D64D0" w:rsidRPr="008018F0" w:rsidRDefault="001D09DA"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b/>
          <w:color w:val="000000" w:themeColor="text1"/>
          <w:spacing w:val="-18"/>
          <w:kern w:val="2"/>
          <w:sz w:val="32"/>
          <w:szCs w:val="32"/>
        </w:rPr>
      </w:pPr>
      <w:r w:rsidRPr="008018F0">
        <w:rPr>
          <w:rFonts w:ascii="標楷體" w:eastAsia="標楷體" w:hAnsi="標楷體" w:hint="eastAsia"/>
          <w:color w:val="000000" w:themeColor="text1"/>
          <w:kern w:val="2"/>
          <w:sz w:val="32"/>
          <w:szCs w:val="32"/>
        </w:rPr>
        <w:t xml:space="preserve">　　　　　</w:t>
      </w:r>
      <w:r w:rsidR="009D64D0" w:rsidRPr="008018F0">
        <w:rPr>
          <w:rFonts w:ascii="標楷體" w:eastAsia="標楷體" w:hAnsi="標楷體" w:hint="eastAsia"/>
          <w:b/>
          <w:color w:val="000000" w:themeColor="text1"/>
          <w:spacing w:val="-18"/>
          <w:kern w:val="2"/>
          <w:sz w:val="32"/>
          <w:szCs w:val="32"/>
        </w:rPr>
        <w:t>委員列席7人</w:t>
      </w:r>
    </w:p>
    <w:p w14:paraId="6B80AF49" w14:textId="77777777" w:rsidR="009D64D0" w:rsidRPr="008018F0"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8018F0">
        <w:rPr>
          <w:rFonts w:ascii="標楷體" w:eastAsia="標楷體" w:hAnsi="標楷體" w:hint="eastAsia"/>
          <w:color w:val="000000" w:themeColor="text1"/>
          <w:kern w:val="2"/>
          <w:sz w:val="32"/>
          <w:szCs w:val="32"/>
        </w:rPr>
        <w:t>請假委員　李彥秀</w:t>
      </w:r>
    </w:p>
    <w:p w14:paraId="42D16B5F" w14:textId="20402BBF" w:rsidR="009D64D0" w:rsidRPr="008018F0" w:rsidRDefault="008018F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b/>
          <w:color w:val="000000" w:themeColor="text1"/>
          <w:spacing w:val="-18"/>
          <w:kern w:val="2"/>
          <w:sz w:val="32"/>
          <w:szCs w:val="32"/>
        </w:rPr>
      </w:pPr>
      <w:r w:rsidRPr="008018F0">
        <w:rPr>
          <w:rFonts w:ascii="標楷體" w:eastAsia="標楷體" w:hAnsi="標楷體" w:hint="eastAsia"/>
          <w:color w:val="000000" w:themeColor="text1"/>
          <w:kern w:val="2"/>
          <w:sz w:val="32"/>
          <w:szCs w:val="32"/>
        </w:rPr>
        <w:t xml:space="preserve">　　　　　</w:t>
      </w:r>
      <w:r w:rsidR="009D64D0" w:rsidRPr="008018F0">
        <w:rPr>
          <w:rFonts w:ascii="標楷體" w:eastAsia="標楷體" w:hAnsi="標楷體" w:hint="eastAsia"/>
          <w:b/>
          <w:color w:val="000000" w:themeColor="text1"/>
          <w:spacing w:val="-18"/>
          <w:kern w:val="2"/>
          <w:sz w:val="32"/>
          <w:szCs w:val="32"/>
        </w:rPr>
        <w:t>委員請假1人</w:t>
      </w:r>
    </w:p>
    <w:p w14:paraId="7710EC0E"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列席官員　</w:t>
      </w:r>
      <w:r w:rsidRPr="001D09DA">
        <w:rPr>
          <w:rFonts w:ascii="標楷體" w:eastAsia="標楷體" w:hAnsi="標楷體" w:hint="eastAsia"/>
          <w:b/>
          <w:color w:val="000000" w:themeColor="text1"/>
          <w:kern w:val="16"/>
          <w:sz w:val="32"/>
          <w:szCs w:val="32"/>
        </w:rPr>
        <w:t>財政部</w:t>
      </w:r>
      <w:r w:rsidRPr="001D09DA">
        <w:rPr>
          <w:rFonts w:ascii="標楷體" w:eastAsia="標楷體" w:hAnsi="標楷體" w:hint="eastAsia"/>
          <w:color w:val="000000" w:themeColor="text1"/>
          <w:kern w:val="16"/>
          <w:sz w:val="32"/>
          <w:szCs w:val="32"/>
        </w:rPr>
        <w:t xml:space="preserve">　　　　　　　　　　　政務次長　　阮清華</w:t>
      </w:r>
    </w:p>
    <w:p w14:paraId="5F3CDF67"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（部長莊翠雲請假）</w:t>
      </w:r>
    </w:p>
    <w:p w14:paraId="3D53583F"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國庫署　　　　　　　　　　副署長　　　馬小惠</w:t>
      </w:r>
    </w:p>
    <w:p w14:paraId="416D3CF5"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賦稅署　　　　　　　　　　署長　　　　宋秀玲</w:t>
      </w:r>
    </w:p>
    <w:p w14:paraId="16C85534"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關務署　　　　　　　　　　署長　　　　彭英偉</w:t>
      </w:r>
    </w:p>
    <w:p w14:paraId="1E796956"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國有財產署　　　　　　　　副署長　　　李政宗</w:t>
      </w:r>
    </w:p>
    <w:p w14:paraId="32CAB99F"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財政資訊中心　　　　　　　主任　　　　張文熙</w:t>
      </w:r>
    </w:p>
    <w:p w14:paraId="263FD723"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兆豐金融控股股份有限公司　董事長　　　董瑞斌</w:t>
      </w:r>
    </w:p>
    <w:p w14:paraId="7A2D3367"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總經理　　　蕭玉美</w:t>
      </w:r>
    </w:p>
    <w:p w14:paraId="3319E084" w14:textId="0025FD39"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w:t>
      </w:r>
      <w:r w:rsidRPr="00AB77DF">
        <w:rPr>
          <w:rFonts w:ascii="標楷體" w:eastAsia="標楷體" w:hAnsi="標楷體" w:hint="eastAsia"/>
          <w:color w:val="000000" w:themeColor="text1"/>
          <w:spacing w:val="-40"/>
          <w:kern w:val="16"/>
          <w:sz w:val="32"/>
          <w:szCs w:val="32"/>
        </w:rPr>
        <w:t>兆豐國際商業銀行股份有限公司</w:t>
      </w:r>
      <w:r w:rsidRPr="00AB77DF">
        <w:rPr>
          <w:rFonts w:ascii="標楷體" w:eastAsia="標楷體" w:hAnsi="標楷體" w:hint="eastAsia"/>
          <w:color w:val="000000" w:themeColor="text1"/>
          <w:spacing w:val="-22"/>
          <w:kern w:val="16"/>
          <w:sz w:val="32"/>
          <w:szCs w:val="32"/>
        </w:rPr>
        <w:t>總經理</w:t>
      </w:r>
      <w:r w:rsidRPr="001D09DA">
        <w:rPr>
          <w:rFonts w:ascii="標楷體" w:eastAsia="標楷體" w:hAnsi="標楷體" w:hint="eastAsia"/>
          <w:color w:val="000000" w:themeColor="text1"/>
          <w:kern w:val="16"/>
          <w:sz w:val="32"/>
          <w:szCs w:val="32"/>
        </w:rPr>
        <w:t xml:space="preserve">　</w:t>
      </w:r>
      <w:r w:rsidR="00AB77DF" w:rsidRPr="001D09DA">
        <w:rPr>
          <w:rFonts w:ascii="標楷體" w:eastAsia="標楷體" w:hAnsi="標楷體" w:hint="eastAsia"/>
          <w:color w:val="000000" w:themeColor="text1"/>
          <w:kern w:val="16"/>
          <w:sz w:val="32"/>
          <w:szCs w:val="32"/>
        </w:rPr>
        <w:t xml:space="preserve">　　</w:t>
      </w:r>
      <w:r w:rsidRPr="001D09DA">
        <w:rPr>
          <w:rFonts w:ascii="標楷體" w:eastAsia="標楷體" w:hAnsi="標楷體" w:hint="eastAsia"/>
          <w:color w:val="000000" w:themeColor="text1"/>
          <w:kern w:val="16"/>
          <w:sz w:val="32"/>
          <w:szCs w:val="32"/>
        </w:rPr>
        <w:t>黃永貞</w:t>
      </w:r>
    </w:p>
    <w:p w14:paraId="02C70997"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第一金融控股股份有限公司　總經理　　　方螢基</w:t>
      </w:r>
    </w:p>
    <w:p w14:paraId="28C78CF8"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第一商業銀行股份有限公司總經理　　　李嘉祥</w:t>
      </w:r>
    </w:p>
    <w:p w14:paraId="0A77D8E5"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華南金融控股股份有限公司　總經理　　　李耀卿</w:t>
      </w:r>
    </w:p>
    <w:p w14:paraId="32C888A8"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合作金庫商業銀行股份有限公司總經理　　王淑芳</w:t>
      </w:r>
    </w:p>
    <w:p w14:paraId="522F691A"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臺灣中小企業銀行股份有限公司總經理　　李國忠</w:t>
      </w:r>
    </w:p>
    <w:p w14:paraId="7FDFDCA3"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台北金融大樓股份有限公司　董事長　　　賈永媫</w:t>
      </w:r>
    </w:p>
    <w:p w14:paraId="4A206362"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總經理　　　朱麗文</w:t>
      </w:r>
    </w:p>
    <w:p w14:paraId="57917E57"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w:t>
      </w:r>
      <w:r w:rsidRPr="001D09DA">
        <w:rPr>
          <w:rFonts w:ascii="標楷體" w:eastAsia="標楷體" w:hAnsi="標楷體" w:hint="eastAsia"/>
          <w:b/>
          <w:color w:val="000000" w:themeColor="text1"/>
          <w:kern w:val="16"/>
          <w:sz w:val="32"/>
          <w:szCs w:val="32"/>
        </w:rPr>
        <w:t>金融監督管理委員會</w:t>
      </w:r>
      <w:r w:rsidRPr="001D09DA">
        <w:rPr>
          <w:rFonts w:ascii="標楷體" w:eastAsia="標楷體" w:hAnsi="標楷體" w:hint="eastAsia"/>
          <w:color w:val="000000" w:themeColor="text1"/>
          <w:kern w:val="16"/>
          <w:sz w:val="32"/>
          <w:szCs w:val="32"/>
        </w:rPr>
        <w:t xml:space="preserve">　　　　　副主任委員　陳彥良</w:t>
      </w:r>
    </w:p>
    <w:p w14:paraId="03A8C459"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lastRenderedPageBreak/>
        <w:t xml:space="preserve">　　　　　　　　　　　　　　　　　　（主任委員彭金隆請假）</w:t>
      </w:r>
    </w:p>
    <w:p w14:paraId="7C813DA8"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銀行局　　　　　　　　　　副局長　　　侯立洋</w:t>
      </w:r>
    </w:p>
    <w:p w14:paraId="05274022"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證券期貨局　　　　　　　　副局長　　　黃厚銘</w:t>
      </w:r>
    </w:p>
    <w:p w14:paraId="4DD4139F"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保險局　　　　　　　　　　副局長　　　蔡火炎</w:t>
      </w:r>
    </w:p>
    <w:p w14:paraId="5C01883C"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檢查局　　　　　　　　　　副局長　　　賴欣國</w:t>
      </w:r>
    </w:p>
    <w:p w14:paraId="41D45EF5"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臺灣證券交易所股份有限公司董事長　　　林修銘</w:t>
      </w:r>
    </w:p>
    <w:p w14:paraId="0B4BABD5"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總經理　　　李愛玲</w:t>
      </w:r>
    </w:p>
    <w:p w14:paraId="710BC126"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主　　席　賴召集委員惠員</w:t>
      </w:r>
    </w:p>
    <w:p w14:paraId="6AFDC68A"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專門委員</w:t>
      </w:r>
      <w:r w:rsidRPr="001D09DA">
        <w:rPr>
          <w:rFonts w:ascii="標楷體" w:eastAsia="標楷體" w:hAnsi="標楷體"/>
          <w:color w:val="000000" w:themeColor="text1"/>
          <w:kern w:val="16"/>
          <w:sz w:val="32"/>
          <w:szCs w:val="32"/>
        </w:rPr>
        <w:t xml:space="preserve">　</w:t>
      </w:r>
      <w:r w:rsidRPr="001D09DA">
        <w:rPr>
          <w:rFonts w:ascii="標楷體" w:eastAsia="標楷體" w:hAnsi="標楷體" w:hint="eastAsia"/>
          <w:color w:val="000000" w:themeColor="text1"/>
          <w:kern w:val="16"/>
          <w:sz w:val="32"/>
          <w:szCs w:val="32"/>
        </w:rPr>
        <w:t>林靜玟</w:t>
      </w:r>
    </w:p>
    <w:p w14:paraId="24B6802A"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color w:val="000000" w:themeColor="text1"/>
          <w:kern w:val="16"/>
          <w:sz w:val="32"/>
          <w:szCs w:val="32"/>
        </w:rPr>
        <w:t>主任秘書　謝淑津</w:t>
      </w:r>
    </w:p>
    <w:p w14:paraId="085F919F"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color w:val="000000" w:themeColor="text1"/>
          <w:kern w:val="16"/>
          <w:sz w:val="32"/>
          <w:szCs w:val="32"/>
        </w:rPr>
        <w:t xml:space="preserve">紀　　錄　</w:t>
      </w:r>
      <w:r w:rsidRPr="001D09DA">
        <w:rPr>
          <w:rFonts w:ascii="標楷體" w:eastAsia="標楷體" w:hAnsi="標楷體" w:hint="eastAsia"/>
          <w:color w:val="000000" w:themeColor="text1"/>
          <w:kern w:val="16"/>
          <w:sz w:val="32"/>
          <w:szCs w:val="32"/>
        </w:rPr>
        <w:t xml:space="preserve">秘　書　吳人寬　研究員　黃惠雯　編　審　伍明清　</w:t>
      </w:r>
    </w:p>
    <w:p w14:paraId="55622361" w14:textId="77777777" w:rsidR="009D64D0" w:rsidRPr="001D09DA"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color w:val="000000" w:themeColor="text1"/>
          <w:kern w:val="16"/>
          <w:sz w:val="32"/>
          <w:szCs w:val="32"/>
        </w:rPr>
      </w:pPr>
      <w:r w:rsidRPr="001D09DA">
        <w:rPr>
          <w:rFonts w:ascii="標楷體" w:eastAsia="標楷體" w:hAnsi="標楷體" w:hint="eastAsia"/>
          <w:color w:val="000000" w:themeColor="text1"/>
          <w:kern w:val="16"/>
          <w:sz w:val="32"/>
          <w:szCs w:val="32"/>
        </w:rPr>
        <w:t xml:space="preserve">　　　　　科　長　喻　珊　科　員　簡廷育　</w:t>
      </w:r>
    </w:p>
    <w:p w14:paraId="30F416EE" w14:textId="77777777" w:rsidR="009D64D0" w:rsidRPr="001D09DA" w:rsidRDefault="009D64D0" w:rsidP="00F470A8">
      <w:pPr>
        <w:widowControl w:val="0"/>
        <w:kinsoku w:val="0"/>
        <w:overflowPunct w:val="0"/>
        <w:autoSpaceDE w:val="0"/>
        <w:adjustRightInd w:val="0"/>
        <w:snapToGrid w:val="0"/>
        <w:spacing w:beforeLines="50" w:before="180" w:line="480" w:lineRule="exact"/>
        <w:ind w:leftChars="201" w:left="482"/>
        <w:jc w:val="both"/>
        <w:textAlignment w:val="auto"/>
        <w:rPr>
          <w:rFonts w:ascii="標楷體" w:eastAsia="標楷體" w:hAnsi="標楷體"/>
          <w:b/>
          <w:color w:val="000000" w:themeColor="text1"/>
          <w:kern w:val="2"/>
          <w:sz w:val="32"/>
          <w:szCs w:val="32"/>
        </w:rPr>
      </w:pPr>
      <w:r w:rsidRPr="001D09DA">
        <w:rPr>
          <w:rFonts w:ascii="標楷體" w:eastAsia="標楷體" w:hAnsi="標楷體" w:hint="eastAsia"/>
          <w:b/>
          <w:color w:val="000000" w:themeColor="text1"/>
          <w:kern w:val="2"/>
          <w:sz w:val="32"/>
          <w:szCs w:val="32"/>
        </w:rPr>
        <w:t>報告事項</w:t>
      </w:r>
    </w:p>
    <w:p w14:paraId="1F20885F" w14:textId="77777777" w:rsidR="009D64D0" w:rsidRPr="001D09D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1D09DA">
        <w:rPr>
          <w:rFonts w:ascii="標楷體" w:eastAsia="標楷體" w:hAnsi="標楷體" w:hint="eastAsia"/>
          <w:color w:val="000000" w:themeColor="text1"/>
          <w:kern w:val="2"/>
          <w:sz w:val="32"/>
          <w:szCs w:val="32"/>
        </w:rPr>
        <w:t>一、宣讀上次會議議事錄。</w:t>
      </w:r>
    </w:p>
    <w:p w14:paraId="3E1C6B2B" w14:textId="77777777" w:rsidR="009D64D0" w:rsidRPr="001D09DA"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color w:val="000000" w:themeColor="text1"/>
          <w:kern w:val="2"/>
          <w:sz w:val="32"/>
          <w:szCs w:val="32"/>
        </w:rPr>
      </w:pPr>
      <w:r w:rsidRPr="001D09DA">
        <w:rPr>
          <w:rFonts w:ascii="標楷體" w:eastAsia="標楷體" w:hAnsi="標楷體" w:hint="eastAsia"/>
          <w:color w:val="000000" w:themeColor="text1"/>
          <w:kern w:val="2"/>
          <w:sz w:val="32"/>
          <w:szCs w:val="32"/>
        </w:rPr>
        <w:t>決定：議事錄確定。</w:t>
      </w:r>
    </w:p>
    <w:p w14:paraId="63483579" w14:textId="77777777" w:rsidR="009D64D0" w:rsidRPr="001D09DA" w:rsidRDefault="009D64D0" w:rsidP="00F470A8">
      <w:pPr>
        <w:widowControl w:val="0"/>
        <w:kinsoku w:val="0"/>
        <w:overflowPunct w:val="0"/>
        <w:autoSpaceDE w:val="0"/>
        <w:adjustRightInd w:val="0"/>
        <w:snapToGrid w:val="0"/>
        <w:spacing w:beforeLines="50" w:before="180" w:line="480" w:lineRule="exact"/>
        <w:ind w:left="657" w:hangingChars="205" w:hanging="657"/>
        <w:jc w:val="both"/>
        <w:textAlignment w:val="auto"/>
        <w:rPr>
          <w:rFonts w:ascii="標楷體" w:eastAsia="標楷體" w:hAnsi="標楷體"/>
          <w:b/>
          <w:color w:val="000000" w:themeColor="text1"/>
          <w:kern w:val="2"/>
          <w:sz w:val="32"/>
          <w:szCs w:val="32"/>
        </w:rPr>
      </w:pPr>
      <w:r w:rsidRPr="001D09DA">
        <w:rPr>
          <w:rFonts w:ascii="標楷體" w:eastAsia="標楷體" w:hAnsi="標楷體" w:hint="eastAsia"/>
          <w:b/>
          <w:color w:val="000000" w:themeColor="text1"/>
          <w:kern w:val="2"/>
          <w:sz w:val="32"/>
          <w:szCs w:val="32"/>
        </w:rPr>
        <w:t>二、邀請財政部莊部長翠雲、金融監督管理委員會彭主任委員金隆就「兆豐金控及臺灣證券交易所投資之台北金融大樓股份有限公司2024年營運成效、2025年度經營計畫與展望、暨跨年晚會煙火表演規劃」進行專題報告，並備質詢。</w:t>
      </w:r>
    </w:p>
    <w:p w14:paraId="64384F87" w14:textId="77777777" w:rsidR="009D64D0" w:rsidRPr="001D09DA" w:rsidRDefault="009D64D0" w:rsidP="00F470A8">
      <w:pPr>
        <w:widowControl w:val="0"/>
        <w:kinsoku w:val="0"/>
        <w:overflowPunct w:val="0"/>
        <w:autoSpaceDE w:val="0"/>
        <w:adjustRightInd w:val="0"/>
        <w:snapToGrid w:val="0"/>
        <w:spacing w:line="480" w:lineRule="exact"/>
        <w:ind w:leftChars="-48" w:left="208" w:hangingChars="101" w:hanging="323"/>
        <w:jc w:val="both"/>
        <w:textAlignment w:val="auto"/>
        <w:rPr>
          <w:rFonts w:ascii="標楷體" w:eastAsia="標楷體" w:hAnsi="標楷體"/>
          <w:color w:val="000000" w:themeColor="text1"/>
          <w:kern w:val="2"/>
          <w:sz w:val="32"/>
          <w:szCs w:val="32"/>
        </w:rPr>
      </w:pPr>
      <w:r w:rsidRPr="001D09DA">
        <w:rPr>
          <w:rFonts w:ascii="標楷體" w:eastAsia="標楷體" w:hAnsi="標楷體" w:hint="eastAsia"/>
          <w:color w:val="000000" w:themeColor="text1"/>
          <w:kern w:val="2"/>
          <w:sz w:val="32"/>
          <w:szCs w:val="32"/>
        </w:rPr>
        <w:t>（經財政部政務次長阮清華、金融監督管理委員會副主任委員陳彥良分別提出報告後，計有委員林德福、吳秉叡、賴士葆、郭國文、賴惠員、顏寬恒、黃珊珊、李坤城、伍麗華、鄭正鈐、張啓楷、楊瓊瓔、羅明才、王世堅等</w:t>
      </w:r>
      <w:r w:rsidRPr="001D09DA">
        <w:rPr>
          <w:rFonts w:ascii="標楷體" w:eastAsia="標楷體" w:hAnsi="標楷體"/>
          <w:color w:val="000000" w:themeColor="text1"/>
          <w:kern w:val="2"/>
          <w:sz w:val="32"/>
          <w:szCs w:val="32"/>
        </w:rPr>
        <w:t>14</w:t>
      </w:r>
      <w:r w:rsidRPr="001D09DA">
        <w:rPr>
          <w:rFonts w:ascii="標楷體" w:eastAsia="標楷體" w:hAnsi="標楷體" w:hint="eastAsia"/>
          <w:color w:val="000000" w:themeColor="text1"/>
          <w:kern w:val="2"/>
          <w:sz w:val="32"/>
          <w:szCs w:val="32"/>
        </w:rPr>
        <w:t>人提出質詢，均經財政部政務次長阮清華、金融監督管理委員會副主任委員陳彥良、台北金融大樓股份有限公司董事長賈永媫、兆豐金融控股股份有限公司董事長董瑞斌及相關人員予以答復。）</w:t>
      </w:r>
    </w:p>
    <w:p w14:paraId="5F4FCF73" w14:textId="77777777" w:rsidR="009D64D0" w:rsidRPr="001D09DA" w:rsidRDefault="009D64D0" w:rsidP="00F470A8">
      <w:pPr>
        <w:widowControl w:val="0"/>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1D09DA">
        <w:rPr>
          <w:rFonts w:ascii="標楷體" w:eastAsia="標楷體" w:hAnsi="標楷體" w:hint="eastAsia"/>
          <w:b/>
          <w:color w:val="000000" w:themeColor="text1"/>
          <w:kern w:val="2"/>
          <w:sz w:val="32"/>
          <w:szCs w:val="32"/>
        </w:rPr>
        <w:t>決定：</w:t>
      </w:r>
    </w:p>
    <w:p w14:paraId="13D64DB7" w14:textId="77777777" w:rsidR="009D64D0" w:rsidRPr="001D09DA"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1D09DA">
        <w:rPr>
          <w:rFonts w:ascii="標楷體" w:eastAsia="標楷體" w:hAnsi="標楷體" w:hint="eastAsia"/>
          <w:color w:val="000000" w:themeColor="text1"/>
          <w:kern w:val="2"/>
          <w:sz w:val="32"/>
          <w:szCs w:val="32"/>
        </w:rPr>
        <w:t>(一)報告及詢答完畢。</w:t>
      </w:r>
    </w:p>
    <w:p w14:paraId="1F701E47" w14:textId="77777777" w:rsidR="009D64D0" w:rsidRPr="001D09DA"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1D09DA">
        <w:rPr>
          <w:rFonts w:ascii="標楷體" w:eastAsia="標楷體" w:hAnsi="標楷體" w:hint="eastAsia"/>
          <w:color w:val="000000" w:themeColor="text1"/>
          <w:kern w:val="2"/>
          <w:sz w:val="32"/>
          <w:szCs w:val="32"/>
        </w:rPr>
        <w:t>(二)委員質詢未及答復或請補充資訊，請相關部會於一週內以書面</w:t>
      </w:r>
      <w:r w:rsidRPr="001D09DA">
        <w:rPr>
          <w:rFonts w:ascii="標楷體" w:eastAsia="標楷體" w:hAnsi="標楷體" w:hint="eastAsia"/>
          <w:color w:val="000000" w:themeColor="text1"/>
          <w:kern w:val="2"/>
          <w:sz w:val="32"/>
          <w:szCs w:val="32"/>
        </w:rPr>
        <w:lastRenderedPageBreak/>
        <w:t>答復；委員另要求期限者，從其所定。</w:t>
      </w:r>
    </w:p>
    <w:p w14:paraId="2B46577F" w14:textId="77777777" w:rsidR="009D64D0" w:rsidRPr="001D09DA" w:rsidRDefault="009D64D0" w:rsidP="00F470A8">
      <w:pPr>
        <w:pStyle w:val="af5"/>
        <w:widowControl w:val="0"/>
        <w:kinsoku w:val="0"/>
        <w:overflowPunct w:val="0"/>
        <w:autoSpaceDE w:val="0"/>
        <w:adjustRightInd w:val="0"/>
        <w:snapToGrid w:val="0"/>
        <w:spacing w:line="480" w:lineRule="exact"/>
        <w:ind w:left="993" w:hanging="689"/>
        <w:jc w:val="both"/>
        <w:rPr>
          <w:rFonts w:ascii="標楷體" w:eastAsia="標楷體" w:hAnsi="標楷體"/>
          <w:color w:val="000000" w:themeColor="text1"/>
          <w:kern w:val="2"/>
          <w:sz w:val="32"/>
          <w:szCs w:val="32"/>
        </w:rPr>
      </w:pPr>
      <w:r w:rsidRPr="001D09DA">
        <w:rPr>
          <w:rFonts w:ascii="標楷體" w:eastAsia="標楷體" w:hAnsi="標楷體" w:hint="eastAsia"/>
          <w:color w:val="000000" w:themeColor="text1"/>
          <w:kern w:val="2"/>
          <w:sz w:val="32"/>
          <w:szCs w:val="32"/>
        </w:rPr>
        <w:t>(三)委員王鴻薇、陳玉珍所提書面質詢，列入紀錄，刊登公報，並請相關部會以書面答復。</w:t>
      </w:r>
    </w:p>
    <w:p w14:paraId="44976479" w14:textId="77777777" w:rsidR="009D64D0" w:rsidRPr="001D09DA" w:rsidRDefault="009D64D0" w:rsidP="00F470A8">
      <w:pPr>
        <w:widowControl w:val="0"/>
        <w:tabs>
          <w:tab w:val="left" w:pos="1418"/>
        </w:tabs>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color w:val="000000" w:themeColor="text1"/>
          <w:kern w:val="2"/>
          <w:sz w:val="32"/>
          <w:szCs w:val="32"/>
        </w:rPr>
      </w:pPr>
      <w:r w:rsidRPr="001D09DA">
        <w:rPr>
          <w:rFonts w:ascii="標楷體" w:eastAsia="標楷體" w:hAnsi="標楷體" w:hint="eastAsia"/>
          <w:b/>
          <w:color w:val="000000" w:themeColor="text1"/>
          <w:kern w:val="2"/>
          <w:sz w:val="32"/>
          <w:szCs w:val="32"/>
        </w:rPr>
        <w:t>散會</w:t>
      </w:r>
    </w:p>
    <w:p w14:paraId="7EF65EC7"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4C9EFCEA"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41" w:name="_Toc189487329"/>
      <w:r w:rsidRPr="0008203A">
        <w:rPr>
          <w:rFonts w:ascii="標楷體" w:eastAsia="標楷體" w:hAnsi="標楷體"/>
          <w:b/>
          <w:spacing w:val="-20"/>
          <w:sz w:val="32"/>
          <w:szCs w:val="32"/>
        </w:rPr>
        <w:lastRenderedPageBreak/>
        <w:t>立法院第</w:t>
      </w:r>
      <w:r w:rsidRPr="0008203A">
        <w:rPr>
          <w:rFonts w:ascii="標楷體" w:eastAsia="標楷體" w:hAnsi="標楷體" w:hint="eastAsia"/>
          <w:b/>
          <w:spacing w:val="-20"/>
          <w:sz w:val="32"/>
          <w:szCs w:val="32"/>
        </w:rPr>
        <w:t>11</w:t>
      </w:r>
      <w:r w:rsidRPr="0008203A">
        <w:rPr>
          <w:rFonts w:ascii="標楷體" w:eastAsia="標楷體" w:hAnsi="標楷體"/>
          <w:b/>
          <w:spacing w:val="-20"/>
          <w:sz w:val="32"/>
          <w:szCs w:val="32"/>
        </w:rPr>
        <w:t>屆第</w:t>
      </w:r>
      <w:r w:rsidRPr="0008203A">
        <w:rPr>
          <w:rFonts w:ascii="標楷體" w:eastAsia="標楷體" w:hAnsi="標楷體" w:hint="eastAsia"/>
          <w:b/>
          <w:spacing w:val="-20"/>
          <w:sz w:val="32"/>
          <w:szCs w:val="32"/>
        </w:rPr>
        <w:t>2</w:t>
      </w:r>
      <w:r w:rsidRPr="0008203A">
        <w:rPr>
          <w:rFonts w:ascii="標楷體" w:eastAsia="標楷體" w:hAnsi="標楷體"/>
          <w:b/>
          <w:spacing w:val="-20"/>
          <w:sz w:val="32"/>
          <w:szCs w:val="32"/>
        </w:rPr>
        <w:t>會期財政委員會第</w:t>
      </w:r>
      <w:r w:rsidRPr="0008203A">
        <w:rPr>
          <w:rFonts w:ascii="標楷體" w:eastAsia="標楷體" w:hAnsi="標楷體" w:hint="eastAsia"/>
          <w:b/>
          <w:spacing w:val="-20"/>
          <w:sz w:val="32"/>
          <w:szCs w:val="32"/>
        </w:rPr>
        <w:t>1</w:t>
      </w:r>
      <w:r w:rsidRPr="0008203A">
        <w:rPr>
          <w:rFonts w:ascii="標楷體" w:eastAsia="標楷體" w:hAnsi="標楷體"/>
          <w:b/>
          <w:spacing w:val="-20"/>
          <w:sz w:val="32"/>
          <w:szCs w:val="32"/>
        </w:rPr>
        <w:t>3次全體委員會議議事錄</w:t>
      </w:r>
      <w:bookmarkEnd w:id="141"/>
    </w:p>
    <w:p w14:paraId="0A598A55" w14:textId="77777777" w:rsidR="009D64D0" w:rsidRPr="009377EA" w:rsidRDefault="009D64D0"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kern w:val="2"/>
          <w:sz w:val="32"/>
          <w:szCs w:val="32"/>
        </w:rPr>
        <w:t>時　　間　中華民國</w:t>
      </w:r>
      <w:r w:rsidRPr="009377EA">
        <w:rPr>
          <w:rFonts w:ascii="標楷體" w:eastAsia="標楷體" w:hAnsi="標楷體" w:hint="eastAsia"/>
          <w:kern w:val="2"/>
          <w:sz w:val="32"/>
          <w:szCs w:val="32"/>
        </w:rPr>
        <w:t>113</w:t>
      </w:r>
      <w:r w:rsidRPr="009377EA">
        <w:rPr>
          <w:rFonts w:ascii="標楷體" w:eastAsia="標楷體" w:hAnsi="標楷體"/>
          <w:kern w:val="2"/>
          <w:sz w:val="32"/>
          <w:szCs w:val="32"/>
        </w:rPr>
        <w:t>年</w:t>
      </w:r>
      <w:r w:rsidRPr="009377EA">
        <w:rPr>
          <w:rFonts w:ascii="標楷體" w:eastAsia="標楷體" w:hAnsi="標楷體" w:hint="eastAsia"/>
          <w:kern w:val="2"/>
          <w:sz w:val="32"/>
          <w:szCs w:val="32"/>
        </w:rPr>
        <w:t>1</w:t>
      </w:r>
      <w:r w:rsidRPr="009377EA">
        <w:rPr>
          <w:rFonts w:ascii="標楷體" w:eastAsia="標楷體" w:hAnsi="標楷體"/>
          <w:kern w:val="2"/>
          <w:sz w:val="32"/>
          <w:szCs w:val="32"/>
        </w:rPr>
        <w:t>2月</w:t>
      </w:r>
      <w:r w:rsidRPr="009377EA">
        <w:rPr>
          <w:rFonts w:ascii="標楷體" w:eastAsia="標楷體" w:hAnsi="標楷體" w:hint="eastAsia"/>
          <w:kern w:val="2"/>
          <w:sz w:val="32"/>
          <w:szCs w:val="32"/>
        </w:rPr>
        <w:t>2</w:t>
      </w:r>
      <w:r w:rsidRPr="009377EA">
        <w:rPr>
          <w:rFonts w:ascii="標楷體" w:eastAsia="標楷體" w:hAnsi="標楷體"/>
          <w:kern w:val="2"/>
          <w:sz w:val="32"/>
          <w:szCs w:val="32"/>
        </w:rPr>
        <w:t>5日（星期</w:t>
      </w:r>
      <w:r w:rsidRPr="009377EA">
        <w:rPr>
          <w:rFonts w:ascii="標楷體" w:eastAsia="標楷體" w:hAnsi="標楷體" w:hint="eastAsia"/>
          <w:kern w:val="2"/>
          <w:sz w:val="32"/>
          <w:szCs w:val="32"/>
        </w:rPr>
        <w:t>三</w:t>
      </w:r>
      <w:r w:rsidRPr="009377EA">
        <w:rPr>
          <w:rFonts w:ascii="標楷體" w:eastAsia="標楷體" w:hAnsi="標楷體"/>
          <w:kern w:val="2"/>
          <w:sz w:val="32"/>
          <w:szCs w:val="32"/>
        </w:rPr>
        <w:t>）9時至12時</w:t>
      </w:r>
      <w:r w:rsidRPr="009377EA">
        <w:rPr>
          <w:rFonts w:ascii="標楷體" w:eastAsia="標楷體" w:hAnsi="標楷體" w:hint="eastAsia"/>
          <w:kern w:val="2"/>
          <w:sz w:val="32"/>
          <w:szCs w:val="32"/>
        </w:rPr>
        <w:t>5</w:t>
      </w:r>
      <w:r w:rsidRPr="009377EA">
        <w:rPr>
          <w:rFonts w:ascii="標楷體" w:eastAsia="標楷體" w:hAnsi="標楷體"/>
          <w:kern w:val="2"/>
          <w:sz w:val="32"/>
          <w:szCs w:val="32"/>
        </w:rPr>
        <w:t>4分</w:t>
      </w:r>
    </w:p>
    <w:p w14:paraId="281C92E2" w14:textId="77777777" w:rsidR="009D64D0" w:rsidRPr="009377EA" w:rsidRDefault="009D64D0"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hint="eastAsia"/>
          <w:kern w:val="2"/>
          <w:sz w:val="32"/>
          <w:szCs w:val="32"/>
        </w:rPr>
        <w:t xml:space="preserve">　　　　　</w:t>
      </w:r>
      <w:r w:rsidRPr="009377EA">
        <w:rPr>
          <w:rFonts w:ascii="標楷體" w:eastAsia="標楷體" w:hAnsi="標楷體"/>
          <w:kern w:val="2"/>
          <w:sz w:val="32"/>
          <w:szCs w:val="32"/>
        </w:rPr>
        <w:t>中華民國</w:t>
      </w:r>
      <w:r w:rsidRPr="009377EA">
        <w:rPr>
          <w:rFonts w:ascii="標楷體" w:eastAsia="標楷體" w:hAnsi="標楷體" w:hint="eastAsia"/>
          <w:kern w:val="2"/>
          <w:sz w:val="32"/>
          <w:szCs w:val="32"/>
        </w:rPr>
        <w:t>113</w:t>
      </w:r>
      <w:r w:rsidRPr="009377EA">
        <w:rPr>
          <w:rFonts w:ascii="標楷體" w:eastAsia="標楷體" w:hAnsi="標楷體"/>
          <w:kern w:val="2"/>
          <w:sz w:val="32"/>
          <w:szCs w:val="32"/>
        </w:rPr>
        <w:t>年</w:t>
      </w:r>
      <w:r w:rsidRPr="009377EA">
        <w:rPr>
          <w:rFonts w:ascii="標楷體" w:eastAsia="標楷體" w:hAnsi="標楷體" w:hint="eastAsia"/>
          <w:kern w:val="2"/>
          <w:sz w:val="32"/>
          <w:szCs w:val="32"/>
        </w:rPr>
        <w:t>1</w:t>
      </w:r>
      <w:r w:rsidRPr="009377EA">
        <w:rPr>
          <w:rFonts w:ascii="標楷體" w:eastAsia="標楷體" w:hAnsi="標楷體"/>
          <w:kern w:val="2"/>
          <w:sz w:val="32"/>
          <w:szCs w:val="32"/>
        </w:rPr>
        <w:t>2月</w:t>
      </w:r>
      <w:r w:rsidRPr="009377EA">
        <w:rPr>
          <w:rFonts w:ascii="標楷體" w:eastAsia="標楷體" w:hAnsi="標楷體" w:hint="eastAsia"/>
          <w:kern w:val="2"/>
          <w:sz w:val="32"/>
          <w:szCs w:val="32"/>
        </w:rPr>
        <w:t>2</w:t>
      </w:r>
      <w:r w:rsidRPr="009377EA">
        <w:rPr>
          <w:rFonts w:ascii="標楷體" w:eastAsia="標楷體" w:hAnsi="標楷體"/>
          <w:kern w:val="2"/>
          <w:sz w:val="32"/>
          <w:szCs w:val="32"/>
        </w:rPr>
        <w:t>6日（星期</w:t>
      </w:r>
      <w:r w:rsidRPr="009377EA">
        <w:rPr>
          <w:rFonts w:ascii="標楷體" w:eastAsia="標楷體" w:hAnsi="標楷體" w:hint="eastAsia"/>
          <w:kern w:val="2"/>
          <w:sz w:val="32"/>
          <w:szCs w:val="32"/>
        </w:rPr>
        <w:t>四</w:t>
      </w:r>
      <w:r w:rsidRPr="009377EA">
        <w:rPr>
          <w:rFonts w:ascii="標楷體" w:eastAsia="標楷體" w:hAnsi="標楷體"/>
          <w:kern w:val="2"/>
          <w:sz w:val="32"/>
          <w:szCs w:val="32"/>
        </w:rPr>
        <w:t>）9時至1</w:t>
      </w:r>
      <w:r w:rsidRPr="009377EA">
        <w:rPr>
          <w:rFonts w:ascii="標楷體" w:eastAsia="標楷體" w:hAnsi="標楷體" w:hint="eastAsia"/>
          <w:kern w:val="2"/>
          <w:sz w:val="32"/>
          <w:szCs w:val="32"/>
        </w:rPr>
        <w:t>0</w:t>
      </w:r>
      <w:r w:rsidRPr="009377EA">
        <w:rPr>
          <w:rFonts w:ascii="標楷體" w:eastAsia="標楷體" w:hAnsi="標楷體"/>
          <w:kern w:val="2"/>
          <w:sz w:val="32"/>
          <w:szCs w:val="32"/>
        </w:rPr>
        <w:t>時46</w:t>
      </w:r>
      <w:r w:rsidRPr="009377EA">
        <w:rPr>
          <w:rFonts w:ascii="標楷體" w:eastAsia="標楷體" w:hAnsi="標楷體" w:hint="eastAsia"/>
          <w:kern w:val="2"/>
          <w:sz w:val="32"/>
          <w:szCs w:val="32"/>
        </w:rPr>
        <w:t>分</w:t>
      </w:r>
    </w:p>
    <w:p w14:paraId="6B3B9DD3" w14:textId="77777777" w:rsidR="009D64D0" w:rsidRPr="009377EA" w:rsidRDefault="009D64D0"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kern w:val="2"/>
          <w:sz w:val="32"/>
          <w:szCs w:val="32"/>
        </w:rPr>
        <w:t xml:space="preserve">地　　點　</w:t>
      </w:r>
      <w:r w:rsidRPr="009377EA">
        <w:rPr>
          <w:rFonts w:ascii="標楷體" w:eastAsia="標楷體" w:hAnsi="標楷體" w:hint="eastAsia"/>
          <w:kern w:val="2"/>
          <w:sz w:val="32"/>
          <w:szCs w:val="32"/>
        </w:rPr>
        <w:t>群賢樓9樓大禮堂</w:t>
      </w:r>
    </w:p>
    <w:p w14:paraId="69228A8E" w14:textId="77777777" w:rsidR="00956DFE" w:rsidRPr="009377EA" w:rsidRDefault="009D64D0"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kern w:val="2"/>
          <w:sz w:val="32"/>
          <w:szCs w:val="32"/>
        </w:rPr>
        <w:t xml:space="preserve">出席委員　</w:t>
      </w:r>
      <w:r w:rsidRPr="009377EA">
        <w:rPr>
          <w:rFonts w:ascii="標楷體" w:eastAsia="標楷體" w:hAnsi="標楷體" w:hint="eastAsia"/>
          <w:kern w:val="2"/>
          <w:sz w:val="32"/>
          <w:szCs w:val="32"/>
        </w:rPr>
        <w:t xml:space="preserve">林德福　吳秉叡　賴惠員　賴士葆　郭國文　顏寬恒　</w:t>
      </w:r>
    </w:p>
    <w:p w14:paraId="6D2A60CB" w14:textId="77777777" w:rsidR="00956DFE" w:rsidRPr="009377EA" w:rsidRDefault="00956DFE"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hint="eastAsia"/>
          <w:kern w:val="2"/>
          <w:sz w:val="32"/>
          <w:szCs w:val="32"/>
        </w:rPr>
        <w:t xml:space="preserve">　　　　</w:t>
      </w:r>
      <w:r w:rsidRPr="009377EA">
        <w:rPr>
          <w:rFonts w:ascii="標楷體" w:eastAsia="標楷體" w:hAnsi="標楷體"/>
          <w:kern w:val="2"/>
          <w:sz w:val="32"/>
          <w:szCs w:val="32"/>
        </w:rPr>
        <w:t xml:space="preserve">　</w:t>
      </w:r>
      <w:r w:rsidR="009D64D0" w:rsidRPr="009377EA">
        <w:rPr>
          <w:rFonts w:ascii="標楷體" w:eastAsia="標楷體" w:hAnsi="標楷體" w:hint="eastAsia"/>
          <w:kern w:val="2"/>
          <w:sz w:val="32"/>
          <w:szCs w:val="32"/>
        </w:rPr>
        <w:t>李坤城　李彥秀　伍麗華</w:t>
      </w:r>
      <w:r w:rsidR="009D64D0" w:rsidRPr="009377EA">
        <w:rPr>
          <w:rFonts w:ascii="標楷體" w:eastAsia="標楷體" w:hAnsi="標楷體" w:hint="eastAsia"/>
          <w:spacing w:val="-20"/>
          <w:kern w:val="2"/>
          <w:sz w:val="32"/>
          <w:szCs w:val="32"/>
        </w:rPr>
        <w:t>Saidhai Tahovecahe</w:t>
      </w:r>
      <w:r w:rsidR="009D64D0" w:rsidRPr="009377EA">
        <w:rPr>
          <w:rFonts w:ascii="標楷體" w:eastAsia="標楷體" w:hAnsi="標楷體" w:hint="eastAsia"/>
          <w:kern w:val="2"/>
          <w:sz w:val="32"/>
          <w:szCs w:val="32"/>
        </w:rPr>
        <w:t xml:space="preserve">　王世堅　</w:t>
      </w:r>
    </w:p>
    <w:p w14:paraId="0DD04B94" w14:textId="77777777" w:rsidR="009D64D0" w:rsidRPr="009377EA" w:rsidRDefault="00956DFE"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hint="eastAsia"/>
          <w:kern w:val="2"/>
          <w:sz w:val="32"/>
          <w:szCs w:val="32"/>
        </w:rPr>
        <w:t xml:space="preserve">　　　　</w:t>
      </w:r>
      <w:r w:rsidRPr="009377EA">
        <w:rPr>
          <w:rFonts w:ascii="標楷體" w:eastAsia="標楷體" w:hAnsi="標楷體"/>
          <w:kern w:val="2"/>
          <w:sz w:val="32"/>
          <w:szCs w:val="32"/>
        </w:rPr>
        <w:t xml:space="preserve">　</w:t>
      </w:r>
      <w:r w:rsidR="009D64D0" w:rsidRPr="009377EA">
        <w:rPr>
          <w:rFonts w:ascii="標楷體" w:eastAsia="標楷體" w:hAnsi="標楷體" w:hint="eastAsia"/>
          <w:kern w:val="2"/>
          <w:sz w:val="32"/>
          <w:szCs w:val="32"/>
        </w:rPr>
        <w:t xml:space="preserve">羅明才　黃珊珊　陳玉珍　王鴻薇　</w:t>
      </w:r>
    </w:p>
    <w:p w14:paraId="0AF01BC0" w14:textId="77777777" w:rsidR="009D64D0" w:rsidRPr="009377EA" w:rsidRDefault="00956DFE"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b/>
          <w:kern w:val="2"/>
          <w:sz w:val="32"/>
          <w:szCs w:val="32"/>
        </w:rPr>
      </w:pPr>
      <w:r w:rsidRPr="009377EA">
        <w:rPr>
          <w:rFonts w:ascii="標楷體" w:eastAsia="標楷體" w:hAnsi="標楷體" w:hint="eastAsia"/>
          <w:kern w:val="2"/>
          <w:sz w:val="32"/>
          <w:szCs w:val="32"/>
        </w:rPr>
        <w:t xml:space="preserve">　　　　</w:t>
      </w:r>
      <w:r w:rsidRPr="009377EA">
        <w:rPr>
          <w:rFonts w:ascii="標楷體" w:eastAsia="標楷體" w:hAnsi="標楷體"/>
          <w:kern w:val="2"/>
          <w:sz w:val="32"/>
          <w:szCs w:val="32"/>
        </w:rPr>
        <w:t xml:space="preserve">　</w:t>
      </w:r>
      <w:r w:rsidR="009D64D0" w:rsidRPr="009377EA">
        <w:rPr>
          <w:rFonts w:ascii="標楷體" w:eastAsia="標楷體" w:hAnsi="標楷體"/>
          <w:b/>
          <w:kern w:val="2"/>
          <w:sz w:val="32"/>
          <w:szCs w:val="32"/>
        </w:rPr>
        <w:t>委員出席14人</w:t>
      </w:r>
    </w:p>
    <w:p w14:paraId="386543F5" w14:textId="77777777" w:rsidR="00956DFE" w:rsidRPr="009377EA" w:rsidRDefault="009D64D0"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kern w:val="2"/>
          <w:sz w:val="32"/>
          <w:szCs w:val="32"/>
        </w:rPr>
        <w:t xml:space="preserve">列席委員　</w:t>
      </w:r>
      <w:r w:rsidRPr="009377EA">
        <w:rPr>
          <w:rFonts w:ascii="標楷體" w:eastAsia="標楷體" w:hAnsi="標楷體" w:hint="eastAsia"/>
          <w:kern w:val="2"/>
          <w:sz w:val="32"/>
          <w:szCs w:val="32"/>
        </w:rPr>
        <w:t xml:space="preserve">王義川　鄭正鈐　鍾佳濱　張啓楷　蘇清泉　謝龍介　</w:t>
      </w:r>
    </w:p>
    <w:p w14:paraId="1FECD21E" w14:textId="77777777" w:rsidR="009D64D0" w:rsidRPr="009377EA" w:rsidRDefault="00956DFE" w:rsidP="00F470A8">
      <w:pPr>
        <w:widowControl w:val="0"/>
        <w:kinsoku w:val="0"/>
        <w:overflowPunct w:val="0"/>
        <w:autoSpaceDE w:val="0"/>
        <w:adjustRightInd w:val="0"/>
        <w:snapToGrid w:val="0"/>
        <w:spacing w:line="480" w:lineRule="exact"/>
        <w:ind w:left="1600" w:rightChars="-126" w:right="-302" w:hangingChars="500" w:hanging="1600"/>
        <w:textAlignment w:val="auto"/>
        <w:rPr>
          <w:rFonts w:ascii="標楷體" w:eastAsia="標楷體" w:hAnsi="標楷體"/>
          <w:kern w:val="2"/>
          <w:sz w:val="32"/>
          <w:szCs w:val="32"/>
        </w:rPr>
      </w:pPr>
      <w:r w:rsidRPr="009377EA">
        <w:rPr>
          <w:rFonts w:ascii="標楷體" w:eastAsia="標楷體" w:hAnsi="標楷體" w:hint="eastAsia"/>
          <w:kern w:val="2"/>
          <w:sz w:val="32"/>
          <w:szCs w:val="32"/>
        </w:rPr>
        <w:t xml:space="preserve">　　　　</w:t>
      </w:r>
      <w:r w:rsidRPr="009377EA">
        <w:rPr>
          <w:rFonts w:ascii="標楷體" w:eastAsia="標楷體" w:hAnsi="標楷體"/>
          <w:kern w:val="2"/>
          <w:sz w:val="32"/>
          <w:szCs w:val="32"/>
        </w:rPr>
        <w:t xml:space="preserve">　</w:t>
      </w:r>
      <w:r w:rsidR="009D64D0" w:rsidRPr="009377EA">
        <w:rPr>
          <w:rFonts w:ascii="標楷體" w:eastAsia="標楷體" w:hAnsi="標楷體" w:hint="eastAsia"/>
          <w:kern w:val="2"/>
          <w:sz w:val="32"/>
          <w:szCs w:val="32"/>
        </w:rPr>
        <w:t xml:space="preserve">洪孟楷　陳菁徽　黃健豪　葉元之　陳培瑜　</w:t>
      </w:r>
    </w:p>
    <w:p w14:paraId="5B4580A5" w14:textId="77777777" w:rsidR="009D64D0" w:rsidRPr="009377EA" w:rsidRDefault="00956DFE"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b/>
          <w:kern w:val="2"/>
          <w:sz w:val="32"/>
          <w:szCs w:val="32"/>
        </w:rPr>
      </w:pPr>
      <w:r w:rsidRPr="009377EA">
        <w:rPr>
          <w:rFonts w:ascii="標楷體" w:eastAsia="標楷體" w:hAnsi="標楷體" w:hint="eastAsia"/>
          <w:kern w:val="2"/>
          <w:sz w:val="32"/>
          <w:szCs w:val="32"/>
        </w:rPr>
        <w:t xml:space="preserve">　　　　</w:t>
      </w:r>
      <w:r w:rsidRPr="009377EA">
        <w:rPr>
          <w:rFonts w:ascii="標楷體" w:eastAsia="標楷體" w:hAnsi="標楷體"/>
          <w:kern w:val="2"/>
          <w:sz w:val="32"/>
          <w:szCs w:val="32"/>
        </w:rPr>
        <w:t xml:space="preserve">　</w:t>
      </w:r>
      <w:r w:rsidR="009D64D0" w:rsidRPr="009377EA">
        <w:rPr>
          <w:rFonts w:ascii="標楷體" w:eastAsia="標楷體" w:hAnsi="標楷體"/>
          <w:b/>
          <w:kern w:val="2"/>
          <w:sz w:val="32"/>
          <w:szCs w:val="32"/>
        </w:rPr>
        <w:t>委員列席</w:t>
      </w:r>
      <w:r w:rsidR="009D64D0" w:rsidRPr="009377EA">
        <w:rPr>
          <w:rFonts w:ascii="標楷體" w:eastAsia="標楷體" w:hAnsi="標楷體" w:hint="eastAsia"/>
          <w:b/>
          <w:kern w:val="2"/>
          <w:sz w:val="32"/>
          <w:szCs w:val="32"/>
        </w:rPr>
        <w:t>1</w:t>
      </w:r>
      <w:r w:rsidR="009D64D0" w:rsidRPr="009377EA">
        <w:rPr>
          <w:rFonts w:ascii="標楷體" w:eastAsia="標楷體" w:hAnsi="標楷體"/>
          <w:b/>
          <w:kern w:val="2"/>
          <w:sz w:val="32"/>
          <w:szCs w:val="32"/>
        </w:rPr>
        <w:t>1人</w:t>
      </w:r>
    </w:p>
    <w:p w14:paraId="1465192E" w14:textId="77777777" w:rsidR="009D64D0" w:rsidRPr="009377EA" w:rsidRDefault="009D64D0" w:rsidP="00F470A8">
      <w:pPr>
        <w:widowControl w:val="0"/>
        <w:kinsoku w:val="0"/>
        <w:overflowPunct w:val="0"/>
        <w:autoSpaceDE w:val="0"/>
        <w:adjustRightInd w:val="0"/>
        <w:snapToGrid w:val="0"/>
        <w:spacing w:line="480" w:lineRule="exact"/>
        <w:ind w:left="1600" w:rightChars="100" w:right="240" w:hangingChars="500" w:hanging="1600"/>
        <w:textAlignment w:val="auto"/>
        <w:rPr>
          <w:rFonts w:ascii="標楷體" w:eastAsia="標楷體" w:hAnsi="標楷體"/>
          <w:kern w:val="2"/>
          <w:sz w:val="32"/>
          <w:szCs w:val="32"/>
        </w:rPr>
      </w:pPr>
      <w:r w:rsidRPr="009377EA">
        <w:rPr>
          <w:rFonts w:ascii="標楷體" w:eastAsia="標楷體" w:hAnsi="標楷體" w:hint="eastAsia"/>
          <w:kern w:val="2"/>
          <w:sz w:val="32"/>
          <w:szCs w:val="32"/>
        </w:rPr>
        <w:t>列席官員　113年12月25日（星期三）</w:t>
      </w:r>
    </w:p>
    <w:p w14:paraId="0583A805"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財政部</w:t>
      </w:r>
      <w:r w:rsidRPr="00BA73A0">
        <w:rPr>
          <w:rFonts w:ascii="標楷體" w:eastAsia="標楷體" w:hAnsi="標楷體" w:hint="eastAsia"/>
          <w:kern w:val="16"/>
          <w:sz w:val="32"/>
          <w:szCs w:val="32"/>
        </w:rPr>
        <w:t xml:space="preserve">　　　　　　　　　　　部長　　　　莊翠雲</w:t>
      </w:r>
    </w:p>
    <w:p w14:paraId="26D18509"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會計處　　　　　　　　　　處長　　　　李秋月</w:t>
      </w:r>
    </w:p>
    <w:p w14:paraId="4EE96D1B"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法制處　　　　　　　　　　副處長　　　黃惠玲</w:t>
      </w:r>
    </w:p>
    <w:p w14:paraId="6C0B7F8B"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人事處　　　　　　　　　　處長　　　　張芳琪</w:t>
      </w:r>
    </w:p>
    <w:p w14:paraId="1028F66E"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國庫署　　　　　　　　　　署長　　　　陳柏誠</w:t>
      </w:r>
    </w:p>
    <w:p w14:paraId="0E82820D"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賦稅署　　　　　　　　　　署長　　　　宋秀玲</w:t>
      </w:r>
    </w:p>
    <w:p w14:paraId="3FC3E704"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關務署　　　　　　　　　　署長　　　　彭英偉</w:t>
      </w:r>
    </w:p>
    <w:p w14:paraId="59826A6E"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國有財產署　　　　　　　　署長　　　　曾國基</w:t>
      </w:r>
    </w:p>
    <w:p w14:paraId="7B39DFF7"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財政資訊中心　　　　　　　主任　　　　張文熙</w:t>
      </w:r>
    </w:p>
    <w:p w14:paraId="7651F70C"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中國輸出入銀行　　　　　　　理事主席　　戴燈山</w:t>
      </w:r>
    </w:p>
    <w:p w14:paraId="417F6BFD"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總經理　　　謝富華</w:t>
      </w:r>
    </w:p>
    <w:p w14:paraId="505EA0A7"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臺灣金融控股股份有限公司　　董事長　　　凌忠嫄</w:t>
      </w:r>
    </w:p>
    <w:p w14:paraId="5945F50B"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(兼臺灣銀行股份有限公司董事長)</w:t>
      </w:r>
    </w:p>
    <w:p w14:paraId="6BD680AF"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總經理　　　施瑪莉</w:t>
      </w:r>
    </w:p>
    <w:p w14:paraId="1F13A3AD"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臺灣銀行股份有限公司　　　總經理　　　吳佳曉</w:t>
      </w:r>
    </w:p>
    <w:p w14:paraId="4F7ADF1E"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臺銀人壽保險股份有限公司　董事長　　　張志宏</w:t>
      </w:r>
    </w:p>
    <w:p w14:paraId="37CE4F60"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總經理　　　劉啟聖</w:t>
      </w:r>
    </w:p>
    <w:p w14:paraId="00C7E8AD"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臺銀綜合證券股份有限公司　董事長　　　許慈美</w:t>
      </w:r>
    </w:p>
    <w:p w14:paraId="1035DD50"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lastRenderedPageBreak/>
        <w:t xml:space="preserve">　　　　　　　　　　　　　　　　　　　代理總經理　林溫琴</w:t>
      </w:r>
    </w:p>
    <w:p w14:paraId="7D77FCD5" w14:textId="1AD35101"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spacing w:val="-36"/>
          <w:kern w:val="16"/>
          <w:sz w:val="32"/>
          <w:szCs w:val="32"/>
        </w:rPr>
        <w:t>臺銀綜合保險經紀人股份有限公司</w:t>
      </w:r>
      <w:r w:rsidRPr="00BA73A0">
        <w:rPr>
          <w:rFonts w:ascii="標楷體" w:eastAsia="標楷體" w:hAnsi="標楷體" w:hint="eastAsia"/>
          <w:spacing w:val="-32"/>
          <w:kern w:val="16"/>
          <w:sz w:val="32"/>
          <w:szCs w:val="32"/>
        </w:rPr>
        <w:t>總經理</w:t>
      </w:r>
      <w:r w:rsidR="00E57078" w:rsidRPr="00BA73A0">
        <w:rPr>
          <w:rFonts w:ascii="標楷體" w:eastAsia="標楷體" w:hAnsi="標楷體" w:hint="eastAsia"/>
          <w:kern w:val="16"/>
          <w:sz w:val="32"/>
          <w:szCs w:val="32"/>
        </w:rPr>
        <w:t xml:space="preserve">　</w:t>
      </w:r>
      <w:r w:rsidRPr="00BA73A0">
        <w:rPr>
          <w:rFonts w:ascii="標楷體" w:eastAsia="標楷體" w:hAnsi="標楷體" w:hint="eastAsia"/>
          <w:kern w:val="16"/>
          <w:sz w:val="32"/>
          <w:szCs w:val="32"/>
        </w:rPr>
        <w:t xml:space="preserve">　　何明堯</w:t>
      </w:r>
    </w:p>
    <w:p w14:paraId="7F2B7A9D"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(代理董事長)</w:t>
      </w:r>
    </w:p>
    <w:p w14:paraId="420BCB9A"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交通部</w:t>
      </w:r>
      <w:r w:rsidRPr="00BA73A0">
        <w:rPr>
          <w:rFonts w:ascii="標楷體" w:eastAsia="標楷體" w:hAnsi="標楷體" w:hint="eastAsia"/>
          <w:kern w:val="16"/>
          <w:sz w:val="32"/>
          <w:szCs w:val="32"/>
        </w:rPr>
        <w:t>公共運輸及監理司　　　簡任技正　　王基洲</w:t>
      </w:r>
    </w:p>
    <w:p w14:paraId="598EA271"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公路局監理組　　　　　　　科長　　　　符書維</w:t>
      </w:r>
    </w:p>
    <w:p w14:paraId="4FFABE8A"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內政部</w:t>
      </w:r>
      <w:r w:rsidRPr="00BA73A0">
        <w:rPr>
          <w:rFonts w:ascii="標楷體" w:eastAsia="標楷體" w:hAnsi="標楷體" w:hint="eastAsia"/>
          <w:kern w:val="16"/>
          <w:sz w:val="32"/>
          <w:szCs w:val="32"/>
        </w:rPr>
        <w:t>地政司　　　　　　　　專門委員　　陳杰宗</w:t>
      </w:r>
    </w:p>
    <w:p w14:paraId="616C86C7"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衛生福利部</w:t>
      </w:r>
      <w:r w:rsidRPr="00BA73A0">
        <w:rPr>
          <w:rFonts w:ascii="標楷體" w:eastAsia="標楷體" w:hAnsi="標楷體" w:hint="eastAsia"/>
          <w:kern w:val="16"/>
          <w:sz w:val="32"/>
          <w:szCs w:val="32"/>
        </w:rPr>
        <w:t>國民健康署　　　　簡任技正　　劉家秀</w:t>
      </w:r>
    </w:p>
    <w:p w14:paraId="1B7B678C"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法務部</w:t>
      </w:r>
      <w:r w:rsidRPr="00BA73A0">
        <w:rPr>
          <w:rFonts w:ascii="標楷體" w:eastAsia="標楷體" w:hAnsi="標楷體" w:hint="eastAsia"/>
          <w:kern w:val="16"/>
          <w:sz w:val="32"/>
          <w:szCs w:val="32"/>
        </w:rPr>
        <w:t xml:space="preserve">　　　　　　　　　　　參事　　　　林豐文</w:t>
      </w:r>
    </w:p>
    <w:p w14:paraId="684024DF"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行政院主計總處</w:t>
      </w:r>
      <w:r w:rsidRPr="00BA73A0">
        <w:rPr>
          <w:rFonts w:ascii="標楷體" w:eastAsia="標楷體" w:hAnsi="標楷體" w:hint="eastAsia"/>
          <w:kern w:val="16"/>
          <w:sz w:val="32"/>
          <w:szCs w:val="32"/>
        </w:rPr>
        <w:t>基金預算處　　專門委員　　黃厚輯</w:t>
      </w:r>
    </w:p>
    <w:p w14:paraId="7FD375FF"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公務預算處　　專門委員　　吳銘修</w:t>
      </w:r>
    </w:p>
    <w:p w14:paraId="6E62A28F"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臺北市</w:t>
      </w:r>
      <w:r w:rsidRPr="00BA73A0">
        <w:rPr>
          <w:rFonts w:ascii="標楷體" w:eastAsia="標楷體" w:hAnsi="標楷體" w:hint="eastAsia"/>
          <w:kern w:val="16"/>
          <w:sz w:val="32"/>
          <w:szCs w:val="32"/>
        </w:rPr>
        <w:t>稅捐稽徵處　　　　　　副處長　　　管東海</w:t>
      </w:r>
    </w:p>
    <w:p w14:paraId="59032994"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新北市</w:t>
      </w:r>
      <w:r w:rsidRPr="00BA73A0">
        <w:rPr>
          <w:rFonts w:ascii="標楷體" w:eastAsia="標楷體" w:hAnsi="標楷體" w:hint="eastAsia"/>
          <w:kern w:val="16"/>
          <w:sz w:val="32"/>
          <w:szCs w:val="32"/>
        </w:rPr>
        <w:t>稅捐稽徵處　　　　　　副處長　　　陳正輝</w:t>
      </w:r>
    </w:p>
    <w:p w14:paraId="695F06AD"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桃園市</w:t>
      </w:r>
      <w:r w:rsidRPr="00BA73A0">
        <w:rPr>
          <w:rFonts w:ascii="標楷體" w:eastAsia="標楷體" w:hAnsi="標楷體" w:hint="eastAsia"/>
          <w:kern w:val="16"/>
          <w:sz w:val="32"/>
          <w:szCs w:val="32"/>
        </w:rPr>
        <w:t>政府地方稅務局　　　　副局長　　　許瑜玲</w:t>
      </w:r>
    </w:p>
    <w:p w14:paraId="7D901AF9"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臺中市</w:t>
      </w:r>
      <w:r w:rsidRPr="00BA73A0">
        <w:rPr>
          <w:rFonts w:ascii="標楷體" w:eastAsia="標楷體" w:hAnsi="標楷體" w:hint="eastAsia"/>
          <w:kern w:val="16"/>
          <w:sz w:val="32"/>
          <w:szCs w:val="32"/>
        </w:rPr>
        <w:t>政府地方稅務局　　　　副局長　　　簡淑芬</w:t>
      </w:r>
    </w:p>
    <w:p w14:paraId="1C67B387"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臺南市</w:t>
      </w:r>
      <w:r w:rsidRPr="00BA73A0">
        <w:rPr>
          <w:rFonts w:ascii="標楷體" w:eastAsia="標楷體" w:hAnsi="標楷體" w:hint="eastAsia"/>
          <w:kern w:val="16"/>
          <w:sz w:val="32"/>
          <w:szCs w:val="32"/>
        </w:rPr>
        <w:t>政府財政稅務局　　　　局長　　　　李建賢</w:t>
      </w:r>
    </w:p>
    <w:p w14:paraId="515EF944"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高雄市</w:t>
      </w:r>
      <w:r w:rsidRPr="00BA73A0">
        <w:rPr>
          <w:rFonts w:ascii="標楷體" w:eastAsia="標楷體" w:hAnsi="標楷體" w:hint="eastAsia"/>
          <w:kern w:val="16"/>
          <w:sz w:val="32"/>
          <w:szCs w:val="32"/>
        </w:rPr>
        <w:t>稅捐稽徵處　　　　　　處長　　　　曾子玲</w:t>
      </w:r>
    </w:p>
    <w:p w14:paraId="438D7A86"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113年1</w:t>
      </w:r>
      <w:r w:rsidRPr="00BA73A0">
        <w:rPr>
          <w:rFonts w:ascii="標楷體" w:eastAsia="標楷體" w:hAnsi="標楷體"/>
          <w:kern w:val="16"/>
          <w:sz w:val="32"/>
          <w:szCs w:val="32"/>
        </w:rPr>
        <w:t>2</w:t>
      </w:r>
      <w:r w:rsidRPr="00BA73A0">
        <w:rPr>
          <w:rFonts w:ascii="標楷體" w:eastAsia="標楷體" w:hAnsi="標楷體" w:hint="eastAsia"/>
          <w:kern w:val="16"/>
          <w:sz w:val="32"/>
          <w:szCs w:val="32"/>
        </w:rPr>
        <w:t>月</w:t>
      </w:r>
      <w:r w:rsidRPr="00BA73A0">
        <w:rPr>
          <w:rFonts w:ascii="標楷體" w:eastAsia="標楷體" w:hAnsi="標楷體"/>
          <w:kern w:val="16"/>
          <w:sz w:val="32"/>
          <w:szCs w:val="32"/>
        </w:rPr>
        <w:t>26</w:t>
      </w:r>
      <w:r w:rsidRPr="00BA73A0">
        <w:rPr>
          <w:rFonts w:ascii="標楷體" w:eastAsia="標楷體" w:hAnsi="標楷體" w:hint="eastAsia"/>
          <w:kern w:val="16"/>
          <w:sz w:val="32"/>
          <w:szCs w:val="32"/>
        </w:rPr>
        <w:t>日（星期四）</w:t>
      </w:r>
    </w:p>
    <w:p w14:paraId="25A231D6"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財政部</w:t>
      </w:r>
      <w:r w:rsidRPr="00BA73A0">
        <w:rPr>
          <w:rFonts w:ascii="標楷體" w:eastAsia="標楷體" w:hAnsi="標楷體" w:hint="eastAsia"/>
          <w:kern w:val="16"/>
          <w:sz w:val="32"/>
          <w:szCs w:val="32"/>
        </w:rPr>
        <w:t xml:space="preserve">　　　　　　　　　　　部長　　　　莊翠雲</w:t>
      </w:r>
    </w:p>
    <w:p w14:paraId="5A5E9956"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會計處　　　　　　　　　　處長　　　　李秋月</w:t>
      </w:r>
    </w:p>
    <w:p w14:paraId="7A2D53BA"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人事處　　　　　　　　　　處長　　　　張芳琪</w:t>
      </w:r>
    </w:p>
    <w:p w14:paraId="37F1FE75"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國庫署　　　　　　　　　　副署長　　　馬小惠</w:t>
      </w:r>
    </w:p>
    <w:p w14:paraId="59BB99F5"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中國輸出入銀行　　　　　　　理事主席　　戴燈山</w:t>
      </w:r>
    </w:p>
    <w:p w14:paraId="0D0E2279"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總經理　　　謝富華</w:t>
      </w:r>
    </w:p>
    <w:p w14:paraId="724D46F5"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臺灣金融控股股份有限公司　　董事長　　　凌忠嫄</w:t>
      </w:r>
    </w:p>
    <w:p w14:paraId="19A81E64"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(兼臺灣銀行股份有限公司董事長)</w:t>
      </w:r>
    </w:p>
    <w:p w14:paraId="61A29FB1"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總經理　　　施瑪莉</w:t>
      </w:r>
    </w:p>
    <w:p w14:paraId="36D54070"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臺灣銀行股份有限公司　　　總經理　　　吳佳曉</w:t>
      </w:r>
    </w:p>
    <w:p w14:paraId="2E15DB2F"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臺銀人壽保險股份有限公司　董事長　　　張志宏</w:t>
      </w:r>
    </w:p>
    <w:p w14:paraId="17867364"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總經理　　　劉啟聖</w:t>
      </w:r>
    </w:p>
    <w:p w14:paraId="1C058A96"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臺銀綜合證券股份有限公司　董事長　　　許慈美</w:t>
      </w:r>
    </w:p>
    <w:p w14:paraId="1BA26C5E"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lastRenderedPageBreak/>
        <w:t xml:space="preserve">　　　　　　　　　　　　　　　　　　　代理總經理　林溫琴</w:t>
      </w:r>
    </w:p>
    <w:p w14:paraId="41241DC0" w14:textId="554B945F"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spacing w:val="-36"/>
          <w:kern w:val="16"/>
          <w:sz w:val="32"/>
          <w:szCs w:val="32"/>
        </w:rPr>
        <w:t>臺銀綜合保險經紀人股份有限公司</w:t>
      </w:r>
      <w:r w:rsidRPr="00BA73A0">
        <w:rPr>
          <w:rFonts w:ascii="標楷體" w:eastAsia="標楷體" w:hAnsi="標楷體" w:hint="eastAsia"/>
          <w:spacing w:val="-32"/>
          <w:kern w:val="16"/>
          <w:sz w:val="32"/>
          <w:szCs w:val="32"/>
        </w:rPr>
        <w:t>總經理</w:t>
      </w:r>
      <w:r w:rsidR="009377EA" w:rsidRPr="00BA73A0">
        <w:rPr>
          <w:rFonts w:ascii="標楷體" w:eastAsia="標楷體" w:hAnsi="標楷體" w:hint="eastAsia"/>
          <w:kern w:val="16"/>
          <w:sz w:val="32"/>
          <w:szCs w:val="32"/>
        </w:rPr>
        <w:t xml:space="preserve">　</w:t>
      </w:r>
      <w:r w:rsidRPr="00BA73A0">
        <w:rPr>
          <w:rFonts w:ascii="標楷體" w:eastAsia="標楷體" w:hAnsi="標楷體" w:hint="eastAsia"/>
          <w:kern w:val="16"/>
          <w:sz w:val="32"/>
          <w:szCs w:val="32"/>
        </w:rPr>
        <w:t xml:space="preserve">　　何明堯</w:t>
      </w:r>
    </w:p>
    <w:p w14:paraId="21963328"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(代理董事長)</w:t>
      </w:r>
    </w:p>
    <w:p w14:paraId="1A35484C"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hint="eastAsia"/>
          <w:kern w:val="16"/>
          <w:sz w:val="32"/>
          <w:szCs w:val="32"/>
        </w:rPr>
        <w:t xml:space="preserve">　　　　　</w:t>
      </w:r>
      <w:r w:rsidRPr="00BA73A0">
        <w:rPr>
          <w:rFonts w:ascii="標楷體" w:eastAsia="標楷體" w:hAnsi="標楷體" w:hint="eastAsia"/>
          <w:b/>
          <w:kern w:val="16"/>
          <w:sz w:val="32"/>
          <w:szCs w:val="32"/>
        </w:rPr>
        <w:t>行政院主計總處</w:t>
      </w:r>
      <w:r w:rsidRPr="00BA73A0">
        <w:rPr>
          <w:rFonts w:ascii="標楷體" w:eastAsia="標楷體" w:hAnsi="標楷體" w:hint="eastAsia"/>
          <w:kern w:val="16"/>
          <w:sz w:val="32"/>
          <w:szCs w:val="32"/>
        </w:rPr>
        <w:t>基金預算處　　專門委員　　黃厚輯</w:t>
      </w:r>
    </w:p>
    <w:p w14:paraId="09233905"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kern w:val="16"/>
          <w:sz w:val="32"/>
          <w:szCs w:val="32"/>
        </w:rPr>
        <w:t xml:space="preserve">主　　席　</w:t>
      </w:r>
      <w:r w:rsidRPr="00BA73A0">
        <w:rPr>
          <w:rFonts w:ascii="標楷體" w:eastAsia="標楷體" w:hAnsi="標楷體" w:hint="eastAsia"/>
          <w:kern w:val="16"/>
          <w:sz w:val="32"/>
          <w:szCs w:val="32"/>
        </w:rPr>
        <w:t>賴</w:t>
      </w:r>
      <w:r w:rsidRPr="00BA73A0">
        <w:rPr>
          <w:rFonts w:ascii="標楷體" w:eastAsia="標楷體" w:hAnsi="標楷體"/>
          <w:kern w:val="16"/>
          <w:sz w:val="32"/>
          <w:szCs w:val="32"/>
        </w:rPr>
        <w:t>召集委員</w:t>
      </w:r>
      <w:r w:rsidRPr="00BA73A0">
        <w:rPr>
          <w:rFonts w:ascii="標楷體" w:eastAsia="標楷體" w:hAnsi="標楷體" w:hint="eastAsia"/>
          <w:kern w:val="16"/>
          <w:sz w:val="32"/>
          <w:szCs w:val="32"/>
        </w:rPr>
        <w:t>惠員</w:t>
      </w:r>
    </w:p>
    <w:p w14:paraId="274F2B24"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kern w:val="16"/>
          <w:sz w:val="32"/>
          <w:szCs w:val="32"/>
        </w:rPr>
        <w:t xml:space="preserve">專門委員　</w:t>
      </w:r>
      <w:r w:rsidRPr="00BA73A0">
        <w:rPr>
          <w:rFonts w:ascii="標楷體" w:eastAsia="標楷體" w:hAnsi="標楷體" w:hint="eastAsia"/>
          <w:kern w:val="16"/>
          <w:sz w:val="32"/>
          <w:szCs w:val="32"/>
        </w:rPr>
        <w:t>林靜玟</w:t>
      </w:r>
    </w:p>
    <w:p w14:paraId="2336D201"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kern w:val="16"/>
          <w:sz w:val="32"/>
          <w:szCs w:val="32"/>
        </w:rPr>
        <w:t>主任秘書　謝淑津</w:t>
      </w:r>
    </w:p>
    <w:p w14:paraId="0923469C"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kern w:val="16"/>
          <w:sz w:val="32"/>
          <w:szCs w:val="32"/>
        </w:rPr>
        <w:t xml:space="preserve">紀　　錄　秘　書　</w:t>
      </w:r>
      <w:r w:rsidRPr="00BA73A0">
        <w:rPr>
          <w:rFonts w:ascii="標楷體" w:eastAsia="標楷體" w:hAnsi="標楷體" w:hint="eastAsia"/>
          <w:kern w:val="16"/>
          <w:sz w:val="32"/>
          <w:szCs w:val="32"/>
        </w:rPr>
        <w:t>吳人寬</w:t>
      </w:r>
      <w:r w:rsidRPr="00BA73A0">
        <w:rPr>
          <w:rFonts w:ascii="標楷體" w:eastAsia="標楷體" w:hAnsi="標楷體"/>
          <w:kern w:val="16"/>
          <w:sz w:val="32"/>
          <w:szCs w:val="32"/>
        </w:rPr>
        <w:t xml:space="preserve">　</w:t>
      </w:r>
      <w:r w:rsidRPr="00BA73A0">
        <w:rPr>
          <w:rFonts w:ascii="標楷體" w:eastAsia="標楷體" w:hAnsi="標楷體" w:hint="eastAsia"/>
          <w:kern w:val="16"/>
          <w:sz w:val="32"/>
          <w:szCs w:val="32"/>
        </w:rPr>
        <w:t>研究員</w:t>
      </w:r>
      <w:r w:rsidRPr="00BA73A0">
        <w:rPr>
          <w:rFonts w:ascii="標楷體" w:eastAsia="標楷體" w:hAnsi="標楷體"/>
          <w:kern w:val="16"/>
          <w:sz w:val="32"/>
          <w:szCs w:val="32"/>
        </w:rPr>
        <w:t xml:space="preserve">　</w:t>
      </w:r>
      <w:r w:rsidRPr="00BA73A0">
        <w:rPr>
          <w:rFonts w:ascii="標楷體" w:eastAsia="標楷體" w:hAnsi="標楷體" w:hint="eastAsia"/>
          <w:kern w:val="16"/>
          <w:sz w:val="32"/>
          <w:szCs w:val="32"/>
        </w:rPr>
        <w:t>黃惠雯</w:t>
      </w:r>
      <w:r w:rsidRPr="00BA73A0">
        <w:rPr>
          <w:rFonts w:ascii="標楷體" w:eastAsia="標楷體" w:hAnsi="標楷體"/>
          <w:kern w:val="16"/>
          <w:sz w:val="32"/>
          <w:szCs w:val="32"/>
        </w:rPr>
        <w:t xml:space="preserve">　編　審　</w:t>
      </w:r>
      <w:r w:rsidRPr="00BA73A0">
        <w:rPr>
          <w:rFonts w:ascii="標楷體" w:eastAsia="標楷體" w:hAnsi="標楷體" w:hint="eastAsia"/>
          <w:kern w:val="16"/>
          <w:sz w:val="32"/>
          <w:szCs w:val="32"/>
        </w:rPr>
        <w:t>伍明清</w:t>
      </w:r>
      <w:r w:rsidRPr="00BA73A0">
        <w:rPr>
          <w:rFonts w:ascii="標楷體" w:eastAsia="標楷體" w:hAnsi="標楷體"/>
          <w:kern w:val="16"/>
          <w:sz w:val="32"/>
          <w:szCs w:val="32"/>
        </w:rPr>
        <w:t xml:space="preserve">　</w:t>
      </w:r>
    </w:p>
    <w:p w14:paraId="295884C6" w14:textId="77777777" w:rsidR="009D64D0" w:rsidRPr="00BA73A0" w:rsidRDefault="009D64D0" w:rsidP="00F470A8">
      <w:pPr>
        <w:widowControl w:val="0"/>
        <w:tabs>
          <w:tab w:val="left" w:pos="9072"/>
        </w:tabs>
        <w:kinsoku w:val="0"/>
        <w:overflowPunct w:val="0"/>
        <w:autoSpaceDE w:val="0"/>
        <w:adjustRightInd w:val="0"/>
        <w:snapToGrid w:val="0"/>
        <w:spacing w:line="480" w:lineRule="exact"/>
        <w:jc w:val="both"/>
        <w:textAlignment w:val="auto"/>
        <w:rPr>
          <w:rFonts w:ascii="標楷體" w:eastAsia="標楷體" w:hAnsi="標楷體"/>
          <w:kern w:val="16"/>
          <w:sz w:val="32"/>
          <w:szCs w:val="32"/>
        </w:rPr>
      </w:pPr>
      <w:r w:rsidRPr="00BA73A0">
        <w:rPr>
          <w:rFonts w:ascii="標楷體" w:eastAsia="標楷體" w:hAnsi="標楷體"/>
          <w:kern w:val="16"/>
          <w:sz w:val="32"/>
          <w:szCs w:val="32"/>
        </w:rPr>
        <w:t xml:space="preserve">　　　　　</w:t>
      </w:r>
      <w:r w:rsidRPr="00BA73A0">
        <w:rPr>
          <w:rFonts w:ascii="標楷體" w:eastAsia="標楷體" w:hAnsi="標楷體" w:hint="eastAsia"/>
          <w:kern w:val="16"/>
          <w:sz w:val="32"/>
          <w:szCs w:val="32"/>
        </w:rPr>
        <w:t>科</w:t>
      </w:r>
      <w:r w:rsidRPr="00BA73A0">
        <w:rPr>
          <w:rFonts w:ascii="標楷體" w:eastAsia="標楷體" w:hAnsi="標楷體"/>
          <w:kern w:val="16"/>
          <w:sz w:val="32"/>
          <w:szCs w:val="32"/>
        </w:rPr>
        <w:t xml:space="preserve">　長　</w:t>
      </w:r>
      <w:r w:rsidRPr="00BA73A0">
        <w:rPr>
          <w:rFonts w:ascii="標楷體" w:eastAsia="標楷體" w:hAnsi="標楷體" w:hint="eastAsia"/>
          <w:kern w:val="16"/>
          <w:sz w:val="32"/>
          <w:szCs w:val="32"/>
        </w:rPr>
        <w:t>喻</w:t>
      </w:r>
      <w:r w:rsidRPr="00BA73A0">
        <w:rPr>
          <w:rFonts w:ascii="標楷體" w:eastAsia="標楷體" w:hAnsi="標楷體"/>
          <w:kern w:val="16"/>
          <w:sz w:val="32"/>
          <w:szCs w:val="32"/>
        </w:rPr>
        <w:t xml:space="preserve">　</w:t>
      </w:r>
      <w:r w:rsidRPr="00BA73A0">
        <w:rPr>
          <w:rFonts w:ascii="標楷體" w:eastAsia="標楷體" w:hAnsi="標楷體" w:hint="eastAsia"/>
          <w:kern w:val="16"/>
          <w:sz w:val="32"/>
          <w:szCs w:val="32"/>
        </w:rPr>
        <w:t>珊　專　員　沈克彬　科</w:t>
      </w:r>
      <w:r w:rsidRPr="00BA73A0">
        <w:rPr>
          <w:rFonts w:ascii="標楷體" w:eastAsia="標楷體" w:hAnsi="標楷體"/>
          <w:kern w:val="16"/>
          <w:sz w:val="32"/>
          <w:szCs w:val="32"/>
        </w:rPr>
        <w:t xml:space="preserve">　</w:t>
      </w:r>
      <w:r w:rsidRPr="00BA73A0">
        <w:rPr>
          <w:rFonts w:ascii="標楷體" w:eastAsia="標楷體" w:hAnsi="標楷體" w:hint="eastAsia"/>
          <w:kern w:val="16"/>
          <w:sz w:val="32"/>
          <w:szCs w:val="32"/>
        </w:rPr>
        <w:t>員</w:t>
      </w:r>
      <w:r w:rsidRPr="00BA73A0">
        <w:rPr>
          <w:rFonts w:ascii="標楷體" w:eastAsia="標楷體" w:hAnsi="標楷體"/>
          <w:kern w:val="16"/>
          <w:sz w:val="32"/>
          <w:szCs w:val="32"/>
        </w:rPr>
        <w:t xml:space="preserve">　</w:t>
      </w:r>
      <w:r w:rsidRPr="00BA73A0">
        <w:rPr>
          <w:rFonts w:ascii="標楷體" w:eastAsia="標楷體" w:hAnsi="標楷體" w:hint="eastAsia"/>
          <w:kern w:val="16"/>
          <w:sz w:val="32"/>
          <w:szCs w:val="32"/>
        </w:rPr>
        <w:t>劉雅欣</w:t>
      </w:r>
      <w:r w:rsidRPr="00BA73A0">
        <w:rPr>
          <w:rFonts w:ascii="標楷體" w:eastAsia="標楷體" w:hAnsi="標楷體"/>
          <w:kern w:val="16"/>
          <w:sz w:val="32"/>
          <w:szCs w:val="32"/>
        </w:rPr>
        <w:t xml:space="preserve">　</w:t>
      </w:r>
    </w:p>
    <w:p w14:paraId="43EA58F3" w14:textId="77777777" w:rsidR="009D64D0" w:rsidRPr="0020320A" w:rsidRDefault="009D64D0" w:rsidP="00F470A8">
      <w:pPr>
        <w:pStyle w:val="Default"/>
        <w:kinsoku w:val="0"/>
        <w:overflowPunct w:val="0"/>
        <w:spacing w:beforeLines="50" w:before="180" w:line="460" w:lineRule="exact"/>
        <w:ind w:left="1803" w:hanging="1803"/>
        <w:jc w:val="both"/>
        <w:rPr>
          <w:rFonts w:cs="Times New Roman"/>
          <w:bCs/>
          <w:sz w:val="32"/>
          <w:szCs w:val="32"/>
        </w:rPr>
      </w:pPr>
      <w:r w:rsidRPr="0020320A">
        <w:rPr>
          <w:rFonts w:cs="Times New Roman"/>
          <w:b/>
          <w:bCs/>
          <w:sz w:val="32"/>
          <w:szCs w:val="32"/>
        </w:rPr>
        <w:t>11</w:t>
      </w:r>
      <w:r w:rsidRPr="0020320A">
        <w:rPr>
          <w:rFonts w:cs="Times New Roman" w:hint="eastAsia"/>
          <w:b/>
          <w:bCs/>
          <w:sz w:val="32"/>
          <w:szCs w:val="32"/>
        </w:rPr>
        <w:t>3年12月25日</w:t>
      </w:r>
    </w:p>
    <w:p w14:paraId="106344E3" w14:textId="77777777" w:rsidR="009D64D0" w:rsidRPr="00BA73A0" w:rsidRDefault="009D64D0" w:rsidP="00F470A8">
      <w:pPr>
        <w:widowControl w:val="0"/>
        <w:kinsoku w:val="0"/>
        <w:overflowPunct w:val="0"/>
        <w:autoSpaceDE w:val="0"/>
        <w:adjustRightInd w:val="0"/>
        <w:snapToGrid w:val="0"/>
        <w:spacing w:line="480" w:lineRule="exact"/>
        <w:ind w:leftChars="201" w:left="482"/>
        <w:jc w:val="both"/>
        <w:textAlignment w:val="auto"/>
        <w:rPr>
          <w:rFonts w:ascii="標楷體" w:eastAsia="標楷體" w:hAnsi="標楷體"/>
          <w:b/>
          <w:kern w:val="2"/>
          <w:sz w:val="32"/>
          <w:szCs w:val="32"/>
        </w:rPr>
      </w:pPr>
      <w:r w:rsidRPr="00BA73A0">
        <w:rPr>
          <w:rFonts w:ascii="標楷體" w:eastAsia="標楷體" w:hAnsi="標楷體"/>
          <w:b/>
          <w:kern w:val="2"/>
          <w:sz w:val="32"/>
          <w:szCs w:val="32"/>
        </w:rPr>
        <w:t>報告事項</w:t>
      </w:r>
    </w:p>
    <w:p w14:paraId="4B566D70" w14:textId="77777777" w:rsidR="009D64D0" w:rsidRPr="00BA73A0"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kern w:val="2"/>
          <w:sz w:val="32"/>
          <w:szCs w:val="32"/>
        </w:rPr>
      </w:pPr>
      <w:r w:rsidRPr="00BA73A0">
        <w:rPr>
          <w:rFonts w:ascii="標楷體" w:eastAsia="標楷體" w:hAnsi="標楷體"/>
          <w:kern w:val="2"/>
          <w:sz w:val="32"/>
          <w:szCs w:val="32"/>
        </w:rPr>
        <w:t>宣讀上次會議議事錄。</w:t>
      </w:r>
    </w:p>
    <w:p w14:paraId="4DB14BA3" w14:textId="77777777" w:rsidR="009D64D0" w:rsidRPr="00BA73A0"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kern w:val="2"/>
          <w:sz w:val="32"/>
          <w:szCs w:val="32"/>
        </w:rPr>
      </w:pPr>
      <w:r w:rsidRPr="00BA73A0">
        <w:rPr>
          <w:rFonts w:ascii="標楷體" w:eastAsia="標楷體" w:hAnsi="標楷體"/>
          <w:kern w:val="2"/>
          <w:sz w:val="32"/>
          <w:szCs w:val="32"/>
        </w:rPr>
        <w:t>決定：議事錄確定。</w:t>
      </w:r>
    </w:p>
    <w:p w14:paraId="25AF7FE9" w14:textId="77777777" w:rsidR="009D64D0" w:rsidRPr="00BA73A0" w:rsidRDefault="009D64D0" w:rsidP="00F470A8">
      <w:pPr>
        <w:widowControl w:val="0"/>
        <w:kinsoku w:val="0"/>
        <w:overflowPunct w:val="0"/>
        <w:autoSpaceDE w:val="0"/>
        <w:adjustRightInd w:val="0"/>
        <w:snapToGrid w:val="0"/>
        <w:spacing w:line="480" w:lineRule="exact"/>
        <w:ind w:leftChars="201" w:left="482"/>
        <w:jc w:val="both"/>
        <w:textAlignment w:val="auto"/>
        <w:rPr>
          <w:rFonts w:ascii="標楷體" w:eastAsia="標楷體" w:hAnsi="標楷體"/>
          <w:b/>
          <w:kern w:val="2"/>
          <w:sz w:val="32"/>
          <w:szCs w:val="32"/>
        </w:rPr>
      </w:pPr>
      <w:r w:rsidRPr="00BA73A0">
        <w:rPr>
          <w:rFonts w:ascii="標楷體" w:eastAsia="標楷體" w:hAnsi="標楷體" w:hint="eastAsia"/>
          <w:b/>
          <w:kern w:val="2"/>
          <w:sz w:val="32"/>
          <w:szCs w:val="32"/>
        </w:rPr>
        <w:t>討論事項</w:t>
      </w:r>
    </w:p>
    <w:p w14:paraId="58CAE35C" w14:textId="77777777" w:rsidR="009D64D0" w:rsidRPr="0020320A" w:rsidRDefault="009D64D0" w:rsidP="00F470A8">
      <w:pPr>
        <w:pStyle w:val="Default"/>
        <w:kinsoku w:val="0"/>
        <w:overflowPunct w:val="0"/>
        <w:spacing w:line="500" w:lineRule="exact"/>
        <w:ind w:left="641" w:hangingChars="200" w:hanging="641"/>
        <w:jc w:val="both"/>
        <w:rPr>
          <w:rFonts w:cs="Times New Roman"/>
          <w:b/>
          <w:bCs/>
          <w:sz w:val="32"/>
          <w:szCs w:val="32"/>
        </w:rPr>
      </w:pPr>
      <w:r w:rsidRPr="0020320A">
        <w:rPr>
          <w:rFonts w:cs="Times New Roman" w:hint="eastAsia"/>
          <w:b/>
          <w:bCs/>
          <w:sz w:val="32"/>
          <w:szCs w:val="32"/>
        </w:rPr>
        <w:t>一、</w:t>
      </w:r>
      <w:r w:rsidRPr="0020320A">
        <w:rPr>
          <w:rFonts w:cs="Times New Roman" w:hint="eastAsia"/>
          <w:b/>
          <w:bCs/>
          <w:sz w:val="32"/>
          <w:szCs w:val="32"/>
        </w:rPr>
        <w:tab/>
        <w:t>審查「菸酒稅法」10案：</w:t>
      </w:r>
    </w:p>
    <w:p w14:paraId="7A8138D4" w14:textId="77777777" w:rsidR="009D64D0" w:rsidRPr="0020320A" w:rsidRDefault="009D64D0" w:rsidP="00F470A8">
      <w:pPr>
        <w:pStyle w:val="Default"/>
        <w:kinsoku w:val="0"/>
        <w:overflowPunct w:val="0"/>
        <w:spacing w:line="500" w:lineRule="exact"/>
        <w:ind w:leftChars="100" w:left="880" w:hangingChars="200" w:hanging="640"/>
        <w:jc w:val="both"/>
        <w:rPr>
          <w:rFonts w:cs="Times New Roman"/>
          <w:bCs/>
          <w:sz w:val="32"/>
          <w:szCs w:val="32"/>
        </w:rPr>
      </w:pPr>
      <w:r w:rsidRPr="0020320A">
        <w:rPr>
          <w:rFonts w:cs="Times New Roman" w:hint="eastAsia"/>
          <w:bCs/>
          <w:sz w:val="32"/>
          <w:szCs w:val="32"/>
        </w:rPr>
        <w:t>(一)</w:t>
      </w:r>
      <w:r w:rsidRPr="0020320A">
        <w:rPr>
          <w:rFonts w:cs="Times New Roman" w:hint="eastAsia"/>
          <w:bCs/>
          <w:sz w:val="32"/>
          <w:szCs w:val="32"/>
        </w:rPr>
        <w:tab/>
        <w:t>行政院函請審議、本院委員李柏毅等16人、委員賴惠員等16人、委員郭國文等18人、委員吳琪銘等16人分別擬具「菸酒稅法部分條文修正草案」等5案。</w:t>
      </w:r>
    </w:p>
    <w:p w14:paraId="4A6E193F" w14:textId="77777777" w:rsidR="009D64D0" w:rsidRPr="0020320A" w:rsidRDefault="009D64D0" w:rsidP="00F470A8">
      <w:pPr>
        <w:pStyle w:val="Default"/>
        <w:kinsoku w:val="0"/>
        <w:overflowPunct w:val="0"/>
        <w:spacing w:line="500" w:lineRule="exact"/>
        <w:ind w:leftChars="100" w:left="880" w:hangingChars="200" w:hanging="640"/>
        <w:jc w:val="both"/>
        <w:rPr>
          <w:rFonts w:cs="Times New Roman"/>
          <w:bCs/>
          <w:sz w:val="32"/>
          <w:szCs w:val="32"/>
        </w:rPr>
      </w:pPr>
      <w:r w:rsidRPr="0020320A">
        <w:rPr>
          <w:rFonts w:cs="Times New Roman" w:hint="eastAsia"/>
          <w:bCs/>
          <w:sz w:val="32"/>
          <w:szCs w:val="32"/>
        </w:rPr>
        <w:t>(二)</w:t>
      </w:r>
      <w:r w:rsidRPr="0020320A">
        <w:rPr>
          <w:rFonts w:cs="Times New Roman" w:hint="eastAsia"/>
          <w:bCs/>
          <w:sz w:val="32"/>
          <w:szCs w:val="32"/>
        </w:rPr>
        <w:tab/>
        <w:t>本院委員徐巧芯等29人擬具「菸酒稅法第十九條條文修正草案」案。</w:t>
      </w:r>
    </w:p>
    <w:p w14:paraId="7CCB6604" w14:textId="77777777" w:rsidR="009D64D0" w:rsidRPr="0020320A" w:rsidRDefault="009D64D0" w:rsidP="00F470A8">
      <w:pPr>
        <w:pStyle w:val="Default"/>
        <w:kinsoku w:val="0"/>
        <w:overflowPunct w:val="0"/>
        <w:spacing w:line="500" w:lineRule="exact"/>
        <w:ind w:leftChars="100" w:left="880" w:hangingChars="200" w:hanging="640"/>
        <w:jc w:val="both"/>
        <w:rPr>
          <w:rFonts w:cs="Times New Roman"/>
          <w:bCs/>
          <w:sz w:val="32"/>
          <w:szCs w:val="32"/>
        </w:rPr>
      </w:pPr>
      <w:r w:rsidRPr="0020320A">
        <w:rPr>
          <w:rFonts w:cs="Times New Roman" w:hint="eastAsia"/>
          <w:bCs/>
          <w:sz w:val="32"/>
          <w:szCs w:val="32"/>
        </w:rPr>
        <w:t>(三)</w:t>
      </w:r>
      <w:r w:rsidRPr="0020320A">
        <w:rPr>
          <w:rFonts w:cs="Times New Roman" w:hint="eastAsia"/>
          <w:bCs/>
          <w:sz w:val="32"/>
          <w:szCs w:val="32"/>
        </w:rPr>
        <w:tab/>
        <w:t>本院委員賴士葆等27人、委員伍麗華Saidhai Tahovecahe等20人、委員張智倫等18人分別擬具「菸酒稅法第十九條及第二十一條條文修正草案」等3案。</w:t>
      </w:r>
    </w:p>
    <w:p w14:paraId="2215A962" w14:textId="77777777" w:rsidR="009D64D0" w:rsidRPr="0020320A" w:rsidRDefault="009D64D0" w:rsidP="00F470A8">
      <w:pPr>
        <w:pStyle w:val="Default"/>
        <w:kinsoku w:val="0"/>
        <w:overflowPunct w:val="0"/>
        <w:spacing w:line="500" w:lineRule="exact"/>
        <w:ind w:leftChars="100" w:left="880" w:hangingChars="200" w:hanging="640"/>
        <w:jc w:val="both"/>
        <w:rPr>
          <w:rFonts w:cs="Times New Roman"/>
          <w:b/>
          <w:bCs/>
          <w:sz w:val="32"/>
          <w:szCs w:val="32"/>
        </w:rPr>
      </w:pPr>
      <w:r w:rsidRPr="0020320A">
        <w:rPr>
          <w:rFonts w:cs="Times New Roman" w:hint="eastAsia"/>
          <w:bCs/>
          <w:sz w:val="32"/>
          <w:szCs w:val="32"/>
        </w:rPr>
        <w:t>(四)</w:t>
      </w:r>
      <w:r w:rsidRPr="0020320A">
        <w:rPr>
          <w:rFonts w:cs="Times New Roman" w:hint="eastAsia"/>
          <w:bCs/>
          <w:sz w:val="32"/>
          <w:szCs w:val="32"/>
        </w:rPr>
        <w:tab/>
        <w:t>本院委員陳玉珍等19人擬具「菸酒稅法第十九條及第二十三條條文修正草案」案。</w:t>
      </w:r>
    </w:p>
    <w:p w14:paraId="340FC6E1" w14:textId="77777777" w:rsidR="009D64D0" w:rsidRPr="0020320A" w:rsidRDefault="009D64D0" w:rsidP="00F470A8">
      <w:pPr>
        <w:pStyle w:val="Default"/>
        <w:kinsoku w:val="0"/>
        <w:overflowPunct w:val="0"/>
        <w:spacing w:line="500" w:lineRule="exact"/>
        <w:ind w:left="641" w:hangingChars="200" w:hanging="641"/>
        <w:jc w:val="both"/>
        <w:rPr>
          <w:rFonts w:cs="Times New Roman"/>
          <w:b/>
          <w:bCs/>
          <w:sz w:val="32"/>
          <w:szCs w:val="32"/>
        </w:rPr>
      </w:pPr>
      <w:r w:rsidRPr="0020320A">
        <w:rPr>
          <w:rFonts w:cs="Times New Roman" w:hint="eastAsia"/>
          <w:b/>
          <w:bCs/>
          <w:sz w:val="32"/>
          <w:szCs w:val="32"/>
        </w:rPr>
        <w:t>二、</w:t>
      </w:r>
      <w:r w:rsidRPr="0020320A">
        <w:rPr>
          <w:rFonts w:cs="Times New Roman" w:hint="eastAsia"/>
          <w:b/>
          <w:bCs/>
          <w:sz w:val="32"/>
          <w:szCs w:val="32"/>
        </w:rPr>
        <w:tab/>
        <w:t>審查「使用牌照稅法」8案：</w:t>
      </w:r>
    </w:p>
    <w:p w14:paraId="5C4D7B01" w14:textId="77777777" w:rsidR="009D64D0" w:rsidRPr="0020320A" w:rsidRDefault="009D64D0" w:rsidP="00F470A8">
      <w:pPr>
        <w:pStyle w:val="Default"/>
        <w:kinsoku w:val="0"/>
        <w:overflowPunct w:val="0"/>
        <w:spacing w:line="500" w:lineRule="exact"/>
        <w:ind w:leftChars="100" w:left="880" w:hangingChars="200" w:hanging="640"/>
        <w:jc w:val="both"/>
        <w:rPr>
          <w:rFonts w:cs="Times New Roman"/>
          <w:bCs/>
          <w:sz w:val="32"/>
          <w:szCs w:val="32"/>
        </w:rPr>
      </w:pPr>
      <w:r w:rsidRPr="0020320A">
        <w:rPr>
          <w:rFonts w:cs="Times New Roman" w:hint="eastAsia"/>
          <w:bCs/>
          <w:sz w:val="32"/>
          <w:szCs w:val="32"/>
        </w:rPr>
        <w:t>(一)</w:t>
      </w:r>
      <w:r w:rsidRPr="0020320A">
        <w:rPr>
          <w:rFonts w:cs="Times New Roman" w:hint="eastAsia"/>
          <w:bCs/>
          <w:sz w:val="32"/>
          <w:szCs w:val="32"/>
        </w:rPr>
        <w:tab/>
        <w:t>行政院函請審議、本院委員賴士葆等24人、委員陳菁徽等17人、委員張智倫等18人、委員陳素月等19人、委員賴惠員等17人、委員郭國文等16人分別擬具「使用牌照稅法第二十九條、第</w:t>
      </w:r>
      <w:r w:rsidRPr="0020320A">
        <w:rPr>
          <w:rFonts w:cs="Times New Roman" w:hint="eastAsia"/>
          <w:bCs/>
          <w:sz w:val="32"/>
          <w:szCs w:val="32"/>
        </w:rPr>
        <w:lastRenderedPageBreak/>
        <w:t>三十條及第三十一條條文修正草案」等7案。</w:t>
      </w:r>
    </w:p>
    <w:p w14:paraId="2374CA54" w14:textId="77777777" w:rsidR="009D64D0" w:rsidRPr="0020320A" w:rsidRDefault="009D64D0" w:rsidP="00F470A8">
      <w:pPr>
        <w:pStyle w:val="Default"/>
        <w:kinsoku w:val="0"/>
        <w:overflowPunct w:val="0"/>
        <w:spacing w:line="500" w:lineRule="exact"/>
        <w:ind w:leftChars="100" w:left="880" w:hangingChars="200" w:hanging="640"/>
        <w:jc w:val="both"/>
        <w:rPr>
          <w:rFonts w:cs="Times New Roman"/>
          <w:b/>
          <w:bCs/>
          <w:sz w:val="32"/>
          <w:szCs w:val="32"/>
        </w:rPr>
      </w:pPr>
      <w:r w:rsidRPr="0020320A">
        <w:rPr>
          <w:rFonts w:cs="Times New Roman" w:hint="eastAsia"/>
          <w:bCs/>
          <w:sz w:val="32"/>
          <w:szCs w:val="32"/>
        </w:rPr>
        <w:t>(二)</w:t>
      </w:r>
      <w:r w:rsidRPr="0020320A">
        <w:rPr>
          <w:rFonts w:cs="Times New Roman" w:hint="eastAsia"/>
          <w:bCs/>
          <w:sz w:val="32"/>
          <w:szCs w:val="32"/>
        </w:rPr>
        <w:tab/>
        <w:t>本院委員陳玉珍等19人擬具「使用牌照稅法第三十條及第三十一條條文修正草案」案。</w:t>
      </w:r>
    </w:p>
    <w:p w14:paraId="5282C0BF" w14:textId="77777777" w:rsidR="009D64D0" w:rsidRPr="0020320A" w:rsidRDefault="009D64D0" w:rsidP="00F470A8">
      <w:pPr>
        <w:pStyle w:val="Default"/>
        <w:kinsoku w:val="0"/>
        <w:overflowPunct w:val="0"/>
        <w:spacing w:line="500" w:lineRule="exact"/>
        <w:ind w:left="641" w:hangingChars="200" w:hanging="641"/>
        <w:jc w:val="both"/>
        <w:rPr>
          <w:rFonts w:cs="Times New Roman"/>
          <w:b/>
          <w:bCs/>
          <w:sz w:val="32"/>
          <w:szCs w:val="32"/>
        </w:rPr>
      </w:pPr>
      <w:r w:rsidRPr="0020320A">
        <w:rPr>
          <w:rFonts w:cs="Times New Roman" w:hint="eastAsia"/>
          <w:b/>
          <w:bCs/>
          <w:sz w:val="32"/>
          <w:szCs w:val="32"/>
        </w:rPr>
        <w:t>三、</w:t>
      </w:r>
      <w:r w:rsidRPr="0020320A">
        <w:rPr>
          <w:rFonts w:cs="Times New Roman" w:hint="eastAsia"/>
          <w:b/>
          <w:bCs/>
          <w:sz w:val="32"/>
          <w:szCs w:val="32"/>
        </w:rPr>
        <w:tab/>
        <w:t>審查行政院函請審議、本院委員賴士葆等21人、委員林楚茵等18人、委員徐巧芯等27人、委員賴惠員等17人、委員郭國文等17人分別擬具「土地稅法第五十四條條文修正草案」等6案。</w:t>
      </w:r>
    </w:p>
    <w:p w14:paraId="7D293D1E" w14:textId="77777777" w:rsidR="009D64D0" w:rsidRPr="0020320A" w:rsidRDefault="009D64D0" w:rsidP="00F470A8">
      <w:pPr>
        <w:pStyle w:val="Default"/>
        <w:kinsoku w:val="0"/>
        <w:overflowPunct w:val="0"/>
        <w:spacing w:line="500" w:lineRule="exact"/>
        <w:ind w:left="641" w:hangingChars="200" w:hanging="641"/>
        <w:jc w:val="both"/>
        <w:rPr>
          <w:rFonts w:cs="Times New Roman"/>
          <w:b/>
          <w:bCs/>
          <w:sz w:val="32"/>
          <w:szCs w:val="32"/>
        </w:rPr>
      </w:pPr>
      <w:r w:rsidRPr="0020320A">
        <w:rPr>
          <w:rFonts w:cs="Times New Roman" w:hint="eastAsia"/>
          <w:b/>
          <w:bCs/>
          <w:sz w:val="32"/>
          <w:szCs w:val="32"/>
        </w:rPr>
        <w:t>四、</w:t>
      </w:r>
      <w:r w:rsidRPr="0020320A">
        <w:rPr>
          <w:rFonts w:cs="Times New Roman" w:hint="eastAsia"/>
          <w:b/>
          <w:bCs/>
          <w:sz w:val="32"/>
          <w:szCs w:val="32"/>
        </w:rPr>
        <w:tab/>
        <w:t>審查中華民國114年度中央政府總預算案附屬單位預算營業部分，關於財政部主管中國輸出入銀行、臺灣金融控股股份有限公司（含臺灣銀行股份有限公司、臺銀人壽保險股份有限公司、臺銀綜合證券股份有限公司）。</w:t>
      </w:r>
    </w:p>
    <w:p w14:paraId="321AB105" w14:textId="77777777" w:rsidR="009D64D0" w:rsidRPr="00BA73A0" w:rsidRDefault="009D64D0" w:rsidP="00F470A8">
      <w:pPr>
        <w:widowControl w:val="0"/>
        <w:kinsoku w:val="0"/>
        <w:overflowPunct w:val="0"/>
        <w:autoSpaceDE w:val="0"/>
        <w:adjustRightInd w:val="0"/>
        <w:spacing w:line="480" w:lineRule="exact"/>
        <w:ind w:left="352" w:hangingChars="110" w:hanging="352"/>
        <w:jc w:val="both"/>
        <w:textAlignment w:val="auto"/>
        <w:rPr>
          <w:rFonts w:ascii="標楷體" w:eastAsia="標楷體" w:hAnsi="標楷體"/>
          <w:kern w:val="16"/>
          <w:sz w:val="32"/>
          <w:szCs w:val="32"/>
        </w:rPr>
      </w:pPr>
      <w:r w:rsidRPr="00BA73A0">
        <w:rPr>
          <w:rFonts w:ascii="標楷體" w:eastAsia="標楷體" w:hAnsi="標楷體"/>
          <w:kern w:val="16"/>
          <w:sz w:val="32"/>
          <w:szCs w:val="32"/>
        </w:rPr>
        <w:t>（</w:t>
      </w:r>
      <w:r w:rsidRPr="00BA73A0">
        <w:rPr>
          <w:rFonts w:ascii="標楷體" w:eastAsia="標楷體" w:hAnsi="標楷體" w:hint="eastAsia"/>
          <w:kern w:val="16"/>
          <w:sz w:val="32"/>
          <w:szCs w:val="32"/>
        </w:rPr>
        <w:t>討論事項各案合併詢答。經委員賴士葆、陳菁徽、賴惠員說明提案要旨，財政部部長莊翠雲說明及回應委員法律提案並就預算案報告後，計有委員林德福、吳秉叡、賴士葆、郭國文、賴惠員、顏寬恒、李坤城、李彥秀、伍麗華、王世堅、黃健豪、黃珊珊、羅明才、張啟楷、陳玉珍等1</w:t>
      </w:r>
      <w:r w:rsidRPr="00BA73A0">
        <w:rPr>
          <w:rFonts w:ascii="標楷體" w:eastAsia="標楷體" w:hAnsi="標楷體"/>
          <w:kern w:val="16"/>
          <w:sz w:val="32"/>
          <w:szCs w:val="32"/>
        </w:rPr>
        <w:t>5</w:t>
      </w:r>
      <w:r w:rsidRPr="00BA73A0">
        <w:rPr>
          <w:rFonts w:ascii="標楷體" w:eastAsia="標楷體" w:hAnsi="標楷體" w:hint="eastAsia"/>
          <w:kern w:val="16"/>
          <w:sz w:val="32"/>
          <w:szCs w:val="32"/>
        </w:rPr>
        <w:t>人提出質詢，均經財政部部長莊翠雲、臺灣金融控股股份有限公司董事長凌忠嫄、中國輸出入銀行理事主席戴燈山及相關人員予以說明及答復。委員王鴻薇所提書面質詢，列入紀錄，刊登公報，並請相關部會以書面答復。委員質詢未及答復或請補充資訊，請相關部會於一週內以書面答復；委員另要求期限者，從其所定。）</w:t>
      </w:r>
    </w:p>
    <w:p w14:paraId="4505CFE1" w14:textId="77777777" w:rsidR="009D64D0" w:rsidRPr="00BA73A0" w:rsidRDefault="009D64D0" w:rsidP="00F470A8">
      <w:pPr>
        <w:widowControl w:val="0"/>
        <w:kinsoku w:val="0"/>
        <w:overflowPunct w:val="0"/>
        <w:autoSpaceDE w:val="0"/>
        <w:adjustRightInd w:val="0"/>
        <w:snapToGrid w:val="0"/>
        <w:spacing w:beforeLines="50" w:before="180" w:line="480" w:lineRule="exact"/>
        <w:ind w:left="641" w:hangingChars="200" w:hanging="641"/>
        <w:jc w:val="both"/>
        <w:textAlignment w:val="auto"/>
        <w:rPr>
          <w:rFonts w:ascii="標楷體" w:eastAsia="標楷體" w:hAnsi="標楷體"/>
          <w:b/>
          <w:bCs/>
          <w:kern w:val="2"/>
          <w:sz w:val="32"/>
          <w:szCs w:val="36"/>
        </w:rPr>
      </w:pPr>
      <w:r w:rsidRPr="00BA73A0">
        <w:rPr>
          <w:rFonts w:ascii="標楷體" w:eastAsia="標楷體" w:hAnsi="標楷體" w:hint="eastAsia"/>
          <w:b/>
          <w:bCs/>
          <w:kern w:val="2"/>
          <w:sz w:val="32"/>
          <w:szCs w:val="36"/>
        </w:rPr>
        <w:t>決議：</w:t>
      </w:r>
    </w:p>
    <w:p w14:paraId="0B04B406" w14:textId="77777777" w:rsidR="009D64D0" w:rsidRPr="008D5BDF" w:rsidRDefault="009D64D0" w:rsidP="00F470A8">
      <w:pPr>
        <w:overflowPunct w:val="0"/>
        <w:autoSpaceDE w:val="0"/>
        <w:spacing w:line="480" w:lineRule="exact"/>
        <w:ind w:left="640" w:hangingChars="200" w:hanging="640"/>
        <w:jc w:val="both"/>
        <w:rPr>
          <w:rFonts w:ascii="標楷體" w:eastAsia="標楷體" w:hAnsi="標楷體"/>
          <w:bCs/>
          <w:sz w:val="32"/>
          <w:szCs w:val="32"/>
        </w:rPr>
      </w:pPr>
      <w:r w:rsidRPr="008D5BDF">
        <w:rPr>
          <w:rFonts w:ascii="標楷體" w:eastAsia="標楷體" w:hAnsi="標楷體" w:hint="eastAsia"/>
          <w:bCs/>
          <w:sz w:val="32"/>
          <w:szCs w:val="32"/>
        </w:rPr>
        <w:t>ㄧ、說明及詢答完畢。</w:t>
      </w:r>
    </w:p>
    <w:p w14:paraId="4E7AF005" w14:textId="77777777" w:rsidR="009D64D0" w:rsidRPr="008D5BDF" w:rsidRDefault="009D64D0" w:rsidP="00F470A8">
      <w:pPr>
        <w:overflowPunct w:val="0"/>
        <w:autoSpaceDE w:val="0"/>
        <w:spacing w:line="480" w:lineRule="exact"/>
        <w:jc w:val="both"/>
        <w:rPr>
          <w:rFonts w:ascii="標楷體" w:eastAsia="標楷體" w:hAnsi="標楷體"/>
          <w:sz w:val="32"/>
          <w:szCs w:val="32"/>
        </w:rPr>
      </w:pPr>
      <w:r w:rsidRPr="008D5BDF">
        <w:rPr>
          <w:rFonts w:ascii="標楷體" w:eastAsia="標楷體" w:hAnsi="標楷體" w:hint="eastAsia"/>
          <w:bCs/>
          <w:sz w:val="32"/>
          <w:szCs w:val="32"/>
        </w:rPr>
        <w:t>二、菸酒稅法10案審查結果：</w:t>
      </w:r>
    </w:p>
    <w:p w14:paraId="5D56BF3D" w14:textId="77777777" w:rsidR="009D64D0" w:rsidRPr="008D5BDF" w:rsidRDefault="009D64D0" w:rsidP="00F470A8">
      <w:pPr>
        <w:overflowPunct w:val="0"/>
        <w:autoSpaceDE w:val="0"/>
        <w:spacing w:line="480" w:lineRule="exact"/>
        <w:ind w:leftChars="150" w:left="1000" w:hangingChars="200" w:hanging="640"/>
        <w:jc w:val="both"/>
        <w:rPr>
          <w:rFonts w:ascii="標楷體" w:eastAsia="標楷體" w:hAnsi="標楷體"/>
          <w:kern w:val="2"/>
          <w:sz w:val="32"/>
          <w:szCs w:val="32"/>
        </w:rPr>
      </w:pPr>
      <w:r w:rsidRPr="008D5BDF">
        <w:rPr>
          <w:rFonts w:ascii="標楷體" w:eastAsia="標楷體" w:hAnsi="標楷體" w:hint="eastAsia"/>
          <w:sz w:val="32"/>
          <w:szCs w:val="32"/>
        </w:rPr>
        <w:t>(一)</w:t>
      </w:r>
      <w:r w:rsidRPr="008D5BDF">
        <w:rPr>
          <w:rFonts w:ascii="標楷體" w:eastAsia="標楷體" w:hAnsi="標楷體" w:hint="eastAsia"/>
          <w:bCs/>
          <w:sz w:val="32"/>
          <w:szCs w:val="32"/>
        </w:rPr>
        <w:t>第十八條、第十九條、第二十三條條文及刪除</w:t>
      </w:r>
      <w:r w:rsidRPr="008D5BDF">
        <w:rPr>
          <w:rFonts w:ascii="標楷體" w:eastAsia="標楷體" w:hAnsi="標楷體" w:cs="Courier New" w:hint="eastAsia"/>
          <w:bCs/>
          <w:sz w:val="32"/>
          <w:szCs w:val="32"/>
        </w:rPr>
        <w:t>第二十ㄧ條條文</w:t>
      </w:r>
      <w:r w:rsidRPr="008D5BDF">
        <w:rPr>
          <w:rFonts w:ascii="標楷體" w:eastAsia="標楷體" w:hAnsi="標楷體" w:hint="eastAsia"/>
          <w:bCs/>
          <w:sz w:val="32"/>
          <w:szCs w:val="32"/>
        </w:rPr>
        <w:t>，</w:t>
      </w:r>
      <w:r w:rsidRPr="008D5BDF">
        <w:rPr>
          <w:rFonts w:ascii="標楷體" w:eastAsia="標楷體" w:hAnsi="標楷體" w:hint="eastAsia"/>
          <w:kern w:val="2"/>
          <w:sz w:val="32"/>
          <w:szCs w:val="32"/>
        </w:rPr>
        <w:t>均照行政院提案通過。</w:t>
      </w:r>
    </w:p>
    <w:p w14:paraId="63F375AD" w14:textId="77777777" w:rsidR="009D64D0" w:rsidRPr="008D5BDF" w:rsidRDefault="009D64D0" w:rsidP="00F470A8">
      <w:pPr>
        <w:overflowPunct w:val="0"/>
        <w:autoSpaceDE w:val="0"/>
        <w:spacing w:line="480" w:lineRule="exact"/>
        <w:ind w:leftChars="150" w:left="1000" w:hangingChars="200" w:hanging="640"/>
        <w:jc w:val="both"/>
        <w:rPr>
          <w:rFonts w:ascii="標楷體" w:eastAsia="標楷體" w:hAnsi="標楷體"/>
          <w:b/>
          <w:bCs/>
          <w:sz w:val="32"/>
          <w:szCs w:val="32"/>
        </w:rPr>
      </w:pPr>
      <w:r w:rsidRPr="008D5BDF">
        <w:rPr>
          <w:rFonts w:ascii="標楷體" w:eastAsia="標楷體" w:hAnsi="標楷體" w:hint="eastAsia"/>
          <w:sz w:val="32"/>
          <w:szCs w:val="32"/>
        </w:rPr>
        <w:t>(二)</w:t>
      </w:r>
      <w:r w:rsidRPr="008D5BDF">
        <w:rPr>
          <w:rFonts w:ascii="標楷體" w:eastAsia="標楷體" w:hAnsi="標楷體" w:hint="eastAsia"/>
          <w:bCs/>
          <w:sz w:val="32"/>
          <w:szCs w:val="32"/>
        </w:rPr>
        <w:t>全案審查完竣，併案擬具審查報告，提報院會討論；院會討論前，不須交由黨團協商；院會討論時，由賴召集委員惠員補充說明。</w:t>
      </w:r>
    </w:p>
    <w:p w14:paraId="0DF66AFB" w14:textId="77777777" w:rsidR="009D64D0" w:rsidRPr="008D5BDF" w:rsidRDefault="009D64D0" w:rsidP="00F470A8">
      <w:pPr>
        <w:overflowPunct w:val="0"/>
        <w:autoSpaceDE w:val="0"/>
        <w:spacing w:line="480" w:lineRule="exact"/>
        <w:jc w:val="both"/>
        <w:rPr>
          <w:rFonts w:ascii="標楷體" w:eastAsia="標楷體" w:hAnsi="標楷體"/>
          <w:sz w:val="32"/>
          <w:szCs w:val="32"/>
        </w:rPr>
      </w:pPr>
      <w:r w:rsidRPr="008D5BDF">
        <w:rPr>
          <w:rFonts w:ascii="標楷體" w:eastAsia="標楷體" w:hAnsi="標楷體" w:hint="eastAsia"/>
          <w:bCs/>
          <w:sz w:val="32"/>
          <w:szCs w:val="32"/>
        </w:rPr>
        <w:t>三、使用牌照稅法8案審查結果：</w:t>
      </w:r>
    </w:p>
    <w:p w14:paraId="4172DFB2" w14:textId="77777777" w:rsidR="009D64D0" w:rsidRPr="008D5BDF" w:rsidRDefault="009D64D0" w:rsidP="00F470A8">
      <w:pPr>
        <w:overflowPunct w:val="0"/>
        <w:autoSpaceDE w:val="0"/>
        <w:spacing w:line="480" w:lineRule="exact"/>
        <w:ind w:leftChars="150" w:left="1000" w:hangingChars="200" w:hanging="640"/>
        <w:jc w:val="both"/>
        <w:rPr>
          <w:rFonts w:ascii="標楷體" w:eastAsia="標楷體" w:hAnsi="標楷體"/>
          <w:bCs/>
          <w:sz w:val="32"/>
          <w:szCs w:val="32"/>
        </w:rPr>
      </w:pPr>
      <w:r w:rsidRPr="008D5BDF">
        <w:rPr>
          <w:rFonts w:ascii="標楷體" w:eastAsia="標楷體" w:hAnsi="標楷體" w:hint="eastAsia"/>
          <w:bCs/>
          <w:sz w:val="32"/>
          <w:szCs w:val="32"/>
        </w:rPr>
        <w:lastRenderedPageBreak/>
        <w:t>(一)第二十九條、第三十條及第三十ㄧ條條文，均照行政院提案通過。</w:t>
      </w:r>
    </w:p>
    <w:p w14:paraId="6EFC9890" w14:textId="77777777" w:rsidR="009D64D0" w:rsidRPr="008D5BDF" w:rsidRDefault="009D64D0" w:rsidP="00F470A8">
      <w:pPr>
        <w:overflowPunct w:val="0"/>
        <w:autoSpaceDE w:val="0"/>
        <w:spacing w:line="480" w:lineRule="exact"/>
        <w:ind w:leftChars="150" w:left="1000" w:hangingChars="200" w:hanging="640"/>
        <w:jc w:val="both"/>
        <w:rPr>
          <w:rFonts w:ascii="標楷體" w:eastAsia="標楷體" w:hAnsi="標楷體"/>
          <w:bCs/>
          <w:sz w:val="32"/>
          <w:szCs w:val="32"/>
        </w:rPr>
      </w:pPr>
      <w:r w:rsidRPr="008D5BDF">
        <w:rPr>
          <w:rFonts w:ascii="標楷體" w:eastAsia="標楷體" w:hAnsi="標楷體" w:hint="eastAsia"/>
          <w:bCs/>
          <w:sz w:val="32"/>
          <w:szCs w:val="32"/>
        </w:rPr>
        <w:t>(二)全案審查完竣，併案擬具審查報告，提報院會討論；院會討論前，不須交由黨團協商；院會討論時，由賴召集委員惠員補充說明。</w:t>
      </w:r>
    </w:p>
    <w:p w14:paraId="6B75B18A" w14:textId="77777777" w:rsidR="009D64D0" w:rsidRPr="008D5BDF" w:rsidRDefault="009D64D0" w:rsidP="00F470A8">
      <w:pPr>
        <w:overflowPunct w:val="0"/>
        <w:autoSpaceDE w:val="0"/>
        <w:spacing w:line="480" w:lineRule="exact"/>
        <w:jc w:val="both"/>
        <w:rPr>
          <w:rFonts w:ascii="標楷體" w:eastAsia="標楷體" w:hAnsi="標楷體"/>
          <w:sz w:val="32"/>
          <w:szCs w:val="32"/>
        </w:rPr>
      </w:pPr>
      <w:r w:rsidRPr="008D5BDF">
        <w:rPr>
          <w:rFonts w:ascii="標楷體" w:eastAsia="標楷體" w:hAnsi="標楷體" w:hint="eastAsia"/>
          <w:bCs/>
          <w:sz w:val="32"/>
          <w:szCs w:val="32"/>
        </w:rPr>
        <w:t>四、土地稅法第五十四條等6案審查結果：</w:t>
      </w:r>
    </w:p>
    <w:p w14:paraId="1D28E442" w14:textId="77777777" w:rsidR="009D64D0" w:rsidRPr="008D5BDF" w:rsidRDefault="009D64D0" w:rsidP="00F470A8">
      <w:pPr>
        <w:overflowPunct w:val="0"/>
        <w:autoSpaceDE w:val="0"/>
        <w:spacing w:line="480" w:lineRule="exact"/>
        <w:ind w:leftChars="150" w:left="1000" w:hangingChars="200" w:hanging="640"/>
        <w:jc w:val="both"/>
        <w:rPr>
          <w:rFonts w:ascii="標楷體" w:eastAsia="標楷體" w:hAnsi="標楷體"/>
          <w:bCs/>
          <w:sz w:val="32"/>
          <w:szCs w:val="32"/>
        </w:rPr>
      </w:pPr>
      <w:r w:rsidRPr="008D5BDF">
        <w:rPr>
          <w:rFonts w:ascii="標楷體" w:eastAsia="標楷體" w:hAnsi="標楷體" w:hint="eastAsia"/>
          <w:bCs/>
          <w:sz w:val="32"/>
          <w:szCs w:val="32"/>
        </w:rPr>
        <w:t>(一)第五十四條條文，照行政院提案通過。</w:t>
      </w:r>
    </w:p>
    <w:p w14:paraId="44C98BD2" w14:textId="77777777" w:rsidR="009D64D0" w:rsidRPr="008D5BDF" w:rsidRDefault="009D64D0" w:rsidP="00F470A8">
      <w:pPr>
        <w:overflowPunct w:val="0"/>
        <w:autoSpaceDE w:val="0"/>
        <w:spacing w:line="480" w:lineRule="exact"/>
        <w:ind w:leftChars="150" w:left="1000" w:hangingChars="200" w:hanging="640"/>
        <w:jc w:val="both"/>
        <w:rPr>
          <w:rFonts w:ascii="標楷體" w:eastAsia="標楷體" w:hAnsi="標楷體"/>
          <w:bCs/>
          <w:sz w:val="32"/>
          <w:szCs w:val="32"/>
        </w:rPr>
      </w:pPr>
      <w:r w:rsidRPr="008D5BDF">
        <w:rPr>
          <w:rFonts w:ascii="標楷體" w:eastAsia="標楷體" w:hAnsi="標楷體" w:hint="eastAsia"/>
          <w:bCs/>
          <w:sz w:val="32"/>
          <w:szCs w:val="32"/>
        </w:rPr>
        <w:t>(二)全案審查完竣，併案擬具審查報告，提報院會討論；院會討論前，不須交由黨團協商；院會討論時，由賴召集委員惠員補充說明。</w:t>
      </w:r>
    </w:p>
    <w:p w14:paraId="0305DAF3" w14:textId="77777777" w:rsidR="009D64D0" w:rsidRPr="008D5BDF" w:rsidRDefault="009D64D0" w:rsidP="00F470A8">
      <w:pPr>
        <w:overflowPunct w:val="0"/>
        <w:autoSpaceDE w:val="0"/>
        <w:spacing w:line="480" w:lineRule="exact"/>
        <w:ind w:left="640" w:hangingChars="200" w:hanging="640"/>
        <w:jc w:val="both"/>
        <w:rPr>
          <w:rFonts w:ascii="標楷體" w:eastAsia="標楷體" w:hAnsi="標楷體"/>
          <w:bCs/>
          <w:sz w:val="32"/>
          <w:szCs w:val="32"/>
        </w:rPr>
      </w:pPr>
      <w:r w:rsidRPr="008D5BDF">
        <w:rPr>
          <w:rFonts w:ascii="標楷體" w:eastAsia="標楷體" w:hAnsi="標楷體" w:hint="eastAsia"/>
          <w:bCs/>
          <w:sz w:val="32"/>
          <w:szCs w:val="32"/>
        </w:rPr>
        <w:t>五、審查中華民國114年度中央政府總預算案附屬單位預算營業部分，關於財政部主管中國輸出入銀行、臺灣金融控股股份有限公司（含臺灣銀行股份有限公司、臺銀人壽保險股份有限公司、臺銀綜合證券股份有限公司）：</w:t>
      </w:r>
      <w:r w:rsidRPr="008D5BDF">
        <w:rPr>
          <w:rFonts w:ascii="標楷體" w:eastAsia="標楷體" w:hAnsi="標楷體" w:hint="eastAsia"/>
          <w:b/>
          <w:bCs/>
          <w:sz w:val="32"/>
          <w:szCs w:val="32"/>
        </w:rPr>
        <w:t>113年12月26日(星期四)繼續審查。</w:t>
      </w:r>
    </w:p>
    <w:p w14:paraId="12AD3FB9" w14:textId="77777777" w:rsidR="009D64D0" w:rsidRPr="008D5BDF" w:rsidRDefault="009D64D0" w:rsidP="00F470A8">
      <w:pPr>
        <w:widowControl w:val="0"/>
        <w:tabs>
          <w:tab w:val="left" w:pos="1418"/>
        </w:tabs>
        <w:kinsoku w:val="0"/>
        <w:overflowPunct w:val="0"/>
        <w:autoSpaceDE w:val="0"/>
        <w:adjustRightInd w:val="0"/>
        <w:snapToGrid w:val="0"/>
        <w:spacing w:beforeLines="50" w:before="180" w:line="480" w:lineRule="exact"/>
        <w:ind w:left="320" w:hangingChars="100" w:hanging="320"/>
        <w:jc w:val="both"/>
        <w:textAlignment w:val="auto"/>
        <w:rPr>
          <w:rFonts w:ascii="標楷體" w:eastAsia="標楷體" w:hAnsi="標楷體"/>
          <w:b/>
          <w:kern w:val="2"/>
          <w:sz w:val="32"/>
          <w:szCs w:val="32"/>
        </w:rPr>
      </w:pPr>
      <w:r w:rsidRPr="008D5BDF">
        <w:rPr>
          <w:rFonts w:ascii="標楷體" w:eastAsia="標楷體" w:hAnsi="標楷體" w:hint="eastAsia"/>
          <w:b/>
          <w:kern w:val="2"/>
          <w:sz w:val="32"/>
          <w:szCs w:val="32"/>
        </w:rPr>
        <w:t>通過臨時提案2案：</w:t>
      </w:r>
    </w:p>
    <w:p w14:paraId="1B724C77" w14:textId="77777777" w:rsidR="009D64D0" w:rsidRPr="008D5BDF"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kern w:val="2"/>
          <w:sz w:val="32"/>
          <w:szCs w:val="32"/>
        </w:rPr>
      </w:pPr>
      <w:r w:rsidRPr="008D5BDF">
        <w:rPr>
          <w:rFonts w:ascii="標楷體" w:eastAsia="標楷體" w:hAnsi="標楷體" w:hint="eastAsia"/>
          <w:kern w:val="2"/>
          <w:sz w:val="32"/>
          <w:szCs w:val="32"/>
        </w:rPr>
        <w:t>一、公股四大金控旗下子公司重疊性高，例如均設有證券、投信、資產管理、創投，然而規模不大，綜效有限，對金控獲利貢獻相當有限。以投信為例，112年四家投信獲利介於負0.1至1.1億元；而資產管理公司獲利則介於0.27至3.4億元。另，為因應處理亞洲金融風暴帶來的大量不良資產，90年各銀行投資設立台灣金聯資產管理股份有限公司，其中公股持股超過八成，然而四大金控成立之後又各自成立AMC，時至今日，當年不良資產幾已處理完畢，加以金融監管加強，各銀行逾放比處歷史低檔，台灣金聯資產管理股份有限公司及各金控旗下AMC業務有限。以台灣金聯資產管理股份有限公司為例，近年營收不到20億元，業務單純，而董事長年度薪酬近千萬元，更是國有金控的三倍以上，導致近年人事爭議不斷，外界亦有批評炒房、炒股，先前更發生高層炒股違法發放7</w:t>
      </w:r>
      <w:r w:rsidRPr="008D5BDF">
        <w:rPr>
          <w:rFonts w:ascii="標楷體" w:eastAsia="標楷體" w:hAnsi="標楷體"/>
          <w:kern w:val="2"/>
          <w:sz w:val="32"/>
          <w:szCs w:val="32"/>
        </w:rPr>
        <w:t>,</w:t>
      </w:r>
      <w:r w:rsidRPr="008D5BDF">
        <w:rPr>
          <w:rFonts w:ascii="標楷體" w:eastAsia="標楷體" w:hAnsi="標楷體" w:hint="eastAsia"/>
          <w:kern w:val="2"/>
          <w:sz w:val="32"/>
          <w:szCs w:val="32"/>
        </w:rPr>
        <w:t>000萬元獎金弊案。使資源有效利用、提高經營績效，公股金控整併議題向為各界所關注，考量企業文化、員工意願</w:t>
      </w:r>
      <w:r w:rsidRPr="008D5BDF">
        <w:rPr>
          <w:rFonts w:ascii="標楷體" w:eastAsia="標楷體" w:hAnsi="標楷體" w:hint="eastAsia"/>
          <w:kern w:val="2"/>
          <w:sz w:val="32"/>
          <w:szCs w:val="32"/>
        </w:rPr>
        <w:lastRenderedPageBreak/>
        <w:t>及推動難度，應考慮優先推動金控子公司整併，特別是前述投信、資產管理公司、台灣金聯資產管理股份有限公司等公司整併，並檢討台灣金聯資產管理股份有限公司董座薪資合理性，以提高國庫投資效益，請財政部於2個月內向立法院財政委員會提出具體評估報告。</w:t>
      </w:r>
    </w:p>
    <w:p w14:paraId="0AEC3AD0" w14:textId="1E2E75D9"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提案人：郭國文　伍麗華　賴惠員</w:t>
      </w:r>
    </w:p>
    <w:p w14:paraId="2398FF47" w14:textId="77777777" w:rsidR="009D64D0" w:rsidRPr="008D5BDF" w:rsidRDefault="009D64D0" w:rsidP="00F470A8">
      <w:pPr>
        <w:widowControl w:val="0"/>
        <w:kinsoku w:val="0"/>
        <w:overflowPunct w:val="0"/>
        <w:autoSpaceDE w:val="0"/>
        <w:adjustRightInd w:val="0"/>
        <w:snapToGrid w:val="0"/>
        <w:spacing w:line="480" w:lineRule="exact"/>
        <w:ind w:leftChars="-8" w:left="637" w:hangingChars="205" w:hanging="656"/>
        <w:jc w:val="both"/>
        <w:textAlignment w:val="auto"/>
        <w:rPr>
          <w:rFonts w:ascii="標楷體" w:eastAsia="標楷體" w:hAnsi="標楷體"/>
          <w:kern w:val="2"/>
          <w:sz w:val="32"/>
          <w:szCs w:val="32"/>
        </w:rPr>
      </w:pPr>
      <w:r w:rsidRPr="008D5BDF">
        <w:rPr>
          <w:rFonts w:ascii="標楷體" w:eastAsia="標楷體" w:hAnsi="標楷體" w:hint="eastAsia"/>
          <w:kern w:val="2"/>
          <w:sz w:val="32"/>
          <w:szCs w:val="32"/>
        </w:rPr>
        <w:t>二、針對日前通過財政收支劃分法，要求中央釋出3,753億元給地方政府，恐將衝擊我國中央預算。面對過時且不合時宜之印花稅與娛樂稅，過去財政部皆以相關稅則為地方政府的重要財源，且替代財源的籌措仍有困難，還不宜廢止，作為反對廢止之理由；惟現今地方政府獲得3</w:t>
      </w:r>
      <w:r w:rsidRPr="008D5BDF">
        <w:rPr>
          <w:rFonts w:ascii="標楷體" w:eastAsia="標楷體" w:hAnsi="標楷體"/>
          <w:kern w:val="2"/>
          <w:sz w:val="32"/>
          <w:szCs w:val="32"/>
        </w:rPr>
        <w:t>,</w:t>
      </w:r>
      <w:r w:rsidRPr="008D5BDF">
        <w:rPr>
          <w:rFonts w:ascii="標楷體" w:eastAsia="標楷體" w:hAnsi="標楷體" w:hint="eastAsia"/>
          <w:kern w:val="2"/>
          <w:sz w:val="32"/>
          <w:szCs w:val="32"/>
        </w:rPr>
        <w:t>753億元之收入，故先前主張之反對理由已不存在。爰請財政部重新研議廢除印花稅與娛樂稅，並於</w:t>
      </w:r>
      <w:r w:rsidRPr="008D5BDF">
        <w:rPr>
          <w:rFonts w:ascii="標楷體" w:eastAsia="標楷體" w:hAnsi="標楷體"/>
          <w:kern w:val="2"/>
          <w:sz w:val="32"/>
          <w:szCs w:val="32"/>
        </w:rPr>
        <w:t>3</w:t>
      </w:r>
      <w:r w:rsidRPr="008D5BDF">
        <w:rPr>
          <w:rFonts w:ascii="標楷體" w:eastAsia="標楷體" w:hAnsi="標楷體" w:hint="eastAsia"/>
          <w:kern w:val="2"/>
          <w:sz w:val="32"/>
          <w:szCs w:val="32"/>
        </w:rPr>
        <w:t>個月內向立法院財政委員會提出書面報告。</w:t>
      </w:r>
    </w:p>
    <w:p w14:paraId="3F8605BC" w14:textId="21D8C494"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提案人：郭國文　</w:t>
      </w:r>
    </w:p>
    <w:p w14:paraId="1396C6F4" w14:textId="597166FF"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連署人：伍麗華　賴惠員</w:t>
      </w:r>
    </w:p>
    <w:p w14:paraId="1A5B4753" w14:textId="77777777" w:rsidR="009D64D0" w:rsidRPr="0020320A" w:rsidRDefault="009D64D0" w:rsidP="00F470A8">
      <w:pPr>
        <w:pStyle w:val="Default"/>
        <w:kinsoku w:val="0"/>
        <w:overflowPunct w:val="0"/>
        <w:spacing w:beforeLines="50" w:before="180" w:line="460" w:lineRule="exact"/>
        <w:ind w:left="1803" w:hanging="1803"/>
        <w:jc w:val="both"/>
        <w:rPr>
          <w:rFonts w:cs="Times New Roman"/>
          <w:bCs/>
          <w:sz w:val="32"/>
          <w:szCs w:val="32"/>
        </w:rPr>
      </w:pPr>
      <w:r w:rsidRPr="0020320A">
        <w:rPr>
          <w:rFonts w:cs="Times New Roman"/>
          <w:b/>
          <w:bCs/>
          <w:sz w:val="32"/>
          <w:szCs w:val="32"/>
        </w:rPr>
        <w:t>11</w:t>
      </w:r>
      <w:r w:rsidRPr="0020320A">
        <w:rPr>
          <w:rFonts w:cs="Times New Roman" w:hint="eastAsia"/>
          <w:b/>
          <w:bCs/>
          <w:sz w:val="32"/>
          <w:szCs w:val="32"/>
        </w:rPr>
        <w:t>3年12月2</w:t>
      </w:r>
      <w:r w:rsidRPr="0020320A">
        <w:rPr>
          <w:rFonts w:cs="Times New Roman"/>
          <w:b/>
          <w:bCs/>
          <w:sz w:val="32"/>
          <w:szCs w:val="32"/>
        </w:rPr>
        <w:t>6</w:t>
      </w:r>
      <w:r w:rsidRPr="0020320A">
        <w:rPr>
          <w:rFonts w:cs="Times New Roman" w:hint="eastAsia"/>
          <w:b/>
          <w:bCs/>
          <w:sz w:val="32"/>
          <w:szCs w:val="32"/>
        </w:rPr>
        <w:t>日</w:t>
      </w:r>
    </w:p>
    <w:p w14:paraId="3ACBF5F9" w14:textId="77777777" w:rsidR="009D64D0" w:rsidRPr="008D5BDF" w:rsidRDefault="009D64D0" w:rsidP="00F470A8">
      <w:pPr>
        <w:widowControl w:val="0"/>
        <w:kinsoku w:val="0"/>
        <w:overflowPunct w:val="0"/>
        <w:autoSpaceDE w:val="0"/>
        <w:adjustRightInd w:val="0"/>
        <w:snapToGrid w:val="0"/>
        <w:spacing w:line="480" w:lineRule="exact"/>
        <w:ind w:leftChars="201" w:left="482"/>
        <w:jc w:val="both"/>
        <w:textAlignment w:val="auto"/>
        <w:rPr>
          <w:rFonts w:ascii="標楷體" w:eastAsia="標楷體" w:hAnsi="標楷體"/>
          <w:b/>
          <w:kern w:val="2"/>
          <w:sz w:val="32"/>
          <w:szCs w:val="32"/>
        </w:rPr>
      </w:pPr>
      <w:r w:rsidRPr="008D5BDF">
        <w:rPr>
          <w:rFonts w:ascii="標楷體" w:eastAsia="標楷體" w:hAnsi="標楷體" w:hint="eastAsia"/>
          <w:b/>
          <w:kern w:val="2"/>
          <w:sz w:val="32"/>
          <w:szCs w:val="32"/>
        </w:rPr>
        <w:t>討論事項</w:t>
      </w:r>
    </w:p>
    <w:p w14:paraId="3DA81B7D" w14:textId="77777777" w:rsidR="009D64D0" w:rsidRPr="0020320A" w:rsidRDefault="009D64D0" w:rsidP="00F470A8">
      <w:pPr>
        <w:pStyle w:val="Default"/>
        <w:kinsoku w:val="0"/>
        <w:overflowPunct w:val="0"/>
        <w:spacing w:line="500" w:lineRule="exact"/>
        <w:jc w:val="both"/>
        <w:rPr>
          <w:rFonts w:cs="Times New Roman"/>
          <w:b/>
          <w:bCs/>
          <w:sz w:val="32"/>
          <w:szCs w:val="32"/>
        </w:rPr>
      </w:pPr>
      <w:r w:rsidRPr="0020320A">
        <w:rPr>
          <w:rFonts w:cs="Times New Roman" w:hint="eastAsia"/>
          <w:b/>
          <w:bCs/>
          <w:sz w:val="32"/>
          <w:szCs w:val="32"/>
        </w:rPr>
        <w:t>繼續審查中華民國114年度中央政府總預算案附屬單位預算營業部分，關於財政部主管中國輸出入銀行、臺灣金融控股股份有限公司（含臺灣銀行股份有限公司、臺銀人壽保險股份有限公司、臺銀綜合證券股份有限公司）。</w:t>
      </w:r>
    </w:p>
    <w:p w14:paraId="75334F91" w14:textId="77777777" w:rsidR="009D64D0" w:rsidRPr="00EC279F"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b/>
          <w:kern w:val="2"/>
          <w:sz w:val="32"/>
          <w:szCs w:val="32"/>
        </w:rPr>
      </w:pPr>
      <w:r w:rsidRPr="00EC279F">
        <w:rPr>
          <w:rFonts w:ascii="標楷體" w:eastAsia="標楷體" w:hAnsi="標楷體" w:hint="eastAsia"/>
          <w:b/>
          <w:kern w:val="2"/>
          <w:sz w:val="32"/>
          <w:szCs w:val="32"/>
        </w:rPr>
        <w:t>決議：</w:t>
      </w:r>
    </w:p>
    <w:p w14:paraId="4C80609E" w14:textId="77777777" w:rsidR="009D64D0" w:rsidRPr="00EC279F" w:rsidRDefault="009D64D0" w:rsidP="00F470A8">
      <w:pPr>
        <w:widowControl w:val="0"/>
        <w:kinsoku w:val="0"/>
        <w:overflowPunct w:val="0"/>
        <w:autoSpaceDE w:val="0"/>
        <w:adjustRightInd w:val="0"/>
        <w:snapToGrid w:val="0"/>
        <w:spacing w:line="480" w:lineRule="exact"/>
        <w:jc w:val="both"/>
        <w:textAlignment w:val="auto"/>
        <w:rPr>
          <w:rFonts w:ascii="標楷體" w:eastAsia="標楷體" w:hAnsi="標楷體"/>
          <w:b/>
          <w:kern w:val="2"/>
          <w:sz w:val="32"/>
          <w:szCs w:val="32"/>
        </w:rPr>
      </w:pPr>
      <w:r w:rsidRPr="00EC279F">
        <w:rPr>
          <w:rFonts w:ascii="標楷體" w:eastAsia="標楷體" w:hAnsi="標楷體" w:hint="eastAsia"/>
          <w:b/>
          <w:kern w:val="2"/>
          <w:sz w:val="32"/>
          <w:szCs w:val="32"/>
        </w:rPr>
        <w:t>審查結果：</w:t>
      </w:r>
    </w:p>
    <w:p w14:paraId="74075973" w14:textId="77777777" w:rsidR="009D64D0" w:rsidRPr="00EC279F"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EC279F">
        <w:rPr>
          <w:rFonts w:ascii="標楷體" w:eastAsia="標楷體" w:hAnsi="標楷體" w:cs="華康細明體" w:hint="eastAsia"/>
          <w:kern w:val="0"/>
          <w:sz w:val="32"/>
          <w:szCs w:val="32"/>
        </w:rPr>
        <w:t>乙、財政部主管：</w:t>
      </w:r>
    </w:p>
    <w:p w14:paraId="58FF78A0" w14:textId="77777777" w:rsidR="009D64D0" w:rsidRPr="00EC279F" w:rsidRDefault="009D64D0" w:rsidP="00F470A8">
      <w:pPr>
        <w:widowControl w:val="0"/>
        <w:kinsoku w:val="0"/>
        <w:overflowPunct w:val="0"/>
        <w:autoSpaceDE w:val="0"/>
        <w:spacing w:line="480" w:lineRule="exact"/>
        <w:ind w:leftChars="100" w:left="1200" w:hangingChars="300" w:hanging="960"/>
        <w:jc w:val="both"/>
        <w:textAlignment w:val="auto"/>
        <w:rPr>
          <w:rFonts w:ascii="標楷體" w:eastAsia="標楷體" w:hAnsi="標楷體" w:cs="華康細明體"/>
          <w:kern w:val="0"/>
          <w:sz w:val="32"/>
          <w:szCs w:val="32"/>
        </w:rPr>
      </w:pPr>
      <w:r w:rsidRPr="00EC279F">
        <w:rPr>
          <w:rFonts w:ascii="標楷體" w:eastAsia="標楷體" w:hAnsi="標楷體" w:cs="華康細明體" w:hint="eastAsia"/>
          <w:kern w:val="0"/>
          <w:sz w:val="32"/>
          <w:szCs w:val="32"/>
        </w:rPr>
        <w:t>通過決議3項：</w:t>
      </w:r>
    </w:p>
    <w:p w14:paraId="5BC38909" w14:textId="77777777" w:rsidR="009D64D0" w:rsidRPr="00EC279F" w:rsidRDefault="009D64D0" w:rsidP="00F470A8">
      <w:pPr>
        <w:widowControl w:val="0"/>
        <w:kinsoku w:val="0"/>
        <w:overflowPunct w:val="0"/>
        <w:autoSpaceDE w:val="0"/>
        <w:spacing w:line="480" w:lineRule="exact"/>
        <w:ind w:leftChars="100" w:left="560" w:hangingChars="100" w:hanging="320"/>
        <w:jc w:val="both"/>
        <w:textAlignment w:val="auto"/>
        <w:rPr>
          <w:rFonts w:ascii="標楷體" w:eastAsia="標楷體" w:hAnsi="標楷體"/>
          <w:kern w:val="2"/>
          <w:sz w:val="32"/>
          <w:szCs w:val="32"/>
        </w:rPr>
      </w:pPr>
      <w:r w:rsidRPr="00EC279F">
        <w:rPr>
          <w:rFonts w:ascii="標楷體" w:eastAsia="標楷體" w:hAnsi="標楷體" w:hint="eastAsia"/>
          <w:kern w:val="2"/>
          <w:sz w:val="32"/>
          <w:szCs w:val="32"/>
        </w:rPr>
        <w:t>1</w:t>
      </w:r>
      <w:r w:rsidRPr="00EC279F">
        <w:rPr>
          <w:rFonts w:ascii="標楷體" w:eastAsia="標楷體" w:hAnsi="標楷體"/>
          <w:kern w:val="2"/>
          <w:sz w:val="32"/>
          <w:szCs w:val="32"/>
        </w:rPr>
        <w:t>.</w:t>
      </w:r>
      <w:r w:rsidRPr="00EC279F">
        <w:rPr>
          <w:rFonts w:ascii="標楷體" w:eastAsia="標楷體" w:hAnsi="標楷體" w:hint="eastAsia"/>
          <w:kern w:val="2"/>
          <w:sz w:val="32"/>
          <w:szCs w:val="32"/>
        </w:rPr>
        <w:t>各國營金融事業機構員工自82年度起辦理員工薪給調整時，配合併銷之午餐費數額迄今逾30年未見調整。然查泛公股民營金控銀行均自112年1月1日起，依營利事業所得稅查核準則第88條規定，因應稅制優化將伙食費免稅額由2,400元提高到3千元，多數銀</w:t>
      </w:r>
      <w:r w:rsidRPr="00EC279F">
        <w:rPr>
          <w:rFonts w:ascii="標楷體" w:eastAsia="標楷體" w:hAnsi="標楷體" w:hint="eastAsia"/>
          <w:kern w:val="2"/>
          <w:sz w:val="32"/>
          <w:szCs w:val="32"/>
        </w:rPr>
        <w:lastRenderedPageBreak/>
        <w:t>行均以外加方式發放伙食費津貼，國營金融事業機構同屬營利事業且處完全競爭市場，為增進員工福祉，爰要求財政部考量各國營金融事業機構員工應一體適用，以提升同仁士氣及競爭。</w:t>
      </w:r>
    </w:p>
    <w:p w14:paraId="776D0239" w14:textId="07F8BBCB"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提案人：陳玉珍　</w:t>
      </w:r>
    </w:p>
    <w:p w14:paraId="2BFB2A63" w14:textId="4505E8A7"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連署人：賴士葆　顏寬恒</w:t>
      </w:r>
    </w:p>
    <w:p w14:paraId="5D95DE2C" w14:textId="77777777" w:rsidR="009D64D0" w:rsidRPr="00D80889" w:rsidRDefault="009D64D0" w:rsidP="00F470A8">
      <w:pPr>
        <w:widowControl w:val="0"/>
        <w:kinsoku w:val="0"/>
        <w:overflowPunct w:val="0"/>
        <w:autoSpaceDE w:val="0"/>
        <w:spacing w:line="480" w:lineRule="exact"/>
        <w:ind w:leftChars="100" w:left="56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2.自87年起公營銀行陸續民營化，其員工薪酬福利可逕由董事會決議後迅速施行；相形之下，國營金融事業機構仍受既有規範束縛。惟金融業處於完全競爭市場，國營金融事業機構面對民營銀行薪酬挑戰，待遇已明顯落後。為有效解決國營金融事業機構缺乏攬才留才誘因之迫切需求，爰要求財政部洽行政院人事行政總處檢討鬆綁現行用人費薪給管理要點及經營績效獎金實施要點，比照泛公股銀行調高至4.6個月；並比照同業依獲利狀況提撥一定比率(1%至8%)的員工酬勞；使國營金融事業機構員工待遇能更公平地反映具體貢獻，讓優秀人才願意來、留得住。</w:t>
      </w:r>
    </w:p>
    <w:p w14:paraId="59791F64" w14:textId="4FF03012"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提案人：陳玉珍　</w:t>
      </w:r>
    </w:p>
    <w:p w14:paraId="16B61E44" w14:textId="315CFAC5"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連署人：賴士葆　顏寬恒</w:t>
      </w:r>
      <w:r w:rsidR="009377EA" w:rsidRPr="0099218F">
        <w:rPr>
          <w:rFonts w:ascii="標楷體" w:eastAsia="標楷體" w:hAnsi="標楷體" w:hint="eastAsia"/>
          <w:kern w:val="0"/>
          <w:sz w:val="32"/>
          <w:szCs w:val="32"/>
        </w:rPr>
        <w:t xml:space="preserve">　</w:t>
      </w:r>
    </w:p>
    <w:p w14:paraId="63B3CF7F" w14:textId="77777777" w:rsidR="009D64D0" w:rsidRPr="00D80889" w:rsidRDefault="009D64D0" w:rsidP="00F470A8">
      <w:pPr>
        <w:widowControl w:val="0"/>
        <w:kinsoku w:val="0"/>
        <w:overflowPunct w:val="0"/>
        <w:autoSpaceDE w:val="0"/>
        <w:spacing w:line="480" w:lineRule="exact"/>
        <w:ind w:leftChars="100" w:left="56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3.鑑於本國銀行業市場競爭激烈，國營銀行近年來獲利屢創佳績，惟受限於預算法規範，無法及時支應額外購建固定資產預算需求而削弱其競爭力。爰要求財政部洽行政院主計總處檢討相關法規，為購建固定資產預算之一般建築及設備計畫部分；除房屋及建築中之新建或購置各項辦公房屋、宿舍與交通及運輸設備中之購置管理用車輛，及增加國庫負擔經費者外，其餘項目依業務需要自行辦理，並補辦預算。</w:t>
      </w:r>
    </w:p>
    <w:p w14:paraId="042C2F34" w14:textId="343E4E25"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提案人：陳玉珍　</w:t>
      </w:r>
    </w:p>
    <w:p w14:paraId="2E1B9F3B" w14:textId="71B1E47B"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連署人：賴士葆　顏寬恒　</w:t>
      </w:r>
    </w:p>
    <w:p w14:paraId="74B85CE4" w14:textId="77777777" w:rsidR="009D64D0" w:rsidRPr="00D80889" w:rsidRDefault="009D64D0" w:rsidP="00F470A8">
      <w:pPr>
        <w:overflowPunct w:val="0"/>
        <w:spacing w:line="480" w:lineRule="exact"/>
        <w:rPr>
          <w:rFonts w:ascii="標楷體" w:eastAsia="標楷體" w:hAnsi="標楷體"/>
          <w:b/>
          <w:kern w:val="2"/>
          <w:sz w:val="32"/>
          <w:szCs w:val="32"/>
        </w:rPr>
      </w:pPr>
      <w:r w:rsidRPr="00D80889">
        <w:rPr>
          <w:rFonts w:ascii="標楷體" w:eastAsia="標楷體" w:hAnsi="標楷體" w:hint="eastAsia"/>
          <w:b/>
          <w:kern w:val="2"/>
          <w:sz w:val="32"/>
          <w:szCs w:val="32"/>
        </w:rPr>
        <w:t>一、中國輸出入銀行</w:t>
      </w:r>
    </w:p>
    <w:p w14:paraId="5FD09B73"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細明體"/>
          <w:kern w:val="0"/>
          <w:sz w:val="32"/>
          <w:szCs w:val="32"/>
        </w:rPr>
      </w:pPr>
      <w:r w:rsidRPr="00D80889">
        <w:rPr>
          <w:rFonts w:ascii="標楷體" w:eastAsia="標楷體" w:hAnsi="標楷體" w:cs="細明體" w:hint="eastAsia"/>
          <w:kern w:val="0"/>
          <w:sz w:val="32"/>
          <w:szCs w:val="32"/>
        </w:rPr>
        <w:t xml:space="preserve">　(一)業務計畫：應依據營業收支、金融保險成本、轉投資、重大之建設事業及資金運用等項之審查結果，隨同調整。</w:t>
      </w:r>
    </w:p>
    <w:p w14:paraId="60E87819"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(二)營業收支：</w:t>
      </w:r>
    </w:p>
    <w:p w14:paraId="51543172"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cs="細明體"/>
          <w:kern w:val="0"/>
          <w:sz w:val="32"/>
          <w:szCs w:val="32"/>
        </w:rPr>
      </w:pPr>
      <w:r w:rsidRPr="00D80889">
        <w:rPr>
          <w:rFonts w:ascii="標楷體" w:eastAsia="標楷體" w:hAnsi="標楷體" w:cs="細明體" w:hint="eastAsia"/>
          <w:kern w:val="0"/>
          <w:sz w:val="32"/>
          <w:szCs w:val="32"/>
        </w:rPr>
        <w:t>1.營業總收入：58億7,418萬1千元，照列。</w:t>
      </w:r>
    </w:p>
    <w:p w14:paraId="25F9BE81"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cs="細明體"/>
          <w:kern w:val="0"/>
          <w:sz w:val="32"/>
          <w:szCs w:val="32"/>
        </w:rPr>
      </w:pPr>
      <w:r w:rsidRPr="00D80889">
        <w:rPr>
          <w:rFonts w:ascii="標楷體" w:eastAsia="標楷體" w:hAnsi="標楷體" w:cs="細明體" w:hint="eastAsia"/>
          <w:kern w:val="0"/>
          <w:sz w:val="32"/>
          <w:szCs w:val="32"/>
        </w:rPr>
        <w:lastRenderedPageBreak/>
        <w:t>2.營業總支出(不含所得稅費用)：原列46億5,198萬6千元，減列：</w:t>
      </w:r>
    </w:p>
    <w:p w14:paraId="790E1767" w14:textId="77777777" w:rsidR="009D64D0" w:rsidRPr="00D80889" w:rsidRDefault="009D64D0" w:rsidP="00F470A8">
      <w:pPr>
        <w:widowControl w:val="0"/>
        <w:kinsoku w:val="0"/>
        <w:overflowPunct w:val="0"/>
        <w:autoSpaceDE w:val="0"/>
        <w:adjustRightInd w:val="0"/>
        <w:snapToGrid w:val="0"/>
        <w:spacing w:line="440" w:lineRule="exact"/>
        <w:ind w:leftChars="374" w:left="1538" w:hangingChars="200" w:hanging="640"/>
        <w:textAlignment w:val="auto"/>
        <w:rPr>
          <w:rFonts w:ascii="標楷體" w:eastAsia="標楷體" w:hAnsi="標楷體" w:cs="細明體"/>
          <w:kern w:val="0"/>
          <w:sz w:val="32"/>
          <w:szCs w:val="32"/>
        </w:rPr>
      </w:pPr>
      <w:r w:rsidRPr="00D80889">
        <w:rPr>
          <w:rFonts w:ascii="標楷體" w:eastAsia="標楷體" w:hAnsi="標楷體" w:cs="細明體" w:hint="eastAsia"/>
          <w:kern w:val="0"/>
          <w:sz w:val="32"/>
          <w:szCs w:val="32"/>
        </w:rPr>
        <w:t>(1)「營業成本」項下「金融保險成本」之「各項提存」750萬元。</w:t>
      </w:r>
    </w:p>
    <w:p w14:paraId="2CA4C1A1" w14:textId="77777777" w:rsidR="009D64D0" w:rsidRPr="00D80889" w:rsidRDefault="009D64D0" w:rsidP="00F470A8">
      <w:pPr>
        <w:widowControl w:val="0"/>
        <w:kinsoku w:val="0"/>
        <w:overflowPunct w:val="0"/>
        <w:autoSpaceDE w:val="0"/>
        <w:adjustRightInd w:val="0"/>
        <w:snapToGrid w:val="0"/>
        <w:spacing w:line="440" w:lineRule="exact"/>
        <w:ind w:leftChars="374" w:left="1538" w:hangingChars="200" w:hanging="640"/>
        <w:textAlignment w:val="auto"/>
        <w:rPr>
          <w:rFonts w:ascii="標楷體" w:eastAsia="標楷體" w:hAnsi="標楷體" w:cs="細明體"/>
          <w:kern w:val="0"/>
          <w:sz w:val="32"/>
          <w:szCs w:val="32"/>
        </w:rPr>
      </w:pPr>
      <w:r w:rsidRPr="00D80889">
        <w:rPr>
          <w:rFonts w:ascii="標楷體" w:eastAsia="標楷體" w:hAnsi="標楷體" w:cs="細明體" w:hint="eastAsia"/>
          <w:kern w:val="0"/>
          <w:sz w:val="32"/>
          <w:szCs w:val="32"/>
        </w:rPr>
        <w:t>(2)「營業費用」250萬元(含「業務費用」之「服務費用」200萬元、「管理費用」50萬元)。</w:t>
      </w:r>
    </w:p>
    <w:p w14:paraId="47A51707" w14:textId="77777777" w:rsidR="009D64D0" w:rsidRPr="00D80889" w:rsidRDefault="009D64D0" w:rsidP="00F470A8">
      <w:pPr>
        <w:widowControl w:val="0"/>
        <w:kinsoku w:val="0"/>
        <w:overflowPunct w:val="0"/>
        <w:autoSpaceDE w:val="0"/>
        <w:adjustRightInd w:val="0"/>
        <w:snapToGrid w:val="0"/>
        <w:spacing w:line="440" w:lineRule="exact"/>
        <w:ind w:leftChars="374" w:left="898"/>
        <w:jc w:val="both"/>
        <w:textAlignment w:val="auto"/>
        <w:rPr>
          <w:rFonts w:ascii="標楷體" w:eastAsia="標楷體" w:hAnsi="標楷體" w:cs="細明體"/>
          <w:kern w:val="0"/>
          <w:sz w:val="32"/>
          <w:szCs w:val="32"/>
        </w:rPr>
      </w:pPr>
      <w:r w:rsidRPr="00D80889">
        <w:rPr>
          <w:rFonts w:ascii="標楷體" w:eastAsia="標楷體" w:hAnsi="標楷體" w:cs="細明體" w:hint="eastAsia"/>
          <w:kern w:val="0"/>
          <w:sz w:val="32"/>
          <w:szCs w:val="32"/>
        </w:rPr>
        <w:t>以上共計減列1</w:t>
      </w:r>
      <w:r w:rsidRPr="00D80889">
        <w:rPr>
          <w:rFonts w:ascii="標楷體" w:eastAsia="標楷體" w:hAnsi="標楷體" w:cs="細明體"/>
          <w:kern w:val="0"/>
          <w:sz w:val="32"/>
          <w:szCs w:val="32"/>
        </w:rPr>
        <w:t>,</w:t>
      </w:r>
      <w:r w:rsidRPr="00D80889">
        <w:rPr>
          <w:rFonts w:ascii="標楷體" w:eastAsia="標楷體" w:hAnsi="標楷體" w:cs="細明體" w:hint="eastAsia"/>
          <w:kern w:val="0"/>
          <w:sz w:val="32"/>
          <w:szCs w:val="32"/>
        </w:rPr>
        <w:t>000萬元（科目均自行調整﹚，其餘均照列，改列為4</w:t>
      </w:r>
      <w:r w:rsidRPr="00D80889">
        <w:rPr>
          <w:rFonts w:ascii="標楷體" w:eastAsia="標楷體" w:hAnsi="標楷體" w:cs="細明體"/>
          <w:kern w:val="0"/>
          <w:sz w:val="32"/>
          <w:szCs w:val="32"/>
        </w:rPr>
        <w:t>6</w:t>
      </w:r>
      <w:r w:rsidRPr="00D80889">
        <w:rPr>
          <w:rFonts w:ascii="標楷體" w:eastAsia="標楷體" w:hAnsi="標楷體" w:cs="細明體" w:hint="eastAsia"/>
          <w:kern w:val="0"/>
          <w:sz w:val="32"/>
          <w:szCs w:val="32"/>
        </w:rPr>
        <w:t>億4,1</w:t>
      </w:r>
      <w:r w:rsidRPr="00D80889">
        <w:rPr>
          <w:rFonts w:ascii="標楷體" w:eastAsia="標楷體" w:hAnsi="標楷體" w:cs="細明體"/>
          <w:kern w:val="0"/>
          <w:sz w:val="32"/>
          <w:szCs w:val="32"/>
        </w:rPr>
        <w:t>98</w:t>
      </w:r>
      <w:r w:rsidRPr="00D80889">
        <w:rPr>
          <w:rFonts w:ascii="標楷體" w:eastAsia="標楷體" w:hAnsi="標楷體" w:cs="細明體" w:hint="eastAsia"/>
          <w:kern w:val="0"/>
          <w:sz w:val="32"/>
          <w:szCs w:val="32"/>
        </w:rPr>
        <w:t>萬6千元。</w:t>
      </w:r>
    </w:p>
    <w:p w14:paraId="237143B5"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3.稅前淨利：原列12億2,219萬5千元，增列1,000萬元，改列為12億3,219萬5千元。</w:t>
      </w:r>
    </w:p>
    <w:p w14:paraId="4B3F3A44"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(三)金融保險成本：營業總支出應隨同調整。</w:t>
      </w:r>
    </w:p>
    <w:p w14:paraId="53AB0F6E"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(四)轉投資計畫：無列數。</w:t>
      </w:r>
    </w:p>
    <w:p w14:paraId="647BC8CC"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(五)重大之建設事業：3,644萬9千元，照列。</w:t>
      </w:r>
    </w:p>
    <w:p w14:paraId="7BD33224"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(六)資金運用：應依據營業收支、金融保險成本、盈虧撥補、轉投資及重大之建設事業等項之審查結果，隨同調整。</w:t>
      </w:r>
    </w:p>
    <w:p w14:paraId="70378ED4"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(七)通過決議1</w:t>
      </w:r>
      <w:r w:rsidRPr="00D80889">
        <w:rPr>
          <w:rFonts w:ascii="標楷體" w:eastAsia="標楷體" w:hAnsi="標楷體" w:cs="華康細明體"/>
          <w:kern w:val="0"/>
          <w:sz w:val="32"/>
          <w:szCs w:val="32"/>
        </w:rPr>
        <w:t>0</w:t>
      </w:r>
      <w:r w:rsidRPr="00D80889">
        <w:rPr>
          <w:rFonts w:ascii="標楷體" w:eastAsia="標楷體" w:hAnsi="標楷體" w:cs="華康細明體" w:hint="eastAsia"/>
          <w:kern w:val="0"/>
          <w:sz w:val="32"/>
          <w:szCs w:val="32"/>
        </w:rPr>
        <w:t>項：</w:t>
      </w:r>
    </w:p>
    <w:p w14:paraId="1E6F4FAE"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kern w:val="2"/>
          <w:sz w:val="32"/>
          <w:szCs w:val="32"/>
        </w:rPr>
        <w:t>1</w:t>
      </w:r>
      <w:r w:rsidRPr="00D80889">
        <w:rPr>
          <w:rFonts w:ascii="標楷體" w:eastAsia="標楷體" w:hAnsi="標楷體" w:hint="eastAsia"/>
          <w:kern w:val="2"/>
          <w:sz w:val="32"/>
          <w:szCs w:val="32"/>
        </w:rPr>
        <w:t>.查114年度中國輸出入銀行預算案於「營業費用」項下「業務費用」之「服務費用」編列</w:t>
      </w:r>
      <w:r w:rsidRPr="00D80889">
        <w:rPr>
          <w:rFonts w:ascii="標楷體" w:eastAsia="標楷體" w:hAnsi="標楷體"/>
          <w:kern w:val="2"/>
          <w:sz w:val="32"/>
          <w:szCs w:val="32"/>
        </w:rPr>
        <w:t>1</w:t>
      </w:r>
      <w:r w:rsidRPr="00D80889">
        <w:rPr>
          <w:rFonts w:ascii="標楷體" w:eastAsia="標楷體" w:hAnsi="標楷體" w:hint="eastAsia"/>
          <w:kern w:val="2"/>
          <w:sz w:val="32"/>
          <w:szCs w:val="32"/>
        </w:rPr>
        <w:t>億</w:t>
      </w:r>
      <w:r w:rsidRPr="00D80889">
        <w:rPr>
          <w:rFonts w:ascii="標楷體" w:eastAsia="標楷體" w:hAnsi="標楷體"/>
          <w:kern w:val="2"/>
          <w:sz w:val="32"/>
          <w:szCs w:val="32"/>
        </w:rPr>
        <w:t>7,232</w:t>
      </w:r>
      <w:r w:rsidRPr="00D80889">
        <w:rPr>
          <w:rFonts w:ascii="標楷體" w:eastAsia="標楷體" w:hAnsi="標楷體" w:hint="eastAsia"/>
          <w:kern w:val="2"/>
          <w:sz w:val="32"/>
          <w:szCs w:val="32"/>
        </w:rPr>
        <w:t>萬</w:t>
      </w:r>
      <w:r w:rsidRPr="00D80889">
        <w:rPr>
          <w:rFonts w:ascii="標楷體" w:eastAsia="標楷體" w:hAnsi="標楷體"/>
          <w:kern w:val="2"/>
          <w:sz w:val="32"/>
          <w:szCs w:val="32"/>
        </w:rPr>
        <w:t>8</w:t>
      </w:r>
      <w:r w:rsidRPr="00D80889">
        <w:rPr>
          <w:rFonts w:ascii="標楷體" w:eastAsia="標楷體" w:hAnsi="標楷體" w:hint="eastAsia"/>
          <w:kern w:val="2"/>
          <w:sz w:val="32"/>
          <w:szCs w:val="32"/>
        </w:rPr>
        <w:t>千元。惟按112年度審計部中央政府總決算審核報告指出：「響應綠色金融政策，辦理永續績效連結貸款，惟案件承作廣度仍待提升」等語。查110至112年度中國輸出入銀行承作永續績效連結授信案件分別有2件、23件及38件，授信金額分別計5.1億餘元、102.1億餘元及138.8億餘元，占各該年度平均授信餘額之比率分別為0.36%、6.50%、7.72%，呈逐年上升趨勢，惟截至112年底止，仍有13件未達成永續績效目標，並包含110年11月即核貸之授信案件。另110至112年承作之永續績效連結貸款案件，集中於環境（E）類別者，授信金額達112億7,443萬餘元，占比達45.79%，惟公司治理（G）類授信金額占比僅6.66%，環境及社會（ES)類別授信金額占比更僅1.84%，甚至社會（S）及社會及公司治理（SG）等2類均尚無承作案件，顯示該行永</w:t>
      </w:r>
      <w:r w:rsidRPr="00D80889">
        <w:rPr>
          <w:rFonts w:ascii="標楷體" w:eastAsia="標楷體" w:hAnsi="標楷體" w:hint="eastAsia"/>
          <w:kern w:val="2"/>
          <w:sz w:val="32"/>
          <w:szCs w:val="32"/>
        </w:rPr>
        <w:lastRenderedPageBreak/>
        <w:t>續績效連結授信承作廣度尚待提升。鑑此，爰請中國輸出入銀行於1個月內向立法院財政委員會提出書面報告。</w:t>
      </w:r>
    </w:p>
    <w:p w14:paraId="2F509902" w14:textId="017293ED"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 xml:space="preserve">提案人：賴惠員　</w:t>
      </w:r>
    </w:p>
    <w:p w14:paraId="420AB08D" w14:textId="41372BF1" w:rsidR="009D64D0" w:rsidRPr="0099218F" w:rsidRDefault="000941AE"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連署人：李坤城　伍麗華</w:t>
      </w:r>
    </w:p>
    <w:p w14:paraId="2F23EE5C"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2.查</w:t>
      </w:r>
      <w:bookmarkStart w:id="142" w:name="_Hlk185424163"/>
      <w:r w:rsidRPr="00D80889">
        <w:rPr>
          <w:rFonts w:ascii="標楷體" w:eastAsia="標楷體" w:hAnsi="標楷體" w:hint="eastAsia"/>
          <w:kern w:val="2"/>
          <w:sz w:val="32"/>
          <w:szCs w:val="32"/>
        </w:rPr>
        <w:t>114年度中國輸出入銀行</w:t>
      </w:r>
      <w:bookmarkEnd w:id="142"/>
      <w:r w:rsidRPr="00D80889">
        <w:rPr>
          <w:rFonts w:ascii="標楷體" w:eastAsia="標楷體" w:hAnsi="標楷體" w:hint="eastAsia"/>
          <w:kern w:val="2"/>
          <w:sz w:val="32"/>
          <w:szCs w:val="32"/>
        </w:rPr>
        <w:t>預算案於「營業費用」項下「業務費用」之「服務費用」編列</w:t>
      </w:r>
      <w:r w:rsidRPr="00D80889">
        <w:rPr>
          <w:rFonts w:ascii="標楷體" w:eastAsia="標楷體" w:hAnsi="標楷體"/>
          <w:kern w:val="2"/>
          <w:sz w:val="32"/>
          <w:szCs w:val="32"/>
        </w:rPr>
        <w:t>1</w:t>
      </w:r>
      <w:r w:rsidRPr="00D80889">
        <w:rPr>
          <w:rFonts w:ascii="標楷體" w:eastAsia="標楷體" w:hAnsi="標楷體" w:hint="eastAsia"/>
          <w:kern w:val="2"/>
          <w:sz w:val="32"/>
          <w:szCs w:val="32"/>
        </w:rPr>
        <w:t>億</w:t>
      </w:r>
      <w:r w:rsidRPr="00D80889">
        <w:rPr>
          <w:rFonts w:ascii="標楷體" w:eastAsia="標楷體" w:hAnsi="標楷體"/>
          <w:kern w:val="2"/>
          <w:sz w:val="32"/>
          <w:szCs w:val="32"/>
        </w:rPr>
        <w:t>7,232</w:t>
      </w:r>
      <w:r w:rsidRPr="00D80889">
        <w:rPr>
          <w:rFonts w:ascii="標楷體" w:eastAsia="標楷體" w:hAnsi="標楷體" w:hint="eastAsia"/>
          <w:kern w:val="2"/>
          <w:sz w:val="32"/>
          <w:szCs w:val="32"/>
        </w:rPr>
        <w:t>萬</w:t>
      </w:r>
      <w:r w:rsidRPr="00D80889">
        <w:rPr>
          <w:rFonts w:ascii="標楷體" w:eastAsia="標楷體" w:hAnsi="標楷體"/>
          <w:kern w:val="2"/>
          <w:sz w:val="32"/>
          <w:szCs w:val="32"/>
        </w:rPr>
        <w:t>8</w:t>
      </w:r>
      <w:r w:rsidRPr="00D80889">
        <w:rPr>
          <w:rFonts w:ascii="標楷體" w:eastAsia="標楷體" w:hAnsi="標楷體" w:hint="eastAsia"/>
          <w:kern w:val="2"/>
          <w:sz w:val="32"/>
          <w:szCs w:val="32"/>
        </w:rPr>
        <w:t>千元。惟按112年度審計部中央政府總決算審核報告指出：「配合政府新南向政策，持續提供廠商貿易所需金融服務，惟對主要貿易出口國之承保業務量未增反減或仍待提升」等語。查我國對新南向國家出口金額前五大國家依序為新加坡、馬來西亞、越南、泰國及印度，與中國輸出入銀行對前揭各該國家之輸出保險承保金額相較，其中新加坡112年度出口金額較111年度增加0.73%，輸出保險金額卻減少14.29%；泰國出口金額增加</w:t>
      </w:r>
      <w:r w:rsidRPr="00D80889">
        <w:rPr>
          <w:rFonts w:ascii="標楷體" w:eastAsia="標楷體" w:hAnsi="標楷體"/>
          <w:kern w:val="2"/>
          <w:sz w:val="32"/>
          <w:szCs w:val="32"/>
        </w:rPr>
        <w:t>43.83</w:t>
      </w:r>
      <w:r w:rsidRPr="00D80889">
        <w:rPr>
          <w:rFonts w:ascii="標楷體" w:eastAsia="標楷體" w:hAnsi="標楷體" w:hint="eastAsia"/>
          <w:kern w:val="2"/>
          <w:sz w:val="32"/>
          <w:szCs w:val="32"/>
        </w:rPr>
        <w:t>%，輸出保險承保金額僅增加</w:t>
      </w:r>
      <w:r w:rsidRPr="00D80889">
        <w:rPr>
          <w:rFonts w:ascii="標楷體" w:eastAsia="標楷體" w:hAnsi="標楷體"/>
          <w:kern w:val="2"/>
          <w:sz w:val="32"/>
          <w:szCs w:val="32"/>
        </w:rPr>
        <w:t>17.46</w:t>
      </w:r>
      <w:r w:rsidRPr="00D80889">
        <w:rPr>
          <w:rFonts w:ascii="標楷體" w:eastAsia="標楷體" w:hAnsi="標楷體" w:hint="eastAsia"/>
          <w:kern w:val="2"/>
          <w:sz w:val="32"/>
          <w:szCs w:val="32"/>
        </w:rPr>
        <w:t>%；印度出口值金額成長</w:t>
      </w:r>
      <w:r w:rsidRPr="00D80889">
        <w:rPr>
          <w:rFonts w:ascii="標楷體" w:eastAsia="標楷體" w:hAnsi="標楷體"/>
          <w:kern w:val="2"/>
          <w:sz w:val="32"/>
          <w:szCs w:val="32"/>
        </w:rPr>
        <w:t>12.99</w:t>
      </w:r>
      <w:r w:rsidRPr="00D80889">
        <w:rPr>
          <w:rFonts w:ascii="標楷體" w:eastAsia="標楷體" w:hAnsi="標楷體" w:hint="eastAsia"/>
          <w:kern w:val="2"/>
          <w:sz w:val="32"/>
          <w:szCs w:val="32"/>
        </w:rPr>
        <w:t>%，該行對印度輸出保險金額不增反減17.19%，顯示中國輸出入銀行對前揭新南向國家之輸出保險金額仍有成長空間。鑑於新南向國家之市場處高經濟成長階段商機可期，為提升我國廠商及產品國際競爭力，爰請中國輸出入銀行於1個月內向立法院財政委員會提出書面報告。</w:t>
      </w:r>
    </w:p>
    <w:p w14:paraId="107C10CC" w14:textId="72B91685"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提案人：賴惠員</w:t>
      </w:r>
    </w:p>
    <w:p w14:paraId="029D1FA1" w14:textId="200C06E1"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連署人：李坤城　伍麗華</w:t>
      </w:r>
    </w:p>
    <w:p w14:paraId="60D31BD5"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3.查114年度中國輸出入銀行預算案於「營業費用」項下「業務費用」之「服務費用」編列1億7,232萬8千元。惟按112年度審計部中央政府總決算審核報告指出：「受託擔任融保方案之執行單位並成立融保中心辦理相關業務，有助於我國能源轉型政策及重大公共建設之推動，惟融資保證資金不足，保證績效資訊揭露亦未臻完善」等語。中國輸出入銀行為協助國家發展委員會擔任融資保證方案之執行單位，並於110年成立國家融資保證中心辦理相關業務。經查中國輸出入銀行辦理融資保證方案執行情形，核有：1.截至112年底止，已有5家</w:t>
      </w:r>
      <w:r w:rsidRPr="00D80889">
        <w:rPr>
          <w:rFonts w:ascii="標楷體" w:eastAsia="標楷體" w:hAnsi="標楷體" w:hint="eastAsia"/>
          <w:kern w:val="2"/>
          <w:sz w:val="32"/>
          <w:szCs w:val="32"/>
        </w:rPr>
        <w:lastRenderedPageBreak/>
        <w:t>風電開發商與經濟部申請簽約，第1期離岸風電開發案之保證額度需求預計最高將達900億元，惟剩餘保證額度僅822億餘元，尚不足77億餘元，融資保證資金恐不足以支應風電開發商融資保證需求。2.據國家融資保證中心公告之國家融資保證績效表，僅揭露承作件數、累計授信額度、保證成數、累計核准保證額度、保證餘額等5項數據，尚未揭露各類別保證對象之績效，難以及時檢視相關政策之達成情形。鑑此，爰請中國輸出入銀行於1個月內向立法院財政委員會提出書面報告。</w:t>
      </w:r>
    </w:p>
    <w:p w14:paraId="1DDFAB00" w14:textId="658389ED"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提案人：賴惠員</w:t>
      </w:r>
    </w:p>
    <w:p w14:paraId="28AFE9B5" w14:textId="4D87CDDC"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連署人：李坤城　伍麗華</w:t>
      </w:r>
    </w:p>
    <w:p w14:paraId="7FA57BE6"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4.中國輸出入銀行近年配合政府推動新南向政策工作計畫，提供我國廠商拓展新南向國家市場所需資金(含輸出保險)，儘管110至112年度期間我國對新南向國家出口金額呈增加情形，惟同期間該行就我國對該區域輸出保險承保金額卻有減少情形，雖承保金額之多寡與輸出目的國之風險程度有關，惟仍宜適度拓展相關輸出保險業務，爰要求中國輸出入銀行於3個月內向立法院財政委員會提出書面檢討報告。</w:t>
      </w:r>
    </w:p>
    <w:p w14:paraId="0A8F1AC6" w14:textId="6E20D3EC"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提案人：李坤城　伍麗華　郭國文</w:t>
      </w:r>
    </w:p>
    <w:p w14:paraId="2F02C6EB"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5.114年度中國輸出入銀行預算案於「營業收入」項下「金融保險收入」編列「利息收入」51億2,529萬3千元，較113年度預算數35億2,979萬元增加15億9,550萬3千元(增幅45.2%)；「金融保險成本」項下「各項提存」編列「提存備抵呆帳」3億5,749萬6千元，較113年度預算數1億8,580萬8千元增加1億7,168萬8千元(增幅92.4%)。近年來，中國輸出入銀行的合作對象主要集中於新南向國家，而在中東歐及非洲的合作機構數量相對較少。為了更均衡地推動國際合作及資源配置，特別是在中東歐與非洲市場，建議適度拓展與其他區域國內外金融機構的合作關係。就越南西貢商業銀行（SCB）轉融資貸款逾期未償還一事，中國輸出入銀行應在積極與相關方協調</w:t>
      </w:r>
      <w:r w:rsidRPr="00D80889">
        <w:rPr>
          <w:rFonts w:ascii="標楷體" w:eastAsia="標楷體" w:hAnsi="標楷體" w:hint="eastAsia"/>
          <w:kern w:val="2"/>
          <w:sz w:val="32"/>
          <w:szCs w:val="32"/>
        </w:rPr>
        <w:lastRenderedPageBreak/>
        <w:t>催收欠款的同時，依據相關法令及內部規範，適當處理逾期放款的清理及呆帳轉銷作業。爰此，請中國輸出入銀行針對中國</w:t>
      </w:r>
      <w:r w:rsidRPr="00D80889">
        <w:rPr>
          <w:rFonts w:ascii="標楷體" w:eastAsia="標楷體" w:hAnsi="標楷體"/>
          <w:kern w:val="2"/>
          <w:sz w:val="32"/>
          <w:szCs w:val="32"/>
        </w:rPr>
        <w:t>輸出入銀行轉融資業務區域拓展不足及越南</w:t>
      </w:r>
      <w:r w:rsidRPr="00D80889">
        <w:rPr>
          <w:rFonts w:ascii="標楷體" w:eastAsia="標楷體" w:hAnsi="標楷體" w:hint="eastAsia"/>
          <w:kern w:val="2"/>
          <w:sz w:val="32"/>
          <w:szCs w:val="32"/>
        </w:rPr>
        <w:t>SCB</w:t>
      </w:r>
      <w:r w:rsidRPr="00D80889">
        <w:rPr>
          <w:rFonts w:ascii="標楷體" w:eastAsia="標楷體" w:hAnsi="標楷體"/>
          <w:kern w:val="2"/>
          <w:sz w:val="32"/>
          <w:szCs w:val="32"/>
        </w:rPr>
        <w:t>貸款逾期清償問題處置之檢討與改進</w:t>
      </w:r>
      <w:r w:rsidRPr="00D80889">
        <w:rPr>
          <w:rFonts w:ascii="標楷體" w:eastAsia="標楷體" w:hAnsi="標楷體" w:hint="eastAsia"/>
          <w:kern w:val="2"/>
          <w:sz w:val="32"/>
          <w:szCs w:val="32"/>
        </w:rPr>
        <w:t>為題，於2個月內向立法院財政委員會提出書面報告。</w:t>
      </w:r>
    </w:p>
    <w:p w14:paraId="1895E690" w14:textId="6F1DAF3D"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提案人：顏寬恒　賴士葆　陳玉珍</w:t>
      </w:r>
    </w:p>
    <w:p w14:paraId="49BAD6D6"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6.114年度中國輸出入銀行預算案於「營業收入」項下「金融保險收入」編列「利息收入」51億2,529萬3千元，其中短、中、長期放款之「利息收入」50億4,214萬5千元。面對全球氣候變遷趨勢的挑戰，我國政府積極推動ESG並同時推動綠色永續貸款業務。自110至113年8月底止，中國輸出入銀行核准的綠色永續貸款案件數量與金額均顯著增加，反映出對相關業務的重視與投入。然而，進一步觀察顯示，核貸案件多集中於單一類別，其件數與金額占比均超過五成，呈現相對集中的現象。此外，與社會（S）相關的貸款案件數量與金額至今仍為零，顯示在推動綠色金融全面發展方面尚有不足之處。爰此，中國輸出入銀行應加強與申貸企業的溝通合作，積極推廣涵蓋環境（E）、社會（S）與治理（G）的多元化貸款，並提供適當的誘因與支持措施，以落實綠色金融政策的核心目標，促進經濟與社會的可持續發展。爰此，請中國輸出入銀行針對</w:t>
      </w:r>
      <w:r w:rsidRPr="00D80889">
        <w:rPr>
          <w:rFonts w:ascii="標楷體" w:eastAsia="標楷體" w:hAnsi="標楷體"/>
          <w:kern w:val="2"/>
          <w:sz w:val="32"/>
          <w:szCs w:val="32"/>
        </w:rPr>
        <w:t>綠色永續貸款集中化現象與全面落實ESG原則推廣策略之檢討</w:t>
      </w:r>
      <w:r w:rsidRPr="00D80889">
        <w:rPr>
          <w:rFonts w:ascii="標楷體" w:eastAsia="標楷體" w:hAnsi="標楷體" w:hint="eastAsia"/>
          <w:kern w:val="2"/>
          <w:sz w:val="32"/>
          <w:szCs w:val="32"/>
        </w:rPr>
        <w:t>為題，於2個月內向立法院財政委員會提出書面報告。</w:t>
      </w:r>
    </w:p>
    <w:p w14:paraId="1FD0B63F" w14:textId="670BC595"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提案人：顏寬恒　賴士葆　陳玉珍</w:t>
      </w:r>
    </w:p>
    <w:p w14:paraId="24EC54F2"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7.為配合國家永續發展目標，推動淨零轉型目標，出口信貸機構有能力促進永續貿易活動，透過市場機制對符合永續標準之企業經濟活動提供適足之融資，支持企業推動減碳計畫，在全球淨零排放轉型中扮演重要角色。中國輸出入銀行除配合財政部ESG倡議平台具體執行方案推動ESG相關行動計畫外，並已於112年12月增訂該行辦理綠色永續貸款及保證要點，</w:t>
      </w:r>
      <w:r w:rsidRPr="00D80889">
        <w:rPr>
          <w:rFonts w:ascii="標楷體" w:eastAsia="標楷體" w:hAnsi="標楷體" w:hint="eastAsia"/>
          <w:kern w:val="2"/>
          <w:sz w:val="32"/>
          <w:szCs w:val="32"/>
        </w:rPr>
        <w:lastRenderedPageBreak/>
        <w:t>引導企業進行低碳轉型，達成節能減碳、再生能源、污染防治等永續發展目標。該行110至112年度核貸綠色永續貸款件數自2件增至38件，截至113年8月底達37件，核貸金額亦從110年5億餘元提高至113年8月底之176億餘元，惟各年度核貸案件連結單一類別之件數、金額占比多逾五成，顯示該行核貸之綠色永續貸款案件屬單一類別者呈相對集中之現象，且社會(S)類件數、金額均掛零，容有持續努力推廣之空間。</w:t>
      </w:r>
    </w:p>
    <w:p w14:paraId="19839B63" w14:textId="2A25810B"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提案人：郭國文</w:t>
      </w:r>
    </w:p>
    <w:p w14:paraId="68ECE5C7" w14:textId="081BC8B2"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連署人：伍麗華　王世堅</w:t>
      </w:r>
    </w:p>
    <w:p w14:paraId="6337E1B3"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8.有鑑於國內面對少子女化，不少企業紛紛祭出生育補貼鼓勵，近來公股銀行亦積極配合政府政策，為員工提高生育補助津貼，目前第1胎補助金額10萬元以上者至少5家以上，中國輸出入銀行雖有提供補助，惟金額遠低於財政部所屬泛公股行庫，宜積極研議。爰要求中國輸出入銀行響應政府職場友善育兒政策，緩解少子化危機，應提高所屬員工生育津貼至少12萬元以上，逕於費用項下列支，免受用人費限額之限制，以提升年輕人對於生育之意願，於1個月內向立法院財政委員會提出書面報告。</w:t>
      </w:r>
    </w:p>
    <w:p w14:paraId="71DA8B22" w14:textId="2DCE12C8"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提案人：賴士葆　林德福　陳玉珍</w:t>
      </w:r>
    </w:p>
    <w:p w14:paraId="681881E6" w14:textId="77777777" w:rsidR="009D64D0" w:rsidRPr="00D80889" w:rsidRDefault="009D64D0" w:rsidP="00F470A8">
      <w:pPr>
        <w:widowControl w:val="0"/>
        <w:kinsoku w:val="0"/>
        <w:overflowPunct w:val="0"/>
        <w:autoSpaceDE w:val="0"/>
        <w:spacing w:line="480" w:lineRule="exact"/>
        <w:ind w:leftChars="300" w:left="1040" w:hangingChars="100" w:hanging="32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9.有鑑於中國輸出入銀行2.4個月績效獎金主要以稅前盈餘之預算達成率1</w:t>
      </w:r>
      <w:r w:rsidRPr="00D80889">
        <w:rPr>
          <w:rFonts w:ascii="標楷體" w:eastAsia="標楷體" w:hAnsi="標楷體"/>
          <w:kern w:val="2"/>
          <w:sz w:val="32"/>
          <w:szCs w:val="32"/>
        </w:rPr>
        <w:t>06</w:t>
      </w:r>
      <w:r w:rsidRPr="00D80889">
        <w:rPr>
          <w:rFonts w:ascii="標楷體" w:eastAsia="標楷體" w:hAnsi="標楷體" w:hint="eastAsia"/>
          <w:kern w:val="2"/>
          <w:sz w:val="32"/>
          <w:szCs w:val="32"/>
        </w:rPr>
        <w:t>%為標準，超額盈餘無法發放績效獎金，為激勵所屬員工工作效率。爰要求中國輸出入銀行對當年度盈餘超過法定數時，應針對超額盈餘部分再提列10%至20%發給員工分紅，逕於費用項下列支，免受用人費限額之限制，以吸引人才留任，於1個月內向立法院財政委員會提出書面報告。</w:t>
      </w:r>
    </w:p>
    <w:p w14:paraId="0F3C39C9" w14:textId="0816DDB1"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提案人：賴士葆　林德福　陳玉珍</w:t>
      </w:r>
    </w:p>
    <w:p w14:paraId="148196B5" w14:textId="77777777" w:rsidR="009D64D0" w:rsidRPr="00D80889" w:rsidRDefault="009D64D0" w:rsidP="00F470A8">
      <w:pPr>
        <w:widowControl w:val="0"/>
        <w:kinsoku w:val="0"/>
        <w:overflowPunct w:val="0"/>
        <w:autoSpaceDE w:val="0"/>
        <w:adjustRightInd w:val="0"/>
        <w:snapToGrid w:val="0"/>
        <w:spacing w:line="480" w:lineRule="exact"/>
        <w:ind w:leftChars="300" w:left="1200" w:hangingChars="150" w:hanging="480"/>
        <w:jc w:val="both"/>
        <w:textAlignment w:val="auto"/>
        <w:rPr>
          <w:rFonts w:ascii="標楷體" w:eastAsia="標楷體" w:hAnsi="標楷體"/>
          <w:kern w:val="2"/>
          <w:sz w:val="32"/>
          <w:szCs w:val="32"/>
        </w:rPr>
      </w:pPr>
      <w:r w:rsidRPr="00D80889">
        <w:rPr>
          <w:rFonts w:ascii="標楷體" w:eastAsia="標楷體" w:hAnsi="標楷體" w:hint="eastAsia"/>
          <w:kern w:val="2"/>
          <w:sz w:val="32"/>
          <w:szCs w:val="32"/>
        </w:rPr>
        <w:t>10.有鑑於新制勞退中，雇主每個月必須為勞工至少提繳工資的6%，存到勞工的退休金個人專戶中，除了雇主提繳以外，勞工自己也可以選擇勞退自提，以有效理財規劃與節稅效果，另考量</w:t>
      </w:r>
      <w:r w:rsidRPr="00D80889">
        <w:rPr>
          <w:rFonts w:ascii="標楷體" w:eastAsia="標楷體" w:hAnsi="標楷體"/>
          <w:kern w:val="2"/>
          <w:sz w:val="32"/>
          <w:szCs w:val="32"/>
        </w:rPr>
        <w:t>97</w:t>
      </w:r>
      <w:r w:rsidRPr="00D80889">
        <w:rPr>
          <w:rFonts w:ascii="標楷體" w:eastAsia="標楷體" w:hAnsi="標楷體" w:hint="eastAsia"/>
          <w:kern w:val="2"/>
          <w:sz w:val="32"/>
          <w:szCs w:val="32"/>
        </w:rPr>
        <w:t>年後進用員工已無</w:t>
      </w:r>
      <w:r w:rsidRPr="00D80889">
        <w:rPr>
          <w:rFonts w:ascii="標楷體" w:eastAsia="標楷體" w:hAnsi="標楷體"/>
          <w:kern w:val="2"/>
          <w:sz w:val="32"/>
          <w:szCs w:val="32"/>
        </w:rPr>
        <w:t>13%</w:t>
      </w:r>
      <w:r w:rsidRPr="00D80889">
        <w:rPr>
          <w:rFonts w:ascii="標楷體" w:eastAsia="標楷體" w:hAnsi="標楷體" w:hint="eastAsia"/>
          <w:kern w:val="2"/>
          <w:sz w:val="32"/>
          <w:szCs w:val="32"/>
        </w:rPr>
        <w:t>優惠存款。爰要求中國輸出</w:t>
      </w:r>
      <w:r w:rsidRPr="00D80889">
        <w:rPr>
          <w:rFonts w:ascii="標楷體" w:eastAsia="標楷體" w:hAnsi="標楷體" w:hint="eastAsia"/>
          <w:kern w:val="2"/>
          <w:sz w:val="32"/>
          <w:szCs w:val="32"/>
        </w:rPr>
        <w:lastRenderedPageBreak/>
        <w:t>入銀行比照新制勞退雇主每個月必須為勞工至少提繳1,500元，員工也對等提繳，雇主提列部分於費用項下列支，免受用人費限額之限制，存入員工退休金理財專戶投資上市櫃公股銀行，於1個月內向立法院財政委員會提出書面報告。</w:t>
      </w:r>
    </w:p>
    <w:p w14:paraId="4A7F6A8E" w14:textId="2A2041FE" w:rsidR="009D64D0" w:rsidRPr="0099218F"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99218F">
        <w:rPr>
          <w:rFonts w:ascii="標楷體" w:eastAsia="標楷體" w:hAnsi="標楷體" w:hint="eastAsia"/>
          <w:kern w:val="0"/>
          <w:sz w:val="32"/>
          <w:szCs w:val="32"/>
        </w:rPr>
        <w:t xml:space="preserve">　　</w:t>
      </w:r>
      <w:r w:rsidR="009D64D0" w:rsidRPr="0099218F">
        <w:rPr>
          <w:rFonts w:ascii="標楷體" w:eastAsia="標楷體" w:hAnsi="標楷體" w:hint="eastAsia"/>
          <w:kern w:val="0"/>
          <w:sz w:val="32"/>
          <w:szCs w:val="32"/>
        </w:rPr>
        <w:t>提案人：賴士葆　林德福　陳玉珍</w:t>
      </w:r>
    </w:p>
    <w:p w14:paraId="1527AA65" w14:textId="77777777" w:rsidR="009D64D0" w:rsidRPr="00D80889" w:rsidRDefault="009D64D0" w:rsidP="00E57078">
      <w:pPr>
        <w:overflowPunct w:val="0"/>
        <w:spacing w:line="480" w:lineRule="exact"/>
        <w:ind w:left="641" w:hangingChars="200" w:hanging="641"/>
        <w:rPr>
          <w:rFonts w:ascii="標楷體" w:eastAsia="標楷體" w:hAnsi="標楷體"/>
          <w:b/>
          <w:kern w:val="2"/>
          <w:sz w:val="32"/>
          <w:szCs w:val="32"/>
        </w:rPr>
      </w:pPr>
      <w:r w:rsidRPr="00D80889">
        <w:rPr>
          <w:rFonts w:ascii="標楷體" w:eastAsia="標楷體" w:hAnsi="標楷體" w:hint="eastAsia"/>
          <w:b/>
          <w:kern w:val="2"/>
          <w:sz w:val="32"/>
          <w:szCs w:val="32"/>
        </w:rPr>
        <w:t>二、臺灣金融控股股份有限公司（含臺灣銀行股份有限公司、臺銀人壽保險股份有限公司、臺銀綜合證券股份有限公司）</w:t>
      </w:r>
    </w:p>
    <w:p w14:paraId="2DC0B23E"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(一)業務計畫：應依據營業收支、金融保險成本、轉投資、重大之建設事業及資金運用等項之審查結果，隨同調整。</w:t>
      </w:r>
    </w:p>
    <w:p w14:paraId="5482CE49" w14:textId="77777777" w:rsidR="009D64D0" w:rsidRPr="00D80889" w:rsidRDefault="009D64D0" w:rsidP="00F470A8">
      <w:pPr>
        <w:widowControl w:val="0"/>
        <w:kinsoku w:val="0"/>
        <w:overflowPunct w:val="0"/>
        <w:autoSpaceDE w:val="0"/>
        <w:spacing w:line="480" w:lineRule="exact"/>
        <w:ind w:left="960" w:hangingChars="300" w:hanging="96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 xml:space="preserve">　(二)營業收支：</w:t>
      </w:r>
    </w:p>
    <w:p w14:paraId="3930B796" w14:textId="77777777" w:rsidR="009D64D0" w:rsidRPr="00D80889" w:rsidRDefault="009D64D0" w:rsidP="00F470A8">
      <w:pPr>
        <w:widowControl w:val="0"/>
        <w:kinsoku w:val="0"/>
        <w:overflowPunct w:val="0"/>
        <w:autoSpaceDE w:val="0"/>
        <w:spacing w:line="480" w:lineRule="exact"/>
        <w:ind w:leftChars="350" w:left="1160" w:hangingChars="100" w:hanging="32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1.營業總收入：原列3,447億0,505萬8千元，增列「營業收入」項下「金融保險收入」4,500萬元(含臺銀人壽保險股份有限公司「保費收入」2,580萬元、臺銀綜合證券股份有限公司「證券經紀及承銷收入」1,920萬元)，其餘均照列，改列為3,447億5,005萬8千元。</w:t>
      </w:r>
    </w:p>
    <w:p w14:paraId="1CFFD301" w14:textId="77777777" w:rsidR="009D64D0" w:rsidRPr="00D80889" w:rsidRDefault="009D64D0" w:rsidP="00F470A8">
      <w:pPr>
        <w:widowControl w:val="0"/>
        <w:kinsoku w:val="0"/>
        <w:overflowPunct w:val="0"/>
        <w:autoSpaceDE w:val="0"/>
        <w:spacing w:line="480" w:lineRule="exact"/>
        <w:ind w:leftChars="350" w:left="1160" w:hangingChars="100" w:hanging="320"/>
        <w:jc w:val="both"/>
        <w:textAlignment w:val="auto"/>
        <w:rPr>
          <w:rFonts w:ascii="標楷體" w:eastAsia="標楷體" w:hAnsi="標楷體" w:cs="華康細明體"/>
          <w:kern w:val="0"/>
          <w:sz w:val="32"/>
          <w:szCs w:val="32"/>
        </w:rPr>
      </w:pPr>
      <w:r w:rsidRPr="00D80889">
        <w:rPr>
          <w:rFonts w:ascii="標楷體" w:eastAsia="標楷體" w:hAnsi="標楷體" w:cs="華康細明體" w:hint="eastAsia"/>
          <w:kern w:val="0"/>
          <w:sz w:val="32"/>
          <w:szCs w:val="32"/>
        </w:rPr>
        <w:t>2.營業總支出(不含所得稅費用)，原列3</w:t>
      </w:r>
      <w:r w:rsidRPr="00D80889">
        <w:rPr>
          <w:rFonts w:ascii="標楷體" w:eastAsia="標楷體" w:hAnsi="標楷體" w:cs="華康細明體"/>
          <w:kern w:val="0"/>
          <w:sz w:val="32"/>
          <w:szCs w:val="32"/>
        </w:rPr>
        <w:t>,</w:t>
      </w:r>
      <w:r w:rsidRPr="00D80889">
        <w:rPr>
          <w:rFonts w:ascii="標楷體" w:eastAsia="標楷體" w:hAnsi="標楷體" w:cs="華康細明體" w:hint="eastAsia"/>
          <w:kern w:val="0"/>
          <w:sz w:val="32"/>
          <w:szCs w:val="32"/>
        </w:rPr>
        <w:t>311億7</w:t>
      </w:r>
      <w:r w:rsidRPr="00D80889">
        <w:rPr>
          <w:rFonts w:ascii="標楷體" w:eastAsia="標楷體" w:hAnsi="標楷體" w:cs="華康細明體"/>
          <w:kern w:val="0"/>
          <w:sz w:val="32"/>
          <w:szCs w:val="32"/>
        </w:rPr>
        <w:t>,</w:t>
      </w:r>
      <w:r w:rsidRPr="00D80889">
        <w:rPr>
          <w:rFonts w:ascii="標楷體" w:eastAsia="標楷體" w:hAnsi="標楷體" w:cs="華康細明體" w:hint="eastAsia"/>
          <w:kern w:val="0"/>
          <w:sz w:val="32"/>
          <w:szCs w:val="32"/>
        </w:rPr>
        <w:t>354萬8千元，減列：</w:t>
      </w:r>
    </w:p>
    <w:p w14:paraId="1D4E9B37" w14:textId="77777777" w:rsidR="009D64D0" w:rsidRPr="00FF341A" w:rsidRDefault="009D64D0" w:rsidP="00F470A8">
      <w:pPr>
        <w:widowControl w:val="0"/>
        <w:kinsoku w:val="0"/>
        <w:overflowPunct w:val="0"/>
        <w:autoSpaceDE w:val="0"/>
        <w:adjustRightInd w:val="0"/>
        <w:snapToGrid w:val="0"/>
        <w:spacing w:line="480" w:lineRule="exact"/>
        <w:ind w:leftChars="400" w:left="1440" w:hangingChars="150" w:hanging="480"/>
        <w:jc w:val="both"/>
        <w:textAlignment w:val="auto"/>
        <w:rPr>
          <w:rFonts w:ascii="標楷體" w:eastAsia="標楷體" w:hAnsi="標楷體" w:cs="華康細明體"/>
          <w:kern w:val="0"/>
          <w:sz w:val="32"/>
          <w:szCs w:val="32"/>
        </w:rPr>
      </w:pPr>
      <w:r w:rsidRPr="00FF341A">
        <w:rPr>
          <w:rFonts w:ascii="標楷體" w:eastAsia="標楷體" w:hAnsi="標楷體" w:cs="華康細明體"/>
          <w:kern w:val="0"/>
          <w:sz w:val="32"/>
          <w:szCs w:val="32"/>
        </w:rPr>
        <w:t>(1)</w:t>
      </w:r>
      <w:r w:rsidRPr="00FF341A">
        <w:rPr>
          <w:rFonts w:ascii="標楷體" w:eastAsia="標楷體" w:hAnsi="標楷體" w:cs="華康細明體" w:hint="eastAsia"/>
          <w:kern w:val="0"/>
          <w:sz w:val="32"/>
          <w:szCs w:val="32"/>
        </w:rPr>
        <w:t>營業成本2億4,100萬元</w:t>
      </w:r>
      <w:r w:rsidRPr="00FF341A">
        <w:rPr>
          <w:rFonts w:ascii="標楷體" w:eastAsia="標楷體" w:hAnsi="標楷體" w:cs="華康細明體"/>
          <w:kern w:val="0"/>
          <w:sz w:val="32"/>
          <w:szCs w:val="32"/>
        </w:rPr>
        <w:t xml:space="preserve">： </w:t>
      </w:r>
    </w:p>
    <w:p w14:paraId="6BA55C41" w14:textId="77777777" w:rsidR="009D64D0" w:rsidRPr="00FF341A" w:rsidRDefault="009D64D0" w:rsidP="00F470A8">
      <w:pPr>
        <w:overflowPunct w:val="0"/>
        <w:autoSpaceDE w:val="0"/>
        <w:spacing w:line="480" w:lineRule="exact"/>
        <w:ind w:leftChars="550" w:left="1640" w:hangingChars="100" w:hanging="320"/>
        <w:jc w:val="both"/>
        <w:rPr>
          <w:rFonts w:ascii="標楷體" w:eastAsia="標楷體" w:hAnsi="標楷體" w:cs="華康細明體"/>
          <w:kern w:val="0"/>
          <w:sz w:val="32"/>
          <w:szCs w:val="32"/>
        </w:rPr>
      </w:pPr>
      <w:r w:rsidRPr="00FF341A">
        <w:rPr>
          <w:rFonts w:ascii="標楷體" w:eastAsia="標楷體" w:hAnsi="標楷體" w:cs="華康細明體"/>
          <w:kern w:val="0"/>
          <w:sz w:val="32"/>
          <w:szCs w:val="32"/>
        </w:rPr>
        <w:fldChar w:fldCharType="begin"/>
      </w:r>
      <w:r w:rsidRPr="00FF341A">
        <w:rPr>
          <w:rFonts w:ascii="標楷體" w:eastAsia="標楷體" w:hAnsi="標楷體" w:cs="華康細明體"/>
          <w:kern w:val="0"/>
          <w:sz w:val="32"/>
          <w:szCs w:val="32"/>
        </w:rPr>
        <w:instrText xml:space="preserve"> </w:instrText>
      </w:r>
      <w:r w:rsidRPr="00FF341A">
        <w:rPr>
          <w:rFonts w:ascii="標楷體" w:eastAsia="標楷體" w:hAnsi="標楷體" w:cs="華康細明體" w:hint="eastAsia"/>
          <w:kern w:val="0"/>
          <w:sz w:val="32"/>
          <w:szCs w:val="32"/>
        </w:rPr>
        <w:instrText>eq \o\ac(○,</w:instrText>
      </w:r>
      <w:r w:rsidRPr="00514B16">
        <w:rPr>
          <w:rFonts w:ascii="標楷體" w:eastAsia="標楷體" w:hAnsi="標楷體" w:cs="華康細明體" w:hint="eastAsia"/>
          <w:kern w:val="0"/>
          <w:sz w:val="32"/>
          <w:szCs w:val="32"/>
        </w:rPr>
        <w:instrText>1</w:instrText>
      </w:r>
      <w:r w:rsidRPr="00FF341A">
        <w:rPr>
          <w:rFonts w:ascii="標楷體" w:eastAsia="標楷體" w:hAnsi="標楷體" w:cs="華康細明體" w:hint="eastAsia"/>
          <w:kern w:val="0"/>
          <w:sz w:val="32"/>
          <w:szCs w:val="32"/>
        </w:rPr>
        <w:instrText>)</w:instrText>
      </w:r>
      <w:r w:rsidRPr="00FF341A">
        <w:rPr>
          <w:rFonts w:ascii="標楷體" w:eastAsia="標楷體" w:hAnsi="標楷體" w:cs="華康細明體"/>
          <w:kern w:val="0"/>
          <w:sz w:val="32"/>
          <w:szCs w:val="32"/>
        </w:rPr>
        <w:fldChar w:fldCharType="end"/>
      </w:r>
      <w:r w:rsidRPr="00FF341A">
        <w:rPr>
          <w:rFonts w:ascii="標楷體" w:eastAsia="標楷體" w:hAnsi="標楷體" w:cs="華康細明體" w:hint="eastAsia"/>
          <w:b/>
          <w:kern w:val="0"/>
          <w:sz w:val="32"/>
          <w:szCs w:val="32"/>
        </w:rPr>
        <w:t>臺灣銀行股份有限公司</w:t>
      </w:r>
      <w:r w:rsidRPr="00FF341A">
        <w:rPr>
          <w:rFonts w:ascii="標楷體" w:eastAsia="標楷體" w:hAnsi="標楷體" w:cs="華康細明體" w:hint="eastAsia"/>
          <w:kern w:val="0"/>
          <w:sz w:val="32"/>
          <w:szCs w:val="32"/>
        </w:rPr>
        <w:t>「金融保險成本」之「利息費用」2億4,000萬元。</w:t>
      </w:r>
    </w:p>
    <w:p w14:paraId="41D10A32" w14:textId="77777777" w:rsidR="009D64D0" w:rsidRPr="00FF341A" w:rsidRDefault="009D64D0" w:rsidP="00F470A8">
      <w:pPr>
        <w:overflowPunct w:val="0"/>
        <w:autoSpaceDE w:val="0"/>
        <w:spacing w:line="480" w:lineRule="exact"/>
        <w:ind w:leftChars="550" w:left="1640" w:hangingChars="100" w:hanging="320"/>
        <w:jc w:val="both"/>
        <w:rPr>
          <w:rFonts w:ascii="標楷體" w:eastAsia="標楷體" w:hAnsi="標楷體" w:cs="華康細明體"/>
          <w:kern w:val="0"/>
          <w:sz w:val="32"/>
          <w:szCs w:val="32"/>
        </w:rPr>
      </w:pPr>
      <w:r w:rsidRPr="00FF341A">
        <w:rPr>
          <w:rFonts w:ascii="標楷體" w:eastAsia="標楷體" w:hAnsi="標楷體" w:cs="華康細明體"/>
          <w:kern w:val="0"/>
          <w:sz w:val="32"/>
          <w:szCs w:val="32"/>
        </w:rPr>
        <w:fldChar w:fldCharType="begin"/>
      </w:r>
      <w:r w:rsidRPr="00FF341A">
        <w:rPr>
          <w:rFonts w:ascii="標楷體" w:eastAsia="標楷體" w:hAnsi="標楷體" w:cs="華康細明體"/>
          <w:kern w:val="0"/>
          <w:sz w:val="32"/>
          <w:szCs w:val="32"/>
        </w:rPr>
        <w:instrText xml:space="preserve"> </w:instrText>
      </w:r>
      <w:r w:rsidRPr="00FF341A">
        <w:rPr>
          <w:rFonts w:ascii="標楷體" w:eastAsia="標楷體" w:hAnsi="標楷體" w:cs="華康細明體" w:hint="eastAsia"/>
          <w:kern w:val="0"/>
          <w:sz w:val="32"/>
          <w:szCs w:val="32"/>
        </w:rPr>
        <w:instrText>eq \o\ac(○,2)</w:instrText>
      </w:r>
      <w:r w:rsidRPr="00FF341A">
        <w:rPr>
          <w:rFonts w:ascii="標楷體" w:eastAsia="標楷體" w:hAnsi="標楷體" w:cs="華康細明體"/>
          <w:kern w:val="0"/>
          <w:sz w:val="32"/>
          <w:szCs w:val="32"/>
        </w:rPr>
        <w:fldChar w:fldCharType="end"/>
      </w:r>
      <w:r w:rsidRPr="00FF341A">
        <w:rPr>
          <w:rFonts w:ascii="標楷體" w:eastAsia="標楷體" w:hAnsi="標楷體" w:cs="華康細明體" w:hint="eastAsia"/>
          <w:b/>
          <w:kern w:val="0"/>
          <w:sz w:val="32"/>
          <w:szCs w:val="32"/>
        </w:rPr>
        <w:t>臺銀人壽保險股份有限公司</w:t>
      </w:r>
      <w:r w:rsidRPr="00FF341A">
        <w:rPr>
          <w:rFonts w:ascii="標楷體" w:eastAsia="標楷體" w:hAnsi="標楷體" w:cs="華康細明體" w:hint="eastAsia"/>
          <w:kern w:val="0"/>
          <w:sz w:val="32"/>
          <w:szCs w:val="32"/>
        </w:rPr>
        <w:t>「其他營業成本」之「投資性不動產費用」100萬元。</w:t>
      </w:r>
    </w:p>
    <w:p w14:paraId="0B80FF40" w14:textId="77777777" w:rsidR="009D64D0" w:rsidRPr="00FF341A" w:rsidRDefault="009D64D0" w:rsidP="00F470A8">
      <w:pPr>
        <w:overflowPunct w:val="0"/>
        <w:autoSpaceDE w:val="0"/>
        <w:spacing w:line="480" w:lineRule="exact"/>
        <w:ind w:leftChars="400" w:left="1440" w:hangingChars="150" w:hanging="480"/>
        <w:jc w:val="both"/>
        <w:rPr>
          <w:rFonts w:ascii="標楷體" w:eastAsia="標楷體" w:hAnsi="標楷體" w:cs="華康細明體"/>
          <w:kern w:val="0"/>
          <w:sz w:val="32"/>
          <w:szCs w:val="32"/>
        </w:rPr>
      </w:pP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2</w:t>
      </w:r>
      <w:r w:rsidRPr="00FF341A">
        <w:rPr>
          <w:rFonts w:ascii="標楷體" w:eastAsia="標楷體" w:hAnsi="標楷體" w:cs="華康細明體"/>
          <w:kern w:val="0"/>
          <w:sz w:val="32"/>
          <w:szCs w:val="32"/>
        </w:rPr>
        <w:t>)營業費用</w:t>
      </w:r>
      <w:r w:rsidRPr="00FF341A">
        <w:rPr>
          <w:rFonts w:ascii="標楷體" w:eastAsia="標楷體" w:hAnsi="標楷體" w:cs="華康細明體" w:hint="eastAsia"/>
          <w:kern w:val="0"/>
          <w:sz w:val="32"/>
          <w:szCs w:val="32"/>
        </w:rPr>
        <w:t>1</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400萬元</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 xml:space="preserve"> </w:t>
      </w:r>
    </w:p>
    <w:p w14:paraId="6ECD00FB" w14:textId="77777777" w:rsidR="009D64D0" w:rsidRPr="00FF341A" w:rsidRDefault="009D64D0" w:rsidP="00F470A8">
      <w:pPr>
        <w:overflowPunct w:val="0"/>
        <w:autoSpaceDE w:val="0"/>
        <w:spacing w:line="480" w:lineRule="exact"/>
        <w:ind w:leftChars="550" w:left="1640" w:hangingChars="100" w:hanging="320"/>
        <w:jc w:val="both"/>
        <w:rPr>
          <w:rFonts w:ascii="標楷體" w:eastAsia="標楷體" w:hAnsi="標楷體" w:cs="華康細明體"/>
          <w:b/>
          <w:kern w:val="0"/>
          <w:sz w:val="32"/>
          <w:szCs w:val="32"/>
        </w:rPr>
      </w:pPr>
      <w:r w:rsidRPr="00FF341A">
        <w:rPr>
          <w:rFonts w:ascii="標楷體" w:eastAsia="標楷體" w:hAnsi="標楷體" w:cs="華康細明體"/>
          <w:kern w:val="0"/>
          <w:sz w:val="32"/>
          <w:szCs w:val="32"/>
        </w:rPr>
        <w:fldChar w:fldCharType="begin"/>
      </w:r>
      <w:r w:rsidRPr="00FF341A">
        <w:rPr>
          <w:rFonts w:ascii="標楷體" w:eastAsia="標楷體" w:hAnsi="標楷體" w:cs="華康細明體"/>
          <w:kern w:val="0"/>
          <w:sz w:val="32"/>
          <w:szCs w:val="32"/>
        </w:rPr>
        <w:instrText xml:space="preserve"> </w:instrText>
      </w:r>
      <w:r w:rsidRPr="00FF341A">
        <w:rPr>
          <w:rFonts w:ascii="標楷體" w:eastAsia="標楷體" w:hAnsi="標楷體" w:cs="華康細明體" w:hint="eastAsia"/>
          <w:kern w:val="0"/>
          <w:sz w:val="32"/>
          <w:szCs w:val="32"/>
        </w:rPr>
        <w:instrText>eq \o\ac(○,</w:instrText>
      </w:r>
      <w:r w:rsidRPr="00514B16">
        <w:rPr>
          <w:rFonts w:ascii="標楷體" w:eastAsia="標楷體" w:hAnsi="標楷體" w:cs="華康細明體" w:hint="eastAsia"/>
          <w:kern w:val="0"/>
          <w:sz w:val="32"/>
          <w:szCs w:val="32"/>
        </w:rPr>
        <w:instrText>1</w:instrText>
      </w:r>
      <w:r w:rsidRPr="00FF341A">
        <w:rPr>
          <w:rFonts w:ascii="標楷體" w:eastAsia="標楷體" w:hAnsi="標楷體" w:cs="華康細明體" w:hint="eastAsia"/>
          <w:kern w:val="0"/>
          <w:sz w:val="32"/>
          <w:szCs w:val="32"/>
        </w:rPr>
        <w:instrText>)</w:instrText>
      </w:r>
      <w:r w:rsidRPr="00FF341A">
        <w:rPr>
          <w:rFonts w:ascii="標楷體" w:eastAsia="標楷體" w:hAnsi="標楷體" w:cs="華康細明體"/>
          <w:kern w:val="0"/>
          <w:sz w:val="32"/>
          <w:szCs w:val="32"/>
        </w:rPr>
        <w:fldChar w:fldCharType="end"/>
      </w:r>
      <w:r w:rsidRPr="00FF341A">
        <w:rPr>
          <w:rFonts w:ascii="標楷體" w:eastAsia="標楷體" w:hAnsi="標楷體" w:cs="華康細明體"/>
          <w:kern w:val="0"/>
          <w:sz w:val="32"/>
          <w:szCs w:val="32"/>
        </w:rPr>
        <w:t>「業務費用」</w:t>
      </w:r>
      <w:r w:rsidRPr="00FF341A">
        <w:rPr>
          <w:rFonts w:ascii="標楷體" w:eastAsia="標楷體" w:hAnsi="標楷體" w:cs="華康細明體" w:hint="eastAsia"/>
          <w:kern w:val="0"/>
          <w:sz w:val="32"/>
          <w:szCs w:val="32"/>
        </w:rPr>
        <w:t>400萬元〔含</w:t>
      </w:r>
      <w:r w:rsidRPr="00FF341A">
        <w:rPr>
          <w:rFonts w:ascii="標楷體" w:eastAsia="標楷體" w:hAnsi="標楷體" w:cs="華康細明體" w:hint="eastAsia"/>
          <w:b/>
          <w:kern w:val="0"/>
          <w:sz w:val="32"/>
          <w:szCs w:val="32"/>
        </w:rPr>
        <w:t>臺灣銀行股份有限公司</w:t>
      </w:r>
      <w:r w:rsidRPr="00FF341A">
        <w:rPr>
          <w:rFonts w:ascii="標楷體" w:eastAsia="標楷體" w:hAnsi="標楷體" w:cs="華康細明體" w:hint="eastAsia"/>
          <w:kern w:val="0"/>
          <w:sz w:val="32"/>
          <w:szCs w:val="32"/>
        </w:rPr>
        <w:t>「服務費用」之</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旅運費</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100萬元、「修理保養與保固費」100萬元、「租金與利息」之「交通及運輸設備租金」100萬元、</w:t>
      </w:r>
      <w:r w:rsidRPr="00FF341A">
        <w:rPr>
          <w:rFonts w:ascii="標楷體" w:eastAsia="標楷體" w:hAnsi="標楷體" w:cs="華康細明體" w:hint="eastAsia"/>
          <w:b/>
          <w:kern w:val="0"/>
          <w:sz w:val="32"/>
          <w:szCs w:val="32"/>
        </w:rPr>
        <w:t>臺銀人壽保險股份有限公司</w:t>
      </w:r>
      <w:r w:rsidRPr="00FF341A">
        <w:rPr>
          <w:rFonts w:ascii="標楷體" w:eastAsia="標楷體" w:hAnsi="標楷體" w:cs="華康細明體" w:hint="eastAsia"/>
          <w:kern w:val="0"/>
          <w:sz w:val="32"/>
          <w:szCs w:val="32"/>
        </w:rPr>
        <w:t>100萬元（科目自行調整）〕。</w:t>
      </w:r>
    </w:p>
    <w:p w14:paraId="49AB8901" w14:textId="1E384606" w:rsidR="009D64D0" w:rsidRPr="00FF341A" w:rsidRDefault="00514B16" w:rsidP="00F470A8">
      <w:pPr>
        <w:overflowPunct w:val="0"/>
        <w:autoSpaceDE w:val="0"/>
        <w:spacing w:line="480" w:lineRule="exact"/>
        <w:ind w:leftChars="550" w:left="1640" w:hangingChars="100" w:hanging="320"/>
        <w:jc w:val="both"/>
        <w:rPr>
          <w:rFonts w:ascii="標楷體" w:eastAsia="標楷體" w:hAnsi="標楷體" w:cs="華康細明體"/>
          <w:kern w:val="0"/>
          <w:sz w:val="32"/>
          <w:szCs w:val="32"/>
        </w:rPr>
      </w:pPr>
      <w:r w:rsidRPr="00FF341A">
        <w:rPr>
          <w:rFonts w:ascii="標楷體" w:eastAsia="標楷體" w:hAnsi="標楷體" w:cs="華康細明體"/>
          <w:kern w:val="0"/>
          <w:sz w:val="32"/>
          <w:szCs w:val="32"/>
        </w:rPr>
        <w:fldChar w:fldCharType="begin"/>
      </w:r>
      <w:r w:rsidRPr="00FF341A">
        <w:rPr>
          <w:rFonts w:ascii="標楷體" w:eastAsia="標楷體" w:hAnsi="標楷體" w:cs="華康細明體"/>
          <w:kern w:val="0"/>
          <w:sz w:val="32"/>
          <w:szCs w:val="32"/>
        </w:rPr>
        <w:instrText xml:space="preserve"> </w:instrText>
      </w:r>
      <w:r w:rsidRPr="00FF341A">
        <w:rPr>
          <w:rFonts w:ascii="標楷體" w:eastAsia="標楷體" w:hAnsi="標楷體" w:cs="華康細明體" w:hint="eastAsia"/>
          <w:kern w:val="0"/>
          <w:sz w:val="32"/>
          <w:szCs w:val="32"/>
        </w:rPr>
        <w:instrText>eq \o\ac(○,2)</w:instrText>
      </w:r>
      <w:r w:rsidRPr="00FF341A">
        <w:rPr>
          <w:rFonts w:ascii="標楷體" w:eastAsia="標楷體" w:hAnsi="標楷體" w:cs="華康細明體"/>
          <w:kern w:val="0"/>
          <w:sz w:val="32"/>
          <w:szCs w:val="32"/>
        </w:rPr>
        <w:fldChar w:fldCharType="end"/>
      </w:r>
      <w:r w:rsidRPr="00FF341A">
        <w:rPr>
          <w:rFonts w:ascii="標楷體" w:eastAsia="標楷體" w:hAnsi="標楷體" w:cs="華康細明體" w:hint="eastAsia"/>
          <w:b/>
          <w:kern w:val="0"/>
          <w:sz w:val="32"/>
          <w:szCs w:val="32"/>
        </w:rPr>
        <w:t>臺銀人壽保險股份有限公司</w:t>
      </w:r>
      <w:r w:rsidRPr="00FF341A">
        <w:rPr>
          <w:rFonts w:ascii="標楷體" w:eastAsia="標楷體" w:hAnsi="標楷體" w:cs="華康細明體" w:hint="eastAsia"/>
          <w:kern w:val="0"/>
          <w:sz w:val="32"/>
          <w:szCs w:val="32"/>
        </w:rPr>
        <w:t>「其他營業成本」之「投資</w:t>
      </w:r>
      <w:r w:rsidR="009D64D0" w:rsidRPr="00FF341A">
        <w:rPr>
          <w:rFonts w:ascii="標楷體" w:eastAsia="標楷體" w:hAnsi="標楷體" w:cs="華康細明體" w:hint="eastAsia"/>
          <w:kern w:val="0"/>
          <w:sz w:val="32"/>
          <w:szCs w:val="32"/>
        </w:rPr>
        <w:t>「管理費用」600萬元〔含</w:t>
      </w:r>
      <w:r w:rsidR="009D64D0" w:rsidRPr="00FF341A">
        <w:rPr>
          <w:rFonts w:ascii="標楷體" w:eastAsia="標楷體" w:hAnsi="標楷體" w:cs="華康細明體" w:hint="eastAsia"/>
          <w:b/>
          <w:kern w:val="0"/>
          <w:sz w:val="32"/>
          <w:szCs w:val="32"/>
        </w:rPr>
        <w:t>臺灣金融控股股份有限公司</w:t>
      </w:r>
      <w:r w:rsidR="009D64D0" w:rsidRPr="00FF341A">
        <w:rPr>
          <w:rFonts w:ascii="標楷體" w:eastAsia="標楷體" w:hAnsi="標楷體" w:cs="華康細明體" w:hint="eastAsia"/>
          <w:kern w:val="0"/>
          <w:sz w:val="32"/>
          <w:szCs w:val="32"/>
        </w:rPr>
        <w:lastRenderedPageBreak/>
        <w:t>「服務費用」</w:t>
      </w:r>
      <w:r w:rsidR="009D64D0" w:rsidRPr="00FF341A">
        <w:rPr>
          <w:rFonts w:ascii="標楷體" w:eastAsia="標楷體" w:hAnsi="標楷體" w:cs="細明體" w:hint="eastAsia"/>
          <w:kern w:val="0"/>
          <w:sz w:val="32"/>
          <w:szCs w:val="32"/>
        </w:rPr>
        <w:t>之</w:t>
      </w:r>
      <w:r w:rsidR="009D64D0" w:rsidRPr="00FF341A">
        <w:rPr>
          <w:rFonts w:ascii="標楷體" w:eastAsia="標楷體" w:hAnsi="標楷體" w:cs="華康細明體"/>
          <w:kern w:val="0"/>
          <w:sz w:val="32"/>
          <w:szCs w:val="32"/>
        </w:rPr>
        <w:t>「</w:t>
      </w:r>
      <w:r w:rsidR="009D64D0" w:rsidRPr="00FF341A">
        <w:rPr>
          <w:rFonts w:ascii="標楷體" w:eastAsia="標楷體" w:hAnsi="標楷體" w:cs="華康細明體" w:hint="eastAsia"/>
          <w:kern w:val="0"/>
          <w:sz w:val="32"/>
          <w:szCs w:val="32"/>
        </w:rPr>
        <w:t>推展費</w:t>
      </w:r>
      <w:r w:rsidR="009D64D0" w:rsidRPr="00FF341A">
        <w:rPr>
          <w:rFonts w:ascii="標楷體" w:eastAsia="標楷體" w:hAnsi="標楷體" w:cs="華康細明體"/>
          <w:kern w:val="0"/>
          <w:sz w:val="32"/>
          <w:szCs w:val="32"/>
        </w:rPr>
        <w:t>」</w:t>
      </w:r>
      <w:r w:rsidR="009D64D0" w:rsidRPr="00FF341A">
        <w:rPr>
          <w:rFonts w:ascii="標楷體" w:eastAsia="標楷體" w:hAnsi="標楷體" w:cs="華康細明體" w:hint="eastAsia"/>
          <w:kern w:val="0"/>
          <w:sz w:val="32"/>
          <w:szCs w:val="32"/>
        </w:rPr>
        <w:t>200萬元、</w:t>
      </w:r>
      <w:r w:rsidR="009D64D0" w:rsidRPr="00FF341A">
        <w:rPr>
          <w:rFonts w:ascii="標楷體" w:eastAsia="標楷體" w:hAnsi="標楷體" w:cs="華康細明體" w:hint="eastAsia"/>
          <w:b/>
          <w:kern w:val="0"/>
          <w:sz w:val="32"/>
          <w:szCs w:val="32"/>
        </w:rPr>
        <w:t>臺灣銀行股份有限公司</w:t>
      </w:r>
      <w:r w:rsidR="009D64D0" w:rsidRPr="00FF341A">
        <w:rPr>
          <w:rFonts w:ascii="標楷體" w:eastAsia="標楷體" w:hAnsi="標楷體" w:cs="華康細明體" w:hint="eastAsia"/>
          <w:kern w:val="0"/>
          <w:sz w:val="32"/>
          <w:szCs w:val="32"/>
        </w:rPr>
        <w:t>300萬元、</w:t>
      </w:r>
      <w:r w:rsidR="009D64D0" w:rsidRPr="00FF341A">
        <w:rPr>
          <w:rFonts w:ascii="標楷體" w:eastAsia="標楷體" w:hAnsi="標楷體" w:cs="華康細明體" w:hint="eastAsia"/>
          <w:b/>
          <w:kern w:val="0"/>
          <w:sz w:val="32"/>
          <w:szCs w:val="32"/>
        </w:rPr>
        <w:t>臺銀人壽保險股份有限公司</w:t>
      </w:r>
      <w:r w:rsidR="009D64D0" w:rsidRPr="00FF341A">
        <w:rPr>
          <w:rFonts w:ascii="標楷體" w:eastAsia="標楷體" w:hAnsi="標楷體" w:cs="華康細明體" w:hint="eastAsia"/>
          <w:kern w:val="0"/>
          <w:sz w:val="32"/>
          <w:szCs w:val="32"/>
        </w:rPr>
        <w:t>100萬元（科目均自行調整</w:t>
      </w:r>
      <w:r w:rsidR="009D64D0" w:rsidRPr="00FF341A">
        <w:rPr>
          <w:rFonts w:ascii="標楷體" w:eastAsia="標楷體" w:hAnsi="標楷體" w:cs="華康細明體"/>
          <w:kern w:val="0"/>
          <w:sz w:val="32"/>
          <w:szCs w:val="32"/>
        </w:rPr>
        <w:t>）</w:t>
      </w:r>
      <w:r w:rsidR="009D64D0" w:rsidRPr="00FF341A">
        <w:rPr>
          <w:rFonts w:ascii="標楷體" w:eastAsia="標楷體" w:hAnsi="標楷體" w:cs="華康細明體" w:hint="eastAsia"/>
          <w:kern w:val="0"/>
          <w:sz w:val="32"/>
          <w:szCs w:val="32"/>
        </w:rPr>
        <w:t>〕。</w:t>
      </w:r>
    </w:p>
    <w:p w14:paraId="54B3D3E3" w14:textId="77777777" w:rsidR="009D64D0" w:rsidRPr="00FF341A" w:rsidRDefault="009D64D0" w:rsidP="00F470A8">
      <w:pPr>
        <w:tabs>
          <w:tab w:val="left" w:pos="2552"/>
        </w:tabs>
        <w:overflowPunct w:val="0"/>
        <w:autoSpaceDE w:val="0"/>
        <w:spacing w:line="480" w:lineRule="exact"/>
        <w:ind w:leftChars="550" w:left="1640" w:hangingChars="100" w:hanging="320"/>
        <w:jc w:val="both"/>
        <w:rPr>
          <w:rFonts w:ascii="標楷體" w:eastAsia="標楷體" w:hAnsi="標楷體" w:cs="華康細明體"/>
          <w:kern w:val="0"/>
          <w:sz w:val="32"/>
          <w:szCs w:val="32"/>
        </w:rPr>
      </w:pPr>
      <w:r w:rsidRPr="00FF341A">
        <w:rPr>
          <w:rFonts w:ascii="標楷體" w:eastAsia="標楷體" w:hAnsi="標楷體" w:cs="華康細明體"/>
          <w:kern w:val="0"/>
          <w:sz w:val="32"/>
          <w:szCs w:val="32"/>
        </w:rPr>
        <w:fldChar w:fldCharType="begin"/>
      </w:r>
      <w:r w:rsidRPr="00FF341A">
        <w:rPr>
          <w:rFonts w:ascii="標楷體" w:eastAsia="標楷體" w:hAnsi="標楷體" w:cs="華康細明體"/>
          <w:kern w:val="0"/>
          <w:sz w:val="32"/>
          <w:szCs w:val="32"/>
        </w:rPr>
        <w:instrText xml:space="preserve"> </w:instrText>
      </w:r>
      <w:r w:rsidRPr="00FF341A">
        <w:rPr>
          <w:rFonts w:ascii="標楷體" w:eastAsia="標楷體" w:hAnsi="標楷體" w:cs="華康細明體" w:hint="eastAsia"/>
          <w:kern w:val="0"/>
          <w:sz w:val="32"/>
          <w:szCs w:val="32"/>
        </w:rPr>
        <w:instrText>eq \o\ac(○,</w:instrText>
      </w:r>
      <w:r w:rsidRPr="00514B16">
        <w:rPr>
          <w:rFonts w:ascii="標楷體" w:eastAsia="標楷體" w:hAnsi="標楷體" w:cs="華康細明體" w:hint="eastAsia"/>
          <w:kern w:val="0"/>
          <w:sz w:val="32"/>
          <w:szCs w:val="32"/>
        </w:rPr>
        <w:instrText>3</w:instrText>
      </w:r>
      <w:r w:rsidRPr="00FF341A">
        <w:rPr>
          <w:rFonts w:ascii="標楷體" w:eastAsia="標楷體" w:hAnsi="標楷體" w:cs="華康細明體" w:hint="eastAsia"/>
          <w:kern w:val="0"/>
          <w:sz w:val="32"/>
          <w:szCs w:val="32"/>
        </w:rPr>
        <w:instrText>)</w:instrText>
      </w:r>
      <w:r w:rsidRPr="00FF341A">
        <w:rPr>
          <w:rFonts w:ascii="標楷體" w:eastAsia="標楷體" w:hAnsi="標楷體" w:cs="華康細明體"/>
          <w:kern w:val="0"/>
          <w:sz w:val="32"/>
          <w:szCs w:val="32"/>
        </w:rPr>
        <w:fldChar w:fldCharType="end"/>
      </w:r>
      <w:r w:rsidRPr="00FF341A">
        <w:rPr>
          <w:rFonts w:ascii="標楷體" w:eastAsia="標楷體" w:hAnsi="標楷體" w:cs="華康細明體" w:hint="eastAsia"/>
          <w:b/>
          <w:kern w:val="0"/>
          <w:sz w:val="32"/>
          <w:szCs w:val="32"/>
        </w:rPr>
        <w:t>臺灣銀行股份有限公司</w:t>
      </w:r>
      <w:r w:rsidRPr="00FF341A">
        <w:rPr>
          <w:rFonts w:ascii="標楷體" w:eastAsia="標楷體" w:hAnsi="標楷體" w:cs="華康細明體" w:hint="eastAsia"/>
          <w:kern w:val="0"/>
          <w:sz w:val="32"/>
          <w:szCs w:val="32"/>
        </w:rPr>
        <w:t>「其他營業費用」之「研究發展費用」400萬元(科目自行調整)。</w:t>
      </w:r>
    </w:p>
    <w:p w14:paraId="11D49438" w14:textId="77777777" w:rsidR="009D64D0" w:rsidRPr="00FF341A" w:rsidRDefault="009D64D0" w:rsidP="00F470A8">
      <w:pPr>
        <w:overflowPunct w:val="0"/>
        <w:autoSpaceDE w:val="0"/>
        <w:spacing w:line="480" w:lineRule="exact"/>
        <w:ind w:leftChars="400" w:left="960"/>
        <w:jc w:val="both"/>
        <w:rPr>
          <w:rFonts w:ascii="標楷體" w:eastAsia="標楷體" w:hAnsi="標楷體" w:cs="華康細明體"/>
          <w:kern w:val="0"/>
          <w:sz w:val="32"/>
          <w:szCs w:val="32"/>
        </w:rPr>
      </w:pPr>
      <w:r w:rsidRPr="00FF341A">
        <w:rPr>
          <w:rFonts w:ascii="標楷體" w:eastAsia="標楷體" w:hAnsi="標楷體" w:cs="華康細明體"/>
          <w:kern w:val="0"/>
          <w:sz w:val="32"/>
          <w:szCs w:val="32"/>
        </w:rPr>
        <w:t>以上共</w:t>
      </w:r>
      <w:r w:rsidRPr="00FF341A">
        <w:rPr>
          <w:rFonts w:ascii="標楷體" w:eastAsia="標楷體" w:hAnsi="標楷體" w:cs="華康細明體" w:hint="eastAsia"/>
          <w:kern w:val="0"/>
          <w:sz w:val="32"/>
          <w:szCs w:val="32"/>
        </w:rPr>
        <w:t>計減列2億5,500萬元，其餘均照列，改列為3</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309億1</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854萬8千元。</w:t>
      </w:r>
    </w:p>
    <w:p w14:paraId="2346D946"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cs="華康細明體"/>
          <w:kern w:val="0"/>
          <w:sz w:val="32"/>
          <w:szCs w:val="32"/>
        </w:rPr>
      </w:pPr>
      <w:r w:rsidRPr="00FF341A">
        <w:rPr>
          <w:rFonts w:ascii="標楷體" w:eastAsia="標楷體" w:hAnsi="標楷體" w:cs="華康細明體" w:hint="eastAsia"/>
          <w:kern w:val="0"/>
          <w:sz w:val="32"/>
          <w:szCs w:val="32"/>
        </w:rPr>
        <w:t>3.稅前淨利：原列135億3,151萬元，增列3億元，改列為138億3,151萬元。</w:t>
      </w:r>
    </w:p>
    <w:p w14:paraId="700A1D5B" w14:textId="77777777" w:rsidR="009D64D0" w:rsidRPr="00FF341A" w:rsidRDefault="009D64D0" w:rsidP="00F470A8">
      <w:pPr>
        <w:overflowPunct w:val="0"/>
        <w:autoSpaceDE w:val="0"/>
        <w:spacing w:line="480" w:lineRule="exact"/>
        <w:rPr>
          <w:rFonts w:ascii="標楷體" w:eastAsia="標楷體" w:hAnsi="標楷體" w:cs="華康細明體"/>
          <w:kern w:val="0"/>
          <w:sz w:val="32"/>
          <w:szCs w:val="32"/>
        </w:rPr>
      </w:pPr>
      <w:r w:rsidRPr="00FF341A">
        <w:rPr>
          <w:rFonts w:ascii="標楷體" w:eastAsia="標楷體" w:hAnsi="標楷體" w:hint="eastAsia"/>
          <w:sz w:val="32"/>
          <w:szCs w:val="32"/>
        </w:rPr>
        <w:t xml:space="preserve">　</w:t>
      </w:r>
      <w:r w:rsidRPr="00FF341A">
        <w:rPr>
          <w:rFonts w:ascii="標楷體" w:eastAsia="標楷體" w:hAnsi="標楷體" w:cs="華康細明體" w:hint="eastAsia"/>
          <w:kern w:val="0"/>
          <w:sz w:val="32"/>
          <w:szCs w:val="32"/>
        </w:rPr>
        <w:t>(三)金融保險成本：營業總支出應隨同調整。</w:t>
      </w:r>
    </w:p>
    <w:p w14:paraId="4F151E79" w14:textId="77777777" w:rsidR="009D64D0" w:rsidRPr="00FF341A" w:rsidRDefault="009D64D0" w:rsidP="00F470A8">
      <w:pPr>
        <w:overflowPunct w:val="0"/>
        <w:autoSpaceDE w:val="0"/>
        <w:spacing w:line="480" w:lineRule="exact"/>
        <w:rPr>
          <w:rFonts w:ascii="標楷體" w:eastAsia="標楷體" w:hAnsi="標楷體" w:cs="華康細明體"/>
          <w:kern w:val="0"/>
          <w:sz w:val="32"/>
          <w:szCs w:val="32"/>
        </w:rPr>
      </w:pPr>
      <w:r w:rsidRPr="00FF341A">
        <w:rPr>
          <w:rFonts w:ascii="標楷體" w:eastAsia="標楷體" w:hAnsi="標楷體" w:hint="eastAsia"/>
          <w:sz w:val="32"/>
          <w:szCs w:val="32"/>
        </w:rPr>
        <w:t xml:space="preserve">　</w:t>
      </w:r>
      <w:r w:rsidRPr="00FF341A">
        <w:rPr>
          <w:rFonts w:ascii="標楷體" w:eastAsia="標楷體" w:hAnsi="標楷體" w:cs="華康細明體" w:hint="eastAsia"/>
          <w:kern w:val="0"/>
          <w:sz w:val="32"/>
          <w:szCs w:val="32"/>
        </w:rPr>
        <w:t>(四)轉投資計畫：無列數。</w:t>
      </w:r>
    </w:p>
    <w:p w14:paraId="783EEFE1" w14:textId="77777777" w:rsidR="009D64D0" w:rsidRPr="00FF341A" w:rsidRDefault="009D64D0" w:rsidP="00F470A8">
      <w:pPr>
        <w:overflowPunct w:val="0"/>
        <w:autoSpaceDE w:val="0"/>
        <w:spacing w:line="480" w:lineRule="exact"/>
        <w:rPr>
          <w:rFonts w:ascii="標楷體" w:eastAsia="標楷體" w:hAnsi="標楷體" w:cs="華康細明體"/>
          <w:kern w:val="0"/>
          <w:sz w:val="32"/>
          <w:szCs w:val="32"/>
        </w:rPr>
      </w:pPr>
      <w:r w:rsidRPr="00FF341A">
        <w:rPr>
          <w:rFonts w:ascii="標楷體" w:eastAsia="標楷體" w:hAnsi="標楷體" w:hint="eastAsia"/>
          <w:sz w:val="32"/>
          <w:szCs w:val="32"/>
        </w:rPr>
        <w:t xml:space="preserve">　</w:t>
      </w:r>
      <w:r w:rsidRPr="00FF341A">
        <w:rPr>
          <w:rFonts w:ascii="標楷體" w:eastAsia="標楷體" w:hAnsi="標楷體" w:cs="華康細明體" w:hint="eastAsia"/>
          <w:kern w:val="0"/>
          <w:sz w:val="32"/>
          <w:szCs w:val="32"/>
        </w:rPr>
        <w:t>(五)重大之建設事業：</w:t>
      </w:r>
      <w:r w:rsidRPr="00FF341A">
        <w:rPr>
          <w:rFonts w:ascii="標楷體" w:eastAsia="標楷體" w:hAnsi="標楷體" w:cs="華康細明體"/>
          <w:kern w:val="0"/>
          <w:sz w:val="32"/>
          <w:szCs w:val="32"/>
        </w:rPr>
        <w:t>1</w:t>
      </w:r>
      <w:r w:rsidRPr="00FF341A">
        <w:rPr>
          <w:rFonts w:ascii="標楷體" w:eastAsia="標楷體" w:hAnsi="標楷體" w:cs="華康細明體" w:hint="eastAsia"/>
          <w:kern w:val="0"/>
          <w:sz w:val="32"/>
          <w:szCs w:val="32"/>
        </w:rPr>
        <w:t>4億4,015萬9千元，照列。</w:t>
      </w:r>
    </w:p>
    <w:p w14:paraId="21858878" w14:textId="77777777" w:rsidR="009D64D0" w:rsidRPr="00FF341A" w:rsidRDefault="009D64D0" w:rsidP="00F470A8">
      <w:pPr>
        <w:overflowPunct w:val="0"/>
        <w:autoSpaceDE w:val="0"/>
        <w:spacing w:line="480" w:lineRule="exact"/>
        <w:ind w:left="960" w:hangingChars="300" w:hanging="960"/>
        <w:jc w:val="both"/>
        <w:rPr>
          <w:rFonts w:ascii="標楷體" w:eastAsia="標楷體" w:hAnsi="標楷體" w:cs="華康細明體"/>
          <w:kern w:val="0"/>
          <w:sz w:val="32"/>
          <w:szCs w:val="32"/>
        </w:rPr>
      </w:pPr>
      <w:r w:rsidRPr="00FF341A">
        <w:rPr>
          <w:rFonts w:ascii="標楷體" w:eastAsia="標楷體" w:hAnsi="標楷體" w:hint="eastAsia"/>
          <w:sz w:val="32"/>
          <w:szCs w:val="32"/>
        </w:rPr>
        <w:t xml:space="preserve">　</w:t>
      </w:r>
      <w:r w:rsidRPr="00FF341A">
        <w:rPr>
          <w:rFonts w:ascii="標楷體" w:eastAsia="標楷體" w:hAnsi="標楷體" w:cs="華康細明體" w:hint="eastAsia"/>
          <w:kern w:val="0"/>
          <w:sz w:val="32"/>
          <w:szCs w:val="32"/>
        </w:rPr>
        <w:t>(六)資金運用：應依據營業收支、金融保險成本、盈虧撥補、轉投資及重大之建設事業等項之審查結果，隨同調整。</w:t>
      </w:r>
    </w:p>
    <w:p w14:paraId="1AD135A5" w14:textId="77777777" w:rsidR="009D64D0" w:rsidRPr="00FF341A" w:rsidRDefault="009D64D0" w:rsidP="00F470A8">
      <w:pPr>
        <w:overflowPunct w:val="0"/>
        <w:autoSpaceDE w:val="0"/>
        <w:spacing w:line="480" w:lineRule="exact"/>
        <w:ind w:left="960" w:hangingChars="300" w:hanging="960"/>
        <w:jc w:val="both"/>
        <w:rPr>
          <w:rFonts w:ascii="標楷體" w:eastAsia="標楷體" w:hAnsi="標楷體" w:cs="華康細明體"/>
          <w:kern w:val="0"/>
          <w:sz w:val="32"/>
          <w:szCs w:val="32"/>
        </w:rPr>
      </w:pPr>
      <w:r w:rsidRPr="00FF341A">
        <w:rPr>
          <w:rFonts w:ascii="標楷體" w:eastAsia="標楷體" w:hAnsi="標楷體" w:hint="eastAsia"/>
          <w:sz w:val="32"/>
          <w:szCs w:val="32"/>
        </w:rPr>
        <w:t xml:space="preserve">　</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七</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補辦預算：增加固定資產之建設、改良、擴充2億0</w:t>
      </w:r>
      <w:r w:rsidRPr="00FF341A">
        <w:rPr>
          <w:rFonts w:ascii="標楷體" w:eastAsia="標楷體" w:hAnsi="標楷體" w:cs="華康細明體"/>
          <w:kern w:val="0"/>
          <w:sz w:val="32"/>
          <w:szCs w:val="32"/>
        </w:rPr>
        <w:t>,727</w:t>
      </w:r>
      <w:r w:rsidRPr="00FF341A">
        <w:rPr>
          <w:rFonts w:ascii="標楷體" w:eastAsia="標楷體" w:hAnsi="標楷體" w:cs="華康細明體" w:hint="eastAsia"/>
          <w:kern w:val="0"/>
          <w:sz w:val="32"/>
          <w:szCs w:val="32"/>
        </w:rPr>
        <w:t>萬8千元，及資金之轉投資10億4</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955萬元，照列。</w:t>
      </w:r>
    </w:p>
    <w:p w14:paraId="6703AA72" w14:textId="77777777" w:rsidR="009D64D0" w:rsidRPr="00FF341A" w:rsidRDefault="009D64D0" w:rsidP="00F470A8">
      <w:pPr>
        <w:overflowPunct w:val="0"/>
        <w:autoSpaceDE w:val="0"/>
        <w:spacing w:line="480" w:lineRule="exact"/>
        <w:ind w:left="960" w:hangingChars="300" w:hanging="960"/>
        <w:jc w:val="both"/>
        <w:rPr>
          <w:rFonts w:ascii="標楷體" w:eastAsia="標楷體" w:hAnsi="標楷體" w:cs="華康細明體"/>
          <w:kern w:val="0"/>
          <w:sz w:val="32"/>
          <w:szCs w:val="32"/>
        </w:rPr>
      </w:pPr>
      <w:r w:rsidRPr="00FF341A">
        <w:rPr>
          <w:rFonts w:ascii="標楷體" w:eastAsia="標楷體" w:hAnsi="標楷體" w:hint="eastAsia"/>
          <w:sz w:val="32"/>
          <w:szCs w:val="32"/>
        </w:rPr>
        <w:t xml:space="preserve">　</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八</w:t>
      </w:r>
      <w:r w:rsidRPr="00FF341A">
        <w:rPr>
          <w:rFonts w:ascii="標楷體" w:eastAsia="標楷體" w:hAnsi="標楷體" w:cs="華康細明體"/>
          <w:kern w:val="0"/>
          <w:sz w:val="32"/>
          <w:szCs w:val="32"/>
        </w:rPr>
        <w:t>)</w:t>
      </w:r>
      <w:r w:rsidRPr="00FF341A">
        <w:rPr>
          <w:rFonts w:ascii="標楷體" w:eastAsia="標楷體" w:hAnsi="標楷體" w:cs="華康細明體" w:hint="eastAsia"/>
          <w:kern w:val="0"/>
          <w:sz w:val="32"/>
          <w:szCs w:val="32"/>
        </w:rPr>
        <w:t>通過決議32項：</w:t>
      </w:r>
    </w:p>
    <w:p w14:paraId="12AEB766"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sz w:val="32"/>
          <w:szCs w:val="32"/>
        </w:rPr>
        <w:t>1.查114年度臺灣金融控股股份有限公司預算案於「營業費用」項下「管理費用」之「服務費用」編列3</w:t>
      </w:r>
      <w:r w:rsidRPr="00FF341A">
        <w:rPr>
          <w:rFonts w:ascii="標楷體" w:eastAsia="標楷體" w:hAnsi="標楷體"/>
          <w:sz w:val="32"/>
          <w:szCs w:val="32"/>
        </w:rPr>
        <w:t>,</w:t>
      </w:r>
      <w:r w:rsidRPr="00FF341A">
        <w:rPr>
          <w:rFonts w:ascii="標楷體" w:eastAsia="標楷體" w:hAnsi="標楷體" w:hint="eastAsia"/>
          <w:sz w:val="32"/>
          <w:szCs w:val="32"/>
        </w:rPr>
        <w:t>397萬7千元。惟按112年度審計部中央政府總決算審核報告指出：「已參與公股金融事業ESG倡議平臺，共同推動ESG相關方案，惟尚未建立集團內部跨機構之整合議合機制，不利被投資公司之溝通並發揮影響力」等語。經查</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及所屬3家子公司已參與公股金融事業ESG倡議平臺，與第一金融控股</w:t>
      </w:r>
      <w:r w:rsidRPr="00FF341A">
        <w:rPr>
          <w:rFonts w:ascii="標楷體" w:eastAsia="標楷體" w:hAnsi="標楷體" w:hint="eastAsia"/>
          <w:kern w:val="0"/>
          <w:sz w:val="32"/>
          <w:szCs w:val="32"/>
        </w:rPr>
        <w:t>股份有限公司</w:t>
      </w:r>
      <w:r w:rsidRPr="00FF341A">
        <w:rPr>
          <w:rFonts w:ascii="標楷體" w:eastAsia="標楷體" w:hAnsi="標楷體" w:hint="eastAsia"/>
          <w:sz w:val="32"/>
          <w:szCs w:val="32"/>
        </w:rPr>
        <w:t>共同推動ESG相關作為。惟查現行ESG倡議平臺僅推動舉辦聯合供應商大會宣導ESG一項共同議合措施，且議合範圍僅係向採購供應商宣導ESG，亦尚未建立集團內之共同議合機制，致未能藉由整合集團資源與被投資公司進行實際之溝通與議合。鑑於臺銀人壽保險</w:t>
      </w:r>
      <w:r w:rsidRPr="00FF341A">
        <w:rPr>
          <w:rFonts w:ascii="標楷體" w:eastAsia="標楷體" w:hAnsi="標楷體" w:hint="eastAsia"/>
          <w:kern w:val="0"/>
          <w:sz w:val="32"/>
          <w:szCs w:val="32"/>
        </w:rPr>
        <w:t>股份有限公司</w:t>
      </w:r>
      <w:r w:rsidRPr="00FF341A">
        <w:rPr>
          <w:rFonts w:ascii="標楷體" w:eastAsia="標楷體" w:hAnsi="標楷體" w:hint="eastAsia"/>
          <w:sz w:val="32"/>
          <w:szCs w:val="32"/>
        </w:rPr>
        <w:t>及臺銀綜合證券</w:t>
      </w:r>
      <w:r w:rsidRPr="00FF341A">
        <w:rPr>
          <w:rFonts w:ascii="標楷體" w:eastAsia="標楷體" w:hAnsi="標楷體" w:hint="eastAsia"/>
          <w:kern w:val="0"/>
          <w:sz w:val="32"/>
          <w:szCs w:val="32"/>
        </w:rPr>
        <w:t>股份有限公司</w:t>
      </w:r>
      <w:r w:rsidRPr="00FF341A">
        <w:rPr>
          <w:rFonts w:ascii="標楷體" w:eastAsia="標楷體" w:hAnsi="標楷體" w:hint="eastAsia"/>
          <w:sz w:val="32"/>
          <w:szCs w:val="32"/>
        </w:rPr>
        <w:t>資金規模較小、市占率較低，不利與投資</w:t>
      </w:r>
      <w:r w:rsidRPr="00FF341A">
        <w:rPr>
          <w:rFonts w:ascii="標楷體" w:eastAsia="標楷體" w:hAnsi="標楷體" w:hint="eastAsia"/>
          <w:sz w:val="32"/>
          <w:szCs w:val="32"/>
        </w:rPr>
        <w:lastRenderedPageBreak/>
        <w:t>人單獨進行議合，為強化集團整體對於被投資公司之影響力。爰要求</w:t>
      </w:r>
      <w:r w:rsidRPr="00FF341A">
        <w:rPr>
          <w:rFonts w:ascii="標楷體" w:eastAsia="標楷體" w:hAnsi="標楷體" w:hint="eastAsia"/>
          <w:kern w:val="0"/>
          <w:sz w:val="32"/>
          <w:szCs w:val="32"/>
        </w:rPr>
        <w:t>臺灣金融控股股份有限公司研議建立相關機制，於1個月內向立法院財政委員會提出書面報告。</w:t>
      </w:r>
    </w:p>
    <w:p w14:paraId="53BE91AE" w14:textId="62378F7D"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50E7A0F1" w14:textId="105BC0C6"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61162A7F"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sz w:val="32"/>
          <w:szCs w:val="32"/>
        </w:rPr>
        <w:t>2.</w:t>
      </w:r>
      <w:r w:rsidRPr="00FF341A">
        <w:rPr>
          <w:rFonts w:ascii="標楷體" w:eastAsia="標楷體" w:hAnsi="標楷體" w:hint="eastAsia"/>
          <w:kern w:val="0"/>
          <w:sz w:val="32"/>
          <w:szCs w:val="32"/>
        </w:rPr>
        <w:t>依金融監督管理委員會推動公司治理3.0-永續發展藍圖之推動措施，金融保險業應加強揭露資訊外洩事件數量與個資相關的資訊外洩事件占比、因資訊外洩事件而受影響的顧客數、對促進小型企業及社區發展的貸放件數及貸放餘額、對缺少銀行服務之弱勢族群提供金融教育之參與人數、各經營業務為創造環境效益或社會效益所設計之產品與服務等4項永續指標，並應取得外部確信。經查臺灣金融控股股份有限公司轄下子公司臺灣銀行股份有限公司為提升永續報告書揭露品質及可信度，自109年起委託第三方驗證機構辦理永續報告書之外部查證，並於111年參照永續報告書作業辦法委請會計師事務所辦理上述4項永續指標之確信作業，惟整體確信項目仍低於第一商業銀行股份有限公司、合作金庫商業銀行股份有限公司、華南商業銀行股份有限公司、兆豐國際商業銀行股份有限公司及臺灣中小企業銀行股份有限公司等5家公股銀行，確信資訊揭露品質仍有精進空間，爰要求臺灣金融控股股份有限公司就其子公司臺灣銀行股份有限公司應如何提升永續指標確信項目，於2個月內向立法院財政委員會提出書面報告。</w:t>
      </w:r>
    </w:p>
    <w:p w14:paraId="2A692806" w14:textId="0436D56A"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提案人：郭國文　</w:t>
      </w:r>
    </w:p>
    <w:p w14:paraId="1F313883" w14:textId="11AB551E"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連署人：伍麗華　王世堅</w:t>
      </w:r>
    </w:p>
    <w:p w14:paraId="3E51B442"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sz w:val="32"/>
          <w:szCs w:val="32"/>
        </w:rPr>
        <w:t>3.臺灣金融控股股份有限公司按權益法認列</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子公司之投資損失逐年增加，截至112年底止，臺灣金融控股股份有限公司透過舉債支應該子公司7次現金增資達445億元，且113及114年度預計各再舉債40億元及100億元，惟臺銀人壽保險股份有限公司連年虧損，且部分年度虧損逾</w:t>
      </w:r>
      <w:r w:rsidRPr="00FF341A">
        <w:rPr>
          <w:rFonts w:ascii="標楷體" w:eastAsia="標楷體" w:hAnsi="標楷體" w:hint="eastAsia"/>
          <w:sz w:val="32"/>
          <w:szCs w:val="32"/>
        </w:rPr>
        <w:lastRenderedPageBreak/>
        <w:t>20億元，整體經營績效未見顯著改善，爰要求臺灣金融控股股份有限公司允應積極督促該子公司研謀業務改善對策，以提升營運績效及改善財務結構，並於3個月內向立法院財政委員會提出書面報告。</w:t>
      </w:r>
    </w:p>
    <w:p w14:paraId="5F7D2A6E" w14:textId="532B8BD1"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提案人：李坤城　伍麗華　郭國文</w:t>
      </w:r>
    </w:p>
    <w:p w14:paraId="5FD1B1B9"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kern w:val="0"/>
          <w:sz w:val="32"/>
          <w:szCs w:val="32"/>
        </w:rPr>
        <w:t>4</w:t>
      </w:r>
      <w:r w:rsidRPr="00FF341A">
        <w:rPr>
          <w:rFonts w:ascii="標楷體" w:eastAsia="標楷體" w:hAnsi="標楷體" w:hint="eastAsia"/>
          <w:sz w:val="32"/>
          <w:szCs w:val="32"/>
        </w:rPr>
        <w:t>.</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連年持續虧損，母公司臺灣金融控股股份有限公司於1</w:t>
      </w:r>
      <w:r w:rsidRPr="00FF341A">
        <w:rPr>
          <w:rFonts w:ascii="標楷體" w:eastAsia="標楷體" w:hAnsi="標楷體"/>
          <w:sz w:val="32"/>
          <w:szCs w:val="32"/>
        </w:rPr>
        <w:t>13</w:t>
      </w:r>
      <w:r w:rsidRPr="00FF341A">
        <w:rPr>
          <w:rFonts w:ascii="標楷體" w:eastAsia="標楷體" w:hAnsi="標楷體" w:hint="eastAsia"/>
          <w:sz w:val="32"/>
          <w:szCs w:val="32"/>
        </w:rPr>
        <w:t>年度預計再度舉借100億元債務以支應</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之現金增資，然自98年開始</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已為</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進行多次舉債注資，使</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資本額從一開始的50億元，一路膨脹到495億元，於我國已排名第八大，然獲益表現卻遠遠落後。</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雖可預見113年度將轉虧為盈，然此並無加上</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為其負擔的隱藏資金成本，</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已成立近20年，財務上仍應持續加強，創造獲利，避免一再依靠</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注資。有關</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預計增資部分，是否部分採盈餘轉增資方式，減少</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額外負擔舉債利息。爰要求</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就如何提升臺銀人壽保險股份有限公司經營績效及舉債增資計畫優化進行檢討，於4個月內向立法院財政委員會提出書面報告。</w:t>
      </w:r>
    </w:p>
    <w:p w14:paraId="0A9BF867" w14:textId="6E033A86"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提案人：吳秉叡</w:t>
      </w:r>
    </w:p>
    <w:p w14:paraId="1C953401" w14:textId="2CB10D5A"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連署人：李坤城　賴惠員　</w:t>
      </w:r>
    </w:p>
    <w:p w14:paraId="22F8C0C3"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sz w:val="32"/>
          <w:szCs w:val="32"/>
        </w:rPr>
        <w:t>5.有鑑於臺灣金融控股股份有限公司揭露主要營運項目經營趨勢，包含遵循國家</w:t>
      </w:r>
      <w:r w:rsidRPr="00FF341A">
        <w:rPr>
          <w:rFonts w:ascii="標楷體" w:eastAsia="標楷體" w:hAnsi="標楷體"/>
          <w:sz w:val="32"/>
          <w:szCs w:val="32"/>
        </w:rPr>
        <w:t>2050</w:t>
      </w:r>
      <w:r w:rsidRPr="00FF341A">
        <w:rPr>
          <w:rFonts w:ascii="標楷體" w:eastAsia="標楷體" w:hAnsi="標楷體" w:hint="eastAsia"/>
          <w:sz w:val="32"/>
          <w:szCs w:val="32"/>
        </w:rPr>
        <w:t>淨零排放路徑與綠色金融</w:t>
      </w:r>
      <w:r w:rsidRPr="00FF341A">
        <w:rPr>
          <w:rFonts w:ascii="標楷體" w:eastAsia="標楷體" w:hAnsi="標楷體"/>
          <w:sz w:val="32"/>
          <w:szCs w:val="32"/>
        </w:rPr>
        <w:t>3.0</w:t>
      </w:r>
      <w:r w:rsidRPr="00FF341A">
        <w:rPr>
          <w:rFonts w:ascii="標楷體" w:eastAsia="標楷體" w:hAnsi="標楷體" w:hint="eastAsia"/>
          <w:sz w:val="32"/>
          <w:szCs w:val="32"/>
        </w:rPr>
        <w:t>，循序善用金融業影響力推展綠色金融，帶動永續投資，邀請客戶共同響應永續倡議，惟對應預算書，僅有編列研究發展費用</w:t>
      </w:r>
      <w:r w:rsidRPr="00FF341A">
        <w:rPr>
          <w:rFonts w:ascii="標楷體" w:eastAsia="標楷體" w:hAnsi="標楷體"/>
          <w:sz w:val="32"/>
          <w:szCs w:val="32"/>
        </w:rPr>
        <w:t>5,209</w:t>
      </w:r>
      <w:r w:rsidRPr="00FF341A">
        <w:rPr>
          <w:rFonts w:ascii="標楷體" w:eastAsia="標楷體" w:hAnsi="標楷體" w:hint="eastAsia"/>
          <w:sz w:val="32"/>
          <w:szCs w:val="32"/>
        </w:rPr>
        <w:t>萬</w:t>
      </w:r>
      <w:r w:rsidRPr="00FF341A">
        <w:rPr>
          <w:rFonts w:ascii="標楷體" w:eastAsia="標楷體" w:hAnsi="標楷體"/>
          <w:sz w:val="32"/>
          <w:szCs w:val="32"/>
        </w:rPr>
        <w:t>8</w:t>
      </w:r>
      <w:r w:rsidRPr="00FF341A">
        <w:rPr>
          <w:rFonts w:ascii="標楷體" w:eastAsia="標楷體" w:hAnsi="標楷體" w:hint="eastAsia"/>
          <w:sz w:val="32"/>
          <w:szCs w:val="32"/>
        </w:rPr>
        <w:t>千元，未見其明確工作計畫及步驟，爰請臺灣金融控股股份有限公司擬定具體工作計畫，於</w:t>
      </w:r>
      <w:r w:rsidRPr="00FF341A">
        <w:rPr>
          <w:rFonts w:ascii="標楷體" w:eastAsia="標楷體" w:hAnsi="標楷體"/>
          <w:sz w:val="32"/>
          <w:szCs w:val="32"/>
        </w:rPr>
        <w:t>2</w:t>
      </w:r>
      <w:r w:rsidRPr="00FF341A">
        <w:rPr>
          <w:rFonts w:ascii="標楷體" w:eastAsia="標楷體" w:hAnsi="標楷體" w:hint="eastAsia"/>
          <w:sz w:val="32"/>
          <w:szCs w:val="32"/>
        </w:rPr>
        <w:t>個月內</w:t>
      </w:r>
      <w:r w:rsidRPr="00FF341A">
        <w:rPr>
          <w:rFonts w:ascii="標楷體" w:eastAsia="標楷體" w:hAnsi="標楷體" w:hint="eastAsia"/>
          <w:kern w:val="0"/>
          <w:sz w:val="32"/>
          <w:szCs w:val="32"/>
        </w:rPr>
        <w:t>向立法院財政委員會</w:t>
      </w:r>
      <w:r w:rsidRPr="00FF341A">
        <w:rPr>
          <w:rFonts w:ascii="標楷體" w:eastAsia="標楷體" w:hAnsi="標楷體" w:hint="eastAsia"/>
          <w:sz w:val="32"/>
          <w:szCs w:val="32"/>
        </w:rPr>
        <w:t>提出書面報告。</w:t>
      </w:r>
    </w:p>
    <w:p w14:paraId="3C07CDBC" w14:textId="23A6A90F"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lastRenderedPageBreak/>
        <w:t xml:space="preserve">　　</w:t>
      </w:r>
      <w:r w:rsidR="009D64D0" w:rsidRPr="00FF341A">
        <w:rPr>
          <w:rFonts w:ascii="標楷體" w:eastAsia="標楷體" w:hAnsi="標楷體" w:hint="eastAsia"/>
          <w:kern w:val="0"/>
          <w:sz w:val="32"/>
          <w:szCs w:val="32"/>
        </w:rPr>
        <w:t xml:space="preserve">提案人：伍麗華　</w:t>
      </w:r>
    </w:p>
    <w:p w14:paraId="126C776C" w14:textId="64748BF9"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連署人：吳秉叡　王世堅</w:t>
      </w:r>
    </w:p>
    <w:p w14:paraId="662E20B5"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kern w:val="0"/>
          <w:sz w:val="32"/>
          <w:szCs w:val="32"/>
        </w:rPr>
      </w:pPr>
      <w:r w:rsidRPr="00FF341A">
        <w:rPr>
          <w:rFonts w:ascii="標楷體" w:eastAsia="標楷體" w:hAnsi="標楷體" w:hint="eastAsia"/>
          <w:kern w:val="0"/>
          <w:sz w:val="32"/>
          <w:szCs w:val="32"/>
        </w:rPr>
        <w:t>6.各國營金融事業機構目前員工生育補助，每胎發給補助2千至1萬元不等，其他泛公股金融機構生育補助，第一胎約為5至12萬元，第二胎以上約為8至36萬元，相較之下，泛公股銀行生育補助金額較事業機構高出許多，更顯事業機構在攬才留才上競爭力的不足，且少子化現象已成國安問題，鼓勵生育已成為全民必須共同面對的課題。爰建請在用人費可支應前提下，以實際行動降低年輕員工育兒負擔，營造幸福、友善職場，亦有助於促進事業機構永續發展。</w:t>
      </w:r>
    </w:p>
    <w:p w14:paraId="12A99B9E" w14:textId="48F7288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提案人：陳玉珍　</w:t>
      </w:r>
    </w:p>
    <w:p w14:paraId="0FC3CA67" w14:textId="0B9B8D50"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連署人：賴士葆　顏寬恒</w:t>
      </w:r>
    </w:p>
    <w:p w14:paraId="65388843"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sz w:val="32"/>
          <w:szCs w:val="32"/>
        </w:rPr>
        <w:t>7.</w:t>
      </w:r>
      <w:r w:rsidRPr="00FF341A">
        <w:rPr>
          <w:rFonts w:ascii="標楷體" w:eastAsia="標楷體" w:hAnsi="標楷體" w:hint="eastAsia"/>
          <w:kern w:val="0"/>
          <w:sz w:val="32"/>
          <w:szCs w:val="32"/>
        </w:rPr>
        <w:t>查114年度臺灣銀行股份有限公司預算案於「營業費用」項下「業務費用」之「服務費用」編列37億1,176萬元。惟按112年度審計部中央政府總決算審核報告指出：「部分異常帳戶於監控期間屆期未久，即經聯合徵信中心通報為衍生管制帳戶」等語。經查該公司某分行存戶於112年8月11日申請變更印鑑及補發存摺，嗣於112年8月15及16日當日存入交易筆數分別達30及22筆後，隨即整筆大額提領，並於16日將該帳戶餘額悉數透過網路銀行轉入某民營金融機構帳戶，分行雖曾於16日洽詢該存戶表示係為經營網拍收入之非約定轉帳。惟查該存戶於15及16日交易情形，存有轉帳收入時間集中於夜間，並於特定時間透過不同帳號，將該帳戶存款金額全數領出等情事，其存款帳戶密集存入又迅速移轉之作法，存有作為過渡性帳戶之疑慮，並於臺灣銀行股份有限公司解除監控未久，即因該存戶於其他金融機構之帳戶遭列警示戶，於9月經財團法人金融聯合徵信中心通報為衍生管制帳戶。鑑此，為提升異常帳戶預警效果，爰請臺灣銀行股份有限公司於1個月內向立法院財政委員會提出書面報告。</w:t>
      </w:r>
    </w:p>
    <w:p w14:paraId="44D0710B" w14:textId="148BE311"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0B8D92C2" w14:textId="19071535"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lastRenderedPageBreak/>
        <w:t xml:space="preserve">　　</w:t>
      </w:r>
      <w:r w:rsidR="009D64D0" w:rsidRPr="00FF341A">
        <w:rPr>
          <w:rFonts w:ascii="標楷體" w:eastAsia="標楷體" w:hAnsi="標楷體" w:hint="eastAsia"/>
          <w:kern w:val="0"/>
          <w:sz w:val="32"/>
          <w:szCs w:val="32"/>
        </w:rPr>
        <w:t xml:space="preserve">連署人：李坤城　伍麗華　</w:t>
      </w:r>
    </w:p>
    <w:p w14:paraId="5143D532"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sz w:val="32"/>
          <w:szCs w:val="32"/>
        </w:rPr>
        <w:t>8.</w:t>
      </w:r>
      <w:r w:rsidRPr="00FF341A">
        <w:rPr>
          <w:rFonts w:ascii="標楷體" w:eastAsia="標楷體" w:hAnsi="標楷體" w:hint="eastAsia"/>
          <w:kern w:val="0"/>
          <w:sz w:val="32"/>
          <w:szCs w:val="32"/>
        </w:rPr>
        <w:t>查114年度臺灣銀行股份有限公司預算案於「營業費用」項下「業務費用」之「服務費用」編列37億1,176萬元。惟按112年度審計部中央政府總決算審核報告指出：</w:t>
      </w:r>
      <w:r w:rsidRPr="00FF341A">
        <w:rPr>
          <w:rFonts w:ascii="標楷體" w:eastAsia="標楷體" w:hAnsi="標楷體" w:hint="eastAsia"/>
          <w:sz w:val="32"/>
          <w:szCs w:val="32"/>
        </w:rPr>
        <w:t>「久未動工之不動產授信案件，其貸款成數收回及授信條件變更未盡妥適，授信風險之管理欠佳」等語。經查該公司某分行於109年辦理某公司建築基地貸款，撥貸金額為33億元，並約定自訂約日起2年內動工，嗣借戶於111年7月間以變更建築設計為由，申請展延動工期限至112年11月20日，復於112年10月間以該案改依都市更新條例辦理重建，得不適用前揭不動產抵押貸款業務等相關規定為由，申請展延動工期限及延後收回貸款本金，</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雖已依前揭相關規定酌加本案核貸利率，惟未考量增補合約所訂之展延後動工期限將屆，借戶尚未擬具都市更新計畫陳報臺北市政府核定，卻於112年11月17日同意改以都更重建案件申貸，而未收回久未動工應償還之本金4億1,400萬元，並免予適用中央銀行及該公司有關不動產抵押貸款業務之相關規定。鑑此，</w:t>
      </w:r>
      <w:r w:rsidRPr="00FF341A">
        <w:rPr>
          <w:rFonts w:ascii="標楷體" w:eastAsia="標楷體" w:hAnsi="標楷體" w:hint="eastAsia"/>
          <w:kern w:val="0"/>
          <w:sz w:val="32"/>
          <w:szCs w:val="32"/>
        </w:rPr>
        <w:t>爰請臺灣銀行股份有限公司於1個月內向立法院財政委員會提出書面報告。</w:t>
      </w:r>
    </w:p>
    <w:p w14:paraId="3256CC43" w14:textId="146035E5"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46E6EBCC" w14:textId="2B29164F"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23F0D990" w14:textId="77777777" w:rsidR="009D64D0" w:rsidRPr="00FF341A" w:rsidRDefault="009D64D0" w:rsidP="00F470A8">
      <w:pPr>
        <w:overflowPunct w:val="0"/>
        <w:autoSpaceDE w:val="0"/>
        <w:spacing w:line="480" w:lineRule="exact"/>
        <w:ind w:leftChars="300" w:left="1040" w:hangingChars="100" w:hanging="320"/>
        <w:jc w:val="both"/>
        <w:rPr>
          <w:rFonts w:ascii="標楷體" w:eastAsia="標楷體" w:hAnsi="標楷體"/>
          <w:sz w:val="32"/>
          <w:szCs w:val="32"/>
        </w:rPr>
      </w:pPr>
      <w:r w:rsidRPr="00FF341A">
        <w:rPr>
          <w:rFonts w:ascii="標楷體" w:eastAsia="標楷體" w:hAnsi="標楷體" w:hint="eastAsia"/>
          <w:sz w:val="32"/>
          <w:szCs w:val="32"/>
        </w:rPr>
        <w:t>9.</w:t>
      </w:r>
      <w:r w:rsidRPr="00FF341A">
        <w:rPr>
          <w:rFonts w:ascii="標楷體" w:eastAsia="標楷體" w:hAnsi="標楷體" w:hint="eastAsia"/>
          <w:kern w:val="0"/>
          <w:sz w:val="32"/>
          <w:szCs w:val="32"/>
        </w:rPr>
        <w:t>查114年度臺灣銀行股份有限公司預算案於「營業費用」項下「業務費用」之「服務費用」編列37億1,176萬元。惟按112年度審計部中央政府總決算審核報告指出：</w:t>
      </w:r>
      <w:r w:rsidRPr="00FF341A">
        <w:rPr>
          <w:rFonts w:ascii="標楷體" w:eastAsia="標楷體" w:hAnsi="標楷體" w:hint="eastAsia"/>
          <w:sz w:val="32"/>
          <w:szCs w:val="32"/>
        </w:rPr>
        <w:t>「核定展延之動工期限超逾總行規範，又間有借戶展延事由有待商榷」等語。經查該公司某分行於109年11月間辦理某案購地貸款，撥貸金額為8.22億元，並規範借戶應於訂約日起2年內動工興建，嗣借戶因辦理變更設計申請展期，經</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同意展延動工期限1年，惟該借戶早於111年6月間取得建照，按</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函頒規定最長之展延期限為9個月，然該公司仍核予展延動工期限達1年，影響借戶貸款利率</w:t>
      </w:r>
      <w:r w:rsidRPr="00FF341A">
        <w:rPr>
          <w:rFonts w:ascii="標楷體" w:eastAsia="標楷體" w:hAnsi="標楷體" w:hint="eastAsia"/>
          <w:sz w:val="32"/>
          <w:szCs w:val="32"/>
        </w:rPr>
        <w:lastRenderedPageBreak/>
        <w:t>加碼及收回貸款成數核計之妥適性。又該案於111年11月及112年9月屢以規劃辦理變更設計及尚未取得變更後建照為由，申請展延動工期限，惟經於臺中市政府建築執照存根查詢系統查詢結果，該案截至112年12月13日止，均未申請變更設計，借戶2次申請展延動工事由之合理性亦有待商榷。</w:t>
      </w:r>
      <w:r w:rsidRPr="00FF341A">
        <w:rPr>
          <w:rFonts w:ascii="標楷體" w:eastAsia="標楷體" w:hAnsi="標楷體" w:hint="eastAsia"/>
          <w:kern w:val="0"/>
          <w:sz w:val="32"/>
          <w:szCs w:val="32"/>
        </w:rPr>
        <w:t>鑑此，爰請臺灣銀行股份有限公司於1個月內向立法院財政委員會提出書面報告。</w:t>
      </w:r>
    </w:p>
    <w:p w14:paraId="69D724BA" w14:textId="4246463B"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7DA8F558" w14:textId="5B2F7993"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55D921E2"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10.查114年度臺灣銀行股份有限公司預算案於「營業費用」項下「</w:t>
      </w:r>
      <w:r w:rsidRPr="00FF341A">
        <w:rPr>
          <w:rFonts w:ascii="標楷體" w:eastAsia="標楷體" w:hAnsi="標楷體" w:hint="eastAsia"/>
          <w:kern w:val="0"/>
          <w:sz w:val="32"/>
          <w:szCs w:val="32"/>
        </w:rPr>
        <w:t>業務</w:t>
      </w:r>
      <w:r w:rsidRPr="00FF341A">
        <w:rPr>
          <w:rFonts w:ascii="標楷體" w:eastAsia="標楷體" w:hAnsi="標楷體" w:hint="eastAsia"/>
          <w:sz w:val="32"/>
          <w:szCs w:val="32"/>
        </w:rPr>
        <w:t>費用」之「服務費用」編列37億1,176萬元。惟按112年度審計部中央政府總決算審核報告指出：「為強化永續報告書之揭露資訊，持續蒐集利害關係人意見以鑑別重大性議題，惟意見調查對象尚乏相關主管機關，又永續報告書尚未揭露各項永續目標達成情形，不利促進公司永續經營」等語。臺灣銀行股份有限公司為瞭解利害關係人對永續主題之關注程度，並檢視該公司永續經營成果，透過重大議題問卷調查利害關係人對該公司各項永續議題之關注程度，及評估各項議題影響程度等，擇定數位金融、氣候行動、資訊安全等12項重大性議題，作為業務推展參考指引，惟查上開重大性議題問卷之調查對象尚乏臺灣銀行股份有限公司之主管機關財政部，影響重大性議題評估之完整性。另該公司為因應近年永續發展趨勢及遵循政府綠色金融等措施，並訂有相關推動目標，亦已建構公司之行動方案執行目標，惟永續報告書尚未揭露其永續發展目標之執行成果，不利檢視目標達成情形。鑑此，爰</w:t>
      </w:r>
      <w:r w:rsidRPr="00FF341A">
        <w:rPr>
          <w:rFonts w:ascii="標楷體" w:eastAsia="標楷體" w:hAnsi="標楷體" w:hint="eastAsia"/>
          <w:kern w:val="0"/>
          <w:sz w:val="32"/>
          <w:szCs w:val="32"/>
        </w:rPr>
        <w:t>請</w:t>
      </w:r>
      <w:r w:rsidRPr="00FF341A">
        <w:rPr>
          <w:rFonts w:ascii="標楷體" w:eastAsia="標楷體" w:hAnsi="標楷體" w:hint="eastAsia"/>
          <w:sz w:val="32"/>
          <w:szCs w:val="32"/>
        </w:rPr>
        <w:t>臺灣銀行股份有限公司於1個月內向立法院財政委員會提出書面報告。</w:t>
      </w:r>
    </w:p>
    <w:p w14:paraId="05F5D11E" w14:textId="3C0ADC87"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42642299" w14:textId="0DE0BFDC"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169011FD"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cs="華康細明體"/>
          <w:kern w:val="0"/>
          <w:sz w:val="32"/>
          <w:szCs w:val="32"/>
        </w:rPr>
      </w:pPr>
      <w:r w:rsidRPr="00FF341A">
        <w:rPr>
          <w:rFonts w:ascii="標楷體" w:eastAsia="標楷體" w:hAnsi="標楷體" w:hint="eastAsia"/>
          <w:sz w:val="32"/>
          <w:szCs w:val="32"/>
        </w:rPr>
        <w:lastRenderedPageBreak/>
        <w:t>11.</w:t>
      </w:r>
      <w:r w:rsidRPr="00FF341A">
        <w:rPr>
          <w:rFonts w:ascii="標楷體" w:eastAsia="標楷體" w:hAnsi="標楷體" w:hint="eastAsia"/>
          <w:kern w:val="0"/>
          <w:sz w:val="32"/>
          <w:szCs w:val="32"/>
        </w:rPr>
        <w:t>查114年度臺灣銀行股份有限公司預算案於「營業費用」項下「業務費用」之「服務費用」編列37億1,176萬元。惟按112年度審計部中央政府總決算審核報告指出：</w:t>
      </w:r>
      <w:r w:rsidRPr="00FF341A">
        <w:rPr>
          <w:rFonts w:ascii="標楷體" w:eastAsia="標楷體" w:hAnsi="標楷體" w:hint="eastAsia"/>
          <w:sz w:val="32"/>
          <w:szCs w:val="32"/>
        </w:rPr>
        <w:t>「對於部分異常帳戶未進行持續監控，又採紙本註記異常帳戶處理情形，難以蒐集監控報表回饋資訊」等語。查該公司為監控久未往來戶突向銀行申請印鑑掛失更換，且後續交易存有異常之情事，由系統對該類帳戶之頻繁及大額交易進行為期7日之連續性監控，並於審視前揭報表產製之異常交易清單時，由專責人員致電存戶確認交易真實性及合理性後，再以手寫方式註記相關處理情形，類此作法除增添專責人員作業負擔外，亦不利蒐集相關等監控報表之回饋資訊，衍生</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部分分行之代收款收付等帳戶交易亦遭監控系統列為異常等情事。鑑此，為提升異常帳戶預警效果，</w:t>
      </w:r>
      <w:r w:rsidRPr="00FF341A">
        <w:rPr>
          <w:rFonts w:ascii="標楷體" w:eastAsia="標楷體" w:hAnsi="標楷體" w:hint="eastAsia"/>
          <w:kern w:val="0"/>
          <w:sz w:val="32"/>
          <w:szCs w:val="32"/>
        </w:rPr>
        <w:t>爰請臺灣銀行股份有限公司於1個月內向立法院財政委員會提出書面報告。</w:t>
      </w:r>
    </w:p>
    <w:p w14:paraId="300ED88C" w14:textId="7D6F2A5E"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44965132" w14:textId="5E06D5D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55B5B8F0"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cs="華康細明體"/>
          <w:kern w:val="0"/>
          <w:sz w:val="32"/>
          <w:szCs w:val="32"/>
        </w:rPr>
      </w:pPr>
      <w:r w:rsidRPr="00FF341A">
        <w:rPr>
          <w:rFonts w:ascii="標楷體" w:eastAsia="標楷體" w:hAnsi="標楷體" w:hint="eastAsia"/>
          <w:sz w:val="32"/>
          <w:szCs w:val="32"/>
        </w:rPr>
        <w:t>12.</w:t>
      </w:r>
      <w:r w:rsidRPr="00FF341A">
        <w:rPr>
          <w:rFonts w:ascii="標楷體" w:eastAsia="標楷體" w:hAnsi="標楷體" w:hint="eastAsia"/>
          <w:kern w:val="0"/>
          <w:sz w:val="32"/>
          <w:szCs w:val="32"/>
        </w:rPr>
        <w:t>查114年度臺灣銀行股份有限公司預算案於「營業費用」項下「業務費用」之「服務費用」編列37億1,176萬元。惟按112年度審計部中央政府總決算審核報告指出：「臺銀證券APP尚未申請無障礙檢測，影響金融服務可及性，另網路銀行無障礙服務使用率偏低，允宜研謀落實普惠金融」等語。政府為落實公共資訊無障礙，維護身心障礙者權益，由國家通訊傳播委員會訂定APP無障礙開發指引。經查臺灣銀行股份有限公司提供之網路銀行隨身版APP，均屬數位發展部優先檢測對象，網路銀行隨身版APP雖已於108年通過台北市視障者家長協會之無障礙檢測，惟該APP軟體版本現已更新，允宜研謀因應措施，提升金融服務可及性。另查臺灣銀行股份有限公司無障礙網路銀行統計資料截至112年底計提供存款往來明細查詢等功能項目，惟其中變更使用者代號等項之</w:t>
      </w:r>
      <w:r w:rsidRPr="00FF341A">
        <w:rPr>
          <w:rFonts w:ascii="標楷體" w:eastAsia="標楷體" w:hAnsi="標楷體" w:hint="eastAsia"/>
          <w:kern w:val="0"/>
          <w:sz w:val="32"/>
          <w:szCs w:val="32"/>
        </w:rPr>
        <w:lastRenderedPageBreak/>
        <w:t>使用筆數僅52筆，使用人數僅19人，使用率偏低。鑑此，為落實公共資訊無障礙政策，爰請臺灣銀行股份有限公司於1個月內向立法院財政委員會提出書面報告。</w:t>
      </w:r>
    </w:p>
    <w:p w14:paraId="3784BDDC" w14:textId="51F7E288"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7A745F42" w14:textId="76163EB6"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5D776BF9"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13.查114年度臺灣銀行股份有限公司預算案於「營業費用」項下「</w:t>
      </w:r>
      <w:r w:rsidRPr="00FF341A">
        <w:rPr>
          <w:rFonts w:ascii="標楷體" w:eastAsia="標楷體" w:hAnsi="標楷體" w:hint="eastAsia"/>
          <w:kern w:val="0"/>
          <w:sz w:val="32"/>
          <w:szCs w:val="32"/>
        </w:rPr>
        <w:t>業務</w:t>
      </w:r>
      <w:r w:rsidRPr="00FF341A">
        <w:rPr>
          <w:rFonts w:ascii="標楷體" w:eastAsia="標楷體" w:hAnsi="標楷體" w:hint="eastAsia"/>
          <w:sz w:val="32"/>
          <w:szCs w:val="32"/>
        </w:rPr>
        <w:t>費用」之「服務費用」編列37億1,176萬元。惟按112年度審計部中央政府總決算審核報告指出：「部分購地貸款遲未動工或動工期限之訂定有欠合理」等語。查</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截至112年底止，計有180案建築基地貸款案件未完成興建，貸款餘額為601億餘元，其中逾18個月未動工者計有54案，貸款餘額為142.5億餘元，約逾5年未動工者7案，貸款餘額10.9億餘元，該等案件未動工原因包含缺工、鄰地整合、建築變更設計等，均多次申請貸款展延或寬緩動工日期，申請原因諸如配合建商推案時程展延、購併土地共同開發耗時等，授信戶一再申請展延貸款或寬緩動工期限，顯示遲未能解決影響動工之問題，或存有養地之疑慮，有待檢討精進相關貸款案件之核貸及管理機制。鑑此，爰</w:t>
      </w:r>
      <w:r w:rsidRPr="00FF341A">
        <w:rPr>
          <w:rFonts w:ascii="標楷體" w:eastAsia="標楷體" w:hAnsi="標楷體" w:hint="eastAsia"/>
          <w:kern w:val="0"/>
          <w:sz w:val="32"/>
          <w:szCs w:val="32"/>
        </w:rPr>
        <w:t>請</w:t>
      </w:r>
      <w:r w:rsidRPr="00FF341A">
        <w:rPr>
          <w:rFonts w:ascii="標楷體" w:eastAsia="標楷體" w:hAnsi="標楷體" w:hint="eastAsia"/>
          <w:sz w:val="32"/>
          <w:szCs w:val="32"/>
        </w:rPr>
        <w:t>臺灣銀行股份有限公司於1個月內</w:t>
      </w:r>
      <w:r w:rsidRPr="00FF341A">
        <w:rPr>
          <w:rFonts w:ascii="標楷體" w:eastAsia="標楷體" w:hAnsi="標楷體" w:hint="eastAsia"/>
          <w:kern w:val="0"/>
          <w:sz w:val="32"/>
          <w:szCs w:val="32"/>
        </w:rPr>
        <w:t>向立法院財政委員會提出書面報告</w:t>
      </w:r>
      <w:r w:rsidRPr="00FF341A">
        <w:rPr>
          <w:rFonts w:ascii="標楷體" w:eastAsia="標楷體" w:hAnsi="標楷體" w:hint="eastAsia"/>
          <w:sz w:val="32"/>
          <w:szCs w:val="32"/>
        </w:rPr>
        <w:t>。</w:t>
      </w:r>
    </w:p>
    <w:p w14:paraId="4976192E" w14:textId="4598E0FB"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52B0DEDD" w14:textId="03ED7C2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6662A65D"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cs="華康細明體"/>
          <w:kern w:val="0"/>
          <w:sz w:val="32"/>
          <w:szCs w:val="32"/>
        </w:rPr>
      </w:pPr>
      <w:r w:rsidRPr="00FF341A">
        <w:rPr>
          <w:rFonts w:ascii="標楷體" w:eastAsia="標楷體" w:hAnsi="標楷體" w:hint="eastAsia"/>
          <w:sz w:val="32"/>
          <w:szCs w:val="32"/>
        </w:rPr>
        <w:t>14.</w:t>
      </w:r>
      <w:r w:rsidRPr="00FF341A">
        <w:rPr>
          <w:rFonts w:ascii="標楷體" w:eastAsia="標楷體" w:hAnsi="標楷體" w:hint="eastAsia"/>
          <w:kern w:val="0"/>
          <w:sz w:val="32"/>
          <w:szCs w:val="32"/>
        </w:rPr>
        <w:t>查114年度臺灣銀行股份有限公司預算案於「營業費用」項下「業務費用」之「服務費用」編列37億1,176萬元。惟按112年度審計部中央政府總決算審核報告指出：「永續報告書已取得第三方驗證，惟永續指標確信項目相較同業仍待加強，允宜研議擴大永續資訊確信範圍，以精進資訊揭露品質及可信度」等語。經查臺灣銀行股份有限公司為提升永續報告書揭露品質及可信度，自109年起委託第三方驗證機構辦理永續報告書之外部查證，並於111年參照永續報告書作業</w:t>
      </w:r>
      <w:r w:rsidRPr="00FF341A">
        <w:rPr>
          <w:rFonts w:ascii="標楷體" w:eastAsia="標楷體" w:hAnsi="標楷體" w:hint="eastAsia"/>
          <w:kern w:val="0"/>
          <w:sz w:val="32"/>
          <w:szCs w:val="32"/>
        </w:rPr>
        <w:lastRenderedPageBreak/>
        <w:t>辦法委請會計師事務所辦理上述4項永續指標之確信作業，惟整體確信項目仍低於第一商業銀行股份有限公司等5家公股銀行之永續指標確信項數，確信資訊揭露品質仍有精進空間。鑑此，爰請臺灣銀行股份有限公司於1個月內向立法院財政委員會提出書面報告。</w:t>
      </w:r>
    </w:p>
    <w:p w14:paraId="71953511" w14:textId="7E766A18"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提案人：賴惠員　</w:t>
      </w:r>
    </w:p>
    <w:p w14:paraId="0421D3FA" w14:textId="30AE7A70"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伍麗華</w:t>
      </w:r>
    </w:p>
    <w:p w14:paraId="20CDC89B"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cs="華康細明體"/>
          <w:kern w:val="0"/>
          <w:sz w:val="32"/>
          <w:szCs w:val="32"/>
        </w:rPr>
      </w:pPr>
      <w:r w:rsidRPr="00FF341A">
        <w:rPr>
          <w:rFonts w:ascii="標楷體" w:eastAsia="標楷體" w:hAnsi="標楷體" w:hint="eastAsia"/>
          <w:sz w:val="32"/>
          <w:szCs w:val="32"/>
        </w:rPr>
        <w:t>15.查114年度</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預算案於</w:t>
      </w:r>
      <w:r w:rsidRPr="00FF341A">
        <w:rPr>
          <w:rFonts w:ascii="標楷體" w:eastAsia="標楷體" w:hAnsi="標楷體" w:hint="eastAsia"/>
          <w:kern w:val="0"/>
          <w:sz w:val="32"/>
          <w:szCs w:val="32"/>
        </w:rPr>
        <w:t>「營業費用」項下「業務費用」之「服務費用」編列37億1,176萬元。惟按112年度審計部中央政府總決算審核報告指出：「溫室氣體盤查範圍尚未納入國外營運據點，溫室氣體排放密集度卻以國內外所有營運據點員工人數計算，又永續報告書部分揭露數據未盡確實」等語。查</w:t>
      </w:r>
      <w:r w:rsidRPr="00FF341A">
        <w:rPr>
          <w:rFonts w:ascii="標楷體" w:eastAsia="標楷體" w:hAnsi="標楷體" w:hint="eastAsia"/>
          <w:sz w:val="32"/>
          <w:szCs w:val="32"/>
        </w:rPr>
        <w:t>臺灣銀行股份有限公司於111年度永續報告書揭露溫室氣體排放量為2萬3,968公噸二氧化碳當量及溫室氣體排放密集度為2.8公噸</w:t>
      </w:r>
      <w:r w:rsidRPr="00FF341A">
        <w:rPr>
          <w:rFonts w:ascii="標楷體" w:eastAsia="標楷體" w:hAnsi="標楷體"/>
          <w:sz w:val="32"/>
          <w:szCs w:val="32"/>
        </w:rPr>
        <w:t>CO2e</w:t>
      </w:r>
      <w:r w:rsidRPr="00FF341A">
        <w:rPr>
          <w:rFonts w:ascii="標楷體" w:eastAsia="標楷體" w:hAnsi="標楷體" w:hint="eastAsia"/>
          <w:sz w:val="32"/>
          <w:szCs w:val="32"/>
        </w:rPr>
        <w:t>，惟查上開溫室氣體排放量盤查範圍為總行及國內所有營運據點，溫室氣體排放密集度卻以國內外所有營運據點之員工人數計算，致有低估溫室氣體排放密集度之虞。另查該公司永續報告書揭露之總能源耗用量為16萬3,422GJ，其中外購電力使用量及能源耗用量分別為3,987萬餘度及17</w:t>
      </w:r>
      <w:r w:rsidRPr="00FF341A">
        <w:rPr>
          <w:rFonts w:ascii="標楷體" w:eastAsia="標楷體" w:hAnsi="標楷體" w:hint="eastAsia"/>
          <w:kern w:val="0"/>
          <w:sz w:val="32"/>
          <w:szCs w:val="32"/>
        </w:rPr>
        <w:t>萬</w:t>
      </w:r>
      <w:r w:rsidRPr="00FF341A">
        <w:rPr>
          <w:rFonts w:ascii="標楷體" w:eastAsia="標楷體" w:hAnsi="標楷體" w:hint="eastAsia"/>
          <w:sz w:val="32"/>
          <w:szCs w:val="32"/>
        </w:rPr>
        <w:t>3,536GJ，惟據該公司提供之書面資料，其111年度之實際耗用數量應為4,187萬餘度及15</w:t>
      </w:r>
      <w:r w:rsidRPr="00FF341A">
        <w:rPr>
          <w:rFonts w:ascii="標楷體" w:eastAsia="標楷體" w:hAnsi="標楷體" w:hint="eastAsia"/>
          <w:kern w:val="0"/>
          <w:sz w:val="32"/>
          <w:szCs w:val="32"/>
        </w:rPr>
        <w:t>萬</w:t>
      </w:r>
      <w:r w:rsidRPr="00FF341A">
        <w:rPr>
          <w:rFonts w:ascii="標楷體" w:eastAsia="標楷體" w:hAnsi="標楷體" w:hint="eastAsia"/>
          <w:sz w:val="32"/>
          <w:szCs w:val="32"/>
        </w:rPr>
        <w:t>0,736GJ。</w:t>
      </w:r>
      <w:r w:rsidRPr="00FF341A">
        <w:rPr>
          <w:rFonts w:ascii="標楷體" w:eastAsia="標楷體" w:hAnsi="標楷體" w:hint="eastAsia"/>
          <w:kern w:val="0"/>
          <w:sz w:val="32"/>
          <w:szCs w:val="32"/>
        </w:rPr>
        <w:t>鑑此，爰請臺灣銀行股份有限公司</w:t>
      </w:r>
      <w:r w:rsidRPr="00FF341A">
        <w:rPr>
          <w:rFonts w:ascii="標楷體" w:eastAsia="標楷體" w:hAnsi="標楷體" w:hint="eastAsia"/>
          <w:sz w:val="32"/>
          <w:szCs w:val="32"/>
        </w:rPr>
        <w:t>於1個月內向立法院財政委員會提出書面報告。</w:t>
      </w:r>
    </w:p>
    <w:p w14:paraId="1195B149" w14:textId="4BC26FA9"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提案人：賴惠員　伍麗華</w:t>
      </w:r>
    </w:p>
    <w:p w14:paraId="36BF023B" w14:textId="67C09FC1"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連署人：李坤城　</w:t>
      </w:r>
    </w:p>
    <w:p w14:paraId="58C55A90"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16.</w:t>
      </w:r>
      <w:r w:rsidRPr="00FF341A">
        <w:rPr>
          <w:rFonts w:ascii="標楷體" w:eastAsia="標楷體" w:hAnsi="標楷體" w:hint="eastAsia"/>
          <w:kern w:val="0"/>
          <w:sz w:val="32"/>
          <w:szCs w:val="32"/>
        </w:rPr>
        <w:t>鑑於立法院業於113年12月份通過運動產業發展條例第7條之3增訂，明定政府有建立防治運動賭博之信託基金機制義務，然查過去1年立法院財政委員會多次針對相關業務委請臺灣銀行股份有限公司進行研究協助，迄今卻未見相關具體進度。為促使臺灣銀行股份有限公司積極因應相關需求，爰</w:t>
      </w:r>
      <w:r w:rsidRPr="00FF341A">
        <w:rPr>
          <w:rFonts w:ascii="標楷體" w:eastAsia="標楷體" w:hAnsi="標楷體" w:hint="eastAsia"/>
          <w:kern w:val="0"/>
          <w:sz w:val="32"/>
          <w:szCs w:val="32"/>
        </w:rPr>
        <w:lastRenderedPageBreak/>
        <w:t>請臺灣銀行股份有限公司配合</w:t>
      </w:r>
      <w:r w:rsidRPr="00FF341A">
        <w:rPr>
          <w:rFonts w:ascii="標楷體" w:eastAsia="標楷體" w:hAnsi="標楷體"/>
          <w:kern w:val="0"/>
          <w:sz w:val="32"/>
          <w:szCs w:val="32"/>
        </w:rPr>
        <w:t>職業籃球</w:t>
      </w:r>
      <w:r w:rsidRPr="00FF341A">
        <w:rPr>
          <w:rFonts w:ascii="標楷體" w:eastAsia="標楷體" w:hAnsi="標楷體" w:hint="eastAsia"/>
          <w:kern w:val="0"/>
          <w:sz w:val="32"/>
          <w:szCs w:val="32"/>
        </w:rPr>
        <w:t>員</w:t>
      </w:r>
      <w:r w:rsidRPr="00FF341A">
        <w:rPr>
          <w:rFonts w:ascii="標楷體" w:eastAsia="標楷體" w:hAnsi="標楷體"/>
          <w:kern w:val="0"/>
          <w:sz w:val="32"/>
          <w:szCs w:val="32"/>
        </w:rPr>
        <w:t>職業工會成立防治運動</w:t>
      </w:r>
      <w:r w:rsidRPr="00FF341A">
        <w:rPr>
          <w:rFonts w:ascii="標楷體" w:eastAsia="標楷體" w:hAnsi="標楷體" w:hint="eastAsia"/>
          <w:kern w:val="0"/>
          <w:sz w:val="32"/>
          <w:szCs w:val="32"/>
        </w:rPr>
        <w:t>賭博</w:t>
      </w:r>
      <w:r w:rsidRPr="00FF341A">
        <w:rPr>
          <w:rFonts w:ascii="標楷體" w:eastAsia="標楷體" w:hAnsi="標楷體"/>
          <w:kern w:val="0"/>
          <w:sz w:val="32"/>
          <w:szCs w:val="32"/>
        </w:rPr>
        <w:t>之</w:t>
      </w:r>
      <w:r w:rsidRPr="00FF341A">
        <w:rPr>
          <w:rFonts w:ascii="標楷體" w:eastAsia="標楷體" w:hAnsi="標楷體" w:hint="eastAsia"/>
          <w:kern w:val="0"/>
          <w:sz w:val="32"/>
          <w:szCs w:val="32"/>
        </w:rPr>
        <w:t>信託基金</w:t>
      </w:r>
      <w:r w:rsidRPr="00FF341A">
        <w:rPr>
          <w:rFonts w:ascii="標楷體" w:eastAsia="標楷體" w:hAnsi="標楷體"/>
          <w:kern w:val="0"/>
          <w:sz w:val="32"/>
          <w:szCs w:val="32"/>
        </w:rPr>
        <w:t>，</w:t>
      </w:r>
      <w:r w:rsidRPr="00FF341A">
        <w:rPr>
          <w:rFonts w:ascii="標楷體" w:eastAsia="標楷體" w:hAnsi="標楷體" w:hint="eastAsia"/>
          <w:kern w:val="0"/>
          <w:sz w:val="32"/>
          <w:szCs w:val="32"/>
        </w:rPr>
        <w:t>於半年內完成擔任信託管理銀行之建置規劃，並</w:t>
      </w:r>
      <w:r w:rsidRPr="00FF341A">
        <w:rPr>
          <w:rFonts w:ascii="標楷體" w:eastAsia="標楷體" w:hAnsi="標楷體" w:hint="eastAsia"/>
          <w:sz w:val="32"/>
          <w:szCs w:val="32"/>
        </w:rPr>
        <w:t>向立法院財政委員會提出書面報告。</w:t>
      </w:r>
    </w:p>
    <w:p w14:paraId="26302AF1" w14:textId="0C6E9318"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提案人：賴惠員</w:t>
      </w:r>
    </w:p>
    <w:p w14:paraId="20EC3738" w14:textId="0CF867DA"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連署人：伍麗華　李坤城　陳培瑜</w:t>
      </w:r>
    </w:p>
    <w:p w14:paraId="210F26C1"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sz w:val="32"/>
          <w:szCs w:val="32"/>
        </w:rPr>
        <w:t>1</w:t>
      </w:r>
      <w:r w:rsidRPr="00FF341A">
        <w:rPr>
          <w:rFonts w:ascii="標楷體" w:eastAsia="標楷體" w:hAnsi="標楷體" w:hint="eastAsia"/>
          <w:sz w:val="32"/>
          <w:szCs w:val="32"/>
        </w:rPr>
        <w:t>7.</w:t>
      </w:r>
      <w:r w:rsidRPr="00FF341A">
        <w:rPr>
          <w:rFonts w:ascii="標楷體" w:eastAsia="標楷體" w:hAnsi="標楷體" w:hint="eastAsia"/>
          <w:kern w:val="0"/>
          <w:sz w:val="32"/>
          <w:szCs w:val="32"/>
        </w:rPr>
        <w:t>臺灣銀行股份有限公司持續推出貴金屬業務並推出多樣化貴金屬商品，並維持在國內黃金市場之領導地位。按近年黃金價格持續走升，銷售收入也隨之增加，經查114年度預算案數卻低於112年度決算數，應調增預算目標，並加強高值化商品開發，吸引更多人收藏，也促進銷售動能，又臺灣銀行股份有限公司每年推出之各式紀念幣吸引民眾瘋搶，114年度預算案數應提高，爰請臺灣銀行股份有限公司針對貴金屬業務及貴金屬商品態樣精進作為為題，於2個月內向立法院財政委員會提出書面報告</w:t>
      </w:r>
      <w:r w:rsidRPr="00FF341A">
        <w:rPr>
          <w:rFonts w:ascii="標楷體" w:eastAsia="標楷體" w:hAnsi="標楷體" w:hint="eastAsia"/>
          <w:sz w:val="32"/>
          <w:szCs w:val="32"/>
        </w:rPr>
        <w:t>。</w:t>
      </w:r>
    </w:p>
    <w:p w14:paraId="5D4E718F" w14:textId="6BA2A84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提案人：顏寬恒　賴士葆　陳玉珍</w:t>
      </w:r>
    </w:p>
    <w:p w14:paraId="256764AD"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18.</w:t>
      </w:r>
      <w:r w:rsidRPr="00FF341A">
        <w:rPr>
          <w:rFonts w:ascii="標楷體" w:eastAsia="標楷體" w:hAnsi="標楷體" w:hint="eastAsia"/>
          <w:kern w:val="0"/>
          <w:sz w:val="32"/>
          <w:szCs w:val="32"/>
        </w:rPr>
        <w:t>近年來運動產業蓬勃發展，國內職業聯賽逐漸改善運動環境，提升體育在國際的能見度，臺灣銀行股份有限公司籃球隊歷史悠久，培育不少籃球國手，亦是國內職業籃球發展重要參與者之一。隨著國內職業籃球市場日益蓬勃發展，球團間競爭愈形激烈，臺灣銀行股份有限公司應積極參與國內職業聯賽，充裕籃球人才並強化球隊戰力，俾落實成立球隊之宗旨。爰請臺灣銀行股份有限公司針對臺灣銀行籃球隊未來發展及展望為題，於2個月內向立法院財政委員會提出書面報告</w:t>
      </w:r>
      <w:r w:rsidRPr="00FF341A">
        <w:rPr>
          <w:rFonts w:ascii="標楷體" w:eastAsia="標楷體" w:hAnsi="標楷體" w:hint="eastAsia"/>
          <w:sz w:val="32"/>
          <w:szCs w:val="32"/>
        </w:rPr>
        <w:t>。</w:t>
      </w:r>
    </w:p>
    <w:p w14:paraId="0A8DFFA4" w14:textId="2B5CBC2D"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提案人：顏寬恒　賴士葆　陳玉珍</w:t>
      </w:r>
    </w:p>
    <w:p w14:paraId="0494F24D"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19.</w:t>
      </w:r>
      <w:r w:rsidRPr="00FF341A">
        <w:rPr>
          <w:rFonts w:ascii="標楷體" w:eastAsia="標楷體" w:hAnsi="標楷體" w:hint="eastAsia"/>
          <w:kern w:val="0"/>
          <w:sz w:val="32"/>
          <w:szCs w:val="32"/>
        </w:rPr>
        <w:t>鑑於立法院業於113年12月份通過運動產業發展條例第7條之1、第7條之2增訂，明定各級政府與公營事業出資經營運動團隊之隊伍數量應注意性別比例平等原則、應積極輔導相關賽事之運動員工會或團體義務，查臺灣銀行股份有限公司目前僅有男子籃球隊之建置，且尚未有相關鼓勵參與運動員工</w:t>
      </w:r>
      <w:r w:rsidRPr="00FF341A">
        <w:rPr>
          <w:rFonts w:ascii="標楷體" w:eastAsia="標楷體" w:hAnsi="標楷體" w:hint="eastAsia"/>
          <w:kern w:val="0"/>
          <w:sz w:val="32"/>
          <w:szCs w:val="32"/>
        </w:rPr>
        <w:lastRenderedPageBreak/>
        <w:t>會之機制。為促使臺灣銀行股份有限公司積極因應相關修法精神，爰請臺灣銀行股份有限公司於3個月內完成相關組隊性平原則與球員工會參與改善規劃，</w:t>
      </w:r>
      <w:r w:rsidRPr="00FF341A">
        <w:rPr>
          <w:rFonts w:ascii="標楷體" w:eastAsia="標楷體" w:hAnsi="標楷體" w:hint="eastAsia"/>
          <w:sz w:val="32"/>
          <w:szCs w:val="32"/>
        </w:rPr>
        <w:t>向立法院財政委員會提出書面報告。</w:t>
      </w:r>
    </w:p>
    <w:p w14:paraId="61201E88" w14:textId="59813432"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提案人：賴惠員</w:t>
      </w:r>
    </w:p>
    <w:p w14:paraId="284027D7" w14:textId="41CC320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連署人：伍麗華　李坤城　陳培瑜</w:t>
      </w:r>
    </w:p>
    <w:p w14:paraId="4045342E"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kern w:val="0"/>
          <w:sz w:val="32"/>
          <w:szCs w:val="32"/>
        </w:rPr>
      </w:pPr>
      <w:r w:rsidRPr="00FF341A">
        <w:rPr>
          <w:rFonts w:ascii="標楷體" w:eastAsia="標楷體" w:hAnsi="標楷體" w:hint="eastAsia"/>
          <w:kern w:val="0"/>
          <w:sz w:val="32"/>
          <w:szCs w:val="32"/>
        </w:rPr>
        <w:t>20.臺灣銀行籃球隊歷史悠久，培育不少籃球國手，亦是國內職籃發展重要參與者之一。其業務收入主要來源為SBL聯賽、電視轉播權利金收入及主場門票收入、行銷補助及洋將補助等，然近年來SBL電視轉播權利金收入與門票收入均呈萎縮態勢，114年度收入預算目標僅為250萬元，而臺灣銀行股份有限公司於114年度預算案之「籃球隊經費計算表」編列籃球隊業務費用5,995萬8千元，故收支相抵後預計稅前純損5,745萬8千元。雖SBL成立有其政策目的，但隨著國內陸續成立籃球職業聯盟，故為永續經營臺灣銀行男子籃球隊，除宜積極充裕籃球人才並精進球隊管理效能，俾提升球隊競爭力，臺灣銀行股份有限公司亦應研議臺灣銀行男子籃球隊加入籃球職業聯盟的可能性，既可增加業務收入，亦俾利籃球隊未來能持續蓬勃發展，並於3個月內向立法院財政委員會提出書面報告。</w:t>
      </w:r>
    </w:p>
    <w:p w14:paraId="39EF90B8" w14:textId="78074F4D"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提案人：羅明才　李彥秀　林德福</w:t>
      </w:r>
    </w:p>
    <w:p w14:paraId="368FABAD"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21.</w:t>
      </w:r>
      <w:r w:rsidRPr="00FF341A">
        <w:rPr>
          <w:rFonts w:ascii="標楷體" w:eastAsia="標楷體" w:hAnsi="標楷體" w:hint="eastAsia"/>
          <w:kern w:val="0"/>
          <w:sz w:val="32"/>
          <w:szCs w:val="32"/>
        </w:rPr>
        <w:t>金融監督管理委員會自108年底起推出財管2.0方案，開放銀行申請並辦理億元級以上高端理財業務。臺灣銀行股份有限公司雖持續研議推動高端客戶財管業務推展計畫，經查臺灣銀行股份有限公司至今仍未取得高資產客戶適用之金融商品及服務辦理資格，不利商機拓展，臺灣銀行股份有限公司應及早研議規劃取得辦理該業務資格，俾提升國際金融市場競爭力。爰此，請臺灣銀行股份有限公司針對高資產客戶適用之金融商品及服務進度及計畫為題，於2個月內向立法院財政委員會提出書面報告。</w:t>
      </w:r>
    </w:p>
    <w:p w14:paraId="40B9D49A" w14:textId="3665E015"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lastRenderedPageBreak/>
        <w:t xml:space="preserve">　　</w:t>
      </w:r>
      <w:r w:rsidR="009D64D0" w:rsidRPr="00FF341A">
        <w:rPr>
          <w:rFonts w:ascii="標楷體" w:eastAsia="標楷體" w:hAnsi="標楷體" w:hint="eastAsia"/>
          <w:kern w:val="0"/>
          <w:sz w:val="32"/>
          <w:szCs w:val="32"/>
        </w:rPr>
        <w:t>提案人：顏寬恒　賴士葆　陳玉珍</w:t>
      </w:r>
    </w:p>
    <w:p w14:paraId="341E0019"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22.</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為國營銀行，肩負推動政策業務推動之任務，並須履行普惠金融之價值，有鑑於</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揭露主要營運項目經營趨勢，惟目前預算書所執行之政府政策，針對原住民族保留地信貸等相關業務之推動未見說明，爰請臺灣銀行股份有限公司於1個月內</w:t>
      </w:r>
      <w:r w:rsidRPr="00FF341A">
        <w:rPr>
          <w:rFonts w:ascii="標楷體" w:eastAsia="標楷體" w:hAnsi="標楷體" w:hint="eastAsia"/>
          <w:kern w:val="0"/>
          <w:sz w:val="32"/>
          <w:szCs w:val="32"/>
        </w:rPr>
        <w:t>向立法院財政委員會</w:t>
      </w:r>
      <w:r w:rsidRPr="00FF341A">
        <w:rPr>
          <w:rFonts w:ascii="標楷體" w:eastAsia="標楷體" w:hAnsi="標楷體" w:hint="eastAsia"/>
          <w:sz w:val="32"/>
          <w:szCs w:val="32"/>
        </w:rPr>
        <w:t>提出書面報告。</w:t>
      </w:r>
    </w:p>
    <w:p w14:paraId="7DF684FD" w14:textId="18DCC30B"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提案人：伍麗華　</w:t>
      </w:r>
    </w:p>
    <w:p w14:paraId="7558C9CE" w14:textId="1378F139"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連署人：吳秉叡　王世堅</w:t>
      </w:r>
    </w:p>
    <w:p w14:paraId="6A42D341"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23.114年度</w:t>
      </w:r>
      <w:r w:rsidRPr="00FF341A">
        <w:rPr>
          <w:rFonts w:ascii="標楷體" w:eastAsia="標楷體" w:hAnsi="標楷體" w:hint="eastAsia"/>
          <w:kern w:val="0"/>
          <w:sz w:val="32"/>
          <w:szCs w:val="32"/>
        </w:rPr>
        <w:t>臺灣金融控股股份有限公司</w:t>
      </w:r>
      <w:r w:rsidRPr="00FF341A">
        <w:rPr>
          <w:rFonts w:ascii="標楷體" w:eastAsia="標楷體" w:hAnsi="標楷體" w:hint="eastAsia"/>
          <w:sz w:val="32"/>
          <w:szCs w:val="32"/>
        </w:rPr>
        <w:t>預算案於「營業費用」項下「其他營業費用」之「研究發展費用」編列1,004萬3千元，較113年度預算311萬5千元增編222.41%，惟據112年度審計部中央政府總決算審核報告指出：子公司</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之整體永續指標仍低於第一商業銀行</w:t>
      </w:r>
      <w:r w:rsidRPr="00FF341A">
        <w:rPr>
          <w:rFonts w:ascii="標楷體" w:eastAsia="標楷體" w:hAnsi="標楷體" w:hint="eastAsia"/>
          <w:kern w:val="0"/>
          <w:sz w:val="32"/>
          <w:szCs w:val="32"/>
        </w:rPr>
        <w:t>股份有限公司</w:t>
      </w:r>
      <w:r w:rsidRPr="00FF341A">
        <w:rPr>
          <w:rFonts w:ascii="標楷體" w:eastAsia="標楷體" w:hAnsi="標楷體" w:hint="eastAsia"/>
          <w:sz w:val="32"/>
          <w:szCs w:val="32"/>
        </w:rPr>
        <w:t>等5家公股銀行，資訊揭露品質仍有精進空間。另據</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官方網站公開之因ESG風險而致有條件通過及未核准之貸款件數，並未揭露僅涉ESG風險之授信案件總數，且因涉ESG風險而致有條件通過/未核准之案數仍偏低。鑑此，請</w:t>
      </w:r>
      <w:r w:rsidRPr="00FF341A">
        <w:rPr>
          <w:rFonts w:ascii="標楷體" w:eastAsia="標楷體" w:hAnsi="標楷體" w:hint="eastAsia"/>
          <w:kern w:val="0"/>
          <w:sz w:val="32"/>
          <w:szCs w:val="32"/>
        </w:rPr>
        <w:t>臺灣銀行股份有限公司</w:t>
      </w:r>
      <w:r w:rsidRPr="00FF341A">
        <w:rPr>
          <w:rFonts w:ascii="標楷體" w:eastAsia="標楷體" w:hAnsi="標楷體" w:hint="eastAsia"/>
          <w:sz w:val="32"/>
          <w:szCs w:val="32"/>
        </w:rPr>
        <w:t>針對授信案件ESG檢核通過與未通過之審議程序及標準，於1個月內向立法院財政委員會提出書面報告。</w:t>
      </w:r>
    </w:p>
    <w:p w14:paraId="20AF425A" w14:textId="6387E25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提案人：王世堅　</w:t>
      </w:r>
    </w:p>
    <w:p w14:paraId="7E913316" w14:textId="70DC43B9"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郭國文</w:t>
      </w:r>
    </w:p>
    <w:p w14:paraId="2361BC45"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kern w:val="0"/>
          <w:sz w:val="32"/>
          <w:szCs w:val="32"/>
        </w:rPr>
      </w:pPr>
      <w:r w:rsidRPr="00FF341A">
        <w:rPr>
          <w:rFonts w:ascii="標楷體" w:eastAsia="標楷體" w:hAnsi="標楷體" w:hint="eastAsia"/>
          <w:kern w:val="0"/>
          <w:sz w:val="32"/>
          <w:szCs w:val="32"/>
        </w:rPr>
        <w:t>24</w:t>
      </w:r>
      <w:r w:rsidRPr="00FF341A">
        <w:rPr>
          <w:rFonts w:ascii="標楷體" w:eastAsia="標楷體" w:hAnsi="標楷體"/>
          <w:kern w:val="0"/>
          <w:sz w:val="32"/>
          <w:szCs w:val="32"/>
        </w:rPr>
        <w:t>.</w:t>
      </w:r>
      <w:r w:rsidRPr="00FF341A">
        <w:rPr>
          <w:rFonts w:ascii="標楷體" w:eastAsia="標楷體" w:hAnsi="標楷體" w:hint="eastAsia"/>
          <w:kern w:val="0"/>
          <w:sz w:val="32"/>
          <w:szCs w:val="32"/>
        </w:rPr>
        <w:t>按金融監督管理委員會銀行局統計，截至1</w:t>
      </w:r>
      <w:r w:rsidRPr="00FF341A">
        <w:rPr>
          <w:rFonts w:ascii="標楷體" w:eastAsia="標楷體" w:hAnsi="標楷體"/>
          <w:kern w:val="0"/>
          <w:sz w:val="32"/>
          <w:szCs w:val="32"/>
        </w:rPr>
        <w:t>13</w:t>
      </w:r>
      <w:r w:rsidRPr="00FF341A">
        <w:rPr>
          <w:rFonts w:ascii="標楷體" w:eastAsia="標楷體" w:hAnsi="標楷體" w:hint="eastAsia"/>
          <w:kern w:val="0"/>
          <w:sz w:val="32"/>
          <w:szCs w:val="32"/>
        </w:rPr>
        <w:t>年第三季底止，12家銀行審核通過億級以上高資產客戶數已達1萬0</w:t>
      </w:r>
      <w:r w:rsidRPr="00FF341A">
        <w:rPr>
          <w:rFonts w:ascii="標楷體" w:eastAsia="標楷體" w:hAnsi="標楷體"/>
          <w:kern w:val="0"/>
          <w:sz w:val="32"/>
          <w:szCs w:val="32"/>
        </w:rPr>
        <w:t>,</w:t>
      </w:r>
      <w:r w:rsidRPr="00FF341A">
        <w:rPr>
          <w:rFonts w:ascii="標楷體" w:eastAsia="標楷體" w:hAnsi="標楷體" w:hint="eastAsia"/>
          <w:kern w:val="0"/>
          <w:sz w:val="32"/>
          <w:szCs w:val="32"/>
        </w:rPr>
        <w:t>585人；銀行高資產客戶資產管理規模達1兆2</w:t>
      </w:r>
      <w:r w:rsidRPr="00FF341A">
        <w:rPr>
          <w:rFonts w:ascii="標楷體" w:eastAsia="標楷體" w:hAnsi="標楷體"/>
          <w:kern w:val="0"/>
          <w:sz w:val="32"/>
          <w:szCs w:val="32"/>
        </w:rPr>
        <w:t>,</w:t>
      </w:r>
      <w:r w:rsidRPr="00FF341A">
        <w:rPr>
          <w:rFonts w:ascii="標楷體" w:eastAsia="標楷體" w:hAnsi="標楷體" w:hint="eastAsia"/>
          <w:kern w:val="0"/>
          <w:sz w:val="32"/>
          <w:szCs w:val="32"/>
        </w:rPr>
        <w:t>768億元，較110年底之2,077億元，足足增長了六倍，顯見市場商機成長極為快速。鑑於高階客製化財富管理業務極具商機與市場潛力，然臺灣銀行股份有限公司迄今卻未取得「高資產客戶適用之金融商品及服務」辦理資格，以致雖有專業證照人才和</w:t>
      </w:r>
      <w:r w:rsidRPr="00FF341A">
        <w:rPr>
          <w:rFonts w:ascii="標楷體" w:eastAsia="標楷體" w:hAnsi="標楷體" w:hint="eastAsia"/>
          <w:kern w:val="0"/>
          <w:sz w:val="32"/>
          <w:szCs w:val="32"/>
        </w:rPr>
        <w:lastRenderedPageBreak/>
        <w:t>整合型團隊支援，卻未能實際投入市場競爭，不利於商機拓展，爰要求臺灣銀行股份有限公司及早研議規劃取得辦理該業務資格，俾提升國際金融市場競爭力，並於3個月內向立法院財政委員會提出書面報告。</w:t>
      </w:r>
    </w:p>
    <w:p w14:paraId="77805E7B" w14:textId="6BABB3E2"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提案人：羅明才　李彥秀　林德福</w:t>
      </w:r>
    </w:p>
    <w:p w14:paraId="12B59676"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25.</w:t>
      </w:r>
      <w:r w:rsidRPr="00FF341A">
        <w:rPr>
          <w:rFonts w:ascii="標楷體" w:eastAsia="標楷體" w:hAnsi="標楷體" w:hint="eastAsia"/>
          <w:kern w:val="0"/>
          <w:sz w:val="32"/>
          <w:szCs w:val="32"/>
        </w:rPr>
        <w:t>有鑑於國內面對少子女化，不少企業紛紛祭出生育補貼鼓勵，近來公股銀行亦積極配合政府政策，為員工提高生育補助津貼，目前第1胎補助金額10萬元以上者至少5家以上，臺灣銀行股份有限公司雖有提供補助，惟金額遠低於財政部所屬泛公股行庫，宜積極研議。爰要求臺灣金控集團響應政府職場友善育兒政策，緩解少子化危機，應提高所屬員工生育津貼至少12萬元以上，逕於費用項下列支，免受用人費限額之限制，以提升年輕人對於生育之意願，於1個月內</w:t>
      </w:r>
      <w:r w:rsidRPr="00FF341A">
        <w:rPr>
          <w:rFonts w:ascii="標楷體" w:eastAsia="標楷體" w:hAnsi="標楷體" w:hint="eastAsia"/>
          <w:sz w:val="32"/>
          <w:szCs w:val="32"/>
        </w:rPr>
        <w:t>向立法院財政委員會</w:t>
      </w:r>
      <w:r w:rsidRPr="00FF341A">
        <w:rPr>
          <w:rFonts w:ascii="標楷體" w:eastAsia="標楷體" w:hAnsi="標楷體" w:hint="eastAsia"/>
          <w:kern w:val="0"/>
          <w:sz w:val="32"/>
          <w:szCs w:val="32"/>
        </w:rPr>
        <w:t>提出書面報告</w:t>
      </w:r>
      <w:r w:rsidRPr="00FF341A">
        <w:rPr>
          <w:rFonts w:ascii="標楷體" w:eastAsia="標楷體" w:hAnsi="標楷體" w:hint="eastAsia"/>
          <w:sz w:val="32"/>
          <w:szCs w:val="32"/>
        </w:rPr>
        <w:t>。</w:t>
      </w:r>
    </w:p>
    <w:p w14:paraId="5B59F76B" w14:textId="30B1EE9B"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提案人：賴士葆　林德福　陳玉珍</w:t>
      </w:r>
    </w:p>
    <w:p w14:paraId="2575B9CF"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26.</w:t>
      </w:r>
      <w:r w:rsidRPr="00FF341A">
        <w:rPr>
          <w:rFonts w:ascii="標楷體" w:eastAsia="標楷體" w:hAnsi="標楷體" w:hint="eastAsia"/>
          <w:kern w:val="0"/>
          <w:sz w:val="32"/>
          <w:szCs w:val="32"/>
        </w:rPr>
        <w:t>有鑑於臺灣銀行股份有限公司2.4個月績效獎金主要以稅前盈餘之預算達成率110%為標準，超額盈餘無法發放績效獎金，為激勵所屬員工工作效率。爰要求臺灣金控集團對當年度盈餘超過法定數時，應針對超額盈餘部分再提列10%至20%發給員工分紅，逕於費用項下列支，免受用人費限額之限制，以吸引人才留任，於1個月內</w:t>
      </w:r>
      <w:r w:rsidRPr="00FF341A">
        <w:rPr>
          <w:rFonts w:ascii="標楷體" w:eastAsia="標楷體" w:hAnsi="標楷體" w:hint="eastAsia"/>
          <w:sz w:val="32"/>
          <w:szCs w:val="32"/>
        </w:rPr>
        <w:t>向立法院財政委員會提出書面報告。</w:t>
      </w:r>
    </w:p>
    <w:p w14:paraId="3066104B" w14:textId="6B9CD6EF"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提案人：賴士葆　林德福　陳玉珍</w:t>
      </w:r>
    </w:p>
    <w:p w14:paraId="568BDBC5"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27.</w:t>
      </w:r>
      <w:r w:rsidRPr="00FF341A">
        <w:rPr>
          <w:rFonts w:ascii="標楷體" w:eastAsia="標楷體" w:hAnsi="標楷體" w:hint="eastAsia"/>
          <w:kern w:val="0"/>
          <w:sz w:val="32"/>
          <w:szCs w:val="32"/>
        </w:rPr>
        <w:t>有鑑於新制勞退中，雇主每個月必須為勞工至少提繳工資的6%，存到勞工的退休金個人專戶中，除了雇主提繳以外，勞工自己也可以選擇勞退自提，以有效理財規劃與節稅效果，另考量97年後進用員工已無13%優惠存款。爰要求臺灣金控集團比照新制勞退雇主每個月必須為勞工至少提繳1</w:t>
      </w:r>
      <w:r w:rsidRPr="00FF341A">
        <w:rPr>
          <w:rFonts w:ascii="標楷體" w:eastAsia="標楷體" w:hAnsi="標楷體"/>
          <w:kern w:val="0"/>
          <w:sz w:val="32"/>
          <w:szCs w:val="32"/>
        </w:rPr>
        <w:t>,</w:t>
      </w:r>
      <w:r w:rsidRPr="00FF341A">
        <w:rPr>
          <w:rFonts w:ascii="標楷體" w:eastAsia="標楷體" w:hAnsi="標楷體" w:hint="eastAsia"/>
          <w:kern w:val="0"/>
          <w:sz w:val="32"/>
          <w:szCs w:val="32"/>
        </w:rPr>
        <w:t>500元，員工也對等提繳，雇主提列部分於費用項下列支，免受</w:t>
      </w:r>
      <w:r w:rsidRPr="00FF341A">
        <w:rPr>
          <w:rFonts w:ascii="標楷體" w:eastAsia="標楷體" w:hAnsi="標楷體" w:hint="eastAsia"/>
          <w:kern w:val="0"/>
          <w:sz w:val="32"/>
          <w:szCs w:val="32"/>
        </w:rPr>
        <w:lastRenderedPageBreak/>
        <w:t>用人費限額之限制，存入員工退休金理財專戶投資上市櫃公股銀行</w:t>
      </w:r>
      <w:r w:rsidRPr="00FF341A">
        <w:rPr>
          <w:rFonts w:ascii="標楷體" w:eastAsia="標楷體" w:hAnsi="標楷體" w:hint="eastAsia"/>
          <w:sz w:val="32"/>
          <w:szCs w:val="32"/>
        </w:rPr>
        <w:t>，於1個月內向立法院財政委員會提出書面報告。</w:t>
      </w:r>
    </w:p>
    <w:p w14:paraId="4E7AFC31" w14:textId="6A6BCFB7"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提案人：賴士葆　林德福　陳玉珍　</w:t>
      </w:r>
    </w:p>
    <w:p w14:paraId="5F29C5A8"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28.</w:t>
      </w:r>
      <w:r w:rsidRPr="00FF341A">
        <w:rPr>
          <w:rFonts w:ascii="標楷體" w:eastAsia="標楷體" w:hAnsi="標楷體" w:hint="eastAsia"/>
          <w:kern w:val="0"/>
          <w:sz w:val="32"/>
          <w:szCs w:val="32"/>
        </w:rPr>
        <w:t>臺銀人壽保險股份有限公司</w:t>
      </w:r>
      <w:r w:rsidRPr="00FF341A">
        <w:rPr>
          <w:rFonts w:ascii="標楷體" w:eastAsia="標楷體" w:hAnsi="標楷體" w:hint="eastAsia"/>
          <w:sz w:val="32"/>
          <w:szCs w:val="32"/>
        </w:rPr>
        <w:t>連年持續虧損，母公司臺灣金融控股股份有限公司於113年度預計再度舉借100億元債務以支應臺銀人壽保險股份有限公司之現金增資，然自98年開始臺灣金融控股股份有限公司已為臺銀人壽保險股份有限公司進行多次舉債注資，使臺銀人壽保險股份有限公司資本額從一開始的50億元，一路膨脹到495億元，於我國已排名第八大，然獲益表現卻遠遠落後。臺銀人壽保險股份有限公司雖可預見113年度將轉虧為盈，然此並無加上臺灣金融控股股份有限公司為其負擔的隱藏資金成本，臺銀人壽保險股份有限公司已成立近20年，財務上仍應持續加強，創造獲利，避免一再依靠臺灣金融控股股份有限公司注資。爰要求臺銀人壽保險股份有限公司就如何提升經營績效，於4個月內向立法院財政委員會提出書面報告。</w:t>
      </w:r>
    </w:p>
    <w:p w14:paraId="6090A069" w14:textId="79B0735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提案人：吳秉叡</w:t>
      </w:r>
    </w:p>
    <w:p w14:paraId="2766C8F1" w14:textId="736B7493"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連署人：李坤城　賴惠員　</w:t>
      </w:r>
    </w:p>
    <w:p w14:paraId="2D379580"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29.金融監督管理委員會近年來發布多項永續轉型政策，公司治理3.0永續發展藍圖、綠色金融行動方案3.0、上市櫃公司永續發展路徑圖與行動方案、保險業氣候相關風險財務揭露指引等。113年10月發布綠色及轉型金融行動方案期能擴大金融支持面向與力度，協力政府與企業推動淨零轉型。臺銀人壽保險股份有限公司針對淨零轉型之相關措施及規劃為何，請於3個月內向立法院財政委員會提出書面報告。</w:t>
      </w:r>
    </w:p>
    <w:p w14:paraId="486F2212" w14:textId="5FED592A"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提案人：郭國文　</w:t>
      </w:r>
    </w:p>
    <w:p w14:paraId="6A7AECD2" w14:textId="5D2903A5"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連署人：伍麗華　王世堅</w:t>
      </w:r>
    </w:p>
    <w:p w14:paraId="08DC1DCB"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30.鑑於115年度保險業將實施IFRS 17及新一代清償能力制度，未來保險合約負債及金融資產需以公允價值衡量及表達，據媒體報導，初估全體壽險將有8,000至9,000億元增資缺口危</w:t>
      </w:r>
      <w:r w:rsidRPr="00FF341A">
        <w:rPr>
          <w:rFonts w:ascii="標楷體" w:eastAsia="標楷體" w:hAnsi="標楷體" w:hint="eastAsia"/>
          <w:sz w:val="32"/>
          <w:szCs w:val="32"/>
        </w:rPr>
        <w:lastRenderedPageBreak/>
        <w:t>機，也因此這兩年壽險業除了積極現增、商品轉型之外，還掀起發債搶錢潮，近兩年以來已有壽險業者陸續發行次順位債，經核准發行額度總計高達3</w:t>
      </w:r>
      <w:r w:rsidRPr="00FF341A">
        <w:rPr>
          <w:rFonts w:ascii="標楷體" w:eastAsia="標楷體" w:hAnsi="標楷體"/>
          <w:sz w:val="32"/>
          <w:szCs w:val="32"/>
        </w:rPr>
        <w:t>,</w:t>
      </w:r>
      <w:r w:rsidRPr="00FF341A">
        <w:rPr>
          <w:rFonts w:ascii="標楷體" w:eastAsia="標楷體" w:hAnsi="標楷體" w:hint="eastAsia"/>
          <w:sz w:val="32"/>
          <w:szCs w:val="32"/>
        </w:rPr>
        <w:t>000餘億元。經查臺銀人壽保險股份有限公司為因應接軌監理新制及提升經營彈性、爭取獲利契機等需要，於</w:t>
      </w:r>
      <w:r w:rsidRPr="00FF341A">
        <w:rPr>
          <w:rFonts w:ascii="標楷體" w:eastAsia="標楷體" w:hAnsi="標楷體"/>
          <w:sz w:val="32"/>
          <w:szCs w:val="32"/>
        </w:rPr>
        <w:t>114</w:t>
      </w:r>
      <w:r w:rsidRPr="00FF341A">
        <w:rPr>
          <w:rFonts w:ascii="標楷體" w:eastAsia="標楷體" w:hAnsi="標楷體" w:hint="eastAsia"/>
          <w:sz w:val="32"/>
          <w:szCs w:val="32"/>
        </w:rPr>
        <w:t>年度編列增資</w:t>
      </w:r>
      <w:r w:rsidRPr="00FF341A">
        <w:rPr>
          <w:rFonts w:ascii="標楷體" w:eastAsia="標楷體" w:hAnsi="標楷體"/>
          <w:sz w:val="32"/>
          <w:szCs w:val="32"/>
        </w:rPr>
        <w:t>100</w:t>
      </w:r>
      <w:r w:rsidRPr="00FF341A">
        <w:rPr>
          <w:rFonts w:ascii="標楷體" w:eastAsia="標楷體" w:hAnsi="標楷體" w:hint="eastAsia"/>
          <w:sz w:val="32"/>
          <w:szCs w:val="32"/>
        </w:rPr>
        <w:t>億元之需求，對於接軌</w:t>
      </w:r>
      <w:r w:rsidRPr="00FF341A">
        <w:rPr>
          <w:rFonts w:ascii="標楷體" w:eastAsia="標楷體" w:hAnsi="標楷體"/>
          <w:sz w:val="32"/>
          <w:szCs w:val="32"/>
        </w:rPr>
        <w:t>IFRS 17</w:t>
      </w:r>
      <w:r w:rsidRPr="00FF341A">
        <w:rPr>
          <w:rFonts w:ascii="標楷體" w:eastAsia="標楷體" w:hAnsi="標楷體" w:hint="eastAsia"/>
          <w:sz w:val="32"/>
          <w:szCs w:val="32"/>
        </w:rPr>
        <w:t>及新一代清償能力制度，應審慎評估其資本缺口是否適足，以健全資本結構，請於3個月內向立法院財政委員會提出書面報告。</w:t>
      </w:r>
    </w:p>
    <w:p w14:paraId="7F6F9EA1" w14:textId="7B9B30E3"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提案人：王世堅　</w:t>
      </w:r>
    </w:p>
    <w:p w14:paraId="782574EE" w14:textId="5F43AC9F"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連署人：李坤城　郭國文</w:t>
      </w:r>
    </w:p>
    <w:p w14:paraId="5003C4C6" w14:textId="77777777" w:rsidR="009D64D0" w:rsidRPr="00FF341A" w:rsidRDefault="009D64D0" w:rsidP="00F470A8">
      <w:pPr>
        <w:overflowPunct w:val="0"/>
        <w:autoSpaceDE w:val="0"/>
        <w:spacing w:line="48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31.</w:t>
      </w:r>
      <w:r w:rsidRPr="00FF341A">
        <w:rPr>
          <w:rFonts w:ascii="標楷體" w:eastAsia="標楷體" w:hAnsi="標楷體" w:hint="eastAsia"/>
          <w:kern w:val="0"/>
          <w:sz w:val="32"/>
          <w:szCs w:val="32"/>
        </w:rPr>
        <w:t>股市熱潮讓各家證券商獲利表現亮眼，30歲以下年輕族群，累計開戶人口已達228萬6千人，占比近17.44%。如何抓住年輕人的心，已成為證券商必要課題，也是展望未來獲利的關鍵；隨著金融科技的發展，越來越多投資人偏好使用線上平台辦理相關業務，臺銀綜合證券股份有限公司線上開戶業務於112年開辦至今，推廣效果仍有進步空間，對於某些年輕族群及科技熟悉度較高的潛在客戶吸引力不足。爰要求臺銀綜合證券股份有限公司於1個月內就線上開戶業務推廣策略、提升服務使用效率，進一步擴大線上開戶比例，</w:t>
      </w:r>
      <w:r w:rsidRPr="00FF341A">
        <w:rPr>
          <w:rFonts w:ascii="標楷體" w:eastAsia="標楷體" w:hAnsi="標楷體" w:hint="eastAsia"/>
          <w:sz w:val="32"/>
          <w:szCs w:val="32"/>
        </w:rPr>
        <w:t>向立法院財政委員會</w:t>
      </w:r>
      <w:r w:rsidRPr="00FF341A">
        <w:rPr>
          <w:rFonts w:ascii="標楷體" w:eastAsia="標楷體" w:hAnsi="標楷體" w:hint="eastAsia"/>
          <w:kern w:val="0"/>
          <w:sz w:val="32"/>
          <w:szCs w:val="32"/>
        </w:rPr>
        <w:t>提出改善作為書面報告。</w:t>
      </w:r>
    </w:p>
    <w:p w14:paraId="3BA0B294" w14:textId="597777ED"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提案人：郭國文　</w:t>
      </w:r>
    </w:p>
    <w:p w14:paraId="1EEF98A8" w14:textId="68F8E344" w:rsidR="009D64D0" w:rsidRPr="00FF341A" w:rsidRDefault="00514B1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連署人：伍麗華　王世堅</w:t>
      </w:r>
    </w:p>
    <w:p w14:paraId="68C0240B" w14:textId="77777777" w:rsidR="009D64D0" w:rsidRPr="00FF341A" w:rsidRDefault="009D64D0" w:rsidP="00F470A8">
      <w:pPr>
        <w:overflowPunct w:val="0"/>
        <w:autoSpaceDE w:val="0"/>
        <w:spacing w:line="460" w:lineRule="exact"/>
        <w:ind w:leftChars="300" w:left="1200" w:hangingChars="150" w:hanging="480"/>
        <w:jc w:val="both"/>
        <w:rPr>
          <w:rFonts w:ascii="標楷體" w:eastAsia="標楷體" w:hAnsi="標楷體"/>
          <w:sz w:val="32"/>
          <w:szCs w:val="32"/>
        </w:rPr>
      </w:pPr>
      <w:r w:rsidRPr="00FF341A">
        <w:rPr>
          <w:rFonts w:ascii="標楷體" w:eastAsia="標楷體" w:hAnsi="標楷體" w:hint="eastAsia"/>
          <w:sz w:val="32"/>
          <w:szCs w:val="32"/>
        </w:rPr>
        <w:t>32.臺銀綜合證券股份有限公司屬於國營事業，與其他同業相比，應有更高的行為標準，並應堅持國營事業的優質服務理念，確實執行公平待客原則政策，惟</w:t>
      </w:r>
      <w:r w:rsidRPr="00FF341A">
        <w:rPr>
          <w:rFonts w:ascii="標楷體" w:eastAsia="標楷體" w:hAnsi="標楷體" w:hint="eastAsia"/>
          <w:kern w:val="0"/>
          <w:sz w:val="32"/>
          <w:szCs w:val="32"/>
        </w:rPr>
        <w:t>臺銀綜合證券股份有限公司</w:t>
      </w:r>
      <w:r w:rsidRPr="00FF341A">
        <w:rPr>
          <w:rFonts w:ascii="標楷體" w:eastAsia="標楷體" w:hAnsi="標楷體" w:hint="eastAsia"/>
          <w:sz w:val="32"/>
          <w:szCs w:val="32"/>
        </w:rPr>
        <w:t>在110及112年</w:t>
      </w:r>
      <w:r w:rsidRPr="00FF341A">
        <w:rPr>
          <w:rFonts w:ascii="標楷體" w:eastAsia="標楷體" w:hAnsi="標楷體" w:hint="eastAsia"/>
          <w:kern w:val="0"/>
          <w:sz w:val="32"/>
          <w:szCs w:val="32"/>
        </w:rPr>
        <w:t>金融監督管理委員會</w:t>
      </w:r>
      <w:r w:rsidRPr="00FF341A">
        <w:rPr>
          <w:rFonts w:ascii="標楷體" w:eastAsia="標楷體" w:hAnsi="標楷體" w:hint="eastAsia"/>
          <w:sz w:val="32"/>
          <w:szCs w:val="32"/>
        </w:rPr>
        <w:t>的綜合券商評核中，未能進入前25%，允宜積極改善，請</w:t>
      </w:r>
      <w:r w:rsidRPr="00FF341A">
        <w:rPr>
          <w:rFonts w:ascii="標楷體" w:eastAsia="標楷體" w:hAnsi="標楷體" w:hint="eastAsia"/>
          <w:kern w:val="0"/>
          <w:sz w:val="32"/>
          <w:szCs w:val="32"/>
        </w:rPr>
        <w:t>臺銀綜合證券股份有限公司</w:t>
      </w:r>
      <w:r w:rsidRPr="00FF341A">
        <w:rPr>
          <w:rFonts w:ascii="標楷體" w:eastAsia="標楷體" w:hAnsi="標楷體" w:hint="eastAsia"/>
          <w:sz w:val="32"/>
          <w:szCs w:val="32"/>
        </w:rPr>
        <w:t>檢視未被列入績優證券商之原因，並於1個月內向立法院財政委員會提出改善執行公平待客之書面報告。</w:t>
      </w:r>
    </w:p>
    <w:p w14:paraId="2E33B0FC" w14:textId="6DD222B7" w:rsidR="009D64D0" w:rsidRPr="00FF341A"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t xml:space="preserve">　　</w:t>
      </w:r>
      <w:r w:rsidR="009D64D0" w:rsidRPr="00FF341A">
        <w:rPr>
          <w:rFonts w:ascii="標楷體" w:eastAsia="標楷體" w:hAnsi="標楷體" w:hint="eastAsia"/>
          <w:kern w:val="0"/>
          <w:sz w:val="32"/>
          <w:szCs w:val="32"/>
        </w:rPr>
        <w:t xml:space="preserve">提案人：王世堅　</w:t>
      </w:r>
    </w:p>
    <w:p w14:paraId="1019781C" w14:textId="49E2572E" w:rsidR="009D64D0" w:rsidRPr="00FF341A" w:rsidRDefault="00514B16" w:rsidP="00F470A8">
      <w:pPr>
        <w:widowControl w:val="0"/>
        <w:overflowPunct w:val="0"/>
        <w:autoSpaceDE w:val="0"/>
        <w:adjustRightInd w:val="0"/>
        <w:snapToGrid w:val="0"/>
        <w:spacing w:line="460" w:lineRule="exact"/>
        <w:ind w:leftChars="1089" w:left="3916" w:hangingChars="407" w:hanging="1302"/>
        <w:textAlignment w:val="auto"/>
        <w:rPr>
          <w:rFonts w:ascii="標楷體" w:eastAsia="標楷體" w:hAnsi="標楷體"/>
          <w:kern w:val="0"/>
          <w:sz w:val="32"/>
          <w:szCs w:val="32"/>
        </w:rPr>
      </w:pPr>
      <w:r w:rsidRPr="00FF341A">
        <w:rPr>
          <w:rFonts w:ascii="標楷體" w:eastAsia="標楷體" w:hAnsi="標楷體" w:hint="eastAsia"/>
          <w:kern w:val="0"/>
          <w:sz w:val="32"/>
          <w:szCs w:val="32"/>
        </w:rPr>
        <w:lastRenderedPageBreak/>
        <w:t xml:space="preserve">　　</w:t>
      </w:r>
      <w:r w:rsidR="009D64D0" w:rsidRPr="00FF341A">
        <w:rPr>
          <w:rFonts w:ascii="標楷體" w:eastAsia="標楷體" w:hAnsi="標楷體" w:hint="eastAsia"/>
          <w:kern w:val="0"/>
          <w:sz w:val="32"/>
          <w:szCs w:val="32"/>
        </w:rPr>
        <w:t>連署人：李坤城　郭國文</w:t>
      </w:r>
    </w:p>
    <w:p w14:paraId="21125CF3" w14:textId="7ADF85A3" w:rsidR="00865BBE" w:rsidRPr="001D6150" w:rsidRDefault="009D64D0" w:rsidP="00F470A8">
      <w:pPr>
        <w:overflowPunct w:val="0"/>
        <w:autoSpaceDE w:val="0"/>
        <w:spacing w:beforeLines="50" w:before="180" w:line="460" w:lineRule="exact"/>
        <w:jc w:val="both"/>
        <w:rPr>
          <w:rFonts w:ascii="標楷體" w:eastAsia="標楷體" w:hAnsi="標楷體" w:cs="Courier New"/>
          <w:bCs/>
          <w:sz w:val="32"/>
          <w:szCs w:val="32"/>
        </w:rPr>
      </w:pPr>
      <w:r w:rsidRPr="00FF341A">
        <w:rPr>
          <w:rFonts w:ascii="標楷體" w:eastAsia="標楷體" w:hAnsi="標楷體" w:cs="Courier New" w:hint="eastAsia"/>
          <w:b/>
          <w:sz w:val="32"/>
          <w:szCs w:val="32"/>
        </w:rPr>
        <w:t>散會</w:t>
      </w:r>
      <w:r w:rsidR="00865BBE">
        <w:rPr>
          <w:rFonts w:ascii="標楷體" w:eastAsia="標楷體" w:hAnsi="標楷體"/>
          <w:b/>
          <w:spacing w:val="-20"/>
          <w:sz w:val="36"/>
          <w:szCs w:val="36"/>
        </w:rPr>
        <w:br w:type="page"/>
      </w:r>
    </w:p>
    <w:p w14:paraId="5884A4BA"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43" w:name="_Toc189487330"/>
      <w:r w:rsidRPr="0008203A">
        <w:rPr>
          <w:rFonts w:ascii="標楷體" w:eastAsia="標楷體" w:hAnsi="標楷體" w:hint="eastAsia"/>
          <w:b/>
          <w:spacing w:val="-20"/>
          <w:sz w:val="32"/>
          <w:szCs w:val="32"/>
        </w:rPr>
        <w:lastRenderedPageBreak/>
        <w:t>立法院第1</w:t>
      </w:r>
      <w:r w:rsidRPr="0008203A">
        <w:rPr>
          <w:rFonts w:ascii="標楷體" w:eastAsia="標楷體" w:hAnsi="標楷體"/>
          <w:b/>
          <w:spacing w:val="-20"/>
          <w:sz w:val="32"/>
          <w:szCs w:val="32"/>
        </w:rPr>
        <w:t>1</w:t>
      </w:r>
      <w:r w:rsidRPr="0008203A">
        <w:rPr>
          <w:rFonts w:ascii="標楷體" w:eastAsia="標楷體" w:hAnsi="標楷體" w:hint="eastAsia"/>
          <w:b/>
          <w:spacing w:val="-20"/>
          <w:sz w:val="32"/>
          <w:szCs w:val="32"/>
        </w:rPr>
        <w:t>屆第</w:t>
      </w:r>
      <w:r w:rsidRPr="0008203A">
        <w:rPr>
          <w:rFonts w:ascii="標楷體" w:eastAsia="標楷體" w:hAnsi="標楷體"/>
          <w:b/>
          <w:spacing w:val="-20"/>
          <w:sz w:val="32"/>
          <w:szCs w:val="32"/>
        </w:rPr>
        <w:t>2</w:t>
      </w:r>
      <w:r w:rsidRPr="0008203A">
        <w:rPr>
          <w:rFonts w:ascii="標楷體" w:eastAsia="標楷體" w:hAnsi="標楷體" w:hint="eastAsia"/>
          <w:b/>
          <w:spacing w:val="-20"/>
          <w:sz w:val="32"/>
          <w:szCs w:val="32"/>
        </w:rPr>
        <w:t>會期財政委員會第14次全體委員會議議事錄</w:t>
      </w:r>
      <w:bookmarkEnd w:id="143"/>
    </w:p>
    <w:p w14:paraId="73B0543A" w14:textId="77777777" w:rsidR="009D64D0" w:rsidRPr="00241224"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時　　間　中華民國113年12月30日（星期一）9時</w:t>
      </w:r>
      <w:r w:rsidRPr="00241224">
        <w:rPr>
          <w:rFonts w:ascii="標楷體" w:eastAsia="標楷體" w:hAnsi="標楷體"/>
          <w:color w:val="000000" w:themeColor="text1"/>
          <w:kern w:val="2"/>
          <w:sz w:val="32"/>
          <w:szCs w:val="32"/>
        </w:rPr>
        <w:t>5</w:t>
      </w:r>
      <w:r w:rsidRPr="00241224">
        <w:rPr>
          <w:rFonts w:ascii="標楷體" w:eastAsia="標楷體" w:hAnsi="標楷體" w:hint="eastAsia"/>
          <w:color w:val="000000" w:themeColor="text1"/>
          <w:kern w:val="2"/>
          <w:sz w:val="32"/>
          <w:szCs w:val="32"/>
        </w:rPr>
        <w:t>分至1</w:t>
      </w:r>
      <w:r w:rsidRPr="00241224">
        <w:rPr>
          <w:rFonts w:ascii="標楷體" w:eastAsia="標楷體" w:hAnsi="標楷體"/>
          <w:color w:val="000000" w:themeColor="text1"/>
          <w:kern w:val="2"/>
          <w:sz w:val="32"/>
          <w:szCs w:val="32"/>
        </w:rPr>
        <w:t>3</w:t>
      </w:r>
      <w:r w:rsidRPr="00241224">
        <w:rPr>
          <w:rFonts w:ascii="標楷體" w:eastAsia="標楷體" w:hAnsi="標楷體" w:hint="eastAsia"/>
          <w:color w:val="000000" w:themeColor="text1"/>
          <w:kern w:val="2"/>
          <w:sz w:val="32"/>
          <w:szCs w:val="32"/>
        </w:rPr>
        <w:t>時1</w:t>
      </w:r>
      <w:r w:rsidRPr="00241224">
        <w:rPr>
          <w:rFonts w:ascii="標楷體" w:eastAsia="標楷體" w:hAnsi="標楷體"/>
          <w:color w:val="000000" w:themeColor="text1"/>
          <w:kern w:val="2"/>
          <w:sz w:val="32"/>
          <w:szCs w:val="32"/>
        </w:rPr>
        <w:t>0</w:t>
      </w:r>
      <w:r w:rsidRPr="00241224">
        <w:rPr>
          <w:rFonts w:ascii="標楷體" w:eastAsia="標楷體" w:hAnsi="標楷體" w:hint="eastAsia"/>
          <w:color w:val="000000" w:themeColor="text1"/>
          <w:kern w:val="2"/>
          <w:sz w:val="32"/>
          <w:szCs w:val="32"/>
        </w:rPr>
        <w:t>分</w:t>
      </w:r>
    </w:p>
    <w:p w14:paraId="4E9C1B0C" w14:textId="77777777" w:rsidR="009D64D0" w:rsidRPr="00241224"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 xml:space="preserve">　　　　　中華民國114年1月2日（星期四）9時3分至1</w:t>
      </w:r>
      <w:r w:rsidRPr="00241224">
        <w:rPr>
          <w:rFonts w:ascii="標楷體" w:eastAsia="標楷體" w:hAnsi="標楷體"/>
          <w:color w:val="000000" w:themeColor="text1"/>
          <w:kern w:val="2"/>
          <w:sz w:val="32"/>
          <w:szCs w:val="32"/>
        </w:rPr>
        <w:t>3</w:t>
      </w:r>
      <w:r w:rsidRPr="00241224">
        <w:rPr>
          <w:rFonts w:ascii="標楷體" w:eastAsia="標楷體" w:hAnsi="標楷體" w:hint="eastAsia"/>
          <w:color w:val="000000" w:themeColor="text1"/>
          <w:kern w:val="2"/>
          <w:sz w:val="32"/>
          <w:szCs w:val="32"/>
        </w:rPr>
        <w:t>時</w:t>
      </w:r>
      <w:r w:rsidRPr="00241224">
        <w:rPr>
          <w:rFonts w:ascii="標楷體" w:eastAsia="標楷體" w:hAnsi="標楷體"/>
          <w:color w:val="000000" w:themeColor="text1"/>
          <w:kern w:val="2"/>
          <w:sz w:val="32"/>
          <w:szCs w:val="32"/>
        </w:rPr>
        <w:t>26</w:t>
      </w:r>
      <w:r w:rsidRPr="00241224">
        <w:rPr>
          <w:rFonts w:ascii="標楷體" w:eastAsia="標楷體" w:hAnsi="標楷體" w:hint="eastAsia"/>
          <w:color w:val="000000" w:themeColor="text1"/>
          <w:kern w:val="2"/>
          <w:sz w:val="32"/>
          <w:szCs w:val="32"/>
        </w:rPr>
        <w:t>分</w:t>
      </w:r>
    </w:p>
    <w:p w14:paraId="55C67D71" w14:textId="77777777" w:rsidR="009D64D0" w:rsidRPr="00241224"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地　　點　群賢樓9樓大禮堂</w:t>
      </w:r>
    </w:p>
    <w:p w14:paraId="549A86BA" w14:textId="77777777" w:rsidR="00EB155B" w:rsidRPr="00241224"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出席委員　林德福　吳秉叡　賴士葆　賴惠員　顏寬恒　郭國文</w:t>
      </w:r>
    </w:p>
    <w:p w14:paraId="7FC1A2C5" w14:textId="015044A7" w:rsidR="00EB155B" w:rsidRPr="00241224"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 xml:space="preserve">　</w:t>
      </w:r>
      <w:r w:rsidR="00EB155B" w:rsidRPr="00241224">
        <w:rPr>
          <w:rFonts w:ascii="標楷體" w:eastAsia="標楷體" w:hAnsi="標楷體" w:hint="eastAsia"/>
          <w:color w:val="000000" w:themeColor="text1"/>
          <w:kern w:val="2"/>
          <w:sz w:val="32"/>
          <w:szCs w:val="32"/>
        </w:rPr>
        <w:t xml:space="preserve">　　　　</w:t>
      </w:r>
      <w:r w:rsidRPr="00241224">
        <w:rPr>
          <w:rFonts w:ascii="標楷體" w:eastAsia="標楷體" w:hAnsi="標楷體" w:hint="eastAsia"/>
          <w:color w:val="000000" w:themeColor="text1"/>
          <w:kern w:val="2"/>
          <w:sz w:val="32"/>
          <w:szCs w:val="32"/>
        </w:rPr>
        <w:t>王鴻薇　李坤城　李彥秀　陳玉珍　黃珊珊　王世堅</w:t>
      </w:r>
    </w:p>
    <w:p w14:paraId="3AC728F9" w14:textId="1EBCB0CA" w:rsidR="009D64D0" w:rsidRPr="00241224" w:rsidRDefault="00EB155B"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 xml:space="preserve">　　　　　</w:t>
      </w:r>
      <w:r w:rsidR="009D64D0" w:rsidRPr="00241224">
        <w:rPr>
          <w:rFonts w:ascii="標楷體" w:eastAsia="標楷體" w:hAnsi="標楷體" w:hint="eastAsia"/>
          <w:color w:val="000000" w:themeColor="text1"/>
          <w:kern w:val="2"/>
          <w:sz w:val="32"/>
          <w:szCs w:val="32"/>
        </w:rPr>
        <w:t>伍麗華</w:t>
      </w:r>
      <w:r w:rsidR="009D64D0" w:rsidRPr="00241224">
        <w:rPr>
          <w:rFonts w:ascii="標楷體" w:eastAsia="標楷體" w:hAnsi="標楷體" w:hint="eastAsia"/>
          <w:color w:val="000000" w:themeColor="text1"/>
          <w:spacing w:val="-20"/>
          <w:kern w:val="2"/>
          <w:sz w:val="32"/>
          <w:szCs w:val="32"/>
        </w:rPr>
        <w:t>Saidhai Tahovecahe</w:t>
      </w:r>
      <w:r w:rsidR="009D64D0" w:rsidRPr="00241224">
        <w:rPr>
          <w:rFonts w:ascii="標楷體" w:eastAsia="標楷體" w:hAnsi="標楷體" w:hint="eastAsia"/>
          <w:color w:val="000000" w:themeColor="text1"/>
          <w:kern w:val="2"/>
          <w:sz w:val="32"/>
          <w:szCs w:val="32"/>
        </w:rPr>
        <w:t xml:space="preserve">　羅明才</w:t>
      </w:r>
    </w:p>
    <w:p w14:paraId="057BB8E5" w14:textId="47D6EA82" w:rsidR="009D64D0" w:rsidRPr="00241224" w:rsidRDefault="00EB155B" w:rsidP="00F470A8">
      <w:pPr>
        <w:overflowPunct w:val="0"/>
        <w:autoSpaceDE w:val="0"/>
        <w:spacing w:line="480" w:lineRule="exact"/>
        <w:rPr>
          <w:rFonts w:ascii="標楷體" w:eastAsia="標楷體" w:hAnsi="標楷體"/>
          <w:b/>
          <w:color w:val="000000" w:themeColor="text1"/>
          <w:sz w:val="32"/>
          <w:szCs w:val="32"/>
        </w:rPr>
      </w:pPr>
      <w:r w:rsidRPr="00241224">
        <w:rPr>
          <w:rFonts w:ascii="標楷體" w:eastAsia="標楷體" w:hAnsi="標楷體" w:hint="eastAsia"/>
          <w:color w:val="000000" w:themeColor="text1"/>
          <w:kern w:val="2"/>
          <w:sz w:val="32"/>
          <w:szCs w:val="32"/>
        </w:rPr>
        <w:t xml:space="preserve">　　　　　</w:t>
      </w:r>
      <w:r w:rsidR="009D64D0" w:rsidRPr="00241224">
        <w:rPr>
          <w:rFonts w:ascii="標楷體" w:eastAsia="標楷體" w:hAnsi="標楷體" w:hint="eastAsia"/>
          <w:b/>
          <w:color w:val="000000" w:themeColor="text1"/>
          <w:sz w:val="32"/>
          <w:szCs w:val="32"/>
        </w:rPr>
        <w:t>委員出席14人</w:t>
      </w:r>
    </w:p>
    <w:p w14:paraId="76C07DF1" w14:textId="77777777" w:rsidR="00EB155B" w:rsidRPr="00241224" w:rsidRDefault="009D64D0"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列席委員　張啓楷　鄭天財</w:t>
      </w:r>
      <w:r w:rsidRPr="00241224">
        <w:rPr>
          <w:rFonts w:ascii="標楷體" w:eastAsia="標楷體" w:hAnsi="標楷體"/>
          <w:color w:val="000000" w:themeColor="text1"/>
          <w:spacing w:val="-22"/>
          <w:kern w:val="2"/>
          <w:sz w:val="32"/>
          <w:szCs w:val="32"/>
        </w:rPr>
        <w:t>Sra Kacaw</w:t>
      </w:r>
      <w:r w:rsidRPr="00241224">
        <w:rPr>
          <w:rFonts w:ascii="標楷體" w:eastAsia="標楷體" w:hAnsi="標楷體" w:hint="eastAsia"/>
          <w:color w:val="000000" w:themeColor="text1"/>
          <w:kern w:val="2"/>
          <w:sz w:val="32"/>
          <w:szCs w:val="32"/>
        </w:rPr>
        <w:t xml:space="preserve">　羅智強　洪孟楷　鄭正鈐</w:t>
      </w:r>
    </w:p>
    <w:p w14:paraId="6297ED69" w14:textId="6CB46E87" w:rsidR="00EB155B" w:rsidRPr="00241224" w:rsidRDefault="00EB155B"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 xml:space="preserve">　　　　　</w:t>
      </w:r>
      <w:r w:rsidR="009D64D0" w:rsidRPr="00241224">
        <w:rPr>
          <w:rFonts w:ascii="標楷體" w:eastAsia="標楷體" w:hAnsi="標楷體" w:hint="eastAsia"/>
          <w:color w:val="000000" w:themeColor="text1"/>
          <w:kern w:val="2"/>
          <w:sz w:val="32"/>
          <w:szCs w:val="32"/>
        </w:rPr>
        <w:t>牛煦庭　楊瓊瓔　陳菁徽　王義川　葉元之　謝龍介</w:t>
      </w:r>
    </w:p>
    <w:p w14:paraId="7670D3E6" w14:textId="2C5FCB74" w:rsidR="009D64D0" w:rsidRPr="00241224" w:rsidRDefault="00EB155B" w:rsidP="00F470A8">
      <w:pPr>
        <w:widowControl w:val="0"/>
        <w:kinsoku w:val="0"/>
        <w:overflowPunct w:val="0"/>
        <w:autoSpaceDE w:val="0"/>
        <w:adjustRightInd w:val="0"/>
        <w:snapToGrid w:val="0"/>
        <w:spacing w:line="480" w:lineRule="exact"/>
        <w:ind w:left="1600" w:rightChars="-149" w:right="-358" w:hangingChars="500" w:hanging="1600"/>
        <w:textAlignment w:val="auto"/>
        <w:rPr>
          <w:rFonts w:ascii="標楷體" w:eastAsia="標楷體" w:hAnsi="標楷體"/>
          <w:color w:val="000000" w:themeColor="text1"/>
          <w:kern w:val="2"/>
          <w:sz w:val="32"/>
          <w:szCs w:val="32"/>
        </w:rPr>
      </w:pPr>
      <w:r w:rsidRPr="00241224">
        <w:rPr>
          <w:rFonts w:ascii="標楷體" w:eastAsia="標楷體" w:hAnsi="標楷體" w:hint="eastAsia"/>
          <w:color w:val="000000" w:themeColor="text1"/>
          <w:kern w:val="2"/>
          <w:sz w:val="32"/>
          <w:szCs w:val="32"/>
        </w:rPr>
        <w:t xml:space="preserve">　　　　　</w:t>
      </w:r>
      <w:r w:rsidR="009D64D0" w:rsidRPr="00241224">
        <w:rPr>
          <w:rFonts w:ascii="標楷體" w:eastAsia="標楷體" w:hAnsi="標楷體" w:hint="eastAsia"/>
          <w:color w:val="000000" w:themeColor="text1"/>
          <w:kern w:val="2"/>
          <w:sz w:val="32"/>
          <w:szCs w:val="32"/>
        </w:rPr>
        <w:t xml:space="preserve">蘇清泉　鍾佳濱　</w:t>
      </w:r>
    </w:p>
    <w:p w14:paraId="617E0CEC" w14:textId="61814425" w:rsidR="009D64D0" w:rsidRPr="00241224" w:rsidRDefault="00EB155B" w:rsidP="00F470A8">
      <w:pPr>
        <w:overflowPunct w:val="0"/>
        <w:autoSpaceDE w:val="0"/>
        <w:spacing w:line="480" w:lineRule="exact"/>
        <w:rPr>
          <w:rFonts w:ascii="標楷體" w:eastAsia="標楷體" w:hAnsi="標楷體"/>
          <w:b/>
          <w:color w:val="000000" w:themeColor="text1"/>
          <w:sz w:val="32"/>
          <w:szCs w:val="32"/>
        </w:rPr>
      </w:pPr>
      <w:r w:rsidRPr="00241224">
        <w:rPr>
          <w:rFonts w:ascii="標楷體" w:eastAsia="標楷體" w:hAnsi="標楷體" w:hint="eastAsia"/>
          <w:color w:val="000000" w:themeColor="text1"/>
          <w:kern w:val="2"/>
          <w:sz w:val="32"/>
          <w:szCs w:val="32"/>
        </w:rPr>
        <w:t xml:space="preserve">　　　　　</w:t>
      </w:r>
      <w:r w:rsidR="009D64D0" w:rsidRPr="00241224">
        <w:rPr>
          <w:rFonts w:ascii="標楷體" w:eastAsia="標楷體" w:hAnsi="標楷體" w:hint="eastAsia"/>
          <w:b/>
          <w:color w:val="000000" w:themeColor="text1"/>
          <w:sz w:val="32"/>
          <w:szCs w:val="32"/>
        </w:rPr>
        <w:t>委員列席</w:t>
      </w:r>
      <w:r w:rsidR="009D64D0" w:rsidRPr="00241224">
        <w:rPr>
          <w:rFonts w:ascii="標楷體" w:eastAsia="標楷體" w:hAnsi="標楷體"/>
          <w:b/>
          <w:color w:val="000000" w:themeColor="text1"/>
          <w:sz w:val="32"/>
          <w:szCs w:val="32"/>
        </w:rPr>
        <w:t>13</w:t>
      </w:r>
      <w:r w:rsidR="009D64D0" w:rsidRPr="00241224">
        <w:rPr>
          <w:rFonts w:ascii="標楷體" w:eastAsia="標楷體" w:hAnsi="標楷體" w:hint="eastAsia"/>
          <w:b/>
          <w:color w:val="000000" w:themeColor="text1"/>
          <w:sz w:val="32"/>
          <w:szCs w:val="32"/>
        </w:rPr>
        <w:t>人</w:t>
      </w:r>
    </w:p>
    <w:p w14:paraId="3BC2A901"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kern w:val="16"/>
          <w:sz w:val="32"/>
          <w:szCs w:val="32"/>
        </w:rPr>
        <w:t xml:space="preserve">列席官員　</w:t>
      </w:r>
      <w:r w:rsidRPr="00EB155B">
        <w:rPr>
          <w:rFonts w:ascii="標楷體" w:eastAsia="標楷體" w:hAnsi="標楷體" w:hint="eastAsia"/>
          <w:color w:val="000000" w:themeColor="text1"/>
          <w:spacing w:val="-20"/>
          <w:sz w:val="32"/>
          <w:szCs w:val="32"/>
        </w:rPr>
        <w:t>113年1</w:t>
      </w:r>
      <w:r w:rsidRPr="00EB155B">
        <w:rPr>
          <w:rFonts w:ascii="標楷體" w:eastAsia="標楷體" w:hAnsi="標楷體"/>
          <w:color w:val="000000" w:themeColor="text1"/>
          <w:spacing w:val="-20"/>
          <w:sz w:val="32"/>
          <w:szCs w:val="32"/>
        </w:rPr>
        <w:t>2</w:t>
      </w:r>
      <w:r w:rsidRPr="00EB155B">
        <w:rPr>
          <w:rFonts w:ascii="標楷體" w:eastAsia="標楷體" w:hAnsi="標楷體" w:hint="eastAsia"/>
          <w:color w:val="000000" w:themeColor="text1"/>
          <w:spacing w:val="-20"/>
          <w:sz w:val="32"/>
          <w:szCs w:val="32"/>
        </w:rPr>
        <w:t>月3</w:t>
      </w:r>
      <w:r w:rsidRPr="00EB155B">
        <w:rPr>
          <w:rFonts w:ascii="標楷體" w:eastAsia="標楷體" w:hAnsi="標楷體"/>
          <w:color w:val="000000" w:themeColor="text1"/>
          <w:spacing w:val="-20"/>
          <w:sz w:val="32"/>
          <w:szCs w:val="32"/>
        </w:rPr>
        <w:t>0</w:t>
      </w:r>
      <w:r w:rsidRPr="00EB155B">
        <w:rPr>
          <w:rFonts w:ascii="標楷體" w:eastAsia="標楷體" w:hAnsi="標楷體" w:hint="eastAsia"/>
          <w:color w:val="000000" w:themeColor="text1"/>
          <w:spacing w:val="-20"/>
          <w:sz w:val="32"/>
          <w:szCs w:val="32"/>
        </w:rPr>
        <w:t>日（星期一）</w:t>
      </w:r>
    </w:p>
    <w:p w14:paraId="35DA5B17"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b/>
          <w:bCs/>
          <w:color w:val="000000" w:themeColor="text1"/>
          <w:kern w:val="16"/>
          <w:sz w:val="32"/>
          <w:szCs w:val="32"/>
        </w:rPr>
        <w:t>行政院</w:t>
      </w:r>
      <w:r w:rsidRPr="00EB155B">
        <w:rPr>
          <w:rFonts w:ascii="標楷體" w:eastAsia="標楷體" w:hAnsi="標楷體" w:hint="eastAsia"/>
          <w:color w:val="000000" w:themeColor="text1"/>
          <w:kern w:val="16"/>
          <w:sz w:val="32"/>
          <w:szCs w:val="32"/>
        </w:rPr>
        <w:t xml:space="preserve">　　　　　　　　　　　常務副秘書長李國興</w:t>
      </w:r>
    </w:p>
    <w:p w14:paraId="14E53F06"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（秘書長龔明鑫請假）</w:t>
      </w:r>
    </w:p>
    <w:p w14:paraId="39AF8F77"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bookmarkStart w:id="144" w:name="_Hlk186203521"/>
      <w:r w:rsidRPr="00EB155B">
        <w:rPr>
          <w:rFonts w:ascii="標楷體" w:eastAsia="標楷體" w:hAnsi="標楷體" w:hint="eastAsia"/>
          <w:b/>
          <w:bCs/>
          <w:color w:val="000000" w:themeColor="text1"/>
          <w:kern w:val="16"/>
          <w:sz w:val="32"/>
          <w:szCs w:val="32"/>
        </w:rPr>
        <w:t>行政院主計總處</w:t>
      </w:r>
      <w:r w:rsidRPr="00EB155B">
        <w:rPr>
          <w:rFonts w:ascii="標楷體" w:eastAsia="標楷體" w:hAnsi="標楷體" w:hint="eastAsia"/>
          <w:color w:val="000000" w:themeColor="text1"/>
          <w:kern w:val="16"/>
          <w:sz w:val="32"/>
          <w:szCs w:val="32"/>
        </w:rPr>
        <w:t xml:space="preserve">　　　　　　　主計長　　　陳淑姿</w:t>
      </w:r>
      <w:bookmarkEnd w:id="144"/>
    </w:p>
    <w:p w14:paraId="1F1F8A3F"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公務預算處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許永議</w:t>
      </w:r>
    </w:p>
    <w:p w14:paraId="18074757"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基金預算處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黃叔娟</w:t>
      </w:r>
    </w:p>
    <w:p w14:paraId="6A488DC6"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綜合統計處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簡任視察</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林雅雯</w:t>
      </w:r>
    </w:p>
    <w:p w14:paraId="7C73D578"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國勢普查處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專門委員</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施進發</w:t>
      </w:r>
    </w:p>
    <w:p w14:paraId="02D1560E"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b/>
          <w:bCs/>
          <w:color w:val="000000" w:themeColor="text1"/>
          <w:kern w:val="16"/>
          <w:sz w:val="32"/>
          <w:szCs w:val="32"/>
        </w:rPr>
        <w:t>財政部</w:t>
      </w:r>
      <w:r w:rsidRPr="00EB155B">
        <w:rPr>
          <w:rFonts w:ascii="標楷體" w:eastAsia="標楷體" w:hAnsi="標楷體" w:hint="eastAsia"/>
          <w:color w:val="000000" w:themeColor="text1"/>
          <w:kern w:val="16"/>
          <w:sz w:val="32"/>
          <w:szCs w:val="32"/>
        </w:rPr>
        <w:t xml:space="preserve">　　　　　　　　　　　部長　　　　莊翠雲</w:t>
      </w:r>
    </w:p>
    <w:p w14:paraId="33DF1B7F"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國庫署　　　　　　　　　　署長　　　　陳柏誠</w:t>
      </w:r>
    </w:p>
    <w:p w14:paraId="112EAAC3"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賦稅署　　　　　　　　　　署長　　　　宋秀玲</w:t>
      </w:r>
    </w:p>
    <w:p w14:paraId="4659BA3B"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關務署　　　　　　　　　　署長　　　　彭英偉</w:t>
      </w:r>
    </w:p>
    <w:p w14:paraId="7B4A3688"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國有財產署　　　　　　　　署長　　　　曾國基</w:t>
      </w:r>
    </w:p>
    <w:p w14:paraId="691AFC16"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財政資訊中心　　　　　　　主任　　　　張文熙</w:t>
      </w:r>
    </w:p>
    <w:p w14:paraId="4B45BB6C"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spacing w:val="-20"/>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spacing w:val="-20"/>
          <w:sz w:val="32"/>
          <w:szCs w:val="32"/>
        </w:rPr>
        <w:t>114年1月2日（星期四）</w:t>
      </w:r>
    </w:p>
    <w:p w14:paraId="4D33F97F"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sz w:val="32"/>
          <w:szCs w:val="32"/>
          <w:u w:val="single"/>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spacing w:val="-20"/>
          <w:sz w:val="32"/>
          <w:szCs w:val="32"/>
          <w:u w:val="single"/>
        </w:rPr>
        <w:t>上午9時至11時</w:t>
      </w:r>
    </w:p>
    <w:p w14:paraId="5DF7601E"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b/>
          <w:bCs/>
          <w:color w:val="000000" w:themeColor="text1"/>
          <w:kern w:val="16"/>
          <w:sz w:val="32"/>
          <w:szCs w:val="32"/>
        </w:rPr>
        <w:t>金融監督管理委員會</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主任委員</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彭金隆</w:t>
      </w:r>
    </w:p>
    <w:p w14:paraId="762F36B6"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金融市場發展及創新處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胡則華</w:t>
      </w:r>
    </w:p>
    <w:p w14:paraId="0C52DFD4"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lastRenderedPageBreak/>
        <w:t xml:space="preserve">　　　　　　</w:t>
      </w:r>
      <w:r w:rsidRPr="00EB155B">
        <w:rPr>
          <w:rFonts w:ascii="標楷體" w:eastAsia="標楷體" w:hAnsi="標楷體" w:hint="eastAsia"/>
          <w:color w:val="000000" w:themeColor="text1"/>
          <w:kern w:val="16"/>
          <w:sz w:val="32"/>
          <w:szCs w:val="32"/>
        </w:rPr>
        <w:t>法律事務處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副處長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李育德</w:t>
      </w:r>
    </w:p>
    <w:p w14:paraId="6261774B"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國際業務處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賴銘賢</w:t>
      </w:r>
    </w:p>
    <w:p w14:paraId="502A69B0"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資訊服務處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林裕泰</w:t>
      </w:r>
    </w:p>
    <w:p w14:paraId="06255EEE"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秘書室</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主任</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張吉富</w:t>
      </w:r>
    </w:p>
    <w:p w14:paraId="62B789B4"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人事室</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主任</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任明坤</w:t>
      </w:r>
    </w:p>
    <w:p w14:paraId="362AB5E7"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主計室</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主任</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戴美英</w:t>
      </w:r>
    </w:p>
    <w:p w14:paraId="1F912DE5"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銀行局</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副局長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林志吉</w:t>
      </w:r>
    </w:p>
    <w:p w14:paraId="1F9A6EE7"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證券期貨局</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局長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張振山</w:t>
      </w:r>
    </w:p>
    <w:p w14:paraId="029D5D0D"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保險局</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局長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王麗惠</w:t>
      </w:r>
    </w:p>
    <w:p w14:paraId="6A0779FC"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檢查局</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局長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童政彰</w:t>
      </w:r>
    </w:p>
    <w:p w14:paraId="3BDFB694"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中央存款保險股份有限公司</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董事長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黃天牧</w:t>
      </w:r>
    </w:p>
    <w:p w14:paraId="106C2A2E"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總經理</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鄭明慧</w:t>
      </w:r>
    </w:p>
    <w:p w14:paraId="209AD518"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b/>
          <w:bCs/>
          <w:color w:val="000000" w:themeColor="text1"/>
          <w:kern w:val="16"/>
          <w:sz w:val="32"/>
          <w:szCs w:val="32"/>
        </w:rPr>
        <w:t>行政院主計總處</w:t>
      </w:r>
      <w:r w:rsidRPr="00EB155B">
        <w:rPr>
          <w:rFonts w:ascii="標楷體" w:eastAsia="標楷體" w:hAnsi="標楷體" w:hint="eastAsia"/>
          <w:color w:val="000000" w:themeColor="text1"/>
          <w:kern w:val="16"/>
          <w:sz w:val="32"/>
          <w:szCs w:val="32"/>
        </w:rPr>
        <w:t>公務預算處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專門委員</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吳銘修</w:t>
      </w:r>
    </w:p>
    <w:p w14:paraId="6EEDBDE7"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基金預算處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專門委員</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戴群芳</w:t>
      </w:r>
    </w:p>
    <w:p w14:paraId="319B2BFF"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sz w:val="32"/>
          <w:szCs w:val="32"/>
          <w:u w:val="single"/>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spacing w:val="-20"/>
          <w:sz w:val="32"/>
          <w:szCs w:val="32"/>
          <w:u w:val="single"/>
        </w:rPr>
        <w:t>上午11時至下午5時30分</w:t>
      </w:r>
    </w:p>
    <w:p w14:paraId="28F3B0D4"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b/>
          <w:bCs/>
          <w:color w:val="000000" w:themeColor="text1"/>
          <w:kern w:val="16"/>
          <w:sz w:val="32"/>
          <w:szCs w:val="32"/>
        </w:rPr>
        <w:t>財政部</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部長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莊翠雲</w:t>
      </w:r>
    </w:p>
    <w:p w14:paraId="27D36AAB"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會計處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李秋月</w:t>
      </w:r>
    </w:p>
    <w:p w14:paraId="74AFD7B1"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人事處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處長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張芳琪</w:t>
      </w:r>
    </w:p>
    <w:p w14:paraId="18F29CA3"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國庫署</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署長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陳柏誠</w:t>
      </w:r>
    </w:p>
    <w:p w14:paraId="2E6FCC18"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賦稅署</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副署長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倪麗心</w:t>
      </w:r>
    </w:p>
    <w:p w14:paraId="11F57503"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關務署</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署長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彭英偉</w:t>
      </w:r>
    </w:p>
    <w:p w14:paraId="1096A1B9"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國有財產署</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副署長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李政宗</w:t>
      </w:r>
    </w:p>
    <w:p w14:paraId="7DC7016E"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財政資訊中心</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主任</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張文熙</w:t>
      </w:r>
    </w:p>
    <w:p w14:paraId="568EE740"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臺灣土地銀行股份有限公司</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董事長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何英明</w:t>
      </w:r>
    </w:p>
    <w:p w14:paraId="434A59B1"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總經理</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張志堅</w:t>
      </w:r>
    </w:p>
    <w:p w14:paraId="165FB42B"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財政部印刷廠</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廠長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王國龍</w:t>
      </w:r>
    </w:p>
    <w:p w14:paraId="708F996E"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臺灣菸酒股份有限公司</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董事長</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湯期安</w:t>
      </w:r>
    </w:p>
    <w:p w14:paraId="4FFDF98F"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總經理</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賴煥宗</w:t>
      </w:r>
    </w:p>
    <w:p w14:paraId="5D5BD2AA" w14:textId="77777777" w:rsidR="009D64D0" w:rsidRPr="00EB155B"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b/>
          <w:bCs/>
          <w:color w:val="000000" w:themeColor="text1"/>
          <w:kern w:val="16"/>
          <w:sz w:val="32"/>
          <w:szCs w:val="32"/>
        </w:rPr>
        <w:t>行政院主計總處</w:t>
      </w:r>
      <w:r w:rsidRPr="00EB155B">
        <w:rPr>
          <w:rFonts w:ascii="標楷體" w:eastAsia="標楷體" w:hAnsi="標楷體" w:hint="eastAsia"/>
          <w:color w:val="000000" w:themeColor="text1"/>
          <w:kern w:val="16"/>
          <w:sz w:val="32"/>
          <w:szCs w:val="32"/>
        </w:rPr>
        <w:t>基金預算處</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專門委員</w:t>
      </w:r>
      <w:r w:rsidRPr="00EB155B">
        <w:rPr>
          <w:rFonts w:ascii="標楷體" w:eastAsia="標楷體" w:hAnsi="標楷體" w:hint="eastAsia"/>
          <w:color w:val="000000" w:themeColor="text1"/>
          <w:sz w:val="32"/>
          <w:szCs w:val="32"/>
        </w:rPr>
        <w:t xml:space="preserve">　　</w:t>
      </w:r>
      <w:r w:rsidRPr="00EB155B">
        <w:rPr>
          <w:rFonts w:ascii="標楷體" w:eastAsia="標楷體" w:hAnsi="標楷體" w:hint="eastAsia"/>
          <w:color w:val="000000" w:themeColor="text1"/>
          <w:kern w:val="16"/>
          <w:sz w:val="32"/>
          <w:szCs w:val="32"/>
        </w:rPr>
        <w:t>戴群芳</w:t>
      </w:r>
    </w:p>
    <w:p w14:paraId="26ADBD4B" w14:textId="77777777" w:rsidR="009D64D0" w:rsidRPr="00EB155B" w:rsidRDefault="009D64D0" w:rsidP="00F470A8">
      <w:pPr>
        <w:pStyle w:val="af5"/>
        <w:tabs>
          <w:tab w:val="left" w:pos="3660"/>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kern w:val="16"/>
          <w:sz w:val="32"/>
          <w:szCs w:val="32"/>
        </w:rPr>
        <w:t>主　　席　陳召集委員玉珍</w:t>
      </w:r>
    </w:p>
    <w:p w14:paraId="7243B18C" w14:textId="77777777" w:rsidR="009D64D0" w:rsidRPr="00EB155B" w:rsidRDefault="009D64D0" w:rsidP="00F470A8">
      <w:pPr>
        <w:tabs>
          <w:tab w:val="left" w:pos="3660"/>
        </w:tabs>
        <w:overflowPunct w:val="0"/>
        <w:spacing w:line="480" w:lineRule="exact"/>
        <w:rPr>
          <w:rFonts w:ascii="標楷體" w:eastAsia="標楷體" w:hAnsi="標楷體"/>
          <w:color w:val="000000" w:themeColor="text1"/>
          <w:kern w:val="16"/>
          <w:sz w:val="32"/>
          <w:szCs w:val="32"/>
        </w:rPr>
      </w:pPr>
      <w:r w:rsidRPr="00EB155B">
        <w:rPr>
          <w:rFonts w:ascii="標楷體" w:eastAsia="標楷體" w:hAnsi="標楷體" w:cs="Courier New" w:hint="eastAsia"/>
          <w:color w:val="000000" w:themeColor="text1"/>
          <w:kern w:val="16"/>
          <w:sz w:val="32"/>
          <w:szCs w:val="32"/>
        </w:rPr>
        <w:lastRenderedPageBreak/>
        <w:t>專門委員</w:t>
      </w:r>
      <w:r w:rsidRPr="00EB155B">
        <w:rPr>
          <w:rFonts w:ascii="標楷體" w:eastAsia="標楷體" w:hAnsi="標楷體"/>
          <w:color w:val="000000" w:themeColor="text1"/>
          <w:kern w:val="16"/>
          <w:sz w:val="32"/>
          <w:szCs w:val="32"/>
        </w:rPr>
        <w:t xml:space="preserve">　</w:t>
      </w:r>
      <w:r w:rsidRPr="00EB155B">
        <w:rPr>
          <w:rFonts w:ascii="標楷體" w:eastAsia="標楷體" w:hAnsi="標楷體" w:hint="eastAsia"/>
          <w:color w:val="000000" w:themeColor="text1"/>
          <w:sz w:val="32"/>
          <w:szCs w:val="32"/>
        </w:rPr>
        <w:t>林靜玟</w:t>
      </w:r>
    </w:p>
    <w:p w14:paraId="29FF36C1" w14:textId="77777777" w:rsidR="009D64D0" w:rsidRPr="00EB155B" w:rsidRDefault="009D64D0" w:rsidP="00F470A8">
      <w:pPr>
        <w:overflowPunct w:val="0"/>
        <w:spacing w:line="480" w:lineRule="exact"/>
        <w:rPr>
          <w:rFonts w:ascii="標楷體" w:eastAsia="標楷體" w:hAnsi="標楷體"/>
          <w:color w:val="000000" w:themeColor="text1"/>
          <w:kern w:val="16"/>
          <w:sz w:val="32"/>
          <w:szCs w:val="32"/>
        </w:rPr>
      </w:pPr>
      <w:r w:rsidRPr="00EB155B">
        <w:rPr>
          <w:rFonts w:ascii="標楷體" w:eastAsia="標楷體" w:hAnsi="標楷體"/>
          <w:color w:val="000000" w:themeColor="text1"/>
          <w:kern w:val="16"/>
          <w:sz w:val="32"/>
          <w:szCs w:val="32"/>
        </w:rPr>
        <w:t>主任秘書　謝淑津</w:t>
      </w:r>
    </w:p>
    <w:p w14:paraId="3EE45D5C" w14:textId="77777777" w:rsidR="009D64D0" w:rsidRPr="00EB155B" w:rsidRDefault="009D64D0" w:rsidP="00F470A8">
      <w:pPr>
        <w:overflowPunct w:val="0"/>
        <w:autoSpaceDE w:val="0"/>
        <w:spacing w:line="480" w:lineRule="exact"/>
        <w:ind w:left="1600" w:rightChars="-149" w:right="-358" w:hangingChars="500" w:hanging="1600"/>
        <w:jc w:val="both"/>
        <w:rPr>
          <w:rFonts w:ascii="標楷體" w:eastAsia="標楷體" w:hAnsi="標楷體"/>
          <w:color w:val="000000" w:themeColor="text1"/>
          <w:kern w:val="16"/>
          <w:sz w:val="32"/>
          <w:szCs w:val="32"/>
        </w:rPr>
      </w:pPr>
      <w:r w:rsidRPr="00EB155B">
        <w:rPr>
          <w:rFonts w:ascii="標楷體" w:eastAsia="標楷體" w:hAnsi="標楷體"/>
          <w:color w:val="000000" w:themeColor="text1"/>
          <w:sz w:val="32"/>
          <w:szCs w:val="32"/>
        </w:rPr>
        <w:t>紀　　錄</w:t>
      </w:r>
      <w:r w:rsidRPr="00EB155B">
        <w:rPr>
          <w:rFonts w:ascii="標楷體" w:eastAsia="標楷體" w:hAnsi="標楷體"/>
          <w:color w:val="000000" w:themeColor="text1"/>
          <w:kern w:val="16"/>
          <w:sz w:val="32"/>
          <w:szCs w:val="32"/>
        </w:rPr>
        <w:t xml:space="preserve">　</w:t>
      </w:r>
      <w:r w:rsidRPr="00EB155B">
        <w:rPr>
          <w:rFonts w:ascii="標楷體" w:eastAsia="標楷體" w:hAnsi="標楷體" w:hint="eastAsia"/>
          <w:color w:val="000000" w:themeColor="text1"/>
          <w:kern w:val="16"/>
          <w:sz w:val="32"/>
          <w:szCs w:val="32"/>
        </w:rPr>
        <w:t xml:space="preserve">秘　書　吳人寬　研究員　黃惠雯　編　審　</w:t>
      </w:r>
      <w:r w:rsidRPr="00EB155B">
        <w:rPr>
          <w:rFonts w:ascii="標楷體" w:eastAsia="標楷體" w:hAnsi="標楷體" w:hint="eastAsia"/>
          <w:color w:val="000000" w:themeColor="text1"/>
          <w:sz w:val="32"/>
          <w:szCs w:val="32"/>
        </w:rPr>
        <w:t>伍明清</w:t>
      </w:r>
      <w:r w:rsidRPr="00EB155B">
        <w:rPr>
          <w:rFonts w:ascii="標楷體" w:eastAsia="標楷體" w:hAnsi="標楷體" w:hint="eastAsia"/>
          <w:color w:val="000000" w:themeColor="text1"/>
          <w:kern w:val="16"/>
          <w:sz w:val="32"/>
          <w:szCs w:val="32"/>
        </w:rPr>
        <w:t xml:space="preserve">　</w:t>
      </w:r>
    </w:p>
    <w:p w14:paraId="59DE64B1" w14:textId="77777777" w:rsidR="009D64D0" w:rsidRPr="00EB155B" w:rsidRDefault="009D64D0" w:rsidP="00F470A8">
      <w:pPr>
        <w:tabs>
          <w:tab w:val="left" w:pos="3660"/>
        </w:tabs>
        <w:overflowPunct w:val="0"/>
        <w:autoSpaceDE w:val="0"/>
        <w:spacing w:line="480" w:lineRule="exact"/>
        <w:rPr>
          <w:rFonts w:ascii="標楷體" w:eastAsia="標楷體" w:hAnsi="標楷體"/>
          <w:color w:val="000000" w:themeColor="text1"/>
          <w:kern w:val="16"/>
          <w:sz w:val="32"/>
          <w:szCs w:val="32"/>
        </w:rPr>
      </w:pPr>
      <w:r w:rsidRPr="00EB155B">
        <w:rPr>
          <w:rFonts w:ascii="標楷體" w:eastAsia="標楷體" w:hAnsi="標楷體" w:hint="eastAsia"/>
          <w:color w:val="000000" w:themeColor="text1"/>
          <w:kern w:val="16"/>
          <w:sz w:val="32"/>
          <w:szCs w:val="32"/>
        </w:rPr>
        <w:t xml:space="preserve">　　　　　科　長　喻　珊　科　員　簡廷育</w:t>
      </w:r>
    </w:p>
    <w:p w14:paraId="43C9C513" w14:textId="77777777" w:rsidR="009D64D0" w:rsidRPr="00EB155B" w:rsidRDefault="009D64D0" w:rsidP="00F470A8">
      <w:pPr>
        <w:tabs>
          <w:tab w:val="left" w:pos="3660"/>
        </w:tabs>
        <w:overflowPunct w:val="0"/>
        <w:autoSpaceDE w:val="0"/>
        <w:spacing w:line="480" w:lineRule="exact"/>
        <w:rPr>
          <w:rFonts w:ascii="標楷體" w:eastAsia="標楷體" w:hAnsi="標楷體"/>
          <w:color w:val="000000" w:themeColor="text1"/>
          <w:kern w:val="16"/>
          <w:sz w:val="32"/>
          <w:szCs w:val="32"/>
        </w:rPr>
      </w:pPr>
      <w:r w:rsidRPr="00EB155B">
        <w:rPr>
          <w:rFonts w:ascii="標楷體" w:eastAsia="標楷體" w:hAnsi="標楷體"/>
          <w:b/>
          <w:bCs/>
          <w:color w:val="000000" w:themeColor="text1"/>
          <w:sz w:val="32"/>
          <w:szCs w:val="32"/>
        </w:rPr>
        <w:t>11</w:t>
      </w:r>
      <w:r w:rsidRPr="00EB155B">
        <w:rPr>
          <w:rFonts w:ascii="標楷體" w:eastAsia="標楷體" w:hAnsi="標楷體" w:hint="eastAsia"/>
          <w:b/>
          <w:bCs/>
          <w:color w:val="000000" w:themeColor="text1"/>
          <w:sz w:val="32"/>
          <w:szCs w:val="32"/>
        </w:rPr>
        <w:t>3年12月</w:t>
      </w:r>
      <w:r w:rsidRPr="00EB155B">
        <w:rPr>
          <w:rFonts w:ascii="標楷體" w:eastAsia="標楷體" w:hAnsi="標楷體"/>
          <w:b/>
          <w:bCs/>
          <w:color w:val="000000" w:themeColor="text1"/>
          <w:sz w:val="32"/>
          <w:szCs w:val="32"/>
        </w:rPr>
        <w:t>30</w:t>
      </w:r>
      <w:r w:rsidRPr="00EB155B">
        <w:rPr>
          <w:rFonts w:ascii="標楷體" w:eastAsia="標楷體" w:hAnsi="標楷體" w:hint="eastAsia"/>
          <w:b/>
          <w:bCs/>
          <w:color w:val="000000" w:themeColor="text1"/>
          <w:sz w:val="32"/>
          <w:szCs w:val="32"/>
        </w:rPr>
        <w:t>日</w:t>
      </w:r>
    </w:p>
    <w:p w14:paraId="2E9A3D86" w14:textId="77777777" w:rsidR="009D64D0" w:rsidRPr="00EB155B" w:rsidRDefault="009D64D0" w:rsidP="00F470A8">
      <w:pPr>
        <w:overflowPunct w:val="0"/>
        <w:autoSpaceDE w:val="0"/>
        <w:spacing w:beforeLines="50" w:before="180" w:line="480" w:lineRule="exact"/>
        <w:ind w:leftChars="201" w:left="482"/>
        <w:jc w:val="both"/>
        <w:rPr>
          <w:rFonts w:ascii="標楷體" w:eastAsia="標楷體" w:hAnsi="標楷體"/>
          <w:b/>
          <w:color w:val="000000" w:themeColor="text1"/>
          <w:sz w:val="32"/>
          <w:szCs w:val="32"/>
        </w:rPr>
      </w:pPr>
      <w:r w:rsidRPr="00EB155B">
        <w:rPr>
          <w:rFonts w:ascii="標楷體" w:eastAsia="標楷體" w:hAnsi="標楷體" w:cs="Courier New" w:hint="eastAsia"/>
          <w:b/>
          <w:color w:val="000000" w:themeColor="text1"/>
          <w:sz w:val="32"/>
          <w:szCs w:val="32"/>
        </w:rPr>
        <w:t>報告</w:t>
      </w:r>
      <w:r w:rsidRPr="00EB155B">
        <w:rPr>
          <w:rFonts w:ascii="標楷體" w:eastAsia="標楷體" w:hAnsi="標楷體" w:hint="eastAsia"/>
          <w:b/>
          <w:color w:val="000000" w:themeColor="text1"/>
          <w:sz w:val="32"/>
          <w:szCs w:val="32"/>
        </w:rPr>
        <w:t>事項</w:t>
      </w:r>
    </w:p>
    <w:p w14:paraId="6E370C6D" w14:textId="77777777" w:rsidR="009D64D0" w:rsidRPr="00EB155B" w:rsidRDefault="009D64D0" w:rsidP="00F470A8">
      <w:pPr>
        <w:overflowPunct w:val="0"/>
        <w:autoSpaceDE w:val="0"/>
        <w:spacing w:line="480" w:lineRule="exact"/>
        <w:ind w:left="640" w:hangingChars="200" w:hanging="64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一、宣讀上次會議議事錄。</w:t>
      </w:r>
    </w:p>
    <w:p w14:paraId="50E4AE21" w14:textId="77777777" w:rsidR="009D64D0" w:rsidRPr="00EB155B" w:rsidRDefault="009D64D0" w:rsidP="00F470A8">
      <w:pPr>
        <w:overflowPunct w:val="0"/>
        <w:autoSpaceDE w:val="0"/>
        <w:spacing w:line="480" w:lineRule="exact"/>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決定：議事錄確定。</w:t>
      </w:r>
    </w:p>
    <w:p w14:paraId="6FF8FDA1" w14:textId="77777777" w:rsidR="009D64D0" w:rsidRPr="00EB155B" w:rsidRDefault="009D64D0" w:rsidP="00F470A8">
      <w:pPr>
        <w:overflowPunct w:val="0"/>
        <w:autoSpaceDE w:val="0"/>
        <w:spacing w:line="480" w:lineRule="exact"/>
        <w:ind w:left="641" w:hangingChars="200" w:hanging="641"/>
        <w:jc w:val="both"/>
        <w:rPr>
          <w:rFonts w:ascii="標楷體" w:eastAsia="標楷體" w:hAnsi="標楷體"/>
          <w:b/>
          <w:color w:val="000000" w:themeColor="text1"/>
          <w:sz w:val="32"/>
          <w:szCs w:val="32"/>
        </w:rPr>
      </w:pPr>
      <w:r w:rsidRPr="00EB155B">
        <w:rPr>
          <w:rFonts w:ascii="標楷體" w:eastAsia="標楷體" w:hAnsi="標楷體" w:hint="eastAsia"/>
          <w:b/>
          <w:color w:val="000000" w:themeColor="text1"/>
          <w:sz w:val="32"/>
          <w:szCs w:val="32"/>
        </w:rPr>
        <w:t>二、邀請行政院龔秘書長明鑫、行政院主計總處陳主計長淑姿、財政部莊部長翠雲就「行政院表示：因財劃法修正，114年度總預算須重編」進行專題報告，並備質詢。</w:t>
      </w:r>
    </w:p>
    <w:p w14:paraId="3E26FAEE" w14:textId="77777777" w:rsidR="009D64D0" w:rsidRPr="00EB155B" w:rsidRDefault="009D64D0" w:rsidP="00F470A8">
      <w:pPr>
        <w:overflowPunct w:val="0"/>
        <w:autoSpaceDE w:val="0"/>
        <w:spacing w:line="480" w:lineRule="exact"/>
        <w:ind w:leftChars="-48" w:left="208" w:hangingChars="101" w:hanging="323"/>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（經</w:t>
      </w:r>
      <w:bookmarkStart w:id="145" w:name="_Hlk186203591"/>
      <w:r w:rsidRPr="00EB155B">
        <w:rPr>
          <w:rFonts w:ascii="標楷體" w:eastAsia="標楷體" w:hAnsi="標楷體" w:hint="eastAsia"/>
          <w:color w:val="000000" w:themeColor="text1"/>
          <w:sz w:val="32"/>
          <w:szCs w:val="32"/>
        </w:rPr>
        <w:t>行政院常務副秘書長李國興及行政院主計總處主計長陳淑姿</w:t>
      </w:r>
      <w:bookmarkEnd w:id="145"/>
      <w:r w:rsidRPr="00EB155B">
        <w:rPr>
          <w:rFonts w:ascii="標楷體" w:eastAsia="標楷體" w:hAnsi="標楷體" w:hint="eastAsia"/>
          <w:color w:val="000000" w:themeColor="text1"/>
          <w:sz w:val="32"/>
          <w:szCs w:val="32"/>
        </w:rPr>
        <w:t>分別提出報告後，計有委員林德福、吳秉叡、賴士葆、郭國文、賴惠員、顏寬恒、王鴻薇、李坤城、李彥秀、楊瓊瓔、伍麗華、張啓楷、鄭天財、黃珊珊、陳玉珍、牛煦庭、葉元之、王世堅等</w:t>
      </w:r>
      <w:r w:rsidRPr="00EB155B">
        <w:rPr>
          <w:rFonts w:ascii="標楷體" w:eastAsia="標楷體" w:hAnsi="標楷體"/>
          <w:color w:val="000000" w:themeColor="text1"/>
          <w:sz w:val="32"/>
          <w:szCs w:val="32"/>
        </w:rPr>
        <w:t>18</w:t>
      </w:r>
      <w:r w:rsidRPr="00EB155B">
        <w:rPr>
          <w:rFonts w:ascii="標楷體" w:eastAsia="標楷體" w:hAnsi="標楷體" w:hint="eastAsia"/>
          <w:color w:val="000000" w:themeColor="text1"/>
          <w:sz w:val="32"/>
          <w:szCs w:val="32"/>
        </w:rPr>
        <w:t>人提出質詢，均經行政院主計總處主計長陳淑姿、財政部部長莊翠雲、行政院常務副秘書長李國興及相關人員予以答復。）</w:t>
      </w:r>
    </w:p>
    <w:p w14:paraId="78755699" w14:textId="77777777" w:rsidR="009D64D0" w:rsidRPr="00EB155B" w:rsidRDefault="009D64D0" w:rsidP="00F470A8">
      <w:pPr>
        <w:overflowPunct w:val="0"/>
        <w:autoSpaceDE w:val="0"/>
        <w:spacing w:beforeLines="50" w:before="180" w:line="480" w:lineRule="exact"/>
        <w:ind w:left="320" w:hangingChars="100" w:hanging="320"/>
        <w:jc w:val="both"/>
        <w:rPr>
          <w:rFonts w:ascii="標楷體" w:eastAsia="標楷體" w:hAnsi="標楷體"/>
          <w:b/>
          <w:color w:val="000000" w:themeColor="text1"/>
          <w:sz w:val="32"/>
          <w:szCs w:val="32"/>
        </w:rPr>
      </w:pPr>
      <w:r w:rsidRPr="00EB155B">
        <w:rPr>
          <w:rFonts w:ascii="標楷體" w:eastAsia="標楷體" w:hAnsi="標楷體" w:hint="eastAsia"/>
          <w:b/>
          <w:color w:val="000000" w:themeColor="text1"/>
          <w:sz w:val="32"/>
          <w:szCs w:val="32"/>
        </w:rPr>
        <w:t>決定：</w:t>
      </w:r>
    </w:p>
    <w:p w14:paraId="48881921" w14:textId="77777777" w:rsidR="009D64D0" w:rsidRPr="00EB155B" w:rsidRDefault="009D64D0" w:rsidP="00F470A8">
      <w:pPr>
        <w:pStyle w:val="af5"/>
        <w:kinsoku w:val="0"/>
        <w:overflowPunct w:val="0"/>
        <w:autoSpaceDE w:val="0"/>
        <w:adjustRightInd w:val="0"/>
        <w:snapToGrid w:val="0"/>
        <w:spacing w:line="480" w:lineRule="exact"/>
        <w:ind w:left="993" w:hanging="689"/>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(一)報告及詢答完畢。</w:t>
      </w:r>
    </w:p>
    <w:p w14:paraId="2838D00C" w14:textId="77777777" w:rsidR="009D64D0" w:rsidRPr="00EB155B" w:rsidRDefault="009D64D0" w:rsidP="00F470A8">
      <w:pPr>
        <w:pStyle w:val="af5"/>
        <w:kinsoku w:val="0"/>
        <w:overflowPunct w:val="0"/>
        <w:autoSpaceDE w:val="0"/>
        <w:adjustRightInd w:val="0"/>
        <w:snapToGrid w:val="0"/>
        <w:spacing w:line="480" w:lineRule="exact"/>
        <w:ind w:left="993" w:hanging="689"/>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(二)委員質詢未及答復或請補充資訊，請相關部會於一週內以書面答復；委員另要求期限者，從其所定。</w:t>
      </w:r>
    </w:p>
    <w:p w14:paraId="269213A9" w14:textId="77777777" w:rsidR="009D64D0" w:rsidRPr="00EB155B" w:rsidRDefault="009D64D0" w:rsidP="00F470A8">
      <w:pPr>
        <w:pStyle w:val="af5"/>
        <w:kinsoku w:val="0"/>
        <w:overflowPunct w:val="0"/>
        <w:autoSpaceDE w:val="0"/>
        <w:adjustRightInd w:val="0"/>
        <w:snapToGrid w:val="0"/>
        <w:spacing w:line="480" w:lineRule="exact"/>
        <w:ind w:left="993" w:hanging="689"/>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(三)委員羅明才、羅智強、王義川所提書面質詢，列入紀錄，刊登公報，並請相關部會以書面答復。</w:t>
      </w:r>
    </w:p>
    <w:p w14:paraId="4D08EFD1" w14:textId="77777777" w:rsidR="009D64D0" w:rsidRPr="00EB155B" w:rsidRDefault="009D64D0" w:rsidP="00F470A8">
      <w:pPr>
        <w:pStyle w:val="af5"/>
        <w:kinsoku w:val="0"/>
        <w:overflowPunct w:val="0"/>
        <w:autoSpaceDE w:val="0"/>
        <w:adjustRightInd w:val="0"/>
        <w:snapToGrid w:val="0"/>
        <w:spacing w:line="480" w:lineRule="exact"/>
        <w:ind w:leftChars="100" w:left="880" w:hangingChars="200" w:hanging="64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(四)各委員如有相關預算提案，請於</w:t>
      </w:r>
      <w:r w:rsidRPr="00EB155B">
        <w:rPr>
          <w:rFonts w:ascii="標楷體" w:eastAsia="標楷體" w:hAnsi="標楷體" w:hint="eastAsia"/>
          <w:b/>
          <w:color w:val="000000" w:themeColor="text1"/>
          <w:sz w:val="32"/>
          <w:szCs w:val="32"/>
        </w:rPr>
        <w:t>12月30日(星期一)下午5點以前</w:t>
      </w:r>
      <w:r w:rsidRPr="00EB155B">
        <w:rPr>
          <w:rFonts w:ascii="標楷體" w:eastAsia="標楷體" w:hAnsi="標楷體" w:hint="eastAsia"/>
          <w:color w:val="000000" w:themeColor="text1"/>
          <w:sz w:val="32"/>
          <w:szCs w:val="32"/>
        </w:rPr>
        <w:t>送至財政委員會議事人員收件。</w:t>
      </w:r>
    </w:p>
    <w:p w14:paraId="6AE51252" w14:textId="77777777" w:rsidR="009D64D0" w:rsidRPr="00EB155B" w:rsidRDefault="009D64D0" w:rsidP="00F470A8">
      <w:pPr>
        <w:tabs>
          <w:tab w:val="left" w:pos="3660"/>
        </w:tabs>
        <w:overflowPunct w:val="0"/>
        <w:autoSpaceDE w:val="0"/>
        <w:spacing w:line="480" w:lineRule="exact"/>
        <w:rPr>
          <w:rFonts w:ascii="標楷體" w:eastAsia="標楷體" w:hAnsi="標楷體"/>
          <w:b/>
          <w:color w:val="000000" w:themeColor="text1"/>
          <w:sz w:val="32"/>
          <w:szCs w:val="32"/>
        </w:rPr>
      </w:pPr>
      <w:r w:rsidRPr="00EB155B">
        <w:rPr>
          <w:rFonts w:ascii="標楷體" w:eastAsia="標楷體" w:hAnsi="標楷體"/>
          <w:b/>
          <w:bCs/>
          <w:color w:val="000000" w:themeColor="text1"/>
          <w:sz w:val="32"/>
          <w:szCs w:val="32"/>
        </w:rPr>
        <w:t>11</w:t>
      </w:r>
      <w:r w:rsidRPr="00EB155B">
        <w:rPr>
          <w:rFonts w:ascii="標楷體" w:eastAsia="標楷體" w:hAnsi="標楷體" w:hint="eastAsia"/>
          <w:b/>
          <w:bCs/>
          <w:color w:val="000000" w:themeColor="text1"/>
          <w:sz w:val="32"/>
          <w:szCs w:val="32"/>
        </w:rPr>
        <w:t>4年1月2日</w:t>
      </w:r>
    </w:p>
    <w:p w14:paraId="70FCB51E" w14:textId="77777777" w:rsidR="009D64D0" w:rsidRPr="00EB155B" w:rsidRDefault="009D64D0" w:rsidP="00F470A8">
      <w:pPr>
        <w:tabs>
          <w:tab w:val="left" w:pos="3660"/>
        </w:tabs>
        <w:overflowPunct w:val="0"/>
        <w:autoSpaceDE w:val="0"/>
        <w:spacing w:line="480" w:lineRule="exact"/>
        <w:rPr>
          <w:rFonts w:ascii="標楷體" w:eastAsia="標楷體" w:hAnsi="標楷體"/>
          <w:b/>
          <w:bCs/>
          <w:color w:val="000000" w:themeColor="text1"/>
          <w:sz w:val="32"/>
          <w:szCs w:val="32"/>
          <w:u w:val="single"/>
        </w:rPr>
      </w:pPr>
      <w:r w:rsidRPr="00EB155B">
        <w:rPr>
          <w:rFonts w:ascii="標楷體" w:eastAsia="標楷體" w:hAnsi="標楷體" w:hint="eastAsia"/>
          <w:b/>
          <w:bCs/>
          <w:color w:val="000000" w:themeColor="text1"/>
          <w:sz w:val="32"/>
          <w:szCs w:val="32"/>
          <w:u w:val="single"/>
        </w:rPr>
        <w:t>上午9時至11時</w:t>
      </w:r>
    </w:p>
    <w:p w14:paraId="29BD3E4E" w14:textId="77777777" w:rsidR="009D64D0" w:rsidRPr="00EB155B" w:rsidRDefault="009D64D0" w:rsidP="00F470A8">
      <w:pPr>
        <w:overflowPunct w:val="0"/>
        <w:autoSpaceDE w:val="0"/>
        <w:spacing w:beforeLines="50" w:before="180" w:line="480" w:lineRule="exact"/>
        <w:ind w:leftChars="201" w:left="482"/>
        <w:jc w:val="both"/>
        <w:rPr>
          <w:rFonts w:ascii="標楷體" w:eastAsia="標楷體" w:hAnsi="標楷體" w:cs="Courier New"/>
          <w:b/>
          <w:color w:val="000000" w:themeColor="text1"/>
          <w:sz w:val="32"/>
          <w:szCs w:val="32"/>
        </w:rPr>
      </w:pPr>
      <w:r w:rsidRPr="00EB155B">
        <w:rPr>
          <w:rFonts w:ascii="標楷體" w:eastAsia="標楷體" w:hAnsi="標楷體" w:cs="Courier New" w:hint="eastAsia"/>
          <w:b/>
          <w:color w:val="000000" w:themeColor="text1"/>
          <w:sz w:val="32"/>
          <w:szCs w:val="32"/>
        </w:rPr>
        <w:t>討論事項</w:t>
      </w:r>
    </w:p>
    <w:p w14:paraId="5C0BFA4B" w14:textId="77777777" w:rsidR="009D64D0" w:rsidRPr="00EB155B" w:rsidRDefault="009D64D0" w:rsidP="00F470A8">
      <w:pPr>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EB155B">
        <w:rPr>
          <w:rFonts w:ascii="標楷體" w:eastAsia="標楷體" w:hAnsi="標楷體" w:hint="eastAsia"/>
          <w:b/>
          <w:bCs/>
          <w:color w:val="000000" w:themeColor="text1"/>
          <w:sz w:val="32"/>
          <w:szCs w:val="32"/>
        </w:rPr>
        <w:lastRenderedPageBreak/>
        <w:t>一、繼續審查中華民國114年度中央政府總預算案有關金融監督管理委員會、銀行局、證券期貨局、保險局、檢查局收支部分。</w:t>
      </w:r>
    </w:p>
    <w:p w14:paraId="528E05C8" w14:textId="77777777" w:rsidR="009D64D0" w:rsidRPr="00EB155B" w:rsidRDefault="009D64D0" w:rsidP="00F470A8">
      <w:pPr>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EB155B">
        <w:rPr>
          <w:rFonts w:ascii="標楷體" w:eastAsia="標楷體" w:hAnsi="標楷體" w:hint="eastAsia"/>
          <w:b/>
          <w:bCs/>
          <w:color w:val="000000" w:themeColor="text1"/>
          <w:sz w:val="32"/>
          <w:szCs w:val="32"/>
        </w:rPr>
        <w:t>二、繼續審查中華民國114年度中央政府總預算案附屬單位預算營業部分，有關金融監督管理委員會主管中央存款保險股份有限公司。</w:t>
      </w:r>
    </w:p>
    <w:p w14:paraId="2D80B122" w14:textId="77777777" w:rsidR="009D64D0" w:rsidRPr="00EB155B" w:rsidRDefault="009D64D0" w:rsidP="00F470A8">
      <w:pPr>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EB155B">
        <w:rPr>
          <w:rFonts w:ascii="標楷體" w:eastAsia="標楷體" w:hAnsi="標楷體" w:hint="eastAsia"/>
          <w:b/>
          <w:bCs/>
          <w:color w:val="000000" w:themeColor="text1"/>
          <w:sz w:val="32"/>
          <w:szCs w:val="32"/>
        </w:rPr>
        <w:t>三、繼續審查中華民國114年度中央政府總預算案附屬單位預算非營業部分，有關金融監督管理委員會主管：</w:t>
      </w:r>
    </w:p>
    <w:p w14:paraId="3D183946" w14:textId="77777777" w:rsidR="009D64D0" w:rsidRPr="00EB155B" w:rsidRDefault="009D64D0" w:rsidP="00F470A8">
      <w:pPr>
        <w:pStyle w:val="af5"/>
        <w:kinsoku w:val="0"/>
        <w:overflowPunct w:val="0"/>
        <w:autoSpaceDE w:val="0"/>
        <w:adjustRightInd w:val="0"/>
        <w:snapToGrid w:val="0"/>
        <w:spacing w:line="480" w:lineRule="exact"/>
        <w:ind w:left="993" w:hanging="689"/>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(一)特別收入基金－金融監督管理基金。</w:t>
      </w:r>
    </w:p>
    <w:p w14:paraId="6559F6B0" w14:textId="77777777" w:rsidR="009D64D0" w:rsidRPr="00EB155B" w:rsidRDefault="009D64D0" w:rsidP="00F470A8">
      <w:pPr>
        <w:pStyle w:val="af5"/>
        <w:kinsoku w:val="0"/>
        <w:overflowPunct w:val="0"/>
        <w:autoSpaceDE w:val="0"/>
        <w:adjustRightInd w:val="0"/>
        <w:snapToGrid w:val="0"/>
        <w:spacing w:line="480" w:lineRule="exact"/>
        <w:ind w:left="993" w:hanging="689"/>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(二)信託基金－保險業務發展基金。</w:t>
      </w:r>
    </w:p>
    <w:p w14:paraId="4759A9FC" w14:textId="77777777" w:rsidR="009D64D0" w:rsidRPr="00EB155B" w:rsidRDefault="009D64D0" w:rsidP="00F470A8">
      <w:pPr>
        <w:overflowPunct w:val="0"/>
        <w:autoSpaceDE w:val="0"/>
        <w:spacing w:beforeLines="50" w:before="180" w:line="480" w:lineRule="exact"/>
        <w:jc w:val="both"/>
        <w:rPr>
          <w:rFonts w:ascii="標楷體" w:eastAsia="標楷體" w:hAnsi="標楷體"/>
          <w:b/>
          <w:color w:val="000000" w:themeColor="text1"/>
          <w:sz w:val="32"/>
          <w:szCs w:val="32"/>
        </w:rPr>
      </w:pPr>
      <w:r w:rsidRPr="00EB155B">
        <w:rPr>
          <w:rFonts w:ascii="標楷體" w:eastAsia="標楷體" w:hAnsi="標楷體" w:hint="eastAsia"/>
          <w:b/>
          <w:color w:val="000000" w:themeColor="text1"/>
          <w:sz w:val="32"/>
          <w:szCs w:val="32"/>
        </w:rPr>
        <w:t>決議：</w:t>
      </w:r>
    </w:p>
    <w:p w14:paraId="55DAFF8A" w14:textId="77777777" w:rsidR="009D64D0" w:rsidRPr="00EB155B" w:rsidRDefault="009D64D0" w:rsidP="00F470A8">
      <w:pPr>
        <w:tabs>
          <w:tab w:val="left" w:pos="284"/>
        </w:tabs>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EB155B">
        <w:rPr>
          <w:rFonts w:ascii="標楷體" w:eastAsia="標楷體" w:hAnsi="標楷體" w:hint="eastAsia"/>
          <w:b/>
          <w:bCs/>
          <w:color w:val="000000" w:themeColor="text1"/>
          <w:sz w:val="32"/>
          <w:szCs w:val="32"/>
        </w:rPr>
        <w:t>壹、中華民國</w:t>
      </w:r>
      <w:r w:rsidRPr="00EB155B">
        <w:rPr>
          <w:rFonts w:ascii="標楷體" w:eastAsia="標楷體" w:hAnsi="標楷體" w:cs="Courier New" w:hint="eastAsia"/>
          <w:b/>
          <w:bCs/>
          <w:color w:val="000000" w:themeColor="text1"/>
          <w:sz w:val="32"/>
          <w:szCs w:val="32"/>
        </w:rPr>
        <w:t>114年度中央政府總預算案有關金融監督管理委員會、銀行局、證券期貨局、保險局、檢查局收支部分審查結果</w:t>
      </w:r>
      <w:r w:rsidRPr="00EB155B">
        <w:rPr>
          <w:rFonts w:ascii="標楷體" w:eastAsia="標楷體" w:hAnsi="標楷體" w:hint="eastAsia"/>
          <w:b/>
          <w:bCs/>
          <w:color w:val="000000" w:themeColor="text1"/>
          <w:sz w:val="32"/>
          <w:szCs w:val="32"/>
        </w:rPr>
        <w:t>：</w:t>
      </w:r>
    </w:p>
    <w:p w14:paraId="4D8A268D" w14:textId="77777777" w:rsidR="009D64D0" w:rsidRPr="00EB155B" w:rsidRDefault="009D64D0" w:rsidP="00F470A8">
      <w:pPr>
        <w:overflowPunct w:val="0"/>
        <w:spacing w:line="480" w:lineRule="exact"/>
        <w:rPr>
          <w:rFonts w:ascii="標楷體" w:eastAsia="標楷體" w:hAnsi="標楷體" w:cs="華康細明體"/>
          <w:b/>
          <w:color w:val="000000" w:themeColor="text1"/>
          <w:kern w:val="0"/>
          <w:sz w:val="32"/>
          <w:szCs w:val="32"/>
        </w:rPr>
      </w:pPr>
      <w:r w:rsidRPr="00EB155B">
        <w:rPr>
          <w:rFonts w:ascii="標楷體" w:eastAsia="標楷體" w:hAnsi="標楷體" w:cs="華康細明體" w:hint="eastAsia"/>
          <w:b/>
          <w:color w:val="000000" w:themeColor="text1"/>
          <w:kern w:val="0"/>
          <w:sz w:val="32"/>
          <w:szCs w:val="32"/>
        </w:rPr>
        <w:t>一、歲入部分</w:t>
      </w:r>
    </w:p>
    <w:p w14:paraId="47F5CBC2" w14:textId="77777777" w:rsidR="009D64D0" w:rsidRPr="00EB155B" w:rsidRDefault="009D64D0" w:rsidP="00F470A8">
      <w:pPr>
        <w:overflowPunct w:val="0"/>
        <w:spacing w:line="480" w:lineRule="exact"/>
        <w:ind w:leftChars="134" w:left="322"/>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第2款　罰款及賠償收入</w:t>
      </w:r>
    </w:p>
    <w:p w14:paraId="3B96B7D4"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第215項　金融監督管理委員會，無列數。</w:t>
      </w:r>
    </w:p>
    <w:p w14:paraId="20171E81" w14:textId="77777777" w:rsidR="009D64D0" w:rsidRPr="00EB155B" w:rsidRDefault="009D64D0" w:rsidP="00F470A8">
      <w:pPr>
        <w:overflowPunct w:val="0"/>
        <w:spacing w:line="480" w:lineRule="exact"/>
        <w:ind w:leftChars="134" w:left="322"/>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第3款　規費收入</w:t>
      </w:r>
    </w:p>
    <w:p w14:paraId="31F9F037"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第176項　保險局，無列數。</w:t>
      </w:r>
    </w:p>
    <w:p w14:paraId="5C812E0B" w14:textId="77777777" w:rsidR="009D64D0" w:rsidRPr="00EB155B" w:rsidRDefault="009D64D0" w:rsidP="00F470A8">
      <w:pPr>
        <w:overflowPunct w:val="0"/>
        <w:spacing w:line="480" w:lineRule="exact"/>
        <w:ind w:leftChars="134" w:left="322"/>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第4款　財產收入</w:t>
      </w:r>
    </w:p>
    <w:p w14:paraId="62D04172"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第225項　金融監督管理委員會103萬4千元，照列。</w:t>
      </w:r>
    </w:p>
    <w:p w14:paraId="6A6BB05E" w14:textId="77777777" w:rsidR="009D64D0" w:rsidRPr="00EB155B" w:rsidRDefault="009D64D0" w:rsidP="00F470A8">
      <w:pPr>
        <w:overflowPunct w:val="0"/>
        <w:spacing w:line="480" w:lineRule="exact"/>
        <w:ind w:leftChars="260" w:left="4608" w:hangingChars="1245" w:hanging="3984"/>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第226</w:t>
      </w:r>
      <w:r w:rsidRPr="00EB155B">
        <w:rPr>
          <w:rFonts w:ascii="標楷體" w:eastAsia="標楷體" w:hAnsi="標楷體" w:cs="華康細明體" w:hint="eastAsia"/>
          <w:color w:val="000000" w:themeColor="text1"/>
          <w:kern w:val="0"/>
          <w:sz w:val="32"/>
          <w:szCs w:val="32"/>
        </w:rPr>
        <w:t>項　銀</w:t>
      </w:r>
      <w:r w:rsidRPr="00EB155B">
        <w:rPr>
          <w:rFonts w:ascii="標楷體" w:eastAsia="標楷體" w:hAnsi="標楷體" w:hint="eastAsia"/>
          <w:color w:val="000000" w:themeColor="text1"/>
          <w:sz w:val="32"/>
          <w:szCs w:val="32"/>
        </w:rPr>
        <w:t>行局54萬2千元</w:t>
      </w:r>
      <w:r w:rsidRPr="00EB155B">
        <w:rPr>
          <w:rFonts w:ascii="標楷體" w:eastAsia="標楷體" w:hAnsi="標楷體" w:cs="華康細明體" w:hint="eastAsia"/>
          <w:color w:val="000000" w:themeColor="text1"/>
          <w:kern w:val="0"/>
          <w:sz w:val="32"/>
          <w:szCs w:val="32"/>
        </w:rPr>
        <w:t>，照列。</w:t>
      </w:r>
    </w:p>
    <w:p w14:paraId="4059ECF3"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第227項　證券期貨局1萬元，照列。</w:t>
      </w:r>
    </w:p>
    <w:p w14:paraId="54E40835"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第228項　保險局10萬2千元，照列。</w:t>
      </w:r>
    </w:p>
    <w:p w14:paraId="4B1BC29A" w14:textId="77777777" w:rsidR="009D64D0" w:rsidRPr="00EB155B" w:rsidRDefault="009D64D0" w:rsidP="00F470A8">
      <w:pPr>
        <w:overflowPunct w:val="0"/>
        <w:spacing w:line="480" w:lineRule="exact"/>
        <w:ind w:leftChars="260" w:left="4608" w:hangingChars="1245" w:hanging="3984"/>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第229項</w:t>
      </w:r>
      <w:r w:rsidRPr="00EB155B">
        <w:rPr>
          <w:rFonts w:ascii="標楷體" w:eastAsia="標楷體" w:hAnsi="標楷體" w:cs="華康細明體" w:hint="eastAsia"/>
          <w:color w:val="000000" w:themeColor="text1"/>
          <w:kern w:val="0"/>
          <w:sz w:val="32"/>
          <w:szCs w:val="32"/>
        </w:rPr>
        <w:t xml:space="preserve">　</w:t>
      </w:r>
      <w:r w:rsidRPr="00EB155B">
        <w:rPr>
          <w:rFonts w:ascii="標楷體" w:eastAsia="標楷體" w:hAnsi="標楷體" w:hint="eastAsia"/>
          <w:color w:val="000000" w:themeColor="text1"/>
          <w:sz w:val="32"/>
          <w:szCs w:val="32"/>
        </w:rPr>
        <w:t>檢查局3</w:t>
      </w:r>
      <w:r w:rsidRPr="00EB155B">
        <w:rPr>
          <w:rFonts w:ascii="標楷體" w:eastAsia="標楷體" w:hAnsi="標楷體"/>
          <w:color w:val="000000" w:themeColor="text1"/>
          <w:sz w:val="32"/>
          <w:szCs w:val="32"/>
        </w:rPr>
        <w:t>4</w:t>
      </w:r>
      <w:r w:rsidRPr="00EB155B">
        <w:rPr>
          <w:rFonts w:ascii="標楷體" w:eastAsia="標楷體" w:hAnsi="標楷體" w:hint="eastAsia"/>
          <w:color w:val="000000" w:themeColor="text1"/>
          <w:sz w:val="32"/>
          <w:szCs w:val="32"/>
        </w:rPr>
        <w:t>萬1</w:t>
      </w:r>
      <w:r w:rsidRPr="00EB155B">
        <w:rPr>
          <w:rFonts w:ascii="標楷體" w:eastAsia="標楷體" w:hAnsi="標楷體" w:cs="華康細明體" w:hint="eastAsia"/>
          <w:color w:val="000000" w:themeColor="text1"/>
          <w:kern w:val="0"/>
          <w:sz w:val="32"/>
          <w:szCs w:val="32"/>
        </w:rPr>
        <w:t>千</w:t>
      </w:r>
      <w:r w:rsidRPr="00EB155B">
        <w:rPr>
          <w:rFonts w:ascii="標楷體" w:eastAsia="標楷體" w:hAnsi="標楷體" w:hint="eastAsia"/>
          <w:color w:val="000000" w:themeColor="text1"/>
          <w:sz w:val="32"/>
          <w:szCs w:val="32"/>
        </w:rPr>
        <w:t>元</w:t>
      </w:r>
      <w:r w:rsidRPr="00EB155B">
        <w:rPr>
          <w:rFonts w:ascii="標楷體" w:eastAsia="標楷體" w:hAnsi="標楷體" w:cs="華康細明體" w:hint="eastAsia"/>
          <w:color w:val="000000" w:themeColor="text1"/>
          <w:kern w:val="0"/>
          <w:sz w:val="32"/>
          <w:szCs w:val="32"/>
        </w:rPr>
        <w:t>，照列。</w:t>
      </w:r>
    </w:p>
    <w:p w14:paraId="030576A0" w14:textId="77777777" w:rsidR="009D64D0" w:rsidRPr="00EB155B" w:rsidRDefault="009D64D0" w:rsidP="00F470A8">
      <w:pPr>
        <w:overflowPunct w:val="0"/>
        <w:spacing w:line="480" w:lineRule="exact"/>
        <w:ind w:leftChars="134" w:left="322"/>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第5款　營業盈餘及事業收入</w:t>
      </w:r>
    </w:p>
    <w:p w14:paraId="03A48217" w14:textId="77777777" w:rsidR="009D64D0" w:rsidRPr="00EB155B" w:rsidRDefault="009D64D0" w:rsidP="00F470A8">
      <w:pPr>
        <w:overflowPunct w:val="0"/>
        <w:spacing w:line="480" w:lineRule="exact"/>
        <w:ind w:leftChars="260" w:left="2064" w:hangingChars="450" w:hanging="144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第12項</w:t>
      </w:r>
      <w:r w:rsidRPr="00EB155B">
        <w:rPr>
          <w:rFonts w:ascii="標楷體" w:eastAsia="標楷體" w:hAnsi="標楷體" w:cs="華康細明體" w:hint="eastAsia"/>
          <w:color w:val="000000" w:themeColor="text1"/>
          <w:kern w:val="0"/>
          <w:sz w:val="32"/>
          <w:szCs w:val="32"/>
        </w:rPr>
        <w:t xml:space="preserve">　</w:t>
      </w:r>
      <w:r w:rsidRPr="00EB155B">
        <w:rPr>
          <w:rFonts w:ascii="標楷體" w:eastAsia="標楷體" w:hAnsi="標楷體" w:hint="eastAsia"/>
          <w:color w:val="000000" w:themeColor="text1"/>
          <w:sz w:val="32"/>
          <w:szCs w:val="32"/>
        </w:rPr>
        <w:t>金融監督管理委員會原列8億0,554萬3千元係金融監督管理基金賸餘繳庫數，暫照列，俟所屬非營業特種基金審議確定後，再行調整。</w:t>
      </w:r>
    </w:p>
    <w:p w14:paraId="591F550B" w14:textId="77777777" w:rsidR="009D64D0" w:rsidRPr="00EB155B" w:rsidRDefault="009D64D0" w:rsidP="00F470A8">
      <w:pPr>
        <w:overflowPunct w:val="0"/>
        <w:spacing w:line="480" w:lineRule="exact"/>
        <w:ind w:leftChars="134" w:left="322"/>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第7款　其他收入</w:t>
      </w:r>
    </w:p>
    <w:p w14:paraId="220E69AB"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第224項　金融監督管理委員會13萬7千元，照列。</w:t>
      </w:r>
    </w:p>
    <w:p w14:paraId="1DF89825"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lastRenderedPageBreak/>
        <w:t>第2</w:t>
      </w:r>
      <w:r w:rsidRPr="00EB155B">
        <w:rPr>
          <w:rFonts w:ascii="標楷體" w:eastAsia="標楷體" w:hAnsi="標楷體" w:cs="華康細明體"/>
          <w:color w:val="000000" w:themeColor="text1"/>
          <w:kern w:val="0"/>
          <w:sz w:val="32"/>
          <w:szCs w:val="32"/>
        </w:rPr>
        <w:t>2</w:t>
      </w:r>
      <w:r w:rsidRPr="00EB155B">
        <w:rPr>
          <w:rFonts w:ascii="標楷體" w:eastAsia="標楷體" w:hAnsi="標楷體" w:cs="華康細明體" w:hint="eastAsia"/>
          <w:color w:val="000000" w:themeColor="text1"/>
          <w:kern w:val="0"/>
          <w:sz w:val="32"/>
          <w:szCs w:val="32"/>
        </w:rPr>
        <w:t>5項　銀行局22萬6千元，照列。</w:t>
      </w:r>
    </w:p>
    <w:p w14:paraId="64F180CE"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w:t>
      </w:r>
      <w:r w:rsidRPr="00EB155B">
        <w:rPr>
          <w:rFonts w:ascii="標楷體" w:eastAsia="標楷體" w:hAnsi="標楷體" w:cs="華康細明體"/>
          <w:color w:val="000000" w:themeColor="text1"/>
          <w:kern w:val="0"/>
          <w:sz w:val="32"/>
          <w:szCs w:val="32"/>
        </w:rPr>
        <w:t>2</w:t>
      </w:r>
      <w:r w:rsidRPr="00EB155B">
        <w:rPr>
          <w:rFonts w:ascii="標楷體" w:eastAsia="標楷體" w:hAnsi="標楷體" w:cs="華康細明體" w:hint="eastAsia"/>
          <w:color w:val="000000" w:themeColor="text1"/>
          <w:kern w:val="0"/>
          <w:sz w:val="32"/>
          <w:szCs w:val="32"/>
        </w:rPr>
        <w:t>6項　證券期貨局16萬6千元，照列。</w:t>
      </w:r>
    </w:p>
    <w:p w14:paraId="1FE755F9"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w:t>
      </w:r>
      <w:r w:rsidRPr="00EB155B">
        <w:rPr>
          <w:rFonts w:ascii="標楷體" w:eastAsia="標楷體" w:hAnsi="標楷體" w:cs="華康細明體"/>
          <w:color w:val="000000" w:themeColor="text1"/>
          <w:kern w:val="0"/>
          <w:sz w:val="32"/>
          <w:szCs w:val="32"/>
        </w:rPr>
        <w:t>2</w:t>
      </w:r>
      <w:r w:rsidRPr="00EB155B">
        <w:rPr>
          <w:rFonts w:ascii="標楷體" w:eastAsia="標楷體" w:hAnsi="標楷體" w:cs="華康細明體" w:hint="eastAsia"/>
          <w:color w:val="000000" w:themeColor="text1"/>
          <w:kern w:val="0"/>
          <w:sz w:val="32"/>
          <w:szCs w:val="32"/>
        </w:rPr>
        <w:t>7項　保險局12萬7千元，照列。</w:t>
      </w:r>
    </w:p>
    <w:p w14:paraId="08DA03F5" w14:textId="77777777" w:rsidR="009D64D0" w:rsidRPr="00EB155B" w:rsidRDefault="009D64D0" w:rsidP="00F470A8">
      <w:pPr>
        <w:overflowPunct w:val="0"/>
        <w:spacing w:line="480" w:lineRule="exact"/>
        <w:ind w:leftChars="260" w:left="4608" w:hangingChars="1245" w:hanging="3984"/>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第228項　檢查局1萬9千元，照列。</w:t>
      </w:r>
    </w:p>
    <w:p w14:paraId="2ED680F5" w14:textId="77777777" w:rsidR="009D64D0" w:rsidRPr="00EB155B" w:rsidRDefault="009D64D0" w:rsidP="00F470A8">
      <w:pPr>
        <w:overflowPunct w:val="0"/>
        <w:spacing w:line="480" w:lineRule="exact"/>
        <w:rPr>
          <w:rFonts w:ascii="標楷體" w:eastAsia="標楷體" w:hAnsi="標楷體" w:cs="華康細明體"/>
          <w:b/>
          <w:color w:val="000000" w:themeColor="text1"/>
          <w:kern w:val="0"/>
          <w:sz w:val="32"/>
          <w:szCs w:val="32"/>
        </w:rPr>
      </w:pPr>
      <w:r w:rsidRPr="00EB155B">
        <w:rPr>
          <w:rFonts w:ascii="標楷體" w:eastAsia="標楷體" w:hAnsi="標楷體" w:cs="華康細明體" w:hint="eastAsia"/>
          <w:b/>
          <w:color w:val="000000" w:themeColor="text1"/>
          <w:kern w:val="0"/>
          <w:sz w:val="32"/>
          <w:szCs w:val="32"/>
        </w:rPr>
        <w:t>二、歲出部分</w:t>
      </w:r>
    </w:p>
    <w:p w14:paraId="761DFE42" w14:textId="77777777" w:rsidR="009D64D0" w:rsidRPr="00241224" w:rsidRDefault="009D64D0" w:rsidP="00F470A8">
      <w:pPr>
        <w:overflowPunct w:val="0"/>
        <w:autoSpaceDE w:val="0"/>
        <w:spacing w:line="480" w:lineRule="exact"/>
        <w:rPr>
          <w:rFonts w:ascii="標楷體" w:eastAsia="標楷體" w:hAnsi="標楷體"/>
          <w:b/>
          <w:color w:val="000000" w:themeColor="text1"/>
          <w:sz w:val="32"/>
          <w:szCs w:val="32"/>
        </w:rPr>
      </w:pPr>
      <w:r w:rsidRPr="00241224">
        <w:rPr>
          <w:rFonts w:ascii="標楷體" w:eastAsia="標楷體" w:hAnsi="標楷體" w:cs="華康細明體" w:hint="eastAsia"/>
          <w:b/>
          <w:color w:val="000000" w:themeColor="text1"/>
          <w:kern w:val="0"/>
          <w:sz w:val="32"/>
          <w:szCs w:val="32"/>
        </w:rPr>
        <w:t xml:space="preserve">　第</w:t>
      </w:r>
      <w:r w:rsidRPr="00241224">
        <w:rPr>
          <w:rFonts w:ascii="標楷體" w:eastAsia="標楷體" w:hAnsi="標楷體" w:cs="華康細明體" w:hint="eastAsia"/>
          <w:b/>
          <w:bCs/>
          <w:color w:val="000000" w:themeColor="text1"/>
          <w:kern w:val="0"/>
          <w:sz w:val="32"/>
          <w:szCs w:val="32"/>
        </w:rPr>
        <w:t>2</w:t>
      </w:r>
      <w:r w:rsidRPr="00241224">
        <w:rPr>
          <w:rFonts w:ascii="標楷體" w:eastAsia="標楷體" w:hAnsi="標楷體" w:cs="華康細明體"/>
          <w:b/>
          <w:bCs/>
          <w:color w:val="000000" w:themeColor="text1"/>
          <w:kern w:val="0"/>
          <w:sz w:val="32"/>
          <w:szCs w:val="32"/>
        </w:rPr>
        <w:t>3</w:t>
      </w:r>
      <w:r w:rsidRPr="00241224">
        <w:rPr>
          <w:rFonts w:ascii="標楷體" w:eastAsia="標楷體" w:hAnsi="標楷體" w:cs="華康細明體" w:hint="eastAsia"/>
          <w:b/>
          <w:color w:val="000000" w:themeColor="text1"/>
          <w:kern w:val="0"/>
          <w:sz w:val="32"/>
          <w:szCs w:val="32"/>
        </w:rPr>
        <w:t>款　金融監督管理委員會主管</w:t>
      </w:r>
    </w:p>
    <w:p w14:paraId="77B02036" w14:textId="77777777" w:rsidR="009D64D0" w:rsidRPr="00EB155B" w:rsidRDefault="009D64D0" w:rsidP="00F470A8">
      <w:pPr>
        <w:tabs>
          <w:tab w:val="left" w:pos="284"/>
        </w:tabs>
        <w:overflowPunct w:val="0"/>
        <w:autoSpaceDE w:val="0"/>
        <w:spacing w:line="480" w:lineRule="exact"/>
        <w:ind w:left="1762" w:hangingChars="550" w:hanging="1762"/>
        <w:jc w:val="both"/>
        <w:rPr>
          <w:rFonts w:ascii="標楷體" w:eastAsia="標楷體" w:hAnsi="標楷體" w:cs="華康細明體"/>
          <w:color w:val="000000" w:themeColor="text1"/>
          <w:kern w:val="0"/>
          <w:sz w:val="32"/>
          <w:szCs w:val="32"/>
        </w:rPr>
      </w:pPr>
      <w:r w:rsidRPr="00241224">
        <w:rPr>
          <w:rFonts w:ascii="標楷體" w:eastAsia="標楷體" w:hAnsi="標楷體" w:cs="華康細明體" w:hint="eastAsia"/>
          <w:b/>
          <w:color w:val="000000" w:themeColor="text1"/>
          <w:kern w:val="0"/>
          <w:sz w:val="32"/>
          <w:szCs w:val="32"/>
        </w:rPr>
        <w:t xml:space="preserve">　　第1項　金融監督管理委員會</w:t>
      </w:r>
      <w:r w:rsidRPr="00EB155B">
        <w:rPr>
          <w:rFonts w:ascii="標楷體" w:eastAsia="標楷體" w:hAnsi="標楷體" w:cs="華康細明體" w:hint="eastAsia"/>
          <w:color w:val="000000" w:themeColor="text1"/>
          <w:kern w:val="0"/>
          <w:sz w:val="32"/>
          <w:szCs w:val="32"/>
        </w:rPr>
        <w:t>原列2億6,839萬4千元，減列第1目「一般行政」項下「基本行政工作維持」80萬元(含「業務費」5萬元及「設備及投資」5萬元)、第2目「金融監理」10萬元，共計減列90萬元（科目均自行調整），其餘均照列，改列為2億6,749萬4千元。</w:t>
      </w:r>
    </w:p>
    <w:p w14:paraId="3AD0A9BC" w14:textId="77777777" w:rsidR="009D64D0" w:rsidRPr="00EB155B" w:rsidRDefault="009D64D0" w:rsidP="00F470A8">
      <w:pPr>
        <w:overflowPunct w:val="0"/>
        <w:autoSpaceDE w:val="0"/>
        <w:spacing w:line="480" w:lineRule="exact"/>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本項通過決議51項：</w:t>
      </w:r>
    </w:p>
    <w:p w14:paraId="720C5D59" w14:textId="77777777" w:rsidR="009D64D0" w:rsidRPr="00EB155B" w:rsidRDefault="009D64D0" w:rsidP="00F470A8">
      <w:pPr>
        <w:tabs>
          <w:tab w:val="left" w:pos="851"/>
          <w:tab w:val="left" w:pos="1134"/>
          <w:tab w:val="left" w:pos="1418"/>
        </w:tabs>
        <w:overflowPunct w:val="0"/>
        <w:autoSpaceDE w:val="0"/>
        <w:spacing w:line="480" w:lineRule="exact"/>
        <w:ind w:leftChars="4" w:left="129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一)台灣金融科技監理沙盒創新實驗專法金融科技發展與創新實驗條例於107年4月開始施行，並受理監理沙盒申請案。統計至113年5月，金融監理沙盒實驗申請案共計16件，核准9件且已出沙盒，共4件已落地，否准2件，自行撤回申請共4件。近3年來沙盒陷入掛蛋的窘境，可見台灣金融科技發展不但牛步化，且創新動能成效亟待改善。又金融監督管理委員會為應業務需要，擬規劃增設金融市場發展與創新處，爰於114年度預算案「一般行政」及「金融監理」計畫項下分別編列2,017萬元及84萬2千元，共計2,101萬2千元，主要係人事相關費用、室內裝修、辦公用品及設備採購等所需經費。金融監督管理委員會宜先檢討過去金融創新作為之不足，以及未來精進作法。綜合上述，爰凍結第1目「一般行政」預算70萬元，俟金融監督管理委員會向立法院財政委員會提出書面報告後，始得動支。</w:t>
      </w:r>
    </w:p>
    <w:p w14:paraId="5F66072E" w14:textId="0351E7B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提案人：李彥秀　</w:t>
      </w:r>
    </w:p>
    <w:p w14:paraId="682E669F" w14:textId="76C46973"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連署人：賴士葆　陳玉珍</w:t>
      </w:r>
    </w:p>
    <w:p w14:paraId="5723C5B7"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(二)114年度金融監督管理委員會預算案於第1目「一般行政」項下「基本行政工作維持」之「業務費」編列6,850萬5千元。</w:t>
      </w:r>
      <w:r w:rsidRPr="00EB155B">
        <w:rPr>
          <w:rFonts w:ascii="標楷體" w:eastAsia="標楷體" w:hAnsi="標楷體" w:hint="eastAsia"/>
          <w:color w:val="000000" w:themeColor="text1"/>
          <w:sz w:val="32"/>
          <w:szCs w:val="32"/>
        </w:rPr>
        <w:lastRenderedPageBreak/>
        <w:t>有鑑於物聯網、區塊鏈、人工智慧及電子支付等數位技術之快速發展及普及，金融科技（FinTech）發展對我國未來相關產業至關重要，急切需要跨域整合及隨機應變，已非可由金融監督管理委員會現行任一業務局單一職掌與推動，加上經常涉及監管者與推動者角色扞格，影響政府推動革新之效能。為加強我國金融科技業者、將各項新興科技運用於金融業務之業者以及其他非金融機構辦理金融相關業務者之監督、管理及其政策、法令之擬定、規劃、執行等事項，允宜設置專責機關統籌辦理。爰凍結該項預算十分之一，俟金融監督管理委員會於3個月內，就金融科技局之設置可行性評估，向立法院財政委員會提出書面報告後，始得動支。</w:t>
      </w:r>
    </w:p>
    <w:p w14:paraId="1264E329" w14:textId="797D527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羅明才　陳玉珍</w:t>
      </w:r>
    </w:p>
    <w:p w14:paraId="436B6207"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113年以來融資租賃公司屢遭非議，從山道猴子悲歌引發的先買後付（BNPL）爭論，到近期發現融資公司恐成為打炒房的漏洞，融資公司用約2%的低利率，向國銀借貸後，卻在底下成立投資公司，用12%至14%再融資給建商，進行融資套利，讓融資公司反而成為銀行法的破口。對各界要求制定融資公司管理法納管融資公司，惟金融監督管理委員會以委外研究，再根據研究結果來形成具體的建議，惟1年來毫無進度，讓訂定專法變成漫長的過程。爰凍結第1目「一般行政」項下「基本行政工作維持」之「業務費」6,850萬5千元之十分之一，俟金融監督管理委員會向立法院財政委員會提出強化融資租賃公司消費者保護措施之書面報告後，始得動支。</w:t>
      </w:r>
    </w:p>
    <w:p w14:paraId="099C80FC" w14:textId="5353276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提案人：李坤城　</w:t>
      </w:r>
    </w:p>
    <w:p w14:paraId="540D003D" w14:textId="2A1C92F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連署人：賴惠員　伍麗華</w:t>
      </w:r>
    </w:p>
    <w:p w14:paraId="11CF02F3"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目前虛擬資產交易平台VASP，是依據洗錢防制法，已完成法遵聲明的VASP共26家，業務型態包括交易所、買賣平台、實體店面、虛擬資產自動櫃員機（BTM）及託管系統商。目前，雖然已經進入第二階段的公會制定自律規範管理，但如</w:t>
      </w:r>
      <w:r w:rsidRPr="00EB155B">
        <w:rPr>
          <w:rFonts w:ascii="標楷體" w:eastAsia="標楷體" w:hAnsi="標楷體" w:hint="eastAsia"/>
          <w:color w:val="000000" w:themeColor="text1"/>
          <w:sz w:val="32"/>
          <w:szCs w:val="32"/>
        </w:rPr>
        <w:lastRenderedPageBreak/>
        <w:t>ACE王牌交易所創辦人潘奕彰等人，涉勾結虛擬貨幣詐團吸金逾8億元，但ACE王牌交易所僅受罰鍰處分，至今仍在網上正常收單交易，未受到任何停業之處分，顯然，在法制上有重大缺失。爰凍結第2目「金融監理」項下「金融監督管理」預算2,367萬8千元之十分之一，俟金融監督管理委員會向立法院財政委員會提出缺失改善書面報告後，始得動支。</w:t>
      </w:r>
    </w:p>
    <w:p w14:paraId="4DB0CF23" w14:textId="6BF0EF57"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提案人：李坤城　</w:t>
      </w:r>
    </w:p>
    <w:p w14:paraId="130747A9" w14:textId="47856ECE"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連署人：賴惠員　伍麗華</w:t>
      </w:r>
    </w:p>
    <w:p w14:paraId="1954DEFC"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五)114年度金融監督管理委員會預算案於第2目「金融監理」項下「金融監督管理」編列2,367萬8千元。我國即將邁入超高齡化社會，屆時每5人中就會有1位年齡超過65歲。為因應高齡化社會趨勢，金融監督管理委員會對此鼓勵金融機構提供符合高齡者需求之商品及服務，並持續推動相關監理保障措施。雖然高齡金融消費爭議申訴案件數占總申訴案件之比率於109至112年間已呈現下降之趨勢，然而截至113年7月底止，相較於112年同期卻增加1.21個百分點，並且高於110至112年的比率，金融監督管理委員會應持續加強督促業者遵守相關規範，以保障高齡者之權益，使金融機構之服務更貼近其需求。爰凍結該項預算二十分之一，俟金融監督管理委員會於2個月內向立法院財政委員會提出書面報告後，始得動支。</w:t>
      </w:r>
    </w:p>
    <w:p w14:paraId="67FB330D" w14:textId="7D36AD4A"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2AE25AD5"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六)114年度金融監督管理委員會預算案於第2目「金融監理」項下「金融監督管理」編列2,367萬8千元，爰凍結該項預算二十分之一，俟金融監督管理委員會就金金分離原則向立法院財政委員會提出專案報告後，始得動支。</w:t>
      </w:r>
    </w:p>
    <w:p w14:paraId="48C36071" w14:textId="2A86D25E"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提案人：王鴻薇　</w:t>
      </w:r>
    </w:p>
    <w:p w14:paraId="0A579856" w14:textId="6BC71308"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連署人：賴士葆　陳玉珍</w:t>
      </w:r>
    </w:p>
    <w:p w14:paraId="5D7BC114"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(七)114年度金融監督管理委員會預算案於第2目「金融監理」項下「金融監督管理」編列2,367萬8千元。有鑑於1</w:t>
      </w:r>
      <w:r w:rsidRPr="00EB155B">
        <w:rPr>
          <w:rFonts w:ascii="標楷體" w:eastAsia="標楷體" w:hAnsi="標楷體"/>
          <w:color w:val="000000" w:themeColor="text1"/>
          <w:sz w:val="32"/>
          <w:szCs w:val="32"/>
        </w:rPr>
        <w:t>13</w:t>
      </w:r>
      <w:r w:rsidRPr="00EB155B">
        <w:rPr>
          <w:rFonts w:ascii="標楷體" w:eastAsia="標楷體" w:hAnsi="標楷體" w:hint="eastAsia"/>
          <w:color w:val="000000" w:themeColor="text1"/>
          <w:sz w:val="32"/>
          <w:szCs w:val="32"/>
        </w:rPr>
        <w:t>年新政</w:t>
      </w:r>
      <w:r w:rsidRPr="00EB155B">
        <w:rPr>
          <w:rFonts w:ascii="標楷體" w:eastAsia="標楷體" w:hAnsi="標楷體" w:hint="eastAsia"/>
          <w:color w:val="000000" w:themeColor="text1"/>
          <w:sz w:val="32"/>
          <w:szCs w:val="32"/>
        </w:rPr>
        <w:lastRenderedPageBreak/>
        <w:t>府上任後，宣示將推動台灣成為亞洲資產管理中心，強化金融商品服務效能，然見歷年金融消費爭議申訴案件，除去疫情期間的防疫保單之亂，平均而言仍呈上漲趨勢，顯見金融服務品質仍有待加強。金融監督管理委員會應督促金融服務業者，本於服務精神詳盡的介紹金融商品特性及告知風險，而非急於招攬業務賺取佣金，致衍生爭議勞民傷財，讓民眾孤身對抗大財團，降低民眾對我國金融服務管理的信心。爰凍結該項預算百分之三，俟金融監督管理委員會就如何提升我國金融服務品質並降低爭議發生進行檢討，於3個月內向立法院財政委員會提出書面報告後，始得動支。</w:t>
      </w:r>
    </w:p>
    <w:p w14:paraId="6FAB120D" w14:textId="6B203F2F"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提案人：吳秉叡　</w:t>
      </w:r>
    </w:p>
    <w:p w14:paraId="10E06B3F" w14:textId="7972C9C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連署人：賴惠員　李坤城　</w:t>
      </w:r>
    </w:p>
    <w:p w14:paraId="0C7F005E"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八)114年度金融監督管理委員會預算案於第2目「金融監理」項下「金融監督管理」之「業務費」編列1,883萬4千元。內政部已修正姓名條例明定原住民族文字可以單獨登記身分證，惟近日陸續接獲族人反映在申請開戶或其他金融服務時因為單列族名的關係而遭遇困難，顯然金融監督管理委員會並未依照法規的修正，監督各金融機構配合修正系統，讓原住民族人在辦理相關業務像是二等公民。爰凍結該項預算50萬元，俟金融監督管理委員會於1個月內向立法院財政委員會提出書面報告後，始得動支。</w:t>
      </w:r>
    </w:p>
    <w:p w14:paraId="7F3DDDA0" w14:textId="597AB18E"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提案人：伍麗華　王世堅　</w:t>
      </w:r>
    </w:p>
    <w:p w14:paraId="036C4E45" w14:textId="5E3AC75C"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郭國文　</w:t>
      </w:r>
    </w:p>
    <w:p w14:paraId="6D036C61"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九)114年度金融監督管理委員會預算案於第2目「金融監理」項下「金融監督管理」之「業務費」編列1,883萬4千元。有鑑於政府為鼓勵金融科技創新與發展，我國106年立法通過金融科技發展與創新實驗條例，提供國內外金融及創新業者，於金融科技研發試作之安全環境。惟審計報告指出，截至113年2月底止，金融科技發展與創新實驗條例施行已近6年，金融監理沙盒申請案件計16件，其中核准9件均已實驗</w:t>
      </w:r>
      <w:r w:rsidRPr="00EB155B">
        <w:rPr>
          <w:rFonts w:ascii="標楷體" w:eastAsia="標楷體" w:hAnsi="標楷體" w:hint="eastAsia"/>
          <w:color w:val="000000" w:themeColor="text1"/>
          <w:sz w:val="32"/>
          <w:szCs w:val="32"/>
        </w:rPr>
        <w:lastRenderedPageBreak/>
        <w:t>結束，僅4件落地實施，案件數仍偏低，形成業務試辦為主、金融監理沙盒為輔之情形，與推動金融監理沙盒鼓勵金融業及新創業等業者，突破現行法規規定，發展新型技術、服務或商業模式之用意有別。爰凍結該項預算二十分之一，俟金融監督管理委員會於3個月內，就金融沙盒實驗個案無法落地之原因分析及金融沙盒制度精進計畫，向立法院財政委員會提出書面報告後，始得動支。</w:t>
      </w:r>
    </w:p>
    <w:p w14:paraId="6083D4C8" w14:textId="77777777" w:rsidR="00241224"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　王世堅</w:t>
      </w:r>
    </w:p>
    <w:p w14:paraId="3761B1BC" w14:textId="6E1AD560" w:rsidR="009D64D0" w:rsidRPr="00EB155B" w:rsidRDefault="009D64D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241224" w:rsidRPr="00EB155B">
        <w:rPr>
          <w:rFonts w:ascii="標楷體" w:eastAsia="標楷體" w:hAnsi="標楷體" w:hint="eastAsia"/>
          <w:kern w:val="0"/>
          <w:sz w:val="32"/>
          <w:szCs w:val="32"/>
        </w:rPr>
        <w:t xml:space="preserve">　　　　　</w:t>
      </w:r>
      <w:r w:rsidRPr="00EB155B">
        <w:rPr>
          <w:rFonts w:ascii="標楷體" w:eastAsia="標楷體" w:hAnsi="標楷體" w:hint="eastAsia"/>
          <w:kern w:val="0"/>
          <w:sz w:val="32"/>
          <w:szCs w:val="32"/>
        </w:rPr>
        <w:t>賴士葆　王鴻薇</w:t>
      </w:r>
    </w:p>
    <w:p w14:paraId="39EC53BC"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114年度金融監督管理委員會預算案於第2目「金融監理」項下「金融監督管理」之「業務費」編列1,883萬4千元。近年來國內諸多融資公司、當鋪以提供小額借貸等方式，誘使原住民族人或其他經濟處境相對不利民眾，簽立小額、高利息借據，還款若有延遲，即結合資產管理公司，以不當手段催討並扣押借款人財物。融資公司及當舖，雖非為金融機構，但實則從事金融借貸業務，導致此類惡意放款行為，長期缺乏監管，衍生各類糾紛，損害國人權益，金融監督管理委員會應依法定權責，維持金融穩定及促進金融市場發展，擬定專法及改善措施。爰凍結該項預算50萬元，俟金融監督管理委員會於1個月內向立法院財政委員會提出書面報告後，始得動支。</w:t>
      </w:r>
    </w:p>
    <w:p w14:paraId="3A55365A" w14:textId="42A7B3B8"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提案人：伍麗華　郭國文　</w:t>
      </w:r>
    </w:p>
    <w:p w14:paraId="7212F97A" w14:textId="51EC336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w:t>
      </w:r>
    </w:p>
    <w:p w14:paraId="5CF9B4E8"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一)根據2024金融業資安大調查，超過13項資安威脅進入高衝擊高風險的第一象限，都得警戒，而且所面臨的資安威脅比過去更加多樣化。資料外洩事件、勒索軟體資安事件、商業郵件詐騙和軟體供應鏈資安事件威脅明顯提升。113年金融業設置資安長之家數及其占比已概呈增加，但部分業別設置占比相對較低，且審計部指出金融業資安高階人才相對缺乏。金融監督管理委員會應持續精進相關措施並</w:t>
      </w:r>
      <w:r w:rsidRPr="00EB155B">
        <w:rPr>
          <w:rFonts w:ascii="標楷體" w:eastAsia="標楷體" w:hAnsi="標楷體" w:hint="eastAsia"/>
          <w:color w:val="000000" w:themeColor="text1"/>
          <w:sz w:val="32"/>
          <w:szCs w:val="32"/>
        </w:rPr>
        <w:lastRenderedPageBreak/>
        <w:t>滾動調整，以提升其資安防護能力。綜合上述，基於國家財政支出撙節使用原則，爰凍結第2目「金融監理」項下「金融監督管理」中「設備及投資」之「資訊軟硬體設備費」預算40萬元，俟金融監督管理委員會向立法院財政委員會提出書面報告後，始得動支。</w:t>
      </w:r>
    </w:p>
    <w:p w14:paraId="729DFE39" w14:textId="64A3E066"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提案人：李彥秀　</w:t>
      </w:r>
    </w:p>
    <w:p w14:paraId="322EB7A9" w14:textId="0447CE7D"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連署人：賴士葆　陳玉珍　</w:t>
      </w:r>
    </w:p>
    <w:p w14:paraId="4548980D"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二)114年度金融監督管理委員會預算案於第1目「一般行政」項下「基本行政工作維持」之「業務費」編列6,850萬5千元，較113年度編列數，顯有增加。其中包括「物品費」以及「房屋建築養護費」增加較多，似可撙節。基於國家財政經費宜撙節使用下，爰請金融監督管理委員會向立法院財政委員會提出書面報告。</w:t>
      </w:r>
    </w:p>
    <w:p w14:paraId="0CFDF368" w14:textId="5CB03E96"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056F979B" w14:textId="5967FE43"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2517B8FA"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(十三)114年度金融監督管理委員會預算案於第1目「一般行政」項下「人員維持」之「人事費」編列1億7</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485萬6千元。面對我國財金部門多年未進行組織改革，惟金融監督管理委員會所監管之業務不斷膨脹與新增，未來預計透過專法，監管虛擬資產、融資公司等新業別，以及承接亞洲資產管理中心計畫之責任。由於我國金融發展方向與日本相當類似，爰請金融監督管理委員會研究日本金融廳之組織架構、人力配置與業務分配，並於3個月內向立法院財政委員會提出書面報告。</w:t>
      </w:r>
    </w:p>
    <w:p w14:paraId="1A2013FB" w14:textId="0A8D47C5"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5BAB50C2" w14:textId="6BE1B898"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564614BE"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(十四)114年度金融監督管理委員會預算案於第1目「一般行政」項下「基本行政工作維持」中「業務費」之「資訊服務費」編列2,862萬9千元，較113年度歲出預算2</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819萬9千元增加43萬元。電腦主機以及其他硬體設備之維護，應為</w:t>
      </w:r>
      <w:r w:rsidRPr="00EB155B">
        <w:rPr>
          <w:rFonts w:ascii="標楷體" w:eastAsia="標楷體" w:hAnsi="標楷體" w:hint="eastAsia"/>
          <w:color w:val="000000" w:themeColor="text1"/>
          <w:sz w:val="32"/>
          <w:szCs w:val="32"/>
        </w:rPr>
        <w:lastRenderedPageBreak/>
        <w:t>穩定之價格，實難有暴漲之可能。爰要求金融監督管理委員會於3個月內向立法院財政委員會提出書面報告。</w:t>
      </w:r>
    </w:p>
    <w:p w14:paraId="599696F0" w14:textId="544EA61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01294DD5"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五)114年度金融監督管理委員會預算案於第1目「一般行政」項下「基本行政工作維持」中「業務費」之「物品」編列323萬2千元。查113年度歲出預算編列154萬5千元，114年度編列較113年度增加168萬7千元，增幅高達100%。雖為設立金融市場發展與創新處所增，然仍需秉持撙節財政之原則，以期能如期如質完成各項作業。爰要求金融監督管理委員會於3個月內向立法院財政委員會提出書面報告。</w:t>
      </w:r>
    </w:p>
    <w:p w14:paraId="289B9349" w14:textId="16D9356E"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736E261E"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六)114年度金融監督管理委員會預算案於第1目「一般行政」項下「基本行政工作維持」中「業務費」之「一般事務費」編列1,878萬7千元。打詐、防詐、阻詐為我國近年施政重點項目之一，其中金融監督管理委員會扮演重要之角色。查金融監督管理委員會設立之金融智慧網之防詐專區113年發布之金融詐騙態樣僅有3篇；影片之宣導也僅有一部，現今詐騙犯罪手法多變，金融監督管理委員會理應不斷更新網站之內容，防止民眾上當受騙。爰請金融監督管理委員會於2個月內向立法院財政委員會提出書面報告。</w:t>
      </w:r>
    </w:p>
    <w:p w14:paraId="63B946FE" w14:textId="1B1D76DF"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提案人：顏寬恒　賴士葆　羅明才　　</w:t>
      </w:r>
    </w:p>
    <w:p w14:paraId="55E56AB2"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七)查114年度金融監督管理委員會預算案於第1目「一般行政」項下「基本行政工作維持」中「業務費」之「特別費」編列94萬5千元。惟查112至113年度間，金融監督管理委員會在多項議題上成效未達民眾期待，其中包含：1.</w:t>
      </w:r>
      <w:r w:rsidRPr="00EB155B">
        <w:rPr>
          <w:rFonts w:ascii="標楷體" w:eastAsia="標楷體" w:hAnsi="標楷體" w:hint="eastAsia"/>
          <w:color w:val="000000" w:themeColor="text1"/>
          <w:sz w:val="32"/>
          <w:szCs w:val="32"/>
        </w:rPr>
        <w:tab/>
        <w:t>融資租賃業至今仍未有完善的管理機制且金融監督管理委員會亦無承諾積極介入管理。2.</w:t>
      </w:r>
      <w:r w:rsidRPr="00EB155B">
        <w:rPr>
          <w:rFonts w:ascii="標楷體" w:eastAsia="標楷體" w:hAnsi="標楷體" w:hint="eastAsia"/>
          <w:color w:val="000000" w:themeColor="text1"/>
          <w:sz w:val="32"/>
          <w:szCs w:val="32"/>
        </w:rPr>
        <w:tab/>
        <w:t>據內政部警政署警政統計查詢網所提供之詐騙案件概況，112至113年間詐騙案件發生數亦有持續增加之趨勢。又現詐騙案件多採用多元匯款途徑、新興金融模式等科技手段，相關管理規定及落</w:t>
      </w:r>
      <w:r w:rsidRPr="00EB155B">
        <w:rPr>
          <w:rFonts w:ascii="標楷體" w:eastAsia="標楷體" w:hAnsi="標楷體" w:hint="eastAsia"/>
          <w:color w:val="000000" w:themeColor="text1"/>
          <w:sz w:val="32"/>
          <w:szCs w:val="32"/>
        </w:rPr>
        <w:lastRenderedPageBreak/>
        <w:t>實狀況仍有持續觀察必要。3.</w:t>
      </w:r>
      <w:r w:rsidRPr="00EB155B">
        <w:rPr>
          <w:rFonts w:ascii="標楷體" w:eastAsia="標楷體" w:hAnsi="標楷體" w:hint="eastAsia"/>
          <w:color w:val="000000" w:themeColor="text1"/>
          <w:sz w:val="32"/>
          <w:szCs w:val="32"/>
        </w:rPr>
        <w:tab/>
        <w:t>又金融監督管理委員會作為保險業管理及推廣之主責機關，立法院第11屆第1會期於質詢中提醒國家基礎建設、公共資源等缺乏天然災害風險管理之重要性，惟相關作法如投保完整保險等並未於預算中呈現，且金融監督管理委員會與保險局在相關風險控管上亦有明顯不足。鑑此，因近年國際情勢變化多端，應預留經費以備不時之需，且為敦促金融監督管理委員會善盡金融機構管理監督與金融觀念普及等職責。爰要求金融監督管理委員會於3個月內向立法院財政委員會提出書面報告。</w:t>
      </w:r>
    </w:p>
    <w:p w14:paraId="5D3B0222" w14:textId="795051C2"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3BCDB987" w14:textId="280914F0"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5E534E73"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(十八)查114年度金融監督管理委員會預算案於第1目「一般行政」項下「基本行政工作維持」中「設備及投資」之「雜項設備費」編列91萬3千元，用於設備汰換之76萬</w:t>
      </w:r>
      <w:r w:rsidRPr="00EB155B">
        <w:rPr>
          <w:rFonts w:ascii="標楷體" w:eastAsia="標楷體" w:hAnsi="標楷體"/>
          <w:color w:val="000000" w:themeColor="text1"/>
          <w:sz w:val="32"/>
          <w:szCs w:val="32"/>
        </w:rPr>
        <w:t>3</w:t>
      </w:r>
      <w:r w:rsidRPr="00EB155B">
        <w:rPr>
          <w:rFonts w:ascii="標楷體" w:eastAsia="標楷體" w:hAnsi="標楷體" w:hint="eastAsia"/>
          <w:color w:val="000000" w:themeColor="text1"/>
          <w:sz w:val="32"/>
          <w:szCs w:val="32"/>
        </w:rPr>
        <w:t>千元及新設金融市場發展與創新處所需辦公事務設備費15萬元。次查同項目過往預算編列及使用狀況，112年決算數為62萬8千元，即可滿足金融監督管理委員會全年度設備汰購之需求。惟</w:t>
      </w:r>
      <w:r w:rsidRPr="00EB155B">
        <w:rPr>
          <w:rFonts w:ascii="標楷體" w:eastAsia="標楷體" w:hAnsi="標楷體"/>
          <w:color w:val="000000" w:themeColor="text1"/>
          <w:sz w:val="32"/>
          <w:szCs w:val="32"/>
        </w:rPr>
        <w:t>11</w:t>
      </w:r>
      <w:r w:rsidRPr="00EB155B">
        <w:rPr>
          <w:rFonts w:ascii="標楷體" w:eastAsia="標楷體" w:hAnsi="標楷體" w:hint="eastAsia"/>
          <w:color w:val="000000" w:themeColor="text1"/>
          <w:sz w:val="32"/>
          <w:szCs w:val="32"/>
        </w:rPr>
        <w:t>4年度雖增加15萬元用於新設金融市場發展與創新處之辦公設備費購置，但依據112年度決算數估計，亦僅需77萬8千元即可符合需求，又預算案中亦未說明各項設備是否堪用及亟需汰換之原因。鑑此，考量近年世界情勢變化劇烈、為預防國家財政受全球化趨勢影響陷入蕭條，應撙節政府支出以備不時之需；且依現代科技技術，攝影機、除濕機等設備亦可使用多年，相關預算是否仍有必要編列76萬3千元尚有疑慮。爰要求金融監督管理委員會於3個月內向立法院財政委員會提出書面報告。</w:t>
      </w:r>
    </w:p>
    <w:p w14:paraId="3CF58CE3" w14:textId="50C6D70C"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332AA4A7" w14:textId="1A919FAF"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05FB5963"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十九)114年度金融監督管理委員會預算案於第1目「一般行政」項下「基本行政工作維持」之「獎補助費」編列4萬2千元。針對我國行政部門霸凌案頻傳，其中包含金融監督管理委員會所督導之周邊單位，卻缺乏完善的申訴、調查制度與預防並改善霸凌問題之措施。為保障我國勞動者之勞動環境，爰請金融監督管理委員會提出職場霸凌防治之措施，並督導周邊單位一同落實相關制度，於2個月內向立法院財政委員會提出書面報告。</w:t>
      </w:r>
    </w:p>
    <w:p w14:paraId="16A0DFB8" w14:textId="2B49717C"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34B34486" w14:textId="001C48A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5C58A8BD"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　十)114年度金融監督管理委員會預算案於第2目「金融監理」編列2,367萬8千元，主要辦理金融制度及監理政策之研擬、規劃及執行。惟查我國即將邁入超高齡社會，對於高齡理財商品及服務應加強予以普及，特別像是金門等離島地區，由於資訊流通不若臺灣本島，高齡長者往往受限於資訊落差而常有金融消費爭議或投資爭議。爰要求金融監督管理委員會針對如何強化離島地區長者金融消費及投資資訊，於2個月內向立法院財政委員會提出書面報告。</w:t>
      </w:r>
    </w:p>
    <w:p w14:paraId="504E2F41" w14:textId="18B21F1D"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6277AD39" w14:textId="43453B2F"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243D5108"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一)114年度金融監督管理委員會預算案於第2目「金融監理」編列2,367萬8千元。惟112年度審計部中央政府總決算審核報告指出：「為提升金融業因應氣候變遷能力，已辦理永續金融評鑑，惟『淨零/轉型支援』等構面有待精進，又永續金融評鑑受評機構範疇或評鑑項目尚有調整空間」等語。金融監督管理委員會為提升金融業因應氣候變遷及ESG相關風險之能力，自112年度起辦理永續金融評鑑，以加速國內永續金融生態圈之建構。據財團法人台灣金融研訓院等3個單位共同發布之永續</w:t>
      </w:r>
      <w:r w:rsidRPr="00EB155B">
        <w:rPr>
          <w:rFonts w:ascii="標楷體" w:eastAsia="標楷體" w:hAnsi="標楷體" w:hint="eastAsia"/>
          <w:color w:val="000000" w:themeColor="text1"/>
          <w:sz w:val="32"/>
          <w:szCs w:val="32"/>
        </w:rPr>
        <w:lastRenderedPageBreak/>
        <w:t>金融評鑑成果報告載述，金融各業於淨零/轉型支援、普惠/友善金融、治理機制強化等構面仍須持續精進，其中銀行業於淨零/轉型支援達成率僅恰達60%，又證券業於淨零/轉型支援、氣候風險策略、自然資源保護、普惠/友善金融、資安個資保護等5項構面未達60%，且於淨零/轉型支援構面甚未達40%，主要係證券業資本額較小，較無資源投入永續工作所致。另查第二屆永續金融評鑑指標計有董事薪酬提報股東會之情形等5項公司治理構面之評鑑指標，相關評鑑內容於公司法、證券交易法、上市上櫃公司治理實務守則等法令規章已有規範，其合宜性實待商榷。鑑此，請金融監督管理委員會於3個月內向立法院財政委員會提出書面報告。</w:t>
      </w:r>
    </w:p>
    <w:p w14:paraId="5F5A53E8" w14:textId="5D4EC68C"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2751C75F" w14:textId="20A16F47"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075A440F"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二)114年度金融監督管理委員會預算案於第2目「金融監理」編列2,367萬8千元。惟112年度審計部中央政府總決算審核報告指出：「已推動建置ESG相關資訊整合平台，惟平台資料內容及使用對象尚待擴充，且部分資料細緻化或精確度有待強化」等語。金融監督管理委員會為協助企業及金融機構揭露ESG資訊與取得氣候變遷相關資訊，督導財團法人金融聯合徵信中心建置ESG資訊整合查詢平台及金融業氣候實體風險資訊整合平台，並分別於112年9月及113年1月上線。經查執行情形，核有：1.</w:t>
      </w:r>
      <w:r w:rsidRPr="00EB155B">
        <w:rPr>
          <w:rFonts w:ascii="標楷體" w:eastAsia="標楷體" w:hAnsi="標楷體" w:hint="eastAsia"/>
          <w:color w:val="000000" w:themeColor="text1"/>
          <w:sz w:val="32"/>
          <w:szCs w:val="32"/>
        </w:rPr>
        <w:tab/>
        <w:t>ESG查詢平台現行已蒐集建置之社會責任類型資料項目，尚未納列諸如勞動部之違反勞動法令事業單位（雇主）查詢系統、未足額進用身心障礙者之公私立義務機關（構）名單，及衛生福利部之違反身心障礙者權益保障法公告查詢等勞動法規遵循情形之資料項目，不利評估企業社會責任履行情形。2.</w:t>
      </w:r>
      <w:r w:rsidRPr="00EB155B">
        <w:rPr>
          <w:rFonts w:ascii="標楷體" w:eastAsia="標楷體" w:hAnsi="標楷體" w:hint="eastAsia"/>
          <w:color w:val="000000" w:themeColor="text1"/>
          <w:sz w:val="32"/>
          <w:szCs w:val="32"/>
        </w:rPr>
        <w:tab/>
        <w:t>氣候風險資訊平台目前涵蓋8大實體風險類型之危害度及脆弱度資訊，惟查</w:t>
      </w:r>
      <w:r w:rsidRPr="00EB155B">
        <w:rPr>
          <w:rFonts w:ascii="標楷體" w:eastAsia="標楷體" w:hAnsi="標楷體" w:hint="eastAsia"/>
          <w:color w:val="000000" w:themeColor="text1"/>
          <w:sz w:val="32"/>
          <w:szCs w:val="32"/>
        </w:rPr>
        <w:lastRenderedPageBreak/>
        <w:t>該平台使用對象尚未擴及農業金融機構，又以脆弱度資料之空間解析度為例，其中熱浪事件死亡人數等19項資料尚未細緻化至村里等較小之空間單元，顯示相關氣候實體風險資料細緻化或精確度有待強化。鑑此，要求金融監督管理委員會於3個月內向立法院財政委員會提出書面報告。</w:t>
      </w:r>
    </w:p>
    <w:p w14:paraId="2CF19DEF" w14:textId="2E1C421A"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4C44B34A" w14:textId="2B1FFFA7"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029EF315"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三)114年度金融監督管理委員會預算案於第2目「金融監理」編列2,367萬8千元。惟112年度審計部中央政府總決算審核報告指出：「為協助企業因應氣候變遷衝擊，推動上市櫃公司進行溫室氣體盤查及確信，惟國內確信量能尚待提升，且對所需確信量能尚未設定目標或管考機制」等語。據金融監督管理委員會統計，113年度須取得溫室氣體確信之上市櫃公司計168家，116年度計271家，迄118年度則計有1,813家，惟據臺灣證券交易所公告資料統計結果，截至113年5月2日止，國內具有溫室氣體確信資格之機構及人員僅為22家計98人，未來需取得確信之上市櫃公司日增，且部分集團式之上市櫃公司海內、外營業據點眾多，國內現有之確信機構及主導查驗員，恐難以因應上市櫃公司溫室氣體需取得確信之需求。金融監督管理委員會雖已與環境部及經濟部建立跨部會合作機制，規劃透過培訓查證人員及輔導新設機構取得查驗許可，提升確信量能，惟尚未對永續發展路徑圖各階段所需確信量能設定目標或管考機制，恐難以確實掌握國內所需確信量能。鑑此，爰要求金融監督管理委員會於1個月內向立法院財政委員會提出書面報告。</w:t>
      </w:r>
    </w:p>
    <w:p w14:paraId="26E00DE6" w14:textId="6BBE62DA"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7C81FCE8" w14:textId="2832B11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21D044A6"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二十四)114年度金融監督管理委員會預算案於第2目「金融監理」編列2,367萬8千元。惟112年度審計部中央政府總決算審核報告指出：「推動機構投資人盡職治理評比相關措施，惟於『投票紀錄』及『議合個案執行與揭露』等部分構面尚待精進」等語。金融監督管理委員會為引導機構投資人善盡企業社會責任，督導臺灣證券交易所股份有限公司於105年發布我國機構投資人盡職治理守則，期透過公開評比機制精進盡職治理執行情形及資訊揭露。據臺灣證券交易所股份有限公司公告之盡職治理評比結果，110至112年度國內機構投資人平均總得分呈逐年上升趨勢，顯示其對盡職治理日益重視，惟投票紀錄構面112年度平均得分僅2.50分居末，且該構面所屬5項指標中即有3項，110至112年度指標排名皆介於21至30名，顯示各機構投資人於投票紀錄構面存有精進空間。次據亞洲公司治理協會發布之CG Watch 2023評鑑報告，我國在亞洲12個國家之投資人、公司治理規則等評比指標則分別名列第6名、第7名，各項評比指標中主要係外國機構投資人參與公司治理程度較低，即國內較為欠缺共同議合活動等所致；又我國盡職治理評比議合個案執行與揭露構面之議合對被投資公司之影響及機構投資人間合作行為政策與案例，2021至2023年排名皆介於23至29名，顯示國內機構投資人議合個案之執行與揭露尚待加強。鑑此，爰要求金融監督管理委員會於1個月內向立法院財政委員會提出書面報告。</w:t>
      </w:r>
    </w:p>
    <w:p w14:paraId="4DE64B3A" w14:textId="46C3F030"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16E0CF62" w14:textId="35C19C2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498097E0"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五)114年度金融監督管理委員會預算案於第2目「金融監理」編列2,367萬8千元。惟審計部112年度中央政府總決算審核報告指出：「我國永續發展債券市場逐年成長，惟國內企業參與發行比率偏低，又首次參與之發行</w:t>
      </w:r>
      <w:r w:rsidRPr="00EB155B">
        <w:rPr>
          <w:rFonts w:ascii="標楷體" w:eastAsia="標楷體" w:hAnsi="標楷體" w:hint="eastAsia"/>
          <w:color w:val="000000" w:themeColor="text1"/>
          <w:sz w:val="32"/>
          <w:szCs w:val="32"/>
        </w:rPr>
        <w:lastRenderedPageBreak/>
        <w:t>人逐年減少，且部分外國發行人未將籌募資金用於我國綠色投資計畫」等語。截至112年底止，我國31家上市櫃公司發行永續發展債券，僅占整體1,813家上市櫃公司之1.71%，又124家實收資本額逾100億元之上市櫃公司，亦僅29家發行永續發展債券，約23.39%，另110至112年度首次參與發行永續發展債券之發行人，分別為16、7、4家，呈逐年減少趨勢，顯示國內企業參與發行比率偏低，且參與者仍以既有發行人為主，不利拓展永續發展債券市場廣度。復查台灣積體電路製造股份有限公司等前10大發行人累計發行金額為3,388億元，約占整體發行金額5,319億元之63.70%，其中智利政府等5個外國政府（金融）機構或企業，累計發行金額達1,305億元，約占前10大發行人之38.52%，惟該等發行人於我國永續發展債券市場之籌募資金，除沃旭能源股份有限公司將資金用於我國大彰化離岸風力發電計畫外，多未將資金挹注國內再生能源或淨零轉型計畫，不利我國綠色實體經濟之發展。鑑此，爰要求金融監督管理委員會於1個月內向立法院財政委員會提出書面報告。</w:t>
      </w:r>
    </w:p>
    <w:p w14:paraId="654F4BD5" w14:textId="5A4CB3AA"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2E1D13F4" w14:textId="393A5676"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2C934EDC"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六)114年度金融監督管理委員會預算案於第2目「金融監理」編列2,367萬8千元。惟112年度審計部中央政府總決算審核報告指出：「保險業者陸續開發各類型綠色保險商品，惟我國尚未統計相關商品承保情形，且業者對商品分類及揭露方式不一」等語。國內保險業者近年來陸續開發綠色或永續保險商品。惟查截至112年底止，金融監督管理委員會保險局僅就離岸風電保險及農業保險等2類綠色保險商品統計各該險種保險收入，尚未統計因應氣候變遷之承保情形及國內永續保險商品之相關數據，又國內多數產物保險公司雖已設有專章揭露永續</w:t>
      </w:r>
      <w:r w:rsidRPr="00EB155B">
        <w:rPr>
          <w:rFonts w:ascii="標楷體" w:eastAsia="標楷體" w:hAnsi="標楷體" w:hint="eastAsia"/>
          <w:color w:val="000000" w:themeColor="text1"/>
          <w:sz w:val="32"/>
          <w:szCs w:val="32"/>
        </w:rPr>
        <w:lastRenderedPageBreak/>
        <w:t>保險推動情形，惟尚未按中華民國產物保險商業同業公會載述類別分類，僅國泰世紀產物保險股份有限公司揭露環境永續保險（綠色保險）商品開發檢查表及對應之永續發展目標（SDGs），致外界難以檢視各該永續（綠色）商品之分類及與綠色（永續）經濟發展之關聯程度。鑑此，爰要求金融監督管理委員會於1個月內向立法院財政委員會提出書面報告。</w:t>
      </w:r>
    </w:p>
    <w:p w14:paraId="2A4511E2" w14:textId="2040F5B5"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36CBDB47" w14:textId="49DC0C1A"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45A7F3E8"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七)114年度金融監督管理委員會預算案於第2目「金融監理」編列2,367萬8千元。惟112年度審計部中央政府總決算審核報告指出：「已規劃永續金融政策支持淨零轉型，惟主要推動方案尚未訂定關鍵績效指標」等語。據綠色金融行動方案3.0載述略以，該方案係以整合金融資源，支持淨零轉型為願景，並以推動整體社會邁向淨零轉型為目標，規劃透過揭露碳排資訊，從投融資推動整體產業減碳等26項具體措施，發揮金融之影響力串聯產業供應鏈，以深化我國永續發展。經查該方案雖就金融業揭露及查證範疇一及範疇二碳排放等措施訂有推動時程，惟尚乏關鍵績效指標據以衡量推動成效；又該方案雖已按季公告相關推動成果，惟僅敘述各項措施推動情形，且於行政院淨零議題研商會議所列關鍵績效指標，均為諸如完成研議第二階段永續經濟活動認定參考指引等推動里程碑，尚未訂有金融機構授信業務推動整體產業減碳量成效等攸關方案願景或目標之關鍵績效指標，不利外界窺知綠色金融行動方案之推動對於整體產業淨零轉型之助益。鑑此，爰要求金融監督管理委員會於3個月內向立法院財政委員會提出書面報告。</w:t>
      </w:r>
    </w:p>
    <w:p w14:paraId="5744DF33" w14:textId="437EE14C"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08339227" w14:textId="4000896C"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3D7AA7DA"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二十八)114年度金融監督管理委員會預算案於第2目「金融監理」編列2,367萬8千元。惟112年度審計部中央政府總決算審核報告指出：「永續授信或債券發行金額攀升，惟我國溫室氣體排放量未明顯減少，又金融機構投融資組合財務碳排放量尚屬自願性揭露範疇，且部分銀行融資資產碳足跡存有偏高跡象」等語。據金融監督管理委員會統計，截至112年底止，本國銀行對綠電及再生能源產業放款餘額2.7兆元，較106年底增加158.96%，又永續發展債券發行金額5,319億元，亦較106年底增加約2,469.57%。惟據112年中華民國國家溫室氣體排放清冊報告，近5年我國溫室氣體總排放量雖曾於109年度降至285MtCO2e，惟僅較106年度減少4.68%，且於110年度上升至297MtCO2e，顯示溫室氣體排放量並未明顯隨本國銀行承作永續授信或債券金額攀升而減少。另檢視臺灣銀行股份有限公司等前5大放款量銀行融資組合之碳排放量情形，各家金融機構因投融資組合財務碳排放量尚屬自願性揭露範疇，揭露內容不盡相同，難以進行比較，經就該等銀行採用相同方法學設算之同一資產類別分析結果，部分銀行融資資產碳排放強度存有偏高情事，顯示部分銀行之授信客戶尚屬碳排係數偏高之產業，或授信企業本身碳排量存有偏高情形。鑑此，爰要求金融監督管理委員會於1個月內向立法院財政委員會提出書面報告。</w:t>
      </w:r>
    </w:p>
    <w:p w14:paraId="25862D30" w14:textId="3F43F34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27805FDC" w14:textId="254862E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02EA3119"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九)114年度金融監督管理委員會預算案於第2目「金融監理」編列2,367萬8千元。惟據2023年度審計部中央政府總決算審核報告指出：「本國銀行貸放租賃業者金額近3,900億元，惟現行融資租賃監理法制難以落實金融消費者之保障」等語。行政院前於106年指定金融監督管</w:t>
      </w:r>
      <w:r w:rsidRPr="00EB155B">
        <w:rPr>
          <w:rFonts w:ascii="標楷體" w:eastAsia="標楷體" w:hAnsi="標楷體" w:hint="eastAsia"/>
          <w:color w:val="000000" w:themeColor="text1"/>
          <w:sz w:val="32"/>
          <w:szCs w:val="32"/>
        </w:rPr>
        <w:lastRenderedPageBreak/>
        <w:t>理委員會為融資性租賃業務事業洗錢防制主管機關，金融監督管理委員會爰於107年訂定辦理融資性租賃業務事業防制洗錢辦法，規範融資性租賃交易應遵循事項，以健全我國防制洗錢機制。惟因現行融資租賃業務非屬須經政府許可之公司營業項目、且放款非為銀行專屬業務，一般業者亦得於不受銀行法規範下提供租賃形式之融資服務，導致金融監督管理委員會、經濟部等主管機關對於非金融機構之融資租賃等營業行為，無法統一監理及進一步蒐集資料與研究。又因融資租賃存有信用資訊調閱不易、融資租賃當事人法律關係不明等問題，且無法適用金融消費者保護法，政府難以維護交易安全及保障消費者權益，進而衍生大專院校學生遭業者以無卡分期話術詐騙案件，並透過融資租賃公司辦理貸款等情事。鑑於融資租賃相關消費爭議每年近400件，惟現行監理法制難以落實對金融消費者之保障，甚有融資業者屢次巧立收費名目，墊高實質利率欺騙消費者，衍生社會問題並導致消費糾紛頻傳等情事。爰要求金融監督管理委員會於1個月內向立法院財政委員會提出書面報告。</w:t>
      </w:r>
    </w:p>
    <w:p w14:paraId="6D6A4C11" w14:textId="74E8C8C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21F52D07" w14:textId="363B0FB8"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55CD31E5"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　十)114年度金融監督管理委員會預算案於第2目「金融監理」項下「金融監督管理」編列2,367萬8千元。惟近年詐騙案件及金額不斷高升，尤以網路詐騙最為嚴重。針對業者停止投放非實名制社群平台的廣告，金融監督管理委員會除表態樂見其成，並未有更積極作為，甚至缺席內政部警政署刑事警察局召集全體金控和各金融業公會以共同抵制不配合實名制社群媒體為主題之會議，媒體傳出背後有外國勢力施壓。爰要求金融監督管理委員會於1個月內向立法院財政委員會提出書面報告。</w:t>
      </w:r>
    </w:p>
    <w:p w14:paraId="3BFFFB8D" w14:textId="35C65336"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 xml:space="preserve">提案人：王鴻薇　</w:t>
      </w:r>
    </w:p>
    <w:p w14:paraId="6662367F" w14:textId="7CC5B6B1"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連署人：賴士葆　陳玉珍</w:t>
      </w:r>
    </w:p>
    <w:p w14:paraId="60D1A404"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十一)114年度金融監督管理委員會預算案於第2目「金融監理」項下「金融監督管理」編列2,367萬8千元。惟據112年度審計部中央政府總決算審核報告指出：「為加強監管虛擬資產業者，已訂定相關指導原則，惟相較亞洲鄰近國家尚乏統一之法律監管規範，監理強度有待強化」等語。據統計全球虛擬貨幣市值於2024年4月底達2.35兆美元，金融監督管理委員會亦於110年6月將虛擬資產平台之洗錢防制納管，並於112年9月發布管理虛擬資產平台及交易業務事業（VASP）指導原則。經查金融穩定委員會及國際貨幣基金組織於2023年9月建議各國對虛擬資產需採取更全面之監管機制，法國等主要國家亦陸續自法律監管、虛擬貨幣服務商許可規範、防制洗錢及打擊資恐等面向加強虛擬資產業務之監管，其中鄰近我國之新加坡、日本及香港均已制定或修正相關法令將虛擬資產業者納管，規範業者須向主管機關註冊登錄或申請執照，並要求業者須符合資安防護及投資人保護等規定；惟我國尚未有統一之法律監管制度，業者如違反VASP指導原則，金融監督管理委員會僅可依據洗錢防制法施以行政處罰，又虛擬資產非屬金融消費者保護法保障範圍，不利金融消費爭議之處理及投資者權益之保障。鑑於國內109至112年度虛擬貨幣詐騙之財產損失金額達6.6億元，件數連年攀升至112年度之245件，且近來已完成洗錢防制法令遵循聲明之虛擬貨幣交易所接連發生洗錢、詐欺事件。爰要求金融監督管理委員會於1個月內向立法院財政委員會提出書面報告。</w:t>
      </w:r>
    </w:p>
    <w:p w14:paraId="658E0D49" w14:textId="36ECE39A"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15A08F93" w14:textId="628B6933"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4BB0BD03"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三十二)114年度金融監督管理委員會預算案於第2目「金融監理」項下「金融監督管理」之「業務費」編列1,883萬4千元。查金融監督管理會所屬單位曾於111年使用公務預算合計104萬6千元，針對虛擬資產監理主題出國考察，惟該出國考察報告基於商業機密以及相關監理機關未公開之監理資訊為由，而未予公開，致相關結果是否落實，未得而知。請金融監督管理委員會於1個月內，就111年金融監督管理委員會出國考察報告各項虛擬資產監理政策建議之具體落實情形，向立法院財政委員會提出書面報告。</w:t>
      </w:r>
    </w:p>
    <w:p w14:paraId="56500849" w14:textId="28B51132"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575ABD72"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十三)查114年度金融監督管理委員會預算案於第2目「金融監理」項下「金融監督管理」中「業務費」之「通訊費」編列627萬2千元。惟該項預算雖與113年度編列相同，但就112年度決算案觀之，僅需504萬4千元即符合一整年通訊需求。鑑此，考量近年世界情勢變化劇烈、為預防國家財政受全球化趨勢影響陷入蕭條，應撙節政府支出以備不時之需。依現代科技技術，通訊手段多元，電話多可以網路通訊取代；且因應近年中央政府提倡節能減碳及公文電子化以利及時交換與保存追蹤等政策，公文、報表資料等應逐年改以電子方式呈遞，應可減少寄送之費用。是以相關預算是否仍有必要編列627萬2千元尚有疑慮。爰要求金融監督管理委員會於3個月內向立法院財政委員會提出書面報告。</w:t>
      </w:r>
    </w:p>
    <w:p w14:paraId="4F22B1F4" w14:textId="6E4E12D0"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0111BAEE" w14:textId="14E841B2"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伍麗華　</w:t>
      </w:r>
    </w:p>
    <w:p w14:paraId="203CF569"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十四)查114年度金融監督管理委員會預算案於第2目「金融監理」項下「金融監督管理」中「業務費」之「一般事務費」編列60萬9千元，主要用於發行年報、月刊，及召開工作聯繫會報等；惟近年諸多金融申訴、陳情案件，</w:t>
      </w:r>
      <w:r w:rsidRPr="00EB155B">
        <w:rPr>
          <w:rFonts w:ascii="標楷體" w:eastAsia="標楷體" w:hAnsi="標楷體" w:hint="eastAsia"/>
          <w:color w:val="000000" w:themeColor="text1"/>
          <w:sz w:val="32"/>
          <w:szCs w:val="32"/>
        </w:rPr>
        <w:lastRenderedPageBreak/>
        <w:t>已轉由財團法人金融消費評議中心代為處理，且近年為因應環保，部分單位報刊亦改採電子化發行，故上開事務宜撙節政府支出。爰要求金融監督管理委員會於3個月內就中文年報及英文年報實有印送紙本之需要，向立法院財政委員會提出書面報告。</w:t>
      </w:r>
    </w:p>
    <w:p w14:paraId="5D9F726B" w14:textId="7856B810"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提案人：王世堅　</w:t>
      </w:r>
    </w:p>
    <w:p w14:paraId="48F55DD5" w14:textId="537224A3"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連署人：伍麗華　郭國文　</w:t>
      </w:r>
    </w:p>
    <w:p w14:paraId="081D8634"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十五)為落實永續金融驅動低碳轉型，金融監督管理委員會研議於113年底前發布第二階段永續經濟活動認定參考指引，擴大適用產業及經濟活動類別，適用對象將擴及至半導體業、面板業、電腦及週邊設備等產業。金融監督管理委員會宜按規劃儘速完成永續經濟活動認定參考指引之修正，並且提醒留意美國總統川普上任後，對於全球永續金融驅動低碳轉型的風險與變數。</w:t>
      </w:r>
    </w:p>
    <w:p w14:paraId="6FB239DA" w14:textId="2654CC97"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提案人：李彥秀　</w:t>
      </w:r>
    </w:p>
    <w:p w14:paraId="23624C8B" w14:textId="04419915"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連署人：賴士葆　陳玉珍　</w:t>
      </w:r>
    </w:p>
    <w:p w14:paraId="0D1F3D27"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十六)洗錢防制法已於113年7月31日修正公布，增訂第6條第1項提供虛擬資產服務之事業或人員之洗錢防制登記制度，並於第6條第2項授權金融監督管理委員會訂定洗錢防制登記之申請條件、程序、撤銷或廢止登記、虛擬資產上下架之審查機制、防止不公正交易機制、自有資產與客戶資產分離保管方式、資訊系統與安全、錢包管理機制及其他應遵行事項之辦法。金融監督管理委員會113年11月26日亦隨之發布提供虛擬資產服務之事業或人員洗錢防制登記辦法及修正虛擬通貨平台及交易業務事業防制洗錢及打擊資恐辦法（VASP），並於11月30日正式施行。為了解修法之對洗錢防制及打擊資恐之成效、VASP業者之法遵情形，以及虛擬資產專法之研議及推動進度，爰要求金融監督管理委員會於3個月內向立法院財政委員會提出書面報告。</w:t>
      </w:r>
    </w:p>
    <w:p w14:paraId="0279ADAE" w14:textId="752E8E22"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 xml:space="preserve">提案人：郭國文　</w:t>
      </w:r>
    </w:p>
    <w:p w14:paraId="11089BA5" w14:textId="61D879ED"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連署人：王世堅　伍麗華　沈發惠　</w:t>
      </w:r>
    </w:p>
    <w:p w14:paraId="1247BB99"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十七)為加強打擊詐騙，113年立法院三讀通過修正打詐新四法，金融監督管理委員會賡續依據存款帳戶及其疑似不法或顯屬異常交易管理辦法、洗錢防制法第15條之2第6項帳戶帳號暫停限制功能或逕予關閉管理辦法以警示帳戶及裁處告誡、限制帳戶等措施積極防堵詐團犯罪行為，然亦有不少民眾質疑上述措施之成效。爰此，請金融監督管理委員會配合主管機關打詐作為，函請金融機構積極加強宣導，並就113年打詐新四法施行後之配合辦理成效，以及警示帳戶及限制帳戶之實施情況進行逐月統計、實施情形、銀行申訴案件(含主要申訴理由之彙整)及處理程序、處理結果等，於3個月內向立法院財政委員會提出書面報告。</w:t>
      </w:r>
    </w:p>
    <w:p w14:paraId="64F49EF7" w14:textId="72B70451"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17836763" w14:textId="2AC8489C"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連署人：王世堅　伍麗華　沈發惠　</w:t>
      </w:r>
    </w:p>
    <w:p w14:paraId="27220BE5"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十八)臺灣詐騙猖獗，每日遭詐財損大約3至5億元，且自111年起有高達八成以上的錢民眾都要不回來。雖金融監督管理委員會已陸續推動多項措施，期能及早發現可疑帳戶，阻斷非法金流，然現行機制多由內政部警政署建置，包含：金融資料調閱暨聯防通報電子化平台、疑涉詐欺境外及境內金融帳戶預警機制，而金融監督管理委員會卻未有相關配套，可就疑似不法或顯屬異常交易主動通報內政部警政署，政府打詐工作明顯為德不卒。爰要求金融監督管理委員會應會同內政部警政署，針對疑似不法或明顯異常交易研議雙向通報機制，以發揮聯合防詐功能，俾保障民眾財產安全，降低被詐騙之風險，並於3個月內向立法院財政委員會提出書面報告。</w:t>
      </w:r>
    </w:p>
    <w:p w14:paraId="602F1C3E" w14:textId="2FD2B6B6"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提案人：羅明才　林德福　賴士葆　</w:t>
      </w:r>
    </w:p>
    <w:p w14:paraId="0A5B5E61"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三十九)鑑於近年來民眾遭騙取OTP密碼進而盜刷的案件層出不窮，雖現已在OTP驗證簡訊及付款頁面增加識別碼，提供民眾驗證網站真偽，有助防詐，然卻不能有效杜絕OTP詐騙。新加坡日前宣布，要求銀行業者於3個月內汰除OTP驗證，改為更安全的APP驗證流程，以及國際兩大發卡組織萬事達與Visa宣布，114年將推出生物辨識取代輸入OTP，強化線上支付安全性，而我國財團法人聯合信用卡處理中心114年亦將導入FIDO機制，提升網路交易安全，然114年第一季卻僅先由聯邦商業銀行股份有限公司率先推出，進程明顯緩慢，爰要求金融監督管理委員會應督導國內銀行業者加速導入FIDO機制，俾保障民眾網路交易安全，降低被詐騙之風險，並於3個月內向立法院財政委員會提出書面報告。</w:t>
      </w:r>
    </w:p>
    <w:p w14:paraId="6E405945" w14:textId="36EC9D4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提案人：羅明才　林德福　賴士葆　</w:t>
      </w:r>
    </w:p>
    <w:p w14:paraId="35ADA873"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　十)鑑於行政院雖於112年5月通過新世代打擊詐欺策略行動綱領1.5版，並由金融監督管理委員會主責統籌辦理阻詐面向之行動策略，惟110至112年度詐欺案件發生數分別為2萬4,724件、2萬9,509件及3萬7,984件，均呈增加趨勢，警示帳戶每年亦增加2萬餘戶，增幅逾三成，近來更以銀行行員勾結詐騙集團、融資公司業務以無卡分期話術行騙再放高利貸、虛擬貨幣投資詐騙及第三方支付業者透過虛擬帳號為異常交易等尤為嚴重，允宜研謀妥處，以減少金融詐騙情事發生。爰請金融監督管理委員會以強化監管虛擬資產業及融資租賃業、提升銀行業偵防與內控機制及控管銀行提供第三方支付業虛擬帳號服務為題，於2個月內向立法院財政委員會提出書面報告。</w:t>
      </w:r>
    </w:p>
    <w:p w14:paraId="62240B55" w14:textId="610FE11F"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提案人：王世堅　</w:t>
      </w:r>
    </w:p>
    <w:p w14:paraId="1BD3A7A1" w14:textId="483862C0"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連署人：伍麗華　郭國文　</w:t>
      </w:r>
    </w:p>
    <w:p w14:paraId="21D2869C"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四十一)為推動擴大投資台灣與亞洲資產管理中心計畫，行政院卓院長宣示3項策略，包括：行政院成立院級推動平台，讓業者了解如何讓資金有效利用；優化公共建設融資條件，透過槓桿，讓每一分錢倍速被運用出來；增加公共投資相關金融商品，更國際化、自由化、開放及創新，連結台灣與國際金融市場，相關計畫均由金融監督管理委員會主責規劃積極辦理中。針對亞洲資產管理中心之計畫，金融監督管理委員會彭主委於113年12月6日參訪高雄時表示，亞洲資產管理專區將以高雄為示範性試點方式進行，包括五大開放亮點：1.法規鬆綁與程序放寬；2.放寬跨境金融服務；3.多元化商品與服務；4.增加資金運用彈性及；5.專區資產管理公司合作。期許這個專區在銀行業務突破的基礎上，進一步加入資產管理產業、法律稅務專業機構與新創等進駐擴大服務，促進境內外財富管理業務發展，更進一步引導海內外資金投資台灣核心產業，繁榮地方經濟。預計114年3月發布設立及試辦規定，金融機構可於4月遞件申請，最快7月可正式成立開始營運，並期盼該成功模式未來可複製至其他地方政府；然具備何種規模或條件之金融機構可申請、那些地方繼高雄之後擁有優先試辦條件？五大亮點之具體規劃為何？迄今尚未明確。其次，就對外招商引資部分，金融監督管理委員會113年9月亦已接受質詢之建議，研議比照日本作法辦理台灣週(Taiwan Week)，惟針對上述政策及計畫之推動，尚未見諸金融監督管理委員會主管之相關預算。爰此，請金融監督管理委員會應就上述有關亞洲資產管理中心之計畫，提出細部之階段性政策規劃及預期辦理成果，並就114年度有關亞洲資產管理中心預算規劃及執行情形提出說明，於3個月內向立法院財政委員會提出書面報告。</w:t>
      </w:r>
    </w:p>
    <w:p w14:paraId="2482CE37" w14:textId="31C0DAC0"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492DC8A8" w14:textId="4CB6551E"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 xml:space="preserve">連署人：王世堅　伍麗華　沈發惠　</w:t>
      </w:r>
    </w:p>
    <w:p w14:paraId="7C77A31A"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二)據金融監督管理委員會提供資料，為落實金融科技發展、永續金融模範及亞洲資產管理中心等政策，爰規劃增設金融市場發展與創新處，該處暫定於114年初設立；金融監督管理委員會為應設置金融市場發展與創新處所需，於114年度金融監督管理委員會單位預算案及金融監督管理基金分別編列預算案數2,101萬2千元及1,788萬7千元，共計3,889萬9千元，主要係人事相關費用、室內裝修及辦公用品及設備採購等。惟亞洲資產管理中心目前僅有高雄金融專區為全台第一個試驗點，目前尚無完整法律配套的優惠措施，為能落實政策推動，爰請金融監督管理委員會於3個月內向立法院財政委員會提出亞洲資產管理中心法規鬆綁及修正之書面報告。</w:t>
      </w:r>
    </w:p>
    <w:p w14:paraId="14B926FE" w14:textId="1882351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提案人：李坤城　</w:t>
      </w:r>
    </w:p>
    <w:p w14:paraId="1E198C35" w14:textId="3BB191F6"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連署人：賴惠員　伍麗華　</w:t>
      </w:r>
    </w:p>
    <w:p w14:paraId="55248DFE"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三)鑑於金融監督管理委員會為深化企業永續治理，自112年起陸續發布上市櫃企業永續發展行動方案及我國接軌IFRS永續揭露準則藍圖，以協助上市、櫃企業推動與督導永續發展目標、管理方針與具體計畫，惟主要方案卻僅鼓勵各企業自主揭露各項措施推動情形，並未訂定關鍵績效指標。爰請金融監督管理委員會研議上市櫃公司應強制揭露永續資訊並設置永續委員會，於1個月內向立法院財政委員會提出書面報告。</w:t>
      </w:r>
    </w:p>
    <w:p w14:paraId="766820B6" w14:textId="1005E4C3"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提案人：王世堅　</w:t>
      </w:r>
    </w:p>
    <w:p w14:paraId="13BBE559" w14:textId="28501738"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連署人：伍麗華　郭國文　</w:t>
      </w:r>
    </w:p>
    <w:p w14:paraId="2A5A4B4B"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(四十四)我國自106年4月28日實施當沖證券交易稅減半，從千分之三，減半降至千分之一點五，113年又再度延長3年至116年，當沖稅減半措施將長達10年。惟截至113年8月底，台股日均成交值增加為2</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952億元，相較105年日均值987億元，成長近二倍。台股指數至113年9月底，集</w:t>
      </w:r>
      <w:r w:rsidRPr="00EB155B">
        <w:rPr>
          <w:rFonts w:ascii="標楷體" w:eastAsia="標楷體" w:hAnsi="標楷體" w:hint="eastAsia"/>
          <w:color w:val="000000" w:themeColor="text1"/>
          <w:sz w:val="32"/>
          <w:szCs w:val="32"/>
        </w:rPr>
        <w:lastRenderedPageBreak/>
        <w:t>中市場加權指數及櫃買指數分別上漲125%、102%，顯見市場交易制度及流動性已獲大幅改善。本次再度延長3年屆期後，金融監督管理委員會不應再以活絡市場為由，一再要求延長當沖稅減半措施，避免租稅優惠過度浮濫。</w:t>
      </w:r>
    </w:p>
    <w:p w14:paraId="65074C6B" w14:textId="32A9D3D7"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提案人：王鴻薇　</w:t>
      </w:r>
    </w:p>
    <w:p w14:paraId="640B8C58" w14:textId="7270B130"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連署人：賴士葆　陳玉珍　</w:t>
      </w:r>
    </w:p>
    <w:p w14:paraId="2A140641"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五)最高法院大法庭897號裁定債權人可針對債務人之保單申請強制執行，使許多債務人保單被迫解約，失去最基本之保障。金融監督管理委員會雖提出修法草案，針對八大類保單，包含產險、健康險、一年期壽險、小額終老險、被保險人合併後保額不到100萬元壽險、已在給付年金的年金險、單筆解約金不超過10萬元的壽險等，禁止做扣押或強制執行標的，但又於近日大幅調整，限縮免強制執行範圍。請金融監督管理委員會於114年3月底前提出修法版本，維護債權人權益，也須保障債務人最基本之生存權益。</w:t>
      </w:r>
    </w:p>
    <w:p w14:paraId="5D40AFDF" w14:textId="2C78FE67"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提案人：王鴻薇　</w:t>
      </w:r>
    </w:p>
    <w:p w14:paraId="15A7EA10" w14:textId="417CA776"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連署人：賴士葆　陳玉珍　</w:t>
      </w:r>
    </w:p>
    <w:p w14:paraId="65CB1870"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六)金融監督管理委員會業將擴大資安長設置列為金融資安行動方案2.0精進方向之一，截至113年6月底止，實際設置家數及其占比皆較110年成長，其中全體本國銀行皆已設置，其餘業別設置占比則介於25.64%至42.19%間，相對較低，另審計部亦指出金融機構未具資訊領域經歷之資安長比率有高於上市櫃公司之情形，允宜持續精進相關輔導措施以強化其專業知能，並視金融機構業務發展情形，滾動調整資安長設置範圍，俾深化其資安治理綜效，進而建構安全之金融服務發展環境。爰請金融監督管理委員會針對如何提升並落實金融資安政策及</w:t>
      </w:r>
      <w:r w:rsidRPr="00EB155B">
        <w:rPr>
          <w:rFonts w:ascii="標楷體" w:eastAsia="標楷體" w:hAnsi="標楷體" w:hint="eastAsia"/>
          <w:color w:val="000000" w:themeColor="text1"/>
          <w:sz w:val="32"/>
          <w:szCs w:val="32"/>
        </w:rPr>
        <w:lastRenderedPageBreak/>
        <w:t>專業資安長之具體措施，於3個月內向立法院財政委員會提出書面報告。</w:t>
      </w:r>
    </w:p>
    <w:p w14:paraId="3B757C78" w14:textId="2F1F503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提案人：李坤城　伍麗華　賴惠員　</w:t>
      </w:r>
    </w:p>
    <w:p w14:paraId="2534E422"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七)金融監督管理委員會為因應人口高齡化，並保障高齡者及身心障礙者之經濟安全，陸續推動金融機構發展高齡者及身心障礙者財產信託、商業型不動產逆向抵押貸款等高齡化金融商品與服務。截至112年底止，已有27家金融機構提供安養信託服務，累計受益人數及信託財產本金分別為15萬4,912人及1,234億2,216萬餘元，另有16家金融機構提供以房養老服務，累計核貸件數及額度分別為7,838件及443億9,448萬餘元，已略有成效。惟據內政部戶政司統計，我國65歲以上老年人口計有429萬餘人，已申辦高齡者安養信託及以房養老者計有15萬7,514人，占比3.67%，另據衛生福利部統計，我國身心障礙者人數計有121萬餘人，已申辦身心障礙者安養信託計有5,236人，占比0.43%，顯示安養信託及以房養老之涵蓋率偏低。鑑於國家發展委員會推估我國將於2025年進入超高齡社會，屆時老年人口占總人口比率將超過20%，老年人口將達到468萬餘人，爰請金融監督管理委員會積極鼓勵金融機構擴大辦理安養信託及以房養老相關服務，適時提高推廣誘因，加強宣導高齡化金融商品與服務，並於3個月內向立法院財政委員會提出書面報告。</w:t>
      </w:r>
    </w:p>
    <w:p w14:paraId="7920AC56" w14:textId="31FC693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提案人：李坤城　伍麗華　賴惠員　</w:t>
      </w:r>
    </w:p>
    <w:p w14:paraId="75806416"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八)目前政府推動兆元投資國家方案，目標為使國內壽險業資金回流台灣，提供公共建設標的，發行多元金融商品，讓壽險業閒置資金能用於投資台灣公共建設。發行REITs亦為公共建設促參可行的金融商品，然目前並無任何前例；永續發展債券亦只有北高兩市發行，顯示在金融商品多元化、促進公共建設上，仍有許多進步空</w:t>
      </w:r>
      <w:r w:rsidRPr="00EB155B">
        <w:rPr>
          <w:rFonts w:ascii="標楷體" w:eastAsia="標楷體" w:hAnsi="標楷體" w:hint="eastAsia"/>
          <w:color w:val="000000" w:themeColor="text1"/>
          <w:sz w:val="32"/>
          <w:szCs w:val="32"/>
        </w:rPr>
        <w:lastRenderedPageBreak/>
        <w:t>間。原鄉長照公共建設缺乏，尤其是住宿型機構，更為我國長照資源布建相當重要卻缺乏的一環，若REITs能成功發行，也將對山地原鄉長照有所助益。此外，原鄉地區亦極力發展再生能源小型電網，卻受限於融資困境。對此，金融監督管理委員會曾宣示，長照及能源等設施，是促參與REITs發行的重要目標。金融業應對提高保險業資金投資原鄉公共建設，無論是長照機構，或再生能源發電設施，金融監督管理委員會皆應提出具體促進方式，例如促參及REITs等，協助壽險業資金回流，投資原鄉公建，以利原鄉衛生福利事業及再生能源產業、金融業獲益、資金回流台灣公共服務，三方雙贏。</w:t>
      </w:r>
    </w:p>
    <w:p w14:paraId="598CA224" w14:textId="1907FA99"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提案人：伍麗華　</w:t>
      </w:r>
    </w:p>
    <w:p w14:paraId="03352C8D" w14:textId="517FB354"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連署人：郭國文　李坤城　</w:t>
      </w:r>
    </w:p>
    <w:p w14:paraId="29FADF29"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(四十九)目前原鄉地區發展再生能源小型電網，遇到的困難多為資金不足，因</w:t>
      </w:r>
      <w:r w:rsidRPr="00EB155B">
        <w:rPr>
          <w:rFonts w:ascii="標楷體" w:eastAsia="標楷體" w:hAnsi="標楷體" w:hint="eastAsia"/>
          <w:color w:val="000000" w:themeColor="text1"/>
          <w:sz w:val="32"/>
          <w:szCs w:val="32"/>
        </w:rPr>
        <w:tab/>
        <w:t>原住民地區參與再生能源設置示範獎勵辦法仍規定鄉公所需有一定比例之自籌，其金額之高為鄉公所無法負擔，必須有融資借貸之管道，方能籌措推動原鄉再生能源之資金。除再生能源外，原住民地區亦有許多產業，是以自然為本，例如：高山農業、露營場、自然碳匯ESG、海洋產業…等，皆是順應自然、注重永續發展的產業，然而遇到的困境一樣是融資困難。為促進國內綠色產業發展，金融監督管理委員會推出綠色授信採資金用途為認定標準，不以產業別判斷，凡資金用途用於綠色支出者皆屬之，適用類別包括：再生能源、節能、污染防治、自然資源及土地利用之環境永續管理、地/水域生物多樣性、潔淨交通運輸、永續水源及廢水處理、氣候變遷調適、具生態效率與循環經濟調適之產品／生產技術或製程、綠能建築、其他。上開類別與原鄉地區發展再生能源及綠色產業具有相當關連，然</w:t>
      </w:r>
      <w:r w:rsidRPr="00EB155B">
        <w:rPr>
          <w:rFonts w:ascii="標楷體" w:eastAsia="標楷體" w:hAnsi="標楷體" w:hint="eastAsia"/>
          <w:color w:val="000000" w:themeColor="text1"/>
          <w:sz w:val="32"/>
          <w:szCs w:val="32"/>
        </w:rPr>
        <w:lastRenderedPageBreak/>
        <w:t>原鄉地區實際受惠卻不多，金融監督管理委員會應發揮協助原鄉地區在綠色產業籌措資金之功能，讓綠色授信業務嘉惠更多原鄉地區、研擬涵蓋更多原鄉產業，以利我國綠色產業發展，及原鄉地區之產業創新。</w:t>
      </w:r>
    </w:p>
    <w:p w14:paraId="184FFBBF" w14:textId="1C56D1DF"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提案人：伍麗華　</w:t>
      </w:r>
    </w:p>
    <w:p w14:paraId="4F797C51" w14:textId="4B7181D8"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連署人：郭國文　李坤城　</w:t>
      </w:r>
    </w:p>
    <w:p w14:paraId="02A31688"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(五　十)因應全球淨零風潮，應用碳匯(carbon sink)/碳移除(carbon removal)等方式，有助企業達成減碳及淨零排放之目標。臺灣集中保管結算所股份有限公司於113年11月25日與臺灣原住民族歷屆鄉鎮市區長總會正式簽署合作意向書，成為我國第一家與臺灣原住民族歷屆鄉鎮市區長總會攜手推動原鄉土地保育造林與推廣原住民族文化傳承的企業，企業可透過專案支持山林保育等公益活動，並取得自然碳匯，達到環境、企業與原住民族三贏之綜效。現行上市櫃公司如有支持原住民族相關山林保育、創造自然碳匯等之具體措施或行動，依公司治理評鑑指標4.3公司是否將企業永續發展(ESG)之具體推動計畫與實施成效定期揭露於公司網站、年報或永續報告書?及指標4.21公司是否評估對社區之風險或機會並採行相應措施，並將其具體採行措施與實施成效揭露於公司網站、年報或永續報告書，公司可具體揭露並於公司治理評鑑中得分。為鼓勵上市櫃公司參與原鄉碳匯養護等活動，請金融監督管理委員會3個月內以書面報告說明督導臺灣證券交易所股份有限公司及財團法人中華民國證券櫃檯買賣中心加強宣導，鼓勵上市櫃公司參與原鄉碳匯ESG相關活動，共同創造自然碳匯，並助力企業實現自身ESG目標之情形。</w:t>
      </w:r>
    </w:p>
    <w:p w14:paraId="45A4107C" w14:textId="555F9D41"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提案人：伍麗華　</w:t>
      </w:r>
    </w:p>
    <w:p w14:paraId="42193DEA" w14:textId="599948F3"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連署人：郭國文　李坤城　</w:t>
      </w:r>
    </w:p>
    <w:p w14:paraId="5D6914D2" w14:textId="58DDED0E"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五十一)為鼓勵銀行承作原住民保留地擔保放款，金融監督管理委員會已在永續金融評鑑中新增相關評鑑指標，以提升銀行辦理此類貸款之誘因。目前原住民族委員會正研擬原住民保留地貸款信用保證作業要點（草案），該作業要點現僅規劃提供公股銀行承作原住民保留地貸款之擔保。未來將依據實際執行成效，評估是否擴大合作的承貸金融機構範圍。由於目前民營銀行尚未規劃納入該要點所稱之承貸金融機構範疇，且永續金融評鑑指標之評分係以有無提供相同擔保貸款方案為依據，因此可能導致未能參與此保證計畫之民營銀行在永續金融評鑑相對不利。為此，建議金融監督管理委員會在原住民保留地貸款信用保證作業要點實施後，應注意永續金融評鑑指標的評分公平性，確保公民營銀行在永續金融評鑑過程中能夠獲公平對待。</w:t>
      </w:r>
    </w:p>
    <w:p w14:paraId="23509BD3" w14:textId="76B53FC5"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提案人：伍麗華　</w:t>
      </w:r>
    </w:p>
    <w:p w14:paraId="6676B7D4" w14:textId="29EC9FCF" w:rsidR="009D64D0" w:rsidRPr="00EB155B" w:rsidRDefault="00241224"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連署人：郭國文　李坤城　</w:t>
      </w:r>
    </w:p>
    <w:p w14:paraId="73773979" w14:textId="77777777" w:rsidR="009D64D0" w:rsidRPr="00EB155B" w:rsidRDefault="009D64D0" w:rsidP="00F470A8">
      <w:pPr>
        <w:tabs>
          <w:tab w:val="left" w:pos="284"/>
        </w:tabs>
        <w:overflowPunct w:val="0"/>
        <w:autoSpaceDE w:val="0"/>
        <w:spacing w:line="480" w:lineRule="exact"/>
        <w:ind w:left="1760" w:hangingChars="550" w:hanging="1760"/>
        <w:jc w:val="both"/>
        <w:rPr>
          <w:rFonts w:ascii="標楷體" w:eastAsia="標楷體" w:hAnsi="標楷體" w:cs="華康細明體"/>
          <w:color w:val="000000" w:themeColor="text1"/>
          <w:kern w:val="0"/>
          <w:sz w:val="32"/>
          <w:szCs w:val="32"/>
        </w:rPr>
      </w:pPr>
      <w:r w:rsidRPr="00EB155B">
        <w:rPr>
          <w:rFonts w:ascii="標楷體" w:eastAsia="標楷體" w:hAnsi="標楷體" w:cs="華康細明體" w:hint="eastAsia"/>
          <w:color w:val="000000" w:themeColor="text1"/>
          <w:kern w:val="0"/>
          <w:sz w:val="32"/>
          <w:szCs w:val="32"/>
        </w:rPr>
        <w:t xml:space="preserve">　　</w:t>
      </w:r>
      <w:r w:rsidRPr="00AD70B1">
        <w:rPr>
          <w:rFonts w:ascii="標楷體" w:eastAsia="標楷體" w:hAnsi="標楷體" w:cs="華康細明體" w:hint="eastAsia"/>
          <w:b/>
          <w:color w:val="000000" w:themeColor="text1"/>
          <w:kern w:val="0"/>
          <w:sz w:val="32"/>
          <w:szCs w:val="32"/>
        </w:rPr>
        <w:t xml:space="preserve">第2項　</w:t>
      </w:r>
      <w:r w:rsidRPr="00AD70B1">
        <w:rPr>
          <w:rFonts w:ascii="標楷體" w:eastAsia="標楷體" w:hAnsi="標楷體" w:hint="eastAsia"/>
          <w:b/>
          <w:color w:val="000000" w:themeColor="text1"/>
          <w:sz w:val="32"/>
          <w:szCs w:val="32"/>
        </w:rPr>
        <w:t>銀行局</w:t>
      </w:r>
      <w:r w:rsidRPr="00EB155B">
        <w:rPr>
          <w:rFonts w:ascii="標楷體" w:eastAsia="標楷體" w:hAnsi="標楷體" w:hint="eastAsia"/>
          <w:color w:val="000000" w:themeColor="text1"/>
          <w:sz w:val="32"/>
          <w:szCs w:val="32"/>
        </w:rPr>
        <w:t>原列3億6,778萬5千元，減列第1目「一般行政」項下「基本行政工作維持」120萬元、第2目「銀行監理」5萬元，共計減列125萬元（科目均自行調整），其餘均照列，改列為3億6,653萬5千元。</w:t>
      </w:r>
    </w:p>
    <w:p w14:paraId="3FE4C1A8" w14:textId="77777777" w:rsidR="009D64D0" w:rsidRPr="00EB155B" w:rsidRDefault="009D64D0" w:rsidP="00F470A8">
      <w:pPr>
        <w:overflowPunct w:val="0"/>
        <w:autoSpaceDE w:val="0"/>
        <w:spacing w:line="480" w:lineRule="exact"/>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本項通過決議</w:t>
      </w:r>
      <w:r w:rsidRPr="00EB155B">
        <w:rPr>
          <w:rFonts w:ascii="標楷體" w:eastAsia="標楷體" w:hAnsi="標楷體" w:cs="華康細明體" w:hint="eastAsia"/>
          <w:color w:val="000000" w:themeColor="text1"/>
          <w:kern w:val="0"/>
          <w:sz w:val="32"/>
          <w:szCs w:val="32"/>
        </w:rPr>
        <w:t>2</w:t>
      </w:r>
      <w:r w:rsidRPr="00EB155B">
        <w:rPr>
          <w:rFonts w:ascii="標楷體" w:eastAsia="標楷體" w:hAnsi="標楷體" w:cs="華康細明體"/>
          <w:color w:val="000000" w:themeColor="text1"/>
          <w:kern w:val="0"/>
          <w:sz w:val="32"/>
          <w:szCs w:val="32"/>
        </w:rPr>
        <w:t>6</w:t>
      </w:r>
      <w:r w:rsidRPr="00EB155B">
        <w:rPr>
          <w:rFonts w:ascii="標楷體" w:eastAsia="標楷體" w:hAnsi="標楷體" w:hint="eastAsia"/>
          <w:color w:val="000000" w:themeColor="text1"/>
          <w:sz w:val="32"/>
          <w:szCs w:val="32"/>
        </w:rPr>
        <w:t>項：</w:t>
      </w:r>
    </w:p>
    <w:p w14:paraId="45E616AF"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bookmarkStart w:id="146" w:name="_Hlk86248501"/>
      <w:r w:rsidRPr="00EB155B">
        <w:rPr>
          <w:rFonts w:ascii="標楷體" w:eastAsia="標楷體" w:hAnsi="標楷體" w:hint="eastAsia"/>
          <w:color w:val="000000" w:themeColor="text1"/>
          <w:sz w:val="32"/>
          <w:szCs w:val="32"/>
        </w:rPr>
        <w:t xml:space="preserve">　　(一)114年度金融監督管理委員會銀行局預算案於第1目「一般行政」項下「人員維持」之「人事費」編列3億1</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256萬9千元。面對我國14家上市金控於112年獲利高達3</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690.62億元，年增逼近三成，且截至1</w:t>
      </w:r>
      <w:r w:rsidRPr="00EB155B">
        <w:rPr>
          <w:rFonts w:ascii="標楷體" w:eastAsia="標楷體" w:hAnsi="標楷體"/>
          <w:color w:val="000000" w:themeColor="text1"/>
          <w:sz w:val="32"/>
          <w:szCs w:val="32"/>
        </w:rPr>
        <w:t>13</w:t>
      </w:r>
      <w:r w:rsidRPr="00EB155B">
        <w:rPr>
          <w:rFonts w:ascii="標楷體" w:eastAsia="標楷體" w:hAnsi="標楷體" w:hint="eastAsia"/>
          <w:color w:val="000000" w:themeColor="text1"/>
          <w:sz w:val="32"/>
          <w:szCs w:val="32"/>
        </w:rPr>
        <w:t>年6月，14家上市金控獲利已達3,397.89億元，凸顯我國金融業近年獲利能力強。惟上述14家金控，雖獲利年增率多高達二成以上，對於非擔任主管職務之平均薪資調漲卻多僅個位數成長。面對我國金融業薪資中位數仍遠低於鄰近之香港，成為人才回流之阻力。爰凍結第1目「一般行政」預算50萬元，俟金融監督管理委員會</w:t>
      </w:r>
      <w:r w:rsidRPr="00EB155B">
        <w:rPr>
          <w:rFonts w:ascii="標楷體" w:eastAsia="標楷體" w:hAnsi="標楷體" w:hint="eastAsia"/>
          <w:color w:val="000000" w:themeColor="text1"/>
          <w:sz w:val="32"/>
          <w:szCs w:val="32"/>
        </w:rPr>
        <w:lastRenderedPageBreak/>
        <w:t>銀行局提出如何提升我國金融業薪資水準，以達亞洲資產管理中心之壯大臺灣金融市場人才目標，並於2個月內向立法院財政委員會提出書面報告後，始得動支。</w:t>
      </w:r>
    </w:p>
    <w:p w14:paraId="27010A72" w14:textId="2189A92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6DFA8D34" w14:textId="5D5AA0E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40080345"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114年度金融監督管理委員會銀行局預算案於第1目「一般行政」項下「基本行政工作維持」之「業務費」編列4,452萬2千元。依據金融機構防制洗錢辦法第3條、第6條、第8條及第15條規定，金融機構應執行確認客戶身分措施(含姓名及名稱檢核)，對於高風險情形，應加強客戶身分或持續審查措施。若屬疑似洗錢或資恐交易者，應向法務部調查局申報。惟我國曾發生遭國際刑警組織紅色通報的西班牙籍男子自108年潛逃來台後，開設多家公司及餐廳，國內共有8家銀行與該男子或其擔任代表人之公司來往，直至113年媒體報導，內政部移民署始發現該男，顯見我國金融體系未能落實KYC，漏未進行負面國際新聞審查之工作。爰凍結該項預算二十分之一，俟金融監督管理委員會銀行局於1個月內，就我國金融機構落實高風險客戶KYC之制度精進計畫，向立法院財政委員會提出書面報告後，始得動支。</w:t>
      </w:r>
    </w:p>
    <w:p w14:paraId="0E723FD1" w14:textId="333B6526"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5006EEEB"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(三)114年度金融監督管理委員會銀行局預算案於第1目「一般行政」項下「基本行政工作維持」之「業務費」編列4</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452萬2千元。面對我國銀行38家、金控15家，且前六大銀行市占率僅三成多，銀行家數過多、規模不大，國際競爭力也沒有明顯改變。爰凍結第1目「一般行政」預算</w:t>
      </w:r>
      <w:r w:rsidRPr="00EB155B">
        <w:rPr>
          <w:rFonts w:ascii="標楷體" w:eastAsia="標楷體" w:hAnsi="標楷體"/>
          <w:color w:val="000000" w:themeColor="text1"/>
          <w:sz w:val="32"/>
          <w:szCs w:val="32"/>
        </w:rPr>
        <w:t>10</w:t>
      </w:r>
      <w:r w:rsidRPr="00EB155B">
        <w:rPr>
          <w:rFonts w:ascii="標楷體" w:eastAsia="標楷體" w:hAnsi="標楷體" w:hint="eastAsia"/>
          <w:color w:val="000000" w:themeColor="text1"/>
          <w:sz w:val="32"/>
          <w:szCs w:val="32"/>
        </w:rPr>
        <w:t>0萬元，請金融監督管理委員會銀行局以打亞洲盃為目標，盤點我國應調整之法規與行政命令，以鼓勵台灣金融業進行整併（不止於金金併，亦包含銀行、證券等整併），以擴大規模提升國際競爭力，以搭配亞洲資產管理中心計畫，提升我國金融實力，並</w:t>
      </w:r>
      <w:r w:rsidRPr="00EB155B">
        <w:rPr>
          <w:rFonts w:ascii="標楷體" w:eastAsia="標楷體" w:hAnsi="標楷體" w:hint="eastAsia"/>
          <w:color w:val="000000" w:themeColor="text1"/>
          <w:sz w:val="32"/>
          <w:szCs w:val="32"/>
        </w:rPr>
        <w:lastRenderedPageBreak/>
        <w:t>於1個月內向立法院財政委員會提出書面報告後，始得動支。</w:t>
      </w:r>
    </w:p>
    <w:p w14:paraId="35089DD7" w14:textId="155C5998"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269C0D3C" w14:textId="52A73620"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4BB47F41"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114年度金融監督管理委員會銀行局預算案於第1目「一般行政」項下「基本行政工作維持」中「業務費」之「資訊服務費」編列918萬7千元，較113年度預算860萬元增加58萬7千元，電腦主機以及其他硬體設備之維護，應為穩定之價格，實難有連年增加之可能。考量政府預算短絀，應撙節支出。爰凍結第1目「一般行政」預算</w:t>
      </w:r>
      <w:r w:rsidRPr="00EB155B">
        <w:rPr>
          <w:rFonts w:ascii="標楷體" w:eastAsia="標楷體" w:hAnsi="標楷體"/>
          <w:color w:val="000000" w:themeColor="text1"/>
          <w:sz w:val="32"/>
          <w:szCs w:val="32"/>
        </w:rPr>
        <w:t>10</w:t>
      </w:r>
      <w:r w:rsidRPr="00EB155B">
        <w:rPr>
          <w:rFonts w:ascii="標楷體" w:eastAsia="標楷體" w:hAnsi="標楷體" w:hint="eastAsia"/>
          <w:color w:val="000000" w:themeColor="text1"/>
          <w:sz w:val="32"/>
          <w:szCs w:val="32"/>
        </w:rPr>
        <w:t>萬元，俟金融監督管理委員會銀行局於3個月內向立法院財政委員會提出書面報告後，始得動支。</w:t>
      </w:r>
    </w:p>
    <w:p w14:paraId="6682ACE3" w14:textId="53C1577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3E2F7D39"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五)114年度金融監督管理委員會銀行局預算案於第2目「銀行監理」項下「銀行監理」編列731萬7千元。我國即將邁入超高齡化社會，屆時每5人中就會有1位年齡超過65歲。為因應高齡化社會趨勢，金融監督管理委員會對此鼓勵金融機構提供符合高齡者需求之商品及服務，並持續推動相關監理保障措施。雖然高齡金融消費爭議申訴案件數占總申訴案件之比率於109至112年間已呈現下降之趨勢，然而銀行業之申訴案件及其占比增加，且申訴案件數自111年起就已經呈現逐年上升之情況。金融監督管理委員會銀行局應持續加強督促業者遵守相關規範，以保障高齡者之權益，使金融機構之服務更貼近其需求。爰凍結該項預算</w:t>
      </w:r>
      <w:r w:rsidRPr="00EB155B">
        <w:rPr>
          <w:rFonts w:ascii="標楷體" w:eastAsia="標楷體" w:hAnsi="標楷體"/>
          <w:color w:val="000000" w:themeColor="text1"/>
          <w:sz w:val="32"/>
          <w:szCs w:val="32"/>
        </w:rPr>
        <w:t>5</w:t>
      </w:r>
      <w:r w:rsidRPr="00EB155B">
        <w:rPr>
          <w:rFonts w:ascii="標楷體" w:eastAsia="標楷體" w:hAnsi="標楷體" w:hint="eastAsia"/>
          <w:color w:val="000000" w:themeColor="text1"/>
          <w:sz w:val="32"/>
          <w:szCs w:val="32"/>
        </w:rPr>
        <w:t>0萬元，俟金融監督管理委員會銀行局於2個月內向立法院財政委員會提出書面報告後，始得動支。</w:t>
      </w:r>
    </w:p>
    <w:p w14:paraId="3EE3B7BE" w14:textId="4F8ACA0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410CCB2A"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(六)114年度金融監督管理委員會銀行局預算案於第2目「銀行監理」項下「銀行監理」編列731萬7千元。有鑑於1</w:t>
      </w:r>
      <w:r w:rsidRPr="00EB155B">
        <w:rPr>
          <w:rFonts w:ascii="標楷體" w:eastAsia="標楷體" w:hAnsi="標楷體"/>
          <w:color w:val="000000" w:themeColor="text1"/>
          <w:sz w:val="32"/>
          <w:szCs w:val="32"/>
        </w:rPr>
        <w:t>13</w:t>
      </w:r>
      <w:r w:rsidRPr="00EB155B">
        <w:rPr>
          <w:rFonts w:ascii="標楷體" w:eastAsia="標楷體" w:hAnsi="標楷體" w:hint="eastAsia"/>
          <w:color w:val="000000" w:themeColor="text1"/>
          <w:sz w:val="32"/>
          <w:szCs w:val="32"/>
        </w:rPr>
        <w:t>年新政府上任後，宣示將推動台灣成為亞洲資產管理中心，強化金</w:t>
      </w:r>
      <w:r w:rsidRPr="00EB155B">
        <w:rPr>
          <w:rFonts w:ascii="標楷體" w:eastAsia="標楷體" w:hAnsi="標楷體" w:hint="eastAsia"/>
          <w:color w:val="000000" w:themeColor="text1"/>
          <w:sz w:val="32"/>
          <w:szCs w:val="32"/>
        </w:rPr>
        <w:lastRenderedPageBreak/>
        <w:t>融商品服務效能，然見歷年金融消費爭議申訴案件，除去疫情期間的防疫保單之亂，平均而言仍呈上漲趨勢，顯見金融服務品質仍有待加強。金融監督管理委員會銀行局應督促金融服務業者，本於服務精神詳盡的介紹金融商品特性及告知風險，而非急於招攬業務賺取佣金，致衍生爭議勞民傷財，讓民眾孤身對抗大財團，降低民眾對我國金融服務管理的信心。爰凍結該項預算百分之三，俟金融監督管理委員會銀行局就如何提升我國金融服務品質並降低爭議發生進行檢討，於3個月內向立法院財政委員會提出書面報告後，始得動支。</w:t>
      </w:r>
    </w:p>
    <w:p w14:paraId="22DAED9D" w14:textId="193DB67C"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提案人：吳秉叡　</w:t>
      </w:r>
    </w:p>
    <w:p w14:paraId="43DA7454" w14:textId="2D53959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連署人：賴惠員　李坤城</w:t>
      </w:r>
    </w:p>
    <w:p w14:paraId="2EADA19E"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七)114年度金融監督管理委員會銀行局預算案於第2目「銀行監理」項下「銀行監理」之「業務費」編列731萬7千元。有鑑於近期職場霸凌事件迭生，金融業者亦應就是否有職場霸凌事件進行徹查。其中，職場霸凌事件之表徵之一係該單位流動率過高。考量過往金融檢查，或曾有出現個別單位因人員流動率過高而為金檢或稽核時撰寫意見指陳應檢討者，更應注意。針對金融機構內各部門或單位於過去2年內，曾於金融檢查或稽核之時，曾有撰寫人員流動率過高應就人員配置及流程進行檢討者，主管機關允宜調查各該金融機構是否涉有職場霸凌一事，卻未妥為處理。爰凍結該項預算3</w:t>
      </w:r>
      <w:r w:rsidRPr="00EB155B">
        <w:rPr>
          <w:rFonts w:ascii="標楷體" w:eastAsia="標楷體" w:hAnsi="標楷體"/>
          <w:color w:val="000000" w:themeColor="text1"/>
          <w:sz w:val="32"/>
          <w:szCs w:val="32"/>
        </w:rPr>
        <w:t>5</w:t>
      </w:r>
      <w:r w:rsidRPr="00EB155B">
        <w:rPr>
          <w:rFonts w:ascii="標楷體" w:eastAsia="標楷體" w:hAnsi="標楷體" w:hint="eastAsia"/>
          <w:color w:val="000000" w:themeColor="text1"/>
          <w:sz w:val="32"/>
          <w:szCs w:val="32"/>
        </w:rPr>
        <w:t>萬元，俟金融監督管理委員會銀行局於3個月內，就人員流動率過高之金融機構是否涉有職場霸凌檢討調查計畫及金融機構職場霸凌防範制度精進作為，向立法院財政委員會提出書面報告後，始得動支。</w:t>
      </w:r>
    </w:p>
    <w:p w14:paraId="561E01D7" w14:textId="5864915E"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　郭國文</w:t>
      </w:r>
    </w:p>
    <w:p w14:paraId="58396DF8" w14:textId="61722D0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2E3CAD45"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(八)114年度金融監督管理委員會銀行局預算案於第2目「銀行監理」項下「銀行監理」中「業務費」之「國外旅費」編列</w:t>
      </w:r>
      <w:r w:rsidRPr="00EB155B">
        <w:rPr>
          <w:rFonts w:ascii="標楷體" w:eastAsia="標楷體" w:hAnsi="標楷體" w:hint="eastAsia"/>
          <w:color w:val="000000" w:themeColor="text1"/>
          <w:sz w:val="32"/>
          <w:szCs w:val="32"/>
        </w:rPr>
        <w:lastRenderedPageBreak/>
        <w:t>320萬9千元，相較於113年度編列預算增加67萬2千元，均為赴國外參與國際金融會議旅費，卻未見金融監督管理委員會銀行局對增列經費及會議成效予以說明，宜撙節政府支出。鑑此，爰凍結第2目「銀行監理」項下「銀行監理」之「業務費」731萬7千元之十分之一，俟金融監督管理委員會銀行局於2個月內向立法院財政委員會提出書面報告後，始得動支。</w:t>
      </w:r>
    </w:p>
    <w:p w14:paraId="68CFF24D" w14:textId="1461434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提案人：王世堅　</w:t>
      </w:r>
    </w:p>
    <w:p w14:paraId="0C8F63B2" w14:textId="759EF630"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連署人：伍麗華　郭國文</w:t>
      </w:r>
    </w:p>
    <w:p w14:paraId="73F05078"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九)114年度金融監督管理委員會銀行局預算案於第2目「銀行監理」項下「銀行監理」中「業務費」之「國外旅費」編列320萬9千元，較113年度預算253萬7千元增加67萬2千元。從疫情後的國際合作趨勢來看，多數國際會議、研討會或交流活動均已支援線上參與。考量政府預算短絀，應撙節支出。金融監督管理委員會銀行局應以節省成本為優先，推動遠端參與機制，取代部分實地考察的需求，避免不必要的高額國外旅費支出。爰凍結第2目「銀行監理」項下「銀行監理」之「業務費」預算10萬元，俟金融監督管理委員會銀行局於2個月內向立法院財政委員會提出書面報告後，始得動支。</w:t>
      </w:r>
    </w:p>
    <w:p w14:paraId="654BFD42" w14:textId="6A863D6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2F3FBBF2"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(十)114年度金融監督管理委員會銀行局預算案於第</w:t>
      </w:r>
      <w:r w:rsidRPr="00EB155B">
        <w:rPr>
          <w:rFonts w:ascii="標楷體" w:eastAsia="標楷體" w:hAnsi="標楷體"/>
          <w:color w:val="000000" w:themeColor="text1"/>
          <w:sz w:val="32"/>
          <w:szCs w:val="32"/>
        </w:rPr>
        <w:t>1</w:t>
      </w:r>
      <w:r w:rsidRPr="00EB155B">
        <w:rPr>
          <w:rFonts w:ascii="標楷體" w:eastAsia="標楷體" w:hAnsi="標楷體" w:hint="eastAsia"/>
          <w:color w:val="000000" w:themeColor="text1"/>
          <w:sz w:val="32"/>
          <w:szCs w:val="32"/>
        </w:rPr>
        <w:t>目「一般行政」編列3億6,029萬8千元，其中「基本行政工作維持」之「業務費」項下編列4,</w:t>
      </w:r>
      <w:r w:rsidRPr="00EB155B">
        <w:rPr>
          <w:rFonts w:ascii="標楷體" w:eastAsia="標楷體" w:hAnsi="標楷體"/>
          <w:color w:val="000000" w:themeColor="text1"/>
          <w:sz w:val="32"/>
          <w:szCs w:val="32"/>
        </w:rPr>
        <w:t>452</w:t>
      </w:r>
      <w:r w:rsidRPr="00EB155B">
        <w:rPr>
          <w:rFonts w:ascii="標楷體" w:eastAsia="標楷體" w:hAnsi="標楷體" w:hint="eastAsia"/>
          <w:color w:val="000000" w:themeColor="text1"/>
          <w:sz w:val="32"/>
          <w:szCs w:val="32"/>
        </w:rPr>
        <w:t>萬</w:t>
      </w:r>
      <w:r w:rsidRPr="00EB155B">
        <w:rPr>
          <w:rFonts w:ascii="標楷體" w:eastAsia="標楷體" w:hAnsi="標楷體"/>
          <w:color w:val="000000" w:themeColor="text1"/>
          <w:sz w:val="32"/>
          <w:szCs w:val="32"/>
        </w:rPr>
        <w:t>2</w:t>
      </w:r>
      <w:r w:rsidRPr="00EB155B">
        <w:rPr>
          <w:rFonts w:ascii="標楷體" w:eastAsia="標楷體" w:hAnsi="標楷體" w:hint="eastAsia"/>
          <w:color w:val="000000" w:themeColor="text1"/>
          <w:sz w:val="32"/>
          <w:szCs w:val="32"/>
        </w:rPr>
        <w:t>千元，較113年度編列數，顯有增加。其中包括「資訊服務費」以及「一般事務費」增加較多，似可撙節。基於國家財政經費宜撙節使用下，爰要求金融監督管理委員會銀行局於2個月內向立法院財政委員會提出書面報告。</w:t>
      </w:r>
    </w:p>
    <w:p w14:paraId="3B1A0D21" w14:textId="251E6E5E"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71767923" w14:textId="1B4806FC"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69121EDC"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十一)114年度金融監督管理委員會銀行局預算案於第1目「一般行政」項下「基本行政工作維持」編列4,772萬9千元。惟據112年度審計部中央政府總決算審核報告指出：「已與內政部警政署共同建置金融帳戶預警機制，惟資料共享範圍尚未擴及全國農業金庫公司，且未含疑涉詐騙之境內金融帳戶」等語。查金融監督管理委員會於111年與內政部警政署共同推動金融機構建置境外預警機制，提供銀行業者建置預警系統及實施關懷提問，期及時攔阻不法匯款。截至112年底止，本國銀行（含中華郵政股份有限公司）計38家均已完成上線，並成功攔阻詐欺案件計245件，攔阻金額約2.1億餘元。經查依農業金融法規定設立之全國農業金庫股份有限公司亦有辦理存、放款及匯兌業務，惟因非屬金融監督管理委員會主管範疇，爰未納列境外預警機制，衍生該公司櫃檯人員尚無法就疑涉詐欺境外金融帳戶實施關懷提問等情事。又查現行內政部警政署與銀行間資料介接範疇僅限於境外金融帳戶，尚未包含疑涉詐騙之境內金融帳戶，中華民國銀行商業同業公會全國聯合會雖於112年9月商請第一商業銀行股份有限公司等7家本國銀行，先行試辦境內預警機制，惟因尚需研議個人資料保護機制之周妥性，且各家金融機構資訊系統亦須配合調整建置，仍未擴及全體本國銀行。考量約定轉帳已成為詐騙主要手法之一，爰要求金融監督管理委員會銀行局於1個月內向立法院財政委員會提出書面報告。</w:t>
      </w:r>
    </w:p>
    <w:p w14:paraId="7736D488" w14:textId="4D507347"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0D8453DB" w14:textId="47D2BB5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2891A225"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二)114年度金融監督管理委員會銀行局預算案於第1目「一般行政」項下「基本行政工作維持」編列4,772萬9千元。惟據112年度審計部中央政府總決算審核報告指出：「已推動多項反詐宣導活動，惟詐欺案件及警示帳戶均呈增加趨勢，有待研謀強化宣導活動之有效性，持續提升民眾金融</w:t>
      </w:r>
      <w:r w:rsidRPr="00EB155B">
        <w:rPr>
          <w:rFonts w:ascii="標楷體" w:eastAsia="標楷體" w:hAnsi="標楷體" w:hint="eastAsia"/>
          <w:color w:val="000000" w:themeColor="text1"/>
          <w:sz w:val="32"/>
          <w:szCs w:val="32"/>
        </w:rPr>
        <w:lastRenderedPageBreak/>
        <w:t>素養」等語。據金融監督管理委員會112年度金融教育成果專刊載述，已辦理金融知識宣導活動達3,000場、參與人數逾21萬人，並遍及於368個鄉鎮市區。惟據內政部警政署及金融監督管理委員會統計資料，110至112年度詐欺案件發生數分別為2萬4,724件、2萬9,509件及3萬7,984件，呈增加趨勢，而金融機構警示帳戶總戶數110至112年度分別為6萬4,678戶、9萬</w:t>
      </w:r>
      <w:r w:rsidRPr="00EB155B">
        <w:rPr>
          <w:rFonts w:ascii="標楷體" w:eastAsia="標楷體" w:hAnsi="標楷體"/>
          <w:color w:val="000000" w:themeColor="text1"/>
          <w:sz w:val="32"/>
          <w:szCs w:val="32"/>
        </w:rPr>
        <w:t>0</w:t>
      </w:r>
      <w:r w:rsidRPr="00EB155B">
        <w:rPr>
          <w:rFonts w:ascii="標楷體" w:eastAsia="標楷體" w:hAnsi="標楷體" w:hint="eastAsia"/>
          <w:color w:val="000000" w:themeColor="text1"/>
          <w:sz w:val="32"/>
          <w:szCs w:val="32"/>
        </w:rPr>
        <w:t>,813戶及11萬8,356戶；另據財團法人台灣金融研訓院調查，分別有43.2%及34.9%民眾金融素養分數為極低及低，合計近八成民眾金融素養不足。鑑於近來金融詐欺案件頻傳，金融素養薄弱，爰要求金融監督管理委員會銀行局於1個月內向立法院財政委員會提出書面報告。</w:t>
      </w:r>
    </w:p>
    <w:p w14:paraId="76063802" w14:textId="60D55694"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679FAB5F" w14:textId="65AA4C05"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737E4515"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三)財團法人金融消費評議中心所受理與銀行業相關之申訴、評議案件概呈增加，113年截至6月底止，其占同期間整體金融業案件之比率係近6年來最高。爭議案件之申請人多係主張遭詐騙所致，打擊詐騙，減少消費爭議工作上，銀行局應持續加強督促業者落實金融消費者保護，俾保障消費者權益。基於國家財政支出宜撙節使用的原則，爰要求金融監督管理委員會銀行局於</w:t>
      </w:r>
      <w:r w:rsidRPr="00EB155B">
        <w:rPr>
          <w:rFonts w:ascii="標楷體" w:eastAsia="標楷體" w:hAnsi="標楷體"/>
          <w:color w:val="000000" w:themeColor="text1"/>
          <w:sz w:val="32"/>
          <w:szCs w:val="32"/>
        </w:rPr>
        <w:t>3</w:t>
      </w:r>
      <w:r w:rsidRPr="00EB155B">
        <w:rPr>
          <w:rFonts w:ascii="標楷體" w:eastAsia="標楷體" w:hAnsi="標楷體" w:hint="eastAsia"/>
          <w:color w:val="000000" w:themeColor="text1"/>
          <w:sz w:val="32"/>
          <w:szCs w:val="32"/>
        </w:rPr>
        <w:t>個月內向立法院財政委員會提出書面報告。</w:t>
      </w:r>
    </w:p>
    <w:p w14:paraId="4E2D3435" w14:textId="60A38B06"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提案人：李彥秀　</w:t>
      </w:r>
    </w:p>
    <w:p w14:paraId="3738BF94" w14:textId="5FB8191A"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連署人：賴士葆　陳玉珍</w:t>
      </w:r>
    </w:p>
    <w:p w14:paraId="171A60F1"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四)114年度金融監督管理委員會銀行局預算案於第1目「一般行政」項下「基本行政工作維持」中「業務費」之「一般事務費」編列「辦公場所環境綠美化等經費」20萬5千元。實為非必要性之預算，考量政府預算短絀，應撙節支出。爰要求金融監督管理委員會銀行局於3個月內向立法院財政委員會提出書面報告。</w:t>
      </w:r>
    </w:p>
    <w:p w14:paraId="6A05BEA9" w14:textId="4B4987A0"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提案人：顏寬恒　賴士葆　羅明才</w:t>
      </w:r>
    </w:p>
    <w:p w14:paraId="797053AD"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(十五)114年度金融監督管理委員會銀行局預算案於第2目「銀行監理」編列731萬7千元，其中「國外旅費」編列</w:t>
      </w:r>
      <w:r w:rsidRPr="00EB155B">
        <w:rPr>
          <w:rFonts w:ascii="標楷體" w:eastAsia="標楷體" w:hAnsi="標楷體"/>
          <w:color w:val="000000" w:themeColor="text1"/>
          <w:sz w:val="32"/>
          <w:szCs w:val="32"/>
        </w:rPr>
        <w:t>320</w:t>
      </w:r>
      <w:r w:rsidRPr="00EB155B">
        <w:rPr>
          <w:rFonts w:ascii="標楷體" w:eastAsia="標楷體" w:hAnsi="標楷體" w:hint="eastAsia"/>
          <w:color w:val="000000" w:themeColor="text1"/>
          <w:sz w:val="32"/>
          <w:szCs w:val="32"/>
        </w:rPr>
        <w:t>萬</w:t>
      </w:r>
      <w:r w:rsidRPr="00EB155B">
        <w:rPr>
          <w:rFonts w:ascii="標楷體" w:eastAsia="標楷體" w:hAnsi="標楷體"/>
          <w:color w:val="000000" w:themeColor="text1"/>
          <w:sz w:val="32"/>
          <w:szCs w:val="32"/>
        </w:rPr>
        <w:t>9</w:t>
      </w:r>
      <w:r w:rsidRPr="00EB155B">
        <w:rPr>
          <w:rFonts w:ascii="標楷體" w:eastAsia="標楷體" w:hAnsi="標楷體" w:hint="eastAsia"/>
          <w:color w:val="000000" w:themeColor="text1"/>
          <w:sz w:val="32"/>
          <w:szCs w:val="32"/>
        </w:rPr>
        <w:t>千元，較113年度編列數顯有增加，似可撙節。基於國家財政經費宜撙節使用下，爰要求金融監督管理委員會銀行局於</w:t>
      </w:r>
      <w:r w:rsidRPr="00EB155B">
        <w:rPr>
          <w:rFonts w:ascii="標楷體" w:eastAsia="標楷體" w:hAnsi="標楷體"/>
          <w:color w:val="000000" w:themeColor="text1"/>
          <w:sz w:val="32"/>
          <w:szCs w:val="32"/>
        </w:rPr>
        <w:t>2</w:t>
      </w:r>
      <w:r w:rsidRPr="00EB155B">
        <w:rPr>
          <w:rFonts w:ascii="標楷體" w:eastAsia="標楷體" w:hAnsi="標楷體" w:hint="eastAsia"/>
          <w:color w:val="000000" w:themeColor="text1"/>
          <w:sz w:val="32"/>
          <w:szCs w:val="32"/>
        </w:rPr>
        <w:t>個月內向立法院財政委員會提出書面報告。</w:t>
      </w:r>
    </w:p>
    <w:p w14:paraId="6546FE78" w14:textId="3B3F0D52"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6F9D2DB6" w14:textId="07A6383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7BEFA370"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六)114年度金融監督管理委員會銀行局預算案於第2目「銀行監理」編列731萬7千元，係為健全銀行業務之管理，強化主管機關功能，維護市場紀律及對銀行之監督管理及其法令制度之研究、擬訂、修正等所需經費。惟查近年財團法人金融消費評議中心所受理與銀行業相關之申訴、評議案件皆概呈增加，113年截至6月底止，其占整體金融業之比率係近年來最高，其中以信用卡消費款代償、結清或爭議款爭議成長幅度相對較高，爰要求金融監督管理委員會銀行局於2個月內向立法院財政委員會提出檢討改善書面報告。</w:t>
      </w:r>
    </w:p>
    <w:p w14:paraId="335DF780" w14:textId="1EEFF674"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36ECAE0F" w14:textId="03A156A5"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30DE5702"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七)114年度金融監督管理委員會銀行局預算案於第2目「銀行監理」編列731萬7千元，係為健全銀行業務之管理，強化主管機關功能，維護市場紀律及對銀行之監督管理及其法令制度之研究、擬訂、修正等所需經費。惟查為防杜詐騙集團利用金融機構之人頭帳戶進行犯罪，金融監督管理委員會已陸續推動多項措施，期能及早發現可疑帳戶，阻斷非金流，其中督導金融機構建置疑涉詐欺境內金融帳戶預警機制亦為重要手段之一。然疑涉詐欺境內金融帳戶預警機制目前仍僅7家本國銀行上線試辦，督導其他金融機構陸續建置疑涉詐欺境內金融帳戶預警機制的努力似力有未</w:t>
      </w:r>
      <w:r w:rsidRPr="00EB155B">
        <w:rPr>
          <w:rFonts w:ascii="標楷體" w:eastAsia="標楷體" w:hAnsi="標楷體" w:hint="eastAsia"/>
          <w:color w:val="000000" w:themeColor="text1"/>
          <w:sz w:val="32"/>
          <w:szCs w:val="32"/>
        </w:rPr>
        <w:lastRenderedPageBreak/>
        <w:t>逮，爰要求金融監督管理委員會銀行局於2個月內向立法院財政委員會提出檢討改善書面報告。</w:t>
      </w:r>
    </w:p>
    <w:p w14:paraId="5CBCAE3C" w14:textId="4B4D772A"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4D750AB7" w14:textId="0AC4555E"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1E28DCEF"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八)114年度金融監督管理委員會銀行局預算案於第2目「銀行監理」項下「銀行監理」編列731萬7千元。惟據立法院預算中心評估報告，近年財團法人金融消費評議中心所受理與銀行業相關之申訴、評議案件皆概呈增加，113年截至6月底止，其占整體金融業之比率係近年來最高，其中以信用卡消費款代償、結清或爭議款爭議成長幅度相對較高，爰要求金融監督管理委員會銀行局於1個月內向立法院財政委員會提出書面報告。</w:t>
      </w:r>
    </w:p>
    <w:p w14:paraId="20B0771F" w14:textId="358A6F57"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提案人：王鴻薇　賴士葆　陳玉珍</w:t>
      </w:r>
    </w:p>
    <w:p w14:paraId="2CD69FE1"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九)114年度金融監督管理委員會銀行局預算案於第2目「銀行監理」項下「銀行監理」之「業務費」編列731萬7千元。金融監督管理委員會107年新聞稿指出：「國內金融機構眾多、規模小及同質性高，且相較國際性銀行競爭力較弱，須透過整併提升競爭力。」其後陸續增加多項金融機構整併誘因。惟金融機構之整併，除須考慮市場秩序、客戶權益、投資人權益等因素外，更需要考量員工權益，然我國對於金融機構整併之員工保障、薪酬休假福利、安置計畫、協商程序相關規定付之闕如，亦未有統一之行政指導，以致近年整併案迭生多起員工安置爭議。爰請金融監督管理委員會銀行局會同勞動部及公平交易委員會於</w:t>
      </w:r>
      <w:r w:rsidRPr="00EB155B">
        <w:rPr>
          <w:rFonts w:ascii="標楷體" w:eastAsia="標楷體" w:hAnsi="標楷體"/>
          <w:color w:val="000000" w:themeColor="text1"/>
          <w:sz w:val="32"/>
          <w:szCs w:val="32"/>
        </w:rPr>
        <w:t>3</w:t>
      </w:r>
      <w:r w:rsidRPr="00EB155B">
        <w:rPr>
          <w:rFonts w:ascii="標楷體" w:eastAsia="標楷體" w:hAnsi="標楷體" w:hint="eastAsia"/>
          <w:color w:val="000000" w:themeColor="text1"/>
          <w:sz w:val="32"/>
          <w:szCs w:val="32"/>
        </w:rPr>
        <w:t>個月內，就金融機構整併之員工權益保障及安置程序制度建立計畫，向立法院財政委員會提出書面報告。</w:t>
      </w:r>
    </w:p>
    <w:p w14:paraId="40C03662" w14:textId="70B18039"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28F3178F" w14:textId="77777777" w:rsidR="009D64D0" w:rsidRPr="00EB155B" w:rsidRDefault="009D64D0" w:rsidP="00F470A8">
      <w:pPr>
        <w:overflowPunct w:val="0"/>
        <w:autoSpaceDE w:val="0"/>
        <w:spacing w:line="480" w:lineRule="exact"/>
        <w:ind w:left="1984" w:hangingChars="620" w:hanging="198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　十)金融營業稅經過數次的變革，</w:t>
      </w:r>
      <w:r w:rsidRPr="00EB155B">
        <w:rPr>
          <w:rFonts w:ascii="標楷體" w:eastAsia="標楷體" w:hAnsi="標楷體"/>
          <w:color w:val="000000" w:themeColor="text1"/>
          <w:sz w:val="32"/>
          <w:szCs w:val="32"/>
        </w:rPr>
        <w:t>88</w:t>
      </w:r>
      <w:r w:rsidRPr="00EB155B">
        <w:rPr>
          <w:rFonts w:ascii="標楷體" w:eastAsia="標楷體" w:hAnsi="標楷體" w:hint="eastAsia"/>
          <w:color w:val="000000" w:themeColor="text1"/>
          <w:sz w:val="32"/>
          <w:szCs w:val="32"/>
        </w:rPr>
        <w:t>年7月因應亞洲金融風暴降至百分之二；</w:t>
      </w:r>
      <w:r w:rsidRPr="00EB155B">
        <w:rPr>
          <w:rFonts w:ascii="標楷體" w:eastAsia="標楷體" w:hAnsi="標楷體"/>
          <w:color w:val="000000" w:themeColor="text1"/>
          <w:sz w:val="32"/>
          <w:szCs w:val="32"/>
        </w:rPr>
        <w:t>103</w:t>
      </w:r>
      <w:r w:rsidRPr="00EB155B">
        <w:rPr>
          <w:rFonts w:ascii="標楷體" w:eastAsia="標楷體" w:hAnsi="標楷體" w:hint="eastAsia"/>
          <w:color w:val="000000" w:themeColor="text1"/>
          <w:sz w:val="32"/>
          <w:szCs w:val="32"/>
        </w:rPr>
        <w:t>年為維持金融穩定及保障消費者權益，將稅率調整到百分之五，並將其中百分之二提</w:t>
      </w:r>
      <w:r w:rsidRPr="00EB155B">
        <w:rPr>
          <w:rFonts w:ascii="標楷體" w:eastAsia="標楷體" w:hAnsi="標楷體" w:hint="eastAsia"/>
          <w:color w:val="000000" w:themeColor="text1"/>
          <w:sz w:val="32"/>
          <w:szCs w:val="32"/>
        </w:rPr>
        <w:lastRenderedPageBreak/>
        <w:t>撥至金融業特別準備金，而這個制度在113年底即將落日。亞洲資產管理中心是政府的重要政策，透過金融業特別準備金的落日，調降金融營業稅至國際門檻，不僅是金融監督管理委員會積極爭取的方向，金融監督管理委員會也充分瞭解金融業無進項稅額可供扣抵的產業特性，調降金融營業稅更是金融業提升國際競爭力的種要契機，然最後在財政部堅持不調降的情況下，金融監督管理委員會選擇讓步，著實令人失望。綜合上述，基於國家財政支出宜撙節使用的原則，爰要求金融監督管理委員會銀行局於</w:t>
      </w:r>
      <w:r w:rsidRPr="00EB155B">
        <w:rPr>
          <w:rFonts w:ascii="標楷體" w:eastAsia="標楷體" w:hAnsi="標楷體"/>
          <w:color w:val="000000" w:themeColor="text1"/>
          <w:sz w:val="32"/>
          <w:szCs w:val="32"/>
        </w:rPr>
        <w:t>3</w:t>
      </w:r>
      <w:r w:rsidRPr="00EB155B">
        <w:rPr>
          <w:rFonts w:ascii="標楷體" w:eastAsia="標楷體" w:hAnsi="標楷體" w:hint="eastAsia"/>
          <w:color w:val="000000" w:themeColor="text1"/>
          <w:sz w:val="32"/>
          <w:szCs w:val="32"/>
        </w:rPr>
        <w:t>個月內向立法院財政委員會提出金融業營業稅未調降至3%，往後如何提升金融業國際競爭力書面報告。</w:t>
      </w:r>
    </w:p>
    <w:p w14:paraId="10DB8725" w14:textId="1C8E060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提案人：李彥秀　</w:t>
      </w:r>
    </w:p>
    <w:p w14:paraId="50DC40C6" w14:textId="726BFD8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連署人：賴士葆　陳玉珍</w:t>
      </w:r>
    </w:p>
    <w:p w14:paraId="2CADDDD2" w14:textId="77777777" w:rsidR="009D64D0" w:rsidRPr="00EB155B" w:rsidRDefault="009D64D0" w:rsidP="00F470A8">
      <w:pPr>
        <w:overflowPunct w:val="0"/>
        <w:autoSpaceDE w:val="0"/>
        <w:spacing w:line="480" w:lineRule="exact"/>
        <w:ind w:left="1984" w:hangingChars="620" w:hanging="198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一)114年度金融監督管理委員會銀行局預算案於第2目「銀行監理」項下「銀行監理」中「業務費」之「國外旅費」編列320萬9千元。次查112年度金融監督管理委員會銀行局同項目決算狀況僅195萬4千元；且113年度同項預算亦僅253萬7千元，預算案數明顯增加但未見具體說明。又查114年度預算案第40頁以下所提供之近3次同一出國計畫執行情形，部分定期會議以「02美國金融監理機關舉辦及參與之銀行監理會議」為例，其實際派任人數僅1人，並未達到預算編列之擬派人數3人、其個人使用35萬元之預算亦高於原訂每人平均17萬1千元甚鉅，有提出具體超出預算原因之必要。鑑此，考量近年世界情勢變化劇烈、為預防國家財政受全球化趨勢影響陷入蕭條，應撙節政府支出以備不時之需。爰要求金融監督管理委員會銀行局於3個月內向立法院財政委員會提出書面報告。</w:t>
      </w:r>
    </w:p>
    <w:p w14:paraId="25239EBA" w14:textId="4F90221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628D0C73" w14:textId="7318CD3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連署人：王世堅　李坤城</w:t>
      </w:r>
    </w:p>
    <w:p w14:paraId="58239189" w14:textId="77777777" w:rsidR="009D64D0" w:rsidRPr="00EB155B" w:rsidRDefault="009D64D0" w:rsidP="00F470A8">
      <w:pPr>
        <w:overflowPunct w:val="0"/>
        <w:autoSpaceDE w:val="0"/>
        <w:spacing w:line="480" w:lineRule="exact"/>
        <w:ind w:left="1984" w:hangingChars="620" w:hanging="198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二)金融監督管理委員會銀行局於113年11月28日宣告將推出虛擬資產保管業務的主題式業務試辦，並發布相關說明資料及問答集，該試辦業務將自114年1月1日起受理業者申請，目前已有數家業者表態願參與，此一試辦業務希望能促進金融機構發展安全且可靠的虛擬資產保管服務，並支持國內金融創新發展。惟查，包括美國在內等先進國家之銀行業其託管法制相對健全，且排除對部分會計法則之適用，聯邦註冊銀行獲准經營託管加密貨幣業務尚無需納入財報。相較之下，推動此一試辦業務對我國金融業之衝擊，以及對銀行經營之風險性尚待客觀評估；且是否關乎銀行法規範有關資本適足性之計算，銀行暴險之是否適度揭露，以及銀行業務人員適格性及資安等級要求等，然其相關試辦依據之法規命令、行政指導、業者自律規範等，尚無系統性之說明；且申請之資格、受理之審核依據、審核標準亦未公布，能否達成開放試辦此一業務之目標，殆有疑義。爰此，請金融監督管理委員會銀行局於3個月內針對該試辦業務之法規命令（含審查標準）等相關規範完成盤點，並針對銀行業者申請情形，向立法院財政委員會提出書面報告；另金融監督管理委員會銀行局應於試辦業務半年結束後1個月內，針對試辦業務之監理情形，以及試辦業務之技術風險、法規風險、市場風險以及流動性風險相關檢討，向立法院財政委員會提出書面報告。</w:t>
      </w:r>
    </w:p>
    <w:p w14:paraId="679314FA" w14:textId="206935A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10989D5B" w14:textId="6E70B61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伍麗華　沈發惠</w:t>
      </w:r>
    </w:p>
    <w:p w14:paraId="49D95A10" w14:textId="77777777" w:rsidR="009D64D0" w:rsidRPr="00EB155B" w:rsidRDefault="009D64D0" w:rsidP="00F470A8">
      <w:pPr>
        <w:overflowPunct w:val="0"/>
        <w:autoSpaceDE w:val="0"/>
        <w:spacing w:line="480" w:lineRule="exact"/>
        <w:ind w:left="1984" w:hangingChars="620" w:hanging="198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(二十三)我國網路借貸平臺(下稱P2P)業者提供網路借貸媒合服務，目前尚無主管機關，為健全P2P產業之正向發展，行政院前已決議對P2P平臺業務宜逐步監理、適度管</w:t>
      </w:r>
      <w:r w:rsidRPr="00EB155B">
        <w:rPr>
          <w:rFonts w:ascii="標楷體" w:eastAsia="標楷體" w:hAnsi="標楷體" w:hint="eastAsia"/>
          <w:color w:val="000000" w:themeColor="text1"/>
          <w:sz w:val="32"/>
          <w:szCs w:val="32"/>
        </w:rPr>
        <w:lastRenderedPageBreak/>
        <w:t>理，金融監督管理委員會已提報P2P網路借貸平臺管理計畫經行政院函復修正備查，該計畫重點包括強化P2P業者同業自律、優化與銀行合作機制、加強打擊不法業者藉由P2P模式詐騙吸金及其他配套措施等，並由金融監督管理委員會、經濟部、內政部、法務部、數位發展部等相關部會共同推動，為持續保護消費者權益及防制詐騙等不法行為發生，爰建議金融監督管理委員會銀行局依上開管理計畫所提相關措施續行推動辦理，研議妥適管理措施，並於2個月內向立法院財政委員會提出書面報告。</w:t>
      </w:r>
    </w:p>
    <w:p w14:paraId="326105E2" w14:textId="14F1656E"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提案人：林德福　賴士葆　陳玉珍</w:t>
      </w:r>
    </w:p>
    <w:p w14:paraId="4F2B826C" w14:textId="77777777" w:rsidR="009D64D0" w:rsidRPr="00EB155B" w:rsidRDefault="009D64D0" w:rsidP="00F470A8">
      <w:pPr>
        <w:overflowPunct w:val="0"/>
        <w:autoSpaceDE w:val="0"/>
        <w:spacing w:line="480" w:lineRule="exact"/>
        <w:ind w:left="1984" w:hangingChars="620" w:hanging="198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四)鑑於銀行法第72條之2規定，國銀放款不動產不得超過存款餘額的30%，故日前因房市過熱，許多銀行因觸及上限而不再放款。惟近期卻傳出部分建商改找融資租賃公司貸款，致使融資租賃公司不僅能低利向銀行貸款，還能規避銀行法對房市之信用管制，再以高利貸出，甚至特別成立子公司來放款不動產；如此套利炒房產業鏈，金融監督管理委員會理應加強監理。爰請金融監督管理委員會銀行局以如何強化銀行對融資租賃公司之貸後追蹤，避免流入不動產為題，於1個月內向立法院財政委員會提出書面報告。</w:t>
      </w:r>
    </w:p>
    <w:p w14:paraId="53374279" w14:textId="7106DA76"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提案人：王世堅　</w:t>
      </w:r>
    </w:p>
    <w:p w14:paraId="09FE029D" w14:textId="31D7DFA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連署人：伍麗華　郭國文</w:t>
      </w:r>
    </w:p>
    <w:p w14:paraId="70B6EEAA" w14:textId="77777777" w:rsidR="009D64D0" w:rsidRPr="00EB155B" w:rsidRDefault="009D64D0" w:rsidP="00F470A8">
      <w:pPr>
        <w:overflowPunct w:val="0"/>
        <w:autoSpaceDE w:val="0"/>
        <w:spacing w:line="480" w:lineRule="exact"/>
        <w:ind w:left="1984" w:hangingChars="620" w:hanging="198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五)針對我國多起第三方支付業者捲入洗錢案件，促使政府加強對於第三方支付之監管；然而目前由第三方支付調升為電子支付門檻設定為代收付交易款項年日均額超過20億元，為過去10億元門檻之二倍。目前我國約7家業者代收付款年日均餘額超過10億元，若下調電子支付執照門檻為10億元，不會大幅增加金融監督管理委員會監理對象，卻有強化我國對於阻詐金流之必要</w:t>
      </w:r>
      <w:r w:rsidRPr="00EB155B">
        <w:rPr>
          <w:rFonts w:ascii="標楷體" w:eastAsia="標楷體" w:hAnsi="標楷體" w:hint="eastAsia"/>
          <w:color w:val="000000" w:themeColor="text1"/>
          <w:sz w:val="32"/>
          <w:szCs w:val="32"/>
        </w:rPr>
        <w:lastRenderedPageBreak/>
        <w:t>管理，爰請金融監督管理委員會銀行局檢討電子支付機構管理條例，並於1個月內向立法院財政委員會提出書面報告。</w:t>
      </w:r>
    </w:p>
    <w:p w14:paraId="34EEE15A" w14:textId="517B7F28"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4B47FB42" w14:textId="5BBA82B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bookmarkEnd w:id="146"/>
    </w:p>
    <w:p w14:paraId="237EEA58" w14:textId="77777777" w:rsidR="009D64D0" w:rsidRPr="00EB155B" w:rsidRDefault="009D64D0" w:rsidP="00F470A8">
      <w:pPr>
        <w:overflowPunct w:val="0"/>
        <w:autoSpaceDE w:val="0"/>
        <w:spacing w:line="480" w:lineRule="exact"/>
        <w:ind w:left="1984" w:hangingChars="620" w:hanging="198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六)產金分離向來為金融監督管理委員會所宣示之金融業經營原則，然而其內涵究竟為何，往往在每個個案存在讓外界質疑之處。以日前某金控公司具有控制性大股東投資上市超商一案為例，金融監督管理委員會對於其投資行為以及後續參與經營一事，前後說明語焉不詳，之前信誓旦旦表示若其介入經營或推派董事，必先與金融監督管理委員會溝通，然而事情已成既定事實後，金融監督管理委員會仍一無所知，甚至自找理由為其開脫，顯示其日常監理工作及管理威信存在重大瑕疵，容有改進之必要，爰要求金融監督管理委員會銀行局向立法院財政委員會提出書面報告。</w:t>
      </w:r>
    </w:p>
    <w:p w14:paraId="56F103DD" w14:textId="677859B2"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772E2394" w14:textId="14614B7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4017CCFE" w14:textId="77777777" w:rsidR="009D64D0" w:rsidRPr="00EB155B" w:rsidRDefault="009D64D0" w:rsidP="00F470A8">
      <w:pPr>
        <w:tabs>
          <w:tab w:val="left" w:pos="284"/>
        </w:tabs>
        <w:overflowPunct w:val="0"/>
        <w:autoSpaceDE w:val="0"/>
        <w:spacing w:line="480" w:lineRule="exact"/>
        <w:ind w:left="1760" w:hangingChars="550" w:hanging="1760"/>
        <w:jc w:val="both"/>
        <w:rPr>
          <w:rFonts w:ascii="標楷體" w:eastAsia="標楷體" w:hAnsi="標楷體"/>
          <w:color w:val="000000" w:themeColor="text1"/>
          <w:sz w:val="32"/>
          <w:szCs w:val="32"/>
        </w:rPr>
      </w:pPr>
      <w:r w:rsidRPr="00EB155B">
        <w:rPr>
          <w:rFonts w:ascii="標楷體" w:eastAsia="標楷體" w:hAnsi="標楷體" w:cs="華康細明體" w:hint="eastAsia"/>
          <w:color w:val="000000" w:themeColor="text1"/>
          <w:kern w:val="0"/>
          <w:sz w:val="32"/>
          <w:szCs w:val="32"/>
        </w:rPr>
        <w:t xml:space="preserve">　　</w:t>
      </w:r>
      <w:r w:rsidRPr="00C26D91">
        <w:rPr>
          <w:rFonts w:ascii="標楷體" w:eastAsia="標楷體" w:hAnsi="標楷體" w:cs="華康細明體" w:hint="eastAsia"/>
          <w:b/>
          <w:color w:val="000000" w:themeColor="text1"/>
          <w:kern w:val="0"/>
          <w:sz w:val="32"/>
          <w:szCs w:val="32"/>
        </w:rPr>
        <w:t xml:space="preserve">第3項　</w:t>
      </w:r>
      <w:r w:rsidRPr="00C26D91">
        <w:rPr>
          <w:rFonts w:ascii="標楷體" w:eastAsia="標楷體" w:hAnsi="標楷體" w:hint="eastAsia"/>
          <w:b/>
          <w:color w:val="000000" w:themeColor="text1"/>
          <w:sz w:val="32"/>
          <w:szCs w:val="32"/>
        </w:rPr>
        <w:t>證券期貨局</w:t>
      </w:r>
      <w:r w:rsidRPr="00EB155B">
        <w:rPr>
          <w:rFonts w:ascii="標楷體" w:eastAsia="標楷體" w:hAnsi="標楷體" w:hint="eastAsia"/>
          <w:color w:val="000000" w:themeColor="text1"/>
          <w:sz w:val="32"/>
          <w:szCs w:val="32"/>
        </w:rPr>
        <w:t>原列4億1,383萬8千元，減列第1目「一般行政」項下「基本行政工作維持」60萬元(含「業務費」之「房屋建築養護費」30萬元)、第2目「證券期貨市場監理」15萬元(含「業務費」10萬元)，共計減列75萬元（科目均自行調整），其餘均照列，改列為4億1,308萬8千元。</w:t>
      </w:r>
    </w:p>
    <w:p w14:paraId="6C1FF939" w14:textId="77777777" w:rsidR="009D64D0" w:rsidRPr="00EB155B" w:rsidRDefault="009D64D0" w:rsidP="00F470A8">
      <w:pPr>
        <w:overflowPunct w:val="0"/>
        <w:autoSpaceDE w:val="0"/>
        <w:spacing w:line="480" w:lineRule="exact"/>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本項通過決議26項：</w:t>
      </w:r>
    </w:p>
    <w:p w14:paraId="21A8EE74"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(一)114年度金融監督管理委員會證券期貨局預算案於第1目「一般行政」項下「人員維持」之「人事費」編列3億5</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348萬9千元。面對我國獨有之股東會委託書制度，導致目前非券商的三大委託書通路商業者，成為我國公司經營權之爭中的核心角色，然而，委託書通路商除了禁止價購限制，缺乏法規</w:t>
      </w:r>
      <w:r w:rsidRPr="00EB155B">
        <w:rPr>
          <w:rFonts w:ascii="標楷體" w:eastAsia="標楷體" w:hAnsi="標楷體" w:hint="eastAsia"/>
          <w:color w:val="000000" w:themeColor="text1"/>
          <w:sz w:val="32"/>
          <w:szCs w:val="32"/>
        </w:rPr>
        <w:lastRenderedPageBreak/>
        <w:t>上之約束。由於我國經營權爭奪之公平性涉及到資本市場穩定與發展，爰凍結第1目「一般行政」預算70萬元，俟金融監督管理委員會證券期貨局研議如何納管並約束委託書通路商，以確保市場爭奪戰之公平性與保障投資人權益，並於1個月內向立法院財政委員會提出書面報告後，始得動支。</w:t>
      </w:r>
    </w:p>
    <w:p w14:paraId="68D09D99" w14:textId="23F4D3A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263ADF09" w14:textId="67427574"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3B8B17B0"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114年度金融監督管理委員會證券期貨局預算案於第1目「一般行政」項下「基本行政工作維持」之「業務費」編列4,235萬元。112年詐欺犯罪方法以投資詐欺發生1萬1,775件最多，占總詐欺案件數三成一，被害人數1萬8,655人。有鑑於詐騙橫行，為建構合宜友善之長期投資管道，金融監督管理委員會已宣示將比照日、韓、英等國，建置台版個人投資儲蓄帳戶(TISA)，陸續提供各項優惠。爰凍結該項預算200萬元，俟金融監督管理委員會證券期貨局於1個月內，就個人投資儲蓄帳戶(TISA)之推動時程計畫及尚待爭取之投資誘因優惠政策盤點，向立法院財政委員會提出書面報告後，始得動支。</w:t>
      </w:r>
    </w:p>
    <w:p w14:paraId="62189659" w14:textId="12A5AEB6"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644CC53F"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(三)114年度金融監督管理委員會證券期貨局預算案於第1目「一般行政」項下「基本行政工作維持」之「業務費」編列4</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235萬元。針對日本政府已發出牌照給提供非上市股票交易平台之公司，以便投資人進行非上市股票交易，不僅讓非上市股票之價格透明化，且也有扶植公司上市、保障民眾投資非上市股票之權益。爰凍結第1目「一般行政」預算70萬元，俟金融監督管理委員會證券期貨局研究日本之法規鬆綁與制度，並研擬我國發出開放非上市股票交易平台之牌照可能，並於2個月內向立法院財政委員會提出書面報告後，始得動支。</w:t>
      </w:r>
    </w:p>
    <w:p w14:paraId="7037F7D2" w14:textId="2DFF280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2E2B2FBF" w14:textId="104F017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連署人：李坤城　伍麗華</w:t>
      </w:r>
    </w:p>
    <w:p w14:paraId="49D380FC"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全台校舍老舊問題，光是台北市全市的公立學校有1,530棟校舍，其中年齡達50年以上校舍有455棟，也就是說可能有安全疑慮的老舊校舍占了快三分之一，未來20年更是有接近1,300棟校舍年齡會超過50年。金融監督管理委員會應更積極修正上市上櫃公司永續發展實務守則，鼓勵上市櫃公司投入地方政府校舍改建，納入上市上櫃公司永續發展實務守則內，鼓勵企業可以盡到社會責任，讓孩子們有安全的教室上課。綜合上述，爰凍結第1目「一般行政」項下「基本行政工作維持」中「業務費」之「證券期貨大樓外牆修繕工程」預算80萬元，俟金融監督管理委員會證券期貨局於2個月內向立法院財政委員會提出鼓勵上市櫃公司投入地方政府校舍改建書面報告後，始得動支。</w:t>
      </w:r>
    </w:p>
    <w:p w14:paraId="52083224" w14:textId="0FAFF626"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提案人：李彥秀</w:t>
      </w:r>
    </w:p>
    <w:p w14:paraId="1F786CD1" w14:textId="0C4571DE"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連署人：賴士葆　陳玉珍</w:t>
      </w:r>
    </w:p>
    <w:p w14:paraId="69F34A51"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五)114年度金融監督管理委員會證券期貨局預算案於第1目「一般行政」項下「基本行政工作維持」之「設備及投資」編列643萬1千元。針對日本政府提出個人儲蓄帳戶（NISA），藉由稅制優惠鼓勵民眾投入資本證券市場，以投資取代儲蓄的效果，更是日本資產管理立國之重要基礎。由於我國政府亦提出亞洲資產管理中心之計畫，爰凍結第1目「一般行政」預算60萬元，請金融監督管理委員會證券期貨局研究我國提出個人儲蓄帳戶可行之稅制優惠，並於1個月內向立法院財政委員會提出書面報告後，始得動支。</w:t>
      </w:r>
    </w:p>
    <w:p w14:paraId="3576EEB3" w14:textId="78B209F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2EB02ABC" w14:textId="5540E68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連署人：伍麗華　李坤城</w:t>
      </w:r>
    </w:p>
    <w:p w14:paraId="376442BE"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六)114年度金融監督管理委員會證券期貨局預算案於第2目「證券期貨市場監理」編列1,134萬8千元。疫情過後，國內經濟成長表現亮眼，國內ETF市場亦大幅成長。金融監督管理委員會為保障投資人權益及促進我國ETF市場健全發展，已陸</w:t>
      </w:r>
      <w:r w:rsidRPr="00EB155B">
        <w:rPr>
          <w:rFonts w:ascii="標楷體" w:eastAsia="標楷體" w:hAnsi="標楷體" w:hint="eastAsia"/>
          <w:color w:val="000000" w:themeColor="text1"/>
          <w:sz w:val="32"/>
          <w:szCs w:val="32"/>
        </w:rPr>
        <w:lastRenderedPageBreak/>
        <w:t>續提出相關監理精進措施，並規劃開放主動式ETF及被動式多資產ETF商品，以落實商品多元化政策。然而近期有部分投信公司於ETF廣告行銷有違反規範之情事，金融監督管理委員會證券期貨局應持續監督業者遵循相關規範，適時採行相關措施，以維護市場健全性。爰凍結該項預算十分之一，俟金融監督管理委員會證券期貨局於2個月內向立法院財政委員會提出書面報告後，始得動支。</w:t>
      </w:r>
    </w:p>
    <w:p w14:paraId="1C6141B3" w14:textId="1DAF9F55"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5A223F3A"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七)114年度金融監督管理委員會證券期貨局預算案於第2目「證券期貨市場監理」項下「證券期貨市場監理」編列1,134萬8千元。有鑑於113年新政府上任後，宣示將推動台灣成為亞洲資產管理中心，強化金融商品服務效能，然見歷年金融消費爭議申訴案件，除去疫情期間的防疫保單之亂，平均而言仍呈上漲趨勢，顯見金融服務品質仍有待加強。金融監督管理委員會證券期貨局應督促金融服務業者，本於服務精神詳盡的介紹金融商品特性及告知風險，而非急於招攬業務賺取佣金，致衍生爭議勞民傷財，讓民眾孤身對抗大財團，降低民眾對我國金融服務管理的信心。爰凍結該項預算百分之三，俟金融監督管理委員會證券期貨局就如何提升我國金融服務品質並降低爭議發生進行檢討，於3個月內向立法院財政委員會提出書面報告後，始得動支。</w:t>
      </w:r>
    </w:p>
    <w:p w14:paraId="6EE06DAF" w14:textId="42104C85"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提案人：吳秉叡</w:t>
      </w:r>
    </w:p>
    <w:p w14:paraId="32DCB5B5" w14:textId="25A716B2"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連署人：賴惠員　李坤城</w:t>
      </w:r>
    </w:p>
    <w:p w14:paraId="5833A038"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八)114年度金融監督管理委員會證券期貨局預算案於第2目「證券期貨市場監理」項下「證券期貨市場監理」之「業務費」編列1,134萬8千元。依據金融監督管理委員會證券期貨局所提供資料，於虛擬資產業者洗錢防制聲明登記制度期間，每5件申請案中便有1件申請案之回覆時限超出行政程序法所定之2個月期間。行政程序法第51條第1項明定行政單位就行政程序應訂定處理期間。然金融監督管理委員會所公布之提供</w:t>
      </w:r>
      <w:r w:rsidRPr="00EB155B">
        <w:rPr>
          <w:rFonts w:ascii="標楷體" w:eastAsia="標楷體" w:hAnsi="標楷體" w:hint="eastAsia"/>
          <w:color w:val="000000" w:themeColor="text1"/>
          <w:sz w:val="32"/>
          <w:szCs w:val="32"/>
        </w:rPr>
        <w:lastRenderedPageBreak/>
        <w:t>虛擬資產服務之事業或人員洗錢防制登記辦法仍未依前述條文要求明定處理期程。行政機關此一行止嚴重影響業者對於申請期程及法遵成本之預估，以致未來國內外金融科技新創業擬投入我國市場時，恐對我國政府之效能及法制透明度有不良印象。爰凍結該項預算十分之一，俟金融監督管理委員會證券期貨局於1個月內，就修正提供虛擬資產服務之事業或人員洗錢防制登記辦法以符合行政程序法相關規定，向立法院財政委員會提出書面報告後，始得動支。</w:t>
      </w:r>
    </w:p>
    <w:p w14:paraId="4F96586A" w14:textId="639A2007"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55CAACB4"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九)114年度金融監督管理委員會證券期貨局預算案於第2目「證券期貨市場監理」項下「證券期貨市場監理」之「業務費」編列1,134萬8千元。有鑑於虛擬資產業之登記聲明已正式施行。此制度之目的，係為創造我國虛擬資產業者之統一登記管理制度。考量前有媒體所做調查，高達七成虛擬資產使用者使用外國平台，為強化我國虛擬資產業者之管理及確保我國使用者所開設之帳戶不致淪於洗錢之用，主管機關允宜敦促外國業者向主管機關申請登記，並納入我國洗錢防制管理制度中。爰凍結該項預算50萬元，俟金融監督管理委員會證券期貨局於1個月內，就強化外國虛擬資產業者納入我國洗錢防制登記制度之措施、實施計畫、期間及預期成效，向立法院財政委員會提出書面報告後，始得動支。</w:t>
      </w:r>
    </w:p>
    <w:p w14:paraId="5B505932" w14:textId="3761B84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347AAAE8"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114年度金融監督管理委員會證券期貨局預算案於第2目「證券期貨市場監理」項下「證券期貨市場監理」之「業務費」編列1,134萬8千元。有鑑於虛擬資產業之登記聲明已正式施行。此制度之目的，係為創造我國虛擬資產業者之統一登記管理制度。考量我國目前制度尚未健全，並於虛擬資產之各項實際運用以及相關納管進程上，主管機關或有向業者溝通、取經之處。故為加強我國虛擬資產之監理，主管機關確有主動聯繫國內外業者並就相關虛擬資產之發展、實際運用</w:t>
      </w:r>
      <w:r w:rsidRPr="00EB155B">
        <w:rPr>
          <w:rFonts w:ascii="標楷體" w:eastAsia="標楷體" w:hAnsi="標楷體" w:hint="eastAsia"/>
          <w:color w:val="000000" w:themeColor="text1"/>
          <w:sz w:val="32"/>
          <w:szCs w:val="32"/>
        </w:rPr>
        <w:lastRenderedPageBreak/>
        <w:t>及合宜監管之處，與其會談之必要。爰凍結該項預算50萬元，俟金融監督管理委員會證券期貨局於1個月內，就與國內外業者就虛擬資產最新發展、其各項虛擬資產之發展進程、相關合宜監理之方向進行定期或不定期座談之規劃、期程及預期成效，向立法院財政委員會提出書面報告後，始得動支。</w:t>
      </w:r>
    </w:p>
    <w:p w14:paraId="60FB54A8" w14:textId="6791ED1A"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24EB8AB9"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(十一)114年度金融監督管理委員會證券期貨局預算案於第2目「證券期貨市場監理」項下「證券期貨市場監理」之「業務費」編列1,134萬8千元。氣候變遷因應法於</w:t>
      </w:r>
      <w:r w:rsidRPr="00EB155B">
        <w:rPr>
          <w:rFonts w:ascii="標楷體" w:eastAsia="標楷體" w:hAnsi="標楷體"/>
          <w:color w:val="000000" w:themeColor="text1"/>
          <w:sz w:val="32"/>
          <w:szCs w:val="32"/>
        </w:rPr>
        <w:t>112</w:t>
      </w:r>
      <w:r w:rsidRPr="00EB155B">
        <w:rPr>
          <w:rFonts w:ascii="標楷體" w:eastAsia="標楷體" w:hAnsi="標楷體" w:hint="eastAsia"/>
          <w:color w:val="000000" w:themeColor="text1"/>
          <w:sz w:val="32"/>
          <w:szCs w:val="32"/>
        </w:rPr>
        <w:t>年2月15日公布施行，2050淨零轉型目標下，我國亦因應國際趨勢，由環境部委託金融監督管理委員會成立臺灣碳權交易所。目前臺灣碳權交易平台，交易對象僅限法人，惟原住民族地區自然碳匯之既有人工林疏伐與再造或森林經營碳匯等方法學，皆以自然人為主體，碳權交易若僅限於法人，恐造成投機業者利用圈地、私下脫法交易等方式，造成原住民族土地之衝擊。爰凍結該項預算30萬元，俟金融監督管理委員會證券期貨局於1個月內向立法院財政委員會提出書面報告後，始得動支。</w:t>
      </w:r>
    </w:p>
    <w:p w14:paraId="7B359EF0" w14:textId="4B4E3688"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提案人：伍麗華　郭國文</w:t>
      </w:r>
    </w:p>
    <w:p w14:paraId="531F652E" w14:textId="73A6FA6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連署人：李坤城　</w:t>
      </w:r>
    </w:p>
    <w:p w14:paraId="7679899F"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(十二)114年度金融監督管理委員會證券期貨局預算案於第1目「一般行政」編列4億0</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239萬元，其中「基本行政工作維持」編列4</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890萬1千元，較113年度編列數顯有增加。其中包括「一般事務費」、「房屋建築養護費」以及「雜項設備費」增加較多，似可撙節。基於國家財政經費宜撙節使用下，爰要求金融監督管理委員會證券期貨局針對一般行政預算增編之原因及經費用途等，於3個月內向立法院財政委員會提出書面報告。</w:t>
      </w:r>
    </w:p>
    <w:p w14:paraId="2FA198E4" w14:textId="5D762537"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提案人：陳玉珍</w:t>
      </w:r>
    </w:p>
    <w:p w14:paraId="65732DAE" w14:textId="1E7CC285"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連署人：顏寬恒　林德福</w:t>
      </w:r>
    </w:p>
    <w:p w14:paraId="0EAC57A9"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三)114年度金融監督管理委員會證券期貨局預算案於第1目「一般行政」項下「基本行政工作維持」之「業務費」編列4,235萬元。近年來，國際證券市場呈現縮短交割週期與延長交易時間的趨勢，對於T+1交割，台灣因涉及系統改造、流程優化及與多方利害關係人協調，需謹慎評估是否具備執行條件。又為達成普惠金融，以利年輕人及小資族群投資台股，並活絡零股交易市場，金融監督管理委員會近年持續精進盤中零股交易制度，並自113年12月2日起正式將盤中零股交易撮合間隔時間由1分鐘縮短為5秒鐘，惟市場部分投資人建議宜參考美股之零股交易制度。請金融監督管理委員會證券期貨局於1個月內，就T+1交割制度之定期滾動計畫及盤中零股交易制度精進方向，向立法院財政委員會提出書面報告。</w:t>
      </w:r>
    </w:p>
    <w:p w14:paraId="04ABB402" w14:textId="71F08D4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4A255A63"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四)114年度金融監督管理委員會證券期貨局預算案於第1目「一般行政」項下「基本行政工作維持」中「業務費」之「資訊服務費」編列481萬9千元，其中業務電子化作業及電腦周邊設備之硬體維護費152萬元，與112年度相同；惟業務電子化應為一次性作業，似無每年編列固定預算之必要，宜撙節政府支出。爰要求金融監督管理委員會證券期貨局針對硬體維護費編列之必要性及用途效益，於2個月內向立法院財政委員會提出書面報告。</w:t>
      </w:r>
    </w:p>
    <w:p w14:paraId="16096182" w14:textId="2D9BEBA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提案人：王世堅</w:t>
      </w:r>
    </w:p>
    <w:p w14:paraId="00EE6E07" w14:textId="26EE6A6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連署人：伍麗華　郭國文</w:t>
      </w:r>
    </w:p>
    <w:p w14:paraId="55FFC60D"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五)查114年度金融監督管理委員會證券期貨局預算案於第1目「一般行政」項下「基本行政工作維持」中「業務費」之「資訊服務費」編列481萬9千元。次查，112年度該項預算雖編列495萬9千元，惟同年度決算數僅478萬6千元，尚有賸餘。再查，112年度該項預算中「購置各項業務需求</w:t>
      </w:r>
      <w:r w:rsidRPr="00EB155B">
        <w:rPr>
          <w:rFonts w:ascii="標楷體" w:eastAsia="標楷體" w:hAnsi="標楷體" w:hint="eastAsia"/>
          <w:color w:val="000000" w:themeColor="text1"/>
          <w:sz w:val="32"/>
          <w:szCs w:val="32"/>
        </w:rPr>
        <w:lastRenderedPageBreak/>
        <w:t>套裝軟體及未達2年之軟體授權等」費用為44萬元，然1</w:t>
      </w:r>
      <w:r w:rsidRPr="00EB155B">
        <w:rPr>
          <w:rFonts w:ascii="標楷體" w:eastAsia="標楷體" w:hAnsi="標楷體"/>
          <w:color w:val="000000" w:themeColor="text1"/>
          <w:sz w:val="32"/>
          <w:szCs w:val="32"/>
        </w:rPr>
        <w:t>14</w:t>
      </w:r>
      <w:r w:rsidRPr="00EB155B">
        <w:rPr>
          <w:rFonts w:ascii="標楷體" w:eastAsia="標楷體" w:hAnsi="標楷體" w:hint="eastAsia"/>
          <w:color w:val="000000" w:themeColor="text1"/>
          <w:sz w:val="32"/>
          <w:szCs w:val="32"/>
        </w:rPr>
        <w:t>年度編列81萬元，顯高於11</w:t>
      </w:r>
      <w:r w:rsidRPr="00EB155B">
        <w:rPr>
          <w:rFonts w:ascii="標楷體" w:eastAsia="標楷體" w:hAnsi="標楷體"/>
          <w:color w:val="000000" w:themeColor="text1"/>
          <w:sz w:val="32"/>
          <w:szCs w:val="32"/>
        </w:rPr>
        <w:t>2</w:t>
      </w:r>
      <w:r w:rsidRPr="00EB155B">
        <w:rPr>
          <w:rFonts w:ascii="標楷體" w:eastAsia="標楷體" w:hAnsi="標楷體" w:hint="eastAsia"/>
          <w:color w:val="000000" w:themeColor="text1"/>
          <w:sz w:val="32"/>
          <w:szCs w:val="32"/>
        </w:rPr>
        <w:t>年度之預算及決算，但於預算案中並無明確說明增加費用之原因及迫切性。鑑此，考量近年世界情勢變化劇烈、為預防國家財政受全球化趨勢影響陷入蕭條，應撙節政府支出以備不時之需。爰請金融監督管理委員會證券期貨局於3個月內向立法院財政委員會提出書面報告。</w:t>
      </w:r>
    </w:p>
    <w:p w14:paraId="505DD3D0" w14:textId="0EB69F5E"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提案人：賴惠員</w:t>
      </w:r>
    </w:p>
    <w:p w14:paraId="3A93B7DE" w14:textId="2F97AB35"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5001894D"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(十六)114年度金融監督管理委員會證券期貨局預算案於第2目「證券期貨市場監理」編列1</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134萬8千元，其中「國外旅費」編列633萬元，較113年度編列數顯有增加，似可撙節。基於國家財政經費宜撙節使用下，爰要求金融監督管理委員會證券期貨局針對國外旅費經費編列之執行成效，於3個月內向立法院財政委員會提出書面報告。</w:t>
      </w:r>
    </w:p>
    <w:p w14:paraId="65FD3E04" w14:textId="298D24C9"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提案人：陳玉珍</w:t>
      </w:r>
    </w:p>
    <w:p w14:paraId="3F4100A3" w14:textId="24E1C4AE"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3BC2373F"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七)114年度金融監督管理委員會證券期貨局預算案於第2目「證券期貨市場監理」編列1,134萬8千元。為落實ESG、強化上市櫃公司非財務性之資訊揭露，我國已規劃全體上市櫃公司自114年起皆應依規定編製並申報永續報告書。然而根據立法院預算中心評估報告指出，目前資本額區間尚非完全屬強制揭露之上市櫃公司(即未達20億元者)，於113年截至8月底止，尚有61.64%未揭露112年度永續報告書。雖非強制揭露，但仍需積極落實ESG之責任。金融監督管理委員會證券期貨局應持續輔導其於準備期間儘速熟悉相關作業，並適時予以協助，以利企業實踐永續發展，提升競爭力。爰要求金融監督管理委員會證券期貨局於2個月內向立法院財政委員會提出書面報告。</w:t>
      </w:r>
    </w:p>
    <w:p w14:paraId="24CE310C" w14:textId="7153B25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153C65F0"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十八)114年度金融監督管理委員會證券期貨局預算案於第2目「證券期貨市場監理」編列1,134萬8千元，係辦理擴大證券期貨市場規模，維護市場秩序，保障交易安全，並強化風險控管機制，提升企業財務資訊透明度，整合市場資源，提升經營績效，推展證券暨期貨與國際接軌，及加強證券暨期貨業務之研究發展等。惟查近年國內ETF市場大幅成長，近期有部分投信公司於ETF廣告行銷有違反規範之情事，主管機關似應更積極採行相關措施，俾有效落實投資人權益之保障。爰要求金融監督管理委員會證券期貨局針對強化ETF廣告行銷活動之監理措施，於3個月內向立法院財政委員會提出書面報告。</w:t>
      </w:r>
    </w:p>
    <w:p w14:paraId="491F7417" w14:textId="23F2F8B9"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提案人：陳玉珍</w:t>
      </w:r>
    </w:p>
    <w:p w14:paraId="56B57045" w14:textId="03E02558"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連署人：林德福　顏寬恒</w:t>
      </w:r>
    </w:p>
    <w:p w14:paraId="09A0DFB6" w14:textId="77777777" w:rsidR="009D64D0" w:rsidRPr="00EB155B" w:rsidRDefault="009D64D0" w:rsidP="00F470A8">
      <w:pPr>
        <w:tabs>
          <w:tab w:val="left" w:pos="709"/>
          <w:tab w:val="left" w:pos="851"/>
        </w:tabs>
        <w:overflowPunct w:val="0"/>
        <w:autoSpaceDE w:val="0"/>
        <w:spacing w:line="480" w:lineRule="exact"/>
        <w:ind w:left="1594" w:hangingChars="498" w:hanging="159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九)全球虛擬貨幣市值已達2.35兆美元，顯示虛擬資產在全球已具一定市場規模，而金融穩定委員會及國際貨幣基金組織也多次建議各國對虛擬資產需採取更全面之監管機制，鄰近各國亦依此制定相關法令、推行註冊許可制等措施來保護虛擬資產用戶；惟我國至今未有專法監管，業者如違反VASP指導原則，金融監督管理委員會僅可依據洗錢防制法施以行政處罰，致使部分已完成洗錢防制法遵循聲明之交易所仍接連發生洗錢、詐欺事件，又虛擬資產非屬金融消費者保護法保障範圍，不利金融消費爭議之處理及投資者權益之保障。鑑此，爰要求金融監督管理委員會證券期貨局於2個月內向立法院財政委員會提出虛擬資產業者監管專法之可行性評估書面報告。</w:t>
      </w:r>
    </w:p>
    <w:p w14:paraId="7BB2F805" w14:textId="035DD2A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提案人：王世堅</w:t>
      </w:r>
    </w:p>
    <w:p w14:paraId="1BE1CCC8" w14:textId="530AACB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連署人：伍麗華　郭國文</w:t>
      </w:r>
    </w:p>
    <w:p w14:paraId="4079DCF6"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　十)查114年度金融監督管理委員會證券期貨局預算案於第2目「證券期貨市場監理」項下「證券期貨市場監理」中「業務費」之「大陸地區旅費」編列19萬3千元。次</w:t>
      </w:r>
      <w:r w:rsidRPr="00EB155B">
        <w:rPr>
          <w:rFonts w:ascii="標楷體" w:eastAsia="標楷體" w:hAnsi="標楷體" w:hint="eastAsia"/>
          <w:color w:val="000000" w:themeColor="text1"/>
          <w:sz w:val="32"/>
          <w:szCs w:val="32"/>
        </w:rPr>
        <w:lastRenderedPageBreak/>
        <w:t>查，112年度該項預算雖編列7萬2千元，惟同年度並無赴中行程，其中1萬7千元流用至其他國家考察行程，整體預算尚有賸餘。再查，114年度該項預算書第46、47頁「亞洲區域基金護照研討會」費用，擬派人數同為4人，但赴大陸之交通費為11萬8千元，相較赴亞洲其他國家之6萬1千元多出將近1倍，顯不合一般民眾之合理認知。鑑此，考量近年世界情勢變化劇烈、為預防國家財政受全球化趨勢影響陷入蕭條，應撙節政府支出以備不時之需。爰請金融監督管理委員會證券期貨局於3個月內向立法院財政委員會提出書面報告。</w:t>
      </w:r>
    </w:p>
    <w:p w14:paraId="1E1EAE13" w14:textId="106482C4"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提案人：賴惠員</w:t>
      </w:r>
    </w:p>
    <w:p w14:paraId="1A08C72D" w14:textId="727528B7"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5DCDCCA2"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一)查114年度金融監督管理委員會證券期貨局預算案於第2目「證券期貨市場監理」項下「證券期貨市場監理」中「業務費」之「國外旅費」編列633萬元。次查，以112年度同項預算編列421萬6千元，惟同年度決算數僅417萬元，尚有賸餘。又以112年度該項預算中「出席國際證券管理機構組織（IOSCO）各類相關會議-93」細項為例（112年度單位預算第42、43頁），總預算157萬9千元、擬派16人、預計7天，每人平均98.6千元；然114年度總預算249萬5千元、擬派19人、預計6天，但每人平均131.3千元，其餘經費亦有類似情形。再查同項目最近三次同一出國計畫實際執行情況，擬派人數與實際派出人數亦有落差，多者甚至達到數倍，顯無過度編列預算之必要。鑑此，考量近年世界情勢變化劇烈、為預防國家財政受全球化趨勢影響陷入蕭條，應撙節政府支出以備不時之需。爰請金融監督管理委員會證券期貨局於3個月內向立法院財政委員會提出書面報告。</w:t>
      </w:r>
    </w:p>
    <w:p w14:paraId="3B304109" w14:textId="16605D4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提案人：賴惠員</w:t>
      </w:r>
    </w:p>
    <w:p w14:paraId="453BDC79" w14:textId="622AA89A"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2485DE82"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二十二)有鑑於虛擬資產業之登記聲明已正式施行，金融監督管理委員會前以洗錢防制聲明登記制度進行納管，該制度上路1年有餘而僅有26間業者完成聲明登記，與實際從業業者顯不相符。根據金融監督管理委員會證券期貨局提供資料，僅此26間業者便有98萬餘戶客戶；惟金融監督管理委員會證券期貨局對於我國檢警機關針對打詐案件而進行之調閱資料查詢需求未有掌握。顯見主管機關於虛擬資產業者納管1年餘仍未就虛擬資產業者協助政府進行打詐業務有完整掌握。請金融監督管理委員會證券期貨局於3個月內，就虛擬資產業者洗錢防制聲明登記期間，對於虛擬資產業者配合政府打詐需要而未有完整統計資料且對虛擬資產業者配合打詐之作為或有不明之檢討，向立法院財政委員會提出書面報告。</w:t>
      </w:r>
    </w:p>
    <w:p w14:paraId="3EB5DED1" w14:textId="20045CE8"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6231DD9A"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三)110年金融監督管理委員會擔任虛擬通貨平台及交易業務事業之洗錢防制主管機關；同年金融監督管理委員會發布虛擬通貨平台及交易業務事業防制洗錢及打擊資恐辦法，要求業者應完成法遵相關措施；112年3月行政院再度指定金融監督管理委員會擔任具金融投資或支付性質之虛擬資產平台的主管機關，金融監督管理委員會並發布新聞稿表示，將參考國際監理趨勢，以循序漸進方式強化國內虛擬資產平台對客戶之權益保護。嗣於113年對外表示將推動專法，為進一步瞭解金融監督管理委員會如何強化虛擬資產監理，以保障消費者權益，爰要求金融監督管理委員會證券期貨局於2個月內，針對推動虛擬資產監理之具體規劃及期程，向立法院財政委員會提出書面報告。</w:t>
      </w:r>
    </w:p>
    <w:p w14:paraId="2E0F4971" w14:textId="2972F7F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提案人：林德福　賴士葆　陳玉珍</w:t>
      </w:r>
    </w:p>
    <w:p w14:paraId="1B814E7E"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(二十四)針對我國推動公司治理3.0-永續發展藍圖，其一目標是對於表現優良之公司辦理頒獎典禮予以表揚，以促進企</w:t>
      </w:r>
      <w:r w:rsidRPr="00EB155B">
        <w:rPr>
          <w:rFonts w:ascii="標楷體" w:eastAsia="標楷體" w:hAnsi="標楷體" w:hint="eastAsia"/>
          <w:color w:val="000000" w:themeColor="text1"/>
          <w:sz w:val="32"/>
          <w:szCs w:val="32"/>
        </w:rPr>
        <w:lastRenderedPageBreak/>
        <w:t>業間良性競爭及互相學習；針對評鑑表現較不理想之公司，酌情增加相關監理措施，以強化公司治理之落實。為強化公司治理評鑑並落實差異化管理，爰請金融監督管理委員會證券期貨局研擬，如何加強公司治理之公平與公正性，同時強化第三方認證之角色，以及面對，並於1個月內向立法院財政委員會提出書面報告。</w:t>
      </w:r>
    </w:p>
    <w:p w14:paraId="4AACF477" w14:textId="05C4A8C0"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682B5803" w14:textId="16C8FA3D"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61DC62AC"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五)針對我國推動公司治理3.0-永續發展藍圖。為強化現有機制，與跟亞洲資產管理中心相關計畫接軌，爰請金融監督管理委員會證券期貨局研擬，如何擴大鼓勵投信躍進計畫之優惠措施，以符合壯大投信之目標，並於1個月內向立法院財政委員會提出書面報告。</w:t>
      </w:r>
    </w:p>
    <w:p w14:paraId="5EC25CCA" w14:textId="5B6BB00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616E9855" w14:textId="648D7A67"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6AD6E4BF" w14:textId="77777777" w:rsidR="009D64D0" w:rsidRPr="00EB155B" w:rsidRDefault="009D64D0" w:rsidP="00F470A8">
      <w:pPr>
        <w:tabs>
          <w:tab w:val="left" w:pos="709"/>
          <w:tab w:val="left" w:pos="851"/>
        </w:tabs>
        <w:overflowPunct w:val="0"/>
        <w:autoSpaceDE w:val="0"/>
        <w:spacing w:line="480" w:lineRule="exact"/>
        <w:ind w:left="1914" w:hangingChars="598" w:hanging="191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十六)針對近年來基金經理人弊案頻傳，而我國推動亞洲資產管理中心計畫不斷放寬對投信與資產管理業之監管，同時也提高弊案發生之風險。為保障我國發展金融時兼顧安全，請金融監督管理委員會證券期貨局提升我國投信針對基金之內控，並提高基金經理人弊案之罰則後，再進一步放寬相關管制，並於3個月內向立法院財政委員會提出書面報告。</w:t>
      </w:r>
    </w:p>
    <w:p w14:paraId="5112547E" w14:textId="55271F14"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47404F33" w14:textId="270F7219"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092B20D0" w14:textId="77777777" w:rsidR="009D64D0" w:rsidRPr="00EB155B" w:rsidRDefault="009D64D0" w:rsidP="00F470A8">
      <w:pPr>
        <w:tabs>
          <w:tab w:val="left" w:pos="284"/>
        </w:tabs>
        <w:overflowPunct w:val="0"/>
        <w:autoSpaceDE w:val="0"/>
        <w:spacing w:line="480" w:lineRule="exact"/>
        <w:ind w:left="1760" w:hangingChars="550" w:hanging="1760"/>
        <w:jc w:val="both"/>
        <w:rPr>
          <w:rFonts w:ascii="標楷體" w:eastAsia="標楷體" w:hAnsi="標楷體"/>
          <w:color w:val="000000" w:themeColor="text1"/>
          <w:sz w:val="32"/>
          <w:szCs w:val="32"/>
        </w:rPr>
      </w:pPr>
      <w:r w:rsidRPr="00EB155B">
        <w:rPr>
          <w:rFonts w:ascii="標楷體" w:eastAsia="標楷體" w:hAnsi="標楷體" w:cs="華康細明體" w:hint="eastAsia"/>
          <w:color w:val="000000" w:themeColor="text1"/>
          <w:kern w:val="0"/>
          <w:sz w:val="32"/>
          <w:szCs w:val="32"/>
        </w:rPr>
        <w:t xml:space="preserve">　　</w:t>
      </w:r>
      <w:r w:rsidRPr="00C26D91">
        <w:rPr>
          <w:rFonts w:ascii="標楷體" w:eastAsia="標楷體" w:hAnsi="標楷體" w:cs="華康細明體" w:hint="eastAsia"/>
          <w:b/>
          <w:color w:val="000000" w:themeColor="text1"/>
          <w:kern w:val="0"/>
          <w:sz w:val="32"/>
          <w:szCs w:val="32"/>
        </w:rPr>
        <w:t xml:space="preserve">第4項　</w:t>
      </w:r>
      <w:r w:rsidRPr="00C26D91">
        <w:rPr>
          <w:rFonts w:ascii="標楷體" w:eastAsia="標楷體" w:hAnsi="標楷體" w:hint="eastAsia"/>
          <w:b/>
          <w:color w:val="000000" w:themeColor="text1"/>
          <w:sz w:val="32"/>
          <w:szCs w:val="32"/>
        </w:rPr>
        <w:t>保險局</w:t>
      </w:r>
      <w:r w:rsidRPr="00EB155B">
        <w:rPr>
          <w:rFonts w:ascii="標楷體" w:eastAsia="標楷體" w:hAnsi="標楷體" w:hint="eastAsia"/>
          <w:color w:val="000000" w:themeColor="text1"/>
          <w:sz w:val="32"/>
          <w:szCs w:val="32"/>
        </w:rPr>
        <w:t>原列1億7,70</w:t>
      </w:r>
      <w:r w:rsidRPr="00EB155B">
        <w:rPr>
          <w:rFonts w:ascii="標楷體" w:eastAsia="標楷體" w:hAnsi="標楷體"/>
          <w:color w:val="000000" w:themeColor="text1"/>
          <w:sz w:val="32"/>
          <w:szCs w:val="32"/>
        </w:rPr>
        <w:t>2</w:t>
      </w:r>
      <w:r w:rsidRPr="00EB155B">
        <w:rPr>
          <w:rFonts w:ascii="標楷體" w:eastAsia="標楷體" w:hAnsi="標楷體" w:hint="eastAsia"/>
          <w:color w:val="000000" w:themeColor="text1"/>
          <w:sz w:val="32"/>
          <w:szCs w:val="32"/>
        </w:rPr>
        <w:t>萬5千元，減列第1目「一般行政」項下「基本行政工作維持」35萬5千元、第2目「保險監理」5萬元，共計減列40萬5千元(科目均自行調整)，其餘均照列，改列為1億7,66</w:t>
      </w:r>
      <w:r w:rsidRPr="00EB155B">
        <w:rPr>
          <w:rFonts w:ascii="標楷體" w:eastAsia="標楷體" w:hAnsi="標楷體"/>
          <w:color w:val="000000" w:themeColor="text1"/>
          <w:sz w:val="32"/>
          <w:szCs w:val="32"/>
        </w:rPr>
        <w:t>2</w:t>
      </w:r>
      <w:r w:rsidRPr="00EB155B">
        <w:rPr>
          <w:rFonts w:ascii="標楷體" w:eastAsia="標楷體" w:hAnsi="標楷體" w:hint="eastAsia"/>
          <w:color w:val="000000" w:themeColor="text1"/>
          <w:sz w:val="32"/>
          <w:szCs w:val="32"/>
        </w:rPr>
        <w:t>萬元。</w:t>
      </w:r>
    </w:p>
    <w:p w14:paraId="56967166" w14:textId="77777777" w:rsidR="009D64D0" w:rsidRPr="00EB155B" w:rsidRDefault="009D64D0" w:rsidP="00F470A8">
      <w:pPr>
        <w:tabs>
          <w:tab w:val="left" w:pos="284"/>
        </w:tabs>
        <w:overflowPunct w:val="0"/>
        <w:autoSpaceDE w:val="0"/>
        <w:spacing w:line="480" w:lineRule="exact"/>
        <w:ind w:left="1760" w:hangingChars="550" w:hanging="176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本項通過決議1</w:t>
      </w:r>
      <w:r w:rsidRPr="00EB155B">
        <w:rPr>
          <w:rFonts w:ascii="標楷體" w:eastAsia="標楷體" w:hAnsi="標楷體"/>
          <w:color w:val="000000" w:themeColor="text1"/>
          <w:sz w:val="32"/>
          <w:szCs w:val="32"/>
        </w:rPr>
        <w:t>1</w:t>
      </w:r>
      <w:r w:rsidRPr="00EB155B">
        <w:rPr>
          <w:rFonts w:ascii="標楷體" w:eastAsia="標楷體" w:hAnsi="標楷體" w:hint="eastAsia"/>
          <w:color w:val="000000" w:themeColor="text1"/>
          <w:sz w:val="32"/>
          <w:szCs w:val="32"/>
        </w:rPr>
        <w:t>項：</w:t>
      </w:r>
    </w:p>
    <w:p w14:paraId="64894BD7" w14:textId="77777777" w:rsidR="009D64D0" w:rsidRPr="00EB155B" w:rsidRDefault="009D64D0" w:rsidP="00F470A8">
      <w:pPr>
        <w:tabs>
          <w:tab w:val="left" w:pos="709"/>
          <w:tab w:val="left" w:pos="851"/>
        </w:tabs>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一)壽險業國外投資金額龐鉅，截至113年6月底止，已逾22兆元，占可運用資金比率達69.77%，且檢視我國壽險業於109至113年間之國外投資餘額，呈逐年攀升趨勢，截至113年6月底止，壽險業國外投資餘額為22兆7,797億元，較109年增加4兆2,287億元（增幅22.79%）。業者將台灣保戶的錢投資海外，不僅承擔高風險，更需要承擔鉅額的管理以及避險費用。然</w:t>
      </w:r>
      <w:r w:rsidRPr="00EB155B">
        <w:rPr>
          <w:rFonts w:ascii="標楷體" w:eastAsia="標楷體" w:hAnsi="標楷體"/>
          <w:color w:val="000000" w:themeColor="text1"/>
          <w:sz w:val="32"/>
          <w:szCs w:val="32"/>
        </w:rPr>
        <w:t>金融監督管理委員會</w:t>
      </w:r>
      <w:r w:rsidRPr="00EB155B">
        <w:rPr>
          <w:rFonts w:ascii="標楷體" w:eastAsia="標楷體" w:hAnsi="標楷體" w:hint="eastAsia"/>
          <w:color w:val="000000" w:themeColor="text1"/>
          <w:sz w:val="32"/>
          <w:szCs w:val="32"/>
        </w:rPr>
        <w:t>對強化國內投資標的錢留台灣的作法使用消極，未能盡如人意。綜合上述，爰凍結</w:t>
      </w:r>
      <w:r w:rsidRPr="00EB155B">
        <w:rPr>
          <w:rFonts w:ascii="標楷體" w:eastAsia="標楷體" w:hAnsi="標楷體"/>
          <w:color w:val="000000" w:themeColor="text1"/>
          <w:sz w:val="32"/>
          <w:szCs w:val="32"/>
        </w:rPr>
        <w:t>第1目「一般行政」</w:t>
      </w:r>
      <w:r w:rsidRPr="00EB155B">
        <w:rPr>
          <w:rFonts w:ascii="標楷體" w:eastAsia="標楷體" w:hAnsi="標楷體" w:hint="eastAsia"/>
          <w:color w:val="000000" w:themeColor="text1"/>
          <w:sz w:val="32"/>
          <w:szCs w:val="32"/>
        </w:rPr>
        <w:t>預算50萬元，俟</w:t>
      </w:r>
      <w:r w:rsidRPr="00EB155B">
        <w:rPr>
          <w:rFonts w:ascii="標楷體" w:eastAsia="標楷體" w:hAnsi="標楷體"/>
          <w:color w:val="000000" w:themeColor="text1"/>
          <w:sz w:val="32"/>
          <w:szCs w:val="32"/>
        </w:rPr>
        <w:t>金融監督管理委員會</w:t>
      </w:r>
      <w:r w:rsidRPr="00EB155B">
        <w:rPr>
          <w:rFonts w:ascii="標楷體" w:eastAsia="標楷體" w:hAnsi="標楷體" w:hint="eastAsia"/>
          <w:color w:val="000000" w:themeColor="text1"/>
          <w:sz w:val="32"/>
          <w:szCs w:val="32"/>
        </w:rPr>
        <w:t>保險局向立法院財政委員會提出引導保險業資金投資國內標的書面報告後，始得動支。</w:t>
      </w:r>
    </w:p>
    <w:p w14:paraId="022F65A1" w14:textId="412F9D0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提案人：李彥秀　郭國文</w:t>
      </w:r>
    </w:p>
    <w:p w14:paraId="6F5A81E4" w14:textId="1CE6B62A"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連署人：賴士葆　陳玉珍　李坤城　伍麗華</w:t>
      </w:r>
    </w:p>
    <w:p w14:paraId="7E35EEB4" w14:textId="77777777" w:rsidR="009D64D0" w:rsidRPr="00EB155B" w:rsidRDefault="009D64D0" w:rsidP="00F470A8">
      <w:pPr>
        <w:tabs>
          <w:tab w:val="left" w:pos="709"/>
          <w:tab w:val="left" w:pos="851"/>
        </w:tabs>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w:t>
      </w:r>
      <w:r w:rsidRPr="00EB155B">
        <w:rPr>
          <w:rFonts w:ascii="標楷體" w:eastAsia="標楷體" w:hAnsi="標楷體"/>
          <w:color w:val="000000" w:themeColor="text1"/>
          <w:sz w:val="32"/>
          <w:szCs w:val="32"/>
        </w:rPr>
        <w:t>114年度金融監督管理委員會保險局預算案於第1目「一般行政」項下「基本行政工作維持」</w:t>
      </w:r>
      <w:r w:rsidRPr="00EB155B">
        <w:rPr>
          <w:rFonts w:ascii="標楷體" w:eastAsia="標楷體" w:hAnsi="標楷體" w:hint="eastAsia"/>
          <w:color w:val="000000" w:themeColor="text1"/>
          <w:sz w:val="32"/>
          <w:szCs w:val="32"/>
        </w:rPr>
        <w:t>之</w:t>
      </w:r>
      <w:r w:rsidRPr="00EB155B">
        <w:rPr>
          <w:rFonts w:ascii="標楷體" w:eastAsia="標楷體" w:hAnsi="標楷體"/>
          <w:color w:val="000000" w:themeColor="text1"/>
          <w:sz w:val="32"/>
          <w:szCs w:val="32"/>
        </w:rPr>
        <w:t>「業務費」</w:t>
      </w:r>
      <w:r w:rsidRPr="00EB155B">
        <w:rPr>
          <w:rFonts w:ascii="標楷體" w:eastAsia="標楷體" w:hAnsi="標楷體" w:hint="eastAsia"/>
          <w:color w:val="000000" w:themeColor="text1"/>
          <w:sz w:val="32"/>
          <w:szCs w:val="32"/>
        </w:rPr>
        <w:t>編列</w:t>
      </w:r>
      <w:r w:rsidRPr="00EB155B">
        <w:rPr>
          <w:rFonts w:ascii="標楷體" w:eastAsia="標楷體" w:hAnsi="標楷體"/>
          <w:color w:val="000000" w:themeColor="text1"/>
          <w:sz w:val="32"/>
          <w:szCs w:val="32"/>
        </w:rPr>
        <w:t>1,754萬6千元。</w:t>
      </w:r>
      <w:r w:rsidRPr="00EB155B">
        <w:rPr>
          <w:rFonts w:ascii="標楷體" w:eastAsia="標楷體" w:hAnsi="標楷體" w:hint="eastAsia"/>
          <w:color w:val="000000" w:themeColor="text1"/>
          <w:sz w:val="32"/>
          <w:szCs w:val="32"/>
        </w:rPr>
        <w:t>發展觀光條例第36條於111年5月3日增訂：「帶客從事水域遊憩活動具營利性質者，應投保責任保險；提供場地或器材供遊客從事水域遊憩活動而具營利性質者，亦同。</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然而，現行市場上提供水域遊憩活動責任保險的保險業者僅有2家，而願意提供自由潛水個人教練及業者投保之保險業者更僅有1家，導致投保亂象迭生，不僅不利該項運動之發展，更損及消費者之權益。</w:t>
      </w:r>
      <w:r w:rsidRPr="00EB155B">
        <w:rPr>
          <w:rFonts w:ascii="標楷體" w:eastAsia="標楷體" w:hAnsi="標楷體"/>
          <w:color w:val="000000" w:themeColor="text1"/>
          <w:sz w:val="32"/>
          <w:szCs w:val="32"/>
        </w:rPr>
        <w:t>爰凍結該項預算</w:t>
      </w:r>
      <w:r w:rsidRPr="00EB155B">
        <w:rPr>
          <w:rFonts w:ascii="標楷體" w:eastAsia="標楷體" w:hAnsi="標楷體" w:hint="eastAsia"/>
          <w:color w:val="000000" w:themeColor="text1"/>
          <w:sz w:val="32"/>
          <w:szCs w:val="32"/>
        </w:rPr>
        <w:t>60萬元</w:t>
      </w:r>
      <w:r w:rsidRPr="00EB155B">
        <w:rPr>
          <w:rFonts w:ascii="標楷體" w:eastAsia="標楷體" w:hAnsi="標楷體"/>
          <w:color w:val="000000" w:themeColor="text1"/>
          <w:sz w:val="32"/>
          <w:szCs w:val="32"/>
        </w:rPr>
        <w:t>，俟金融監督管理委員會保險局於1個月內</w:t>
      </w:r>
      <w:r w:rsidRPr="00EB155B">
        <w:rPr>
          <w:rFonts w:ascii="標楷體" w:eastAsia="標楷體" w:hAnsi="標楷體" w:hint="eastAsia"/>
          <w:color w:val="000000" w:themeColor="text1"/>
          <w:sz w:val="32"/>
          <w:szCs w:val="32"/>
        </w:rPr>
        <w:t>，就自由潛水活動之責任險推動狀況及精進作為，</w:t>
      </w:r>
      <w:r w:rsidRPr="00EB155B">
        <w:rPr>
          <w:rFonts w:ascii="標楷體" w:eastAsia="標楷體" w:hAnsi="標楷體"/>
          <w:color w:val="000000" w:themeColor="text1"/>
          <w:sz w:val="32"/>
          <w:szCs w:val="32"/>
        </w:rPr>
        <w:t>向立法院財政委員會提出</w:t>
      </w:r>
      <w:r w:rsidRPr="00EB155B">
        <w:rPr>
          <w:rFonts w:ascii="標楷體" w:eastAsia="標楷體" w:hAnsi="標楷體" w:hint="eastAsia"/>
          <w:color w:val="000000" w:themeColor="text1"/>
          <w:sz w:val="32"/>
          <w:szCs w:val="32"/>
        </w:rPr>
        <w:t>書面</w:t>
      </w:r>
      <w:r w:rsidRPr="00EB155B">
        <w:rPr>
          <w:rFonts w:ascii="標楷體" w:eastAsia="標楷體" w:hAnsi="標楷體"/>
          <w:color w:val="000000" w:themeColor="text1"/>
          <w:sz w:val="32"/>
          <w:szCs w:val="32"/>
        </w:rPr>
        <w:t>報告後，始得動支</w:t>
      </w:r>
      <w:r w:rsidRPr="00EB155B">
        <w:rPr>
          <w:rFonts w:ascii="標楷體" w:eastAsia="標楷體" w:hAnsi="標楷體" w:hint="eastAsia"/>
          <w:color w:val="000000" w:themeColor="text1"/>
          <w:sz w:val="32"/>
          <w:szCs w:val="32"/>
        </w:rPr>
        <w:t>。</w:t>
      </w:r>
    </w:p>
    <w:p w14:paraId="76136F4A" w14:textId="2B68C82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　郭國文</w:t>
      </w:r>
    </w:p>
    <w:p w14:paraId="62A16C7B" w14:textId="3A8B74E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65CB9B99" w14:textId="77777777" w:rsidR="009D64D0" w:rsidRPr="00EB155B" w:rsidRDefault="009D64D0" w:rsidP="00F470A8">
      <w:pPr>
        <w:tabs>
          <w:tab w:val="left" w:pos="709"/>
          <w:tab w:val="left" w:pos="851"/>
        </w:tabs>
        <w:overflowPunct w:val="0"/>
        <w:autoSpaceDE w:val="0"/>
        <w:spacing w:line="480" w:lineRule="exact"/>
        <w:ind w:left="128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(三)114年度金融監督管理委員會保險局預算案於第2目「保險監理」項下「保險監理」編列676萬7千元。有鑑於113年新政府上任後，宣示將推動台灣成為亞洲資產管理中心，強化金</w:t>
      </w:r>
      <w:r w:rsidRPr="00EB155B">
        <w:rPr>
          <w:rFonts w:ascii="標楷體" w:eastAsia="標楷體" w:hAnsi="標楷體" w:hint="eastAsia"/>
          <w:color w:val="000000" w:themeColor="text1"/>
          <w:sz w:val="32"/>
          <w:szCs w:val="32"/>
        </w:rPr>
        <w:lastRenderedPageBreak/>
        <w:t>融商品服務效能，然見歷年金融消費爭議申訴案件，除去疫情期間的防疫保單之亂，平均而言仍呈上漲趨勢，顯見金融服務品質仍有待加強。金融監督管理委員會保險局應督促金融服務業者，本於服務精神詳盡的介紹金融商品特性及告知風險，而非急於招攬業務賺取佣金，致衍生爭議勞民傷財，讓民眾孤身對抗大財團，降低民眾對我國金融服務管理的信心。爰凍結該項預算百分之三，俟金融監督管理委員會保險局就如何提升我國金融服務品質並降低爭議發生進行檢討，於3個月內向立法院財政委員會提出書面報告後，始得動支。</w:t>
      </w:r>
    </w:p>
    <w:p w14:paraId="4F1D3285" w14:textId="210D9BA3"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提案人：吳秉叡　郭國文</w:t>
      </w:r>
    </w:p>
    <w:p w14:paraId="2E27EE69" w14:textId="07450338"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連署人：賴惠員　李坤城　伍麗華</w:t>
      </w:r>
    </w:p>
    <w:p w14:paraId="4CF200AB" w14:textId="77777777" w:rsidR="009D64D0" w:rsidRPr="00EB155B" w:rsidRDefault="009D64D0" w:rsidP="00F470A8">
      <w:pPr>
        <w:tabs>
          <w:tab w:val="left" w:pos="709"/>
          <w:tab w:val="left" w:pos="851"/>
        </w:tabs>
        <w:overflowPunct w:val="0"/>
        <w:autoSpaceDE w:val="0"/>
        <w:spacing w:line="480" w:lineRule="exact"/>
        <w:ind w:left="128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(四)114年度</w:t>
      </w:r>
      <w:r w:rsidRPr="00EB155B">
        <w:rPr>
          <w:rFonts w:ascii="標楷體" w:eastAsia="標楷體" w:hAnsi="標楷體"/>
          <w:color w:val="000000" w:themeColor="text1"/>
          <w:sz w:val="32"/>
          <w:szCs w:val="32"/>
        </w:rPr>
        <w:t>金融監督管理委員會</w:t>
      </w:r>
      <w:r w:rsidRPr="00EB155B">
        <w:rPr>
          <w:rFonts w:ascii="標楷體" w:eastAsia="標楷體" w:hAnsi="標楷體" w:hint="eastAsia"/>
          <w:color w:val="000000" w:themeColor="text1"/>
          <w:sz w:val="32"/>
          <w:szCs w:val="32"/>
        </w:rPr>
        <w:t>預算案於第2目「保險監理」項下「保險監理」之「業務費」</w:t>
      </w:r>
      <w:r w:rsidRPr="00EB155B">
        <w:rPr>
          <w:rFonts w:ascii="標楷體" w:eastAsia="標楷體" w:hAnsi="標楷體"/>
          <w:color w:val="000000" w:themeColor="text1"/>
          <w:sz w:val="32"/>
          <w:szCs w:val="32"/>
        </w:rPr>
        <w:t>編列</w:t>
      </w:r>
      <w:r w:rsidRPr="00EB155B">
        <w:rPr>
          <w:rFonts w:ascii="標楷體" w:eastAsia="標楷體" w:hAnsi="標楷體" w:hint="eastAsia"/>
          <w:color w:val="000000" w:themeColor="text1"/>
          <w:sz w:val="32"/>
          <w:szCs w:val="32"/>
        </w:rPr>
        <w:t>676</w:t>
      </w:r>
      <w:r w:rsidRPr="00EB155B">
        <w:rPr>
          <w:rFonts w:ascii="標楷體" w:eastAsia="標楷體" w:hAnsi="標楷體"/>
          <w:color w:val="000000" w:themeColor="text1"/>
          <w:sz w:val="32"/>
          <w:szCs w:val="32"/>
        </w:rPr>
        <w:t>萬</w:t>
      </w:r>
      <w:r w:rsidRPr="00EB155B">
        <w:rPr>
          <w:rFonts w:ascii="標楷體" w:eastAsia="標楷體" w:hAnsi="標楷體" w:hint="eastAsia"/>
          <w:color w:val="000000" w:themeColor="text1"/>
          <w:sz w:val="32"/>
          <w:szCs w:val="32"/>
        </w:rPr>
        <w:t>7千元</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國內壽險業近10年來拚命發行類定存、儲蓄險保單，資產總額大增逾16兆元，達36兆元創新高，但可運用資金投資海外占比卻也一路走高，從約50%一路增至近70%，高達22兆元資金大買美債等海外資產；惟觀諸鄰近各國壽險業，均無如此高比例之海外暴險，嚴重影響國內資金運用。鑑此，爰凍結該項預算5</w:t>
      </w:r>
      <w:r w:rsidRPr="00EB155B">
        <w:rPr>
          <w:rFonts w:ascii="標楷體" w:eastAsia="標楷體" w:hAnsi="標楷體"/>
          <w:color w:val="000000" w:themeColor="text1"/>
          <w:sz w:val="32"/>
          <w:szCs w:val="32"/>
        </w:rPr>
        <w:t>0</w:t>
      </w:r>
      <w:r w:rsidRPr="00EB155B">
        <w:rPr>
          <w:rFonts w:ascii="標楷體" w:eastAsia="標楷體" w:hAnsi="標楷體" w:hint="eastAsia"/>
          <w:color w:val="000000" w:themeColor="text1"/>
          <w:sz w:val="32"/>
          <w:szCs w:val="32"/>
        </w:rPr>
        <w:t>萬元，俟金融監督管理委員會保險局向立法院財政委員會提出降低壽險投資海外占比，並引導至公共建設之書面報告後，始得動支。</w:t>
      </w:r>
    </w:p>
    <w:p w14:paraId="7B1087BE" w14:textId="1ADBC7C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提案人：王世堅　</w:t>
      </w:r>
    </w:p>
    <w:p w14:paraId="44348C3E" w14:textId="41B957E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連署人：伍麗華　郭國文</w:t>
      </w:r>
    </w:p>
    <w:p w14:paraId="2EF5090E" w14:textId="77777777" w:rsidR="009D64D0" w:rsidRPr="00EB155B" w:rsidRDefault="009D64D0" w:rsidP="00F470A8">
      <w:pPr>
        <w:tabs>
          <w:tab w:val="left" w:pos="709"/>
          <w:tab w:val="left" w:pos="851"/>
        </w:tabs>
        <w:overflowPunct w:val="0"/>
        <w:autoSpaceDE w:val="0"/>
        <w:spacing w:line="480" w:lineRule="exact"/>
        <w:ind w:left="128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(五)</w:t>
      </w:r>
      <w:r w:rsidRPr="00EB155B">
        <w:rPr>
          <w:rFonts w:ascii="標楷體" w:eastAsia="標楷體" w:hAnsi="標楷體"/>
          <w:color w:val="000000" w:themeColor="text1"/>
          <w:sz w:val="32"/>
          <w:szCs w:val="32"/>
        </w:rPr>
        <w:t>114年度金融監督管理委員會保險局預算案於第1目「一般行政」編列1億7,020萬8千元，其中「基本行政工作維持」編列2,109</w:t>
      </w:r>
      <w:r w:rsidRPr="00EB155B">
        <w:rPr>
          <w:rFonts w:ascii="標楷體" w:eastAsia="標楷體" w:hAnsi="標楷體" w:hint="eastAsia"/>
          <w:color w:val="000000" w:themeColor="text1"/>
          <w:sz w:val="32"/>
          <w:szCs w:val="32"/>
        </w:rPr>
        <w:t>萬</w:t>
      </w:r>
      <w:r w:rsidRPr="00EB155B">
        <w:rPr>
          <w:rFonts w:ascii="標楷體" w:eastAsia="標楷體" w:hAnsi="標楷體"/>
          <w:color w:val="000000" w:themeColor="text1"/>
          <w:sz w:val="32"/>
          <w:szCs w:val="32"/>
        </w:rPr>
        <w:t>9千元，較113年度編列數顯有增加。其中包括約用人員酬金、一般事務費以及資訊軟硬體設備費增加較多，似可</w:t>
      </w:r>
      <w:r w:rsidRPr="00EB155B">
        <w:rPr>
          <w:rFonts w:ascii="標楷體" w:eastAsia="標楷體" w:hAnsi="標楷體" w:hint="eastAsia"/>
          <w:color w:val="000000" w:themeColor="text1"/>
          <w:sz w:val="32"/>
          <w:szCs w:val="32"/>
        </w:rPr>
        <w:t>撙</w:t>
      </w:r>
      <w:r w:rsidRPr="00EB155B">
        <w:rPr>
          <w:rFonts w:ascii="標楷體" w:eastAsia="標楷體" w:hAnsi="標楷體"/>
          <w:color w:val="000000" w:themeColor="text1"/>
          <w:sz w:val="32"/>
          <w:szCs w:val="32"/>
        </w:rPr>
        <w:t>節。</w:t>
      </w:r>
      <w:r w:rsidRPr="00EB155B">
        <w:rPr>
          <w:rFonts w:ascii="標楷體" w:eastAsia="標楷體" w:hAnsi="標楷體" w:hint="eastAsia"/>
          <w:color w:val="000000" w:themeColor="text1"/>
          <w:sz w:val="32"/>
          <w:szCs w:val="32"/>
        </w:rPr>
        <w:t>請</w:t>
      </w:r>
      <w:r w:rsidRPr="00EB155B">
        <w:rPr>
          <w:rFonts w:ascii="標楷體" w:eastAsia="標楷體" w:hAnsi="標楷體"/>
          <w:color w:val="000000" w:themeColor="text1"/>
          <w:sz w:val="32"/>
          <w:szCs w:val="32"/>
        </w:rPr>
        <w:t>金融監督管理委員會保險局</w:t>
      </w:r>
      <w:r w:rsidRPr="00EB155B">
        <w:rPr>
          <w:rFonts w:ascii="標楷體" w:eastAsia="標楷體" w:hAnsi="標楷體" w:hint="eastAsia"/>
          <w:color w:val="000000" w:themeColor="text1"/>
          <w:sz w:val="32"/>
          <w:szCs w:val="32"/>
        </w:rPr>
        <w:t>於3個月內向立法院財政委員會提出書面報告。</w:t>
      </w:r>
    </w:p>
    <w:p w14:paraId="09693275" w14:textId="277089FA"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 xml:space="preserve">提案人：陳玉珍　</w:t>
      </w:r>
    </w:p>
    <w:p w14:paraId="23C17A36" w14:textId="23095CAA"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507A3CF0" w14:textId="77777777" w:rsidR="009D64D0" w:rsidRPr="00EB155B" w:rsidRDefault="009D64D0" w:rsidP="00F470A8">
      <w:pPr>
        <w:tabs>
          <w:tab w:val="left" w:pos="709"/>
          <w:tab w:val="left" w:pos="851"/>
        </w:tabs>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(六)</w:t>
      </w:r>
      <w:r w:rsidRPr="00EB155B">
        <w:rPr>
          <w:rFonts w:ascii="標楷體" w:eastAsia="標楷體" w:hAnsi="標楷體"/>
          <w:color w:val="000000" w:themeColor="text1"/>
          <w:sz w:val="32"/>
          <w:szCs w:val="32"/>
        </w:rPr>
        <w:t>114年度金融監督管理委員會保險局預算案於第1目「一般行政」項下「基本行政工作維持」</w:t>
      </w:r>
      <w:r w:rsidRPr="00EB155B">
        <w:rPr>
          <w:rFonts w:ascii="標楷體" w:eastAsia="標楷體" w:hAnsi="標楷體" w:hint="eastAsia"/>
          <w:color w:val="000000" w:themeColor="text1"/>
          <w:sz w:val="32"/>
          <w:szCs w:val="32"/>
        </w:rPr>
        <w:t>之</w:t>
      </w:r>
      <w:r w:rsidRPr="00EB155B">
        <w:rPr>
          <w:rFonts w:ascii="標楷體" w:eastAsia="標楷體" w:hAnsi="標楷體"/>
          <w:color w:val="000000" w:themeColor="text1"/>
          <w:sz w:val="32"/>
          <w:szCs w:val="32"/>
        </w:rPr>
        <w:t>「業務費」編列1,754萬6千元。</w:t>
      </w:r>
      <w:r w:rsidRPr="00EB155B">
        <w:rPr>
          <w:rFonts w:ascii="標楷體" w:eastAsia="標楷體" w:hAnsi="標楷體" w:hint="eastAsia"/>
          <w:color w:val="000000" w:themeColor="text1"/>
          <w:sz w:val="32"/>
          <w:szCs w:val="32"/>
        </w:rPr>
        <w:t>為節省人力及作業成本，以及提供更便民之服務，</w:t>
      </w:r>
      <w:r w:rsidRPr="00EB155B">
        <w:rPr>
          <w:rFonts w:ascii="標楷體" w:eastAsia="標楷體" w:hAnsi="標楷體"/>
          <w:color w:val="000000" w:themeColor="text1"/>
          <w:sz w:val="32"/>
          <w:szCs w:val="32"/>
        </w:rPr>
        <w:t>中華民國人壽保險商業同業公會</w:t>
      </w:r>
      <w:r w:rsidRPr="00EB155B">
        <w:rPr>
          <w:rFonts w:ascii="標楷體" w:eastAsia="標楷體" w:hAnsi="標楷體" w:hint="eastAsia"/>
          <w:color w:val="000000" w:themeColor="text1"/>
          <w:sz w:val="32"/>
          <w:szCs w:val="32"/>
        </w:rPr>
        <w:t>與產物保險及人壽保險業者合作推動保險理賠醫起通採用區塊鏈技術，提供無紙化理賠服務。並且將服務觸角拓展至醫院，透過系統介接，讓民眾出院後不必奔波申請保險理賠，大幅降低了時間和成本的耗費，提供一站式服務。此優質典範，允宜提供其他險種借鑑，例如民眾申請車禍理賠。請</w:t>
      </w:r>
      <w:r w:rsidRPr="00EB155B">
        <w:rPr>
          <w:rFonts w:ascii="標楷體" w:eastAsia="標楷體" w:hAnsi="標楷體"/>
          <w:color w:val="000000" w:themeColor="text1"/>
          <w:sz w:val="32"/>
          <w:szCs w:val="32"/>
        </w:rPr>
        <w:t>金融監督管理委員會保險局於</w:t>
      </w:r>
      <w:r w:rsidRPr="00EB155B">
        <w:rPr>
          <w:rFonts w:ascii="標楷體" w:eastAsia="標楷體" w:hAnsi="標楷體" w:hint="eastAsia"/>
          <w:color w:val="000000" w:themeColor="text1"/>
          <w:sz w:val="32"/>
          <w:szCs w:val="32"/>
        </w:rPr>
        <w:t>3</w:t>
      </w:r>
      <w:r w:rsidRPr="00EB155B">
        <w:rPr>
          <w:rFonts w:ascii="標楷體" w:eastAsia="標楷體" w:hAnsi="標楷體"/>
          <w:color w:val="000000" w:themeColor="text1"/>
          <w:sz w:val="32"/>
          <w:szCs w:val="32"/>
        </w:rPr>
        <w:t>個月內</w:t>
      </w:r>
      <w:r w:rsidRPr="00EB155B">
        <w:rPr>
          <w:rFonts w:ascii="標楷體" w:eastAsia="標楷體" w:hAnsi="標楷體" w:hint="eastAsia"/>
          <w:color w:val="000000" w:themeColor="text1"/>
          <w:sz w:val="32"/>
          <w:szCs w:val="32"/>
        </w:rPr>
        <w:t>，就車險理賠須準備之政府文件採取無紙化及自動化傳輸之法制可行性，</w:t>
      </w:r>
      <w:r w:rsidRPr="00EB155B">
        <w:rPr>
          <w:rFonts w:ascii="標楷體" w:eastAsia="標楷體" w:hAnsi="標楷體"/>
          <w:color w:val="000000" w:themeColor="text1"/>
          <w:sz w:val="32"/>
          <w:szCs w:val="32"/>
        </w:rPr>
        <w:t>向立法院財政委員會提出</w:t>
      </w:r>
      <w:r w:rsidRPr="00EB155B">
        <w:rPr>
          <w:rFonts w:ascii="標楷體" w:eastAsia="標楷體" w:hAnsi="標楷體" w:hint="eastAsia"/>
          <w:color w:val="000000" w:themeColor="text1"/>
          <w:sz w:val="32"/>
          <w:szCs w:val="32"/>
        </w:rPr>
        <w:t>書面</w:t>
      </w:r>
      <w:r w:rsidRPr="00EB155B">
        <w:rPr>
          <w:rFonts w:ascii="標楷體" w:eastAsia="標楷體" w:hAnsi="標楷體"/>
          <w:color w:val="000000" w:themeColor="text1"/>
          <w:sz w:val="32"/>
          <w:szCs w:val="32"/>
        </w:rPr>
        <w:t>報告</w:t>
      </w:r>
      <w:r w:rsidRPr="00EB155B">
        <w:rPr>
          <w:rFonts w:ascii="標楷體" w:eastAsia="標楷體" w:hAnsi="標楷體" w:hint="eastAsia"/>
          <w:color w:val="000000" w:themeColor="text1"/>
          <w:sz w:val="32"/>
          <w:szCs w:val="32"/>
        </w:rPr>
        <w:t>。</w:t>
      </w:r>
    </w:p>
    <w:p w14:paraId="7C809C6C" w14:textId="1E17AC80"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6CFDE83F" w14:textId="77777777" w:rsidR="009D64D0" w:rsidRPr="00EB155B" w:rsidRDefault="009D64D0" w:rsidP="00F470A8">
      <w:pPr>
        <w:tabs>
          <w:tab w:val="left" w:pos="709"/>
          <w:tab w:val="left" w:pos="851"/>
        </w:tabs>
        <w:overflowPunct w:val="0"/>
        <w:autoSpaceDE w:val="0"/>
        <w:spacing w:line="480" w:lineRule="exact"/>
        <w:ind w:left="128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七)114年度金融監督管理委員會保險局預算案於第1目「一般行政」項下「基本行政工作維持」之「教育訓練費」編列35萬6千元；於第2目「保險監理」項下「保險監理」中「業務費」之「國外旅費」編列454萬2千元。次查就112年度決算數該2項費用使用狀況而言，「教育訓練費」使用13萬6千元，「國外旅費」使用43萬6千元；同年度預算「教育訓練費」為35萬6千元，「國外旅費」為23萬1千元，兩者流用後未超過該項目總預算。惟114年度預算案參考112年度決算數狀況調整時，「教育訓練費」雖已提高至44萬9千元，但「國外旅費」仍維持13萬6千元，與112年使用狀況不符。鑑此，考量近年世界情勢變化劇烈、為預防國家財政受全球化趨勢影響陷入蕭條，應撙節政府支出以備不時之需、並審慎編列各項目預算以確保預算之編列與使用目的相符。請金融監督管理委員會保險局於3個月內向立法院財政委員會提出書面報告。</w:t>
      </w:r>
    </w:p>
    <w:p w14:paraId="63C3B365" w14:textId="0F0EB244"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 xml:space="preserve">提案人：賴惠員　</w:t>
      </w:r>
    </w:p>
    <w:p w14:paraId="65C602EE" w14:textId="56DDAD1B"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786B4B1C" w14:textId="77777777" w:rsidR="009D64D0" w:rsidRPr="00EB155B" w:rsidRDefault="009D64D0" w:rsidP="00F470A8">
      <w:pPr>
        <w:tabs>
          <w:tab w:val="left" w:pos="709"/>
          <w:tab w:val="left" w:pos="851"/>
        </w:tabs>
        <w:overflowPunct w:val="0"/>
        <w:autoSpaceDE w:val="0"/>
        <w:spacing w:line="480" w:lineRule="exact"/>
        <w:ind w:left="128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(八)114年度金融監督管理委員會保險局預算案於第1目「一般行政」項下「基本行政工作維持」中「業務費」之「特別費」編列21萬8千元。惟查112年度該項預算雖編列15萬8千元，惟同年度決算數僅15萬7</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200元，尚有賸餘，似無提高特別費之必要。次查，113年8月底爆發</w:t>
      </w:r>
      <w:r w:rsidRPr="00EB155B">
        <w:rPr>
          <w:rFonts w:ascii="標楷體" w:eastAsia="標楷體" w:hAnsi="標楷體"/>
          <w:color w:val="000000" w:themeColor="text1"/>
          <w:sz w:val="32"/>
          <w:szCs w:val="32"/>
        </w:rPr>
        <w:t>財團法人保險事業發展中心</w:t>
      </w:r>
      <w:r w:rsidRPr="00EB155B">
        <w:rPr>
          <w:rFonts w:ascii="標楷體" w:eastAsia="標楷體" w:hAnsi="標楷體" w:hint="eastAsia"/>
          <w:color w:val="000000" w:themeColor="text1"/>
          <w:sz w:val="32"/>
          <w:szCs w:val="32"/>
        </w:rPr>
        <w:t>工讀生遭職場霸凌輕生事件，主管</w:t>
      </w:r>
      <w:r w:rsidRPr="00EB155B">
        <w:rPr>
          <w:rFonts w:ascii="標楷體" w:eastAsia="標楷體" w:hAnsi="標楷體"/>
          <w:color w:val="000000" w:themeColor="text1"/>
          <w:sz w:val="32"/>
          <w:szCs w:val="32"/>
        </w:rPr>
        <w:t>財團法人保險事業發展中心</w:t>
      </w:r>
      <w:r w:rsidRPr="00EB155B">
        <w:rPr>
          <w:rFonts w:ascii="標楷體" w:eastAsia="標楷體" w:hAnsi="標楷體" w:hint="eastAsia"/>
          <w:color w:val="000000" w:themeColor="text1"/>
          <w:sz w:val="32"/>
          <w:szCs w:val="32"/>
        </w:rPr>
        <w:t>之金融監督管理委員會保險局未查霸凌現象，顯見財團法人保險事業發展中心內部員工心輔資源準備及編制，具體執行面等均有不足。鑑此，考量近年世界情勢變化劇烈、為預防國家財政受全球化趨勢影響陷入蕭條，應撙節政府支出以備不時之需；並考量財團法人保險事業發展中心事件金融監督管理委員會保險局難辭其咎。爰請金融監督管理委員會保險局於3個月內向立法院財政委員會提出書面報告。</w:t>
      </w:r>
    </w:p>
    <w:p w14:paraId="472D6B88" w14:textId="3FB6B3A6"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34830BB6" w14:textId="0ECD4E74"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22650DA6" w14:textId="77777777" w:rsidR="009D64D0" w:rsidRPr="00EB155B" w:rsidRDefault="009D64D0" w:rsidP="00F470A8">
      <w:pPr>
        <w:tabs>
          <w:tab w:val="left" w:pos="709"/>
          <w:tab w:val="left" w:pos="851"/>
        </w:tabs>
        <w:overflowPunct w:val="0"/>
        <w:autoSpaceDE w:val="0"/>
        <w:spacing w:line="480" w:lineRule="exact"/>
        <w:ind w:left="128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九)為配合行政院兆元導入國家建設方案之政策方針，引導保險業資金投入國內公共建設，金融監督管理委員會發布113年度保險業計算自有資本及風險資本之範圍及計算公式，調降保險業透過國內私募股權基金100%投資公共建設所適用之風險係數：比照保險業直接投資公共建設，由現行10.18%調降為1.28%，盼以此為誘因擴大保險業資金投資公共建設，為鞏固台灣經濟發展之基礎環境注入更多資金。針對擴大投資台灣，金融監督管理委員會除鬆綁保險業間接投資公建之風險係數外，金融監督管理委員會後續亦將研擬風險係數調控機制，針對整體保險業投資金額達5,000億元後，就超逾額度之部分另外訂定以風險為基礎之風險係數；另針對壽險業曾提出有關投資之數項具體需求，諸如高速公路收費、商港、機場以及電廠等，都有穩定現金收入，金融監督管理委</w:t>
      </w:r>
      <w:r w:rsidRPr="00EB155B">
        <w:rPr>
          <w:rFonts w:ascii="標楷體" w:eastAsia="標楷體" w:hAnsi="標楷體" w:hint="eastAsia"/>
          <w:color w:val="000000" w:themeColor="text1"/>
          <w:sz w:val="32"/>
          <w:szCs w:val="32"/>
        </w:rPr>
        <w:lastRenderedPageBreak/>
        <w:t>員會亦承諾將在跨部會溝通時將會朝此方向來努力。爰此，請金融監督管理委員會保險局針對上述各項擴大保險業投資公共建設之成效予以定期盤點，並加強跨部會溝通；針對保險業擴大投資公共建設之資金流動及風險控管，以及資本適足性是否受衝擊等各項因素提出具體相應之加強監理措施等，於3個月內向立法院財政委員會提出書面報告。</w:t>
      </w:r>
    </w:p>
    <w:p w14:paraId="19C96C8D" w14:textId="382EED56"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5F562F7E" w14:textId="6469BD59"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伍麗華　沈發惠</w:t>
      </w:r>
    </w:p>
    <w:p w14:paraId="0868DF8D" w14:textId="77777777" w:rsidR="009D64D0" w:rsidRPr="00EB155B" w:rsidRDefault="009D64D0" w:rsidP="00F470A8">
      <w:pPr>
        <w:tabs>
          <w:tab w:val="left" w:pos="709"/>
          <w:tab w:val="left" w:pos="851"/>
        </w:tabs>
        <w:overflowPunct w:val="0"/>
        <w:autoSpaceDE w:val="0"/>
        <w:spacing w:line="480" w:lineRule="exact"/>
        <w:ind w:left="128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鑑於近年保險業者開發各類型綠色保險商品；如國泰世紀產物保險股份有限公司於105年推動農業（芒果）保險、明台產物保險股份有限公司於108年推出氣候變遷訴訟險、南山產物保險股份有限公司於109年底推出UBI車險，及新光產物保險股份有限公司於111年推出充電樁綜合保險等。惟據審計部審核意見：截至112年底止，金融監督管理委員會保險局僅就離岸風電保險及農業保險等2類綠色保險商品統計各該險種保險收入，尚未統計因應氣候變遷之承保情形及國內永續保險商品之相關數據，致外界難以檢視各該永續（綠色）商品之分類及與綠色（永續）經濟發展之關聯程度。爰請金融監督管理委員會保險局以強化各產險公司之永續保險推動揭露並研議綠色保險商品之統計分類方式為題，於1個月內向立法院財政委員會提出書面報告。</w:t>
      </w:r>
    </w:p>
    <w:p w14:paraId="3A54D17B" w14:textId="07907AA8"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提案人：王世堅　</w:t>
      </w:r>
    </w:p>
    <w:p w14:paraId="62F52A6E" w14:textId="303811B1"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連署人：伍麗華　郭國文</w:t>
      </w:r>
    </w:p>
    <w:p w14:paraId="7269BA7D" w14:textId="77777777" w:rsidR="009D64D0" w:rsidRPr="00EB155B" w:rsidRDefault="009D64D0" w:rsidP="00F470A8">
      <w:pPr>
        <w:tabs>
          <w:tab w:val="left" w:pos="709"/>
          <w:tab w:val="left" w:pos="851"/>
        </w:tabs>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一)針對我國保單強制執行機制，由於在保險法保障不全下，導致受益人與被保人權益易受損，導致保單遭強制執行爭議不斷。爰請金融監督管理委員會保險局加速提出保險法修法草案，並於1個月內向立法院財政委員會提出書面報告。</w:t>
      </w:r>
    </w:p>
    <w:p w14:paraId="5D244944" w14:textId="3A90A362"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541B9948" w14:textId="41CFD78F" w:rsidR="009D64D0" w:rsidRPr="00EB155B" w:rsidRDefault="00C26D91"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41D4485B" w14:textId="77777777" w:rsidR="009D64D0" w:rsidRPr="00EB155B" w:rsidRDefault="009D64D0" w:rsidP="00F470A8">
      <w:pPr>
        <w:tabs>
          <w:tab w:val="left" w:pos="284"/>
        </w:tabs>
        <w:overflowPunct w:val="0"/>
        <w:autoSpaceDE w:val="0"/>
        <w:spacing w:line="480" w:lineRule="exact"/>
        <w:ind w:left="1760" w:hangingChars="550" w:hanging="1760"/>
        <w:jc w:val="both"/>
        <w:rPr>
          <w:rFonts w:ascii="標楷體" w:eastAsia="標楷體" w:hAnsi="標楷體"/>
          <w:color w:val="000000" w:themeColor="text1"/>
          <w:sz w:val="32"/>
          <w:szCs w:val="32"/>
        </w:rPr>
      </w:pPr>
      <w:r w:rsidRPr="00EB155B">
        <w:rPr>
          <w:rFonts w:ascii="標楷體" w:eastAsia="標楷體" w:hAnsi="標楷體" w:cs="華康細明體" w:hint="eastAsia"/>
          <w:color w:val="000000" w:themeColor="text1"/>
          <w:kern w:val="0"/>
          <w:sz w:val="32"/>
          <w:szCs w:val="32"/>
        </w:rPr>
        <w:lastRenderedPageBreak/>
        <w:t xml:space="preserve">　　</w:t>
      </w:r>
      <w:r w:rsidRPr="00F470A8">
        <w:rPr>
          <w:rFonts w:ascii="標楷體" w:eastAsia="標楷體" w:hAnsi="標楷體" w:cs="華康細明體" w:hint="eastAsia"/>
          <w:b/>
          <w:color w:val="000000" w:themeColor="text1"/>
          <w:kern w:val="0"/>
          <w:sz w:val="32"/>
          <w:szCs w:val="32"/>
        </w:rPr>
        <w:t xml:space="preserve">第5項　</w:t>
      </w:r>
      <w:r w:rsidRPr="00F470A8">
        <w:rPr>
          <w:rFonts w:ascii="標楷體" w:eastAsia="標楷體" w:hAnsi="標楷體" w:hint="eastAsia"/>
          <w:b/>
          <w:color w:val="000000" w:themeColor="text1"/>
          <w:sz w:val="32"/>
          <w:szCs w:val="32"/>
        </w:rPr>
        <w:t>檢查局</w:t>
      </w:r>
      <w:r w:rsidRPr="00EB155B">
        <w:rPr>
          <w:rFonts w:ascii="標楷體" w:eastAsia="標楷體" w:hAnsi="標楷體" w:hint="eastAsia"/>
          <w:color w:val="000000" w:themeColor="text1"/>
          <w:sz w:val="32"/>
          <w:szCs w:val="32"/>
        </w:rPr>
        <w:t>原列5億1,992萬元，減列第1目「一般行政」項下「基本行政工作維持」50萬元、第2目「金融機構檢查」5萬元，共計減列55萬元(科目均自行調整)，其餘均照列，改列為5億1,937萬元。</w:t>
      </w:r>
    </w:p>
    <w:p w14:paraId="07E8A5CD" w14:textId="77777777" w:rsidR="009D64D0" w:rsidRPr="00EB155B" w:rsidRDefault="009D64D0" w:rsidP="00F470A8">
      <w:pPr>
        <w:tabs>
          <w:tab w:val="left" w:pos="284"/>
        </w:tabs>
        <w:overflowPunct w:val="0"/>
        <w:autoSpaceDE w:val="0"/>
        <w:spacing w:line="480" w:lineRule="exact"/>
        <w:ind w:left="1760" w:hangingChars="550" w:hanging="176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本項通過決議16項：</w:t>
      </w:r>
    </w:p>
    <w:p w14:paraId="032D5BAE"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(一)114年度金融監督管理委員會檢查局預算案於第1目「一般行政」項下「人員維持」之「人事費」編列4億3</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574萬1千元。面對我國不動產集中度居高不下，但面對銀行法第72條之2甚至因此傳出首購族、換屋族等人權益受損。雖政府要求，必須滿足首購族與青年安心成家購屋優惠貸款之房貸需求，但面臨整體銀行不動產放款比率高達26.7%，顯剩餘水位有限。為確保銀行於水位趨滿下，仍秉持公平待客原則，且保障首購族權益，爰凍結第1目「一般行政」預算</w:t>
      </w:r>
      <w:r w:rsidRPr="00EB155B">
        <w:rPr>
          <w:rFonts w:ascii="標楷體" w:eastAsia="標楷體" w:hAnsi="標楷體"/>
          <w:color w:val="000000" w:themeColor="text1"/>
          <w:sz w:val="32"/>
          <w:szCs w:val="32"/>
        </w:rPr>
        <w:t>5</w:t>
      </w:r>
      <w:r w:rsidRPr="00EB155B">
        <w:rPr>
          <w:rFonts w:ascii="標楷體" w:eastAsia="標楷體" w:hAnsi="標楷體" w:hint="eastAsia"/>
          <w:color w:val="000000" w:themeColor="text1"/>
          <w:sz w:val="32"/>
          <w:szCs w:val="32"/>
        </w:rPr>
        <w:t>0萬元，俟金融監督管理委員會檢查局對銀行不動產公平待客原則落實情況進行金檢，並於2個月內向立法院財政委員會提出書面報告後，始得動支。</w:t>
      </w:r>
    </w:p>
    <w:p w14:paraId="7E22CA25" w14:textId="47AC37B7"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17B1E688" w14:textId="452D4D4E"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1EE5A7FB" w14:textId="77777777" w:rsidR="009D64D0" w:rsidRPr="00EB155B" w:rsidRDefault="009D64D0" w:rsidP="00F470A8">
      <w:pPr>
        <w:tabs>
          <w:tab w:val="left" w:pos="851"/>
          <w:tab w:val="left" w:pos="1134"/>
          <w:tab w:val="left" w:pos="1418"/>
        </w:tabs>
        <w:overflowPunct w:val="0"/>
        <w:autoSpaceDE w:val="0"/>
        <w:spacing w:line="480" w:lineRule="exact"/>
        <w:ind w:leftChars="4" w:left="1290" w:hangingChars="400" w:hanging="128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(二)11</w:t>
      </w:r>
      <w:r w:rsidRPr="00EB155B">
        <w:rPr>
          <w:rFonts w:ascii="標楷體" w:eastAsia="標楷體" w:hAnsi="標楷體"/>
          <w:color w:val="000000" w:themeColor="text1"/>
          <w:sz w:val="32"/>
          <w:szCs w:val="32"/>
        </w:rPr>
        <w:t>4</w:t>
      </w:r>
      <w:r w:rsidRPr="00EB155B">
        <w:rPr>
          <w:rFonts w:ascii="標楷體" w:eastAsia="標楷體" w:hAnsi="標楷體" w:hint="eastAsia"/>
          <w:color w:val="000000" w:themeColor="text1"/>
          <w:sz w:val="32"/>
          <w:szCs w:val="32"/>
        </w:rPr>
        <w:t>年度金融監督管理委員會檢查局預算案於第1目「一般行政」項下「基本行政工作維持」之「業務費」編列4</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519萬6千元。針對近年來基金經理人弊案頻傳，而我國推動亞洲資產管理中心計畫不斷放寬對投信與資產管理業之監管，同時也提高弊案發生之風險。為保障我國發展金融時兼顧安全，爰凍結第1目「一般行政」預算</w:t>
      </w:r>
      <w:r w:rsidRPr="00EB155B">
        <w:rPr>
          <w:rFonts w:ascii="標楷體" w:eastAsia="標楷體" w:hAnsi="標楷體"/>
          <w:color w:val="000000" w:themeColor="text1"/>
          <w:sz w:val="32"/>
          <w:szCs w:val="32"/>
        </w:rPr>
        <w:t>5</w:t>
      </w:r>
      <w:r w:rsidRPr="00EB155B">
        <w:rPr>
          <w:rFonts w:ascii="標楷體" w:eastAsia="標楷體" w:hAnsi="標楷體" w:hint="eastAsia"/>
          <w:color w:val="000000" w:themeColor="text1"/>
          <w:sz w:val="32"/>
          <w:szCs w:val="32"/>
        </w:rPr>
        <w:t>0萬元，俟金融監督管理委員會檢查局針對過去頻出弊案之投信進行內稽內控之金檢，並於2個月內向立法院財政委員會提出書面報告後，始得動支。</w:t>
      </w:r>
    </w:p>
    <w:p w14:paraId="6B6A00FA" w14:textId="0119C50F"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5CB46AE2" w14:textId="00969883"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107547E1"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三)114年度金融監督管理委員會檢查局預算案於第2目「金融機構檢查」項下「金融機構檢查」之「業務費」編列2,967萬8千元。金融監督管理委員會檢查局已於112年開始，對多家國內之VASP業者之防制洗錢作業進行專案檢查，並於113年度金融檢查重點增納VASP業別，並規劃對其辦理防制洗錢相關檢查事項，然國內仍有多起事件，透過虛擬資產服務進行洗錢、甚至詐騙，金融監督管理委員會檢查局應滾動調整對VASP之檢查及規劃。爰凍結該項預算1</w:t>
      </w:r>
      <w:r w:rsidRPr="00EB155B">
        <w:rPr>
          <w:rFonts w:ascii="標楷體" w:eastAsia="標楷體" w:hAnsi="標楷體"/>
          <w:color w:val="000000" w:themeColor="text1"/>
          <w:sz w:val="32"/>
          <w:szCs w:val="32"/>
        </w:rPr>
        <w:t>00</w:t>
      </w:r>
      <w:r w:rsidRPr="00EB155B">
        <w:rPr>
          <w:rFonts w:ascii="標楷體" w:eastAsia="標楷體" w:hAnsi="標楷體" w:hint="eastAsia"/>
          <w:color w:val="000000" w:themeColor="text1"/>
          <w:sz w:val="32"/>
          <w:szCs w:val="32"/>
        </w:rPr>
        <w:t>萬元，俟金融監督管理委員會檢查局於2個月內向立法院財政委員會提出書面報告後，始得動支。</w:t>
      </w:r>
    </w:p>
    <w:p w14:paraId="7E534C2A" w14:textId="52FC705E"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　郭國文</w:t>
      </w:r>
    </w:p>
    <w:p w14:paraId="5C9DE7C2" w14:textId="2D165E03"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30D0EB19"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四)114年度金融監督管理委員會檢查局預算案於第2目「金融機構檢查」項下「金融機構檢查」中「業務費」之「國外旅費」編列484萬2千元，較113年度預算318萬4千元增加165萬8千元。從疫情後的國際合作趨勢來看，多數國際會議、研討會或交流活動均已支援線上參與。考量政府預算短絀，應撙節支出。金融監督管理委員會檢查局應以節省成本為優先，推動遠端參與機制，取代部分實地考察的需求，避免不必要的高額國外旅費支出。爰凍結第2目「金融機構檢查」項下「金融機構檢查」之「業務費」預算50萬元，俟金融監督管理委員會檢查局於2個月內向立法院財政委員會提出書面報告後，始得動支。</w:t>
      </w:r>
    </w:p>
    <w:p w14:paraId="59D7EDF4" w14:textId="60C1A041"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4BD09B9B"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(五)114年度金融監督管理委員會檢查局預算案於第</w:t>
      </w:r>
      <w:r w:rsidRPr="00EB155B">
        <w:rPr>
          <w:rFonts w:ascii="標楷體" w:eastAsia="標楷體" w:hAnsi="標楷體"/>
          <w:color w:val="000000" w:themeColor="text1"/>
          <w:sz w:val="32"/>
          <w:szCs w:val="32"/>
        </w:rPr>
        <w:t>1</w:t>
      </w:r>
      <w:r w:rsidRPr="00EB155B">
        <w:rPr>
          <w:rFonts w:ascii="標楷體" w:eastAsia="標楷體" w:hAnsi="標楷體" w:hint="eastAsia"/>
          <w:color w:val="000000" w:themeColor="text1"/>
          <w:sz w:val="32"/>
          <w:szCs w:val="32"/>
        </w:rPr>
        <w:t>目「一般行政」編列4億8,954萬7千元，其中「基本行政工作維持」編列5,380萬6千元，較113年度編列數顯有增加。其中包括「一般事務費」以及「房屋建築養護費」增加較多，似可撙節。基於國家財政經費宜撙節，爰要求金融監督管理委員會檢查局於3個月內向立法院財政委員會提出書面報告。</w:t>
      </w:r>
    </w:p>
    <w:p w14:paraId="1CEE6DB7" w14:textId="021D08F9"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EB155B">
        <w:rPr>
          <w:rFonts w:ascii="標楷體" w:eastAsia="標楷體" w:hAnsi="標楷體" w:hint="eastAsia"/>
          <w:kern w:val="0"/>
          <w:sz w:val="32"/>
          <w:szCs w:val="32"/>
        </w:rPr>
        <w:t xml:space="preserve">提案人：陳玉珍　</w:t>
      </w:r>
    </w:p>
    <w:p w14:paraId="01F3C83F" w14:textId="130C84E9"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0055C64C"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(六)114年度金融監督管理委員會檢查局預算案於第1目「一般行政」項下「基本行政工作維持」中「業務費」之「資訊服務費」編列1,046萬4千元，較113年度預算數1</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000萬元增加46萬4千元。電腦主機以及其他硬體設備之維護，應為穩定之價格，實難有連年增加之可能，考量政府預算短絀，應撙節支出，爰要求金融監督管理委員會檢查局於2個月內向立法院財政委員會提出書面報告。</w:t>
      </w:r>
    </w:p>
    <w:p w14:paraId="75A507EF" w14:textId="04CB8188"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572E40BF"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七)114年度金融監督管理委員會檢查局預算案於第2目「金融機構檢查」項下「金融機構檢查」編列2,967萬8千元，較113年度編列數顯有增加，包括「教育訓練費」、「國內旅費」以及「國外旅費」增加較為明顯，同時還新增「委辦費」143萬8千元，似可撙節，爰請金融監督管理委員會檢查局於3個月內向立法院財政委員會提出書面報告。</w:t>
      </w:r>
    </w:p>
    <w:p w14:paraId="2476C2D2" w14:textId="4285AA1D"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7B1CA72F" w14:textId="18033F05"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1546BF6C"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八)114年度金融監督管理委員會檢查局預算案於第2目「金融機構檢查」項下「金融機構檢查」編列2,967萬8千元，主要係辦理金融機構之檢查。惟金檢最重要的是正當法律程序、法律授權、行政程序法，合理行使比例原則及公平正義性，而不是選擇性的執法。但金融業界常深覺有些金檢超過了一般正當法律程序授權範圍，甚或將硬碟整個拷貝回去，或針對不在授權範圍中的事項加以處罰等。爰要求金融監督管理委員會檢查局於</w:t>
      </w:r>
      <w:r w:rsidRPr="00EB155B">
        <w:rPr>
          <w:rFonts w:ascii="標楷體" w:eastAsia="標楷體" w:hAnsi="標楷體"/>
          <w:color w:val="000000" w:themeColor="text1"/>
          <w:sz w:val="32"/>
          <w:szCs w:val="32"/>
        </w:rPr>
        <w:t>2</w:t>
      </w:r>
      <w:r w:rsidRPr="00EB155B">
        <w:rPr>
          <w:rFonts w:ascii="標楷體" w:eastAsia="標楷體" w:hAnsi="標楷體" w:hint="eastAsia"/>
          <w:color w:val="000000" w:themeColor="text1"/>
          <w:sz w:val="32"/>
          <w:szCs w:val="32"/>
        </w:rPr>
        <w:t>個月內針對如何強化檢查相關措施及外界溝通作法，向立法院財政委員會提出書面報告。</w:t>
      </w:r>
    </w:p>
    <w:p w14:paraId="562A43C3" w14:textId="574000AF"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提案人：陳玉珍　</w:t>
      </w:r>
    </w:p>
    <w:p w14:paraId="2E766C27" w14:textId="10BBF074"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101FE59E"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九)114年度金融監督管理委員會檢查局預算案於第2目「金融機構檢查」編列2,967萬8千元。惟據112年度審計部中央政府總決算審核報告指出：「陸續推動多項阻詐措施，惟邇來間有銀行行員勾結詐騙集團，有待研議強化銀行業偵防及內控機制」等語。據查，截至112年底全體本國銀行已將銀行公會彙整之共通性異常交易態樣納入內部預警指標，並完成申請約定轉帳加強防詐措施。惟部分本國銀行112年間仍陸續發生主管與行員事先洩露銀行內部確認客戶身分程序問答予詐騙集團，並協助詐騙集團提高人頭帳戶轉帳額度，以掩飾不法資金流向等情事，且據金融監督管理委員會出具之裁罰書顯示，該等金融機構內部控制存有未完善建立控管機制以確認客戶交易限額之合理性及真實性、主管覆核及牽制監督機制未盡完善，及未建立員工行為管理機制等缺失，考量現行臨櫃關懷提問等阻詐措施，均須由金融機構行員落實執行。鑑此，為使金融監督管理委員會積極研議強化共通性偵防及防範作業原則，並督導金融機構精進員工異常行為管理機制，爰要求金融監督管理委員會檢查局於3個月內向立法院財政委員會提出書面報告。</w:t>
      </w:r>
    </w:p>
    <w:p w14:paraId="32B8A2E2" w14:textId="085A7BD8"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704D92B0" w14:textId="200377B6"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6B015AED" w14:textId="77777777" w:rsidR="009D64D0" w:rsidRPr="00EB155B" w:rsidRDefault="009D64D0" w:rsidP="00F470A8">
      <w:pPr>
        <w:overflowPunct w:val="0"/>
        <w:autoSpaceDE w:val="0"/>
        <w:spacing w:line="480" w:lineRule="exact"/>
        <w:ind w:left="1274" w:hangingChars="398" w:hanging="1274"/>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114年度金融監督管理委員會檢查局預算案於第2目「金融機構檢查」編列2,967萬8千元。惟據112年度審計部中央政府總決算審核報告指出：「金融業者及上市櫃公司均已依規定配置資安人力，惟部分公司之資安長未具資訊領域經歷，又逾五成之上市櫃公司仍未加入資安情資分享平台」等語。查金融監督管理委員會為強化公司之資訊安全管理機制，要求銀行業及符合一定條件之金融機構，與具一定規模之上市櫃公司，應依規定指派副總經理以上或職責相當之人員兼任資安長。惟據調查，國內有三成企業缺乏熟練之資安人員，其中金融業近年之資安人力需求為各產業最高，並且預估需再</w:t>
      </w:r>
      <w:r w:rsidRPr="00EB155B">
        <w:rPr>
          <w:rFonts w:ascii="標楷體" w:eastAsia="標楷體" w:hAnsi="標楷體" w:hint="eastAsia"/>
          <w:color w:val="000000" w:themeColor="text1"/>
          <w:sz w:val="32"/>
          <w:szCs w:val="32"/>
        </w:rPr>
        <w:lastRenderedPageBreak/>
        <w:t>招聘4.2人，顯示金融資安人力需求仍高。另據金融監督管理委員會統計，67家應於111年底設置資安長之金融業中，計有15家金融業之資安長未具資訊領域經歷，占比為22.39</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顯示金融業之資安高階人才相對缺乏。另近期資安事件發生頻率呈上升趨勢，並自112年下半年起迭因資訊系統遭駭客網路攻擊發生資安事件，顯示資安情資之重要性與日俱增。鑑於金融資安因金融科技快速發展及金融服務多元化而面臨挑戰，爰要求金融監督管理委員會檢查局於1個月內向立法院財政委員會提出書面報告。</w:t>
      </w:r>
    </w:p>
    <w:p w14:paraId="2E0A3301" w14:textId="37B0A2E6"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58537F69" w14:textId="439AF08B"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164BB504"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一)114年度金融監督管理委員會檢查局預算案於第2目「金融機構檢查」項下「金融機構檢查」之「業務費」編列2,967萬8千元。因美中貿易戰供應鏈重組，促使臺商資金回流及半導體投資帶動經濟發展、股市熱絡，加以我國利率相對不高，以及青年安心成家購屋優惠貸款政策降低購屋門檻，致房價價格急劇上漲，形成預期心理。為遏止不當炒作，配合行政院健全房地產市場方案，中央銀行實施選擇性信用管制，並於113年9月祭出第七波選擇性信用管制，打擊投機炒作房市行為，增加槓桿交易成本。惟查，似有銀行業者未配合中央銀行政策，嚴格落實放貸時之貸前審查及貸後管理。爰請金融監督管理委員會檢查局於2個月內，就與中央銀行進行不動產專案金檢之分工及近3年不動產專案金檢之次數、檢查狀況與後續處置，向立法院財政委員會提出書面報告。</w:t>
      </w:r>
    </w:p>
    <w:p w14:paraId="716C1412" w14:textId="1F3BB278"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5A4AEA87"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(十二)查114年度金融監督管理委員會檢查局預算案於第2目「金融機構檢查」項下「金融機構檢查」中「業務費」之「國內旅費」編列預算1,451萬4千元。次查113年度同預算編列1</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267萬元、112年決算數額為1</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283萬元，本次預算編</w:t>
      </w:r>
      <w:r w:rsidRPr="00EB155B">
        <w:rPr>
          <w:rFonts w:ascii="標楷體" w:eastAsia="標楷體" w:hAnsi="標楷體" w:hint="eastAsia"/>
          <w:color w:val="000000" w:themeColor="text1"/>
          <w:sz w:val="32"/>
          <w:szCs w:val="32"/>
        </w:rPr>
        <w:lastRenderedPageBreak/>
        <w:t>列1</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451萬元，較過去2年之預算與決算來看增加近200萬元。惟根據金融監督管理委員會檢查局送至立法院之114年預算案書表內容觀之:1.金融監督管理委員會檢查局並未於預算說明中明確說明預算增加近200萬元之原因。2.台灣實體金融機構之總公司多設置於大型市區，縱有大型金檢是否有必要編列大筆預算用於國內旅費仍有疑義，但本部分缺乏具體數據跟經費使用狀況加以說明。鑑此，考量近年世界情勢變化劇烈、為預防國家財政受全球化趨勢影響陷入蕭條，應撙節政府支出以備不時之需，爰要求金融監督管理委員會檢查局於3個月內向立法院財政委員會提出書面報告。</w:t>
      </w:r>
    </w:p>
    <w:p w14:paraId="07141DC7" w14:textId="6255C54B"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提案人：賴惠員　</w:t>
      </w:r>
    </w:p>
    <w:p w14:paraId="29C721E1" w14:textId="106DD53B"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李坤城</w:t>
      </w:r>
    </w:p>
    <w:p w14:paraId="576B6C42"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三)114年度金融監督管理委員會檢查局預算案於第2目「金融機構檢查」項下「金融機構檢查」中「業務費」之「國內旅費」編列1,451萬4千元，較113年度預算1,267萬元增加184萬4千元。國內地理範圍相對較小，交通便利，短期內一次性增加184萬4千元的國內旅費顯得不成比例。考量政府預算短絀，應撙節支出，爰要求金融監督管理委員會檢查局於2個月內向立法院財政委員會提出書面報告。</w:t>
      </w:r>
    </w:p>
    <w:p w14:paraId="4F2510AB" w14:textId="09FD393E"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5BFD5127"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四)114年度金融監督管理委員會檢查局預算案於第2目「金融機構檢查」項下「金融機構檢查」中「業務費」之「大陸地區旅費」編列180萬4千元，較113年度預算115萬9千元增加64萬元。當前我國與中國的關係高度敏感，金融市場的穩定和國內經濟安全為首要任務。在此背景下，應避免非必要的旅費支出增長。又考量政府預算短絀，應撙節支出，爰要求金融監督管理委員會檢查局於2個月內向立法院財政委員會提出書面報告。</w:t>
      </w:r>
    </w:p>
    <w:p w14:paraId="201F27A0" w14:textId="75009C93"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提案人：顏寬恒　賴士葆　羅明才</w:t>
      </w:r>
    </w:p>
    <w:p w14:paraId="663FF286"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lastRenderedPageBreak/>
        <w:t xml:space="preserve">　　(十五)金融監督管理委員會檢查局於114年度之金融機構檢查工作計畫編列2</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967萬8千元，用以辦理虛擬通貨（虛擬資產）平台及交易業務事業防制洗錢及打擊資恐之檢查，以瞭解虛擬通貨事業辦理情形，及其缺失改善情形，其預期成效為促進虛擬通貨平台及交易業務事業改正防制洗錢及打擊資恐之缺失，維持金融秩序之安定，進而達到金融紀律化之目標，並健全虛擬通貨事業之經營管理。惟查，洗錢防制法已於113年7月31日修正公布，增訂第6條第1項提供虛擬資產服務之事業或人員（以下簡稱虛擬資產服務商）之洗錢防制登記制度，並於第6條第2項授權金融監督管理委員會訂定提供虛擬資產服務之事業或人員洗錢防制登記辦法，並修正虛擬通貨平台及交易業務事業防制洗錢及打擊資恐辦法，上項辦法已於11月30日正式施行。次查，金融監督管理委員會已於113年11月宣布將於114年1月1日起受理銀行業者申請虛擬資產保管業務之主題式業務試辦。爰此，金融監督管理委員會檢查局應將1.虛擬資產服務商之登記新制及洗防、打詐成效納入金檢範圍；2.申請虛擬資產保管業務之主題式業務試辦業者之近年金檢結果提供作為申請核可之參考，請金融監督管理委員會檢查局針對上述與二項新業務相關之金檢措施調整或修正作為，於3個月內向立法院財政委員會提出書面報告。</w:t>
      </w:r>
    </w:p>
    <w:p w14:paraId="3E47F0DF" w14:textId="538576F6"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 xml:space="preserve">提案人：郭國文　</w:t>
      </w:r>
    </w:p>
    <w:p w14:paraId="68F06DF5" w14:textId="521B02CE"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連署人：王世堅　伍麗華　沈發惠</w:t>
      </w:r>
    </w:p>
    <w:p w14:paraId="6AB72CC3" w14:textId="77777777" w:rsidR="009D64D0" w:rsidRPr="00EB155B" w:rsidRDefault="009D64D0" w:rsidP="00F470A8">
      <w:pPr>
        <w:overflowPunct w:val="0"/>
        <w:autoSpaceDE w:val="0"/>
        <w:spacing w:line="480" w:lineRule="exact"/>
        <w:ind w:left="1600" w:hangingChars="500" w:hanging="160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 xml:space="preserve">　　(十六)邇來我國不動產價格持續攀升，本國銀行辦理建築放款及購置住宅貸款規模亦同步擴增，致有金融機構所募集公眾資金淪為投機用途之疑慮，引發民怨且不利金融機構健全經營，金融監督管理委員會應持續要求金融機構正視該等風險，完善風險控管機制，並應責成金融監督管理委員會檢查局將金融機構承作不動產授信業務列為檢查重點，強化對不動產授信業務之資產品質及風險控管，請金融監督</w:t>
      </w:r>
      <w:r w:rsidRPr="00EB155B">
        <w:rPr>
          <w:rFonts w:ascii="標楷體" w:eastAsia="標楷體" w:hAnsi="標楷體" w:hint="eastAsia"/>
          <w:color w:val="000000" w:themeColor="text1"/>
          <w:sz w:val="32"/>
          <w:szCs w:val="32"/>
        </w:rPr>
        <w:lastRenderedPageBreak/>
        <w:t>管理委員會檢查局針對相關強化措施及作法，於2個月內向立法院財政委員會提出書面報告。</w:t>
      </w:r>
    </w:p>
    <w:p w14:paraId="103D301A" w14:textId="038E8368"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提案人：林德福　賴士葆　陳玉珍</w:t>
      </w:r>
    </w:p>
    <w:p w14:paraId="166B0135" w14:textId="77777777" w:rsidR="009D64D0" w:rsidRPr="00EB155B" w:rsidRDefault="009D64D0" w:rsidP="00F470A8">
      <w:pPr>
        <w:overflowPunct w:val="0"/>
        <w:autoSpaceDE w:val="0"/>
        <w:spacing w:afterLines="50" w:after="180" w:line="480" w:lineRule="exact"/>
        <w:jc w:val="both"/>
        <w:rPr>
          <w:rFonts w:ascii="標楷體" w:eastAsia="標楷體" w:hAnsi="標楷體"/>
          <w:b/>
          <w:bCs/>
          <w:color w:val="000000" w:themeColor="text1"/>
          <w:sz w:val="32"/>
          <w:szCs w:val="32"/>
        </w:rPr>
      </w:pPr>
      <w:r w:rsidRPr="00EB155B">
        <w:rPr>
          <w:rFonts w:ascii="標楷體" w:eastAsia="標楷體" w:hAnsi="標楷體" w:hint="eastAsia"/>
          <w:b/>
          <w:color w:val="000000" w:themeColor="text1"/>
          <w:sz w:val="32"/>
          <w:szCs w:val="32"/>
        </w:rPr>
        <w:t>有關政事別歲出預算隨同以上機關別審查結果調整。</w:t>
      </w:r>
    </w:p>
    <w:p w14:paraId="221A04BB" w14:textId="77777777" w:rsidR="009D64D0" w:rsidRPr="00EB155B" w:rsidRDefault="009D64D0" w:rsidP="00F470A8">
      <w:pPr>
        <w:tabs>
          <w:tab w:val="left" w:pos="284"/>
        </w:tabs>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EB155B">
        <w:rPr>
          <w:rFonts w:ascii="標楷體" w:eastAsia="標楷體" w:hAnsi="標楷體" w:hint="eastAsia"/>
          <w:b/>
          <w:bCs/>
          <w:color w:val="000000" w:themeColor="text1"/>
          <w:sz w:val="32"/>
          <w:szCs w:val="32"/>
        </w:rPr>
        <w:t>貳、中華民國114年度中央政府總預算案附屬單位預算營業部分，有關金融監督管理委員會主管中央存款保險股份有限公司審查結果：</w:t>
      </w:r>
    </w:p>
    <w:p w14:paraId="5B342F6E"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cs="華康細明體" w:hint="eastAsia"/>
          <w:color w:val="000000" w:themeColor="text1"/>
          <w:kern w:val="0"/>
          <w:sz w:val="32"/>
          <w:szCs w:val="32"/>
        </w:rPr>
        <w:t>(一)</w:t>
      </w:r>
      <w:r w:rsidRPr="00EB155B">
        <w:rPr>
          <w:rFonts w:ascii="標楷體" w:eastAsia="標楷體" w:hAnsi="標楷體" w:hint="eastAsia"/>
          <w:color w:val="000000" w:themeColor="text1"/>
          <w:sz w:val="32"/>
          <w:szCs w:val="32"/>
        </w:rPr>
        <w:t>業務計畫：應依據營業收支、金融保險成本、轉投資、重大之建設事業及資金運用等項之審查結果，隨同調整。</w:t>
      </w:r>
    </w:p>
    <w:p w14:paraId="7C0C8352"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(二)營業收支：</w:t>
      </w:r>
    </w:p>
    <w:p w14:paraId="0716E45E" w14:textId="77777777" w:rsidR="009D64D0" w:rsidRPr="00EB155B" w:rsidRDefault="009D64D0" w:rsidP="00F470A8">
      <w:pPr>
        <w:overflowPunct w:val="0"/>
        <w:autoSpaceDE w:val="0"/>
        <w:spacing w:line="480" w:lineRule="exact"/>
        <w:ind w:leftChars="393" w:left="1279" w:hangingChars="105" w:hanging="336"/>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1.營業總收入：原列135億6,885萬8千元，增列「營業收入」項下「金融保險收入」之「利息收入」2,000萬元、「保費收入」5,000萬元，共計增列7,000萬元，其餘均照列，改列為136億3,885萬8千元。</w:t>
      </w:r>
    </w:p>
    <w:p w14:paraId="14439C21" w14:textId="77777777" w:rsidR="009D64D0" w:rsidRPr="00EB155B" w:rsidRDefault="009D64D0" w:rsidP="00F470A8">
      <w:pPr>
        <w:overflowPunct w:val="0"/>
        <w:autoSpaceDE w:val="0"/>
        <w:spacing w:line="480" w:lineRule="exact"/>
        <w:ind w:leftChars="393" w:left="1279" w:hangingChars="105" w:hanging="336"/>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2.營業總支出(不含所得稅費用)：原列135億6,885萬8千元，減列「營業費用」項下「管理費用」50萬元(科目自行調整)；並配合修正增列「營業成本」項下「金融保險成本」之「提存特別準備」7,050萬元，以上增減互抵後，共計增列7,000萬元，其餘均照列，改列為136億3,885萬8千元。</w:t>
      </w:r>
    </w:p>
    <w:p w14:paraId="00C95763" w14:textId="77777777" w:rsidR="009D64D0" w:rsidRPr="00EB155B" w:rsidRDefault="009D64D0" w:rsidP="00F470A8">
      <w:pPr>
        <w:overflowPunct w:val="0"/>
        <w:autoSpaceDE w:val="0"/>
        <w:spacing w:line="480" w:lineRule="exact"/>
        <w:ind w:leftChars="393" w:left="1279" w:hangingChars="105" w:hanging="336"/>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3.稅前淨利：0元，照列。</w:t>
      </w:r>
    </w:p>
    <w:p w14:paraId="472A29AF"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(三)金融保險成本：營業總支出應隨同調整。</w:t>
      </w:r>
    </w:p>
    <w:p w14:paraId="378E0BAC"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(四)轉投資計畫：無列數。</w:t>
      </w:r>
    </w:p>
    <w:p w14:paraId="5F629668"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(五)重大之建設事業：401萬元</w:t>
      </w:r>
      <w:r w:rsidRPr="00EB155B">
        <w:rPr>
          <w:rFonts w:ascii="標楷體" w:eastAsia="標楷體" w:hAnsi="標楷體" w:cs="華康細明體" w:hint="eastAsia"/>
          <w:color w:val="000000" w:themeColor="text1"/>
          <w:kern w:val="0"/>
          <w:sz w:val="32"/>
          <w:szCs w:val="32"/>
        </w:rPr>
        <w:t>，照列。</w:t>
      </w:r>
    </w:p>
    <w:p w14:paraId="6430F436"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(六)資金運用：應依據營業收支、金融保險成本、盈虧撥補、轉投資及重大之建設事業等項之審查結果，隨同調整。</w:t>
      </w:r>
    </w:p>
    <w:p w14:paraId="4515B30E"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(七)通過決議1項：</w:t>
      </w:r>
    </w:p>
    <w:p w14:paraId="6C82E817"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1.中央存款</w:t>
      </w:r>
      <w:r w:rsidRPr="00EB155B">
        <w:rPr>
          <w:rFonts w:ascii="標楷體" w:eastAsia="標楷體" w:hAnsi="標楷體" w:hint="eastAsia"/>
          <w:bCs/>
          <w:color w:val="000000" w:themeColor="text1"/>
          <w:sz w:val="32"/>
          <w:szCs w:val="32"/>
        </w:rPr>
        <w:t>保險</w:t>
      </w:r>
      <w:r w:rsidRPr="00EB155B">
        <w:rPr>
          <w:rFonts w:ascii="標楷體" w:eastAsia="標楷體" w:hAnsi="標楷體" w:hint="eastAsia"/>
          <w:color w:val="000000" w:themeColor="text1"/>
          <w:sz w:val="32"/>
          <w:szCs w:val="32"/>
        </w:rPr>
        <w:t>股份有限公司肩負監控金融機構風險，亦掌控上千億元的存款準備投資績效，近年來數位設備精進，中央政府亦推動前瞻建設強化各部門數位服務，再加上AI演算效</w:t>
      </w:r>
      <w:r w:rsidRPr="00EB155B">
        <w:rPr>
          <w:rFonts w:ascii="標楷體" w:eastAsia="標楷體" w:hAnsi="標楷體" w:hint="eastAsia"/>
          <w:color w:val="000000" w:themeColor="text1"/>
          <w:sz w:val="32"/>
          <w:szCs w:val="32"/>
        </w:rPr>
        <w:lastRenderedPageBreak/>
        <w:t>能持續升級，對於大數據分析及風險警示之工作亦多有助益。為保障中央存款</w:t>
      </w:r>
      <w:r w:rsidRPr="00EB155B">
        <w:rPr>
          <w:rFonts w:ascii="標楷體" w:eastAsia="標楷體" w:hAnsi="標楷體" w:hint="eastAsia"/>
          <w:bCs/>
          <w:color w:val="000000" w:themeColor="text1"/>
          <w:sz w:val="32"/>
          <w:szCs w:val="32"/>
        </w:rPr>
        <w:t>保險</w:t>
      </w:r>
      <w:r w:rsidRPr="00EB155B">
        <w:rPr>
          <w:rFonts w:ascii="標楷體" w:eastAsia="標楷體" w:hAnsi="標楷體" w:hint="eastAsia"/>
          <w:color w:val="000000" w:themeColor="text1"/>
          <w:sz w:val="32"/>
          <w:szCs w:val="32"/>
        </w:rPr>
        <w:t>股份有限公司經營績效，應研擬如何再精進數位設備建置升級，以強化資金運用績效及風險預警。</w:t>
      </w:r>
    </w:p>
    <w:p w14:paraId="750EA98C" w14:textId="540DFCF8"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提案人：吳秉叡</w:t>
      </w:r>
    </w:p>
    <w:p w14:paraId="4E8B4EFA" w14:textId="1DC7F489"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連署人：賴惠員　李坤城</w:t>
      </w:r>
    </w:p>
    <w:p w14:paraId="5161B50B" w14:textId="77777777" w:rsidR="009D64D0" w:rsidRPr="00EB155B" w:rsidRDefault="009D64D0" w:rsidP="00F470A8">
      <w:pPr>
        <w:tabs>
          <w:tab w:val="left" w:pos="284"/>
        </w:tabs>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EB155B">
        <w:rPr>
          <w:rFonts w:ascii="標楷體" w:eastAsia="標楷體" w:hAnsi="標楷體" w:hint="eastAsia"/>
          <w:b/>
          <w:bCs/>
          <w:color w:val="000000" w:themeColor="text1"/>
          <w:sz w:val="32"/>
          <w:szCs w:val="32"/>
        </w:rPr>
        <w:t>參、中華民國114年度中央政府總預算案附屬單位預算非營業部分，有關金融監督管理委員會主管審查結果：</w:t>
      </w:r>
    </w:p>
    <w:p w14:paraId="2C6B5A3D" w14:textId="77777777" w:rsidR="009D64D0" w:rsidRPr="00EB155B" w:rsidRDefault="009D64D0" w:rsidP="00F470A8">
      <w:pPr>
        <w:overflowPunct w:val="0"/>
        <w:spacing w:line="480" w:lineRule="exact"/>
        <w:rPr>
          <w:rFonts w:ascii="標楷體" w:eastAsia="標楷體" w:hAnsi="標楷體"/>
          <w:color w:val="000000" w:themeColor="text1"/>
          <w:sz w:val="32"/>
          <w:szCs w:val="32"/>
        </w:rPr>
      </w:pPr>
      <w:r w:rsidRPr="00EB155B">
        <w:rPr>
          <w:rFonts w:ascii="標楷體" w:eastAsia="標楷體" w:hAnsi="標楷體" w:cs="華康細明體" w:hint="eastAsia"/>
          <w:color w:val="000000" w:themeColor="text1"/>
          <w:kern w:val="0"/>
          <w:sz w:val="32"/>
          <w:szCs w:val="32"/>
        </w:rPr>
        <w:t>一、特別收入基金－金融監督管理基金</w:t>
      </w:r>
    </w:p>
    <w:p w14:paraId="2D719793"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(一)業務計畫：應依據基金來源與用途審查結果，隨同調整。</w:t>
      </w:r>
    </w:p>
    <w:p w14:paraId="79D0ABD4"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(二)基金來源、用途及餘絀：</w:t>
      </w:r>
    </w:p>
    <w:p w14:paraId="555CE484" w14:textId="77777777" w:rsidR="009D64D0" w:rsidRPr="00EB155B" w:rsidRDefault="009D64D0" w:rsidP="00F470A8">
      <w:pPr>
        <w:overflowPunct w:val="0"/>
        <w:autoSpaceDE w:val="0"/>
        <w:spacing w:line="480" w:lineRule="exact"/>
        <w:ind w:leftChars="393" w:left="1279" w:hangingChars="105" w:hanging="336"/>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1.基金來源：原列39億6,921萬9千元，增列「徵收及依法分配收入」項下「徵收收入」之「金融監督管理收入」1,000萬元，其餘均照列，改列為39億7,921萬9千元。</w:t>
      </w:r>
    </w:p>
    <w:p w14:paraId="67B78992" w14:textId="77777777" w:rsidR="009D64D0" w:rsidRPr="00EB155B" w:rsidRDefault="009D64D0" w:rsidP="00F470A8">
      <w:pPr>
        <w:overflowPunct w:val="0"/>
        <w:autoSpaceDE w:val="0"/>
        <w:spacing w:line="480" w:lineRule="exact"/>
        <w:ind w:leftChars="393" w:left="1279" w:hangingChars="105" w:hanging="336"/>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2.基金用途：原列28億9,053萬8千元，減列「推動保護金融消費者權益計畫」200萬元〔含「服務費用」項下「一般服務費」100萬元（科目自行調整）〕、「推動金融制度、新種金融商品之研究及發展計畫」400萬元(含「會費、捐助、補助、分攤、照護、救濟與交流活動費」項下「捐助、補助與獎助」之「補(協)助政府機關(構)」100萬元及「捐助國內團體」100萬元)，共計減列600萬元，其餘均照列，改列為28億8,453萬8千元。</w:t>
      </w:r>
    </w:p>
    <w:p w14:paraId="07259C48" w14:textId="77777777" w:rsidR="009D64D0" w:rsidRPr="00EB155B" w:rsidRDefault="009D64D0" w:rsidP="00F470A8">
      <w:pPr>
        <w:overflowPunct w:val="0"/>
        <w:autoSpaceDE w:val="0"/>
        <w:spacing w:line="480" w:lineRule="exact"/>
        <w:ind w:leftChars="393" w:left="1279" w:hangingChars="105" w:hanging="336"/>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3.本期賸餘：原列10億7,868萬1千元，增列1,600萬元，改列為10億9,468萬1千元。</w:t>
      </w:r>
    </w:p>
    <w:p w14:paraId="48E91B65"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(三)解繳公庫：8億0,554萬3千元</w:t>
      </w:r>
      <w:r w:rsidRPr="00EB155B">
        <w:rPr>
          <w:rFonts w:ascii="標楷體" w:eastAsia="標楷體" w:hAnsi="標楷體" w:cs="華康細明體" w:hint="eastAsia"/>
          <w:color w:val="000000" w:themeColor="text1"/>
          <w:kern w:val="0"/>
          <w:sz w:val="32"/>
          <w:szCs w:val="32"/>
        </w:rPr>
        <w:t>，照列。</w:t>
      </w:r>
    </w:p>
    <w:p w14:paraId="31CCD619"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(四)補辦預算：增加固定資產之建設、改良、擴充1,300萬元</w:t>
      </w:r>
      <w:r w:rsidRPr="00EB155B">
        <w:rPr>
          <w:rFonts w:ascii="標楷體" w:eastAsia="標楷體" w:hAnsi="標楷體" w:cs="華康細明體" w:hint="eastAsia"/>
          <w:color w:val="000000" w:themeColor="text1"/>
          <w:kern w:val="0"/>
          <w:sz w:val="32"/>
          <w:szCs w:val="32"/>
        </w:rPr>
        <w:t>，照列。</w:t>
      </w:r>
    </w:p>
    <w:p w14:paraId="1A3E3FD9"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(五)通過決議7項：</w:t>
      </w:r>
    </w:p>
    <w:p w14:paraId="6124153D"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1.為建立民眾正確消費金融與理財理債觀念，落實金融知識普及，規劃以微電影方式拍攝宣導短片所需經費218萬7千元，</w:t>
      </w:r>
      <w:r w:rsidRPr="00EB155B">
        <w:rPr>
          <w:rFonts w:ascii="標楷體" w:eastAsia="標楷體" w:hAnsi="標楷體" w:hint="eastAsia"/>
          <w:color w:val="000000" w:themeColor="text1"/>
          <w:sz w:val="32"/>
          <w:szCs w:val="32"/>
        </w:rPr>
        <w:lastRenderedPageBreak/>
        <w:t>並以網際網路為媒介，除置於金融監督管理委員會銀行局網站供民眾點選觀看外，亦透過金融監督管理委員會臉書貼文、YouTube及發布新聞稿方式加強微電影宣導，惟金融監督管理委員會臉書過往貼文宣傳效果不佳，112年度所發布之微電影觀看數效果不佳。爰凍結「推動保護金融消費者權益計畫」項下「服務費用」之「媒體政策及業務宣導費」預算233萬7千元之十分之一，俟金融監督管理委員會向立法院財政委員會提出相關宣傳計畫改善書面報告後，始得動支。</w:t>
      </w:r>
    </w:p>
    <w:p w14:paraId="404FA1D9" w14:textId="054C8059"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提案人：李坤城　賴惠員　伍麗華</w:t>
      </w:r>
    </w:p>
    <w:p w14:paraId="4A00CFC2"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color w:val="000000" w:themeColor="text1"/>
          <w:sz w:val="32"/>
          <w:szCs w:val="32"/>
        </w:rPr>
        <w:t>2</w:t>
      </w:r>
      <w:r w:rsidRPr="00EB155B">
        <w:rPr>
          <w:rFonts w:ascii="標楷體" w:eastAsia="標楷體" w:hAnsi="標楷體" w:hint="eastAsia"/>
          <w:color w:val="000000" w:themeColor="text1"/>
          <w:sz w:val="32"/>
          <w:szCs w:val="32"/>
        </w:rPr>
        <w:t>.114年度金融監督管理基金於「推動金融制度、新種金融商品之研究及發展計畫」編列1億2,276萬3千元。近年來新興商業型態興起，如網路借貸平台、虛擬資產交易所等，為保障消費者權益，行政院亦指示由金融監督管理委員會擔任管理機關，促進建立新興商業的服務規範，然後續仍持續有掏空、詐騙、洗錢等情事發生，顯示監管力道不足，民眾消費及投資風險仍無法下降。爰凍結該項預算百分之一，俟金融監督管理委員會就所納管新興商業型態之服務項目及機構，應如何強化監管及查核是否有誠信經營，降低爭議及風險，於3個月內向立法院財政委員會提出書面報告後，始得動支。</w:t>
      </w:r>
    </w:p>
    <w:p w14:paraId="1C2F1BB9" w14:textId="1BB6BA0E"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提案人：吳秉叡</w:t>
      </w:r>
    </w:p>
    <w:p w14:paraId="56473E4E" w14:textId="5166B662"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連署人：賴惠員　李坤城</w:t>
      </w:r>
    </w:p>
    <w:p w14:paraId="062E15B9"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color w:val="000000" w:themeColor="text1"/>
          <w:sz w:val="32"/>
          <w:szCs w:val="32"/>
        </w:rPr>
        <w:t>3</w:t>
      </w:r>
      <w:r w:rsidRPr="00EB155B">
        <w:rPr>
          <w:rFonts w:ascii="標楷體" w:eastAsia="標楷體" w:hAnsi="標楷體" w:hint="eastAsia"/>
          <w:color w:val="000000" w:themeColor="text1"/>
          <w:sz w:val="32"/>
          <w:szCs w:val="32"/>
        </w:rPr>
        <w:t>.114年度金融監督管理基金預算案於「推動保護金融消費者權益計畫」編列8</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396萬9千元，主要係辦理消費者權益保護及宣導等業務。惟代理（辦）費及媒體政策及業務宣導費顯有增加，請金融監督管理委員會宜撙節使用向立法院財政委員會提出書面報告。</w:t>
      </w:r>
    </w:p>
    <w:p w14:paraId="31041673" w14:textId="1185341A"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提案人：陳玉珍</w:t>
      </w:r>
    </w:p>
    <w:p w14:paraId="04DE151E" w14:textId="423F46D9"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56DCE37C"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color w:val="000000" w:themeColor="text1"/>
          <w:sz w:val="32"/>
          <w:szCs w:val="32"/>
        </w:rPr>
        <w:lastRenderedPageBreak/>
        <w:t>4</w:t>
      </w:r>
      <w:r w:rsidRPr="00EB155B">
        <w:rPr>
          <w:rFonts w:ascii="標楷體" w:eastAsia="標楷體" w:hAnsi="標楷體" w:hint="eastAsia"/>
          <w:color w:val="000000" w:themeColor="text1"/>
          <w:sz w:val="32"/>
          <w:szCs w:val="32"/>
        </w:rPr>
        <w:t>.114年度金融監督管理基金預算案於「推動金融制度、新種金融商品之研究及發展計畫」編列1億2</w:t>
      </w: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276萬3千元。惟預算細目當中，包括一般服務費、代理（辦）費、專業服務費、電腦軟體服務費以及捐助國內團體顯有增加，請金融監督管理委員會宜撙節使用向立法院財政委員會提出書面報告。</w:t>
      </w:r>
    </w:p>
    <w:p w14:paraId="730FDFBD" w14:textId="5F285604"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提案人：陳玉珍</w:t>
      </w:r>
    </w:p>
    <w:p w14:paraId="430751BE" w14:textId="36607AAE"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連署人：顏寬恒　林德福</w:t>
      </w:r>
    </w:p>
    <w:p w14:paraId="0AD7B813"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color w:val="000000" w:themeColor="text1"/>
          <w:sz w:val="32"/>
          <w:szCs w:val="32"/>
        </w:rPr>
        <w:t>5</w:t>
      </w:r>
      <w:r w:rsidRPr="00EB155B">
        <w:rPr>
          <w:rFonts w:ascii="標楷體" w:eastAsia="標楷體" w:hAnsi="標楷體" w:hint="eastAsia"/>
          <w:color w:val="000000" w:themeColor="text1"/>
          <w:sz w:val="32"/>
          <w:szCs w:val="32"/>
        </w:rPr>
        <w:t>.財團法人台灣金融研訓院在111年的調查指出，年輕世代有四成是接近金融文盲，這也是近年來投資詐騙盛行的原因之一。金融監督管理委員會身為金融素養的主責單位，應該投入資源與媒合專業人力，與教育部協力推動；例如台北市就在高中階段推出了許多財經課程，取得學生廣泛正向的迴響。另外，近年多起國安洩密事件係來自官兵財務管理不當，以國安軍事機密抵債或換取報酬。爰請金融監督管理委員會於1個月內，就我國學生及涉及國安單位成員之金融素養調查及提升計畫，向立法院財政委員會提出書面報告。</w:t>
      </w:r>
    </w:p>
    <w:p w14:paraId="10BD6069" w14:textId="5ECE5CE6"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4C2855C4"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color w:val="000000" w:themeColor="text1"/>
          <w:sz w:val="32"/>
          <w:szCs w:val="32"/>
        </w:rPr>
        <w:t>6</w:t>
      </w:r>
      <w:r w:rsidRPr="00EB155B">
        <w:rPr>
          <w:rFonts w:ascii="標楷體" w:eastAsia="標楷體" w:hAnsi="標楷體" w:hint="eastAsia"/>
          <w:color w:val="000000" w:themeColor="text1"/>
          <w:sz w:val="32"/>
          <w:szCs w:val="32"/>
        </w:rPr>
        <w:t>.有鑑於P2P借貸業務管理不當將帶來諸多風險，如違約風險、平台倒閉、詐欺、資訊不對稱、流動性風險等，且目前P2P平台業者非屬金融機構，尚無明確的金融監管框架。近年發生的im.B平台吸金詐騙事件，顯示出P2P平台缺乏監管的潛在危害，民眾財產安全面臨威脅。爰請金融監督管理委員會於1個月內，就加強推動P2P平台監管措施及輔導成立P2P公會落實自律規範之推動進度，向立法院財政委員會提出書面報告。</w:t>
      </w:r>
    </w:p>
    <w:p w14:paraId="426F0DD4" w14:textId="61F8F53A"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39725EC0"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color w:val="000000" w:themeColor="text1"/>
          <w:sz w:val="32"/>
          <w:szCs w:val="32"/>
        </w:rPr>
        <w:t>7</w:t>
      </w:r>
      <w:r w:rsidRPr="00EB155B">
        <w:rPr>
          <w:rFonts w:ascii="標楷體" w:eastAsia="標楷體" w:hAnsi="標楷體" w:hint="eastAsia"/>
          <w:color w:val="000000" w:themeColor="text1"/>
          <w:sz w:val="32"/>
          <w:szCs w:val="32"/>
        </w:rPr>
        <w:t>.近年來我國詐欺案件不斷，其中投資詐欺占比超過三成，且財損占比更高達六成。面對投資詐欺不斷，凸顯我國民眾金融知識不足之問題，爰請金融監督管理基金研擬，如何將金</w:t>
      </w:r>
      <w:r w:rsidRPr="00EB155B">
        <w:rPr>
          <w:rFonts w:ascii="標楷體" w:eastAsia="標楷體" w:hAnsi="標楷體" w:hint="eastAsia"/>
          <w:color w:val="000000" w:themeColor="text1"/>
          <w:sz w:val="32"/>
          <w:szCs w:val="32"/>
        </w:rPr>
        <w:lastRenderedPageBreak/>
        <w:t>融知識融入我國義務教育學程，並加強國人金融素養之培訓，並於3個月內向立法院財政委員會提出書面報告。</w:t>
      </w:r>
    </w:p>
    <w:p w14:paraId="73A9B254" w14:textId="6E2CC980"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提案人：郭國文</w:t>
      </w:r>
    </w:p>
    <w:p w14:paraId="502B44C3" w14:textId="097A6977"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連署人：李坤城　伍麗華</w:t>
      </w:r>
    </w:p>
    <w:p w14:paraId="26F9DD9C" w14:textId="77777777" w:rsidR="009D64D0" w:rsidRPr="00EB155B" w:rsidRDefault="009D64D0" w:rsidP="00F470A8">
      <w:pPr>
        <w:overflowPunct w:val="0"/>
        <w:spacing w:line="480" w:lineRule="exact"/>
        <w:rPr>
          <w:rFonts w:ascii="標楷體" w:eastAsia="標楷體" w:hAnsi="標楷體"/>
          <w:color w:val="000000" w:themeColor="text1"/>
          <w:sz w:val="32"/>
          <w:szCs w:val="32"/>
        </w:rPr>
      </w:pPr>
      <w:r w:rsidRPr="00EB155B">
        <w:rPr>
          <w:rFonts w:ascii="標楷體" w:eastAsia="標楷體" w:hAnsi="標楷體" w:cs="華康細明體" w:hint="eastAsia"/>
          <w:color w:val="000000" w:themeColor="text1"/>
          <w:kern w:val="0"/>
          <w:sz w:val="32"/>
          <w:szCs w:val="32"/>
        </w:rPr>
        <w:t>二、信託基金－保險業務發展基金</w:t>
      </w:r>
    </w:p>
    <w:p w14:paraId="5AB76B4F"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(一)基金運用計畫：應依據收支、餘絀撥補等項之審查結果，隨同調整。</w:t>
      </w:r>
    </w:p>
    <w:p w14:paraId="499C9409"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(二)總收入：2,016萬6千元</w:t>
      </w:r>
      <w:r w:rsidRPr="00EB155B">
        <w:rPr>
          <w:rFonts w:ascii="標楷體" w:eastAsia="標楷體" w:hAnsi="標楷體" w:cs="華康細明體" w:hint="eastAsia"/>
          <w:color w:val="000000" w:themeColor="text1"/>
          <w:kern w:val="0"/>
          <w:sz w:val="32"/>
          <w:szCs w:val="32"/>
        </w:rPr>
        <w:t>，照列。</w:t>
      </w:r>
    </w:p>
    <w:p w14:paraId="16E7EB0C"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(三)總支出：1億0,206萬4千元</w:t>
      </w:r>
      <w:r w:rsidRPr="00EB155B">
        <w:rPr>
          <w:rFonts w:ascii="標楷體" w:eastAsia="標楷體" w:hAnsi="標楷體" w:cs="華康細明體" w:hint="eastAsia"/>
          <w:color w:val="000000" w:themeColor="text1"/>
          <w:kern w:val="0"/>
          <w:sz w:val="32"/>
          <w:szCs w:val="32"/>
        </w:rPr>
        <w:t>，照列。</w:t>
      </w:r>
    </w:p>
    <w:p w14:paraId="5A30F3AA"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(四)本期短絀：8,189萬8千元</w:t>
      </w:r>
      <w:r w:rsidRPr="00EB155B">
        <w:rPr>
          <w:rFonts w:ascii="標楷體" w:eastAsia="標楷體" w:hAnsi="標楷體" w:cs="華康細明體" w:hint="eastAsia"/>
          <w:color w:val="000000" w:themeColor="text1"/>
          <w:kern w:val="0"/>
          <w:sz w:val="32"/>
          <w:szCs w:val="32"/>
        </w:rPr>
        <w:t>，照列。</w:t>
      </w:r>
    </w:p>
    <w:p w14:paraId="2300A577" w14:textId="77777777" w:rsidR="009D64D0" w:rsidRPr="00EB155B" w:rsidRDefault="009D64D0" w:rsidP="00F470A8">
      <w:pPr>
        <w:overflowPunct w:val="0"/>
        <w:autoSpaceDE w:val="0"/>
        <w:spacing w:line="480" w:lineRule="exact"/>
        <w:ind w:leftChars="201" w:left="1112" w:hangingChars="197" w:hanging="630"/>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(五)通過決議2項：</w:t>
      </w:r>
    </w:p>
    <w:p w14:paraId="6AD87E80"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1.114年度保險業務發展基金預算案中，「專案支出」共編列882萬元。惟預算細目當中，包括代理（辦）費顯有增加，似可撙節。爰要求保險業務發展基金於3個月內向立法院財政委員會提出書面報告。</w:t>
      </w:r>
    </w:p>
    <w:p w14:paraId="0E79DE27" w14:textId="57EB46BA"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提案人：陳玉珍　顏寬恒　林德福</w:t>
      </w:r>
    </w:p>
    <w:p w14:paraId="744C3623" w14:textId="77777777" w:rsidR="009D64D0" w:rsidRPr="00EB155B"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2.鑑於大量民眾因欠款導致保單遭強制執行，執行法院在處理時未區分保單種類，致使包含健康險、癌症險等重要保障險種也被強制執行，損害了債務人及其家庭在面臨重大疾病時的基本保障。經跨黨派委員持續推動，司法院已於113年6月公布法院辦理人壽保險契約金錢債權強制執行原則，明定特定保險商品不得強制執行，並限制對於債務人基本生活所需之保險契約的執行。然而，現行原則只能部分緩解保單強制執行所引發的社會問題。爰請金融監督管理委員會於1個月內，就保單強制執行制度精進之立法計畫及舉辦修法意見蒐集會議之會議紀錄，向立法院財政委員會提出書面報告。</w:t>
      </w:r>
    </w:p>
    <w:p w14:paraId="2AC5D0DB" w14:textId="1C21368D" w:rsidR="009D64D0" w:rsidRPr="00EB155B" w:rsidRDefault="00F470A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EB155B">
        <w:rPr>
          <w:rFonts w:ascii="標楷體" w:eastAsia="標楷體" w:hAnsi="標楷體" w:hint="eastAsia"/>
          <w:kern w:val="0"/>
          <w:sz w:val="32"/>
          <w:szCs w:val="32"/>
        </w:rPr>
        <w:t>提案人：黃珊珊　陳玉珍　羅明才</w:t>
      </w:r>
    </w:p>
    <w:p w14:paraId="01EA2A05" w14:textId="77777777" w:rsidR="009D64D0" w:rsidRPr="00EB155B" w:rsidRDefault="009D64D0" w:rsidP="00F470A8">
      <w:pPr>
        <w:tabs>
          <w:tab w:val="left" w:pos="284"/>
        </w:tabs>
        <w:overflowPunct w:val="0"/>
        <w:autoSpaceDE w:val="0"/>
        <w:spacing w:line="480" w:lineRule="exact"/>
        <w:ind w:left="640" w:hangingChars="200" w:hanging="64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肆、</w:t>
      </w:r>
      <w:r w:rsidRPr="00EB155B">
        <w:rPr>
          <w:rFonts w:ascii="標楷體" w:eastAsia="標楷體" w:hAnsi="標楷體" w:hint="eastAsia"/>
          <w:color w:val="000000" w:themeColor="text1"/>
          <w:kern w:val="0"/>
          <w:sz w:val="32"/>
          <w:szCs w:val="32"/>
        </w:rPr>
        <w:t>本委員會負責審查中華民國114年度中央政府總預算案之公務預算部分，均已審查完竣，有關政事別歲出預算隨同以上機關別審查結果調整；並擬具審查報告，併入審查總報告提報院會討論。</w:t>
      </w:r>
      <w:r w:rsidRPr="00EB155B">
        <w:rPr>
          <w:rFonts w:ascii="標楷體" w:eastAsia="標楷體" w:hAnsi="標楷體" w:hint="eastAsia"/>
          <w:color w:val="000000" w:themeColor="text1"/>
          <w:kern w:val="0"/>
          <w:sz w:val="32"/>
          <w:szCs w:val="32"/>
        </w:rPr>
        <w:lastRenderedPageBreak/>
        <w:t>院會討論前，須交由黨團協商；院會討論時，由本會陳召集委員玉珍出席說明。</w:t>
      </w:r>
    </w:p>
    <w:p w14:paraId="0F5AA7BC" w14:textId="77777777" w:rsidR="009D64D0" w:rsidRPr="00EB155B" w:rsidRDefault="009D64D0" w:rsidP="00F470A8">
      <w:pPr>
        <w:tabs>
          <w:tab w:val="left" w:pos="3660"/>
        </w:tabs>
        <w:overflowPunct w:val="0"/>
        <w:autoSpaceDE w:val="0"/>
        <w:spacing w:line="480" w:lineRule="exact"/>
        <w:rPr>
          <w:rFonts w:ascii="標楷體" w:eastAsia="標楷體" w:hAnsi="標楷體"/>
          <w:b/>
          <w:bCs/>
          <w:color w:val="000000" w:themeColor="text1"/>
          <w:sz w:val="32"/>
          <w:szCs w:val="32"/>
          <w:u w:val="single"/>
        </w:rPr>
      </w:pPr>
      <w:r w:rsidRPr="00EB155B">
        <w:rPr>
          <w:rFonts w:ascii="標楷體" w:eastAsia="標楷體" w:hAnsi="標楷體" w:hint="eastAsia"/>
          <w:b/>
          <w:bCs/>
          <w:color w:val="000000" w:themeColor="text1"/>
          <w:sz w:val="32"/>
          <w:szCs w:val="32"/>
          <w:u w:val="single"/>
        </w:rPr>
        <w:t>上午11時至下午5時30分</w:t>
      </w:r>
    </w:p>
    <w:p w14:paraId="23E18755" w14:textId="77777777" w:rsidR="009D64D0" w:rsidRPr="00EB155B" w:rsidRDefault="009D64D0" w:rsidP="00F470A8">
      <w:pPr>
        <w:overflowPunct w:val="0"/>
        <w:autoSpaceDE w:val="0"/>
        <w:spacing w:beforeLines="50" w:before="180" w:line="480" w:lineRule="exact"/>
        <w:ind w:leftChars="201" w:left="482"/>
        <w:jc w:val="both"/>
        <w:rPr>
          <w:rFonts w:ascii="標楷體" w:eastAsia="標楷體" w:hAnsi="標楷體" w:cs="Courier New"/>
          <w:b/>
          <w:color w:val="000000" w:themeColor="text1"/>
          <w:sz w:val="32"/>
          <w:szCs w:val="32"/>
        </w:rPr>
      </w:pPr>
      <w:r w:rsidRPr="00EB155B">
        <w:rPr>
          <w:rFonts w:ascii="標楷體" w:eastAsia="標楷體" w:hAnsi="標楷體" w:cs="Courier New" w:hint="eastAsia"/>
          <w:b/>
          <w:color w:val="000000" w:themeColor="text1"/>
          <w:sz w:val="32"/>
          <w:szCs w:val="32"/>
        </w:rPr>
        <w:t>討論事項</w:t>
      </w:r>
    </w:p>
    <w:p w14:paraId="1E117C8E" w14:textId="77777777" w:rsidR="009D64D0" w:rsidRPr="00EB155B" w:rsidRDefault="009D64D0" w:rsidP="00F470A8">
      <w:pPr>
        <w:tabs>
          <w:tab w:val="left" w:pos="284"/>
        </w:tabs>
        <w:overflowPunct w:val="0"/>
        <w:autoSpaceDE w:val="0"/>
        <w:spacing w:line="480" w:lineRule="exact"/>
        <w:jc w:val="both"/>
        <w:rPr>
          <w:rFonts w:ascii="標楷體" w:eastAsia="標楷體" w:hAnsi="標楷體"/>
          <w:b/>
          <w:bCs/>
          <w:color w:val="000000" w:themeColor="text1"/>
          <w:sz w:val="32"/>
          <w:szCs w:val="32"/>
        </w:rPr>
      </w:pPr>
      <w:r w:rsidRPr="00EB155B">
        <w:rPr>
          <w:rFonts w:ascii="標楷體" w:eastAsia="標楷體" w:hAnsi="標楷體" w:hint="eastAsia"/>
          <w:b/>
          <w:bCs/>
          <w:color w:val="000000" w:themeColor="text1"/>
          <w:sz w:val="32"/>
          <w:szCs w:val="32"/>
        </w:rPr>
        <w:t>審查中華民國114年度中央政府總預算案附屬單位預算營業部分，關於財政部主管臺灣土地銀行股份有限公司、財政部印刷廠、臺灣菸酒股份有限公司。</w:t>
      </w:r>
    </w:p>
    <w:p w14:paraId="1FE421AA" w14:textId="77777777" w:rsidR="009D64D0" w:rsidRPr="00EB155B" w:rsidRDefault="009D64D0" w:rsidP="00F470A8">
      <w:pPr>
        <w:tabs>
          <w:tab w:val="left" w:pos="284"/>
        </w:tabs>
        <w:overflowPunct w:val="0"/>
        <w:autoSpaceDE w:val="0"/>
        <w:spacing w:line="480" w:lineRule="exact"/>
        <w:ind w:left="320" w:hangingChars="100" w:hanging="320"/>
        <w:jc w:val="both"/>
        <w:rPr>
          <w:rFonts w:ascii="標楷體" w:eastAsia="標楷體" w:hAnsi="標楷體"/>
          <w:b/>
          <w:bCs/>
          <w:color w:val="000000" w:themeColor="text1"/>
          <w:sz w:val="32"/>
          <w:szCs w:val="32"/>
        </w:rPr>
      </w:pPr>
      <w:r w:rsidRPr="00EB155B">
        <w:rPr>
          <w:rFonts w:ascii="標楷體" w:eastAsia="標楷體" w:hAnsi="標楷體"/>
          <w:color w:val="000000" w:themeColor="text1"/>
          <w:sz w:val="32"/>
          <w:szCs w:val="32"/>
        </w:rPr>
        <w:t>（</w:t>
      </w:r>
      <w:r w:rsidRPr="00EB155B">
        <w:rPr>
          <w:rFonts w:ascii="標楷體" w:eastAsia="標楷體" w:hAnsi="標楷體" w:hint="eastAsia"/>
          <w:color w:val="000000" w:themeColor="text1"/>
          <w:sz w:val="32"/>
          <w:szCs w:val="32"/>
        </w:rPr>
        <w:t>經</w:t>
      </w:r>
      <w:r w:rsidRPr="00EB155B">
        <w:rPr>
          <w:rFonts w:ascii="標楷體" w:eastAsia="標楷體" w:hAnsi="標楷體" w:hint="eastAsia"/>
          <w:color w:val="000000" w:themeColor="text1"/>
          <w:kern w:val="16"/>
          <w:sz w:val="32"/>
          <w:szCs w:val="32"/>
        </w:rPr>
        <w:t>財政部部長莊翠雲就預算案</w:t>
      </w:r>
      <w:r w:rsidRPr="00EB155B">
        <w:rPr>
          <w:rFonts w:ascii="標楷體" w:eastAsia="標楷體" w:hAnsi="標楷體" w:hint="eastAsia"/>
          <w:color w:val="000000" w:themeColor="text1"/>
          <w:sz w:val="32"/>
          <w:szCs w:val="32"/>
        </w:rPr>
        <w:t>提出報告後，計有委員林德福、賴士葆、郭國文、賴惠員、王鴻薇、李坤城、吳秉叡、黃珊珊、羅明才、陳玉珍、伍麗華、王世堅等</w:t>
      </w:r>
      <w:r w:rsidRPr="00EB155B">
        <w:rPr>
          <w:rFonts w:ascii="標楷體" w:eastAsia="標楷體" w:hAnsi="標楷體"/>
          <w:color w:val="000000" w:themeColor="text1"/>
          <w:sz w:val="32"/>
          <w:szCs w:val="32"/>
        </w:rPr>
        <w:t>12</w:t>
      </w:r>
      <w:r w:rsidRPr="00EB155B">
        <w:rPr>
          <w:rFonts w:ascii="標楷體" w:eastAsia="標楷體" w:hAnsi="標楷體" w:hint="eastAsia"/>
          <w:color w:val="000000" w:themeColor="text1"/>
          <w:sz w:val="32"/>
          <w:szCs w:val="32"/>
        </w:rPr>
        <w:t>人提出質詢，均經</w:t>
      </w:r>
      <w:r w:rsidRPr="00EB155B">
        <w:rPr>
          <w:rFonts w:ascii="標楷體" w:eastAsia="標楷體" w:hAnsi="標楷體" w:hint="eastAsia"/>
          <w:color w:val="000000" w:themeColor="text1"/>
          <w:kern w:val="16"/>
          <w:sz w:val="32"/>
          <w:szCs w:val="32"/>
        </w:rPr>
        <w:t>財政部部長莊翠雲</w:t>
      </w:r>
      <w:r w:rsidRPr="00EB155B">
        <w:rPr>
          <w:rFonts w:ascii="標楷體" w:eastAsia="標楷體" w:hAnsi="標楷體" w:hint="eastAsia"/>
          <w:color w:val="000000" w:themeColor="text1"/>
          <w:sz w:val="32"/>
          <w:szCs w:val="32"/>
        </w:rPr>
        <w:t>、臺灣菸酒股份有限公司董事長湯期安、臺灣土地銀行股份有限公司董事長何英明及相關人員予以說明及答復。）</w:t>
      </w:r>
    </w:p>
    <w:p w14:paraId="0DEC3494" w14:textId="77777777" w:rsidR="009D64D0" w:rsidRPr="00EB155B" w:rsidRDefault="009D64D0" w:rsidP="00F470A8">
      <w:pPr>
        <w:overflowPunct w:val="0"/>
        <w:autoSpaceDE w:val="0"/>
        <w:spacing w:beforeLines="50" w:before="180" w:line="480" w:lineRule="exact"/>
        <w:ind w:left="641" w:hangingChars="200" w:hanging="641"/>
        <w:jc w:val="both"/>
        <w:rPr>
          <w:rFonts w:ascii="標楷體" w:eastAsia="標楷體" w:hAnsi="標楷體"/>
          <w:b/>
          <w:color w:val="000000" w:themeColor="text1"/>
          <w:sz w:val="32"/>
          <w:szCs w:val="32"/>
        </w:rPr>
      </w:pPr>
      <w:r w:rsidRPr="00EB155B">
        <w:rPr>
          <w:rFonts w:ascii="標楷體" w:eastAsia="標楷體" w:hAnsi="標楷體" w:hint="eastAsia"/>
          <w:b/>
          <w:color w:val="000000" w:themeColor="text1"/>
          <w:sz w:val="32"/>
          <w:szCs w:val="32"/>
        </w:rPr>
        <w:t>決議：</w:t>
      </w:r>
    </w:p>
    <w:p w14:paraId="39A9BF9F" w14:textId="77777777" w:rsidR="009D64D0" w:rsidRPr="00EB155B" w:rsidRDefault="009D64D0" w:rsidP="00F470A8">
      <w:pPr>
        <w:overflowPunct w:val="0"/>
        <w:autoSpaceDE w:val="0"/>
        <w:spacing w:line="480" w:lineRule="exact"/>
        <w:ind w:leftChars="121" w:left="930" w:hangingChars="200" w:hanging="64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(一)說明及詢答完畢。</w:t>
      </w:r>
    </w:p>
    <w:p w14:paraId="402916E5" w14:textId="77777777" w:rsidR="009D64D0" w:rsidRPr="00EB155B" w:rsidRDefault="009D64D0" w:rsidP="00F470A8">
      <w:pPr>
        <w:overflowPunct w:val="0"/>
        <w:autoSpaceDE w:val="0"/>
        <w:spacing w:line="480" w:lineRule="exact"/>
        <w:ind w:leftChars="121" w:left="930" w:hangingChars="200" w:hanging="64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(二)</w:t>
      </w:r>
      <w:r w:rsidRPr="00EB155B">
        <w:rPr>
          <w:rFonts w:ascii="標楷體" w:eastAsia="標楷體" w:hAnsi="標楷體" w:hint="eastAsia"/>
          <w:color w:val="000000" w:themeColor="text1"/>
          <w:kern w:val="16"/>
          <w:sz w:val="32"/>
          <w:szCs w:val="32"/>
        </w:rPr>
        <w:t>委員質詢未及答復或請補充資訊，請財政部於一週內以書面答復；委員另要求期限者，從其所定。</w:t>
      </w:r>
    </w:p>
    <w:p w14:paraId="03602AC2" w14:textId="77777777" w:rsidR="009D64D0" w:rsidRPr="00EB155B" w:rsidRDefault="009D64D0" w:rsidP="00F470A8">
      <w:pPr>
        <w:overflowPunct w:val="0"/>
        <w:autoSpaceDE w:val="0"/>
        <w:spacing w:line="480" w:lineRule="exact"/>
        <w:ind w:leftChars="121" w:left="930" w:hangingChars="200" w:hanging="640"/>
        <w:jc w:val="both"/>
        <w:rPr>
          <w:rFonts w:ascii="標楷體" w:eastAsia="標楷體" w:hAnsi="標楷體"/>
          <w:color w:val="000000" w:themeColor="text1"/>
          <w:sz w:val="32"/>
          <w:szCs w:val="32"/>
        </w:rPr>
      </w:pPr>
      <w:r w:rsidRPr="00EB155B">
        <w:rPr>
          <w:rFonts w:ascii="標楷體" w:eastAsia="標楷體" w:hAnsi="標楷體" w:hint="eastAsia"/>
          <w:color w:val="000000" w:themeColor="text1"/>
          <w:sz w:val="32"/>
          <w:szCs w:val="32"/>
        </w:rPr>
        <w:t>(三)委員顏寬恒、</w:t>
      </w:r>
      <w:r w:rsidRPr="00EB155B">
        <w:rPr>
          <w:rFonts w:ascii="標楷體" w:eastAsia="標楷體" w:hAnsi="標楷體" w:hint="eastAsia"/>
          <w:bCs/>
          <w:color w:val="000000" w:themeColor="text1"/>
          <w:sz w:val="32"/>
          <w:szCs w:val="32"/>
        </w:rPr>
        <w:t>李彥秀</w:t>
      </w:r>
      <w:r w:rsidRPr="00EB155B">
        <w:rPr>
          <w:rFonts w:ascii="標楷體" w:eastAsia="標楷體" w:hAnsi="標楷體" w:hint="eastAsia"/>
          <w:color w:val="000000" w:themeColor="text1"/>
          <w:sz w:val="32"/>
          <w:szCs w:val="32"/>
        </w:rPr>
        <w:t>所提書面質詢，列入紀錄，刊登公報，並請相關部會以書面答復。</w:t>
      </w:r>
    </w:p>
    <w:p w14:paraId="1B55069B" w14:textId="77777777" w:rsidR="009D64D0" w:rsidRPr="00EB155B" w:rsidRDefault="009D64D0" w:rsidP="00F470A8">
      <w:pPr>
        <w:overflowPunct w:val="0"/>
        <w:autoSpaceDE w:val="0"/>
        <w:spacing w:line="480" w:lineRule="exact"/>
        <w:ind w:leftChars="121" w:left="930" w:hangingChars="200" w:hanging="640"/>
        <w:jc w:val="both"/>
        <w:rPr>
          <w:rFonts w:ascii="標楷體" w:eastAsia="標楷體" w:hAnsi="標楷體"/>
          <w:bCs/>
          <w:color w:val="000000" w:themeColor="text1"/>
          <w:sz w:val="32"/>
          <w:szCs w:val="32"/>
        </w:rPr>
      </w:pPr>
      <w:r w:rsidRPr="00EB155B">
        <w:rPr>
          <w:rFonts w:ascii="標楷體" w:eastAsia="標楷體" w:hAnsi="標楷體" w:hint="eastAsia"/>
          <w:color w:val="000000" w:themeColor="text1"/>
          <w:sz w:val="32"/>
          <w:szCs w:val="32"/>
        </w:rPr>
        <w:t>(四)中華民國114年度中央政府總預算案附屬單位預算營業部分，關於財政部主管臺灣土地銀行股份有限公司、財政部印刷廠、臺灣菸酒股份有限公司，</w:t>
      </w:r>
      <w:r w:rsidRPr="00EB155B">
        <w:rPr>
          <w:rFonts w:ascii="標楷體" w:eastAsia="標楷體" w:hAnsi="標楷體" w:hint="eastAsia"/>
          <w:b/>
          <w:bCs/>
          <w:color w:val="000000" w:themeColor="text1"/>
          <w:sz w:val="32"/>
          <w:szCs w:val="32"/>
        </w:rPr>
        <w:t>另擇期繼續審查。</w:t>
      </w:r>
    </w:p>
    <w:p w14:paraId="27EB2FA4" w14:textId="77777777" w:rsidR="009D64D0" w:rsidRPr="00EB155B" w:rsidRDefault="009D64D0" w:rsidP="00F470A8">
      <w:pPr>
        <w:tabs>
          <w:tab w:val="left" w:pos="284"/>
        </w:tabs>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EB155B">
        <w:rPr>
          <w:rFonts w:ascii="標楷體" w:eastAsia="標楷體" w:hAnsi="標楷體" w:hint="eastAsia"/>
          <w:b/>
          <w:color w:val="000000" w:themeColor="text1"/>
          <w:sz w:val="32"/>
          <w:szCs w:val="32"/>
        </w:rPr>
        <w:t>散會</w:t>
      </w:r>
    </w:p>
    <w:p w14:paraId="048F7D6D" w14:textId="77777777" w:rsidR="00865BBE" w:rsidRPr="00EB155B" w:rsidRDefault="00865BBE" w:rsidP="00F470A8">
      <w:pPr>
        <w:overflowPunct w:val="0"/>
        <w:autoSpaceDN/>
        <w:spacing w:line="480" w:lineRule="exact"/>
        <w:textAlignment w:val="auto"/>
        <w:rPr>
          <w:rFonts w:ascii="標楷體" w:eastAsia="標楷體" w:hAnsi="標楷體"/>
          <w:b/>
          <w:spacing w:val="-20"/>
          <w:sz w:val="32"/>
          <w:szCs w:val="32"/>
        </w:rPr>
      </w:pPr>
      <w:r w:rsidRPr="00EB155B">
        <w:rPr>
          <w:rFonts w:ascii="標楷體" w:eastAsia="標楷體" w:hAnsi="標楷體"/>
          <w:b/>
          <w:spacing w:val="-20"/>
          <w:sz w:val="32"/>
          <w:szCs w:val="32"/>
        </w:rPr>
        <w:br w:type="page"/>
      </w:r>
    </w:p>
    <w:p w14:paraId="0FCB5FB8"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47" w:name="_Toc189487331"/>
      <w:r w:rsidRPr="0008203A">
        <w:rPr>
          <w:rFonts w:ascii="標楷體" w:eastAsia="標楷體" w:hAnsi="標楷體" w:hint="eastAsia"/>
          <w:b/>
          <w:spacing w:val="-20"/>
          <w:sz w:val="32"/>
          <w:szCs w:val="32"/>
        </w:rPr>
        <w:lastRenderedPageBreak/>
        <w:t>立法院第11屆第2會期財政委員會第15次全體委員會議議事錄</w:t>
      </w:r>
      <w:bookmarkEnd w:id="147"/>
    </w:p>
    <w:p w14:paraId="0823D443" w14:textId="77777777" w:rsidR="009D64D0" w:rsidRPr="003D3EE8" w:rsidRDefault="009D64D0" w:rsidP="00F470A8">
      <w:pPr>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 xml:space="preserve">時　　間　</w:t>
      </w:r>
      <w:r w:rsidRPr="003D3EE8">
        <w:rPr>
          <w:rFonts w:ascii="標楷體" w:eastAsia="標楷體" w:hAnsi="標楷體" w:hint="eastAsia"/>
          <w:color w:val="000000" w:themeColor="text1"/>
          <w:w w:val="95"/>
          <w:sz w:val="32"/>
          <w:szCs w:val="32"/>
        </w:rPr>
        <w:t>中華民國114年1月6日（星期一）9時至1</w:t>
      </w:r>
      <w:r w:rsidRPr="003D3EE8">
        <w:rPr>
          <w:rFonts w:ascii="標楷體" w:eastAsia="標楷體" w:hAnsi="標楷體"/>
          <w:color w:val="000000" w:themeColor="text1"/>
          <w:w w:val="95"/>
          <w:sz w:val="32"/>
          <w:szCs w:val="32"/>
        </w:rPr>
        <w:t>0</w:t>
      </w:r>
      <w:r w:rsidRPr="003D3EE8">
        <w:rPr>
          <w:rFonts w:ascii="標楷體" w:eastAsia="標楷體" w:hAnsi="標楷體" w:hint="eastAsia"/>
          <w:color w:val="000000" w:themeColor="text1"/>
          <w:w w:val="95"/>
          <w:sz w:val="32"/>
          <w:szCs w:val="32"/>
        </w:rPr>
        <w:t>時54分</w:t>
      </w:r>
    </w:p>
    <w:p w14:paraId="6192CD94" w14:textId="77777777" w:rsidR="009D64D0" w:rsidRPr="003D3EE8" w:rsidRDefault="009D64D0" w:rsidP="00F470A8">
      <w:pPr>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地　　點　群賢樓9樓大禮堂</w:t>
      </w:r>
    </w:p>
    <w:p w14:paraId="57E58C4B" w14:textId="77777777" w:rsidR="009D64D0" w:rsidRPr="003D3EE8" w:rsidRDefault="009D64D0" w:rsidP="00F470A8">
      <w:pPr>
        <w:overflowPunct w:val="0"/>
        <w:autoSpaceDE w:val="0"/>
        <w:spacing w:line="480" w:lineRule="exact"/>
        <w:ind w:left="1600" w:rightChars="100" w:right="240" w:hangingChars="500" w:hanging="160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出席委員　王鴻薇　李彥秀　賴惠員　伍麗華</w:t>
      </w:r>
      <w:r w:rsidRPr="003D3EE8">
        <w:rPr>
          <w:rFonts w:ascii="標楷體" w:eastAsia="標楷體" w:hAnsi="標楷體" w:hint="eastAsia"/>
          <w:color w:val="000000" w:themeColor="text1"/>
          <w:spacing w:val="-18"/>
          <w:sz w:val="32"/>
          <w:szCs w:val="32"/>
        </w:rPr>
        <w:t>Saidhai Tahovecahe</w:t>
      </w:r>
      <w:r w:rsidRPr="003D3EE8">
        <w:rPr>
          <w:rFonts w:ascii="標楷體" w:eastAsia="標楷體" w:hAnsi="標楷體" w:hint="eastAsia"/>
          <w:color w:val="000000" w:themeColor="text1"/>
          <w:sz w:val="32"/>
          <w:szCs w:val="32"/>
        </w:rPr>
        <w:t xml:space="preserve">　林德福　吳秉叡　李坤城　黃珊珊　賴士葆　陳玉珍　王世堅　羅明才　郭國文　顏寬恒</w:t>
      </w:r>
    </w:p>
    <w:p w14:paraId="1C43F7CF" w14:textId="03FB6FC8" w:rsidR="009D64D0" w:rsidRPr="003D3EE8" w:rsidRDefault="003D3EE8" w:rsidP="00F470A8">
      <w:pPr>
        <w:overflowPunct w:val="0"/>
        <w:autoSpaceDE w:val="0"/>
        <w:spacing w:line="480" w:lineRule="exact"/>
        <w:ind w:leftChars="500" w:left="1200"/>
        <w:rPr>
          <w:rFonts w:ascii="標楷體" w:eastAsia="標楷體" w:hAnsi="標楷體"/>
          <w:b/>
          <w:color w:val="000000" w:themeColor="text1"/>
          <w:sz w:val="32"/>
          <w:szCs w:val="32"/>
        </w:rPr>
      </w:pPr>
      <w:r w:rsidRPr="003D3EE8">
        <w:rPr>
          <w:rFonts w:ascii="標楷體" w:eastAsia="標楷體" w:hAnsi="標楷體" w:hint="eastAsia"/>
          <w:color w:val="000000" w:themeColor="text1"/>
          <w:sz w:val="32"/>
          <w:szCs w:val="32"/>
        </w:rPr>
        <w:t xml:space="preserve">　</w:t>
      </w:r>
      <w:r w:rsidR="009D64D0" w:rsidRPr="003D3EE8">
        <w:rPr>
          <w:rFonts w:ascii="標楷體" w:eastAsia="標楷體" w:hAnsi="標楷體" w:hint="eastAsia"/>
          <w:b/>
          <w:color w:val="000000" w:themeColor="text1"/>
          <w:sz w:val="32"/>
          <w:szCs w:val="32"/>
        </w:rPr>
        <w:t>委員出席</w:t>
      </w:r>
      <w:r w:rsidR="009D64D0" w:rsidRPr="003D3EE8">
        <w:rPr>
          <w:rFonts w:ascii="標楷體" w:eastAsia="標楷體" w:hAnsi="標楷體"/>
          <w:b/>
          <w:color w:val="000000" w:themeColor="text1"/>
          <w:sz w:val="32"/>
          <w:szCs w:val="32"/>
        </w:rPr>
        <w:t>1</w:t>
      </w:r>
      <w:r w:rsidR="009D64D0" w:rsidRPr="003D3EE8">
        <w:rPr>
          <w:rFonts w:ascii="標楷體" w:eastAsia="標楷體" w:hAnsi="標楷體" w:hint="eastAsia"/>
          <w:b/>
          <w:color w:val="000000" w:themeColor="text1"/>
          <w:sz w:val="32"/>
          <w:szCs w:val="32"/>
        </w:rPr>
        <w:t>4人</w:t>
      </w:r>
    </w:p>
    <w:p w14:paraId="76867C83" w14:textId="77777777" w:rsidR="009D64D0" w:rsidRPr="003D3EE8" w:rsidRDefault="009D64D0" w:rsidP="00F470A8">
      <w:pPr>
        <w:overflowPunct w:val="0"/>
        <w:autoSpaceDE w:val="0"/>
        <w:spacing w:line="480" w:lineRule="exact"/>
        <w:ind w:left="1600" w:rightChars="100" w:right="240" w:hangingChars="500" w:hanging="160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列席委員　葉元之　鄭正鈐　王義川</w:t>
      </w:r>
    </w:p>
    <w:p w14:paraId="2063B643" w14:textId="5FFBEF19" w:rsidR="009D64D0" w:rsidRPr="003D3EE8" w:rsidRDefault="003D3EE8" w:rsidP="00F470A8">
      <w:pPr>
        <w:overflowPunct w:val="0"/>
        <w:autoSpaceDE w:val="0"/>
        <w:spacing w:line="480" w:lineRule="exact"/>
        <w:ind w:leftChars="500" w:left="1200"/>
        <w:rPr>
          <w:rFonts w:ascii="標楷體" w:eastAsia="標楷體" w:hAnsi="標楷體"/>
          <w:b/>
          <w:color w:val="000000" w:themeColor="text1"/>
          <w:sz w:val="32"/>
          <w:szCs w:val="32"/>
        </w:rPr>
      </w:pPr>
      <w:r w:rsidRPr="003D3EE8">
        <w:rPr>
          <w:rFonts w:ascii="標楷體" w:eastAsia="標楷體" w:hAnsi="標楷體" w:hint="eastAsia"/>
          <w:color w:val="000000" w:themeColor="text1"/>
          <w:sz w:val="32"/>
          <w:szCs w:val="32"/>
        </w:rPr>
        <w:t xml:space="preserve">　</w:t>
      </w:r>
      <w:r w:rsidR="009D64D0" w:rsidRPr="003D3EE8">
        <w:rPr>
          <w:rFonts w:ascii="標楷體" w:eastAsia="標楷體" w:hAnsi="標楷體" w:hint="eastAsia"/>
          <w:b/>
          <w:color w:val="000000" w:themeColor="text1"/>
          <w:sz w:val="32"/>
          <w:szCs w:val="32"/>
        </w:rPr>
        <w:t>委員列席</w:t>
      </w:r>
      <w:r w:rsidR="009D64D0" w:rsidRPr="003D3EE8">
        <w:rPr>
          <w:rFonts w:ascii="標楷體" w:eastAsia="標楷體" w:hAnsi="標楷體"/>
          <w:b/>
          <w:color w:val="000000" w:themeColor="text1"/>
          <w:sz w:val="32"/>
          <w:szCs w:val="32"/>
        </w:rPr>
        <w:t>3</w:t>
      </w:r>
      <w:r w:rsidR="009D64D0" w:rsidRPr="003D3EE8">
        <w:rPr>
          <w:rFonts w:ascii="標楷體" w:eastAsia="標楷體" w:hAnsi="標楷體" w:hint="eastAsia"/>
          <w:b/>
          <w:color w:val="000000" w:themeColor="text1"/>
          <w:sz w:val="32"/>
          <w:szCs w:val="32"/>
        </w:rPr>
        <w:t>人</w:t>
      </w:r>
    </w:p>
    <w:p w14:paraId="2C53E7CE"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color w:val="000000" w:themeColor="text1"/>
          <w:kern w:val="16"/>
          <w:sz w:val="32"/>
          <w:szCs w:val="32"/>
        </w:rPr>
        <w:t>列席官員</w:t>
      </w:r>
      <w:r w:rsidRPr="003D3EE8">
        <w:rPr>
          <w:rFonts w:ascii="標楷體" w:eastAsia="標楷體" w:hAnsi="標楷體" w:hint="eastAsia"/>
          <w:color w:val="000000" w:themeColor="text1"/>
          <w:kern w:val="16"/>
          <w:sz w:val="32"/>
          <w:szCs w:val="32"/>
        </w:rPr>
        <w:t xml:space="preserve">　</w:t>
      </w:r>
      <w:r w:rsidRPr="003D3EE8">
        <w:rPr>
          <w:rFonts w:ascii="標楷體" w:eastAsia="標楷體" w:hAnsi="標楷體" w:hint="eastAsia"/>
          <w:b/>
          <w:bCs/>
          <w:color w:val="000000" w:themeColor="text1"/>
          <w:kern w:val="16"/>
          <w:sz w:val="32"/>
          <w:szCs w:val="32"/>
        </w:rPr>
        <w:t>財政部</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部長</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莊翠雲</w:t>
      </w:r>
    </w:p>
    <w:p w14:paraId="29F09DE8"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會計處</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處長</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李秋月</w:t>
      </w:r>
    </w:p>
    <w:p w14:paraId="0EE69F7B"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人事處</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處長</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張芳琪</w:t>
      </w:r>
    </w:p>
    <w:p w14:paraId="4080EF20"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國庫署</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署長</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陳柏誠</w:t>
      </w:r>
    </w:p>
    <w:p w14:paraId="2D62765E"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臺灣土地銀行股份有限公司</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董事長</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何英明</w:t>
      </w:r>
    </w:p>
    <w:p w14:paraId="3563C286"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總經理</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張志堅</w:t>
      </w:r>
    </w:p>
    <w:p w14:paraId="4F2A685E"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財政部印刷廠</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廠長</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王國龍</w:t>
      </w:r>
    </w:p>
    <w:p w14:paraId="28F2C840"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臺灣菸酒股份有限公司</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董事長</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湯期安</w:t>
      </w:r>
    </w:p>
    <w:p w14:paraId="04F8FA86" w14:textId="77777777" w:rsidR="009D64D0" w:rsidRPr="003D3EE8" w:rsidRDefault="009D64D0" w:rsidP="00F470A8">
      <w:pPr>
        <w:tabs>
          <w:tab w:val="left" w:pos="9072"/>
        </w:tabs>
        <w:overflowPunct w:val="0"/>
        <w:autoSpaceDE w:val="0"/>
        <w:spacing w:line="480" w:lineRule="exact"/>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總經理</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賴煥宗</w:t>
      </w:r>
    </w:p>
    <w:p w14:paraId="5EAF8DCA" w14:textId="77777777" w:rsidR="009D64D0" w:rsidRPr="003D3EE8" w:rsidRDefault="009D64D0" w:rsidP="00F470A8">
      <w:pPr>
        <w:pStyle w:val="af5"/>
        <w:tabs>
          <w:tab w:val="left" w:pos="3660"/>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b/>
          <w:bCs/>
          <w:color w:val="000000" w:themeColor="text1"/>
          <w:kern w:val="16"/>
          <w:sz w:val="32"/>
          <w:szCs w:val="32"/>
        </w:rPr>
        <w:t>行政院主計總處</w:t>
      </w:r>
      <w:r w:rsidRPr="003D3EE8">
        <w:rPr>
          <w:rFonts w:ascii="標楷體" w:eastAsia="標楷體" w:hAnsi="標楷體" w:hint="eastAsia"/>
          <w:color w:val="000000" w:themeColor="text1"/>
          <w:kern w:val="16"/>
          <w:sz w:val="32"/>
          <w:szCs w:val="32"/>
        </w:rPr>
        <w:t>基金預算處</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專門委員</w:t>
      </w:r>
      <w:r w:rsidRPr="003D3EE8">
        <w:rPr>
          <w:rFonts w:ascii="標楷體" w:eastAsia="標楷體" w:hAnsi="標楷體" w:hint="eastAsia"/>
          <w:color w:val="000000" w:themeColor="text1"/>
          <w:sz w:val="32"/>
          <w:szCs w:val="32"/>
        </w:rPr>
        <w:t xml:space="preserve">　　</w:t>
      </w:r>
      <w:r w:rsidRPr="003D3EE8">
        <w:rPr>
          <w:rFonts w:ascii="標楷體" w:eastAsia="標楷體" w:hAnsi="標楷體" w:hint="eastAsia"/>
          <w:color w:val="000000" w:themeColor="text1"/>
          <w:kern w:val="16"/>
          <w:sz w:val="32"/>
          <w:szCs w:val="32"/>
        </w:rPr>
        <w:t>黃厚輯</w:t>
      </w:r>
    </w:p>
    <w:p w14:paraId="0FDF778C" w14:textId="77777777" w:rsidR="009D64D0" w:rsidRPr="003D3EE8" w:rsidRDefault="009D64D0" w:rsidP="00F470A8">
      <w:pPr>
        <w:pStyle w:val="af5"/>
        <w:tabs>
          <w:tab w:val="left" w:pos="3660"/>
        </w:tabs>
        <w:kinsoku w:val="0"/>
        <w:overflowPunct w:val="0"/>
        <w:autoSpaceDE w:val="0"/>
        <w:adjustRightInd w:val="0"/>
        <w:snapToGrid w:val="0"/>
        <w:spacing w:line="480" w:lineRule="exact"/>
        <w:rPr>
          <w:rFonts w:ascii="標楷體" w:eastAsia="標楷體" w:hAnsi="標楷體"/>
          <w:color w:val="000000" w:themeColor="text1"/>
          <w:kern w:val="16"/>
          <w:sz w:val="32"/>
          <w:szCs w:val="32"/>
        </w:rPr>
      </w:pPr>
      <w:r w:rsidRPr="003D3EE8">
        <w:rPr>
          <w:rFonts w:ascii="標楷體" w:eastAsia="標楷體" w:hAnsi="標楷體"/>
          <w:color w:val="000000" w:themeColor="text1"/>
          <w:kern w:val="16"/>
          <w:sz w:val="32"/>
          <w:szCs w:val="32"/>
        </w:rPr>
        <w:t xml:space="preserve">主　　席　</w:t>
      </w:r>
      <w:r w:rsidRPr="003D3EE8">
        <w:rPr>
          <w:rFonts w:ascii="標楷體" w:eastAsia="標楷體" w:hAnsi="標楷體" w:hint="eastAsia"/>
          <w:color w:val="000000" w:themeColor="text1"/>
          <w:kern w:val="16"/>
          <w:sz w:val="32"/>
          <w:szCs w:val="32"/>
        </w:rPr>
        <w:t>賴</w:t>
      </w:r>
      <w:r w:rsidRPr="003D3EE8">
        <w:rPr>
          <w:rFonts w:ascii="標楷體" w:eastAsia="標楷體" w:hAnsi="標楷體"/>
          <w:color w:val="000000" w:themeColor="text1"/>
          <w:kern w:val="16"/>
          <w:sz w:val="32"/>
          <w:szCs w:val="32"/>
        </w:rPr>
        <w:t>召集委員</w:t>
      </w:r>
      <w:r w:rsidRPr="003D3EE8">
        <w:rPr>
          <w:rFonts w:ascii="標楷體" w:eastAsia="標楷體" w:hAnsi="標楷體" w:hint="eastAsia"/>
          <w:color w:val="000000" w:themeColor="text1"/>
          <w:kern w:val="16"/>
          <w:sz w:val="32"/>
          <w:szCs w:val="32"/>
        </w:rPr>
        <w:t>惠員及陳</w:t>
      </w:r>
      <w:r w:rsidRPr="003D3EE8">
        <w:rPr>
          <w:rFonts w:ascii="標楷體" w:eastAsia="標楷體" w:hAnsi="標楷體"/>
          <w:color w:val="000000" w:themeColor="text1"/>
          <w:kern w:val="16"/>
          <w:sz w:val="32"/>
          <w:szCs w:val="32"/>
        </w:rPr>
        <w:t>召集委員</w:t>
      </w:r>
      <w:r w:rsidRPr="003D3EE8">
        <w:rPr>
          <w:rFonts w:ascii="標楷體" w:eastAsia="標楷體" w:hAnsi="標楷體" w:hint="eastAsia"/>
          <w:color w:val="000000" w:themeColor="text1"/>
          <w:kern w:val="16"/>
          <w:sz w:val="32"/>
          <w:szCs w:val="32"/>
        </w:rPr>
        <w:t>玉珍</w:t>
      </w:r>
    </w:p>
    <w:p w14:paraId="0AF9DE53" w14:textId="77777777" w:rsidR="009D64D0" w:rsidRPr="003D3EE8" w:rsidRDefault="009D64D0" w:rsidP="00F470A8">
      <w:pPr>
        <w:tabs>
          <w:tab w:val="left" w:pos="3660"/>
        </w:tabs>
        <w:overflowPunct w:val="0"/>
        <w:spacing w:line="480" w:lineRule="exact"/>
        <w:rPr>
          <w:rFonts w:ascii="標楷體" w:eastAsia="標楷體" w:hAnsi="標楷體"/>
          <w:color w:val="000000" w:themeColor="text1"/>
          <w:kern w:val="16"/>
          <w:sz w:val="32"/>
          <w:szCs w:val="32"/>
        </w:rPr>
      </w:pPr>
      <w:r w:rsidRPr="003D3EE8">
        <w:rPr>
          <w:rFonts w:ascii="標楷體" w:eastAsia="標楷體" w:hAnsi="標楷體" w:cs="Courier New" w:hint="eastAsia"/>
          <w:color w:val="000000" w:themeColor="text1"/>
          <w:kern w:val="16"/>
          <w:sz w:val="32"/>
          <w:szCs w:val="32"/>
        </w:rPr>
        <w:t>專門委員</w:t>
      </w:r>
      <w:r w:rsidRPr="003D3EE8">
        <w:rPr>
          <w:rFonts w:ascii="標楷體" w:eastAsia="標楷體" w:hAnsi="標楷體" w:hint="eastAsia"/>
          <w:color w:val="000000" w:themeColor="text1"/>
          <w:kern w:val="16"/>
          <w:sz w:val="32"/>
          <w:szCs w:val="32"/>
        </w:rPr>
        <w:t xml:space="preserve">　</w:t>
      </w:r>
      <w:r w:rsidRPr="003D3EE8">
        <w:rPr>
          <w:rFonts w:ascii="標楷體" w:eastAsia="標楷體" w:hAnsi="標楷體" w:hint="eastAsia"/>
          <w:color w:val="000000" w:themeColor="text1"/>
          <w:sz w:val="32"/>
          <w:szCs w:val="32"/>
        </w:rPr>
        <w:t>林靜玟</w:t>
      </w:r>
    </w:p>
    <w:p w14:paraId="2ED2CCED" w14:textId="77777777" w:rsidR="009D64D0" w:rsidRPr="003D3EE8" w:rsidRDefault="009D64D0" w:rsidP="00F470A8">
      <w:pPr>
        <w:overflowPunct w:val="0"/>
        <w:spacing w:line="480" w:lineRule="exact"/>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kern w:val="16"/>
          <w:sz w:val="32"/>
          <w:szCs w:val="32"/>
        </w:rPr>
        <w:t>主任秘書　謝淑津</w:t>
      </w:r>
    </w:p>
    <w:p w14:paraId="680C7178" w14:textId="77777777" w:rsidR="009D64D0" w:rsidRPr="003D3EE8" w:rsidRDefault="009D64D0" w:rsidP="00F470A8">
      <w:pPr>
        <w:overflowPunct w:val="0"/>
        <w:autoSpaceDE w:val="0"/>
        <w:spacing w:line="480" w:lineRule="exact"/>
        <w:ind w:left="1600" w:rightChars="-149" w:right="-358" w:hangingChars="500" w:hanging="1600"/>
        <w:jc w:val="both"/>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sz w:val="32"/>
          <w:szCs w:val="32"/>
        </w:rPr>
        <w:t>紀　　錄</w:t>
      </w:r>
      <w:r w:rsidRPr="003D3EE8">
        <w:rPr>
          <w:rFonts w:ascii="標楷體" w:eastAsia="標楷體" w:hAnsi="標楷體" w:hint="eastAsia"/>
          <w:color w:val="000000" w:themeColor="text1"/>
          <w:kern w:val="16"/>
          <w:sz w:val="32"/>
          <w:szCs w:val="32"/>
        </w:rPr>
        <w:t xml:space="preserve">　秘　書　吳人寬　研究員　黃惠雯　編　審　</w:t>
      </w:r>
      <w:r w:rsidRPr="003D3EE8">
        <w:rPr>
          <w:rFonts w:ascii="標楷體" w:eastAsia="標楷體" w:hAnsi="標楷體" w:hint="eastAsia"/>
          <w:color w:val="000000" w:themeColor="text1"/>
          <w:sz w:val="32"/>
          <w:szCs w:val="32"/>
        </w:rPr>
        <w:t>伍明清</w:t>
      </w:r>
      <w:r w:rsidRPr="003D3EE8">
        <w:rPr>
          <w:rFonts w:ascii="標楷體" w:eastAsia="標楷體" w:hAnsi="標楷體" w:hint="eastAsia"/>
          <w:color w:val="000000" w:themeColor="text1"/>
          <w:kern w:val="16"/>
          <w:sz w:val="32"/>
          <w:szCs w:val="32"/>
        </w:rPr>
        <w:t xml:space="preserve">　</w:t>
      </w:r>
    </w:p>
    <w:p w14:paraId="4069EC79" w14:textId="77777777" w:rsidR="009D64D0" w:rsidRPr="003D3EE8" w:rsidRDefault="009D64D0" w:rsidP="00F470A8">
      <w:pPr>
        <w:tabs>
          <w:tab w:val="left" w:pos="3660"/>
        </w:tabs>
        <w:overflowPunct w:val="0"/>
        <w:autoSpaceDE w:val="0"/>
        <w:spacing w:line="480" w:lineRule="exact"/>
        <w:rPr>
          <w:rFonts w:ascii="標楷體" w:eastAsia="標楷體" w:hAnsi="標楷體"/>
          <w:color w:val="000000" w:themeColor="text1"/>
          <w:kern w:val="16"/>
          <w:sz w:val="32"/>
          <w:szCs w:val="32"/>
        </w:rPr>
      </w:pPr>
      <w:r w:rsidRPr="003D3EE8">
        <w:rPr>
          <w:rFonts w:ascii="標楷體" w:eastAsia="標楷體" w:hAnsi="標楷體" w:hint="eastAsia"/>
          <w:color w:val="000000" w:themeColor="text1"/>
          <w:kern w:val="16"/>
          <w:sz w:val="32"/>
          <w:szCs w:val="32"/>
        </w:rPr>
        <w:t xml:space="preserve">　　　　　科　長　喻　珊　科　員　簡廷育　</w:t>
      </w:r>
    </w:p>
    <w:p w14:paraId="3AA1BCAB" w14:textId="77777777" w:rsidR="009D64D0" w:rsidRPr="003D3EE8" w:rsidRDefault="009D64D0" w:rsidP="00F470A8">
      <w:pPr>
        <w:overflowPunct w:val="0"/>
        <w:autoSpaceDE w:val="0"/>
        <w:spacing w:line="480" w:lineRule="exact"/>
        <w:jc w:val="both"/>
        <w:rPr>
          <w:rFonts w:ascii="標楷體" w:eastAsia="標楷體" w:hAnsi="標楷體"/>
          <w:b/>
          <w:bCs/>
          <w:color w:val="000000" w:themeColor="text1"/>
          <w:kern w:val="0"/>
          <w:sz w:val="32"/>
          <w:szCs w:val="32"/>
        </w:rPr>
      </w:pPr>
      <w:r w:rsidRPr="003D3EE8">
        <w:rPr>
          <w:rFonts w:ascii="標楷體" w:eastAsia="標楷體" w:hAnsi="標楷體" w:hint="eastAsia"/>
          <w:b/>
          <w:bCs/>
          <w:color w:val="000000" w:themeColor="text1"/>
          <w:sz w:val="32"/>
          <w:szCs w:val="32"/>
          <w:u w:val="single"/>
        </w:rPr>
        <w:t>上午9時至9時40分</w:t>
      </w:r>
    </w:p>
    <w:p w14:paraId="69CFB65F" w14:textId="77777777" w:rsidR="009D64D0" w:rsidRPr="003D3EE8" w:rsidRDefault="009D64D0" w:rsidP="00F470A8">
      <w:pPr>
        <w:overflowPunct w:val="0"/>
        <w:autoSpaceDE w:val="0"/>
        <w:spacing w:beforeLines="50" w:before="180" w:line="480" w:lineRule="exact"/>
        <w:ind w:leftChars="201" w:left="482"/>
        <w:jc w:val="both"/>
        <w:rPr>
          <w:rFonts w:ascii="標楷體" w:eastAsia="標楷體" w:hAnsi="標楷體" w:cs="Courier New"/>
          <w:b/>
          <w:bCs/>
          <w:color w:val="000000" w:themeColor="text1"/>
          <w:sz w:val="32"/>
          <w:szCs w:val="32"/>
        </w:rPr>
      </w:pPr>
      <w:r w:rsidRPr="003D3EE8">
        <w:rPr>
          <w:rFonts w:ascii="標楷體" w:eastAsia="標楷體" w:hAnsi="標楷體" w:hint="eastAsia"/>
          <w:b/>
          <w:bCs/>
          <w:color w:val="000000" w:themeColor="text1"/>
          <w:kern w:val="0"/>
          <w:sz w:val="32"/>
          <w:szCs w:val="32"/>
        </w:rPr>
        <w:t>報告</w:t>
      </w:r>
      <w:r w:rsidRPr="003D3EE8">
        <w:rPr>
          <w:rFonts w:ascii="標楷體" w:eastAsia="標楷體" w:hAnsi="標楷體" w:cs="Courier New" w:hint="eastAsia"/>
          <w:b/>
          <w:bCs/>
          <w:color w:val="000000" w:themeColor="text1"/>
          <w:sz w:val="32"/>
          <w:szCs w:val="32"/>
        </w:rPr>
        <w:t>事項</w:t>
      </w:r>
    </w:p>
    <w:p w14:paraId="60945AF0" w14:textId="77777777" w:rsidR="009D64D0" w:rsidRPr="003D3EE8" w:rsidRDefault="009D64D0" w:rsidP="00F470A8">
      <w:pPr>
        <w:overflowPunct w:val="0"/>
        <w:spacing w:line="480" w:lineRule="exact"/>
        <w:jc w:val="both"/>
        <w:rPr>
          <w:rFonts w:ascii="標楷體" w:eastAsia="標楷體" w:hAnsi="標楷體" w:cs="Courier New"/>
          <w:bCs/>
          <w:color w:val="000000" w:themeColor="text1"/>
          <w:sz w:val="32"/>
          <w:szCs w:val="32"/>
        </w:rPr>
      </w:pPr>
      <w:r w:rsidRPr="003D3EE8">
        <w:rPr>
          <w:rFonts w:ascii="標楷體" w:eastAsia="標楷體" w:hAnsi="標楷體" w:cs="Courier New" w:hint="eastAsia"/>
          <w:bCs/>
          <w:color w:val="000000" w:themeColor="text1"/>
          <w:sz w:val="32"/>
          <w:szCs w:val="32"/>
        </w:rPr>
        <w:t>宣讀上次會議議事錄。</w:t>
      </w:r>
    </w:p>
    <w:p w14:paraId="36718FC4" w14:textId="77777777" w:rsidR="009D64D0" w:rsidRPr="003D3EE8" w:rsidRDefault="009D64D0" w:rsidP="00F470A8">
      <w:pPr>
        <w:overflowPunct w:val="0"/>
        <w:spacing w:line="480" w:lineRule="exact"/>
        <w:jc w:val="both"/>
        <w:rPr>
          <w:rFonts w:ascii="標楷體" w:eastAsia="標楷體" w:hAnsi="標楷體"/>
          <w:color w:val="000000" w:themeColor="text1"/>
          <w:sz w:val="32"/>
          <w:szCs w:val="32"/>
        </w:rPr>
      </w:pPr>
      <w:r w:rsidRPr="003D3EE8">
        <w:rPr>
          <w:rFonts w:ascii="標楷體" w:eastAsia="標楷體" w:hAnsi="標楷體"/>
          <w:bCs/>
          <w:color w:val="000000" w:themeColor="text1"/>
          <w:sz w:val="32"/>
          <w:szCs w:val="32"/>
        </w:rPr>
        <w:t>決定</w:t>
      </w:r>
      <w:r w:rsidRPr="003D3EE8">
        <w:rPr>
          <w:rFonts w:ascii="標楷體" w:eastAsia="標楷體" w:hAnsi="標楷體"/>
          <w:color w:val="000000" w:themeColor="text1"/>
          <w:sz w:val="32"/>
          <w:szCs w:val="32"/>
        </w:rPr>
        <w:t>：議事錄確定。</w:t>
      </w:r>
    </w:p>
    <w:p w14:paraId="3DA51F3B" w14:textId="77777777" w:rsidR="009D64D0" w:rsidRPr="003D3EE8" w:rsidRDefault="009D64D0" w:rsidP="00F470A8">
      <w:pPr>
        <w:overflowPunct w:val="0"/>
        <w:autoSpaceDE w:val="0"/>
        <w:spacing w:beforeLines="50" w:before="180" w:line="480" w:lineRule="exact"/>
        <w:ind w:leftChars="201" w:left="482"/>
        <w:jc w:val="both"/>
        <w:rPr>
          <w:rFonts w:ascii="標楷體" w:eastAsia="標楷體" w:hAnsi="標楷體" w:cs="Courier New"/>
          <w:b/>
          <w:bCs/>
          <w:color w:val="000000" w:themeColor="text1"/>
          <w:sz w:val="32"/>
          <w:szCs w:val="32"/>
        </w:rPr>
      </w:pPr>
      <w:r w:rsidRPr="003D3EE8">
        <w:rPr>
          <w:rFonts w:ascii="標楷體" w:eastAsia="標楷體" w:hAnsi="標楷體" w:cs="Courier New" w:hint="eastAsia"/>
          <w:b/>
          <w:bCs/>
          <w:color w:val="000000" w:themeColor="text1"/>
          <w:sz w:val="32"/>
          <w:szCs w:val="32"/>
        </w:rPr>
        <w:t>討論事項</w:t>
      </w:r>
    </w:p>
    <w:p w14:paraId="02ABE9C9" w14:textId="77777777" w:rsidR="009D64D0" w:rsidRPr="003D3EE8" w:rsidRDefault="009D64D0" w:rsidP="00F470A8">
      <w:pPr>
        <w:tabs>
          <w:tab w:val="left" w:pos="284"/>
        </w:tabs>
        <w:overflowPunct w:val="0"/>
        <w:autoSpaceDE w:val="0"/>
        <w:spacing w:line="480" w:lineRule="exact"/>
        <w:jc w:val="both"/>
        <w:rPr>
          <w:rFonts w:ascii="標楷體" w:eastAsia="標楷體" w:hAnsi="標楷體"/>
          <w:b/>
          <w:color w:val="000000" w:themeColor="text1"/>
          <w:sz w:val="32"/>
          <w:szCs w:val="32"/>
        </w:rPr>
      </w:pPr>
      <w:r w:rsidRPr="003D3EE8">
        <w:rPr>
          <w:rFonts w:ascii="標楷體" w:eastAsia="標楷體" w:hAnsi="標楷體" w:hint="eastAsia"/>
          <w:b/>
          <w:color w:val="000000" w:themeColor="text1"/>
          <w:sz w:val="32"/>
          <w:szCs w:val="32"/>
        </w:rPr>
        <w:lastRenderedPageBreak/>
        <w:t>彙總整理提出「中華民國</w:t>
      </w:r>
      <w:r w:rsidRPr="003D3EE8">
        <w:rPr>
          <w:rFonts w:ascii="標楷體" w:eastAsia="標楷體" w:hAnsi="標楷體"/>
          <w:b/>
          <w:color w:val="000000" w:themeColor="text1"/>
          <w:sz w:val="32"/>
          <w:szCs w:val="32"/>
        </w:rPr>
        <w:t>11</w:t>
      </w:r>
      <w:r w:rsidRPr="003D3EE8">
        <w:rPr>
          <w:rFonts w:ascii="標楷體" w:eastAsia="標楷體" w:hAnsi="標楷體" w:hint="eastAsia"/>
          <w:b/>
          <w:color w:val="000000" w:themeColor="text1"/>
          <w:sz w:val="32"/>
          <w:szCs w:val="32"/>
        </w:rPr>
        <w:t>4年度中央政府總預算案審查總報告（公務預算部分）（含機密部分）草案」提報院會案。（機密部分舉行秘密會議）</w:t>
      </w:r>
    </w:p>
    <w:p w14:paraId="18348536" w14:textId="77777777" w:rsidR="009D64D0" w:rsidRPr="003D3EE8" w:rsidRDefault="009D64D0" w:rsidP="00F470A8">
      <w:pPr>
        <w:tabs>
          <w:tab w:val="left" w:pos="284"/>
        </w:tabs>
        <w:overflowPunct w:val="0"/>
        <w:autoSpaceDE w:val="0"/>
        <w:spacing w:line="480" w:lineRule="exact"/>
        <w:ind w:left="641" w:hangingChars="200" w:hanging="641"/>
        <w:jc w:val="both"/>
        <w:rPr>
          <w:rFonts w:ascii="標楷體" w:eastAsia="標楷體" w:hAnsi="標楷體"/>
          <w:snapToGrid w:val="0"/>
          <w:color w:val="000000" w:themeColor="text1"/>
          <w:kern w:val="0"/>
          <w:sz w:val="32"/>
          <w:szCs w:val="32"/>
        </w:rPr>
      </w:pPr>
      <w:r w:rsidRPr="003D3EE8">
        <w:rPr>
          <w:rFonts w:ascii="標楷體" w:eastAsia="標楷體" w:hAnsi="標楷體" w:hint="eastAsia"/>
          <w:b/>
          <w:color w:val="000000" w:themeColor="text1"/>
          <w:sz w:val="32"/>
          <w:szCs w:val="32"/>
        </w:rPr>
        <w:t>決議：</w:t>
      </w:r>
    </w:p>
    <w:p w14:paraId="31E71D25" w14:textId="77777777" w:rsidR="009D64D0" w:rsidRPr="003D3EE8" w:rsidRDefault="009D64D0" w:rsidP="00F470A8">
      <w:pPr>
        <w:overflowPunct w:val="0"/>
        <w:autoSpaceDE w:val="0"/>
        <w:spacing w:line="480" w:lineRule="exact"/>
        <w:ind w:leftChars="121" w:left="930" w:hangingChars="200" w:hanging="640"/>
        <w:jc w:val="both"/>
        <w:rPr>
          <w:rFonts w:ascii="標楷體" w:eastAsia="標楷體" w:hAnsi="標楷體"/>
          <w:snapToGrid w:val="0"/>
          <w:color w:val="000000" w:themeColor="text1"/>
          <w:kern w:val="0"/>
          <w:sz w:val="32"/>
          <w:szCs w:val="32"/>
        </w:rPr>
      </w:pPr>
      <w:r w:rsidRPr="003D3EE8">
        <w:rPr>
          <w:rFonts w:ascii="標楷體" w:eastAsia="標楷體" w:hAnsi="標楷體"/>
          <w:snapToGrid w:val="0"/>
          <w:color w:val="000000" w:themeColor="text1"/>
          <w:kern w:val="0"/>
          <w:sz w:val="32"/>
          <w:szCs w:val="32"/>
        </w:rPr>
        <w:t>(</w:t>
      </w:r>
      <w:r w:rsidRPr="003D3EE8">
        <w:rPr>
          <w:rFonts w:ascii="標楷體" w:eastAsia="標楷體" w:hAnsi="標楷體" w:hint="eastAsia"/>
          <w:snapToGrid w:val="0"/>
          <w:color w:val="000000" w:themeColor="text1"/>
          <w:kern w:val="0"/>
          <w:sz w:val="32"/>
          <w:szCs w:val="32"/>
        </w:rPr>
        <w:t>一</w:t>
      </w:r>
      <w:r w:rsidRPr="003D3EE8">
        <w:rPr>
          <w:rFonts w:ascii="標楷體" w:eastAsia="標楷體" w:hAnsi="標楷體"/>
          <w:snapToGrid w:val="0"/>
          <w:color w:val="000000" w:themeColor="text1"/>
          <w:kern w:val="0"/>
          <w:sz w:val="32"/>
          <w:szCs w:val="32"/>
        </w:rPr>
        <w:t>)</w:t>
      </w:r>
      <w:r w:rsidRPr="003D3EE8">
        <w:rPr>
          <w:rFonts w:ascii="標楷體" w:eastAsia="標楷體" w:hAnsi="標楷體" w:hint="eastAsia"/>
          <w:snapToGrid w:val="0"/>
          <w:color w:val="000000" w:themeColor="text1"/>
          <w:kern w:val="0"/>
          <w:sz w:val="32"/>
          <w:szCs w:val="32"/>
        </w:rPr>
        <w:t>中華民國</w:t>
      </w:r>
      <w:r w:rsidRPr="003D3EE8">
        <w:rPr>
          <w:rFonts w:ascii="標楷體" w:eastAsia="標楷體" w:hAnsi="標楷體"/>
          <w:snapToGrid w:val="0"/>
          <w:color w:val="000000" w:themeColor="text1"/>
          <w:kern w:val="0"/>
          <w:sz w:val="32"/>
          <w:szCs w:val="32"/>
        </w:rPr>
        <w:t>11</w:t>
      </w:r>
      <w:r w:rsidRPr="003D3EE8">
        <w:rPr>
          <w:rFonts w:ascii="標楷體" w:eastAsia="標楷體" w:hAnsi="標楷體" w:hint="eastAsia"/>
          <w:snapToGrid w:val="0"/>
          <w:color w:val="000000" w:themeColor="text1"/>
          <w:kern w:val="0"/>
          <w:sz w:val="32"/>
          <w:szCs w:val="32"/>
        </w:rPr>
        <w:t>4年度中央政府總預算案審查總報告(公務預算部分)（含機密部分），照草案通過，提報院會討論，須黨團協商。</w:t>
      </w:r>
    </w:p>
    <w:p w14:paraId="0A55EB96" w14:textId="77777777" w:rsidR="009D64D0" w:rsidRPr="003D3EE8" w:rsidRDefault="009D64D0" w:rsidP="00F470A8">
      <w:pPr>
        <w:overflowPunct w:val="0"/>
        <w:autoSpaceDE w:val="0"/>
        <w:spacing w:line="480" w:lineRule="exact"/>
        <w:ind w:leftChars="121" w:left="930" w:hangingChars="200" w:hanging="640"/>
        <w:jc w:val="both"/>
        <w:rPr>
          <w:rFonts w:ascii="標楷體" w:eastAsia="標楷體" w:hAnsi="標楷體"/>
          <w:snapToGrid w:val="0"/>
          <w:color w:val="000000" w:themeColor="text1"/>
          <w:kern w:val="0"/>
          <w:sz w:val="32"/>
          <w:szCs w:val="32"/>
        </w:rPr>
      </w:pPr>
      <w:r w:rsidRPr="003D3EE8">
        <w:rPr>
          <w:rFonts w:ascii="標楷體" w:eastAsia="標楷體" w:hAnsi="標楷體" w:hint="eastAsia"/>
          <w:snapToGrid w:val="0"/>
          <w:color w:val="000000" w:themeColor="text1"/>
          <w:kern w:val="0"/>
          <w:sz w:val="32"/>
          <w:szCs w:val="32"/>
        </w:rPr>
        <w:t>(二)有關內政、經濟、財政、教育及文化、交通、司法及法制、社會福利及衛生環境等</w:t>
      </w:r>
      <w:r w:rsidRPr="003D3EE8">
        <w:rPr>
          <w:rFonts w:ascii="標楷體" w:eastAsia="標楷體" w:hAnsi="標楷體"/>
          <w:snapToGrid w:val="0"/>
          <w:color w:val="000000" w:themeColor="text1"/>
          <w:kern w:val="0"/>
          <w:sz w:val="32"/>
          <w:szCs w:val="32"/>
        </w:rPr>
        <w:t>7</w:t>
      </w:r>
      <w:r w:rsidRPr="003D3EE8">
        <w:rPr>
          <w:rFonts w:ascii="標楷體" w:eastAsia="標楷體" w:hAnsi="標楷體" w:hint="eastAsia"/>
          <w:snapToGrid w:val="0"/>
          <w:color w:val="000000" w:themeColor="text1"/>
          <w:kern w:val="0"/>
          <w:sz w:val="32"/>
          <w:szCs w:val="32"/>
        </w:rPr>
        <w:t>個委員會，俟其審竣並將審查報告送達本委員會後，請議事人員彙總整理逕予提報院會併案討論。</w:t>
      </w:r>
    </w:p>
    <w:p w14:paraId="1D3B967C" w14:textId="77777777" w:rsidR="009D64D0" w:rsidRPr="003D3EE8" w:rsidRDefault="009D64D0" w:rsidP="00F470A8">
      <w:pPr>
        <w:overflowPunct w:val="0"/>
        <w:autoSpaceDE w:val="0"/>
        <w:spacing w:line="480" w:lineRule="exact"/>
        <w:jc w:val="both"/>
        <w:rPr>
          <w:rFonts w:ascii="標楷體" w:eastAsia="標楷體" w:hAnsi="標楷體"/>
          <w:snapToGrid w:val="0"/>
          <w:color w:val="000000" w:themeColor="text1"/>
          <w:kern w:val="0"/>
          <w:sz w:val="32"/>
          <w:szCs w:val="32"/>
        </w:rPr>
      </w:pPr>
      <w:r w:rsidRPr="003D3EE8">
        <w:rPr>
          <w:rFonts w:ascii="標楷體" w:eastAsia="標楷體" w:hAnsi="標楷體" w:hint="eastAsia"/>
          <w:b/>
          <w:bCs/>
          <w:color w:val="000000" w:themeColor="text1"/>
          <w:sz w:val="32"/>
          <w:szCs w:val="32"/>
          <w:u w:val="single"/>
        </w:rPr>
        <w:t>上午9時40分至11時40分</w:t>
      </w:r>
    </w:p>
    <w:p w14:paraId="1208E758" w14:textId="77777777" w:rsidR="009D64D0" w:rsidRPr="003D3EE8" w:rsidRDefault="009D64D0" w:rsidP="00F470A8">
      <w:pPr>
        <w:overflowPunct w:val="0"/>
        <w:autoSpaceDE w:val="0"/>
        <w:spacing w:beforeLines="50" w:before="180" w:line="480" w:lineRule="exact"/>
        <w:ind w:leftChars="201" w:left="482"/>
        <w:jc w:val="both"/>
        <w:rPr>
          <w:rFonts w:ascii="標楷體" w:eastAsia="標楷體" w:hAnsi="標楷體" w:cs="Courier New"/>
          <w:b/>
          <w:color w:val="000000" w:themeColor="text1"/>
          <w:sz w:val="32"/>
          <w:szCs w:val="32"/>
        </w:rPr>
      </w:pPr>
      <w:r w:rsidRPr="003D3EE8">
        <w:rPr>
          <w:rFonts w:ascii="標楷體" w:eastAsia="標楷體" w:hAnsi="標楷體" w:cs="Courier New" w:hint="eastAsia"/>
          <w:b/>
          <w:color w:val="000000" w:themeColor="text1"/>
          <w:sz w:val="32"/>
          <w:szCs w:val="32"/>
        </w:rPr>
        <w:t>討論事項</w:t>
      </w:r>
    </w:p>
    <w:p w14:paraId="7A9FDBB4" w14:textId="77777777" w:rsidR="009D64D0" w:rsidRPr="003D3EE8" w:rsidRDefault="009D64D0" w:rsidP="00F470A8">
      <w:pPr>
        <w:tabs>
          <w:tab w:val="left" w:pos="284"/>
        </w:tabs>
        <w:overflowPunct w:val="0"/>
        <w:autoSpaceDE w:val="0"/>
        <w:spacing w:line="480" w:lineRule="exact"/>
        <w:jc w:val="both"/>
        <w:rPr>
          <w:rFonts w:ascii="標楷體" w:eastAsia="標楷體" w:hAnsi="標楷體"/>
          <w:b/>
          <w:bCs/>
          <w:color w:val="000000" w:themeColor="text1"/>
          <w:sz w:val="32"/>
          <w:szCs w:val="32"/>
        </w:rPr>
      </w:pPr>
      <w:r w:rsidRPr="003D3EE8">
        <w:rPr>
          <w:rFonts w:ascii="標楷體" w:eastAsia="標楷體" w:hAnsi="標楷體" w:hint="eastAsia"/>
          <w:b/>
          <w:bCs/>
          <w:color w:val="000000" w:themeColor="text1"/>
          <w:sz w:val="32"/>
          <w:szCs w:val="32"/>
        </w:rPr>
        <w:t>繼續審查中華民國114年度中央政府總預算案附屬單位預算營業部分，關於財政部主管臺灣土地銀行股份有限公司、財政部印刷廠、臺灣菸酒股份有限公司。</w:t>
      </w:r>
    </w:p>
    <w:p w14:paraId="61BC8632" w14:textId="77777777" w:rsidR="009D64D0" w:rsidRPr="003D3EE8" w:rsidRDefault="009D64D0" w:rsidP="00F470A8">
      <w:pPr>
        <w:tabs>
          <w:tab w:val="left" w:pos="284"/>
        </w:tabs>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3D3EE8">
        <w:rPr>
          <w:rFonts w:ascii="標楷體" w:eastAsia="標楷體" w:hAnsi="標楷體" w:hint="eastAsia"/>
          <w:b/>
          <w:color w:val="000000" w:themeColor="text1"/>
          <w:sz w:val="32"/>
          <w:szCs w:val="32"/>
        </w:rPr>
        <w:t>決議：</w:t>
      </w:r>
    </w:p>
    <w:p w14:paraId="1875051B" w14:textId="77777777" w:rsidR="009D64D0" w:rsidRPr="003D3EE8" w:rsidRDefault="009D64D0" w:rsidP="00F470A8">
      <w:pPr>
        <w:tabs>
          <w:tab w:val="left" w:pos="284"/>
        </w:tabs>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3D3EE8">
        <w:rPr>
          <w:rFonts w:ascii="標楷體" w:eastAsia="標楷體" w:hAnsi="標楷體" w:hint="eastAsia"/>
          <w:b/>
          <w:bCs/>
          <w:color w:val="000000" w:themeColor="text1"/>
          <w:sz w:val="32"/>
          <w:szCs w:val="32"/>
        </w:rPr>
        <w:t>壹、中華民國114年度中央政府總預算案附屬單位預算營業部分，關於財政部主管臺灣土地銀行股份有限公司、財政部印刷廠、臺灣菸酒股份有限公司審查結果：</w:t>
      </w:r>
    </w:p>
    <w:p w14:paraId="5C51A796" w14:textId="77777777" w:rsidR="009D64D0" w:rsidRPr="003D3EE8" w:rsidRDefault="009D64D0" w:rsidP="00F470A8">
      <w:pPr>
        <w:overflowPunct w:val="0"/>
        <w:spacing w:line="480" w:lineRule="exact"/>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乙、財政部主管：</w:t>
      </w:r>
    </w:p>
    <w:p w14:paraId="439709F9" w14:textId="77777777" w:rsidR="009D64D0" w:rsidRPr="003D3EE8" w:rsidRDefault="009D64D0" w:rsidP="00F470A8">
      <w:pPr>
        <w:overflowPunct w:val="0"/>
        <w:autoSpaceDE w:val="0"/>
        <w:spacing w:line="480" w:lineRule="exact"/>
        <w:ind w:leftChars="100" w:left="1200" w:hangingChars="300" w:hanging="960"/>
        <w:jc w:val="both"/>
        <w:rPr>
          <w:rFonts w:ascii="標楷體" w:eastAsia="標楷體" w:hAnsi="標楷體"/>
          <w:color w:val="000000" w:themeColor="text1"/>
          <w:sz w:val="32"/>
          <w:szCs w:val="32"/>
        </w:rPr>
      </w:pPr>
      <w:r w:rsidRPr="003D3EE8">
        <w:rPr>
          <w:rFonts w:ascii="標楷體" w:eastAsia="標楷體" w:hAnsi="標楷體" w:cs="華康細明體" w:hint="eastAsia"/>
          <w:color w:val="000000" w:themeColor="text1"/>
          <w:kern w:val="0"/>
          <w:sz w:val="32"/>
          <w:szCs w:val="32"/>
        </w:rPr>
        <w:t>通過決議5項：</w:t>
      </w:r>
    </w:p>
    <w:p w14:paraId="14665F31" w14:textId="77777777" w:rsidR="009D64D0" w:rsidRPr="003D3EE8" w:rsidRDefault="009D64D0" w:rsidP="00F470A8">
      <w:pPr>
        <w:overflowPunct w:val="0"/>
        <w:autoSpaceDE w:val="0"/>
        <w:spacing w:line="480" w:lineRule="exact"/>
        <w:ind w:leftChars="100" w:left="56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泛公股民營金控（銀行）均自112年1月1日起依營利事業所得稅查核準則第88條規定，適用員工伙食費每月3千元，爰要求財政部洽行政院人事行政總處檢討國營金融事業機構比照同業採外加發放方式，並提高員工伙食費至每月</w:t>
      </w:r>
      <w:r w:rsidRPr="003D3EE8">
        <w:rPr>
          <w:rFonts w:ascii="標楷體" w:eastAsia="標楷體" w:hAnsi="標楷體" w:hint="eastAsia"/>
          <w:color w:val="000000" w:themeColor="text1"/>
          <w:kern w:val="0"/>
          <w:sz w:val="32"/>
          <w:szCs w:val="32"/>
        </w:rPr>
        <w:t>3千元</w:t>
      </w:r>
      <w:r w:rsidRPr="003D3EE8">
        <w:rPr>
          <w:rFonts w:ascii="標楷體" w:eastAsia="標楷體" w:hAnsi="標楷體" w:hint="eastAsia"/>
          <w:color w:val="000000" w:themeColor="text1"/>
          <w:sz w:val="32"/>
          <w:szCs w:val="32"/>
        </w:rPr>
        <w:t>。說明：(1)各國營金融事業機構員工自82年度起辦理員工薪給調整時，配合併銷之午餐費數額每月750元迄今。(2)經查泛公股民營金控（銀行）均自112年1月1日起，依營利事業所得稅查核準則第88條規定，因應稅制優化將伙食費免稅額由2,400元提高到</w:t>
      </w:r>
      <w:r w:rsidRPr="003D3EE8">
        <w:rPr>
          <w:rFonts w:ascii="標楷體" w:eastAsia="標楷體" w:hAnsi="標楷體" w:hint="eastAsia"/>
          <w:color w:val="000000" w:themeColor="text1"/>
          <w:kern w:val="0"/>
          <w:sz w:val="32"/>
          <w:szCs w:val="32"/>
        </w:rPr>
        <w:t>3千元</w:t>
      </w:r>
      <w:r w:rsidRPr="003D3EE8">
        <w:rPr>
          <w:rFonts w:ascii="標楷體" w:eastAsia="標楷體" w:hAnsi="標楷體" w:hint="eastAsia"/>
          <w:color w:val="000000" w:themeColor="text1"/>
          <w:sz w:val="32"/>
          <w:szCs w:val="32"/>
        </w:rPr>
        <w:t>，多數銀行均以</w:t>
      </w:r>
      <w:r w:rsidRPr="003D3EE8">
        <w:rPr>
          <w:rFonts w:ascii="標楷體" w:eastAsia="標楷體" w:hAnsi="標楷體" w:hint="eastAsia"/>
          <w:color w:val="000000" w:themeColor="text1"/>
          <w:sz w:val="32"/>
          <w:szCs w:val="32"/>
        </w:rPr>
        <w:lastRenderedPageBreak/>
        <w:t>外加方式發放伙食費津貼，國營金融事業機構同屬營利事業且處完全競爭市場，為增進員工福祉，爰建請一體適用，以提升同仁士氣及競爭力。(3)用人費用分析：以國營金融事業機構預算員額數1萬5,395人估算，1年增加用人費約5億5,422萬元，統計資料如下表。(4)綜上，建請調整員工午餐費750元免稅額，員工伙食費比照同業改採外加發放方式，並提高至每月</w:t>
      </w:r>
      <w:r w:rsidRPr="003D3EE8">
        <w:rPr>
          <w:rFonts w:ascii="標楷體" w:eastAsia="標楷體" w:hAnsi="標楷體" w:hint="eastAsia"/>
          <w:color w:val="000000" w:themeColor="text1"/>
          <w:kern w:val="0"/>
          <w:sz w:val="32"/>
          <w:szCs w:val="32"/>
        </w:rPr>
        <w:t>3千元</w:t>
      </w:r>
      <w:r w:rsidRPr="003D3EE8">
        <w:rPr>
          <w:rFonts w:ascii="標楷體" w:eastAsia="標楷體" w:hAnsi="標楷體" w:hint="eastAsia"/>
          <w:color w:val="000000" w:themeColor="text1"/>
          <w:sz w:val="32"/>
          <w:szCs w:val="32"/>
        </w:rPr>
        <w:t>。</w:t>
      </w:r>
    </w:p>
    <w:p w14:paraId="365E8416" w14:textId="77777777" w:rsidR="009D64D0" w:rsidRPr="003D3EE8" w:rsidRDefault="009D64D0" w:rsidP="00F470A8">
      <w:pPr>
        <w:overflowPunct w:val="0"/>
        <w:autoSpaceDE w:val="0"/>
        <w:spacing w:line="480" w:lineRule="exact"/>
        <w:ind w:leftChars="100" w:left="560" w:hangingChars="100" w:hanging="320"/>
        <w:jc w:val="right"/>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新臺幣:千元</w:t>
      </w:r>
    </w:p>
    <w:tbl>
      <w:tblPr>
        <w:tblStyle w:val="af6"/>
        <w:tblW w:w="8698" w:type="dxa"/>
        <w:tblInd w:w="898" w:type="dxa"/>
        <w:tblLook w:val="04A0" w:firstRow="1" w:lastRow="0" w:firstColumn="1" w:lastColumn="0" w:noHBand="0" w:noVBand="1"/>
      </w:tblPr>
      <w:tblGrid>
        <w:gridCol w:w="2207"/>
        <w:gridCol w:w="1695"/>
        <w:gridCol w:w="2255"/>
        <w:gridCol w:w="2541"/>
      </w:tblGrid>
      <w:tr w:rsidR="009D64D0" w:rsidRPr="00592721" w14:paraId="68504575" w14:textId="77777777" w:rsidTr="009D64D0">
        <w:tc>
          <w:tcPr>
            <w:tcW w:w="2207" w:type="dxa"/>
          </w:tcPr>
          <w:p w14:paraId="62FE1D0D"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金融事業機構</w:t>
            </w:r>
          </w:p>
        </w:tc>
        <w:tc>
          <w:tcPr>
            <w:tcW w:w="1695" w:type="dxa"/>
          </w:tcPr>
          <w:p w14:paraId="49AD6C7D"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預算員額</w:t>
            </w:r>
          </w:p>
        </w:tc>
        <w:tc>
          <w:tcPr>
            <w:tcW w:w="2255" w:type="dxa"/>
          </w:tcPr>
          <w:p w14:paraId="1D27DF6A"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每月每人伙食費</w:t>
            </w:r>
          </w:p>
        </w:tc>
        <w:tc>
          <w:tcPr>
            <w:tcW w:w="2541" w:type="dxa"/>
          </w:tcPr>
          <w:p w14:paraId="1DB29D7B"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每年增加用人費用</w:t>
            </w:r>
          </w:p>
        </w:tc>
      </w:tr>
      <w:tr w:rsidR="009D64D0" w:rsidRPr="00592721" w14:paraId="5259C21F" w14:textId="77777777" w:rsidTr="009D64D0">
        <w:tc>
          <w:tcPr>
            <w:tcW w:w="2207" w:type="dxa"/>
          </w:tcPr>
          <w:p w14:paraId="6A85882C"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臺灣金控集團</w:t>
            </w:r>
          </w:p>
        </w:tc>
        <w:tc>
          <w:tcPr>
            <w:tcW w:w="1695" w:type="dxa"/>
          </w:tcPr>
          <w:p w14:paraId="1FC5E4B1" w14:textId="77777777" w:rsidR="009D64D0" w:rsidRPr="00592721" w:rsidRDefault="009D64D0" w:rsidP="00F470A8">
            <w:pPr>
              <w:overflowPunct w:val="0"/>
              <w:spacing w:line="480" w:lineRule="exact"/>
              <w:jc w:val="right"/>
              <w:rPr>
                <w:color w:val="000000" w:themeColor="text1"/>
                <w:sz w:val="28"/>
                <w:szCs w:val="28"/>
              </w:rPr>
            </w:pPr>
            <w:r w:rsidRPr="00592721">
              <w:rPr>
                <w:color w:val="000000" w:themeColor="text1"/>
                <w:sz w:val="28"/>
                <w:szCs w:val="28"/>
              </w:rPr>
              <w:t>9,039</w:t>
            </w:r>
            <w:r w:rsidRPr="00592721">
              <w:rPr>
                <w:rFonts w:hint="eastAsia"/>
                <w:color w:val="000000" w:themeColor="text1"/>
                <w:sz w:val="28"/>
                <w:szCs w:val="28"/>
              </w:rPr>
              <w:t>人</w:t>
            </w:r>
          </w:p>
        </w:tc>
        <w:tc>
          <w:tcPr>
            <w:tcW w:w="2255" w:type="dxa"/>
          </w:tcPr>
          <w:p w14:paraId="05E31293"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3</w:t>
            </w:r>
          </w:p>
        </w:tc>
        <w:tc>
          <w:tcPr>
            <w:tcW w:w="2541" w:type="dxa"/>
          </w:tcPr>
          <w:p w14:paraId="734C54AF" w14:textId="77777777" w:rsidR="009D64D0" w:rsidRPr="00592721" w:rsidRDefault="009D64D0" w:rsidP="00F470A8">
            <w:pPr>
              <w:overflowPunct w:val="0"/>
              <w:spacing w:line="480" w:lineRule="exact"/>
              <w:jc w:val="right"/>
              <w:rPr>
                <w:color w:val="000000" w:themeColor="text1"/>
                <w:sz w:val="28"/>
                <w:szCs w:val="28"/>
              </w:rPr>
            </w:pPr>
            <w:r w:rsidRPr="00592721">
              <w:rPr>
                <w:rFonts w:hint="eastAsia"/>
                <w:color w:val="000000" w:themeColor="text1"/>
                <w:sz w:val="28"/>
                <w:szCs w:val="28"/>
              </w:rPr>
              <w:t>325,404</w:t>
            </w:r>
          </w:p>
        </w:tc>
      </w:tr>
      <w:tr w:rsidR="009D64D0" w:rsidRPr="00592721" w14:paraId="73DCCA53" w14:textId="77777777" w:rsidTr="009D64D0">
        <w:tc>
          <w:tcPr>
            <w:tcW w:w="2207" w:type="dxa"/>
          </w:tcPr>
          <w:p w14:paraId="5879058A"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土地銀行</w:t>
            </w:r>
          </w:p>
        </w:tc>
        <w:tc>
          <w:tcPr>
            <w:tcW w:w="1695" w:type="dxa"/>
          </w:tcPr>
          <w:p w14:paraId="35D656A6" w14:textId="77777777" w:rsidR="009D64D0" w:rsidRPr="00592721" w:rsidRDefault="009D64D0" w:rsidP="00F470A8">
            <w:pPr>
              <w:overflowPunct w:val="0"/>
              <w:spacing w:line="480" w:lineRule="exact"/>
              <w:jc w:val="right"/>
              <w:rPr>
                <w:color w:val="000000" w:themeColor="text1"/>
                <w:sz w:val="28"/>
                <w:szCs w:val="28"/>
              </w:rPr>
            </w:pPr>
            <w:r w:rsidRPr="00592721">
              <w:rPr>
                <w:rFonts w:hint="eastAsia"/>
                <w:color w:val="000000" w:themeColor="text1"/>
                <w:sz w:val="28"/>
                <w:szCs w:val="28"/>
              </w:rPr>
              <w:t>6</w:t>
            </w:r>
            <w:r w:rsidRPr="00592721">
              <w:rPr>
                <w:color w:val="000000" w:themeColor="text1"/>
                <w:sz w:val="28"/>
                <w:szCs w:val="28"/>
              </w:rPr>
              <w:t>,09</w:t>
            </w:r>
            <w:r w:rsidRPr="00592721">
              <w:rPr>
                <w:rFonts w:hint="eastAsia"/>
                <w:color w:val="000000" w:themeColor="text1"/>
                <w:sz w:val="28"/>
                <w:szCs w:val="28"/>
              </w:rPr>
              <w:t>1人</w:t>
            </w:r>
          </w:p>
        </w:tc>
        <w:tc>
          <w:tcPr>
            <w:tcW w:w="2255" w:type="dxa"/>
          </w:tcPr>
          <w:p w14:paraId="7AC6FE22"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3</w:t>
            </w:r>
          </w:p>
        </w:tc>
        <w:tc>
          <w:tcPr>
            <w:tcW w:w="2541" w:type="dxa"/>
          </w:tcPr>
          <w:p w14:paraId="3F106AC4" w14:textId="77777777" w:rsidR="009D64D0" w:rsidRPr="00592721" w:rsidRDefault="009D64D0" w:rsidP="00F470A8">
            <w:pPr>
              <w:overflowPunct w:val="0"/>
              <w:spacing w:line="480" w:lineRule="exact"/>
              <w:jc w:val="right"/>
              <w:rPr>
                <w:color w:val="000000" w:themeColor="text1"/>
                <w:sz w:val="28"/>
                <w:szCs w:val="28"/>
              </w:rPr>
            </w:pPr>
            <w:r w:rsidRPr="00592721">
              <w:rPr>
                <w:rFonts w:hint="eastAsia"/>
                <w:color w:val="000000" w:themeColor="text1"/>
                <w:sz w:val="28"/>
                <w:szCs w:val="28"/>
              </w:rPr>
              <w:t>219,</w:t>
            </w:r>
            <w:r w:rsidRPr="00592721">
              <w:rPr>
                <w:color w:val="000000" w:themeColor="text1"/>
                <w:sz w:val="28"/>
                <w:szCs w:val="28"/>
              </w:rPr>
              <w:t>276</w:t>
            </w:r>
          </w:p>
        </w:tc>
      </w:tr>
      <w:tr w:rsidR="009D64D0" w:rsidRPr="00592721" w14:paraId="4CE78D66" w14:textId="77777777" w:rsidTr="009D64D0">
        <w:tc>
          <w:tcPr>
            <w:tcW w:w="2207" w:type="dxa"/>
          </w:tcPr>
          <w:p w14:paraId="784ACC48"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輸出入銀行</w:t>
            </w:r>
          </w:p>
        </w:tc>
        <w:tc>
          <w:tcPr>
            <w:tcW w:w="1695" w:type="dxa"/>
          </w:tcPr>
          <w:p w14:paraId="688BE95B" w14:textId="77777777" w:rsidR="009D64D0" w:rsidRPr="00592721" w:rsidRDefault="009D64D0" w:rsidP="00F470A8">
            <w:pPr>
              <w:overflowPunct w:val="0"/>
              <w:spacing w:line="480" w:lineRule="exact"/>
              <w:jc w:val="right"/>
              <w:rPr>
                <w:color w:val="000000" w:themeColor="text1"/>
                <w:sz w:val="28"/>
                <w:szCs w:val="28"/>
              </w:rPr>
            </w:pPr>
            <w:r w:rsidRPr="00592721">
              <w:rPr>
                <w:rFonts w:hint="eastAsia"/>
                <w:color w:val="000000" w:themeColor="text1"/>
                <w:sz w:val="28"/>
                <w:szCs w:val="28"/>
              </w:rPr>
              <w:t>265人</w:t>
            </w:r>
          </w:p>
        </w:tc>
        <w:tc>
          <w:tcPr>
            <w:tcW w:w="2255" w:type="dxa"/>
          </w:tcPr>
          <w:p w14:paraId="5A8423FF" w14:textId="77777777" w:rsidR="009D64D0" w:rsidRPr="00592721" w:rsidRDefault="009D64D0" w:rsidP="00F470A8">
            <w:pPr>
              <w:overflowPunct w:val="0"/>
              <w:spacing w:line="480" w:lineRule="exact"/>
              <w:jc w:val="center"/>
              <w:rPr>
                <w:color w:val="000000" w:themeColor="text1"/>
                <w:sz w:val="28"/>
                <w:szCs w:val="28"/>
              </w:rPr>
            </w:pPr>
            <w:r w:rsidRPr="00592721">
              <w:rPr>
                <w:rFonts w:hint="eastAsia"/>
                <w:color w:val="000000" w:themeColor="text1"/>
                <w:sz w:val="28"/>
                <w:szCs w:val="28"/>
              </w:rPr>
              <w:t>3</w:t>
            </w:r>
          </w:p>
        </w:tc>
        <w:tc>
          <w:tcPr>
            <w:tcW w:w="2541" w:type="dxa"/>
          </w:tcPr>
          <w:p w14:paraId="1A65C29C" w14:textId="77777777" w:rsidR="009D64D0" w:rsidRPr="00592721" w:rsidRDefault="009D64D0" w:rsidP="00F470A8">
            <w:pPr>
              <w:overflowPunct w:val="0"/>
              <w:spacing w:line="480" w:lineRule="exact"/>
              <w:jc w:val="right"/>
              <w:rPr>
                <w:color w:val="000000" w:themeColor="text1"/>
                <w:sz w:val="28"/>
                <w:szCs w:val="28"/>
              </w:rPr>
            </w:pPr>
            <w:r w:rsidRPr="00592721">
              <w:rPr>
                <w:rFonts w:hint="eastAsia"/>
                <w:color w:val="000000" w:themeColor="text1"/>
                <w:sz w:val="28"/>
                <w:szCs w:val="28"/>
              </w:rPr>
              <w:t>9</w:t>
            </w:r>
            <w:r w:rsidRPr="00592721">
              <w:rPr>
                <w:color w:val="000000" w:themeColor="text1"/>
                <w:sz w:val="28"/>
                <w:szCs w:val="28"/>
              </w:rPr>
              <w:t>,540</w:t>
            </w:r>
          </w:p>
        </w:tc>
      </w:tr>
    </w:tbl>
    <w:p w14:paraId="6A285AC4" w14:textId="08F52C3D"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提案人：郭國文　吳秉叡　伍麗華</w:t>
      </w:r>
    </w:p>
    <w:p w14:paraId="292F13CE" w14:textId="77777777" w:rsidR="009D64D0" w:rsidRPr="003D3EE8" w:rsidRDefault="009D64D0" w:rsidP="00F470A8">
      <w:pPr>
        <w:overflowPunct w:val="0"/>
        <w:autoSpaceDE w:val="0"/>
        <w:spacing w:line="480" w:lineRule="exact"/>
        <w:ind w:leftChars="100" w:left="56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2.鑑於少子化已是國安問題，國營金融事業機構應響應政府政策，落實ESG員工照護，善盡企業社會責任，鼓勵年輕人敢生願養，有關員工生育補助事宜，</w:t>
      </w:r>
      <w:r w:rsidRPr="003D3EE8">
        <w:rPr>
          <w:rFonts w:ascii="標楷體" w:eastAsia="標楷體" w:hAnsi="標楷體" w:hint="eastAsia"/>
          <w:color w:val="000000" w:themeColor="text1"/>
          <w:kern w:val="0"/>
          <w:sz w:val="32"/>
          <w:szCs w:val="32"/>
        </w:rPr>
        <w:t>爰要求財政部洽行政院人事行政總處檢討</w:t>
      </w:r>
      <w:r w:rsidRPr="003D3EE8">
        <w:rPr>
          <w:rFonts w:ascii="標楷體" w:eastAsia="標楷體" w:hAnsi="標楷體" w:hint="eastAsia"/>
          <w:color w:val="000000" w:themeColor="text1"/>
          <w:sz w:val="32"/>
          <w:szCs w:val="32"/>
        </w:rPr>
        <w:t>每胎補助10萬元。說明：(1)各國營金融事業機構目前員工生育補助，每胎發給補助2</w:t>
      </w:r>
      <w:r w:rsidRPr="003D3EE8">
        <w:rPr>
          <w:rFonts w:ascii="標楷體" w:eastAsia="標楷體" w:hAnsi="標楷體" w:hint="eastAsia"/>
          <w:color w:val="000000" w:themeColor="text1"/>
          <w:kern w:val="0"/>
          <w:sz w:val="32"/>
          <w:szCs w:val="32"/>
        </w:rPr>
        <w:t>千</w:t>
      </w:r>
      <w:r w:rsidRPr="003D3EE8">
        <w:rPr>
          <w:rFonts w:ascii="標楷體" w:eastAsia="標楷體" w:hAnsi="標楷體" w:hint="eastAsia"/>
          <w:color w:val="000000" w:themeColor="text1"/>
          <w:sz w:val="32"/>
          <w:szCs w:val="32"/>
        </w:rPr>
        <w:t>至1萬元不等，其他泛公股金融機構生育補助，第一胎約為5至12萬元，第二胎以上約為8至36萬元，相較之下，泛公股銀行生育補助金額較</w:t>
      </w:r>
      <w:r w:rsidRPr="003D3EE8">
        <w:rPr>
          <w:rFonts w:ascii="標楷體" w:eastAsia="標楷體" w:hAnsi="標楷體" w:hint="eastAsia"/>
          <w:color w:val="000000" w:themeColor="text1"/>
          <w:kern w:val="0"/>
          <w:sz w:val="32"/>
          <w:szCs w:val="32"/>
        </w:rPr>
        <w:t>各國營金融事業機構</w:t>
      </w:r>
      <w:r w:rsidRPr="003D3EE8">
        <w:rPr>
          <w:rFonts w:ascii="標楷體" w:eastAsia="標楷體" w:hAnsi="標楷體" w:hint="eastAsia"/>
          <w:color w:val="000000" w:themeColor="text1"/>
          <w:sz w:val="32"/>
          <w:szCs w:val="32"/>
        </w:rPr>
        <w:t>高出許多，更顯</w:t>
      </w:r>
      <w:r w:rsidRPr="003D3EE8">
        <w:rPr>
          <w:rFonts w:ascii="標楷體" w:eastAsia="標楷體" w:hAnsi="標楷體" w:hint="eastAsia"/>
          <w:color w:val="000000" w:themeColor="text1"/>
          <w:kern w:val="0"/>
          <w:sz w:val="32"/>
          <w:szCs w:val="32"/>
        </w:rPr>
        <w:t>各國營金融</w:t>
      </w:r>
      <w:r w:rsidRPr="003D3EE8">
        <w:rPr>
          <w:rFonts w:ascii="標楷體" w:eastAsia="標楷體" w:hAnsi="標楷體" w:hint="eastAsia"/>
          <w:color w:val="000000" w:themeColor="text1"/>
          <w:sz w:val="32"/>
          <w:szCs w:val="32"/>
        </w:rPr>
        <w:t>事業機構在攬才留才上競爭力的不足，且少子化現象已成國安問題，鼓勵生育已成為全民必須共同面對的課題。(2)用人費用分析：以每胎補助10萬元設算，預估每年新生兒人數281名，1年增加用人費約2</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810萬元，占用人費用比率最高不逾0.3%，經</w:t>
      </w:r>
      <w:r w:rsidRPr="003D3EE8">
        <w:rPr>
          <w:rFonts w:ascii="標楷體" w:eastAsia="標楷體" w:hAnsi="標楷體" w:hint="eastAsia"/>
          <w:color w:val="000000" w:themeColor="text1"/>
          <w:kern w:val="0"/>
          <w:sz w:val="32"/>
          <w:szCs w:val="32"/>
        </w:rPr>
        <w:t>各國營金融</w:t>
      </w:r>
      <w:r w:rsidRPr="003D3EE8">
        <w:rPr>
          <w:rFonts w:ascii="標楷體" w:eastAsia="標楷體" w:hAnsi="標楷體" w:hint="eastAsia"/>
          <w:color w:val="000000" w:themeColor="text1"/>
          <w:sz w:val="32"/>
          <w:szCs w:val="32"/>
        </w:rPr>
        <w:t>事業機構評估尚在用人費用可負擔範圍內。統計資料如下表。(</w:t>
      </w:r>
      <w:r w:rsidRPr="003D3EE8">
        <w:rPr>
          <w:rFonts w:ascii="標楷體" w:eastAsia="標楷體" w:hAnsi="標楷體"/>
          <w:color w:val="000000" w:themeColor="text1"/>
          <w:sz w:val="32"/>
          <w:szCs w:val="32"/>
        </w:rPr>
        <w:t>3)</w:t>
      </w:r>
      <w:r w:rsidRPr="003D3EE8">
        <w:rPr>
          <w:rFonts w:ascii="標楷體" w:eastAsia="標楷體" w:hAnsi="標楷體" w:hint="eastAsia"/>
          <w:color w:val="000000" w:themeColor="text1"/>
          <w:sz w:val="32"/>
          <w:szCs w:val="32"/>
        </w:rPr>
        <w:t>經查</w:t>
      </w:r>
      <w:r w:rsidRPr="003D3EE8">
        <w:rPr>
          <w:rFonts w:ascii="標楷體" w:eastAsia="標楷體" w:hAnsi="標楷體" w:hint="eastAsia"/>
          <w:color w:val="000000" w:themeColor="text1"/>
          <w:kern w:val="0"/>
          <w:sz w:val="32"/>
          <w:szCs w:val="32"/>
        </w:rPr>
        <w:t>各國營金融</w:t>
      </w:r>
      <w:r w:rsidRPr="003D3EE8">
        <w:rPr>
          <w:rFonts w:ascii="標楷體" w:eastAsia="標楷體" w:hAnsi="標楷體" w:hint="eastAsia"/>
          <w:color w:val="000000" w:themeColor="text1"/>
          <w:sz w:val="32"/>
          <w:szCs w:val="32"/>
        </w:rPr>
        <w:t>事業機構評估實施員工生育補助措施，所需費用占用人費用比率不高，爰在用人費可支應前提下，以實際行動降低年輕員工育兒負擔，不僅營造幸福、友善職場，亦有助於促進</w:t>
      </w:r>
      <w:r w:rsidRPr="003D3EE8">
        <w:rPr>
          <w:rFonts w:ascii="標楷體" w:eastAsia="標楷體" w:hAnsi="標楷體" w:hint="eastAsia"/>
          <w:color w:val="000000" w:themeColor="text1"/>
          <w:kern w:val="0"/>
          <w:sz w:val="32"/>
          <w:szCs w:val="32"/>
        </w:rPr>
        <w:t>各國營金融</w:t>
      </w:r>
      <w:r w:rsidRPr="003D3EE8">
        <w:rPr>
          <w:rFonts w:ascii="標楷體" w:eastAsia="標楷體" w:hAnsi="標楷體" w:hint="eastAsia"/>
          <w:color w:val="000000" w:themeColor="text1"/>
          <w:sz w:val="32"/>
          <w:szCs w:val="32"/>
        </w:rPr>
        <w:t>事業機構永續發展，共同建構金融、企業、社會與環境共生、共榮之永續金融生態圈，俾落實員工照護之目的，讓年輕同仁親身感受政府溫暖施政，也</w:t>
      </w:r>
      <w:r w:rsidRPr="003D3EE8">
        <w:rPr>
          <w:rFonts w:ascii="標楷體" w:eastAsia="標楷體" w:hAnsi="標楷體" w:hint="eastAsia"/>
          <w:color w:val="000000" w:themeColor="text1"/>
          <w:sz w:val="32"/>
          <w:szCs w:val="32"/>
        </w:rPr>
        <w:lastRenderedPageBreak/>
        <w:t>讓國家、社會更能堅韌面對未來挑戰。(</w:t>
      </w:r>
      <w:r w:rsidRPr="003D3EE8">
        <w:rPr>
          <w:rFonts w:ascii="標楷體" w:eastAsia="標楷體" w:hAnsi="標楷體"/>
          <w:color w:val="000000" w:themeColor="text1"/>
          <w:sz w:val="32"/>
          <w:szCs w:val="32"/>
        </w:rPr>
        <w:t>4)</w:t>
      </w:r>
      <w:r w:rsidRPr="003D3EE8">
        <w:rPr>
          <w:rFonts w:ascii="標楷體" w:eastAsia="標楷體" w:hAnsi="標楷體" w:hint="eastAsia"/>
          <w:color w:val="000000" w:themeColor="text1"/>
          <w:sz w:val="32"/>
          <w:szCs w:val="32"/>
        </w:rPr>
        <w:t>綜上，鼓勵年輕員工敢生願養，有關員工生育補助事宜，建議改以用人費用項下支應，並參照同業每胎補助10萬元。</w:t>
      </w:r>
    </w:p>
    <w:p w14:paraId="0E179051" w14:textId="77777777" w:rsidR="009D64D0" w:rsidRPr="003D3EE8" w:rsidRDefault="009D64D0" w:rsidP="00F470A8">
      <w:pPr>
        <w:overflowPunct w:val="0"/>
        <w:autoSpaceDE w:val="0"/>
        <w:spacing w:line="480" w:lineRule="exact"/>
        <w:ind w:leftChars="100" w:left="560" w:hangingChars="100" w:hanging="320"/>
        <w:jc w:val="right"/>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新臺幣:千元</w:t>
      </w:r>
    </w:p>
    <w:tbl>
      <w:tblPr>
        <w:tblStyle w:val="af6"/>
        <w:tblW w:w="0" w:type="auto"/>
        <w:tblInd w:w="896" w:type="dxa"/>
        <w:tblLook w:val="04A0" w:firstRow="1" w:lastRow="0" w:firstColumn="1" w:lastColumn="0" w:noHBand="0" w:noVBand="1"/>
      </w:tblPr>
      <w:tblGrid>
        <w:gridCol w:w="2207"/>
        <w:gridCol w:w="1695"/>
        <w:gridCol w:w="2255"/>
        <w:gridCol w:w="2541"/>
      </w:tblGrid>
      <w:tr w:rsidR="009D64D0" w:rsidRPr="00BA46D9" w14:paraId="3D304058" w14:textId="77777777" w:rsidTr="009D64D0">
        <w:tc>
          <w:tcPr>
            <w:tcW w:w="2207" w:type="dxa"/>
          </w:tcPr>
          <w:p w14:paraId="39083C08"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金融事業機構</w:t>
            </w:r>
          </w:p>
        </w:tc>
        <w:tc>
          <w:tcPr>
            <w:tcW w:w="1695" w:type="dxa"/>
          </w:tcPr>
          <w:p w14:paraId="0BF3D920"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新生兒人數</w:t>
            </w:r>
          </w:p>
        </w:tc>
        <w:tc>
          <w:tcPr>
            <w:tcW w:w="2255" w:type="dxa"/>
          </w:tcPr>
          <w:p w14:paraId="24DD486A"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每名生育補助</w:t>
            </w:r>
          </w:p>
        </w:tc>
        <w:tc>
          <w:tcPr>
            <w:tcW w:w="2541" w:type="dxa"/>
          </w:tcPr>
          <w:p w14:paraId="582FCF4A"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每年增加用人費用</w:t>
            </w:r>
          </w:p>
        </w:tc>
      </w:tr>
      <w:tr w:rsidR="009D64D0" w:rsidRPr="00BA46D9" w14:paraId="14C5236E" w14:textId="77777777" w:rsidTr="009D64D0">
        <w:tc>
          <w:tcPr>
            <w:tcW w:w="2207" w:type="dxa"/>
          </w:tcPr>
          <w:p w14:paraId="7F215079"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臺灣金控集團</w:t>
            </w:r>
          </w:p>
        </w:tc>
        <w:tc>
          <w:tcPr>
            <w:tcW w:w="1695" w:type="dxa"/>
          </w:tcPr>
          <w:p w14:paraId="3C19305D"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200人</w:t>
            </w:r>
          </w:p>
        </w:tc>
        <w:tc>
          <w:tcPr>
            <w:tcW w:w="2255" w:type="dxa"/>
          </w:tcPr>
          <w:p w14:paraId="2D6123BF"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100</w:t>
            </w:r>
          </w:p>
        </w:tc>
        <w:tc>
          <w:tcPr>
            <w:tcW w:w="2541" w:type="dxa"/>
          </w:tcPr>
          <w:p w14:paraId="02A52690"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20,000</w:t>
            </w:r>
          </w:p>
        </w:tc>
      </w:tr>
      <w:tr w:rsidR="009D64D0" w:rsidRPr="00BA46D9" w14:paraId="5A55383C" w14:textId="77777777" w:rsidTr="009D64D0">
        <w:tc>
          <w:tcPr>
            <w:tcW w:w="2207" w:type="dxa"/>
          </w:tcPr>
          <w:p w14:paraId="69ECE084"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土地銀行</w:t>
            </w:r>
          </w:p>
        </w:tc>
        <w:tc>
          <w:tcPr>
            <w:tcW w:w="1695" w:type="dxa"/>
          </w:tcPr>
          <w:p w14:paraId="3F6E2994"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74人</w:t>
            </w:r>
          </w:p>
        </w:tc>
        <w:tc>
          <w:tcPr>
            <w:tcW w:w="2255" w:type="dxa"/>
          </w:tcPr>
          <w:p w14:paraId="003DF5C0"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100</w:t>
            </w:r>
          </w:p>
        </w:tc>
        <w:tc>
          <w:tcPr>
            <w:tcW w:w="2541" w:type="dxa"/>
          </w:tcPr>
          <w:p w14:paraId="64097833"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7,400</w:t>
            </w:r>
          </w:p>
        </w:tc>
      </w:tr>
      <w:tr w:rsidR="009D64D0" w:rsidRPr="00BA46D9" w14:paraId="59A25AA9" w14:textId="77777777" w:rsidTr="009D64D0">
        <w:tc>
          <w:tcPr>
            <w:tcW w:w="2207" w:type="dxa"/>
          </w:tcPr>
          <w:p w14:paraId="125B39C1"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輸出入銀行</w:t>
            </w:r>
          </w:p>
        </w:tc>
        <w:tc>
          <w:tcPr>
            <w:tcW w:w="1695" w:type="dxa"/>
          </w:tcPr>
          <w:p w14:paraId="50C3606D"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7人</w:t>
            </w:r>
          </w:p>
        </w:tc>
        <w:tc>
          <w:tcPr>
            <w:tcW w:w="2255" w:type="dxa"/>
          </w:tcPr>
          <w:p w14:paraId="72572217"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100</w:t>
            </w:r>
          </w:p>
        </w:tc>
        <w:tc>
          <w:tcPr>
            <w:tcW w:w="2541" w:type="dxa"/>
          </w:tcPr>
          <w:p w14:paraId="13C3CD29"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700</w:t>
            </w:r>
          </w:p>
        </w:tc>
      </w:tr>
    </w:tbl>
    <w:p w14:paraId="447CEB26" w14:textId="1AFDFF7D"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提案人：郭國文　吳秉叡　伍麗華</w:t>
      </w:r>
    </w:p>
    <w:p w14:paraId="0755DDE9" w14:textId="77777777" w:rsidR="009D64D0" w:rsidRPr="003D3EE8" w:rsidRDefault="009D64D0" w:rsidP="00F470A8">
      <w:pPr>
        <w:overflowPunct w:val="0"/>
        <w:autoSpaceDE w:val="0"/>
        <w:spacing w:line="480" w:lineRule="exact"/>
        <w:ind w:leftChars="100" w:left="56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3.為有效解決國營金融事業機構缺乏攬才留才誘因之迫切需求，</w:t>
      </w:r>
      <w:r w:rsidRPr="003D3EE8">
        <w:rPr>
          <w:rFonts w:ascii="標楷體" w:eastAsia="標楷體" w:hAnsi="標楷體" w:hint="eastAsia"/>
          <w:color w:val="000000" w:themeColor="text1"/>
          <w:kern w:val="0"/>
          <w:sz w:val="32"/>
          <w:szCs w:val="32"/>
        </w:rPr>
        <w:t>爰要求財政部洽行政院人事行政總處檢討有關</w:t>
      </w:r>
      <w:r w:rsidRPr="003D3EE8">
        <w:rPr>
          <w:rFonts w:ascii="標楷體" w:eastAsia="標楷體" w:hAnsi="標楷體" w:hint="eastAsia"/>
          <w:color w:val="000000" w:themeColor="text1"/>
          <w:sz w:val="32"/>
          <w:szCs w:val="32"/>
        </w:rPr>
        <w:t>財政部所屬國營金融事業機構經營績效獎金提撥總額(4.4個月)上限應與時俱進，比照泛公股銀行調高至4.6個月；另比照泛公股銀行依獲利狀況提撥(1%至8%)員工酬勞。說明：(1)現行制度僵化，無法突破經營績效獎金上限：</w:t>
      </w:r>
      <w:r w:rsidRPr="003D3EE8">
        <w:rPr>
          <w:rFonts w:ascii="標楷體" w:eastAsia="標楷體" w:hAnsi="標楷體"/>
          <w:color w:val="000000" w:themeColor="text1"/>
          <w:sz w:val="32"/>
          <w:szCs w:val="32"/>
        </w:rPr>
        <w:fldChar w:fldCharType="begin"/>
      </w:r>
      <w:r w:rsidRPr="003D3EE8">
        <w:rPr>
          <w:rFonts w:ascii="標楷體" w:eastAsia="標楷體" w:hAnsi="標楷體"/>
          <w:color w:val="000000" w:themeColor="text1"/>
          <w:sz w:val="32"/>
          <w:szCs w:val="32"/>
        </w:rPr>
        <w:instrText xml:space="preserve"> </w:instrText>
      </w:r>
      <w:r w:rsidRPr="003D3EE8">
        <w:rPr>
          <w:rFonts w:ascii="標楷體" w:eastAsia="標楷體" w:hAnsi="標楷體" w:hint="eastAsia"/>
          <w:color w:val="000000" w:themeColor="text1"/>
          <w:sz w:val="32"/>
          <w:szCs w:val="32"/>
        </w:rPr>
        <w:instrText>eq \o\ac(○,1)</w:instrText>
      </w:r>
      <w:r w:rsidRPr="003D3EE8">
        <w:rPr>
          <w:rFonts w:ascii="標楷體" w:eastAsia="標楷體" w:hAnsi="標楷體"/>
          <w:color w:val="000000" w:themeColor="text1"/>
          <w:sz w:val="32"/>
          <w:szCs w:val="32"/>
        </w:rPr>
        <w:fldChar w:fldCharType="end"/>
      </w:r>
      <w:r w:rsidRPr="003D3EE8">
        <w:rPr>
          <w:rFonts w:ascii="標楷體" w:eastAsia="標楷體" w:hAnsi="標楷體" w:hint="eastAsia"/>
          <w:color w:val="000000" w:themeColor="text1"/>
          <w:sz w:val="32"/>
          <w:szCs w:val="32"/>
        </w:rPr>
        <w:t>發放標準(原4.6個月)始於行政院77年12月29日核准通過經濟部所屬事業經營績效獎金實施要點，當時績效獎金最高提撥上限為2.6個月。此後交通部與財政部等主管機關相繼仿效，並於各事業機構用人費薪給管理要點中納入考核獎金及績效獎金（合稱經營績效獎金）總額上限4.6個月規範，研擬各所屬事業機構經營績效獎金實施要點。</w:t>
      </w:r>
      <w:r w:rsidRPr="003D3EE8">
        <w:rPr>
          <w:rFonts w:ascii="標楷體" w:eastAsia="標楷體" w:hAnsi="標楷體" w:cs="華康細明體"/>
          <w:color w:val="000000" w:themeColor="text1"/>
          <w:kern w:val="0"/>
          <w:sz w:val="32"/>
          <w:szCs w:val="32"/>
        </w:rPr>
        <w:fldChar w:fldCharType="begin"/>
      </w:r>
      <w:r w:rsidRPr="003D3EE8">
        <w:rPr>
          <w:rFonts w:ascii="標楷體" w:eastAsia="標楷體" w:hAnsi="標楷體" w:cs="華康細明體"/>
          <w:color w:val="000000" w:themeColor="text1"/>
          <w:kern w:val="0"/>
          <w:sz w:val="32"/>
          <w:szCs w:val="32"/>
        </w:rPr>
        <w:instrText xml:space="preserve"> </w:instrText>
      </w:r>
      <w:r w:rsidRPr="003D3EE8">
        <w:rPr>
          <w:rFonts w:ascii="標楷體" w:eastAsia="標楷體" w:hAnsi="標楷體" w:cs="華康細明體" w:hint="eastAsia"/>
          <w:color w:val="000000" w:themeColor="text1"/>
          <w:kern w:val="0"/>
          <w:sz w:val="32"/>
          <w:szCs w:val="32"/>
        </w:rPr>
        <w:instrText>eq \o\ac(○,2)</w:instrText>
      </w:r>
      <w:r w:rsidRPr="003D3EE8">
        <w:rPr>
          <w:rFonts w:ascii="標楷體" w:eastAsia="標楷體" w:hAnsi="標楷體" w:cs="華康細明體"/>
          <w:color w:val="000000" w:themeColor="text1"/>
          <w:kern w:val="0"/>
          <w:sz w:val="32"/>
          <w:szCs w:val="32"/>
        </w:rPr>
        <w:fldChar w:fldCharType="end"/>
      </w:r>
      <w:r w:rsidRPr="003D3EE8">
        <w:rPr>
          <w:rFonts w:ascii="標楷體" w:eastAsia="標楷體" w:hAnsi="標楷體" w:hint="eastAsia"/>
          <w:color w:val="000000" w:themeColor="text1"/>
          <w:sz w:val="32"/>
          <w:szCs w:val="32"/>
        </w:rPr>
        <w:t>現行發放標準(4.4個月)則係因102年立法院第8屆第4會期財政委員會第13次全體委員會決議，財政部爰修正財政部所屬事業機構經營績效獎金實施要點為最高提撥4.4個月薪給總額。至此，即使國營銀行戮力經營，盈餘屢創佳績，經營績效獎金提撥總額均未能突破最高4.4個月上限。(</w:t>
      </w:r>
      <w:r w:rsidRPr="003D3EE8">
        <w:rPr>
          <w:rFonts w:ascii="標楷體" w:eastAsia="標楷體" w:hAnsi="標楷體"/>
          <w:color w:val="000000" w:themeColor="text1"/>
          <w:sz w:val="32"/>
          <w:szCs w:val="32"/>
        </w:rPr>
        <w:t>2)</w:t>
      </w:r>
      <w:r w:rsidRPr="003D3EE8">
        <w:rPr>
          <w:rFonts w:ascii="標楷體" w:eastAsia="標楷體" w:hAnsi="標楷體" w:hint="eastAsia"/>
          <w:color w:val="000000" w:themeColor="text1"/>
          <w:sz w:val="32"/>
          <w:szCs w:val="32"/>
        </w:rPr>
        <w:t>民營銀行崛起，國營金融事業機構在人力競爭中失利:自87年起，公營銀行陸續民營化，其員工薪酬福利可逕由董事會決議後迅速施行；相形之下，國營金融事業機構仍受既有規範束縛。惟金融業處於完全競爭市場，國營金融事業機構面對民營銀行薪酬挑戰，待遇已明顯落後。又泛公股銀行除經營績效獎金4.6個月外，另有超盈餘獎金及員工酬勞(依公司章程規定按</w:t>
      </w:r>
      <w:r w:rsidRPr="003D3EE8">
        <w:rPr>
          <w:rFonts w:ascii="標楷體" w:eastAsia="標楷體" w:hAnsi="標楷體" w:hint="eastAsia"/>
          <w:color w:val="000000" w:themeColor="text1"/>
          <w:sz w:val="32"/>
          <w:szCs w:val="32"/>
        </w:rPr>
        <w:lastRenderedPageBreak/>
        <w:t>獲利狀況提撥1%至8%），約1.9至3.7個月，遠高於國營金融事業機構。國營金融事業機構因相關限制，無法像民營及泛公股銀行一樣將員工貢獻程度反映於薪酬，致使招募新進員工時缺乏吸引力，員工待遇之顯著差距已嚴重削弱國營金融事業機構攬才留才的力道，以近3年報考國營金融事業機構人數已呈逐漸下滑趨勢，報到率也下滑至八成多足可證之，甚至面臨無法足額錄取之窘境。據調查，</w:t>
      </w:r>
      <w:r w:rsidRPr="003D3EE8">
        <w:rPr>
          <w:rFonts w:ascii="標楷體" w:eastAsia="標楷體" w:hAnsi="標楷體" w:hint="eastAsia"/>
          <w:color w:val="000000" w:themeColor="text1"/>
          <w:kern w:val="0"/>
          <w:sz w:val="32"/>
          <w:szCs w:val="32"/>
        </w:rPr>
        <w:t>臺灣銀行股份有限公司</w:t>
      </w:r>
      <w:r w:rsidRPr="003D3EE8">
        <w:rPr>
          <w:rFonts w:ascii="標楷體" w:eastAsia="標楷體" w:hAnsi="標楷體" w:hint="eastAsia"/>
          <w:color w:val="000000" w:themeColor="text1"/>
          <w:sz w:val="32"/>
          <w:szCs w:val="32"/>
        </w:rPr>
        <w:t>報考人數從111年每個錄取名額有14人角逐，驟降至113年的7人，顯見國營金融事業機構的就業吸引力正逐漸下滑。此現象，無疑是國營金融事業機構薪酬待遇未能與金融市場接軌的警訊，薪酬如磁石，既影響新進人員的招募，亦左右現職員工去留及企業永續發展。提高現行經營績效獎金的提撥月數，正是應對此一挑戰的關鍵策略之一，爰亟待主管機關能正視國營金融事業機構面臨金融業高強度競爭環境的現實狀況，並給予充分支持。(3)標準不一致，國營金融事業機構員工待遇處於劣勢：查公司法第235條之1第1項規定：「公司應於章程訂明以當年度獲利狀況之定額或比率，分派員工酬勞。…」，泛公股銀行依上開規定可於公司章程訂定按獲利狀況提撥1%至8%不等之員工酬勞；同受財政部督導的國營金融事業機構卻受限制，缺乏一致性。(4)改革刻不容緩，建請修訂績效獎金上限及提撥員工酬勞比率，以利國營金融事業機構吸納優秀人才；為有效解決國營金融事業機構在招攬及留用人才的顯著弱勢，與時俱進修訂績效獎金上限已是迫在眉睫。爰建請鬆綁現行用人費薪給管理要點及經營績效獎金實施要點上限至4.6個月；並比照同業依獲利狀況提撥一定比率(1%至8%)的員工酬勞；使國營金融事業機構員工待遇能更公平地反映具體貢獻，讓優秀人才願意來、留得住。</w:t>
      </w:r>
    </w:p>
    <w:p w14:paraId="042EE39A" w14:textId="7B2DE5FB"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提案人：郭國文　吳秉叡　伍麗華</w:t>
      </w:r>
    </w:p>
    <w:p w14:paraId="15DE4804" w14:textId="77777777" w:rsidR="009D64D0" w:rsidRPr="003D3EE8" w:rsidRDefault="009D64D0" w:rsidP="00F470A8">
      <w:pPr>
        <w:overflowPunct w:val="0"/>
        <w:autoSpaceDE w:val="0"/>
        <w:spacing w:line="480" w:lineRule="exact"/>
        <w:ind w:leftChars="100" w:left="56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4.為落實員工照護及增進員工向心力，踐履企業永續發展責任，</w:t>
      </w:r>
      <w:r w:rsidRPr="003D3EE8">
        <w:rPr>
          <w:rFonts w:ascii="標楷體" w:eastAsia="標楷體" w:hAnsi="標楷體" w:hint="eastAsia"/>
          <w:color w:val="000000" w:themeColor="text1"/>
          <w:kern w:val="0"/>
          <w:sz w:val="32"/>
          <w:szCs w:val="32"/>
        </w:rPr>
        <w:t>爰要求財政部洽行政院人事行政總處檢討</w:t>
      </w:r>
      <w:r w:rsidRPr="003D3EE8">
        <w:rPr>
          <w:rFonts w:ascii="標楷體" w:eastAsia="標楷體" w:hAnsi="標楷體" w:hint="eastAsia"/>
          <w:color w:val="000000" w:themeColor="text1"/>
          <w:sz w:val="32"/>
          <w:szCs w:val="32"/>
        </w:rPr>
        <w:t>國營金融事業機構比照泛公股銀行辦理員工福利信託，辦理方式為員工薪資提存金每月</w:t>
      </w:r>
      <w:r w:rsidRPr="003D3EE8">
        <w:rPr>
          <w:rFonts w:ascii="標楷體" w:eastAsia="標楷體" w:hAnsi="標楷體" w:hint="eastAsia"/>
          <w:color w:val="000000" w:themeColor="text1"/>
          <w:kern w:val="0"/>
          <w:sz w:val="32"/>
          <w:szCs w:val="32"/>
        </w:rPr>
        <w:t>1</w:t>
      </w:r>
      <w:r w:rsidRPr="003D3EE8">
        <w:rPr>
          <w:rFonts w:ascii="標楷體" w:eastAsia="標楷體" w:hAnsi="標楷體" w:hint="eastAsia"/>
          <w:color w:val="000000" w:themeColor="text1"/>
          <w:kern w:val="0"/>
          <w:sz w:val="32"/>
          <w:szCs w:val="32"/>
        </w:rPr>
        <w:lastRenderedPageBreak/>
        <w:t>千元以上</w:t>
      </w:r>
      <w:r w:rsidRPr="003D3EE8">
        <w:rPr>
          <w:rFonts w:ascii="標楷體" w:eastAsia="標楷體" w:hAnsi="標楷體" w:hint="eastAsia"/>
          <w:color w:val="000000" w:themeColor="text1"/>
          <w:sz w:val="32"/>
          <w:szCs w:val="32"/>
        </w:rPr>
        <w:t>（含）、公司獎勵金每月1千元以上（含）。說明：(1)我國目前邁入超高齡社會，但勞工退休後生活若僅有勞保及勞退給付，所得替代率約僅三、四成，距離世界銀行建議應至少七成，才能維持退休前的生活水準，其中不足的退休準備，需透過企業與員工一起努力累積。因此，蔡前總統於108年12月9日出席財政部舉行公股事業推動團體協約及員工持股信託見證儀式中，即期許公股銀行能發揮政策示範作用，未來帶動更多企業跟進，除重視與員工之溝通外，並樂於分享企業經營成果，以創造勞資和諧、企業成功發展、經濟繁榮之多贏局面。此外，金融監督管理委員會並已將企業辦理員工福利信託納入公司治理評鑑落實企業社會責任之額外加分項目，鼓勵上市（櫃）公司採行，以強化企業之社會責任。(2)經查截至113年1月，</w:t>
      </w:r>
      <w:r w:rsidRPr="003D3EE8">
        <w:rPr>
          <w:rFonts w:ascii="標楷體" w:eastAsia="標楷體" w:hAnsi="標楷體" w:hint="eastAsia"/>
          <w:color w:val="000000" w:themeColor="text1"/>
          <w:kern w:val="0"/>
          <w:sz w:val="32"/>
          <w:szCs w:val="32"/>
        </w:rPr>
        <w:t>臺灣中小企業銀行股份有限公司</w:t>
      </w:r>
      <w:r w:rsidRPr="003D3EE8">
        <w:rPr>
          <w:rFonts w:ascii="標楷體" w:eastAsia="標楷體" w:hAnsi="標楷體" w:hint="eastAsia"/>
          <w:color w:val="000000" w:themeColor="text1"/>
          <w:sz w:val="32"/>
          <w:szCs w:val="32"/>
        </w:rPr>
        <w:t>、第一商業銀行股份有限公司、彰化商</w:t>
      </w:r>
      <w:r w:rsidRPr="003D3EE8">
        <w:rPr>
          <w:rFonts w:ascii="標楷體" w:eastAsia="標楷體" w:hAnsi="標楷體" w:hint="eastAsia"/>
          <w:color w:val="000000" w:themeColor="text1"/>
          <w:kern w:val="0"/>
          <w:sz w:val="32"/>
          <w:szCs w:val="32"/>
        </w:rPr>
        <w:t>業銀行股份有限公司</w:t>
      </w:r>
      <w:r w:rsidRPr="003D3EE8">
        <w:rPr>
          <w:rFonts w:ascii="標楷體" w:eastAsia="標楷體" w:hAnsi="標楷體" w:hint="eastAsia"/>
          <w:color w:val="000000" w:themeColor="text1"/>
          <w:sz w:val="32"/>
          <w:szCs w:val="32"/>
        </w:rPr>
        <w:t>、</w:t>
      </w:r>
      <w:r w:rsidRPr="003D3EE8">
        <w:rPr>
          <w:rFonts w:ascii="標楷體" w:eastAsia="標楷體" w:hAnsi="標楷體" w:hint="eastAsia"/>
          <w:color w:val="000000" w:themeColor="text1"/>
          <w:kern w:val="0"/>
          <w:sz w:val="32"/>
          <w:szCs w:val="32"/>
        </w:rPr>
        <w:t>合作金庫商業銀行股份有限公司</w:t>
      </w:r>
      <w:r w:rsidRPr="003D3EE8">
        <w:rPr>
          <w:rFonts w:ascii="標楷體" w:eastAsia="標楷體" w:hAnsi="標楷體" w:hint="eastAsia"/>
          <w:color w:val="000000" w:themeColor="text1"/>
          <w:sz w:val="32"/>
          <w:szCs w:val="32"/>
        </w:rPr>
        <w:t>、</w:t>
      </w:r>
      <w:r w:rsidRPr="003D3EE8">
        <w:rPr>
          <w:rFonts w:ascii="標楷體" w:eastAsia="標楷體" w:hAnsi="標楷體" w:hint="eastAsia"/>
          <w:color w:val="000000" w:themeColor="text1"/>
          <w:kern w:val="0"/>
          <w:sz w:val="32"/>
          <w:szCs w:val="32"/>
        </w:rPr>
        <w:t>兆豐國際商業銀行股份有限公司</w:t>
      </w:r>
      <w:r w:rsidRPr="003D3EE8">
        <w:rPr>
          <w:rFonts w:ascii="標楷體" w:eastAsia="標楷體" w:hAnsi="標楷體" w:hint="eastAsia"/>
          <w:color w:val="000000" w:themeColor="text1"/>
          <w:sz w:val="32"/>
          <w:szCs w:val="32"/>
        </w:rPr>
        <w:t>、華南商</w:t>
      </w:r>
      <w:r w:rsidRPr="003D3EE8">
        <w:rPr>
          <w:rFonts w:ascii="標楷體" w:eastAsia="標楷體" w:hAnsi="標楷體" w:hint="eastAsia"/>
          <w:color w:val="000000" w:themeColor="text1"/>
          <w:kern w:val="0"/>
          <w:sz w:val="32"/>
          <w:szCs w:val="32"/>
        </w:rPr>
        <w:t>業銀行股份有限公司</w:t>
      </w:r>
      <w:r w:rsidRPr="003D3EE8">
        <w:rPr>
          <w:rFonts w:ascii="標楷體" w:eastAsia="標楷體" w:hAnsi="標楷體" w:hint="eastAsia"/>
          <w:color w:val="000000" w:themeColor="text1"/>
          <w:sz w:val="32"/>
          <w:szCs w:val="32"/>
        </w:rPr>
        <w:t>等6家泛公股銀行均已開辦員工福利信託，惟其餘國營金融事業機構因涉及法令規定、爭取主管機關支持及預算編列等問題，尚未辦理。</w:t>
      </w:r>
      <w:r w:rsidRPr="003D3EE8">
        <w:rPr>
          <w:rFonts w:ascii="標楷體" w:eastAsia="標楷體" w:hAnsi="標楷體" w:hint="eastAsia"/>
          <w:color w:val="000000" w:themeColor="text1"/>
          <w:kern w:val="0"/>
          <w:sz w:val="32"/>
          <w:szCs w:val="32"/>
        </w:rPr>
        <w:t>臺灣銀行股份有限公司</w:t>
      </w:r>
      <w:r w:rsidRPr="003D3EE8">
        <w:rPr>
          <w:rFonts w:ascii="標楷體" w:eastAsia="標楷體" w:hAnsi="標楷體" w:hint="eastAsia"/>
          <w:color w:val="000000" w:themeColor="text1"/>
          <w:sz w:val="32"/>
          <w:szCs w:val="32"/>
        </w:rPr>
        <w:t>前於110年函報「臺灣銀行研議『員工福利信託』計畫方案」，經財政部轉行政院人事行政總處函復略以，適用實施用人費率單一薪給待遇類型之事業機構，已將各項供應性給與併入員工薪給內支給，爰不宜另立名目由事業單位用人費用負擔，應在福利金項下規劃辦理。(3)60年代的國營事業用人費率單一薪給制度，建立時有其環境因素與時空背景；惟隨著時代變遷，競爭型國營事業員工待遇已無法與民營化泛公股金融同業競爭，單一薪給制度亦應重新檢討存在的意義。又</w:t>
      </w:r>
      <w:r w:rsidRPr="003D3EE8">
        <w:rPr>
          <w:rFonts w:ascii="標楷體" w:eastAsia="標楷體" w:hAnsi="標楷體" w:hint="eastAsia"/>
          <w:color w:val="000000" w:themeColor="text1"/>
          <w:kern w:val="0"/>
          <w:sz w:val="32"/>
          <w:szCs w:val="32"/>
        </w:rPr>
        <w:t>臺灣銀行股份有限公司</w:t>
      </w:r>
      <w:r w:rsidRPr="003D3EE8">
        <w:rPr>
          <w:rFonts w:ascii="標楷體" w:eastAsia="標楷體" w:hAnsi="標楷體" w:hint="eastAsia"/>
          <w:color w:val="000000" w:themeColor="text1"/>
          <w:sz w:val="32"/>
          <w:szCs w:val="32"/>
        </w:rPr>
        <w:t>上開員工福利信託計畫，業經臺北市政府勞動局於110年10月8日函釋，該項目與職工福利金動支範圍及項目規定不符，爰無法由職工福利金項下辦理員工福利信託，且泛公股銀行均已陸續於108年起由行方(非職工福利金項下)與員工相對提撥一定金額辦理員工持股/福儲信託，對員工之向心力和與企業一起成長之動能深</w:t>
      </w:r>
      <w:r w:rsidRPr="003D3EE8">
        <w:rPr>
          <w:rFonts w:ascii="標楷體" w:eastAsia="標楷體" w:hAnsi="標楷體" w:hint="eastAsia"/>
          <w:color w:val="000000" w:themeColor="text1"/>
          <w:sz w:val="32"/>
          <w:szCs w:val="32"/>
        </w:rPr>
        <w:lastRenderedPageBreak/>
        <w:t>有助益。(4)另97年財政部所屬國營銀行員工優惠存款改革方案實施後，員工退休金在500萬元以內之金額，僅能儲存3年期定期儲蓄存款機動利率加計3%計息，又無勞保/公保年金之適用，根本無法維持其退休後的基本生活。員工是企業核心資產，亦是提升企業競爭力之關鍵，國營金融事業機構如能順利透過預算並導入員工福利信託制度，是踐履企業永續發展的責任，除增加員工向心力及企業穩定度外，政府還可以因此減少高齡社會帶來的社會成本與財政負擔。(5)建請同意國營金融事業機構於用人費用項下編列辦理員工福利信託項目，並應免受用人費限額之限制。辦理方式為員工薪資提存金：每月</w:t>
      </w:r>
      <w:r w:rsidRPr="003D3EE8">
        <w:rPr>
          <w:rFonts w:ascii="標楷體" w:eastAsia="標楷體" w:hAnsi="標楷體" w:hint="eastAsia"/>
          <w:color w:val="000000" w:themeColor="text1"/>
          <w:kern w:val="0"/>
          <w:sz w:val="32"/>
          <w:szCs w:val="32"/>
        </w:rPr>
        <w:t>1千元以上</w:t>
      </w:r>
      <w:r w:rsidRPr="003D3EE8">
        <w:rPr>
          <w:rFonts w:ascii="標楷體" w:eastAsia="標楷體" w:hAnsi="標楷體" w:hint="eastAsia"/>
          <w:color w:val="000000" w:themeColor="text1"/>
          <w:sz w:val="32"/>
          <w:szCs w:val="32"/>
        </w:rPr>
        <w:t>（含），公司獎勵金：每月</w:t>
      </w:r>
      <w:r w:rsidRPr="003D3EE8">
        <w:rPr>
          <w:rFonts w:ascii="標楷體" w:eastAsia="標楷體" w:hAnsi="標楷體" w:hint="eastAsia"/>
          <w:color w:val="000000" w:themeColor="text1"/>
          <w:kern w:val="0"/>
          <w:sz w:val="32"/>
          <w:szCs w:val="32"/>
        </w:rPr>
        <w:t>1千元以上</w:t>
      </w:r>
      <w:r w:rsidRPr="003D3EE8">
        <w:rPr>
          <w:rFonts w:ascii="標楷體" w:eastAsia="標楷體" w:hAnsi="標楷體" w:hint="eastAsia"/>
          <w:color w:val="000000" w:themeColor="text1"/>
          <w:sz w:val="32"/>
          <w:szCs w:val="32"/>
        </w:rPr>
        <w:t>（含），以國營金融事業機構預算員額數1萬5,395人，每月相對提撥</w:t>
      </w:r>
      <w:r w:rsidRPr="003D3EE8">
        <w:rPr>
          <w:rFonts w:ascii="標楷體" w:eastAsia="標楷體" w:hAnsi="標楷體" w:hint="eastAsia"/>
          <w:color w:val="000000" w:themeColor="text1"/>
          <w:kern w:val="0"/>
          <w:sz w:val="32"/>
          <w:szCs w:val="32"/>
        </w:rPr>
        <w:t>1千元</w:t>
      </w:r>
      <w:r w:rsidRPr="003D3EE8">
        <w:rPr>
          <w:rFonts w:ascii="標楷體" w:eastAsia="標楷體" w:hAnsi="標楷體" w:hint="eastAsia"/>
          <w:color w:val="000000" w:themeColor="text1"/>
          <w:sz w:val="32"/>
          <w:szCs w:val="32"/>
        </w:rPr>
        <w:t>估算，每年費用約為1億8</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474萬元，統計資料如下表。</w:t>
      </w:r>
    </w:p>
    <w:p w14:paraId="0B7D765B" w14:textId="77777777" w:rsidR="009D64D0" w:rsidRPr="00BA46D9" w:rsidRDefault="009D64D0" w:rsidP="00F470A8">
      <w:pPr>
        <w:overflowPunct w:val="0"/>
        <w:autoSpaceDE w:val="0"/>
        <w:spacing w:line="480" w:lineRule="exact"/>
        <w:ind w:leftChars="100" w:left="520" w:hangingChars="100" w:hanging="280"/>
        <w:jc w:val="right"/>
        <w:rPr>
          <w:rFonts w:ascii="標楷體" w:eastAsia="標楷體" w:hAnsi="標楷體"/>
          <w:color w:val="000000" w:themeColor="text1"/>
          <w:sz w:val="28"/>
          <w:szCs w:val="28"/>
        </w:rPr>
      </w:pPr>
      <w:r w:rsidRPr="00BA46D9">
        <w:rPr>
          <w:rFonts w:ascii="標楷體" w:eastAsia="標楷體" w:hAnsi="標楷體" w:hint="eastAsia"/>
          <w:color w:val="000000" w:themeColor="text1"/>
          <w:sz w:val="28"/>
          <w:szCs w:val="28"/>
        </w:rPr>
        <w:t>用人費用分析表</w:t>
      </w:r>
      <w:r w:rsidRPr="00BA46D9">
        <w:rPr>
          <w:rFonts w:ascii="標楷體" w:eastAsia="標楷體" w:hAnsi="標楷體" w:hint="eastAsia"/>
          <w:color w:val="000000" w:themeColor="text1"/>
          <w:kern w:val="0"/>
          <w:sz w:val="28"/>
          <w:szCs w:val="28"/>
        </w:rPr>
        <w:t xml:space="preserve">　　　　　　　　</w:t>
      </w:r>
      <w:r w:rsidRPr="00BA46D9">
        <w:rPr>
          <w:rFonts w:ascii="標楷體" w:eastAsia="標楷體" w:hAnsi="標楷體" w:hint="eastAsia"/>
          <w:color w:val="000000" w:themeColor="text1"/>
          <w:sz w:val="28"/>
          <w:szCs w:val="28"/>
        </w:rPr>
        <w:t>新臺幣:千元</w:t>
      </w:r>
    </w:p>
    <w:tbl>
      <w:tblPr>
        <w:tblStyle w:val="af6"/>
        <w:tblW w:w="0" w:type="auto"/>
        <w:tblInd w:w="896" w:type="dxa"/>
        <w:tblLook w:val="04A0" w:firstRow="1" w:lastRow="0" w:firstColumn="1" w:lastColumn="0" w:noHBand="0" w:noVBand="1"/>
      </w:tblPr>
      <w:tblGrid>
        <w:gridCol w:w="2217"/>
        <w:gridCol w:w="1700"/>
        <w:gridCol w:w="2266"/>
        <w:gridCol w:w="2550"/>
      </w:tblGrid>
      <w:tr w:rsidR="009D64D0" w:rsidRPr="00BA46D9" w14:paraId="69BAF490" w14:textId="77777777" w:rsidTr="00BA46D9">
        <w:tc>
          <w:tcPr>
            <w:tcW w:w="2217" w:type="dxa"/>
          </w:tcPr>
          <w:p w14:paraId="67323DAC"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金融事業機構</w:t>
            </w:r>
          </w:p>
        </w:tc>
        <w:tc>
          <w:tcPr>
            <w:tcW w:w="1700" w:type="dxa"/>
          </w:tcPr>
          <w:p w14:paraId="0D74EDAB"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預算員額</w:t>
            </w:r>
          </w:p>
        </w:tc>
        <w:tc>
          <w:tcPr>
            <w:tcW w:w="2266" w:type="dxa"/>
          </w:tcPr>
          <w:p w14:paraId="59CE681A"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每月提撥金額</w:t>
            </w:r>
          </w:p>
        </w:tc>
        <w:tc>
          <w:tcPr>
            <w:tcW w:w="2550" w:type="dxa"/>
          </w:tcPr>
          <w:p w14:paraId="5E7C8303"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每年增加用人費用</w:t>
            </w:r>
          </w:p>
        </w:tc>
      </w:tr>
      <w:tr w:rsidR="009D64D0" w:rsidRPr="00BA46D9" w14:paraId="2135C593" w14:textId="77777777" w:rsidTr="00BA46D9">
        <w:tc>
          <w:tcPr>
            <w:tcW w:w="2217" w:type="dxa"/>
          </w:tcPr>
          <w:p w14:paraId="4445166C"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台灣金控集團</w:t>
            </w:r>
          </w:p>
        </w:tc>
        <w:tc>
          <w:tcPr>
            <w:tcW w:w="1700" w:type="dxa"/>
          </w:tcPr>
          <w:p w14:paraId="297A0C78"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9</w:t>
            </w:r>
            <w:r w:rsidRPr="00BA46D9">
              <w:rPr>
                <w:color w:val="000000" w:themeColor="text1"/>
                <w:sz w:val="28"/>
                <w:szCs w:val="28"/>
              </w:rPr>
              <w:t>,039</w:t>
            </w:r>
            <w:r w:rsidRPr="00BA46D9">
              <w:rPr>
                <w:rFonts w:hint="eastAsia"/>
                <w:color w:val="000000" w:themeColor="text1"/>
                <w:sz w:val="28"/>
                <w:szCs w:val="28"/>
              </w:rPr>
              <w:t>人</w:t>
            </w:r>
          </w:p>
        </w:tc>
        <w:tc>
          <w:tcPr>
            <w:tcW w:w="2266" w:type="dxa"/>
          </w:tcPr>
          <w:p w14:paraId="4A3D2C43"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1</w:t>
            </w:r>
          </w:p>
        </w:tc>
        <w:tc>
          <w:tcPr>
            <w:tcW w:w="2550" w:type="dxa"/>
          </w:tcPr>
          <w:p w14:paraId="27D7E9EC" w14:textId="77777777" w:rsidR="009D64D0" w:rsidRPr="00BA46D9" w:rsidRDefault="009D64D0" w:rsidP="00F470A8">
            <w:pPr>
              <w:overflowPunct w:val="0"/>
              <w:spacing w:line="480" w:lineRule="exact"/>
              <w:jc w:val="right"/>
              <w:rPr>
                <w:color w:val="000000" w:themeColor="text1"/>
                <w:sz w:val="28"/>
                <w:szCs w:val="28"/>
              </w:rPr>
            </w:pPr>
            <w:r w:rsidRPr="00BA46D9">
              <w:rPr>
                <w:color w:val="000000" w:themeColor="text1"/>
                <w:sz w:val="28"/>
                <w:szCs w:val="28"/>
              </w:rPr>
              <w:t>108,468</w:t>
            </w:r>
          </w:p>
        </w:tc>
      </w:tr>
      <w:tr w:rsidR="009D64D0" w:rsidRPr="00BA46D9" w14:paraId="167CE0D2" w14:textId="77777777" w:rsidTr="00BA46D9">
        <w:tc>
          <w:tcPr>
            <w:tcW w:w="2217" w:type="dxa"/>
          </w:tcPr>
          <w:p w14:paraId="26E94CC7"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土地銀行</w:t>
            </w:r>
          </w:p>
        </w:tc>
        <w:tc>
          <w:tcPr>
            <w:tcW w:w="1700" w:type="dxa"/>
          </w:tcPr>
          <w:p w14:paraId="5F3346DB"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6</w:t>
            </w:r>
            <w:r w:rsidRPr="00BA46D9">
              <w:rPr>
                <w:color w:val="000000" w:themeColor="text1"/>
                <w:sz w:val="28"/>
                <w:szCs w:val="28"/>
              </w:rPr>
              <w:t>,09</w:t>
            </w:r>
            <w:r w:rsidRPr="00BA46D9">
              <w:rPr>
                <w:rFonts w:hint="eastAsia"/>
                <w:color w:val="000000" w:themeColor="text1"/>
                <w:sz w:val="28"/>
                <w:szCs w:val="28"/>
              </w:rPr>
              <w:t>1人</w:t>
            </w:r>
          </w:p>
        </w:tc>
        <w:tc>
          <w:tcPr>
            <w:tcW w:w="2266" w:type="dxa"/>
          </w:tcPr>
          <w:p w14:paraId="4D323439"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1</w:t>
            </w:r>
          </w:p>
        </w:tc>
        <w:tc>
          <w:tcPr>
            <w:tcW w:w="2550" w:type="dxa"/>
          </w:tcPr>
          <w:p w14:paraId="1A0A416E"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73</w:t>
            </w:r>
            <w:r w:rsidRPr="00BA46D9">
              <w:rPr>
                <w:color w:val="000000" w:themeColor="text1"/>
                <w:sz w:val="28"/>
                <w:szCs w:val="28"/>
              </w:rPr>
              <w:t>,092</w:t>
            </w:r>
          </w:p>
        </w:tc>
      </w:tr>
      <w:tr w:rsidR="009D64D0" w:rsidRPr="00BA46D9" w14:paraId="25CEA63D" w14:textId="77777777" w:rsidTr="00BA46D9">
        <w:tc>
          <w:tcPr>
            <w:tcW w:w="2217" w:type="dxa"/>
          </w:tcPr>
          <w:p w14:paraId="4FC9932F"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輸出入銀行</w:t>
            </w:r>
          </w:p>
        </w:tc>
        <w:tc>
          <w:tcPr>
            <w:tcW w:w="1700" w:type="dxa"/>
          </w:tcPr>
          <w:p w14:paraId="03204313" w14:textId="77777777" w:rsidR="009D64D0" w:rsidRPr="00BA46D9" w:rsidRDefault="009D64D0" w:rsidP="00F470A8">
            <w:pPr>
              <w:overflowPunct w:val="0"/>
              <w:spacing w:line="480" w:lineRule="exact"/>
              <w:jc w:val="right"/>
              <w:rPr>
                <w:color w:val="000000" w:themeColor="text1"/>
                <w:sz w:val="28"/>
                <w:szCs w:val="28"/>
              </w:rPr>
            </w:pPr>
            <w:r w:rsidRPr="00BA46D9">
              <w:rPr>
                <w:rFonts w:hint="eastAsia"/>
                <w:color w:val="000000" w:themeColor="text1"/>
                <w:sz w:val="28"/>
                <w:szCs w:val="28"/>
              </w:rPr>
              <w:t>265人</w:t>
            </w:r>
          </w:p>
        </w:tc>
        <w:tc>
          <w:tcPr>
            <w:tcW w:w="2266" w:type="dxa"/>
          </w:tcPr>
          <w:p w14:paraId="07B9F0F2" w14:textId="77777777" w:rsidR="009D64D0" w:rsidRPr="00BA46D9" w:rsidRDefault="009D64D0" w:rsidP="00F470A8">
            <w:pPr>
              <w:overflowPunct w:val="0"/>
              <w:spacing w:line="480" w:lineRule="exact"/>
              <w:jc w:val="center"/>
              <w:rPr>
                <w:color w:val="000000" w:themeColor="text1"/>
                <w:sz w:val="28"/>
                <w:szCs w:val="28"/>
              </w:rPr>
            </w:pPr>
            <w:r w:rsidRPr="00BA46D9">
              <w:rPr>
                <w:rFonts w:hint="eastAsia"/>
                <w:color w:val="000000" w:themeColor="text1"/>
                <w:sz w:val="28"/>
                <w:szCs w:val="28"/>
              </w:rPr>
              <w:t>1</w:t>
            </w:r>
          </w:p>
        </w:tc>
        <w:tc>
          <w:tcPr>
            <w:tcW w:w="2550" w:type="dxa"/>
          </w:tcPr>
          <w:p w14:paraId="035D1A82" w14:textId="77777777" w:rsidR="009D64D0" w:rsidRPr="00BA46D9" w:rsidRDefault="009D64D0" w:rsidP="00F470A8">
            <w:pPr>
              <w:overflowPunct w:val="0"/>
              <w:spacing w:line="480" w:lineRule="exact"/>
              <w:jc w:val="right"/>
              <w:rPr>
                <w:color w:val="000000" w:themeColor="text1"/>
                <w:sz w:val="28"/>
                <w:szCs w:val="28"/>
              </w:rPr>
            </w:pPr>
            <w:r w:rsidRPr="00BA46D9">
              <w:rPr>
                <w:color w:val="000000" w:themeColor="text1"/>
                <w:sz w:val="28"/>
                <w:szCs w:val="28"/>
              </w:rPr>
              <w:t>3,180</w:t>
            </w:r>
          </w:p>
        </w:tc>
      </w:tr>
    </w:tbl>
    <w:p w14:paraId="03CC4583" w14:textId="55117F7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提案人：郭國文　吳秉叡　伍麗華</w:t>
      </w:r>
    </w:p>
    <w:p w14:paraId="4E936CE2" w14:textId="77777777" w:rsidR="009D64D0" w:rsidRPr="003D3EE8" w:rsidRDefault="009D64D0" w:rsidP="00F470A8">
      <w:pPr>
        <w:overflowPunct w:val="0"/>
        <w:autoSpaceDE w:val="0"/>
        <w:spacing w:line="480" w:lineRule="exact"/>
        <w:ind w:leftChars="100" w:left="56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5.國營銀行確為應業務需要必須於當年度增列購建固定資產預算，</w:t>
      </w:r>
      <w:r w:rsidRPr="003D3EE8">
        <w:rPr>
          <w:rFonts w:ascii="標楷體" w:eastAsia="標楷體" w:hAnsi="標楷體" w:hint="eastAsia"/>
          <w:color w:val="000000" w:themeColor="text1"/>
          <w:kern w:val="0"/>
          <w:sz w:val="32"/>
          <w:szCs w:val="32"/>
        </w:rPr>
        <w:t>爰要求財政部洽行政院主計總處檢討</w:t>
      </w:r>
      <w:r w:rsidRPr="003D3EE8">
        <w:rPr>
          <w:rFonts w:ascii="標楷體" w:eastAsia="標楷體" w:hAnsi="標楷體" w:hint="eastAsia"/>
          <w:color w:val="000000" w:themeColor="text1"/>
          <w:sz w:val="32"/>
          <w:szCs w:val="32"/>
        </w:rPr>
        <w:t>相關法規為購建固定資產預算之一般建築及設備計畫部分；除房屋及建築中之新建或購置各項辦公房屋、宿舍與交通及運輸設備中之購置管理用車輛，及增加國庫負擔經費者外，其餘項目依業務需要自行辦理，並補辦預算。說明：(1)國營銀行有別於其他國營事業，處於完全競爭市場，然受限於預算彙編審查期程，購建固定資產預算皆於2年前編列，若有因業務擴增所衍生的購建固定資產需求而不及編列預算，僅能藉由編列以後年度預算支應之，此舉緩不濟急，影響業務推展；或依預算法第88條規定：「附屬單位預算之執行，如因…正常業務之確實需要，報經行政院核准者，得先行辦理，…</w:t>
      </w:r>
      <w:r w:rsidRPr="003D3EE8">
        <w:rPr>
          <w:rFonts w:ascii="標楷體" w:eastAsia="標楷體" w:hAnsi="標楷體" w:hint="eastAsia"/>
          <w:color w:val="000000" w:themeColor="text1"/>
          <w:sz w:val="32"/>
          <w:szCs w:val="32"/>
        </w:rPr>
        <w:lastRenderedPageBreak/>
        <w:t>有關固定資產之建設、改良、擴充…仍應補辦預算」，惟補辦預算程序仍比照預算審查程序辦理，曠日費時並缺乏彈性。以資訊設備為例，因應金融科技應用與數位轉型發展，配合新型業務購置行銷所需設備，非編列預算時所能預見；若預算不敷支應時，倘能先行辦理購置並補辦預算，必能及時因應業務推展，維持市場競爭力。(2)若年度進行中，購建固定資產預算之一般建築及設備計畫部分編列不足支應時，確為應業務需要必須於當年度辦理，經檢討無法在當年度預算總額調整容納者，除房屋及建築中之新建或購置各項辦公房屋、宿舍與交通及運輸設備中之購置管理用車輛，及增加國庫負擔經費者外；其餘項目倘可依業務需要自行辦理，則購建固定資產預算之執行將更具彈性，提升產業競爭力。(3)綜上，鑑於本國銀行業市場競爭激烈，國營銀行近年來獲利屢創佳績，惟受限於預算法規範，無法及時支應額外購建固定資產預算需求而削弱其競爭力，爰要求財政部洽行政院主計總處檢討相關法規為購建固定資產預算之一般建築及設備計畫部分；除房屋及建築中之新建或購置各項辦公房屋、宿舍與交通及運輸設備中之購置管理用車輛，及增加國庫負擔經費者外，其餘項目依業務需要自行辦理，並補辦預算。</w:t>
      </w:r>
    </w:p>
    <w:p w14:paraId="08C50015" w14:textId="470BC246"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提案人：郭國文　吳秉叡　伍麗華</w:t>
      </w:r>
    </w:p>
    <w:p w14:paraId="08A0E147" w14:textId="77777777" w:rsidR="009D64D0" w:rsidRPr="00BA46D9" w:rsidRDefault="009D64D0" w:rsidP="00F470A8">
      <w:pPr>
        <w:overflowPunct w:val="0"/>
        <w:spacing w:line="480" w:lineRule="exact"/>
        <w:rPr>
          <w:rFonts w:ascii="標楷體" w:eastAsia="標楷體" w:hAnsi="標楷體" w:cs="華康細明體"/>
          <w:b/>
          <w:color w:val="000000" w:themeColor="text1"/>
          <w:kern w:val="0"/>
          <w:sz w:val="32"/>
          <w:szCs w:val="32"/>
        </w:rPr>
      </w:pPr>
      <w:r w:rsidRPr="00BA46D9">
        <w:rPr>
          <w:rFonts w:ascii="標楷體" w:eastAsia="標楷體" w:hAnsi="標楷體" w:cs="華康細明體" w:hint="eastAsia"/>
          <w:b/>
          <w:color w:val="000000" w:themeColor="text1"/>
          <w:kern w:val="0"/>
          <w:sz w:val="32"/>
          <w:szCs w:val="32"/>
        </w:rPr>
        <w:t>一、臺灣土地銀行股份有限公司</w:t>
      </w:r>
    </w:p>
    <w:p w14:paraId="1EEF0463"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(一)業務計畫：應依據營業收支、金融保險成本、轉投資、重大之建設事業及資金運用等項之審查結果，隨同調整。</w:t>
      </w:r>
    </w:p>
    <w:p w14:paraId="52880828"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(二)營業收支：</w:t>
      </w:r>
    </w:p>
    <w:p w14:paraId="47ADB73B"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1.營業總收入：原列798億9,319萬9千元，增列</w:t>
      </w:r>
      <w:r w:rsidRPr="003D3EE8">
        <w:rPr>
          <w:rFonts w:ascii="標楷體" w:eastAsia="標楷體" w:hAnsi="標楷體" w:hint="eastAsia"/>
          <w:color w:val="000000" w:themeColor="text1"/>
          <w:sz w:val="32"/>
          <w:szCs w:val="32"/>
        </w:rPr>
        <w:t>「營業收入」項下「金融保險收入」之「透過損益按公允價值衡量之金融資產利益」1億5,</w:t>
      </w:r>
      <w:r w:rsidRPr="003D3EE8">
        <w:rPr>
          <w:rFonts w:ascii="標楷體" w:eastAsia="標楷體" w:hAnsi="標楷體"/>
          <w:color w:val="000000" w:themeColor="text1"/>
          <w:sz w:val="32"/>
          <w:szCs w:val="32"/>
        </w:rPr>
        <w:t>600</w:t>
      </w:r>
      <w:r w:rsidRPr="003D3EE8">
        <w:rPr>
          <w:rFonts w:ascii="標楷體" w:eastAsia="標楷體" w:hAnsi="標楷體" w:hint="eastAsia"/>
          <w:color w:val="000000" w:themeColor="text1"/>
          <w:sz w:val="32"/>
          <w:szCs w:val="32"/>
        </w:rPr>
        <w:t>萬元及「營業外收入」</w:t>
      </w:r>
      <w:r w:rsidRPr="003D3EE8">
        <w:rPr>
          <w:rFonts w:ascii="標楷體" w:eastAsia="標楷體" w:hAnsi="標楷體"/>
          <w:color w:val="000000" w:themeColor="text1"/>
          <w:sz w:val="32"/>
          <w:szCs w:val="32"/>
        </w:rPr>
        <w:t>3</w:t>
      </w:r>
      <w:r w:rsidRPr="003D3EE8">
        <w:rPr>
          <w:rFonts w:ascii="標楷體" w:eastAsia="標楷體" w:hAnsi="標楷體" w:hint="eastAsia"/>
          <w:color w:val="000000" w:themeColor="text1"/>
          <w:sz w:val="32"/>
          <w:szCs w:val="32"/>
        </w:rPr>
        <w:t>00萬元，共計增列1億5,9</w:t>
      </w:r>
      <w:r w:rsidRPr="003D3EE8">
        <w:rPr>
          <w:rFonts w:ascii="標楷體" w:eastAsia="標楷體" w:hAnsi="標楷體"/>
          <w:color w:val="000000" w:themeColor="text1"/>
          <w:sz w:val="32"/>
          <w:szCs w:val="32"/>
        </w:rPr>
        <w:t>00</w:t>
      </w:r>
      <w:r w:rsidRPr="003D3EE8">
        <w:rPr>
          <w:rFonts w:ascii="標楷體" w:eastAsia="標楷體" w:hAnsi="標楷體" w:hint="eastAsia"/>
          <w:color w:val="000000" w:themeColor="text1"/>
          <w:sz w:val="32"/>
          <w:szCs w:val="32"/>
        </w:rPr>
        <w:t>萬元，</w:t>
      </w:r>
      <w:r w:rsidRPr="003D3EE8">
        <w:rPr>
          <w:rFonts w:ascii="標楷體" w:eastAsia="標楷體" w:hAnsi="標楷體" w:cs="華康細明體" w:hint="eastAsia"/>
          <w:color w:val="000000" w:themeColor="text1"/>
          <w:kern w:val="0"/>
          <w:sz w:val="32"/>
          <w:szCs w:val="32"/>
        </w:rPr>
        <w:t>其餘均照列，改列為</w:t>
      </w:r>
      <w:r w:rsidRPr="003D3EE8">
        <w:rPr>
          <w:rFonts w:ascii="標楷體" w:eastAsia="標楷體" w:hAnsi="標楷體" w:hint="eastAsia"/>
          <w:color w:val="000000" w:themeColor="text1"/>
          <w:sz w:val="32"/>
          <w:szCs w:val="32"/>
        </w:rPr>
        <w:t>800億5,</w:t>
      </w:r>
      <w:r w:rsidRPr="003D3EE8">
        <w:rPr>
          <w:rFonts w:ascii="標楷體" w:eastAsia="標楷體" w:hAnsi="標楷體"/>
          <w:color w:val="000000" w:themeColor="text1"/>
          <w:sz w:val="32"/>
          <w:szCs w:val="32"/>
        </w:rPr>
        <w:t>219</w:t>
      </w:r>
      <w:r w:rsidRPr="003D3EE8">
        <w:rPr>
          <w:rFonts w:ascii="標楷體" w:eastAsia="標楷體" w:hAnsi="標楷體" w:hint="eastAsia"/>
          <w:color w:val="000000" w:themeColor="text1"/>
          <w:sz w:val="32"/>
          <w:szCs w:val="32"/>
        </w:rPr>
        <w:t>萬9千元</w:t>
      </w:r>
      <w:r w:rsidRPr="003D3EE8">
        <w:rPr>
          <w:rFonts w:ascii="標楷體" w:eastAsia="標楷體" w:hAnsi="標楷體" w:cs="華康細明體" w:hint="eastAsia"/>
          <w:color w:val="000000" w:themeColor="text1"/>
          <w:kern w:val="0"/>
          <w:sz w:val="32"/>
          <w:szCs w:val="32"/>
        </w:rPr>
        <w:t>。</w:t>
      </w:r>
    </w:p>
    <w:p w14:paraId="6E5B1DF5"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s="華康細明體" w:hint="eastAsia"/>
          <w:color w:val="000000" w:themeColor="text1"/>
          <w:kern w:val="0"/>
          <w:sz w:val="32"/>
          <w:szCs w:val="32"/>
        </w:rPr>
        <w:t>2.營業總支出(不含所得稅費用)：原列674億9,255萬1千元，</w:t>
      </w:r>
      <w:r w:rsidRPr="003D3EE8">
        <w:rPr>
          <w:rFonts w:ascii="標楷體" w:eastAsia="標楷體" w:hAnsi="標楷體" w:hint="eastAsia"/>
          <w:color w:val="000000" w:themeColor="text1"/>
          <w:sz w:val="32"/>
          <w:szCs w:val="32"/>
        </w:rPr>
        <w:t>減列「營業費用</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2,100萬元</w:t>
      </w:r>
      <w:r w:rsidRPr="003D3EE8">
        <w:rPr>
          <w:rFonts w:ascii="標楷體" w:eastAsia="標楷體" w:hAnsi="標楷體"/>
          <w:color w:val="000000" w:themeColor="text1"/>
          <w:sz w:val="32"/>
          <w:szCs w:val="32"/>
        </w:rPr>
        <w:t>：</w:t>
      </w:r>
    </w:p>
    <w:p w14:paraId="389943CE"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lastRenderedPageBreak/>
        <w:t>(1)「業務費用」項下「服務費用」1,</w:t>
      </w:r>
      <w:r w:rsidRPr="003D3EE8">
        <w:rPr>
          <w:rFonts w:ascii="標楷體" w:eastAsia="標楷體" w:hAnsi="標楷體"/>
          <w:color w:val="000000" w:themeColor="text1"/>
          <w:sz w:val="32"/>
          <w:szCs w:val="32"/>
        </w:rPr>
        <w:t>650</w:t>
      </w:r>
      <w:r w:rsidRPr="003D3EE8">
        <w:rPr>
          <w:rFonts w:ascii="標楷體" w:eastAsia="標楷體" w:hAnsi="標楷體" w:hint="eastAsia"/>
          <w:color w:val="000000" w:themeColor="text1"/>
          <w:sz w:val="32"/>
          <w:szCs w:val="32"/>
        </w:rPr>
        <w:t>萬元〔含「郵電費」200萬元、「旅運費」400萬元、「修理保養與保固費」250萬元（科目自行調整）、「棧儲、包裝、代理及加工費」50萬元、「專業服務費」600萬元（科目自行調整）、「推展費」150萬元（科目自行調整）〕。</w:t>
      </w:r>
    </w:p>
    <w:p w14:paraId="6ACAFCCA"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(2)「管理費用」200萬元（科目自行調整）。</w:t>
      </w:r>
    </w:p>
    <w:p w14:paraId="0850D21D"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olor w:val="000000" w:themeColor="text1"/>
          <w:sz w:val="32"/>
          <w:szCs w:val="32"/>
          <w:bdr w:val="single" w:sz="4" w:space="0" w:color="auto"/>
        </w:rPr>
      </w:pPr>
      <w:r w:rsidRPr="003D3EE8">
        <w:rPr>
          <w:rFonts w:ascii="標楷體" w:eastAsia="標楷體" w:hAnsi="標楷體" w:hint="eastAsia"/>
          <w:color w:val="000000" w:themeColor="text1"/>
          <w:sz w:val="32"/>
          <w:szCs w:val="32"/>
        </w:rPr>
        <w:t>(3)「其他營業費用」項下「研究發展費用」250萬元（科目自行調整）。</w:t>
      </w:r>
    </w:p>
    <w:p w14:paraId="1F995869"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s="華康細明體"/>
          <w:color w:val="000000" w:themeColor="text1"/>
          <w:kern w:val="0"/>
          <w:sz w:val="32"/>
          <w:szCs w:val="32"/>
        </w:rPr>
      </w:pPr>
      <w:r w:rsidRPr="003D3EE8">
        <w:rPr>
          <w:rFonts w:ascii="標楷體" w:eastAsia="標楷體" w:hAnsi="標楷體" w:hint="eastAsia"/>
          <w:color w:val="000000" w:themeColor="text1"/>
          <w:sz w:val="32"/>
          <w:szCs w:val="32"/>
        </w:rPr>
        <w:t>其餘均照列，改列為</w:t>
      </w:r>
      <w:r w:rsidRPr="003D3EE8">
        <w:rPr>
          <w:rFonts w:ascii="標楷體" w:eastAsia="標楷體" w:hAnsi="標楷體" w:cs="華康細明體" w:hint="eastAsia"/>
          <w:color w:val="000000" w:themeColor="text1"/>
          <w:kern w:val="0"/>
          <w:sz w:val="32"/>
          <w:szCs w:val="32"/>
        </w:rPr>
        <w:t>674億7,155萬1千元</w:t>
      </w:r>
      <w:r w:rsidRPr="003D3EE8">
        <w:rPr>
          <w:rFonts w:ascii="標楷體" w:eastAsia="標楷體" w:hAnsi="標楷體" w:hint="eastAsia"/>
          <w:color w:val="000000" w:themeColor="text1"/>
          <w:sz w:val="32"/>
          <w:szCs w:val="32"/>
        </w:rPr>
        <w:t>。</w:t>
      </w:r>
    </w:p>
    <w:p w14:paraId="58E17E9F"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s="華康細明體" w:hint="eastAsia"/>
          <w:color w:val="000000" w:themeColor="text1"/>
          <w:kern w:val="0"/>
          <w:sz w:val="32"/>
          <w:szCs w:val="32"/>
        </w:rPr>
        <w:t>3.稅前淨利：原列124億0,064萬8千元，增列1億8</w:t>
      </w:r>
      <w:r w:rsidRPr="003D3EE8">
        <w:rPr>
          <w:rFonts w:ascii="標楷體" w:eastAsia="標楷體" w:hAnsi="標楷體" w:cs="華康細明體"/>
          <w:color w:val="000000" w:themeColor="text1"/>
          <w:kern w:val="0"/>
          <w:sz w:val="32"/>
          <w:szCs w:val="32"/>
        </w:rPr>
        <w:t>,</w:t>
      </w:r>
      <w:r w:rsidRPr="003D3EE8">
        <w:rPr>
          <w:rFonts w:ascii="標楷體" w:eastAsia="標楷體" w:hAnsi="標楷體" w:cs="華康細明體" w:hint="eastAsia"/>
          <w:color w:val="000000" w:themeColor="text1"/>
          <w:kern w:val="0"/>
          <w:sz w:val="32"/>
          <w:szCs w:val="32"/>
        </w:rPr>
        <w:t>000萬元，改列為125億8,064萬8千元。</w:t>
      </w:r>
    </w:p>
    <w:p w14:paraId="5DC388BB"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(三)金融保險成本：營業總支出應隨同調整。</w:t>
      </w:r>
    </w:p>
    <w:p w14:paraId="31614826"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(四)轉投資計畫：無列數。</w:t>
      </w:r>
    </w:p>
    <w:p w14:paraId="7C19A7F4"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(五)重大之建設事業：原列10億6,843萬1千元，減列「固定資產建設改良擴充」項下「一般建築及設備計畫」之「房屋及建築」500萬元，改列為10億6,343萬1千元。</w:t>
      </w:r>
    </w:p>
    <w:p w14:paraId="7F4D26C9"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(六)資金運用：應依據營業收支、金融保險成本、盈虧撥補、轉投資及重大之建設事業等項之審查結果，隨同調整。</w:t>
      </w:r>
    </w:p>
    <w:p w14:paraId="4DD5E3A1"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七</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補辦預算：增加資金之轉投資4億6,946萬7千元</w:t>
      </w:r>
      <w:r w:rsidRPr="003D3EE8">
        <w:rPr>
          <w:rFonts w:ascii="標楷體" w:eastAsia="標楷體" w:hAnsi="標楷體" w:cs="華康細明體" w:hint="eastAsia"/>
          <w:color w:val="000000" w:themeColor="text1"/>
          <w:kern w:val="0"/>
          <w:sz w:val="32"/>
          <w:szCs w:val="32"/>
        </w:rPr>
        <w:t>，照列。</w:t>
      </w:r>
    </w:p>
    <w:p w14:paraId="218A8602"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s="華康細明體"/>
          <w:color w:val="000000" w:themeColor="text1"/>
          <w:kern w:val="0"/>
          <w:sz w:val="32"/>
          <w:szCs w:val="32"/>
        </w:rPr>
      </w:pP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八</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通過決議17項：</w:t>
      </w:r>
    </w:p>
    <w:p w14:paraId="5A43D17E"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1.查114年度臺灣土地銀行股份有限公司預算案於「營業費用」項下「業務費用」之「服務費用」編列21億0</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739萬2千元。惟按</w:t>
      </w:r>
      <w:r w:rsidRPr="003D3EE8">
        <w:rPr>
          <w:rFonts w:ascii="標楷體" w:eastAsia="標楷體" w:hAnsi="標楷體"/>
          <w:color w:val="000000" w:themeColor="text1"/>
          <w:sz w:val="32"/>
          <w:szCs w:val="32"/>
        </w:rPr>
        <w:t>112</w:t>
      </w:r>
      <w:r w:rsidRPr="003D3EE8">
        <w:rPr>
          <w:rFonts w:ascii="標楷體" w:eastAsia="標楷體" w:hAnsi="標楷體" w:hint="eastAsia"/>
          <w:color w:val="000000" w:themeColor="text1"/>
          <w:sz w:val="32"/>
          <w:szCs w:val="32"/>
        </w:rPr>
        <w:t>年度審計部中央政府總決算審核報告指出：已就存款帳戶異常交易進行管理</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惟查證作業未盡確實</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甚有異常帳戶隔日即遭通報為警示帳戶情事</w:t>
      </w:r>
      <w:r w:rsidRPr="003D3EE8">
        <w:rPr>
          <w:rFonts w:ascii="標楷體" w:eastAsia="標楷體" w:hAnsi="標楷體" w:cs="MS Gothic"/>
          <w:color w:val="000000" w:themeColor="text1"/>
          <w:sz w:val="32"/>
          <w:szCs w:val="32"/>
        </w:rPr>
        <w:t>……</w:t>
      </w:r>
      <w:r w:rsidRPr="003D3EE8">
        <w:rPr>
          <w:rFonts w:ascii="標楷體" w:eastAsia="標楷體" w:hAnsi="標楷體" w:hint="eastAsia"/>
          <w:color w:val="000000" w:themeColor="text1"/>
          <w:sz w:val="32"/>
          <w:szCs w:val="32"/>
        </w:rPr>
        <w:t>等語。臺灣土地銀行股份有限公司為加強異常帳戶之管理，以抑減遭詐騙警示帳戶，於存匯業務手冊訂有存款交易異常戶之管理</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規範各營業單位每日查詢列印存款帳戶異常交易管理報表，並就異常交易進行查證追蹤，及研判異常交易之合理性。經調閱太平、中港等分行存款帳戶異常交易管理報表</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存有部分查</w:t>
      </w:r>
      <w:r w:rsidRPr="003D3EE8">
        <w:rPr>
          <w:rFonts w:ascii="標楷體" w:eastAsia="標楷體" w:hAnsi="標楷體" w:hint="eastAsia"/>
          <w:color w:val="000000" w:themeColor="text1"/>
          <w:sz w:val="32"/>
          <w:szCs w:val="32"/>
        </w:rPr>
        <w:lastRenderedPageBreak/>
        <w:t>證紀錄未詳實敘明異常交易發生之原因、合理性及相關管制措施，並有部分異常帳戶於當日或隔日即遭通報為警示帳戶，顯示存款帳戶異常交易管理作業尚未發揮應有功能。鑑此，爰請臺灣土地銀行股份有限公司於1個月內向立法院財政委員會提出書面報告。</w:t>
      </w:r>
    </w:p>
    <w:p w14:paraId="76C8B5A6" w14:textId="2AA293D3"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提案人：賴惠員　</w:t>
      </w:r>
    </w:p>
    <w:p w14:paraId="0CED8A35" w14:textId="5C8B2607"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連署人：郭國文　李坤城</w:t>
      </w:r>
    </w:p>
    <w:p w14:paraId="0FDBD21F"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2.查</w:t>
      </w:r>
      <w:r w:rsidRPr="003D3EE8">
        <w:rPr>
          <w:rFonts w:ascii="標楷體" w:eastAsia="標楷體" w:hAnsi="標楷體"/>
          <w:color w:val="000000" w:themeColor="text1"/>
          <w:sz w:val="32"/>
          <w:szCs w:val="32"/>
        </w:rPr>
        <w:t>114</w:t>
      </w:r>
      <w:r w:rsidRPr="003D3EE8">
        <w:rPr>
          <w:rFonts w:ascii="標楷體" w:eastAsia="標楷體" w:hAnsi="標楷體" w:hint="eastAsia"/>
          <w:color w:val="000000" w:themeColor="text1"/>
          <w:sz w:val="32"/>
          <w:szCs w:val="32"/>
        </w:rPr>
        <w:t>年度臺灣土地銀行股份有限公司預算案於「營業費用」項下「業務費用」之「服務費用」編列21億0</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739萬2千元。惟按112年度審計部中央政府總決算審核報告指出：購屋住宅貸款占比逐年上升，民眾房貸負擔漸重，允宜注意相關風險管控措施，以降低授信風險</w:t>
      </w:r>
      <w:r w:rsidRPr="003D3EE8">
        <w:rPr>
          <w:rFonts w:ascii="標楷體" w:eastAsia="標楷體" w:hAnsi="標楷體" w:cs="MS Gothic"/>
          <w:color w:val="000000" w:themeColor="text1"/>
          <w:sz w:val="32"/>
          <w:szCs w:val="32"/>
        </w:rPr>
        <w:t>……</w:t>
      </w:r>
      <w:r w:rsidRPr="003D3EE8">
        <w:rPr>
          <w:rFonts w:ascii="標楷體" w:eastAsia="標楷體" w:hAnsi="標楷體" w:hint="eastAsia"/>
          <w:color w:val="000000" w:themeColor="text1"/>
          <w:sz w:val="32"/>
          <w:szCs w:val="32"/>
        </w:rPr>
        <w:t>等語。依該公司辦理不動產貸款風險管理要點規定，購置住宅貸款及房屋修繕貸款扣除政策性貸款後餘額占放款總餘額之比率，不得超過35%，惟該公司購置住宅貸款及房屋修繕貸款扣除政策性貸款後餘額占放款總餘額之比率</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於</w:t>
      </w:r>
      <w:r w:rsidRPr="003D3EE8">
        <w:rPr>
          <w:rFonts w:ascii="標楷體" w:eastAsia="標楷體" w:hAnsi="標楷體"/>
          <w:color w:val="000000" w:themeColor="text1"/>
          <w:sz w:val="32"/>
          <w:szCs w:val="32"/>
        </w:rPr>
        <w:t>112</w:t>
      </w:r>
      <w:r w:rsidRPr="003D3EE8">
        <w:rPr>
          <w:rFonts w:ascii="標楷體" w:eastAsia="標楷體" w:hAnsi="標楷體" w:hint="eastAsia"/>
          <w:color w:val="000000" w:themeColor="text1"/>
          <w:sz w:val="32"/>
          <w:szCs w:val="32"/>
        </w:rPr>
        <w:t>年底上升至</w:t>
      </w:r>
      <w:r w:rsidRPr="003D3EE8">
        <w:rPr>
          <w:rFonts w:ascii="標楷體" w:eastAsia="標楷體" w:hAnsi="標楷體"/>
          <w:color w:val="000000" w:themeColor="text1"/>
          <w:sz w:val="32"/>
          <w:szCs w:val="32"/>
        </w:rPr>
        <w:t>32.37%</w:t>
      </w:r>
      <w:r w:rsidRPr="003D3EE8">
        <w:rPr>
          <w:rFonts w:ascii="標楷體" w:eastAsia="標楷體" w:hAnsi="標楷體" w:hint="eastAsia"/>
          <w:color w:val="000000" w:themeColor="text1"/>
          <w:sz w:val="32"/>
          <w:szCs w:val="32"/>
        </w:rPr>
        <w:t>。又中央銀行自111年3月開始，至112年底已連續五度升息，累計升息3碼，該公司指數型房貸指標利率亦由</w:t>
      </w:r>
      <w:r w:rsidRPr="003D3EE8">
        <w:rPr>
          <w:rFonts w:ascii="標楷體" w:eastAsia="標楷體" w:hAnsi="標楷體"/>
          <w:color w:val="000000" w:themeColor="text1"/>
          <w:sz w:val="32"/>
          <w:szCs w:val="32"/>
        </w:rPr>
        <w:t>111</w:t>
      </w:r>
      <w:r w:rsidRPr="003D3EE8">
        <w:rPr>
          <w:rFonts w:ascii="標楷體" w:eastAsia="標楷體" w:hAnsi="標楷體" w:hint="eastAsia"/>
          <w:color w:val="000000" w:themeColor="text1"/>
          <w:sz w:val="32"/>
          <w:szCs w:val="32"/>
        </w:rPr>
        <w:t>年</w:t>
      </w:r>
      <w:r w:rsidRPr="003D3EE8">
        <w:rPr>
          <w:rFonts w:ascii="標楷體" w:eastAsia="標楷體" w:hAnsi="標楷體"/>
          <w:color w:val="000000" w:themeColor="text1"/>
          <w:sz w:val="32"/>
          <w:szCs w:val="32"/>
        </w:rPr>
        <w:t>3</w:t>
      </w:r>
      <w:r w:rsidRPr="003D3EE8">
        <w:rPr>
          <w:rFonts w:ascii="標楷體" w:eastAsia="標楷體" w:hAnsi="標楷體" w:hint="eastAsia"/>
          <w:color w:val="000000" w:themeColor="text1"/>
          <w:sz w:val="32"/>
          <w:szCs w:val="32"/>
        </w:rPr>
        <w:t>月之</w:t>
      </w:r>
      <w:r w:rsidRPr="003D3EE8">
        <w:rPr>
          <w:rFonts w:ascii="標楷體" w:eastAsia="標楷體" w:hAnsi="標楷體"/>
          <w:color w:val="000000" w:themeColor="text1"/>
          <w:sz w:val="32"/>
          <w:szCs w:val="32"/>
        </w:rPr>
        <w:t>0.84</w:t>
      </w:r>
      <w:r w:rsidRPr="003D3EE8">
        <w:rPr>
          <w:rFonts w:ascii="標楷體" w:eastAsia="標楷體" w:hAnsi="標楷體" w:hint="eastAsia"/>
          <w:color w:val="000000" w:themeColor="text1"/>
          <w:sz w:val="32"/>
          <w:szCs w:val="32"/>
        </w:rPr>
        <w:t>%上升至</w:t>
      </w:r>
      <w:r w:rsidRPr="003D3EE8">
        <w:rPr>
          <w:rFonts w:ascii="標楷體" w:eastAsia="標楷體" w:hAnsi="標楷體"/>
          <w:color w:val="000000" w:themeColor="text1"/>
          <w:sz w:val="32"/>
          <w:szCs w:val="32"/>
        </w:rPr>
        <w:t>112</w:t>
      </w:r>
      <w:r w:rsidRPr="003D3EE8">
        <w:rPr>
          <w:rFonts w:ascii="標楷體" w:eastAsia="標楷體" w:hAnsi="標楷體" w:hint="eastAsia"/>
          <w:color w:val="000000" w:themeColor="text1"/>
          <w:sz w:val="32"/>
          <w:szCs w:val="32"/>
        </w:rPr>
        <w:t>年底之</w:t>
      </w:r>
      <w:r w:rsidRPr="003D3EE8">
        <w:rPr>
          <w:rFonts w:ascii="標楷體" w:eastAsia="標楷體" w:hAnsi="標楷體"/>
          <w:color w:val="000000" w:themeColor="text1"/>
          <w:sz w:val="32"/>
          <w:szCs w:val="32"/>
        </w:rPr>
        <w:t>1.59</w:t>
      </w:r>
      <w:r w:rsidRPr="003D3EE8">
        <w:rPr>
          <w:rFonts w:ascii="標楷體" w:eastAsia="標楷體" w:hAnsi="標楷體" w:hint="eastAsia"/>
          <w:color w:val="000000" w:themeColor="text1"/>
          <w:sz w:val="32"/>
          <w:szCs w:val="32"/>
        </w:rPr>
        <w:t>%</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民眾貸款負擔率亦由38.35%上升至42.66%，增加4.31個百分點，民眾房貸負擔逐漸沉重。鑑於該公司辦理之購置住宅貸款占比逐年上升</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且民眾房貸負擔趨重。爰請臺灣土地銀行股份有限公司於1個月內向立法院財政委員會提出書面報告。</w:t>
      </w:r>
    </w:p>
    <w:p w14:paraId="7F18B1F2" w14:textId="22A7BC9C"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提案人：賴惠員　</w:t>
      </w:r>
    </w:p>
    <w:p w14:paraId="716F8413" w14:textId="65EA85CB"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連署人：郭國文　李坤城</w:t>
      </w:r>
    </w:p>
    <w:p w14:paraId="5E2AD425"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3.查</w:t>
      </w:r>
      <w:r w:rsidRPr="003D3EE8">
        <w:rPr>
          <w:rFonts w:ascii="標楷體" w:eastAsia="標楷體" w:hAnsi="標楷體"/>
          <w:color w:val="000000" w:themeColor="text1"/>
          <w:sz w:val="32"/>
          <w:szCs w:val="32"/>
        </w:rPr>
        <w:t>114</w:t>
      </w:r>
      <w:r w:rsidRPr="003D3EE8">
        <w:rPr>
          <w:rFonts w:ascii="標楷體" w:eastAsia="標楷體" w:hAnsi="標楷體" w:hint="eastAsia"/>
          <w:color w:val="000000" w:themeColor="text1"/>
          <w:sz w:val="32"/>
          <w:szCs w:val="32"/>
        </w:rPr>
        <w:t>年度臺灣土地銀行股份有限公司預算案於「營業費用」項下「業務費用」之「服務費用」編列21億0</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739萬2千元。惟按112年度審計部中央政府總決算審核報告指出：各分行已定期執行自行稽核作業，惟部分缺失態樣重複發生</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不利抑制人頭帳戶增加</w:t>
      </w:r>
      <w:r w:rsidRPr="003D3EE8">
        <w:rPr>
          <w:rFonts w:ascii="標楷體" w:eastAsia="標楷體" w:hAnsi="標楷體" w:cs="MS Gothic"/>
          <w:color w:val="000000" w:themeColor="text1"/>
          <w:sz w:val="32"/>
          <w:szCs w:val="32"/>
        </w:rPr>
        <w:t>……</w:t>
      </w:r>
      <w:r w:rsidRPr="003D3EE8">
        <w:rPr>
          <w:rFonts w:ascii="標楷體" w:eastAsia="標楷體" w:hAnsi="標楷體" w:hint="eastAsia"/>
          <w:color w:val="000000" w:themeColor="text1"/>
          <w:sz w:val="32"/>
          <w:szCs w:val="32"/>
        </w:rPr>
        <w:t>等語。據臺灣土地銀行股份有限</w:t>
      </w:r>
      <w:r w:rsidRPr="003D3EE8">
        <w:rPr>
          <w:rFonts w:ascii="標楷體" w:eastAsia="標楷體" w:hAnsi="標楷體" w:hint="eastAsia"/>
          <w:color w:val="000000" w:themeColor="text1"/>
          <w:sz w:val="32"/>
          <w:szCs w:val="32"/>
        </w:rPr>
        <w:lastRenderedPageBreak/>
        <w:t>公司統計</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各分行近</w:t>
      </w:r>
      <w:r w:rsidRPr="003D3EE8">
        <w:rPr>
          <w:rFonts w:ascii="標楷體" w:eastAsia="標楷體" w:hAnsi="標楷體"/>
          <w:color w:val="000000" w:themeColor="text1"/>
          <w:sz w:val="32"/>
          <w:szCs w:val="32"/>
        </w:rPr>
        <w:t>3</w:t>
      </w:r>
      <w:r w:rsidRPr="003D3EE8">
        <w:rPr>
          <w:rFonts w:ascii="標楷體" w:eastAsia="標楷體" w:hAnsi="標楷體" w:hint="eastAsia"/>
          <w:color w:val="000000" w:themeColor="text1"/>
          <w:sz w:val="32"/>
          <w:szCs w:val="32"/>
        </w:rPr>
        <w:t>年於自行查核時發現開户作業審核及異常帳戶風險控管與阻詐相關之缺失態樣計13項，其中持續發生者，計有警示帳戶自行查核未落實等10項，且辦理警示帳戶解除作業，間未查詢通報案件紀錄及補充註記以確認已無本行通報警示之註記、通報之警示帳戶後，未依規定填寫疑似洗錢交易評估表、疑似人頭戶交易樣態案件，簽核未確實等缺失發生之分行數未減少甚或逐年增加，又平鎮等11家分行連年發生阻詐相關缺失，且竹東及三重等2家分行重複發生相同缺失，顯示未積極宣導並落實內部控制，致部分缺失態樣重複發生，不利抑制人頭帳戶增加。鑑此，爰請臺灣土地銀行股份有限公司於1個月內向立法院財政委員會提出書面報告。</w:t>
      </w:r>
    </w:p>
    <w:p w14:paraId="2C198A66" w14:textId="1E0FF088"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提案人：賴惠員　</w:t>
      </w:r>
    </w:p>
    <w:p w14:paraId="6ADF47AA" w14:textId="3E86DCDB"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連署人：郭國文　李坤城</w:t>
      </w:r>
    </w:p>
    <w:p w14:paraId="12CD3215"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kern w:val="0"/>
          <w:sz w:val="32"/>
          <w:szCs w:val="32"/>
        </w:rPr>
      </w:pPr>
      <w:r w:rsidRPr="003D3EE8">
        <w:rPr>
          <w:rFonts w:ascii="標楷體" w:eastAsia="標楷體" w:hAnsi="標楷體" w:hint="eastAsia"/>
          <w:color w:val="000000" w:themeColor="text1"/>
          <w:sz w:val="32"/>
          <w:szCs w:val="32"/>
        </w:rPr>
        <w:t>4.</w:t>
      </w:r>
      <w:r w:rsidRPr="003D3EE8">
        <w:rPr>
          <w:rFonts w:ascii="標楷體" w:eastAsia="標楷體" w:hAnsi="標楷體" w:hint="eastAsia"/>
          <w:color w:val="000000" w:themeColor="text1"/>
          <w:kern w:val="0"/>
          <w:sz w:val="32"/>
          <w:szCs w:val="32"/>
        </w:rPr>
        <w:t>114年度臺灣土地銀行股份有限公司預算案於「營業費用」項下「其他營業費用」之「研究發展費用」編列2,552萬1千元，惟近期傳出部分建商為規避銀行法第72條之2國銀放款不動產不得超過存款餘額30%之限制，改找融資租賃公司申請土地建築融資；又臺灣土地銀行股份有限公司與此類租賃業者訂約254億元之放款額度，為全體公股銀行第二。</w:t>
      </w:r>
      <w:r w:rsidRPr="003D3EE8">
        <w:rPr>
          <w:rFonts w:ascii="標楷體" w:eastAsia="標楷體" w:hAnsi="標楷體" w:hint="eastAsia"/>
          <w:color w:val="000000" w:themeColor="text1"/>
          <w:sz w:val="32"/>
          <w:szCs w:val="32"/>
        </w:rPr>
        <w:t>鑑此，爰請臺灣土地銀行股份有限公司於1個月內向立法院財政委員會提出對融資租賃公司之貸後追蹤現況及如何避免流入不動產之書面報告</w:t>
      </w:r>
      <w:r w:rsidRPr="003D3EE8">
        <w:rPr>
          <w:rFonts w:ascii="標楷體" w:eastAsia="標楷體" w:hAnsi="標楷體" w:hint="eastAsia"/>
          <w:color w:val="000000" w:themeColor="text1"/>
          <w:kern w:val="0"/>
          <w:sz w:val="32"/>
          <w:szCs w:val="32"/>
        </w:rPr>
        <w:t>。</w:t>
      </w:r>
    </w:p>
    <w:p w14:paraId="650703B4" w14:textId="30D66006"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提案人：王世堅　</w:t>
      </w:r>
    </w:p>
    <w:p w14:paraId="5925F372" w14:textId="0D731964"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伍麗華</w:t>
      </w:r>
    </w:p>
    <w:p w14:paraId="1FF93B33"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5.</w:t>
      </w:r>
      <w:r w:rsidRPr="003D3EE8">
        <w:rPr>
          <w:rFonts w:ascii="標楷體" w:eastAsia="標楷體" w:hAnsi="標楷體" w:hint="eastAsia"/>
          <w:color w:val="000000" w:themeColor="text1"/>
          <w:kern w:val="0"/>
          <w:sz w:val="32"/>
          <w:szCs w:val="32"/>
        </w:rPr>
        <w:t>114年度臺灣土地銀行股份有限公司預算案</w:t>
      </w:r>
      <w:r w:rsidRPr="003D3EE8">
        <w:rPr>
          <w:rFonts w:ascii="標楷體" w:eastAsia="標楷體" w:hAnsi="標楷體" w:hint="eastAsia"/>
          <w:color w:val="000000" w:themeColor="text1"/>
          <w:sz w:val="32"/>
          <w:szCs w:val="32"/>
        </w:rPr>
        <w:t>於經營管理之經營政策(二)深耕核心業務下第1點列有配合政府政策辦理各項專案貸款及綠色融資，推展永續領域授信；並於(六)落實永續經營項下第1點列有為發揮金融機構影響力</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支持政府</w:t>
      </w:r>
      <w:r w:rsidRPr="003D3EE8">
        <w:rPr>
          <w:rFonts w:ascii="標楷體" w:eastAsia="標楷體" w:hAnsi="標楷體"/>
          <w:color w:val="000000" w:themeColor="text1"/>
          <w:sz w:val="32"/>
          <w:szCs w:val="32"/>
        </w:rPr>
        <w:t>2050</w:t>
      </w:r>
      <w:r w:rsidRPr="003D3EE8">
        <w:rPr>
          <w:rFonts w:ascii="標楷體" w:eastAsia="標楷體" w:hAnsi="標楷體" w:hint="eastAsia"/>
          <w:color w:val="000000" w:themeColor="text1"/>
          <w:sz w:val="32"/>
          <w:szCs w:val="32"/>
        </w:rPr>
        <w:t>淨零排放政策</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將E</w:t>
      </w:r>
      <w:r w:rsidRPr="003D3EE8">
        <w:rPr>
          <w:rFonts w:ascii="標楷體" w:eastAsia="標楷體" w:hAnsi="標楷體"/>
          <w:color w:val="000000" w:themeColor="text1"/>
          <w:sz w:val="32"/>
          <w:szCs w:val="32"/>
        </w:rPr>
        <w:t>SG</w:t>
      </w:r>
      <w:r w:rsidRPr="003D3EE8">
        <w:rPr>
          <w:rFonts w:ascii="標楷體" w:eastAsia="標楷體" w:hAnsi="標楷體" w:hint="eastAsia"/>
          <w:color w:val="000000" w:themeColor="text1"/>
          <w:sz w:val="32"/>
          <w:szCs w:val="32"/>
        </w:rPr>
        <w:t>因子納入投、融資及商品審查流</w:t>
      </w:r>
      <w:r w:rsidRPr="003D3EE8">
        <w:rPr>
          <w:rFonts w:ascii="標楷體" w:eastAsia="標楷體" w:hAnsi="標楷體" w:hint="eastAsia"/>
          <w:color w:val="000000" w:themeColor="text1"/>
          <w:sz w:val="32"/>
          <w:szCs w:val="32"/>
        </w:rPr>
        <w:lastRenderedPageBreak/>
        <w:t>程，持續發展綠色金融商品。惟112年度審計部中央政府總決算審核報告指出，該行永續績效連結授信等融資方案授信戶有違反環境保護相關法令</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易遭外界質疑永續授信資金實際用途之真實性。相對於違反環保法令之授信案，許多原鄉地區欲發展諸如生質能發電、小型公民電廠、低碳產業等，卻苦於缺少資金、融資管道。臺灣土地銀行股份有限公司</w:t>
      </w:r>
      <w:r w:rsidRPr="003D3EE8">
        <w:rPr>
          <w:rFonts w:ascii="標楷體" w:eastAsia="標楷體" w:hAnsi="標楷體" w:hint="eastAsia"/>
          <w:color w:val="000000" w:themeColor="text1"/>
          <w:kern w:val="0"/>
          <w:sz w:val="32"/>
          <w:szCs w:val="32"/>
        </w:rPr>
        <w:t>於「營業費用」項下「其他營業費用」之「研究發展費用」編列2,552萬1千元</w:t>
      </w:r>
      <w:r w:rsidRPr="003D3EE8">
        <w:rPr>
          <w:rFonts w:ascii="標楷體" w:eastAsia="標楷體" w:hAnsi="標楷體" w:hint="eastAsia"/>
          <w:color w:val="000000" w:themeColor="text1"/>
          <w:sz w:val="32"/>
          <w:szCs w:val="32"/>
        </w:rPr>
        <w:t>，包含委託財團法人台灣中小企業聯合輔導基金會協助中小企業授信戶改善財務體質，辦理專案輔導計畫。</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應於原鄉地區加強推廣綠色授信方案，協助原鄉地區產業或公所取得綠色授信之資格，開辦原鄉綠色產業之專案輔導計畫，檢討相關授信策略並確實執行貸後管理措施。爰請</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於</w:t>
      </w:r>
      <w:r w:rsidRPr="003D3EE8">
        <w:rPr>
          <w:rFonts w:ascii="標楷體" w:eastAsia="標楷體" w:hAnsi="標楷體"/>
          <w:color w:val="000000" w:themeColor="text1"/>
          <w:sz w:val="32"/>
          <w:szCs w:val="32"/>
        </w:rPr>
        <w:t>1</w:t>
      </w:r>
      <w:r w:rsidRPr="003D3EE8">
        <w:rPr>
          <w:rFonts w:ascii="標楷體" w:eastAsia="標楷體" w:hAnsi="標楷體" w:hint="eastAsia"/>
          <w:color w:val="000000" w:themeColor="text1"/>
          <w:sz w:val="32"/>
          <w:szCs w:val="32"/>
        </w:rPr>
        <w:t>個月內向立法院財政委員會提出書面報告。</w:t>
      </w:r>
    </w:p>
    <w:p w14:paraId="3760E4C0" w14:textId="45591B21"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提案人：伍麗華　</w:t>
      </w:r>
    </w:p>
    <w:p w14:paraId="1B346FB2" w14:textId="36FD4A3E"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王鴻薇</w:t>
      </w:r>
    </w:p>
    <w:p w14:paraId="45ADC041"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kern w:val="0"/>
          <w:sz w:val="32"/>
          <w:szCs w:val="32"/>
        </w:rPr>
      </w:pPr>
      <w:r w:rsidRPr="003D3EE8">
        <w:rPr>
          <w:rFonts w:ascii="標楷體" w:eastAsia="標楷體" w:hAnsi="標楷體" w:hint="eastAsia"/>
          <w:color w:val="000000" w:themeColor="text1"/>
          <w:sz w:val="32"/>
          <w:szCs w:val="32"/>
        </w:rPr>
        <w:t>6.</w:t>
      </w:r>
      <w:r w:rsidRPr="003D3EE8">
        <w:rPr>
          <w:rFonts w:ascii="標楷體" w:eastAsia="標楷體" w:hAnsi="標楷體" w:hint="eastAsia"/>
          <w:color w:val="000000" w:themeColor="text1"/>
          <w:kern w:val="0"/>
          <w:sz w:val="32"/>
          <w:szCs w:val="32"/>
        </w:rPr>
        <w:t>114年度臺灣土地銀行股份有限公司預算案於「固定資產建設改良擴充」編列10億6,843萬1千元，皆係辦理一般建築及設備計畫，其與113年度預算案數相比，增加2億0</w:t>
      </w:r>
      <w:r w:rsidRPr="003D3EE8">
        <w:rPr>
          <w:rFonts w:ascii="標楷體" w:eastAsia="標楷體" w:hAnsi="標楷體"/>
          <w:color w:val="000000" w:themeColor="text1"/>
          <w:kern w:val="0"/>
          <w:sz w:val="32"/>
          <w:szCs w:val="32"/>
        </w:rPr>
        <w:t>,</w:t>
      </w:r>
      <w:r w:rsidRPr="003D3EE8">
        <w:rPr>
          <w:rFonts w:ascii="標楷體" w:eastAsia="標楷體" w:hAnsi="標楷體" w:hint="eastAsia"/>
          <w:color w:val="000000" w:themeColor="text1"/>
          <w:kern w:val="0"/>
          <w:sz w:val="32"/>
          <w:szCs w:val="32"/>
        </w:rPr>
        <w:t>624萬7千元，增幅達23.92%。惟查該行112及113年度固定資產建設改良擴充之預算執行率仍有未達八成情形。爰請</w:t>
      </w:r>
      <w:r w:rsidRPr="003D3EE8">
        <w:rPr>
          <w:rFonts w:ascii="標楷體" w:eastAsia="標楷體" w:hAnsi="標楷體" w:hint="eastAsia"/>
          <w:color w:val="000000" w:themeColor="text1"/>
          <w:sz w:val="32"/>
          <w:szCs w:val="32"/>
        </w:rPr>
        <w:t>臺灣土地銀行股份有限公司</w:t>
      </w:r>
      <w:r w:rsidRPr="003D3EE8">
        <w:rPr>
          <w:rFonts w:ascii="標楷體" w:eastAsia="標楷體" w:hAnsi="標楷體" w:hint="eastAsia"/>
          <w:color w:val="000000" w:themeColor="text1"/>
          <w:kern w:val="0"/>
          <w:sz w:val="32"/>
          <w:szCs w:val="32"/>
        </w:rPr>
        <w:t>向</w:t>
      </w:r>
      <w:r w:rsidRPr="003D3EE8">
        <w:rPr>
          <w:rFonts w:ascii="標楷體" w:eastAsia="標楷體" w:hAnsi="標楷體" w:hint="eastAsia"/>
          <w:color w:val="000000" w:themeColor="text1"/>
          <w:sz w:val="32"/>
          <w:szCs w:val="32"/>
        </w:rPr>
        <w:t>立法院</w:t>
      </w:r>
      <w:r w:rsidRPr="003D3EE8">
        <w:rPr>
          <w:rFonts w:ascii="標楷體" w:eastAsia="標楷體" w:hAnsi="標楷體" w:hint="eastAsia"/>
          <w:color w:val="000000" w:themeColor="text1"/>
          <w:kern w:val="0"/>
          <w:sz w:val="32"/>
          <w:szCs w:val="32"/>
        </w:rPr>
        <w:t>財政委員會提出金門分行改建計畫書面報告。</w:t>
      </w:r>
    </w:p>
    <w:p w14:paraId="35B5471E" w14:textId="7BE94BE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提案人：陳玉珍　</w:t>
      </w:r>
    </w:p>
    <w:p w14:paraId="06762B02" w14:textId="2576A771"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連署人：羅明才　李彥秀</w:t>
      </w:r>
    </w:p>
    <w:p w14:paraId="7E5CAEC9"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kern w:val="0"/>
          <w:sz w:val="32"/>
          <w:szCs w:val="32"/>
        </w:rPr>
      </w:pPr>
      <w:r w:rsidRPr="003D3EE8">
        <w:rPr>
          <w:rFonts w:ascii="標楷體" w:eastAsia="標楷體" w:hAnsi="標楷體" w:hint="eastAsia"/>
          <w:color w:val="000000" w:themeColor="text1"/>
          <w:sz w:val="32"/>
          <w:szCs w:val="32"/>
        </w:rPr>
        <w:t>7.</w:t>
      </w:r>
      <w:r w:rsidRPr="003D3EE8">
        <w:rPr>
          <w:rFonts w:ascii="標楷體" w:eastAsia="標楷體" w:hAnsi="標楷體" w:hint="eastAsia"/>
          <w:color w:val="000000" w:themeColor="text1"/>
          <w:kern w:val="0"/>
          <w:sz w:val="32"/>
          <w:szCs w:val="32"/>
        </w:rPr>
        <w:t>114年度臺灣土地銀行股份有限公司預算案於「固定資產建設改良擴充」編列10億6,843萬1千元，皆係辦理一般建築及設備計畫，其與113年度預算案數相比，增加2億0</w:t>
      </w:r>
      <w:r w:rsidRPr="003D3EE8">
        <w:rPr>
          <w:rFonts w:ascii="標楷體" w:eastAsia="標楷體" w:hAnsi="標楷體"/>
          <w:color w:val="000000" w:themeColor="text1"/>
          <w:kern w:val="0"/>
          <w:sz w:val="32"/>
          <w:szCs w:val="32"/>
        </w:rPr>
        <w:t>,</w:t>
      </w:r>
      <w:r w:rsidRPr="003D3EE8">
        <w:rPr>
          <w:rFonts w:ascii="標楷體" w:eastAsia="標楷體" w:hAnsi="標楷體" w:hint="eastAsia"/>
          <w:color w:val="000000" w:themeColor="text1"/>
          <w:kern w:val="0"/>
          <w:sz w:val="32"/>
          <w:szCs w:val="32"/>
        </w:rPr>
        <w:t>624萬7千元，增幅達23.92%。惟查該行近期（112及113年度7月底止）固定資產建設改良擴充之預算執行率有未達八成，其中</w:t>
      </w:r>
      <w:r w:rsidRPr="003D3EE8">
        <w:rPr>
          <w:rFonts w:ascii="標楷體" w:eastAsia="標楷體" w:hAnsi="標楷體" w:hint="eastAsia"/>
          <w:color w:val="000000" w:themeColor="text1"/>
          <w:kern w:val="0"/>
          <w:sz w:val="32"/>
          <w:szCs w:val="32"/>
        </w:rPr>
        <w:lastRenderedPageBreak/>
        <w:t>「房屋及建築」於109至113年度7月底之預算執行率則介於62.86%至72.1%間，113年度截至7月底止，累計執行數亦僅達預算分配數之62.86%，存有經年未達八成之情形。臺灣土地銀行股份有限公司應審慎控管計畫進度，切實執行，並衡酌執行量能覈實編列，俾達預算管控功能。爰請</w:t>
      </w:r>
      <w:r w:rsidRPr="003D3EE8">
        <w:rPr>
          <w:rFonts w:ascii="標楷體" w:eastAsia="標楷體" w:hAnsi="標楷體" w:hint="eastAsia"/>
          <w:color w:val="000000" w:themeColor="text1"/>
          <w:sz w:val="32"/>
          <w:szCs w:val="32"/>
        </w:rPr>
        <w:t>臺灣土地銀行股份有限公司於</w:t>
      </w:r>
      <w:r w:rsidRPr="003D3EE8">
        <w:rPr>
          <w:rFonts w:ascii="標楷體" w:eastAsia="標楷體" w:hAnsi="標楷體"/>
          <w:color w:val="000000" w:themeColor="text1"/>
          <w:sz w:val="32"/>
          <w:szCs w:val="32"/>
        </w:rPr>
        <w:t>1</w:t>
      </w:r>
      <w:r w:rsidRPr="003D3EE8">
        <w:rPr>
          <w:rFonts w:ascii="標楷體" w:eastAsia="標楷體" w:hAnsi="標楷體" w:hint="eastAsia"/>
          <w:color w:val="000000" w:themeColor="text1"/>
          <w:sz w:val="32"/>
          <w:szCs w:val="32"/>
        </w:rPr>
        <w:t>個月內</w:t>
      </w:r>
      <w:r w:rsidRPr="003D3EE8">
        <w:rPr>
          <w:rFonts w:ascii="標楷體" w:eastAsia="標楷體" w:hAnsi="標楷體" w:hint="eastAsia"/>
          <w:color w:val="000000" w:themeColor="text1"/>
          <w:kern w:val="0"/>
          <w:sz w:val="32"/>
          <w:szCs w:val="32"/>
        </w:rPr>
        <w:t>向</w:t>
      </w:r>
      <w:r w:rsidRPr="003D3EE8">
        <w:rPr>
          <w:rFonts w:ascii="標楷體" w:eastAsia="標楷體" w:hAnsi="標楷體" w:hint="eastAsia"/>
          <w:color w:val="000000" w:themeColor="text1"/>
          <w:sz w:val="32"/>
          <w:szCs w:val="32"/>
        </w:rPr>
        <w:t>立法院</w:t>
      </w:r>
      <w:r w:rsidRPr="003D3EE8">
        <w:rPr>
          <w:rFonts w:ascii="標楷體" w:eastAsia="標楷體" w:hAnsi="標楷體" w:hint="eastAsia"/>
          <w:color w:val="000000" w:themeColor="text1"/>
          <w:kern w:val="0"/>
          <w:sz w:val="32"/>
          <w:szCs w:val="32"/>
        </w:rPr>
        <w:t>財政委員會提出書面報告。</w:t>
      </w:r>
    </w:p>
    <w:p w14:paraId="44AA44AA" w14:textId="2915C3A3"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提案人：伍麗華　</w:t>
      </w:r>
    </w:p>
    <w:p w14:paraId="5318FA1C" w14:textId="0F1A8070"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王鴻薇</w:t>
      </w:r>
    </w:p>
    <w:p w14:paraId="003FE189"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8.</w:t>
      </w:r>
      <w:r w:rsidRPr="003D3EE8">
        <w:rPr>
          <w:rFonts w:ascii="標楷體" w:eastAsia="標楷體" w:hAnsi="標楷體" w:hint="eastAsia"/>
          <w:color w:val="000000" w:themeColor="text1"/>
          <w:kern w:val="0"/>
          <w:sz w:val="32"/>
          <w:szCs w:val="32"/>
        </w:rPr>
        <w:t>臺灣土地銀行股份有限公司於113年度截至8月底止之累計利息收入占總收入比率達81.11%，遠高於本國銀行平均數45.89%，顯示出臺灣土地銀行股份有限公司收入來源高度仰賴放款業務，又據立法院預算中心評估報告指出，臺灣土地銀行股份有限公司同期間手續費收入隨新業務之開發雖有成長，但對營收仍較同業平均低出甚多，臺灣土地銀行股份有限公司應積極拓展新業務，以增加多元收益。爰此，請臺灣土地銀行股份有限公司針對未來業務多元性計畫為題，於2個月內向立法院財政委員會提出書面報告。</w:t>
      </w:r>
    </w:p>
    <w:p w14:paraId="2DBC04AF" w14:textId="639583E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提案人：顏寬恒　李彥秀　王鴻薇</w:t>
      </w:r>
    </w:p>
    <w:p w14:paraId="210C8518"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9.</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snapToGrid w:val="0"/>
          <w:color w:val="000000" w:themeColor="text1"/>
          <w:sz w:val="32"/>
          <w:szCs w:val="32"/>
        </w:rPr>
        <w:t>在114年度預算案編列利息收入715億2,193萬1千元，較113年度預算案數657億0</w:t>
      </w:r>
      <w:r w:rsidRPr="003D3EE8">
        <w:rPr>
          <w:rFonts w:ascii="標楷體" w:eastAsia="標楷體" w:hAnsi="標楷體"/>
          <w:snapToGrid w:val="0"/>
          <w:color w:val="000000" w:themeColor="text1"/>
          <w:sz w:val="32"/>
          <w:szCs w:val="32"/>
        </w:rPr>
        <w:t>,</w:t>
      </w:r>
      <w:r w:rsidRPr="003D3EE8">
        <w:rPr>
          <w:rFonts w:ascii="標楷體" w:eastAsia="標楷體" w:hAnsi="標楷體" w:hint="eastAsia"/>
          <w:snapToGrid w:val="0"/>
          <w:color w:val="000000" w:themeColor="text1"/>
          <w:sz w:val="32"/>
          <w:szCs w:val="32"/>
        </w:rPr>
        <w:t>865萬2千元增加58億1,327萬9千元(增幅8.85%)。</w:t>
      </w:r>
      <w:r w:rsidRPr="003D3EE8">
        <w:rPr>
          <w:rFonts w:ascii="標楷體" w:eastAsia="標楷體" w:hAnsi="標楷體" w:hint="eastAsia"/>
          <w:color w:val="000000" w:themeColor="text1"/>
          <w:sz w:val="32"/>
          <w:szCs w:val="32"/>
        </w:rPr>
        <w:t>據金融監督管理委員會銀行局網站公布之金融業務統計輯要資料顯示，</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於113年度截至8月底止之利息收入為534.42億元，其占該行總收入之比率為81.11%，遠高於同期間全體本國銀行(全行)之利息收入占總收入比率45.89%，若將其與同期間公股銀行及泛公股銀行之利息收入占總收入比率相比，亦高於臺灣銀行</w:t>
      </w:r>
      <w:r w:rsidRPr="003D3EE8">
        <w:rPr>
          <w:rFonts w:ascii="標楷體" w:eastAsia="標楷體" w:hAnsi="標楷體" w:hint="eastAsia"/>
          <w:color w:val="000000" w:themeColor="text1"/>
          <w:kern w:val="0"/>
          <w:sz w:val="32"/>
          <w:szCs w:val="32"/>
        </w:rPr>
        <w:t>股份有限公司</w:t>
      </w:r>
      <w:r w:rsidRPr="003D3EE8">
        <w:rPr>
          <w:rFonts w:ascii="標楷體" w:eastAsia="標楷體" w:hAnsi="標楷體" w:hint="eastAsia"/>
          <w:color w:val="000000" w:themeColor="text1"/>
          <w:sz w:val="32"/>
          <w:szCs w:val="32"/>
        </w:rPr>
        <w:t>及其他泛公股銀行，差距介於4.67至55.73個百分點間，僅次於中國輸出入銀行，顯示</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收入高度仰賴放款業</w:t>
      </w:r>
      <w:r w:rsidRPr="003D3EE8">
        <w:rPr>
          <w:rFonts w:ascii="標楷體" w:eastAsia="標楷體" w:hAnsi="標楷體" w:hint="eastAsia"/>
          <w:color w:val="000000" w:themeColor="text1"/>
          <w:sz w:val="32"/>
          <w:szCs w:val="32"/>
        </w:rPr>
        <w:lastRenderedPageBreak/>
        <w:t>務，爰要求</w:t>
      </w:r>
      <w:r w:rsidRPr="003D3EE8">
        <w:rPr>
          <w:rFonts w:ascii="標楷體" w:eastAsia="標楷體" w:hAnsi="標楷體" w:hint="eastAsia"/>
          <w:color w:val="000000" w:themeColor="text1"/>
          <w:kern w:val="0"/>
          <w:sz w:val="32"/>
          <w:szCs w:val="32"/>
        </w:rPr>
        <w:t>臺灣土地銀行股份有限公司於</w:t>
      </w:r>
      <w:r w:rsidRPr="003D3EE8">
        <w:rPr>
          <w:rFonts w:ascii="標楷體" w:eastAsia="標楷體" w:hAnsi="標楷體" w:hint="eastAsia"/>
          <w:color w:val="000000" w:themeColor="text1"/>
          <w:sz w:val="32"/>
          <w:szCs w:val="32"/>
        </w:rPr>
        <w:t>3個月內向立法院財政委員會提出書面檢討報告。</w:t>
      </w:r>
    </w:p>
    <w:p w14:paraId="785AB192" w14:textId="1F9D3526"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提案人：李坤城　賴惠員　郭國文　</w:t>
      </w:r>
    </w:p>
    <w:p w14:paraId="4A5B35A9"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10.臺灣土地銀行股份有限公司近年獲利逐年成長，但收入來源過度集中利息收入，113年度截至8月底止之利息收入占總收入比率為81.11%，遠高於同期間全體本國銀行之利息收入占總收入比率45.89%，亦高於其他公股銀行，顯示其收入高度仰賴放款業務，手續費收入雖有成長，但對營收挹注情形仍低於同業平均，應持續積極拓展新業務，增加多元收益。</w:t>
      </w:r>
    </w:p>
    <w:p w14:paraId="2826658B" w14:textId="282762D3"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提案人：郭國文　</w:t>
      </w:r>
    </w:p>
    <w:p w14:paraId="64125478" w14:textId="1DC721C2"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賴惠員</w:t>
      </w:r>
    </w:p>
    <w:p w14:paraId="2E3F6AAB"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11.鑑於臺灣個人財富成長強勁，預估至116年將以每年6%持續增長達至243兆元，其中資產逾1億元的高資產客群，預估到116年將以9%的成長率持續增加，足見整體財富市場蓬勃發展。然臺灣土地銀行</w:t>
      </w:r>
      <w:r w:rsidRPr="003D3EE8">
        <w:rPr>
          <w:rFonts w:ascii="標楷體" w:eastAsia="標楷體" w:hAnsi="標楷體" w:hint="eastAsia"/>
          <w:color w:val="000000" w:themeColor="text1"/>
          <w:kern w:val="0"/>
          <w:sz w:val="32"/>
          <w:szCs w:val="32"/>
        </w:rPr>
        <w:t>股份有限公司</w:t>
      </w:r>
      <w:r w:rsidRPr="003D3EE8">
        <w:rPr>
          <w:rFonts w:ascii="標楷體" w:eastAsia="標楷體" w:hAnsi="標楷體" w:hint="eastAsia"/>
          <w:color w:val="000000" w:themeColor="text1"/>
          <w:sz w:val="32"/>
          <w:szCs w:val="32"/>
        </w:rPr>
        <w:t>財富管理手續費收入於109至112年間逐年下降，且皆未達年度目標值之七成，而且113年度截至7月底止，目標達成率僅49.92%，顯見該行應積極強化財富管理業務競爭力，俾增裕收入，爰要求</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提出檢討改善報告，並於3個月內向立法院財政委員會提出書面報告。</w:t>
      </w:r>
    </w:p>
    <w:p w14:paraId="51EBEB40" w14:textId="78C3DC2F"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提案人：羅明才　顏寬恒　李彥秀　</w:t>
      </w:r>
    </w:p>
    <w:p w14:paraId="62ACDAE0"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12.有鑑於新制勞退中，雇主每個月必須為勞工至少提繳工資的6%，存到勞工的退休金個人專戶中，除了雇主提繳以外，勞工自己也可以選擇勞退自提，以有效理財規劃與節稅效果，另考量97年後進用員工已無13%優惠存款。爰要求</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比照新制勞退雇主每個月必須為勞工至少提繳1</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500元，員工也對等提繳，雇主提列部分於費用項下列支，免受用人費限額之限制，存入員工退休</w:t>
      </w:r>
      <w:r w:rsidRPr="003D3EE8">
        <w:rPr>
          <w:rFonts w:ascii="標楷體" w:eastAsia="標楷體" w:hAnsi="標楷體" w:hint="eastAsia"/>
          <w:color w:val="000000" w:themeColor="text1"/>
          <w:sz w:val="32"/>
          <w:szCs w:val="32"/>
        </w:rPr>
        <w:lastRenderedPageBreak/>
        <w:t>金理財專戶投資上市櫃公股銀行，於1個月內向立法院財政委員會提出書面報告。</w:t>
      </w:r>
    </w:p>
    <w:p w14:paraId="1C55C168" w14:textId="4037EBE9"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提案人：賴士葆　林德福　陳玉珍　</w:t>
      </w:r>
    </w:p>
    <w:p w14:paraId="20E97A31"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13.有鑑於</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2.4個月績效獎金主要以稅前盈餘之預算達成率110%為標準，超額盈餘無法發放績效獎金，為激勵所屬員工工作效率，爰要求</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對當年度盈餘超過法定數時，應針對超額盈餘部分再提列10%至20%發給員工分紅，逕於費用項下列支，免受用人費限額之限制，以吸引人才留任，於1個月內向立法院財政委員會提出書面報告。</w:t>
      </w:r>
    </w:p>
    <w:p w14:paraId="38016140" w14:textId="5FAC970B"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提案人：賴士葆　林德福　陳玉珍　</w:t>
      </w:r>
    </w:p>
    <w:p w14:paraId="27FC979D"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14.112年度臺灣土地銀行股份有限公司自結税前盈餘達</w:t>
      </w:r>
      <w:r w:rsidRPr="003D3EE8">
        <w:rPr>
          <w:rFonts w:ascii="標楷體" w:eastAsia="標楷體" w:hAnsi="標楷體"/>
          <w:color w:val="000000" w:themeColor="text1"/>
          <w:sz w:val="32"/>
          <w:szCs w:val="32"/>
        </w:rPr>
        <w:t>170.43</w:t>
      </w:r>
      <w:r w:rsidRPr="003D3EE8">
        <w:rPr>
          <w:rFonts w:ascii="標楷體" w:eastAsia="標楷體" w:hAnsi="標楷體" w:hint="eastAsia"/>
          <w:color w:val="000000" w:themeColor="text1"/>
          <w:sz w:val="32"/>
          <w:szCs w:val="32"/>
        </w:rPr>
        <w:t>億元</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創歷年新高紀錄，113年上半年稅前盈餘亦較112年度同期增加。公股銀行整體獲利雖不如民營銀行，惟近年獲利逐步提升同時，應同步增加對員工發放績效獎金、超盈餘獎金，縮小公股銀行與民營銀行之薪資與福利差距，以利吸引人才、留住人才。</w:t>
      </w:r>
    </w:p>
    <w:p w14:paraId="205120D4" w14:textId="5943692B"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提案人：王鴻薇　</w:t>
      </w:r>
    </w:p>
    <w:p w14:paraId="636520BB" w14:textId="0A96180E"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連署人：賴士葆　陳玉珍</w:t>
      </w:r>
    </w:p>
    <w:p w14:paraId="39A59D38"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15.有鑑於國內面對少子女化，不少企業紛紛祭出生育補貼鼓勵，近來公股銀行亦積極配合政府政策，為員工提高生育補助津貼，目前第1胎補助金額10萬元以上者至少5家以上，</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雖有提供補助，惟金額遠低於財政部所屬泛公股行庫，宜積極研議。爰要求</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響應政府職場友善育兒政策，緩解少子化危機，應提高所屬員工生育津貼至少12萬元以上，逕於費用項下列支，免受用人費限額之限制，以提升年輕人對於生育之意願，於1個月內向立法院財政委員會提出書面報告。</w:t>
      </w:r>
    </w:p>
    <w:p w14:paraId="218D4DC7" w14:textId="415A544D"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提案人：賴士葆　林德福　陳玉珍　</w:t>
      </w:r>
    </w:p>
    <w:p w14:paraId="44ED9C5E"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lastRenderedPageBreak/>
        <w:t>16.</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羽球隊及網球隊正式球(隊)員(含教練)為</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員工，114年預算案數分別為6</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059萬4千元及678萬2千元。依臺灣土地銀行球隊管理須知相關規定，球員退役後可轉任該行職員工作。惟依現行規定，若該球員已離開球隊後即不得再回任擔當該行職員。離開</w:t>
      </w:r>
      <w:r w:rsidRPr="003D3EE8">
        <w:rPr>
          <w:rFonts w:ascii="標楷體" w:eastAsia="標楷體" w:hAnsi="標楷體" w:hint="eastAsia"/>
          <w:color w:val="000000" w:themeColor="text1"/>
          <w:kern w:val="0"/>
          <w:sz w:val="32"/>
          <w:szCs w:val="32"/>
        </w:rPr>
        <w:t>臺灣土地銀行股份有限公司球</w:t>
      </w:r>
      <w:r w:rsidRPr="003D3EE8">
        <w:rPr>
          <w:rFonts w:ascii="標楷體" w:eastAsia="標楷體" w:hAnsi="標楷體" w:hint="eastAsia"/>
          <w:color w:val="000000" w:themeColor="text1"/>
          <w:sz w:val="32"/>
          <w:szCs w:val="32"/>
        </w:rPr>
        <w:t>隊之球員嗣後得到特殊體育表現(如：國光體育獎章1等3級以上)，可否保留其回任擔當行員之資格一事，爰請</w:t>
      </w:r>
      <w:r w:rsidRPr="003D3EE8">
        <w:rPr>
          <w:rFonts w:ascii="標楷體" w:eastAsia="標楷體" w:hAnsi="標楷體" w:hint="eastAsia"/>
          <w:color w:val="000000" w:themeColor="text1"/>
          <w:kern w:val="0"/>
          <w:sz w:val="32"/>
          <w:szCs w:val="32"/>
        </w:rPr>
        <w:t>臺灣土地銀行股份有限公司</w:t>
      </w:r>
      <w:r w:rsidRPr="003D3EE8">
        <w:rPr>
          <w:rFonts w:ascii="標楷體" w:eastAsia="標楷體" w:hAnsi="標楷體" w:hint="eastAsia"/>
          <w:color w:val="000000" w:themeColor="text1"/>
          <w:sz w:val="32"/>
          <w:szCs w:val="32"/>
        </w:rPr>
        <w:t>研議並於3個月內向立法院財政委員會提出書面報告。</w:t>
      </w:r>
    </w:p>
    <w:p w14:paraId="6A948A27" w14:textId="062B440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提案人：李坤城　賴惠員　郭國文　</w:t>
      </w:r>
    </w:p>
    <w:p w14:paraId="5F84E95C"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17.鑑於立法院業於113年12月份通過運動產業發展條例第7條之1、第7條之2增訂，明定「各級政府與公營事業出資經營運動團隊之隊伍數量應注意性別比例平等原則」、「應積極輔導相關賽事之運動員工會或團體」義務，查臺灣土地銀行股份有限公司目前現有羽球隊與女子網球隊之建置，且尚未有相關鼓勵運動員工會/團體之機制。為促使臺灣土地銀行股份有限公司配合財政部積極因應相關修法精神</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爰請臺灣土地銀行股份有限公司於3個月內完成相關組隊性平原則落實與運動員團體參與之整體性規劃，向立法院財政委員會提出書面報告。</w:t>
      </w:r>
    </w:p>
    <w:p w14:paraId="08F95D8B" w14:textId="5A943D79"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提案人：賴惠員</w:t>
      </w:r>
    </w:p>
    <w:p w14:paraId="61865F48" w14:textId="38DA5F51"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伍麗華　陳培瑜</w:t>
      </w:r>
    </w:p>
    <w:p w14:paraId="7B02396D" w14:textId="77777777" w:rsidR="009D64D0" w:rsidRPr="00BA46D9" w:rsidRDefault="009D64D0" w:rsidP="00F470A8">
      <w:pPr>
        <w:overflowPunct w:val="0"/>
        <w:spacing w:line="480" w:lineRule="exact"/>
        <w:rPr>
          <w:rFonts w:ascii="標楷體" w:eastAsia="標楷體" w:hAnsi="標楷體" w:cs="華康細明體"/>
          <w:b/>
          <w:color w:val="000000" w:themeColor="text1"/>
          <w:kern w:val="0"/>
          <w:sz w:val="32"/>
          <w:szCs w:val="32"/>
        </w:rPr>
      </w:pPr>
      <w:r w:rsidRPr="00BA46D9">
        <w:rPr>
          <w:rFonts w:ascii="標楷體" w:eastAsia="標楷體" w:hAnsi="標楷體" w:cs="華康細明體" w:hint="eastAsia"/>
          <w:b/>
          <w:color w:val="000000" w:themeColor="text1"/>
          <w:kern w:val="0"/>
          <w:sz w:val="32"/>
          <w:szCs w:val="32"/>
        </w:rPr>
        <w:t>二、財政部印刷廠</w:t>
      </w:r>
    </w:p>
    <w:p w14:paraId="1F61F67F"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(一)業務計畫：應依據營業收支、生產成本、轉投資、重大之建設事業及資金運用等項之審查結果，隨同調整。</w:t>
      </w:r>
    </w:p>
    <w:p w14:paraId="0C3A2F32"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(二)營業收支：</w:t>
      </w:r>
    </w:p>
    <w:p w14:paraId="2F314876"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1.營業總收入：原列6億9,231萬元，增列「營業收入」項下「銷售收入」之「銷貨收入」500萬元，其餘均照列，改列為6億9,731萬元。</w:t>
      </w:r>
    </w:p>
    <w:p w14:paraId="10B5B2A8"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lastRenderedPageBreak/>
        <w:t>2.營業總支出(不含所得稅費用)：原列6億6,473萬1千元</w:t>
      </w:r>
    </w:p>
    <w:p w14:paraId="25939E11"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(1)配合「營業收入」增列，隨同調增「營業成本」項下「銷售成本」之「銷貨成本」405</w:t>
      </w:r>
      <w:r w:rsidRPr="003D3EE8">
        <w:rPr>
          <w:rFonts w:ascii="標楷體" w:eastAsia="標楷體" w:hAnsi="標楷體" w:cs="標楷體"/>
          <w:color w:val="000000" w:themeColor="text1"/>
          <w:sz w:val="32"/>
          <w:szCs w:val="32"/>
        </w:rPr>
        <w:t>萬元。</w:t>
      </w:r>
    </w:p>
    <w:p w14:paraId="2B23AD25"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(2)減列「營業費用」項下「管理費用」5萬元。</w:t>
      </w:r>
    </w:p>
    <w:p w14:paraId="12B63C69" w14:textId="77777777" w:rsidR="009D64D0" w:rsidRPr="003D3EE8" w:rsidRDefault="009D64D0" w:rsidP="00F470A8">
      <w:pPr>
        <w:overflowPunct w:val="0"/>
        <w:autoSpaceDE w:val="0"/>
        <w:spacing w:line="480" w:lineRule="exact"/>
        <w:ind w:leftChars="450" w:left="108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以上增減互抵後，共計增列400萬元(科目均自行調整)，其餘均照列，改列為6億6,873萬1千元。</w:t>
      </w:r>
    </w:p>
    <w:p w14:paraId="7438450F"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3.稅前淨利：原列2,757萬9千元，增列100萬元，改列為2,857萬9千元。</w:t>
      </w:r>
    </w:p>
    <w:p w14:paraId="2DBE4424"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(三)生產成本：營業總支出應隨同調整。</w:t>
      </w:r>
    </w:p>
    <w:p w14:paraId="7748DDEF"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(四)轉投資計畫：無列數。</w:t>
      </w:r>
    </w:p>
    <w:p w14:paraId="41771741"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(五)重大之建設事業：1</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115萬8千元，照列。</w:t>
      </w:r>
    </w:p>
    <w:p w14:paraId="10C3F527"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(六)資金運用：應依據營業收支、生產成本、盈虧撥補、轉投資及重大之建設事業等項之審查結果，隨同調整。</w:t>
      </w:r>
    </w:p>
    <w:p w14:paraId="48A09928"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(七)通過決議1項：</w:t>
      </w:r>
    </w:p>
    <w:p w14:paraId="54207204"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1.114年度財政部印刷廠預算案編列「固定資產建設改良擴充」預算1,115萬8千元，依該廠112年度決算書之固定資產建設改良擴充計畫預算與實際進度比較表，112年度決算數（未含保留數）5,975萬5千元，僅占可用預算數1億0</w:t>
      </w:r>
      <w:r w:rsidRPr="003D3EE8">
        <w:rPr>
          <w:rFonts w:ascii="標楷體" w:eastAsia="標楷體" w:hAnsi="標楷體" w:cs="華康細明體"/>
          <w:color w:val="000000" w:themeColor="text1"/>
          <w:kern w:val="0"/>
          <w:sz w:val="32"/>
          <w:szCs w:val="32"/>
        </w:rPr>
        <w:t>,</w:t>
      </w:r>
      <w:r w:rsidRPr="003D3EE8">
        <w:rPr>
          <w:rFonts w:ascii="標楷體" w:eastAsia="標楷體" w:hAnsi="標楷體" w:cs="華康細明體" w:hint="eastAsia"/>
          <w:color w:val="000000" w:themeColor="text1"/>
          <w:kern w:val="0"/>
          <w:sz w:val="32"/>
          <w:szCs w:val="32"/>
        </w:rPr>
        <w:t>110萬3千元之59.10%，需保留至113年度繼續執行數計3,275萬3千元，執行進度落後。財政部印刷廠應積極檢討改善，加強派員採購專業人員訓練、責成需求單位掌握採購案招標期程，提前規劃並加強履約管理等，俾提升預算執行率及114年度固定資產建設改良擴充計畫之投資效益。爰請財政部印刷廠於1個月內向立法院財政委員會提出書面報告。</w:t>
      </w:r>
    </w:p>
    <w:p w14:paraId="7BC2DF29" w14:textId="0AEA19E3"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提案人：伍麗華</w:t>
      </w:r>
    </w:p>
    <w:p w14:paraId="7DF834AE" w14:textId="11DFCB06"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王鴻薇</w:t>
      </w:r>
    </w:p>
    <w:p w14:paraId="360A031A" w14:textId="77777777" w:rsidR="009D64D0" w:rsidRPr="00BA46D9" w:rsidRDefault="009D64D0" w:rsidP="00F470A8">
      <w:pPr>
        <w:overflowPunct w:val="0"/>
        <w:spacing w:line="480" w:lineRule="exact"/>
        <w:rPr>
          <w:rFonts w:ascii="標楷體" w:eastAsia="標楷體" w:hAnsi="標楷體" w:cs="華康細明體"/>
          <w:b/>
          <w:color w:val="000000" w:themeColor="text1"/>
          <w:kern w:val="0"/>
          <w:sz w:val="32"/>
          <w:szCs w:val="32"/>
        </w:rPr>
      </w:pPr>
      <w:r w:rsidRPr="00BA46D9">
        <w:rPr>
          <w:rFonts w:ascii="標楷體" w:eastAsia="標楷體" w:hAnsi="標楷體" w:cs="華康細明體" w:hint="eastAsia"/>
          <w:b/>
          <w:color w:val="000000" w:themeColor="text1"/>
          <w:kern w:val="0"/>
          <w:sz w:val="32"/>
          <w:szCs w:val="32"/>
        </w:rPr>
        <w:t>三、臺灣菸酒股份有限公司</w:t>
      </w:r>
    </w:p>
    <w:p w14:paraId="3925DB15"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(一)業務計畫：應依據營業收支、生產成本、轉投資、重大之建設事業及資金運用等項之審查結果，隨同調整。</w:t>
      </w:r>
    </w:p>
    <w:p w14:paraId="7C5277E9" w14:textId="77777777" w:rsidR="009D64D0" w:rsidRPr="003D3EE8" w:rsidRDefault="009D64D0" w:rsidP="00F470A8">
      <w:pPr>
        <w:overflowPunct w:val="0"/>
        <w:autoSpaceDE w:val="0"/>
        <w:spacing w:line="480" w:lineRule="exact"/>
        <w:ind w:leftChars="200" w:left="1120" w:hangingChars="200" w:hanging="640"/>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(二)營業收支：</w:t>
      </w:r>
    </w:p>
    <w:p w14:paraId="02CF2A32"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lastRenderedPageBreak/>
        <w:t>1.營業總收入：603億1,624萬4千元，照列。</w:t>
      </w:r>
    </w:p>
    <w:p w14:paraId="60928014"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2.營業總支出</w:t>
      </w:r>
      <w:r w:rsidRPr="003D3EE8">
        <w:rPr>
          <w:rFonts w:ascii="標楷體" w:eastAsia="標楷體" w:hAnsi="標楷體" w:cs="華康細明體"/>
          <w:color w:val="000000" w:themeColor="text1"/>
          <w:kern w:val="0"/>
          <w:sz w:val="32"/>
          <w:szCs w:val="32"/>
        </w:rPr>
        <w:t>(</w:t>
      </w:r>
      <w:r w:rsidRPr="003D3EE8">
        <w:rPr>
          <w:rFonts w:ascii="標楷體" w:eastAsia="標楷體" w:hAnsi="標楷體" w:cs="華康細明體" w:hint="eastAsia"/>
          <w:color w:val="000000" w:themeColor="text1"/>
          <w:kern w:val="0"/>
          <w:sz w:val="32"/>
          <w:szCs w:val="32"/>
        </w:rPr>
        <w:t>不含所得稅費用</w:t>
      </w:r>
      <w:r w:rsidRPr="003D3EE8">
        <w:rPr>
          <w:rFonts w:ascii="標楷體" w:eastAsia="標楷體" w:hAnsi="標楷體" w:cs="華康細明體"/>
          <w:color w:val="000000" w:themeColor="text1"/>
          <w:kern w:val="0"/>
          <w:sz w:val="32"/>
          <w:szCs w:val="32"/>
        </w:rPr>
        <w:t>)</w:t>
      </w:r>
      <w:r w:rsidRPr="003D3EE8">
        <w:rPr>
          <w:rFonts w:ascii="標楷體" w:eastAsia="標楷體" w:hAnsi="標楷體" w:cs="華康細明體" w:hint="eastAsia"/>
          <w:color w:val="000000" w:themeColor="text1"/>
          <w:kern w:val="0"/>
          <w:sz w:val="32"/>
          <w:szCs w:val="32"/>
        </w:rPr>
        <w:t>：原列545億2,308萬6千元，減列：</w:t>
      </w:r>
    </w:p>
    <w:p w14:paraId="6F4856C8"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s="華康細明體"/>
          <w:color w:val="000000" w:themeColor="text1"/>
          <w:kern w:val="0"/>
          <w:sz w:val="32"/>
          <w:szCs w:val="32"/>
        </w:rPr>
      </w:pPr>
      <w:r w:rsidRPr="003D3EE8">
        <w:rPr>
          <w:rFonts w:ascii="標楷體" w:eastAsia="標楷體" w:hAnsi="標楷體" w:hint="eastAsia"/>
          <w:noProof/>
          <w:color w:val="000000" w:themeColor="text1"/>
          <w:kern w:val="0"/>
          <w:sz w:val="32"/>
          <w:szCs w:val="32"/>
          <w:lang w:val="x-none" w:eastAsia="x-none"/>
        </w:rPr>
        <w:t>(1)</w:t>
      </w:r>
      <w:r w:rsidRPr="003D3EE8">
        <w:rPr>
          <w:rFonts w:ascii="標楷體" w:eastAsia="標楷體" w:hAnsi="標楷體" w:cs="華康細明體" w:hint="eastAsia"/>
          <w:color w:val="000000" w:themeColor="text1"/>
          <w:kern w:val="0"/>
          <w:sz w:val="32"/>
          <w:szCs w:val="32"/>
        </w:rPr>
        <w:t>「營業成本」項下「銷售成本」</w:t>
      </w:r>
      <w:r w:rsidRPr="003D3EE8">
        <w:rPr>
          <w:rFonts w:ascii="標楷體" w:eastAsia="標楷體" w:hAnsi="標楷體" w:cs="華康細明體"/>
          <w:color w:val="000000" w:themeColor="text1"/>
          <w:kern w:val="0"/>
          <w:sz w:val="32"/>
          <w:szCs w:val="32"/>
        </w:rPr>
        <w:t>2</w:t>
      </w:r>
      <w:r w:rsidRPr="003D3EE8">
        <w:rPr>
          <w:rFonts w:ascii="標楷體" w:eastAsia="標楷體" w:hAnsi="標楷體" w:cs="華康細明體" w:hint="eastAsia"/>
          <w:color w:val="000000" w:themeColor="text1"/>
          <w:kern w:val="0"/>
          <w:sz w:val="32"/>
          <w:szCs w:val="32"/>
        </w:rPr>
        <w:t>,2</w:t>
      </w:r>
      <w:r w:rsidRPr="003D3EE8">
        <w:rPr>
          <w:rFonts w:ascii="標楷體" w:eastAsia="標楷體" w:hAnsi="標楷體" w:cs="華康細明體"/>
          <w:color w:val="000000" w:themeColor="text1"/>
          <w:kern w:val="0"/>
          <w:sz w:val="32"/>
          <w:szCs w:val="32"/>
        </w:rPr>
        <w:t>00</w:t>
      </w:r>
      <w:r w:rsidRPr="003D3EE8">
        <w:rPr>
          <w:rFonts w:ascii="標楷體" w:eastAsia="標楷體" w:hAnsi="標楷體" w:cs="華康細明體" w:hint="eastAsia"/>
          <w:color w:val="000000" w:themeColor="text1"/>
          <w:kern w:val="0"/>
          <w:sz w:val="32"/>
          <w:szCs w:val="32"/>
        </w:rPr>
        <w:t>萬元(含「製造費用」項下「服務費用」之「修理保養與保固費」200萬元)。</w:t>
      </w:r>
    </w:p>
    <w:p w14:paraId="45362D7E" w14:textId="77777777" w:rsidR="009D64D0" w:rsidRPr="003D3EE8" w:rsidRDefault="009D64D0" w:rsidP="00F470A8">
      <w:pPr>
        <w:overflowPunct w:val="0"/>
        <w:autoSpaceDE w:val="0"/>
        <w:spacing w:line="480" w:lineRule="exact"/>
        <w:ind w:leftChars="450" w:left="1560" w:hangingChars="150" w:hanging="480"/>
        <w:jc w:val="both"/>
        <w:rPr>
          <w:rFonts w:ascii="標楷體" w:eastAsia="標楷體" w:hAnsi="標楷體" w:cs="華康細明體"/>
          <w:color w:val="000000" w:themeColor="text1"/>
          <w:kern w:val="0"/>
          <w:sz w:val="32"/>
          <w:szCs w:val="32"/>
        </w:rPr>
      </w:pPr>
      <w:r w:rsidRPr="003D3EE8">
        <w:rPr>
          <w:rFonts w:ascii="標楷體" w:eastAsia="標楷體" w:hAnsi="標楷體" w:hint="eastAsia"/>
          <w:noProof/>
          <w:color w:val="000000" w:themeColor="text1"/>
          <w:kern w:val="0"/>
          <w:sz w:val="32"/>
          <w:szCs w:val="32"/>
          <w:lang w:val="x-none" w:eastAsia="x-none"/>
        </w:rPr>
        <w:t>(</w:t>
      </w:r>
      <w:r w:rsidRPr="003D3EE8">
        <w:rPr>
          <w:rFonts w:ascii="標楷體" w:eastAsia="標楷體" w:hAnsi="標楷體" w:hint="eastAsia"/>
          <w:noProof/>
          <w:color w:val="000000" w:themeColor="text1"/>
          <w:kern w:val="0"/>
          <w:sz w:val="32"/>
          <w:szCs w:val="32"/>
          <w:lang w:val="x-none"/>
        </w:rPr>
        <w:t>2</w:t>
      </w:r>
      <w:r w:rsidRPr="003D3EE8">
        <w:rPr>
          <w:rFonts w:ascii="標楷體" w:eastAsia="標楷體" w:hAnsi="標楷體" w:hint="eastAsia"/>
          <w:noProof/>
          <w:color w:val="000000" w:themeColor="text1"/>
          <w:kern w:val="0"/>
          <w:sz w:val="32"/>
          <w:szCs w:val="32"/>
          <w:lang w:val="x-none" w:eastAsia="x-none"/>
        </w:rPr>
        <w:t>)</w:t>
      </w:r>
      <w:r w:rsidRPr="003D3EE8">
        <w:rPr>
          <w:rFonts w:ascii="標楷體" w:eastAsia="標楷體" w:hAnsi="標楷體" w:cs="華康細明體" w:hint="eastAsia"/>
          <w:color w:val="000000" w:themeColor="text1"/>
          <w:kern w:val="0"/>
          <w:sz w:val="32"/>
          <w:szCs w:val="32"/>
        </w:rPr>
        <w:t>「營業費用」項下「行銷費用」600萬元（含「服務費用」之「印刷裝訂及公告費」100萬元</w:t>
      </w:r>
      <w:r w:rsidRPr="003D3EE8">
        <w:rPr>
          <w:rFonts w:ascii="標楷體" w:eastAsia="標楷體" w:hAnsi="標楷體" w:cs="華康細明體"/>
          <w:color w:val="000000" w:themeColor="text1"/>
          <w:kern w:val="0"/>
          <w:sz w:val="32"/>
          <w:szCs w:val="32"/>
        </w:rPr>
        <w:t>）</w:t>
      </w:r>
      <w:r w:rsidRPr="003D3EE8">
        <w:rPr>
          <w:rFonts w:ascii="標楷體" w:eastAsia="標楷體" w:hAnsi="標楷體" w:cs="華康細明體" w:hint="eastAsia"/>
          <w:color w:val="000000" w:themeColor="text1"/>
          <w:kern w:val="0"/>
          <w:sz w:val="32"/>
          <w:szCs w:val="32"/>
        </w:rPr>
        <w:t>、「管理費用」400萬元（含「服務費用」200萬元</w:t>
      </w:r>
      <w:r w:rsidRPr="003D3EE8">
        <w:rPr>
          <w:rFonts w:ascii="標楷體" w:eastAsia="標楷體" w:hAnsi="標楷體" w:cs="華康細明體"/>
          <w:color w:val="000000" w:themeColor="text1"/>
          <w:kern w:val="0"/>
          <w:sz w:val="32"/>
          <w:szCs w:val="32"/>
        </w:rPr>
        <w:t>）</w:t>
      </w:r>
      <w:r w:rsidRPr="003D3EE8">
        <w:rPr>
          <w:rFonts w:ascii="標楷體" w:eastAsia="標楷體" w:hAnsi="標楷體" w:cs="華康細明體" w:hint="eastAsia"/>
          <w:color w:val="000000" w:themeColor="text1"/>
          <w:kern w:val="0"/>
          <w:sz w:val="32"/>
          <w:szCs w:val="32"/>
        </w:rPr>
        <w:t>。</w:t>
      </w:r>
    </w:p>
    <w:p w14:paraId="4A7C17E9" w14:textId="77777777" w:rsidR="009D64D0" w:rsidRPr="003D3EE8" w:rsidRDefault="009D64D0" w:rsidP="00F470A8">
      <w:pPr>
        <w:overflowPunct w:val="0"/>
        <w:autoSpaceDE w:val="0"/>
        <w:spacing w:line="480" w:lineRule="exact"/>
        <w:ind w:leftChars="450" w:left="108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以上共計減列3,200萬元（科目均自行調整），其餘均照列，改列為544億9,108萬6千元。</w:t>
      </w:r>
    </w:p>
    <w:p w14:paraId="15AE1705"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s="華康細明體"/>
          <w:color w:val="000000" w:themeColor="text1"/>
          <w:kern w:val="0"/>
          <w:sz w:val="32"/>
          <w:szCs w:val="32"/>
        </w:rPr>
      </w:pPr>
      <w:r w:rsidRPr="003D3EE8">
        <w:rPr>
          <w:rFonts w:ascii="標楷體" w:eastAsia="標楷體" w:hAnsi="標楷體" w:cs="華康細明體" w:hint="eastAsia"/>
          <w:color w:val="000000" w:themeColor="text1"/>
          <w:kern w:val="0"/>
          <w:sz w:val="32"/>
          <w:szCs w:val="32"/>
        </w:rPr>
        <w:t>3.稅前淨利：原列57億9,315萬8千元，增列3,200萬元，改列為58億2,515萬8千元。</w:t>
      </w:r>
    </w:p>
    <w:p w14:paraId="52B5D855"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(三)生產成本：營業總支出應隨同調整。</w:t>
      </w:r>
    </w:p>
    <w:p w14:paraId="25391397"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(四)轉投資計畫：無列數。</w:t>
      </w:r>
    </w:p>
    <w:p w14:paraId="19B1521D"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(五)重大之建設事業：原列14億1,349萬2千元，減列「固定資產建設改良擴充」項下「一般建築及設備計畫」4,000萬元(科目自行調整)，改列為13億7,349萬2千元。</w:t>
      </w:r>
    </w:p>
    <w:p w14:paraId="42A7D63C"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(六)資金運用：應依據營業收支、生產成本、盈虧撥補、轉投資及重大之建設事業等項之審查結果，隨同調整。</w:t>
      </w:r>
    </w:p>
    <w:p w14:paraId="3BD2A260" w14:textId="77777777" w:rsidR="009D64D0" w:rsidRPr="003D3EE8" w:rsidRDefault="009D64D0" w:rsidP="00F470A8">
      <w:pPr>
        <w:overflowPunct w:val="0"/>
        <w:autoSpaceDE w:val="0"/>
        <w:spacing w:line="480" w:lineRule="exact"/>
        <w:ind w:leftChars="200" w:left="1120" w:hangingChars="200" w:hanging="64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(七)通過決議24項：</w:t>
      </w:r>
    </w:p>
    <w:p w14:paraId="1AAC09E7"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color w:val="000000" w:themeColor="text1"/>
          <w:sz w:val="32"/>
          <w:szCs w:val="32"/>
        </w:rPr>
        <w:t>1.114年度臺灣菸酒股份有限公司預算案於「營業費用」項下「行銷費用」中「服務費用」之「推展費」編列15億3,223萬7千元，係為因應菸酒開放後競銷之促銷經費、新產品推廣發表會及參加國外商展等費用，較112年度決算數10億9,520萬元，增編4億3,703萬7千元，考量多項主要營運項目產銷數量低於113年度，其中菸品受法令及稅捐影響，致產銷量衰退較明顯，該公司應積極拓展通路及產品多元化，妥慎規劃行銷策略，提升產品及品牌能見度，以增進多角化經營成效，提升營運效率，俾公司永續發展。爰凍結該項預算</w:t>
      </w:r>
      <w:r w:rsidRPr="003D3EE8">
        <w:rPr>
          <w:rFonts w:ascii="標楷體" w:eastAsia="標楷體" w:hAnsi="標楷體" w:hint="eastAsia"/>
          <w:color w:val="000000" w:themeColor="text1"/>
          <w:sz w:val="32"/>
          <w:szCs w:val="32"/>
        </w:rPr>
        <w:lastRenderedPageBreak/>
        <w:t>1</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000萬元，俟臺灣菸酒股份有限公司於2個月內向立法院財政委員會提出書面報告後，始得動支。</w:t>
      </w:r>
    </w:p>
    <w:p w14:paraId="5504B244" w14:textId="77861A80"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提案人：林德福　賴士葆　陳玉珍</w:t>
      </w:r>
    </w:p>
    <w:p w14:paraId="3037C241"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2</w:t>
      </w:r>
      <w:r w:rsidRPr="003D3EE8">
        <w:rPr>
          <w:rFonts w:ascii="標楷體" w:eastAsia="標楷體" w:hAnsi="標楷體" w:hint="eastAsia"/>
          <w:color w:val="000000" w:themeColor="text1"/>
          <w:sz w:val="32"/>
          <w:szCs w:val="32"/>
        </w:rPr>
        <w:t>.依據立法院預算中心評估報告指出，112年度臺灣菸酒股份有限公司雖未發生工傷，惟誤工率較111年度增加，且113年度迄今已發生2件工安事件，允宜落實辦理職業安全衛生管理計畫，強化職業安全衛生委員會之功能，並確實檢討各工安事故發生原因，以督促各作業單位落實安全衛生管理措施，及提升全體員工安全知能，俾降低發生職業災害及事故風險。爰凍結「營業費用」項下「管理費用」中「服務費用」之「推展費」預算1,627萬元之二十分之一，俟臺灣菸酒股份有限公司於2個月內向立法院財政委員會提出書面報告後，始得動支。</w:t>
      </w:r>
    </w:p>
    <w:p w14:paraId="66241280" w14:textId="42ED7990"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提案人：林德福　賴士葆　陳玉珍</w:t>
      </w:r>
    </w:p>
    <w:p w14:paraId="10E69F01"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3</w:t>
      </w:r>
      <w:r w:rsidRPr="003D3EE8">
        <w:rPr>
          <w:rFonts w:ascii="標楷體" w:eastAsia="標楷體" w:hAnsi="標楷體" w:hint="eastAsia"/>
          <w:color w:val="000000" w:themeColor="text1"/>
          <w:sz w:val="32"/>
          <w:szCs w:val="32"/>
        </w:rPr>
        <w:t>.114年度臺灣菸酒股份有限公司預算案於「營業費用」項下「其他營業費用」之「員工訓練費用」編列2,160萬2千元，用以辦理企業識別體系、勞工安全宣導活動及員工工作預防災害所必要之職業安全衛生教育訓練。惟查，該公司113年度發生工安事件</w:t>
      </w:r>
      <w:r w:rsidRPr="003D3EE8">
        <w:rPr>
          <w:rFonts w:ascii="標楷體" w:eastAsia="標楷體" w:hAnsi="標楷體"/>
          <w:color w:val="000000" w:themeColor="text1"/>
          <w:sz w:val="32"/>
          <w:szCs w:val="32"/>
        </w:rPr>
        <w:t>2</w:t>
      </w:r>
      <w:r w:rsidRPr="003D3EE8">
        <w:rPr>
          <w:rFonts w:ascii="標楷體" w:eastAsia="標楷體" w:hAnsi="標楷體" w:hint="eastAsia"/>
          <w:color w:val="000000" w:themeColor="text1"/>
          <w:sz w:val="32"/>
          <w:szCs w:val="32"/>
        </w:rPr>
        <w:t>件，其中善化啤酒廠之廢水場發生高壓配電箱內部電氣設備絕緣劣化而跳電發生火災，致高壓配電箱受損；另臺中酒廠發生員工因未注意道路狀況不慎踢到石塊，右腳膝蓋前傾碰撞石階受傷無法自行走路。以上顯示部分作業單位職業安全管理措施尚有改善空間。爰凍結該項預算二十分之一，請臺灣菸酒股份有限公司於</w:t>
      </w:r>
      <w:r w:rsidRPr="003D3EE8">
        <w:rPr>
          <w:rFonts w:ascii="標楷體" w:eastAsia="標楷體" w:hAnsi="標楷體"/>
          <w:color w:val="000000" w:themeColor="text1"/>
          <w:sz w:val="32"/>
          <w:szCs w:val="32"/>
        </w:rPr>
        <w:t>1</w:t>
      </w:r>
      <w:r w:rsidRPr="003D3EE8">
        <w:rPr>
          <w:rFonts w:ascii="標楷體" w:eastAsia="標楷體" w:hAnsi="標楷體" w:hint="eastAsia"/>
          <w:color w:val="000000" w:themeColor="text1"/>
          <w:sz w:val="32"/>
          <w:szCs w:val="32"/>
        </w:rPr>
        <w:t>個月内向立法院財政委員會提出書面報告後，始得動支。</w:t>
      </w:r>
    </w:p>
    <w:p w14:paraId="7A6EAF6B" w14:textId="0845F4F4"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提案人：王鴻薇　</w:t>
      </w:r>
    </w:p>
    <w:p w14:paraId="034C95B5" w14:textId="485F60A1"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連署人：賴士葆　陳玉珍　</w:t>
      </w:r>
    </w:p>
    <w:p w14:paraId="2C1801B8"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4</w:t>
      </w:r>
      <w:r w:rsidRPr="003D3EE8">
        <w:rPr>
          <w:rFonts w:ascii="標楷體" w:eastAsia="標楷體" w:hAnsi="標楷體" w:hint="eastAsia"/>
          <w:color w:val="000000" w:themeColor="text1"/>
          <w:sz w:val="32"/>
          <w:szCs w:val="32"/>
        </w:rPr>
        <w:t>.114年度臺灣菸酒股份有限公司預算案編列「營業總收入」603億1,624萬4千元，「營業總支出」545億2,308萬6千元，收支相抵後淨利47億7,654萬8千元，較113年度預算數47億</w:t>
      </w:r>
      <w:r w:rsidRPr="003D3EE8">
        <w:rPr>
          <w:rFonts w:ascii="標楷體" w:eastAsia="標楷體" w:hAnsi="標楷體" w:hint="eastAsia"/>
          <w:color w:val="000000" w:themeColor="text1"/>
          <w:sz w:val="32"/>
          <w:szCs w:val="32"/>
        </w:rPr>
        <w:lastRenderedPageBreak/>
        <w:t>9,408萬3千元減少1,753萬5千元，減幅近0.4%，經查，臺灣菸酒股份有限公司預計加熱菸即將上市，對紙菸市場影響，預計菸品銷貨收入減少，然加熱菸是否上市尚不明確，預計1</w:t>
      </w:r>
      <w:r w:rsidRPr="003D3EE8">
        <w:rPr>
          <w:rFonts w:ascii="標楷體" w:eastAsia="標楷體" w:hAnsi="標楷體"/>
          <w:color w:val="000000" w:themeColor="text1"/>
          <w:sz w:val="32"/>
          <w:szCs w:val="32"/>
        </w:rPr>
        <w:t>14</w:t>
      </w:r>
      <w:r w:rsidRPr="003D3EE8">
        <w:rPr>
          <w:rFonts w:ascii="標楷體" w:eastAsia="標楷體" w:hAnsi="標楷體" w:hint="eastAsia"/>
          <w:color w:val="000000" w:themeColor="text1"/>
          <w:sz w:val="32"/>
          <w:szCs w:val="32"/>
        </w:rPr>
        <w:t>年經濟成長亦較1</w:t>
      </w:r>
      <w:r w:rsidRPr="003D3EE8">
        <w:rPr>
          <w:rFonts w:ascii="標楷體" w:eastAsia="標楷體" w:hAnsi="標楷體"/>
          <w:color w:val="000000" w:themeColor="text1"/>
          <w:sz w:val="32"/>
          <w:szCs w:val="32"/>
        </w:rPr>
        <w:t>13</w:t>
      </w:r>
      <w:r w:rsidRPr="003D3EE8">
        <w:rPr>
          <w:rFonts w:ascii="標楷體" w:eastAsia="標楷體" w:hAnsi="標楷體" w:hint="eastAsia"/>
          <w:color w:val="000000" w:themeColor="text1"/>
          <w:sz w:val="32"/>
          <w:szCs w:val="32"/>
        </w:rPr>
        <w:t>年蓬勃，爰請臺灣菸酒股份有限公司於1個月內向立法院財政委員會提出書面報告。</w:t>
      </w:r>
    </w:p>
    <w:p w14:paraId="3006B5D5" w14:textId="12582A3F"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提案人：顏寬恒　李彥秀　王鴻薇</w:t>
      </w:r>
    </w:p>
    <w:p w14:paraId="0C7A6986"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5</w:t>
      </w:r>
      <w:r w:rsidRPr="003D3EE8">
        <w:rPr>
          <w:rFonts w:ascii="標楷體" w:eastAsia="標楷體" w:hAnsi="標楷體" w:hint="eastAsia"/>
          <w:color w:val="000000" w:themeColor="text1"/>
          <w:sz w:val="32"/>
          <w:szCs w:val="32"/>
        </w:rPr>
        <w:t>.114年度臺灣菸酒股份有限公司預算案於「營業費用」項下「行銷費用」中「服務費用」之「推展費」編列15億3,223萬7千元，惟相較112年度決算數10億9,520萬元，顯有大幅增加，似可撙節。基於國家財政經費宜撙節使用，爰請臺灣菸酒股份有限公司妥慎規劃行銷策略，找尋適當行銷通路，提升營運效率。</w:t>
      </w:r>
    </w:p>
    <w:p w14:paraId="4F2EF58C" w14:textId="63346ADE"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提案人：陳玉珍　</w:t>
      </w:r>
    </w:p>
    <w:p w14:paraId="578EDAB8" w14:textId="3207F3C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連署人：羅明才　李彥秀</w:t>
      </w:r>
    </w:p>
    <w:p w14:paraId="1E699D09"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6</w:t>
      </w:r>
      <w:r w:rsidRPr="003D3EE8">
        <w:rPr>
          <w:rFonts w:ascii="標楷體" w:eastAsia="標楷體" w:hAnsi="標楷體" w:hint="eastAsia"/>
          <w:color w:val="000000" w:themeColor="text1"/>
          <w:sz w:val="32"/>
          <w:szCs w:val="32"/>
        </w:rPr>
        <w:t>.114年度臺灣菸酒股份有限公司預算案於「營業費用」項下「行銷費用」中「服務費用」之「推展費」編列15億3,223萬7千元，用以辦理搭贈、品評、獎勵方案、陳列、產品露出之行銷推廣活動，以及廣宣物、販促物等委外製作或設計等。然台酒購物網有效會員比率逐年降低，由108年度的19.14%大幅下降至113年7月底的4.94%(參下表)，顯見網站會員經營及銷售策略有待精進，以提高客戶忠誠度，並創造穩定營收。爰請臺灣菸酒股份有限公司提出檢討改善報告，並於2個月內向立法院財政委員會提出書面報告。</w:t>
      </w:r>
    </w:p>
    <w:p w14:paraId="54BA3417"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noProof/>
          <w:color w:val="000000" w:themeColor="text1"/>
          <w:sz w:val="32"/>
          <w:szCs w:val="32"/>
        </w:rPr>
        <w:drawing>
          <wp:anchor distT="0" distB="0" distL="114300" distR="114300" simplePos="0" relativeHeight="251719680" behindDoc="0" locked="0" layoutInCell="1" allowOverlap="1" wp14:anchorId="25831EDB" wp14:editId="3243809D">
            <wp:simplePos x="0" y="0"/>
            <wp:positionH relativeFrom="column">
              <wp:posOffset>1033145</wp:posOffset>
            </wp:positionH>
            <wp:positionV relativeFrom="paragraph">
              <wp:posOffset>6350</wp:posOffset>
            </wp:positionV>
            <wp:extent cx="5022000" cy="1980000"/>
            <wp:effectExtent l="0" t="0" r="7620" b="1270"/>
            <wp:wrapSquare wrapText="bothSides"/>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22000" cy="198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3EE8">
        <w:rPr>
          <w:rFonts w:ascii="標楷體" w:eastAsia="標楷體" w:hAnsi="標楷體"/>
          <w:noProof/>
          <w:color w:val="000000" w:themeColor="text1"/>
          <w:sz w:val="32"/>
          <w:szCs w:val="32"/>
        </w:rPr>
        <mc:AlternateContent>
          <mc:Choice Requires="wps">
            <w:drawing>
              <wp:anchor distT="45720" distB="45720" distL="114300" distR="114300" simplePos="0" relativeHeight="251720704" behindDoc="0" locked="0" layoutInCell="1" allowOverlap="1" wp14:anchorId="62A9E4B2" wp14:editId="2AB75C74">
                <wp:simplePos x="0" y="0"/>
                <wp:positionH relativeFrom="margin">
                  <wp:posOffset>2566035</wp:posOffset>
                </wp:positionH>
                <wp:positionV relativeFrom="paragraph">
                  <wp:posOffset>1897091</wp:posOffset>
                </wp:positionV>
                <wp:extent cx="1426210" cy="390755"/>
                <wp:effectExtent l="0" t="0" r="0" b="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210" cy="390755"/>
                        </a:xfrm>
                        <a:prstGeom prst="rect">
                          <a:avLst/>
                        </a:prstGeom>
                        <a:noFill/>
                        <a:ln w="9525">
                          <a:noFill/>
                          <a:miter lim="800000"/>
                          <a:headEnd/>
                          <a:tailEnd/>
                        </a:ln>
                      </wps:spPr>
                      <wps:txbx>
                        <w:txbxContent>
                          <w:p w14:paraId="3CE09C32" w14:textId="77777777" w:rsidR="008B32D4" w:rsidRPr="008D2B67" w:rsidRDefault="008B32D4" w:rsidP="009D64D0">
                            <w:pPr>
                              <w:rPr>
                                <w:sz w:val="16"/>
                                <w:szCs w:val="16"/>
                              </w:rPr>
                            </w:pPr>
                            <w:r w:rsidRPr="008D2B67">
                              <w:rPr>
                                <w:rFonts w:ascii="標楷體" w:eastAsia="標楷體" w:hAnsi="標楷體" w:hint="eastAsia"/>
                                <w:sz w:val="16"/>
                                <w:szCs w:val="16"/>
                              </w:rPr>
                              <w:t>資料來源：立法院預算中心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A9E4B2" id="_x0000_s1027" type="#_x0000_t202" style="position:absolute;left:0;text-align:left;margin-left:202.05pt;margin-top:149.4pt;width:112.3pt;height:30.75pt;z-index:251720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" filled="f" stroked="f">
                <v:textbox>
                  <w:txbxContent>
                    <w:p w14:paraId="3CE09C32" w14:textId="77777777" w:rsidR="008B32D4" w:rsidRPr="008D2B67" w:rsidRDefault="008B32D4" w:rsidP="009D64D0">
                      <w:pPr>
                        <w:rPr>
                          <w:sz w:val="16"/>
                          <w:szCs w:val="16"/>
                        </w:rPr>
                      </w:pPr>
                      <w:r w:rsidRPr="008D2B67">
                        <w:rPr>
                          <w:rFonts w:ascii="標楷體" w:eastAsia="標楷體" w:hAnsi="標楷體" w:hint="eastAsia"/>
                          <w:sz w:val="16"/>
                          <w:szCs w:val="16"/>
                        </w:rPr>
                        <w:t>資料來源：立法院預算中心</w:t>
                      </w:r>
                    </w:p>
                  </w:txbxContent>
                </v:textbox>
                <w10:wrap anchorx="margin"/>
              </v:shape>
            </w:pict>
          </mc:Fallback>
        </mc:AlternateContent>
      </w:r>
    </w:p>
    <w:p w14:paraId="27E4288F" w14:textId="0590109E"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3D3EE8">
        <w:rPr>
          <w:rFonts w:ascii="標楷體" w:eastAsia="標楷體" w:hAnsi="標楷體" w:hint="eastAsia"/>
          <w:kern w:val="0"/>
          <w:sz w:val="32"/>
          <w:szCs w:val="32"/>
        </w:rPr>
        <w:t>提案人：羅明才　顏寬恒　李彥秀</w:t>
      </w:r>
    </w:p>
    <w:p w14:paraId="76F4C273"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7</w:t>
      </w:r>
      <w:r w:rsidRPr="003D3EE8">
        <w:rPr>
          <w:rFonts w:ascii="標楷體" w:eastAsia="標楷體" w:hAnsi="標楷體" w:hint="eastAsia"/>
          <w:color w:val="000000" w:themeColor="text1"/>
          <w:sz w:val="32"/>
          <w:szCs w:val="32"/>
        </w:rPr>
        <w:t>.114年度臺灣菸酒股份有限公司預算案於「營業費用」項下「管理費用」中「服務費用」之「推展費」編列1,627萬元，惟相較112年度決算數596萬4千元，顯有增加，似可撙節。爰請臺灣菸酒股份有限公司基於國家財政經費，宜撙節使用，積極推動ESG永續發展，於2個月內向立法院財政委員會提出書面報告。</w:t>
      </w:r>
    </w:p>
    <w:p w14:paraId="26D4A114" w14:textId="760B0C06"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提案人：陳玉珍　</w:t>
      </w:r>
    </w:p>
    <w:p w14:paraId="463433F0" w14:textId="2C8031AD"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連署人：羅明才　李彥秀</w:t>
      </w:r>
    </w:p>
    <w:p w14:paraId="5BB95674"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8</w:t>
      </w:r>
      <w:r w:rsidRPr="003D3EE8">
        <w:rPr>
          <w:rFonts w:ascii="標楷體" w:eastAsia="標楷體" w:hAnsi="標楷體" w:hint="eastAsia"/>
          <w:color w:val="000000" w:themeColor="text1"/>
          <w:sz w:val="32"/>
          <w:szCs w:val="32"/>
        </w:rPr>
        <w:t>.114年度臺灣菸酒股份有限公司預算案於「營業費用」項下「管理費用」編列9億4,994萬6千元。惟按112年度審計部中央政府總決算審核報告指出：為加強物料管理，已訂定管理規定及實施成本會計制度，惟部分生產工廠未及時處理呆廢料，且間有料帳不符及原物料實際成本超出標準成本等情事……等語。臺灣菸酒股份有限公司為使所屬各事業督導單位及生產工廠針對物料管理能有所遵循，訂定物料管理要點，包含規範物料用料規劃、存量控制、採購、呆廢料處理及督導考核等。惟查該公司物料管理情形，截至</w:t>
      </w:r>
      <w:r w:rsidRPr="003D3EE8">
        <w:rPr>
          <w:rFonts w:ascii="標楷體" w:eastAsia="標楷體" w:hAnsi="標楷體"/>
          <w:color w:val="000000" w:themeColor="text1"/>
          <w:sz w:val="32"/>
          <w:szCs w:val="32"/>
        </w:rPr>
        <w:t>112</w:t>
      </w:r>
      <w:r w:rsidRPr="003D3EE8">
        <w:rPr>
          <w:rFonts w:ascii="標楷體" w:eastAsia="標楷體" w:hAnsi="標楷體" w:hint="eastAsia"/>
          <w:color w:val="000000" w:themeColor="text1"/>
          <w:sz w:val="32"/>
          <w:szCs w:val="32"/>
        </w:rPr>
        <w:t>年底止，</w:t>
      </w:r>
      <w:r w:rsidRPr="003D3EE8">
        <w:rPr>
          <w:rFonts w:ascii="標楷體" w:eastAsia="標楷體" w:hAnsi="標楷體"/>
          <w:color w:val="000000" w:themeColor="text1"/>
          <w:sz w:val="32"/>
          <w:szCs w:val="32"/>
        </w:rPr>
        <w:t>1</w:t>
      </w:r>
      <w:r w:rsidRPr="003D3EE8">
        <w:rPr>
          <w:rFonts w:ascii="標楷體" w:eastAsia="標楷體" w:hAnsi="標楷體" w:hint="eastAsia"/>
          <w:color w:val="000000" w:themeColor="text1"/>
          <w:sz w:val="32"/>
          <w:szCs w:val="32"/>
        </w:rPr>
        <w:t>年以上未使用之原物料合計達</w:t>
      </w:r>
      <w:r w:rsidRPr="003D3EE8">
        <w:rPr>
          <w:rFonts w:ascii="標楷體" w:eastAsia="標楷體" w:hAnsi="標楷體"/>
          <w:color w:val="000000" w:themeColor="text1"/>
          <w:sz w:val="32"/>
          <w:szCs w:val="32"/>
        </w:rPr>
        <w:t>1</w:t>
      </w:r>
      <w:r w:rsidRPr="003D3EE8">
        <w:rPr>
          <w:rFonts w:ascii="標楷體" w:eastAsia="標楷體" w:hAnsi="標楷體" w:hint="eastAsia"/>
          <w:color w:val="000000" w:themeColor="text1"/>
          <w:sz w:val="32"/>
          <w:szCs w:val="32"/>
        </w:rPr>
        <w:t>億</w:t>
      </w:r>
      <w:r w:rsidRPr="003D3EE8">
        <w:rPr>
          <w:rFonts w:ascii="標楷體" w:eastAsia="標楷體" w:hAnsi="標楷體"/>
          <w:color w:val="000000" w:themeColor="text1"/>
          <w:sz w:val="32"/>
          <w:szCs w:val="32"/>
        </w:rPr>
        <w:t>7,558</w:t>
      </w:r>
      <w:r w:rsidRPr="003D3EE8">
        <w:rPr>
          <w:rFonts w:ascii="標楷體" w:eastAsia="標楷體" w:hAnsi="標楷體" w:hint="eastAsia"/>
          <w:color w:val="000000" w:themeColor="text1"/>
          <w:sz w:val="32"/>
          <w:szCs w:val="32"/>
        </w:rPr>
        <w:t>萬餘元，占該公司整體原物料之</w:t>
      </w:r>
      <w:r w:rsidRPr="003D3EE8">
        <w:rPr>
          <w:rFonts w:ascii="標楷體" w:eastAsia="標楷體" w:hAnsi="標楷體"/>
          <w:color w:val="000000" w:themeColor="text1"/>
          <w:sz w:val="32"/>
          <w:szCs w:val="32"/>
        </w:rPr>
        <w:t>5.28%</w:t>
      </w:r>
      <w:r w:rsidRPr="003D3EE8">
        <w:rPr>
          <w:rFonts w:ascii="標楷體" w:eastAsia="標楷體" w:hAnsi="標楷體" w:hint="eastAsia"/>
          <w:color w:val="000000" w:themeColor="text1"/>
          <w:sz w:val="32"/>
          <w:szCs w:val="32"/>
        </w:rPr>
        <w:t>；又該公司各事業督導單位</w:t>
      </w:r>
      <w:r w:rsidRPr="003D3EE8">
        <w:rPr>
          <w:rFonts w:ascii="標楷體" w:eastAsia="標楷體" w:hAnsi="標楷體"/>
          <w:color w:val="000000" w:themeColor="text1"/>
          <w:sz w:val="32"/>
          <w:szCs w:val="32"/>
        </w:rPr>
        <w:t>111</w:t>
      </w:r>
      <w:r w:rsidRPr="003D3EE8">
        <w:rPr>
          <w:rFonts w:ascii="標楷體" w:eastAsia="標楷體" w:hAnsi="標楷體" w:hint="eastAsia"/>
          <w:color w:val="000000" w:themeColor="text1"/>
          <w:sz w:val="32"/>
          <w:szCs w:val="32"/>
        </w:rPr>
        <w:t>及</w:t>
      </w:r>
      <w:r w:rsidRPr="003D3EE8">
        <w:rPr>
          <w:rFonts w:ascii="標楷體" w:eastAsia="標楷體" w:hAnsi="標楷體"/>
          <w:color w:val="000000" w:themeColor="text1"/>
          <w:sz w:val="32"/>
          <w:szCs w:val="32"/>
        </w:rPr>
        <w:t>112</w:t>
      </w:r>
      <w:r w:rsidRPr="003D3EE8">
        <w:rPr>
          <w:rFonts w:ascii="標楷體" w:eastAsia="標楷體" w:hAnsi="標楷體" w:hint="eastAsia"/>
          <w:color w:val="000000" w:themeColor="text1"/>
          <w:sz w:val="32"/>
          <w:szCs w:val="32"/>
        </w:rPr>
        <w:t>年度辦理各生產工廠物料管理不定期抽盤作業結果，</w:t>
      </w:r>
      <w:r w:rsidRPr="003D3EE8">
        <w:rPr>
          <w:rFonts w:ascii="標楷體" w:eastAsia="標楷體" w:hAnsi="標楷體"/>
          <w:color w:val="000000" w:themeColor="text1"/>
          <w:sz w:val="32"/>
          <w:szCs w:val="32"/>
        </w:rPr>
        <w:t>112</w:t>
      </w:r>
      <w:r w:rsidRPr="003D3EE8">
        <w:rPr>
          <w:rFonts w:ascii="標楷體" w:eastAsia="標楷體" w:hAnsi="標楷體" w:hint="eastAsia"/>
          <w:color w:val="000000" w:themeColor="text1"/>
          <w:sz w:val="32"/>
          <w:szCs w:val="32"/>
        </w:rPr>
        <w:t>年度計有</w:t>
      </w:r>
      <w:r w:rsidRPr="003D3EE8">
        <w:rPr>
          <w:rFonts w:ascii="標楷體" w:eastAsia="標楷體" w:hAnsi="標楷體"/>
          <w:color w:val="000000" w:themeColor="text1"/>
          <w:sz w:val="32"/>
          <w:szCs w:val="32"/>
        </w:rPr>
        <w:t>9</w:t>
      </w:r>
      <w:r w:rsidRPr="003D3EE8">
        <w:rPr>
          <w:rFonts w:ascii="標楷體" w:eastAsia="標楷體" w:hAnsi="標楷體" w:hint="eastAsia"/>
          <w:color w:val="000000" w:themeColor="text1"/>
          <w:sz w:val="32"/>
          <w:szCs w:val="32"/>
        </w:rPr>
        <w:t>個生產工廠合計</w:t>
      </w:r>
      <w:r w:rsidRPr="003D3EE8">
        <w:rPr>
          <w:rFonts w:ascii="標楷體" w:eastAsia="標楷體" w:hAnsi="標楷體"/>
          <w:color w:val="000000" w:themeColor="text1"/>
          <w:sz w:val="32"/>
          <w:szCs w:val="32"/>
        </w:rPr>
        <w:t>25</w:t>
      </w:r>
      <w:r w:rsidRPr="003D3EE8">
        <w:rPr>
          <w:rFonts w:ascii="標楷體" w:eastAsia="標楷體" w:hAnsi="標楷體" w:hint="eastAsia"/>
          <w:color w:val="000000" w:themeColor="text1"/>
          <w:sz w:val="32"/>
          <w:szCs w:val="32"/>
        </w:rPr>
        <w:t>筆物料料帳不符，各事業督導單位雖均將查核結果函請生產工廠釐清緣由並檢討改善，惟部分生產工廠帳料不符情事仍一再發生；再者，該公司112年度1,074項產品中，其中176項商品直接材料實際成本超出標準成本5%。鑑此，爰請臺灣菸酒股份有限公司於1個月內向立法院財政委員會提出書面報告。</w:t>
      </w:r>
    </w:p>
    <w:p w14:paraId="703678EE" w14:textId="50120E45"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提案人：賴惠員　</w:t>
      </w:r>
    </w:p>
    <w:p w14:paraId="74CA25AA" w14:textId="7BD63D13"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連署人：郭國文　李坤城</w:t>
      </w:r>
    </w:p>
    <w:p w14:paraId="0A13D77B"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lastRenderedPageBreak/>
        <w:t>9</w:t>
      </w:r>
      <w:r w:rsidRPr="003D3EE8">
        <w:rPr>
          <w:rFonts w:ascii="標楷體" w:eastAsia="標楷體" w:hAnsi="標楷體" w:hint="eastAsia"/>
          <w:color w:val="000000" w:themeColor="text1"/>
          <w:sz w:val="32"/>
          <w:szCs w:val="32"/>
        </w:rPr>
        <w:t>.114年度臺灣菸酒股份有限公司預算案於「營業費用」項下「管理費用」中「服務費用」之「專業服務費」編列「電腦軟體服務費」8</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318萬元，用以辦理系統維運費、版面視覺調整、行銷處SEO等相關建議……等。然台酒購物網會員購買次數1次、2次及3次以上者的人數自110年起逐年下降(參下表)，顯示其會員日活動、優化廣告投放策略或於產品派樣上揭露折扣代碼等行銷導購活動成效不足，未能有效增加回購次數。爰請臺灣菸酒股份有限公司提出檢討改善報告，並於</w:t>
      </w:r>
      <w:r w:rsidRPr="003D3EE8">
        <w:rPr>
          <w:rFonts w:ascii="標楷體" w:eastAsia="標楷體" w:hAnsi="標楷體"/>
          <w:color w:val="000000" w:themeColor="text1"/>
          <w:sz w:val="32"/>
          <w:szCs w:val="32"/>
        </w:rPr>
        <w:t>2</w:t>
      </w:r>
      <w:r w:rsidRPr="003D3EE8">
        <w:rPr>
          <w:rFonts w:ascii="標楷體" w:eastAsia="標楷體" w:hAnsi="標楷體" w:hint="eastAsia"/>
          <w:color w:val="000000" w:themeColor="text1"/>
          <w:sz w:val="32"/>
          <w:szCs w:val="32"/>
        </w:rPr>
        <w:t>個月內向立法院財政委員會提出書面報告。</w:t>
      </w:r>
    </w:p>
    <w:p w14:paraId="363E52BD" w14:textId="77777777" w:rsidR="009D64D0" w:rsidRPr="003D3EE8" w:rsidRDefault="009D64D0" w:rsidP="00F470A8">
      <w:pPr>
        <w:overflowPunct w:val="0"/>
        <w:autoSpaceDE w:val="0"/>
        <w:spacing w:line="480" w:lineRule="exact"/>
        <w:ind w:leftChars="400" w:left="1280" w:hangingChars="100" w:hanging="320"/>
        <w:jc w:val="both"/>
        <w:rPr>
          <w:rFonts w:ascii="標楷體" w:eastAsia="標楷體" w:hAnsi="標楷體"/>
          <w:color w:val="000000" w:themeColor="text1"/>
          <w:sz w:val="32"/>
          <w:szCs w:val="32"/>
        </w:rPr>
      </w:pPr>
      <w:r w:rsidRPr="003D3EE8">
        <w:rPr>
          <w:rFonts w:ascii="標楷體" w:eastAsia="標楷體" w:hAnsi="標楷體" w:hint="eastAsia"/>
          <w:noProof/>
          <w:color w:val="000000" w:themeColor="text1"/>
          <w:sz w:val="32"/>
          <w:szCs w:val="32"/>
        </w:rPr>
        <w:drawing>
          <wp:anchor distT="0" distB="0" distL="114300" distR="114300" simplePos="0" relativeHeight="251722752" behindDoc="0" locked="0" layoutInCell="1" allowOverlap="1" wp14:anchorId="5762952C" wp14:editId="7C019A50">
            <wp:simplePos x="0" y="0"/>
            <wp:positionH relativeFrom="column">
              <wp:posOffset>1069975</wp:posOffset>
            </wp:positionH>
            <wp:positionV relativeFrom="paragraph">
              <wp:posOffset>133350</wp:posOffset>
            </wp:positionV>
            <wp:extent cx="5029200" cy="1980000"/>
            <wp:effectExtent l="0" t="0" r="0" b="1270"/>
            <wp:wrapSquare wrapText="bothSides"/>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29200" cy="198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D3EE8">
        <w:rPr>
          <w:rFonts w:ascii="標楷體" w:eastAsia="標楷體" w:hAnsi="標楷體"/>
          <w:noProof/>
          <w:color w:val="000000" w:themeColor="text1"/>
          <w:sz w:val="32"/>
          <w:szCs w:val="32"/>
        </w:rPr>
        <mc:AlternateContent>
          <mc:Choice Requires="wps">
            <w:drawing>
              <wp:anchor distT="45720" distB="45720" distL="114300" distR="114300" simplePos="0" relativeHeight="251721728" behindDoc="0" locked="0" layoutInCell="1" allowOverlap="1" wp14:anchorId="6489ED64" wp14:editId="1A64F8C3">
                <wp:simplePos x="0" y="0"/>
                <wp:positionH relativeFrom="margin">
                  <wp:posOffset>2752090</wp:posOffset>
                </wp:positionH>
                <wp:positionV relativeFrom="paragraph">
                  <wp:posOffset>1995979</wp:posOffset>
                </wp:positionV>
                <wp:extent cx="1426210" cy="568036"/>
                <wp:effectExtent l="0" t="0" r="0" b="3810"/>
                <wp:wrapNone/>
                <wp:docPr id="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210" cy="568036"/>
                        </a:xfrm>
                        <a:prstGeom prst="rect">
                          <a:avLst/>
                        </a:prstGeom>
                        <a:noFill/>
                        <a:ln w="9525">
                          <a:noFill/>
                          <a:miter lim="800000"/>
                          <a:headEnd/>
                          <a:tailEnd/>
                        </a:ln>
                      </wps:spPr>
                      <wps:txbx>
                        <w:txbxContent>
                          <w:p w14:paraId="777AE964" w14:textId="77777777" w:rsidR="008B32D4" w:rsidRPr="008D2B67" w:rsidRDefault="008B32D4" w:rsidP="009D64D0">
                            <w:pPr>
                              <w:rPr>
                                <w:sz w:val="16"/>
                                <w:szCs w:val="16"/>
                              </w:rPr>
                            </w:pPr>
                            <w:r w:rsidRPr="008D2B67">
                              <w:rPr>
                                <w:rFonts w:ascii="標楷體" w:eastAsia="標楷體" w:hAnsi="標楷體" w:hint="eastAsia"/>
                                <w:sz w:val="16"/>
                                <w:szCs w:val="16"/>
                              </w:rPr>
                              <w:t>資料來源：立法院預算中心</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89ED64" id="_x0000_s1028" type="#_x0000_t202" style="position:absolute;left:0;text-align:left;margin-left:216.7pt;margin-top:157.15pt;width:112.3pt;height:44.75pt;z-index:2517217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" filled="f" stroked="f">
                <v:textbox>
                  <w:txbxContent>
                    <w:p w14:paraId="777AE964" w14:textId="77777777" w:rsidR="008B32D4" w:rsidRPr="008D2B67" w:rsidRDefault="008B32D4" w:rsidP="009D64D0">
                      <w:pPr>
                        <w:rPr>
                          <w:sz w:val="16"/>
                          <w:szCs w:val="16"/>
                        </w:rPr>
                      </w:pPr>
                      <w:r w:rsidRPr="008D2B67">
                        <w:rPr>
                          <w:rFonts w:ascii="標楷體" w:eastAsia="標楷體" w:hAnsi="標楷體" w:hint="eastAsia"/>
                          <w:sz w:val="16"/>
                          <w:szCs w:val="16"/>
                        </w:rPr>
                        <w:t>資料來源：立法院預算中心</w:t>
                      </w:r>
                    </w:p>
                  </w:txbxContent>
                </v:textbox>
                <w10:wrap anchorx="margin"/>
              </v:shape>
            </w:pict>
          </mc:Fallback>
        </mc:AlternateContent>
      </w:r>
    </w:p>
    <w:p w14:paraId="0FF8FA53" w14:textId="77777777" w:rsidR="009D64D0" w:rsidRPr="003D3EE8" w:rsidRDefault="009D64D0" w:rsidP="00F470A8">
      <w:pPr>
        <w:overflowPunct w:val="0"/>
        <w:spacing w:line="480" w:lineRule="exact"/>
        <w:ind w:firstLineChars="1100" w:firstLine="3520"/>
        <w:rPr>
          <w:rFonts w:ascii="標楷體" w:eastAsia="標楷體" w:hAnsi="標楷體" w:cs="華康細明體"/>
          <w:color w:val="000000" w:themeColor="text1"/>
          <w:kern w:val="0"/>
          <w:sz w:val="32"/>
          <w:szCs w:val="32"/>
        </w:rPr>
      </w:pPr>
    </w:p>
    <w:p w14:paraId="5DA7F793" w14:textId="78C0212F"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提案人：羅明才　顏寬恒　李彥秀</w:t>
      </w:r>
    </w:p>
    <w:p w14:paraId="0FD1AFCD"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10</w:t>
      </w:r>
      <w:r w:rsidRPr="003D3EE8">
        <w:rPr>
          <w:rFonts w:ascii="標楷體" w:eastAsia="標楷體" w:hAnsi="標楷體" w:hint="eastAsia"/>
          <w:color w:val="000000" w:themeColor="text1"/>
          <w:sz w:val="32"/>
          <w:szCs w:val="32"/>
        </w:rPr>
        <w:t>.114年度臺灣菸酒股份有限公司預算案於「營業費用」項下「管理費用」中「服務費用」之「推展費」編列1,627萬元，用以辦理企業識別體系及勞工安全宣導活動。鑑於該公司113年度發生工安事件2件，且112年誤工率為13.311%，較111年度10.172%增加，顯見職業安全管理措施尚有改善空間，諸如：加強設備檢測維護、改善廠區動線安全等。爰請臺灣菸酒股份有限公司提出檢討改善報告，並於</w:t>
      </w:r>
      <w:r w:rsidRPr="003D3EE8">
        <w:rPr>
          <w:rFonts w:ascii="標楷體" w:eastAsia="標楷體" w:hAnsi="標楷體"/>
          <w:color w:val="000000" w:themeColor="text1"/>
          <w:sz w:val="32"/>
          <w:szCs w:val="32"/>
        </w:rPr>
        <w:t>2</w:t>
      </w:r>
      <w:r w:rsidRPr="003D3EE8">
        <w:rPr>
          <w:rFonts w:ascii="標楷體" w:eastAsia="標楷體" w:hAnsi="標楷體" w:hint="eastAsia"/>
          <w:color w:val="000000" w:themeColor="text1"/>
          <w:sz w:val="32"/>
          <w:szCs w:val="32"/>
        </w:rPr>
        <w:t>個月內向立法院財政委員會提出書面報告。</w:t>
      </w:r>
    </w:p>
    <w:p w14:paraId="7A520670" w14:textId="04BD95E3"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提案人：羅明才　顏寬恒　李彥秀</w:t>
      </w:r>
    </w:p>
    <w:p w14:paraId="37CDF504"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11</w:t>
      </w:r>
      <w:r w:rsidRPr="003D3EE8">
        <w:rPr>
          <w:rFonts w:ascii="標楷體" w:eastAsia="標楷體" w:hAnsi="標楷體" w:hint="eastAsia"/>
          <w:color w:val="000000" w:themeColor="text1"/>
          <w:sz w:val="32"/>
          <w:szCs w:val="32"/>
        </w:rPr>
        <w:t>.114年度臺灣菸酒股份有限公司預算案於「營業費用」項下「其他營業費用」中「研究發展費用」之「服務費用」編列「推展費」885萬元，惟相較112年度決算數167萬2千</w:t>
      </w:r>
      <w:r w:rsidRPr="003D3EE8">
        <w:rPr>
          <w:rFonts w:ascii="標楷體" w:eastAsia="標楷體" w:hAnsi="標楷體" w:hint="eastAsia"/>
          <w:color w:val="000000" w:themeColor="text1"/>
          <w:sz w:val="32"/>
          <w:szCs w:val="32"/>
        </w:rPr>
        <w:lastRenderedPageBreak/>
        <w:t>元，顯有增加，似可撙節。爰請臺灣菸酒股份有限公司基於國家財政經費，宜撙節使用，研發新品，並於2個月內向立法院財政委員會提出書面報告。</w:t>
      </w:r>
    </w:p>
    <w:p w14:paraId="733D7DE1" w14:textId="05C57DD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提案人：陳玉珍　</w:t>
      </w:r>
    </w:p>
    <w:p w14:paraId="1913225E" w14:textId="18631976"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連署人：羅明才　李彥秀</w:t>
      </w:r>
    </w:p>
    <w:p w14:paraId="0E1A2CEB"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12</w:t>
      </w:r>
      <w:r w:rsidRPr="003D3EE8">
        <w:rPr>
          <w:rFonts w:ascii="標楷體" w:eastAsia="標楷體" w:hAnsi="標楷體" w:hint="eastAsia"/>
          <w:color w:val="000000" w:themeColor="text1"/>
          <w:sz w:val="32"/>
          <w:szCs w:val="32"/>
        </w:rPr>
        <w:t>.114年度臺灣菸酒股份有限公司預算案於「營業費用」項下「其他營業費用」之「研究發展費用」編列2億8,902萬1千元。惟按112年度審計部中央政府總決算審核報告指出：配合政府溫室氣體淨零排放及循環經濟政策，持續推動環境永續發展業務，惟部分所屬單位溫室氣體排放量增加，且酒瓶回收成效仍有提升空間……等語。查臺灣菸酒股份有限公司為響應全球環境議題發展趨勢並遵循環境政策走向，長期投注資源，執行溫室氣體盤查、循環經濟等業務，並推動節能減碳相關對策。惟查，所屬各工廠111年度產生之溫室氣體排放量雖均尚未達2.5萬噸，臺北菸廠等15個單位111年度直接溫室氣體排放量較110年度增加；玻璃酒瓶政策回收率逐年下滑，且截至各該年底流通在外尚未回收之玻璃酒瓶介於701至716萬餘支之間，數量龐巨；臺中酒廠早於100年即發現該廠釀酒污泥含重金屬成分超過肥料標準，卻遲未釐清重金屬來源，致皆未能依預計期程進行釀酒污泥廠內再利用等情事。鑑此，爰請臺灣菸酒股份有限公司於1個月內向立法院財政委員會提出書面報告。</w:t>
      </w:r>
    </w:p>
    <w:p w14:paraId="1D39F2C3" w14:textId="2A91BEEF"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提案人：賴惠員　</w:t>
      </w:r>
    </w:p>
    <w:p w14:paraId="5322EFF1" w14:textId="6798A873"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連署人：郭國文　李坤城</w:t>
      </w:r>
    </w:p>
    <w:p w14:paraId="7E5BC6DD"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13</w:t>
      </w:r>
      <w:r w:rsidRPr="003D3EE8">
        <w:rPr>
          <w:rFonts w:ascii="標楷體" w:eastAsia="標楷體" w:hAnsi="標楷體" w:hint="eastAsia"/>
          <w:color w:val="000000" w:themeColor="text1"/>
          <w:sz w:val="32"/>
          <w:szCs w:val="32"/>
        </w:rPr>
        <w:t>.114年度臺灣菸酒股份有限公司預算案於「營業費用」項下「其他營業費用」之「研究發展費用」編列2億8,902萬1千元。惟按112年度審計部中央政府總決算審核報告指出：多角化經營生技及非酒類產品，惟對整體營收貢獻尚微，且美容保養品、食品類等產品銷售收入呈現衰退；另積極結合在地文化推廣觀光酒廠，惟各產品展售中心銷售收入衰</w:t>
      </w:r>
      <w:r w:rsidRPr="003D3EE8">
        <w:rPr>
          <w:rFonts w:ascii="標楷體" w:eastAsia="標楷體" w:hAnsi="標楷體" w:hint="eastAsia"/>
          <w:color w:val="000000" w:themeColor="text1"/>
          <w:sz w:val="32"/>
          <w:szCs w:val="32"/>
        </w:rPr>
        <w:lastRenderedPageBreak/>
        <w:t>退且未達目標，來客數亦未有效提升……等語。查臺灣菸酒股份有限公司近年持續開發產品並朝多角化經營，且將所屬酒廠及啤酒廠結合在地文化與文創產業，轉型為觀光酒廠。惟查：(1</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112年度生技及非酒類產品營收13.4億餘元，僅占總收入549億餘元之2.44%。(2</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各產品展售中心112年度銷售收入較111年度減少1.9億餘元。鑑此，爰請臺灣菸酒股份有限公司於1個月內向立法院財政委員會提出書面報告。</w:t>
      </w:r>
    </w:p>
    <w:p w14:paraId="21E91615" w14:textId="1D754D0C"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提案人：賴惠員　</w:t>
      </w:r>
    </w:p>
    <w:p w14:paraId="0600D89B" w14:textId="6AACE24F"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連署人：郭國文　李坤城</w:t>
      </w:r>
    </w:p>
    <w:p w14:paraId="698275E4"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14</w:t>
      </w:r>
      <w:r w:rsidRPr="003D3EE8">
        <w:rPr>
          <w:rFonts w:ascii="標楷體" w:eastAsia="標楷體" w:hAnsi="標楷體" w:hint="eastAsia"/>
          <w:color w:val="000000" w:themeColor="text1"/>
          <w:sz w:val="32"/>
          <w:szCs w:val="32"/>
        </w:rPr>
        <w:t>.114年度臺灣菸酒股份有限公司預算案於「營業費用」項下「其他營業費用」中「研究發展費用」之「服務費用」編列5</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796萬5千元，較113年度4</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425萬1千元增加31</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，更較112年度決算數3</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335萬3千元成長74</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然而近年該公司營收、淨利均呈現衰退現象，主力產品市占率下降，而轉型關鍵之多角化經營部分，雖產品項目增加，然而114年度生技及其他非酒類產品銷售較113年度下降2億元，且近年泡麵銷售占一半，而投入大量研發資源的生技類產品112年度銷售僅2億餘元，113年度預算數雖達6.2億元，但截至7月底僅1.2億元，而112年度整體生技及非酒類產品占公司營收比率僅2.39%，貢獻度仍低，容有精進之空間，爰請臺灣菸酒股份有限公司於2個月內向立法院財政委員會提出書面報告。</w:t>
      </w:r>
    </w:p>
    <w:p w14:paraId="4CF1A5E3" w14:textId="78598CE0"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提案人：郭國文　</w:t>
      </w:r>
    </w:p>
    <w:p w14:paraId="6D75CB2E" w14:textId="65C142C2"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賴惠員</w:t>
      </w:r>
    </w:p>
    <w:p w14:paraId="5B009C1F"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15</w:t>
      </w:r>
      <w:r w:rsidRPr="003D3EE8">
        <w:rPr>
          <w:rFonts w:ascii="標楷體" w:eastAsia="標楷體" w:hAnsi="標楷體" w:hint="eastAsia"/>
          <w:color w:val="000000" w:themeColor="text1"/>
          <w:sz w:val="32"/>
          <w:szCs w:val="32"/>
        </w:rPr>
        <w:t>.鑑於立法院業於113年12月份通過運動產業發展條例第7條之1、第7條之2增訂，明定政府有關「各級政府與公營事業出資經營運動團隊之隊伍數量應注意性別比例平等原則」、「應積極輔導相關賽事之運動員工會或團體」之義務，查臺灣菸酒股份有限公司目前僅有男子籃球隊之建置，且尚</w:t>
      </w:r>
      <w:r w:rsidRPr="003D3EE8">
        <w:rPr>
          <w:rFonts w:ascii="標楷體" w:eastAsia="標楷體" w:hAnsi="標楷體" w:hint="eastAsia"/>
          <w:color w:val="000000" w:themeColor="text1"/>
          <w:sz w:val="32"/>
          <w:szCs w:val="32"/>
        </w:rPr>
        <w:lastRenderedPageBreak/>
        <w:t>未有相關鼓勵參與運動員工會之機制，另在未幫球員加保勞保問題上，自</w:t>
      </w:r>
      <w:r w:rsidRPr="003D3EE8">
        <w:rPr>
          <w:rFonts w:ascii="標楷體" w:eastAsia="標楷體" w:hAnsi="標楷體"/>
          <w:color w:val="000000" w:themeColor="text1"/>
          <w:sz w:val="32"/>
          <w:szCs w:val="32"/>
        </w:rPr>
        <w:t>112</w:t>
      </w:r>
      <w:r w:rsidRPr="003D3EE8">
        <w:rPr>
          <w:rFonts w:ascii="標楷體" w:eastAsia="標楷體" w:hAnsi="標楷體" w:hint="eastAsia"/>
          <w:color w:val="000000" w:themeColor="text1"/>
          <w:sz w:val="32"/>
          <w:szCs w:val="32"/>
        </w:rPr>
        <w:t>年10月起經立委歷次質詢卻均以經費不足為由，已要求球員另行違法加保於職業工會等說法推託，然又查台灣啤酒籃球隊實際上另有資源提供予職業球團合作，顯見相關說詞令人難以信服。為促使臺灣菸酒股份有限公司積極因應相關修法精神並善盡國營事業作為雇主之責任。爰請臺灣菸酒股份有限公司於3個月內完成相關組隊性平原則與促進球員參與運動員工會與為球員加保勞保之政策規劃，向立法院財政委員會提出書面報告。</w:t>
      </w:r>
    </w:p>
    <w:p w14:paraId="41722734" w14:textId="38561B21"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提案人：賴惠員　</w:t>
      </w:r>
    </w:p>
    <w:p w14:paraId="5356DCD7" w14:textId="35EA83F2"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伍麗華　陳培瑜</w:t>
      </w:r>
    </w:p>
    <w:p w14:paraId="466313F9"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16</w:t>
      </w:r>
      <w:r w:rsidRPr="003D3EE8">
        <w:rPr>
          <w:rFonts w:ascii="標楷體" w:eastAsia="標楷體" w:hAnsi="標楷體" w:hint="eastAsia"/>
          <w:color w:val="000000" w:themeColor="text1"/>
          <w:sz w:val="32"/>
          <w:szCs w:val="32"/>
        </w:rPr>
        <w:t>.114年度臺灣菸酒股份有限公司預算案於「固定資產建設改良擴充」專案計畫項下編列「南投酒廠觀光酒廠風華再現改造計畫」預算6,000萬元，計畫目標載明：「由於觀光環境變遷、消費者流行潮流改變，本公司南投酒廠為發展在地觀光特色，除本業生產工藝外，在品牌行銷及觀光園區有必要作整廠營運空間規劃，配合地方政府觀光產業發展政策，建構具特色之產業觀光園區。」原住民族釀酒工藝極為珍貴卻瀕臨失傳，需積極保存。財政部已配合推動菸酒稅修法，降低原住民私釀酒之罰則，以利原住民族釀酒之傳承與商業行為。值此酒廠改造計畫之際，臺灣菸酒股份有限公司亦應負擔起企業社會責任，積極於酒廠中納入原住民族釀酒工藝，無論是規劃展區向大眾推廣原住民族釀酒，給予具釀酒技藝之族人工作機會；亦或是推出更多樣之原住民酒產品，例如採用原住民族作物作為原料（如：小米、紅藜）釀酒、採用原住民族傳統技法釀酒，以商業行為或園區大眾教育，協助原住民族釀酒技藝保存。爰請臺灣菸酒股份有限公司花蓮酒廠針對原住民產品及觀光規劃，於1個月內向立法院財政委員會提出書面報告。</w:t>
      </w:r>
    </w:p>
    <w:p w14:paraId="62021890" w14:textId="6225FD5F"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3D3EE8">
        <w:rPr>
          <w:rFonts w:ascii="標楷體" w:eastAsia="標楷體" w:hAnsi="標楷體" w:hint="eastAsia"/>
          <w:kern w:val="0"/>
          <w:sz w:val="32"/>
          <w:szCs w:val="32"/>
        </w:rPr>
        <w:t xml:space="preserve">提案人：伍麗華　</w:t>
      </w:r>
    </w:p>
    <w:p w14:paraId="057535BE" w14:textId="35871920"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王鴻薇</w:t>
      </w:r>
    </w:p>
    <w:p w14:paraId="7C9B5CF0"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17</w:t>
      </w:r>
      <w:r w:rsidRPr="003D3EE8">
        <w:rPr>
          <w:rFonts w:ascii="標楷體" w:eastAsia="標楷體" w:hAnsi="標楷體" w:hint="eastAsia"/>
          <w:color w:val="000000" w:themeColor="text1"/>
          <w:sz w:val="32"/>
          <w:szCs w:val="32"/>
        </w:rPr>
        <w:t>.114年度臺灣菸酒股份有限公司預算案於事業永續發展計畫中編列淨零轉型關鍵戰略行動計畫預算1億6,928萬7千元，經查，該經費主要為推動太陽光電建置計畫經費，然該公司就環境永續訂有減碳短、中、長期目標及2050淨零排放路徑，且部分工廠尚未取得綠色工廠標章，如烏日啤酒廠等，臺灣菸酒股份有限公司應將整體推動計畫及生產、製造、銷售過程之各期減碳目標與執行進度，以逐步達成淨零減碳目標，爰請臺灣菸酒股份有限公司於1個月內向立法院財政委員會提出書面報告。</w:t>
      </w:r>
    </w:p>
    <w:p w14:paraId="6F4955C0" w14:textId="652A8FBB"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提案人：顏寬恒　李彥秀　王鴻薇</w:t>
      </w:r>
    </w:p>
    <w:p w14:paraId="6B6B9C9C"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18</w:t>
      </w:r>
      <w:r w:rsidRPr="003D3EE8">
        <w:rPr>
          <w:rFonts w:ascii="標楷體" w:eastAsia="標楷體" w:hAnsi="標楷體" w:hint="eastAsia"/>
          <w:color w:val="000000" w:themeColor="text1"/>
          <w:sz w:val="32"/>
          <w:szCs w:val="32"/>
        </w:rPr>
        <w:t>.114年度臺灣菸酒股份有限公司預算案本期淨利較113年度預算數為低，且營業利益率及淨利率均低於110至112年度決算，臺灣菸酒股份有限公司近年配合通路需求及產品多元化，持續精進技術開發新產品，並拓展通路以增加營收，然菸品受法令及稅捐影響，產銷數量衰退較明顯，臺灣菸酒股份有限公司應積極轉型及提升營運效率，以利公司永續發展。爰請臺灣菸酒股份有限公司針對菸品及酒類產品轉型計畫為題，於2個月內向立法院財政委員會提出書面報告。</w:t>
      </w:r>
    </w:p>
    <w:p w14:paraId="1A64023D" w14:textId="21AF047E"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提案人：顏寬恒　李彥秀　王鴻薇</w:t>
      </w:r>
    </w:p>
    <w:p w14:paraId="09B6917D"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19</w:t>
      </w:r>
      <w:r w:rsidRPr="003D3EE8">
        <w:rPr>
          <w:rFonts w:ascii="標楷體" w:eastAsia="標楷體" w:hAnsi="標楷體" w:hint="eastAsia"/>
          <w:color w:val="000000" w:themeColor="text1"/>
          <w:sz w:val="32"/>
          <w:szCs w:val="32"/>
        </w:rPr>
        <w:t>.臺灣菸酒股份有限公司長期耕耘臺灣籃球，自SBL時期至今已逾21年。114年度編列4,400萬元預算捐助社團法人台灣啤酒籃球協會，支持SBL台灣啤酒籃球隊及TPBL桃園台啤永豐雲豹籃球隊，對籃壇貢獻良多。台啤球員亦身負於休賽季時對於偏鄉基層籃球培育及推廣活動的使命，爰請臺灣菸酒股份有限公司3個月內向立法院財政委員會提出SBL台灣啤酒籃球隊及TPBL</w:t>
      </w:r>
      <w:r w:rsidRPr="003D3EE8">
        <w:rPr>
          <w:rFonts w:ascii="標楷體" w:eastAsia="標楷體" w:hAnsi="標楷體"/>
          <w:color w:val="000000" w:themeColor="text1"/>
          <w:sz w:val="32"/>
          <w:szCs w:val="32"/>
        </w:rPr>
        <w:t>桃園台啤永豐雲豹</w:t>
      </w:r>
      <w:r w:rsidRPr="003D3EE8">
        <w:rPr>
          <w:rFonts w:ascii="標楷體" w:eastAsia="標楷體" w:hAnsi="標楷體" w:hint="eastAsia"/>
          <w:color w:val="000000" w:themeColor="text1"/>
          <w:sz w:val="32"/>
          <w:szCs w:val="32"/>
        </w:rPr>
        <w:t>基層推廣籃球活動之書面報告。</w:t>
      </w:r>
    </w:p>
    <w:p w14:paraId="3BF82C25" w14:textId="3FF53602"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3D3EE8">
        <w:rPr>
          <w:rFonts w:ascii="標楷體" w:eastAsia="標楷體" w:hAnsi="標楷體" w:hint="eastAsia"/>
          <w:kern w:val="0"/>
          <w:sz w:val="32"/>
          <w:szCs w:val="32"/>
        </w:rPr>
        <w:t>提案人：李坤城　賴惠員　郭國文</w:t>
      </w:r>
    </w:p>
    <w:p w14:paraId="3AC26913"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20</w:t>
      </w:r>
      <w:r w:rsidRPr="003D3EE8">
        <w:rPr>
          <w:rFonts w:ascii="標楷體" w:eastAsia="標楷體" w:hAnsi="標楷體" w:hint="eastAsia"/>
          <w:color w:val="000000" w:themeColor="text1"/>
          <w:sz w:val="32"/>
          <w:szCs w:val="32"/>
        </w:rPr>
        <w:t>.臺灣菸酒股份有限公司依職業安全衛生法施行細則第31條規定，訂有職業安全衛生管理計畫，以提升全體員工安全衛生意識及精進14職安管理；114年度預算案該公司於「管理費用」之「推展費」及「員工訓練費用」各編列1,627萬元及2,160萬2千元，用以辦理企業識別體系、勞工安全宣導活動及員工工作預防災害所必要之職業安全衛生教育訓練。允宜落實辦理職業安全衛生管理計畫，強化職業安全衛生委員會之功能，並確實檢討各工安事故發生原因，以督促各作業單位落實安全衛生管理措施，及提升全體員工安全知能，俾降低發生職業災害及事故險。爰要求臺灣菸酒股份有限公司於3個月內向立法院財政委員會提出書面檢討報告。</w:t>
      </w:r>
    </w:p>
    <w:p w14:paraId="4F45CB61" w14:textId="0AC0ACE0"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提案人：李坤城　賴惠員　郭國文</w:t>
      </w:r>
    </w:p>
    <w:p w14:paraId="43981B09"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21</w:t>
      </w:r>
      <w:r w:rsidRPr="003D3EE8">
        <w:rPr>
          <w:rFonts w:ascii="標楷體" w:eastAsia="標楷體" w:hAnsi="標楷體" w:hint="eastAsia"/>
          <w:color w:val="000000" w:themeColor="text1"/>
          <w:sz w:val="32"/>
          <w:szCs w:val="32"/>
        </w:rPr>
        <w:t>.114年度臺灣菸酒股份有限公司預算案編列1億6,928萬7千元，悉數係推動太陽光電建置計畫經費，鑑於該公司就環境永續訂有減碳短、中、長期目標及2050淨零排放路徑，允宜定期彙整揭露整體推動計畫及生產、製造、銷售過程之各期減碳目標與執行進度，以逐步達成淨零減碳目標，爰請臺灣菸酒股份有限公司針對太陽光電建置計畫經費於3個月內向立法院財政委員會提出書面報告。</w:t>
      </w:r>
    </w:p>
    <w:p w14:paraId="3D51F718" w14:textId="0F666F96"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提案人：李坤城　賴惠員　郭國文</w:t>
      </w:r>
    </w:p>
    <w:p w14:paraId="0C8130DC"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22</w:t>
      </w:r>
      <w:r w:rsidRPr="003D3EE8">
        <w:rPr>
          <w:rFonts w:ascii="標楷體" w:eastAsia="標楷體" w:hAnsi="標楷體" w:hint="eastAsia"/>
          <w:color w:val="000000" w:themeColor="text1"/>
          <w:sz w:val="32"/>
          <w:szCs w:val="32"/>
        </w:rPr>
        <w:t>.自製啤酒為臺灣菸酒股份有限公司營運主力，114年度預算案銷售收入217億7,894萬4千元，占自製酒總銷售收入304億1,677萬1千元之71.6%，然而國內市占率卻連年下降，從</w:t>
      </w:r>
      <w:r w:rsidRPr="003D3EE8">
        <w:rPr>
          <w:rFonts w:ascii="標楷體" w:eastAsia="標楷體" w:hAnsi="標楷體"/>
          <w:color w:val="000000" w:themeColor="text1"/>
          <w:sz w:val="32"/>
          <w:szCs w:val="32"/>
        </w:rPr>
        <w:t>107</w:t>
      </w:r>
      <w:r w:rsidRPr="003D3EE8">
        <w:rPr>
          <w:rFonts w:ascii="標楷體" w:eastAsia="標楷體" w:hAnsi="標楷體" w:hint="eastAsia"/>
          <w:color w:val="000000" w:themeColor="text1"/>
          <w:sz w:val="32"/>
          <w:szCs w:val="32"/>
        </w:rPr>
        <w:t>年59.8%跌至111年之48.8%，並造成臺灣菸酒股份有限公司四大啤酒廠產能利用率逐年下降，其中善化、竹南啤酒廠112年分別為51%、52%，包裝線機械使用率亦多數未達九成，均應速謀改善之道。另外，中國進口啤酒傾銷問題嚴重，臺灣菸酒股份有限公司作為國內主要業者，為維護</w:t>
      </w:r>
      <w:r w:rsidRPr="003D3EE8">
        <w:rPr>
          <w:rFonts w:ascii="標楷體" w:eastAsia="標楷體" w:hAnsi="標楷體" w:hint="eastAsia"/>
          <w:color w:val="000000" w:themeColor="text1"/>
          <w:sz w:val="32"/>
          <w:szCs w:val="32"/>
        </w:rPr>
        <w:lastRenderedPageBreak/>
        <w:t>市場秩序及增加國庫收入，亦應積極採取相應作為。爰要求臺灣菸酒股份有限公司應就如何提升主力產品銷售市占率及營運績效，於1個月內向立法院財政委員會提出書面報告。</w:t>
      </w:r>
    </w:p>
    <w:p w14:paraId="533C12EE" w14:textId="44D415E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提案人：郭國文　</w:t>
      </w:r>
    </w:p>
    <w:p w14:paraId="42AF1857" w14:textId="4D19A42C"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賴惠員</w:t>
      </w:r>
    </w:p>
    <w:p w14:paraId="5245A050"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23</w:t>
      </w:r>
      <w:r w:rsidRPr="003D3EE8">
        <w:rPr>
          <w:rFonts w:ascii="標楷體" w:eastAsia="標楷體" w:hAnsi="標楷體" w:hint="eastAsia"/>
          <w:color w:val="000000" w:themeColor="text1"/>
          <w:sz w:val="32"/>
          <w:szCs w:val="32"/>
        </w:rPr>
        <w:t>.114年度臺灣菸酒股份有限公司預算案於「固定資產建設改良擴充」項下「一般建築及設備計畫」之「機械及設備」分年性項目編列5億9,369萬5千元，較113年度預算5億3,278萬7千元增幅11.43%，其中新增項目6,902萬元，為延續執行之7項設備汰換建置費；惟臺灣菸酒股份有限公司之啤酒廠共13個包裝線，112年度僅臺北啤酒工場瓶2線使用效率93.39%超逾九成，仍較111年度95.06%減少，另112年度竹南啤酒廠瓶1線70.79%、罐4線76.88%，及烏日啤酒廠瓶1線83.83%、瓶2線70.27%、罐2線84.37%、罐3線86.18%，均較111年度為低，允宜研謀提升，並於1個月內向立法院財政委員會提出書面報告。</w:t>
      </w:r>
    </w:p>
    <w:p w14:paraId="54240DAE" w14:textId="740587C7"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提案人：王世堅　</w:t>
      </w:r>
    </w:p>
    <w:p w14:paraId="062DA647" w14:textId="1DAF4DAC"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伍麗華</w:t>
      </w:r>
    </w:p>
    <w:p w14:paraId="2050B202" w14:textId="77777777" w:rsidR="009D64D0" w:rsidRPr="003D3EE8" w:rsidRDefault="009D64D0" w:rsidP="00F470A8">
      <w:pPr>
        <w:overflowPunct w:val="0"/>
        <w:autoSpaceDE w:val="0"/>
        <w:spacing w:line="480" w:lineRule="exact"/>
        <w:ind w:leftChars="400" w:left="1440" w:hangingChars="150" w:hanging="480"/>
        <w:jc w:val="both"/>
        <w:rPr>
          <w:rFonts w:ascii="標楷體" w:eastAsia="標楷體" w:hAnsi="標楷體"/>
          <w:color w:val="000000" w:themeColor="text1"/>
          <w:sz w:val="32"/>
          <w:szCs w:val="32"/>
        </w:rPr>
      </w:pPr>
      <w:r w:rsidRPr="003D3EE8">
        <w:rPr>
          <w:rFonts w:ascii="標楷體" w:eastAsia="標楷體" w:hAnsi="標楷體"/>
          <w:color w:val="000000" w:themeColor="text1"/>
          <w:sz w:val="32"/>
          <w:szCs w:val="32"/>
        </w:rPr>
        <w:t>24</w:t>
      </w:r>
      <w:r w:rsidRPr="003D3EE8">
        <w:rPr>
          <w:rFonts w:ascii="標楷體" w:eastAsia="標楷體" w:hAnsi="標楷體" w:hint="eastAsia"/>
          <w:color w:val="000000" w:themeColor="text1"/>
          <w:sz w:val="32"/>
          <w:szCs w:val="32"/>
        </w:rPr>
        <w:t>.114年度臺灣菸酒股份有限公司預算案編列自製酒類（不含進口酒）銷售數量421萬8,864公石，銷貨收入304億1,677萬1千元，銷售成本124億2</w:t>
      </w:r>
      <w:r w:rsidRPr="003D3EE8">
        <w:rPr>
          <w:rFonts w:ascii="標楷體" w:eastAsia="標楷體" w:hAnsi="標楷體"/>
          <w:color w:val="000000" w:themeColor="text1"/>
          <w:sz w:val="32"/>
          <w:szCs w:val="32"/>
        </w:rPr>
        <w:t>,</w:t>
      </w:r>
      <w:r w:rsidRPr="003D3EE8">
        <w:rPr>
          <w:rFonts w:ascii="標楷體" w:eastAsia="標楷體" w:hAnsi="標楷體" w:hint="eastAsia"/>
          <w:color w:val="000000" w:themeColor="text1"/>
          <w:sz w:val="32"/>
          <w:szCs w:val="32"/>
        </w:rPr>
        <w:t>051萬5千元，惟108至112年度部分啤酒廠及酒廠產能利用率下降，且臺北啤酒工場持續虧損，部分酒廠虧損亦擴大，允宜研謀有效改善措施，並強化設備維護作業，以減少虧損或提高淨利，俾增進營運績效，爰請臺灣菸酒股份有限公司於1個月內向立法院財政委員會提出書面報告。</w:t>
      </w:r>
    </w:p>
    <w:p w14:paraId="52C9C3C1" w14:textId="5104B92A"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 xml:space="preserve">提案人：王世堅　</w:t>
      </w:r>
    </w:p>
    <w:p w14:paraId="21679277" w14:textId="0B395037" w:rsidR="009D64D0" w:rsidRPr="003D3EE8" w:rsidRDefault="00BA46D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3D3EE8">
        <w:rPr>
          <w:rFonts w:ascii="標楷體" w:eastAsia="標楷體" w:hAnsi="標楷體" w:hint="eastAsia"/>
          <w:kern w:val="0"/>
          <w:sz w:val="32"/>
          <w:szCs w:val="32"/>
        </w:rPr>
        <w:t>連署人：李坤城　伍麗華</w:t>
      </w:r>
    </w:p>
    <w:p w14:paraId="1D6AA06C" w14:textId="77777777" w:rsidR="009D64D0" w:rsidRPr="003D3EE8" w:rsidRDefault="009D64D0" w:rsidP="00F470A8">
      <w:pPr>
        <w:overflowPunct w:val="0"/>
        <w:autoSpaceDE w:val="0"/>
        <w:spacing w:line="480" w:lineRule="exact"/>
        <w:ind w:left="640" w:hangingChars="200" w:hanging="640"/>
        <w:jc w:val="both"/>
        <w:rPr>
          <w:rFonts w:ascii="標楷體" w:eastAsia="標楷體" w:hAnsi="標楷體"/>
          <w:bCs/>
          <w:color w:val="000000" w:themeColor="text1"/>
          <w:sz w:val="32"/>
          <w:szCs w:val="32"/>
        </w:rPr>
      </w:pPr>
      <w:r w:rsidRPr="003D3EE8">
        <w:rPr>
          <w:rFonts w:ascii="標楷體" w:eastAsia="標楷體" w:hAnsi="標楷體" w:hint="eastAsia"/>
          <w:bCs/>
          <w:color w:val="000000" w:themeColor="text1"/>
          <w:sz w:val="32"/>
          <w:szCs w:val="32"/>
        </w:rPr>
        <w:lastRenderedPageBreak/>
        <w:t>貳、本委員會負責審查中華民國1</w:t>
      </w:r>
      <w:r w:rsidRPr="003D3EE8">
        <w:rPr>
          <w:rFonts w:ascii="標楷體" w:eastAsia="標楷體" w:hAnsi="標楷體"/>
          <w:bCs/>
          <w:color w:val="000000" w:themeColor="text1"/>
          <w:sz w:val="32"/>
          <w:szCs w:val="32"/>
        </w:rPr>
        <w:t>1</w:t>
      </w:r>
      <w:r w:rsidRPr="003D3EE8">
        <w:rPr>
          <w:rFonts w:ascii="標楷體" w:eastAsia="標楷體" w:hAnsi="標楷體" w:hint="eastAsia"/>
          <w:bCs/>
          <w:color w:val="000000" w:themeColor="text1"/>
          <w:sz w:val="32"/>
          <w:szCs w:val="32"/>
        </w:rPr>
        <w:t>4年度中央政府總預算案附屬單位預算營業及非營業部分，均已審查完竣，擬具審查報告，併入審查總報告提報院會討論；院會討論前，須交由黨團協商；院會討論時，由</w:t>
      </w:r>
      <w:r w:rsidRPr="003D3EE8">
        <w:rPr>
          <w:rFonts w:ascii="標楷體" w:eastAsia="標楷體" w:hAnsi="標楷體" w:hint="eastAsia"/>
          <w:color w:val="000000" w:themeColor="text1"/>
          <w:kern w:val="0"/>
          <w:sz w:val="32"/>
          <w:szCs w:val="32"/>
        </w:rPr>
        <w:t>陳召集委員玉珍</w:t>
      </w:r>
      <w:r w:rsidRPr="003D3EE8">
        <w:rPr>
          <w:rFonts w:ascii="標楷體" w:eastAsia="標楷體" w:hAnsi="標楷體" w:hint="eastAsia"/>
          <w:bCs/>
          <w:color w:val="000000" w:themeColor="text1"/>
          <w:sz w:val="32"/>
          <w:szCs w:val="32"/>
        </w:rPr>
        <w:t>出席說明。</w:t>
      </w:r>
    </w:p>
    <w:p w14:paraId="1E9903C3" w14:textId="77777777" w:rsidR="009D64D0" w:rsidRPr="003D3EE8" w:rsidRDefault="009D64D0" w:rsidP="00424BF9">
      <w:pPr>
        <w:overflowPunct w:val="0"/>
        <w:autoSpaceDE w:val="0"/>
        <w:spacing w:beforeLines="50" w:before="180" w:line="480" w:lineRule="exact"/>
        <w:jc w:val="both"/>
        <w:rPr>
          <w:rFonts w:ascii="標楷體" w:eastAsia="標楷體" w:hAnsi="標楷體"/>
          <w:color w:val="000000" w:themeColor="text1"/>
          <w:sz w:val="32"/>
          <w:szCs w:val="32"/>
        </w:rPr>
      </w:pPr>
      <w:r w:rsidRPr="003D3EE8">
        <w:rPr>
          <w:rFonts w:ascii="標楷體" w:eastAsia="標楷體" w:hAnsi="標楷體" w:hint="eastAsia"/>
          <w:b/>
          <w:bCs/>
          <w:color w:val="000000" w:themeColor="text1"/>
          <w:kern w:val="0"/>
          <w:sz w:val="32"/>
          <w:szCs w:val="32"/>
        </w:rPr>
        <w:t>其他事項</w:t>
      </w:r>
    </w:p>
    <w:p w14:paraId="6F320FFA" w14:textId="77777777" w:rsidR="009D64D0" w:rsidRPr="003D3EE8" w:rsidRDefault="009D64D0" w:rsidP="00F470A8">
      <w:pPr>
        <w:pStyle w:val="af5"/>
        <w:kinsoku w:val="0"/>
        <w:overflowPunct w:val="0"/>
        <w:autoSpaceDE w:val="0"/>
        <w:adjustRightInd w:val="0"/>
        <w:snapToGrid w:val="0"/>
        <w:spacing w:line="480" w:lineRule="exact"/>
        <w:ind w:leftChars="-1" w:left="654" w:hangingChars="205" w:hanging="656"/>
        <w:jc w:val="both"/>
        <w:rPr>
          <w:rFonts w:ascii="標楷體" w:eastAsia="標楷體" w:hAnsi="標楷體" w:cs="標楷體"/>
          <w:color w:val="000000" w:themeColor="text1"/>
          <w:kern w:val="16"/>
          <w:sz w:val="32"/>
          <w:szCs w:val="32"/>
        </w:rPr>
      </w:pPr>
      <w:r w:rsidRPr="003D3EE8">
        <w:rPr>
          <w:rFonts w:ascii="標楷體" w:eastAsia="標楷體" w:hAnsi="標楷體" w:cs="Times New Roman" w:hint="eastAsia"/>
          <w:bCs/>
          <w:color w:val="000000" w:themeColor="text1"/>
          <w:kern w:val="0"/>
          <w:sz w:val="32"/>
          <w:szCs w:val="32"/>
        </w:rPr>
        <w:t>本次會議議事錄，授權由主席核定後確定。</w:t>
      </w:r>
    </w:p>
    <w:p w14:paraId="6E9BD63D" w14:textId="77777777" w:rsidR="009D64D0" w:rsidRPr="003D3EE8" w:rsidRDefault="009D64D0" w:rsidP="00F470A8">
      <w:pPr>
        <w:tabs>
          <w:tab w:val="left" w:pos="284"/>
        </w:tabs>
        <w:overflowPunct w:val="0"/>
        <w:autoSpaceDE w:val="0"/>
        <w:spacing w:line="480" w:lineRule="exact"/>
        <w:ind w:left="641" w:hangingChars="200" w:hanging="641"/>
        <w:jc w:val="both"/>
        <w:rPr>
          <w:rFonts w:ascii="標楷體" w:eastAsia="標楷體" w:hAnsi="標楷體"/>
          <w:b/>
          <w:bCs/>
          <w:color w:val="000000" w:themeColor="text1"/>
          <w:sz w:val="32"/>
          <w:szCs w:val="32"/>
        </w:rPr>
      </w:pPr>
      <w:r w:rsidRPr="003D3EE8">
        <w:rPr>
          <w:rFonts w:ascii="標楷體" w:eastAsia="標楷體" w:hAnsi="標楷體" w:hint="eastAsia"/>
          <w:b/>
          <w:color w:val="000000" w:themeColor="text1"/>
          <w:sz w:val="32"/>
          <w:szCs w:val="32"/>
        </w:rPr>
        <w:t>散會</w:t>
      </w:r>
    </w:p>
    <w:p w14:paraId="6B76DC11" w14:textId="77777777" w:rsidR="00987D31" w:rsidRPr="003D3EE8" w:rsidRDefault="00987D31" w:rsidP="00F470A8">
      <w:pPr>
        <w:overflowPunct w:val="0"/>
        <w:autoSpaceDN/>
        <w:spacing w:line="480" w:lineRule="exact"/>
        <w:textAlignment w:val="auto"/>
        <w:rPr>
          <w:rFonts w:ascii="標楷體" w:eastAsia="標楷體" w:hAnsi="標楷體"/>
          <w:b/>
          <w:spacing w:val="-20"/>
          <w:sz w:val="32"/>
          <w:szCs w:val="32"/>
        </w:rPr>
      </w:pPr>
      <w:r w:rsidRPr="003D3EE8">
        <w:rPr>
          <w:rFonts w:ascii="標楷體" w:eastAsia="標楷體" w:hAnsi="標楷體"/>
          <w:b/>
          <w:spacing w:val="-20"/>
          <w:sz w:val="32"/>
          <w:szCs w:val="32"/>
        </w:rPr>
        <w:br w:type="page"/>
      </w:r>
    </w:p>
    <w:p w14:paraId="49E56665" w14:textId="77777777" w:rsidR="00D60E53" w:rsidRPr="00D60E53" w:rsidRDefault="00987D31" w:rsidP="00F470A8">
      <w:pPr>
        <w:overflowPunct w:val="0"/>
        <w:spacing w:line="520" w:lineRule="exact"/>
        <w:outlineLvl w:val="1"/>
        <w:rPr>
          <w:rFonts w:ascii="標楷體" w:eastAsia="標楷體" w:hAnsi="標楷體"/>
          <w:b/>
          <w:spacing w:val="-20"/>
          <w:sz w:val="36"/>
          <w:szCs w:val="36"/>
        </w:rPr>
      </w:pPr>
      <w:bookmarkStart w:id="148" w:name="_Toc189487332"/>
      <w:r>
        <w:rPr>
          <w:rFonts w:ascii="標楷體" w:eastAsia="標楷體" w:hAnsi="標楷體" w:hint="eastAsia"/>
          <w:b/>
          <w:spacing w:val="-20"/>
          <w:sz w:val="36"/>
          <w:szCs w:val="36"/>
        </w:rPr>
        <w:lastRenderedPageBreak/>
        <w:t>三</w:t>
      </w:r>
      <w:r w:rsidR="00D60E53" w:rsidRPr="00D60E53">
        <w:rPr>
          <w:rFonts w:ascii="標楷體" w:eastAsia="標楷體" w:hAnsi="標楷體" w:hint="eastAsia"/>
          <w:b/>
          <w:spacing w:val="-20"/>
          <w:sz w:val="36"/>
          <w:szCs w:val="36"/>
        </w:rPr>
        <w:t>、</w:t>
      </w:r>
      <w:r>
        <w:rPr>
          <w:rFonts w:ascii="標楷體" w:eastAsia="標楷體" w:hAnsi="標楷體" w:hint="eastAsia"/>
          <w:b/>
          <w:spacing w:val="-20"/>
          <w:sz w:val="36"/>
          <w:szCs w:val="36"/>
        </w:rPr>
        <w:t>聯席</w:t>
      </w:r>
      <w:r w:rsidR="00D60E53" w:rsidRPr="00D60E53">
        <w:rPr>
          <w:rFonts w:ascii="標楷體" w:eastAsia="標楷體" w:hAnsi="標楷體" w:hint="eastAsia"/>
          <w:b/>
          <w:spacing w:val="-20"/>
          <w:sz w:val="36"/>
          <w:szCs w:val="36"/>
        </w:rPr>
        <w:t>會議</w:t>
      </w:r>
      <w:bookmarkEnd w:id="148"/>
    </w:p>
    <w:p w14:paraId="00961207" w14:textId="77777777" w:rsidR="009D64D0" w:rsidRPr="0008203A"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49" w:name="_Toc189487333"/>
      <w:r w:rsidRPr="0008203A">
        <w:rPr>
          <w:rFonts w:ascii="標楷體" w:eastAsia="標楷體" w:hAnsi="標楷體"/>
          <w:b/>
          <w:spacing w:val="-20"/>
          <w:sz w:val="32"/>
          <w:szCs w:val="32"/>
        </w:rPr>
        <w:t>立法院第1</w:t>
      </w:r>
      <w:r w:rsidRPr="0008203A">
        <w:rPr>
          <w:rFonts w:ascii="標楷體" w:eastAsia="標楷體" w:hAnsi="標楷體" w:hint="eastAsia"/>
          <w:b/>
          <w:spacing w:val="-20"/>
          <w:sz w:val="32"/>
          <w:szCs w:val="32"/>
        </w:rPr>
        <w:t>1</w:t>
      </w:r>
      <w:r w:rsidRPr="0008203A">
        <w:rPr>
          <w:rFonts w:ascii="標楷體" w:eastAsia="標楷體" w:hAnsi="標楷體"/>
          <w:b/>
          <w:spacing w:val="-20"/>
          <w:sz w:val="32"/>
          <w:szCs w:val="32"/>
        </w:rPr>
        <w:t>屆第</w:t>
      </w:r>
      <w:r w:rsidRPr="0008203A">
        <w:rPr>
          <w:rFonts w:ascii="標楷體" w:eastAsia="標楷體" w:hAnsi="標楷體" w:hint="eastAsia"/>
          <w:b/>
          <w:spacing w:val="-20"/>
          <w:sz w:val="32"/>
          <w:szCs w:val="32"/>
        </w:rPr>
        <w:t>2</w:t>
      </w:r>
      <w:r w:rsidRPr="0008203A">
        <w:rPr>
          <w:rFonts w:ascii="標楷體" w:eastAsia="標楷體" w:hAnsi="標楷體"/>
          <w:b/>
          <w:spacing w:val="-20"/>
          <w:sz w:val="32"/>
          <w:szCs w:val="32"/>
        </w:rPr>
        <w:t>會期財政、內政、經濟、教育及文化、交通、社會福利及衛生環境委員會第</w:t>
      </w:r>
      <w:r w:rsidRPr="0008203A">
        <w:rPr>
          <w:rFonts w:ascii="標楷體" w:eastAsia="標楷體" w:hAnsi="標楷體" w:hint="eastAsia"/>
          <w:b/>
          <w:spacing w:val="-20"/>
          <w:sz w:val="32"/>
          <w:szCs w:val="32"/>
        </w:rPr>
        <w:t>1</w:t>
      </w:r>
      <w:r w:rsidRPr="0008203A">
        <w:rPr>
          <w:rFonts w:ascii="標楷體" w:eastAsia="標楷體" w:hAnsi="標楷體"/>
          <w:b/>
          <w:spacing w:val="-20"/>
          <w:sz w:val="32"/>
          <w:szCs w:val="32"/>
        </w:rPr>
        <w:t>次聯席會議議事錄</w:t>
      </w:r>
      <w:bookmarkEnd w:id="149"/>
    </w:p>
    <w:p w14:paraId="183E4826" w14:textId="77777777" w:rsidR="009D64D0" w:rsidRPr="00F37A80" w:rsidRDefault="009D64D0" w:rsidP="00F470A8">
      <w:pPr>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時　　間　</w:t>
      </w:r>
      <w:r w:rsidRPr="00F37A80">
        <w:rPr>
          <w:rFonts w:ascii="標楷體" w:eastAsia="標楷體" w:hAnsi="標楷體" w:hint="eastAsia"/>
          <w:color w:val="000000" w:themeColor="text1"/>
          <w:w w:val="95"/>
          <w:sz w:val="32"/>
          <w:szCs w:val="32"/>
        </w:rPr>
        <w:t>中華民國</w:t>
      </w:r>
      <w:r w:rsidRPr="00F37A80">
        <w:rPr>
          <w:rFonts w:ascii="標楷體" w:eastAsia="標楷體" w:hAnsi="標楷體"/>
          <w:color w:val="000000" w:themeColor="text1"/>
          <w:w w:val="95"/>
          <w:sz w:val="32"/>
          <w:szCs w:val="32"/>
        </w:rPr>
        <w:t>113</w:t>
      </w:r>
      <w:r w:rsidRPr="00F37A80">
        <w:rPr>
          <w:rFonts w:ascii="標楷體" w:eastAsia="標楷體" w:hAnsi="標楷體" w:hint="eastAsia"/>
          <w:color w:val="000000" w:themeColor="text1"/>
          <w:w w:val="95"/>
          <w:sz w:val="32"/>
          <w:szCs w:val="32"/>
        </w:rPr>
        <w:t>年11月20日（星期三）</w:t>
      </w:r>
      <w:r w:rsidRPr="00F37A80">
        <w:rPr>
          <w:rFonts w:ascii="標楷體" w:eastAsia="標楷體" w:hAnsi="標楷體"/>
          <w:w w:val="95"/>
          <w:sz w:val="32"/>
          <w:szCs w:val="32"/>
        </w:rPr>
        <w:t>9</w:t>
      </w:r>
      <w:r w:rsidRPr="00F37A80">
        <w:rPr>
          <w:rFonts w:ascii="標楷體" w:eastAsia="標楷體" w:hAnsi="標楷體" w:hint="eastAsia"/>
          <w:w w:val="95"/>
          <w:sz w:val="32"/>
          <w:szCs w:val="32"/>
        </w:rPr>
        <w:t>時</w:t>
      </w:r>
      <w:r w:rsidRPr="00F37A80">
        <w:rPr>
          <w:rFonts w:ascii="標楷體" w:eastAsia="標楷體" w:hAnsi="標楷體"/>
          <w:w w:val="95"/>
          <w:sz w:val="32"/>
          <w:szCs w:val="32"/>
        </w:rPr>
        <w:t>3</w:t>
      </w:r>
      <w:r w:rsidRPr="00F37A80">
        <w:rPr>
          <w:rFonts w:ascii="標楷體" w:eastAsia="標楷體" w:hAnsi="標楷體" w:hint="eastAsia"/>
          <w:w w:val="95"/>
          <w:sz w:val="32"/>
          <w:szCs w:val="32"/>
        </w:rPr>
        <w:t>分至17時32分</w:t>
      </w:r>
    </w:p>
    <w:p w14:paraId="286296B9" w14:textId="77777777" w:rsidR="009D64D0" w:rsidRPr="00F37A80" w:rsidRDefault="009D64D0" w:rsidP="00F470A8">
      <w:pPr>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地　　點　群賢樓9樓大禮堂</w:t>
      </w:r>
    </w:p>
    <w:p w14:paraId="693D1008" w14:textId="77777777" w:rsidR="009D64D0" w:rsidRPr="00F37A80" w:rsidRDefault="009D64D0" w:rsidP="00F470A8">
      <w:pPr>
        <w:overflowPunct w:val="0"/>
        <w:autoSpaceDE w:val="0"/>
        <w:spacing w:line="480" w:lineRule="exact"/>
        <w:ind w:left="1600" w:rightChars="100" w:right="240" w:hangingChars="500" w:hanging="1600"/>
        <w:rPr>
          <w:rFonts w:ascii="標楷體" w:eastAsia="標楷體" w:hAnsi="標楷體"/>
          <w:color w:val="FF0000"/>
          <w:sz w:val="32"/>
          <w:szCs w:val="32"/>
        </w:rPr>
      </w:pPr>
      <w:r w:rsidRPr="00F37A80">
        <w:rPr>
          <w:rFonts w:ascii="標楷體" w:eastAsia="標楷體" w:hAnsi="標楷體" w:hint="eastAsia"/>
          <w:color w:val="000000" w:themeColor="text1"/>
          <w:sz w:val="32"/>
          <w:szCs w:val="32"/>
        </w:rPr>
        <w:t xml:space="preserve">出席委員　</w:t>
      </w:r>
      <w:r w:rsidRPr="00F37A80">
        <w:rPr>
          <w:rFonts w:ascii="標楷體" w:eastAsia="標楷體" w:hAnsi="標楷體" w:hint="eastAsia"/>
          <w:sz w:val="32"/>
          <w:szCs w:val="32"/>
        </w:rPr>
        <w:t xml:space="preserve">林德福　賴士葆　吳秉叡　</w:t>
      </w:r>
      <w:r w:rsidRPr="00F37A80">
        <w:rPr>
          <w:rFonts w:ascii="標楷體" w:eastAsia="標楷體" w:hAnsi="標楷體"/>
          <w:sz w:val="32"/>
          <w:szCs w:val="32"/>
        </w:rPr>
        <w:t xml:space="preserve">賴瑞隆　林宜瑾　萬美玲　</w:t>
      </w:r>
      <w:r w:rsidRPr="00F37A80">
        <w:rPr>
          <w:rFonts w:ascii="標楷體" w:eastAsia="標楷體" w:hAnsi="標楷體" w:hint="eastAsia"/>
          <w:sz w:val="32"/>
          <w:szCs w:val="32"/>
        </w:rPr>
        <w:t>郭昱晴</w:t>
      </w:r>
      <w:r w:rsidRPr="00F37A80">
        <w:rPr>
          <w:rFonts w:ascii="標楷體" w:eastAsia="標楷體" w:hAnsi="標楷體"/>
          <w:sz w:val="32"/>
          <w:szCs w:val="32"/>
        </w:rPr>
        <w:t xml:space="preserve">　</w:t>
      </w:r>
      <w:r w:rsidRPr="00F37A80">
        <w:rPr>
          <w:rFonts w:ascii="標楷體" w:eastAsia="標楷體" w:hAnsi="標楷體" w:hint="eastAsia"/>
          <w:sz w:val="32"/>
          <w:szCs w:val="32"/>
        </w:rPr>
        <w:t xml:space="preserve">郭國文　</w:t>
      </w:r>
      <w:r w:rsidRPr="00F37A80">
        <w:rPr>
          <w:rFonts w:ascii="標楷體" w:eastAsia="標楷體" w:hAnsi="標楷體"/>
          <w:sz w:val="32"/>
          <w:szCs w:val="32"/>
        </w:rPr>
        <w:t xml:space="preserve">洪孟楷　</w:t>
      </w:r>
      <w:r w:rsidRPr="00F37A80">
        <w:rPr>
          <w:rFonts w:ascii="標楷體" w:eastAsia="標楷體" w:hAnsi="標楷體" w:hint="eastAsia"/>
          <w:sz w:val="32"/>
          <w:szCs w:val="32"/>
        </w:rPr>
        <w:t>顏寬恒　柯志恩</w:t>
      </w:r>
      <w:r w:rsidRPr="00F37A80">
        <w:rPr>
          <w:rFonts w:ascii="標楷體" w:eastAsia="標楷體" w:hAnsi="標楷體"/>
          <w:sz w:val="32"/>
          <w:szCs w:val="32"/>
        </w:rPr>
        <w:t xml:space="preserve">　</w:t>
      </w:r>
      <w:r w:rsidRPr="00F37A80">
        <w:rPr>
          <w:rFonts w:ascii="標楷體" w:eastAsia="標楷體" w:hAnsi="標楷體" w:hint="eastAsia"/>
          <w:sz w:val="32"/>
          <w:szCs w:val="32"/>
        </w:rPr>
        <w:t>陳培瑜　謝衣鳯</w:t>
      </w:r>
      <w:r w:rsidRPr="00F37A80">
        <w:rPr>
          <w:rFonts w:ascii="標楷體" w:eastAsia="標楷體" w:hAnsi="標楷體"/>
          <w:sz w:val="32"/>
          <w:szCs w:val="32"/>
        </w:rPr>
        <w:t xml:space="preserve">　</w:t>
      </w:r>
      <w:r w:rsidRPr="00F37A80">
        <w:rPr>
          <w:rFonts w:ascii="標楷體" w:eastAsia="標楷體" w:hAnsi="標楷體" w:hint="eastAsia"/>
          <w:sz w:val="32"/>
          <w:szCs w:val="32"/>
        </w:rPr>
        <w:t>黃</w:t>
      </w:r>
      <w:r w:rsidRPr="00F37A80">
        <w:rPr>
          <w:rFonts w:ascii="標楷體" w:eastAsia="標楷體" w:hAnsi="標楷體"/>
          <w:sz w:val="32"/>
          <w:szCs w:val="32"/>
        </w:rPr>
        <w:t xml:space="preserve">　</w:t>
      </w:r>
      <w:r w:rsidRPr="00F37A80">
        <w:rPr>
          <w:rFonts w:ascii="標楷體" w:eastAsia="標楷體" w:hAnsi="標楷體" w:hint="eastAsia"/>
          <w:sz w:val="32"/>
          <w:szCs w:val="32"/>
        </w:rPr>
        <w:t>捷</w:t>
      </w:r>
      <w:r w:rsidRPr="00F37A80">
        <w:rPr>
          <w:rFonts w:ascii="標楷體" w:eastAsia="標楷體" w:hAnsi="標楷體"/>
          <w:sz w:val="32"/>
          <w:szCs w:val="32"/>
        </w:rPr>
        <w:t xml:space="preserve">　王美惠</w:t>
      </w:r>
      <w:r w:rsidRPr="00F37A80">
        <w:rPr>
          <w:rFonts w:ascii="標楷體" w:eastAsia="標楷體" w:hAnsi="標楷體" w:hint="eastAsia"/>
          <w:sz w:val="32"/>
          <w:szCs w:val="32"/>
        </w:rPr>
        <w:t xml:space="preserve">　王世堅　李彥秀　</w:t>
      </w:r>
      <w:r w:rsidRPr="00F37A80">
        <w:rPr>
          <w:rFonts w:ascii="標楷體" w:eastAsia="標楷體" w:hAnsi="標楷體"/>
          <w:sz w:val="32"/>
          <w:szCs w:val="32"/>
        </w:rPr>
        <w:t>陳秀</w:t>
      </w:r>
      <w:r w:rsidRPr="00F37A80">
        <w:rPr>
          <w:rFonts w:ascii="標楷體" w:eastAsia="標楷體" w:hAnsi="標楷體" w:hint="eastAsia"/>
          <w:sz w:val="32"/>
          <w:szCs w:val="32"/>
        </w:rPr>
        <w:t>寳</w:t>
      </w:r>
      <w:r w:rsidRPr="00F37A80">
        <w:rPr>
          <w:rFonts w:ascii="標楷體" w:eastAsia="標楷體" w:hAnsi="標楷體"/>
          <w:sz w:val="32"/>
          <w:szCs w:val="32"/>
        </w:rPr>
        <w:t xml:space="preserve">　</w:t>
      </w:r>
      <w:r w:rsidRPr="00F37A80">
        <w:rPr>
          <w:rFonts w:ascii="標楷體" w:eastAsia="標楷體" w:hAnsi="標楷體" w:hint="eastAsia"/>
          <w:sz w:val="32"/>
          <w:szCs w:val="32"/>
        </w:rPr>
        <w:t>吳沛憶</w:t>
      </w:r>
      <w:r w:rsidRPr="00F37A80">
        <w:rPr>
          <w:rFonts w:ascii="標楷體" w:eastAsia="標楷體" w:hAnsi="標楷體"/>
          <w:sz w:val="32"/>
          <w:szCs w:val="32"/>
        </w:rPr>
        <w:t xml:space="preserve">　黃秀芳　</w:t>
      </w:r>
      <w:r w:rsidRPr="00F37A80">
        <w:rPr>
          <w:rFonts w:ascii="標楷體" w:eastAsia="標楷體" w:hAnsi="標楷體" w:hint="eastAsia"/>
          <w:sz w:val="32"/>
          <w:szCs w:val="32"/>
        </w:rPr>
        <w:t>林倩綺　李柏毅</w:t>
      </w:r>
      <w:r w:rsidRPr="00F37A80">
        <w:rPr>
          <w:rFonts w:ascii="標楷體" w:eastAsia="標楷體" w:hAnsi="標楷體"/>
          <w:sz w:val="32"/>
          <w:szCs w:val="32"/>
        </w:rPr>
        <w:t xml:space="preserve">　</w:t>
      </w:r>
      <w:r w:rsidRPr="00F37A80">
        <w:rPr>
          <w:rFonts w:ascii="標楷體" w:eastAsia="標楷體" w:hAnsi="標楷體" w:hint="eastAsia"/>
          <w:sz w:val="32"/>
          <w:szCs w:val="32"/>
        </w:rPr>
        <w:t>李坤城　張雅琳</w:t>
      </w:r>
      <w:r w:rsidRPr="00F37A80">
        <w:rPr>
          <w:rFonts w:ascii="標楷體" w:eastAsia="標楷體" w:hAnsi="標楷體"/>
          <w:sz w:val="32"/>
          <w:szCs w:val="32"/>
        </w:rPr>
        <w:t xml:space="preserve">　</w:t>
      </w:r>
      <w:r w:rsidRPr="00F37A80">
        <w:rPr>
          <w:rFonts w:ascii="標楷體" w:eastAsia="標楷體" w:hAnsi="標楷體" w:hint="eastAsia"/>
          <w:sz w:val="32"/>
          <w:szCs w:val="32"/>
        </w:rPr>
        <w:t>劉建國</w:t>
      </w:r>
      <w:r w:rsidRPr="00F37A80">
        <w:rPr>
          <w:rFonts w:ascii="標楷體" w:eastAsia="標楷體" w:hAnsi="標楷體"/>
          <w:sz w:val="32"/>
          <w:szCs w:val="32"/>
        </w:rPr>
        <w:t xml:space="preserve">　</w:t>
      </w:r>
      <w:r w:rsidRPr="00F37A80">
        <w:rPr>
          <w:rFonts w:ascii="標楷體" w:eastAsia="標楷體" w:hAnsi="標楷體" w:hint="eastAsia"/>
          <w:sz w:val="32"/>
          <w:szCs w:val="32"/>
        </w:rPr>
        <w:t>林淑芬</w:t>
      </w:r>
      <w:r w:rsidRPr="00F37A80">
        <w:rPr>
          <w:rFonts w:ascii="標楷體" w:eastAsia="標楷體" w:hAnsi="標楷體"/>
          <w:sz w:val="32"/>
          <w:szCs w:val="32"/>
        </w:rPr>
        <w:t xml:space="preserve">　</w:t>
      </w:r>
      <w:r w:rsidRPr="00F37A80">
        <w:rPr>
          <w:rFonts w:ascii="標楷體" w:eastAsia="標楷體" w:hAnsi="標楷體" w:hint="eastAsia"/>
          <w:sz w:val="32"/>
          <w:szCs w:val="32"/>
        </w:rPr>
        <w:t>伍麗華</w:t>
      </w:r>
      <w:r w:rsidRPr="00F37A80">
        <w:rPr>
          <w:rFonts w:ascii="標楷體" w:eastAsia="標楷體" w:hAnsi="標楷體" w:hint="eastAsia"/>
          <w:spacing w:val="-18"/>
          <w:sz w:val="32"/>
          <w:szCs w:val="32"/>
        </w:rPr>
        <w:t>Saidhai Tahovecahe</w:t>
      </w:r>
      <w:r w:rsidRPr="00F37A80">
        <w:rPr>
          <w:rFonts w:ascii="標楷體" w:eastAsia="標楷體" w:hAnsi="標楷體" w:hint="eastAsia"/>
          <w:sz w:val="32"/>
          <w:szCs w:val="32"/>
        </w:rPr>
        <w:t xml:space="preserve">　</w:t>
      </w:r>
      <w:r w:rsidRPr="00F37A80">
        <w:rPr>
          <w:rFonts w:ascii="標楷體" w:eastAsia="標楷體" w:hAnsi="標楷體"/>
          <w:sz w:val="32"/>
          <w:szCs w:val="32"/>
        </w:rPr>
        <w:t xml:space="preserve">陳亭妃　</w:t>
      </w:r>
      <w:r w:rsidRPr="00F37A80">
        <w:rPr>
          <w:rFonts w:ascii="標楷體" w:eastAsia="標楷體" w:hAnsi="標楷體" w:hint="eastAsia"/>
          <w:sz w:val="32"/>
          <w:szCs w:val="32"/>
        </w:rPr>
        <w:t>徐富癸</w:t>
      </w:r>
      <w:r w:rsidRPr="00F37A80">
        <w:rPr>
          <w:rFonts w:ascii="標楷體" w:eastAsia="標楷體" w:hAnsi="標楷體"/>
          <w:sz w:val="32"/>
          <w:szCs w:val="32"/>
        </w:rPr>
        <w:t xml:space="preserve">　</w:t>
      </w:r>
      <w:r w:rsidRPr="00F37A80">
        <w:rPr>
          <w:rFonts w:ascii="標楷體" w:eastAsia="標楷體" w:hAnsi="標楷體" w:hint="eastAsia"/>
          <w:sz w:val="32"/>
          <w:szCs w:val="32"/>
        </w:rPr>
        <w:t>許智傑</w:t>
      </w:r>
      <w:r w:rsidRPr="00F37A80">
        <w:rPr>
          <w:rFonts w:ascii="標楷體" w:eastAsia="標楷體" w:hAnsi="標楷體"/>
          <w:sz w:val="32"/>
          <w:szCs w:val="32"/>
        </w:rPr>
        <w:t xml:space="preserve">　范　雲　</w:t>
      </w:r>
      <w:r w:rsidRPr="00F37A80">
        <w:rPr>
          <w:rFonts w:ascii="標楷體" w:eastAsia="標楷體" w:hAnsi="標楷體" w:hint="eastAsia"/>
          <w:sz w:val="32"/>
          <w:szCs w:val="32"/>
        </w:rPr>
        <w:t>張宏陸</w:t>
      </w:r>
      <w:r w:rsidRPr="00F37A80">
        <w:rPr>
          <w:rFonts w:ascii="標楷體" w:eastAsia="標楷體" w:hAnsi="標楷體"/>
          <w:sz w:val="32"/>
          <w:szCs w:val="32"/>
        </w:rPr>
        <w:t xml:space="preserve">　</w:t>
      </w:r>
      <w:r w:rsidRPr="00F37A80">
        <w:rPr>
          <w:rFonts w:ascii="標楷體" w:eastAsia="標楷體" w:hAnsi="標楷體" w:hint="eastAsia"/>
          <w:sz w:val="32"/>
          <w:szCs w:val="32"/>
        </w:rPr>
        <w:t>葛如鈞　王鴻薇　賴惠員　麥玉珍</w:t>
      </w:r>
      <w:r w:rsidRPr="00F37A80">
        <w:rPr>
          <w:rFonts w:ascii="標楷體" w:eastAsia="標楷體" w:hAnsi="標楷體"/>
          <w:sz w:val="32"/>
          <w:szCs w:val="32"/>
        </w:rPr>
        <w:t xml:space="preserve">　</w:t>
      </w:r>
      <w:r w:rsidRPr="00F37A80">
        <w:rPr>
          <w:rFonts w:ascii="標楷體" w:eastAsia="標楷體" w:hAnsi="標楷體" w:hint="eastAsia"/>
          <w:sz w:val="32"/>
          <w:szCs w:val="32"/>
        </w:rPr>
        <w:t>陳菁徽</w:t>
      </w:r>
      <w:r w:rsidRPr="00F37A80">
        <w:rPr>
          <w:rFonts w:ascii="標楷體" w:eastAsia="標楷體" w:hAnsi="標楷體"/>
          <w:sz w:val="32"/>
          <w:szCs w:val="32"/>
        </w:rPr>
        <w:t xml:space="preserve">　</w:t>
      </w:r>
      <w:r w:rsidRPr="00F37A80">
        <w:rPr>
          <w:rFonts w:ascii="標楷體" w:eastAsia="標楷體" w:hAnsi="標楷體" w:hint="eastAsia"/>
          <w:sz w:val="32"/>
          <w:szCs w:val="32"/>
        </w:rPr>
        <w:t>黃健豪</w:t>
      </w:r>
      <w:r w:rsidRPr="00F37A80">
        <w:rPr>
          <w:rFonts w:ascii="標楷體" w:eastAsia="標楷體" w:hAnsi="標楷體"/>
          <w:sz w:val="32"/>
          <w:szCs w:val="32"/>
        </w:rPr>
        <w:t xml:space="preserve">　</w:t>
      </w:r>
      <w:r w:rsidRPr="00F37A80">
        <w:rPr>
          <w:rFonts w:ascii="標楷體" w:eastAsia="標楷體" w:hAnsi="標楷體" w:hint="eastAsia"/>
          <w:sz w:val="32"/>
          <w:szCs w:val="32"/>
        </w:rPr>
        <w:t>邱議</w:t>
      </w:r>
      <w:r w:rsidRPr="00F37A80">
        <w:rPr>
          <w:rFonts w:ascii="標楷體" w:eastAsia="標楷體" w:hAnsi="標楷體" w:hint="eastAsia"/>
          <w:color w:val="000000" w:themeColor="text1"/>
          <w:sz w:val="32"/>
          <w:szCs w:val="32"/>
        </w:rPr>
        <w:t>瑩</w:t>
      </w:r>
      <w:r w:rsidRPr="00F37A80">
        <w:rPr>
          <w:rFonts w:ascii="標楷體" w:eastAsia="標楷體" w:hAnsi="標楷體"/>
          <w:color w:val="FF0000"/>
          <w:sz w:val="32"/>
          <w:szCs w:val="32"/>
        </w:rPr>
        <w:t xml:space="preserve">　</w:t>
      </w:r>
      <w:r w:rsidRPr="00F37A80">
        <w:rPr>
          <w:rFonts w:ascii="標楷體" w:eastAsia="標楷體" w:hAnsi="標楷體"/>
          <w:sz w:val="32"/>
          <w:szCs w:val="32"/>
        </w:rPr>
        <w:t>楊瓊瓔</w:t>
      </w:r>
      <w:r w:rsidRPr="00F37A80">
        <w:rPr>
          <w:rFonts w:ascii="標楷體" w:eastAsia="標楷體" w:hAnsi="標楷體"/>
          <w:color w:val="FF0000"/>
          <w:sz w:val="32"/>
          <w:szCs w:val="32"/>
        </w:rPr>
        <w:t xml:space="preserve">　</w:t>
      </w:r>
      <w:r w:rsidRPr="00F37A80">
        <w:rPr>
          <w:rFonts w:ascii="標楷體" w:eastAsia="標楷體" w:hAnsi="標楷體"/>
          <w:color w:val="000000" w:themeColor="text1"/>
          <w:sz w:val="32"/>
          <w:szCs w:val="32"/>
        </w:rPr>
        <w:t>蘇巧慧</w:t>
      </w:r>
      <w:r w:rsidRPr="00F37A80">
        <w:rPr>
          <w:rFonts w:ascii="標楷體" w:eastAsia="標楷體" w:hAnsi="標楷體"/>
          <w:color w:val="FF0000"/>
          <w:sz w:val="32"/>
          <w:szCs w:val="32"/>
        </w:rPr>
        <w:t xml:space="preserve">　</w:t>
      </w:r>
      <w:r w:rsidRPr="00F37A80">
        <w:rPr>
          <w:rFonts w:ascii="標楷體" w:eastAsia="標楷體" w:hAnsi="標楷體"/>
          <w:sz w:val="32"/>
          <w:szCs w:val="32"/>
        </w:rPr>
        <w:t xml:space="preserve">李昆澤　林岱樺　</w:t>
      </w:r>
      <w:r w:rsidRPr="00F37A80">
        <w:rPr>
          <w:rFonts w:ascii="標楷體" w:eastAsia="標楷體" w:hAnsi="標楷體" w:hint="eastAsia"/>
          <w:sz w:val="32"/>
          <w:szCs w:val="32"/>
        </w:rPr>
        <w:t>王正旭　張智倫　鄭正鈐</w:t>
      </w:r>
      <w:r w:rsidRPr="00F37A80">
        <w:rPr>
          <w:rFonts w:ascii="標楷體" w:eastAsia="標楷體" w:hAnsi="標楷體"/>
          <w:sz w:val="32"/>
          <w:szCs w:val="32"/>
        </w:rPr>
        <w:t xml:space="preserve">　</w:t>
      </w:r>
      <w:r w:rsidRPr="00F37A80">
        <w:rPr>
          <w:rFonts w:ascii="標楷體" w:eastAsia="標楷體" w:hAnsi="標楷體" w:hint="eastAsia"/>
          <w:sz w:val="32"/>
          <w:szCs w:val="32"/>
        </w:rPr>
        <w:t>王育敏　林月琴</w:t>
      </w:r>
      <w:r w:rsidRPr="00F37A80">
        <w:rPr>
          <w:rFonts w:ascii="標楷體" w:eastAsia="標楷體" w:hAnsi="標楷體"/>
          <w:sz w:val="32"/>
          <w:szCs w:val="32"/>
        </w:rPr>
        <w:t xml:space="preserve">　</w:t>
      </w:r>
      <w:r w:rsidRPr="00F37A80">
        <w:rPr>
          <w:rFonts w:ascii="標楷體" w:eastAsia="標楷體" w:hAnsi="標楷體" w:hint="eastAsia"/>
          <w:sz w:val="32"/>
          <w:szCs w:val="32"/>
        </w:rPr>
        <w:t>邱鎮軍</w:t>
      </w:r>
      <w:r w:rsidRPr="00F37A80">
        <w:rPr>
          <w:rFonts w:ascii="標楷體" w:eastAsia="標楷體" w:hAnsi="標楷體"/>
          <w:sz w:val="32"/>
          <w:szCs w:val="32"/>
        </w:rPr>
        <w:t xml:space="preserve">　邱志偉　</w:t>
      </w:r>
      <w:r w:rsidRPr="00F37A80">
        <w:rPr>
          <w:rFonts w:ascii="標楷體" w:eastAsia="標楷體" w:hAnsi="標楷體" w:hint="eastAsia"/>
          <w:sz w:val="32"/>
          <w:szCs w:val="32"/>
        </w:rPr>
        <w:t>羅廷瑋　盧縣一</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吳春城　陳玉珍　黃珊珊　陳超明</w:t>
      </w:r>
      <w:r w:rsidRPr="00F37A80">
        <w:rPr>
          <w:rFonts w:ascii="標楷體" w:eastAsia="標楷體" w:hAnsi="標楷體"/>
          <w:color w:val="FF0000"/>
          <w:sz w:val="32"/>
          <w:szCs w:val="32"/>
        </w:rPr>
        <w:t xml:space="preserve">　</w:t>
      </w:r>
      <w:r w:rsidRPr="00F37A80">
        <w:rPr>
          <w:rFonts w:ascii="標楷體" w:eastAsia="標楷體" w:hAnsi="標楷體"/>
          <w:sz w:val="32"/>
          <w:szCs w:val="32"/>
        </w:rPr>
        <w:t xml:space="preserve">何欣純　</w:t>
      </w:r>
      <w:r w:rsidRPr="00F37A80">
        <w:rPr>
          <w:rFonts w:ascii="標楷體" w:eastAsia="標楷體" w:hAnsi="標楷體" w:hint="eastAsia"/>
          <w:sz w:val="32"/>
          <w:szCs w:val="32"/>
        </w:rPr>
        <w:t>蘇清泉</w:t>
      </w:r>
      <w:r w:rsidRPr="00F37A80">
        <w:rPr>
          <w:rFonts w:ascii="標楷體" w:eastAsia="標楷體" w:hAnsi="標楷體"/>
          <w:sz w:val="32"/>
          <w:szCs w:val="32"/>
        </w:rPr>
        <w:t xml:space="preserve">　</w:t>
      </w:r>
      <w:r w:rsidRPr="00F37A80">
        <w:rPr>
          <w:rFonts w:ascii="標楷體" w:eastAsia="標楷體" w:hAnsi="標楷體" w:hint="eastAsia"/>
          <w:color w:val="000000" w:themeColor="text1"/>
          <w:sz w:val="32"/>
          <w:szCs w:val="32"/>
        </w:rPr>
        <w:t>廖偉翔</w:t>
      </w:r>
      <w:r w:rsidRPr="00F37A80">
        <w:rPr>
          <w:rFonts w:ascii="標楷體" w:eastAsia="標楷體" w:hAnsi="標楷體"/>
          <w:sz w:val="32"/>
          <w:szCs w:val="32"/>
        </w:rPr>
        <w:t xml:space="preserve">　林俊憲　</w:t>
      </w:r>
      <w:r w:rsidRPr="00F37A80">
        <w:rPr>
          <w:rFonts w:ascii="標楷體" w:eastAsia="標楷體" w:hAnsi="標楷體" w:hint="eastAsia"/>
          <w:sz w:val="32"/>
          <w:szCs w:val="32"/>
        </w:rPr>
        <w:t>羅明才</w:t>
      </w:r>
      <w:r w:rsidRPr="00F37A80">
        <w:rPr>
          <w:rFonts w:ascii="標楷體" w:eastAsia="標楷體" w:hAnsi="標楷體"/>
          <w:sz w:val="32"/>
          <w:szCs w:val="32"/>
        </w:rPr>
        <w:t xml:space="preserve">　</w:t>
      </w:r>
      <w:r w:rsidRPr="00F37A80">
        <w:rPr>
          <w:rFonts w:ascii="標楷體" w:eastAsia="標楷體" w:hAnsi="標楷體" w:hint="eastAsia"/>
          <w:sz w:val="32"/>
          <w:szCs w:val="32"/>
        </w:rPr>
        <w:t>游</w:t>
      </w:r>
      <w:r w:rsidRPr="00F37A80">
        <w:rPr>
          <w:rFonts w:ascii="標楷體" w:eastAsia="標楷體" w:hAnsi="標楷體"/>
          <w:sz w:val="32"/>
          <w:szCs w:val="32"/>
        </w:rPr>
        <w:t xml:space="preserve">　</w:t>
      </w:r>
      <w:r w:rsidRPr="00F37A80">
        <w:rPr>
          <w:rFonts w:ascii="標楷體" w:eastAsia="標楷體" w:hAnsi="標楷體" w:hint="eastAsia"/>
          <w:sz w:val="32"/>
          <w:szCs w:val="32"/>
        </w:rPr>
        <w:t>顥</w:t>
      </w:r>
      <w:r w:rsidRPr="00F37A80">
        <w:rPr>
          <w:rFonts w:ascii="標楷體" w:eastAsia="標楷體" w:hAnsi="標楷體"/>
          <w:sz w:val="32"/>
          <w:szCs w:val="32"/>
        </w:rPr>
        <w:t xml:space="preserve">　</w:t>
      </w:r>
      <w:r w:rsidRPr="00F37A80">
        <w:rPr>
          <w:rFonts w:ascii="標楷體" w:eastAsia="標楷體" w:hAnsi="標楷體" w:hint="eastAsia"/>
          <w:sz w:val="32"/>
          <w:szCs w:val="32"/>
        </w:rPr>
        <w:t>葉元之</w:t>
      </w:r>
      <w:r w:rsidRPr="00F37A80">
        <w:rPr>
          <w:rFonts w:ascii="標楷體" w:eastAsia="標楷體" w:hAnsi="標楷體"/>
          <w:sz w:val="32"/>
          <w:szCs w:val="32"/>
        </w:rPr>
        <w:t xml:space="preserve">　</w:t>
      </w:r>
      <w:r w:rsidRPr="00F37A80">
        <w:rPr>
          <w:rFonts w:ascii="標楷體" w:eastAsia="標楷體" w:hAnsi="標楷體" w:hint="eastAsia"/>
          <w:sz w:val="32"/>
          <w:szCs w:val="32"/>
        </w:rPr>
        <w:t>許宇甄　丁學忠</w:t>
      </w:r>
      <w:r w:rsidRPr="00F37A80">
        <w:rPr>
          <w:rFonts w:ascii="標楷體" w:eastAsia="標楷體" w:hAnsi="標楷體"/>
          <w:sz w:val="32"/>
          <w:szCs w:val="32"/>
        </w:rPr>
        <w:t xml:space="preserve">　</w:t>
      </w:r>
      <w:r w:rsidRPr="00F37A80">
        <w:rPr>
          <w:rFonts w:ascii="標楷體" w:eastAsia="標楷體" w:hAnsi="標楷體" w:hint="eastAsia"/>
          <w:sz w:val="32"/>
          <w:szCs w:val="32"/>
        </w:rPr>
        <w:t>張嘉郡</w:t>
      </w:r>
      <w:r w:rsidRPr="00F37A80">
        <w:rPr>
          <w:rFonts w:ascii="標楷體" w:eastAsia="標楷體" w:hAnsi="標楷體"/>
          <w:sz w:val="32"/>
          <w:szCs w:val="32"/>
        </w:rPr>
        <w:t xml:space="preserve">　</w:t>
      </w:r>
      <w:r w:rsidRPr="00F37A80">
        <w:rPr>
          <w:rFonts w:ascii="標楷體" w:eastAsia="標楷體" w:hAnsi="標楷體" w:hint="eastAsia"/>
          <w:sz w:val="32"/>
          <w:szCs w:val="32"/>
        </w:rPr>
        <w:t>徐欣瑩</w:t>
      </w:r>
      <w:r w:rsidRPr="00F37A80">
        <w:rPr>
          <w:rFonts w:ascii="標楷體" w:eastAsia="標楷體" w:hAnsi="標楷體"/>
          <w:sz w:val="32"/>
          <w:szCs w:val="32"/>
        </w:rPr>
        <w:t xml:space="preserve">　陳素月　</w:t>
      </w:r>
      <w:r w:rsidRPr="00F37A80">
        <w:rPr>
          <w:rFonts w:ascii="標楷體" w:eastAsia="標楷體" w:hAnsi="標楷體"/>
          <w:color w:val="000000"/>
          <w:sz w:val="32"/>
          <w:szCs w:val="32"/>
        </w:rPr>
        <w:t>陳</w:t>
      </w:r>
      <w:r w:rsidRPr="00F37A80">
        <w:rPr>
          <w:rFonts w:ascii="標楷體" w:eastAsia="標楷體" w:hAnsi="標楷體"/>
          <w:sz w:val="32"/>
          <w:szCs w:val="32"/>
        </w:rPr>
        <w:t xml:space="preserve">　</w:t>
      </w:r>
      <w:r w:rsidRPr="00F37A80">
        <w:rPr>
          <w:rFonts w:ascii="標楷體" w:eastAsia="標楷體" w:hAnsi="標楷體"/>
          <w:color w:val="000000"/>
          <w:sz w:val="32"/>
          <w:szCs w:val="32"/>
        </w:rPr>
        <w:t>瑩</w:t>
      </w:r>
      <w:r w:rsidRPr="00F37A80">
        <w:rPr>
          <w:rFonts w:ascii="標楷體" w:eastAsia="標楷體" w:hAnsi="標楷體" w:hint="eastAsia"/>
          <w:color w:val="000000"/>
          <w:sz w:val="32"/>
          <w:szCs w:val="32"/>
        </w:rPr>
        <w:t xml:space="preserve">　蔡易餘</w:t>
      </w: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牛煦庭　蔡其昌</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吳琪銘</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陳昭姿</w:t>
      </w:r>
    </w:p>
    <w:p w14:paraId="669CFCC6" w14:textId="77777777" w:rsidR="009D64D0" w:rsidRPr="00F37A80" w:rsidRDefault="009D64D0" w:rsidP="00F470A8">
      <w:pPr>
        <w:tabs>
          <w:tab w:val="left" w:pos="5812"/>
          <w:tab w:val="left" w:pos="6379"/>
          <w:tab w:val="left" w:pos="6521"/>
          <w:tab w:val="left" w:pos="6804"/>
          <w:tab w:val="left" w:pos="7797"/>
          <w:tab w:val="left" w:pos="8080"/>
          <w:tab w:val="left" w:pos="8222"/>
        </w:tabs>
        <w:overflowPunct w:val="0"/>
        <w:spacing w:line="480" w:lineRule="exact"/>
        <w:ind w:left="1600" w:right="320" w:hanging="1600"/>
        <w:rPr>
          <w:rFonts w:ascii="標楷體" w:eastAsia="標楷體" w:hAnsi="標楷體"/>
          <w:b/>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委員出席</w:t>
      </w:r>
      <w:r w:rsidRPr="00F37A80">
        <w:rPr>
          <w:rFonts w:ascii="標楷體" w:eastAsia="標楷體" w:hAnsi="標楷體" w:hint="eastAsia"/>
          <w:b/>
          <w:color w:val="000000" w:themeColor="text1"/>
          <w:sz w:val="32"/>
          <w:szCs w:val="32"/>
        </w:rPr>
        <w:t>74</w:t>
      </w:r>
      <w:r w:rsidRPr="00F37A80">
        <w:rPr>
          <w:rFonts w:ascii="標楷體" w:eastAsia="標楷體" w:hAnsi="標楷體"/>
          <w:b/>
          <w:color w:val="000000" w:themeColor="text1"/>
          <w:sz w:val="32"/>
          <w:szCs w:val="32"/>
        </w:rPr>
        <w:t>人</w:t>
      </w:r>
      <w:r w:rsidRPr="00F37A80">
        <w:rPr>
          <w:rFonts w:ascii="標楷體" w:eastAsia="標楷體" w:hAnsi="標楷體"/>
          <w:color w:val="000000" w:themeColor="text1"/>
          <w:sz w:val="32"/>
          <w:szCs w:val="32"/>
        </w:rPr>
        <w:t xml:space="preserve">　</w:t>
      </w:r>
    </w:p>
    <w:p w14:paraId="2F9A35CF" w14:textId="77777777" w:rsidR="009D64D0" w:rsidRPr="00F37A80" w:rsidRDefault="009D64D0" w:rsidP="00F470A8">
      <w:pPr>
        <w:overflowPunct w:val="0"/>
        <w:autoSpaceDE w:val="0"/>
        <w:spacing w:line="480" w:lineRule="exact"/>
        <w:ind w:left="1600" w:rightChars="100" w:right="240" w:hangingChars="500" w:hanging="1600"/>
        <w:rPr>
          <w:rFonts w:ascii="標楷體" w:eastAsia="標楷體" w:hAnsi="標楷體"/>
          <w:color w:val="FFC000"/>
          <w:sz w:val="32"/>
          <w:szCs w:val="32"/>
        </w:rPr>
      </w:pPr>
      <w:r w:rsidRPr="00F37A80">
        <w:rPr>
          <w:rFonts w:ascii="標楷體" w:eastAsia="標楷體" w:hAnsi="標楷體" w:hint="eastAsia"/>
          <w:color w:val="000000" w:themeColor="text1"/>
          <w:sz w:val="32"/>
          <w:szCs w:val="32"/>
        </w:rPr>
        <w:t xml:space="preserve">列席委員　徐巧芯　</w:t>
      </w:r>
      <w:r w:rsidRPr="00F37A80">
        <w:rPr>
          <w:rFonts w:ascii="標楷體" w:eastAsia="標楷體" w:hAnsi="標楷體"/>
          <w:sz w:val="32"/>
          <w:szCs w:val="32"/>
        </w:rPr>
        <w:t xml:space="preserve">鍾佳濱　</w:t>
      </w:r>
      <w:r w:rsidRPr="00F37A80">
        <w:rPr>
          <w:rFonts w:ascii="標楷體" w:eastAsia="標楷體" w:hAnsi="標楷體" w:hint="eastAsia"/>
          <w:color w:val="000000" w:themeColor="text1"/>
          <w:sz w:val="32"/>
          <w:szCs w:val="32"/>
        </w:rPr>
        <w:t xml:space="preserve">黃國昌　</w:t>
      </w:r>
      <w:r w:rsidRPr="00F37A80">
        <w:rPr>
          <w:rFonts w:ascii="標楷體" w:eastAsia="標楷體" w:hAnsi="標楷體" w:hint="eastAsia"/>
          <w:sz w:val="32"/>
          <w:szCs w:val="32"/>
        </w:rPr>
        <w:t xml:space="preserve">謝龍介　</w:t>
      </w:r>
    </w:p>
    <w:p w14:paraId="4A0F2608" w14:textId="77777777" w:rsidR="009D64D0" w:rsidRPr="00F37A80" w:rsidRDefault="009D64D0" w:rsidP="00F470A8">
      <w:pPr>
        <w:tabs>
          <w:tab w:val="left" w:pos="5812"/>
          <w:tab w:val="left" w:pos="6379"/>
          <w:tab w:val="left" w:pos="6521"/>
          <w:tab w:val="left" w:pos="6804"/>
          <w:tab w:val="left" w:pos="7797"/>
          <w:tab w:val="left" w:pos="8080"/>
          <w:tab w:val="left" w:pos="8222"/>
        </w:tabs>
        <w:overflowPunct w:val="0"/>
        <w:spacing w:line="480" w:lineRule="exact"/>
        <w:ind w:left="1600" w:right="320" w:hanging="1600"/>
        <w:rPr>
          <w:rFonts w:ascii="標楷體" w:eastAsia="標楷體" w:hAnsi="標楷體"/>
          <w:b/>
          <w:color w:val="000000" w:themeColor="text1"/>
          <w:sz w:val="32"/>
          <w:szCs w:val="32"/>
        </w:rPr>
      </w:pPr>
      <w:r w:rsidRPr="00F37A80">
        <w:rPr>
          <w:rFonts w:ascii="標楷體" w:eastAsia="標楷體" w:hAnsi="標楷體"/>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b/>
          <w:color w:val="000000" w:themeColor="text1"/>
          <w:sz w:val="32"/>
          <w:szCs w:val="32"/>
        </w:rPr>
        <w:t>委員列席4人</w:t>
      </w:r>
    </w:p>
    <w:p w14:paraId="4232E6F5" w14:textId="77777777" w:rsidR="009D64D0" w:rsidRPr="00F37A80" w:rsidRDefault="009D64D0" w:rsidP="00F470A8">
      <w:pPr>
        <w:tabs>
          <w:tab w:val="left" w:pos="9072"/>
        </w:tabs>
        <w:overflowPunct w:val="0"/>
        <w:autoSpaceDE w:val="0"/>
        <w:spacing w:line="480" w:lineRule="exact"/>
        <w:jc w:val="both"/>
        <w:rPr>
          <w:rFonts w:ascii="標楷體" w:eastAsia="標楷體" w:hAnsi="標楷體"/>
          <w:sz w:val="32"/>
          <w:szCs w:val="32"/>
        </w:rPr>
      </w:pPr>
      <w:r w:rsidRPr="00F37A80">
        <w:rPr>
          <w:rFonts w:ascii="標楷體" w:eastAsia="標楷體" w:hAnsi="標楷體" w:hint="eastAsia"/>
          <w:color w:val="000000" w:themeColor="text1"/>
          <w:kern w:val="16"/>
          <w:sz w:val="32"/>
          <w:szCs w:val="32"/>
        </w:rPr>
        <w:t xml:space="preserve">列席官員　</w:t>
      </w:r>
      <w:r w:rsidRPr="00F37A80">
        <w:rPr>
          <w:rFonts w:ascii="標楷體" w:eastAsia="標楷體" w:hAnsi="標楷體"/>
          <w:b/>
          <w:sz w:val="32"/>
          <w:szCs w:val="32"/>
        </w:rPr>
        <w:t>行政院主計總處</w:t>
      </w:r>
      <w:r w:rsidRPr="00F37A80">
        <w:rPr>
          <w:rFonts w:ascii="標楷體" w:eastAsia="標楷體" w:hAnsi="標楷體"/>
          <w:color w:val="FF0000"/>
          <w:sz w:val="32"/>
          <w:szCs w:val="32"/>
        </w:rPr>
        <w:t xml:space="preserve">　　　　　　　</w:t>
      </w:r>
      <w:r w:rsidRPr="00F37A80">
        <w:rPr>
          <w:rFonts w:ascii="標楷體" w:eastAsia="標楷體" w:hAnsi="標楷體"/>
          <w:sz w:val="32"/>
          <w:szCs w:val="32"/>
        </w:rPr>
        <w:t>主計長</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陳淑姿</w:t>
      </w:r>
    </w:p>
    <w:p w14:paraId="35D32DFB" w14:textId="77777777" w:rsidR="009D64D0" w:rsidRPr="00F37A80" w:rsidRDefault="009D64D0" w:rsidP="00F470A8">
      <w:pPr>
        <w:tabs>
          <w:tab w:val="left" w:pos="5245"/>
          <w:tab w:val="left" w:pos="5670"/>
          <w:tab w:val="left" w:pos="7938"/>
          <w:tab w:val="left" w:pos="8931"/>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公務預算處</w:t>
      </w:r>
      <w:r w:rsidRPr="00F37A80">
        <w:rPr>
          <w:rFonts w:ascii="標楷體" w:eastAsia="標楷體" w:hAnsi="標楷體"/>
          <w:color w:val="FF0000"/>
          <w:sz w:val="32"/>
          <w:szCs w:val="32"/>
        </w:rPr>
        <w:t xml:space="preserve">　　　　　　　　</w:t>
      </w:r>
      <w:r w:rsidRPr="00F37A80">
        <w:rPr>
          <w:rFonts w:ascii="標楷體" w:eastAsia="標楷體" w:hAnsi="標楷體"/>
          <w:sz w:val="32"/>
          <w:szCs w:val="32"/>
        </w:rPr>
        <w:t>處長</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許永議</w:t>
      </w:r>
    </w:p>
    <w:p w14:paraId="0197BC05" w14:textId="77777777" w:rsidR="009D64D0" w:rsidRPr="00F37A80" w:rsidRDefault="009D64D0" w:rsidP="00F470A8">
      <w:pPr>
        <w:tabs>
          <w:tab w:val="left" w:pos="5245"/>
          <w:tab w:val="left" w:pos="5670"/>
          <w:tab w:val="left" w:pos="7938"/>
          <w:tab w:val="left" w:pos="8931"/>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會計決算處</w:t>
      </w:r>
      <w:r w:rsidRPr="00F37A80">
        <w:rPr>
          <w:rFonts w:ascii="標楷體" w:eastAsia="標楷體" w:hAnsi="標楷體"/>
          <w:sz w:val="32"/>
          <w:szCs w:val="32"/>
        </w:rPr>
        <w:t xml:space="preserve">　　　　　　　　處長　　　　</w:t>
      </w:r>
      <w:r w:rsidRPr="00F37A80">
        <w:rPr>
          <w:rFonts w:ascii="標楷體" w:eastAsia="標楷體" w:hAnsi="標楷體" w:hint="eastAsia"/>
          <w:sz w:val="32"/>
          <w:szCs w:val="32"/>
        </w:rPr>
        <w:t>許一娟</w:t>
      </w:r>
    </w:p>
    <w:p w14:paraId="3514CA62" w14:textId="77777777" w:rsidR="009D64D0" w:rsidRPr="00F37A80" w:rsidRDefault="009D64D0" w:rsidP="00F470A8">
      <w:pPr>
        <w:tabs>
          <w:tab w:val="left" w:pos="5245"/>
          <w:tab w:val="left" w:pos="5670"/>
          <w:tab w:val="left" w:pos="7938"/>
          <w:tab w:val="left" w:pos="8931"/>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hint="eastAsia"/>
          <w:sz w:val="32"/>
          <w:szCs w:val="32"/>
        </w:rPr>
        <w:t>綜合統計處</w:t>
      </w:r>
      <w:r w:rsidRPr="00F37A80">
        <w:rPr>
          <w:rFonts w:ascii="標楷體" w:eastAsia="標楷體" w:hAnsi="標楷體"/>
          <w:sz w:val="32"/>
          <w:szCs w:val="32"/>
        </w:rPr>
        <w:t xml:space="preserve">　　　　　　　　</w:t>
      </w:r>
      <w:r w:rsidRPr="00F37A80">
        <w:rPr>
          <w:rFonts w:ascii="標楷體" w:eastAsia="標楷體" w:hAnsi="標楷體" w:hint="eastAsia"/>
          <w:sz w:val="32"/>
          <w:szCs w:val="32"/>
        </w:rPr>
        <w:t>專門委員</w:t>
      </w:r>
      <w:r w:rsidRPr="00F37A80">
        <w:rPr>
          <w:rFonts w:ascii="標楷體" w:eastAsia="標楷體" w:hAnsi="標楷體"/>
          <w:sz w:val="32"/>
          <w:szCs w:val="32"/>
        </w:rPr>
        <w:t xml:space="preserve">　　</w:t>
      </w:r>
      <w:r w:rsidRPr="00F37A80">
        <w:rPr>
          <w:rFonts w:ascii="標楷體" w:eastAsia="標楷體" w:hAnsi="標楷體" w:hint="eastAsia"/>
          <w:sz w:val="32"/>
          <w:szCs w:val="32"/>
        </w:rPr>
        <w:t>曹志弘</w:t>
      </w:r>
    </w:p>
    <w:p w14:paraId="79A4DEC7" w14:textId="77777777" w:rsidR="009D64D0" w:rsidRPr="00F37A80" w:rsidRDefault="009D64D0" w:rsidP="00F470A8">
      <w:pPr>
        <w:tabs>
          <w:tab w:val="left" w:pos="5245"/>
          <w:tab w:val="left" w:pos="5670"/>
          <w:tab w:val="left" w:pos="7938"/>
          <w:tab w:val="left" w:pos="8931"/>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hint="eastAsia"/>
          <w:sz w:val="32"/>
          <w:szCs w:val="32"/>
        </w:rPr>
        <w:t>國勢普查處</w:t>
      </w:r>
      <w:r w:rsidRPr="00F37A80">
        <w:rPr>
          <w:rFonts w:ascii="標楷體" w:eastAsia="標楷體" w:hAnsi="標楷體"/>
          <w:sz w:val="32"/>
          <w:szCs w:val="32"/>
        </w:rPr>
        <w:t xml:space="preserve">　　　　　　　　</w:t>
      </w:r>
      <w:r w:rsidRPr="00F37A80">
        <w:rPr>
          <w:rFonts w:ascii="標楷體" w:eastAsia="標楷體" w:hAnsi="標楷體" w:hint="eastAsia"/>
          <w:sz w:val="32"/>
          <w:szCs w:val="32"/>
        </w:rPr>
        <w:t>研究委員</w:t>
      </w:r>
      <w:r w:rsidRPr="00F37A80">
        <w:rPr>
          <w:rFonts w:ascii="標楷體" w:eastAsia="標楷體" w:hAnsi="標楷體"/>
          <w:sz w:val="32"/>
          <w:szCs w:val="32"/>
        </w:rPr>
        <w:t xml:space="preserve">　　</w:t>
      </w:r>
      <w:r w:rsidRPr="00F37A80">
        <w:rPr>
          <w:rFonts w:ascii="標楷體" w:eastAsia="標楷體" w:hAnsi="標楷體" w:hint="eastAsia"/>
          <w:sz w:val="32"/>
          <w:szCs w:val="32"/>
        </w:rPr>
        <w:t>苗坤齡</w:t>
      </w:r>
    </w:p>
    <w:p w14:paraId="4503611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FF0000"/>
          <w:sz w:val="32"/>
          <w:szCs w:val="32"/>
        </w:rPr>
      </w:pPr>
      <w:r w:rsidRPr="00F37A80">
        <w:rPr>
          <w:rFonts w:ascii="標楷體" w:eastAsia="標楷體" w:hAnsi="標楷體"/>
          <w:color w:val="FF0000"/>
          <w:sz w:val="32"/>
          <w:szCs w:val="32"/>
        </w:rPr>
        <w:t xml:space="preserve">　　　　　</w:t>
      </w:r>
      <w:r w:rsidRPr="00F37A80">
        <w:rPr>
          <w:rFonts w:ascii="標楷體" w:eastAsia="標楷體" w:hAnsi="標楷體"/>
          <w:b/>
          <w:sz w:val="32"/>
          <w:szCs w:val="32"/>
        </w:rPr>
        <w:t>財政部</w:t>
      </w:r>
      <w:r w:rsidRPr="00F37A80">
        <w:rPr>
          <w:rFonts w:ascii="標楷體" w:eastAsia="標楷體" w:hAnsi="標楷體"/>
          <w:color w:val="000000" w:themeColor="text1"/>
          <w:sz w:val="32"/>
          <w:szCs w:val="32"/>
        </w:rPr>
        <w:t>國庫署</w:t>
      </w:r>
      <w:r w:rsidRPr="00F37A80">
        <w:rPr>
          <w:rFonts w:ascii="標楷體" w:eastAsia="標楷體" w:hAnsi="標楷體"/>
          <w:color w:val="FF0000"/>
          <w:sz w:val="32"/>
          <w:szCs w:val="32"/>
        </w:rPr>
        <w:t xml:space="preserve">　　　　　　　　</w:t>
      </w:r>
      <w:r w:rsidRPr="00F37A80">
        <w:rPr>
          <w:rFonts w:ascii="標楷體" w:eastAsia="標楷體" w:hAnsi="標楷體"/>
          <w:color w:val="000000" w:themeColor="text1"/>
          <w:sz w:val="32"/>
          <w:szCs w:val="32"/>
        </w:rPr>
        <w:t xml:space="preserve">署長　　</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陳柏誠</w:t>
      </w:r>
    </w:p>
    <w:p w14:paraId="2DB02A5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color w:val="FF0000"/>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w:t>
      </w:r>
      <w:r w:rsidRPr="00F37A80">
        <w:rPr>
          <w:rFonts w:ascii="標楷體" w:eastAsia="標楷體" w:hAnsi="標楷體" w:hint="eastAsia"/>
          <w:color w:val="000000" w:themeColor="text1"/>
          <w:sz w:val="32"/>
          <w:szCs w:val="32"/>
        </w:rPr>
        <w:t>部</w:t>
      </w:r>
      <w:r w:rsidRPr="00F37A80">
        <w:rPr>
          <w:rFonts w:ascii="標楷體" w:eastAsia="標楷體" w:hAnsi="標楷體"/>
          <w:color w:val="000000" w:themeColor="text1"/>
          <w:sz w:val="32"/>
          <w:szCs w:val="32"/>
        </w:rPr>
        <w:t>長</w:t>
      </w:r>
      <w:r w:rsidRPr="00F37A80">
        <w:rPr>
          <w:rFonts w:ascii="標楷體" w:eastAsia="標楷體" w:hAnsi="標楷體" w:hint="eastAsia"/>
          <w:color w:val="000000" w:themeColor="text1"/>
          <w:kern w:val="16"/>
          <w:sz w:val="32"/>
          <w:szCs w:val="32"/>
        </w:rPr>
        <w:t>莊翠雲請假)</w:t>
      </w:r>
    </w:p>
    <w:p w14:paraId="5A54F89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賦稅</w:t>
      </w:r>
      <w:r w:rsidRPr="00F37A80">
        <w:rPr>
          <w:rFonts w:ascii="標楷體" w:eastAsia="標楷體" w:hAnsi="標楷體"/>
          <w:color w:val="000000" w:themeColor="text1"/>
          <w:sz w:val="32"/>
          <w:szCs w:val="32"/>
        </w:rPr>
        <w:t xml:space="preserve">署　　　　　　　　　　署長　　　　</w:t>
      </w:r>
      <w:r w:rsidRPr="00F37A80">
        <w:rPr>
          <w:rFonts w:ascii="標楷體" w:eastAsia="標楷體" w:hAnsi="標楷體" w:hint="eastAsia"/>
          <w:color w:val="000000" w:themeColor="text1"/>
          <w:sz w:val="32"/>
          <w:szCs w:val="32"/>
        </w:rPr>
        <w:t>宋秀玲</w:t>
      </w:r>
    </w:p>
    <w:p w14:paraId="08D0858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關務署</w:t>
      </w:r>
      <w:r w:rsidRPr="00F37A80">
        <w:rPr>
          <w:rFonts w:ascii="標楷體" w:eastAsia="標楷體" w:hAnsi="標楷體"/>
          <w:color w:val="FF0000"/>
          <w:sz w:val="32"/>
          <w:szCs w:val="32"/>
        </w:rPr>
        <w:t xml:space="preserve">　　　　　　　　　　</w:t>
      </w:r>
      <w:r w:rsidRPr="00F37A80">
        <w:rPr>
          <w:rFonts w:ascii="標楷體" w:eastAsia="標楷體" w:hAnsi="標楷體"/>
          <w:sz w:val="32"/>
          <w:szCs w:val="32"/>
        </w:rPr>
        <w:t>署長</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彭英偉</w:t>
      </w:r>
    </w:p>
    <w:p w14:paraId="42A058E0" w14:textId="77777777" w:rsidR="009D64D0" w:rsidRPr="00F37A80" w:rsidRDefault="009D64D0" w:rsidP="00F470A8">
      <w:pPr>
        <w:tabs>
          <w:tab w:val="left" w:pos="1985"/>
          <w:tab w:val="left" w:pos="5245"/>
          <w:tab w:val="left" w:pos="5670"/>
          <w:tab w:val="left" w:pos="6663"/>
          <w:tab w:val="left" w:pos="7938"/>
          <w:tab w:val="left" w:pos="8505"/>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lastRenderedPageBreak/>
        <w:t xml:space="preserve">　　　　　　</w:t>
      </w:r>
      <w:r w:rsidRPr="00F37A80">
        <w:rPr>
          <w:rFonts w:ascii="標楷體" w:eastAsia="標楷體" w:hAnsi="標楷體"/>
          <w:sz w:val="32"/>
          <w:szCs w:val="32"/>
        </w:rPr>
        <w:t>財政資訊中心</w:t>
      </w:r>
      <w:r w:rsidRPr="00F37A80">
        <w:rPr>
          <w:rFonts w:ascii="標楷體" w:eastAsia="標楷體" w:hAnsi="標楷體"/>
          <w:color w:val="FF0000"/>
          <w:sz w:val="32"/>
          <w:szCs w:val="32"/>
        </w:rPr>
        <w:t xml:space="preserve">　　　　　　　</w:t>
      </w:r>
      <w:r w:rsidRPr="00F37A80">
        <w:rPr>
          <w:rFonts w:ascii="標楷體" w:eastAsia="標楷體" w:hAnsi="標楷體"/>
          <w:sz w:val="32"/>
          <w:szCs w:val="32"/>
        </w:rPr>
        <w:t>主任</w:t>
      </w:r>
      <w:r w:rsidRPr="00F37A80">
        <w:rPr>
          <w:rFonts w:ascii="標楷體" w:eastAsia="標楷體" w:hAnsi="標楷體"/>
          <w:color w:val="FF0000"/>
          <w:sz w:val="32"/>
          <w:szCs w:val="32"/>
        </w:rPr>
        <w:t xml:space="preserve">　　　　</w:t>
      </w:r>
      <w:r w:rsidRPr="00F37A80">
        <w:rPr>
          <w:rFonts w:ascii="標楷體" w:eastAsia="標楷體" w:hAnsi="標楷體"/>
          <w:sz w:val="32"/>
          <w:szCs w:val="32"/>
        </w:rPr>
        <w:t>張文熙</w:t>
      </w:r>
    </w:p>
    <w:p w14:paraId="1C7E5D5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會計處　　　　　　　　　　處長　　　　</w:t>
      </w:r>
      <w:r w:rsidRPr="00F37A80">
        <w:rPr>
          <w:rFonts w:ascii="標楷體" w:eastAsia="標楷體" w:hAnsi="標楷體" w:hint="eastAsia"/>
          <w:color w:val="000000" w:themeColor="text1"/>
          <w:sz w:val="32"/>
          <w:szCs w:val="32"/>
        </w:rPr>
        <w:t>李秋月</w:t>
      </w:r>
    </w:p>
    <w:p w14:paraId="36D0D0BE" w14:textId="77777777" w:rsidR="009D64D0" w:rsidRPr="00F37A80" w:rsidRDefault="009D64D0" w:rsidP="00F470A8">
      <w:pPr>
        <w:tabs>
          <w:tab w:val="left" w:pos="5245"/>
          <w:tab w:val="left" w:pos="5670"/>
          <w:tab w:val="left" w:pos="7938"/>
          <w:tab w:val="left" w:pos="8931"/>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b/>
          <w:sz w:val="32"/>
          <w:szCs w:val="32"/>
        </w:rPr>
        <w:t>國史館</w:t>
      </w:r>
      <w:r w:rsidRPr="00F37A80">
        <w:rPr>
          <w:rFonts w:ascii="標楷體" w:eastAsia="標楷體" w:hAnsi="標楷體"/>
          <w:b/>
          <w:color w:val="FF0000"/>
          <w:sz w:val="32"/>
          <w:szCs w:val="32"/>
        </w:rPr>
        <w:t xml:space="preserve">　</w:t>
      </w:r>
      <w:r w:rsidRPr="00F37A80">
        <w:rPr>
          <w:rFonts w:ascii="標楷體" w:eastAsia="標楷體" w:hAnsi="標楷體"/>
          <w:color w:val="FF0000"/>
          <w:sz w:val="32"/>
          <w:szCs w:val="32"/>
        </w:rPr>
        <w:t xml:space="preserve">　　　　　　　　　　</w:t>
      </w:r>
      <w:r w:rsidRPr="00F37A80">
        <w:rPr>
          <w:rFonts w:ascii="標楷體" w:eastAsia="標楷體" w:hAnsi="標楷體"/>
          <w:sz w:val="32"/>
          <w:szCs w:val="32"/>
        </w:rPr>
        <w:t>館長</w:t>
      </w:r>
      <w:r w:rsidRPr="00F37A80">
        <w:rPr>
          <w:rFonts w:ascii="標楷體" w:eastAsia="標楷體" w:hAnsi="標楷體"/>
          <w:color w:val="FF0000"/>
          <w:sz w:val="32"/>
          <w:szCs w:val="32"/>
        </w:rPr>
        <w:t xml:space="preserve">　　　　</w:t>
      </w:r>
      <w:r w:rsidRPr="00F37A80">
        <w:rPr>
          <w:rFonts w:ascii="標楷體" w:eastAsia="標楷體" w:hAnsi="標楷體"/>
          <w:sz w:val="32"/>
          <w:szCs w:val="32"/>
        </w:rPr>
        <w:t>陳儀深</w:t>
      </w:r>
    </w:p>
    <w:p w14:paraId="03E4CA9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FF0000"/>
          <w:sz w:val="32"/>
          <w:szCs w:val="32"/>
        </w:rPr>
      </w:pPr>
      <w:r w:rsidRPr="00F37A80">
        <w:rPr>
          <w:rFonts w:ascii="標楷體" w:eastAsia="標楷體" w:hAnsi="標楷體"/>
          <w:color w:val="FF0000"/>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主任秘書</w:t>
      </w:r>
      <w:r w:rsidRPr="00F37A80">
        <w:rPr>
          <w:rFonts w:ascii="標楷體" w:eastAsia="標楷體" w:hAnsi="標楷體"/>
          <w:sz w:val="32"/>
          <w:szCs w:val="32"/>
        </w:rPr>
        <w:t xml:space="preserve">　　</w:t>
      </w:r>
      <w:r w:rsidRPr="00F37A80">
        <w:rPr>
          <w:rFonts w:ascii="標楷體" w:eastAsia="標楷體" w:hAnsi="標楷體" w:hint="eastAsia"/>
          <w:sz w:val="32"/>
          <w:szCs w:val="32"/>
        </w:rPr>
        <w:t>黃秀妃</w:t>
      </w:r>
    </w:p>
    <w:p w14:paraId="7B3CB3D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審編處</w:t>
      </w:r>
      <w:r w:rsidRPr="00F37A80">
        <w:rPr>
          <w:rFonts w:ascii="標楷體" w:eastAsia="標楷體" w:hAnsi="標楷體"/>
          <w:color w:val="FF0000"/>
          <w:sz w:val="32"/>
          <w:szCs w:val="32"/>
        </w:rPr>
        <w:t xml:space="preserve">　　　　　　　　　　</w:t>
      </w:r>
      <w:r w:rsidRPr="00F37A80">
        <w:rPr>
          <w:rFonts w:ascii="標楷體" w:eastAsia="標楷體" w:hAnsi="標楷體"/>
          <w:sz w:val="32"/>
          <w:szCs w:val="32"/>
        </w:rPr>
        <w:t>處長</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邱玉鳳</w:t>
      </w:r>
    </w:p>
    <w:p w14:paraId="62CCD0D1"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采集處</w:t>
      </w:r>
      <w:r w:rsidRPr="00F37A80">
        <w:rPr>
          <w:rFonts w:ascii="標楷體" w:eastAsia="標楷體" w:hAnsi="標楷體"/>
          <w:color w:val="FF0000"/>
          <w:sz w:val="32"/>
          <w:szCs w:val="32"/>
        </w:rPr>
        <w:t xml:space="preserve">　　　　　　　　　　</w:t>
      </w:r>
      <w:r w:rsidRPr="00F37A80">
        <w:rPr>
          <w:rFonts w:ascii="標楷體" w:eastAsia="標楷體" w:hAnsi="標楷體"/>
          <w:sz w:val="32"/>
          <w:szCs w:val="32"/>
        </w:rPr>
        <w:t>處長</w:t>
      </w:r>
      <w:r w:rsidRPr="00F37A80">
        <w:rPr>
          <w:rFonts w:ascii="標楷體" w:eastAsia="標楷體" w:hAnsi="標楷體"/>
          <w:color w:val="FF0000"/>
          <w:sz w:val="32"/>
          <w:szCs w:val="32"/>
        </w:rPr>
        <w:t xml:space="preserve">　　　　</w:t>
      </w:r>
      <w:r w:rsidRPr="00F37A80">
        <w:rPr>
          <w:rFonts w:ascii="標楷體" w:eastAsia="標楷體" w:hAnsi="標楷體"/>
          <w:sz w:val="32"/>
          <w:szCs w:val="32"/>
        </w:rPr>
        <w:t>陸瑞玉</w:t>
      </w:r>
    </w:p>
    <w:p w14:paraId="6673D04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主計室</w:t>
      </w:r>
      <w:r w:rsidRPr="00F37A80">
        <w:rPr>
          <w:rFonts w:ascii="標楷體" w:eastAsia="標楷體" w:hAnsi="標楷體"/>
          <w:color w:val="FF0000"/>
          <w:sz w:val="32"/>
          <w:szCs w:val="32"/>
        </w:rPr>
        <w:t xml:space="preserve">　　　　　　　　　　</w:t>
      </w:r>
      <w:r w:rsidRPr="00F37A80">
        <w:rPr>
          <w:rFonts w:ascii="標楷體" w:eastAsia="標楷體" w:hAnsi="標楷體"/>
          <w:sz w:val="32"/>
          <w:szCs w:val="32"/>
        </w:rPr>
        <w:t>主任</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賴文宗</w:t>
      </w:r>
    </w:p>
    <w:p w14:paraId="040ABC7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hint="eastAsia"/>
          <w:sz w:val="32"/>
          <w:szCs w:val="32"/>
        </w:rPr>
        <w:t>政風</w:t>
      </w:r>
      <w:r w:rsidRPr="00F37A80">
        <w:rPr>
          <w:rFonts w:ascii="標楷體" w:eastAsia="標楷體" w:hAnsi="標楷體"/>
          <w:sz w:val="32"/>
          <w:szCs w:val="32"/>
        </w:rPr>
        <w:t xml:space="preserve">室　　　　　　　　　　主任　　　　</w:t>
      </w:r>
      <w:r w:rsidRPr="00F37A80">
        <w:rPr>
          <w:rFonts w:ascii="標楷體" w:eastAsia="標楷體" w:hAnsi="標楷體" w:hint="eastAsia"/>
          <w:sz w:val="32"/>
          <w:szCs w:val="32"/>
        </w:rPr>
        <w:t>史正知</w:t>
      </w:r>
    </w:p>
    <w:p w14:paraId="2AEC03C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FF0000"/>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中央研究院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院長</w:t>
      </w:r>
      <w:r w:rsidRPr="00F37A80">
        <w:rPr>
          <w:rFonts w:ascii="標楷體" w:eastAsia="標楷體" w:hAnsi="標楷體"/>
          <w:color w:val="FF0000"/>
          <w:sz w:val="32"/>
          <w:szCs w:val="32"/>
        </w:rPr>
        <w:t xml:space="preserve">　　　　</w:t>
      </w:r>
      <w:r w:rsidRPr="00F37A80">
        <w:rPr>
          <w:rFonts w:ascii="標楷體" w:eastAsia="標楷體" w:hAnsi="標楷體" w:hint="eastAsia"/>
          <w:color w:val="000000" w:themeColor="text1"/>
          <w:sz w:val="32"/>
          <w:szCs w:val="32"/>
        </w:rPr>
        <w:t>廖俊智</w:t>
      </w:r>
    </w:p>
    <w:p w14:paraId="3B5ADDF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國立故宮博物院</w:t>
      </w:r>
      <w:r w:rsidRPr="00F37A80">
        <w:rPr>
          <w:rFonts w:ascii="標楷體" w:eastAsia="標楷體" w:hAnsi="標楷體"/>
          <w:color w:val="000000" w:themeColor="text1"/>
          <w:sz w:val="32"/>
          <w:szCs w:val="32"/>
        </w:rPr>
        <w:t xml:space="preserve">　　　　　　　院長　　　　</w:t>
      </w:r>
      <w:r w:rsidRPr="00F37A80">
        <w:rPr>
          <w:rFonts w:ascii="標楷體" w:eastAsia="標楷體" w:hAnsi="標楷體" w:hint="eastAsia"/>
          <w:color w:val="000000" w:themeColor="text1"/>
          <w:sz w:val="32"/>
          <w:szCs w:val="32"/>
        </w:rPr>
        <w:t>蕭宗煌</w:t>
      </w:r>
    </w:p>
    <w:p w14:paraId="2802F8D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數位資訊室</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研究員</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吳紹群</w:t>
      </w:r>
    </w:p>
    <w:p w14:paraId="151055D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主計室</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主任</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林美瑤</w:t>
      </w:r>
    </w:p>
    <w:p w14:paraId="2EB948B5" w14:textId="77777777" w:rsidR="009D64D0" w:rsidRPr="00F37A80" w:rsidRDefault="009D64D0" w:rsidP="00F470A8">
      <w:pPr>
        <w:tabs>
          <w:tab w:val="left" w:pos="5245"/>
          <w:tab w:val="left" w:pos="5670"/>
          <w:tab w:val="left" w:pos="7938"/>
          <w:tab w:val="left" w:pos="8080"/>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國家發展委員會</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副</w:t>
      </w:r>
      <w:r w:rsidRPr="00F37A80">
        <w:rPr>
          <w:rFonts w:ascii="標楷體" w:eastAsia="標楷體" w:hAnsi="標楷體"/>
          <w:color w:val="000000" w:themeColor="text1"/>
          <w:sz w:val="32"/>
          <w:szCs w:val="32"/>
        </w:rPr>
        <w:t xml:space="preserve">主任委員　</w:t>
      </w:r>
      <w:r w:rsidRPr="00F37A80">
        <w:rPr>
          <w:rFonts w:ascii="標楷體" w:eastAsia="標楷體" w:hAnsi="標楷體" w:hint="eastAsia"/>
          <w:color w:val="000000" w:themeColor="text1"/>
          <w:sz w:val="32"/>
          <w:szCs w:val="32"/>
        </w:rPr>
        <w:t>詹方冠</w:t>
      </w:r>
    </w:p>
    <w:p w14:paraId="1527256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 xml:space="preserve">　　　　　　　　　　　　　　　　</w:t>
      </w:r>
      <w:r w:rsidRPr="00F37A80">
        <w:rPr>
          <w:rFonts w:ascii="標楷體" w:eastAsia="標楷體" w:hAnsi="標楷體" w:hint="eastAsia"/>
          <w:color w:val="000000" w:themeColor="text1"/>
          <w:sz w:val="32"/>
          <w:szCs w:val="32"/>
        </w:rPr>
        <w:t>(主任委員劉鏡清請假)</w:t>
      </w:r>
    </w:p>
    <w:p w14:paraId="19D32F4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s="新細明體"/>
          <w:bCs/>
          <w:kern w:val="0"/>
          <w:sz w:val="32"/>
          <w:szCs w:val="32"/>
        </w:rPr>
      </w:pPr>
      <w:r w:rsidRPr="00F37A80">
        <w:rPr>
          <w:rFonts w:ascii="標楷體" w:eastAsia="標楷體" w:hAnsi="標楷體"/>
          <w:color w:val="000000" w:themeColor="text1"/>
          <w:sz w:val="32"/>
          <w:szCs w:val="32"/>
        </w:rPr>
        <w:t xml:space="preserve">　　　　　　管制考核處　　　　　　　　</w:t>
      </w:r>
      <w:r w:rsidRPr="00F37A80">
        <w:rPr>
          <w:rFonts w:ascii="標楷體" w:eastAsia="標楷體" w:hAnsi="標楷體" w:hint="eastAsia"/>
          <w:color w:val="000000" w:themeColor="text1"/>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李</w:t>
      </w:r>
      <w:r w:rsidRPr="00F37A80">
        <w:rPr>
          <w:rFonts w:ascii="標楷體" w:eastAsia="標楷體" w:hAnsi="標楷體" w:hint="eastAsia"/>
          <w:sz w:val="32"/>
          <w:szCs w:val="32"/>
        </w:rPr>
        <w:t xml:space="preserve">　</w:t>
      </w:r>
      <w:r w:rsidRPr="00F37A80">
        <w:rPr>
          <w:rFonts w:ascii="標楷體" w:eastAsia="標楷體" w:hAnsi="標楷體"/>
          <w:color w:val="000000" w:themeColor="text1"/>
          <w:sz w:val="32"/>
          <w:szCs w:val="32"/>
        </w:rPr>
        <w:t>奇</w:t>
      </w:r>
    </w:p>
    <w:p w14:paraId="55CA3DA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國土區域離島發展處　　　　</w:t>
      </w:r>
      <w:r w:rsidRPr="00F37A80">
        <w:rPr>
          <w:rFonts w:ascii="標楷體" w:eastAsia="標楷體" w:hAnsi="標楷體" w:hint="eastAsia"/>
          <w:color w:val="000000" w:themeColor="text1"/>
          <w:sz w:val="32"/>
          <w:szCs w:val="32"/>
        </w:rPr>
        <w:t>副</w:t>
      </w:r>
      <w:r w:rsidRPr="00F37A80">
        <w:rPr>
          <w:rFonts w:ascii="標楷體" w:eastAsia="標楷體" w:hAnsi="標楷體"/>
          <w:color w:val="000000" w:themeColor="text1"/>
          <w:sz w:val="32"/>
          <w:szCs w:val="32"/>
        </w:rPr>
        <w:t xml:space="preserve">處長　　　</w:t>
      </w:r>
      <w:r w:rsidRPr="00F37A80">
        <w:rPr>
          <w:rFonts w:ascii="標楷體" w:eastAsia="標楷體" w:hAnsi="標楷體" w:hint="eastAsia"/>
          <w:color w:val="000000" w:themeColor="text1"/>
          <w:sz w:val="32"/>
          <w:szCs w:val="32"/>
        </w:rPr>
        <w:t>林鐘榮</w:t>
      </w:r>
    </w:p>
    <w:p w14:paraId="4AAB9DE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綜合規劃處　　　　　　　　</w:t>
      </w:r>
      <w:r w:rsidRPr="00F37A80">
        <w:rPr>
          <w:rFonts w:ascii="標楷體" w:eastAsia="標楷體" w:hAnsi="標楷體" w:hint="eastAsia"/>
          <w:color w:val="000000" w:themeColor="text1"/>
          <w:sz w:val="32"/>
          <w:szCs w:val="32"/>
        </w:rPr>
        <w:t>科長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張光華</w:t>
      </w:r>
    </w:p>
    <w:p w14:paraId="34D5CB9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法制協調處</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專門委員</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陳信儒</w:t>
      </w:r>
    </w:p>
    <w:p w14:paraId="08F102F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主計室　　　　　　　　　　</w:t>
      </w:r>
      <w:r w:rsidRPr="00F37A80">
        <w:rPr>
          <w:rFonts w:ascii="標楷體" w:eastAsia="標楷體" w:hAnsi="標楷體" w:hint="eastAsia"/>
          <w:color w:val="000000" w:themeColor="text1"/>
          <w:sz w:val="32"/>
          <w:szCs w:val="32"/>
        </w:rPr>
        <w:t>專門委員</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邱瓊賢</w:t>
      </w:r>
    </w:p>
    <w:p w14:paraId="210B17F8"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pacing w:val="-28"/>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原住民族委員會</w:t>
      </w:r>
      <w:r w:rsidRPr="00F37A80">
        <w:rPr>
          <w:rFonts w:ascii="標楷體" w:eastAsia="標楷體" w:hAnsi="標楷體"/>
          <w:color w:val="000000" w:themeColor="text1"/>
          <w:sz w:val="32"/>
          <w:szCs w:val="32"/>
        </w:rPr>
        <w:t xml:space="preserve">　　　　　　　主任委員　</w:t>
      </w:r>
      <w:r w:rsidRPr="00F37A80">
        <w:rPr>
          <w:rFonts w:ascii="標楷體" w:eastAsia="標楷體" w:hAnsi="標楷體" w:hint="eastAsia"/>
          <w:sz w:val="32"/>
          <w:szCs w:val="32"/>
        </w:rPr>
        <w:t xml:space="preserve">　曾智勇</w:t>
      </w:r>
    </w:p>
    <w:p w14:paraId="41A349F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社會福利</w:t>
      </w:r>
      <w:r w:rsidRPr="00F37A80">
        <w:rPr>
          <w:rFonts w:ascii="標楷體" w:eastAsia="標楷體" w:hAnsi="標楷體"/>
          <w:color w:val="000000" w:themeColor="text1"/>
          <w:sz w:val="32"/>
          <w:szCs w:val="32"/>
        </w:rPr>
        <w:t xml:space="preserve">處　　　　　　　　處長　　　　</w:t>
      </w:r>
      <w:r w:rsidRPr="00F37A80">
        <w:rPr>
          <w:rFonts w:ascii="標楷體" w:eastAsia="標楷體" w:hAnsi="標楷體" w:hint="eastAsia"/>
          <w:color w:val="000000" w:themeColor="text1"/>
          <w:sz w:val="32"/>
          <w:szCs w:val="32"/>
        </w:rPr>
        <w:t>羅赫踛</w:t>
      </w:r>
    </w:p>
    <w:p w14:paraId="3058ECB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 xml:space="preserve">　　　經濟發展</w:t>
      </w:r>
      <w:r w:rsidRPr="00F37A80">
        <w:rPr>
          <w:rFonts w:ascii="標楷體" w:eastAsia="標楷體" w:hAnsi="標楷體" w:hint="eastAsia"/>
          <w:color w:val="000000" w:themeColor="text1"/>
          <w:sz w:val="32"/>
          <w:szCs w:val="32"/>
        </w:rPr>
        <w:t>處</w:t>
      </w:r>
      <w:r w:rsidRPr="00F37A80">
        <w:rPr>
          <w:rFonts w:ascii="標楷體" w:eastAsia="標楷體" w:hAnsi="標楷體"/>
          <w:color w:val="000000" w:themeColor="text1"/>
          <w:sz w:val="32"/>
          <w:szCs w:val="32"/>
        </w:rPr>
        <w:t xml:space="preserve">　　　　　　　　處長　　　　</w:t>
      </w:r>
      <w:r w:rsidRPr="00F37A80">
        <w:rPr>
          <w:rFonts w:ascii="標楷體" w:eastAsia="標楷體" w:hAnsi="標楷體" w:hint="eastAsia"/>
          <w:color w:val="000000" w:themeColor="text1"/>
          <w:sz w:val="32"/>
          <w:szCs w:val="32"/>
        </w:rPr>
        <w:t>王瑞盈</w:t>
      </w:r>
    </w:p>
    <w:p w14:paraId="5E7DB82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 xml:space="preserve">　　　公共建設</w:t>
      </w:r>
      <w:r w:rsidRPr="00F37A80">
        <w:rPr>
          <w:rFonts w:ascii="標楷體" w:eastAsia="標楷體" w:hAnsi="標楷體" w:hint="eastAsia"/>
          <w:color w:val="000000" w:themeColor="text1"/>
          <w:sz w:val="32"/>
          <w:szCs w:val="32"/>
        </w:rPr>
        <w:t>處</w:t>
      </w:r>
      <w:r w:rsidRPr="00F37A80">
        <w:rPr>
          <w:rFonts w:ascii="標楷體" w:eastAsia="標楷體" w:hAnsi="標楷體"/>
          <w:color w:val="000000" w:themeColor="text1"/>
          <w:sz w:val="32"/>
          <w:szCs w:val="32"/>
        </w:rPr>
        <w:t xml:space="preserve">　　　　　　　　處長　　　　</w:t>
      </w:r>
      <w:r w:rsidRPr="00F37A80">
        <w:rPr>
          <w:rFonts w:ascii="標楷體" w:eastAsia="標楷體" w:hAnsi="標楷體" w:hint="eastAsia"/>
          <w:color w:val="000000" w:themeColor="text1"/>
          <w:sz w:val="32"/>
          <w:szCs w:val="32"/>
        </w:rPr>
        <w:t>劉維哲</w:t>
      </w:r>
    </w:p>
    <w:p w14:paraId="180E157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主計室　　　　　　　　　　</w:t>
      </w:r>
      <w:r w:rsidRPr="00F37A80">
        <w:rPr>
          <w:rFonts w:ascii="標楷體" w:eastAsia="標楷體" w:hAnsi="標楷體" w:hint="eastAsia"/>
          <w:color w:val="000000" w:themeColor="text1"/>
          <w:sz w:val="32"/>
          <w:szCs w:val="32"/>
        </w:rPr>
        <w:t>主任</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柯淑玲</w:t>
      </w:r>
    </w:p>
    <w:p w14:paraId="6F5B697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pacing w:val="-28"/>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b/>
          <w:color w:val="000000" w:themeColor="text1"/>
          <w:sz w:val="32"/>
          <w:szCs w:val="32"/>
        </w:rPr>
        <w:t>客家</w:t>
      </w:r>
      <w:r w:rsidRPr="00F37A80">
        <w:rPr>
          <w:rFonts w:ascii="標楷體" w:eastAsia="標楷體" w:hAnsi="標楷體"/>
          <w:b/>
          <w:color w:val="000000" w:themeColor="text1"/>
          <w:sz w:val="32"/>
          <w:szCs w:val="32"/>
        </w:rPr>
        <w:t>委員會</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 xml:space="preserve">主任委員　</w:t>
      </w:r>
      <w:r w:rsidRPr="00F37A80">
        <w:rPr>
          <w:rFonts w:ascii="標楷體" w:eastAsia="標楷體" w:hAnsi="標楷體" w:hint="eastAsia"/>
          <w:sz w:val="32"/>
          <w:szCs w:val="32"/>
        </w:rPr>
        <w:t xml:space="preserve">　古秀妃</w:t>
      </w:r>
    </w:p>
    <w:p w14:paraId="20EB2E7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 xml:space="preserve">　　　產業經濟</w:t>
      </w:r>
      <w:r w:rsidRPr="00F37A80">
        <w:rPr>
          <w:rFonts w:ascii="標楷體" w:eastAsia="標楷體" w:hAnsi="標楷體" w:hint="eastAsia"/>
          <w:color w:val="000000" w:themeColor="text1"/>
          <w:sz w:val="32"/>
          <w:szCs w:val="32"/>
        </w:rPr>
        <w:t>處</w:t>
      </w:r>
      <w:r w:rsidRPr="00F37A80">
        <w:rPr>
          <w:rFonts w:ascii="標楷體" w:eastAsia="標楷體" w:hAnsi="標楷體"/>
          <w:color w:val="000000" w:themeColor="text1"/>
          <w:sz w:val="32"/>
          <w:szCs w:val="32"/>
        </w:rPr>
        <w:t xml:space="preserve">　　　　　　　　處長　　　　</w:t>
      </w:r>
      <w:r w:rsidRPr="00F37A80">
        <w:rPr>
          <w:rFonts w:ascii="標楷體" w:eastAsia="標楷體" w:hAnsi="標楷體" w:hint="eastAsia"/>
          <w:color w:val="000000" w:themeColor="text1"/>
          <w:sz w:val="32"/>
          <w:szCs w:val="32"/>
        </w:rPr>
        <w:t>江志成</w:t>
      </w:r>
    </w:p>
    <w:p w14:paraId="7962527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藝文傳播</w:t>
      </w:r>
      <w:r w:rsidRPr="00F37A80">
        <w:rPr>
          <w:rFonts w:ascii="標楷體" w:eastAsia="標楷體" w:hAnsi="標楷體"/>
          <w:color w:val="000000" w:themeColor="text1"/>
          <w:sz w:val="32"/>
          <w:szCs w:val="32"/>
        </w:rPr>
        <w:t xml:space="preserve">處　　　　　　　　</w:t>
      </w:r>
      <w:r w:rsidRPr="00F37A80">
        <w:rPr>
          <w:rFonts w:ascii="標楷體" w:eastAsia="標楷體" w:hAnsi="標楷體" w:hint="eastAsia"/>
          <w:color w:val="000000" w:themeColor="text1"/>
          <w:sz w:val="32"/>
          <w:szCs w:val="32"/>
        </w:rPr>
        <w:t>簡任視察</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劉慧萍</w:t>
      </w:r>
    </w:p>
    <w:p w14:paraId="4C03554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主計室　　　　　　　　　　</w:t>
      </w:r>
      <w:r w:rsidRPr="00F37A80">
        <w:rPr>
          <w:rFonts w:ascii="標楷體" w:eastAsia="標楷體" w:hAnsi="標楷體" w:hint="eastAsia"/>
          <w:color w:val="000000" w:themeColor="text1"/>
          <w:sz w:val="32"/>
          <w:szCs w:val="32"/>
        </w:rPr>
        <w:t>主任</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林秀春</w:t>
      </w:r>
    </w:p>
    <w:p w14:paraId="36EB9D4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行政</w:t>
      </w:r>
      <w:r w:rsidRPr="00F37A80">
        <w:rPr>
          <w:rFonts w:ascii="標楷體" w:eastAsia="標楷體" w:hAnsi="標楷體" w:hint="eastAsia"/>
          <w:b/>
          <w:color w:val="000000" w:themeColor="text1"/>
          <w:sz w:val="32"/>
          <w:szCs w:val="32"/>
        </w:rPr>
        <w:t>法人國家原子能科技研究</w:t>
      </w:r>
      <w:r w:rsidRPr="00F37A80">
        <w:rPr>
          <w:rFonts w:ascii="標楷體" w:eastAsia="標楷體" w:hAnsi="標楷體"/>
          <w:b/>
          <w:color w:val="000000" w:themeColor="text1"/>
          <w:sz w:val="32"/>
          <w:szCs w:val="32"/>
        </w:rPr>
        <w:t>院</w:t>
      </w:r>
      <w:r w:rsidRPr="00F37A80">
        <w:rPr>
          <w:rFonts w:ascii="標楷體" w:eastAsia="標楷體" w:hAnsi="標楷體" w:hint="eastAsia"/>
          <w:color w:val="000000" w:themeColor="text1"/>
          <w:sz w:val="32"/>
          <w:szCs w:val="32"/>
        </w:rPr>
        <w:t>副院長　　　張永瑞</w:t>
      </w:r>
    </w:p>
    <w:p w14:paraId="07FD526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 xml:space="preserve">　　　(核能安全委員會代理主任委員張欣請假)</w:t>
      </w:r>
    </w:p>
    <w:p w14:paraId="1C4F40A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lastRenderedPageBreak/>
        <w:t xml:space="preserve">　　　　　　</w:t>
      </w:r>
      <w:r w:rsidRPr="00F37A80">
        <w:rPr>
          <w:rFonts w:ascii="標楷體" w:eastAsia="標楷體" w:hAnsi="標楷體" w:hint="eastAsia"/>
          <w:color w:val="000000" w:themeColor="text1"/>
          <w:sz w:val="32"/>
          <w:szCs w:val="32"/>
        </w:rPr>
        <w:t>電機及資控研究所</w:t>
      </w:r>
      <w:r w:rsidRPr="00F37A80">
        <w:rPr>
          <w:rFonts w:ascii="標楷體" w:eastAsia="標楷體" w:hAnsi="標楷體"/>
          <w:color w:val="000000" w:themeColor="text1"/>
          <w:sz w:val="32"/>
          <w:szCs w:val="32"/>
        </w:rPr>
        <w:t xml:space="preserve">　　　　　所長　　　　李奕德</w:t>
      </w:r>
    </w:p>
    <w:p w14:paraId="27708E4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原子能系統工程研究所</w:t>
      </w:r>
      <w:r w:rsidRPr="00F37A80">
        <w:rPr>
          <w:rFonts w:ascii="標楷體" w:eastAsia="標楷體" w:hAnsi="標楷體"/>
          <w:color w:val="000000" w:themeColor="text1"/>
          <w:sz w:val="32"/>
          <w:szCs w:val="32"/>
        </w:rPr>
        <w:t xml:space="preserve">　　　所長　　　　詹益光</w:t>
      </w:r>
    </w:p>
    <w:p w14:paraId="240F0F7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財務及會計處</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 xml:space="preserve">　　科長　　　　楊佩茹</w:t>
      </w:r>
    </w:p>
    <w:p w14:paraId="70D006C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行政院公共工程委員會</w:t>
      </w:r>
      <w:r w:rsidRPr="00F37A80">
        <w:rPr>
          <w:rFonts w:ascii="標楷體" w:eastAsia="標楷體" w:hAnsi="標楷體"/>
          <w:color w:val="000000" w:themeColor="text1"/>
          <w:sz w:val="32"/>
          <w:szCs w:val="32"/>
        </w:rPr>
        <w:t xml:space="preserve">　　　　主任委員　　</w:t>
      </w:r>
      <w:r w:rsidRPr="00F37A80">
        <w:rPr>
          <w:rFonts w:ascii="標楷體" w:eastAsia="標楷體" w:hAnsi="標楷體" w:hint="eastAsia"/>
          <w:color w:val="000000" w:themeColor="text1"/>
          <w:sz w:val="32"/>
          <w:szCs w:val="32"/>
        </w:rPr>
        <w:t>陳金德</w:t>
      </w:r>
    </w:p>
    <w:p w14:paraId="77A0673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企劃處</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處長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胡培中</w:t>
      </w:r>
    </w:p>
    <w:p w14:paraId="5FA3A27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技術處</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處長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曾鈞敏</w:t>
      </w:r>
    </w:p>
    <w:p w14:paraId="239D473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工程管理處</w:t>
      </w:r>
      <w:r w:rsidRPr="00F37A80">
        <w:rPr>
          <w:rFonts w:ascii="標楷體" w:eastAsia="標楷體" w:hAnsi="標楷體"/>
          <w:color w:val="FF0000"/>
          <w:sz w:val="32"/>
          <w:szCs w:val="32"/>
        </w:rPr>
        <w:t xml:space="preserve">　　　　　　　　</w:t>
      </w:r>
      <w:r w:rsidRPr="00F37A80">
        <w:rPr>
          <w:rFonts w:ascii="標楷體" w:eastAsia="標楷體" w:hAnsi="標楷體"/>
          <w:sz w:val="32"/>
          <w:szCs w:val="32"/>
        </w:rPr>
        <w:t>處長</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陳春錦</w:t>
      </w:r>
    </w:p>
    <w:p w14:paraId="63C2C0FB" w14:textId="77777777" w:rsidR="009D64D0" w:rsidRPr="00F37A80" w:rsidRDefault="009D64D0" w:rsidP="00F470A8">
      <w:pPr>
        <w:tabs>
          <w:tab w:val="left" w:pos="1985"/>
          <w:tab w:val="left" w:pos="5245"/>
          <w:tab w:val="left" w:pos="5670"/>
          <w:tab w:val="left" w:pos="7938"/>
          <w:tab w:val="left" w:pos="8364"/>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資訊推動小組　　　　　　　執行秘書　　</w:t>
      </w:r>
      <w:r w:rsidRPr="00F37A80">
        <w:rPr>
          <w:rFonts w:ascii="標楷體" w:eastAsia="標楷體" w:hAnsi="標楷體" w:hint="eastAsia"/>
          <w:sz w:val="32"/>
          <w:szCs w:val="32"/>
        </w:rPr>
        <w:t>沈恆光</w:t>
      </w:r>
    </w:p>
    <w:p w14:paraId="41724483" w14:textId="77777777" w:rsidR="009D64D0" w:rsidRPr="00F37A80" w:rsidRDefault="009D64D0" w:rsidP="00F470A8">
      <w:pPr>
        <w:tabs>
          <w:tab w:val="left" w:pos="5245"/>
          <w:tab w:val="left" w:pos="5670"/>
          <w:tab w:val="left" w:pos="7938"/>
          <w:tab w:val="left" w:pos="8080"/>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主計室</w:t>
      </w:r>
      <w:r w:rsidRPr="00F37A80">
        <w:rPr>
          <w:rFonts w:ascii="標楷體" w:eastAsia="標楷體" w:hAnsi="標楷體"/>
          <w:color w:val="FF0000"/>
          <w:sz w:val="32"/>
          <w:szCs w:val="32"/>
        </w:rPr>
        <w:t xml:space="preserve">　　　　　　　　　　</w:t>
      </w:r>
      <w:r w:rsidRPr="00F37A80">
        <w:rPr>
          <w:rFonts w:ascii="標楷體" w:eastAsia="標楷體" w:hAnsi="標楷體"/>
          <w:sz w:val="32"/>
          <w:szCs w:val="32"/>
        </w:rPr>
        <w:t>主任</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 xml:space="preserve">孫　</w:t>
      </w:r>
      <w:r w:rsidRPr="00F37A80">
        <w:rPr>
          <w:rFonts w:ascii="標楷體" w:eastAsia="標楷體" w:hAnsi="標楷體"/>
          <w:sz w:val="32"/>
          <w:szCs w:val="32"/>
        </w:rPr>
        <w:t>慧</w:t>
      </w:r>
    </w:p>
    <w:p w14:paraId="57BB1B9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b/>
          <w:sz w:val="32"/>
          <w:szCs w:val="32"/>
        </w:rPr>
        <w:t>內政部</w:t>
      </w:r>
      <w:r w:rsidRPr="00F37A80">
        <w:rPr>
          <w:rFonts w:ascii="標楷體" w:eastAsia="標楷體" w:hAnsi="標楷體"/>
          <w:color w:val="FF0000"/>
          <w:sz w:val="32"/>
          <w:szCs w:val="32"/>
        </w:rPr>
        <w:t xml:space="preserve">　　　　　　　　　　　</w:t>
      </w:r>
      <w:r w:rsidRPr="00F37A80">
        <w:rPr>
          <w:rFonts w:ascii="標楷體" w:eastAsia="標楷體" w:hAnsi="標楷體"/>
          <w:sz w:val="32"/>
          <w:szCs w:val="32"/>
        </w:rPr>
        <w:t>政務次長</w:t>
      </w: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董建宏</w:t>
      </w:r>
    </w:p>
    <w:p w14:paraId="401DA2E8"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sz w:val="32"/>
          <w:szCs w:val="32"/>
        </w:rPr>
        <w:t xml:space="preserve">　　　　　　　　　　　　　　　　　</w:t>
      </w:r>
      <w:r w:rsidRPr="00F37A80">
        <w:rPr>
          <w:rFonts w:ascii="標楷體" w:eastAsia="標楷體" w:hAnsi="標楷體"/>
          <w:color w:val="FF0000"/>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w:t>
      </w:r>
      <w:r w:rsidRPr="00F37A80">
        <w:rPr>
          <w:rFonts w:ascii="標楷體" w:eastAsia="標楷體" w:hAnsi="標楷體"/>
          <w:color w:val="000000" w:themeColor="text1"/>
          <w:sz w:val="32"/>
          <w:szCs w:val="32"/>
        </w:rPr>
        <w:t>部長</w:t>
      </w:r>
      <w:r w:rsidRPr="00F37A80">
        <w:rPr>
          <w:rFonts w:ascii="標楷體" w:eastAsia="標楷體" w:hAnsi="標楷體" w:hint="eastAsia"/>
          <w:color w:val="000000" w:themeColor="text1"/>
          <w:sz w:val="32"/>
          <w:szCs w:val="32"/>
        </w:rPr>
        <w:t>劉世芳請假）</w:t>
      </w:r>
    </w:p>
    <w:p w14:paraId="4BFF633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FF0000"/>
          <w:sz w:val="32"/>
          <w:szCs w:val="32"/>
        </w:rPr>
        <w:t xml:space="preserve">　　　　　　</w:t>
      </w:r>
      <w:r w:rsidRPr="00F37A80">
        <w:rPr>
          <w:rFonts w:ascii="標楷體" w:eastAsia="標楷體" w:hAnsi="標楷體" w:hint="eastAsia"/>
          <w:sz w:val="32"/>
          <w:szCs w:val="32"/>
        </w:rPr>
        <w:t>民政司</w:t>
      </w:r>
      <w:r w:rsidRPr="00F37A80">
        <w:rPr>
          <w:rFonts w:ascii="標楷體" w:eastAsia="標楷體" w:hAnsi="標楷體"/>
          <w:sz w:val="32"/>
          <w:szCs w:val="32"/>
        </w:rPr>
        <w:t xml:space="preserve">　　　　　　　　　　</w:t>
      </w:r>
      <w:r w:rsidRPr="00F37A80">
        <w:rPr>
          <w:rFonts w:ascii="標楷體" w:eastAsia="標楷體" w:hAnsi="標楷體" w:hint="eastAsia"/>
          <w:sz w:val="32"/>
          <w:szCs w:val="32"/>
        </w:rPr>
        <w:t>副司</w:t>
      </w:r>
      <w:r w:rsidRPr="00F37A80">
        <w:rPr>
          <w:rFonts w:ascii="標楷體" w:eastAsia="標楷體" w:hAnsi="標楷體"/>
          <w:sz w:val="32"/>
          <w:szCs w:val="32"/>
        </w:rPr>
        <w:t xml:space="preserve">長　　　</w:t>
      </w:r>
      <w:r w:rsidRPr="00F37A80">
        <w:rPr>
          <w:rFonts w:ascii="標楷體" w:eastAsia="標楷體" w:hAnsi="標楷體" w:hint="eastAsia"/>
          <w:sz w:val="32"/>
          <w:szCs w:val="32"/>
        </w:rPr>
        <w:t>劉立方</w:t>
      </w:r>
    </w:p>
    <w:p w14:paraId="1F8E130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sz w:val="32"/>
          <w:szCs w:val="32"/>
        </w:rPr>
        <w:t xml:space="preserve">　　　　　　</w:t>
      </w:r>
      <w:r w:rsidRPr="00F37A80">
        <w:rPr>
          <w:rFonts w:ascii="標楷體" w:eastAsia="標楷體" w:hAnsi="標楷體" w:hint="eastAsia"/>
          <w:sz w:val="32"/>
          <w:szCs w:val="32"/>
        </w:rPr>
        <w:t>戶政司</w:t>
      </w:r>
      <w:r w:rsidRPr="00F37A80">
        <w:rPr>
          <w:rFonts w:ascii="標楷體" w:eastAsia="標楷體" w:hAnsi="標楷體"/>
          <w:sz w:val="32"/>
          <w:szCs w:val="32"/>
        </w:rPr>
        <w:t xml:space="preserve">　　　　　　　　　　</w:t>
      </w:r>
      <w:r w:rsidRPr="00F37A80">
        <w:rPr>
          <w:rFonts w:ascii="標楷體" w:eastAsia="標楷體" w:hAnsi="標楷體" w:hint="eastAsia"/>
          <w:sz w:val="32"/>
          <w:szCs w:val="32"/>
        </w:rPr>
        <w:t>司</w:t>
      </w:r>
      <w:r w:rsidRPr="00F37A80">
        <w:rPr>
          <w:rFonts w:ascii="標楷體" w:eastAsia="標楷體" w:hAnsi="標楷體"/>
          <w:sz w:val="32"/>
          <w:szCs w:val="32"/>
        </w:rPr>
        <w:t xml:space="preserve">長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陳永智</w:t>
      </w:r>
    </w:p>
    <w:p w14:paraId="287C58B8"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hint="eastAsia"/>
          <w:sz w:val="32"/>
          <w:szCs w:val="32"/>
        </w:rPr>
        <w:t>地政司</w:t>
      </w:r>
      <w:r w:rsidRPr="00F37A80">
        <w:rPr>
          <w:rFonts w:ascii="標楷體" w:eastAsia="標楷體" w:hAnsi="標楷體"/>
          <w:sz w:val="32"/>
          <w:szCs w:val="32"/>
        </w:rPr>
        <w:t xml:space="preserve">　　　　　　　　　　</w:t>
      </w:r>
      <w:r w:rsidRPr="00F37A80">
        <w:rPr>
          <w:rFonts w:ascii="標楷體" w:eastAsia="標楷體" w:hAnsi="標楷體" w:hint="eastAsia"/>
          <w:sz w:val="32"/>
          <w:szCs w:val="32"/>
        </w:rPr>
        <w:t>司</w:t>
      </w:r>
      <w:r w:rsidRPr="00F37A80">
        <w:rPr>
          <w:rFonts w:ascii="標楷體" w:eastAsia="標楷體" w:hAnsi="標楷體"/>
          <w:sz w:val="32"/>
          <w:szCs w:val="32"/>
        </w:rPr>
        <w:t xml:space="preserve">長　　　　</w:t>
      </w:r>
      <w:r w:rsidRPr="00F37A80">
        <w:rPr>
          <w:rFonts w:ascii="標楷體" w:eastAsia="標楷體" w:hAnsi="標楷體" w:hint="eastAsia"/>
          <w:sz w:val="32"/>
          <w:szCs w:val="32"/>
        </w:rPr>
        <w:t>王成機</w:t>
      </w:r>
    </w:p>
    <w:p w14:paraId="456463A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FF0000"/>
          <w:sz w:val="32"/>
          <w:szCs w:val="32"/>
        </w:rPr>
        <w:t xml:space="preserve">　　　　　　</w:t>
      </w:r>
      <w:r w:rsidRPr="00F37A80">
        <w:rPr>
          <w:rFonts w:ascii="標楷體" w:eastAsia="標楷體" w:hAnsi="標楷體"/>
          <w:sz w:val="32"/>
          <w:szCs w:val="32"/>
        </w:rPr>
        <w:t>會計處</w:t>
      </w:r>
      <w:r w:rsidRPr="00F37A80">
        <w:rPr>
          <w:rFonts w:ascii="標楷體" w:eastAsia="標楷體" w:hAnsi="標楷體"/>
          <w:color w:val="FF0000"/>
          <w:sz w:val="32"/>
          <w:szCs w:val="32"/>
        </w:rPr>
        <w:t xml:space="preserve">　　　　　　　　　　</w:t>
      </w:r>
      <w:r w:rsidRPr="00F37A80">
        <w:rPr>
          <w:rFonts w:ascii="標楷體" w:eastAsia="標楷體" w:hAnsi="標楷體"/>
          <w:color w:val="000000" w:themeColor="text1"/>
          <w:sz w:val="32"/>
          <w:szCs w:val="32"/>
        </w:rPr>
        <w:t xml:space="preserve">處長　　　　</w:t>
      </w:r>
      <w:r w:rsidRPr="00F37A80">
        <w:rPr>
          <w:rFonts w:ascii="標楷體" w:eastAsia="標楷體" w:hAnsi="標楷體" w:hint="eastAsia"/>
          <w:color w:val="000000" w:themeColor="text1"/>
          <w:sz w:val="32"/>
          <w:szCs w:val="32"/>
        </w:rPr>
        <w:t>徐守國</w:t>
      </w:r>
    </w:p>
    <w:p w14:paraId="374F210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資訊服務司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司長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黃國裕</w:t>
      </w:r>
    </w:p>
    <w:p w14:paraId="71B402C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警政署　　　　　　　　　　</w:t>
      </w:r>
      <w:r w:rsidRPr="00F37A80">
        <w:rPr>
          <w:rFonts w:ascii="標楷體" w:eastAsia="標楷體" w:hAnsi="標楷體" w:hint="eastAsia"/>
          <w:color w:val="000000" w:themeColor="text1"/>
          <w:sz w:val="32"/>
          <w:szCs w:val="32"/>
        </w:rPr>
        <w:t>副</w:t>
      </w:r>
      <w:r w:rsidRPr="00F37A80">
        <w:rPr>
          <w:rFonts w:ascii="標楷體" w:eastAsia="標楷體" w:hAnsi="標楷體"/>
          <w:color w:val="000000" w:themeColor="text1"/>
          <w:sz w:val="32"/>
          <w:szCs w:val="32"/>
        </w:rPr>
        <w:t xml:space="preserve">署長　　　</w:t>
      </w:r>
      <w:r w:rsidRPr="00F37A80">
        <w:rPr>
          <w:rFonts w:ascii="標楷體" w:eastAsia="標楷體" w:hAnsi="標楷體" w:hint="eastAsia"/>
          <w:color w:val="000000" w:themeColor="text1"/>
          <w:sz w:val="32"/>
          <w:szCs w:val="32"/>
        </w:rPr>
        <w:t>詹永茂</w:t>
      </w:r>
    </w:p>
    <w:p w14:paraId="21DC882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副</w:t>
      </w:r>
      <w:r w:rsidRPr="00F37A80">
        <w:rPr>
          <w:rFonts w:ascii="標楷體" w:eastAsia="標楷體" w:hAnsi="標楷體"/>
          <w:color w:val="000000" w:themeColor="text1"/>
          <w:sz w:val="32"/>
          <w:szCs w:val="32"/>
        </w:rPr>
        <w:t xml:space="preserve">署長　　　</w:t>
      </w:r>
      <w:r w:rsidRPr="00F37A80">
        <w:rPr>
          <w:rFonts w:ascii="標楷體" w:eastAsia="標楷體" w:hAnsi="標楷體" w:hint="eastAsia"/>
          <w:color w:val="000000" w:themeColor="text1"/>
          <w:sz w:val="32"/>
          <w:szCs w:val="32"/>
        </w:rPr>
        <w:t>陳永利</w:t>
      </w:r>
    </w:p>
    <w:p w14:paraId="2461238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(下午列席)</w:t>
      </w:r>
    </w:p>
    <w:p w14:paraId="3D9DC611"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消防署　　　　　　　　　　署長　　　　</w:t>
      </w:r>
      <w:r w:rsidRPr="00F37A80">
        <w:rPr>
          <w:rFonts w:ascii="標楷體" w:eastAsia="標楷體" w:hAnsi="標楷體" w:hint="eastAsia"/>
          <w:color w:val="000000" w:themeColor="text1"/>
          <w:sz w:val="32"/>
          <w:szCs w:val="32"/>
        </w:rPr>
        <w:t>蕭煥章</w:t>
      </w:r>
    </w:p>
    <w:p w14:paraId="68C45EF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國土管理署　　　　　　　　署長　　　　吳欣修</w:t>
      </w:r>
    </w:p>
    <w:p w14:paraId="507B9C3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sz w:val="32"/>
          <w:szCs w:val="32"/>
        </w:rPr>
        <w:t xml:space="preserve">　　　　　　建築研究所　　　　　　　　所長　　</w:t>
      </w:r>
      <w:r w:rsidRPr="00F37A80">
        <w:rPr>
          <w:rFonts w:ascii="標楷體" w:eastAsia="標楷體" w:hAnsi="標楷體" w:hint="eastAsia"/>
          <w:color w:val="000000" w:themeColor="text1"/>
          <w:sz w:val="32"/>
          <w:szCs w:val="32"/>
        </w:rPr>
        <w:t xml:space="preserve">　　王榮進</w:t>
      </w:r>
    </w:p>
    <w:p w14:paraId="3125DC0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FF0000"/>
          <w:sz w:val="32"/>
          <w:szCs w:val="32"/>
        </w:rPr>
        <w:t xml:space="preserve">　　　　　</w:t>
      </w:r>
      <w:r w:rsidRPr="00F37A80">
        <w:rPr>
          <w:rFonts w:ascii="標楷體" w:eastAsia="標楷體" w:hAnsi="標楷體"/>
          <w:b/>
          <w:sz w:val="32"/>
          <w:szCs w:val="32"/>
        </w:rPr>
        <w:t>教育部</w:t>
      </w:r>
      <w:r w:rsidRPr="00F37A80">
        <w:rPr>
          <w:rFonts w:ascii="標楷體" w:eastAsia="標楷體" w:hAnsi="標楷體"/>
          <w:color w:val="FF0000"/>
          <w:sz w:val="32"/>
          <w:szCs w:val="32"/>
        </w:rPr>
        <w:t xml:space="preserve">　　　　　　　　　　　</w:t>
      </w:r>
      <w:r w:rsidRPr="00F37A80">
        <w:rPr>
          <w:rFonts w:ascii="標楷體" w:eastAsia="標楷體" w:hAnsi="標楷體"/>
          <w:sz w:val="32"/>
          <w:szCs w:val="32"/>
        </w:rPr>
        <w:t>部長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鄭英耀</w:t>
      </w:r>
    </w:p>
    <w:p w14:paraId="1477BD4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會計處　　　　　　　　　　處長　　　　林</w:t>
      </w:r>
      <w:r w:rsidRPr="00F37A80">
        <w:rPr>
          <w:rFonts w:ascii="標楷體" w:eastAsia="標楷體" w:hAnsi="標楷體" w:hint="eastAsia"/>
          <w:color w:val="000000" w:themeColor="text1"/>
          <w:sz w:val="32"/>
          <w:szCs w:val="32"/>
        </w:rPr>
        <w:t>順裕</w:t>
      </w:r>
    </w:p>
    <w:p w14:paraId="50A555D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資訊及科技教育司　　　　　司長　　　　</w:t>
      </w:r>
      <w:r w:rsidRPr="00F37A80">
        <w:rPr>
          <w:rFonts w:ascii="標楷體" w:eastAsia="標楷體" w:hAnsi="標楷體" w:hint="eastAsia"/>
          <w:color w:val="000000" w:themeColor="text1"/>
          <w:sz w:val="32"/>
          <w:szCs w:val="32"/>
        </w:rPr>
        <w:t>吳穎</w:t>
      </w:r>
      <w:r w:rsidRPr="00F37A80">
        <w:rPr>
          <w:rFonts w:ascii="標楷體" w:eastAsia="標楷體" w:hAnsi="標楷體" w:hint="eastAsia"/>
          <w:sz w:val="32"/>
          <w:szCs w:val="32"/>
        </w:rPr>
        <w:t>沺</w:t>
      </w:r>
    </w:p>
    <w:p w14:paraId="71DAD50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高等教育司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司長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廖高賢</w:t>
      </w:r>
    </w:p>
    <w:p w14:paraId="732C132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終身教育司　　　　　　　　司長　　　　梁學政</w:t>
      </w:r>
    </w:p>
    <w:p w14:paraId="7CE8EC9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sz w:val="32"/>
          <w:szCs w:val="32"/>
        </w:rPr>
        <w:t xml:space="preserve">　　　　　　師資培育及藝術教育司　　　司長　　　　武曉霞</w:t>
      </w:r>
    </w:p>
    <w:p w14:paraId="0EC8E95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color w:val="000000" w:themeColor="text1"/>
          <w:sz w:val="32"/>
          <w:szCs w:val="32"/>
        </w:rPr>
        <w:t xml:space="preserve">　　　　　　國民及學前教育署　　　　　署長　　　</w:t>
      </w: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彭富源</w:t>
      </w:r>
    </w:p>
    <w:p w14:paraId="4CADA1E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體育署</w:t>
      </w:r>
      <w:r w:rsidRPr="00F37A80">
        <w:rPr>
          <w:rFonts w:ascii="標楷體" w:eastAsia="標楷體" w:hAnsi="標楷體" w:hint="eastAsia"/>
          <w:color w:val="000000" w:themeColor="text1"/>
          <w:sz w:val="32"/>
          <w:szCs w:val="32"/>
        </w:rPr>
        <w:t xml:space="preserve">　　　　　　　　　　署長</w:t>
      </w:r>
      <w:r w:rsidRPr="00F37A80">
        <w:rPr>
          <w:rFonts w:ascii="標楷體" w:eastAsia="標楷體" w:hAnsi="標楷體" w:hint="eastAsia"/>
          <w:color w:val="FF0000"/>
          <w:sz w:val="32"/>
          <w:szCs w:val="32"/>
        </w:rPr>
        <w:t xml:space="preserve">　</w:t>
      </w:r>
      <w:r w:rsidRPr="00F37A80">
        <w:rPr>
          <w:rFonts w:ascii="標楷體" w:eastAsia="標楷體" w:hAnsi="標楷體" w:hint="eastAsia"/>
          <w:color w:val="000000" w:themeColor="text1"/>
          <w:sz w:val="32"/>
          <w:szCs w:val="32"/>
        </w:rPr>
        <w:t xml:space="preserve">　　　鄭世忠</w:t>
      </w:r>
    </w:p>
    <w:p w14:paraId="3C27E95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lastRenderedPageBreak/>
        <w:t xml:space="preserve">　　　　　　　　　　　　　　　　　　　　　　(9-12時列席)</w:t>
      </w:r>
    </w:p>
    <w:p w14:paraId="622F75B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副署長　　　房瑞文</w:t>
      </w:r>
    </w:p>
    <w:p w14:paraId="51C3AF6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(12時後列席)</w:t>
      </w:r>
    </w:p>
    <w:p w14:paraId="5B2D6FB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青年發展署</w:t>
      </w:r>
      <w:r w:rsidRPr="00F37A80">
        <w:rPr>
          <w:rFonts w:ascii="標楷體" w:eastAsia="標楷體" w:hAnsi="標楷體" w:hint="eastAsia"/>
          <w:color w:val="000000" w:themeColor="text1"/>
          <w:sz w:val="32"/>
          <w:szCs w:val="32"/>
        </w:rPr>
        <w:t xml:space="preserve">　　　　　　　　署長</w:t>
      </w:r>
      <w:r w:rsidRPr="00F37A80">
        <w:rPr>
          <w:rFonts w:ascii="標楷體" w:eastAsia="標楷體" w:hAnsi="標楷體" w:hint="eastAsia"/>
          <w:color w:val="FF0000"/>
          <w:sz w:val="32"/>
          <w:szCs w:val="32"/>
        </w:rPr>
        <w:t xml:space="preserve">　</w:t>
      </w:r>
      <w:r w:rsidRPr="00F37A80">
        <w:rPr>
          <w:rFonts w:ascii="標楷體" w:eastAsia="標楷體" w:hAnsi="標楷體" w:hint="eastAsia"/>
          <w:color w:val="000000" w:themeColor="text1"/>
          <w:sz w:val="32"/>
          <w:szCs w:val="32"/>
        </w:rPr>
        <w:t xml:space="preserve">　　　陳雪玉</w:t>
      </w:r>
    </w:p>
    <w:p w14:paraId="7923A32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經濟部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政務次長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何晉滄</w:t>
      </w:r>
    </w:p>
    <w:p w14:paraId="67363F84" w14:textId="0F5695A8"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w:t>
      </w:r>
      <w:r w:rsidRPr="00F37A80">
        <w:rPr>
          <w:rFonts w:ascii="標楷體" w:eastAsia="標楷體" w:hAnsi="標楷體" w:hint="eastAsia"/>
          <w:bCs/>
          <w:color w:val="000000" w:themeColor="text1"/>
          <w:sz w:val="32"/>
          <w:szCs w:val="32"/>
        </w:rPr>
        <w:t>部</w:t>
      </w:r>
      <w:r w:rsidRPr="00F37A80">
        <w:rPr>
          <w:rFonts w:ascii="標楷體" w:eastAsia="標楷體" w:hAnsi="標楷體"/>
          <w:bCs/>
          <w:color w:val="000000" w:themeColor="text1"/>
          <w:sz w:val="32"/>
          <w:szCs w:val="32"/>
        </w:rPr>
        <w:t>長</w:t>
      </w:r>
      <w:r w:rsidRPr="00F37A80">
        <w:rPr>
          <w:rFonts w:ascii="標楷體" w:eastAsia="標楷體" w:hAnsi="標楷體" w:hint="eastAsia"/>
          <w:bCs/>
          <w:color w:val="000000" w:themeColor="text1"/>
          <w:sz w:val="32"/>
          <w:szCs w:val="32"/>
        </w:rPr>
        <w:t>郭智輝</w:t>
      </w:r>
      <w:r w:rsidRPr="00F37A80">
        <w:rPr>
          <w:rFonts w:ascii="標楷體" w:eastAsia="標楷體" w:hAnsi="標楷體" w:hint="eastAsia"/>
          <w:color w:val="000000" w:themeColor="text1"/>
          <w:sz w:val="32"/>
          <w:szCs w:val="32"/>
        </w:rPr>
        <w:t>請假）</w:t>
      </w:r>
    </w:p>
    <w:p w14:paraId="272FA80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會計處　　　　　　　　　　</w:t>
      </w:r>
      <w:r w:rsidRPr="00F37A80">
        <w:rPr>
          <w:rFonts w:ascii="標楷體" w:eastAsia="標楷體" w:hAnsi="標楷體" w:hint="eastAsia"/>
          <w:color w:val="000000" w:themeColor="text1"/>
          <w:sz w:val="32"/>
          <w:szCs w:val="32"/>
        </w:rPr>
        <w:t>副</w:t>
      </w:r>
      <w:r w:rsidRPr="00F37A80">
        <w:rPr>
          <w:rFonts w:ascii="標楷體" w:eastAsia="標楷體" w:hAnsi="標楷體"/>
          <w:color w:val="000000" w:themeColor="text1"/>
          <w:sz w:val="32"/>
          <w:szCs w:val="32"/>
        </w:rPr>
        <w:t xml:space="preserve">處長　　　</w:t>
      </w:r>
      <w:r w:rsidRPr="00F37A80">
        <w:rPr>
          <w:rFonts w:ascii="標楷體" w:eastAsia="標楷體" w:hAnsi="標楷體" w:hint="eastAsia"/>
          <w:color w:val="000000" w:themeColor="text1"/>
          <w:sz w:val="32"/>
          <w:szCs w:val="32"/>
        </w:rPr>
        <w:t>黃凱苹</w:t>
      </w:r>
    </w:p>
    <w:p w14:paraId="6A4D34A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綜合規劃司　　　　　　　　副司</w:t>
      </w:r>
      <w:r w:rsidRPr="00F37A80">
        <w:rPr>
          <w:rFonts w:ascii="標楷體" w:eastAsia="標楷體" w:hAnsi="標楷體" w:hint="eastAsia"/>
          <w:color w:val="000000" w:themeColor="text1"/>
          <w:sz w:val="32"/>
          <w:szCs w:val="32"/>
        </w:rPr>
        <w:t>長　　　許嘉玲</w:t>
      </w:r>
    </w:p>
    <w:p w14:paraId="2EE917E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產業</w:t>
      </w:r>
      <w:r w:rsidRPr="00F37A80">
        <w:rPr>
          <w:rFonts w:ascii="標楷體" w:eastAsia="標楷體" w:hAnsi="標楷體"/>
          <w:color w:val="000000" w:themeColor="text1"/>
          <w:sz w:val="32"/>
          <w:szCs w:val="32"/>
        </w:rPr>
        <w:t>技術</w:t>
      </w:r>
      <w:r w:rsidRPr="00F37A80">
        <w:rPr>
          <w:rFonts w:ascii="標楷體" w:eastAsia="標楷體" w:hAnsi="標楷體" w:hint="eastAsia"/>
          <w:color w:val="000000" w:themeColor="text1"/>
          <w:sz w:val="32"/>
          <w:szCs w:val="32"/>
        </w:rPr>
        <w:t>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司長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邱求慧</w:t>
      </w:r>
    </w:p>
    <w:p w14:paraId="3F45AAD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國營事業管理司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科長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王啟明</w:t>
      </w:r>
    </w:p>
    <w:p w14:paraId="6EB8CCD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資訊</w:t>
      </w:r>
      <w:r w:rsidRPr="00F37A80">
        <w:rPr>
          <w:rFonts w:ascii="標楷體" w:eastAsia="標楷體" w:hAnsi="標楷體" w:hint="eastAsia"/>
          <w:color w:val="000000" w:themeColor="text1"/>
          <w:sz w:val="32"/>
          <w:szCs w:val="32"/>
        </w:rPr>
        <w:t>處</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處長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林聰仁</w:t>
      </w:r>
    </w:p>
    <w:p w14:paraId="4297CEF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商業</w:t>
      </w:r>
      <w:r w:rsidRPr="00F37A80">
        <w:rPr>
          <w:rFonts w:ascii="標楷體" w:eastAsia="標楷體" w:hAnsi="標楷體" w:hint="eastAsia"/>
          <w:color w:val="000000" w:themeColor="text1"/>
          <w:sz w:val="32"/>
          <w:szCs w:val="32"/>
        </w:rPr>
        <w:t>發展署</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副署長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陳秘順</w:t>
      </w:r>
    </w:p>
    <w:p w14:paraId="54EBB8AA"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產業發展署</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署長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FF0000"/>
          <w:sz w:val="32"/>
          <w:szCs w:val="32"/>
        </w:rPr>
        <w:t xml:space="preserve">　</w:t>
      </w:r>
      <w:r w:rsidRPr="00F37A80">
        <w:rPr>
          <w:rFonts w:ascii="標楷體" w:eastAsia="標楷體" w:hAnsi="標楷體" w:hint="eastAsia"/>
          <w:color w:val="000000" w:themeColor="text1"/>
          <w:sz w:val="32"/>
          <w:szCs w:val="32"/>
        </w:rPr>
        <w:t>楊志清</w:t>
      </w:r>
    </w:p>
    <w:p w14:paraId="721830EA"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主任秘書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FF0000"/>
          <w:sz w:val="32"/>
          <w:szCs w:val="32"/>
        </w:rPr>
        <w:t xml:space="preserve">　</w:t>
      </w:r>
      <w:r w:rsidRPr="00F37A80">
        <w:rPr>
          <w:rFonts w:ascii="標楷體" w:eastAsia="標楷體" w:hAnsi="標楷體" w:hint="eastAsia"/>
          <w:sz w:val="32"/>
          <w:szCs w:val="32"/>
        </w:rPr>
        <w:t>林德生</w:t>
      </w:r>
    </w:p>
    <w:p w14:paraId="2519751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（下午列席）</w:t>
      </w:r>
    </w:p>
    <w:p w14:paraId="5CAD1B5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能源署</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副署</w:t>
      </w:r>
      <w:r w:rsidRPr="00F37A80">
        <w:rPr>
          <w:rFonts w:ascii="標楷體" w:eastAsia="標楷體" w:hAnsi="標楷體"/>
          <w:color w:val="000000" w:themeColor="text1"/>
          <w:sz w:val="32"/>
          <w:szCs w:val="32"/>
        </w:rPr>
        <w:t xml:space="preserve">長　　　</w:t>
      </w:r>
      <w:r w:rsidRPr="00F37A80">
        <w:rPr>
          <w:rFonts w:ascii="標楷體" w:eastAsia="標楷體" w:hAnsi="標楷體" w:hint="eastAsia"/>
          <w:color w:val="000000" w:themeColor="text1"/>
          <w:sz w:val="32"/>
          <w:szCs w:val="32"/>
        </w:rPr>
        <w:t>李君禮</w:t>
      </w:r>
    </w:p>
    <w:p w14:paraId="77FDBBDA"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中小</w:t>
      </w:r>
      <w:r w:rsidRPr="00F37A80">
        <w:rPr>
          <w:rFonts w:ascii="標楷體" w:eastAsia="標楷體" w:hAnsi="標楷體" w:hint="eastAsia"/>
          <w:color w:val="000000" w:themeColor="text1"/>
          <w:sz w:val="32"/>
          <w:szCs w:val="32"/>
        </w:rPr>
        <w:t>及新創</w:t>
      </w:r>
      <w:r w:rsidRPr="00F37A80">
        <w:rPr>
          <w:rFonts w:ascii="標楷體" w:eastAsia="標楷體" w:hAnsi="標楷體"/>
          <w:color w:val="000000" w:themeColor="text1"/>
          <w:sz w:val="32"/>
          <w:szCs w:val="32"/>
        </w:rPr>
        <w:t>企業</w:t>
      </w:r>
      <w:r w:rsidRPr="00F37A80">
        <w:rPr>
          <w:rFonts w:ascii="標楷體" w:eastAsia="標楷體" w:hAnsi="標楷體" w:hint="eastAsia"/>
          <w:color w:val="000000" w:themeColor="text1"/>
          <w:sz w:val="32"/>
          <w:szCs w:val="32"/>
        </w:rPr>
        <w:t>署</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署長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李冠志</w:t>
      </w:r>
    </w:p>
    <w:p w14:paraId="5C1C9AB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副署長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吳佳穎</w:t>
      </w:r>
    </w:p>
    <w:p w14:paraId="50678C4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（下午列席）</w:t>
      </w:r>
    </w:p>
    <w:p w14:paraId="2F7D9C6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水利署　　　　　　　　　　署長　　　　</w:t>
      </w:r>
      <w:r w:rsidRPr="00F37A80">
        <w:rPr>
          <w:rFonts w:ascii="標楷體" w:eastAsia="標楷體" w:hAnsi="標楷體" w:hint="eastAsia"/>
          <w:color w:val="000000" w:themeColor="text1"/>
          <w:sz w:val="32"/>
          <w:szCs w:val="32"/>
        </w:rPr>
        <w:t>賴建信</w:t>
      </w:r>
    </w:p>
    <w:p w14:paraId="00E59A4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產業園區管理</w:t>
      </w:r>
      <w:r w:rsidRPr="00F37A80">
        <w:rPr>
          <w:rFonts w:ascii="標楷體" w:eastAsia="標楷體" w:hAnsi="標楷體"/>
          <w:color w:val="000000" w:themeColor="text1"/>
          <w:sz w:val="32"/>
          <w:szCs w:val="32"/>
        </w:rPr>
        <w:t xml:space="preserve">局　　　　　　局長　　　　</w:t>
      </w:r>
      <w:r w:rsidRPr="00F37A80">
        <w:rPr>
          <w:rFonts w:ascii="標楷體" w:eastAsia="標楷體" w:hAnsi="標楷體" w:hint="eastAsia"/>
          <w:color w:val="000000" w:themeColor="text1"/>
          <w:sz w:val="32"/>
          <w:szCs w:val="32"/>
        </w:rPr>
        <w:t>楊伯耕</w:t>
      </w:r>
    </w:p>
    <w:p w14:paraId="035D13A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智慧財產局　　　　　　　　局長　　　　</w:t>
      </w:r>
      <w:r w:rsidRPr="00F37A80">
        <w:rPr>
          <w:rFonts w:ascii="標楷體" w:eastAsia="標楷體" w:hAnsi="標楷體" w:hint="eastAsia"/>
          <w:color w:val="000000" w:themeColor="text1"/>
          <w:sz w:val="32"/>
          <w:szCs w:val="32"/>
        </w:rPr>
        <w:t>廖承威</w:t>
      </w:r>
    </w:p>
    <w:p w14:paraId="24C7B06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標準檢驗局　　　　　　　　副局長　　　賴俊杰</w:t>
      </w:r>
    </w:p>
    <w:p w14:paraId="1BC84B3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 xml:space="preserve">　　　　　地質調查及礦業管理中心　　</w:t>
      </w:r>
      <w:r w:rsidRPr="00F37A80">
        <w:rPr>
          <w:rFonts w:ascii="標楷體" w:eastAsia="標楷體" w:hAnsi="標楷體"/>
          <w:color w:val="000000" w:themeColor="text1"/>
          <w:sz w:val="32"/>
          <w:szCs w:val="32"/>
        </w:rPr>
        <w:t>主任</w:t>
      </w: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徐銘宏</w:t>
      </w:r>
    </w:p>
    <w:p w14:paraId="6DFAD3C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工商輔導中心　　　　　　　</w:t>
      </w:r>
      <w:r w:rsidRPr="00F37A80">
        <w:rPr>
          <w:rFonts w:ascii="標楷體" w:eastAsia="標楷體" w:hAnsi="標楷體"/>
          <w:color w:val="000000" w:themeColor="text1"/>
          <w:sz w:val="32"/>
          <w:szCs w:val="32"/>
        </w:rPr>
        <w:t>主任</w:t>
      </w: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雲瑞龍</w:t>
      </w:r>
    </w:p>
    <w:p w14:paraId="4A9AC04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台灣糖業股份有限公司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處長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 xml:space="preserve">　　張榮吉</w:t>
      </w:r>
    </w:p>
    <w:p w14:paraId="2DD07E7A"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交通部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常務次長</w:t>
      </w:r>
      <w:r w:rsidRPr="00F37A80">
        <w:rPr>
          <w:rFonts w:ascii="標楷體" w:eastAsia="標楷體" w:hAnsi="標楷體"/>
          <w:color w:val="000000" w:themeColor="text1"/>
          <w:sz w:val="32"/>
          <w:szCs w:val="32"/>
        </w:rPr>
        <w:t xml:space="preserve">　　林國顯</w:t>
      </w:r>
    </w:p>
    <w:p w14:paraId="3290D7C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(部長陳世凱請假；上午列席)</w:t>
      </w:r>
    </w:p>
    <w:p w14:paraId="79B1BAE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 xml:space="preserve">　　　　　　　　　　　　　　　　　政務次長　　</w:t>
      </w:r>
      <w:r w:rsidRPr="00F37A80">
        <w:rPr>
          <w:rFonts w:ascii="標楷體" w:eastAsia="標楷體" w:hAnsi="標楷體"/>
          <w:color w:val="000000" w:themeColor="text1"/>
          <w:sz w:val="32"/>
          <w:szCs w:val="32"/>
        </w:rPr>
        <w:t>伍勝園</w:t>
      </w:r>
    </w:p>
    <w:p w14:paraId="325B840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(上</w:t>
      </w:r>
      <w:r w:rsidRPr="00F37A80">
        <w:rPr>
          <w:rFonts w:ascii="標楷體" w:eastAsia="標楷體" w:hAnsi="標楷體"/>
          <w:color w:val="000000" w:themeColor="text1"/>
          <w:sz w:val="32"/>
          <w:szCs w:val="32"/>
        </w:rPr>
        <w:t>午</w:t>
      </w:r>
      <w:r w:rsidRPr="00F37A80">
        <w:rPr>
          <w:rFonts w:ascii="標楷體" w:eastAsia="標楷體" w:hAnsi="標楷體" w:hint="eastAsia"/>
          <w:color w:val="000000" w:themeColor="text1"/>
          <w:sz w:val="32"/>
          <w:szCs w:val="32"/>
        </w:rPr>
        <w:t>11時30分後</w:t>
      </w:r>
      <w:r w:rsidRPr="00F37A80">
        <w:rPr>
          <w:rFonts w:ascii="標楷體" w:eastAsia="標楷體" w:hAnsi="標楷體"/>
          <w:color w:val="000000" w:themeColor="text1"/>
          <w:sz w:val="32"/>
          <w:szCs w:val="32"/>
        </w:rPr>
        <w:t>列席</w:t>
      </w:r>
      <w:r w:rsidRPr="00F37A80">
        <w:rPr>
          <w:rFonts w:ascii="標楷體" w:eastAsia="標楷體" w:hAnsi="標楷體" w:hint="eastAsia"/>
          <w:color w:val="000000" w:themeColor="text1"/>
          <w:sz w:val="32"/>
          <w:szCs w:val="32"/>
        </w:rPr>
        <w:t>)</w:t>
      </w:r>
    </w:p>
    <w:p w14:paraId="7BE4302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lastRenderedPageBreak/>
        <w:t xml:space="preserve">　　　　　　</w:t>
      </w:r>
      <w:r w:rsidRPr="00F37A80">
        <w:rPr>
          <w:rFonts w:ascii="標楷體" w:eastAsia="標楷體" w:hAnsi="標楷體" w:hint="eastAsia"/>
          <w:color w:val="000000" w:themeColor="text1"/>
          <w:sz w:val="32"/>
          <w:szCs w:val="32"/>
        </w:rPr>
        <w:t>會計處</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hint="eastAsia"/>
          <w:color w:val="000000" w:themeColor="text1"/>
          <w:sz w:val="32"/>
          <w:szCs w:val="32"/>
        </w:rPr>
        <w:t>處</w:t>
      </w:r>
      <w:r w:rsidRPr="00F37A80">
        <w:rPr>
          <w:rFonts w:ascii="標楷體" w:eastAsia="標楷體" w:hAnsi="標楷體"/>
          <w:color w:val="000000" w:themeColor="text1"/>
          <w:sz w:val="32"/>
          <w:szCs w:val="32"/>
        </w:rPr>
        <w:t xml:space="preserve">長　　　</w:t>
      </w: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張信一</w:t>
      </w:r>
    </w:p>
    <w:p w14:paraId="7C17D91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運輸監理司　　　　　　　　</w:t>
      </w:r>
      <w:r w:rsidRPr="00F37A80">
        <w:rPr>
          <w:rFonts w:ascii="標楷體" w:eastAsia="標楷體" w:hAnsi="標楷體"/>
          <w:color w:val="000000" w:themeColor="text1"/>
          <w:sz w:val="32"/>
          <w:szCs w:val="32"/>
        </w:rPr>
        <w:t>司長</w:t>
      </w: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林福山</w:t>
      </w:r>
    </w:p>
    <w:p w14:paraId="39F0966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科技資訊司</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hint="eastAsia"/>
          <w:color w:val="000000" w:themeColor="text1"/>
          <w:sz w:val="32"/>
          <w:szCs w:val="32"/>
        </w:rPr>
        <w:t>司長　　　　黃新薰</w:t>
      </w:r>
    </w:p>
    <w:p w14:paraId="5DC602A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上午列席</w:t>
      </w:r>
      <w:r w:rsidRPr="00F37A80">
        <w:rPr>
          <w:rFonts w:ascii="標楷體" w:eastAsia="標楷體" w:hAnsi="標楷體" w:hint="eastAsia"/>
          <w:color w:val="000000" w:themeColor="text1"/>
          <w:sz w:val="32"/>
          <w:szCs w:val="32"/>
        </w:rPr>
        <w:t>)</w:t>
      </w:r>
    </w:p>
    <w:p w14:paraId="10605401"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簡任技正　　</w:t>
      </w:r>
      <w:r w:rsidRPr="00F37A80">
        <w:rPr>
          <w:rFonts w:ascii="標楷體" w:eastAsia="標楷體" w:hAnsi="標楷體"/>
          <w:color w:val="000000" w:themeColor="text1"/>
          <w:sz w:val="32"/>
          <w:szCs w:val="32"/>
        </w:rPr>
        <w:t>李</w:t>
      </w: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霞</w:t>
      </w:r>
    </w:p>
    <w:p w14:paraId="5A835898"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下午列席</w:t>
      </w:r>
      <w:r w:rsidRPr="00F37A80">
        <w:rPr>
          <w:rFonts w:ascii="標楷體" w:eastAsia="標楷體" w:hAnsi="標楷體" w:hint="eastAsia"/>
          <w:color w:val="000000" w:themeColor="text1"/>
          <w:sz w:val="32"/>
          <w:szCs w:val="32"/>
        </w:rPr>
        <w:t>)</w:t>
      </w:r>
    </w:p>
    <w:p w14:paraId="7BEA9BD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中央氣象署</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hint="eastAsia"/>
          <w:color w:val="000000" w:themeColor="text1"/>
          <w:sz w:val="32"/>
          <w:szCs w:val="32"/>
        </w:rPr>
        <w:t>署</w:t>
      </w:r>
      <w:r w:rsidRPr="00F37A80">
        <w:rPr>
          <w:rFonts w:ascii="標楷體" w:eastAsia="標楷體" w:hAnsi="標楷體"/>
          <w:color w:val="000000" w:themeColor="text1"/>
          <w:sz w:val="32"/>
          <w:szCs w:val="32"/>
        </w:rPr>
        <w:t xml:space="preserve">長　　　　</w:t>
      </w:r>
      <w:r w:rsidRPr="00F37A80">
        <w:rPr>
          <w:rFonts w:ascii="標楷體" w:eastAsia="標楷體" w:hAnsi="標楷體" w:hint="eastAsia"/>
          <w:color w:val="000000" w:themeColor="text1"/>
          <w:sz w:val="32"/>
          <w:szCs w:val="32"/>
        </w:rPr>
        <w:t>程家平</w:t>
      </w:r>
    </w:p>
    <w:p w14:paraId="7269015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觀光署</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hint="eastAsia"/>
          <w:color w:val="000000" w:themeColor="text1"/>
          <w:sz w:val="32"/>
          <w:szCs w:val="32"/>
        </w:rPr>
        <w:t>署</w:t>
      </w:r>
      <w:r w:rsidRPr="00F37A80">
        <w:rPr>
          <w:rFonts w:ascii="標楷體" w:eastAsia="標楷體" w:hAnsi="標楷體"/>
          <w:color w:val="000000" w:themeColor="text1"/>
          <w:sz w:val="32"/>
          <w:szCs w:val="32"/>
        </w:rPr>
        <w:t xml:space="preserve">長　　　　</w:t>
      </w:r>
      <w:r w:rsidRPr="00F37A80">
        <w:rPr>
          <w:rFonts w:ascii="標楷體" w:eastAsia="標楷體" w:hAnsi="標楷體" w:hint="eastAsia"/>
          <w:color w:val="000000" w:themeColor="text1"/>
          <w:sz w:val="32"/>
          <w:szCs w:val="32"/>
        </w:rPr>
        <w:t>周永暉</w:t>
      </w:r>
    </w:p>
    <w:p w14:paraId="41651AA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運輸研究所</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所長　　　　林繼國</w:t>
      </w:r>
    </w:p>
    <w:p w14:paraId="5EBD685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公路局</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hint="eastAsia"/>
          <w:color w:val="000000" w:themeColor="text1"/>
          <w:sz w:val="32"/>
          <w:szCs w:val="32"/>
        </w:rPr>
        <w:t>局</w:t>
      </w:r>
      <w:r w:rsidRPr="00F37A80">
        <w:rPr>
          <w:rFonts w:ascii="標楷體" w:eastAsia="標楷體" w:hAnsi="標楷體"/>
          <w:color w:val="000000" w:themeColor="text1"/>
          <w:sz w:val="32"/>
          <w:szCs w:val="32"/>
        </w:rPr>
        <w:t xml:space="preserve">長　　　　</w:t>
      </w:r>
      <w:r w:rsidRPr="00F37A80">
        <w:rPr>
          <w:rFonts w:ascii="標楷體" w:eastAsia="標楷體" w:hAnsi="標楷體" w:hint="eastAsia"/>
          <w:color w:val="000000" w:themeColor="text1"/>
          <w:sz w:val="32"/>
          <w:szCs w:val="32"/>
        </w:rPr>
        <w:t>陳文瑞</w:t>
      </w:r>
    </w:p>
    <w:p w14:paraId="2358B75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鐵道局</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hint="eastAsia"/>
          <w:color w:val="000000" w:themeColor="text1"/>
          <w:sz w:val="32"/>
          <w:szCs w:val="32"/>
        </w:rPr>
        <w:t>副</w:t>
      </w:r>
      <w:r w:rsidRPr="00F37A80">
        <w:rPr>
          <w:rFonts w:ascii="標楷體" w:eastAsia="標楷體" w:hAnsi="標楷體"/>
          <w:color w:val="000000" w:themeColor="text1"/>
          <w:sz w:val="32"/>
          <w:szCs w:val="32"/>
        </w:rPr>
        <w:t xml:space="preserve">局長　　　</w:t>
      </w:r>
      <w:r w:rsidRPr="00F37A80">
        <w:rPr>
          <w:rFonts w:ascii="標楷體" w:eastAsia="標楷體" w:hAnsi="標楷體" w:hint="eastAsia"/>
          <w:color w:val="000000" w:themeColor="text1"/>
          <w:sz w:val="32"/>
          <w:szCs w:val="32"/>
        </w:rPr>
        <w:t>呂新喜</w:t>
      </w:r>
    </w:p>
    <w:p w14:paraId="1D7F118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航港局</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局長　　　　</w:t>
      </w:r>
      <w:r w:rsidRPr="00F37A80">
        <w:rPr>
          <w:rFonts w:ascii="標楷體" w:eastAsia="標楷體" w:hAnsi="標楷體" w:hint="eastAsia"/>
          <w:color w:val="000000" w:themeColor="text1"/>
          <w:sz w:val="32"/>
          <w:szCs w:val="32"/>
        </w:rPr>
        <w:t>葉協隆</w:t>
      </w:r>
    </w:p>
    <w:p w14:paraId="2ED0180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高速公路局</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hint="eastAsia"/>
          <w:color w:val="000000" w:themeColor="text1"/>
          <w:sz w:val="32"/>
          <w:szCs w:val="32"/>
        </w:rPr>
        <w:t>副</w:t>
      </w:r>
      <w:r w:rsidRPr="00F37A80">
        <w:rPr>
          <w:rFonts w:ascii="標楷體" w:eastAsia="標楷體" w:hAnsi="標楷體"/>
          <w:color w:val="000000" w:themeColor="text1"/>
          <w:sz w:val="32"/>
          <w:szCs w:val="32"/>
        </w:rPr>
        <w:t xml:space="preserve">局長　　　</w:t>
      </w:r>
      <w:r w:rsidRPr="00F37A80">
        <w:rPr>
          <w:rFonts w:ascii="標楷體" w:eastAsia="標楷體" w:hAnsi="標楷體" w:hint="eastAsia"/>
          <w:color w:val="000000" w:themeColor="text1"/>
          <w:sz w:val="32"/>
          <w:szCs w:val="32"/>
        </w:rPr>
        <w:t>陳宏仁</w:t>
      </w:r>
    </w:p>
    <w:p w14:paraId="0035751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上午列席</w:t>
      </w:r>
      <w:r w:rsidRPr="00F37A80">
        <w:rPr>
          <w:rFonts w:ascii="標楷體" w:eastAsia="標楷體" w:hAnsi="標楷體" w:hint="eastAsia"/>
          <w:color w:val="000000" w:themeColor="text1"/>
          <w:sz w:val="32"/>
          <w:szCs w:val="32"/>
        </w:rPr>
        <w:t>)</w:t>
      </w:r>
    </w:p>
    <w:p w14:paraId="1DD8E871"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副局長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彭煥儒</w:t>
      </w:r>
    </w:p>
    <w:p w14:paraId="2559F3A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下午列席</w:t>
      </w:r>
      <w:r w:rsidRPr="00F37A80">
        <w:rPr>
          <w:rFonts w:ascii="標楷體" w:eastAsia="標楷體" w:hAnsi="標楷體" w:hint="eastAsia"/>
          <w:color w:val="000000" w:themeColor="text1"/>
          <w:sz w:val="32"/>
          <w:szCs w:val="32"/>
        </w:rPr>
        <w:t>)</w:t>
      </w:r>
    </w:p>
    <w:p w14:paraId="06E5CD5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國營臺灣鐵路股份有限公司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副總經理</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陳宗宏</w:t>
      </w:r>
    </w:p>
    <w:p w14:paraId="3902B9B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臺灣港務股份有限公司</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 xml:space="preserve">　　副總經理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王派峰</w:t>
      </w:r>
    </w:p>
    <w:p w14:paraId="389AEBF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hint="eastAsia"/>
          <w:b/>
          <w:sz w:val="32"/>
          <w:szCs w:val="32"/>
        </w:rPr>
        <w:t>勞動</w:t>
      </w:r>
      <w:r w:rsidRPr="00F37A80">
        <w:rPr>
          <w:rFonts w:ascii="標楷體" w:eastAsia="標楷體" w:hAnsi="標楷體"/>
          <w:b/>
          <w:sz w:val="32"/>
          <w:szCs w:val="32"/>
        </w:rPr>
        <w:t xml:space="preserve">部　　　　　　　</w:t>
      </w:r>
      <w:r w:rsidRPr="00F37A80">
        <w:rPr>
          <w:rFonts w:ascii="標楷體" w:eastAsia="標楷體" w:hAnsi="標楷體"/>
          <w:sz w:val="32"/>
          <w:szCs w:val="32"/>
        </w:rPr>
        <w:t xml:space="preserve">　　</w:t>
      </w:r>
      <w:r w:rsidRPr="00F37A80">
        <w:rPr>
          <w:rFonts w:ascii="標楷體" w:eastAsia="標楷體" w:hAnsi="標楷體" w:hint="eastAsia"/>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常</w:t>
      </w:r>
      <w:r w:rsidRPr="00F37A80">
        <w:rPr>
          <w:rFonts w:ascii="標楷體" w:eastAsia="標楷體" w:hAnsi="標楷體" w:hint="eastAsia"/>
          <w:sz w:val="32"/>
          <w:szCs w:val="32"/>
        </w:rPr>
        <w:t>務次</w:t>
      </w:r>
      <w:r w:rsidRPr="00F37A80">
        <w:rPr>
          <w:rFonts w:ascii="標楷體" w:eastAsia="標楷體" w:hAnsi="標楷體"/>
          <w:sz w:val="32"/>
          <w:szCs w:val="32"/>
        </w:rPr>
        <w:t xml:space="preserve">長　　</w:t>
      </w:r>
      <w:r w:rsidRPr="00F37A80">
        <w:rPr>
          <w:rFonts w:ascii="標楷體" w:eastAsia="標楷體" w:hAnsi="標楷體" w:hint="eastAsia"/>
          <w:color w:val="000000" w:themeColor="text1"/>
          <w:sz w:val="32"/>
          <w:szCs w:val="32"/>
        </w:rPr>
        <w:t>陳明仁</w:t>
      </w:r>
    </w:p>
    <w:p w14:paraId="2A5BE1DD" w14:textId="015668FA"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color w:val="000000" w:themeColor="text1"/>
          <w:sz w:val="32"/>
          <w:szCs w:val="32"/>
        </w:rPr>
        <w:t xml:space="preserve">　　　　　　　　　　　　　　　　　　　</w:t>
      </w:r>
      <w:r w:rsidR="00823B83">
        <w:rPr>
          <w:rFonts w:ascii="標楷體" w:eastAsia="標楷體" w:hAnsi="標楷體" w:hint="eastAsia"/>
          <w:color w:val="000000" w:themeColor="text1"/>
          <w:sz w:val="32"/>
          <w:szCs w:val="32"/>
        </w:rPr>
        <w:t xml:space="preserve"> </w:t>
      </w:r>
      <w:r w:rsidRPr="00F37A80">
        <w:rPr>
          <w:rFonts w:ascii="標楷體" w:eastAsia="標楷體" w:hAnsi="標楷體" w:hint="eastAsia"/>
          <w:color w:val="000000" w:themeColor="text1"/>
          <w:sz w:val="32"/>
          <w:szCs w:val="32"/>
        </w:rPr>
        <w:t>（</w:t>
      </w:r>
      <w:r w:rsidRPr="00F37A80">
        <w:rPr>
          <w:rFonts w:ascii="標楷體" w:eastAsia="標楷體" w:hAnsi="標楷體" w:hint="eastAsia"/>
          <w:bCs/>
          <w:color w:val="000000" w:themeColor="text1"/>
          <w:sz w:val="32"/>
          <w:szCs w:val="32"/>
        </w:rPr>
        <w:t>部</w:t>
      </w:r>
      <w:r w:rsidRPr="00F37A80">
        <w:rPr>
          <w:rFonts w:ascii="標楷體" w:eastAsia="標楷體" w:hAnsi="標楷體"/>
          <w:bCs/>
          <w:color w:val="000000" w:themeColor="text1"/>
          <w:sz w:val="32"/>
          <w:szCs w:val="32"/>
        </w:rPr>
        <w:t>長</w:t>
      </w:r>
      <w:r w:rsidRPr="00F37A80">
        <w:rPr>
          <w:rFonts w:ascii="標楷體" w:eastAsia="標楷體" w:hAnsi="標楷體" w:hint="eastAsia"/>
          <w:bCs/>
          <w:color w:val="000000" w:themeColor="text1"/>
          <w:sz w:val="32"/>
          <w:szCs w:val="32"/>
        </w:rPr>
        <w:t>何佩珊</w:t>
      </w:r>
      <w:r w:rsidRPr="00F37A80">
        <w:rPr>
          <w:rFonts w:ascii="標楷體" w:eastAsia="標楷體" w:hAnsi="標楷體" w:hint="eastAsia"/>
          <w:color w:val="000000" w:themeColor="text1"/>
          <w:sz w:val="32"/>
          <w:szCs w:val="32"/>
        </w:rPr>
        <w:t>請假）</w:t>
      </w:r>
    </w:p>
    <w:p w14:paraId="21F4A16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會計</w:t>
      </w:r>
      <w:r w:rsidRPr="00F37A80">
        <w:rPr>
          <w:rFonts w:ascii="標楷體" w:eastAsia="標楷體" w:hAnsi="標楷體" w:hint="eastAsia"/>
          <w:sz w:val="32"/>
          <w:szCs w:val="32"/>
        </w:rPr>
        <w:t>處</w:t>
      </w:r>
      <w:r w:rsidRPr="00F37A80">
        <w:rPr>
          <w:rFonts w:ascii="標楷體" w:eastAsia="標楷體" w:hAnsi="標楷體"/>
          <w:sz w:val="32"/>
          <w:szCs w:val="32"/>
        </w:rPr>
        <w:t xml:space="preserve">　　　　　　　　　　</w:t>
      </w:r>
      <w:r w:rsidRPr="00F37A80">
        <w:rPr>
          <w:rFonts w:ascii="標楷體" w:eastAsia="標楷體" w:hAnsi="標楷體" w:hint="eastAsia"/>
          <w:sz w:val="32"/>
          <w:szCs w:val="32"/>
        </w:rPr>
        <w:t>處長</w:t>
      </w:r>
      <w:r w:rsidRPr="00F37A80">
        <w:rPr>
          <w:rFonts w:ascii="標楷體" w:eastAsia="標楷體" w:hAnsi="標楷體"/>
          <w:sz w:val="32"/>
          <w:szCs w:val="32"/>
        </w:rPr>
        <w:t xml:space="preserve">　　　　</w:t>
      </w:r>
      <w:r w:rsidRPr="00F37A80">
        <w:rPr>
          <w:rFonts w:ascii="標楷體" w:eastAsia="標楷體" w:hAnsi="標楷體" w:hint="eastAsia"/>
          <w:sz w:val="32"/>
          <w:szCs w:val="32"/>
        </w:rPr>
        <w:t>林美杏</w:t>
      </w:r>
    </w:p>
    <w:p w14:paraId="40E1604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hint="eastAsia"/>
          <w:sz w:val="32"/>
          <w:szCs w:val="32"/>
        </w:rPr>
        <w:t>秘書處</w:t>
      </w:r>
      <w:r w:rsidRPr="00F37A80">
        <w:rPr>
          <w:rFonts w:ascii="標楷體" w:eastAsia="標楷體" w:hAnsi="標楷體"/>
          <w:sz w:val="32"/>
          <w:szCs w:val="32"/>
        </w:rPr>
        <w:t xml:space="preserve">　　　　　　　　　　</w:t>
      </w:r>
      <w:r w:rsidRPr="00F37A80">
        <w:rPr>
          <w:rFonts w:ascii="標楷體" w:eastAsia="標楷體" w:hAnsi="標楷體" w:hint="eastAsia"/>
          <w:sz w:val="32"/>
          <w:szCs w:val="32"/>
        </w:rPr>
        <w:t>副處長</w:t>
      </w:r>
      <w:r w:rsidRPr="00F37A80">
        <w:rPr>
          <w:rFonts w:ascii="標楷體" w:eastAsia="標楷體" w:hAnsi="標楷體"/>
          <w:sz w:val="32"/>
          <w:szCs w:val="32"/>
        </w:rPr>
        <w:t xml:space="preserve">　　　</w:t>
      </w:r>
      <w:r w:rsidRPr="00F37A80">
        <w:rPr>
          <w:rFonts w:ascii="標楷體" w:eastAsia="標楷體" w:hAnsi="標楷體" w:hint="eastAsia"/>
          <w:sz w:val="32"/>
          <w:szCs w:val="32"/>
        </w:rPr>
        <w:t>呂美伶</w:t>
      </w:r>
    </w:p>
    <w:p w14:paraId="213899C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b/>
          <w:sz w:val="32"/>
          <w:szCs w:val="32"/>
        </w:rPr>
        <w:t>農業</w:t>
      </w:r>
      <w:r w:rsidRPr="00F37A80">
        <w:rPr>
          <w:rFonts w:ascii="標楷體" w:eastAsia="標楷體" w:hAnsi="標楷體" w:hint="eastAsia"/>
          <w:b/>
          <w:sz w:val="32"/>
          <w:szCs w:val="32"/>
        </w:rPr>
        <w:t>部</w:t>
      </w:r>
      <w:r w:rsidRPr="00F37A80">
        <w:rPr>
          <w:rFonts w:ascii="標楷體" w:eastAsia="標楷體" w:hAnsi="標楷體"/>
          <w:sz w:val="32"/>
          <w:szCs w:val="32"/>
        </w:rPr>
        <w:t xml:space="preserve">　　　　　　</w:t>
      </w:r>
      <w:r w:rsidRPr="00F37A80">
        <w:rPr>
          <w:rFonts w:ascii="標楷體" w:eastAsia="標楷體" w:hAnsi="標楷體" w:hint="eastAsia"/>
          <w:sz w:val="32"/>
          <w:szCs w:val="32"/>
        </w:rPr>
        <w:t xml:space="preserve">　　　　　部長</w:t>
      </w: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 xml:space="preserve">　　陳駿季</w:t>
      </w:r>
    </w:p>
    <w:p w14:paraId="136F5FE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政務次長　　</w:t>
      </w:r>
      <w:r w:rsidRPr="00F37A80">
        <w:rPr>
          <w:rFonts w:ascii="標楷體" w:eastAsia="標楷體" w:hAnsi="標楷體"/>
          <w:sz w:val="32"/>
          <w:szCs w:val="32"/>
        </w:rPr>
        <w:t>胡忠一</w:t>
      </w:r>
    </w:p>
    <w:p w14:paraId="32BECBC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F37A80">
        <w:rPr>
          <w:rFonts w:ascii="標楷體" w:eastAsia="標楷體" w:hAnsi="標楷體" w:hint="eastAsia"/>
          <w:sz w:val="32"/>
          <w:szCs w:val="32"/>
        </w:rPr>
        <w:t xml:space="preserve">　　　　　　　　　　　　　　　　 (部長</w:t>
      </w:r>
      <w:r w:rsidRPr="00F37A80">
        <w:rPr>
          <w:rFonts w:ascii="標楷體" w:eastAsia="標楷體" w:hAnsi="標楷體"/>
          <w:sz w:val="32"/>
          <w:szCs w:val="32"/>
        </w:rPr>
        <w:t>請假</w:t>
      </w:r>
      <w:r w:rsidRPr="00F37A80">
        <w:rPr>
          <w:rFonts w:ascii="標楷體" w:eastAsia="標楷體" w:hAnsi="標楷體" w:hint="eastAsia"/>
          <w:sz w:val="32"/>
          <w:szCs w:val="32"/>
        </w:rPr>
        <w:t>，</w:t>
      </w:r>
      <w:r w:rsidRPr="00F37A80">
        <w:rPr>
          <w:rFonts w:ascii="標楷體" w:eastAsia="標楷體" w:hAnsi="標楷體"/>
          <w:sz w:val="32"/>
          <w:szCs w:val="32"/>
        </w:rPr>
        <w:t>14-16時</w:t>
      </w:r>
      <w:r w:rsidRPr="00F37A80">
        <w:rPr>
          <w:rFonts w:ascii="標楷體" w:eastAsia="標楷體" w:hAnsi="標楷體" w:hint="eastAsia"/>
          <w:sz w:val="32"/>
          <w:szCs w:val="32"/>
        </w:rPr>
        <w:t>列席)</w:t>
      </w:r>
    </w:p>
    <w:p w14:paraId="5C9C673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hint="eastAsia"/>
          <w:color w:val="000000" w:themeColor="text1"/>
          <w:sz w:val="32"/>
          <w:szCs w:val="32"/>
        </w:rPr>
        <w:t>會計</w:t>
      </w:r>
      <w:r w:rsidRPr="00F37A80">
        <w:rPr>
          <w:rFonts w:ascii="標楷體" w:eastAsia="標楷體" w:hAnsi="標楷體"/>
          <w:sz w:val="32"/>
          <w:szCs w:val="32"/>
        </w:rPr>
        <w:t xml:space="preserve">處　　　　　　　　　　處長　　　　</w:t>
      </w:r>
      <w:r w:rsidRPr="00F37A80">
        <w:rPr>
          <w:rFonts w:ascii="標楷體" w:eastAsia="標楷體" w:hAnsi="標楷體" w:hint="eastAsia"/>
          <w:sz w:val="32"/>
          <w:szCs w:val="32"/>
        </w:rPr>
        <w:t>蘇文樹</w:t>
      </w:r>
    </w:p>
    <w:p w14:paraId="77314FB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綜合規劃司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蔡巧蓮</w:t>
      </w:r>
    </w:p>
    <w:p w14:paraId="39CD4241"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資源永續利用司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莊老達</w:t>
      </w:r>
    </w:p>
    <w:p w14:paraId="127398C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畜牧司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李宜謙</w:t>
      </w:r>
    </w:p>
    <w:p w14:paraId="77B9942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農業科技司　　　　　　　　</w:t>
      </w:r>
      <w:r w:rsidRPr="00F37A80">
        <w:rPr>
          <w:rFonts w:ascii="標楷體" w:eastAsia="標楷體" w:hAnsi="標楷體"/>
          <w:sz w:val="32"/>
          <w:szCs w:val="32"/>
        </w:rPr>
        <w:t>副司長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陳瑞榮</w:t>
      </w:r>
    </w:p>
    <w:p w14:paraId="2574EE3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lastRenderedPageBreak/>
        <w:t xml:space="preserve">　　　　　　資訊司　　　　　　　　　　</w:t>
      </w:r>
      <w:r w:rsidRPr="00F37A80">
        <w:rPr>
          <w:rFonts w:ascii="標楷體" w:eastAsia="標楷體" w:hAnsi="標楷體"/>
          <w:sz w:val="32"/>
          <w:szCs w:val="32"/>
        </w:rPr>
        <w:t>代理副司長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蔡偉皇</w:t>
      </w:r>
    </w:p>
    <w:p w14:paraId="11E466D1"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農田水利署　　　　　　　　</w:t>
      </w:r>
      <w:r w:rsidRPr="00F37A80">
        <w:rPr>
          <w:rFonts w:ascii="標楷體" w:eastAsia="標楷體" w:hAnsi="標楷體"/>
          <w:sz w:val="32"/>
          <w:szCs w:val="32"/>
        </w:rPr>
        <w:t>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蔡昇甫</w:t>
      </w:r>
    </w:p>
    <w:p w14:paraId="02490C7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漁業署　　　　　　　　　　</w:t>
      </w:r>
      <w:r w:rsidRPr="00F37A80">
        <w:rPr>
          <w:rFonts w:ascii="標楷體" w:eastAsia="標楷體" w:hAnsi="標楷體"/>
          <w:sz w:val="32"/>
          <w:szCs w:val="32"/>
        </w:rPr>
        <w:t>代理署長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王正芳</w:t>
      </w:r>
    </w:p>
    <w:p w14:paraId="476ED41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林業及自然保育署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廖一光</w:t>
      </w:r>
    </w:p>
    <w:p w14:paraId="01CC5BE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農村發展及水土保持署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王晉倫</w:t>
      </w:r>
    </w:p>
    <w:p w14:paraId="17EF08C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農糧署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姚志旺</w:t>
      </w:r>
    </w:p>
    <w:p w14:paraId="482FD1C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sz w:val="32"/>
          <w:szCs w:val="32"/>
        </w:rPr>
        <w:t xml:space="preserve">　　　　　</w:t>
      </w:r>
      <w:r w:rsidRPr="00F37A80">
        <w:rPr>
          <w:rFonts w:ascii="標楷體" w:eastAsia="標楷體" w:hAnsi="標楷體" w:hint="eastAsia"/>
          <w:b/>
          <w:sz w:val="32"/>
          <w:szCs w:val="32"/>
        </w:rPr>
        <w:t xml:space="preserve">衛生福利部　　　　　　　</w:t>
      </w:r>
      <w:r w:rsidRPr="00F37A80">
        <w:rPr>
          <w:rFonts w:ascii="標楷體" w:eastAsia="標楷體" w:hAnsi="標楷體" w:hint="eastAsia"/>
          <w:sz w:val="32"/>
          <w:szCs w:val="32"/>
        </w:rPr>
        <w:t xml:space="preserve">　　</w:t>
      </w:r>
      <w:r w:rsidRPr="00F37A80">
        <w:rPr>
          <w:rFonts w:ascii="標楷體" w:eastAsia="標楷體" w:hAnsi="標楷體"/>
          <w:sz w:val="32"/>
          <w:szCs w:val="32"/>
        </w:rPr>
        <w:t>部</w:t>
      </w:r>
      <w:r w:rsidRPr="00F37A80">
        <w:rPr>
          <w:rFonts w:ascii="標楷體" w:eastAsia="標楷體" w:hAnsi="標楷體" w:hint="eastAsia"/>
          <w:sz w:val="32"/>
          <w:szCs w:val="32"/>
        </w:rPr>
        <w:t xml:space="preserve">長　　　　</w:t>
      </w:r>
      <w:r w:rsidRPr="00F37A80">
        <w:rPr>
          <w:rFonts w:ascii="標楷體" w:eastAsia="標楷體" w:hAnsi="標楷體"/>
          <w:sz w:val="32"/>
          <w:szCs w:val="32"/>
        </w:rPr>
        <w:t>邱泰源</w:t>
      </w:r>
    </w:p>
    <w:p w14:paraId="6D8F547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15時前列席</w:t>
      </w:r>
      <w:r w:rsidRPr="00F37A80">
        <w:rPr>
          <w:rFonts w:ascii="標楷體" w:eastAsia="標楷體" w:hAnsi="標楷體" w:hint="eastAsia"/>
          <w:sz w:val="32"/>
          <w:szCs w:val="32"/>
        </w:rPr>
        <w:t>)</w:t>
      </w:r>
    </w:p>
    <w:p w14:paraId="2EA9757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常務次長</w:t>
      </w:r>
      <w:r w:rsidRPr="00F37A80">
        <w:rPr>
          <w:rFonts w:ascii="標楷體" w:eastAsia="標楷體" w:hAnsi="標楷體" w:hint="eastAsia"/>
          <w:sz w:val="32"/>
          <w:szCs w:val="32"/>
        </w:rPr>
        <w:t xml:space="preserve">　　</w:t>
      </w:r>
      <w:r w:rsidRPr="00F37A80">
        <w:rPr>
          <w:rFonts w:ascii="標楷體" w:eastAsia="標楷體" w:hAnsi="標楷體"/>
          <w:sz w:val="32"/>
          <w:szCs w:val="32"/>
        </w:rPr>
        <w:t>周志浩</w:t>
      </w:r>
    </w:p>
    <w:p w14:paraId="360CFEDF"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15時後列席</w:t>
      </w:r>
      <w:r w:rsidRPr="00F37A80">
        <w:rPr>
          <w:rFonts w:ascii="標楷體" w:eastAsia="標楷體" w:hAnsi="標楷體" w:hint="eastAsia"/>
          <w:sz w:val="32"/>
          <w:szCs w:val="32"/>
        </w:rPr>
        <w:t>)</w:t>
      </w:r>
    </w:p>
    <w:p w14:paraId="2B9A8F4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綜合規劃司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廖崑富</w:t>
      </w:r>
    </w:p>
    <w:p w14:paraId="6377373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會計處　　　　　　　　　　</w:t>
      </w:r>
      <w:r w:rsidRPr="00F37A80">
        <w:rPr>
          <w:rFonts w:ascii="標楷體" w:eastAsia="標楷體" w:hAnsi="標楷體"/>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張育珍</w:t>
      </w:r>
    </w:p>
    <w:p w14:paraId="6F8EEB9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護理及健康照護司　　　　　</w:t>
      </w:r>
      <w:r w:rsidRPr="00F37A80">
        <w:rPr>
          <w:rFonts w:ascii="標楷體" w:eastAsia="標楷體" w:hAnsi="標楷體"/>
          <w:sz w:val="32"/>
          <w:szCs w:val="32"/>
        </w:rPr>
        <w:t>副司長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蔡誾誾</w:t>
      </w:r>
    </w:p>
    <w:p w14:paraId="58F0BDD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長期照顧司　　　　　　　　</w:t>
      </w:r>
      <w:r w:rsidRPr="00F37A80">
        <w:rPr>
          <w:rFonts w:ascii="標楷體" w:eastAsia="標楷體" w:hAnsi="標楷體"/>
          <w:sz w:val="32"/>
          <w:szCs w:val="32"/>
        </w:rPr>
        <w:t>副司長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吳希文</w:t>
      </w:r>
    </w:p>
    <w:p w14:paraId="26AF038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醫事司　　　　　　　　　　</w:t>
      </w:r>
      <w:r w:rsidRPr="00F37A80">
        <w:rPr>
          <w:rFonts w:ascii="標楷體" w:eastAsia="標楷體" w:hAnsi="標楷體"/>
          <w:sz w:val="32"/>
          <w:szCs w:val="32"/>
        </w:rPr>
        <w:t>簡任技正</w:t>
      </w:r>
      <w:r w:rsidRPr="00F37A80">
        <w:rPr>
          <w:rFonts w:ascii="標楷體" w:eastAsia="標楷體" w:hAnsi="標楷體" w:hint="eastAsia"/>
          <w:sz w:val="32"/>
          <w:szCs w:val="32"/>
        </w:rPr>
        <w:t xml:space="preserve">　　</w:t>
      </w:r>
      <w:r w:rsidRPr="00F37A80">
        <w:rPr>
          <w:rFonts w:ascii="標楷體" w:eastAsia="標楷體" w:hAnsi="標楷體"/>
          <w:sz w:val="32"/>
          <w:szCs w:val="32"/>
        </w:rPr>
        <w:t>李中月</w:t>
      </w:r>
    </w:p>
    <w:p w14:paraId="2326E42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社會救助及社工司　　　　　</w:t>
      </w:r>
      <w:r w:rsidRPr="00F37A80">
        <w:rPr>
          <w:rFonts w:ascii="標楷體" w:eastAsia="標楷體" w:hAnsi="標楷體"/>
          <w:sz w:val="32"/>
          <w:szCs w:val="32"/>
        </w:rPr>
        <w:t>科長</w:t>
      </w:r>
      <w:r w:rsidRPr="00F37A80">
        <w:rPr>
          <w:rFonts w:ascii="標楷體" w:eastAsia="標楷體" w:hAnsi="標楷體" w:hint="eastAsia"/>
          <w:sz w:val="32"/>
          <w:szCs w:val="32"/>
        </w:rPr>
        <w:t xml:space="preserve">　　　　</w:t>
      </w:r>
      <w:r w:rsidRPr="00F37A80">
        <w:rPr>
          <w:rFonts w:ascii="標楷體" w:eastAsia="標楷體" w:hAnsi="標楷體"/>
          <w:sz w:val="32"/>
          <w:szCs w:val="32"/>
        </w:rPr>
        <w:t>林</w:t>
      </w:r>
      <w:r w:rsidRPr="00F37A80">
        <w:rPr>
          <w:rFonts w:ascii="標楷體" w:eastAsia="標楷體" w:hAnsi="標楷體" w:hint="eastAsia"/>
          <w:sz w:val="32"/>
          <w:szCs w:val="32"/>
        </w:rPr>
        <w:t>雅</w:t>
      </w:r>
      <w:r w:rsidRPr="00F37A80">
        <w:rPr>
          <w:rFonts w:ascii="標楷體" w:eastAsia="標楷體" w:hAnsi="標楷體"/>
          <w:sz w:val="32"/>
          <w:szCs w:val="32"/>
        </w:rPr>
        <w:t>雯</w:t>
      </w:r>
    </w:p>
    <w:p w14:paraId="260C6A8A"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食品藥物管理署　　　　　　</w:t>
      </w:r>
      <w:r w:rsidRPr="00F37A80">
        <w:rPr>
          <w:rFonts w:ascii="標楷體" w:eastAsia="標楷體" w:hAnsi="標楷體"/>
          <w:sz w:val="32"/>
          <w:szCs w:val="32"/>
        </w:rPr>
        <w:t>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莊聲宏</w:t>
      </w:r>
    </w:p>
    <w:p w14:paraId="456001F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14時前列席</w:t>
      </w:r>
      <w:r w:rsidRPr="00F37A80">
        <w:rPr>
          <w:rFonts w:ascii="標楷體" w:eastAsia="標楷體" w:hAnsi="標楷體" w:hint="eastAsia"/>
          <w:sz w:val="32"/>
          <w:szCs w:val="32"/>
        </w:rPr>
        <w:t>)</w:t>
      </w:r>
    </w:p>
    <w:p w14:paraId="0F37D4F8"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林金富</w:t>
      </w:r>
    </w:p>
    <w:p w14:paraId="6BF1F41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14時後列席</w:t>
      </w:r>
      <w:r w:rsidRPr="00F37A80">
        <w:rPr>
          <w:rFonts w:ascii="標楷體" w:eastAsia="標楷體" w:hAnsi="標楷體" w:hint="eastAsia"/>
          <w:sz w:val="32"/>
          <w:szCs w:val="32"/>
        </w:rPr>
        <w:t>)</w:t>
      </w:r>
    </w:p>
    <w:p w14:paraId="3C2D6FC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中央健康保險署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陳亮妤</w:t>
      </w:r>
    </w:p>
    <w:p w14:paraId="36259D9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國民健康署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賈淑麗</w:t>
      </w:r>
    </w:p>
    <w:p w14:paraId="5C1AF56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社會及家庭署　　　　　　　</w:t>
      </w:r>
      <w:r w:rsidRPr="00F37A80">
        <w:rPr>
          <w:rFonts w:ascii="標楷體" w:eastAsia="標楷體" w:hAnsi="標楷體"/>
          <w:sz w:val="32"/>
          <w:szCs w:val="32"/>
        </w:rPr>
        <w:t>主任秘書</w:t>
      </w:r>
      <w:r w:rsidRPr="00F37A80">
        <w:rPr>
          <w:rFonts w:ascii="標楷體" w:eastAsia="標楷體" w:hAnsi="標楷體" w:hint="eastAsia"/>
          <w:sz w:val="32"/>
          <w:szCs w:val="32"/>
        </w:rPr>
        <w:t xml:space="preserve">　　</w:t>
      </w:r>
      <w:r w:rsidRPr="00F37A80">
        <w:rPr>
          <w:rFonts w:ascii="標楷體" w:eastAsia="標楷體" w:hAnsi="標楷體"/>
          <w:sz w:val="32"/>
          <w:szCs w:val="32"/>
        </w:rPr>
        <w:t>田基武</w:t>
      </w:r>
    </w:p>
    <w:p w14:paraId="11456AE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hint="eastAsia"/>
          <w:b/>
          <w:sz w:val="32"/>
          <w:szCs w:val="32"/>
        </w:rPr>
        <w:t>環境部</w:t>
      </w:r>
      <w:r w:rsidRPr="00F37A80">
        <w:rPr>
          <w:rFonts w:ascii="標楷體" w:eastAsia="標楷體" w:hAnsi="標楷體" w:hint="eastAsia"/>
          <w:sz w:val="32"/>
          <w:szCs w:val="32"/>
        </w:rPr>
        <w:t xml:space="preserve">　　　　　　　　　　　</w:t>
      </w:r>
      <w:r w:rsidRPr="00F37A80">
        <w:rPr>
          <w:rFonts w:ascii="標楷體" w:eastAsia="標楷體" w:hAnsi="標楷體"/>
          <w:sz w:val="32"/>
          <w:szCs w:val="32"/>
        </w:rPr>
        <w:t>部長</w:t>
      </w:r>
      <w:r w:rsidRPr="00F37A80">
        <w:rPr>
          <w:rFonts w:ascii="標楷體" w:eastAsia="標楷體" w:hAnsi="標楷體" w:hint="eastAsia"/>
          <w:sz w:val="32"/>
          <w:szCs w:val="32"/>
        </w:rPr>
        <w:t xml:space="preserve">　　　　</w:t>
      </w:r>
      <w:r w:rsidRPr="00F37A80">
        <w:rPr>
          <w:rFonts w:ascii="標楷體" w:eastAsia="標楷體" w:hAnsi="標楷體"/>
          <w:sz w:val="32"/>
          <w:szCs w:val="32"/>
        </w:rPr>
        <w:t>彭</w:t>
      </w:r>
      <w:r w:rsidRPr="00F37A80">
        <w:rPr>
          <w:rFonts w:ascii="標楷體" w:eastAsia="標楷體" w:hAnsi="標楷體" w:hint="eastAsia"/>
          <w:sz w:val="32"/>
          <w:szCs w:val="32"/>
        </w:rPr>
        <w:t>啓</w:t>
      </w:r>
      <w:r w:rsidRPr="00F37A80">
        <w:rPr>
          <w:rFonts w:ascii="標楷體" w:eastAsia="標楷體" w:hAnsi="標楷體"/>
          <w:sz w:val="32"/>
          <w:szCs w:val="32"/>
        </w:rPr>
        <w:t>明</w:t>
      </w:r>
    </w:p>
    <w:p w14:paraId="2F23DF4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15時前</w:t>
      </w:r>
      <w:r w:rsidRPr="00F37A80">
        <w:rPr>
          <w:rFonts w:ascii="標楷體" w:eastAsia="標楷體" w:hAnsi="標楷體" w:hint="eastAsia"/>
          <w:sz w:val="32"/>
          <w:szCs w:val="32"/>
        </w:rPr>
        <w:t>列席)</w:t>
      </w:r>
    </w:p>
    <w:p w14:paraId="0E38ED0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政務次長</w:t>
      </w:r>
      <w:r w:rsidRPr="00F37A80">
        <w:rPr>
          <w:rFonts w:ascii="標楷體" w:eastAsia="標楷體" w:hAnsi="標楷體" w:hint="eastAsia"/>
          <w:sz w:val="32"/>
          <w:szCs w:val="32"/>
        </w:rPr>
        <w:t xml:space="preserve">　　</w:t>
      </w:r>
      <w:r w:rsidRPr="00F37A80">
        <w:rPr>
          <w:rFonts w:ascii="標楷體" w:eastAsia="標楷體" w:hAnsi="標楷體"/>
          <w:sz w:val="32"/>
          <w:szCs w:val="32"/>
        </w:rPr>
        <w:t>葉俊宏</w:t>
      </w:r>
    </w:p>
    <w:p w14:paraId="38E9D74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sz w:val="32"/>
          <w:szCs w:val="32"/>
        </w:rPr>
        <w:t>15時後列席</w:t>
      </w:r>
      <w:r w:rsidRPr="00F37A80">
        <w:rPr>
          <w:rFonts w:ascii="標楷體" w:eastAsia="標楷體" w:hAnsi="標楷體" w:hint="eastAsia"/>
          <w:sz w:val="32"/>
          <w:szCs w:val="32"/>
        </w:rPr>
        <w:t>)</w:t>
      </w:r>
    </w:p>
    <w:p w14:paraId="7DF5497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監測部資訊司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謝炳輝</w:t>
      </w:r>
    </w:p>
    <w:p w14:paraId="46101F5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水質保護司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王嶽斌</w:t>
      </w:r>
    </w:p>
    <w:p w14:paraId="738E2C2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大氣環境司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張順欽</w:t>
      </w:r>
    </w:p>
    <w:p w14:paraId="3041E50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lastRenderedPageBreak/>
        <w:t xml:space="preserve">　　　　　　氣候變遷署　　　　　　　　</w:t>
      </w:r>
      <w:r w:rsidRPr="00F37A80">
        <w:rPr>
          <w:rFonts w:ascii="標楷體" w:eastAsia="標楷體" w:hAnsi="標楷體"/>
          <w:sz w:val="32"/>
          <w:szCs w:val="32"/>
        </w:rPr>
        <w:t>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蔡玲儀</w:t>
      </w:r>
    </w:p>
    <w:p w14:paraId="6AFC5BB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環境管理署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林左祥</w:t>
      </w:r>
    </w:p>
    <w:p w14:paraId="6E576653"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國家環境研究院　　　　　　</w:t>
      </w:r>
      <w:r w:rsidRPr="00F37A80">
        <w:rPr>
          <w:rFonts w:ascii="標楷體" w:eastAsia="標楷體" w:hAnsi="標楷體"/>
          <w:sz w:val="32"/>
          <w:szCs w:val="32"/>
        </w:rPr>
        <w:t>院長</w:t>
      </w:r>
      <w:r w:rsidRPr="00F37A80">
        <w:rPr>
          <w:rFonts w:ascii="標楷體" w:eastAsia="標楷體" w:hAnsi="標楷體" w:hint="eastAsia"/>
          <w:sz w:val="32"/>
          <w:szCs w:val="32"/>
        </w:rPr>
        <w:t xml:space="preserve">　　　　</w:t>
      </w:r>
      <w:r w:rsidRPr="00F37A80">
        <w:rPr>
          <w:rFonts w:ascii="標楷體" w:eastAsia="標楷體" w:hAnsi="標楷體"/>
          <w:sz w:val="32"/>
          <w:szCs w:val="32"/>
        </w:rPr>
        <w:t>劉宗勇</w:t>
      </w:r>
    </w:p>
    <w:p w14:paraId="29FD7F41"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會計處　　　　　　　　　　</w:t>
      </w:r>
      <w:r w:rsidRPr="00F37A80">
        <w:rPr>
          <w:rFonts w:ascii="標楷體" w:eastAsia="標楷體" w:hAnsi="標楷體"/>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陳勁欣</w:t>
      </w:r>
    </w:p>
    <w:p w14:paraId="7D07B940"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hint="eastAsia"/>
          <w:b/>
          <w:sz w:val="32"/>
          <w:szCs w:val="32"/>
        </w:rPr>
        <w:t>文化部</w:t>
      </w:r>
      <w:r w:rsidRPr="00F37A80">
        <w:rPr>
          <w:rFonts w:ascii="標楷體" w:eastAsia="標楷體" w:hAnsi="標楷體" w:hint="eastAsia"/>
          <w:sz w:val="32"/>
          <w:szCs w:val="32"/>
        </w:rPr>
        <w:t xml:space="preserve">　　　　　　　　　　　</w:t>
      </w:r>
      <w:r w:rsidRPr="00F37A80">
        <w:rPr>
          <w:rFonts w:ascii="標楷體" w:eastAsia="標楷體" w:hAnsi="標楷體"/>
          <w:sz w:val="32"/>
          <w:szCs w:val="32"/>
        </w:rPr>
        <w:t>部長</w:t>
      </w:r>
      <w:r w:rsidRPr="00F37A80">
        <w:rPr>
          <w:rFonts w:ascii="標楷體" w:eastAsia="標楷體" w:hAnsi="標楷體" w:hint="eastAsia"/>
          <w:sz w:val="32"/>
          <w:szCs w:val="32"/>
        </w:rPr>
        <w:t xml:space="preserve">　　　　</w:t>
      </w:r>
      <w:r w:rsidRPr="00F37A80">
        <w:rPr>
          <w:rFonts w:ascii="標楷體" w:eastAsia="標楷體" w:hAnsi="標楷體"/>
          <w:sz w:val="32"/>
          <w:szCs w:val="32"/>
        </w:rPr>
        <w:t>李</w:t>
      </w:r>
      <w:r w:rsidRPr="00F37A80">
        <w:rPr>
          <w:rFonts w:ascii="標楷體" w:eastAsia="標楷體" w:hAnsi="標楷體" w:hint="eastAsia"/>
          <w:sz w:val="32"/>
          <w:szCs w:val="32"/>
        </w:rPr>
        <w:t xml:space="preserve">　</w:t>
      </w:r>
      <w:r w:rsidRPr="00F37A80">
        <w:rPr>
          <w:rFonts w:ascii="標楷體" w:eastAsia="標楷體" w:hAnsi="標楷體"/>
          <w:sz w:val="32"/>
          <w:szCs w:val="32"/>
        </w:rPr>
        <w:t>遠</w:t>
      </w:r>
    </w:p>
    <w:p w14:paraId="2C5AC7E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文創發展司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江清松</w:t>
      </w:r>
    </w:p>
    <w:p w14:paraId="31B2F7DA"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影視及流行音樂發展司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吳宜璇</w:t>
      </w:r>
    </w:p>
    <w:p w14:paraId="39DB3C5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藝術發展司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周雅菁</w:t>
      </w:r>
    </w:p>
    <w:p w14:paraId="2AA79148"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國立台灣歷史博物館　　　　</w:t>
      </w:r>
      <w:r w:rsidRPr="00F37A80">
        <w:rPr>
          <w:rFonts w:ascii="標楷體" w:eastAsia="標楷體" w:hAnsi="標楷體"/>
          <w:sz w:val="32"/>
          <w:szCs w:val="32"/>
        </w:rPr>
        <w:t>館長</w:t>
      </w:r>
      <w:r w:rsidRPr="00F37A80">
        <w:rPr>
          <w:rFonts w:ascii="標楷體" w:eastAsia="標楷體" w:hAnsi="標楷體" w:hint="eastAsia"/>
          <w:sz w:val="32"/>
          <w:szCs w:val="32"/>
        </w:rPr>
        <w:t xml:space="preserve">　　　　</w:t>
      </w:r>
      <w:r w:rsidRPr="00F37A80">
        <w:rPr>
          <w:rFonts w:ascii="標楷體" w:eastAsia="標楷體" w:hAnsi="標楷體"/>
          <w:sz w:val="32"/>
          <w:szCs w:val="32"/>
        </w:rPr>
        <w:t>張隆志</w:t>
      </w:r>
    </w:p>
    <w:p w14:paraId="797D344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文化資產局　　　　　　　　</w:t>
      </w:r>
      <w:r w:rsidRPr="00F37A80">
        <w:rPr>
          <w:rFonts w:ascii="標楷體" w:eastAsia="標楷體" w:hAnsi="標楷體"/>
          <w:sz w:val="32"/>
          <w:szCs w:val="32"/>
        </w:rPr>
        <w:t>局長</w:t>
      </w:r>
      <w:r w:rsidRPr="00F37A80">
        <w:rPr>
          <w:rFonts w:ascii="標楷體" w:eastAsia="標楷體" w:hAnsi="標楷體" w:hint="eastAsia"/>
          <w:sz w:val="32"/>
          <w:szCs w:val="32"/>
        </w:rPr>
        <w:t xml:space="preserve">　　　　</w:t>
      </w:r>
      <w:r w:rsidRPr="00F37A80">
        <w:rPr>
          <w:rFonts w:ascii="標楷體" w:eastAsia="標楷體" w:hAnsi="標楷體"/>
          <w:sz w:val="32"/>
          <w:szCs w:val="32"/>
        </w:rPr>
        <w:t>陳濟民</w:t>
      </w:r>
    </w:p>
    <w:p w14:paraId="534C29D7"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主計處　　　　　　　　　　</w:t>
      </w:r>
      <w:r w:rsidRPr="00F37A80">
        <w:rPr>
          <w:rFonts w:ascii="標楷體" w:eastAsia="標楷體" w:hAnsi="標楷體"/>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劉明津</w:t>
      </w:r>
    </w:p>
    <w:p w14:paraId="2BEDFC0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資訊處　　　　　　　　　　</w:t>
      </w:r>
      <w:r w:rsidRPr="00F37A80">
        <w:rPr>
          <w:rFonts w:ascii="標楷體" w:eastAsia="標楷體" w:hAnsi="標楷體"/>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莊舜清</w:t>
      </w:r>
    </w:p>
    <w:p w14:paraId="63EAEACA" w14:textId="77777777" w:rsidR="009D64D0" w:rsidRPr="00F37A80" w:rsidRDefault="009D64D0" w:rsidP="00F470A8">
      <w:pPr>
        <w:tabs>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文化設施工程管理組　　　　</w:t>
      </w:r>
      <w:r w:rsidRPr="00F37A80">
        <w:rPr>
          <w:rFonts w:ascii="標楷體" w:eastAsia="標楷體" w:hAnsi="標楷體"/>
          <w:sz w:val="32"/>
          <w:szCs w:val="32"/>
        </w:rPr>
        <w:t>專門委員</w:t>
      </w:r>
      <w:r w:rsidRPr="00F37A80">
        <w:rPr>
          <w:rFonts w:ascii="標楷體" w:eastAsia="標楷體" w:hAnsi="標楷體" w:hint="eastAsia"/>
          <w:sz w:val="32"/>
          <w:szCs w:val="32"/>
        </w:rPr>
        <w:t xml:space="preserve">　　</w:t>
      </w:r>
      <w:r w:rsidRPr="00F37A80">
        <w:rPr>
          <w:rFonts w:ascii="標楷體" w:eastAsia="標楷體" w:hAnsi="標楷體"/>
          <w:sz w:val="32"/>
          <w:szCs w:val="32"/>
        </w:rPr>
        <w:t>楊富欽</w:t>
      </w:r>
    </w:p>
    <w:p w14:paraId="463E3B7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hint="eastAsia"/>
          <w:b/>
          <w:sz w:val="32"/>
          <w:szCs w:val="32"/>
        </w:rPr>
        <w:t>數位發展部</w:t>
      </w:r>
      <w:r w:rsidRPr="00F37A80">
        <w:rPr>
          <w:rFonts w:ascii="標楷體" w:eastAsia="標楷體" w:hAnsi="標楷體" w:hint="eastAsia"/>
          <w:sz w:val="32"/>
          <w:szCs w:val="32"/>
        </w:rPr>
        <w:t xml:space="preserve">　　　　　　　　　</w:t>
      </w:r>
      <w:r w:rsidRPr="00F37A80">
        <w:rPr>
          <w:rFonts w:ascii="標楷體" w:eastAsia="標楷體" w:hAnsi="標楷體"/>
          <w:sz w:val="32"/>
          <w:szCs w:val="32"/>
        </w:rPr>
        <w:t>部長</w:t>
      </w:r>
      <w:r w:rsidRPr="00F37A80">
        <w:rPr>
          <w:rFonts w:ascii="標楷體" w:eastAsia="標楷體" w:hAnsi="標楷體" w:hint="eastAsia"/>
          <w:sz w:val="32"/>
          <w:szCs w:val="32"/>
        </w:rPr>
        <w:t xml:space="preserve">　　　　</w:t>
      </w:r>
      <w:r w:rsidRPr="00F37A80">
        <w:rPr>
          <w:rFonts w:ascii="標楷體" w:eastAsia="標楷體" w:hAnsi="標楷體"/>
          <w:sz w:val="32"/>
          <w:szCs w:val="32"/>
        </w:rPr>
        <w:t>黃彥男</w:t>
      </w:r>
    </w:p>
    <w:p w14:paraId="5C7B6C1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數位政府司　　　　　　　　</w:t>
      </w:r>
      <w:r w:rsidRPr="00F37A80">
        <w:rPr>
          <w:rFonts w:ascii="標楷體" w:eastAsia="標楷體" w:hAnsi="標楷體"/>
          <w:sz w:val="32"/>
          <w:szCs w:val="32"/>
        </w:rPr>
        <w:t>高級分析師</w:t>
      </w:r>
      <w:r w:rsidRPr="00F37A80">
        <w:rPr>
          <w:rFonts w:ascii="標楷體" w:eastAsia="標楷體" w:hAnsi="標楷體" w:hint="eastAsia"/>
          <w:sz w:val="32"/>
          <w:szCs w:val="32"/>
        </w:rPr>
        <w:t xml:space="preserve">　</w:t>
      </w:r>
      <w:r w:rsidRPr="00F37A80">
        <w:rPr>
          <w:rFonts w:ascii="標楷體" w:eastAsia="標楷體" w:hAnsi="標楷體"/>
          <w:sz w:val="32"/>
          <w:szCs w:val="32"/>
        </w:rPr>
        <w:t>蔡君微</w:t>
      </w:r>
    </w:p>
    <w:p w14:paraId="05EF7D5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韌性建設司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鄭明宗</w:t>
      </w:r>
    </w:p>
    <w:p w14:paraId="4FA910A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資源管理司　　　　　　　　</w:t>
      </w:r>
      <w:r w:rsidRPr="00F37A80">
        <w:rPr>
          <w:rFonts w:ascii="標楷體" w:eastAsia="標楷體" w:hAnsi="標楷體"/>
          <w:sz w:val="32"/>
          <w:szCs w:val="32"/>
        </w:rPr>
        <w:t>司長</w:t>
      </w:r>
      <w:r w:rsidRPr="00F37A80">
        <w:rPr>
          <w:rFonts w:ascii="標楷體" w:eastAsia="標楷體" w:hAnsi="標楷體" w:hint="eastAsia"/>
          <w:sz w:val="32"/>
          <w:szCs w:val="32"/>
        </w:rPr>
        <w:t xml:space="preserve">　　　　</w:t>
      </w:r>
      <w:r w:rsidRPr="00F37A80">
        <w:rPr>
          <w:rFonts w:ascii="標楷體" w:eastAsia="標楷體" w:hAnsi="標楷體"/>
          <w:sz w:val="32"/>
          <w:szCs w:val="32"/>
        </w:rPr>
        <w:t>牛信仁</w:t>
      </w:r>
      <w:r w:rsidRPr="00F37A80">
        <w:rPr>
          <w:rFonts w:ascii="標楷體" w:eastAsia="標楷體" w:hAnsi="標楷體"/>
          <w:sz w:val="32"/>
          <w:szCs w:val="32"/>
        </w:rPr>
        <w:tab/>
      </w:r>
    </w:p>
    <w:p w14:paraId="23F1D062" w14:textId="77777777" w:rsidR="009D64D0" w:rsidRPr="00F37A80" w:rsidRDefault="009D64D0" w:rsidP="00F470A8">
      <w:pPr>
        <w:tabs>
          <w:tab w:val="left" w:pos="4610"/>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主計處　　　　　　　　　　</w:t>
      </w:r>
      <w:r w:rsidRPr="00F37A80">
        <w:rPr>
          <w:rFonts w:ascii="標楷體" w:eastAsia="標楷體" w:hAnsi="標楷體"/>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李錫東</w:t>
      </w:r>
    </w:p>
    <w:p w14:paraId="0ED40C08"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資通安全署　　　　　　　　</w:t>
      </w:r>
      <w:r w:rsidRPr="00F37A80">
        <w:rPr>
          <w:rFonts w:ascii="標楷體" w:eastAsia="標楷體" w:hAnsi="標楷體"/>
          <w:sz w:val="32"/>
          <w:szCs w:val="32"/>
        </w:rPr>
        <w:t>副署長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林春吟</w:t>
      </w:r>
    </w:p>
    <w:p w14:paraId="77DE4CDE"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數位產業署　　　　　　　　</w:t>
      </w:r>
      <w:r w:rsidRPr="00F37A80">
        <w:rPr>
          <w:rFonts w:ascii="標楷體" w:eastAsia="標楷體" w:hAnsi="標楷體"/>
          <w:sz w:val="32"/>
          <w:szCs w:val="32"/>
        </w:rPr>
        <w:t>代理署長</w:t>
      </w:r>
      <w:r w:rsidRPr="00F37A80">
        <w:rPr>
          <w:rFonts w:ascii="標楷體" w:eastAsia="標楷體" w:hAnsi="標楷體" w:hint="eastAsia"/>
          <w:sz w:val="32"/>
          <w:szCs w:val="32"/>
        </w:rPr>
        <w:t xml:space="preserve">　　</w:t>
      </w:r>
      <w:r w:rsidRPr="00F37A80">
        <w:rPr>
          <w:rFonts w:ascii="標楷體" w:eastAsia="標楷體" w:hAnsi="標楷體"/>
          <w:sz w:val="32"/>
          <w:szCs w:val="32"/>
        </w:rPr>
        <w:t>林俊秀</w:t>
      </w:r>
    </w:p>
    <w:p w14:paraId="2637E92B"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w:t>
      </w:r>
      <w:r w:rsidRPr="00F37A80">
        <w:rPr>
          <w:rFonts w:ascii="標楷體" w:eastAsia="標楷體" w:hAnsi="標楷體" w:hint="eastAsia"/>
          <w:b/>
          <w:sz w:val="32"/>
          <w:szCs w:val="32"/>
        </w:rPr>
        <w:t>國家科學及技術委員會</w:t>
      </w:r>
      <w:r w:rsidRPr="00F37A80">
        <w:rPr>
          <w:rFonts w:ascii="標楷體" w:eastAsia="標楷體" w:hAnsi="標楷體" w:hint="eastAsia"/>
          <w:sz w:val="32"/>
          <w:szCs w:val="32"/>
        </w:rPr>
        <w:t xml:space="preserve">　　　　</w:t>
      </w:r>
      <w:r w:rsidRPr="00F37A80">
        <w:rPr>
          <w:rFonts w:ascii="標楷體" w:eastAsia="標楷體" w:hAnsi="標楷體"/>
          <w:sz w:val="32"/>
          <w:szCs w:val="32"/>
        </w:rPr>
        <w:t>主任委員</w:t>
      </w:r>
      <w:r w:rsidRPr="00F37A80">
        <w:rPr>
          <w:rFonts w:ascii="標楷體" w:eastAsia="標楷體" w:hAnsi="標楷體" w:hint="eastAsia"/>
          <w:sz w:val="32"/>
          <w:szCs w:val="32"/>
        </w:rPr>
        <w:t xml:space="preserve">　　</w:t>
      </w:r>
      <w:r w:rsidRPr="00F37A80">
        <w:rPr>
          <w:rFonts w:ascii="標楷體" w:eastAsia="標楷體" w:hAnsi="標楷體"/>
          <w:sz w:val="32"/>
          <w:szCs w:val="32"/>
        </w:rPr>
        <w:t>吳誠文</w:t>
      </w:r>
    </w:p>
    <w:p w14:paraId="49F8EEA9"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科技辦公室　　　　　　　　</w:t>
      </w:r>
      <w:r w:rsidRPr="00F37A80">
        <w:rPr>
          <w:rFonts w:ascii="標楷體" w:eastAsia="標楷體" w:hAnsi="標楷體"/>
          <w:sz w:val="32"/>
          <w:szCs w:val="32"/>
        </w:rPr>
        <w:t>副執行秘書</w:t>
      </w:r>
      <w:r w:rsidRPr="00F37A80">
        <w:rPr>
          <w:rFonts w:ascii="標楷體" w:eastAsia="標楷體" w:hAnsi="標楷體" w:hint="eastAsia"/>
          <w:sz w:val="32"/>
          <w:szCs w:val="32"/>
        </w:rPr>
        <w:t xml:space="preserve">　</w:t>
      </w:r>
      <w:r w:rsidRPr="00F37A80">
        <w:rPr>
          <w:rFonts w:ascii="標楷體" w:eastAsia="標楷體" w:hAnsi="標楷體"/>
          <w:sz w:val="32"/>
          <w:szCs w:val="32"/>
        </w:rPr>
        <w:t>呂佩融</w:t>
      </w:r>
    </w:p>
    <w:p w14:paraId="6DE8B3A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前瞻及應用科技處　　　　　</w:t>
      </w:r>
      <w:r w:rsidRPr="00F37A80">
        <w:rPr>
          <w:rFonts w:ascii="標楷體" w:eastAsia="標楷體" w:hAnsi="標楷體"/>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蔡妙慈</w:t>
      </w:r>
    </w:p>
    <w:p w14:paraId="13408A26"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主計處</w:t>
      </w:r>
      <w:r w:rsidRPr="00F37A80">
        <w:rPr>
          <w:rFonts w:ascii="標楷體" w:eastAsia="標楷體" w:hAnsi="標楷體"/>
          <w:sz w:val="32"/>
          <w:szCs w:val="32"/>
        </w:rPr>
        <w:t xml:space="preserve">　　</w:t>
      </w:r>
      <w:r w:rsidRPr="00F37A80">
        <w:rPr>
          <w:rFonts w:ascii="標楷體" w:eastAsia="標楷體" w:hAnsi="標楷體" w:hint="eastAsia"/>
          <w:sz w:val="32"/>
          <w:szCs w:val="32"/>
        </w:rPr>
        <w:t xml:space="preserve">　　　　　　　　</w:t>
      </w:r>
      <w:r w:rsidRPr="00F37A80">
        <w:rPr>
          <w:rFonts w:ascii="標楷體" w:eastAsia="標楷體" w:hAnsi="標楷體"/>
          <w:sz w:val="32"/>
          <w:szCs w:val="32"/>
        </w:rPr>
        <w:t>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廖玉燕</w:t>
      </w:r>
    </w:p>
    <w:p w14:paraId="2E00991D"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自然科學及永續研究發展處　</w:t>
      </w:r>
      <w:r w:rsidRPr="00F37A80">
        <w:rPr>
          <w:rFonts w:ascii="標楷體" w:eastAsia="標楷體" w:hAnsi="標楷體"/>
          <w:sz w:val="32"/>
          <w:szCs w:val="32"/>
        </w:rPr>
        <w:t>副處長</w:t>
      </w:r>
      <w:r w:rsidRPr="00F37A80">
        <w:rPr>
          <w:rFonts w:ascii="標楷體" w:eastAsia="標楷體" w:hAnsi="標楷體" w:hint="eastAsia"/>
          <w:sz w:val="32"/>
          <w:szCs w:val="32"/>
        </w:rPr>
        <w:t xml:space="preserve">　　</w:t>
      </w:r>
      <w:r w:rsidRPr="00F37A80">
        <w:rPr>
          <w:rFonts w:ascii="標楷體" w:eastAsia="標楷體" w:hAnsi="標楷體"/>
          <w:sz w:val="32"/>
          <w:szCs w:val="32"/>
        </w:rPr>
        <w:t xml:space="preserve">　陳小玲</w:t>
      </w:r>
    </w:p>
    <w:p w14:paraId="67FEC80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工程技術研究發展處</w:t>
      </w:r>
      <w:r w:rsidRPr="00F37A80">
        <w:rPr>
          <w:rFonts w:ascii="標楷體" w:eastAsia="標楷體" w:hAnsi="標楷體"/>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sz w:val="32"/>
          <w:szCs w:val="32"/>
        </w:rPr>
        <w:t xml:space="preserve">副處長　　</w:t>
      </w:r>
      <w:r w:rsidRPr="00F37A80">
        <w:rPr>
          <w:rFonts w:ascii="標楷體" w:eastAsia="標楷體" w:hAnsi="標楷體"/>
          <w:color w:val="000000" w:themeColor="text1"/>
          <w:sz w:val="32"/>
          <w:szCs w:val="32"/>
        </w:rPr>
        <w:t xml:space="preserve">　</w:t>
      </w:r>
      <w:r w:rsidRPr="00F37A80">
        <w:rPr>
          <w:rFonts w:ascii="標楷體" w:eastAsia="標楷體" w:hAnsi="標楷體"/>
          <w:sz w:val="32"/>
          <w:szCs w:val="32"/>
        </w:rPr>
        <w:t>郭　箐</w:t>
      </w:r>
    </w:p>
    <w:p w14:paraId="344D5E62"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產學及園區業務處</w:t>
      </w:r>
      <w:r w:rsidRPr="00F37A80">
        <w:rPr>
          <w:rFonts w:ascii="標楷體" w:eastAsia="標楷體" w:hAnsi="標楷體"/>
          <w:color w:val="000000" w:themeColor="text1"/>
          <w:sz w:val="32"/>
          <w:szCs w:val="32"/>
        </w:rPr>
        <w:t xml:space="preserve">　　　　　</w:t>
      </w:r>
      <w:r w:rsidRPr="00F37A80">
        <w:rPr>
          <w:rFonts w:ascii="標楷體" w:eastAsia="標楷體" w:hAnsi="標楷體"/>
          <w:sz w:val="32"/>
          <w:szCs w:val="32"/>
        </w:rPr>
        <w:t>處長　　　　許增如</w:t>
      </w:r>
    </w:p>
    <w:p w14:paraId="172AB045"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綜合規劃處</w:t>
      </w:r>
      <w:r w:rsidRPr="00F37A80">
        <w:rPr>
          <w:rFonts w:ascii="標楷體" w:eastAsia="標楷體" w:hAnsi="標楷體"/>
          <w:color w:val="000000" w:themeColor="text1"/>
          <w:sz w:val="32"/>
          <w:szCs w:val="32"/>
        </w:rPr>
        <w:t xml:space="preserve">　　　　　　　　</w:t>
      </w:r>
      <w:r w:rsidRPr="00F37A80">
        <w:rPr>
          <w:rFonts w:ascii="標楷體" w:eastAsia="標楷體" w:hAnsi="標楷體"/>
          <w:sz w:val="32"/>
          <w:szCs w:val="32"/>
        </w:rPr>
        <w:t>專門委員</w:t>
      </w:r>
      <w:r w:rsidRPr="00F37A80">
        <w:rPr>
          <w:rFonts w:ascii="標楷體" w:eastAsia="標楷體" w:hAnsi="標楷體"/>
          <w:color w:val="000000" w:themeColor="text1"/>
          <w:sz w:val="32"/>
          <w:szCs w:val="32"/>
        </w:rPr>
        <w:t xml:space="preserve">　　</w:t>
      </w:r>
      <w:r w:rsidRPr="00F37A80">
        <w:rPr>
          <w:rFonts w:ascii="標楷體" w:eastAsia="標楷體" w:hAnsi="標楷體"/>
          <w:sz w:val="32"/>
          <w:szCs w:val="32"/>
        </w:rPr>
        <w:t>許嘉文</w:t>
      </w:r>
    </w:p>
    <w:p w14:paraId="5BB8F24C"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財團法人國家實驗研究院</w:t>
      </w:r>
      <w:r w:rsidRPr="00F37A80">
        <w:rPr>
          <w:rFonts w:ascii="標楷體" w:eastAsia="標楷體" w:hAnsi="標楷體"/>
          <w:color w:val="000000" w:themeColor="text1"/>
          <w:sz w:val="32"/>
          <w:szCs w:val="32"/>
        </w:rPr>
        <w:t xml:space="preserve">　</w:t>
      </w:r>
      <w:r w:rsidRPr="00F37A80">
        <w:rPr>
          <w:rFonts w:ascii="標楷體" w:eastAsia="標楷體" w:hAnsi="標楷體" w:hint="eastAsia"/>
          <w:sz w:val="32"/>
          <w:szCs w:val="32"/>
        </w:rPr>
        <w:t xml:space="preserve">　</w:t>
      </w:r>
      <w:r w:rsidRPr="00F37A80">
        <w:rPr>
          <w:rFonts w:ascii="標楷體" w:eastAsia="標楷體" w:hAnsi="標楷體"/>
          <w:sz w:val="32"/>
          <w:szCs w:val="32"/>
        </w:rPr>
        <w:t xml:space="preserve">　副院長</w:t>
      </w:r>
      <w:r w:rsidRPr="00F37A80">
        <w:rPr>
          <w:rFonts w:ascii="標楷體" w:eastAsia="標楷體" w:hAnsi="標楷體"/>
          <w:b/>
          <w:color w:val="000000" w:themeColor="text1"/>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sz w:val="32"/>
          <w:szCs w:val="32"/>
        </w:rPr>
        <w:t>林博文</w:t>
      </w:r>
    </w:p>
    <w:p w14:paraId="61344664" w14:textId="77777777" w:rsidR="009D64D0" w:rsidRPr="00F37A80" w:rsidRDefault="009D64D0" w:rsidP="00F470A8">
      <w:pPr>
        <w:tabs>
          <w:tab w:val="left" w:pos="5245"/>
          <w:tab w:val="left" w:pos="5670"/>
          <w:tab w:val="left" w:pos="7938"/>
        </w:tabs>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 xml:space="preserve">　　　　　財團法人國家同步輻射研究中心</w:t>
      </w:r>
      <w:r w:rsidRPr="00F37A80">
        <w:rPr>
          <w:rFonts w:ascii="標楷體" w:eastAsia="標楷體" w:hAnsi="標楷體"/>
          <w:sz w:val="32"/>
          <w:szCs w:val="32"/>
        </w:rPr>
        <w:t>主任</w:t>
      </w:r>
      <w:r w:rsidRPr="00F37A80">
        <w:rPr>
          <w:rFonts w:ascii="標楷體" w:eastAsia="標楷體" w:hAnsi="標楷體" w:hint="eastAsia"/>
          <w:sz w:val="32"/>
          <w:szCs w:val="32"/>
        </w:rPr>
        <w:t xml:space="preserve">　</w:t>
      </w:r>
      <w:r w:rsidRPr="00F37A80">
        <w:rPr>
          <w:rFonts w:ascii="標楷體" w:eastAsia="標楷體" w:hAnsi="標楷體"/>
          <w:color w:val="000000" w:themeColor="text1"/>
          <w:sz w:val="32"/>
          <w:szCs w:val="32"/>
        </w:rPr>
        <w:t xml:space="preserve">　　</w:t>
      </w:r>
      <w:r w:rsidRPr="00F37A80">
        <w:rPr>
          <w:rFonts w:ascii="標楷體" w:eastAsia="標楷體" w:hAnsi="標楷體"/>
          <w:sz w:val="32"/>
          <w:szCs w:val="32"/>
        </w:rPr>
        <w:t xml:space="preserve">　徐嘉鴻</w:t>
      </w:r>
    </w:p>
    <w:p w14:paraId="2D7D630A" w14:textId="77777777" w:rsidR="009D64D0" w:rsidRPr="00F37A80" w:rsidRDefault="009D64D0" w:rsidP="00F470A8">
      <w:pPr>
        <w:pStyle w:val="21"/>
        <w:tabs>
          <w:tab w:val="left" w:pos="3660"/>
        </w:tabs>
        <w:overflowPunct w:val="0"/>
        <w:adjustRightInd w:val="0"/>
        <w:spacing w:line="480" w:lineRule="exact"/>
        <w:rPr>
          <w:kern w:val="16"/>
          <w:szCs w:val="32"/>
        </w:rPr>
      </w:pPr>
      <w:r w:rsidRPr="00F37A80">
        <w:rPr>
          <w:rFonts w:hint="eastAsia"/>
          <w:kern w:val="16"/>
          <w:szCs w:val="32"/>
        </w:rPr>
        <w:lastRenderedPageBreak/>
        <w:t>主　　席　陳召集委員玉珍</w:t>
      </w:r>
    </w:p>
    <w:p w14:paraId="3E4D4203" w14:textId="77777777" w:rsidR="009D64D0" w:rsidRPr="00F37A80" w:rsidRDefault="009D64D0" w:rsidP="00F470A8">
      <w:pPr>
        <w:tabs>
          <w:tab w:val="left" w:pos="3660"/>
        </w:tabs>
        <w:overflowPunct w:val="0"/>
        <w:autoSpaceDE w:val="0"/>
        <w:spacing w:line="480" w:lineRule="exact"/>
        <w:rPr>
          <w:rFonts w:ascii="標楷體" w:eastAsia="標楷體" w:hAnsi="標楷體"/>
          <w:color w:val="000000" w:themeColor="text1"/>
          <w:kern w:val="16"/>
          <w:sz w:val="32"/>
          <w:szCs w:val="32"/>
        </w:rPr>
      </w:pPr>
      <w:r w:rsidRPr="00F37A80">
        <w:rPr>
          <w:rFonts w:ascii="標楷體" w:eastAsia="標楷體" w:hAnsi="標楷體" w:cs="Courier New" w:hint="eastAsia"/>
          <w:color w:val="000000" w:themeColor="text1"/>
          <w:kern w:val="16"/>
          <w:sz w:val="32"/>
          <w:szCs w:val="32"/>
        </w:rPr>
        <w:t>專門委員</w:t>
      </w:r>
      <w:r w:rsidRPr="00F37A80">
        <w:rPr>
          <w:rFonts w:ascii="標楷體" w:eastAsia="標楷體" w:hAnsi="標楷體"/>
          <w:color w:val="000000" w:themeColor="text1"/>
          <w:kern w:val="16"/>
          <w:sz w:val="32"/>
          <w:szCs w:val="32"/>
        </w:rPr>
        <w:t xml:space="preserve">　</w:t>
      </w:r>
      <w:r w:rsidRPr="00F37A80">
        <w:rPr>
          <w:rFonts w:ascii="標楷體" w:eastAsia="標楷體" w:hAnsi="標楷體" w:hint="eastAsia"/>
          <w:color w:val="000000" w:themeColor="text1"/>
          <w:sz w:val="32"/>
          <w:szCs w:val="32"/>
        </w:rPr>
        <w:t>林靜玟</w:t>
      </w:r>
    </w:p>
    <w:p w14:paraId="34EA3C97" w14:textId="77777777" w:rsidR="009D64D0" w:rsidRPr="00F37A80" w:rsidRDefault="009D64D0" w:rsidP="00F470A8">
      <w:pPr>
        <w:overflowPunct w:val="0"/>
        <w:autoSpaceDE w:val="0"/>
        <w:spacing w:line="480" w:lineRule="exact"/>
        <w:rPr>
          <w:rFonts w:ascii="標楷體" w:eastAsia="標楷體" w:hAnsi="標楷體"/>
          <w:color w:val="000000" w:themeColor="text1"/>
          <w:kern w:val="16"/>
          <w:sz w:val="32"/>
          <w:szCs w:val="32"/>
        </w:rPr>
      </w:pPr>
      <w:r w:rsidRPr="00F37A80">
        <w:rPr>
          <w:rFonts w:ascii="標楷體" w:eastAsia="標楷體" w:hAnsi="標楷體"/>
          <w:color w:val="000000" w:themeColor="text1"/>
          <w:kern w:val="16"/>
          <w:sz w:val="32"/>
          <w:szCs w:val="32"/>
        </w:rPr>
        <w:t>主任秘書　謝淑津</w:t>
      </w:r>
    </w:p>
    <w:p w14:paraId="19233BFC" w14:textId="77777777" w:rsidR="009D64D0" w:rsidRPr="00F37A80" w:rsidRDefault="009D64D0" w:rsidP="00F470A8">
      <w:pPr>
        <w:overflowPunct w:val="0"/>
        <w:autoSpaceDE w:val="0"/>
        <w:spacing w:line="480" w:lineRule="exact"/>
        <w:ind w:left="1600" w:rightChars="-149" w:right="-358" w:hangingChars="500" w:hanging="1600"/>
        <w:jc w:val="both"/>
        <w:rPr>
          <w:rFonts w:ascii="標楷體" w:eastAsia="標楷體" w:hAnsi="標楷體"/>
          <w:color w:val="000000" w:themeColor="text1"/>
          <w:kern w:val="16"/>
          <w:sz w:val="32"/>
          <w:szCs w:val="32"/>
        </w:rPr>
      </w:pPr>
      <w:r w:rsidRPr="00F37A80">
        <w:rPr>
          <w:rFonts w:ascii="標楷體" w:eastAsia="標楷體" w:hAnsi="標楷體"/>
          <w:color w:val="000000" w:themeColor="text1"/>
          <w:sz w:val="32"/>
          <w:szCs w:val="32"/>
        </w:rPr>
        <w:t>紀　　錄</w:t>
      </w:r>
      <w:r w:rsidRPr="00F37A80">
        <w:rPr>
          <w:rFonts w:ascii="標楷體" w:eastAsia="標楷體" w:hAnsi="標楷體"/>
          <w:color w:val="000000" w:themeColor="text1"/>
          <w:kern w:val="16"/>
          <w:sz w:val="32"/>
          <w:szCs w:val="32"/>
        </w:rPr>
        <w:t xml:space="preserve">　</w:t>
      </w:r>
      <w:r w:rsidRPr="00F37A80">
        <w:rPr>
          <w:rFonts w:ascii="標楷體" w:eastAsia="標楷體" w:hAnsi="標楷體" w:hint="eastAsia"/>
          <w:color w:val="000000" w:themeColor="text1"/>
          <w:kern w:val="16"/>
          <w:sz w:val="32"/>
          <w:szCs w:val="32"/>
        </w:rPr>
        <w:t xml:space="preserve">秘　書　吳人寬　研究員　黃惠雯　編　審　</w:t>
      </w:r>
      <w:r w:rsidRPr="00F37A80">
        <w:rPr>
          <w:rFonts w:ascii="標楷體" w:eastAsia="標楷體" w:hAnsi="標楷體" w:hint="eastAsia"/>
          <w:color w:val="000000" w:themeColor="text1"/>
          <w:sz w:val="32"/>
          <w:szCs w:val="32"/>
        </w:rPr>
        <w:t>伍明清</w:t>
      </w:r>
      <w:r w:rsidRPr="00F37A80">
        <w:rPr>
          <w:rFonts w:ascii="標楷體" w:eastAsia="標楷體" w:hAnsi="標楷體" w:hint="eastAsia"/>
          <w:color w:val="000000" w:themeColor="text1"/>
          <w:kern w:val="16"/>
          <w:sz w:val="32"/>
          <w:szCs w:val="32"/>
        </w:rPr>
        <w:t xml:space="preserve">　</w:t>
      </w:r>
    </w:p>
    <w:p w14:paraId="77C0DED4" w14:textId="77777777" w:rsidR="009D64D0" w:rsidRPr="00F37A80" w:rsidRDefault="009D64D0" w:rsidP="00F470A8">
      <w:pPr>
        <w:tabs>
          <w:tab w:val="left" w:pos="3660"/>
        </w:tabs>
        <w:overflowPunct w:val="0"/>
        <w:autoSpaceDE w:val="0"/>
        <w:spacing w:line="480" w:lineRule="exact"/>
        <w:rPr>
          <w:rFonts w:ascii="標楷體" w:eastAsia="標楷體" w:hAnsi="標楷體"/>
          <w:color w:val="000000" w:themeColor="text1"/>
          <w:kern w:val="16"/>
          <w:sz w:val="32"/>
          <w:szCs w:val="32"/>
        </w:rPr>
      </w:pPr>
      <w:r w:rsidRPr="00F37A80">
        <w:rPr>
          <w:rFonts w:ascii="標楷體" w:eastAsia="標楷體" w:hAnsi="標楷體" w:hint="eastAsia"/>
          <w:color w:val="000000" w:themeColor="text1"/>
          <w:kern w:val="16"/>
          <w:sz w:val="32"/>
          <w:szCs w:val="32"/>
        </w:rPr>
        <w:t xml:space="preserve">　　　　　科　長　喻　珊　專　員　沈克彬　</w:t>
      </w:r>
    </w:p>
    <w:p w14:paraId="3D315244" w14:textId="77777777" w:rsidR="009D64D0" w:rsidRPr="00F37A80" w:rsidRDefault="009D64D0" w:rsidP="00F470A8">
      <w:pPr>
        <w:overflowPunct w:val="0"/>
        <w:autoSpaceDE w:val="0"/>
        <w:spacing w:before="180" w:line="480" w:lineRule="exact"/>
        <w:ind w:left="643"/>
        <w:jc w:val="both"/>
        <w:rPr>
          <w:rFonts w:ascii="標楷體" w:eastAsia="標楷體" w:hAnsi="標楷體"/>
          <w:sz w:val="32"/>
          <w:szCs w:val="32"/>
        </w:rPr>
      </w:pPr>
      <w:r w:rsidRPr="00F37A80">
        <w:rPr>
          <w:rFonts w:ascii="標楷體" w:eastAsia="標楷體" w:hAnsi="標楷體" w:cs="Courier New"/>
          <w:b/>
          <w:sz w:val="32"/>
          <w:szCs w:val="32"/>
        </w:rPr>
        <w:t>報告</w:t>
      </w:r>
      <w:r w:rsidRPr="00F37A80">
        <w:rPr>
          <w:rFonts w:ascii="標楷體" w:eastAsia="標楷體" w:hAnsi="標楷體"/>
          <w:b/>
          <w:sz w:val="32"/>
          <w:szCs w:val="32"/>
        </w:rPr>
        <w:t>事項</w:t>
      </w:r>
    </w:p>
    <w:p w14:paraId="282DE03C" w14:textId="77777777" w:rsidR="009D64D0" w:rsidRPr="00F37A80" w:rsidRDefault="009D64D0" w:rsidP="00F470A8">
      <w:pPr>
        <w:overflowPunct w:val="0"/>
        <w:spacing w:line="480" w:lineRule="exact"/>
        <w:jc w:val="both"/>
        <w:rPr>
          <w:rFonts w:ascii="標楷體" w:eastAsia="標楷體" w:hAnsi="標楷體"/>
          <w:b/>
          <w:sz w:val="32"/>
          <w:szCs w:val="32"/>
        </w:rPr>
      </w:pPr>
      <w:r w:rsidRPr="00F37A80">
        <w:rPr>
          <w:rFonts w:ascii="標楷體" w:eastAsia="標楷體" w:hAnsi="標楷體" w:hint="eastAsia"/>
          <w:b/>
          <w:sz w:val="32"/>
          <w:szCs w:val="32"/>
        </w:rPr>
        <w:t>邀請相關部會首長就「中央政府前瞻基礎建設計畫第</w:t>
      </w:r>
      <w:r w:rsidRPr="00F37A80">
        <w:rPr>
          <w:rFonts w:ascii="標楷體" w:eastAsia="標楷體" w:hAnsi="標楷體"/>
          <w:b/>
          <w:sz w:val="32"/>
          <w:szCs w:val="32"/>
        </w:rPr>
        <w:t>4期特別預算執行情形及成效」進行專題報告，並備質詢。</w:t>
      </w:r>
    </w:p>
    <w:p w14:paraId="030015FF" w14:textId="77777777" w:rsidR="009D64D0" w:rsidRPr="00F37A80" w:rsidRDefault="009D64D0" w:rsidP="00F470A8">
      <w:pPr>
        <w:overflowPunct w:val="0"/>
        <w:autoSpaceDE w:val="0"/>
        <w:spacing w:before="180" w:line="480" w:lineRule="exact"/>
        <w:ind w:left="643"/>
        <w:jc w:val="both"/>
        <w:rPr>
          <w:rFonts w:ascii="標楷體" w:eastAsia="標楷體" w:hAnsi="標楷體"/>
          <w:b/>
          <w:sz w:val="32"/>
          <w:szCs w:val="32"/>
        </w:rPr>
      </w:pPr>
      <w:r w:rsidRPr="00F37A80">
        <w:rPr>
          <w:rFonts w:ascii="標楷體" w:eastAsia="標楷體" w:hAnsi="標楷體"/>
          <w:b/>
          <w:sz w:val="32"/>
          <w:szCs w:val="32"/>
        </w:rPr>
        <w:t>討論事項</w:t>
      </w:r>
    </w:p>
    <w:p w14:paraId="355893F4" w14:textId="77777777" w:rsidR="009D64D0" w:rsidRPr="00F37A80" w:rsidRDefault="009D64D0" w:rsidP="00F470A8">
      <w:pPr>
        <w:overflowPunct w:val="0"/>
        <w:spacing w:line="480" w:lineRule="exact"/>
        <w:jc w:val="both"/>
        <w:rPr>
          <w:rFonts w:ascii="標楷體" w:eastAsia="標楷體" w:hAnsi="標楷體"/>
          <w:b/>
          <w:sz w:val="32"/>
          <w:szCs w:val="32"/>
        </w:rPr>
      </w:pPr>
      <w:r w:rsidRPr="00F37A80">
        <w:rPr>
          <w:rFonts w:ascii="標楷體" w:eastAsia="標楷體" w:hAnsi="標楷體" w:hint="eastAsia"/>
          <w:b/>
          <w:sz w:val="32"/>
          <w:szCs w:val="32"/>
        </w:rPr>
        <w:t>審查行政院函請審議「中央政府前瞻基礎建設計畫第</w:t>
      </w:r>
      <w:r w:rsidRPr="00F37A80">
        <w:rPr>
          <w:rFonts w:ascii="標楷體" w:eastAsia="標楷體" w:hAnsi="標楷體"/>
          <w:b/>
          <w:sz w:val="32"/>
          <w:szCs w:val="32"/>
        </w:rPr>
        <w:t>5期特別預算案(114年度)」。</w:t>
      </w:r>
    </w:p>
    <w:p w14:paraId="2230D9F3" w14:textId="77777777" w:rsidR="009D64D0" w:rsidRPr="00F37A80" w:rsidRDefault="009D64D0" w:rsidP="00F470A8">
      <w:pPr>
        <w:overflowPunct w:val="0"/>
        <w:spacing w:line="480" w:lineRule="exact"/>
        <w:ind w:left="160" w:hangingChars="50" w:hanging="160"/>
        <w:jc w:val="both"/>
        <w:rPr>
          <w:rFonts w:ascii="標楷體" w:eastAsia="標楷體" w:hAnsi="標楷體"/>
          <w:sz w:val="32"/>
          <w:szCs w:val="32"/>
        </w:rPr>
      </w:pPr>
      <w:r w:rsidRPr="00F37A80">
        <w:rPr>
          <w:rFonts w:ascii="標楷體" w:eastAsia="標楷體" w:hAnsi="標楷體" w:hint="eastAsia"/>
          <w:sz w:val="32"/>
          <w:szCs w:val="32"/>
        </w:rPr>
        <w:t>[報告、討論事項合併詢答，經行政院主計總處主計長陳淑姿、經濟部政務次長何晉滄、交通部常務次長林國顯、內政部政務次長董建宏、數位發展部部長黃彥男、農業部部長陳駿季、教育部部長鄭英耀、國家科學及技術委員會主任委員吳誠文、文化部部長李遠就中央政府前瞻基礎建設計畫第</w:t>
      </w:r>
      <w:r w:rsidRPr="00F37A80">
        <w:rPr>
          <w:rFonts w:ascii="標楷體" w:eastAsia="標楷體" w:hAnsi="標楷體"/>
          <w:sz w:val="32"/>
          <w:szCs w:val="32"/>
        </w:rPr>
        <w:t>4期特別預算</w:t>
      </w:r>
      <w:r w:rsidRPr="00F37A80">
        <w:rPr>
          <w:rFonts w:ascii="標楷體" w:eastAsia="標楷體" w:hAnsi="標楷體" w:hint="eastAsia"/>
          <w:sz w:val="32"/>
          <w:szCs w:val="32"/>
        </w:rPr>
        <w:t>執行情形成效及第</w:t>
      </w:r>
      <w:r w:rsidRPr="00F37A80">
        <w:rPr>
          <w:rFonts w:ascii="標楷體" w:eastAsia="標楷體" w:hAnsi="標楷體"/>
          <w:sz w:val="32"/>
          <w:szCs w:val="32"/>
        </w:rPr>
        <w:t>5期特別預算案(114年度)提出報告後，計有委員林德福、吳秉叡、</w:t>
      </w:r>
      <w:r w:rsidRPr="00F37A80">
        <w:rPr>
          <w:rFonts w:ascii="標楷體" w:eastAsia="標楷體" w:hAnsi="標楷體" w:hint="eastAsia"/>
          <w:sz w:val="32"/>
          <w:szCs w:val="32"/>
        </w:rPr>
        <w:t>李坤城、陳亭妃</w:t>
      </w:r>
      <w:r w:rsidRPr="00F37A80">
        <w:rPr>
          <w:rFonts w:ascii="標楷體" w:eastAsia="標楷體" w:hAnsi="標楷體"/>
          <w:sz w:val="32"/>
          <w:szCs w:val="32"/>
        </w:rPr>
        <w:t>、賴瑞隆</w:t>
      </w:r>
      <w:r w:rsidRPr="00F37A80">
        <w:rPr>
          <w:rFonts w:ascii="標楷體" w:eastAsia="標楷體" w:hAnsi="標楷體" w:hint="eastAsia"/>
          <w:sz w:val="32"/>
          <w:szCs w:val="32"/>
        </w:rPr>
        <w:t>、</w:t>
      </w:r>
      <w:r w:rsidRPr="00F37A80">
        <w:rPr>
          <w:rFonts w:ascii="標楷體" w:eastAsia="標楷體" w:hAnsi="標楷體"/>
          <w:sz w:val="32"/>
          <w:szCs w:val="32"/>
        </w:rPr>
        <w:t>林宜瑾、郭國文、賴惠員、賴士葆、洪孟楷、</w:t>
      </w:r>
      <w:r w:rsidRPr="00F37A80">
        <w:rPr>
          <w:rFonts w:ascii="標楷體" w:eastAsia="標楷體" w:hAnsi="標楷體" w:hint="eastAsia"/>
          <w:sz w:val="32"/>
          <w:szCs w:val="32"/>
        </w:rPr>
        <w:t>顏寬恒、</w:t>
      </w:r>
      <w:r w:rsidRPr="00F37A80">
        <w:rPr>
          <w:rFonts w:ascii="標楷體" w:eastAsia="標楷體" w:hAnsi="標楷體"/>
          <w:sz w:val="32"/>
          <w:szCs w:val="32"/>
        </w:rPr>
        <w:t>萬美玲、</w:t>
      </w:r>
      <w:r w:rsidRPr="00F37A80">
        <w:rPr>
          <w:rFonts w:ascii="標楷體" w:eastAsia="標楷體" w:hAnsi="標楷體" w:hint="eastAsia"/>
          <w:sz w:val="32"/>
          <w:szCs w:val="32"/>
        </w:rPr>
        <w:t>王世堅、蘇巧慧、王美惠、張雅琳、柯志恩、王鴻薇、陳超明、陳菁徽、伍麗華、</w:t>
      </w:r>
      <w:r w:rsidRPr="00F37A80">
        <w:rPr>
          <w:rFonts w:ascii="標楷體" w:eastAsia="標楷體" w:hAnsi="標楷體"/>
          <w:sz w:val="32"/>
          <w:szCs w:val="32"/>
        </w:rPr>
        <w:t>李昆澤</w:t>
      </w:r>
      <w:r w:rsidRPr="00F37A80">
        <w:rPr>
          <w:rFonts w:ascii="標楷體" w:eastAsia="標楷體" w:hAnsi="標楷體" w:hint="eastAsia"/>
          <w:sz w:val="32"/>
          <w:szCs w:val="32"/>
        </w:rPr>
        <w:t>、黃秀芳、吳沛憶、林月琴、郭昱晴、陳秀寳、陳培瑜、李柏毅、</w:t>
      </w:r>
      <w:r w:rsidRPr="00F37A80">
        <w:rPr>
          <w:rFonts w:ascii="標楷體" w:eastAsia="標楷體" w:hAnsi="標楷體"/>
          <w:sz w:val="32"/>
          <w:szCs w:val="32"/>
        </w:rPr>
        <w:t>張智倫</w:t>
      </w:r>
      <w:r w:rsidRPr="00F37A80">
        <w:rPr>
          <w:rFonts w:ascii="標楷體" w:eastAsia="標楷體" w:hAnsi="標楷體" w:hint="eastAsia"/>
          <w:sz w:val="32"/>
          <w:szCs w:val="32"/>
        </w:rPr>
        <w:t>、李彥秀、</w:t>
      </w:r>
      <w:r w:rsidRPr="00F37A80">
        <w:rPr>
          <w:rFonts w:ascii="標楷體" w:eastAsia="標楷體" w:hAnsi="標楷體"/>
          <w:sz w:val="32"/>
          <w:szCs w:val="32"/>
        </w:rPr>
        <w:t>黃健豪</w:t>
      </w:r>
      <w:r w:rsidRPr="00F37A80">
        <w:rPr>
          <w:rFonts w:ascii="標楷體" w:eastAsia="標楷體" w:hAnsi="標楷體" w:hint="eastAsia"/>
          <w:sz w:val="32"/>
          <w:szCs w:val="32"/>
        </w:rPr>
        <w:t>、</w:t>
      </w:r>
      <w:r w:rsidRPr="00F37A80">
        <w:rPr>
          <w:rFonts w:ascii="標楷體" w:eastAsia="標楷體" w:hAnsi="標楷體"/>
          <w:sz w:val="32"/>
          <w:szCs w:val="32"/>
        </w:rPr>
        <w:t>徐富癸</w:t>
      </w:r>
      <w:r w:rsidRPr="00F37A80">
        <w:rPr>
          <w:rFonts w:ascii="標楷體" w:eastAsia="標楷體" w:hAnsi="標楷體" w:hint="eastAsia"/>
          <w:sz w:val="32"/>
          <w:szCs w:val="32"/>
        </w:rPr>
        <w:t>、</w:t>
      </w:r>
      <w:r w:rsidRPr="00F37A80">
        <w:rPr>
          <w:rFonts w:ascii="標楷體" w:eastAsia="標楷體" w:hAnsi="標楷體"/>
          <w:sz w:val="32"/>
          <w:szCs w:val="32"/>
        </w:rPr>
        <w:t>張宏陸</w:t>
      </w:r>
      <w:r w:rsidRPr="00F37A80">
        <w:rPr>
          <w:rFonts w:ascii="標楷體" w:eastAsia="標楷體" w:hAnsi="標楷體" w:hint="eastAsia"/>
          <w:sz w:val="32"/>
          <w:szCs w:val="32"/>
        </w:rPr>
        <w:t>、謝衣鳯、</w:t>
      </w:r>
      <w:r w:rsidRPr="00F37A80">
        <w:rPr>
          <w:rFonts w:ascii="標楷體" w:eastAsia="標楷體" w:hAnsi="標楷體"/>
          <w:sz w:val="32"/>
          <w:szCs w:val="32"/>
        </w:rPr>
        <w:t>楊瓊瓔</w:t>
      </w:r>
      <w:r w:rsidRPr="00F37A80">
        <w:rPr>
          <w:rFonts w:ascii="標楷體" w:eastAsia="標楷體" w:hAnsi="標楷體" w:hint="eastAsia"/>
          <w:sz w:val="32"/>
          <w:szCs w:val="32"/>
        </w:rPr>
        <w:t>、劉建國、</w:t>
      </w:r>
      <w:r w:rsidRPr="00F37A80">
        <w:rPr>
          <w:rFonts w:ascii="標楷體" w:eastAsia="標楷體" w:hAnsi="標楷體"/>
          <w:sz w:val="32"/>
          <w:szCs w:val="32"/>
        </w:rPr>
        <w:t>范雲</w:t>
      </w:r>
      <w:r w:rsidRPr="00F37A80">
        <w:rPr>
          <w:rFonts w:ascii="標楷體" w:eastAsia="標楷體" w:hAnsi="標楷體" w:hint="eastAsia"/>
          <w:sz w:val="32"/>
          <w:szCs w:val="32"/>
        </w:rPr>
        <w:t>、游顥、林倩綺、</w:t>
      </w:r>
      <w:r w:rsidRPr="00F37A80">
        <w:rPr>
          <w:rFonts w:ascii="標楷體" w:eastAsia="標楷體" w:hAnsi="標楷體"/>
          <w:sz w:val="32"/>
          <w:szCs w:val="32"/>
        </w:rPr>
        <w:t>王正旭</w:t>
      </w:r>
      <w:r w:rsidRPr="00F37A80">
        <w:rPr>
          <w:rFonts w:ascii="標楷體" w:eastAsia="標楷體" w:hAnsi="標楷體" w:hint="eastAsia"/>
          <w:sz w:val="32"/>
          <w:szCs w:val="32"/>
        </w:rPr>
        <w:t>、</w:t>
      </w:r>
      <w:r w:rsidRPr="00F37A80">
        <w:rPr>
          <w:rFonts w:ascii="標楷體" w:eastAsia="標楷體" w:hAnsi="標楷體"/>
          <w:sz w:val="32"/>
          <w:szCs w:val="32"/>
        </w:rPr>
        <w:t>何欣純</w:t>
      </w:r>
      <w:r w:rsidRPr="00F37A80">
        <w:rPr>
          <w:rFonts w:ascii="標楷體" w:eastAsia="標楷體" w:hAnsi="標楷體" w:hint="eastAsia"/>
          <w:sz w:val="32"/>
          <w:szCs w:val="32"/>
        </w:rPr>
        <w:t>、</w:t>
      </w:r>
      <w:r w:rsidRPr="00F37A80">
        <w:rPr>
          <w:rFonts w:ascii="標楷體" w:eastAsia="標楷體" w:hAnsi="標楷體"/>
          <w:sz w:val="32"/>
          <w:szCs w:val="32"/>
        </w:rPr>
        <w:t>羅明才</w:t>
      </w:r>
      <w:r w:rsidRPr="00F37A80">
        <w:rPr>
          <w:rFonts w:ascii="標楷體" w:eastAsia="標楷體" w:hAnsi="標楷體" w:hint="eastAsia"/>
          <w:sz w:val="32"/>
          <w:szCs w:val="32"/>
        </w:rPr>
        <w:t>、</w:t>
      </w:r>
      <w:r w:rsidRPr="00F37A80">
        <w:rPr>
          <w:rFonts w:ascii="標楷體" w:eastAsia="標楷體" w:hAnsi="標楷體"/>
          <w:sz w:val="32"/>
          <w:szCs w:val="32"/>
        </w:rPr>
        <w:t>鄭正鈐</w:t>
      </w:r>
      <w:r w:rsidRPr="00F37A80">
        <w:rPr>
          <w:rFonts w:ascii="標楷體" w:eastAsia="標楷體" w:hAnsi="標楷體" w:hint="eastAsia"/>
          <w:sz w:val="32"/>
          <w:szCs w:val="32"/>
        </w:rPr>
        <w:t>、</w:t>
      </w:r>
      <w:r w:rsidRPr="00F37A80">
        <w:rPr>
          <w:rFonts w:ascii="標楷體" w:eastAsia="標楷體" w:hAnsi="標楷體"/>
          <w:sz w:val="32"/>
          <w:szCs w:val="32"/>
        </w:rPr>
        <w:t>王育敏</w:t>
      </w:r>
      <w:r w:rsidRPr="00F37A80">
        <w:rPr>
          <w:rFonts w:ascii="標楷體" w:eastAsia="標楷體" w:hAnsi="標楷體" w:hint="eastAsia"/>
          <w:sz w:val="32"/>
          <w:szCs w:val="32"/>
        </w:rPr>
        <w:t>、</w:t>
      </w:r>
      <w:r w:rsidRPr="00F37A80">
        <w:rPr>
          <w:rFonts w:ascii="標楷體" w:eastAsia="標楷體" w:hAnsi="標楷體"/>
          <w:sz w:val="32"/>
          <w:szCs w:val="32"/>
        </w:rPr>
        <w:t>陳玉珍</w:t>
      </w:r>
      <w:r w:rsidRPr="00F37A80">
        <w:rPr>
          <w:rFonts w:ascii="標楷體" w:eastAsia="標楷體" w:hAnsi="標楷體" w:hint="eastAsia"/>
          <w:sz w:val="32"/>
          <w:szCs w:val="32"/>
        </w:rPr>
        <w:t>、</w:t>
      </w:r>
      <w:r w:rsidRPr="00F37A80">
        <w:rPr>
          <w:rFonts w:ascii="標楷體" w:eastAsia="標楷體" w:hAnsi="標楷體"/>
          <w:sz w:val="32"/>
          <w:szCs w:val="32"/>
        </w:rPr>
        <w:t>葛如鈞</w:t>
      </w:r>
      <w:r w:rsidRPr="00F37A80">
        <w:rPr>
          <w:rFonts w:ascii="標楷體" w:eastAsia="標楷體" w:hAnsi="標楷體" w:hint="eastAsia"/>
          <w:sz w:val="32"/>
          <w:szCs w:val="32"/>
        </w:rPr>
        <w:t>、</w:t>
      </w:r>
      <w:r w:rsidRPr="00F37A80">
        <w:rPr>
          <w:rFonts w:ascii="標楷體" w:eastAsia="標楷體" w:hAnsi="標楷體"/>
          <w:sz w:val="32"/>
          <w:szCs w:val="32"/>
        </w:rPr>
        <w:t>邱志偉</w:t>
      </w:r>
      <w:r w:rsidRPr="00F37A80">
        <w:rPr>
          <w:rFonts w:ascii="標楷體" w:eastAsia="標楷體" w:hAnsi="標楷體" w:hint="eastAsia"/>
          <w:sz w:val="32"/>
          <w:szCs w:val="32"/>
        </w:rPr>
        <w:t>、</w:t>
      </w:r>
      <w:r w:rsidRPr="00F37A80">
        <w:rPr>
          <w:rFonts w:ascii="標楷體" w:eastAsia="標楷體" w:hAnsi="標楷體"/>
          <w:sz w:val="32"/>
          <w:szCs w:val="32"/>
        </w:rPr>
        <w:t>羅廷瑋</w:t>
      </w:r>
      <w:r w:rsidRPr="00F37A80">
        <w:rPr>
          <w:rFonts w:ascii="標楷體" w:eastAsia="標楷體" w:hAnsi="標楷體" w:hint="eastAsia"/>
          <w:sz w:val="32"/>
          <w:szCs w:val="32"/>
        </w:rPr>
        <w:t>、</w:t>
      </w:r>
      <w:r w:rsidRPr="00F37A80">
        <w:rPr>
          <w:rFonts w:ascii="標楷體" w:eastAsia="標楷體" w:hAnsi="標楷體"/>
          <w:sz w:val="32"/>
          <w:szCs w:val="32"/>
        </w:rPr>
        <w:t>盧縣一</w:t>
      </w:r>
      <w:r w:rsidRPr="00F37A80">
        <w:rPr>
          <w:rFonts w:ascii="標楷體" w:eastAsia="標楷體" w:hAnsi="標楷體" w:hint="eastAsia"/>
          <w:sz w:val="32"/>
          <w:szCs w:val="32"/>
        </w:rPr>
        <w:t>、</w:t>
      </w:r>
      <w:r w:rsidRPr="00F37A80">
        <w:rPr>
          <w:rFonts w:ascii="標楷體" w:eastAsia="標楷體" w:hAnsi="標楷體"/>
          <w:sz w:val="32"/>
          <w:szCs w:val="32"/>
        </w:rPr>
        <w:t>吳春城</w:t>
      </w:r>
      <w:r w:rsidRPr="00F37A80">
        <w:rPr>
          <w:rFonts w:ascii="標楷體" w:eastAsia="標楷體" w:hAnsi="標楷體" w:hint="eastAsia"/>
          <w:sz w:val="32"/>
          <w:szCs w:val="32"/>
        </w:rPr>
        <w:t>、</w:t>
      </w:r>
      <w:r w:rsidRPr="00F37A80">
        <w:rPr>
          <w:rFonts w:ascii="標楷體" w:eastAsia="標楷體" w:hAnsi="標楷體"/>
          <w:sz w:val="32"/>
          <w:szCs w:val="32"/>
        </w:rPr>
        <w:t>黃珊珊</w:t>
      </w:r>
      <w:r w:rsidRPr="00F37A80">
        <w:rPr>
          <w:rFonts w:ascii="標楷體" w:eastAsia="標楷體" w:hAnsi="標楷體" w:hint="eastAsia"/>
          <w:sz w:val="32"/>
          <w:szCs w:val="32"/>
        </w:rPr>
        <w:t>、</w:t>
      </w:r>
      <w:r w:rsidRPr="00F37A80">
        <w:rPr>
          <w:rFonts w:ascii="標楷體" w:eastAsia="標楷體" w:hAnsi="標楷體"/>
          <w:sz w:val="32"/>
          <w:szCs w:val="32"/>
        </w:rPr>
        <w:t>林俊憲、</w:t>
      </w:r>
      <w:r w:rsidRPr="00F37A80">
        <w:rPr>
          <w:rFonts w:ascii="標楷體" w:eastAsia="標楷體" w:hAnsi="標楷體" w:hint="eastAsia"/>
          <w:sz w:val="32"/>
          <w:szCs w:val="32"/>
        </w:rPr>
        <w:t>黃國昌</w:t>
      </w:r>
      <w:r w:rsidRPr="00F37A80">
        <w:rPr>
          <w:rFonts w:ascii="標楷體" w:eastAsia="標楷體" w:hAnsi="標楷體"/>
          <w:sz w:val="32"/>
          <w:szCs w:val="32"/>
        </w:rPr>
        <w:t>等</w:t>
      </w:r>
      <w:r w:rsidRPr="00F37A80">
        <w:rPr>
          <w:rFonts w:ascii="標楷體" w:eastAsia="標楷體" w:hAnsi="標楷體" w:hint="eastAsia"/>
          <w:sz w:val="32"/>
          <w:szCs w:val="32"/>
        </w:rPr>
        <w:t>5</w:t>
      </w:r>
      <w:r w:rsidRPr="00F37A80">
        <w:rPr>
          <w:rFonts w:ascii="標楷體" w:eastAsia="標楷體" w:hAnsi="標楷體"/>
          <w:sz w:val="32"/>
          <w:szCs w:val="32"/>
        </w:rPr>
        <w:t>4人提出質詢，均經行政院主計總處主計長</w:t>
      </w:r>
      <w:r w:rsidRPr="00F37A80">
        <w:rPr>
          <w:rFonts w:ascii="標楷體" w:eastAsia="標楷體" w:hAnsi="標楷體" w:hint="eastAsia"/>
          <w:sz w:val="32"/>
          <w:szCs w:val="32"/>
        </w:rPr>
        <w:t>陳淑姿、</w:t>
      </w:r>
      <w:r w:rsidRPr="00F37A80">
        <w:rPr>
          <w:rFonts w:ascii="標楷體" w:eastAsia="標楷體" w:hAnsi="標楷體"/>
          <w:sz w:val="32"/>
          <w:szCs w:val="32"/>
        </w:rPr>
        <w:t>交通部</w:t>
      </w:r>
      <w:r w:rsidRPr="00F37A80">
        <w:rPr>
          <w:rFonts w:ascii="標楷體" w:eastAsia="標楷體" w:hAnsi="標楷體" w:hint="eastAsia"/>
          <w:sz w:val="32"/>
          <w:szCs w:val="32"/>
        </w:rPr>
        <w:t>常</w:t>
      </w:r>
      <w:r w:rsidRPr="00F37A80">
        <w:rPr>
          <w:rFonts w:ascii="標楷體" w:eastAsia="標楷體" w:hAnsi="標楷體"/>
          <w:sz w:val="32"/>
          <w:szCs w:val="32"/>
        </w:rPr>
        <w:t>務次長</w:t>
      </w:r>
      <w:r w:rsidRPr="00F37A80">
        <w:rPr>
          <w:rFonts w:ascii="標楷體" w:eastAsia="標楷體" w:hAnsi="標楷體" w:hint="eastAsia"/>
          <w:sz w:val="32"/>
          <w:szCs w:val="32"/>
        </w:rPr>
        <w:t>林國顯</w:t>
      </w:r>
      <w:r w:rsidRPr="00F37A80">
        <w:rPr>
          <w:rFonts w:ascii="標楷體" w:eastAsia="標楷體" w:hAnsi="標楷體"/>
          <w:sz w:val="32"/>
          <w:szCs w:val="32"/>
        </w:rPr>
        <w:t>、</w:t>
      </w:r>
      <w:r w:rsidRPr="00F37A80">
        <w:rPr>
          <w:rFonts w:ascii="標楷體" w:eastAsia="標楷體" w:hAnsi="標楷體" w:hint="eastAsia"/>
          <w:sz w:val="32"/>
          <w:szCs w:val="32"/>
        </w:rPr>
        <w:t>農業部部長陳駿季、國家科學及技術委員會主任委員吳誠文</w:t>
      </w:r>
      <w:r w:rsidRPr="00F37A80">
        <w:rPr>
          <w:rFonts w:ascii="標楷體" w:eastAsia="標楷體" w:hAnsi="標楷體"/>
          <w:sz w:val="32"/>
          <w:szCs w:val="32"/>
        </w:rPr>
        <w:t>、國家發展委員會</w:t>
      </w:r>
      <w:r w:rsidRPr="00F37A80">
        <w:rPr>
          <w:rFonts w:ascii="標楷體" w:eastAsia="標楷體" w:hAnsi="標楷體" w:hint="eastAsia"/>
          <w:sz w:val="32"/>
          <w:szCs w:val="32"/>
        </w:rPr>
        <w:t>副</w:t>
      </w:r>
      <w:r w:rsidRPr="00F37A80">
        <w:rPr>
          <w:rFonts w:ascii="標楷體" w:eastAsia="標楷體" w:hAnsi="標楷體"/>
          <w:sz w:val="32"/>
          <w:szCs w:val="32"/>
        </w:rPr>
        <w:t>主任委員</w:t>
      </w:r>
      <w:r w:rsidRPr="00F37A80">
        <w:rPr>
          <w:rFonts w:ascii="標楷體" w:eastAsia="標楷體" w:hAnsi="標楷體" w:hint="eastAsia"/>
          <w:sz w:val="32"/>
          <w:szCs w:val="32"/>
        </w:rPr>
        <w:t>詹方冠</w:t>
      </w:r>
      <w:r w:rsidRPr="00F37A80">
        <w:rPr>
          <w:rFonts w:ascii="標楷體" w:eastAsia="標楷體" w:hAnsi="標楷體"/>
          <w:sz w:val="32"/>
          <w:szCs w:val="32"/>
        </w:rPr>
        <w:t>、</w:t>
      </w:r>
      <w:r w:rsidRPr="00F37A80">
        <w:rPr>
          <w:rFonts w:ascii="標楷體" w:eastAsia="標楷體" w:hAnsi="標楷體" w:hint="eastAsia"/>
          <w:sz w:val="32"/>
          <w:szCs w:val="32"/>
        </w:rPr>
        <w:t>文化</w:t>
      </w:r>
      <w:r w:rsidRPr="00F37A80">
        <w:rPr>
          <w:rFonts w:ascii="標楷體" w:eastAsia="標楷體" w:hAnsi="標楷體"/>
          <w:sz w:val="32"/>
          <w:szCs w:val="32"/>
        </w:rPr>
        <w:t>部</w:t>
      </w:r>
      <w:r w:rsidRPr="00F37A80">
        <w:rPr>
          <w:rFonts w:ascii="標楷體" w:eastAsia="標楷體" w:hAnsi="標楷體" w:hint="eastAsia"/>
          <w:sz w:val="32"/>
          <w:szCs w:val="32"/>
        </w:rPr>
        <w:t>部</w:t>
      </w:r>
      <w:r w:rsidRPr="00F37A80">
        <w:rPr>
          <w:rFonts w:ascii="標楷體" w:eastAsia="標楷體" w:hAnsi="標楷體"/>
          <w:sz w:val="32"/>
          <w:szCs w:val="32"/>
        </w:rPr>
        <w:t>長</w:t>
      </w:r>
      <w:r w:rsidRPr="00F37A80">
        <w:rPr>
          <w:rFonts w:ascii="標楷體" w:eastAsia="標楷體" w:hAnsi="標楷體" w:hint="eastAsia"/>
          <w:sz w:val="32"/>
          <w:szCs w:val="32"/>
        </w:rPr>
        <w:t>李遠</w:t>
      </w:r>
      <w:r w:rsidRPr="00F37A80">
        <w:rPr>
          <w:rFonts w:ascii="標楷體" w:eastAsia="標楷體" w:hAnsi="標楷體"/>
          <w:sz w:val="32"/>
          <w:szCs w:val="32"/>
        </w:rPr>
        <w:t>、</w:t>
      </w:r>
      <w:r w:rsidRPr="00F37A80">
        <w:rPr>
          <w:rFonts w:ascii="標楷體" w:eastAsia="標楷體" w:hAnsi="標楷體" w:hint="eastAsia"/>
          <w:sz w:val="32"/>
          <w:szCs w:val="32"/>
        </w:rPr>
        <w:t>內政部政務次長董建宏、</w:t>
      </w:r>
      <w:r w:rsidRPr="00F37A80">
        <w:rPr>
          <w:rFonts w:ascii="標楷體" w:eastAsia="標楷體" w:hAnsi="標楷體"/>
          <w:sz w:val="32"/>
          <w:szCs w:val="32"/>
        </w:rPr>
        <w:t>衛生福利部部長</w:t>
      </w:r>
      <w:r w:rsidRPr="00F37A80">
        <w:rPr>
          <w:rFonts w:ascii="標楷體" w:eastAsia="標楷體" w:hAnsi="標楷體" w:hint="eastAsia"/>
          <w:sz w:val="32"/>
          <w:szCs w:val="32"/>
        </w:rPr>
        <w:t>邱泰源</w:t>
      </w:r>
      <w:r w:rsidRPr="00F37A80">
        <w:rPr>
          <w:rFonts w:ascii="標楷體" w:eastAsia="標楷體" w:hAnsi="標楷體"/>
          <w:sz w:val="32"/>
          <w:szCs w:val="32"/>
        </w:rPr>
        <w:t>、</w:t>
      </w:r>
      <w:r w:rsidRPr="00F37A80">
        <w:rPr>
          <w:rFonts w:ascii="標楷體" w:eastAsia="標楷體" w:hAnsi="標楷體" w:hint="eastAsia"/>
          <w:sz w:val="32"/>
          <w:szCs w:val="32"/>
        </w:rPr>
        <w:t>教育部部長鄭英耀、國立故宮博物院院長蕭宗煌、經濟部政務次長何晉滄、勞動部</w:t>
      </w:r>
      <w:r w:rsidRPr="00F37A80">
        <w:rPr>
          <w:rFonts w:ascii="標楷體" w:eastAsia="標楷體" w:hAnsi="標楷體" w:hint="eastAsia"/>
          <w:sz w:val="32"/>
          <w:szCs w:val="32"/>
        </w:rPr>
        <w:lastRenderedPageBreak/>
        <w:t>常務次長陳明仁、環境部部長彭啓明、客家委員會主任委員古秀妃、原住民族委員會主任委員曾智勇、數位發展部部長黃彥男、行政院公共工程委員會主任委員陳金德、財政部國庫署署長陳柏誠</w:t>
      </w:r>
      <w:r w:rsidRPr="00F37A80">
        <w:rPr>
          <w:rFonts w:ascii="標楷體" w:eastAsia="標楷體" w:hAnsi="標楷體"/>
          <w:sz w:val="32"/>
          <w:szCs w:val="32"/>
        </w:rPr>
        <w:t>及相關人員予以答復。</w:t>
      </w:r>
      <w:r w:rsidRPr="00F37A80">
        <w:rPr>
          <w:rFonts w:ascii="標楷體" w:eastAsia="標楷體" w:hAnsi="標楷體" w:hint="eastAsia"/>
          <w:sz w:val="32"/>
          <w:szCs w:val="32"/>
        </w:rPr>
        <w:t>]</w:t>
      </w:r>
    </w:p>
    <w:p w14:paraId="472615BF" w14:textId="77777777" w:rsidR="009D64D0" w:rsidRPr="00F37A80" w:rsidRDefault="009D64D0" w:rsidP="00F470A8">
      <w:pPr>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決議：</w:t>
      </w:r>
    </w:p>
    <w:p w14:paraId="1B1D0B64" w14:textId="77777777" w:rsidR="009D64D0" w:rsidRPr="00F37A80" w:rsidRDefault="009D64D0" w:rsidP="00F470A8">
      <w:pPr>
        <w:overflowPunct w:val="0"/>
        <w:spacing w:line="480" w:lineRule="exact"/>
        <w:jc w:val="both"/>
        <w:rPr>
          <w:rFonts w:ascii="標楷體" w:eastAsia="標楷體" w:hAnsi="標楷體"/>
          <w:sz w:val="32"/>
          <w:szCs w:val="32"/>
        </w:rPr>
      </w:pPr>
      <w:r w:rsidRPr="00F37A80">
        <w:rPr>
          <w:rFonts w:ascii="標楷體" w:eastAsia="標楷體" w:hAnsi="標楷體" w:hint="eastAsia"/>
          <w:sz w:val="32"/>
          <w:szCs w:val="32"/>
        </w:rPr>
        <w:t>一、報告、說明及詢答完畢。</w:t>
      </w:r>
    </w:p>
    <w:p w14:paraId="444ACE59" w14:textId="77777777" w:rsidR="009D64D0" w:rsidRPr="00F37A80" w:rsidRDefault="009D64D0" w:rsidP="00F470A8">
      <w:pPr>
        <w:overflowPunct w:val="0"/>
        <w:spacing w:line="480" w:lineRule="exact"/>
        <w:ind w:left="640" w:hangingChars="200" w:hanging="640"/>
        <w:jc w:val="both"/>
        <w:rPr>
          <w:rFonts w:ascii="標楷體" w:eastAsia="標楷體" w:hAnsi="標楷體"/>
          <w:sz w:val="32"/>
          <w:szCs w:val="32"/>
        </w:rPr>
      </w:pPr>
      <w:r w:rsidRPr="00F37A80">
        <w:rPr>
          <w:rFonts w:ascii="標楷體" w:eastAsia="標楷體" w:hAnsi="標楷體" w:hint="eastAsia"/>
          <w:sz w:val="32"/>
          <w:szCs w:val="32"/>
        </w:rPr>
        <w:t>二、委員質詢未及答復或請補充資訊，請相關部會於一週內以書面答復；委員另要求期限者，從其所定。</w:t>
      </w:r>
    </w:p>
    <w:p w14:paraId="04DB1011" w14:textId="77777777" w:rsidR="009D64D0" w:rsidRPr="00F37A80" w:rsidRDefault="009D64D0" w:rsidP="00F470A8">
      <w:pPr>
        <w:overflowPunct w:val="0"/>
        <w:spacing w:line="480" w:lineRule="exact"/>
        <w:ind w:left="640" w:hangingChars="200" w:hanging="640"/>
        <w:jc w:val="both"/>
        <w:rPr>
          <w:rFonts w:ascii="標楷體" w:eastAsia="標楷體" w:hAnsi="標楷體"/>
          <w:sz w:val="32"/>
          <w:szCs w:val="32"/>
        </w:rPr>
      </w:pPr>
      <w:r w:rsidRPr="00F37A80">
        <w:rPr>
          <w:rFonts w:ascii="標楷體" w:eastAsia="標楷體" w:hAnsi="標楷體" w:hint="eastAsia"/>
          <w:sz w:val="32"/>
          <w:szCs w:val="32"/>
        </w:rPr>
        <w:t>三、委員蘇清泉、陳昭姿、蔡其昌、張嘉郡、陳素月、邱議瑩、葉元之、邱鎮軍、蔡易餘所提書面質詢，均列入紀錄，刊登公報，並請相關部會以書面答復。</w:t>
      </w:r>
    </w:p>
    <w:p w14:paraId="63040695" w14:textId="77777777" w:rsidR="009D64D0" w:rsidRPr="00F37A80" w:rsidRDefault="009D64D0" w:rsidP="00F470A8">
      <w:pPr>
        <w:overflowPunct w:val="0"/>
        <w:spacing w:line="480" w:lineRule="exact"/>
        <w:ind w:left="640" w:hangingChars="200" w:hanging="640"/>
        <w:jc w:val="both"/>
        <w:rPr>
          <w:rFonts w:ascii="標楷體" w:eastAsia="標楷體" w:hAnsi="標楷體"/>
          <w:sz w:val="32"/>
          <w:szCs w:val="32"/>
        </w:rPr>
      </w:pPr>
      <w:r w:rsidRPr="00F37A80">
        <w:rPr>
          <w:rFonts w:ascii="標楷體" w:eastAsia="標楷體" w:hAnsi="標楷體" w:hint="eastAsia"/>
          <w:sz w:val="32"/>
          <w:szCs w:val="32"/>
        </w:rPr>
        <w:t>四、中央政府前瞻基礎建設計畫第</w:t>
      </w:r>
      <w:r w:rsidRPr="00F37A80">
        <w:rPr>
          <w:rFonts w:ascii="標楷體" w:eastAsia="標楷體" w:hAnsi="標楷體"/>
          <w:sz w:val="32"/>
          <w:szCs w:val="32"/>
        </w:rPr>
        <w:t>5期特別預算案(114年度)，</w:t>
      </w:r>
      <w:r w:rsidRPr="00F37A80">
        <w:rPr>
          <w:rFonts w:ascii="標楷體" w:eastAsia="標楷體" w:hAnsi="標楷體"/>
          <w:b/>
          <w:sz w:val="32"/>
          <w:szCs w:val="32"/>
        </w:rPr>
        <w:t>另擇期繼續審查</w:t>
      </w:r>
      <w:r w:rsidRPr="00F37A80">
        <w:rPr>
          <w:rFonts w:ascii="標楷體" w:eastAsia="標楷體" w:hAnsi="標楷體"/>
          <w:sz w:val="32"/>
          <w:szCs w:val="32"/>
        </w:rPr>
        <w:t>。</w:t>
      </w:r>
    </w:p>
    <w:p w14:paraId="2C7D7AFD" w14:textId="77777777" w:rsidR="009D64D0" w:rsidRPr="00F37A80" w:rsidRDefault="009D64D0" w:rsidP="00F470A8">
      <w:pPr>
        <w:overflowPunct w:val="0"/>
        <w:spacing w:line="480" w:lineRule="exact"/>
        <w:ind w:left="640" w:hangingChars="200" w:hanging="640"/>
        <w:jc w:val="both"/>
        <w:rPr>
          <w:rFonts w:ascii="標楷體" w:eastAsia="標楷體" w:hAnsi="標楷體"/>
          <w:color w:val="000000" w:themeColor="text1"/>
          <w:sz w:val="32"/>
          <w:szCs w:val="32"/>
        </w:rPr>
      </w:pPr>
      <w:r w:rsidRPr="00F37A80">
        <w:rPr>
          <w:rFonts w:ascii="標楷體" w:eastAsia="標楷體" w:hAnsi="標楷體" w:hint="eastAsia"/>
          <w:sz w:val="32"/>
          <w:szCs w:val="32"/>
        </w:rPr>
        <w:t>五、各委員如有相關預算提案，請於</w:t>
      </w:r>
      <w:r w:rsidRPr="00F37A80">
        <w:rPr>
          <w:rFonts w:ascii="標楷體" w:eastAsia="標楷體" w:hAnsi="標楷體" w:hint="eastAsia"/>
          <w:b/>
          <w:sz w:val="32"/>
          <w:szCs w:val="32"/>
        </w:rPr>
        <w:t>11月</w:t>
      </w:r>
      <w:r w:rsidRPr="00F37A80">
        <w:rPr>
          <w:rFonts w:ascii="標楷體" w:eastAsia="標楷體" w:hAnsi="標楷體"/>
          <w:b/>
          <w:sz w:val="32"/>
          <w:szCs w:val="32"/>
        </w:rPr>
        <w:t>27</w:t>
      </w:r>
      <w:r w:rsidRPr="00F37A80">
        <w:rPr>
          <w:rFonts w:ascii="標楷體" w:eastAsia="標楷體" w:hAnsi="標楷體" w:hint="eastAsia"/>
          <w:b/>
          <w:sz w:val="32"/>
          <w:szCs w:val="32"/>
        </w:rPr>
        <w:t>日(星期三)中午12點以前</w:t>
      </w:r>
      <w:r w:rsidRPr="00F37A80">
        <w:rPr>
          <w:rFonts w:ascii="標楷體" w:eastAsia="標楷體" w:hAnsi="標楷體" w:hint="eastAsia"/>
          <w:sz w:val="32"/>
          <w:szCs w:val="32"/>
        </w:rPr>
        <w:t>送至財政委員會議事人員收件。</w:t>
      </w:r>
    </w:p>
    <w:p w14:paraId="64E41539" w14:textId="77777777" w:rsidR="009D64D0" w:rsidRPr="00F37A80" w:rsidRDefault="009D64D0" w:rsidP="00F470A8">
      <w:pPr>
        <w:overflowPunct w:val="0"/>
        <w:spacing w:beforeLines="50" w:before="180" w:line="480" w:lineRule="exact"/>
        <w:jc w:val="both"/>
        <w:rPr>
          <w:rFonts w:ascii="標楷體" w:eastAsia="標楷體" w:hAnsi="標楷體"/>
          <w:b/>
          <w:sz w:val="32"/>
          <w:szCs w:val="32"/>
        </w:rPr>
      </w:pPr>
      <w:r w:rsidRPr="00F37A80">
        <w:rPr>
          <w:rFonts w:ascii="標楷體" w:eastAsia="標楷體" w:hAnsi="標楷體" w:hint="eastAsia"/>
          <w:b/>
          <w:sz w:val="32"/>
          <w:szCs w:val="32"/>
        </w:rPr>
        <w:t>散會</w:t>
      </w:r>
    </w:p>
    <w:p w14:paraId="1D0F1954"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674B7B63" w14:textId="77777777" w:rsidR="009D64D0" w:rsidRPr="00BC7E20" w:rsidRDefault="009D64D0" w:rsidP="00F470A8">
      <w:pPr>
        <w:overflowPunct w:val="0"/>
        <w:snapToGrid w:val="0"/>
        <w:spacing w:line="480" w:lineRule="exact"/>
        <w:jc w:val="distribute"/>
        <w:outlineLvl w:val="2"/>
        <w:rPr>
          <w:rFonts w:ascii="標楷體" w:eastAsia="標楷體" w:hAnsi="標楷體"/>
          <w:b/>
          <w:spacing w:val="-20"/>
          <w:sz w:val="32"/>
          <w:szCs w:val="32"/>
        </w:rPr>
      </w:pPr>
      <w:bookmarkStart w:id="150" w:name="_Toc189487334"/>
      <w:r w:rsidRPr="00BC7E20">
        <w:rPr>
          <w:rFonts w:ascii="標楷體" w:eastAsia="標楷體" w:hAnsi="標楷體"/>
          <w:b/>
          <w:spacing w:val="-20"/>
          <w:sz w:val="32"/>
          <w:szCs w:val="32"/>
        </w:rPr>
        <w:lastRenderedPageBreak/>
        <w:t>立法院第1</w:t>
      </w:r>
      <w:r w:rsidRPr="00BC7E20">
        <w:rPr>
          <w:rFonts w:ascii="標楷體" w:eastAsia="標楷體" w:hAnsi="標楷體" w:hint="eastAsia"/>
          <w:b/>
          <w:spacing w:val="-20"/>
          <w:sz w:val="32"/>
          <w:szCs w:val="32"/>
        </w:rPr>
        <w:t>1</w:t>
      </w:r>
      <w:r w:rsidRPr="00BC7E20">
        <w:rPr>
          <w:rFonts w:ascii="標楷體" w:eastAsia="標楷體" w:hAnsi="標楷體"/>
          <w:b/>
          <w:spacing w:val="-20"/>
          <w:sz w:val="32"/>
          <w:szCs w:val="32"/>
        </w:rPr>
        <w:t>屆第</w:t>
      </w:r>
      <w:r w:rsidRPr="00BC7E20">
        <w:rPr>
          <w:rFonts w:ascii="標楷體" w:eastAsia="標楷體" w:hAnsi="標楷體" w:hint="eastAsia"/>
          <w:b/>
          <w:spacing w:val="-20"/>
          <w:sz w:val="32"/>
          <w:szCs w:val="32"/>
        </w:rPr>
        <w:t>2</w:t>
      </w:r>
      <w:r w:rsidRPr="00BC7E20">
        <w:rPr>
          <w:rFonts w:ascii="標楷體" w:eastAsia="標楷體" w:hAnsi="標楷體"/>
          <w:b/>
          <w:spacing w:val="-20"/>
          <w:sz w:val="32"/>
          <w:szCs w:val="32"/>
        </w:rPr>
        <w:t>會期財政、經濟委員會第</w:t>
      </w:r>
      <w:r w:rsidRPr="00BC7E20">
        <w:rPr>
          <w:rFonts w:ascii="標楷體" w:eastAsia="標楷體" w:hAnsi="標楷體" w:hint="eastAsia"/>
          <w:b/>
          <w:spacing w:val="-20"/>
          <w:sz w:val="32"/>
          <w:szCs w:val="32"/>
        </w:rPr>
        <w:t>1</w:t>
      </w:r>
      <w:r w:rsidRPr="00BC7E20">
        <w:rPr>
          <w:rFonts w:ascii="標楷體" w:eastAsia="標楷體" w:hAnsi="標楷體"/>
          <w:b/>
          <w:spacing w:val="-20"/>
          <w:sz w:val="32"/>
          <w:szCs w:val="32"/>
        </w:rPr>
        <w:t>次聯席會議議事錄</w:t>
      </w:r>
      <w:bookmarkEnd w:id="150"/>
    </w:p>
    <w:p w14:paraId="55C976EE" w14:textId="77777777" w:rsidR="009D64D0" w:rsidRPr="00BC7E20" w:rsidRDefault="009D64D0" w:rsidP="00F470A8">
      <w:pPr>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時　　間　</w:t>
      </w:r>
      <w:r w:rsidRPr="00BC7E20">
        <w:rPr>
          <w:rFonts w:ascii="標楷體" w:eastAsia="標楷體" w:hAnsi="標楷體" w:hint="eastAsia"/>
          <w:color w:val="000000" w:themeColor="text1"/>
          <w:w w:val="95"/>
          <w:sz w:val="32"/>
          <w:szCs w:val="32"/>
        </w:rPr>
        <w:t>中華民國</w:t>
      </w:r>
      <w:r w:rsidRPr="00BC7E20">
        <w:rPr>
          <w:rFonts w:ascii="標楷體" w:eastAsia="標楷體" w:hAnsi="標楷體"/>
          <w:color w:val="000000" w:themeColor="text1"/>
          <w:w w:val="95"/>
          <w:sz w:val="32"/>
          <w:szCs w:val="32"/>
        </w:rPr>
        <w:t>113</w:t>
      </w:r>
      <w:r w:rsidRPr="00BC7E20">
        <w:rPr>
          <w:rFonts w:ascii="標楷體" w:eastAsia="標楷體" w:hAnsi="標楷體" w:hint="eastAsia"/>
          <w:color w:val="000000" w:themeColor="text1"/>
          <w:w w:val="95"/>
          <w:sz w:val="32"/>
          <w:szCs w:val="32"/>
        </w:rPr>
        <w:t>年11月27日（星期三）</w:t>
      </w:r>
      <w:r w:rsidRPr="00BC7E20">
        <w:rPr>
          <w:rFonts w:ascii="標楷體" w:eastAsia="標楷體" w:hAnsi="標楷體"/>
          <w:color w:val="000000" w:themeColor="text1"/>
          <w:w w:val="95"/>
          <w:sz w:val="32"/>
          <w:szCs w:val="32"/>
        </w:rPr>
        <w:t>9</w:t>
      </w:r>
      <w:r w:rsidRPr="00BC7E20">
        <w:rPr>
          <w:rFonts w:ascii="標楷體" w:eastAsia="標楷體" w:hAnsi="標楷體" w:hint="eastAsia"/>
          <w:color w:val="000000" w:themeColor="text1"/>
          <w:w w:val="95"/>
          <w:sz w:val="32"/>
          <w:szCs w:val="32"/>
        </w:rPr>
        <w:t>時</w:t>
      </w:r>
      <w:r w:rsidRPr="00BC7E20">
        <w:rPr>
          <w:rFonts w:ascii="標楷體" w:eastAsia="標楷體" w:hAnsi="標楷體"/>
          <w:color w:val="000000" w:themeColor="text1"/>
          <w:w w:val="95"/>
          <w:sz w:val="32"/>
          <w:szCs w:val="32"/>
        </w:rPr>
        <w:t>3</w:t>
      </w:r>
      <w:r w:rsidRPr="00BC7E20">
        <w:rPr>
          <w:rFonts w:ascii="標楷體" w:eastAsia="標楷體" w:hAnsi="標楷體" w:hint="eastAsia"/>
          <w:color w:val="000000" w:themeColor="text1"/>
          <w:w w:val="95"/>
          <w:sz w:val="32"/>
          <w:szCs w:val="32"/>
        </w:rPr>
        <w:t>分至1</w:t>
      </w:r>
      <w:r w:rsidRPr="00BC7E20">
        <w:rPr>
          <w:rFonts w:ascii="標楷體" w:eastAsia="標楷體" w:hAnsi="標楷體"/>
          <w:color w:val="000000" w:themeColor="text1"/>
          <w:w w:val="95"/>
          <w:sz w:val="32"/>
          <w:szCs w:val="32"/>
        </w:rPr>
        <w:t>4</w:t>
      </w:r>
      <w:r w:rsidRPr="00BC7E20">
        <w:rPr>
          <w:rFonts w:ascii="標楷體" w:eastAsia="標楷體" w:hAnsi="標楷體" w:hint="eastAsia"/>
          <w:color w:val="000000" w:themeColor="text1"/>
          <w:w w:val="95"/>
          <w:sz w:val="32"/>
          <w:szCs w:val="32"/>
        </w:rPr>
        <w:t>時33分</w:t>
      </w:r>
    </w:p>
    <w:p w14:paraId="2CE46CDE" w14:textId="77777777" w:rsidR="009D64D0" w:rsidRPr="00BC7E20" w:rsidRDefault="009D64D0" w:rsidP="00F470A8">
      <w:pPr>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地　　點　群賢樓9樓大禮堂</w:t>
      </w:r>
    </w:p>
    <w:p w14:paraId="52314369" w14:textId="77777777" w:rsidR="009D64D0" w:rsidRPr="00BC7E20" w:rsidRDefault="009D64D0" w:rsidP="00F470A8">
      <w:pPr>
        <w:overflowPunct w:val="0"/>
        <w:autoSpaceDE w:val="0"/>
        <w:spacing w:line="480" w:lineRule="exact"/>
        <w:ind w:left="1600" w:rightChars="100" w:right="240" w:hangingChars="500" w:hanging="1600"/>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出席委員　吳秉叡　郭國文　</w:t>
      </w:r>
      <w:r w:rsidRPr="00BC7E20">
        <w:rPr>
          <w:rFonts w:ascii="標楷體" w:eastAsia="標楷體" w:hAnsi="標楷體"/>
          <w:color w:val="000000" w:themeColor="text1"/>
          <w:sz w:val="32"/>
          <w:szCs w:val="32"/>
        </w:rPr>
        <w:t xml:space="preserve">賴瑞隆　</w:t>
      </w:r>
      <w:r w:rsidRPr="00BC7E20">
        <w:rPr>
          <w:rFonts w:ascii="標楷體" w:eastAsia="標楷體" w:hAnsi="標楷體" w:hint="eastAsia"/>
          <w:color w:val="000000" w:themeColor="text1"/>
          <w:sz w:val="32"/>
          <w:szCs w:val="32"/>
        </w:rPr>
        <w:t>賴士葆　賴惠員　林德福　張啓楷　鄭正鈐</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 xml:space="preserve">顏寬恒　</w:t>
      </w:r>
      <w:r w:rsidRPr="00BC7E20">
        <w:rPr>
          <w:rFonts w:ascii="標楷體" w:eastAsia="標楷體" w:hAnsi="標楷體"/>
          <w:color w:val="000000" w:themeColor="text1"/>
          <w:sz w:val="32"/>
          <w:szCs w:val="32"/>
        </w:rPr>
        <w:t xml:space="preserve">楊瓊瓔　陳亭妃　</w:t>
      </w:r>
      <w:r w:rsidRPr="00BC7E20">
        <w:rPr>
          <w:rFonts w:ascii="標楷體" w:eastAsia="標楷體" w:hAnsi="標楷體" w:hint="eastAsia"/>
          <w:color w:val="000000" w:themeColor="text1"/>
          <w:sz w:val="32"/>
          <w:szCs w:val="32"/>
        </w:rPr>
        <w:t>黃珊珊　李坤城　伍麗華</w:t>
      </w:r>
      <w:r w:rsidRPr="00BC7E20">
        <w:rPr>
          <w:rFonts w:ascii="標楷體" w:eastAsia="標楷體" w:hAnsi="標楷體" w:hint="eastAsia"/>
          <w:color w:val="000000" w:themeColor="text1"/>
          <w:spacing w:val="-18"/>
          <w:sz w:val="32"/>
          <w:szCs w:val="32"/>
        </w:rPr>
        <w:t>Saidhai Tahovecahe</w:t>
      </w:r>
      <w:r w:rsidRPr="00BC7E20">
        <w:rPr>
          <w:rFonts w:ascii="標楷體" w:eastAsia="標楷體" w:hAnsi="標楷體" w:hint="eastAsia"/>
          <w:color w:val="000000" w:themeColor="text1"/>
          <w:sz w:val="32"/>
          <w:szCs w:val="32"/>
        </w:rPr>
        <w:t xml:space="preserve">　張嘉郡</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蔡易餘</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鄭天財</w:t>
      </w:r>
      <w:r w:rsidRPr="00BC7E20">
        <w:rPr>
          <w:rFonts w:ascii="標楷體" w:eastAsia="標楷體" w:hAnsi="標楷體"/>
          <w:color w:val="000000" w:themeColor="text1"/>
          <w:spacing w:val="-20"/>
          <w:sz w:val="32"/>
          <w:szCs w:val="32"/>
        </w:rPr>
        <w:t>Sra Kacaw</w:t>
      </w:r>
      <w:r w:rsidRPr="00BC7E20">
        <w:rPr>
          <w:rFonts w:ascii="標楷體" w:eastAsia="標楷體" w:hAnsi="標楷體" w:hint="eastAsia"/>
          <w:color w:val="000000" w:themeColor="text1"/>
          <w:sz w:val="32"/>
          <w:szCs w:val="32"/>
        </w:rPr>
        <w:t xml:space="preserve">　王鴻薇　陳玉珍　邱議瑩</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羅明才</w:t>
      </w:r>
      <w:r w:rsidRPr="00BC7E20">
        <w:rPr>
          <w:rFonts w:ascii="標楷體" w:eastAsia="標楷體" w:hAnsi="標楷體"/>
          <w:color w:val="000000" w:themeColor="text1"/>
          <w:sz w:val="32"/>
          <w:szCs w:val="32"/>
        </w:rPr>
        <w:t xml:space="preserve">　邱志偉　</w:t>
      </w:r>
      <w:r w:rsidRPr="00BC7E20">
        <w:rPr>
          <w:rFonts w:ascii="標楷體" w:eastAsia="標楷體" w:hAnsi="標楷體" w:hint="eastAsia"/>
          <w:color w:val="000000" w:themeColor="text1"/>
          <w:sz w:val="32"/>
          <w:szCs w:val="32"/>
        </w:rPr>
        <w:t>謝衣鳯</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 xml:space="preserve">王世堅　</w:t>
      </w:r>
      <w:r w:rsidRPr="00BC7E20">
        <w:rPr>
          <w:rFonts w:ascii="標楷體" w:eastAsia="標楷體" w:hAnsi="標楷體"/>
          <w:color w:val="000000" w:themeColor="text1"/>
          <w:sz w:val="32"/>
          <w:szCs w:val="32"/>
        </w:rPr>
        <w:t>林岱樺</w:t>
      </w:r>
      <w:r w:rsidRPr="00BC7E20">
        <w:rPr>
          <w:rFonts w:ascii="標楷體" w:eastAsia="標楷體" w:hAnsi="標楷體" w:hint="eastAsia"/>
          <w:color w:val="000000" w:themeColor="text1"/>
          <w:sz w:val="32"/>
          <w:szCs w:val="32"/>
        </w:rPr>
        <w:t xml:space="preserve">　陳超明</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呂玉玲</w:t>
      </w:r>
      <w:r w:rsidRPr="00BC7E20">
        <w:rPr>
          <w:rFonts w:ascii="標楷體" w:eastAsia="標楷體" w:hAnsi="標楷體"/>
          <w:color w:val="000000" w:themeColor="text1"/>
          <w:sz w:val="32"/>
          <w:szCs w:val="32"/>
        </w:rPr>
        <w:t xml:space="preserve">　</w:t>
      </w:r>
    </w:p>
    <w:p w14:paraId="46F3E6EA" w14:textId="77777777" w:rsidR="009D64D0" w:rsidRPr="00BC7E20" w:rsidRDefault="009D64D0" w:rsidP="00F470A8">
      <w:pPr>
        <w:tabs>
          <w:tab w:val="left" w:pos="5812"/>
          <w:tab w:val="left" w:pos="6379"/>
          <w:tab w:val="left" w:pos="6521"/>
          <w:tab w:val="left" w:pos="6804"/>
          <w:tab w:val="left" w:pos="7797"/>
          <w:tab w:val="left" w:pos="8080"/>
          <w:tab w:val="left" w:pos="8222"/>
        </w:tabs>
        <w:overflowPunct w:val="0"/>
        <w:spacing w:line="480" w:lineRule="exact"/>
        <w:ind w:left="1600" w:right="320" w:hanging="1600"/>
        <w:rPr>
          <w:rFonts w:ascii="標楷體" w:eastAsia="標楷體" w:hAnsi="標楷體"/>
          <w:b/>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委員出席27人</w:t>
      </w:r>
      <w:r w:rsidRPr="00BC7E20">
        <w:rPr>
          <w:rFonts w:ascii="標楷體" w:eastAsia="標楷體" w:hAnsi="標楷體"/>
          <w:color w:val="000000" w:themeColor="text1"/>
          <w:sz w:val="32"/>
          <w:szCs w:val="32"/>
        </w:rPr>
        <w:t xml:space="preserve">　</w:t>
      </w:r>
    </w:p>
    <w:p w14:paraId="15EE7BB2" w14:textId="77777777" w:rsidR="009D64D0" w:rsidRPr="00BC7E20" w:rsidRDefault="009D64D0" w:rsidP="00F470A8">
      <w:pPr>
        <w:overflowPunct w:val="0"/>
        <w:autoSpaceDE w:val="0"/>
        <w:spacing w:line="480" w:lineRule="exact"/>
        <w:ind w:left="1600" w:rightChars="100" w:right="240" w:hangingChars="500" w:hanging="1600"/>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列席委員　黃國昌　</w:t>
      </w:r>
      <w:r w:rsidRPr="00BC7E20">
        <w:rPr>
          <w:rFonts w:ascii="標楷體" w:eastAsia="標楷體" w:hAnsi="標楷體"/>
          <w:color w:val="000000" w:themeColor="text1"/>
          <w:sz w:val="32"/>
          <w:szCs w:val="32"/>
        </w:rPr>
        <w:t xml:space="preserve">鍾佳濱　</w:t>
      </w:r>
      <w:r w:rsidRPr="00BC7E20">
        <w:rPr>
          <w:rFonts w:ascii="標楷體" w:eastAsia="標楷體" w:hAnsi="標楷體" w:hint="eastAsia"/>
          <w:color w:val="000000" w:themeColor="text1"/>
          <w:sz w:val="32"/>
          <w:szCs w:val="32"/>
        </w:rPr>
        <w:t>牛煦庭　林楚茵</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蘇清泉</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徐欣瑩</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葉元之</w:t>
      </w:r>
      <w:r w:rsidRPr="00BC7E20">
        <w:rPr>
          <w:rFonts w:ascii="標楷體" w:eastAsia="標楷體" w:hAnsi="標楷體"/>
          <w:color w:val="000000" w:themeColor="text1"/>
          <w:sz w:val="32"/>
          <w:szCs w:val="32"/>
        </w:rPr>
        <w:t xml:space="preserve">　洪孟楷　</w:t>
      </w:r>
    </w:p>
    <w:p w14:paraId="790C2996" w14:textId="77777777" w:rsidR="009D64D0" w:rsidRPr="00BC7E20" w:rsidRDefault="009D64D0" w:rsidP="00F470A8">
      <w:pPr>
        <w:tabs>
          <w:tab w:val="left" w:pos="5812"/>
          <w:tab w:val="left" w:pos="6379"/>
          <w:tab w:val="left" w:pos="6521"/>
          <w:tab w:val="left" w:pos="6804"/>
          <w:tab w:val="left" w:pos="7797"/>
          <w:tab w:val="left" w:pos="8080"/>
          <w:tab w:val="left" w:pos="8222"/>
        </w:tabs>
        <w:overflowPunct w:val="0"/>
        <w:spacing w:line="480" w:lineRule="exact"/>
        <w:ind w:left="1600" w:right="320" w:hanging="1600"/>
        <w:rPr>
          <w:rFonts w:ascii="標楷體" w:eastAsia="標楷體" w:hAnsi="標楷體"/>
          <w:b/>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b/>
          <w:color w:val="000000" w:themeColor="text1"/>
          <w:sz w:val="32"/>
          <w:szCs w:val="32"/>
        </w:rPr>
        <w:t>委員列席</w:t>
      </w:r>
      <w:r w:rsidRPr="00BC7E20">
        <w:rPr>
          <w:rFonts w:ascii="標楷體" w:eastAsia="標楷體" w:hAnsi="標楷體"/>
          <w:b/>
          <w:color w:val="000000" w:themeColor="text1"/>
          <w:sz w:val="32"/>
          <w:szCs w:val="32"/>
        </w:rPr>
        <w:t>8</w:t>
      </w:r>
      <w:r w:rsidRPr="00BC7E20">
        <w:rPr>
          <w:rFonts w:ascii="標楷體" w:eastAsia="標楷體" w:hAnsi="標楷體" w:hint="eastAsia"/>
          <w:b/>
          <w:color w:val="000000" w:themeColor="text1"/>
          <w:sz w:val="32"/>
          <w:szCs w:val="32"/>
        </w:rPr>
        <w:t>人</w:t>
      </w:r>
    </w:p>
    <w:p w14:paraId="62A45C19" w14:textId="77777777" w:rsidR="009D64D0" w:rsidRPr="00BC7E20" w:rsidRDefault="009D64D0" w:rsidP="00F470A8">
      <w:pPr>
        <w:tabs>
          <w:tab w:val="left" w:pos="5812"/>
          <w:tab w:val="left" w:pos="6379"/>
          <w:tab w:val="left" w:pos="6521"/>
          <w:tab w:val="left" w:pos="6804"/>
          <w:tab w:val="left" w:pos="7797"/>
          <w:tab w:val="left" w:pos="8080"/>
          <w:tab w:val="left" w:pos="8222"/>
        </w:tabs>
        <w:overflowPunct w:val="0"/>
        <w:spacing w:line="480" w:lineRule="exact"/>
        <w:ind w:left="1600" w:right="320" w:hanging="1600"/>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請假委員　李彥秀</w:t>
      </w:r>
    </w:p>
    <w:p w14:paraId="566E079E" w14:textId="77777777" w:rsidR="009D64D0" w:rsidRPr="00BC7E20" w:rsidRDefault="009D64D0" w:rsidP="00F470A8">
      <w:pPr>
        <w:tabs>
          <w:tab w:val="left" w:pos="5812"/>
          <w:tab w:val="left" w:pos="6379"/>
          <w:tab w:val="left" w:pos="6521"/>
          <w:tab w:val="left" w:pos="6804"/>
          <w:tab w:val="left" w:pos="7797"/>
          <w:tab w:val="left" w:pos="8080"/>
          <w:tab w:val="left" w:pos="8222"/>
        </w:tabs>
        <w:overflowPunct w:val="0"/>
        <w:spacing w:line="480" w:lineRule="exact"/>
        <w:ind w:left="1600" w:right="320" w:hanging="1600"/>
        <w:rPr>
          <w:rFonts w:ascii="標楷體" w:eastAsia="標楷體" w:hAnsi="標楷體"/>
          <w:b/>
          <w:bCs/>
          <w:color w:val="000000" w:themeColor="text1"/>
          <w:sz w:val="32"/>
          <w:szCs w:val="32"/>
        </w:rPr>
      </w:pP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b/>
          <w:bCs/>
          <w:color w:val="000000" w:themeColor="text1"/>
          <w:sz w:val="32"/>
          <w:szCs w:val="32"/>
        </w:rPr>
        <w:t>委員請假1人</w:t>
      </w:r>
    </w:p>
    <w:p w14:paraId="56271EC0" w14:textId="77777777" w:rsidR="009D64D0" w:rsidRPr="00BC7E20" w:rsidRDefault="009D64D0" w:rsidP="00F470A8">
      <w:pPr>
        <w:tabs>
          <w:tab w:val="left" w:pos="9072"/>
        </w:tabs>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kern w:val="16"/>
          <w:sz w:val="32"/>
          <w:szCs w:val="32"/>
        </w:rPr>
        <w:t xml:space="preserve">列席官員　</w:t>
      </w:r>
      <w:r w:rsidRPr="00BC7E20">
        <w:rPr>
          <w:rFonts w:ascii="標楷體" w:eastAsia="標楷體" w:hAnsi="標楷體"/>
          <w:b/>
          <w:color w:val="000000" w:themeColor="text1"/>
          <w:sz w:val="32"/>
          <w:szCs w:val="32"/>
        </w:rPr>
        <w:t>行政院主計總處</w:t>
      </w:r>
      <w:r w:rsidRPr="00BC7E20">
        <w:rPr>
          <w:rFonts w:ascii="標楷體" w:eastAsia="標楷體" w:hAnsi="標楷體"/>
          <w:color w:val="000000" w:themeColor="text1"/>
          <w:sz w:val="32"/>
          <w:szCs w:val="32"/>
        </w:rPr>
        <w:t xml:space="preserve">　　　　　　　主計長　　　</w:t>
      </w:r>
      <w:r w:rsidRPr="00BC7E20">
        <w:rPr>
          <w:rFonts w:ascii="標楷體" w:eastAsia="標楷體" w:hAnsi="標楷體" w:hint="eastAsia"/>
          <w:color w:val="000000" w:themeColor="text1"/>
          <w:sz w:val="32"/>
          <w:szCs w:val="32"/>
        </w:rPr>
        <w:t>陳淑姿</w:t>
      </w:r>
    </w:p>
    <w:p w14:paraId="35D38A3C" w14:textId="77777777" w:rsidR="009D64D0" w:rsidRPr="00BC7E20" w:rsidRDefault="009D64D0" w:rsidP="00F470A8">
      <w:pPr>
        <w:tabs>
          <w:tab w:val="left" w:pos="5245"/>
          <w:tab w:val="left" w:pos="5670"/>
          <w:tab w:val="left" w:pos="7938"/>
          <w:tab w:val="left" w:pos="8931"/>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公務預算處　　　　　　　　處長　　　　</w:t>
      </w:r>
      <w:r w:rsidRPr="00BC7E20">
        <w:rPr>
          <w:rFonts w:ascii="標楷體" w:eastAsia="標楷體" w:hAnsi="標楷體" w:hint="eastAsia"/>
          <w:color w:val="000000" w:themeColor="text1"/>
          <w:sz w:val="32"/>
          <w:szCs w:val="32"/>
        </w:rPr>
        <w:t>許永議</w:t>
      </w:r>
    </w:p>
    <w:p w14:paraId="0F6AFB83" w14:textId="77777777" w:rsidR="009D64D0" w:rsidRPr="00BC7E20" w:rsidRDefault="009D64D0" w:rsidP="00F470A8">
      <w:pPr>
        <w:tabs>
          <w:tab w:val="left" w:pos="5245"/>
          <w:tab w:val="left" w:pos="5670"/>
          <w:tab w:val="left" w:pos="7938"/>
          <w:tab w:val="left" w:pos="8931"/>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基金預算處</w:t>
      </w:r>
      <w:r w:rsidRPr="00BC7E20">
        <w:rPr>
          <w:rFonts w:ascii="標楷體" w:eastAsia="標楷體" w:hAnsi="標楷體"/>
          <w:color w:val="000000" w:themeColor="text1"/>
          <w:sz w:val="32"/>
          <w:szCs w:val="32"/>
        </w:rPr>
        <w:t xml:space="preserve">　　　　　　　　處長　　　　</w:t>
      </w:r>
      <w:r w:rsidRPr="00BC7E20">
        <w:rPr>
          <w:rFonts w:ascii="標楷體" w:eastAsia="標楷體" w:hAnsi="標楷體" w:hint="eastAsia"/>
          <w:color w:val="000000" w:themeColor="text1"/>
          <w:sz w:val="32"/>
          <w:szCs w:val="32"/>
        </w:rPr>
        <w:t>黃叔娟</w:t>
      </w:r>
    </w:p>
    <w:p w14:paraId="163F90A8"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財政部</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部</w:t>
      </w:r>
      <w:r w:rsidRPr="00BC7E20">
        <w:rPr>
          <w:rFonts w:ascii="標楷體" w:eastAsia="標楷體" w:hAnsi="標楷體"/>
          <w:color w:val="000000" w:themeColor="text1"/>
          <w:sz w:val="32"/>
          <w:szCs w:val="32"/>
        </w:rPr>
        <w:t xml:space="preserve">長　　　　</w:t>
      </w:r>
      <w:r w:rsidRPr="00BC7E20">
        <w:rPr>
          <w:rFonts w:ascii="標楷體" w:eastAsia="標楷體" w:hAnsi="標楷體" w:hint="eastAsia"/>
          <w:color w:val="000000" w:themeColor="text1"/>
          <w:kern w:val="16"/>
          <w:sz w:val="32"/>
          <w:szCs w:val="32"/>
        </w:rPr>
        <w:t>莊翠雲</w:t>
      </w:r>
    </w:p>
    <w:p w14:paraId="1F9D3C20"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國庫署　　　　　　　　　　署長　　　　</w:t>
      </w:r>
      <w:r w:rsidRPr="00BC7E20">
        <w:rPr>
          <w:rFonts w:ascii="標楷體" w:eastAsia="標楷體" w:hAnsi="標楷體" w:hint="eastAsia"/>
          <w:color w:val="000000" w:themeColor="text1"/>
          <w:sz w:val="32"/>
          <w:szCs w:val="32"/>
        </w:rPr>
        <w:t>陳柏誠</w:t>
      </w:r>
    </w:p>
    <w:p w14:paraId="6E1848DA"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賦稅</w:t>
      </w:r>
      <w:r w:rsidRPr="00BC7E20">
        <w:rPr>
          <w:rFonts w:ascii="標楷體" w:eastAsia="標楷體" w:hAnsi="標楷體"/>
          <w:color w:val="000000" w:themeColor="text1"/>
          <w:sz w:val="32"/>
          <w:szCs w:val="32"/>
        </w:rPr>
        <w:t xml:space="preserve">署　　　　　　　　　　署長　　　　</w:t>
      </w:r>
      <w:r w:rsidRPr="00BC7E20">
        <w:rPr>
          <w:rFonts w:ascii="標楷體" w:eastAsia="標楷體" w:hAnsi="標楷體" w:hint="eastAsia"/>
          <w:color w:val="000000" w:themeColor="text1"/>
          <w:sz w:val="32"/>
          <w:szCs w:val="32"/>
        </w:rPr>
        <w:t>宋秀玲</w:t>
      </w:r>
    </w:p>
    <w:p w14:paraId="34AFB9FF"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關務署　　　　　　　　　　署長　　　　</w:t>
      </w:r>
      <w:r w:rsidRPr="00BC7E20">
        <w:rPr>
          <w:rFonts w:ascii="標楷體" w:eastAsia="標楷體" w:hAnsi="標楷體" w:hint="eastAsia"/>
          <w:color w:val="000000" w:themeColor="text1"/>
          <w:sz w:val="32"/>
          <w:szCs w:val="32"/>
        </w:rPr>
        <w:t>彭英偉</w:t>
      </w:r>
    </w:p>
    <w:p w14:paraId="547F4D91"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國有財產</w:t>
      </w:r>
      <w:r w:rsidRPr="00BC7E20">
        <w:rPr>
          <w:rFonts w:ascii="標楷體" w:eastAsia="標楷體" w:hAnsi="標楷體"/>
          <w:color w:val="000000" w:themeColor="text1"/>
          <w:sz w:val="32"/>
          <w:szCs w:val="32"/>
        </w:rPr>
        <w:t xml:space="preserve">署　　　　　　　　署長　　　　</w:t>
      </w:r>
      <w:r w:rsidRPr="00BC7E20">
        <w:rPr>
          <w:rFonts w:ascii="標楷體" w:eastAsia="標楷體" w:hAnsi="標楷體" w:hint="eastAsia"/>
          <w:color w:val="000000" w:themeColor="text1"/>
          <w:sz w:val="32"/>
          <w:szCs w:val="32"/>
        </w:rPr>
        <w:t>曾國基</w:t>
      </w:r>
    </w:p>
    <w:p w14:paraId="32CF9D07" w14:textId="77777777" w:rsidR="009D64D0" w:rsidRPr="00BC7E20" w:rsidRDefault="009D64D0" w:rsidP="00F470A8">
      <w:pPr>
        <w:tabs>
          <w:tab w:val="left" w:pos="1985"/>
          <w:tab w:val="left" w:pos="5245"/>
          <w:tab w:val="left" w:pos="5670"/>
          <w:tab w:val="left" w:pos="6663"/>
          <w:tab w:val="left" w:pos="7938"/>
          <w:tab w:val="left" w:pos="8505"/>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財政資訊中心　　　　　　　主任　　　　張文熙</w:t>
      </w:r>
    </w:p>
    <w:p w14:paraId="61C7D7DA" w14:textId="77777777" w:rsidR="009D64D0" w:rsidRPr="00BC7E20" w:rsidRDefault="009D64D0" w:rsidP="00F470A8">
      <w:pPr>
        <w:tabs>
          <w:tab w:val="left" w:pos="5245"/>
          <w:tab w:val="left" w:pos="5670"/>
          <w:tab w:val="left" w:pos="7938"/>
          <w:tab w:val="left" w:pos="8080"/>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經濟部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常務次長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連錦漳</w:t>
      </w:r>
    </w:p>
    <w:p w14:paraId="4AB0BCE2"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w:t>
      </w:r>
      <w:r w:rsidRPr="00BC7E20">
        <w:rPr>
          <w:rFonts w:ascii="標楷體" w:eastAsia="標楷體" w:hAnsi="標楷體" w:hint="eastAsia"/>
          <w:bCs/>
          <w:color w:val="000000" w:themeColor="text1"/>
          <w:sz w:val="32"/>
          <w:szCs w:val="32"/>
        </w:rPr>
        <w:t>部</w:t>
      </w:r>
      <w:r w:rsidRPr="00BC7E20">
        <w:rPr>
          <w:rFonts w:ascii="標楷體" w:eastAsia="標楷體" w:hAnsi="標楷體"/>
          <w:bCs/>
          <w:color w:val="000000" w:themeColor="text1"/>
          <w:sz w:val="32"/>
          <w:szCs w:val="32"/>
        </w:rPr>
        <w:t>長</w:t>
      </w:r>
      <w:r w:rsidRPr="00BC7E20">
        <w:rPr>
          <w:rFonts w:ascii="標楷體" w:eastAsia="標楷體" w:hAnsi="標楷體" w:hint="eastAsia"/>
          <w:bCs/>
          <w:color w:val="000000" w:themeColor="text1"/>
          <w:sz w:val="32"/>
          <w:szCs w:val="32"/>
        </w:rPr>
        <w:t>郭智輝請假</w:t>
      </w:r>
      <w:r w:rsidRPr="00BC7E20">
        <w:rPr>
          <w:rFonts w:ascii="標楷體" w:eastAsia="標楷體" w:hAnsi="標楷體" w:hint="eastAsia"/>
          <w:color w:val="000000" w:themeColor="text1"/>
          <w:sz w:val="32"/>
          <w:szCs w:val="32"/>
        </w:rPr>
        <w:t>）</w:t>
      </w:r>
    </w:p>
    <w:p w14:paraId="794AF926"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kern w:val="16"/>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kern w:val="16"/>
          <w:sz w:val="32"/>
          <w:szCs w:val="32"/>
        </w:rPr>
        <w:t>國營事業管理司</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副司長</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劉起孝</w:t>
      </w:r>
    </w:p>
    <w:p w14:paraId="4C4518D8"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kern w:val="16"/>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kern w:val="16"/>
          <w:sz w:val="32"/>
          <w:szCs w:val="32"/>
        </w:rPr>
        <w:t>會計處</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副處長</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黃凱苹</w:t>
      </w:r>
    </w:p>
    <w:p w14:paraId="11D701FE"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kern w:val="16"/>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kern w:val="16"/>
          <w:sz w:val="32"/>
          <w:szCs w:val="32"/>
        </w:rPr>
        <w:t>能源署</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副署長</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吳志偉</w:t>
      </w:r>
    </w:p>
    <w:p w14:paraId="007439DB" w14:textId="77777777" w:rsidR="009D64D0" w:rsidRPr="00BC7E20" w:rsidRDefault="009D64D0" w:rsidP="00F470A8">
      <w:pPr>
        <w:tabs>
          <w:tab w:val="left" w:pos="5245"/>
          <w:tab w:val="left" w:pos="5670"/>
          <w:tab w:val="left" w:pos="7938"/>
        </w:tabs>
        <w:overflowPunct w:val="0"/>
        <w:spacing w:line="480" w:lineRule="exact"/>
        <w:jc w:val="both"/>
        <w:rPr>
          <w:rFonts w:ascii="標楷體" w:eastAsia="標楷體" w:hAnsi="標楷體"/>
          <w:color w:val="000000" w:themeColor="text1"/>
          <w:kern w:val="16"/>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kern w:val="16"/>
          <w:sz w:val="32"/>
          <w:szCs w:val="32"/>
        </w:rPr>
        <w:t>台灣電力股份有限公司</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董事長</w:t>
      </w:r>
      <w:r w:rsidRPr="00BC7E20">
        <w:rPr>
          <w:rFonts w:ascii="標楷體" w:eastAsia="標楷體" w:hAnsi="標楷體"/>
          <w:color w:val="000000" w:themeColor="text1"/>
          <w:sz w:val="32"/>
          <w:szCs w:val="32"/>
        </w:rPr>
        <w:t xml:space="preserve">　　　</w:t>
      </w:r>
      <w:r w:rsidRPr="00BC7E20">
        <w:rPr>
          <w:rFonts w:ascii="標楷體" w:eastAsia="標楷體" w:hAnsi="標楷體"/>
          <w:color w:val="000000" w:themeColor="text1"/>
          <w:kern w:val="16"/>
          <w:sz w:val="32"/>
          <w:szCs w:val="32"/>
        </w:rPr>
        <w:t>曾文生</w:t>
      </w:r>
    </w:p>
    <w:p w14:paraId="05DC2C1A" w14:textId="77777777" w:rsidR="009D64D0" w:rsidRPr="00BC7E20" w:rsidRDefault="009D64D0" w:rsidP="00F470A8">
      <w:pPr>
        <w:pStyle w:val="af5"/>
        <w:tabs>
          <w:tab w:val="left" w:pos="3660"/>
        </w:tabs>
        <w:overflowPunct w:val="0"/>
        <w:adjustRightInd w:val="0"/>
        <w:snapToGrid w:val="0"/>
        <w:spacing w:line="480" w:lineRule="exact"/>
        <w:rPr>
          <w:rFonts w:ascii="標楷體" w:eastAsia="標楷體" w:hAnsi="標楷體"/>
          <w:color w:val="000000" w:themeColor="text1"/>
          <w:kern w:val="16"/>
          <w:sz w:val="32"/>
          <w:szCs w:val="32"/>
        </w:rPr>
      </w:pPr>
      <w:r w:rsidRPr="00BC7E20">
        <w:rPr>
          <w:rFonts w:ascii="標楷體" w:eastAsia="標楷體" w:hAnsi="標楷體" w:hint="eastAsia"/>
          <w:color w:val="000000" w:themeColor="text1"/>
          <w:kern w:val="16"/>
          <w:sz w:val="32"/>
          <w:szCs w:val="32"/>
        </w:rPr>
        <w:t>主　　席　賴召集委員惠員</w:t>
      </w:r>
    </w:p>
    <w:p w14:paraId="6A9494FF" w14:textId="77777777" w:rsidR="009D64D0" w:rsidRPr="00BC7E20" w:rsidRDefault="009D64D0" w:rsidP="00F470A8">
      <w:pPr>
        <w:tabs>
          <w:tab w:val="left" w:pos="3660"/>
        </w:tabs>
        <w:overflowPunct w:val="0"/>
        <w:autoSpaceDE w:val="0"/>
        <w:spacing w:line="480" w:lineRule="exact"/>
        <w:rPr>
          <w:rFonts w:ascii="標楷體" w:eastAsia="標楷體" w:hAnsi="標楷體"/>
          <w:color w:val="000000" w:themeColor="text1"/>
          <w:kern w:val="16"/>
          <w:sz w:val="32"/>
          <w:szCs w:val="32"/>
        </w:rPr>
      </w:pPr>
      <w:r w:rsidRPr="00BC7E20">
        <w:rPr>
          <w:rFonts w:ascii="標楷體" w:eastAsia="標楷體" w:hAnsi="標楷體" w:cs="Courier New" w:hint="eastAsia"/>
          <w:color w:val="000000" w:themeColor="text1"/>
          <w:kern w:val="16"/>
          <w:sz w:val="32"/>
          <w:szCs w:val="32"/>
        </w:rPr>
        <w:lastRenderedPageBreak/>
        <w:t>專門委員</w:t>
      </w:r>
      <w:r w:rsidRPr="00BC7E20">
        <w:rPr>
          <w:rFonts w:ascii="標楷體" w:eastAsia="標楷體" w:hAnsi="標楷體"/>
          <w:color w:val="000000" w:themeColor="text1"/>
          <w:kern w:val="16"/>
          <w:sz w:val="32"/>
          <w:szCs w:val="32"/>
        </w:rPr>
        <w:t xml:space="preserve">　</w:t>
      </w:r>
      <w:r w:rsidRPr="00BC7E20">
        <w:rPr>
          <w:rFonts w:ascii="標楷體" w:eastAsia="標楷體" w:hAnsi="標楷體" w:hint="eastAsia"/>
          <w:color w:val="000000" w:themeColor="text1"/>
          <w:sz w:val="32"/>
          <w:szCs w:val="32"/>
        </w:rPr>
        <w:t>林靜玟</w:t>
      </w:r>
    </w:p>
    <w:p w14:paraId="6124DEC6" w14:textId="77777777" w:rsidR="009D64D0" w:rsidRPr="00BC7E20" w:rsidRDefault="009D64D0" w:rsidP="00F470A8">
      <w:pPr>
        <w:overflowPunct w:val="0"/>
        <w:autoSpaceDE w:val="0"/>
        <w:spacing w:line="480" w:lineRule="exact"/>
        <w:rPr>
          <w:rFonts w:ascii="標楷體" w:eastAsia="標楷體" w:hAnsi="標楷體"/>
          <w:color w:val="000000" w:themeColor="text1"/>
          <w:kern w:val="16"/>
          <w:sz w:val="32"/>
          <w:szCs w:val="32"/>
        </w:rPr>
      </w:pPr>
      <w:r w:rsidRPr="00BC7E20">
        <w:rPr>
          <w:rFonts w:ascii="標楷體" w:eastAsia="標楷體" w:hAnsi="標楷體"/>
          <w:color w:val="000000" w:themeColor="text1"/>
          <w:kern w:val="16"/>
          <w:sz w:val="32"/>
          <w:szCs w:val="32"/>
        </w:rPr>
        <w:t>主任秘書　謝淑津</w:t>
      </w:r>
    </w:p>
    <w:p w14:paraId="5E832E3D" w14:textId="77777777" w:rsidR="009D64D0" w:rsidRPr="00BC7E20" w:rsidRDefault="009D64D0" w:rsidP="00F470A8">
      <w:pPr>
        <w:overflowPunct w:val="0"/>
        <w:autoSpaceDE w:val="0"/>
        <w:spacing w:line="480" w:lineRule="exact"/>
        <w:ind w:left="1600" w:rightChars="-149" w:right="-358" w:hangingChars="500" w:hanging="1600"/>
        <w:jc w:val="both"/>
        <w:rPr>
          <w:rFonts w:ascii="標楷體" w:eastAsia="標楷體" w:hAnsi="標楷體"/>
          <w:color w:val="000000" w:themeColor="text1"/>
          <w:kern w:val="16"/>
          <w:sz w:val="32"/>
          <w:szCs w:val="32"/>
        </w:rPr>
      </w:pPr>
      <w:r w:rsidRPr="00BC7E20">
        <w:rPr>
          <w:rFonts w:ascii="標楷體" w:eastAsia="標楷體" w:hAnsi="標楷體"/>
          <w:color w:val="000000" w:themeColor="text1"/>
          <w:sz w:val="32"/>
          <w:szCs w:val="32"/>
        </w:rPr>
        <w:t>紀　　錄</w:t>
      </w:r>
      <w:r w:rsidRPr="00BC7E20">
        <w:rPr>
          <w:rFonts w:ascii="標楷體" w:eastAsia="標楷體" w:hAnsi="標楷體"/>
          <w:color w:val="000000" w:themeColor="text1"/>
          <w:kern w:val="16"/>
          <w:sz w:val="32"/>
          <w:szCs w:val="32"/>
        </w:rPr>
        <w:t xml:space="preserve">　</w:t>
      </w:r>
      <w:r w:rsidRPr="00BC7E20">
        <w:rPr>
          <w:rFonts w:ascii="標楷體" w:eastAsia="標楷體" w:hAnsi="標楷體" w:hint="eastAsia"/>
          <w:color w:val="000000" w:themeColor="text1"/>
          <w:kern w:val="16"/>
          <w:sz w:val="32"/>
          <w:szCs w:val="32"/>
        </w:rPr>
        <w:t xml:space="preserve">秘　書　吳人寬　研究員　黃惠雯　編　審　</w:t>
      </w:r>
      <w:r w:rsidRPr="00BC7E20">
        <w:rPr>
          <w:rFonts w:ascii="標楷體" w:eastAsia="標楷體" w:hAnsi="標楷體" w:hint="eastAsia"/>
          <w:color w:val="000000" w:themeColor="text1"/>
          <w:sz w:val="32"/>
          <w:szCs w:val="32"/>
        </w:rPr>
        <w:t>伍明清</w:t>
      </w:r>
      <w:r w:rsidRPr="00BC7E20">
        <w:rPr>
          <w:rFonts w:ascii="標楷體" w:eastAsia="標楷體" w:hAnsi="標楷體" w:hint="eastAsia"/>
          <w:color w:val="000000" w:themeColor="text1"/>
          <w:kern w:val="16"/>
          <w:sz w:val="32"/>
          <w:szCs w:val="32"/>
        </w:rPr>
        <w:t xml:space="preserve">　</w:t>
      </w:r>
    </w:p>
    <w:p w14:paraId="6991D1F8" w14:textId="77777777" w:rsidR="009D64D0" w:rsidRPr="00BC7E20" w:rsidRDefault="009D64D0" w:rsidP="00F470A8">
      <w:pPr>
        <w:tabs>
          <w:tab w:val="left" w:pos="3660"/>
        </w:tabs>
        <w:overflowPunct w:val="0"/>
        <w:autoSpaceDE w:val="0"/>
        <w:spacing w:line="480" w:lineRule="exact"/>
        <w:rPr>
          <w:rFonts w:ascii="標楷體" w:eastAsia="標楷體" w:hAnsi="標楷體"/>
          <w:color w:val="000000" w:themeColor="text1"/>
          <w:kern w:val="16"/>
          <w:sz w:val="32"/>
          <w:szCs w:val="32"/>
        </w:rPr>
      </w:pPr>
      <w:r w:rsidRPr="00BC7E20">
        <w:rPr>
          <w:rFonts w:ascii="標楷體" w:eastAsia="標楷體" w:hAnsi="標楷體" w:hint="eastAsia"/>
          <w:color w:val="000000" w:themeColor="text1"/>
          <w:kern w:val="16"/>
          <w:sz w:val="32"/>
          <w:szCs w:val="32"/>
        </w:rPr>
        <w:t xml:space="preserve">　　　　　科　長　喻　珊　科　員　簡廷育　</w:t>
      </w:r>
    </w:p>
    <w:p w14:paraId="1A3101F2" w14:textId="77777777" w:rsidR="009D64D0" w:rsidRPr="00BC7E20" w:rsidRDefault="009D64D0" w:rsidP="00F470A8">
      <w:pPr>
        <w:overflowPunct w:val="0"/>
        <w:autoSpaceDE w:val="0"/>
        <w:spacing w:before="180" w:line="480" w:lineRule="exact"/>
        <w:ind w:left="643"/>
        <w:jc w:val="both"/>
        <w:rPr>
          <w:rFonts w:ascii="標楷體" w:eastAsia="標楷體" w:hAnsi="標楷體"/>
          <w:b/>
          <w:color w:val="000000" w:themeColor="text1"/>
          <w:sz w:val="32"/>
          <w:szCs w:val="32"/>
        </w:rPr>
      </w:pPr>
      <w:r w:rsidRPr="00BC7E20">
        <w:rPr>
          <w:rFonts w:ascii="標楷體" w:eastAsia="標楷體" w:hAnsi="標楷體"/>
          <w:b/>
          <w:color w:val="000000" w:themeColor="text1"/>
          <w:sz w:val="32"/>
          <w:szCs w:val="32"/>
        </w:rPr>
        <w:t>討論事項</w:t>
      </w:r>
    </w:p>
    <w:p w14:paraId="65245523" w14:textId="77777777" w:rsidR="009D64D0" w:rsidRPr="00BC7E20" w:rsidRDefault="009D64D0" w:rsidP="00F470A8">
      <w:pPr>
        <w:overflowPunct w:val="0"/>
        <w:spacing w:line="480" w:lineRule="exact"/>
        <w:jc w:val="both"/>
        <w:rPr>
          <w:rFonts w:ascii="標楷體" w:eastAsia="標楷體" w:hAnsi="標楷體"/>
          <w:b/>
          <w:color w:val="000000" w:themeColor="text1"/>
          <w:sz w:val="32"/>
          <w:szCs w:val="32"/>
        </w:rPr>
      </w:pPr>
      <w:r w:rsidRPr="00BC7E20">
        <w:rPr>
          <w:rFonts w:ascii="標楷體" w:eastAsia="標楷體" w:hAnsi="標楷體" w:hint="eastAsia"/>
          <w:b/>
          <w:color w:val="000000" w:themeColor="text1"/>
          <w:sz w:val="32"/>
          <w:szCs w:val="32"/>
        </w:rPr>
        <w:t>審查中華民國113年度中央政府總預算追加</w:t>
      </w:r>
      <w:r w:rsidRPr="00BC7E20">
        <w:rPr>
          <w:rFonts w:ascii="標楷體" w:eastAsia="標楷體" w:hAnsi="標楷體"/>
          <w:b/>
          <w:color w:val="000000" w:themeColor="text1"/>
          <w:sz w:val="32"/>
          <w:szCs w:val="32"/>
        </w:rPr>
        <w:t>預算</w:t>
      </w:r>
      <w:r w:rsidRPr="00BC7E20">
        <w:rPr>
          <w:rFonts w:ascii="標楷體" w:eastAsia="標楷體" w:hAnsi="標楷體" w:hint="eastAsia"/>
          <w:b/>
          <w:color w:val="000000" w:themeColor="text1"/>
          <w:sz w:val="32"/>
          <w:szCs w:val="32"/>
        </w:rPr>
        <w:t>案</w:t>
      </w:r>
      <w:r w:rsidRPr="00BC7E20">
        <w:rPr>
          <w:rFonts w:ascii="標楷體" w:eastAsia="標楷體" w:hAnsi="標楷體"/>
          <w:b/>
          <w:color w:val="000000" w:themeColor="text1"/>
          <w:sz w:val="32"/>
          <w:szCs w:val="32"/>
        </w:rPr>
        <w:t>。</w:t>
      </w:r>
    </w:p>
    <w:p w14:paraId="3DE310B5" w14:textId="77777777" w:rsidR="009D64D0" w:rsidRPr="00BC7E20" w:rsidRDefault="009D64D0" w:rsidP="00F470A8">
      <w:pPr>
        <w:overflowPunct w:val="0"/>
        <w:spacing w:line="480" w:lineRule="exact"/>
        <w:ind w:left="160" w:hangingChars="50" w:hanging="160"/>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w:t>
      </w:r>
      <w:r w:rsidRPr="00BC7E20">
        <w:rPr>
          <w:rFonts w:ascii="標楷體" w:eastAsia="標楷體" w:hAnsi="標楷體" w:hint="eastAsia"/>
          <w:color w:val="000000" w:themeColor="text1"/>
          <w:sz w:val="32"/>
          <w:szCs w:val="32"/>
        </w:rPr>
        <w:t>經行政院主計總處主計長陳淑姿、財政部部長莊翠雲及經濟部常務次長連錦漳就</w:t>
      </w:r>
      <w:r w:rsidRPr="00BC7E20">
        <w:rPr>
          <w:rFonts w:ascii="標楷體" w:eastAsia="標楷體" w:hAnsi="標楷體"/>
          <w:color w:val="000000" w:themeColor="text1"/>
          <w:sz w:val="32"/>
          <w:szCs w:val="32"/>
        </w:rPr>
        <w:t>113年度中央政府總預算追加預算案提出報告後，計有委員林德福、吳秉叡、賴士葆、郭國文、賴瑞隆</w:t>
      </w:r>
      <w:r w:rsidRPr="00BC7E20">
        <w:rPr>
          <w:rFonts w:ascii="標楷體" w:eastAsia="標楷體" w:hAnsi="標楷體" w:hint="eastAsia"/>
          <w:color w:val="000000" w:themeColor="text1"/>
          <w:sz w:val="32"/>
          <w:szCs w:val="32"/>
        </w:rPr>
        <w:t>、顏寬恒、</w:t>
      </w:r>
      <w:r w:rsidRPr="00BC7E20">
        <w:rPr>
          <w:rFonts w:ascii="標楷體" w:eastAsia="標楷體" w:hAnsi="標楷體"/>
          <w:color w:val="000000" w:themeColor="text1"/>
          <w:sz w:val="32"/>
          <w:szCs w:val="32"/>
        </w:rPr>
        <w:t>鄭正鈐</w:t>
      </w:r>
      <w:r w:rsidRPr="00BC7E20">
        <w:rPr>
          <w:rFonts w:ascii="標楷體" w:eastAsia="標楷體" w:hAnsi="標楷體" w:hint="eastAsia"/>
          <w:color w:val="000000" w:themeColor="text1"/>
          <w:sz w:val="32"/>
          <w:szCs w:val="32"/>
        </w:rPr>
        <w:t>、張啓楷、</w:t>
      </w:r>
      <w:r w:rsidRPr="00BC7E20">
        <w:rPr>
          <w:rFonts w:ascii="標楷體" w:eastAsia="標楷體" w:hAnsi="標楷體"/>
          <w:color w:val="000000" w:themeColor="text1"/>
          <w:sz w:val="32"/>
          <w:szCs w:val="32"/>
        </w:rPr>
        <w:t>陳玉珍</w:t>
      </w:r>
      <w:r w:rsidRPr="00BC7E20">
        <w:rPr>
          <w:rFonts w:ascii="標楷體" w:eastAsia="標楷體" w:hAnsi="標楷體" w:hint="eastAsia"/>
          <w:color w:val="000000" w:themeColor="text1"/>
          <w:sz w:val="32"/>
          <w:szCs w:val="32"/>
        </w:rPr>
        <w:t>、陳亭妃</w:t>
      </w:r>
      <w:r w:rsidRPr="00BC7E20">
        <w:rPr>
          <w:rFonts w:ascii="標楷體" w:eastAsia="標楷體" w:hAnsi="標楷體"/>
          <w:color w:val="000000" w:themeColor="text1"/>
          <w:sz w:val="32"/>
          <w:szCs w:val="32"/>
        </w:rPr>
        <w:t>、黃珊珊</w:t>
      </w:r>
      <w:r w:rsidRPr="00BC7E20">
        <w:rPr>
          <w:rFonts w:ascii="標楷體" w:eastAsia="標楷體" w:hAnsi="標楷體" w:hint="eastAsia"/>
          <w:color w:val="000000" w:themeColor="text1"/>
          <w:sz w:val="32"/>
          <w:szCs w:val="32"/>
        </w:rPr>
        <w:t>、李坤城、</w:t>
      </w:r>
      <w:r w:rsidRPr="00BC7E20">
        <w:rPr>
          <w:rFonts w:ascii="標楷體" w:eastAsia="標楷體" w:hAnsi="標楷體"/>
          <w:color w:val="000000" w:themeColor="text1"/>
          <w:sz w:val="32"/>
          <w:szCs w:val="32"/>
        </w:rPr>
        <w:t>賴惠員、</w:t>
      </w:r>
      <w:r w:rsidRPr="00BC7E20">
        <w:rPr>
          <w:rFonts w:ascii="標楷體" w:eastAsia="標楷體" w:hAnsi="標楷體" w:hint="eastAsia"/>
          <w:color w:val="000000" w:themeColor="text1"/>
          <w:sz w:val="32"/>
          <w:szCs w:val="32"/>
        </w:rPr>
        <w:t>王鴻薇、鄭天財、蔡易餘、</w:t>
      </w:r>
      <w:r w:rsidRPr="00BC7E20">
        <w:rPr>
          <w:rFonts w:ascii="標楷體" w:eastAsia="標楷體" w:hAnsi="標楷體"/>
          <w:color w:val="000000" w:themeColor="text1"/>
          <w:sz w:val="32"/>
          <w:szCs w:val="32"/>
        </w:rPr>
        <w:t>楊瓊瓔</w:t>
      </w:r>
      <w:r w:rsidRPr="00BC7E20">
        <w:rPr>
          <w:rFonts w:ascii="標楷體" w:eastAsia="標楷體" w:hAnsi="標楷體" w:hint="eastAsia"/>
          <w:color w:val="000000" w:themeColor="text1"/>
          <w:sz w:val="32"/>
          <w:szCs w:val="32"/>
        </w:rPr>
        <w:t>、伍麗華、羅明才、</w:t>
      </w:r>
      <w:r w:rsidRPr="00BC7E20">
        <w:rPr>
          <w:rFonts w:ascii="標楷體" w:eastAsia="標楷體" w:hAnsi="標楷體"/>
          <w:color w:val="000000" w:themeColor="text1"/>
          <w:sz w:val="32"/>
          <w:szCs w:val="32"/>
        </w:rPr>
        <w:t>邱志偉</w:t>
      </w:r>
      <w:r w:rsidRPr="00BC7E20">
        <w:rPr>
          <w:rFonts w:ascii="標楷體" w:eastAsia="標楷體" w:hAnsi="標楷體" w:hint="eastAsia"/>
          <w:color w:val="000000" w:themeColor="text1"/>
          <w:sz w:val="32"/>
          <w:szCs w:val="32"/>
        </w:rPr>
        <w:t>、葉元之、牛煦庭、洪孟楷、黃國昌</w:t>
      </w:r>
      <w:r w:rsidRPr="00BC7E20">
        <w:rPr>
          <w:rFonts w:ascii="標楷體" w:eastAsia="標楷體" w:hAnsi="標楷體"/>
          <w:color w:val="000000" w:themeColor="text1"/>
          <w:sz w:val="32"/>
          <w:szCs w:val="32"/>
        </w:rPr>
        <w:t>等</w:t>
      </w:r>
      <w:r w:rsidRPr="00BC7E20">
        <w:rPr>
          <w:rFonts w:ascii="標楷體" w:eastAsia="標楷體" w:hAnsi="標楷體" w:hint="eastAsia"/>
          <w:color w:val="000000" w:themeColor="text1"/>
          <w:sz w:val="32"/>
          <w:szCs w:val="32"/>
        </w:rPr>
        <w:t>2</w:t>
      </w:r>
      <w:r w:rsidRPr="00BC7E20">
        <w:rPr>
          <w:rFonts w:ascii="標楷體" w:eastAsia="標楷體" w:hAnsi="標楷體"/>
          <w:color w:val="000000" w:themeColor="text1"/>
          <w:sz w:val="32"/>
          <w:szCs w:val="32"/>
        </w:rPr>
        <w:t>4人提出質詢，均經</w:t>
      </w:r>
      <w:r w:rsidRPr="00BC7E20">
        <w:rPr>
          <w:rFonts w:ascii="標楷體" w:eastAsia="標楷體" w:hAnsi="標楷體" w:hint="eastAsia"/>
          <w:color w:val="000000" w:themeColor="text1"/>
          <w:sz w:val="32"/>
          <w:szCs w:val="32"/>
        </w:rPr>
        <w:t>經濟部常務次長連錦漳、</w:t>
      </w:r>
      <w:r w:rsidRPr="00BC7E20">
        <w:rPr>
          <w:rFonts w:ascii="標楷體" w:eastAsia="標楷體" w:hAnsi="標楷體" w:hint="eastAsia"/>
          <w:color w:val="000000" w:themeColor="text1"/>
          <w:kern w:val="16"/>
          <w:sz w:val="32"/>
          <w:szCs w:val="32"/>
        </w:rPr>
        <w:t>台灣電力股份有限公司</w:t>
      </w:r>
      <w:r w:rsidRPr="00BC7E20">
        <w:rPr>
          <w:rFonts w:ascii="標楷體" w:eastAsia="標楷體" w:hAnsi="標楷體"/>
          <w:color w:val="000000" w:themeColor="text1"/>
          <w:kern w:val="16"/>
          <w:sz w:val="32"/>
          <w:szCs w:val="32"/>
        </w:rPr>
        <w:t>董事長曾文生</w:t>
      </w:r>
      <w:r w:rsidRPr="00BC7E20">
        <w:rPr>
          <w:rFonts w:ascii="標楷體" w:eastAsia="標楷體" w:hAnsi="標楷體" w:hint="eastAsia"/>
          <w:color w:val="000000" w:themeColor="text1"/>
          <w:sz w:val="32"/>
          <w:szCs w:val="32"/>
        </w:rPr>
        <w:t>、財政部部長莊翠雲、</w:t>
      </w:r>
      <w:r w:rsidRPr="00BC7E20">
        <w:rPr>
          <w:rFonts w:ascii="標楷體" w:eastAsia="標楷體" w:hAnsi="標楷體"/>
          <w:color w:val="000000" w:themeColor="text1"/>
          <w:sz w:val="32"/>
          <w:szCs w:val="32"/>
        </w:rPr>
        <w:t>行政院主計總處主計長</w:t>
      </w:r>
      <w:r w:rsidRPr="00BC7E20">
        <w:rPr>
          <w:rFonts w:ascii="標楷體" w:eastAsia="標楷體" w:hAnsi="標楷體" w:hint="eastAsia"/>
          <w:color w:val="000000" w:themeColor="text1"/>
          <w:sz w:val="32"/>
          <w:szCs w:val="32"/>
        </w:rPr>
        <w:t>陳淑姿</w:t>
      </w:r>
      <w:r w:rsidRPr="00BC7E20">
        <w:rPr>
          <w:rFonts w:ascii="標楷體" w:eastAsia="標楷體" w:hAnsi="標楷體"/>
          <w:color w:val="000000" w:themeColor="text1"/>
          <w:sz w:val="32"/>
          <w:szCs w:val="32"/>
        </w:rPr>
        <w:t>及相關人員予以答復。</w:t>
      </w:r>
      <w:r w:rsidRPr="00BC7E20">
        <w:rPr>
          <w:rFonts w:ascii="標楷體" w:eastAsia="標楷體" w:hAnsi="標楷體" w:hint="eastAsia"/>
          <w:color w:val="000000" w:themeColor="text1"/>
          <w:sz w:val="32"/>
          <w:szCs w:val="32"/>
        </w:rPr>
        <w:t>委員邱議瑩、王世堅、陳超明所提書面質詢，均列入紀錄，刊登公報，並請相關部會以書面答復。委員質詢未及答復或請補充資訊，請相關部會於一週內以書面答復；委員另要求期限者，從其所定。</w:t>
      </w:r>
      <w:r w:rsidRPr="00BC7E20">
        <w:rPr>
          <w:rFonts w:ascii="標楷體" w:eastAsia="標楷體" w:hAnsi="標楷體"/>
          <w:color w:val="000000" w:themeColor="text1"/>
          <w:sz w:val="32"/>
          <w:szCs w:val="32"/>
        </w:rPr>
        <w:t>)</w:t>
      </w:r>
    </w:p>
    <w:p w14:paraId="4B04C64C" w14:textId="77777777" w:rsidR="009D64D0" w:rsidRPr="00BC7E20" w:rsidRDefault="009D64D0" w:rsidP="00F470A8">
      <w:pPr>
        <w:overflowPunct w:val="0"/>
        <w:autoSpaceDE w:val="0"/>
        <w:spacing w:beforeLines="50" w:before="180" w:line="480" w:lineRule="exact"/>
        <w:jc w:val="both"/>
        <w:rPr>
          <w:rFonts w:ascii="標楷體" w:eastAsia="標楷體" w:hAnsi="標楷體"/>
          <w:b/>
          <w:color w:val="000000" w:themeColor="text1"/>
          <w:sz w:val="32"/>
          <w:szCs w:val="32"/>
        </w:rPr>
      </w:pPr>
      <w:r w:rsidRPr="00BC7E20">
        <w:rPr>
          <w:rFonts w:ascii="標楷體" w:eastAsia="標楷體" w:hAnsi="標楷體" w:hint="eastAsia"/>
          <w:b/>
          <w:color w:val="000000" w:themeColor="text1"/>
          <w:sz w:val="32"/>
          <w:szCs w:val="32"/>
        </w:rPr>
        <w:t>決議：</w:t>
      </w:r>
    </w:p>
    <w:p w14:paraId="11382396" w14:textId="77777777" w:rsidR="009D64D0" w:rsidRPr="00BC7E20" w:rsidRDefault="009D64D0" w:rsidP="00F470A8">
      <w:pPr>
        <w:overflowPunct w:val="0"/>
        <w:autoSpaceDE w:val="0"/>
        <w:spacing w:line="480" w:lineRule="exact"/>
        <w:jc w:val="both"/>
        <w:rPr>
          <w:rFonts w:ascii="標楷體" w:eastAsia="標楷體" w:hAnsi="標楷體"/>
          <w:b/>
          <w:color w:val="000000" w:themeColor="text1"/>
          <w:sz w:val="32"/>
          <w:szCs w:val="32"/>
        </w:rPr>
      </w:pPr>
      <w:r w:rsidRPr="00BC7E20">
        <w:rPr>
          <w:rFonts w:ascii="標楷體" w:eastAsia="標楷體" w:hAnsi="標楷體" w:hint="eastAsia"/>
          <w:b/>
          <w:color w:val="000000" w:themeColor="text1"/>
          <w:sz w:val="32"/>
          <w:szCs w:val="32"/>
        </w:rPr>
        <w:t>壹、</w:t>
      </w:r>
      <w:r w:rsidRPr="00BC7E20">
        <w:rPr>
          <w:rFonts w:ascii="標楷體" w:eastAsia="標楷體" w:hAnsi="標楷體" w:hint="eastAsia"/>
          <w:bCs/>
          <w:color w:val="000000" w:themeColor="text1"/>
          <w:sz w:val="32"/>
          <w:szCs w:val="32"/>
        </w:rPr>
        <w:t>說明及詢答完畢。</w:t>
      </w:r>
    </w:p>
    <w:p w14:paraId="31B9DA08" w14:textId="77777777" w:rsidR="009D64D0" w:rsidRPr="00BC7E20" w:rsidRDefault="009D64D0" w:rsidP="00F470A8">
      <w:pPr>
        <w:overflowPunct w:val="0"/>
        <w:autoSpaceDE w:val="0"/>
        <w:spacing w:line="480" w:lineRule="exact"/>
        <w:jc w:val="both"/>
        <w:rPr>
          <w:rFonts w:ascii="標楷體" w:eastAsia="標楷體" w:hAnsi="標楷體"/>
          <w:strike/>
          <w:color w:val="000000" w:themeColor="text1"/>
          <w:sz w:val="32"/>
          <w:szCs w:val="32"/>
        </w:rPr>
      </w:pPr>
      <w:r w:rsidRPr="00BC7E20">
        <w:rPr>
          <w:rFonts w:ascii="標楷體" w:eastAsia="標楷體" w:hAnsi="標楷體" w:hint="eastAsia"/>
          <w:b/>
          <w:color w:val="000000" w:themeColor="text1"/>
          <w:sz w:val="32"/>
          <w:szCs w:val="32"/>
        </w:rPr>
        <w:t>貳、113年度中央政府總預算追加</w:t>
      </w:r>
      <w:r w:rsidRPr="00BC7E20">
        <w:rPr>
          <w:rFonts w:ascii="標楷體" w:eastAsia="標楷體" w:hAnsi="標楷體"/>
          <w:b/>
          <w:color w:val="000000" w:themeColor="text1"/>
          <w:sz w:val="32"/>
          <w:szCs w:val="32"/>
        </w:rPr>
        <w:t>預算</w:t>
      </w:r>
      <w:r w:rsidRPr="00BC7E20">
        <w:rPr>
          <w:rFonts w:ascii="標楷體" w:eastAsia="標楷體" w:hAnsi="標楷體" w:hint="eastAsia"/>
          <w:b/>
          <w:color w:val="000000" w:themeColor="text1"/>
          <w:sz w:val="32"/>
          <w:szCs w:val="32"/>
        </w:rPr>
        <w:t>案審查結果：</w:t>
      </w:r>
    </w:p>
    <w:p w14:paraId="41EE22A6" w14:textId="77777777" w:rsidR="009D64D0" w:rsidRPr="00BC7E20" w:rsidRDefault="009D64D0" w:rsidP="00F470A8">
      <w:pPr>
        <w:overflowPunct w:val="0"/>
        <w:spacing w:line="480" w:lineRule="exact"/>
        <w:ind w:leftChars="88" w:left="496" w:hangingChars="89" w:hanging="285"/>
        <w:jc w:val="both"/>
        <w:rPr>
          <w:rFonts w:ascii="標楷體" w:eastAsia="標楷體" w:hAnsi="標楷體"/>
          <w:color w:val="000000" w:themeColor="text1"/>
          <w:sz w:val="32"/>
          <w:szCs w:val="32"/>
        </w:rPr>
      </w:pPr>
      <w:r w:rsidRPr="00BC7E20">
        <w:rPr>
          <w:rFonts w:ascii="標楷體" w:eastAsia="標楷體" w:hAnsi="標楷體" w:hint="eastAsia"/>
          <w:b/>
          <w:color w:val="000000" w:themeColor="text1"/>
          <w:sz w:val="32"/>
          <w:szCs w:val="32"/>
        </w:rPr>
        <w:t>一、歲出預算部分</w:t>
      </w:r>
      <w:r w:rsidRPr="00BC7E20">
        <w:rPr>
          <w:rFonts w:ascii="標楷體" w:eastAsia="標楷體" w:hAnsi="標楷體" w:hint="eastAsia"/>
          <w:color w:val="000000" w:themeColor="text1"/>
          <w:sz w:val="32"/>
          <w:szCs w:val="32"/>
        </w:rPr>
        <w:t>：</w:t>
      </w:r>
    </w:p>
    <w:p w14:paraId="67B4078E" w14:textId="77777777" w:rsidR="009D64D0" w:rsidRPr="00BC7E20" w:rsidRDefault="009D64D0" w:rsidP="00F470A8">
      <w:pPr>
        <w:overflowPunct w:val="0"/>
        <w:spacing w:line="480" w:lineRule="exact"/>
        <w:ind w:leftChars="89" w:left="855" w:hangingChars="200" w:hanging="641"/>
        <w:jc w:val="both"/>
        <w:rPr>
          <w:rFonts w:ascii="標楷體" w:eastAsia="標楷體" w:hAnsi="標楷體"/>
          <w:color w:val="000000" w:themeColor="text1"/>
          <w:kern w:val="0"/>
          <w:sz w:val="32"/>
          <w:szCs w:val="32"/>
        </w:rPr>
      </w:pPr>
      <w:r w:rsidRPr="00BC7E20">
        <w:rPr>
          <w:rFonts w:ascii="標楷體" w:eastAsia="標楷體" w:hAnsi="標楷體" w:hint="eastAsia"/>
          <w:b/>
          <w:color w:val="000000" w:themeColor="text1"/>
          <w:sz w:val="32"/>
          <w:szCs w:val="32"/>
        </w:rPr>
        <w:t>第13款</w:t>
      </w: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b/>
          <w:color w:val="000000" w:themeColor="text1"/>
          <w:sz w:val="32"/>
          <w:szCs w:val="32"/>
        </w:rPr>
        <w:t>經濟部主管</w:t>
      </w:r>
    </w:p>
    <w:p w14:paraId="0092B6D8" w14:textId="77777777" w:rsidR="009D64D0" w:rsidRPr="00BC7E20" w:rsidRDefault="009D64D0" w:rsidP="00F470A8">
      <w:pPr>
        <w:overflowPunct w:val="0"/>
        <w:spacing w:line="480" w:lineRule="exact"/>
        <w:ind w:leftChars="200" w:left="1953" w:hangingChars="460" w:hanging="1473"/>
        <w:jc w:val="both"/>
        <w:rPr>
          <w:rFonts w:ascii="標楷體" w:eastAsia="標楷體" w:hAnsi="標楷體"/>
          <w:color w:val="000000" w:themeColor="text1"/>
          <w:sz w:val="32"/>
          <w:szCs w:val="32"/>
        </w:rPr>
      </w:pPr>
      <w:r w:rsidRPr="00BC7E20">
        <w:rPr>
          <w:rFonts w:ascii="標楷體" w:eastAsia="標楷體" w:hAnsi="標楷體" w:hint="eastAsia"/>
          <w:b/>
          <w:color w:val="000000" w:themeColor="text1"/>
          <w:sz w:val="32"/>
          <w:szCs w:val="32"/>
        </w:rPr>
        <w:t>第1項</w:t>
      </w: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b/>
          <w:color w:val="000000" w:themeColor="text1"/>
          <w:sz w:val="32"/>
          <w:szCs w:val="32"/>
        </w:rPr>
        <w:t>經濟部</w:t>
      </w:r>
      <w:r w:rsidRPr="00BC7E20">
        <w:rPr>
          <w:rFonts w:ascii="標楷體" w:eastAsia="標楷體" w:hAnsi="標楷體" w:hint="eastAsia"/>
          <w:color w:val="000000" w:themeColor="text1"/>
          <w:sz w:val="32"/>
          <w:szCs w:val="32"/>
        </w:rPr>
        <w:t>追加1</w:t>
      </w:r>
      <w:r w:rsidRPr="00BC7E20">
        <w:rPr>
          <w:rFonts w:ascii="標楷體" w:eastAsia="標楷體" w:hAnsi="標楷體"/>
          <w:color w:val="000000" w:themeColor="text1"/>
          <w:sz w:val="32"/>
          <w:szCs w:val="32"/>
        </w:rPr>
        <w:t>,</w:t>
      </w:r>
      <w:r w:rsidRPr="00BC7E20">
        <w:rPr>
          <w:rFonts w:ascii="標楷體" w:eastAsia="標楷體" w:hAnsi="標楷體" w:hint="eastAsia"/>
          <w:color w:val="000000" w:themeColor="text1"/>
          <w:sz w:val="32"/>
          <w:szCs w:val="32"/>
        </w:rPr>
        <w:t>000億元，照列。</w:t>
      </w:r>
    </w:p>
    <w:p w14:paraId="177D314C" w14:textId="77777777" w:rsidR="009D64D0" w:rsidRPr="00BC7E20" w:rsidRDefault="009D64D0" w:rsidP="00F470A8">
      <w:pPr>
        <w:overflowPunct w:val="0"/>
        <w:spacing w:line="480" w:lineRule="exact"/>
        <w:ind w:leftChars="200" w:left="2170" w:hangingChars="528" w:hanging="1690"/>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kern w:val="0"/>
          <w:sz w:val="32"/>
          <w:szCs w:val="32"/>
        </w:rPr>
        <w:t>本</w:t>
      </w:r>
      <w:r w:rsidRPr="00BC7E20">
        <w:rPr>
          <w:rFonts w:ascii="標楷體" w:eastAsia="標楷體" w:hAnsi="標楷體" w:hint="eastAsia"/>
          <w:color w:val="000000" w:themeColor="text1"/>
          <w:sz w:val="32"/>
          <w:szCs w:val="32"/>
        </w:rPr>
        <w:t>項</w:t>
      </w:r>
      <w:r w:rsidRPr="00BC7E20">
        <w:rPr>
          <w:rFonts w:ascii="標楷體" w:eastAsia="標楷體" w:hAnsi="標楷體" w:hint="eastAsia"/>
          <w:color w:val="000000" w:themeColor="text1"/>
          <w:kern w:val="0"/>
          <w:sz w:val="32"/>
          <w:szCs w:val="32"/>
        </w:rPr>
        <w:t>提案1</w:t>
      </w:r>
      <w:r w:rsidRPr="00BC7E20">
        <w:rPr>
          <w:rFonts w:ascii="標楷體" w:eastAsia="標楷體" w:hAnsi="標楷體"/>
          <w:color w:val="000000" w:themeColor="text1"/>
          <w:kern w:val="0"/>
          <w:sz w:val="32"/>
          <w:szCs w:val="32"/>
        </w:rPr>
        <w:t>2</w:t>
      </w:r>
      <w:r w:rsidRPr="00BC7E20">
        <w:rPr>
          <w:rFonts w:ascii="標楷體" w:eastAsia="標楷體" w:hAnsi="標楷體" w:hint="eastAsia"/>
          <w:color w:val="000000" w:themeColor="text1"/>
          <w:kern w:val="0"/>
          <w:sz w:val="32"/>
          <w:szCs w:val="32"/>
        </w:rPr>
        <w:t>案，保留，送院會處理：</w:t>
      </w:r>
    </w:p>
    <w:p w14:paraId="38D8E643" w14:textId="77777777" w:rsidR="009D64D0" w:rsidRPr="00BC7E20" w:rsidRDefault="009D64D0" w:rsidP="00F470A8">
      <w:pPr>
        <w:overflowPunct w:val="0"/>
        <w:spacing w:line="480" w:lineRule="exact"/>
        <w:ind w:leftChars="200" w:left="1120" w:hangingChars="200" w:hanging="640"/>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一)中央政府稱因俄烏戰爭導致國際燃料價格上漲，造成台電發電成本上升，編列1,000億追加預算補貼台電。惟查，依經濟部能源署統計資料，北海布蘭特2022年2月曾上漲至122.82美元/桶，半年後即降至80.88美元/桶，2024年10月現已降至75.66美元/桶，顯見國際燃料價格已回穩。政府對台電2023</w:t>
      </w:r>
      <w:r w:rsidRPr="00BC7E20">
        <w:rPr>
          <w:rFonts w:ascii="標楷體" w:eastAsia="標楷體" w:hAnsi="標楷體" w:hint="eastAsia"/>
          <w:color w:val="000000" w:themeColor="text1"/>
          <w:sz w:val="32"/>
          <w:szCs w:val="32"/>
        </w:rPr>
        <w:lastRenderedPageBreak/>
        <w:t>年即增資及撥補2000億元，2024增資1000億元，現又以追加預算方式撥補1000億元，2025預算撥補1000億元，台電虧損已成政府財務黑洞。綜觀台電虧損原因，且不論國際燃料價格是否上漲，因執政黨廢核主張及資源全押再生能源，我國發電竟有8成以上為火力發電，即8成發電仰賴進口原料，錯誤的能源政策造成危險的能源配比，進而使台電不斷虧損。現產業界多有呼籲政府延役核電廠之聲，經濟部長郭智輝亦表示不支持以公務預算撥補台電，政府應積極研擬核電延役相關配套措施，促使我國能源穩定均衡發展。爰此，提案減列本次追加預算100,000,000千元。</w:t>
      </w:r>
    </w:p>
    <w:p w14:paraId="7406596A" w14:textId="65D172F4"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提案人：王鴻薇　賴士葆　羅明才</w:t>
      </w:r>
    </w:p>
    <w:p w14:paraId="32A11B2A"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二)有鑑於民進黨政府執政以來，長期錯誤的能源政策，除了讓電價一再調漲外，更推升物價不斷上漲。自112年度以來，政府已編列給台電增資2,500億元，疫後特別條例撥補500億元，卻未見改善成效。若再加計113年度中央政府總預算追加預算案及114年度中央政府總預算案，預算撥補共計達2000億元，總計國庫將讓台電增資及撥補金額累計高達5,000億元，恐僅淪為填補台電當下虧損黑洞之用，而非真正用於改善台電經營體質。爰此，為撙節開支並維護財政紀律，提案將補助台電公司1,000億元全數減列。</w:t>
      </w:r>
    </w:p>
    <w:p w14:paraId="6548B1E3" w14:textId="77777777" w:rsidR="00424BF9"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提案人：王鴻薇　陳玉珍　賴士葆　林德福</w:t>
      </w:r>
    </w:p>
    <w:p w14:paraId="699BE436" w14:textId="1AEFEE2A" w:rsidR="009D64D0" w:rsidRPr="00BC7E20" w:rsidRDefault="009D64D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BC7E20">
        <w:rPr>
          <w:rFonts w:ascii="標楷體" w:eastAsia="標楷體" w:hAnsi="標楷體" w:hint="eastAsia"/>
          <w:kern w:val="0"/>
          <w:sz w:val="32"/>
          <w:szCs w:val="32"/>
        </w:rPr>
        <w:t xml:space="preserve">　</w:t>
      </w:r>
      <w:r w:rsidR="00424BF9" w:rsidRPr="00EB155B">
        <w:rPr>
          <w:rFonts w:ascii="標楷體" w:eastAsia="標楷體" w:hAnsi="標楷體" w:hint="eastAsia"/>
          <w:kern w:val="0"/>
          <w:sz w:val="32"/>
          <w:szCs w:val="32"/>
        </w:rPr>
        <w:t xml:space="preserve">　　　　　</w:t>
      </w:r>
      <w:r w:rsidRPr="00BC7E20">
        <w:rPr>
          <w:rFonts w:ascii="標楷體" w:eastAsia="標楷體" w:hAnsi="標楷體" w:hint="eastAsia"/>
          <w:kern w:val="0"/>
          <w:sz w:val="32"/>
          <w:szCs w:val="32"/>
        </w:rPr>
        <w:t>顏寬恒　羅明才</w:t>
      </w:r>
    </w:p>
    <w:p w14:paraId="1C8ED02C"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(三)本院委員賴士葆等　人，查中央政府總預算追加預算案，113年度歲出機關別追加預算表，經濟部主管項下「其他經濟服務支出」，編列營業基金100,000,000千元(P16)，列有補助台電公司因國際燃料成本上漲所需經費。查台電公司公布之113年損益表1月-10月僅虧損278億元即將轉盈，另9月公布各種發電方式之成本介於1.18元至7.17元平均約2.73元，已明顯較112年審定決算每度3.3元為低，台電公司應思索如何按發電成本高低調整能源結構，而不是仰賴政府補貼，又經濟部</w:t>
      </w:r>
      <w:r w:rsidRPr="00BC7E20">
        <w:rPr>
          <w:rFonts w:ascii="標楷體" w:eastAsia="標楷體" w:hAnsi="標楷體" w:hint="eastAsia"/>
          <w:color w:val="000000" w:themeColor="text1"/>
          <w:sz w:val="32"/>
          <w:szCs w:val="32"/>
        </w:rPr>
        <w:lastRenderedPageBreak/>
        <w:t>長來自業界說可以透過長短期融資方式取得資金盈利，所以，是項總預算追加宜予避免，以撙節支出。提案刪減上述「營業基金」1,000億元。是否有當，敬請公決</w:t>
      </w:r>
      <w:r w:rsidRPr="00BC7E20">
        <w:rPr>
          <w:rFonts w:ascii="標楷體" w:eastAsia="標楷體" w:hAnsi="標楷體"/>
          <w:color w:val="000000" w:themeColor="text1"/>
          <w:sz w:val="32"/>
          <w:szCs w:val="32"/>
        </w:rPr>
        <w:t>!</w:t>
      </w:r>
    </w:p>
    <w:p w14:paraId="2DD4F8AF" w14:textId="1E855483"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提案人：賴士葆　王鴻薇　陳玉珍</w:t>
      </w:r>
    </w:p>
    <w:p w14:paraId="5E551D1A"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四)113年度中央政府總預算追加預算案於第13款1項10目「經濟部主管-其他經濟服務支出-營業基金」編列預算1,000億元。臺灣的能源佈局不僅關乎經濟發展更與國際情勢密切相關，惟台電長期虧損、主管機關經濟部對於能源政策晦暗不明，能源不穩、電價節節攀升、環境不永續，不只影響國內中小企業發展、更阻礙國際投資意願。賴清德總統提出「第二次能源轉型」內容包山包海，從「多元綠能」、「深度節能」、「先進儲能」、「強韌電網」、及天然氣去碳化等等…，各種名詞堆疊，卻缺乏能源轉型之具體路徑，台灣民眾黨立院黨團提案要求行政院提出「未來能源配比及電價政策專案報告」，才能漲電價或再度要求撥補，經濟部卻提供粗製濫造之內容，顯見民進黨政府維繫台電營運之策略，僅剩僅增資、撥補、追加預算、漲電價等四類途徑，毫無整體能源策略，更無法填補台電鉅額黑洞。113年8月8日總統府國家氣候變遷對策委員會第1次委員會議，總統指出：「能源議題絕對不是簡單的、只是「反核」或「擁核」的「是非題」。在國家治理中的每一個決策，勢必都是多元的「選擇題」，甚至是複雜的「多選題」。總統更曾提出「已經停機的核能機組，規劃維持未來可以緊急使用，以備不時之需」，中央政府與經濟部應審慎評估已停機的核能機組，保有未來可以緊急使用的可能性，並扮演備載能源的角色，而非從「多元發電」之從能源選項中排除。爰減列該項預算100%。</w:t>
      </w:r>
    </w:p>
    <w:p w14:paraId="024A4BE3" w14:textId="10AA0250"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提案人：張啓楷　黃珊珊　王鴻薇</w:t>
      </w:r>
    </w:p>
    <w:p w14:paraId="774DE3FB"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(五)113年度中央政府總預算追加預算案於第13款1項10目「經濟部主管-其他經濟服務支出-營業基金」編列預算1,000億元。需量競價措施辦理方式係於電力系統高載時期，開放用戶將</w:t>
      </w:r>
      <w:r w:rsidRPr="00BC7E20">
        <w:rPr>
          <w:rFonts w:ascii="標楷體" w:eastAsia="標楷體" w:hAnsi="標楷體" w:hint="eastAsia"/>
          <w:color w:val="000000" w:themeColor="text1"/>
          <w:sz w:val="32"/>
          <w:szCs w:val="32"/>
        </w:rPr>
        <w:lastRenderedPageBreak/>
        <w:t>節省之用電回賣給台電公司，並由用戶出價競標，台電公司則依電力系統需要，採愈低報價者先得標方式決定得標者，倘得標者於抑低用電期間確實減少用電，則可獲得電費扣減，惟需量競價措施係針對用戶配合抑低負載所設計之誘因激勵機制，屬用戶自行抑低負載，加以我國電價低，且需量競價多數無訂定罰則，用戶參與時除考量誘因是否高於其配合抑低成本外，亦須考量其配合抑低能力，如生產製程調整彈性及有無備用電源，爰參與用戶數及抑低容量須視實際狀況而定。據立法院預算中心調查，台電公司為鼓勵用電大戶在尖峰時刻節省用電，以抑低尖峰時段用電量與確保供電穩定性，於104年4月29日獲經濟部同意推動「需量競價」計畫，然自110年起由經濟調度改為安全調度，惟其平均每度扣減金額高於高壓及特高壓售價2至3倍，恐有高價回饋用電大戶之虞。台電公司統計，實施需量競價實際抑低容量由109年度之1萬5,928千瓩逐年降至112年度之1,544千瓩，減幅高達90.31%，同期間平均扣減金額由每度3.23元增至8.71元。爰刪減該項預算100%。</w:t>
      </w:r>
    </w:p>
    <w:p w14:paraId="02300DF3" w14:textId="51C93E13"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0893CDC4"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(六)</w:t>
      </w:r>
      <w:bookmarkStart w:id="151" w:name="_Hlk183522730"/>
      <w:r w:rsidRPr="00BC7E20">
        <w:rPr>
          <w:rFonts w:ascii="標楷體" w:eastAsia="標楷體" w:hAnsi="標楷體" w:hint="eastAsia"/>
          <w:color w:val="000000" w:themeColor="text1"/>
          <w:sz w:val="32"/>
          <w:szCs w:val="32"/>
        </w:rPr>
        <w:t>113年度中央政府總預算追加預算案於第13款1項10目「經濟部主管-其他經濟服務支出-營業基金」編列預算1,000億元。有鑑於113年10月24日總統府國家氣候變遷對策委員會第2次委員會議，總統指出：「最好的能源是節能。台灣的經濟發展，需要產業和外資持續在台投資，也就需要穩定的電源。節約能源會比開發能源更有效益，也是最具成本效益重要的方式，這也是直接有效的減碳策略之一。當我們多節約一分能源，就可以多減少一分碳。」為帶頭引導民間節電，爰刪減該項預算100%。</w:t>
      </w:r>
      <w:bookmarkEnd w:id="151"/>
    </w:p>
    <w:p w14:paraId="29498B4F" w14:textId="4BDB7CCD"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05721B87"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(七)113年度中央政府總預算追加預算案於第13款1項10目「經濟部主管-其他經濟服務支出-營業基金」編列預算1,000億元。</w:t>
      </w:r>
      <w:r w:rsidRPr="00BC7E20">
        <w:rPr>
          <w:rFonts w:ascii="標楷體" w:eastAsia="標楷體" w:hAnsi="標楷體" w:hint="eastAsia"/>
          <w:color w:val="000000" w:themeColor="text1"/>
          <w:sz w:val="32"/>
          <w:szCs w:val="32"/>
        </w:rPr>
        <w:lastRenderedPageBreak/>
        <w:t>有鑑於113年9月3日「行政院經濟發展委員會」首次顧問會議，討論「如何建構主權AI生態系」主題，有多位專家學者提及應完善AI關鍵基礎建設，建置本地資料數據中心，確保資通訊安全。惟查台灣電力公司113年8月10日新聞稿指出，資料中心屬於用電密度極高之產業，對於電力系統影響甚大，因此世界各國皆謹慎面對並嚴格控管。如新加坡曾於2019年暫停資料中心設廠申請，雖於2022年重新開放，但對資料中心用電量與能源效率皆有嚴格標準。為確保電力系統穩定與安全，台電參考新加坡、韓國經驗，透過用電控管，引導用電量5MW以上資料中心，優先至擁有充足再生能源的中南部地區設廠，不僅協助業者減碳並提高國際競爭力，也讓負載與電源端相互匹配，減少電源輸送的耗損。爰刪減該項預算100%。</w:t>
      </w:r>
    </w:p>
    <w:p w14:paraId="0596B95D" w14:textId="5DDEE130"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0251E02B"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八)113年度中央政府總預算追加預算案於第13款1項10目「經濟部主管-其他經濟服務支出-營業基金」編列預算1,000億元。根據台灣電力股份有限公司官方網站公告之「火力營運現況與績效」資料顯示，台電系統之112年發購電量為2,455億度，其中火力發電量為2,009億度，火力占比81.9%、再生能源佔比9.9%、核能占比7.0%、抽蓄水力1.2%。雖然台電已逐步增加各種再生能源電源供給方式，惟火力發電仍是現階段電力來源最重要的發電方式。由於我國能源結構高度仰賴煤、氣、油等火力發電方式，因此當國際局勢發生變化，國際燃料價格大幅波動時，就會導致台電總發電成本反應敏感、大幅上漲。以今年3月數據為例，111年平均國際燃煤價格飆漲至每公噸約370美元的高點，近期每公噸約135美元，仍遠高於疫情爆發前5年(104~108年)平均約80美元。允宜妥為更具前瞻性之能源配比規畫及精進燃料採購策略。爰刪減該項預算100%。</w:t>
      </w:r>
    </w:p>
    <w:p w14:paraId="1A11965F" w14:textId="48C3F933"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2FC273F3"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lastRenderedPageBreak/>
        <w:t>(九)</w:t>
      </w:r>
      <w:r w:rsidRPr="00BC7E20">
        <w:rPr>
          <w:rFonts w:ascii="標楷體" w:eastAsia="標楷體" w:hAnsi="標楷體"/>
          <w:color w:val="000000" w:themeColor="text1"/>
          <w:sz w:val="32"/>
          <w:szCs w:val="32"/>
        </w:rPr>
        <w:t>113</w:t>
      </w:r>
      <w:r w:rsidRPr="00BC7E20">
        <w:rPr>
          <w:rFonts w:ascii="標楷體" w:eastAsia="標楷體" w:hAnsi="標楷體" w:hint="eastAsia"/>
          <w:color w:val="000000" w:themeColor="text1"/>
          <w:sz w:val="32"/>
          <w:szCs w:val="32"/>
        </w:rPr>
        <w:t>年度中央政府總預算追加預算案於第</w:t>
      </w:r>
      <w:r w:rsidRPr="00BC7E20">
        <w:rPr>
          <w:rFonts w:ascii="標楷體" w:eastAsia="標楷體" w:hAnsi="標楷體"/>
          <w:color w:val="000000" w:themeColor="text1"/>
          <w:sz w:val="32"/>
          <w:szCs w:val="32"/>
        </w:rPr>
        <w:t>13</w:t>
      </w:r>
      <w:r w:rsidRPr="00BC7E20">
        <w:rPr>
          <w:rFonts w:ascii="標楷體" w:eastAsia="標楷體" w:hAnsi="標楷體" w:hint="eastAsia"/>
          <w:color w:val="000000" w:themeColor="text1"/>
          <w:sz w:val="32"/>
          <w:szCs w:val="32"/>
        </w:rPr>
        <w:t>款</w:t>
      </w:r>
      <w:r w:rsidRPr="00BC7E20">
        <w:rPr>
          <w:rFonts w:ascii="標楷體" w:eastAsia="標楷體" w:hAnsi="標楷體"/>
          <w:color w:val="000000" w:themeColor="text1"/>
          <w:sz w:val="32"/>
          <w:szCs w:val="32"/>
        </w:rPr>
        <w:t>1</w:t>
      </w:r>
      <w:r w:rsidRPr="00BC7E20">
        <w:rPr>
          <w:rFonts w:ascii="標楷體" w:eastAsia="標楷體" w:hAnsi="標楷體" w:hint="eastAsia"/>
          <w:color w:val="000000" w:themeColor="text1"/>
          <w:sz w:val="32"/>
          <w:szCs w:val="32"/>
        </w:rPr>
        <w:t>項</w:t>
      </w:r>
      <w:r w:rsidRPr="00BC7E20">
        <w:rPr>
          <w:rFonts w:ascii="標楷體" w:eastAsia="標楷體" w:hAnsi="標楷體"/>
          <w:color w:val="000000" w:themeColor="text1"/>
          <w:sz w:val="32"/>
          <w:szCs w:val="32"/>
        </w:rPr>
        <w:t>10</w:t>
      </w:r>
      <w:r w:rsidRPr="00BC7E20">
        <w:rPr>
          <w:rFonts w:ascii="標楷體" w:eastAsia="標楷體" w:hAnsi="標楷體" w:hint="eastAsia"/>
          <w:color w:val="000000" w:themeColor="text1"/>
          <w:sz w:val="32"/>
          <w:szCs w:val="32"/>
        </w:rPr>
        <w:t>目「經濟部主管</w:t>
      </w:r>
      <w:r w:rsidRPr="00BC7E20">
        <w:rPr>
          <w:rFonts w:ascii="標楷體" w:eastAsia="標楷體" w:hAnsi="標楷體"/>
          <w:color w:val="000000" w:themeColor="text1"/>
          <w:sz w:val="32"/>
          <w:szCs w:val="32"/>
        </w:rPr>
        <w:t>-</w:t>
      </w:r>
      <w:r w:rsidRPr="00BC7E20">
        <w:rPr>
          <w:rFonts w:ascii="標楷體" w:eastAsia="標楷體" w:hAnsi="標楷體" w:hint="eastAsia"/>
          <w:color w:val="000000" w:themeColor="text1"/>
          <w:sz w:val="32"/>
          <w:szCs w:val="32"/>
        </w:rPr>
        <w:t>其他經濟服務支出</w:t>
      </w:r>
      <w:r w:rsidRPr="00BC7E20">
        <w:rPr>
          <w:rFonts w:ascii="標楷體" w:eastAsia="標楷體" w:hAnsi="標楷體"/>
          <w:color w:val="000000" w:themeColor="text1"/>
          <w:sz w:val="32"/>
          <w:szCs w:val="32"/>
        </w:rPr>
        <w:t>-</w:t>
      </w:r>
      <w:r w:rsidRPr="00BC7E20">
        <w:rPr>
          <w:rFonts w:ascii="標楷體" w:eastAsia="標楷體" w:hAnsi="標楷體" w:hint="eastAsia"/>
          <w:color w:val="000000" w:themeColor="text1"/>
          <w:sz w:val="32"/>
          <w:szCs w:val="32"/>
        </w:rPr>
        <w:t>營業基金」編列預算</w:t>
      </w:r>
      <w:r w:rsidRPr="00BC7E20">
        <w:rPr>
          <w:rFonts w:ascii="標楷體" w:eastAsia="標楷體" w:hAnsi="標楷體"/>
          <w:color w:val="000000" w:themeColor="text1"/>
          <w:sz w:val="32"/>
          <w:szCs w:val="32"/>
        </w:rPr>
        <w:t>1,000</w:t>
      </w:r>
      <w:r w:rsidRPr="00BC7E20">
        <w:rPr>
          <w:rFonts w:ascii="標楷體" w:eastAsia="標楷體" w:hAnsi="標楷體" w:hint="eastAsia"/>
          <w:color w:val="000000" w:themeColor="text1"/>
          <w:sz w:val="32"/>
          <w:szCs w:val="32"/>
        </w:rPr>
        <w:t>億元。根據行政院經建會</w:t>
      </w:r>
      <w:r w:rsidRPr="00BC7E20">
        <w:rPr>
          <w:rFonts w:ascii="標楷體" w:eastAsia="標楷體" w:hAnsi="標楷體"/>
          <w:color w:val="000000" w:themeColor="text1"/>
          <w:sz w:val="32"/>
          <w:szCs w:val="32"/>
        </w:rPr>
        <w:t>92</w:t>
      </w:r>
      <w:r w:rsidRPr="00BC7E20">
        <w:rPr>
          <w:rFonts w:ascii="標楷體" w:eastAsia="標楷體" w:hAnsi="標楷體" w:hint="eastAsia"/>
          <w:color w:val="000000" w:themeColor="text1"/>
          <w:sz w:val="32"/>
          <w:szCs w:val="32"/>
        </w:rPr>
        <w:t>年委託研究《國營事業土地利用方向之研究》指出，國營事業大多係特殊歷史背景下的產物，擁有龐大的土地資源。各事業機構為突破經營困境，紛紛拓展土地多角化經營。如台糖之營建房屋出售、休閒事業、工商綜合區、加油站、購物中心等等、台鹽休閒產業之土地開發、台電之變電所多目標使用、中油成立加油站公司等等。台灣電力公司職司全國電力供應，取得之房地資產係為因應供電所需，於各地興建發電廠、變電所、服務(營運)所、配電中心及輸電線路鐵塔等，經管土地面積龐巨，允宜思考資產活化、多目標使用之可能，參考大安變電所結合旅館、萬隆變電所結合辦公大樓成功案例，持續透過都更、合建與設定地上權等多元開發方式活化、提升土地資產價值。據台電公司統計，該公司已徵收(或取得)之用地，截至113年7月底止，未使用或未依原定用途使用之土地計166件、301筆、面積27萬7,596平方公尺，取得成本合計84.4億元。爰刪減該項預算100%。</w:t>
      </w:r>
    </w:p>
    <w:p w14:paraId="51E6F14E" w14:textId="46B8E2C3"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23C40C20"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十)113年度中央政府總預算追加預算案於第13款1項10目「經濟部主管-其他經濟服務支出-營業基金」編列預算1,000億元。依據《電業法》第6條第5項規定，台電公司原被要求應於114年完成轉型為控股母公司，，其下成立發電及輸配售電公司。惟據報載，經濟部認為現況已無分割理由，且為實現2050淨零轉型，亟需大型綜合電業公司為政策支撐，因此報政院獲准同意維持現狀不再分割。經濟部同時指出，面對國際能源價格高漲，台電公司分割後，財務負擔耐受力恐更為艱困，國際趨勢上，各國政府已陸續買回民營化電力公司。台灣電力公司曾於51年上市，54年暫停交易迄今，目前由經濟部握有96.61%的股權，其餘則是零散在外流通。台灣電力</w:t>
      </w:r>
      <w:r w:rsidRPr="00BC7E20">
        <w:rPr>
          <w:rFonts w:ascii="標楷體" w:eastAsia="標楷體" w:hAnsi="標楷體" w:hint="eastAsia"/>
          <w:color w:val="000000" w:themeColor="text1"/>
          <w:sz w:val="32"/>
          <w:szCs w:val="32"/>
        </w:rPr>
        <w:lastRenderedPageBreak/>
        <w:t>公司於113年6月21日舉辦113年股東常會時，由於近年公司不斷增資，引發小股東抗議股權不斷遭稀釋，同時亦因連年虧損無法領得股利，要求政府購回民股。台電公司當時承諾小股東將向大股東經濟部，提出處理民股方案。爰刪減該項預算100%。</w:t>
      </w:r>
    </w:p>
    <w:p w14:paraId="3311EE0F" w14:textId="4C6A43B1"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51E68566" w14:textId="77777777" w:rsidR="009D64D0" w:rsidRPr="00BC7E20" w:rsidRDefault="009D64D0" w:rsidP="00F470A8">
      <w:pPr>
        <w:overflowPunct w:val="0"/>
        <w:spacing w:line="480" w:lineRule="exact"/>
        <w:ind w:leftChars="200" w:left="1440" w:hangingChars="300" w:hanging="960"/>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十一)113年度中央政府總預算追加預算案於第13款1項10目「經濟部主管-其他經濟服務支出-營業基金」編列預算1,000億元。根據台電統計，我國112年台電系統發電量為2,454.6億度，其中燃氣佔比44.1%，顯示我國高度依賴天然氣發電，必須盡可能降低購氣成本。為提供大潭電廠天然氣火力發電之穩定能源供給，政府刻正於桃園觀塘興建「第三天然氣接收站」，經查當年台電公司及中油公司均有意爭取興建營運該設施，爭取各自公司利潤。102年時任台電董事長曾表示，由於天然氣購買成本占整體燃料費用比重相當大，台電考慮興建天然氣第三接收站，自行購買天然氣，省下的發電成本，等於是為全民節省電費。不過最終於103年「油電經營績效改善小組」會議中，選定由中油取得興建於經營權，並附帶條件台電可自行採購天然氣，而中油僅能收取3%代操作費用。有鑑於我國未來面臨不斷成長之天然氣需求，恐須持須擴建天然氣接收站，另外未來地熱電廠鑽探需同時仰賴台電及中油之專業合作，為免爭議及節省成本，爰刪減該項預算100%。</w:t>
      </w:r>
    </w:p>
    <w:p w14:paraId="13986CA1" w14:textId="7307CE76"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598C1668" w14:textId="77777777" w:rsidR="009D64D0" w:rsidRPr="00BC7E20" w:rsidRDefault="009D64D0" w:rsidP="00F470A8">
      <w:pPr>
        <w:overflowPunct w:val="0"/>
        <w:spacing w:line="480" w:lineRule="exact"/>
        <w:ind w:leftChars="200" w:left="1440" w:hangingChars="300" w:hanging="960"/>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十二)113年度中央政府總預算追加預算案於第13款1項10目「經濟部主管-其他經濟服務支出-營業基金」編列預算1,000億元。台灣電力公司原承諾於113年底基隆協和電廠汙染嚴重、發電成本高昂之#3、#4老舊重油發電機組除役，並依《空氣污染防制法》第20條及《電力設施空氣污染物排放標準》第2條第11款將該2座機組調整為「緊急備用電力設</w:t>
      </w:r>
      <w:r w:rsidRPr="00BC7E20">
        <w:rPr>
          <w:rFonts w:ascii="標楷體" w:eastAsia="標楷體" w:hAnsi="標楷體" w:hint="eastAsia"/>
          <w:color w:val="000000" w:themeColor="text1"/>
          <w:sz w:val="32"/>
          <w:szCs w:val="32"/>
        </w:rPr>
        <w:lastRenderedPageBreak/>
        <w:t>施」，受到單一機組年累積運轉時數不得超過720小時，並僅得專用於供電系統跳電、限電期間或其他為維持供電系統正常運轉時使用。然而，由於台電公司之更新改建計畫遲遲未能妥善處理環境部環境影響評估審查委員會委員們之意見，一再延宕補件時程。並且未能於在地溝通解決民眾疑慮，爭取民眾認同，電廠改建計畫遙遙無期，連帶影響除役規畫。允宜趁此時機，重新檢討是否有更符合淨零排放需求之改建規畫方案。爰刪減該項預算100%。</w:t>
      </w:r>
    </w:p>
    <w:p w14:paraId="6E447D47" w14:textId="6ED501D0"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張啓楷　王鴻薇</w:t>
      </w:r>
    </w:p>
    <w:p w14:paraId="54870367" w14:textId="77777777" w:rsidR="009D64D0" w:rsidRPr="00BC7E20" w:rsidRDefault="009D64D0" w:rsidP="00F470A8">
      <w:pPr>
        <w:overflowPunct w:val="0"/>
        <w:spacing w:line="480" w:lineRule="exact"/>
        <w:ind w:leftChars="200" w:left="2170" w:hangingChars="528" w:hanging="1690"/>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本項通過決議7項：</w:t>
      </w:r>
    </w:p>
    <w:p w14:paraId="5A9A74F0"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一)俄烏戰爭影響全球能源及原物料供需，連帶造成燃料價格全面上漲，台灣能源近98%依賴進口，也因所有用來推動其經濟發展的燃料都是進口能源，深受能源市場風險影響。而台灣電力股份有限公司受到近年國際燃料高漲，虧損情況嚴峻，截至113年9月底累計虧損達4,097億元，負債比率已達92.2%。為因應此鉅額虧損，行政院提出</w:t>
      </w:r>
      <w:r w:rsidRPr="00BC7E20">
        <w:rPr>
          <w:rFonts w:ascii="標楷體" w:eastAsia="標楷體" w:hAnsi="標楷體" w:hint="eastAsia"/>
          <w:bCs/>
          <w:color w:val="000000" w:themeColor="text1"/>
          <w:sz w:val="32"/>
          <w:szCs w:val="32"/>
        </w:rPr>
        <w:t>113年度中央政府總預算追加預算案</w:t>
      </w:r>
      <w:r w:rsidRPr="00BC7E20">
        <w:rPr>
          <w:rFonts w:ascii="標楷體" w:eastAsia="標楷體" w:hAnsi="標楷體" w:hint="eastAsia"/>
          <w:color w:val="000000" w:themeColor="text1"/>
          <w:sz w:val="32"/>
          <w:szCs w:val="32"/>
        </w:rPr>
        <w:t>，歲出部分計編列1,000億元，補助台灣電力股份有限公司因國際燃料成本上漲，為穩定物價及照顧民生、弱勢所吸收用電成本所需經費。對此，爰支持1,000億元追加預算案，然台灣電力股份有限公司在財務負擔沉重下，仍應秉持開源節流原則，積極檢討撙節各項非必要支出或減少支出，俾改善公司財務結構，度過難關，爰要求台灣電力股份有限公司於3個月內向立法院財政及經濟委員會提出財務改善方案之書面報告。</w:t>
      </w:r>
    </w:p>
    <w:p w14:paraId="7284F1F4" w14:textId="4170DD73"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提案人：賴瑞隆</w:t>
      </w:r>
    </w:p>
    <w:p w14:paraId="71430484" w14:textId="48C41342"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連署人：陳亭妃　蔡易餘</w:t>
      </w:r>
    </w:p>
    <w:p w14:paraId="331124EE"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(二)綜計</w:t>
      </w:r>
      <w:r w:rsidRPr="00BC7E20">
        <w:rPr>
          <w:rFonts w:ascii="標楷體" w:eastAsia="標楷體" w:hAnsi="標楷體" w:hint="eastAsia"/>
          <w:bCs/>
          <w:color w:val="000000" w:themeColor="text1"/>
          <w:sz w:val="32"/>
          <w:szCs w:val="32"/>
        </w:rPr>
        <w:t>113年度中央政府總預算追加預算案</w:t>
      </w:r>
      <w:r w:rsidRPr="00BC7E20">
        <w:rPr>
          <w:rFonts w:ascii="標楷體" w:eastAsia="標楷體" w:hAnsi="標楷體" w:hint="eastAsia"/>
          <w:color w:val="000000" w:themeColor="text1"/>
          <w:sz w:val="32"/>
          <w:szCs w:val="32"/>
        </w:rPr>
        <w:t>、電價調整及燃料價格回跌等，113年度台灣電力股份有限公司預計虧損由1</w:t>
      </w:r>
      <w:r w:rsidRPr="00BC7E20">
        <w:rPr>
          <w:rFonts w:ascii="標楷體" w:eastAsia="標楷體" w:hAnsi="標楷體"/>
          <w:color w:val="000000" w:themeColor="text1"/>
          <w:sz w:val="32"/>
          <w:szCs w:val="32"/>
        </w:rPr>
        <w:t>,</w:t>
      </w:r>
      <w:r w:rsidRPr="00BC7E20">
        <w:rPr>
          <w:rFonts w:ascii="標楷體" w:eastAsia="標楷體" w:hAnsi="標楷體" w:hint="eastAsia"/>
          <w:color w:val="000000" w:themeColor="text1"/>
          <w:sz w:val="32"/>
          <w:szCs w:val="32"/>
        </w:rPr>
        <w:t>887億餘元縮減至93億餘元，惟截至112年底止自編決算數仍有3</w:t>
      </w:r>
      <w:r w:rsidRPr="00BC7E20">
        <w:rPr>
          <w:rFonts w:ascii="標楷體" w:eastAsia="標楷體" w:hAnsi="標楷體"/>
          <w:color w:val="000000" w:themeColor="text1"/>
          <w:sz w:val="32"/>
          <w:szCs w:val="32"/>
        </w:rPr>
        <w:t>,</w:t>
      </w:r>
      <w:r w:rsidRPr="00BC7E20">
        <w:rPr>
          <w:rFonts w:ascii="標楷體" w:eastAsia="標楷體" w:hAnsi="標楷體" w:hint="eastAsia"/>
          <w:color w:val="000000" w:themeColor="text1"/>
          <w:sz w:val="32"/>
          <w:szCs w:val="32"/>
        </w:rPr>
        <w:t>826億餘元之累積虧損待彌補，爰要求台灣電力股份有限公</w:t>
      </w:r>
      <w:r w:rsidRPr="00BC7E20">
        <w:rPr>
          <w:rFonts w:ascii="標楷體" w:eastAsia="標楷體" w:hAnsi="標楷體" w:hint="eastAsia"/>
          <w:color w:val="000000" w:themeColor="text1"/>
          <w:sz w:val="32"/>
          <w:szCs w:val="32"/>
        </w:rPr>
        <w:lastRenderedPageBreak/>
        <w:t>司詳實說明其財務改善方案、短中長期經營改善計畫及所需資金來源等，並加強控管，以利永續營運，並於2個月內向立法院財政及經濟委員會提出書面報告。</w:t>
      </w:r>
    </w:p>
    <w:p w14:paraId="33C2845F" w14:textId="785FDFA1"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提案人：羅明才　賴士葆　陳玉珍</w:t>
      </w:r>
    </w:p>
    <w:p w14:paraId="485CF60C"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三)113年度中央政府總預算追加預算案於歲出機關別追加預算表第13款「經濟部主管」第1項「經濟部」主管項下「其他經濟服務支出」第10目「營業基金」擬追加預算數1,000億元，係補助台灣電力股份有限公司因國際燃料成本上漲，為穩定物價及照顧民生、弱勢所吸收用電成本所需經費。有鑑於112年度台灣電力股份有限公司系統發電量配比，以火力發電量占比81.8%最高(包括燃煤34.1%、燃油1.2%、燃氣44.1%及汽電共生2.4%)，再生能源占比9.9%次之，然111及112年度火力發電成本升高。為因應未來電源結構轉型趨勢，允宜審慎檢討電源配比妥適性，審酌我國能源政策，滾動檢討妥適電源配比，並加強燃料成本之控管。</w:t>
      </w:r>
    </w:p>
    <w:p w14:paraId="3157F36A" w14:textId="21D92FEF"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提案人：伍麗華　</w:t>
      </w:r>
    </w:p>
    <w:p w14:paraId="1622072C" w14:textId="5CE7FCDC"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連署人：王世堅　李坤城</w:t>
      </w:r>
    </w:p>
    <w:p w14:paraId="3279D869"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四)行政院院長卓榮泰曾表示，台灣對採用新核能科技的態度非常開放。政府有必要持續投入核電研究，國內如果不繼續發展核電，核能人才恐怕會有大斷層。建請經濟部與台灣電力股份有限公司114年度派員到美國或其他國家學習或共同合作研究新核能技術或小型模組化反應爐，加速引進新核能技術，培育核能人才，強化未來基載發電穩定度，減少石化燃料使用，以利未來2050淨零排放發展。</w:t>
      </w:r>
    </w:p>
    <w:p w14:paraId="076FFB2E" w14:textId="19181198"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提案人：林德福　羅明才　賴士葆</w:t>
      </w:r>
    </w:p>
    <w:p w14:paraId="6E03CEAD"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五)台灣2025年能源目標為50%天然氣、30%燃煤、20%再生能源，考量再生能源比例尚未達標，故能源轉型路徑上以天然氣發電降低燃煤發電比例及補足綠能缺口為主，因此也提供天然氣發電以KPI為導向強烈誘因，過度以KPI為導向對台灣能源發展不利，民營天然氣電廠(IPP)跟台灣電力股份有限公司</w:t>
      </w:r>
      <w:r w:rsidRPr="00BC7E20">
        <w:rPr>
          <w:rFonts w:ascii="標楷體" w:eastAsia="標楷體" w:hAnsi="標楷體" w:hint="eastAsia"/>
          <w:color w:val="000000" w:themeColor="text1"/>
          <w:sz w:val="32"/>
          <w:szCs w:val="32"/>
        </w:rPr>
        <w:lastRenderedPageBreak/>
        <w:t>簽購售電合約(PPA)，過往需要五大條件：供氣、土地、系統評估、環評核准函及地方政府同意函，不過台灣電力股份有限公司自行於111年下半年開始拿掉環評核准函及地方政府同意函，兩項重要條件被去除，民營電廠因為合約罰款問題試圖強渡關山，造成地方嚴重三生衝突。考量購售電合約年限長且對供電安全有重大影響，台灣電力股份有限公司與民營業者簽訂購售電合約時更應慎重其事，避免後續因契約無法履行而生爭議導致雙輸局面，故要求經濟部督促台灣電力股份有限公司重新檢討並恢復原先簽約五要件，另台灣電力股份有限公司未落實購售電合約PPA中民營業者尚未履行合約中商轉前3</w:t>
      </w:r>
      <w:r w:rsidRPr="00BC7E20">
        <w:rPr>
          <w:rFonts w:ascii="標楷體" w:eastAsia="標楷體" w:hAnsi="標楷體"/>
          <w:color w:val="000000" w:themeColor="text1"/>
          <w:sz w:val="32"/>
          <w:szCs w:val="32"/>
        </w:rPr>
        <w:t>0</w:t>
      </w:r>
      <w:r w:rsidRPr="00BC7E20">
        <w:rPr>
          <w:rFonts w:ascii="標楷體" w:eastAsia="標楷體" w:hAnsi="標楷體" w:hint="eastAsia"/>
          <w:color w:val="000000" w:themeColor="text1"/>
          <w:sz w:val="32"/>
          <w:szCs w:val="32"/>
        </w:rPr>
        <w:t>個月未取得施工許可開始計罰及2</w:t>
      </w:r>
      <w:r w:rsidRPr="00BC7E20">
        <w:rPr>
          <w:rFonts w:ascii="標楷體" w:eastAsia="標楷體" w:hAnsi="標楷體"/>
          <w:color w:val="000000" w:themeColor="text1"/>
          <w:sz w:val="32"/>
          <w:szCs w:val="32"/>
        </w:rPr>
        <w:t>4</w:t>
      </w:r>
      <w:r w:rsidRPr="00BC7E20">
        <w:rPr>
          <w:rFonts w:ascii="標楷體" w:eastAsia="標楷體" w:hAnsi="標楷體" w:hint="eastAsia"/>
          <w:color w:val="000000" w:themeColor="text1"/>
          <w:sz w:val="32"/>
          <w:szCs w:val="32"/>
        </w:rPr>
        <w:t>個月前未取得施工許可得終止契約之條件，於1個月內提出究責檢討報告。並針對發展多元綠能推動小水力、生質能發電進度緩慢及調整躉購費率以提供誘因，於1個月內向立法院財政及經濟委員會提出書面報告。</w:t>
      </w:r>
    </w:p>
    <w:p w14:paraId="231CC12E" w14:textId="3422EFE8"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提案人：郭國文　</w:t>
      </w:r>
    </w:p>
    <w:p w14:paraId="212BBEC8" w14:textId="0D47E068"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連署人：伍麗華　李坤城</w:t>
      </w:r>
    </w:p>
    <w:p w14:paraId="2642B38F"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六)行政院院長卓榮泰日前於行政院院會表示，對於近日公務機關霸凌事件，他已責成各部會及各機關立刻全面盤查機關職場霸凌防治作業辦法，確實建立有效、安全的防範機制，提供所屬同仁適切的保護。經濟部應督導台灣電力股份有限公司落實職場反霸凌，保護吹哨者，防止吹哨者二次傷害，勿枉勿縱，以昭社會公信。</w:t>
      </w:r>
    </w:p>
    <w:p w14:paraId="67EF3190" w14:textId="602F20DE"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提案人：林德福　羅明才　賴士葆</w:t>
      </w:r>
    </w:p>
    <w:p w14:paraId="5E4D5F7D" w14:textId="77777777" w:rsidR="009D64D0" w:rsidRPr="00BC7E20" w:rsidRDefault="009D64D0" w:rsidP="00F470A8">
      <w:pPr>
        <w:overflowPunct w:val="0"/>
        <w:spacing w:line="480" w:lineRule="exact"/>
        <w:ind w:leftChars="200" w:left="1139" w:hangingChars="206" w:hanging="659"/>
        <w:jc w:val="both"/>
        <w:rPr>
          <w:rFonts w:ascii="標楷體" w:eastAsia="標楷體" w:hAnsi="標楷體"/>
          <w:color w:val="000000" w:themeColor="text1"/>
          <w:kern w:val="0"/>
          <w:sz w:val="32"/>
          <w:szCs w:val="32"/>
        </w:rPr>
      </w:pPr>
      <w:r w:rsidRPr="00BC7E20">
        <w:rPr>
          <w:rFonts w:ascii="標楷體" w:eastAsia="標楷體" w:hAnsi="標楷體" w:hint="eastAsia"/>
          <w:color w:val="000000" w:themeColor="text1"/>
          <w:sz w:val="32"/>
          <w:szCs w:val="32"/>
        </w:rPr>
        <w:t>(七)鑑於陽明山新安路目前並無電桿地下化規劃</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導致近日颱風該區停電一整天；而新安路道路路寬多為6米</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且無適當之公共設施空間設置配電設備</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鄰近住戶多位於山坡或未臨道路</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為維持用電需要台灣電力股份有限公司目前仍多以架空方式供電。另台灣電力股份有限公司雖已規劃於新安路新增連絡線路</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以利事故停電時縮短停電時間及範圍</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但是能否</w:t>
      </w:r>
      <w:r w:rsidRPr="00BC7E20">
        <w:rPr>
          <w:rFonts w:ascii="標楷體" w:eastAsia="標楷體" w:hAnsi="標楷體" w:hint="eastAsia"/>
          <w:color w:val="000000" w:themeColor="text1"/>
          <w:sz w:val="32"/>
          <w:szCs w:val="32"/>
        </w:rPr>
        <w:lastRenderedPageBreak/>
        <w:t>有效避免停電仍有疑義。鑑此</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請台灣電力股份有限公司針對陽明山新安路及鄰接巷道電桿地下化之期程及新安路新增連絡線路之工程進度與成效兩者為題</w:t>
      </w:r>
      <w:r w:rsidRPr="00BC7E20">
        <w:rPr>
          <w:rFonts w:ascii="標楷體" w:eastAsia="標楷體" w:hAnsi="標楷體" w:hint="eastAsia"/>
          <w:color w:val="000000" w:themeColor="text1"/>
          <w:kern w:val="0"/>
          <w:sz w:val="32"/>
          <w:szCs w:val="32"/>
        </w:rPr>
        <w:t>，</w:t>
      </w:r>
      <w:r w:rsidRPr="00BC7E20">
        <w:rPr>
          <w:rFonts w:ascii="標楷體" w:eastAsia="標楷體" w:hAnsi="標楷體" w:hint="eastAsia"/>
          <w:color w:val="000000" w:themeColor="text1"/>
          <w:sz w:val="32"/>
          <w:szCs w:val="32"/>
        </w:rPr>
        <w:t>於2個月內向立法院財政及經濟委員會提出書面報告。</w:t>
      </w:r>
    </w:p>
    <w:p w14:paraId="59553A1E" w14:textId="28348DE1"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提案人：王世堅　</w:t>
      </w:r>
    </w:p>
    <w:p w14:paraId="35A36678" w14:textId="59D68981"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連署人：賴惠員　李坤城</w:t>
      </w:r>
    </w:p>
    <w:p w14:paraId="589ECDB4" w14:textId="77777777" w:rsidR="009D64D0" w:rsidRPr="00BC7E20" w:rsidRDefault="009D64D0" w:rsidP="00F470A8">
      <w:pPr>
        <w:overflowPunct w:val="0"/>
        <w:autoSpaceDE w:val="0"/>
        <w:spacing w:line="480" w:lineRule="exact"/>
        <w:ind w:firstLineChars="300" w:firstLine="961"/>
        <w:rPr>
          <w:rFonts w:ascii="標楷體" w:eastAsia="標楷體" w:hAnsi="標楷體"/>
          <w:b/>
          <w:color w:val="000000" w:themeColor="text1"/>
          <w:sz w:val="32"/>
          <w:szCs w:val="32"/>
        </w:rPr>
      </w:pPr>
      <w:r w:rsidRPr="00BC7E20">
        <w:rPr>
          <w:rFonts w:ascii="標楷體" w:eastAsia="標楷體" w:hAnsi="標楷體" w:hint="eastAsia"/>
          <w:b/>
          <w:color w:val="000000" w:themeColor="text1"/>
          <w:sz w:val="32"/>
          <w:szCs w:val="32"/>
        </w:rPr>
        <w:t>有關政事別歲出預算隨同以上機關別審查結果調整。</w:t>
      </w:r>
    </w:p>
    <w:p w14:paraId="5F465080" w14:textId="77777777" w:rsidR="009D64D0" w:rsidRPr="00BC7E20" w:rsidRDefault="009D64D0" w:rsidP="00F470A8">
      <w:pPr>
        <w:overflowPunct w:val="0"/>
        <w:autoSpaceDN/>
        <w:spacing w:line="480" w:lineRule="exact"/>
        <w:ind w:leftChars="88" w:left="839" w:hangingChars="196" w:hanging="628"/>
        <w:jc w:val="both"/>
        <w:textAlignment w:val="auto"/>
        <w:rPr>
          <w:rFonts w:ascii="標楷體" w:eastAsia="標楷體" w:hAnsi="標楷體"/>
          <w:color w:val="000000" w:themeColor="text1"/>
          <w:sz w:val="32"/>
          <w:szCs w:val="32"/>
        </w:rPr>
      </w:pPr>
      <w:r w:rsidRPr="00BC7E20">
        <w:rPr>
          <w:rFonts w:ascii="標楷體" w:eastAsia="標楷體" w:hAnsi="標楷體" w:hint="eastAsia"/>
          <w:b/>
          <w:color w:val="000000" w:themeColor="text1"/>
          <w:sz w:val="32"/>
          <w:szCs w:val="32"/>
        </w:rPr>
        <w:t>二、融資財源調度部分：</w:t>
      </w:r>
      <w:r w:rsidRPr="00BC7E20">
        <w:rPr>
          <w:rFonts w:ascii="標楷體" w:eastAsia="標楷體" w:hAnsi="標楷體" w:hint="eastAsia"/>
          <w:color w:val="000000" w:themeColor="text1"/>
          <w:sz w:val="32"/>
          <w:szCs w:val="32"/>
        </w:rPr>
        <w:t>以上歲出追加1,000億元，規劃以移用以前年度歲計賸餘為財源支應，惟因112年度總決算所產生之歲計賸餘須俟113年7月審計部審定後始得運用，故於追加預算案籌編時先行編列舉借債務，俟預算執行時，再以審計部審定後之歲計賸餘支應。</w:t>
      </w:r>
    </w:p>
    <w:p w14:paraId="278B1DBC" w14:textId="77777777" w:rsidR="009D64D0" w:rsidRPr="00BC7E20" w:rsidRDefault="009D64D0" w:rsidP="00F470A8">
      <w:pPr>
        <w:tabs>
          <w:tab w:val="left" w:pos="709"/>
        </w:tabs>
        <w:overflowPunct w:val="0"/>
        <w:autoSpaceDN/>
        <w:spacing w:line="480" w:lineRule="exact"/>
        <w:ind w:left="644" w:hangingChars="201" w:hanging="644"/>
        <w:jc w:val="both"/>
        <w:textAlignment w:val="auto"/>
        <w:rPr>
          <w:rFonts w:ascii="標楷體" w:eastAsia="標楷體" w:hAnsi="標楷體"/>
          <w:color w:val="000000" w:themeColor="text1"/>
          <w:sz w:val="32"/>
          <w:szCs w:val="32"/>
        </w:rPr>
      </w:pPr>
      <w:r w:rsidRPr="00BC7E20">
        <w:rPr>
          <w:rFonts w:ascii="標楷體" w:eastAsia="標楷體" w:hAnsi="標楷體" w:hint="eastAsia"/>
          <w:b/>
          <w:color w:val="000000" w:themeColor="text1"/>
          <w:sz w:val="32"/>
          <w:szCs w:val="32"/>
        </w:rPr>
        <w:t>參、</w:t>
      </w:r>
      <w:r w:rsidRPr="00BC7E20">
        <w:rPr>
          <w:rFonts w:ascii="標楷體" w:eastAsia="標楷體" w:hAnsi="標楷體" w:hint="eastAsia"/>
          <w:bCs/>
          <w:color w:val="000000" w:themeColor="text1"/>
          <w:sz w:val="32"/>
          <w:szCs w:val="32"/>
        </w:rPr>
        <w:t>113年度中央政府總預算追加預算案</w:t>
      </w:r>
      <w:r w:rsidRPr="00BC7E20">
        <w:rPr>
          <w:rFonts w:ascii="標楷體" w:eastAsia="標楷體" w:hAnsi="標楷體" w:hint="eastAsia"/>
          <w:color w:val="000000" w:themeColor="text1"/>
          <w:sz w:val="32"/>
          <w:szCs w:val="32"/>
        </w:rPr>
        <w:t>業已審查完竣，擬具審查報告，提報院會討論；院會討論前，須交由黨團協商；院會討論時，由財政委員會賴召集委員惠員出席說明。</w:t>
      </w:r>
    </w:p>
    <w:p w14:paraId="1F0089F8" w14:textId="77777777" w:rsidR="009D64D0" w:rsidRPr="00BC7E20" w:rsidRDefault="009D64D0" w:rsidP="00F470A8">
      <w:pPr>
        <w:tabs>
          <w:tab w:val="left" w:pos="709"/>
        </w:tabs>
        <w:overflowPunct w:val="0"/>
        <w:autoSpaceDN/>
        <w:spacing w:line="480" w:lineRule="exact"/>
        <w:ind w:left="644" w:hangingChars="201" w:hanging="644"/>
        <w:jc w:val="both"/>
        <w:textAlignment w:val="auto"/>
        <w:rPr>
          <w:rFonts w:ascii="標楷體" w:eastAsia="標楷體" w:hAnsi="標楷體"/>
          <w:color w:val="000000" w:themeColor="text1"/>
          <w:sz w:val="32"/>
          <w:szCs w:val="32"/>
        </w:rPr>
      </w:pPr>
      <w:r w:rsidRPr="00BC7E20">
        <w:rPr>
          <w:rFonts w:ascii="標楷體" w:eastAsia="標楷體" w:hAnsi="標楷體" w:hint="eastAsia"/>
          <w:b/>
          <w:color w:val="000000" w:themeColor="text1"/>
          <w:sz w:val="32"/>
          <w:szCs w:val="32"/>
        </w:rPr>
        <w:t>肆、</w:t>
      </w:r>
      <w:r w:rsidRPr="00BC7E20">
        <w:rPr>
          <w:rFonts w:ascii="標楷體" w:eastAsia="標楷體" w:hAnsi="標楷體" w:hint="eastAsia"/>
          <w:color w:val="000000" w:themeColor="text1"/>
          <w:sz w:val="32"/>
          <w:szCs w:val="32"/>
        </w:rPr>
        <w:t>本次聯席會之議事錄，授權由主席核定後確定。</w:t>
      </w:r>
    </w:p>
    <w:p w14:paraId="72B9AC4F" w14:textId="77777777" w:rsidR="009D64D0" w:rsidRPr="00BC7E20" w:rsidRDefault="009D64D0" w:rsidP="00F470A8">
      <w:pPr>
        <w:overflowPunct w:val="0"/>
        <w:spacing w:beforeLines="50" w:before="180" w:line="480" w:lineRule="exact"/>
        <w:jc w:val="both"/>
        <w:rPr>
          <w:rFonts w:ascii="標楷體" w:eastAsia="標楷體" w:hAnsi="標楷體"/>
          <w:b/>
          <w:color w:val="000000" w:themeColor="text1"/>
          <w:sz w:val="32"/>
          <w:szCs w:val="32"/>
        </w:rPr>
      </w:pPr>
      <w:r w:rsidRPr="00BC7E20">
        <w:rPr>
          <w:rFonts w:ascii="標楷體" w:eastAsia="標楷體" w:hAnsi="標楷體" w:hint="eastAsia"/>
          <w:b/>
          <w:color w:val="000000" w:themeColor="text1"/>
          <w:sz w:val="32"/>
          <w:szCs w:val="32"/>
        </w:rPr>
        <w:t>散會</w:t>
      </w:r>
    </w:p>
    <w:p w14:paraId="58143BE6" w14:textId="77777777" w:rsidR="00865BBE" w:rsidRDefault="00865BBE" w:rsidP="00F470A8">
      <w:pPr>
        <w:overflowPunct w:val="0"/>
        <w:autoSpaceDN/>
        <w:textAlignment w:val="auto"/>
        <w:rPr>
          <w:rFonts w:ascii="標楷體" w:eastAsia="標楷體" w:hAnsi="標楷體"/>
          <w:b/>
          <w:spacing w:val="-20"/>
          <w:sz w:val="36"/>
          <w:szCs w:val="36"/>
        </w:rPr>
      </w:pPr>
      <w:r>
        <w:rPr>
          <w:rFonts w:ascii="標楷體" w:eastAsia="標楷體" w:hAnsi="標楷體"/>
          <w:b/>
          <w:spacing w:val="-20"/>
          <w:sz w:val="36"/>
          <w:szCs w:val="36"/>
        </w:rPr>
        <w:br w:type="page"/>
      </w:r>
    </w:p>
    <w:p w14:paraId="1B4AC14C" w14:textId="77777777" w:rsidR="009D64D0" w:rsidRPr="00BC7E20" w:rsidRDefault="009D64D0" w:rsidP="00F470A8">
      <w:pPr>
        <w:overflowPunct w:val="0"/>
        <w:spacing w:line="480" w:lineRule="exact"/>
        <w:jc w:val="distribute"/>
        <w:outlineLvl w:val="2"/>
        <w:rPr>
          <w:rFonts w:ascii="標楷體" w:eastAsia="標楷體" w:hAnsi="標楷體"/>
          <w:b/>
          <w:spacing w:val="-20"/>
          <w:sz w:val="32"/>
          <w:szCs w:val="32"/>
        </w:rPr>
      </w:pPr>
      <w:bookmarkStart w:id="152" w:name="_Toc189487335"/>
      <w:r w:rsidRPr="00BC7E20">
        <w:rPr>
          <w:rFonts w:ascii="標楷體" w:eastAsia="標楷體" w:hAnsi="標楷體"/>
          <w:b/>
          <w:spacing w:val="-20"/>
          <w:sz w:val="32"/>
          <w:szCs w:val="32"/>
        </w:rPr>
        <w:lastRenderedPageBreak/>
        <w:t>立法院第1</w:t>
      </w:r>
      <w:r w:rsidRPr="00BC7E20">
        <w:rPr>
          <w:rFonts w:ascii="標楷體" w:eastAsia="標楷體" w:hAnsi="標楷體" w:hint="eastAsia"/>
          <w:b/>
          <w:spacing w:val="-20"/>
          <w:sz w:val="32"/>
          <w:szCs w:val="32"/>
        </w:rPr>
        <w:t>1</w:t>
      </w:r>
      <w:r w:rsidRPr="00BC7E20">
        <w:rPr>
          <w:rFonts w:ascii="標楷體" w:eastAsia="標楷體" w:hAnsi="標楷體"/>
          <w:b/>
          <w:spacing w:val="-20"/>
          <w:sz w:val="32"/>
          <w:szCs w:val="32"/>
        </w:rPr>
        <w:t>屆第</w:t>
      </w:r>
      <w:r w:rsidRPr="00BC7E20">
        <w:rPr>
          <w:rFonts w:ascii="標楷體" w:eastAsia="標楷體" w:hAnsi="標楷體" w:hint="eastAsia"/>
          <w:b/>
          <w:spacing w:val="-20"/>
          <w:sz w:val="32"/>
          <w:szCs w:val="32"/>
        </w:rPr>
        <w:t>2</w:t>
      </w:r>
      <w:r w:rsidRPr="00BC7E20">
        <w:rPr>
          <w:rFonts w:ascii="標楷體" w:eastAsia="標楷體" w:hAnsi="標楷體"/>
          <w:b/>
          <w:spacing w:val="-20"/>
          <w:sz w:val="32"/>
          <w:szCs w:val="32"/>
        </w:rPr>
        <w:t>會期財政、內政、經濟、教育及文化、交通、社會福利及衛生環境委員會第</w:t>
      </w:r>
      <w:r w:rsidRPr="00BC7E20">
        <w:rPr>
          <w:rFonts w:ascii="標楷體" w:eastAsia="標楷體" w:hAnsi="標楷體" w:hint="eastAsia"/>
          <w:b/>
          <w:spacing w:val="-20"/>
          <w:sz w:val="32"/>
          <w:szCs w:val="32"/>
        </w:rPr>
        <w:t>2</w:t>
      </w:r>
      <w:r w:rsidRPr="00BC7E20">
        <w:rPr>
          <w:rFonts w:ascii="標楷體" w:eastAsia="標楷體" w:hAnsi="標楷體"/>
          <w:b/>
          <w:spacing w:val="-20"/>
          <w:sz w:val="32"/>
          <w:szCs w:val="32"/>
        </w:rPr>
        <w:t>次聯席會議議事錄</w:t>
      </w:r>
      <w:bookmarkEnd w:id="152"/>
    </w:p>
    <w:p w14:paraId="1DE632D0" w14:textId="77777777" w:rsidR="009D64D0" w:rsidRPr="00BC7E20" w:rsidRDefault="009D64D0" w:rsidP="00F470A8">
      <w:pPr>
        <w:kinsoku w:val="0"/>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時　　間　</w:t>
      </w:r>
      <w:r w:rsidRPr="00BC7E20">
        <w:rPr>
          <w:rFonts w:ascii="標楷體" w:eastAsia="標楷體" w:hAnsi="標楷體" w:hint="eastAsia"/>
          <w:color w:val="000000" w:themeColor="text1"/>
          <w:w w:val="95"/>
          <w:sz w:val="32"/>
          <w:szCs w:val="32"/>
        </w:rPr>
        <w:t>中華民國</w:t>
      </w:r>
      <w:r w:rsidRPr="00BC7E20">
        <w:rPr>
          <w:rFonts w:ascii="標楷體" w:eastAsia="標楷體" w:hAnsi="標楷體"/>
          <w:color w:val="000000" w:themeColor="text1"/>
          <w:w w:val="95"/>
          <w:sz w:val="32"/>
          <w:szCs w:val="32"/>
        </w:rPr>
        <w:t>113</w:t>
      </w:r>
      <w:r w:rsidRPr="00BC7E20">
        <w:rPr>
          <w:rFonts w:ascii="標楷體" w:eastAsia="標楷體" w:hAnsi="標楷體" w:hint="eastAsia"/>
          <w:color w:val="000000" w:themeColor="text1"/>
          <w:w w:val="95"/>
          <w:sz w:val="32"/>
          <w:szCs w:val="32"/>
        </w:rPr>
        <w:t>年12月16日（星期一）</w:t>
      </w:r>
      <w:r w:rsidRPr="00BC7E20">
        <w:rPr>
          <w:rFonts w:ascii="標楷體" w:eastAsia="標楷體" w:hAnsi="標楷體"/>
          <w:w w:val="95"/>
          <w:sz w:val="32"/>
          <w:szCs w:val="32"/>
        </w:rPr>
        <w:t>9</w:t>
      </w:r>
      <w:r w:rsidRPr="00BC7E20">
        <w:rPr>
          <w:rFonts w:ascii="標楷體" w:eastAsia="標楷體" w:hAnsi="標楷體" w:hint="eastAsia"/>
          <w:w w:val="95"/>
          <w:sz w:val="32"/>
          <w:szCs w:val="32"/>
        </w:rPr>
        <w:t>時1</w:t>
      </w:r>
      <w:r w:rsidRPr="00BC7E20">
        <w:rPr>
          <w:rFonts w:ascii="標楷體" w:eastAsia="標楷體" w:hAnsi="標楷體"/>
          <w:w w:val="95"/>
          <w:sz w:val="32"/>
          <w:szCs w:val="32"/>
        </w:rPr>
        <w:t>5</w:t>
      </w:r>
      <w:r w:rsidRPr="00BC7E20">
        <w:rPr>
          <w:rFonts w:ascii="標楷體" w:eastAsia="標楷體" w:hAnsi="標楷體" w:hint="eastAsia"/>
          <w:w w:val="95"/>
          <w:sz w:val="32"/>
          <w:szCs w:val="32"/>
        </w:rPr>
        <w:t>分至1</w:t>
      </w:r>
      <w:r w:rsidRPr="00BC7E20">
        <w:rPr>
          <w:rFonts w:ascii="標楷體" w:eastAsia="標楷體" w:hAnsi="標楷體"/>
          <w:w w:val="95"/>
          <w:sz w:val="32"/>
          <w:szCs w:val="32"/>
        </w:rPr>
        <w:t>2</w:t>
      </w:r>
      <w:r w:rsidRPr="00BC7E20">
        <w:rPr>
          <w:rFonts w:ascii="標楷體" w:eastAsia="標楷體" w:hAnsi="標楷體" w:hint="eastAsia"/>
          <w:w w:val="95"/>
          <w:sz w:val="32"/>
          <w:szCs w:val="32"/>
        </w:rPr>
        <w:t>時51分</w:t>
      </w:r>
    </w:p>
    <w:p w14:paraId="233823DD" w14:textId="77777777" w:rsidR="009D64D0" w:rsidRPr="00BC7E20" w:rsidRDefault="009D64D0" w:rsidP="00F470A8">
      <w:pPr>
        <w:kinsoku w:val="0"/>
        <w:overflowPunct w:val="0"/>
        <w:autoSpaceDE w:val="0"/>
        <w:spacing w:line="480" w:lineRule="exact"/>
        <w:ind w:left="1600" w:rightChars="-149" w:right="-358" w:hangingChars="500" w:hanging="1600"/>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地　　點　群賢樓9樓大禮堂</w:t>
      </w:r>
    </w:p>
    <w:p w14:paraId="3BC4A802" w14:textId="77777777" w:rsidR="009D64D0" w:rsidRPr="00BC7E20" w:rsidRDefault="009D64D0" w:rsidP="00F470A8">
      <w:pPr>
        <w:kinsoku w:val="0"/>
        <w:overflowPunct w:val="0"/>
        <w:autoSpaceDE w:val="0"/>
        <w:spacing w:line="480" w:lineRule="exact"/>
        <w:ind w:left="1600" w:rightChars="100" w:right="240" w:hangingChars="500" w:hanging="1600"/>
        <w:rPr>
          <w:rFonts w:ascii="標楷體" w:eastAsia="標楷體" w:hAnsi="標楷體"/>
          <w:color w:val="FF0000"/>
          <w:sz w:val="32"/>
          <w:szCs w:val="32"/>
        </w:rPr>
      </w:pPr>
      <w:r w:rsidRPr="00BC7E20">
        <w:rPr>
          <w:rFonts w:ascii="標楷體" w:eastAsia="標楷體" w:hAnsi="標楷體" w:hint="eastAsia"/>
          <w:color w:val="000000" w:themeColor="text1"/>
          <w:sz w:val="32"/>
          <w:szCs w:val="32"/>
        </w:rPr>
        <w:t xml:space="preserve">出席委員　</w:t>
      </w:r>
      <w:r w:rsidRPr="00BC7E20">
        <w:rPr>
          <w:rFonts w:ascii="標楷體" w:eastAsia="標楷體" w:hAnsi="標楷體" w:hint="eastAsia"/>
          <w:sz w:val="32"/>
          <w:szCs w:val="32"/>
        </w:rPr>
        <w:t>林月琴</w:t>
      </w:r>
      <w:r w:rsidRPr="00BC7E20">
        <w:rPr>
          <w:rFonts w:ascii="標楷體" w:eastAsia="標楷體" w:hAnsi="標楷體"/>
          <w:sz w:val="32"/>
          <w:szCs w:val="32"/>
        </w:rPr>
        <w:t xml:space="preserve">　黃秀芳　</w:t>
      </w:r>
      <w:r w:rsidRPr="00BC7E20">
        <w:rPr>
          <w:rFonts w:ascii="標楷體" w:eastAsia="標楷體" w:hAnsi="標楷體" w:hint="eastAsia"/>
          <w:sz w:val="32"/>
          <w:szCs w:val="32"/>
        </w:rPr>
        <w:t>劉建國</w:t>
      </w:r>
      <w:r w:rsidRPr="00BC7E20">
        <w:rPr>
          <w:rFonts w:ascii="標楷體" w:eastAsia="標楷體" w:hAnsi="標楷體"/>
          <w:sz w:val="32"/>
          <w:szCs w:val="32"/>
        </w:rPr>
        <w:t xml:space="preserve">　</w:t>
      </w:r>
      <w:r w:rsidRPr="00BC7E20">
        <w:rPr>
          <w:rFonts w:ascii="標楷體" w:eastAsia="標楷體" w:hAnsi="標楷體" w:hint="eastAsia"/>
          <w:sz w:val="32"/>
          <w:szCs w:val="32"/>
        </w:rPr>
        <w:t>王正旭</w:t>
      </w:r>
      <w:r w:rsidRPr="00BC7E20">
        <w:rPr>
          <w:rFonts w:ascii="標楷體" w:eastAsia="標楷體" w:hAnsi="標楷體"/>
          <w:color w:val="FF0000"/>
          <w:sz w:val="32"/>
          <w:szCs w:val="32"/>
        </w:rPr>
        <w:t xml:space="preserve">　</w:t>
      </w:r>
      <w:r w:rsidRPr="00BC7E20">
        <w:rPr>
          <w:rFonts w:ascii="標楷體" w:eastAsia="標楷體" w:hAnsi="標楷體"/>
          <w:sz w:val="32"/>
          <w:szCs w:val="32"/>
        </w:rPr>
        <w:t xml:space="preserve">何欣純　</w:t>
      </w:r>
      <w:r w:rsidRPr="00BC7E20">
        <w:rPr>
          <w:rFonts w:ascii="標楷體" w:eastAsia="標楷體" w:hAnsi="標楷體" w:hint="eastAsia"/>
          <w:sz w:val="32"/>
          <w:szCs w:val="32"/>
        </w:rPr>
        <w:t>林淑芬</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蘇清泉　吳秉叡</w:t>
      </w:r>
      <w:r w:rsidRPr="00BC7E20">
        <w:rPr>
          <w:rFonts w:ascii="標楷體" w:eastAsia="標楷體" w:hAnsi="標楷體"/>
          <w:sz w:val="32"/>
          <w:szCs w:val="32"/>
        </w:rPr>
        <w:t xml:space="preserve">　</w:t>
      </w:r>
      <w:r w:rsidRPr="00BC7E20">
        <w:rPr>
          <w:rFonts w:ascii="標楷體" w:eastAsia="標楷體" w:hAnsi="標楷體" w:hint="eastAsia"/>
          <w:sz w:val="32"/>
          <w:szCs w:val="32"/>
        </w:rPr>
        <w:t>陳昭姿</w:t>
      </w:r>
      <w:r w:rsidRPr="00BC7E20">
        <w:rPr>
          <w:rFonts w:ascii="標楷體" w:eastAsia="標楷體" w:hAnsi="標楷體"/>
          <w:color w:val="FF0000"/>
          <w:sz w:val="32"/>
          <w:szCs w:val="32"/>
        </w:rPr>
        <w:t xml:space="preserve">　</w:t>
      </w:r>
      <w:r w:rsidRPr="00BC7E20">
        <w:rPr>
          <w:rFonts w:ascii="標楷體" w:eastAsia="標楷體" w:hAnsi="標楷體"/>
          <w:sz w:val="32"/>
          <w:szCs w:val="32"/>
        </w:rPr>
        <w:t>萬美玲</w:t>
      </w:r>
      <w:r w:rsidRPr="00BC7E20">
        <w:rPr>
          <w:rFonts w:ascii="標楷體" w:eastAsia="標楷體" w:hAnsi="標楷體" w:hint="eastAsia"/>
          <w:sz w:val="32"/>
          <w:szCs w:val="32"/>
        </w:rPr>
        <w:t xml:space="preserve">　李彥秀　謝衣鳯　賴士葆　林德福</w:t>
      </w:r>
      <w:r w:rsidRPr="00BC7E20">
        <w:rPr>
          <w:rFonts w:ascii="標楷體" w:eastAsia="標楷體" w:hAnsi="標楷體"/>
          <w:sz w:val="32"/>
          <w:szCs w:val="32"/>
        </w:rPr>
        <w:t xml:space="preserve">　賴瑞隆　</w:t>
      </w:r>
      <w:r w:rsidRPr="00BC7E20">
        <w:rPr>
          <w:rFonts w:ascii="標楷體" w:eastAsia="標楷體" w:hAnsi="標楷體" w:hint="eastAsia"/>
          <w:sz w:val="32"/>
          <w:szCs w:val="32"/>
        </w:rPr>
        <w:t>廖偉翔</w:t>
      </w:r>
      <w:r w:rsidRPr="00BC7E20">
        <w:rPr>
          <w:rFonts w:ascii="標楷體" w:eastAsia="標楷體" w:hAnsi="標楷體"/>
          <w:sz w:val="32"/>
          <w:szCs w:val="32"/>
        </w:rPr>
        <w:t xml:space="preserve">　</w:t>
      </w:r>
      <w:r w:rsidRPr="00BC7E20">
        <w:rPr>
          <w:rFonts w:ascii="標楷體" w:eastAsia="標楷體" w:hAnsi="標楷體" w:hint="eastAsia"/>
          <w:sz w:val="32"/>
          <w:szCs w:val="32"/>
        </w:rPr>
        <w:t>邱鎮軍</w:t>
      </w:r>
      <w:r w:rsidRPr="00BC7E20">
        <w:rPr>
          <w:rFonts w:ascii="標楷體" w:eastAsia="標楷體" w:hAnsi="標楷體"/>
          <w:sz w:val="32"/>
          <w:szCs w:val="32"/>
        </w:rPr>
        <w:t xml:space="preserve">　</w:t>
      </w:r>
      <w:r w:rsidRPr="00BC7E20">
        <w:rPr>
          <w:rFonts w:ascii="標楷體" w:eastAsia="標楷體" w:hAnsi="標楷體" w:hint="eastAsia"/>
          <w:sz w:val="32"/>
          <w:szCs w:val="32"/>
        </w:rPr>
        <w:t>王育敏</w:t>
      </w:r>
      <w:r w:rsidRPr="00BC7E20">
        <w:rPr>
          <w:rFonts w:ascii="標楷體" w:eastAsia="標楷體" w:hAnsi="標楷體"/>
          <w:sz w:val="32"/>
          <w:szCs w:val="32"/>
        </w:rPr>
        <w:t xml:space="preserve">　</w:t>
      </w:r>
      <w:r w:rsidRPr="00BC7E20">
        <w:rPr>
          <w:rFonts w:ascii="標楷體" w:eastAsia="標楷體" w:hAnsi="標楷體" w:hint="eastAsia"/>
          <w:sz w:val="32"/>
          <w:szCs w:val="32"/>
        </w:rPr>
        <w:t>顏寬恒　王美惠</w:t>
      </w:r>
      <w:r w:rsidRPr="00BC7E20">
        <w:rPr>
          <w:rFonts w:ascii="標楷體" w:eastAsia="標楷體" w:hAnsi="標楷體"/>
          <w:sz w:val="32"/>
          <w:szCs w:val="32"/>
        </w:rPr>
        <w:t xml:space="preserve">　</w:t>
      </w:r>
      <w:r w:rsidRPr="00BC7E20">
        <w:rPr>
          <w:rFonts w:ascii="標楷體" w:eastAsia="標楷體" w:hAnsi="標楷體" w:hint="eastAsia"/>
          <w:sz w:val="32"/>
          <w:szCs w:val="32"/>
        </w:rPr>
        <w:t>伍麗華</w:t>
      </w:r>
      <w:r w:rsidRPr="00BC7E20">
        <w:rPr>
          <w:rFonts w:ascii="標楷體" w:eastAsia="標楷體" w:hAnsi="標楷體" w:hint="eastAsia"/>
          <w:spacing w:val="-18"/>
          <w:sz w:val="32"/>
          <w:szCs w:val="32"/>
        </w:rPr>
        <w:t>Saidhai Tahovecahe</w:t>
      </w:r>
      <w:r w:rsidRPr="00BC7E20">
        <w:rPr>
          <w:rFonts w:ascii="標楷體" w:eastAsia="標楷體" w:hAnsi="標楷體" w:hint="eastAsia"/>
          <w:sz w:val="32"/>
          <w:szCs w:val="32"/>
        </w:rPr>
        <w:t xml:space="preserve">　郭昱晴</w:t>
      </w:r>
      <w:r w:rsidRPr="00BC7E20">
        <w:rPr>
          <w:rFonts w:ascii="標楷體" w:eastAsia="標楷體" w:hAnsi="標楷體"/>
          <w:sz w:val="32"/>
          <w:szCs w:val="32"/>
        </w:rPr>
        <w:t xml:space="preserve">　</w:t>
      </w:r>
      <w:r w:rsidRPr="00BC7E20">
        <w:rPr>
          <w:rFonts w:ascii="標楷體" w:eastAsia="標楷體" w:hAnsi="標楷體" w:hint="eastAsia"/>
          <w:sz w:val="32"/>
          <w:szCs w:val="32"/>
        </w:rPr>
        <w:t>陳玉珍　涂權吉</w:t>
      </w:r>
      <w:r w:rsidRPr="00BC7E20">
        <w:rPr>
          <w:rFonts w:ascii="標楷體" w:eastAsia="標楷體" w:hAnsi="標楷體" w:hint="eastAsia"/>
          <w:color w:val="FF0000"/>
          <w:sz w:val="32"/>
          <w:szCs w:val="32"/>
        </w:rPr>
        <w:t xml:space="preserve">　</w:t>
      </w:r>
      <w:r w:rsidRPr="00BC7E20">
        <w:rPr>
          <w:rFonts w:ascii="標楷體" w:eastAsia="標楷體" w:hAnsi="標楷體"/>
          <w:sz w:val="32"/>
          <w:szCs w:val="32"/>
        </w:rPr>
        <w:t xml:space="preserve">楊瓊瓔　</w:t>
      </w:r>
      <w:r w:rsidRPr="00BC7E20">
        <w:rPr>
          <w:rFonts w:ascii="標楷體" w:eastAsia="標楷體" w:hAnsi="標楷體" w:hint="eastAsia"/>
          <w:sz w:val="32"/>
          <w:szCs w:val="32"/>
        </w:rPr>
        <w:t xml:space="preserve">王鴻薇　張智倫　</w:t>
      </w:r>
      <w:r w:rsidRPr="00BC7E20">
        <w:rPr>
          <w:rFonts w:ascii="標楷體" w:eastAsia="標楷體" w:hAnsi="標楷體"/>
          <w:sz w:val="32"/>
          <w:szCs w:val="32"/>
        </w:rPr>
        <w:t>林俊憲</w:t>
      </w: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廖先翔</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李坤城</w:t>
      </w:r>
      <w:r w:rsidRPr="00BC7E20">
        <w:rPr>
          <w:rFonts w:ascii="標楷體" w:eastAsia="標楷體" w:hAnsi="標楷體"/>
          <w:sz w:val="32"/>
          <w:szCs w:val="32"/>
        </w:rPr>
        <w:t xml:space="preserve">　陳亭妃　</w:t>
      </w:r>
      <w:r w:rsidRPr="00BC7E20">
        <w:rPr>
          <w:rFonts w:ascii="標楷體" w:eastAsia="標楷體" w:hAnsi="標楷體" w:hint="eastAsia"/>
          <w:sz w:val="32"/>
          <w:szCs w:val="32"/>
        </w:rPr>
        <w:t>游</w:t>
      </w:r>
      <w:r w:rsidRPr="00BC7E20">
        <w:rPr>
          <w:rFonts w:ascii="標楷體" w:eastAsia="標楷體" w:hAnsi="標楷體"/>
          <w:sz w:val="32"/>
          <w:szCs w:val="32"/>
        </w:rPr>
        <w:t xml:space="preserve">　</w:t>
      </w:r>
      <w:r w:rsidRPr="00BC7E20">
        <w:rPr>
          <w:rFonts w:ascii="標楷體" w:eastAsia="標楷體" w:hAnsi="標楷體" w:hint="eastAsia"/>
          <w:sz w:val="32"/>
          <w:szCs w:val="32"/>
        </w:rPr>
        <w:t>顥</w:t>
      </w:r>
      <w:r w:rsidRPr="00BC7E20">
        <w:rPr>
          <w:rFonts w:ascii="標楷體" w:eastAsia="標楷體" w:hAnsi="標楷體"/>
          <w:sz w:val="32"/>
          <w:szCs w:val="32"/>
        </w:rPr>
        <w:t xml:space="preserve">　</w:t>
      </w:r>
      <w:r w:rsidRPr="00BC7E20">
        <w:rPr>
          <w:rFonts w:ascii="標楷體" w:eastAsia="標楷體" w:hAnsi="標楷體" w:hint="eastAsia"/>
          <w:sz w:val="32"/>
          <w:szCs w:val="32"/>
        </w:rPr>
        <w:t>許智傑</w:t>
      </w:r>
      <w:r w:rsidRPr="00BC7E20">
        <w:rPr>
          <w:rFonts w:ascii="標楷體" w:eastAsia="標楷體" w:hAnsi="標楷體"/>
          <w:sz w:val="32"/>
          <w:szCs w:val="32"/>
        </w:rPr>
        <w:t xml:space="preserve">　</w:t>
      </w:r>
      <w:r w:rsidRPr="00BC7E20">
        <w:rPr>
          <w:rFonts w:ascii="標楷體" w:eastAsia="標楷體" w:hAnsi="標楷體" w:hint="eastAsia"/>
          <w:sz w:val="32"/>
          <w:szCs w:val="32"/>
        </w:rPr>
        <w:t>陳菁徽</w:t>
      </w:r>
      <w:r w:rsidRPr="00BC7E20">
        <w:rPr>
          <w:rFonts w:ascii="標楷體" w:eastAsia="標楷體" w:hAnsi="標楷體"/>
          <w:sz w:val="32"/>
          <w:szCs w:val="32"/>
        </w:rPr>
        <w:t xml:space="preserve">　</w:t>
      </w:r>
      <w:r w:rsidRPr="00BC7E20">
        <w:rPr>
          <w:rFonts w:ascii="標楷體" w:eastAsia="標楷體" w:hAnsi="標楷體" w:hint="eastAsia"/>
          <w:sz w:val="32"/>
          <w:szCs w:val="32"/>
        </w:rPr>
        <w:t>郭國文　蔡其昌</w:t>
      </w:r>
      <w:r w:rsidRPr="00BC7E20">
        <w:rPr>
          <w:rFonts w:ascii="標楷體" w:eastAsia="標楷體" w:hAnsi="標楷體"/>
          <w:sz w:val="32"/>
          <w:szCs w:val="32"/>
        </w:rPr>
        <w:t xml:space="preserve">　</w:t>
      </w:r>
      <w:r w:rsidRPr="00BC7E20">
        <w:rPr>
          <w:rFonts w:ascii="標楷體" w:eastAsia="標楷體" w:hAnsi="標楷體" w:hint="eastAsia"/>
          <w:sz w:val="32"/>
          <w:szCs w:val="32"/>
        </w:rPr>
        <w:t>鄭正鈐　鄭天財</w:t>
      </w:r>
      <w:r w:rsidRPr="00BC7E20">
        <w:rPr>
          <w:rFonts w:ascii="標楷體" w:eastAsia="標楷體" w:hAnsi="標楷體"/>
          <w:spacing w:val="-20"/>
          <w:sz w:val="32"/>
          <w:szCs w:val="32"/>
        </w:rPr>
        <w:t>Sra Kacaw</w:t>
      </w:r>
      <w:r w:rsidRPr="00BC7E20">
        <w:rPr>
          <w:rFonts w:ascii="標楷體" w:eastAsia="標楷體" w:hAnsi="標楷體" w:hint="eastAsia"/>
          <w:color w:val="FF0000"/>
          <w:sz w:val="32"/>
          <w:szCs w:val="32"/>
        </w:rPr>
        <w:t xml:space="preserve">　</w:t>
      </w:r>
      <w:r w:rsidRPr="00BC7E20">
        <w:rPr>
          <w:rFonts w:ascii="標楷體" w:eastAsia="標楷體" w:hAnsi="標楷體"/>
          <w:sz w:val="32"/>
          <w:szCs w:val="32"/>
        </w:rPr>
        <w:t>林岱樺</w:t>
      </w:r>
      <w:r w:rsidRPr="00BC7E20">
        <w:rPr>
          <w:rFonts w:ascii="標楷體" w:eastAsia="標楷體" w:hAnsi="標楷體" w:hint="eastAsia"/>
          <w:sz w:val="32"/>
          <w:szCs w:val="32"/>
        </w:rPr>
        <w:t xml:space="preserve">　張啓楷</w:t>
      </w: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葉元之</w:t>
      </w:r>
      <w:r w:rsidRPr="00BC7E20">
        <w:rPr>
          <w:rFonts w:ascii="標楷體" w:eastAsia="標楷體" w:hAnsi="標楷體"/>
          <w:sz w:val="32"/>
          <w:szCs w:val="32"/>
        </w:rPr>
        <w:t xml:space="preserve">　</w:t>
      </w:r>
      <w:r w:rsidRPr="00BC7E20">
        <w:rPr>
          <w:rFonts w:ascii="標楷體" w:eastAsia="標楷體" w:hAnsi="標楷體" w:hint="eastAsia"/>
          <w:sz w:val="32"/>
          <w:szCs w:val="32"/>
        </w:rPr>
        <w:t>賴惠員　林國成</w:t>
      </w:r>
      <w:r w:rsidRPr="00BC7E20">
        <w:rPr>
          <w:rFonts w:ascii="標楷體" w:eastAsia="標楷體" w:hAnsi="標楷體"/>
          <w:sz w:val="32"/>
          <w:szCs w:val="32"/>
        </w:rPr>
        <w:t xml:space="preserve">　</w:t>
      </w:r>
      <w:r w:rsidRPr="00BC7E20">
        <w:rPr>
          <w:rFonts w:ascii="標楷體" w:eastAsia="標楷體" w:hAnsi="標楷體" w:hint="eastAsia"/>
          <w:sz w:val="32"/>
          <w:szCs w:val="32"/>
        </w:rPr>
        <w:t>王世堅　黃珊珊　羅明才</w:t>
      </w:r>
      <w:r w:rsidRPr="00BC7E20">
        <w:rPr>
          <w:rFonts w:ascii="標楷體" w:eastAsia="標楷體" w:hAnsi="標楷體"/>
          <w:sz w:val="32"/>
          <w:szCs w:val="32"/>
        </w:rPr>
        <w:t xml:space="preserve">　陳素月　陳　瑩</w:t>
      </w:r>
      <w:r w:rsidRPr="00BC7E20">
        <w:rPr>
          <w:rFonts w:ascii="標楷體" w:eastAsia="標楷體" w:hAnsi="標楷體" w:hint="eastAsia"/>
          <w:sz w:val="32"/>
          <w:szCs w:val="32"/>
        </w:rPr>
        <w:t xml:space="preserve">　牛煦庭　羅廷瑋　邱議瑩</w:t>
      </w:r>
      <w:r w:rsidRPr="00BC7E20">
        <w:rPr>
          <w:rFonts w:ascii="標楷體" w:eastAsia="標楷體" w:hAnsi="標楷體"/>
          <w:sz w:val="32"/>
          <w:szCs w:val="32"/>
        </w:rPr>
        <w:t xml:space="preserve">　</w:t>
      </w:r>
      <w:r w:rsidRPr="00BC7E20">
        <w:rPr>
          <w:rFonts w:ascii="標楷體" w:eastAsia="標楷體" w:hAnsi="標楷體" w:hint="eastAsia"/>
          <w:sz w:val="32"/>
          <w:szCs w:val="32"/>
        </w:rPr>
        <w:t>柯志恩</w:t>
      </w:r>
      <w:r w:rsidRPr="00BC7E20">
        <w:rPr>
          <w:rFonts w:ascii="標楷體" w:eastAsia="標楷體" w:hAnsi="標楷體"/>
          <w:sz w:val="32"/>
          <w:szCs w:val="32"/>
        </w:rPr>
        <w:t xml:space="preserve">　</w:t>
      </w:r>
      <w:r w:rsidRPr="00BC7E20">
        <w:rPr>
          <w:rFonts w:ascii="標楷體" w:eastAsia="標楷體" w:hAnsi="標楷體" w:hint="eastAsia"/>
          <w:sz w:val="32"/>
          <w:szCs w:val="32"/>
        </w:rPr>
        <w:t>林倩綺　陳培瑜</w:t>
      </w:r>
      <w:r w:rsidRPr="00BC7E20">
        <w:rPr>
          <w:rFonts w:ascii="標楷體" w:eastAsia="標楷體" w:hAnsi="標楷體"/>
          <w:sz w:val="32"/>
          <w:szCs w:val="32"/>
        </w:rPr>
        <w:t xml:space="preserve">　蘇巧慧　</w:t>
      </w:r>
      <w:r w:rsidRPr="00BC7E20">
        <w:rPr>
          <w:rFonts w:ascii="標楷體" w:eastAsia="標楷體" w:hAnsi="標楷體" w:hint="eastAsia"/>
          <w:sz w:val="32"/>
          <w:szCs w:val="32"/>
        </w:rPr>
        <w:t>張宏陸</w:t>
      </w:r>
      <w:r w:rsidRPr="00BC7E20">
        <w:rPr>
          <w:rFonts w:ascii="標楷體" w:eastAsia="標楷體" w:hAnsi="標楷體"/>
          <w:sz w:val="32"/>
          <w:szCs w:val="32"/>
        </w:rPr>
        <w:t xml:space="preserve">　</w:t>
      </w:r>
      <w:r w:rsidRPr="00BC7E20">
        <w:rPr>
          <w:rFonts w:ascii="標楷體" w:eastAsia="標楷體" w:hAnsi="標楷體" w:hint="eastAsia"/>
          <w:sz w:val="32"/>
          <w:szCs w:val="32"/>
        </w:rPr>
        <w:t>張雅琳</w:t>
      </w:r>
      <w:r w:rsidRPr="00BC7E20">
        <w:rPr>
          <w:rFonts w:ascii="標楷體" w:eastAsia="標楷體" w:hAnsi="標楷體"/>
          <w:sz w:val="32"/>
          <w:szCs w:val="32"/>
        </w:rPr>
        <w:t xml:space="preserve">　</w:t>
      </w:r>
      <w:r w:rsidRPr="00BC7E20">
        <w:rPr>
          <w:rFonts w:ascii="標楷體" w:eastAsia="標楷體" w:hAnsi="標楷體" w:hint="eastAsia"/>
          <w:sz w:val="32"/>
          <w:szCs w:val="32"/>
        </w:rPr>
        <w:t>吳春城</w:t>
      </w:r>
      <w:r w:rsidRPr="00BC7E20">
        <w:rPr>
          <w:rFonts w:ascii="標楷體" w:eastAsia="標楷體" w:hAnsi="標楷體"/>
          <w:sz w:val="32"/>
          <w:szCs w:val="32"/>
        </w:rPr>
        <w:t xml:space="preserve">　范　雲</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蔡易餘</w:t>
      </w:r>
      <w:r w:rsidRPr="00BC7E20">
        <w:rPr>
          <w:rFonts w:ascii="標楷體" w:eastAsia="標楷體" w:hAnsi="標楷體"/>
          <w:sz w:val="32"/>
          <w:szCs w:val="32"/>
        </w:rPr>
        <w:t xml:space="preserve">　林宜瑾</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邱志偉</w:t>
      </w:r>
      <w:r w:rsidRPr="00BC7E20">
        <w:rPr>
          <w:rFonts w:ascii="標楷體" w:eastAsia="標楷體" w:hAnsi="標楷體" w:hint="eastAsia"/>
          <w:color w:val="FF0000"/>
          <w:sz w:val="32"/>
          <w:szCs w:val="32"/>
        </w:rPr>
        <w:t xml:space="preserve">　</w:t>
      </w:r>
    </w:p>
    <w:p w14:paraId="026E1C96" w14:textId="77777777" w:rsidR="009D64D0" w:rsidRPr="00BC7E20" w:rsidRDefault="009D64D0" w:rsidP="00F470A8">
      <w:pPr>
        <w:tabs>
          <w:tab w:val="left" w:pos="5812"/>
          <w:tab w:val="left" w:pos="6379"/>
          <w:tab w:val="left" w:pos="6521"/>
          <w:tab w:val="left" w:pos="6804"/>
          <w:tab w:val="left" w:pos="7797"/>
          <w:tab w:val="left" w:pos="8080"/>
          <w:tab w:val="left" w:pos="8222"/>
        </w:tabs>
        <w:kinsoku w:val="0"/>
        <w:overflowPunct w:val="0"/>
        <w:autoSpaceDE w:val="0"/>
        <w:spacing w:line="480" w:lineRule="exact"/>
        <w:ind w:left="1600" w:right="320" w:hanging="1600"/>
        <w:rPr>
          <w:rFonts w:ascii="標楷體" w:eastAsia="標楷體" w:hAnsi="標楷體"/>
          <w:b/>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sz w:val="32"/>
          <w:szCs w:val="32"/>
        </w:rPr>
        <w:t>委員出席</w:t>
      </w:r>
      <w:r w:rsidRPr="00BC7E20">
        <w:rPr>
          <w:rFonts w:ascii="標楷體" w:eastAsia="標楷體" w:hAnsi="標楷體" w:hint="eastAsia"/>
          <w:b/>
          <w:sz w:val="32"/>
          <w:szCs w:val="32"/>
        </w:rPr>
        <w:t>62</w:t>
      </w:r>
      <w:r w:rsidRPr="00BC7E20">
        <w:rPr>
          <w:rFonts w:ascii="標楷體" w:eastAsia="標楷體" w:hAnsi="標楷體"/>
          <w:b/>
          <w:sz w:val="32"/>
          <w:szCs w:val="32"/>
        </w:rPr>
        <w:t>人</w:t>
      </w:r>
    </w:p>
    <w:p w14:paraId="554B6163" w14:textId="77777777" w:rsidR="009D64D0" w:rsidRPr="00BC7E20" w:rsidRDefault="009D64D0" w:rsidP="00F470A8">
      <w:pPr>
        <w:kinsoku w:val="0"/>
        <w:overflowPunct w:val="0"/>
        <w:autoSpaceDE w:val="0"/>
        <w:spacing w:line="480" w:lineRule="exact"/>
        <w:ind w:left="1600" w:rightChars="100" w:right="240" w:hangingChars="500" w:hanging="1600"/>
        <w:rPr>
          <w:rFonts w:ascii="標楷體" w:eastAsia="標楷體" w:hAnsi="標楷體"/>
          <w:color w:val="FFC000"/>
          <w:sz w:val="32"/>
          <w:szCs w:val="32"/>
        </w:rPr>
      </w:pPr>
      <w:r w:rsidRPr="00BC7E20">
        <w:rPr>
          <w:rFonts w:ascii="標楷體" w:eastAsia="標楷體" w:hAnsi="標楷體" w:hint="eastAsia"/>
          <w:color w:val="000000" w:themeColor="text1"/>
          <w:sz w:val="32"/>
          <w:szCs w:val="32"/>
        </w:rPr>
        <w:t xml:space="preserve">列席委員　</w:t>
      </w:r>
      <w:r w:rsidRPr="00BC7E20">
        <w:rPr>
          <w:rFonts w:ascii="標楷體" w:eastAsia="標楷體" w:hAnsi="標楷體" w:cs="新細明體" w:hint="eastAsia"/>
          <w:kern w:val="0"/>
          <w:sz w:val="32"/>
          <w:szCs w:val="32"/>
        </w:rPr>
        <w:t>陳俊宇</w:t>
      </w:r>
    </w:p>
    <w:p w14:paraId="47E3E3F7" w14:textId="77777777" w:rsidR="009D64D0" w:rsidRPr="00BC7E20" w:rsidRDefault="009D64D0" w:rsidP="00F470A8">
      <w:pPr>
        <w:tabs>
          <w:tab w:val="left" w:pos="5812"/>
          <w:tab w:val="left" w:pos="6379"/>
          <w:tab w:val="left" w:pos="6521"/>
          <w:tab w:val="left" w:pos="6804"/>
          <w:tab w:val="left" w:pos="7797"/>
          <w:tab w:val="left" w:pos="8080"/>
          <w:tab w:val="left" w:pos="8222"/>
        </w:tabs>
        <w:kinsoku w:val="0"/>
        <w:overflowPunct w:val="0"/>
        <w:autoSpaceDE w:val="0"/>
        <w:spacing w:line="480" w:lineRule="exact"/>
        <w:ind w:left="1600" w:right="320" w:hanging="1600"/>
        <w:rPr>
          <w:rFonts w:ascii="標楷體" w:eastAsia="標楷體" w:hAnsi="標楷體"/>
          <w:b/>
          <w:color w:val="000000" w:themeColor="text1"/>
          <w:sz w:val="32"/>
          <w:szCs w:val="32"/>
        </w:rPr>
      </w:pPr>
      <w:r w:rsidRPr="00BC7E20">
        <w:rPr>
          <w:rFonts w:ascii="標楷體" w:eastAsia="標楷體" w:hAnsi="標楷體"/>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b/>
          <w:sz w:val="32"/>
          <w:szCs w:val="32"/>
        </w:rPr>
        <w:t>委員列席1人</w:t>
      </w:r>
    </w:p>
    <w:p w14:paraId="0CAD52C6" w14:textId="77777777" w:rsidR="009D64D0" w:rsidRPr="00BC7E20" w:rsidRDefault="009D64D0" w:rsidP="00F470A8">
      <w:pPr>
        <w:kinsoku w:val="0"/>
        <w:overflowPunct w:val="0"/>
        <w:autoSpaceDE w:val="0"/>
        <w:spacing w:line="480" w:lineRule="exact"/>
        <w:ind w:left="1600" w:rightChars="100" w:right="240" w:hangingChars="500" w:hanging="1600"/>
        <w:rPr>
          <w:rFonts w:ascii="標楷體" w:eastAsia="標楷體" w:hAnsi="標楷體"/>
          <w:color w:val="FFC000"/>
          <w:sz w:val="32"/>
          <w:szCs w:val="32"/>
        </w:rPr>
      </w:pPr>
      <w:r w:rsidRPr="00BC7E20">
        <w:rPr>
          <w:rFonts w:ascii="標楷體" w:eastAsia="標楷體" w:hAnsi="標楷體" w:hint="eastAsia"/>
          <w:color w:val="000000" w:themeColor="text1"/>
          <w:sz w:val="32"/>
          <w:szCs w:val="32"/>
        </w:rPr>
        <w:t>請假委員　黃健豪</w:t>
      </w:r>
    </w:p>
    <w:p w14:paraId="704D39D0" w14:textId="77777777" w:rsidR="009D64D0" w:rsidRPr="00BC7E20" w:rsidRDefault="009D64D0" w:rsidP="00F470A8">
      <w:pPr>
        <w:tabs>
          <w:tab w:val="left" w:pos="5812"/>
          <w:tab w:val="left" w:pos="6379"/>
          <w:tab w:val="left" w:pos="6521"/>
          <w:tab w:val="left" w:pos="6804"/>
          <w:tab w:val="left" w:pos="7797"/>
          <w:tab w:val="left" w:pos="8080"/>
          <w:tab w:val="left" w:pos="8222"/>
        </w:tabs>
        <w:kinsoku w:val="0"/>
        <w:overflowPunct w:val="0"/>
        <w:autoSpaceDE w:val="0"/>
        <w:spacing w:line="480" w:lineRule="exact"/>
        <w:ind w:left="1600" w:right="320" w:hanging="1600"/>
        <w:rPr>
          <w:rFonts w:ascii="標楷體" w:eastAsia="標楷體" w:hAnsi="標楷體"/>
          <w:b/>
          <w:color w:val="000000" w:themeColor="text1"/>
          <w:sz w:val="32"/>
          <w:szCs w:val="32"/>
        </w:rPr>
      </w:pPr>
      <w:r w:rsidRPr="00BC7E20">
        <w:rPr>
          <w:rFonts w:ascii="標楷體" w:eastAsia="標楷體" w:hAnsi="標楷體"/>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b/>
          <w:sz w:val="32"/>
          <w:szCs w:val="32"/>
        </w:rPr>
        <w:t>委員請假1</w:t>
      </w:r>
      <w:r w:rsidRPr="00BC7E20">
        <w:rPr>
          <w:rFonts w:ascii="標楷體" w:eastAsia="標楷體" w:hAnsi="標楷體" w:hint="eastAsia"/>
          <w:b/>
          <w:color w:val="000000" w:themeColor="text1"/>
          <w:sz w:val="32"/>
          <w:szCs w:val="32"/>
        </w:rPr>
        <w:t>人</w:t>
      </w:r>
    </w:p>
    <w:p w14:paraId="5DAFD021" w14:textId="77777777" w:rsidR="009D64D0" w:rsidRPr="00BC7E20" w:rsidRDefault="009D64D0" w:rsidP="00F470A8">
      <w:pPr>
        <w:tabs>
          <w:tab w:val="left" w:pos="9072"/>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color w:val="000000" w:themeColor="text1"/>
          <w:kern w:val="16"/>
          <w:sz w:val="32"/>
          <w:szCs w:val="32"/>
        </w:rPr>
        <w:t xml:space="preserve">列席官員　</w:t>
      </w:r>
      <w:r w:rsidRPr="00BC7E20">
        <w:rPr>
          <w:rFonts w:ascii="標楷體" w:eastAsia="標楷體" w:hAnsi="標楷體"/>
          <w:b/>
          <w:sz w:val="32"/>
          <w:szCs w:val="32"/>
        </w:rPr>
        <w:t>行政院主計總處</w:t>
      </w:r>
      <w:r w:rsidRPr="00BC7E20">
        <w:rPr>
          <w:rFonts w:ascii="標楷體" w:eastAsia="標楷體" w:hAnsi="標楷體"/>
          <w:color w:val="FF0000"/>
          <w:sz w:val="32"/>
          <w:szCs w:val="32"/>
        </w:rPr>
        <w:t xml:space="preserve">　　　　　　　</w:t>
      </w:r>
      <w:r w:rsidRPr="00BC7E20">
        <w:rPr>
          <w:rFonts w:ascii="標楷體" w:eastAsia="標楷體" w:hAnsi="標楷體"/>
          <w:sz w:val="32"/>
          <w:szCs w:val="32"/>
        </w:rPr>
        <w:t>主計長</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陳淑姿</w:t>
      </w:r>
    </w:p>
    <w:p w14:paraId="3CD06DA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b/>
          <w:sz w:val="32"/>
          <w:szCs w:val="32"/>
        </w:rPr>
      </w:pPr>
      <w:r w:rsidRPr="00BC7E20">
        <w:rPr>
          <w:rFonts w:ascii="標楷體" w:eastAsia="標楷體" w:hAnsi="標楷體"/>
          <w:color w:val="FF0000"/>
          <w:sz w:val="32"/>
          <w:szCs w:val="32"/>
        </w:rPr>
        <w:t xml:space="preserve">　　　　　</w:t>
      </w:r>
      <w:r w:rsidRPr="00BC7E20">
        <w:rPr>
          <w:rFonts w:ascii="標楷體" w:eastAsia="標楷體" w:hAnsi="標楷體"/>
          <w:b/>
          <w:sz w:val="32"/>
          <w:szCs w:val="32"/>
        </w:rPr>
        <w:t>財政部</w:t>
      </w:r>
      <w:r w:rsidRPr="00BC7E20">
        <w:rPr>
          <w:rFonts w:ascii="標楷體" w:eastAsia="標楷體" w:hAnsi="標楷體"/>
          <w:color w:val="000000" w:themeColor="text1"/>
          <w:sz w:val="32"/>
          <w:szCs w:val="32"/>
        </w:rPr>
        <w:t xml:space="preserve">　　　　　　　　　　</w:t>
      </w:r>
      <w:r w:rsidRPr="00BC7E20">
        <w:rPr>
          <w:rFonts w:ascii="標楷體" w:eastAsia="標楷體" w:hAnsi="標楷體"/>
          <w:color w:val="FF0000"/>
          <w:sz w:val="32"/>
          <w:szCs w:val="32"/>
        </w:rPr>
        <w:t xml:space="preserve">　</w:t>
      </w:r>
      <w:r w:rsidRPr="00BC7E20">
        <w:rPr>
          <w:rFonts w:ascii="標楷體" w:eastAsia="標楷體" w:hAnsi="標楷體" w:hint="eastAsia"/>
          <w:color w:val="000000" w:themeColor="text1"/>
          <w:sz w:val="32"/>
          <w:szCs w:val="32"/>
        </w:rPr>
        <w:t>部</w:t>
      </w:r>
      <w:r w:rsidRPr="00BC7E20">
        <w:rPr>
          <w:rFonts w:ascii="標楷體" w:eastAsia="標楷體" w:hAnsi="標楷體"/>
          <w:color w:val="000000" w:themeColor="text1"/>
          <w:sz w:val="32"/>
          <w:szCs w:val="32"/>
        </w:rPr>
        <w:t xml:space="preserve">長　</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kern w:val="16"/>
          <w:sz w:val="32"/>
          <w:szCs w:val="32"/>
        </w:rPr>
        <w:t>莊翠雲</w:t>
      </w:r>
    </w:p>
    <w:p w14:paraId="230BC6E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會計處</w:t>
      </w: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處長</w:t>
      </w: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李秋月</w:t>
      </w:r>
    </w:p>
    <w:p w14:paraId="15DA9C4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FF0000"/>
          <w:sz w:val="32"/>
          <w:szCs w:val="32"/>
        </w:rPr>
      </w:pPr>
      <w:r w:rsidRPr="00BC7E20">
        <w:rPr>
          <w:rFonts w:ascii="標楷體" w:eastAsia="標楷體" w:hAnsi="標楷體"/>
          <w:color w:val="000000" w:themeColor="text1"/>
          <w:sz w:val="32"/>
          <w:szCs w:val="32"/>
        </w:rPr>
        <w:t xml:space="preserve">　　　　　　國庫署</w:t>
      </w:r>
      <w:r w:rsidRPr="00BC7E20">
        <w:rPr>
          <w:rFonts w:ascii="標楷體" w:eastAsia="標楷體" w:hAnsi="標楷體"/>
          <w:color w:val="FF0000"/>
          <w:sz w:val="32"/>
          <w:szCs w:val="32"/>
        </w:rPr>
        <w:t xml:space="preserve">　　　　　　　　　　</w:t>
      </w:r>
      <w:r w:rsidRPr="00BC7E20">
        <w:rPr>
          <w:rFonts w:ascii="標楷體" w:eastAsia="標楷體" w:hAnsi="標楷體"/>
          <w:color w:val="000000" w:themeColor="text1"/>
          <w:sz w:val="32"/>
          <w:szCs w:val="32"/>
        </w:rPr>
        <w:t xml:space="preserve">署長　　</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陳柏誠</w:t>
      </w:r>
    </w:p>
    <w:p w14:paraId="7EAB36F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賦稅</w:t>
      </w:r>
      <w:r w:rsidRPr="00BC7E20">
        <w:rPr>
          <w:rFonts w:ascii="標楷體" w:eastAsia="標楷體" w:hAnsi="標楷體"/>
          <w:color w:val="000000" w:themeColor="text1"/>
          <w:sz w:val="32"/>
          <w:szCs w:val="32"/>
        </w:rPr>
        <w:t xml:space="preserve">署　　　　　　　　　　署長　　　　</w:t>
      </w:r>
      <w:r w:rsidRPr="00BC7E20">
        <w:rPr>
          <w:rFonts w:ascii="標楷體" w:eastAsia="標楷體" w:hAnsi="標楷體" w:hint="eastAsia"/>
          <w:color w:val="000000" w:themeColor="text1"/>
          <w:sz w:val="32"/>
          <w:szCs w:val="32"/>
        </w:rPr>
        <w:t>宋秀玲</w:t>
      </w:r>
    </w:p>
    <w:p w14:paraId="0969CC9A"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FF0000"/>
          <w:sz w:val="32"/>
          <w:szCs w:val="32"/>
        </w:rPr>
        <w:t xml:space="preserve">　　　　　　</w:t>
      </w:r>
      <w:r w:rsidRPr="00BC7E20">
        <w:rPr>
          <w:rFonts w:ascii="標楷體" w:eastAsia="標楷體" w:hAnsi="標楷體"/>
          <w:sz w:val="32"/>
          <w:szCs w:val="32"/>
        </w:rPr>
        <w:t>關務署</w:t>
      </w:r>
      <w:r w:rsidRPr="00BC7E20">
        <w:rPr>
          <w:rFonts w:ascii="標楷體" w:eastAsia="標楷體" w:hAnsi="標楷體"/>
          <w:color w:val="FF0000"/>
          <w:sz w:val="32"/>
          <w:szCs w:val="32"/>
        </w:rPr>
        <w:t xml:space="preserve">　　　　　　　　　　</w:t>
      </w:r>
      <w:r w:rsidRPr="00BC7E20">
        <w:rPr>
          <w:rFonts w:ascii="標楷體" w:eastAsia="標楷體" w:hAnsi="標楷體"/>
          <w:sz w:val="32"/>
          <w:szCs w:val="32"/>
        </w:rPr>
        <w:t>署長</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彭英偉</w:t>
      </w:r>
    </w:p>
    <w:p w14:paraId="3ADADC14" w14:textId="77777777" w:rsidR="009D64D0" w:rsidRPr="00BC7E20" w:rsidRDefault="009D64D0" w:rsidP="00F470A8">
      <w:pPr>
        <w:tabs>
          <w:tab w:val="left" w:pos="1985"/>
          <w:tab w:val="left" w:pos="5245"/>
          <w:tab w:val="left" w:pos="5670"/>
          <w:tab w:val="left" w:pos="6663"/>
          <w:tab w:val="left" w:pos="7938"/>
          <w:tab w:val="left" w:pos="8505"/>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color w:val="FF0000"/>
          <w:sz w:val="32"/>
          <w:szCs w:val="32"/>
        </w:rPr>
        <w:t xml:space="preserve">　　　　　　</w:t>
      </w:r>
      <w:r w:rsidRPr="00BC7E20">
        <w:rPr>
          <w:rFonts w:ascii="標楷體" w:eastAsia="標楷體" w:hAnsi="標楷體"/>
          <w:sz w:val="32"/>
          <w:szCs w:val="32"/>
        </w:rPr>
        <w:t>財政資訊中心</w:t>
      </w:r>
      <w:r w:rsidRPr="00BC7E20">
        <w:rPr>
          <w:rFonts w:ascii="標楷體" w:eastAsia="標楷體" w:hAnsi="標楷體"/>
          <w:color w:val="FF0000"/>
          <w:sz w:val="32"/>
          <w:szCs w:val="32"/>
        </w:rPr>
        <w:t xml:space="preserve">　　　　　　　</w:t>
      </w:r>
      <w:r w:rsidRPr="00BC7E20">
        <w:rPr>
          <w:rFonts w:ascii="標楷體" w:eastAsia="標楷體" w:hAnsi="標楷體"/>
          <w:sz w:val="32"/>
          <w:szCs w:val="32"/>
        </w:rPr>
        <w:t>主任</w:t>
      </w:r>
      <w:r w:rsidRPr="00BC7E20">
        <w:rPr>
          <w:rFonts w:ascii="標楷體" w:eastAsia="標楷體" w:hAnsi="標楷體"/>
          <w:color w:val="FF0000"/>
          <w:sz w:val="32"/>
          <w:szCs w:val="32"/>
        </w:rPr>
        <w:t xml:space="preserve">　　　　</w:t>
      </w:r>
      <w:r w:rsidRPr="00BC7E20">
        <w:rPr>
          <w:rFonts w:ascii="標楷體" w:eastAsia="標楷體" w:hAnsi="標楷體"/>
          <w:sz w:val="32"/>
          <w:szCs w:val="32"/>
        </w:rPr>
        <w:t>張文熙</w:t>
      </w:r>
    </w:p>
    <w:p w14:paraId="7939C494"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FF0000"/>
          <w:sz w:val="32"/>
          <w:szCs w:val="32"/>
        </w:rPr>
      </w:pPr>
      <w:r w:rsidRPr="00BC7E20">
        <w:rPr>
          <w:rFonts w:ascii="標楷體" w:eastAsia="標楷體" w:hAnsi="標楷體"/>
          <w:color w:val="FF0000"/>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中央研究院　</w:t>
      </w:r>
      <w:r w:rsidRPr="00BC7E20">
        <w:rPr>
          <w:rFonts w:ascii="標楷體" w:eastAsia="標楷體" w:hAnsi="標楷體"/>
          <w:color w:val="000000" w:themeColor="text1"/>
          <w:sz w:val="32"/>
          <w:szCs w:val="32"/>
        </w:rPr>
        <w:t xml:space="preserve">　　　　　　　　副院長</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彭信坤</w:t>
      </w:r>
    </w:p>
    <w:p w14:paraId="38374F63"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院長廖俊智請假</w:t>
      </w:r>
      <w:r w:rsidRPr="00BC7E20">
        <w:rPr>
          <w:rFonts w:ascii="標楷體" w:eastAsia="標楷體" w:hAnsi="標楷體" w:hint="eastAsia"/>
          <w:color w:val="000000" w:themeColor="text1"/>
          <w:sz w:val="32"/>
          <w:szCs w:val="32"/>
        </w:rPr>
        <w:t>)</w:t>
      </w:r>
    </w:p>
    <w:p w14:paraId="3CED58EA"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主計室</w:t>
      </w: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主任</w:t>
      </w: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羅友聰</w:t>
      </w:r>
    </w:p>
    <w:p w14:paraId="7878DB93"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lastRenderedPageBreak/>
        <w:t xml:space="preserve">　　　　　</w:t>
      </w:r>
      <w:r w:rsidRPr="00BC7E20">
        <w:rPr>
          <w:rFonts w:ascii="標楷體" w:eastAsia="標楷體" w:hAnsi="標楷體"/>
          <w:b/>
          <w:color w:val="000000" w:themeColor="text1"/>
          <w:sz w:val="32"/>
          <w:szCs w:val="32"/>
        </w:rPr>
        <w:t>國立故宮博物院</w:t>
      </w:r>
      <w:r w:rsidRPr="00BC7E20">
        <w:rPr>
          <w:rFonts w:ascii="標楷體" w:eastAsia="標楷體" w:hAnsi="標楷體"/>
          <w:color w:val="000000" w:themeColor="text1"/>
          <w:sz w:val="32"/>
          <w:szCs w:val="32"/>
        </w:rPr>
        <w:t xml:space="preserve">　　　　　　　院長　　　　</w:t>
      </w:r>
      <w:r w:rsidRPr="00BC7E20">
        <w:rPr>
          <w:rFonts w:ascii="標楷體" w:eastAsia="標楷體" w:hAnsi="標楷體" w:hint="eastAsia"/>
          <w:color w:val="000000" w:themeColor="text1"/>
          <w:sz w:val="32"/>
          <w:szCs w:val="32"/>
        </w:rPr>
        <w:t>蕭宗煌</w:t>
      </w:r>
    </w:p>
    <w:p w14:paraId="4F8C9D0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主計室</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科長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sz w:val="32"/>
          <w:szCs w:val="32"/>
        </w:rPr>
        <w:t>莊健昇</w:t>
      </w:r>
    </w:p>
    <w:p w14:paraId="6071BEEF" w14:textId="77777777" w:rsidR="009D64D0" w:rsidRPr="00BC7E20" w:rsidRDefault="009D64D0" w:rsidP="00F470A8">
      <w:pPr>
        <w:tabs>
          <w:tab w:val="left" w:pos="5245"/>
          <w:tab w:val="left" w:pos="5670"/>
          <w:tab w:val="left" w:pos="7938"/>
          <w:tab w:val="left" w:pos="8080"/>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國家發展委員會</w:t>
      </w:r>
      <w:r w:rsidRPr="00BC7E20">
        <w:rPr>
          <w:rFonts w:ascii="標楷體" w:eastAsia="標楷體" w:hAnsi="標楷體"/>
          <w:color w:val="000000" w:themeColor="text1"/>
          <w:sz w:val="32"/>
          <w:szCs w:val="32"/>
        </w:rPr>
        <w:t xml:space="preserve">　　　　　　　主任委員　</w:t>
      </w:r>
      <w:r w:rsidRPr="00BC7E20">
        <w:rPr>
          <w:rFonts w:ascii="標楷體" w:eastAsia="標楷體" w:hAnsi="標楷體" w:hint="eastAsia"/>
          <w:sz w:val="32"/>
          <w:szCs w:val="32"/>
        </w:rPr>
        <w:t xml:space="preserve">　</w:t>
      </w:r>
      <w:r w:rsidRPr="00BC7E20">
        <w:rPr>
          <w:rFonts w:ascii="標楷體" w:eastAsia="標楷體" w:hAnsi="標楷體" w:hint="eastAsia"/>
          <w:color w:val="000000" w:themeColor="text1"/>
          <w:sz w:val="32"/>
          <w:szCs w:val="32"/>
        </w:rPr>
        <w:t>劉鏡清</w:t>
      </w:r>
    </w:p>
    <w:p w14:paraId="06B6AE0B"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主計室　　　　　　　　　　</w:t>
      </w:r>
      <w:r w:rsidRPr="00BC7E20">
        <w:rPr>
          <w:rFonts w:ascii="標楷體" w:eastAsia="標楷體" w:hAnsi="標楷體" w:hint="eastAsia"/>
          <w:color w:val="000000" w:themeColor="text1"/>
          <w:sz w:val="32"/>
          <w:szCs w:val="32"/>
        </w:rPr>
        <w:t>主任</w:t>
      </w: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許嘉琳</w:t>
      </w:r>
    </w:p>
    <w:p w14:paraId="293F9FF5"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pacing w:val="-40"/>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原住民族委員會</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pacing w:val="-60"/>
          <w:sz w:val="32"/>
          <w:szCs w:val="32"/>
        </w:rPr>
        <w:t>副主任委員</w:t>
      </w:r>
      <w:r w:rsidRPr="00BC7E20">
        <w:rPr>
          <w:rFonts w:ascii="標楷體" w:eastAsia="標楷體" w:hAnsi="標楷體" w:hint="eastAsia"/>
          <w:color w:val="000000" w:themeColor="text1"/>
          <w:spacing w:val="-100"/>
          <w:sz w:val="32"/>
          <w:szCs w:val="32"/>
        </w:rPr>
        <w:t>谷縱•喀勒芳安</w:t>
      </w:r>
    </w:p>
    <w:p w14:paraId="08E84A2E"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sz w:val="32"/>
          <w:szCs w:val="32"/>
        </w:rPr>
        <w:t xml:space="preserve">　　</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(主任委員</w:t>
      </w:r>
      <w:r w:rsidRPr="00BC7E20">
        <w:rPr>
          <w:rFonts w:ascii="標楷體" w:eastAsia="標楷體" w:hAnsi="標楷體" w:hint="eastAsia"/>
          <w:sz w:val="32"/>
          <w:szCs w:val="32"/>
        </w:rPr>
        <w:t>曾智勇</w:t>
      </w:r>
      <w:r w:rsidRPr="00BC7E20">
        <w:rPr>
          <w:rFonts w:ascii="標楷體" w:eastAsia="標楷體" w:hAnsi="標楷體"/>
          <w:color w:val="000000" w:themeColor="text1"/>
          <w:sz w:val="32"/>
          <w:szCs w:val="32"/>
        </w:rPr>
        <w:t>請假</w:t>
      </w:r>
      <w:r w:rsidRPr="00BC7E20">
        <w:rPr>
          <w:rFonts w:ascii="標楷體" w:eastAsia="標楷體" w:hAnsi="標楷體" w:hint="eastAsia"/>
          <w:color w:val="000000" w:themeColor="text1"/>
          <w:sz w:val="32"/>
          <w:szCs w:val="32"/>
        </w:rPr>
        <w:t>)</w:t>
      </w:r>
    </w:p>
    <w:p w14:paraId="527287D3"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主計室　　　　　　　　　　</w:t>
      </w:r>
      <w:r w:rsidRPr="00BC7E20">
        <w:rPr>
          <w:rFonts w:ascii="標楷體" w:eastAsia="標楷體" w:hAnsi="標楷體" w:hint="eastAsia"/>
          <w:color w:val="000000" w:themeColor="text1"/>
          <w:sz w:val="32"/>
          <w:szCs w:val="32"/>
        </w:rPr>
        <w:t>主任</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柯淑玲</w:t>
      </w:r>
    </w:p>
    <w:p w14:paraId="0ED17D93"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pacing w:val="-28"/>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b/>
          <w:color w:val="000000" w:themeColor="text1"/>
          <w:sz w:val="32"/>
          <w:szCs w:val="32"/>
        </w:rPr>
        <w:t>客家</w:t>
      </w:r>
      <w:r w:rsidRPr="00BC7E20">
        <w:rPr>
          <w:rFonts w:ascii="標楷體" w:eastAsia="標楷體" w:hAnsi="標楷體"/>
          <w:b/>
          <w:color w:val="000000" w:themeColor="text1"/>
          <w:sz w:val="32"/>
          <w:szCs w:val="32"/>
        </w:rPr>
        <w:t>委員會</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 xml:space="preserve">主任委員　</w:t>
      </w:r>
      <w:r w:rsidRPr="00BC7E20">
        <w:rPr>
          <w:rFonts w:ascii="標楷體" w:eastAsia="標楷體" w:hAnsi="標楷體" w:hint="eastAsia"/>
          <w:sz w:val="32"/>
          <w:szCs w:val="32"/>
        </w:rPr>
        <w:t xml:space="preserve">　古秀妃</w:t>
      </w:r>
    </w:p>
    <w:p w14:paraId="15CB34AA"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主計室　　　　　　　　　　</w:t>
      </w:r>
      <w:r w:rsidRPr="00BC7E20">
        <w:rPr>
          <w:rFonts w:ascii="標楷體" w:eastAsia="標楷體" w:hAnsi="標楷體" w:hint="eastAsia"/>
          <w:color w:val="000000" w:themeColor="text1"/>
          <w:sz w:val="32"/>
          <w:szCs w:val="32"/>
        </w:rPr>
        <w:t>主任</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林秀春</w:t>
      </w:r>
    </w:p>
    <w:p w14:paraId="2FB02371"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b/>
          <w:color w:val="000000" w:themeColor="text1"/>
          <w:sz w:val="32"/>
          <w:szCs w:val="32"/>
        </w:rPr>
        <w:t>核能安全委員會</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主任委員</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 xml:space="preserve">　陳明真</w:t>
      </w:r>
    </w:p>
    <w:p w14:paraId="134C7D0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 xml:space="preserve">主計室　　　</w:t>
      </w: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主任</w:t>
      </w: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何雲英</w:t>
      </w:r>
    </w:p>
    <w:p w14:paraId="7865E46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FF0000"/>
          <w:sz w:val="32"/>
          <w:szCs w:val="32"/>
        </w:rPr>
        <w:t xml:space="preserve">　　　　　</w:t>
      </w:r>
      <w:r w:rsidRPr="00BC7E20">
        <w:rPr>
          <w:rFonts w:ascii="標楷體" w:eastAsia="標楷體" w:hAnsi="標楷體"/>
          <w:color w:val="000000" w:themeColor="text1"/>
          <w:sz w:val="32"/>
          <w:szCs w:val="32"/>
        </w:rPr>
        <w:t>行政</w:t>
      </w:r>
      <w:r w:rsidRPr="00BC7E20">
        <w:rPr>
          <w:rFonts w:ascii="標楷體" w:eastAsia="標楷體" w:hAnsi="標楷體" w:hint="eastAsia"/>
          <w:color w:val="000000" w:themeColor="text1"/>
          <w:sz w:val="32"/>
          <w:szCs w:val="32"/>
        </w:rPr>
        <w:t>法人國家原子能科技研究</w:t>
      </w:r>
      <w:r w:rsidRPr="00BC7E20">
        <w:rPr>
          <w:rFonts w:ascii="標楷體" w:eastAsia="標楷體" w:hAnsi="標楷體"/>
          <w:color w:val="000000" w:themeColor="text1"/>
          <w:sz w:val="32"/>
          <w:szCs w:val="32"/>
        </w:rPr>
        <w:t>院</w:t>
      </w:r>
      <w:r w:rsidRPr="00BC7E20">
        <w:rPr>
          <w:rFonts w:ascii="標楷體" w:eastAsia="標楷體" w:hAnsi="標楷體" w:hint="eastAsia"/>
          <w:color w:val="000000" w:themeColor="text1"/>
          <w:sz w:val="32"/>
          <w:szCs w:val="32"/>
        </w:rPr>
        <w:t>院長</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高梓木</w:t>
      </w:r>
    </w:p>
    <w:p w14:paraId="77F8930B"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行政院公共工程委員會</w:t>
      </w:r>
      <w:r w:rsidRPr="00BC7E20">
        <w:rPr>
          <w:rFonts w:ascii="標楷體" w:eastAsia="標楷體" w:hAnsi="標楷體"/>
          <w:color w:val="000000" w:themeColor="text1"/>
          <w:sz w:val="32"/>
          <w:szCs w:val="32"/>
        </w:rPr>
        <w:t xml:space="preserve">　　　　主任委員　　</w:t>
      </w:r>
      <w:r w:rsidRPr="00BC7E20">
        <w:rPr>
          <w:rFonts w:ascii="標楷體" w:eastAsia="標楷體" w:hAnsi="標楷體" w:hint="eastAsia"/>
          <w:color w:val="000000" w:themeColor="text1"/>
          <w:sz w:val="32"/>
          <w:szCs w:val="32"/>
        </w:rPr>
        <w:t>陳金德</w:t>
      </w:r>
    </w:p>
    <w:p w14:paraId="162DF36D" w14:textId="77777777" w:rsidR="009D64D0" w:rsidRPr="00BC7E20" w:rsidRDefault="009D64D0" w:rsidP="00F470A8">
      <w:pPr>
        <w:tabs>
          <w:tab w:val="left" w:pos="5245"/>
          <w:tab w:val="left" w:pos="5670"/>
          <w:tab w:val="left" w:pos="7938"/>
          <w:tab w:val="left" w:pos="8080"/>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color w:val="FF0000"/>
          <w:sz w:val="32"/>
          <w:szCs w:val="32"/>
        </w:rPr>
        <w:t xml:space="preserve">　　　　　　</w:t>
      </w:r>
      <w:r w:rsidRPr="00BC7E20">
        <w:rPr>
          <w:rFonts w:ascii="標楷體" w:eastAsia="標楷體" w:hAnsi="標楷體"/>
          <w:sz w:val="32"/>
          <w:szCs w:val="32"/>
        </w:rPr>
        <w:t>主計室</w:t>
      </w:r>
      <w:r w:rsidRPr="00BC7E20">
        <w:rPr>
          <w:rFonts w:ascii="標楷體" w:eastAsia="標楷體" w:hAnsi="標楷體"/>
          <w:color w:val="FF0000"/>
          <w:sz w:val="32"/>
          <w:szCs w:val="32"/>
        </w:rPr>
        <w:t xml:space="preserve">　　　　　　　　　　</w:t>
      </w:r>
      <w:r w:rsidRPr="00BC7E20">
        <w:rPr>
          <w:rFonts w:ascii="標楷體" w:eastAsia="標楷體" w:hAnsi="標楷體"/>
          <w:sz w:val="32"/>
          <w:szCs w:val="32"/>
        </w:rPr>
        <w:t>主任</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 xml:space="preserve">孫　</w:t>
      </w:r>
      <w:r w:rsidRPr="00BC7E20">
        <w:rPr>
          <w:rFonts w:ascii="標楷體" w:eastAsia="標楷體" w:hAnsi="標楷體"/>
          <w:sz w:val="32"/>
          <w:szCs w:val="32"/>
        </w:rPr>
        <w:t>慧</w:t>
      </w:r>
    </w:p>
    <w:p w14:paraId="7BE05BC2"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FF0000"/>
          <w:sz w:val="32"/>
          <w:szCs w:val="32"/>
        </w:rPr>
      </w:pPr>
      <w:r w:rsidRPr="00BC7E20">
        <w:rPr>
          <w:rFonts w:ascii="標楷體" w:eastAsia="標楷體" w:hAnsi="標楷體"/>
          <w:color w:val="FF0000"/>
          <w:sz w:val="32"/>
          <w:szCs w:val="32"/>
        </w:rPr>
        <w:t xml:space="preserve">　　　　　</w:t>
      </w:r>
      <w:r w:rsidRPr="00BC7E20">
        <w:rPr>
          <w:rFonts w:ascii="標楷體" w:eastAsia="標楷體" w:hAnsi="標楷體"/>
          <w:b/>
          <w:sz w:val="32"/>
          <w:szCs w:val="32"/>
        </w:rPr>
        <w:t>內政部</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政務次長</w:t>
      </w: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董建宏</w:t>
      </w:r>
    </w:p>
    <w:p w14:paraId="692D266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FF0000"/>
          <w:sz w:val="32"/>
          <w:szCs w:val="32"/>
        </w:rPr>
        <w:t xml:space="preserve">　　　　　　　　　　</w:t>
      </w:r>
      <w:r w:rsidRPr="00BC7E20">
        <w:rPr>
          <w:rFonts w:ascii="標楷體" w:eastAsia="標楷體" w:hAnsi="標楷體"/>
          <w:color w:val="FF0000"/>
          <w:sz w:val="32"/>
          <w:szCs w:val="32"/>
        </w:rPr>
        <w:t xml:space="preserve">　　</w:t>
      </w: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w:t>
      </w:r>
      <w:r w:rsidRPr="00BC7E20">
        <w:rPr>
          <w:rFonts w:ascii="標楷體" w:eastAsia="標楷體" w:hAnsi="標楷體"/>
          <w:color w:val="000000" w:themeColor="text1"/>
          <w:sz w:val="32"/>
          <w:szCs w:val="32"/>
        </w:rPr>
        <w:t>部長</w:t>
      </w:r>
      <w:r w:rsidRPr="00BC7E20">
        <w:rPr>
          <w:rFonts w:ascii="標楷體" w:eastAsia="標楷體" w:hAnsi="標楷體" w:hint="eastAsia"/>
          <w:color w:val="000000" w:themeColor="text1"/>
          <w:sz w:val="32"/>
          <w:szCs w:val="32"/>
        </w:rPr>
        <w:t>劉世芳請假)</w:t>
      </w:r>
    </w:p>
    <w:p w14:paraId="0426F9E4"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FF0000"/>
          <w:sz w:val="32"/>
          <w:szCs w:val="32"/>
        </w:rPr>
        <w:t xml:space="preserve">　　　　　　</w:t>
      </w:r>
      <w:r w:rsidRPr="00BC7E20">
        <w:rPr>
          <w:rFonts w:ascii="標楷體" w:eastAsia="標楷體" w:hAnsi="標楷體"/>
          <w:sz w:val="32"/>
          <w:szCs w:val="32"/>
        </w:rPr>
        <w:t>會計處</w:t>
      </w:r>
      <w:r w:rsidRPr="00BC7E20">
        <w:rPr>
          <w:rFonts w:ascii="標楷體" w:eastAsia="標楷體" w:hAnsi="標楷體"/>
          <w:color w:val="FF0000"/>
          <w:sz w:val="32"/>
          <w:szCs w:val="32"/>
        </w:rPr>
        <w:t xml:space="preserve">　　　　　　　　　　</w:t>
      </w:r>
      <w:r w:rsidRPr="00BC7E20">
        <w:rPr>
          <w:rFonts w:ascii="標楷體" w:eastAsia="標楷體" w:hAnsi="標楷體" w:hint="eastAsia"/>
          <w:sz w:val="32"/>
          <w:szCs w:val="32"/>
        </w:rPr>
        <w:t>副</w:t>
      </w:r>
      <w:r w:rsidRPr="00BC7E20">
        <w:rPr>
          <w:rFonts w:ascii="標楷體" w:eastAsia="標楷體" w:hAnsi="標楷體"/>
          <w:color w:val="000000" w:themeColor="text1"/>
          <w:sz w:val="32"/>
          <w:szCs w:val="32"/>
        </w:rPr>
        <w:t xml:space="preserve">處長　　　</w:t>
      </w:r>
      <w:r w:rsidRPr="00BC7E20">
        <w:rPr>
          <w:rFonts w:ascii="標楷體" w:eastAsia="標楷體" w:hAnsi="標楷體" w:hint="eastAsia"/>
          <w:color w:val="000000" w:themeColor="text1"/>
          <w:sz w:val="32"/>
          <w:szCs w:val="32"/>
        </w:rPr>
        <w:t>周文玲</w:t>
      </w:r>
    </w:p>
    <w:p w14:paraId="664D4358"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警政署　　　　　　　　　　</w:t>
      </w:r>
      <w:r w:rsidRPr="00BC7E20">
        <w:rPr>
          <w:rFonts w:ascii="標楷體" w:eastAsia="標楷體" w:hAnsi="標楷體" w:hint="eastAsia"/>
          <w:color w:val="000000" w:themeColor="text1"/>
          <w:sz w:val="32"/>
          <w:szCs w:val="32"/>
        </w:rPr>
        <w:t>副</w:t>
      </w:r>
      <w:r w:rsidRPr="00BC7E20">
        <w:rPr>
          <w:rFonts w:ascii="標楷體" w:eastAsia="標楷體" w:hAnsi="標楷體"/>
          <w:color w:val="000000" w:themeColor="text1"/>
          <w:sz w:val="32"/>
          <w:szCs w:val="32"/>
        </w:rPr>
        <w:t>署長</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詹永茂</w:t>
      </w:r>
    </w:p>
    <w:p w14:paraId="3D1D648E"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消防署　　　　　　　　　　</w:t>
      </w:r>
      <w:r w:rsidRPr="00BC7E20">
        <w:rPr>
          <w:rFonts w:ascii="標楷體" w:eastAsia="標楷體" w:hAnsi="標楷體" w:hint="eastAsia"/>
          <w:color w:val="000000" w:themeColor="text1"/>
          <w:sz w:val="32"/>
          <w:szCs w:val="32"/>
        </w:rPr>
        <w:t>主任秘書</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張裕忠</w:t>
      </w:r>
    </w:p>
    <w:p w14:paraId="2BA77068"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國土管理署　　　　　　　　署長　　　　吳欣修</w:t>
      </w:r>
    </w:p>
    <w:p w14:paraId="519010E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sz w:val="32"/>
          <w:szCs w:val="32"/>
        </w:rPr>
        <w:t xml:space="preserve">　　　　　　建築研究所　　　　　　　　所長　　</w:t>
      </w:r>
      <w:r w:rsidRPr="00BC7E20">
        <w:rPr>
          <w:rFonts w:ascii="標楷體" w:eastAsia="標楷體" w:hAnsi="標楷體" w:hint="eastAsia"/>
          <w:color w:val="000000" w:themeColor="text1"/>
          <w:sz w:val="32"/>
          <w:szCs w:val="32"/>
        </w:rPr>
        <w:t xml:space="preserve">　　王榮進</w:t>
      </w:r>
    </w:p>
    <w:p w14:paraId="1EE681C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FF0000"/>
          <w:sz w:val="32"/>
          <w:szCs w:val="32"/>
        </w:rPr>
        <w:t xml:space="preserve">　　　　　</w:t>
      </w:r>
      <w:r w:rsidRPr="00BC7E20">
        <w:rPr>
          <w:rFonts w:ascii="標楷體" w:eastAsia="標楷體" w:hAnsi="標楷體"/>
          <w:b/>
          <w:sz w:val="32"/>
          <w:szCs w:val="32"/>
        </w:rPr>
        <w:t>教育部</w:t>
      </w:r>
      <w:r w:rsidRPr="00BC7E20">
        <w:rPr>
          <w:rFonts w:ascii="標楷體" w:eastAsia="標楷體" w:hAnsi="標楷體"/>
          <w:color w:val="FF0000"/>
          <w:sz w:val="32"/>
          <w:szCs w:val="32"/>
        </w:rPr>
        <w:t xml:space="preserve">　　　　　　　　　　　</w:t>
      </w:r>
      <w:r w:rsidRPr="00BC7E20">
        <w:rPr>
          <w:rFonts w:ascii="標楷體" w:eastAsia="標楷體" w:hAnsi="標楷體"/>
          <w:sz w:val="32"/>
          <w:szCs w:val="32"/>
        </w:rPr>
        <w:t>部長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鄭英耀</w:t>
      </w:r>
    </w:p>
    <w:p w14:paraId="0C0DB12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FF0000"/>
          <w:sz w:val="32"/>
          <w:szCs w:val="32"/>
        </w:rPr>
        <w:t xml:space="preserve">　　　　　　</w:t>
      </w:r>
      <w:r w:rsidRPr="00BC7E20">
        <w:rPr>
          <w:rFonts w:ascii="標楷體" w:eastAsia="標楷體" w:hAnsi="標楷體"/>
          <w:sz w:val="32"/>
          <w:szCs w:val="32"/>
        </w:rPr>
        <w:t>會計處</w:t>
      </w:r>
      <w:r w:rsidRPr="00BC7E20">
        <w:rPr>
          <w:rFonts w:ascii="標楷體" w:eastAsia="標楷體" w:hAnsi="標楷體"/>
          <w:color w:val="FF0000"/>
          <w:sz w:val="32"/>
          <w:szCs w:val="32"/>
        </w:rPr>
        <w:t xml:space="preserve">　　　　　　　　　　</w:t>
      </w:r>
      <w:r w:rsidRPr="00BC7E20">
        <w:rPr>
          <w:rFonts w:ascii="標楷體" w:eastAsia="標楷體" w:hAnsi="標楷體"/>
          <w:color w:val="000000" w:themeColor="text1"/>
          <w:sz w:val="32"/>
          <w:szCs w:val="32"/>
        </w:rPr>
        <w:t xml:space="preserve">處長　　　</w:t>
      </w: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林順裕</w:t>
      </w:r>
    </w:p>
    <w:p w14:paraId="0451A9F8"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color w:val="000000" w:themeColor="text1"/>
          <w:sz w:val="32"/>
          <w:szCs w:val="32"/>
        </w:rPr>
        <w:t xml:space="preserve">　　　　　　國民及學前教育署　　　　　署長　　　</w:t>
      </w: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彭富源</w:t>
      </w:r>
    </w:p>
    <w:p w14:paraId="4BF2342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國立教育廣播電臺</w:t>
      </w:r>
      <w:r w:rsidRPr="00BC7E20">
        <w:rPr>
          <w:rFonts w:ascii="標楷體" w:eastAsia="標楷體" w:hAnsi="標楷體"/>
          <w:color w:val="000000" w:themeColor="text1"/>
          <w:sz w:val="32"/>
          <w:szCs w:val="32"/>
        </w:rPr>
        <w:t xml:space="preserve">　　　　　臺長　　　　黃月麗</w:t>
      </w:r>
    </w:p>
    <w:p w14:paraId="25C8C58B"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經濟部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常務次長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連錦漳</w:t>
      </w:r>
    </w:p>
    <w:p w14:paraId="224F3080"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(部</w:t>
      </w:r>
      <w:r w:rsidRPr="00BC7E20">
        <w:rPr>
          <w:rFonts w:ascii="標楷體" w:eastAsia="標楷體" w:hAnsi="標楷體"/>
          <w:color w:val="000000" w:themeColor="text1"/>
          <w:sz w:val="32"/>
          <w:szCs w:val="32"/>
        </w:rPr>
        <w:t>長</w:t>
      </w:r>
      <w:r w:rsidRPr="00BC7E20">
        <w:rPr>
          <w:rFonts w:ascii="標楷體" w:eastAsia="標楷體" w:hAnsi="標楷體" w:hint="eastAsia"/>
          <w:color w:val="000000" w:themeColor="text1"/>
          <w:sz w:val="32"/>
          <w:szCs w:val="32"/>
        </w:rPr>
        <w:t>郭智輝請假)</w:t>
      </w:r>
    </w:p>
    <w:p w14:paraId="53047185"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會計處　　　　　　　　　　處長　　　</w:t>
      </w:r>
      <w:r w:rsidRPr="00BC7E20">
        <w:rPr>
          <w:rFonts w:ascii="標楷體" w:eastAsia="標楷體" w:hAnsi="標楷體" w:hint="eastAsia"/>
          <w:color w:val="000000" w:themeColor="text1"/>
          <w:sz w:val="32"/>
          <w:szCs w:val="32"/>
        </w:rPr>
        <w:t xml:space="preserve">　黃鴻文</w:t>
      </w:r>
    </w:p>
    <w:p w14:paraId="6C83DF0B"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商業</w:t>
      </w:r>
      <w:r w:rsidRPr="00BC7E20">
        <w:rPr>
          <w:rFonts w:ascii="標楷體" w:eastAsia="標楷體" w:hAnsi="標楷體" w:hint="eastAsia"/>
          <w:color w:val="000000" w:themeColor="text1"/>
          <w:sz w:val="32"/>
          <w:szCs w:val="32"/>
        </w:rPr>
        <w:t>發展署</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副署長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陳秘順</w:t>
      </w:r>
    </w:p>
    <w:p w14:paraId="1A10A022"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產業發展署</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署長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FF0000"/>
          <w:sz w:val="32"/>
          <w:szCs w:val="32"/>
        </w:rPr>
        <w:t xml:space="preserve">　</w:t>
      </w:r>
      <w:r w:rsidRPr="00BC7E20">
        <w:rPr>
          <w:rFonts w:ascii="標楷體" w:eastAsia="標楷體" w:hAnsi="標楷體" w:hint="eastAsia"/>
          <w:color w:val="000000" w:themeColor="text1"/>
          <w:sz w:val="32"/>
          <w:szCs w:val="32"/>
        </w:rPr>
        <w:t>楊志清</w:t>
      </w:r>
    </w:p>
    <w:p w14:paraId="0ADC0B00"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lastRenderedPageBreak/>
        <w:t xml:space="preserve">　　　　　　</w:t>
      </w:r>
      <w:r w:rsidRPr="00BC7E20">
        <w:rPr>
          <w:rFonts w:ascii="標楷體" w:eastAsia="標楷體" w:hAnsi="標楷體" w:hint="eastAsia"/>
          <w:color w:val="000000" w:themeColor="text1"/>
          <w:sz w:val="32"/>
          <w:szCs w:val="32"/>
        </w:rPr>
        <w:t>能源署</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署</w:t>
      </w:r>
      <w:r w:rsidRPr="00BC7E20">
        <w:rPr>
          <w:rFonts w:ascii="標楷體" w:eastAsia="標楷體" w:hAnsi="標楷體"/>
          <w:color w:val="000000" w:themeColor="text1"/>
          <w:sz w:val="32"/>
          <w:szCs w:val="32"/>
        </w:rPr>
        <w:t xml:space="preserve">長　　　</w:t>
      </w:r>
      <w:r w:rsidRPr="00BC7E20">
        <w:rPr>
          <w:rFonts w:ascii="標楷體" w:eastAsia="標楷體" w:hAnsi="標楷體" w:hint="eastAsia"/>
          <w:color w:val="000000" w:themeColor="text1"/>
          <w:sz w:val="32"/>
          <w:szCs w:val="32"/>
        </w:rPr>
        <w:t xml:space="preserve">　游振偉</w:t>
      </w:r>
    </w:p>
    <w:p w14:paraId="369EBFE4"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中小</w:t>
      </w:r>
      <w:r w:rsidRPr="00BC7E20">
        <w:rPr>
          <w:rFonts w:ascii="標楷體" w:eastAsia="標楷體" w:hAnsi="標楷體" w:hint="eastAsia"/>
          <w:color w:val="000000" w:themeColor="text1"/>
          <w:sz w:val="32"/>
          <w:szCs w:val="32"/>
        </w:rPr>
        <w:t>及新創</w:t>
      </w:r>
      <w:r w:rsidRPr="00BC7E20">
        <w:rPr>
          <w:rFonts w:ascii="標楷體" w:eastAsia="標楷體" w:hAnsi="標楷體"/>
          <w:color w:val="000000" w:themeColor="text1"/>
          <w:sz w:val="32"/>
          <w:szCs w:val="32"/>
        </w:rPr>
        <w:t>企業</w:t>
      </w:r>
      <w:r w:rsidRPr="00BC7E20">
        <w:rPr>
          <w:rFonts w:ascii="標楷體" w:eastAsia="標楷體" w:hAnsi="標楷體" w:hint="eastAsia"/>
          <w:color w:val="000000" w:themeColor="text1"/>
          <w:sz w:val="32"/>
          <w:szCs w:val="32"/>
        </w:rPr>
        <w:t>署</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署長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李冠志</w:t>
      </w:r>
    </w:p>
    <w:p w14:paraId="03344CD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水利署　　　　　　　　　　署長　　　　</w:t>
      </w:r>
      <w:r w:rsidRPr="00BC7E20">
        <w:rPr>
          <w:rFonts w:ascii="標楷體" w:eastAsia="標楷體" w:hAnsi="標楷體" w:hint="eastAsia"/>
          <w:color w:val="000000" w:themeColor="text1"/>
          <w:sz w:val="32"/>
          <w:szCs w:val="32"/>
        </w:rPr>
        <w:t>賴建信</w:t>
      </w:r>
    </w:p>
    <w:p w14:paraId="0874CB18"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產業園區管理</w:t>
      </w:r>
      <w:r w:rsidRPr="00BC7E20">
        <w:rPr>
          <w:rFonts w:ascii="標楷體" w:eastAsia="標楷體" w:hAnsi="標楷體"/>
          <w:color w:val="000000" w:themeColor="text1"/>
          <w:sz w:val="32"/>
          <w:szCs w:val="32"/>
        </w:rPr>
        <w:t xml:space="preserve">局　　　　　　局長　　　　</w:t>
      </w:r>
      <w:r w:rsidRPr="00BC7E20">
        <w:rPr>
          <w:rFonts w:ascii="標楷體" w:eastAsia="標楷體" w:hAnsi="標楷體" w:hint="eastAsia"/>
          <w:color w:val="000000" w:themeColor="text1"/>
          <w:sz w:val="32"/>
          <w:szCs w:val="32"/>
        </w:rPr>
        <w:t>楊伯耕</w:t>
      </w:r>
    </w:p>
    <w:p w14:paraId="03A01C4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智慧財產局　　　　　　　　局長　　　　</w:t>
      </w:r>
      <w:r w:rsidRPr="00BC7E20">
        <w:rPr>
          <w:rFonts w:ascii="標楷體" w:eastAsia="標楷體" w:hAnsi="標楷體" w:hint="eastAsia"/>
          <w:color w:val="000000" w:themeColor="text1"/>
          <w:sz w:val="32"/>
          <w:szCs w:val="32"/>
        </w:rPr>
        <w:t>廖承威</w:t>
      </w:r>
    </w:p>
    <w:p w14:paraId="3069C858"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　　　　　　標準檢驗局　　　　　　　　局長　　　</w:t>
      </w:r>
      <w:r w:rsidRPr="00BC7E20">
        <w:rPr>
          <w:rFonts w:ascii="標楷體" w:eastAsia="標楷體" w:hAnsi="標楷體" w:hint="eastAsia"/>
          <w:color w:val="FF0000"/>
          <w:sz w:val="32"/>
          <w:szCs w:val="32"/>
        </w:rPr>
        <w:t xml:space="preserve">　</w:t>
      </w:r>
      <w:r w:rsidRPr="00BC7E20">
        <w:rPr>
          <w:rFonts w:ascii="標楷體" w:eastAsia="標楷體" w:hAnsi="標楷體" w:hint="eastAsia"/>
          <w:sz w:val="32"/>
          <w:szCs w:val="32"/>
        </w:rPr>
        <w:t>陳怡鈴</w:t>
      </w:r>
    </w:p>
    <w:p w14:paraId="6537AC84"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 xml:space="preserve">　　　　　地質調查及礦業管理中心　　</w:t>
      </w:r>
      <w:r w:rsidRPr="00BC7E20">
        <w:rPr>
          <w:rFonts w:ascii="標楷體" w:eastAsia="標楷體" w:hAnsi="標楷體"/>
          <w:color w:val="000000" w:themeColor="text1"/>
          <w:sz w:val="32"/>
          <w:szCs w:val="32"/>
        </w:rPr>
        <w:t>主任</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徐銘宏</w:t>
      </w:r>
    </w:p>
    <w:p w14:paraId="23E22104"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　　　　　　工商輔導中心　　　　　　　</w:t>
      </w:r>
      <w:r w:rsidRPr="00BC7E20">
        <w:rPr>
          <w:rFonts w:ascii="標楷體" w:eastAsia="標楷體" w:hAnsi="標楷體"/>
          <w:color w:val="000000" w:themeColor="text1"/>
          <w:sz w:val="32"/>
          <w:szCs w:val="32"/>
        </w:rPr>
        <w:t>主任</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雲瑞龍</w:t>
      </w:r>
    </w:p>
    <w:p w14:paraId="351960D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交通部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政務次長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陳彥伯</w:t>
      </w:r>
    </w:p>
    <w:p w14:paraId="29A59990"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　　　　　　　　　　　　　　　　　　　　(部長陳世凱請假)</w:t>
      </w:r>
    </w:p>
    <w:p w14:paraId="5100E14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會計處</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hint="eastAsia"/>
          <w:color w:val="000000" w:themeColor="text1"/>
          <w:sz w:val="32"/>
          <w:szCs w:val="32"/>
        </w:rPr>
        <w:t>處</w:t>
      </w:r>
      <w:r w:rsidRPr="00BC7E20">
        <w:rPr>
          <w:rFonts w:ascii="標楷體" w:eastAsia="標楷體" w:hAnsi="標楷體"/>
          <w:color w:val="000000" w:themeColor="text1"/>
          <w:sz w:val="32"/>
          <w:szCs w:val="32"/>
        </w:rPr>
        <w:t xml:space="preserve">長　　　</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張信一</w:t>
      </w:r>
    </w:p>
    <w:p w14:paraId="29CF7B4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中央氣象署</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hint="eastAsia"/>
          <w:color w:val="000000" w:themeColor="text1"/>
          <w:sz w:val="32"/>
          <w:szCs w:val="32"/>
        </w:rPr>
        <w:t>署</w:t>
      </w:r>
      <w:r w:rsidRPr="00BC7E20">
        <w:rPr>
          <w:rFonts w:ascii="標楷體" w:eastAsia="標楷體" w:hAnsi="標楷體"/>
          <w:color w:val="000000" w:themeColor="text1"/>
          <w:sz w:val="32"/>
          <w:szCs w:val="32"/>
        </w:rPr>
        <w:t xml:space="preserve">長　　　　</w:t>
      </w:r>
      <w:r w:rsidRPr="00BC7E20">
        <w:rPr>
          <w:rFonts w:ascii="標楷體" w:eastAsia="標楷體" w:hAnsi="標楷體" w:hint="eastAsia"/>
          <w:color w:val="000000" w:themeColor="text1"/>
          <w:sz w:val="32"/>
          <w:szCs w:val="32"/>
        </w:rPr>
        <w:t>程家平</w:t>
      </w:r>
    </w:p>
    <w:p w14:paraId="17B9DAEB"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觀光署</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hint="eastAsia"/>
          <w:color w:val="000000" w:themeColor="text1"/>
          <w:sz w:val="32"/>
          <w:szCs w:val="32"/>
        </w:rPr>
        <w:t>署</w:t>
      </w:r>
      <w:r w:rsidRPr="00BC7E20">
        <w:rPr>
          <w:rFonts w:ascii="標楷體" w:eastAsia="標楷體" w:hAnsi="標楷體"/>
          <w:color w:val="000000" w:themeColor="text1"/>
          <w:sz w:val="32"/>
          <w:szCs w:val="32"/>
        </w:rPr>
        <w:t xml:space="preserve">長　　　　</w:t>
      </w:r>
      <w:r w:rsidRPr="00BC7E20">
        <w:rPr>
          <w:rFonts w:ascii="標楷體" w:eastAsia="標楷體" w:hAnsi="標楷體" w:hint="eastAsia"/>
          <w:color w:val="000000" w:themeColor="text1"/>
          <w:sz w:val="32"/>
          <w:szCs w:val="32"/>
        </w:rPr>
        <w:t>周永暉</w:t>
      </w:r>
    </w:p>
    <w:p w14:paraId="501027B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運輸研究所</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hint="eastAsia"/>
          <w:color w:val="000000" w:themeColor="text1"/>
          <w:sz w:val="32"/>
          <w:szCs w:val="32"/>
        </w:rPr>
        <w:t>副</w:t>
      </w:r>
      <w:r w:rsidRPr="00BC7E20">
        <w:rPr>
          <w:rFonts w:ascii="標楷體" w:eastAsia="標楷體" w:hAnsi="標楷體"/>
          <w:color w:val="000000" w:themeColor="text1"/>
          <w:sz w:val="32"/>
          <w:szCs w:val="32"/>
        </w:rPr>
        <w:t xml:space="preserve">所長　　　</w:t>
      </w:r>
      <w:r w:rsidRPr="00BC7E20">
        <w:rPr>
          <w:rFonts w:ascii="標楷體" w:eastAsia="標楷體" w:hAnsi="標楷體" w:hint="eastAsia"/>
          <w:color w:val="000000" w:themeColor="text1"/>
          <w:sz w:val="32"/>
          <w:szCs w:val="32"/>
        </w:rPr>
        <w:t>王穆衡</w:t>
      </w:r>
    </w:p>
    <w:p w14:paraId="16D04FC1"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公路局</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hint="eastAsia"/>
          <w:color w:val="000000" w:themeColor="text1"/>
          <w:sz w:val="32"/>
          <w:szCs w:val="32"/>
        </w:rPr>
        <w:t>局</w:t>
      </w:r>
      <w:r w:rsidRPr="00BC7E20">
        <w:rPr>
          <w:rFonts w:ascii="標楷體" w:eastAsia="標楷體" w:hAnsi="標楷體"/>
          <w:color w:val="000000" w:themeColor="text1"/>
          <w:sz w:val="32"/>
          <w:szCs w:val="32"/>
        </w:rPr>
        <w:t xml:space="preserve">長　　　　</w:t>
      </w:r>
      <w:r w:rsidRPr="00BC7E20">
        <w:rPr>
          <w:rFonts w:ascii="標楷體" w:eastAsia="標楷體" w:hAnsi="標楷體" w:hint="eastAsia"/>
          <w:color w:val="000000" w:themeColor="text1"/>
          <w:sz w:val="32"/>
          <w:szCs w:val="32"/>
        </w:rPr>
        <w:t>陳文瑞</w:t>
      </w:r>
    </w:p>
    <w:p w14:paraId="5090626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鐵道局</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hint="eastAsia"/>
          <w:color w:val="000000" w:themeColor="text1"/>
          <w:sz w:val="32"/>
          <w:szCs w:val="32"/>
        </w:rPr>
        <w:t>副</w:t>
      </w:r>
      <w:r w:rsidRPr="00BC7E20">
        <w:rPr>
          <w:rFonts w:ascii="標楷體" w:eastAsia="標楷體" w:hAnsi="標楷體"/>
          <w:color w:val="000000" w:themeColor="text1"/>
          <w:sz w:val="32"/>
          <w:szCs w:val="32"/>
        </w:rPr>
        <w:t xml:space="preserve">局長　　　</w:t>
      </w:r>
      <w:r w:rsidRPr="00BC7E20">
        <w:rPr>
          <w:rFonts w:ascii="標楷體" w:eastAsia="標楷體" w:hAnsi="標楷體" w:hint="eastAsia"/>
          <w:color w:val="000000" w:themeColor="text1"/>
          <w:sz w:val="32"/>
          <w:szCs w:val="32"/>
        </w:rPr>
        <w:t>呂新喜</w:t>
      </w:r>
    </w:p>
    <w:p w14:paraId="4E1BC13D"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航港局</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局長　　　　</w:t>
      </w:r>
      <w:r w:rsidRPr="00BC7E20">
        <w:rPr>
          <w:rFonts w:ascii="標楷體" w:eastAsia="標楷體" w:hAnsi="標楷體" w:hint="eastAsia"/>
          <w:color w:val="000000" w:themeColor="text1"/>
          <w:sz w:val="32"/>
          <w:szCs w:val="32"/>
        </w:rPr>
        <w:t>葉協隆</w:t>
      </w:r>
    </w:p>
    <w:p w14:paraId="19D1275D"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高速公路局</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hint="eastAsia"/>
          <w:color w:val="000000" w:themeColor="text1"/>
          <w:sz w:val="32"/>
          <w:szCs w:val="32"/>
        </w:rPr>
        <w:t>副</w:t>
      </w:r>
      <w:r w:rsidRPr="00BC7E20">
        <w:rPr>
          <w:rFonts w:ascii="標楷體" w:eastAsia="標楷體" w:hAnsi="標楷體"/>
          <w:color w:val="000000" w:themeColor="text1"/>
          <w:sz w:val="32"/>
          <w:szCs w:val="32"/>
        </w:rPr>
        <w:t xml:space="preserve">局長　　　</w:t>
      </w:r>
      <w:r w:rsidRPr="00BC7E20">
        <w:rPr>
          <w:rFonts w:ascii="標楷體" w:eastAsia="標楷體" w:hAnsi="標楷體" w:hint="eastAsia"/>
          <w:color w:val="000000" w:themeColor="text1"/>
          <w:sz w:val="32"/>
          <w:szCs w:val="32"/>
        </w:rPr>
        <w:t>陳宏仁</w:t>
      </w:r>
    </w:p>
    <w:p w14:paraId="07DFEB5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國營臺灣鐵路股份有限公司</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副總經理</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賴興隆</w:t>
      </w:r>
    </w:p>
    <w:p w14:paraId="3453FFD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color w:val="000000" w:themeColor="text1"/>
          <w:sz w:val="32"/>
          <w:szCs w:val="32"/>
        </w:rPr>
      </w:pP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臺灣港務股份有限公司</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 xml:space="preserve">　　副總經理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王派峰</w:t>
      </w:r>
    </w:p>
    <w:p w14:paraId="158A740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sz w:val="32"/>
          <w:szCs w:val="32"/>
        </w:rPr>
        <w:t xml:space="preserve">　　　　　</w:t>
      </w:r>
      <w:r w:rsidRPr="00BC7E20">
        <w:rPr>
          <w:rFonts w:ascii="標楷體" w:eastAsia="標楷體" w:hAnsi="標楷體" w:hint="eastAsia"/>
          <w:b/>
          <w:sz w:val="32"/>
          <w:szCs w:val="32"/>
        </w:rPr>
        <w:t>勞動</w:t>
      </w:r>
      <w:r w:rsidRPr="00BC7E20">
        <w:rPr>
          <w:rFonts w:ascii="標楷體" w:eastAsia="標楷體" w:hAnsi="標楷體"/>
          <w:b/>
          <w:sz w:val="32"/>
          <w:szCs w:val="32"/>
        </w:rPr>
        <w:t xml:space="preserve">部　　　　　　　</w:t>
      </w:r>
      <w:r w:rsidRPr="00BC7E20">
        <w:rPr>
          <w:rFonts w:ascii="標楷體" w:eastAsia="標楷體" w:hAnsi="標楷體"/>
          <w:sz w:val="32"/>
          <w:szCs w:val="32"/>
        </w:rPr>
        <w:t xml:space="preserve">　　</w:t>
      </w:r>
      <w:r w:rsidRPr="00BC7E20">
        <w:rPr>
          <w:rFonts w:ascii="標楷體" w:eastAsia="標楷體" w:hAnsi="標楷體" w:hint="eastAsia"/>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部</w:t>
      </w:r>
      <w:r w:rsidRPr="00BC7E20">
        <w:rPr>
          <w:rFonts w:ascii="標楷體" w:eastAsia="標楷體" w:hAnsi="標楷體"/>
          <w:sz w:val="32"/>
          <w:szCs w:val="32"/>
        </w:rPr>
        <w:t>長</w:t>
      </w:r>
      <w:r w:rsidRPr="00BC7E20">
        <w:rPr>
          <w:rFonts w:ascii="標楷體" w:eastAsia="標楷體" w:hAnsi="標楷體" w:hint="eastAsia"/>
          <w:color w:val="000000" w:themeColor="text1"/>
          <w:sz w:val="32"/>
          <w:szCs w:val="32"/>
        </w:rPr>
        <w:t xml:space="preserve">　　</w:t>
      </w:r>
      <w:r w:rsidRPr="00BC7E20">
        <w:rPr>
          <w:rFonts w:ascii="標楷體" w:eastAsia="標楷體" w:hAnsi="標楷體"/>
          <w:sz w:val="32"/>
          <w:szCs w:val="32"/>
        </w:rPr>
        <w:t xml:space="preserve">　　</w:t>
      </w:r>
      <w:r w:rsidRPr="00BC7E20">
        <w:rPr>
          <w:rFonts w:ascii="標楷體" w:eastAsia="標楷體" w:hAnsi="標楷體" w:hint="eastAsia"/>
          <w:sz w:val="32"/>
          <w:szCs w:val="32"/>
        </w:rPr>
        <w:t>洪申瀚</w:t>
      </w:r>
    </w:p>
    <w:p w14:paraId="7B932994"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sz w:val="32"/>
          <w:szCs w:val="32"/>
        </w:rPr>
        <w:t xml:space="preserve">　　　　　　會計</w:t>
      </w:r>
      <w:r w:rsidRPr="00BC7E20">
        <w:rPr>
          <w:rFonts w:ascii="標楷體" w:eastAsia="標楷體" w:hAnsi="標楷體" w:hint="eastAsia"/>
          <w:sz w:val="32"/>
          <w:szCs w:val="32"/>
        </w:rPr>
        <w:t>處</w:t>
      </w:r>
      <w:r w:rsidRPr="00BC7E20">
        <w:rPr>
          <w:rFonts w:ascii="標楷體" w:eastAsia="標楷體" w:hAnsi="標楷體"/>
          <w:sz w:val="32"/>
          <w:szCs w:val="32"/>
        </w:rPr>
        <w:t xml:space="preserve">　　　　　　　　　　</w:t>
      </w:r>
      <w:r w:rsidRPr="00BC7E20">
        <w:rPr>
          <w:rFonts w:ascii="標楷體" w:eastAsia="標楷體" w:hAnsi="標楷體" w:hint="eastAsia"/>
          <w:sz w:val="32"/>
          <w:szCs w:val="32"/>
        </w:rPr>
        <w:t>處長</w:t>
      </w:r>
      <w:r w:rsidRPr="00BC7E20">
        <w:rPr>
          <w:rFonts w:ascii="標楷體" w:eastAsia="標楷體" w:hAnsi="標楷體"/>
          <w:sz w:val="32"/>
          <w:szCs w:val="32"/>
        </w:rPr>
        <w:t xml:space="preserve">　　　　</w:t>
      </w:r>
      <w:r w:rsidRPr="00BC7E20">
        <w:rPr>
          <w:rFonts w:ascii="標楷體" w:eastAsia="標楷體" w:hAnsi="標楷體" w:hint="eastAsia"/>
          <w:sz w:val="32"/>
          <w:szCs w:val="32"/>
        </w:rPr>
        <w:t>林美杏</w:t>
      </w:r>
    </w:p>
    <w:p w14:paraId="57AF1391"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sz w:val="32"/>
          <w:szCs w:val="32"/>
        </w:rPr>
        <w:t xml:space="preserve">　　　　　</w:t>
      </w:r>
      <w:r w:rsidRPr="00BC7E20">
        <w:rPr>
          <w:rFonts w:ascii="標楷體" w:eastAsia="標楷體" w:hAnsi="標楷體"/>
          <w:b/>
          <w:sz w:val="32"/>
          <w:szCs w:val="32"/>
        </w:rPr>
        <w:t>農業</w:t>
      </w:r>
      <w:r w:rsidRPr="00BC7E20">
        <w:rPr>
          <w:rFonts w:ascii="標楷體" w:eastAsia="標楷體" w:hAnsi="標楷體" w:hint="eastAsia"/>
          <w:b/>
          <w:sz w:val="32"/>
          <w:szCs w:val="32"/>
        </w:rPr>
        <w:t>部</w:t>
      </w:r>
      <w:r w:rsidRPr="00BC7E20">
        <w:rPr>
          <w:rFonts w:ascii="標楷體" w:eastAsia="標楷體" w:hAnsi="標楷體"/>
          <w:sz w:val="32"/>
          <w:szCs w:val="32"/>
        </w:rPr>
        <w:t xml:space="preserve">　　　　　　</w:t>
      </w:r>
      <w:r w:rsidRPr="00BC7E20">
        <w:rPr>
          <w:rFonts w:ascii="標楷體" w:eastAsia="標楷體" w:hAnsi="標楷體" w:hint="eastAsia"/>
          <w:sz w:val="32"/>
          <w:szCs w:val="32"/>
        </w:rPr>
        <w:t xml:space="preserve">　　　　　部長</w:t>
      </w:r>
      <w:r w:rsidRPr="00BC7E20">
        <w:rPr>
          <w:rFonts w:ascii="標楷體" w:eastAsia="標楷體" w:hAnsi="標楷體"/>
          <w:color w:val="000000" w:themeColor="text1"/>
          <w:sz w:val="32"/>
          <w:szCs w:val="32"/>
        </w:rPr>
        <w:t xml:space="preserve">　　</w:t>
      </w:r>
      <w:r w:rsidRPr="00BC7E20">
        <w:rPr>
          <w:rFonts w:ascii="標楷體" w:eastAsia="標楷體" w:hAnsi="標楷體" w:hint="eastAsia"/>
          <w:sz w:val="32"/>
          <w:szCs w:val="32"/>
        </w:rPr>
        <w:t xml:space="preserve">　　陳駿季</w:t>
      </w:r>
    </w:p>
    <w:p w14:paraId="728E84CE"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sz w:val="32"/>
          <w:szCs w:val="32"/>
        </w:rPr>
        <w:t xml:space="preserve">　</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hint="eastAsia"/>
          <w:color w:val="000000" w:themeColor="text1"/>
          <w:sz w:val="32"/>
          <w:szCs w:val="32"/>
        </w:rPr>
        <w:t>會計</w:t>
      </w:r>
      <w:r w:rsidRPr="00BC7E20">
        <w:rPr>
          <w:rFonts w:ascii="標楷體" w:eastAsia="標楷體" w:hAnsi="標楷體"/>
          <w:sz w:val="32"/>
          <w:szCs w:val="32"/>
        </w:rPr>
        <w:t xml:space="preserve">處　　　　　　　　　　處長　　　　</w:t>
      </w:r>
      <w:r w:rsidRPr="00BC7E20">
        <w:rPr>
          <w:rFonts w:ascii="標楷體" w:eastAsia="標楷體" w:hAnsi="標楷體" w:hint="eastAsia"/>
          <w:sz w:val="32"/>
          <w:szCs w:val="32"/>
        </w:rPr>
        <w:t>蘇文樹</w:t>
      </w:r>
    </w:p>
    <w:p w14:paraId="6089B89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漁業署　　　　　　　　　　</w:t>
      </w:r>
      <w:r w:rsidRPr="00BC7E20">
        <w:rPr>
          <w:rFonts w:ascii="標楷體" w:eastAsia="標楷體" w:hAnsi="標楷體"/>
          <w:sz w:val="32"/>
          <w:szCs w:val="32"/>
        </w:rPr>
        <w:t>署長</w:t>
      </w: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sz w:val="32"/>
          <w:szCs w:val="32"/>
        </w:rPr>
        <w:t xml:space="preserve">　　</w:t>
      </w:r>
      <w:r w:rsidRPr="00BC7E20">
        <w:rPr>
          <w:rFonts w:ascii="標楷體" w:eastAsia="標楷體" w:hAnsi="標楷體"/>
          <w:sz w:val="32"/>
          <w:szCs w:val="32"/>
        </w:rPr>
        <w:t>王</w:t>
      </w:r>
      <w:r w:rsidRPr="00BC7E20">
        <w:rPr>
          <w:rFonts w:ascii="標楷體" w:eastAsia="標楷體" w:hAnsi="標楷體" w:hint="eastAsia"/>
          <w:sz w:val="32"/>
          <w:szCs w:val="32"/>
        </w:rPr>
        <w:t>茂城</w:t>
      </w:r>
    </w:p>
    <w:p w14:paraId="1E7B461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動植物防疫檢疫署　　　　　</w:t>
      </w:r>
      <w:r w:rsidRPr="00BC7E20">
        <w:rPr>
          <w:rFonts w:ascii="標楷體" w:eastAsia="標楷體" w:hAnsi="標楷體"/>
          <w:sz w:val="32"/>
          <w:szCs w:val="32"/>
        </w:rPr>
        <w:t>署長</w:t>
      </w:r>
      <w:r w:rsidRPr="00BC7E20">
        <w:rPr>
          <w:rFonts w:ascii="標楷體" w:eastAsia="標楷體" w:hAnsi="標楷體" w:hint="eastAsia"/>
          <w:sz w:val="32"/>
          <w:szCs w:val="32"/>
        </w:rPr>
        <w:t xml:space="preserve">　　　</w:t>
      </w:r>
      <w:r w:rsidRPr="00BC7E20">
        <w:rPr>
          <w:rFonts w:ascii="標楷體" w:eastAsia="標楷體" w:hAnsi="標楷體" w:hint="eastAsia"/>
          <w:color w:val="000000" w:themeColor="text1"/>
          <w:sz w:val="32"/>
          <w:szCs w:val="32"/>
        </w:rPr>
        <w:t xml:space="preserve">　</w:t>
      </w:r>
      <w:r w:rsidRPr="00BC7E20">
        <w:rPr>
          <w:rFonts w:ascii="標楷體" w:eastAsia="標楷體" w:hAnsi="標楷體"/>
          <w:sz w:val="32"/>
          <w:szCs w:val="32"/>
        </w:rPr>
        <w:t>邱垂章</w:t>
      </w:r>
    </w:p>
    <w:p w14:paraId="7A3D5E0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農田水利署</w:t>
      </w: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sz w:val="32"/>
          <w:szCs w:val="32"/>
        </w:rPr>
        <w:t xml:space="preserve">　　　　　</w:t>
      </w:r>
      <w:r w:rsidRPr="00BC7E20">
        <w:rPr>
          <w:rFonts w:ascii="標楷體" w:eastAsia="標楷體" w:hAnsi="標楷體" w:hint="eastAsia"/>
          <w:color w:val="000000" w:themeColor="text1"/>
          <w:sz w:val="32"/>
          <w:szCs w:val="32"/>
        </w:rPr>
        <w:t xml:space="preserve">　　</w:t>
      </w:r>
      <w:r w:rsidRPr="00BC7E20">
        <w:rPr>
          <w:rFonts w:ascii="標楷體" w:eastAsia="標楷體" w:hAnsi="標楷體"/>
          <w:sz w:val="32"/>
          <w:szCs w:val="32"/>
        </w:rPr>
        <w:t>署長</w:t>
      </w:r>
      <w:r w:rsidRPr="00BC7E20">
        <w:rPr>
          <w:rFonts w:ascii="標楷體" w:eastAsia="標楷體" w:hAnsi="標楷體" w:hint="eastAsia"/>
          <w:sz w:val="32"/>
          <w:szCs w:val="32"/>
        </w:rPr>
        <w:t xml:space="preserve">　　　</w:t>
      </w:r>
      <w:r w:rsidRPr="00BC7E20">
        <w:rPr>
          <w:rFonts w:ascii="標楷體" w:eastAsia="標楷體" w:hAnsi="標楷體" w:hint="eastAsia"/>
          <w:color w:val="000000" w:themeColor="text1"/>
          <w:sz w:val="32"/>
          <w:szCs w:val="32"/>
        </w:rPr>
        <w:t xml:space="preserve">　蔡昇甫</w:t>
      </w:r>
    </w:p>
    <w:p w14:paraId="1F4E6701"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農村發展及水土保持署　　　</w:t>
      </w:r>
      <w:r w:rsidRPr="00BC7E20">
        <w:rPr>
          <w:rFonts w:ascii="標楷體" w:eastAsia="標楷體" w:hAnsi="標楷體"/>
          <w:sz w:val="32"/>
          <w:szCs w:val="32"/>
        </w:rPr>
        <w:t>副署長</w:t>
      </w:r>
      <w:r w:rsidRPr="00BC7E20">
        <w:rPr>
          <w:rFonts w:ascii="標楷體" w:eastAsia="標楷體" w:hAnsi="標楷體" w:hint="eastAsia"/>
          <w:sz w:val="32"/>
          <w:szCs w:val="32"/>
        </w:rPr>
        <w:t xml:space="preserve">　　　</w:t>
      </w:r>
      <w:r w:rsidRPr="00BC7E20">
        <w:rPr>
          <w:rFonts w:ascii="標楷體" w:eastAsia="標楷體" w:hAnsi="標楷體"/>
          <w:sz w:val="32"/>
          <w:szCs w:val="32"/>
        </w:rPr>
        <w:t>王晉倫</w:t>
      </w:r>
    </w:p>
    <w:p w14:paraId="1DD24717"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農糧署　　　　　　　　　　</w:t>
      </w:r>
      <w:r w:rsidRPr="00BC7E20">
        <w:rPr>
          <w:rFonts w:ascii="標楷體" w:eastAsia="標楷體" w:hAnsi="標楷體"/>
          <w:sz w:val="32"/>
          <w:szCs w:val="32"/>
        </w:rPr>
        <w:t>副署長</w:t>
      </w:r>
      <w:r w:rsidRPr="00BC7E20">
        <w:rPr>
          <w:rFonts w:ascii="標楷體" w:eastAsia="標楷體" w:hAnsi="標楷體" w:hint="eastAsia"/>
          <w:sz w:val="32"/>
          <w:szCs w:val="32"/>
        </w:rPr>
        <w:t xml:space="preserve">　　　曾淑汾</w:t>
      </w:r>
    </w:p>
    <w:p w14:paraId="26FDF9E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sz w:val="32"/>
          <w:szCs w:val="32"/>
        </w:rPr>
        <w:t xml:space="preserve">　　　　　</w:t>
      </w:r>
      <w:r w:rsidRPr="00BC7E20">
        <w:rPr>
          <w:rFonts w:ascii="標楷體" w:eastAsia="標楷體" w:hAnsi="標楷體" w:hint="eastAsia"/>
          <w:b/>
          <w:sz w:val="32"/>
          <w:szCs w:val="32"/>
        </w:rPr>
        <w:t xml:space="preserve">衛生福利部　　　　　　　</w:t>
      </w:r>
      <w:r w:rsidRPr="00BC7E20">
        <w:rPr>
          <w:rFonts w:ascii="標楷體" w:eastAsia="標楷體" w:hAnsi="標楷體" w:hint="eastAsia"/>
          <w:sz w:val="32"/>
          <w:szCs w:val="32"/>
        </w:rPr>
        <w:t xml:space="preserve">　　政務次長　　林靜儀</w:t>
      </w:r>
    </w:p>
    <w:p w14:paraId="7868BD6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lastRenderedPageBreak/>
        <w:t xml:space="preserve">　　</w:t>
      </w:r>
      <w:r w:rsidRPr="00BC7E20">
        <w:rPr>
          <w:rFonts w:ascii="標楷體" w:eastAsia="標楷體" w:hAnsi="標楷體" w:hint="eastAsia"/>
          <w:color w:val="000000" w:themeColor="text1"/>
          <w:sz w:val="32"/>
          <w:szCs w:val="32"/>
        </w:rPr>
        <w:t xml:space="preserve">　　　　　　　　　　　(部長</w:t>
      </w:r>
      <w:r w:rsidRPr="00BC7E20">
        <w:rPr>
          <w:rFonts w:ascii="標楷體" w:eastAsia="標楷體" w:hAnsi="標楷體"/>
          <w:sz w:val="32"/>
          <w:szCs w:val="32"/>
        </w:rPr>
        <w:t>邱泰源</w:t>
      </w:r>
      <w:r w:rsidRPr="00BC7E20">
        <w:rPr>
          <w:rFonts w:ascii="標楷體" w:eastAsia="標楷體" w:hAnsi="標楷體" w:hint="eastAsia"/>
          <w:sz w:val="32"/>
          <w:szCs w:val="32"/>
        </w:rPr>
        <w:t>請假；10：30前列席)</w:t>
      </w:r>
    </w:p>
    <w:p w14:paraId="6536F1E1"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w:t>
      </w:r>
      <w:r w:rsidRPr="00BC7E20">
        <w:rPr>
          <w:rFonts w:ascii="標楷體" w:eastAsia="標楷體" w:hAnsi="標楷體"/>
          <w:sz w:val="32"/>
          <w:szCs w:val="32"/>
        </w:rPr>
        <w:t>常務次長</w:t>
      </w:r>
      <w:r w:rsidRPr="00BC7E20">
        <w:rPr>
          <w:rFonts w:ascii="標楷體" w:eastAsia="標楷體" w:hAnsi="標楷體" w:hint="eastAsia"/>
          <w:sz w:val="32"/>
          <w:szCs w:val="32"/>
        </w:rPr>
        <w:t xml:space="preserve">　　</w:t>
      </w:r>
      <w:r w:rsidRPr="00BC7E20">
        <w:rPr>
          <w:rFonts w:ascii="標楷體" w:eastAsia="標楷體" w:hAnsi="標楷體"/>
          <w:sz w:val="32"/>
          <w:szCs w:val="32"/>
        </w:rPr>
        <w:t>周志浩</w:t>
      </w:r>
    </w:p>
    <w:p w14:paraId="07EA4073"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w:t>
      </w:r>
      <w:r w:rsidRPr="00BC7E20">
        <w:rPr>
          <w:rFonts w:ascii="標楷體" w:eastAsia="標楷體" w:hAnsi="標楷體"/>
          <w:sz w:val="32"/>
          <w:szCs w:val="32"/>
        </w:rPr>
        <w:t>1</w:t>
      </w:r>
      <w:r w:rsidRPr="00BC7E20">
        <w:rPr>
          <w:rFonts w:ascii="標楷體" w:eastAsia="標楷體" w:hAnsi="標楷體" w:hint="eastAsia"/>
          <w:sz w:val="32"/>
          <w:szCs w:val="32"/>
        </w:rPr>
        <w:t>0：30後</w:t>
      </w:r>
      <w:r w:rsidRPr="00BC7E20">
        <w:rPr>
          <w:rFonts w:ascii="標楷體" w:eastAsia="標楷體" w:hAnsi="標楷體"/>
          <w:sz w:val="32"/>
          <w:szCs w:val="32"/>
        </w:rPr>
        <w:t>列席</w:t>
      </w:r>
      <w:r w:rsidRPr="00BC7E20">
        <w:rPr>
          <w:rFonts w:ascii="標楷體" w:eastAsia="標楷體" w:hAnsi="標楷體" w:hint="eastAsia"/>
          <w:sz w:val="32"/>
          <w:szCs w:val="32"/>
        </w:rPr>
        <w:t>)</w:t>
      </w:r>
    </w:p>
    <w:p w14:paraId="40B72AF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會計處　　　　　　　　　　副</w:t>
      </w:r>
      <w:r w:rsidRPr="00BC7E20">
        <w:rPr>
          <w:rFonts w:ascii="標楷體" w:eastAsia="標楷體" w:hAnsi="標楷體"/>
          <w:sz w:val="32"/>
          <w:szCs w:val="32"/>
        </w:rPr>
        <w:t>處長</w:t>
      </w:r>
      <w:r w:rsidRPr="00BC7E20">
        <w:rPr>
          <w:rFonts w:ascii="標楷體" w:eastAsia="標楷體" w:hAnsi="標楷體" w:hint="eastAsia"/>
          <w:sz w:val="32"/>
          <w:szCs w:val="32"/>
        </w:rPr>
        <w:t xml:space="preserve">　　　</w:t>
      </w:r>
      <w:r w:rsidRPr="00BC7E20">
        <w:rPr>
          <w:rFonts w:ascii="標楷體" w:eastAsia="標楷體" w:hAnsi="標楷體"/>
          <w:sz w:val="32"/>
          <w:szCs w:val="32"/>
        </w:rPr>
        <w:t>張</w:t>
      </w:r>
      <w:r w:rsidRPr="00BC7E20">
        <w:rPr>
          <w:rFonts w:ascii="標楷體" w:eastAsia="標楷體" w:hAnsi="標楷體" w:hint="eastAsia"/>
          <w:sz w:val="32"/>
          <w:szCs w:val="32"/>
        </w:rPr>
        <w:t>鳳圓</w:t>
      </w:r>
    </w:p>
    <w:p w14:paraId="4DF8C9A8"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食品藥物管理署　　　　　　副</w:t>
      </w:r>
      <w:r w:rsidRPr="00BC7E20">
        <w:rPr>
          <w:rFonts w:ascii="標楷體" w:eastAsia="標楷體" w:hAnsi="標楷體"/>
          <w:sz w:val="32"/>
          <w:szCs w:val="32"/>
        </w:rPr>
        <w:t>署長</w:t>
      </w:r>
      <w:r w:rsidRPr="00BC7E20">
        <w:rPr>
          <w:rFonts w:ascii="標楷體" w:eastAsia="標楷體" w:hAnsi="標楷體" w:hint="eastAsia"/>
          <w:sz w:val="32"/>
          <w:szCs w:val="32"/>
        </w:rPr>
        <w:t xml:space="preserve">　　　</w:t>
      </w:r>
      <w:r w:rsidRPr="00BC7E20">
        <w:rPr>
          <w:rFonts w:ascii="標楷體" w:eastAsia="標楷體" w:hAnsi="標楷體"/>
          <w:sz w:val="32"/>
          <w:szCs w:val="32"/>
        </w:rPr>
        <w:t>林金富</w:t>
      </w:r>
    </w:p>
    <w:p w14:paraId="5C5D1024"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國民健康署　　　　　　　　</w:t>
      </w:r>
      <w:r w:rsidRPr="00BC7E20">
        <w:rPr>
          <w:rFonts w:ascii="標楷體" w:eastAsia="標楷體" w:hAnsi="標楷體"/>
          <w:sz w:val="32"/>
          <w:szCs w:val="32"/>
        </w:rPr>
        <w:t>副署長</w:t>
      </w:r>
      <w:r w:rsidRPr="00BC7E20">
        <w:rPr>
          <w:rFonts w:ascii="標楷體" w:eastAsia="標楷體" w:hAnsi="標楷體" w:hint="eastAsia"/>
          <w:sz w:val="32"/>
          <w:szCs w:val="32"/>
        </w:rPr>
        <w:t xml:space="preserve">　　　</w:t>
      </w:r>
      <w:r w:rsidRPr="00BC7E20">
        <w:rPr>
          <w:rFonts w:ascii="標楷體" w:eastAsia="標楷體" w:hAnsi="標楷體"/>
          <w:sz w:val="32"/>
          <w:szCs w:val="32"/>
        </w:rPr>
        <w:t>賈淑麗</w:t>
      </w:r>
    </w:p>
    <w:p w14:paraId="7941144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社會及家庭署　　　　　　　</w:t>
      </w:r>
      <w:r w:rsidRPr="00BC7E20">
        <w:rPr>
          <w:rFonts w:ascii="標楷體" w:eastAsia="標楷體" w:hAnsi="標楷體"/>
          <w:sz w:val="32"/>
          <w:szCs w:val="32"/>
        </w:rPr>
        <w:t>主任秘書</w:t>
      </w:r>
      <w:r w:rsidRPr="00BC7E20">
        <w:rPr>
          <w:rFonts w:ascii="標楷體" w:eastAsia="標楷體" w:hAnsi="標楷體" w:hint="eastAsia"/>
          <w:sz w:val="32"/>
          <w:szCs w:val="32"/>
        </w:rPr>
        <w:t xml:space="preserve">　　</w:t>
      </w:r>
      <w:r w:rsidRPr="00BC7E20">
        <w:rPr>
          <w:rFonts w:ascii="標楷體" w:eastAsia="標楷體" w:hAnsi="標楷體"/>
          <w:sz w:val="32"/>
          <w:szCs w:val="32"/>
        </w:rPr>
        <w:t>田基武</w:t>
      </w:r>
    </w:p>
    <w:p w14:paraId="50B515BB"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w:t>
      </w:r>
      <w:r w:rsidRPr="00BC7E20">
        <w:rPr>
          <w:rFonts w:ascii="標楷體" w:eastAsia="標楷體" w:hAnsi="標楷體" w:hint="eastAsia"/>
          <w:b/>
          <w:sz w:val="32"/>
          <w:szCs w:val="32"/>
        </w:rPr>
        <w:t>環境部</w:t>
      </w:r>
      <w:r w:rsidRPr="00BC7E20">
        <w:rPr>
          <w:rFonts w:ascii="標楷體" w:eastAsia="標楷體" w:hAnsi="標楷體" w:hint="eastAsia"/>
          <w:sz w:val="32"/>
          <w:szCs w:val="32"/>
        </w:rPr>
        <w:t xml:space="preserve">　　　　　　　　　　　</w:t>
      </w:r>
      <w:r w:rsidRPr="00BC7E20">
        <w:rPr>
          <w:rFonts w:ascii="標楷體" w:eastAsia="標楷體" w:hAnsi="標楷體"/>
          <w:sz w:val="32"/>
          <w:szCs w:val="32"/>
        </w:rPr>
        <w:t>部長</w:t>
      </w:r>
      <w:r w:rsidRPr="00BC7E20">
        <w:rPr>
          <w:rFonts w:ascii="標楷體" w:eastAsia="標楷體" w:hAnsi="標楷體" w:hint="eastAsia"/>
          <w:sz w:val="32"/>
          <w:szCs w:val="32"/>
        </w:rPr>
        <w:t xml:space="preserve">　　　　</w:t>
      </w:r>
      <w:r w:rsidRPr="00BC7E20">
        <w:rPr>
          <w:rFonts w:ascii="標楷體" w:eastAsia="標楷體" w:hAnsi="標楷體"/>
          <w:sz w:val="32"/>
          <w:szCs w:val="32"/>
        </w:rPr>
        <w:t>彭</w:t>
      </w:r>
      <w:r w:rsidRPr="00BC7E20">
        <w:rPr>
          <w:rFonts w:ascii="標楷體" w:eastAsia="標楷體" w:hAnsi="標楷體" w:hint="eastAsia"/>
          <w:sz w:val="32"/>
          <w:szCs w:val="32"/>
        </w:rPr>
        <w:t>啓</w:t>
      </w:r>
      <w:r w:rsidRPr="00BC7E20">
        <w:rPr>
          <w:rFonts w:ascii="標楷體" w:eastAsia="標楷體" w:hAnsi="標楷體"/>
          <w:sz w:val="32"/>
          <w:szCs w:val="32"/>
        </w:rPr>
        <w:t>明</w:t>
      </w:r>
    </w:p>
    <w:p w14:paraId="4E0F8AAA"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會計處　　　　　　　　　　</w:t>
      </w:r>
      <w:r w:rsidRPr="00BC7E20">
        <w:rPr>
          <w:rFonts w:ascii="標楷體" w:eastAsia="標楷體" w:hAnsi="標楷體"/>
          <w:sz w:val="32"/>
          <w:szCs w:val="32"/>
        </w:rPr>
        <w:t>處長</w:t>
      </w:r>
      <w:r w:rsidRPr="00BC7E20">
        <w:rPr>
          <w:rFonts w:ascii="標楷體" w:eastAsia="標楷體" w:hAnsi="標楷體" w:hint="eastAsia"/>
          <w:sz w:val="32"/>
          <w:szCs w:val="32"/>
        </w:rPr>
        <w:t xml:space="preserve">　　　　</w:t>
      </w:r>
      <w:r w:rsidRPr="00BC7E20">
        <w:rPr>
          <w:rFonts w:ascii="標楷體" w:eastAsia="標楷體" w:hAnsi="標楷體"/>
          <w:sz w:val="32"/>
          <w:szCs w:val="32"/>
        </w:rPr>
        <w:t>陳勁欣</w:t>
      </w:r>
    </w:p>
    <w:p w14:paraId="45476C88"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氣候變遷署　　　　　　　　</w:t>
      </w:r>
      <w:r w:rsidRPr="00BC7E20">
        <w:rPr>
          <w:rFonts w:ascii="標楷體" w:eastAsia="標楷體" w:hAnsi="標楷體"/>
          <w:sz w:val="32"/>
          <w:szCs w:val="32"/>
        </w:rPr>
        <w:t>署長</w:t>
      </w:r>
      <w:r w:rsidRPr="00BC7E20">
        <w:rPr>
          <w:rFonts w:ascii="標楷體" w:eastAsia="標楷體" w:hAnsi="標楷體" w:hint="eastAsia"/>
          <w:sz w:val="32"/>
          <w:szCs w:val="32"/>
        </w:rPr>
        <w:t xml:space="preserve">　　　　</w:t>
      </w:r>
      <w:r w:rsidRPr="00BC7E20">
        <w:rPr>
          <w:rFonts w:ascii="標楷體" w:eastAsia="標楷體" w:hAnsi="標楷體"/>
          <w:sz w:val="32"/>
          <w:szCs w:val="32"/>
        </w:rPr>
        <w:t>蔡玲儀</w:t>
      </w:r>
    </w:p>
    <w:p w14:paraId="601B6FE7"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環境管理署南區環境管理中心主任</w:t>
      </w:r>
      <w:r w:rsidRPr="00BC7E20">
        <w:rPr>
          <w:rFonts w:ascii="標楷體" w:eastAsia="標楷體" w:hAnsi="標楷體" w:hint="eastAsia"/>
          <w:color w:val="000000" w:themeColor="text1"/>
          <w:sz w:val="32"/>
          <w:szCs w:val="32"/>
        </w:rPr>
        <w:t xml:space="preserve">　　　　</w:t>
      </w:r>
      <w:r w:rsidRPr="00BC7E20">
        <w:rPr>
          <w:rFonts w:ascii="標楷體" w:eastAsia="標楷體" w:hAnsi="標楷體"/>
          <w:sz w:val="32"/>
          <w:szCs w:val="32"/>
        </w:rPr>
        <w:t>石秉鑫</w:t>
      </w:r>
    </w:p>
    <w:p w14:paraId="17A0CA3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國家環境研究院　　　　　　副</w:t>
      </w:r>
      <w:r w:rsidRPr="00BC7E20">
        <w:rPr>
          <w:rFonts w:ascii="標楷體" w:eastAsia="標楷體" w:hAnsi="標楷體"/>
          <w:sz w:val="32"/>
          <w:szCs w:val="32"/>
        </w:rPr>
        <w:t>院長</w:t>
      </w:r>
      <w:r w:rsidRPr="00BC7E20">
        <w:rPr>
          <w:rFonts w:ascii="標楷體" w:eastAsia="標楷體" w:hAnsi="標楷體" w:hint="eastAsia"/>
          <w:sz w:val="32"/>
          <w:szCs w:val="32"/>
        </w:rPr>
        <w:t xml:space="preserve">　　　巫月春</w:t>
      </w:r>
    </w:p>
    <w:p w14:paraId="0E7B270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w:t>
      </w:r>
      <w:r w:rsidRPr="00BC7E20">
        <w:rPr>
          <w:rFonts w:ascii="標楷體" w:eastAsia="標楷體" w:hAnsi="標楷體" w:hint="eastAsia"/>
          <w:b/>
          <w:sz w:val="32"/>
          <w:szCs w:val="32"/>
        </w:rPr>
        <w:t>文化部</w:t>
      </w:r>
      <w:r w:rsidRPr="00BC7E20">
        <w:rPr>
          <w:rFonts w:ascii="標楷體" w:eastAsia="標楷體" w:hAnsi="標楷體" w:hint="eastAsia"/>
          <w:sz w:val="32"/>
          <w:szCs w:val="32"/>
        </w:rPr>
        <w:t xml:space="preserve">　　　　　　　　　　　常務次長　　</w:t>
      </w:r>
      <w:r w:rsidRPr="00BC7E20">
        <w:rPr>
          <w:rFonts w:ascii="標楷體" w:eastAsia="標楷體" w:hAnsi="標楷體"/>
          <w:sz w:val="32"/>
          <w:szCs w:val="32"/>
        </w:rPr>
        <w:t>徐宜君</w:t>
      </w:r>
    </w:p>
    <w:p w14:paraId="259613F6"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sz w:val="32"/>
          <w:szCs w:val="32"/>
        </w:rPr>
        <w:t xml:space="preserve">　　　</w:t>
      </w:r>
      <w:r w:rsidRPr="00BC7E20">
        <w:rPr>
          <w:rFonts w:ascii="標楷體" w:eastAsia="標楷體" w:hAnsi="標楷體" w:hint="eastAsia"/>
          <w:color w:val="000000" w:themeColor="text1"/>
          <w:sz w:val="32"/>
          <w:szCs w:val="32"/>
        </w:rPr>
        <w:t>(</w:t>
      </w:r>
      <w:r w:rsidRPr="00BC7E20">
        <w:rPr>
          <w:rFonts w:ascii="標楷體" w:eastAsia="標楷體" w:hAnsi="標楷體"/>
          <w:sz w:val="32"/>
          <w:szCs w:val="32"/>
        </w:rPr>
        <w:t>部長李遠</w:t>
      </w:r>
      <w:r w:rsidRPr="00BC7E20">
        <w:rPr>
          <w:rFonts w:ascii="標楷體" w:eastAsia="標楷體" w:hAnsi="標楷體" w:hint="eastAsia"/>
          <w:sz w:val="32"/>
          <w:szCs w:val="32"/>
        </w:rPr>
        <w:t>請假)</w:t>
      </w:r>
    </w:p>
    <w:p w14:paraId="09888FF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主計處　　　　　　　　　　副</w:t>
      </w:r>
      <w:r w:rsidRPr="00BC7E20">
        <w:rPr>
          <w:rFonts w:ascii="標楷體" w:eastAsia="標楷體" w:hAnsi="標楷體"/>
          <w:sz w:val="32"/>
          <w:szCs w:val="32"/>
        </w:rPr>
        <w:t>處長</w:t>
      </w:r>
      <w:r w:rsidRPr="00BC7E20">
        <w:rPr>
          <w:rFonts w:ascii="標楷體" w:eastAsia="標楷體" w:hAnsi="標楷體" w:hint="eastAsia"/>
          <w:sz w:val="32"/>
          <w:szCs w:val="32"/>
        </w:rPr>
        <w:t xml:space="preserve">　　　吳浚郁</w:t>
      </w:r>
    </w:p>
    <w:p w14:paraId="5708017F"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文化資產局</w:t>
      </w: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sz w:val="32"/>
          <w:szCs w:val="32"/>
        </w:rPr>
        <w:t xml:space="preserve">　　　　副局長</w:t>
      </w:r>
      <w:r w:rsidRPr="00BC7E20">
        <w:rPr>
          <w:rFonts w:ascii="標楷體" w:eastAsia="標楷體" w:hAnsi="標楷體" w:hint="eastAsia"/>
          <w:color w:val="000000" w:themeColor="text1"/>
          <w:sz w:val="32"/>
          <w:szCs w:val="32"/>
        </w:rPr>
        <w:t xml:space="preserve">　　</w:t>
      </w:r>
      <w:r w:rsidRPr="00BC7E20">
        <w:rPr>
          <w:rFonts w:ascii="標楷體" w:eastAsia="標楷體" w:hAnsi="標楷體" w:hint="eastAsia"/>
          <w:sz w:val="32"/>
          <w:szCs w:val="32"/>
        </w:rPr>
        <w:t xml:space="preserve">　粘振裕</w:t>
      </w:r>
    </w:p>
    <w:p w14:paraId="692E4E42"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國立台灣歷史博物館　　　　副館</w:t>
      </w:r>
      <w:r w:rsidRPr="00BC7E20">
        <w:rPr>
          <w:rFonts w:ascii="標楷體" w:eastAsia="標楷體" w:hAnsi="標楷體"/>
          <w:sz w:val="32"/>
          <w:szCs w:val="32"/>
        </w:rPr>
        <w:t>長</w:t>
      </w:r>
      <w:r w:rsidRPr="00BC7E20">
        <w:rPr>
          <w:rFonts w:ascii="標楷體" w:eastAsia="標楷體" w:hAnsi="標楷體" w:hint="eastAsia"/>
          <w:sz w:val="32"/>
          <w:szCs w:val="32"/>
        </w:rPr>
        <w:t xml:space="preserve">　　　莊佩樺</w:t>
      </w:r>
    </w:p>
    <w:p w14:paraId="307D341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w:t>
      </w:r>
      <w:r w:rsidRPr="00BC7E20">
        <w:rPr>
          <w:rFonts w:ascii="標楷體" w:eastAsia="標楷體" w:hAnsi="標楷體" w:hint="eastAsia"/>
          <w:b/>
          <w:sz w:val="32"/>
          <w:szCs w:val="32"/>
        </w:rPr>
        <w:t>數位發展部</w:t>
      </w:r>
      <w:r w:rsidRPr="00BC7E20">
        <w:rPr>
          <w:rFonts w:ascii="標楷體" w:eastAsia="標楷體" w:hAnsi="標楷體" w:hint="eastAsia"/>
          <w:sz w:val="32"/>
          <w:szCs w:val="32"/>
        </w:rPr>
        <w:t xml:space="preserve">　　　　　　　　　</w:t>
      </w:r>
      <w:r w:rsidRPr="00BC7E20">
        <w:rPr>
          <w:rFonts w:ascii="標楷體" w:eastAsia="標楷體" w:hAnsi="標楷體"/>
          <w:sz w:val="32"/>
          <w:szCs w:val="32"/>
        </w:rPr>
        <w:t>部長</w:t>
      </w:r>
      <w:r w:rsidRPr="00BC7E20">
        <w:rPr>
          <w:rFonts w:ascii="標楷體" w:eastAsia="標楷體" w:hAnsi="標楷體" w:hint="eastAsia"/>
          <w:sz w:val="32"/>
          <w:szCs w:val="32"/>
        </w:rPr>
        <w:t xml:space="preserve">　　　　</w:t>
      </w:r>
      <w:r w:rsidRPr="00BC7E20">
        <w:rPr>
          <w:rFonts w:ascii="標楷體" w:eastAsia="標楷體" w:hAnsi="標楷體"/>
          <w:sz w:val="32"/>
          <w:szCs w:val="32"/>
        </w:rPr>
        <w:t>黃彥男</w:t>
      </w:r>
    </w:p>
    <w:p w14:paraId="4E44F2DC" w14:textId="77777777" w:rsidR="009D64D0" w:rsidRPr="00BC7E20" w:rsidRDefault="009D64D0" w:rsidP="00F470A8">
      <w:pPr>
        <w:tabs>
          <w:tab w:val="left" w:pos="4610"/>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主計處　　　　　　　　　　</w:t>
      </w:r>
      <w:r w:rsidRPr="00BC7E20">
        <w:rPr>
          <w:rFonts w:ascii="標楷體" w:eastAsia="標楷體" w:hAnsi="標楷體"/>
          <w:sz w:val="32"/>
          <w:szCs w:val="32"/>
        </w:rPr>
        <w:t>處長</w:t>
      </w:r>
      <w:r w:rsidRPr="00BC7E20">
        <w:rPr>
          <w:rFonts w:ascii="標楷體" w:eastAsia="標楷體" w:hAnsi="標楷體" w:hint="eastAsia"/>
          <w:sz w:val="32"/>
          <w:szCs w:val="32"/>
        </w:rPr>
        <w:t xml:space="preserve">　　　　</w:t>
      </w:r>
      <w:r w:rsidRPr="00BC7E20">
        <w:rPr>
          <w:rFonts w:ascii="標楷體" w:eastAsia="標楷體" w:hAnsi="標楷體"/>
          <w:sz w:val="32"/>
          <w:szCs w:val="32"/>
        </w:rPr>
        <w:t>李錫東</w:t>
      </w:r>
    </w:p>
    <w:p w14:paraId="4625AFD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資通安全署　　　　　　　　</w:t>
      </w:r>
      <w:r w:rsidRPr="00BC7E20">
        <w:rPr>
          <w:rFonts w:ascii="標楷體" w:eastAsia="標楷體" w:hAnsi="標楷體"/>
          <w:sz w:val="32"/>
          <w:szCs w:val="32"/>
        </w:rPr>
        <w:t>副署長</w:t>
      </w:r>
      <w:r w:rsidRPr="00BC7E20">
        <w:rPr>
          <w:rFonts w:ascii="標楷體" w:eastAsia="標楷體" w:hAnsi="標楷體" w:hint="eastAsia"/>
          <w:sz w:val="32"/>
          <w:szCs w:val="32"/>
        </w:rPr>
        <w:t xml:space="preserve">　　　鄭欣明</w:t>
      </w:r>
    </w:p>
    <w:p w14:paraId="2ED7EE13"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數位產業署　　　　　　　　</w:t>
      </w:r>
      <w:r w:rsidRPr="00BC7E20">
        <w:rPr>
          <w:rFonts w:ascii="標楷體" w:eastAsia="標楷體" w:hAnsi="標楷體"/>
          <w:sz w:val="32"/>
          <w:szCs w:val="32"/>
        </w:rPr>
        <w:t>代理署長</w:t>
      </w:r>
      <w:r w:rsidRPr="00BC7E20">
        <w:rPr>
          <w:rFonts w:ascii="標楷體" w:eastAsia="標楷體" w:hAnsi="標楷體" w:hint="eastAsia"/>
          <w:sz w:val="32"/>
          <w:szCs w:val="32"/>
        </w:rPr>
        <w:t xml:space="preserve">　　</w:t>
      </w:r>
      <w:r w:rsidRPr="00BC7E20">
        <w:rPr>
          <w:rFonts w:ascii="標楷體" w:eastAsia="標楷體" w:hAnsi="標楷體"/>
          <w:sz w:val="32"/>
          <w:szCs w:val="32"/>
        </w:rPr>
        <w:t>林俊秀</w:t>
      </w:r>
    </w:p>
    <w:p w14:paraId="2CD52B5E"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w:t>
      </w:r>
      <w:r w:rsidRPr="00BC7E20">
        <w:rPr>
          <w:rFonts w:ascii="標楷體" w:eastAsia="標楷體" w:hAnsi="標楷體" w:hint="eastAsia"/>
          <w:b/>
          <w:sz w:val="32"/>
          <w:szCs w:val="32"/>
        </w:rPr>
        <w:t>國家科學及技術委員會</w:t>
      </w:r>
      <w:r w:rsidRPr="00BC7E20">
        <w:rPr>
          <w:rFonts w:ascii="標楷體" w:eastAsia="標楷體" w:hAnsi="標楷體" w:hint="eastAsia"/>
          <w:sz w:val="32"/>
          <w:szCs w:val="32"/>
        </w:rPr>
        <w:t xml:space="preserve">　　　　副</w:t>
      </w:r>
      <w:r w:rsidRPr="00BC7E20">
        <w:rPr>
          <w:rFonts w:ascii="標楷體" w:eastAsia="標楷體" w:hAnsi="標楷體"/>
          <w:sz w:val="32"/>
          <w:szCs w:val="32"/>
        </w:rPr>
        <w:t>主任委員</w:t>
      </w:r>
      <w:r w:rsidRPr="00BC7E20">
        <w:rPr>
          <w:rFonts w:ascii="標楷體" w:eastAsia="標楷體" w:hAnsi="標楷體" w:hint="eastAsia"/>
          <w:sz w:val="32"/>
          <w:szCs w:val="32"/>
        </w:rPr>
        <w:t xml:space="preserve">　蘇振綱</w:t>
      </w:r>
    </w:p>
    <w:p w14:paraId="08ED6E2C"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w:t>
      </w:r>
      <w:r w:rsidRPr="00BC7E20">
        <w:rPr>
          <w:rFonts w:ascii="標楷體" w:eastAsia="標楷體" w:hAnsi="標楷體" w:hint="eastAsia"/>
          <w:color w:val="000000" w:themeColor="text1"/>
          <w:sz w:val="32"/>
          <w:szCs w:val="32"/>
        </w:rPr>
        <w:t xml:space="preserve">　　　　　　　　　　　　　　　　　(主任委員</w:t>
      </w:r>
      <w:r w:rsidRPr="00BC7E20">
        <w:rPr>
          <w:rFonts w:ascii="標楷體" w:eastAsia="標楷體" w:hAnsi="標楷體"/>
          <w:sz w:val="32"/>
          <w:szCs w:val="32"/>
        </w:rPr>
        <w:t>吳誠文</w:t>
      </w:r>
      <w:r w:rsidRPr="00BC7E20">
        <w:rPr>
          <w:rFonts w:ascii="標楷體" w:eastAsia="標楷體" w:hAnsi="標楷體" w:hint="eastAsia"/>
          <w:sz w:val="32"/>
          <w:szCs w:val="32"/>
        </w:rPr>
        <w:t>請假)</w:t>
      </w:r>
    </w:p>
    <w:p w14:paraId="17A84A3B"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主計處</w:t>
      </w:r>
      <w:r w:rsidRPr="00BC7E20">
        <w:rPr>
          <w:rFonts w:ascii="標楷體" w:eastAsia="標楷體" w:hAnsi="標楷體"/>
          <w:sz w:val="32"/>
          <w:szCs w:val="32"/>
        </w:rPr>
        <w:t xml:space="preserve">　　</w:t>
      </w:r>
      <w:r w:rsidRPr="00BC7E20">
        <w:rPr>
          <w:rFonts w:ascii="標楷體" w:eastAsia="標楷體" w:hAnsi="標楷體" w:hint="eastAsia"/>
          <w:sz w:val="32"/>
          <w:szCs w:val="32"/>
        </w:rPr>
        <w:t xml:space="preserve">　　　　　　　　</w:t>
      </w:r>
      <w:r w:rsidRPr="00BC7E20">
        <w:rPr>
          <w:rFonts w:ascii="標楷體" w:eastAsia="標楷體" w:hAnsi="標楷體"/>
          <w:sz w:val="32"/>
          <w:szCs w:val="32"/>
        </w:rPr>
        <w:t>處長</w:t>
      </w:r>
      <w:r w:rsidRPr="00BC7E20">
        <w:rPr>
          <w:rFonts w:ascii="標楷體" w:eastAsia="標楷體" w:hAnsi="標楷體" w:hint="eastAsia"/>
          <w:sz w:val="32"/>
          <w:szCs w:val="32"/>
        </w:rPr>
        <w:t xml:space="preserve">　　　　</w:t>
      </w:r>
      <w:r w:rsidRPr="00BC7E20">
        <w:rPr>
          <w:rFonts w:ascii="標楷體" w:eastAsia="標楷體" w:hAnsi="標楷體"/>
          <w:sz w:val="32"/>
          <w:szCs w:val="32"/>
        </w:rPr>
        <w:t>廖玉燕</w:t>
      </w:r>
    </w:p>
    <w:p w14:paraId="2E346E69" w14:textId="77777777" w:rsidR="009D64D0" w:rsidRPr="00BC7E20" w:rsidRDefault="009D64D0" w:rsidP="00F470A8">
      <w:pPr>
        <w:tabs>
          <w:tab w:val="left" w:pos="5245"/>
          <w:tab w:val="left" w:pos="5670"/>
          <w:tab w:val="left" w:pos="7938"/>
        </w:tabs>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hint="eastAsia"/>
          <w:sz w:val="32"/>
          <w:szCs w:val="32"/>
        </w:rPr>
        <w:t xml:space="preserve">　　　　　財團法人國家實驗研究院</w:t>
      </w:r>
      <w:r w:rsidRPr="00BC7E20">
        <w:rPr>
          <w:rFonts w:ascii="標楷體" w:eastAsia="標楷體" w:hAnsi="標楷體"/>
          <w:color w:val="000000" w:themeColor="text1"/>
          <w:sz w:val="32"/>
          <w:szCs w:val="32"/>
        </w:rPr>
        <w:t xml:space="preserve">　</w:t>
      </w:r>
      <w:r w:rsidRPr="00BC7E20">
        <w:rPr>
          <w:rFonts w:ascii="標楷體" w:eastAsia="標楷體" w:hAnsi="標楷體" w:hint="eastAsia"/>
          <w:sz w:val="32"/>
          <w:szCs w:val="32"/>
        </w:rPr>
        <w:t xml:space="preserve">　</w:t>
      </w:r>
      <w:r w:rsidRPr="00BC7E20">
        <w:rPr>
          <w:rFonts w:ascii="標楷體" w:eastAsia="標楷體" w:hAnsi="標楷體"/>
          <w:sz w:val="32"/>
          <w:szCs w:val="32"/>
        </w:rPr>
        <w:t xml:space="preserve">　副院長</w:t>
      </w:r>
      <w:r w:rsidRPr="00BC7E20">
        <w:rPr>
          <w:rFonts w:ascii="標楷體" w:eastAsia="標楷體" w:hAnsi="標楷體"/>
          <w:b/>
          <w:color w:val="000000" w:themeColor="text1"/>
          <w:sz w:val="32"/>
          <w:szCs w:val="32"/>
        </w:rPr>
        <w:t xml:space="preserve">　</w:t>
      </w:r>
      <w:r w:rsidRPr="00BC7E20">
        <w:rPr>
          <w:rFonts w:ascii="標楷體" w:eastAsia="標楷體" w:hAnsi="標楷體"/>
          <w:color w:val="000000" w:themeColor="text1"/>
          <w:sz w:val="32"/>
          <w:szCs w:val="32"/>
        </w:rPr>
        <w:t xml:space="preserve">　　</w:t>
      </w:r>
      <w:r w:rsidRPr="00BC7E20">
        <w:rPr>
          <w:rFonts w:ascii="標楷體" w:eastAsia="標楷體" w:hAnsi="標楷體"/>
          <w:sz w:val="32"/>
          <w:szCs w:val="32"/>
        </w:rPr>
        <w:t>林博文</w:t>
      </w:r>
    </w:p>
    <w:p w14:paraId="2C7C75BB" w14:textId="77777777" w:rsidR="009D64D0" w:rsidRPr="00BC7E20" w:rsidRDefault="009D64D0" w:rsidP="00F470A8">
      <w:pPr>
        <w:pStyle w:val="af5"/>
        <w:tabs>
          <w:tab w:val="left" w:pos="3660"/>
        </w:tabs>
        <w:kinsoku w:val="0"/>
        <w:overflowPunct w:val="0"/>
        <w:autoSpaceDE w:val="0"/>
        <w:adjustRightInd w:val="0"/>
        <w:snapToGrid w:val="0"/>
        <w:spacing w:line="480" w:lineRule="exact"/>
        <w:rPr>
          <w:rFonts w:ascii="標楷體" w:eastAsia="標楷體" w:hAnsi="標楷體"/>
          <w:kern w:val="16"/>
          <w:sz w:val="32"/>
          <w:szCs w:val="32"/>
        </w:rPr>
      </w:pPr>
      <w:r w:rsidRPr="00BC7E20">
        <w:rPr>
          <w:rFonts w:ascii="標楷體" w:eastAsia="標楷體" w:hAnsi="標楷體" w:hint="eastAsia"/>
          <w:kern w:val="16"/>
          <w:sz w:val="32"/>
          <w:szCs w:val="32"/>
        </w:rPr>
        <w:t>主　　席　陳召集委員玉珍</w:t>
      </w:r>
    </w:p>
    <w:p w14:paraId="3DBD5AA1" w14:textId="77777777" w:rsidR="009D64D0" w:rsidRPr="00BC7E20" w:rsidRDefault="009D64D0" w:rsidP="00F470A8">
      <w:pPr>
        <w:tabs>
          <w:tab w:val="left" w:pos="3660"/>
        </w:tabs>
        <w:kinsoku w:val="0"/>
        <w:overflowPunct w:val="0"/>
        <w:autoSpaceDE w:val="0"/>
        <w:spacing w:line="480" w:lineRule="exact"/>
        <w:rPr>
          <w:rFonts w:ascii="標楷體" w:eastAsia="標楷體" w:hAnsi="標楷體"/>
          <w:color w:val="000000" w:themeColor="text1"/>
          <w:kern w:val="16"/>
          <w:sz w:val="32"/>
          <w:szCs w:val="32"/>
        </w:rPr>
      </w:pPr>
      <w:r w:rsidRPr="00BC7E20">
        <w:rPr>
          <w:rFonts w:ascii="標楷體" w:eastAsia="標楷體" w:hAnsi="標楷體" w:cs="Courier New" w:hint="eastAsia"/>
          <w:color w:val="000000" w:themeColor="text1"/>
          <w:kern w:val="16"/>
          <w:sz w:val="32"/>
          <w:szCs w:val="32"/>
        </w:rPr>
        <w:t>專門委員</w:t>
      </w:r>
      <w:r w:rsidRPr="00BC7E20">
        <w:rPr>
          <w:rFonts w:ascii="標楷體" w:eastAsia="標楷體" w:hAnsi="標楷體"/>
          <w:color w:val="000000" w:themeColor="text1"/>
          <w:kern w:val="16"/>
          <w:sz w:val="32"/>
          <w:szCs w:val="32"/>
        </w:rPr>
        <w:t xml:space="preserve">　</w:t>
      </w:r>
      <w:r w:rsidRPr="00BC7E20">
        <w:rPr>
          <w:rFonts w:ascii="標楷體" w:eastAsia="標楷體" w:hAnsi="標楷體" w:hint="eastAsia"/>
          <w:color w:val="000000" w:themeColor="text1"/>
          <w:sz w:val="32"/>
          <w:szCs w:val="32"/>
        </w:rPr>
        <w:t>林靜玟</w:t>
      </w:r>
    </w:p>
    <w:p w14:paraId="244AA835" w14:textId="77777777" w:rsidR="009D64D0" w:rsidRPr="00BC7E20" w:rsidRDefault="009D64D0" w:rsidP="00F470A8">
      <w:pPr>
        <w:kinsoku w:val="0"/>
        <w:overflowPunct w:val="0"/>
        <w:autoSpaceDE w:val="0"/>
        <w:spacing w:line="480" w:lineRule="exact"/>
        <w:rPr>
          <w:rFonts w:ascii="標楷體" w:eastAsia="標楷體" w:hAnsi="標楷體"/>
          <w:color w:val="000000" w:themeColor="text1"/>
          <w:kern w:val="16"/>
          <w:sz w:val="32"/>
          <w:szCs w:val="32"/>
        </w:rPr>
      </w:pPr>
      <w:r w:rsidRPr="00BC7E20">
        <w:rPr>
          <w:rFonts w:ascii="標楷體" w:eastAsia="標楷體" w:hAnsi="標楷體"/>
          <w:color w:val="000000" w:themeColor="text1"/>
          <w:kern w:val="16"/>
          <w:sz w:val="32"/>
          <w:szCs w:val="32"/>
        </w:rPr>
        <w:t>主任秘書　謝淑津</w:t>
      </w:r>
    </w:p>
    <w:p w14:paraId="5F23CB4C" w14:textId="77777777" w:rsidR="009D64D0" w:rsidRPr="00BC7E20" w:rsidRDefault="009D64D0" w:rsidP="00F470A8">
      <w:pPr>
        <w:kinsoku w:val="0"/>
        <w:overflowPunct w:val="0"/>
        <w:autoSpaceDE w:val="0"/>
        <w:spacing w:line="480" w:lineRule="exact"/>
        <w:ind w:left="1600" w:rightChars="-149" w:right="-358" w:hangingChars="500" w:hanging="1600"/>
        <w:jc w:val="both"/>
        <w:rPr>
          <w:rFonts w:ascii="標楷體" w:eastAsia="標楷體" w:hAnsi="標楷體"/>
          <w:color w:val="000000" w:themeColor="text1"/>
          <w:kern w:val="16"/>
          <w:sz w:val="32"/>
          <w:szCs w:val="32"/>
        </w:rPr>
      </w:pPr>
      <w:r w:rsidRPr="00BC7E20">
        <w:rPr>
          <w:rFonts w:ascii="標楷體" w:eastAsia="標楷體" w:hAnsi="標楷體"/>
          <w:color w:val="000000" w:themeColor="text1"/>
          <w:sz w:val="32"/>
          <w:szCs w:val="32"/>
        </w:rPr>
        <w:t>紀　　錄</w:t>
      </w:r>
      <w:r w:rsidRPr="00BC7E20">
        <w:rPr>
          <w:rFonts w:ascii="標楷體" w:eastAsia="標楷體" w:hAnsi="標楷體"/>
          <w:color w:val="000000" w:themeColor="text1"/>
          <w:kern w:val="16"/>
          <w:sz w:val="32"/>
          <w:szCs w:val="32"/>
        </w:rPr>
        <w:t xml:space="preserve">　</w:t>
      </w:r>
      <w:r w:rsidRPr="00BC7E20">
        <w:rPr>
          <w:rFonts w:ascii="標楷體" w:eastAsia="標楷體" w:hAnsi="標楷體" w:hint="eastAsia"/>
          <w:color w:val="000000" w:themeColor="text1"/>
          <w:kern w:val="16"/>
          <w:sz w:val="32"/>
          <w:szCs w:val="32"/>
        </w:rPr>
        <w:t xml:space="preserve">秘　書　吳人寬　研究員　黃惠雯　編　審　</w:t>
      </w:r>
      <w:r w:rsidRPr="00BC7E20">
        <w:rPr>
          <w:rFonts w:ascii="標楷體" w:eastAsia="標楷體" w:hAnsi="標楷體" w:hint="eastAsia"/>
          <w:color w:val="000000" w:themeColor="text1"/>
          <w:sz w:val="32"/>
          <w:szCs w:val="32"/>
        </w:rPr>
        <w:t>伍明清</w:t>
      </w:r>
      <w:r w:rsidRPr="00BC7E20">
        <w:rPr>
          <w:rFonts w:ascii="標楷體" w:eastAsia="標楷體" w:hAnsi="標楷體" w:hint="eastAsia"/>
          <w:color w:val="000000" w:themeColor="text1"/>
          <w:kern w:val="16"/>
          <w:sz w:val="32"/>
          <w:szCs w:val="32"/>
        </w:rPr>
        <w:t xml:space="preserve">　</w:t>
      </w:r>
    </w:p>
    <w:p w14:paraId="7B3B1ED6" w14:textId="77777777" w:rsidR="009D64D0" w:rsidRPr="00BC7E20" w:rsidRDefault="009D64D0" w:rsidP="00F470A8">
      <w:pPr>
        <w:tabs>
          <w:tab w:val="left" w:pos="3660"/>
        </w:tabs>
        <w:kinsoku w:val="0"/>
        <w:overflowPunct w:val="0"/>
        <w:autoSpaceDE w:val="0"/>
        <w:spacing w:line="480" w:lineRule="exact"/>
        <w:rPr>
          <w:rFonts w:ascii="標楷體" w:eastAsia="標楷體" w:hAnsi="標楷體"/>
          <w:color w:val="000000" w:themeColor="text1"/>
          <w:kern w:val="16"/>
          <w:sz w:val="32"/>
          <w:szCs w:val="32"/>
        </w:rPr>
      </w:pPr>
      <w:r w:rsidRPr="00BC7E20">
        <w:rPr>
          <w:rFonts w:ascii="標楷體" w:eastAsia="標楷體" w:hAnsi="標楷體" w:hint="eastAsia"/>
          <w:color w:val="000000" w:themeColor="text1"/>
          <w:kern w:val="16"/>
          <w:sz w:val="32"/>
          <w:szCs w:val="32"/>
        </w:rPr>
        <w:t xml:space="preserve">　　　　　科　長　喻　珊　專　員　沈克彬　</w:t>
      </w:r>
    </w:p>
    <w:p w14:paraId="261AFE17" w14:textId="77777777" w:rsidR="009D64D0" w:rsidRPr="00BC7E20" w:rsidRDefault="009D64D0" w:rsidP="00F470A8">
      <w:pPr>
        <w:kinsoku w:val="0"/>
        <w:overflowPunct w:val="0"/>
        <w:autoSpaceDE w:val="0"/>
        <w:spacing w:before="180" w:line="480" w:lineRule="exact"/>
        <w:ind w:left="643"/>
        <w:jc w:val="both"/>
        <w:rPr>
          <w:rFonts w:ascii="標楷體" w:eastAsia="標楷體" w:hAnsi="標楷體"/>
          <w:sz w:val="32"/>
          <w:szCs w:val="32"/>
        </w:rPr>
      </w:pPr>
      <w:r w:rsidRPr="00BC7E20">
        <w:rPr>
          <w:rFonts w:ascii="標楷體" w:eastAsia="標楷體" w:hAnsi="標楷體" w:cs="Courier New"/>
          <w:b/>
          <w:sz w:val="32"/>
          <w:szCs w:val="32"/>
        </w:rPr>
        <w:lastRenderedPageBreak/>
        <w:t>報告</w:t>
      </w:r>
      <w:r w:rsidRPr="00BC7E20">
        <w:rPr>
          <w:rFonts w:ascii="標楷體" w:eastAsia="標楷體" w:hAnsi="標楷體"/>
          <w:b/>
          <w:sz w:val="32"/>
          <w:szCs w:val="32"/>
        </w:rPr>
        <w:t>事項</w:t>
      </w:r>
    </w:p>
    <w:p w14:paraId="7492860E" w14:textId="77777777" w:rsidR="009D64D0" w:rsidRPr="00BC7E20" w:rsidRDefault="009D64D0" w:rsidP="00F470A8">
      <w:pPr>
        <w:kinsoku w:val="0"/>
        <w:overflowPunct w:val="0"/>
        <w:autoSpaceDE w:val="0"/>
        <w:spacing w:line="480" w:lineRule="exact"/>
        <w:jc w:val="both"/>
        <w:rPr>
          <w:rFonts w:ascii="標楷體" w:eastAsia="標楷體" w:hAnsi="標楷體"/>
          <w:bCs/>
          <w:sz w:val="32"/>
          <w:szCs w:val="32"/>
        </w:rPr>
      </w:pPr>
      <w:r w:rsidRPr="00BC7E20">
        <w:rPr>
          <w:rFonts w:ascii="標楷體" w:eastAsia="標楷體" w:hAnsi="標楷體" w:hint="eastAsia"/>
          <w:bCs/>
          <w:sz w:val="32"/>
          <w:szCs w:val="32"/>
        </w:rPr>
        <w:t>宣讀上次會議議事錄。</w:t>
      </w:r>
    </w:p>
    <w:p w14:paraId="342DAECA" w14:textId="77777777" w:rsidR="009D64D0" w:rsidRPr="00BC7E20" w:rsidRDefault="009D64D0" w:rsidP="00F470A8">
      <w:pPr>
        <w:kinsoku w:val="0"/>
        <w:overflowPunct w:val="0"/>
        <w:autoSpaceDE w:val="0"/>
        <w:spacing w:line="480" w:lineRule="exact"/>
        <w:jc w:val="both"/>
        <w:rPr>
          <w:rFonts w:ascii="標楷體" w:eastAsia="標楷體" w:hAnsi="標楷體"/>
          <w:b/>
          <w:sz w:val="32"/>
          <w:szCs w:val="32"/>
        </w:rPr>
      </w:pPr>
      <w:r w:rsidRPr="00BC7E20">
        <w:rPr>
          <w:rFonts w:ascii="標楷體" w:eastAsia="標楷體" w:hAnsi="標楷體" w:hint="eastAsia"/>
          <w:b/>
          <w:sz w:val="32"/>
          <w:szCs w:val="32"/>
        </w:rPr>
        <w:t>決定：</w:t>
      </w:r>
      <w:r w:rsidRPr="00BC7E20">
        <w:rPr>
          <w:rFonts w:ascii="標楷體" w:eastAsia="標楷體" w:hAnsi="標楷體" w:hint="eastAsia"/>
          <w:bCs/>
          <w:sz w:val="32"/>
          <w:szCs w:val="32"/>
        </w:rPr>
        <w:t>議事錄確定。</w:t>
      </w:r>
    </w:p>
    <w:p w14:paraId="57973DD8" w14:textId="77777777" w:rsidR="009D64D0" w:rsidRPr="00BC7E20" w:rsidRDefault="009D64D0" w:rsidP="00F470A8">
      <w:pPr>
        <w:kinsoku w:val="0"/>
        <w:overflowPunct w:val="0"/>
        <w:autoSpaceDE w:val="0"/>
        <w:spacing w:before="180" w:line="480" w:lineRule="exact"/>
        <w:ind w:left="643"/>
        <w:jc w:val="both"/>
        <w:rPr>
          <w:rFonts w:ascii="標楷體" w:eastAsia="標楷體" w:hAnsi="標楷體"/>
          <w:b/>
          <w:sz w:val="32"/>
          <w:szCs w:val="32"/>
        </w:rPr>
      </w:pPr>
      <w:r w:rsidRPr="00BC7E20">
        <w:rPr>
          <w:rFonts w:ascii="標楷體" w:eastAsia="標楷體" w:hAnsi="標楷體"/>
          <w:b/>
          <w:sz w:val="32"/>
          <w:szCs w:val="32"/>
        </w:rPr>
        <w:t>討論事項</w:t>
      </w:r>
    </w:p>
    <w:p w14:paraId="602C65BA" w14:textId="77777777" w:rsidR="009D64D0" w:rsidRPr="00BC7E20" w:rsidRDefault="009D64D0" w:rsidP="00F470A8">
      <w:pPr>
        <w:kinsoku w:val="0"/>
        <w:overflowPunct w:val="0"/>
        <w:autoSpaceDE w:val="0"/>
        <w:spacing w:line="480" w:lineRule="exact"/>
        <w:jc w:val="both"/>
        <w:rPr>
          <w:rFonts w:ascii="標楷體" w:eastAsia="標楷體" w:hAnsi="標楷體"/>
          <w:b/>
          <w:sz w:val="32"/>
          <w:szCs w:val="32"/>
        </w:rPr>
      </w:pPr>
      <w:r w:rsidRPr="00BC7E20">
        <w:rPr>
          <w:rFonts w:ascii="標楷體" w:eastAsia="標楷體" w:hAnsi="標楷體" w:hint="eastAsia"/>
          <w:b/>
          <w:sz w:val="32"/>
          <w:szCs w:val="32"/>
        </w:rPr>
        <w:t>繼續審查行政院函請審議「中央政府前瞻基礎建設計畫第</w:t>
      </w:r>
      <w:r w:rsidRPr="00BC7E20">
        <w:rPr>
          <w:rFonts w:ascii="標楷體" w:eastAsia="標楷體" w:hAnsi="標楷體"/>
          <w:b/>
          <w:sz w:val="32"/>
          <w:szCs w:val="32"/>
        </w:rPr>
        <w:t>5期特別預算案(114年度)」。</w:t>
      </w:r>
    </w:p>
    <w:p w14:paraId="22477DBE" w14:textId="77777777" w:rsidR="009D64D0" w:rsidRPr="00BC7E20" w:rsidRDefault="009D64D0" w:rsidP="00F470A8">
      <w:pPr>
        <w:kinsoku w:val="0"/>
        <w:overflowPunct w:val="0"/>
        <w:autoSpaceDE w:val="0"/>
        <w:spacing w:line="480" w:lineRule="exact"/>
        <w:jc w:val="both"/>
        <w:rPr>
          <w:rFonts w:ascii="標楷體" w:eastAsia="標楷體" w:hAnsi="標楷體"/>
          <w:b/>
          <w:bCs/>
          <w:sz w:val="32"/>
          <w:szCs w:val="32"/>
        </w:rPr>
      </w:pPr>
      <w:r w:rsidRPr="00BC7E20">
        <w:rPr>
          <w:rFonts w:ascii="標楷體" w:eastAsia="標楷體" w:hAnsi="標楷體" w:hint="eastAsia"/>
          <w:b/>
          <w:bCs/>
          <w:sz w:val="32"/>
          <w:szCs w:val="32"/>
        </w:rPr>
        <w:t>決議：</w:t>
      </w:r>
    </w:p>
    <w:p w14:paraId="2BAFAE74" w14:textId="77777777" w:rsidR="009D64D0" w:rsidRPr="00BC7E20" w:rsidRDefault="009D64D0" w:rsidP="00F470A8">
      <w:pPr>
        <w:kinsoku w:val="0"/>
        <w:overflowPunct w:val="0"/>
        <w:autoSpaceDE w:val="0"/>
        <w:spacing w:line="480" w:lineRule="exact"/>
        <w:jc w:val="both"/>
        <w:rPr>
          <w:rFonts w:ascii="標楷體" w:eastAsia="標楷體" w:hAnsi="標楷體"/>
          <w:strike/>
          <w:color w:val="000000" w:themeColor="text1"/>
          <w:sz w:val="32"/>
          <w:szCs w:val="32"/>
        </w:rPr>
      </w:pPr>
      <w:r w:rsidRPr="00BC7E20">
        <w:rPr>
          <w:rFonts w:ascii="標楷體" w:eastAsia="標楷體" w:hAnsi="標楷體" w:hint="eastAsia"/>
          <w:b/>
          <w:color w:val="000000" w:themeColor="text1"/>
          <w:sz w:val="32"/>
          <w:szCs w:val="32"/>
        </w:rPr>
        <w:t>壹、審查結果：</w:t>
      </w:r>
    </w:p>
    <w:p w14:paraId="0DC4561C" w14:textId="77777777" w:rsidR="009D64D0" w:rsidRPr="00BC7E20" w:rsidRDefault="009D64D0" w:rsidP="00F470A8">
      <w:pPr>
        <w:kinsoku w:val="0"/>
        <w:overflowPunct w:val="0"/>
        <w:autoSpaceDE w:val="0"/>
        <w:spacing w:line="480" w:lineRule="exact"/>
        <w:ind w:leftChars="88" w:left="852" w:hangingChars="200" w:hanging="641"/>
        <w:jc w:val="both"/>
        <w:rPr>
          <w:rFonts w:ascii="標楷體" w:eastAsia="標楷體" w:hAnsi="標楷體"/>
          <w:b/>
          <w:color w:val="000000" w:themeColor="text1"/>
          <w:sz w:val="32"/>
          <w:szCs w:val="32"/>
        </w:rPr>
      </w:pPr>
      <w:r w:rsidRPr="00BC7E20">
        <w:rPr>
          <w:rFonts w:ascii="標楷體" w:eastAsia="標楷體" w:hAnsi="標楷體" w:hint="eastAsia"/>
          <w:b/>
          <w:color w:val="000000" w:themeColor="text1"/>
          <w:sz w:val="32"/>
          <w:szCs w:val="32"/>
        </w:rPr>
        <w:t>一、歲出預算部分：</w:t>
      </w:r>
    </w:p>
    <w:p w14:paraId="40282BF7" w14:textId="77777777" w:rsidR="009D64D0" w:rsidRPr="00BC7E20" w:rsidRDefault="009D64D0" w:rsidP="00F470A8">
      <w:pPr>
        <w:overflowPunct w:val="0"/>
        <w:autoSpaceDE w:val="0"/>
        <w:spacing w:line="480" w:lineRule="exact"/>
        <w:ind w:left="928" w:hanging="640"/>
        <w:rPr>
          <w:rFonts w:ascii="標楷體" w:eastAsia="標楷體" w:hAnsi="標楷體"/>
          <w:strike/>
          <w:color w:val="000000"/>
          <w:sz w:val="32"/>
          <w:szCs w:val="32"/>
        </w:rPr>
      </w:pPr>
      <w:r w:rsidRPr="00BC7E20">
        <w:rPr>
          <w:rFonts w:ascii="標楷體" w:eastAsia="標楷體" w:hAnsi="標楷體" w:hint="eastAsia"/>
          <w:color w:val="000000"/>
          <w:sz w:val="32"/>
          <w:szCs w:val="32"/>
        </w:rPr>
        <w:t>通過通案決議6項：</w:t>
      </w:r>
    </w:p>
    <w:p w14:paraId="602B7A9F" w14:textId="77777777" w:rsidR="009D64D0" w:rsidRPr="00BC7E20" w:rsidRDefault="009D64D0" w:rsidP="00424BF9">
      <w:pPr>
        <w:overflowPunct w:val="0"/>
        <w:autoSpaceDE w:val="0"/>
        <w:spacing w:line="480" w:lineRule="exact"/>
        <w:ind w:left="928"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一)114年度中央政府前瞻基礎建設計畫第5期特別預算案之軌道建設項下納編後，115年度後尚有中央負擔之待編預算數者共11件、計畫總金額2,175.23億元，中央及地方負擔數各為1,297.61億元、877.62億元、115年度(含)後待編預算數(中央負擔)833.79億元。另外，由中央政府前瞻基礎建設計畫特別預算改列交通部公務預算的都會地區捷運計畫補助115年後待編預算也有1,912.8億元。兩者合計，未來幾年軌道建設中央政府還需要編列2,746億元補助款。未來面對財政收支劃分法修正中央財政可能減少6,612億元情況下，爰要求行政院主計總處說明對中央財政之影響，並於3個月內向立法院財政委員會提出書面報告。</w:t>
      </w:r>
    </w:p>
    <w:p w14:paraId="7F0C0212" w14:textId="7F8D20DF" w:rsidR="009D64D0" w:rsidRPr="00BC7E20" w:rsidRDefault="00424BF9"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提案人：李坤城　王世堅　郭國文　</w:t>
      </w:r>
    </w:p>
    <w:p w14:paraId="0AB8645A" w14:textId="77777777" w:rsidR="009D64D0" w:rsidRPr="00BC7E20" w:rsidRDefault="009D64D0" w:rsidP="00424BF9">
      <w:pPr>
        <w:overflowPunct w:val="0"/>
        <w:autoSpaceDE w:val="0"/>
        <w:spacing w:line="480" w:lineRule="exact"/>
        <w:ind w:left="928"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二)前瞻基礎建設計畫屬於連續性計畫，政府自106年9月推動至今，奠定國家未來發展根基的重大經建計畫；中央政府前瞻基礎建設計畫第4期特別預算經費達成率76.89%，預估年底可達成96%目標。114年度中央政府前瞻基礎建設計畫第5期特別預算案編列703億元，繼續辦理軌道、水環境、綠能、數位、城鄉、因應少子化友善育兒空間、食品安全及人才培育促進就業建設等8項計畫，中央政府前瞻基礎建設計畫特別預算執行迄</w:t>
      </w:r>
      <w:r w:rsidRPr="00BC7E20">
        <w:rPr>
          <w:rFonts w:ascii="標楷體" w:eastAsia="標楷體" w:hAnsi="標楷體" w:hint="eastAsia"/>
          <w:color w:val="000000"/>
          <w:sz w:val="32"/>
          <w:szCs w:val="32"/>
        </w:rPr>
        <w:lastRenderedPageBreak/>
        <w:t>今，除了加速推動國家重大基礎建設外，也持續促進產業轉型、提升國家競爭力等。故請國家發展委員會協同行政院主計總處等管考機關彙整各主管機關持續積極辦理各項個案計畫，並依年度、各執行部會或所屬單位、縣市、受補助單位、補助金額、辦理情形、執行成效等彙整列表，讓社會各界充分了解前瞻基礎建設計畫豐碩成果。</w:t>
      </w:r>
    </w:p>
    <w:p w14:paraId="5EEE9541" w14:textId="21E028D6" w:rsidR="009D64D0" w:rsidRPr="00BC7E20" w:rsidRDefault="00122587" w:rsidP="00424BF9">
      <w:pPr>
        <w:widowControl w:val="0"/>
        <w:overflowPunct w:val="0"/>
        <w:autoSpaceDE w:val="0"/>
        <w:adjustRightInd w:val="0"/>
        <w:snapToGrid w:val="0"/>
        <w:spacing w:line="480" w:lineRule="exact"/>
        <w:ind w:leftChars="1089" w:left="3916" w:hangingChars="407" w:hanging="1302"/>
        <w:jc w:val="both"/>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提案人：何欣純　陳素月　林俊憲　</w:t>
      </w:r>
    </w:p>
    <w:p w14:paraId="01E0C02D" w14:textId="77777777" w:rsidR="009D64D0" w:rsidRPr="00BC7E20" w:rsidRDefault="009D64D0" w:rsidP="00424BF9">
      <w:pPr>
        <w:overflowPunct w:val="0"/>
        <w:autoSpaceDE w:val="0"/>
        <w:spacing w:line="480" w:lineRule="exact"/>
        <w:ind w:left="928"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三)近年因我國ETF大受國人喜愛，交易量不斷成長，為國庫帶來不少稅收，預估113年全年可達60億元。近期搭配亞洲資產管理中心計畫，金融監督管理委員會預計再開放主動式ETF及被動式多資產ETF，以及REITs開放雙軌制，皆預計能提升我國證券市場之交易量。爰請財政部評估，針對金融監督管理委員會開放之新型商品預計帶來之稅收，以及對於我國114年之財政狀況影響，於2個月內向立法院財政委員會提出書面報告。</w:t>
      </w:r>
    </w:p>
    <w:p w14:paraId="26391E7E" w14:textId="55742255" w:rsidR="009D64D0" w:rsidRPr="00BC7E20" w:rsidRDefault="00122587" w:rsidP="00424BF9">
      <w:pPr>
        <w:widowControl w:val="0"/>
        <w:overflowPunct w:val="0"/>
        <w:autoSpaceDE w:val="0"/>
        <w:adjustRightInd w:val="0"/>
        <w:snapToGrid w:val="0"/>
        <w:spacing w:line="480" w:lineRule="exact"/>
        <w:ind w:leftChars="1089" w:left="3916" w:hangingChars="407" w:hanging="1302"/>
        <w:jc w:val="both"/>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提案人：郭國文　</w:t>
      </w:r>
    </w:p>
    <w:p w14:paraId="78539EB1" w14:textId="3941D760" w:rsidR="009D64D0" w:rsidRPr="00BC7E20" w:rsidRDefault="00122587" w:rsidP="00424BF9">
      <w:pPr>
        <w:widowControl w:val="0"/>
        <w:overflowPunct w:val="0"/>
        <w:autoSpaceDE w:val="0"/>
        <w:adjustRightInd w:val="0"/>
        <w:snapToGrid w:val="0"/>
        <w:spacing w:line="480" w:lineRule="exact"/>
        <w:ind w:leftChars="1089" w:left="3916" w:hangingChars="407" w:hanging="1302"/>
        <w:jc w:val="both"/>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連署人：李坤城　賴惠員</w:t>
      </w:r>
    </w:p>
    <w:p w14:paraId="3AFBD1C1" w14:textId="77777777" w:rsidR="009D64D0" w:rsidRPr="00BC7E20" w:rsidRDefault="009D64D0" w:rsidP="00424BF9">
      <w:pPr>
        <w:overflowPunct w:val="0"/>
        <w:autoSpaceDE w:val="0"/>
        <w:spacing w:line="480" w:lineRule="exact"/>
        <w:ind w:left="928"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四)面對我國財政部已於投資資本利得、投資孳息所得的扣除，以及金融利息的扣除等提供租稅優惠，卻僅限於已投入資本市場之投資人，並未有以投資代替儲蓄，鼓勵尚未有投資習慣之民眾投入資本市場之功能。為確保租稅公平與普惠金融，爰請財政部評估，如何藉由租稅優惠來鼓勵民眾以投資代替儲蓄，並於1個月內向立法院財政委員會提出書面報告。</w:t>
      </w:r>
    </w:p>
    <w:p w14:paraId="69AAB0DA" w14:textId="6D1D6540" w:rsidR="009D64D0" w:rsidRPr="00BC7E20" w:rsidRDefault="00122587" w:rsidP="00424BF9">
      <w:pPr>
        <w:widowControl w:val="0"/>
        <w:overflowPunct w:val="0"/>
        <w:autoSpaceDE w:val="0"/>
        <w:adjustRightInd w:val="0"/>
        <w:snapToGrid w:val="0"/>
        <w:spacing w:line="480" w:lineRule="exact"/>
        <w:ind w:leftChars="1089" w:left="3916" w:hangingChars="407" w:hanging="1302"/>
        <w:jc w:val="both"/>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提案人：郭國文　</w:t>
      </w:r>
    </w:p>
    <w:p w14:paraId="544F8FEF" w14:textId="5812168F" w:rsidR="009D64D0" w:rsidRPr="00BC7E20" w:rsidRDefault="00122587" w:rsidP="00424BF9">
      <w:pPr>
        <w:widowControl w:val="0"/>
        <w:overflowPunct w:val="0"/>
        <w:autoSpaceDE w:val="0"/>
        <w:adjustRightInd w:val="0"/>
        <w:snapToGrid w:val="0"/>
        <w:spacing w:line="480" w:lineRule="exact"/>
        <w:ind w:leftChars="1089" w:left="3916" w:hangingChars="407" w:hanging="1302"/>
        <w:jc w:val="both"/>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連署人：李坤城　賴惠員</w:t>
      </w:r>
    </w:p>
    <w:p w14:paraId="0B519D84" w14:textId="77777777" w:rsidR="009D64D0" w:rsidRPr="00BC7E20" w:rsidRDefault="009D64D0" w:rsidP="00424BF9">
      <w:pPr>
        <w:overflowPunct w:val="0"/>
        <w:autoSpaceDE w:val="0"/>
        <w:spacing w:line="480" w:lineRule="exact"/>
        <w:ind w:left="928"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五)內政部提升道路品質計畫宜搭配行人交通安全設施條例與全臺799處危險路口改善，使交通安全相關之計畫能相互搭配，並配合施工積極辦理道路設計之改善，如退縮行穿線、庇護島之設置，避免同一路段重複施工之問題。</w:t>
      </w:r>
    </w:p>
    <w:p w14:paraId="551494B0" w14:textId="3421965A" w:rsidR="009D64D0" w:rsidRPr="00BC7E20" w:rsidRDefault="00122587" w:rsidP="00424BF9">
      <w:pPr>
        <w:widowControl w:val="0"/>
        <w:overflowPunct w:val="0"/>
        <w:autoSpaceDE w:val="0"/>
        <w:adjustRightInd w:val="0"/>
        <w:snapToGrid w:val="0"/>
        <w:spacing w:line="480" w:lineRule="exact"/>
        <w:ind w:leftChars="1089" w:left="3916" w:hangingChars="407" w:hanging="1302"/>
        <w:jc w:val="both"/>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提案人：吳沛憶　</w:t>
      </w:r>
    </w:p>
    <w:p w14:paraId="11990592" w14:textId="36D69912" w:rsidR="009D64D0" w:rsidRPr="00BC7E20" w:rsidRDefault="00122587" w:rsidP="00424BF9">
      <w:pPr>
        <w:widowControl w:val="0"/>
        <w:overflowPunct w:val="0"/>
        <w:autoSpaceDE w:val="0"/>
        <w:adjustRightInd w:val="0"/>
        <w:snapToGrid w:val="0"/>
        <w:spacing w:line="480" w:lineRule="exact"/>
        <w:ind w:leftChars="1089" w:left="3916" w:hangingChars="407" w:hanging="1302"/>
        <w:jc w:val="both"/>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連署人：郭昱晴　林月琴　</w:t>
      </w:r>
    </w:p>
    <w:p w14:paraId="36777F84" w14:textId="77777777" w:rsidR="009D64D0" w:rsidRPr="00BC7E20" w:rsidRDefault="009D64D0" w:rsidP="00424BF9">
      <w:pPr>
        <w:overflowPunct w:val="0"/>
        <w:autoSpaceDE w:val="0"/>
        <w:spacing w:line="480" w:lineRule="exact"/>
        <w:ind w:left="928"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lastRenderedPageBreak/>
        <w:t>(六)交通部於114年度中央政府前瞻基礎建設計畫第5期特別預算案「都市推動捷運」編列18億9,990萬元，包括臺北都會區大眾運系統萬大-中和-樹林線規劃報告書曁周邊土地發展計畫(第二期工程)9億元。然因物價上漲導致工程費用增加，北市整體捷運路網，包括萬大線第一期工程與南北環段均仍需中央提升經費挹注。請行政院及交通部另行撥補經費，以支持北市整體捷運路網之完整發展。</w:t>
      </w:r>
    </w:p>
    <w:p w14:paraId="2163BDC0" w14:textId="5515ADC5"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提案人：吳沛憶　</w:t>
      </w:r>
    </w:p>
    <w:p w14:paraId="0A733D94" w14:textId="4FB43218"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020E0D8B"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kern w:val="0"/>
          <w:sz w:val="32"/>
          <w:szCs w:val="32"/>
        </w:rPr>
      </w:pPr>
      <w:r w:rsidRPr="00BC7E20">
        <w:rPr>
          <w:rFonts w:ascii="標楷體" w:eastAsia="標楷體" w:hAnsi="標楷體" w:hint="eastAsia"/>
          <w:b/>
          <w:sz w:val="32"/>
          <w:szCs w:val="32"/>
        </w:rPr>
        <w:t>第1款</w:t>
      </w:r>
      <w:r w:rsidRPr="00BC7E20">
        <w:rPr>
          <w:rFonts w:ascii="標楷體" w:eastAsia="標楷體" w:hAnsi="標楷體" w:hint="eastAsia"/>
          <w:sz w:val="32"/>
          <w:szCs w:val="32"/>
        </w:rPr>
        <w:t xml:space="preserve">　</w:t>
      </w:r>
      <w:r w:rsidRPr="00BC7E20">
        <w:rPr>
          <w:rFonts w:ascii="標楷體" w:eastAsia="標楷體" w:hAnsi="標楷體" w:hint="eastAsia"/>
          <w:b/>
          <w:sz w:val="32"/>
          <w:szCs w:val="32"/>
        </w:rPr>
        <w:t>總統府主管</w:t>
      </w:r>
    </w:p>
    <w:p w14:paraId="702A3881"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第1項  中央研究院</w:t>
      </w:r>
      <w:r w:rsidRPr="00BC7E20">
        <w:rPr>
          <w:rFonts w:ascii="標楷體" w:eastAsia="標楷體" w:hAnsi="標楷體" w:hint="eastAsia"/>
          <w:sz w:val="32"/>
          <w:szCs w:val="32"/>
        </w:rPr>
        <w:t>4,200萬元，照列。</w:t>
      </w:r>
    </w:p>
    <w:p w14:paraId="1EC690BF"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本項通過決議8項：</w:t>
      </w:r>
    </w:p>
    <w:p w14:paraId="42ABBEB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中央研究院自中央政府前瞻基礎建設計畫第2期特別預算歲出期間迄今，便早已著手於執行儲能系統、材料與安全性等研發事項。是以考量所規劃於中央政府前瞻基礎建設計畫第5期特別預算案再度以特別預算名義編列雷同業務之際，此刻乃應積極釋疑並克服與多類再生能源發電系統搭配妥適性存有疑義之挑戰，以及產業端應用面向始終未見實效，和授權專利數不彰等問題，如此方可謂財務管理與預算法定總體經濟均衡規範之具備。爰此，凍結第1目「綠能建設」預算3,000萬元之二十分之一，俟中央研究院於3個月內向立法院財政及相關委員會提出中央研究院辦理</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綠能建設業務之財務管理評估暨對於我國產業發展效益說明書面報告後，始得動支。</w:t>
      </w:r>
    </w:p>
    <w:p w14:paraId="51C119D9" w14:textId="72D7A847"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780974B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(二)中央研究院於114年度</w:t>
      </w:r>
      <w:r w:rsidRPr="00BC7E20">
        <w:rPr>
          <w:rFonts w:ascii="標楷體" w:eastAsia="標楷體" w:hAnsi="標楷體" w:hint="eastAsia"/>
          <w:kern w:val="0"/>
          <w:sz w:val="32"/>
          <w:szCs w:val="32"/>
        </w:rPr>
        <w:t>中央政府前瞻基礎建設計畫第5期特別預算案第1目「</w:t>
      </w:r>
      <w:r w:rsidRPr="00BC7E20">
        <w:rPr>
          <w:rFonts w:ascii="標楷體" w:eastAsia="標楷體" w:hAnsi="標楷體" w:hint="eastAsia"/>
          <w:sz w:val="32"/>
          <w:szCs w:val="32"/>
        </w:rPr>
        <w:t>綠能建設</w:t>
      </w:r>
      <w:r w:rsidRPr="00BC7E20">
        <w:rPr>
          <w:rFonts w:ascii="標楷體" w:eastAsia="標楷體" w:hAnsi="標楷體" w:hint="eastAsia"/>
          <w:kern w:val="0"/>
          <w:sz w:val="32"/>
          <w:szCs w:val="32"/>
        </w:rPr>
        <w:t>」</w:t>
      </w:r>
      <w:r w:rsidRPr="00BC7E20">
        <w:rPr>
          <w:rFonts w:ascii="標楷體" w:eastAsia="標楷體" w:hAnsi="標楷體" w:hint="eastAsia"/>
          <w:sz w:val="32"/>
          <w:szCs w:val="32"/>
        </w:rPr>
        <w:t>編列</w:t>
      </w:r>
      <w:r w:rsidRPr="00BC7E20">
        <w:rPr>
          <w:rFonts w:ascii="標楷體" w:eastAsia="標楷體" w:hAnsi="標楷體" w:hint="eastAsia"/>
          <w:kern w:val="0"/>
          <w:sz w:val="32"/>
          <w:szCs w:val="32"/>
        </w:rPr>
        <w:t>「</w:t>
      </w:r>
      <w:r w:rsidRPr="00BC7E20">
        <w:rPr>
          <w:rFonts w:ascii="標楷體" w:eastAsia="標楷體" w:hAnsi="標楷體" w:hint="eastAsia"/>
          <w:sz w:val="32"/>
          <w:szCs w:val="32"/>
        </w:rPr>
        <w:t>建置分散式區域規模之大型儲能系統，推動綠能產業發展計畫</w:t>
      </w:r>
      <w:r w:rsidRPr="00BC7E20">
        <w:rPr>
          <w:rFonts w:ascii="標楷體" w:eastAsia="標楷體" w:hAnsi="標楷體" w:hint="eastAsia"/>
          <w:kern w:val="0"/>
          <w:sz w:val="32"/>
          <w:szCs w:val="32"/>
        </w:rPr>
        <w:t>」預算</w:t>
      </w:r>
      <w:r w:rsidRPr="00BC7E20">
        <w:rPr>
          <w:rFonts w:ascii="標楷體" w:eastAsia="標楷體" w:hAnsi="標楷體" w:hint="eastAsia"/>
          <w:sz w:val="32"/>
          <w:szCs w:val="32"/>
        </w:rPr>
        <w:t>3,000萬元。在國家能源轉型的方向上，臺灣透過天然氣發電結合綠能發展，逐步邁向2050淨零排放的國家目標，同時穩定北臺灣的供電並</w:t>
      </w:r>
      <w:r w:rsidRPr="00BC7E20">
        <w:rPr>
          <w:rFonts w:ascii="標楷體" w:eastAsia="標楷體" w:hAnsi="標楷體" w:hint="eastAsia"/>
          <w:sz w:val="32"/>
          <w:szCs w:val="32"/>
        </w:rPr>
        <w:lastRenderedPageBreak/>
        <w:t>強化電網韌性。然而，114年5月核三廠二號機預計停機，加上台灣中油股份有限公司的第三液化天然氣接收站（三接）進度受到影響，卻意外爆出重大弊案。三接保冷管線出現材料延誤與用料問題，其中8,000平方公尺的材料不合格，修復預計需1年時間，至114年10月才可完成。這將造成核三廠停機與三接修復間有5個月的供電空窗期，令人擔憂是否會導致供電不穩甚至停電的風險。針對此事，考慮到公共安全的嚴重性，尤其是氟氯烴(CFC)已被蒙特婁議定書列為禁用化學物，臺灣也依據蒙特婁議定書列管化學物質管理辦法禁止其使用。基此，本計畫執行是否有落實電池環保相關規定，請中央研究院於3個月內向</w:t>
      </w:r>
      <w:r w:rsidRPr="00BC7E20">
        <w:rPr>
          <w:rFonts w:ascii="標楷體" w:eastAsia="標楷體" w:hAnsi="標楷體" w:hint="eastAsia"/>
          <w:kern w:val="0"/>
          <w:sz w:val="32"/>
          <w:szCs w:val="32"/>
        </w:rPr>
        <w:t>立法院財政及相關委員會</w:t>
      </w:r>
      <w:r w:rsidRPr="00BC7E20">
        <w:rPr>
          <w:rFonts w:ascii="標楷體" w:eastAsia="標楷體" w:hAnsi="標楷體" w:hint="eastAsia"/>
          <w:sz w:val="32"/>
          <w:szCs w:val="32"/>
        </w:rPr>
        <w:t>提出書面報告。</w:t>
      </w:r>
    </w:p>
    <w:p w14:paraId="1DCF9D59" w14:textId="6705F22B"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陳昭姿　黃珊珊　</w:t>
      </w:r>
    </w:p>
    <w:p w14:paraId="40D4256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(三)中央研究院於114年度</w:t>
      </w:r>
      <w:r w:rsidRPr="00BC7E20">
        <w:rPr>
          <w:rFonts w:ascii="標楷體" w:eastAsia="標楷體" w:hAnsi="標楷體" w:hint="eastAsia"/>
          <w:kern w:val="0"/>
          <w:sz w:val="32"/>
          <w:szCs w:val="32"/>
        </w:rPr>
        <w:t>中央政府前瞻基礎建設計畫第5期特別預算案第1目</w:t>
      </w:r>
      <w:r w:rsidRPr="00BC7E20">
        <w:rPr>
          <w:rFonts w:ascii="標楷體" w:eastAsia="標楷體" w:hAnsi="標楷體" w:hint="eastAsia"/>
          <w:sz w:val="32"/>
          <w:szCs w:val="32"/>
        </w:rPr>
        <w:t>「綠能建設」編列「建置分散式區域規模之大型儲能系統，推動綠能產業發展計畫」預算3,000萬元，辦理固態電池開發自有技術、電池材料鑑定技術與運行及驗證百萬瓦時大型儲能系統相關實驗室等。經查本計畫截至113年7月底已完成MWh大型儲能系統建置，惟</w:t>
      </w:r>
      <w:r w:rsidRPr="00BC7E20">
        <w:rPr>
          <w:rFonts w:ascii="標楷體" w:eastAsia="標楷體" w:hAnsi="標楷體" w:hint="eastAsia"/>
          <w:kern w:val="0"/>
          <w:sz w:val="32"/>
          <w:szCs w:val="32"/>
        </w:rPr>
        <w:t>中央政府前瞻基礎建設計畫第4期特別預算</w:t>
      </w:r>
      <w:r w:rsidRPr="00BC7E20">
        <w:rPr>
          <w:rFonts w:ascii="標楷體" w:eastAsia="標楷體" w:hAnsi="標楷體" w:hint="eastAsia"/>
          <w:sz w:val="32"/>
          <w:szCs w:val="32"/>
        </w:rPr>
        <w:t>之112年度應完成MWh儲能系統之試運行與驗證，因委託廠商發生電芯及模組生產延遲，致原訂113年度應繳交分析1年以上數據，延至114年繳交，未達成年度計畫目標。針對</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計畫應優化運行效率和性能驗證，俾提升綠能產業競爭力，爰請中央研究院於3個月內向立法院財政及相關委員會提出書面報告。</w:t>
      </w:r>
    </w:p>
    <w:p w14:paraId="25AB40CD" w14:textId="0998DF17"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35E1B949" w14:textId="58ECD25F"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2F8E03E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(四)中央研究院於114年度中央政府前瞻基礎建設計畫第5期特別預算案第1目「綠能建設」編列3,000萬元，主要係辦理固態</w:t>
      </w:r>
      <w:r w:rsidRPr="00BC7E20">
        <w:rPr>
          <w:rFonts w:ascii="標楷體" w:eastAsia="標楷體" w:hAnsi="標楷體" w:hint="eastAsia"/>
          <w:sz w:val="32"/>
          <w:szCs w:val="32"/>
        </w:rPr>
        <w:lastRenderedPageBreak/>
        <w:t>電池開發自有技術、電池材料鑑定技術與運行及驗證百萬瓦時大型儲能系統相關實驗室等。面對未來再生能源占比提高時，具不穩定性與間歇性發電特性之再生能源，需有儲能系統來穩定與平滑系統功率之變動、降低功率預測偏差、解決局部電壓控制問題與提高用電可靠性。惟據立法院預算中心評估報告指出，</w:t>
      </w:r>
      <w:r w:rsidRPr="00BC7E20">
        <w:rPr>
          <w:rFonts w:ascii="標楷體" w:eastAsia="標楷體" w:hAnsi="標楷體" w:hint="eastAsia"/>
          <w:kern w:val="0"/>
          <w:sz w:val="32"/>
          <w:szCs w:val="32"/>
        </w:rPr>
        <w:t>中央政府前瞻基礎建設計畫第4期特別預算</w:t>
      </w:r>
      <w:r w:rsidRPr="00BC7E20">
        <w:rPr>
          <w:rFonts w:ascii="標楷體" w:eastAsia="標楷體" w:hAnsi="標楷體" w:hint="eastAsia"/>
          <w:sz w:val="32"/>
          <w:szCs w:val="32"/>
        </w:rPr>
        <w:t>計畫中，112年度應完成試運行與驗證MWh儲能系統，因委託廠商發生電芯及模組生產延遲，致未達成年度計畫目標。而該系統雖已於113年7月前建置完成並開始試運行與驗證，然因交貨期程遞延致原訂113年度應繳交分析1年以上數據，延至114年繳交，運行與驗證進度未如預期，允宜優化運行效率和性能驗證，以提升綠能產業競爭力。請中央研究院於3個月內就大型儲能系統計畫執行進度檢討及後續規劃，向立法院財政及相關委員會提出書面報告。</w:t>
      </w:r>
    </w:p>
    <w:p w14:paraId="76399634" w14:textId="67A1E3BD"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麥玉珍　陳昭姿　</w:t>
      </w:r>
    </w:p>
    <w:p w14:paraId="1A443371"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(五)有鑑於中央研究院乃規劃透過</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數位建設名義，編列1,200萬元用於「環境物聯網產業開展計畫-高解析度空氣品質診斷與預報模式」之空氣品質模擬分析及空氣污染事件診斷技術發展等所需經費。然考量當前國家衛生研究院透過環境部的空氣品質監測資料，結合衛生福利部的健保資料庫、美兆健康資料庫與內政部死亡統計資料等本土數據，分析多種空氣污染物暴露與死亡及疾病增加風險，建立了專屬臺灣的空氣品質健康指標業務已然成熟；復以，國家衛生研究院與環境部攜手執行2期共8年的政策科技綱要計畫，並依據我國本土空污與健康數據來分析，建置反映健康的空氣品質指標，並提出適合我國的空氣品質改善與標準值建議亦屬成功。是以，中央研究院允宜思考本次經費規劃執行之必要性，以及應妥適謀思介接未來各中央機關如環境部、衛生福利部、交通部中央氣象署等相關業務，且應再補足跨中央機關對於當前技術發展之意見蒐集</w:t>
      </w:r>
      <w:r w:rsidRPr="00BC7E20">
        <w:rPr>
          <w:rFonts w:ascii="標楷體" w:eastAsia="標楷體" w:hAnsi="標楷體" w:hint="eastAsia"/>
          <w:sz w:val="32"/>
          <w:szCs w:val="32"/>
        </w:rPr>
        <w:lastRenderedPageBreak/>
        <w:t>，進而方可契合當前整體中央政府之發展需求。爰請中央研究院就前述內容，於2個月內向立法院財政及相關委員會提出書面報告。</w:t>
      </w:r>
    </w:p>
    <w:p w14:paraId="457634EA" w14:textId="11033C49"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62D8DE0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(六)中央研究院於114年度</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第2目「數位建設」第1節「建構開放政府及智慧城鄉服務」編列「民生公共物聯網數據應用及產業開展計畫-環境物聯網產業開展計畫-高解析度空氣品質診斷與預報模式」預算1,200萬元，主要辦理擴展都市空氣品質模擬分析及空污事件診斷技術發展等。經查「民生公共物聯網數據應用及產業開展計畫」項下之環境物聯網產業開展計畫則由中央研究院、經濟部、國家科學及技術委員會及農業部共同辦理，其中中央研究院負責建構高解析度空氣品質診斷與預報模式，截至112年度之預報成果顯示，整體空氣品質指標AQI等級之3日預報正確率為70%，較計畫執行前一年（109年度）同期正確率67%改進有限；另對空品區AQI大於100之事件預報正確率為56%，與計畫目標預報準確度75%尚有差距，允宜持續精進，爰請中央研究院於3個月內向</w:t>
      </w:r>
      <w:r w:rsidRPr="00BC7E20">
        <w:rPr>
          <w:rFonts w:ascii="標楷體" w:eastAsia="標楷體" w:hAnsi="標楷體" w:hint="eastAsia"/>
          <w:kern w:val="0"/>
          <w:sz w:val="32"/>
          <w:szCs w:val="32"/>
        </w:rPr>
        <w:t>立法院財政及相關委員會</w:t>
      </w:r>
      <w:r w:rsidRPr="00BC7E20">
        <w:rPr>
          <w:rFonts w:ascii="標楷體" w:eastAsia="標楷體" w:hAnsi="標楷體" w:hint="eastAsia"/>
          <w:sz w:val="32"/>
          <w:szCs w:val="32"/>
        </w:rPr>
        <w:t>提出書面報告。</w:t>
      </w:r>
    </w:p>
    <w:p w14:paraId="34CBB240" w14:textId="14139B8F"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05822210" w14:textId="09E6DB0E"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6C6166F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(七)中央研究院於114年度</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第2目「數位建設」第1節「建構開放政府及智慧城鄉服務」項下編列「民生公共物聯網數據應用及產業開展計畫」預算1,200萬元，旨在透過整合物聯網技術，發展相關數據應用，推動民生公共服務數位化及產業發展，聚焦於空氣品質監測及數據應用，以期提高智慧化治理水準。該計畫於國家治理與公共健康領域具高度政策意義，尤其針對空氣品質之模擬與預報，除能提供精準的污染事件預警，減少民眾因突發性污染所受之健康損害，亦能支持政府制定更有效之環</w:t>
      </w:r>
      <w:r w:rsidRPr="00BC7E20">
        <w:rPr>
          <w:rFonts w:ascii="標楷體" w:eastAsia="標楷體" w:hAnsi="標楷體" w:hint="eastAsia"/>
          <w:sz w:val="32"/>
          <w:szCs w:val="32"/>
        </w:rPr>
        <w:lastRenderedPageBreak/>
        <w:t>境治理政策，為智慧城鄉服務奠定基礎。此舉對於減緩氣候變遷帶來的空氣污染問題尤為關鍵，亦符合當前全球趨勢。然根據立法院預算中心評估報告指出，現行空氣品質模擬及預報技術尚有改進空間，其準確性與時效性未完全達到預期效果，特別在污染事件快速預警方面仍存挑戰。爰建請中央研究院應持續精進空氣品質模擬技術，包括優化現有模擬模型的校準方法，結合更高解析度之氣象與環境數據，以提升預測精度，請中央研究院就前述內容，於3個月內向立法院財政及相關委員會提出書面報告。</w:t>
      </w:r>
    </w:p>
    <w:p w14:paraId="6FB944C3" w14:textId="09B640EC"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318FDE0F" w14:textId="17F40228"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連署人：郭昱晴　王正旭　</w:t>
      </w:r>
    </w:p>
    <w:p w14:paraId="7746AA9B"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八)中央研究院於114年度中央政府前瞻基礎建設計畫第5期特別預算案第2目「數位建設」編列1,200萬元，主要係辦理環境物聯網產業開展計畫－擴展都市空氣品質3D監測及模擬平台之空污事件預報應用。有鑑於近期都會地區發生多起工廠火災事件，導致含有大量化學物質的濃煙四散污染空氣，嚴重影響空氣品質，允宜建立起即時分析污染物擴散之區位，即時通報民眾提前因應。又據立法院預算中心評估報告指出，對空品區AQI大於100之事件預報正確率為56%，雖較計畫執行前（109年度）同期正確率31%增加，惟與計畫目標預報準確度75%尚有差距，應持續精進。爰請中央研究院於3個月內，就都會區大型火災事故空氣品質污染事件加強監測預警機制之可行性，向立法院財政及相關委員會提出書面報告。</w:t>
      </w:r>
    </w:p>
    <w:p w14:paraId="6D0BEF3F" w14:textId="5186EE95"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麥玉珍　陳昭姿　</w:t>
      </w:r>
    </w:p>
    <w:p w14:paraId="7DE6364C"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sz w:val="32"/>
          <w:szCs w:val="32"/>
        </w:rPr>
      </w:pPr>
      <w:r w:rsidRPr="00BC7E20">
        <w:rPr>
          <w:rFonts w:ascii="標楷體" w:eastAsia="標楷體" w:hAnsi="標楷體" w:hint="eastAsia"/>
          <w:b/>
          <w:sz w:val="32"/>
          <w:szCs w:val="32"/>
        </w:rPr>
        <w:t>第2款  行政院主管</w:t>
      </w:r>
    </w:p>
    <w:p w14:paraId="03BE0FE7" w14:textId="77777777" w:rsidR="009D64D0" w:rsidRPr="00BC7E20" w:rsidRDefault="009D64D0" w:rsidP="00F470A8">
      <w:pPr>
        <w:kinsoku w:val="0"/>
        <w:overflowPunct w:val="0"/>
        <w:autoSpaceDE w:val="0"/>
        <w:spacing w:line="480" w:lineRule="exact"/>
        <w:ind w:leftChars="200" w:left="1825" w:hangingChars="420" w:hanging="1345"/>
        <w:jc w:val="both"/>
        <w:rPr>
          <w:rFonts w:ascii="標楷體" w:eastAsia="標楷體" w:hAnsi="標楷體"/>
          <w:b/>
          <w:sz w:val="32"/>
          <w:szCs w:val="32"/>
        </w:rPr>
      </w:pPr>
      <w:r w:rsidRPr="00BC7E20">
        <w:rPr>
          <w:rFonts w:ascii="標楷體" w:eastAsia="標楷體" w:hAnsi="標楷體" w:hint="eastAsia"/>
          <w:b/>
          <w:sz w:val="32"/>
          <w:szCs w:val="32"/>
        </w:rPr>
        <w:t>第1項  國立故宮博物院</w:t>
      </w:r>
      <w:r w:rsidRPr="00BC7E20">
        <w:rPr>
          <w:rFonts w:ascii="標楷體" w:eastAsia="標楷體" w:hAnsi="標楷體" w:hint="eastAsia"/>
          <w:sz w:val="32"/>
          <w:szCs w:val="32"/>
        </w:rPr>
        <w:t>2,700萬元，照列。</w:t>
      </w:r>
    </w:p>
    <w:p w14:paraId="2D74C1FF"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本項通過決議9項：</w:t>
      </w:r>
    </w:p>
    <w:p w14:paraId="73432C8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(一)有鑑於國立故宮博物院僅概略以加強數位科技，提升數位典藏系統智能化、進行億萬畫素圖像數位攝影、索引典研究及文物知識體系等理由為需求，便編列本次特別預算案數2,700</w:t>
      </w:r>
      <w:r w:rsidRPr="00BC7E20">
        <w:rPr>
          <w:rFonts w:ascii="標楷體" w:eastAsia="標楷體" w:hAnsi="標楷體" w:hint="eastAsia"/>
          <w:sz w:val="32"/>
          <w:szCs w:val="32"/>
        </w:rPr>
        <w:lastRenderedPageBreak/>
        <w:t>萬元，容於經費細項不清、效益和影響不明、事前評估揭露不足、欠缺對過往執行率落後之檢討，及與既有公務業務重疊等疑慮，爰凍結第1目「數位建設」預算2,700萬元之十分之一，俟國立故宮博物院於2個月內向立法院財政及相關委員會提出書面報告後，始得動支。</w:t>
      </w:r>
    </w:p>
    <w:p w14:paraId="730F14AC" w14:textId="0F30C817"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2498F32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國立故宮博物院於中央政府前瞻基礎建設計畫第5期特別預算案第1目「數位建設」第1節「發展數位文創普及高畫質服務」編列「國家文化記憶庫及數位博物館應用－故宮智慧博物館計畫」預算2,700萬元，用以辦理數位典藏系統智能化、億萬畫素圖像數位攝影、索引典研究及文物知識體系等。國立故宮博物院數位博物館計畫已執行多年，尤其中央政府前瞻基礎建設計畫特別預算挹注相當多資源，前4期共約投入5億多元經費，然投入高額經費製作典藏精選網站，點閱率卻呈直線下滑：110年327萬餘人次，112年掉落至134萬餘人次，113年至7月為止更下降只有54萬人次，顯然吸引不了民眾上網觀看，無法提供更加創新的觀展體驗。爰凍結該項預算十分之一，俟國立故宮博物院重新提出檢討改善報告，並向立法院財政及相關委員會提出書面報告後，始得動支。</w:t>
      </w:r>
    </w:p>
    <w:p w14:paraId="1AB53C4C" w14:textId="78D785B6"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提案人：羅明才　顏寬恒　</w:t>
      </w:r>
    </w:p>
    <w:p w14:paraId="35D6DF44" w14:textId="6225423A"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w:t>
      </w:r>
    </w:p>
    <w:p w14:paraId="0F3FFB4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國立故宮博物院於114年度中央政府前瞻基礎建設計畫第5期特別預算案第1目「數位建設」編列故宮智慧博物館計畫2,700萬元。經查，國立故宮博物院中央政府前瞻基礎建設計畫第4期特別預算執行情形，其中擴增珍稀圖籍文物數位計畫暨圖書文獻數位典藏資料庫之執行率僅58.42%，係因數位展示前置作業籌備期較長以致進度未如預期。另國立故宮博物院推行文物數位化後，亦建置數位線上資源，數位典藏影像瀏覽次數由111年度235萬餘次下降至112年度233萬餘次，截至113年度7月則為131萬餘次；典藏精選網站瀏覽次數112年</w:t>
      </w:r>
      <w:r w:rsidRPr="00BC7E20">
        <w:rPr>
          <w:rFonts w:ascii="標楷體" w:eastAsia="標楷體" w:hAnsi="標楷體" w:hint="eastAsia"/>
          <w:sz w:val="32"/>
          <w:szCs w:val="32"/>
        </w:rPr>
        <w:lastRenderedPageBreak/>
        <w:t>度為134萬餘人次，較110年度327萬餘人次減少59.01%。綜上，國立故宮博物院智慧博物館計畫中央政府前瞻基礎建設計畫第4期特別預算執行日程未達預期進度，允應針對數位文物展出前置作業擬定統一工作流程與規劃，以利加速達成相關文物及圖文文獻數位化之目標，並有效提升上開各數位化資源使用效益及瀏覽人次，以達此計畫設定之預期目標。爰凍結該項預算十分之一，俟國立故宮博物院於3個月內向立法院財政及相關委員會提出與教育部合作加強推廣宣導書面報告後，始得動支。</w:t>
      </w:r>
    </w:p>
    <w:p w14:paraId="2496FEBA" w14:textId="4102941B"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陳昭姿　</w:t>
      </w:r>
    </w:p>
    <w:p w14:paraId="4FB6E0B0" w14:textId="4CB46D19"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連署人：黃珊珊　</w:t>
      </w:r>
    </w:p>
    <w:p w14:paraId="35D6A5D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國立故宮博物院於114年度中央政府前瞻基礎建設計畫第5期特別預算案第1目「數位建設」編列2,700萬元，用以辦理數位典藏系統智能化、億萬畫素圖像數位攝影、索引典研究及文物知識體系等。有鑑於111年6月期間，因為國立故宮博物院承辦人發生誤將高階圖檔放置於對外服務存取疏失，導致所藏數位高階圖檔外流情形，並遭上架於境外網路購物平台販售，嚴重損及未來加值運用之價值。爰凍結該項預算十分之一，俟國立故宮博物院於1個月內，就文物數位典藏之資通安全防護及加值運用潛力評估，向立法院財政及相關委員會提出書面報告後，始得動支。</w:t>
      </w:r>
    </w:p>
    <w:p w14:paraId="06A50426" w14:textId="763C84D7"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陳昭姿　麥玉珍　</w:t>
      </w:r>
    </w:p>
    <w:p w14:paraId="039CCD8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國立故宮博物院於114年度中央政府前瞻基礎建設計畫第5期特別預算案第1目「數位建設」第1節「發展數位文創普及高畫質服務」編列「國家文化記憶庫及數位博物館應用－故宮智慧博物館計畫」預算2,700萬元，用以提升數位典藏系統智能化、億萬畫素圖像數位攝影、索引典研究及文物知識體系等。經查國立故宮博物院中央政府前瞻基礎建設計畫第4期特別預算執行情形，迄113年7月底尚有擴增珍稀圖籍文物數位計畫暨圖書文獻數位典藏資料庫之執行進度未如預期，其中</w:t>
      </w:r>
      <w:r w:rsidRPr="00BC7E20">
        <w:rPr>
          <w:rFonts w:ascii="標楷體" w:eastAsia="標楷體" w:hAnsi="標楷體" w:hint="eastAsia"/>
          <w:sz w:val="32"/>
          <w:szCs w:val="32"/>
        </w:rPr>
        <w:lastRenderedPageBreak/>
        <w:t>擴增珍稀圖籍文物數位計畫暨圖書文獻數位典藏資料庫之執行率僅58.42%；又典藏精選網站112年度瀏覽人次為134萬餘人次，較110年度327萬餘人次減少59.01%，允宜提升數位資源使用效益，爰要求國立故宮博物院於3個月內向立法院財政及相關委員會提出書面報告。</w:t>
      </w:r>
    </w:p>
    <w:p w14:paraId="31852522" w14:textId="60CFDE76"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5BEE5D92" w14:textId="3B29E5E9"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62888A2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國立故宮博物院於114年度中央政府前瞻基礎建設計畫第5期特別預算案第1目「數位建設」第1節「發展數位文創普及高畫質服務」編列2,700萬元，本期計畫係為加強數位科技、提升數位典藏系統智能化、進行億萬畫素圖像數位攝影、索引典研究及文物知識體系等所需經費。惟國立故宮博物院於中央政府前瞻基礎建設計畫第4期特別預算係推動故宮文化數位化及公共化計畫，所執行之項目內容實與本期計畫高度雷同，甚有過往工作項目進度與成效未如預期之情況，實有消耗特別預算之嫌，爰要求國立故宮博物院於3個月內向立法院財政及相關委員會提出具體成果及後續精進檢討報告。</w:t>
      </w:r>
    </w:p>
    <w:p w14:paraId="2B29958C" w14:textId="35B4F50F"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755AF459" w14:textId="1E7C7D8E"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連署人：鄭天財</w:t>
      </w:r>
    </w:p>
    <w:p w14:paraId="3D5CE80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七)國立故宮博物院於114年度中央政府前瞻基礎建設計畫第5期特別預算案第1目「數位建設」編列2,700萬元，用以辦理數位典藏系統智能化、億萬畫素圖像數位攝影、索引典研究及文物知識體系等。據112年監察院調查報告指出，國立故宮博物院人員在整理文物時，分別在110年2月3日、111年4月7日打開文物包裹後發現明弘治款嬌黃綠彩雙龍小碗、清康熙款暗龍白裏小黃瓷碗破損；以及111年5月19日整理文物時，由於人員在作業過程中疏忽，導致清乾隆青花花卉盤掉落破損情事。因此監察院糾正國立故宮博物院，缺失包括：國立故宮博物院庫房工作空間雜物堆疊紊雜，不僅防護設施不足，且人員分工及動線混亂不明，長期置文物安全於高度風險中</w:t>
      </w:r>
      <w:r w:rsidRPr="00BC7E20">
        <w:rPr>
          <w:rFonts w:ascii="標楷體" w:eastAsia="標楷體" w:hAnsi="標楷體" w:hint="eastAsia"/>
          <w:sz w:val="32"/>
          <w:szCs w:val="32"/>
        </w:rPr>
        <w:lastRenderedPageBreak/>
        <w:t>。加上，國立故宮博物院文物過去於特別參觀、策展、修護等開箱提件之人員接觸紀錄未臻詳實，且文物之裂璺狀況亦未確切記載登錄，致無從追溯文物破損之相關原因及責任，顯有疏失。爰請國立故宮博物院於3個月內，就文物保管及維護之檢討精進作為，向立法院財政及相關委員會提出書面報告。</w:t>
      </w:r>
    </w:p>
    <w:p w14:paraId="303E2B63" w14:textId="450EAE80"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陳昭姿　麥玉珍　</w:t>
      </w:r>
    </w:p>
    <w:p w14:paraId="5C133C7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八)國立故宮博物院於114年度中央政府前瞻基礎建設計畫第5期特別預算案第1目「數位建設」第1節「發展數位文創普及高畫質服務」編列「國家文化記憶庫及數位博物館應用－故宮智慧博物館計畫」預算2,700萬元，用以推進數位典藏系統智能化、億萬畫素圖像數位攝影、索引典研究及文物知識體系建構等多項工作，旨在實現文化資產之數位化保存及普及化應用。該計畫對於國家文化記憶之保存與推廣具高度政策重要性，透過高畫質數位技術及智能化系統，不僅能提升文物的保存水準，更可促進文物研究與數位博物館服務的普及化，進一步使多元受眾能以創新且便捷的方式接觸國家文化資產。然根據相關資料顯示，國立故宮博物院智慧博物館數位平台的使用量有下降趨勢，顯示該計畫之服務效能尚未完全達成預期目標。爰建請國立故宮博物院深入分析使用量下降之原因，並據此提出具體改進策略。並建請國立故宮博物院可考量設計更多針對不同受眾群體的數位展覽，如專門為青少年打造的互動體驗展，以增強其吸引力。同時，應加強與學校、社群及國際文化機構的合作，透過多元管道推廣數位展覽，提升大眾對數位文化資源的認識與興趣，確保計畫效益能更廣泛實現，請國立故宮博物院於3個月內向立法院財政及相關委員會提出書面報告。</w:t>
      </w:r>
    </w:p>
    <w:p w14:paraId="6902C631" w14:textId="276CDB80"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2A7A2B68" w14:textId="0E31502E"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連署人：郭昱晴　王正旭　</w:t>
      </w:r>
    </w:p>
    <w:p w14:paraId="2BDFF3F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lastRenderedPageBreak/>
        <w:t>(九)有鑑於國立故宮博物院乃規劃藉114年度中央政府前瞻基礎建設計畫第5期特別預算案，於114年度執行數位典藏智能化及虛實整合數位展示共計2,200萬元經費，然考量展示內容選定之作業機制，容有代表性及社會參與不足之疑慮，爰要求國立故宮博物院於1個月內向立法院財政及相關委員會提出中央政府前瞻基礎建設計畫第5期特別預算案故宮智慧博物館計畫數位典藏智能化及虛實整合數位展示對未來應用展示之內容選定作業機制運作說明之書面報告。</w:t>
      </w:r>
    </w:p>
    <w:p w14:paraId="499E6979" w14:textId="054C12EC" w:rsidR="009D64D0" w:rsidRPr="00BC7E20" w:rsidRDefault="00122587"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5D4129A3" w14:textId="77777777" w:rsidR="009D64D0" w:rsidRPr="00BC7E20" w:rsidRDefault="009D64D0" w:rsidP="00B15B90">
      <w:pPr>
        <w:kinsoku w:val="0"/>
        <w:overflowPunct w:val="0"/>
        <w:autoSpaceDE w:val="0"/>
        <w:spacing w:line="480" w:lineRule="exact"/>
        <w:ind w:leftChars="200" w:left="1681" w:hangingChars="375" w:hanging="1201"/>
        <w:jc w:val="both"/>
        <w:rPr>
          <w:rFonts w:ascii="標楷體" w:eastAsia="標楷體" w:hAnsi="標楷體"/>
          <w:b/>
          <w:sz w:val="32"/>
          <w:szCs w:val="32"/>
        </w:rPr>
      </w:pPr>
      <w:r w:rsidRPr="00BC7E20">
        <w:rPr>
          <w:rFonts w:ascii="標楷體" w:eastAsia="標楷體" w:hAnsi="標楷體" w:hint="eastAsia"/>
          <w:b/>
          <w:sz w:val="32"/>
          <w:szCs w:val="32"/>
        </w:rPr>
        <w:t>第2項  國家發展委員會</w:t>
      </w:r>
      <w:r w:rsidRPr="00BC7E20">
        <w:rPr>
          <w:rFonts w:ascii="標楷體" w:eastAsia="標楷體" w:hAnsi="標楷體" w:hint="eastAsia"/>
          <w:sz w:val="32"/>
          <w:szCs w:val="32"/>
        </w:rPr>
        <w:t>原列2億7,918萬5千元，減列第1目「數位建設」第2節「推廣數位公益服務」之「業務費」300萬元、第2目「人才培育促進就業建設」1,200萬元，共計減列1,500萬元（科目均自行調整），其餘均照列，改列為2億6,418萬5千元。</w:t>
      </w:r>
    </w:p>
    <w:p w14:paraId="27E73486"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本項通過決議12項：</w:t>
      </w:r>
    </w:p>
    <w:p w14:paraId="6BD6B82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國家發展委員會於114年度中央政府前瞻基礎建設計畫第5期特別預算案第2目「人才培育促進就業建設」編列1億2,750萬元，係辦理2030雙語政策計畫。有鑑於中央政府前瞻基礎建設計畫第4期特別預算112至113年度編列成立行政法人，推動各項雙語政策等所需經費5億4,490萬元。惟由於新行政法人功能遭外界質疑疊床架屋，行政院態度亦曖昧不明，遲未能立法完成設立執行雙語政策之行政法人，有浮濫虛編預算之虞。又查中央政府前瞻基礎建設計畫第4期特別預算國家發展委員會經費累計表，截至113年10月「人才培育促進就業建設」預算累積數為7億8,035萬元，尚餘約6億5,029萬元未執行，執行率僅約16%。爰凍結該項預算十分之一，俟國家發展委員會於1個月內，就中央政府前瞻基礎建設計畫第4期特別預算人才培育預算執行檢討及是否續行推動雙語政策行政法人，向立法院財政及相關委員會提出書面報告後，始得動支。</w:t>
      </w:r>
    </w:p>
    <w:p w14:paraId="00F32095" w14:textId="77777777" w:rsidR="00444018"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陳昭姿　麥玉珍　陳菁徽</w:t>
      </w:r>
    </w:p>
    <w:p w14:paraId="21B4813A" w14:textId="77777777" w:rsidR="00444018" w:rsidRDefault="009D64D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BC7E20">
        <w:rPr>
          <w:rFonts w:ascii="標楷體" w:eastAsia="標楷體" w:hAnsi="標楷體" w:hint="eastAsia"/>
          <w:kern w:val="0"/>
          <w:sz w:val="32"/>
          <w:szCs w:val="32"/>
        </w:rPr>
        <w:lastRenderedPageBreak/>
        <w:t xml:space="preserve">　</w:t>
      </w:r>
      <w:r w:rsidR="00444018" w:rsidRPr="00EB155B">
        <w:rPr>
          <w:rFonts w:ascii="標楷體" w:eastAsia="標楷體" w:hAnsi="標楷體" w:hint="eastAsia"/>
          <w:kern w:val="0"/>
          <w:sz w:val="32"/>
          <w:szCs w:val="32"/>
        </w:rPr>
        <w:t xml:space="preserve">　　　　　</w:t>
      </w:r>
      <w:r w:rsidRPr="00BC7E20">
        <w:rPr>
          <w:rFonts w:ascii="標楷體" w:eastAsia="標楷體" w:hAnsi="標楷體" w:hint="eastAsia"/>
          <w:kern w:val="0"/>
          <w:sz w:val="32"/>
          <w:szCs w:val="32"/>
        </w:rPr>
        <w:t>王鴻薇　牛煦庭　謝衣鳯　邱若華</w:t>
      </w:r>
    </w:p>
    <w:p w14:paraId="27633783" w14:textId="7EC9D87B" w:rsidR="009D64D0" w:rsidRPr="00BC7E20" w:rsidRDefault="009D64D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BC7E20">
        <w:rPr>
          <w:rFonts w:ascii="標楷體" w:eastAsia="標楷體" w:hAnsi="標楷體" w:hint="eastAsia"/>
          <w:kern w:val="0"/>
          <w:sz w:val="32"/>
          <w:szCs w:val="32"/>
        </w:rPr>
        <w:t xml:space="preserve">　</w:t>
      </w:r>
      <w:r w:rsidR="00444018" w:rsidRPr="00EB155B">
        <w:rPr>
          <w:rFonts w:ascii="標楷體" w:eastAsia="標楷體" w:hAnsi="標楷體" w:hint="eastAsia"/>
          <w:kern w:val="0"/>
          <w:sz w:val="32"/>
          <w:szCs w:val="32"/>
        </w:rPr>
        <w:t xml:space="preserve">　　　　　</w:t>
      </w:r>
      <w:r w:rsidRPr="00BC7E20">
        <w:rPr>
          <w:rFonts w:ascii="標楷體" w:eastAsia="標楷體" w:hAnsi="標楷體" w:hint="eastAsia"/>
          <w:kern w:val="0"/>
          <w:sz w:val="32"/>
          <w:szCs w:val="32"/>
        </w:rPr>
        <w:t xml:space="preserve">羅明才　何欣純　陳素月　林俊憲　</w:t>
      </w:r>
    </w:p>
    <w:p w14:paraId="24556EF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有鑑於各中央機關，皆已獨立有所屬之雲世代雲端基礎建設計畫並執行完整，復以當前政府公有雲環境已然建構順利，是以國家發展委員會再以辦理政府公有雲環境建構等所需之攏統原因，便欲編列114年度中央政府前瞻基礎建設計畫第5期特別預算案當中之預算支出，實屬不合理，請國家發展委員會於2個月內向立法院財政及相關委員會提出書面報告。</w:t>
      </w:r>
    </w:p>
    <w:p w14:paraId="7C8DB890" w14:textId="5E8CE6F3"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63EE622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國家發展委員會於114年度中央政府前瞻基礎建設計畫第5期特別預算案第1目「數位建設」第1節「基礎建設環境」編列168萬5千元，本期計畫係為辦理強化公部門網路服務與運算雲端基礎設施-國家發展委員會雲世代雲端基礎建設計畫，惟此相關內容與</w:t>
      </w:r>
      <w:r w:rsidRPr="00BC7E20">
        <w:rPr>
          <w:rFonts w:ascii="標楷體" w:eastAsia="標楷體" w:hAnsi="標楷體" w:hint="eastAsia"/>
          <w:kern w:val="0"/>
          <w:sz w:val="32"/>
          <w:szCs w:val="32"/>
        </w:rPr>
        <w:t>中央政府前瞻基礎建設計畫第4期特別預算</w:t>
      </w:r>
      <w:r w:rsidRPr="00BC7E20">
        <w:rPr>
          <w:rFonts w:ascii="標楷體" w:eastAsia="標楷體" w:hAnsi="標楷體" w:hint="eastAsia"/>
          <w:sz w:val="32"/>
          <w:szCs w:val="32"/>
        </w:rPr>
        <w:t>所執行之項目及內容高度雷同，實有消耗預算之嫌，請國家發展委員會於2個月內向立法院財政及相關委員會提出書面報告。</w:t>
      </w:r>
    </w:p>
    <w:p w14:paraId="4B39278C" w14:textId="33B3366C"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6AAEFF79" w14:textId="47A9BFEA"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連署人：鄭天財</w:t>
      </w:r>
    </w:p>
    <w:p w14:paraId="568BA81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國家發展委員會於114年度中央政府前瞻基礎建設計畫第5期特別預算案第1目「數位建設」第1節「基礎建設環境」編列168萬5千元，係辦理政府公有雲環境建構。有鑑於數位發展部刻正推動跨境公有雲分持備份，以及擴大系統營運持續演練並提供相關經驗與技術諮詢服務，協助機關若遭逢大規模災害或緊急情況時，可持續提供足以維持社會運作之基本數位服務，及存有可復原核心服務之備份資料。又金融監督管理委員會之金融機構作業委託他人處理內部作業制度及程序辦法針對金融機構委託使用雲端服務，訂有涉及重大性消費金融業務資訊系統之客戶資料儲存地以位於我國境內為原則。如位於境外，除經主管機關核准者外，客戶重要資料應在我國留存備份。公部門對於未來可能之跨境異地公有雲備份</w:t>
      </w:r>
      <w:r w:rsidRPr="00BC7E20">
        <w:rPr>
          <w:rFonts w:ascii="標楷體" w:eastAsia="標楷體" w:hAnsi="標楷體" w:hint="eastAsia"/>
          <w:sz w:val="32"/>
          <w:szCs w:val="32"/>
        </w:rPr>
        <w:lastRenderedPageBreak/>
        <w:t>情境，宜更為謹慎研謀妥適制度。請國家發展委員會於2個月內，向立法院財政及相關委員會就公共政策網路參與平臺使用公有雲環境提出書面報告。</w:t>
      </w:r>
    </w:p>
    <w:p w14:paraId="46BC39BF" w14:textId="1AC3B396"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陳昭姿　麥玉珍　</w:t>
      </w:r>
    </w:p>
    <w:p w14:paraId="3E00217D"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(五)有鑑於中央政府前瞻基礎建設計畫第5期特別預算案執行期僅有114年度開始8個月執行時間，因此在國家發展委員會對數位建設中的亞洲．矽谷5G創新應用計畫已於</w:t>
      </w:r>
      <w:r w:rsidRPr="00BC7E20">
        <w:rPr>
          <w:rFonts w:ascii="標楷體" w:eastAsia="標楷體" w:hAnsi="標楷體" w:hint="eastAsia"/>
          <w:kern w:val="0"/>
          <w:sz w:val="32"/>
          <w:szCs w:val="32"/>
        </w:rPr>
        <w:t>中央政府前瞻基礎建設計畫第4期特別預算</w:t>
      </w:r>
      <w:r w:rsidRPr="00BC7E20">
        <w:rPr>
          <w:rFonts w:ascii="標楷體" w:eastAsia="標楷體" w:hAnsi="標楷體" w:hint="eastAsia"/>
          <w:sz w:val="32"/>
          <w:szCs w:val="32"/>
        </w:rPr>
        <w:t>出現執行延宕嚴重，更甚迄至113年度第三季開始，都還出現累計分配預算於已執行數額中有超過一半之未完成結報等經費，是以應當暫緩在</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倉促執行之規劃，並改由後續常態公務業務執行之檢討空間。爰此，請國家發展委員會於2個月內向立法院財政及相關委員會提出書面報告。</w:t>
      </w:r>
    </w:p>
    <w:p w14:paraId="26118EBB" w14:textId="09C8A49C"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0A9D5901"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六)國家發展委員會於114年度中央政府前瞻基礎建設計畫第5期特別預算案第1目「數位建設」第2節「推廣數位公益服務」項下「亞洲‧矽谷5G創新應用計畫」編列1億5,000萬元，期透過公私協力合作模式，建構5G通訊設備之可靠度驗證環境，結合垂直應用領域之示範場域，提升國內5G開放網路系統整合能量，加速推動5G創新應用服務及產業數位轉型。惟經查亞洲‧矽谷5G創新應用計畫</w:t>
      </w:r>
      <w:r w:rsidRPr="00BC7E20">
        <w:rPr>
          <w:rFonts w:ascii="標楷體" w:eastAsia="標楷體" w:hAnsi="標楷體" w:hint="eastAsia"/>
          <w:kern w:val="0"/>
          <w:sz w:val="32"/>
          <w:szCs w:val="32"/>
        </w:rPr>
        <w:t>中央政府前瞻基礎建設計畫第4期特別預算</w:t>
      </w:r>
      <w:r w:rsidRPr="00BC7E20">
        <w:rPr>
          <w:rFonts w:ascii="標楷體" w:eastAsia="標楷體" w:hAnsi="標楷體" w:hint="eastAsia"/>
          <w:sz w:val="32"/>
          <w:szCs w:val="32"/>
        </w:rPr>
        <w:t>執行情形，預算數為9億9,000萬元，截至113年7月底累計分配預算執行率雖達八成，惟累計執行數中扣除未完成結報之預付數5億3,813萬元，實現率未及三成，尚未支用數亦有2億6,413萬8千元，待執行數占比仍高，爰請國家發展委員會向立法院財政及相關委員會提出書面報告。</w:t>
      </w:r>
    </w:p>
    <w:p w14:paraId="516C3043" w14:textId="66789F1C"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3E845D52" w14:textId="419633D8"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76FCEA9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(七)國家發展委員會於114年度中央政府前瞻基礎建設計畫第5期特別預算案第2目「人才培育促進就業建設」編列「2030雙語</w:t>
      </w:r>
      <w:r w:rsidRPr="00BC7E20">
        <w:rPr>
          <w:rFonts w:ascii="標楷體" w:eastAsia="標楷體" w:hAnsi="標楷體" w:hint="eastAsia"/>
          <w:sz w:val="32"/>
          <w:szCs w:val="32"/>
        </w:rPr>
        <w:lastRenderedPageBreak/>
        <w:t>政策計畫-厚植國人英語力，提升人才之國際競爭力」預算1億2,750萬元，係為推動各項措施培育雙語人才接軌國際。經檢視2030雙語政策計畫中央政府前瞻基礎建設計畫第4期特別預算迄113年7月底執行情形，112至113年度編列9億0,890萬元，分配數4億2,352萬5千元，執行數1億3,935萬3千元，僅占分配數比率32.90%，執行率偏低。允宜妥為研謀對策，並強化規劃及執行進度控管事宜，俾利計畫之推動，爰請國家發展委員會向立法院財政及相關委員會提出書面報告。</w:t>
      </w:r>
    </w:p>
    <w:p w14:paraId="5FC111A6" w14:textId="551A8EC2"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0CCF0951" w14:textId="3782CF5E"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7DA50D2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八)國家發展委員會於114年度中央政府前瞻基礎建設計畫第5期特別預算案第2目「人才培育促進就業建設」編列1億2,750萬元，係為辦理2030雙語政策計畫-厚植國人英語力，提升人才之國際競爭力。而政府有意設置專責之行政法人-雙語政策執行中心，藉以長期推動此雙語政策，惟該行政法人之設置及其任務與功能目前尚待凝聚各界共識階段；有關之雙語政策執行工作分布在各有關機關，國家發展委員會僅負責政策之籌劃及管考推動工作，爰於該機關項下編列特別預算，實有消耗預算之嫌，爰請國家發展委員會向立法院財政及相關委員會提出書面報告。</w:t>
      </w:r>
    </w:p>
    <w:p w14:paraId="3FF5F811" w14:textId="2E149267"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提案人：盧縣一</w:t>
      </w:r>
    </w:p>
    <w:p w14:paraId="5A3A83DC" w14:textId="16ED5171"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蘇清泉　</w:t>
      </w:r>
    </w:p>
    <w:p w14:paraId="11E1670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九)國家發展委員會於114年度中央政府前瞻基礎建設計畫第5期特別預算案第2目「人才培育促進就業建設」編列1億2,750萬元。其中2030雙語政策計畫－厚植國人英語力，提升人才之國際競爭力部分，鑑於中央政府前瞻基礎建設計畫第4期特別預算，國家發展委員會雙語政策計畫預算執行率過低，至113年9月30日止僅17.78%，請國家發展委員會予以檢討並提出解決方案，爰請國家發展委員會於3個月內向立法院財政及相關委員會提出書面報告。</w:t>
      </w:r>
    </w:p>
    <w:p w14:paraId="0F3AB57D" w14:textId="64092694"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提案人：吳沛憶　</w:t>
      </w:r>
    </w:p>
    <w:p w14:paraId="5A51417E" w14:textId="53CD994D"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連署人：郭昱晴　林月琴　</w:t>
      </w:r>
    </w:p>
    <w:p w14:paraId="7A4A6AB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十)國家發展委員會於107、109、110年接連發布關於台灣2030雙語政策的政策藍圖及計畫。到了113年，距第一份計畫發布已過6年，當中有設定113年要達成的目標:1.全國有60%高中以下學校落實英語課採全英語授課，且每7所學校就有1所於部分領域課程實施雙語教學；2.全國每14所學校就有1所學校與國外學校締結姊妹校；3.全國40%高中以下學校運用 Cool English 平臺資源，辦理英語線上測驗，檢測學生聽說能力；4.累計培育6千名本國籍雙語教學師資，全國每5所學校就有1所學校引進外籍英語教學人員或部分工時之外籍英語教學助理；5.全國每8所高中就有1所開設雙語實驗班，且就讀雙語實驗班之學生英語聽說讀寫能力，均達到CEFR B1 以上的流利精熟等級。爰請國家發展委員會會同教育部就上述五大目標達成情況及設立行政法人專責機構推動進度，於3個月內向立法院財政及相關委員會提出書面報告。</w:t>
      </w:r>
    </w:p>
    <w:p w14:paraId="13EDF16A" w14:textId="5E82CB7A"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提案人：李坤城　王世堅　郭國文　</w:t>
      </w:r>
    </w:p>
    <w:p w14:paraId="2A5322AF"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0"/>
          <w:sz w:val="32"/>
          <w:szCs w:val="32"/>
        </w:rPr>
      </w:pPr>
      <w:r w:rsidRPr="00BC7E20">
        <w:rPr>
          <w:rFonts w:ascii="標楷體" w:eastAsia="標楷體" w:hAnsi="標楷體" w:hint="eastAsia"/>
          <w:sz w:val="32"/>
          <w:szCs w:val="32"/>
        </w:rPr>
        <w:t>(十一)近年我國海洋產業蓬勃發展，108年產值7,771億元，占同年度國內生產毛額（GDP）4.04%；111年產值上升至1兆7,031億元，增幅119%，占同年度國內生產毛額（GDP）7.86%，其中前三高產值之海洋產業依序為海洋運輸及補助、海洋漁業及養殖、海洋遊艇及其他船舶、載具，顯見我國海洋產業不容小覷。查行政院訂有2020國家海洋政策白皮書，在海洋產業發展與創新章節下規劃海洋產業發展空間，具體措施涵蓋強化西南海洋休憩廊帶。為提升我國海洋產業競爭力，並促使國人知海、近海、進海，以符海島國家之美名，政府應於政策上協助民間海洋產業發展，解決相關業者因開發成本龐大而難以融資、貸款之困境。爰此，要求國家發展委員會會同海洋委員會等部會研議將海洋產業納入兆元投資國家發展方案，並改善海洋產業投入</w:t>
      </w:r>
      <w:r w:rsidRPr="00BC7E20">
        <w:rPr>
          <w:rFonts w:ascii="標楷體" w:eastAsia="標楷體" w:hAnsi="標楷體" w:hint="eastAsia"/>
          <w:sz w:val="32"/>
          <w:szCs w:val="32"/>
        </w:rPr>
        <w:lastRenderedPageBreak/>
        <w:t>公共建設之融資條件，以利海洋產業發展，並於3個月內向立法院財政及相關委員會提出書面報告。</w:t>
      </w:r>
    </w:p>
    <w:p w14:paraId="52666FBC" w14:textId="6749FD62"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提案人：林俊憲　</w:t>
      </w:r>
    </w:p>
    <w:p w14:paraId="3ED9692C" w14:textId="1339F339"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連署人：王美惠　黃　捷　賴惠員</w:t>
      </w:r>
    </w:p>
    <w:p w14:paraId="35A489B6"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0"/>
          <w:sz w:val="32"/>
          <w:szCs w:val="32"/>
        </w:rPr>
      </w:pPr>
      <w:r w:rsidRPr="00BC7E20">
        <w:rPr>
          <w:rFonts w:ascii="標楷體" w:eastAsia="標楷體" w:hAnsi="標楷體" w:hint="eastAsia"/>
          <w:sz w:val="32"/>
          <w:szCs w:val="32"/>
        </w:rPr>
        <w:t>(十二)針對金融監督管理委員會將修法開放不動產投資信託(REITs)基金架構，來活絡我國REITs市場，並讓資產管理運用更加具有彈性，並提升REITs交易量。待修法通過後，國家公共建設得以REITs化，不僅讓建設成果與民眾共享，更讓我國政府獲得新資金，來加速公共建設進度。惟因REITs市場長年表現不佳，為避免REITs基金架構推出後乏人問津，爰請國家發展委員會偕同相關部會，盤點我國建設適合REITs化，並由財政部督導公股行庫評估協助發行，提升國人對於REITs商品信心，讓REITs市場朝正向發展，並於3個月內向立法院財政及相關委員會提出書面報告。</w:t>
      </w:r>
    </w:p>
    <w:p w14:paraId="0443E4F6" w14:textId="123282A1"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提案人：郭國文　</w:t>
      </w:r>
    </w:p>
    <w:p w14:paraId="3BB35CAD" w14:textId="7F95F601"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連署人：李坤城　賴惠員　</w:t>
      </w:r>
    </w:p>
    <w:p w14:paraId="6AF7323C" w14:textId="77777777" w:rsidR="009D64D0" w:rsidRPr="00BC7E20" w:rsidRDefault="009D64D0" w:rsidP="00F470A8">
      <w:pPr>
        <w:kinsoku w:val="0"/>
        <w:overflowPunct w:val="0"/>
        <w:autoSpaceDE w:val="0"/>
        <w:spacing w:line="480" w:lineRule="exact"/>
        <w:ind w:leftChars="200" w:left="1761" w:hangingChars="400" w:hanging="1281"/>
        <w:jc w:val="both"/>
        <w:rPr>
          <w:rFonts w:ascii="標楷體" w:eastAsia="標楷體" w:hAnsi="標楷體"/>
          <w:sz w:val="32"/>
          <w:szCs w:val="32"/>
        </w:rPr>
      </w:pPr>
      <w:r w:rsidRPr="00BC7E20">
        <w:rPr>
          <w:rFonts w:ascii="標楷體" w:eastAsia="標楷體" w:hAnsi="標楷體" w:hint="eastAsia"/>
          <w:b/>
          <w:sz w:val="32"/>
          <w:szCs w:val="32"/>
        </w:rPr>
        <w:t>第3項  原住民族委員會</w:t>
      </w:r>
      <w:r w:rsidRPr="00BC7E20">
        <w:rPr>
          <w:rFonts w:ascii="標楷體" w:eastAsia="標楷體" w:hAnsi="標楷體" w:hint="eastAsia"/>
          <w:sz w:val="32"/>
          <w:szCs w:val="32"/>
        </w:rPr>
        <w:t>6億4,940萬元，照列。</w:t>
      </w:r>
    </w:p>
    <w:p w14:paraId="284F1C63"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7E00CDB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(一)原住民族委員會於114年度</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第1目「城鄉建設」第2節「推動原住民族多元產業發展2.0」編列4億0,340萬元，本期計畫係原住民族委員會為推動原住民族多元產業發展2.0計畫，係以部落產業升級及通路數位加值，改善原住民族經濟環境、構築發展原住民族產業永續生態系所需經費。惟原住民族委員會迄今都無法提出具體完整之網路及實體門市銷售概況等成果說明資料。甚至，補助地方政府布建之通路據點，相關銷售額及其達成率也未符合原先計畫目標，顯見原住民族委員會相關輔導舉措、行銷宣傳策略及委辦執行結果未見成效，請原住民族委員會向立法院財政及相關委員會提出書面報告。</w:t>
      </w:r>
    </w:p>
    <w:p w14:paraId="7FE0D7D1" w14:textId="1B9FF4D3"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提案人：盧縣一　蘇清泉</w:t>
      </w:r>
    </w:p>
    <w:p w14:paraId="6FC47452" w14:textId="147D3593"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連署人：鄭天財　</w:t>
      </w:r>
    </w:p>
    <w:p w14:paraId="5EAF5051"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(二)原住民族委員會於114年度</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第1目「城鄉建設」第2節「推動原住民族多元產業發展2.0」編列4億0,340萬元。推動原住民族多元產業發展2.0此計畫內容係為執行部落產業升級及通路數位加值，改善原住民族經濟環境。經查，</w:t>
      </w:r>
      <w:r w:rsidRPr="00BC7E20">
        <w:rPr>
          <w:rFonts w:ascii="標楷體" w:eastAsia="標楷體" w:hAnsi="標楷體" w:hint="eastAsia"/>
          <w:kern w:val="0"/>
          <w:sz w:val="32"/>
          <w:szCs w:val="32"/>
        </w:rPr>
        <w:t>中央政府前瞻基礎建設計畫第3期特別預算該計畫</w:t>
      </w:r>
      <w:r w:rsidRPr="00BC7E20">
        <w:rPr>
          <w:rFonts w:ascii="標楷體" w:eastAsia="標楷體" w:hAnsi="標楷體" w:hint="eastAsia"/>
          <w:sz w:val="32"/>
          <w:szCs w:val="32"/>
        </w:rPr>
        <w:t>編列8億元，執行率為76.19%，</w:t>
      </w:r>
      <w:r w:rsidRPr="00BC7E20">
        <w:rPr>
          <w:rFonts w:ascii="標楷體" w:eastAsia="標楷體" w:hAnsi="標楷體" w:hint="eastAsia"/>
          <w:kern w:val="0"/>
          <w:sz w:val="32"/>
          <w:szCs w:val="32"/>
        </w:rPr>
        <w:t>中央政府前瞻基礎建設計畫第4期特別預算</w:t>
      </w:r>
      <w:r w:rsidRPr="00BC7E20">
        <w:rPr>
          <w:rFonts w:ascii="標楷體" w:eastAsia="標楷體" w:hAnsi="標楷體" w:hint="eastAsia"/>
          <w:sz w:val="32"/>
          <w:szCs w:val="32"/>
        </w:rPr>
        <w:t>執行率截至113年7月為54.40%，預算執行情況不甚理想，應有精進空間。又原住民族委員會前於原住民族經濟產業發展4年第2期計畫品牌通路建構項下，截至110年底編列多項包含品牌形塑推廣、數位虛實整合等計畫，業已開發多個電子商務平台、自營實體據點及補助地方政府布建通路據點，後由</w:t>
      </w:r>
      <w:r w:rsidRPr="00BC7E20">
        <w:rPr>
          <w:rFonts w:ascii="標楷體" w:eastAsia="標楷體" w:hAnsi="標楷體" w:hint="eastAsia"/>
          <w:kern w:val="0"/>
          <w:sz w:val="32"/>
          <w:szCs w:val="32"/>
        </w:rPr>
        <w:t>中央政府前瞻基礎建設計畫第3期</w:t>
      </w:r>
      <w:r w:rsidRPr="00BC7E20">
        <w:rPr>
          <w:rFonts w:ascii="標楷體" w:eastAsia="標楷體" w:hAnsi="標楷體" w:hint="eastAsia"/>
          <w:sz w:val="32"/>
          <w:szCs w:val="32"/>
        </w:rPr>
        <w:t>及</w:t>
      </w:r>
      <w:r w:rsidRPr="00BC7E20">
        <w:rPr>
          <w:rFonts w:ascii="標楷體" w:eastAsia="標楷體" w:hAnsi="標楷體" w:hint="eastAsia"/>
          <w:kern w:val="0"/>
          <w:sz w:val="32"/>
          <w:szCs w:val="32"/>
        </w:rPr>
        <w:t>第4期特別預算</w:t>
      </w:r>
      <w:r w:rsidRPr="00BC7E20">
        <w:rPr>
          <w:rFonts w:ascii="標楷體" w:eastAsia="標楷體" w:hAnsi="標楷體" w:hint="eastAsia"/>
          <w:sz w:val="32"/>
          <w:szCs w:val="32"/>
        </w:rPr>
        <w:t>推動原住民族多元產業發展2.0之子計畫通路數位加值挹注經費以利持續優化。然截至113年7月底，縣市通路之實際營業額為全年度目標值之40.95%，其中最低為屏東縣8.59%。允應檢視上開計畫各縣市據點銷售營運方式，並針對銷售額較低之縣市擬定個別改善方針與輔導，研議具體有效策略始能提高各銷售據點之銷售額目標，請原住民族委員會於3個月內向立法院財政及相關委員會提出書面報告。</w:t>
      </w:r>
    </w:p>
    <w:p w14:paraId="06A92E3D" w14:textId="653F0441"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陳昭姿　黃珊珊　</w:t>
      </w:r>
    </w:p>
    <w:p w14:paraId="235F827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(三)原住民族委員會於114年度中央政府前瞻基礎建設計畫第5期特別預算案於第1目「城鄉建設」第2節「推動原住民多元產業發展2.0」編列4億0,340萬元，辦理部落產業升級及通路數位加值。原住民族委員會以</w:t>
      </w:r>
      <w:r w:rsidRPr="00BC7E20">
        <w:rPr>
          <w:rFonts w:ascii="標楷體" w:eastAsia="標楷體" w:hAnsi="標楷體" w:hint="eastAsia"/>
          <w:kern w:val="0"/>
          <w:sz w:val="32"/>
          <w:szCs w:val="32"/>
        </w:rPr>
        <w:t>中央政府前瞻基礎建設計畫第3期</w:t>
      </w:r>
      <w:r w:rsidRPr="00BC7E20">
        <w:rPr>
          <w:rFonts w:ascii="標楷體" w:eastAsia="標楷體" w:hAnsi="標楷體" w:hint="eastAsia"/>
          <w:sz w:val="32"/>
          <w:szCs w:val="32"/>
        </w:rPr>
        <w:t>及</w:t>
      </w:r>
      <w:r w:rsidRPr="00BC7E20">
        <w:rPr>
          <w:rFonts w:ascii="標楷體" w:eastAsia="標楷體" w:hAnsi="標楷體" w:hint="eastAsia"/>
          <w:kern w:val="0"/>
          <w:sz w:val="32"/>
          <w:szCs w:val="32"/>
        </w:rPr>
        <w:t>第4期特別預算</w:t>
      </w:r>
      <w:r w:rsidRPr="00BC7E20">
        <w:rPr>
          <w:rFonts w:ascii="標楷體" w:eastAsia="標楷體" w:hAnsi="標楷體" w:hint="eastAsia"/>
          <w:sz w:val="32"/>
          <w:szCs w:val="32"/>
        </w:rPr>
        <w:t>推動原住民族多元產業發展2.0挹注經費優化LiMA電子商務平臺、LiMA旗艦店及補助地方政府布建通路據點。惟據立法院預算中心評估報告指出，檢視近年原住民族委員會網路及實體門市銷售概況，部分縣市通路據點之實際營業額未達目標值，截至113年至7月底止，縣市通路據點</w:t>
      </w:r>
      <w:r w:rsidRPr="00BC7E20">
        <w:rPr>
          <w:rFonts w:ascii="標楷體" w:eastAsia="標楷體" w:hAnsi="標楷體" w:hint="eastAsia"/>
          <w:sz w:val="32"/>
          <w:szCs w:val="32"/>
        </w:rPr>
        <w:lastRenderedPageBreak/>
        <w:t>之實際營業額2,890萬4千元，為全年度目標值7,059萬元之40.95%，部分通路據點營業額之達成率偏低，如屏東縣8.59%及高雄市24.07%；爰顯示原住民族委員會實體銷售通路之營運模式尚可研議有效之策略，以提高營業額。請原住民族委員會於1個月內，就提升實體通路銷售額之改善計畫，向立法院財政及相關委員會提出書面報告。</w:t>
      </w:r>
    </w:p>
    <w:p w14:paraId="221D2B29" w14:textId="7E292A97"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陳昭姿　麥玉珍　</w:t>
      </w:r>
    </w:p>
    <w:p w14:paraId="540D7725"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第4項  客家委員會及所屬</w:t>
      </w:r>
      <w:r w:rsidRPr="00BC7E20">
        <w:rPr>
          <w:rFonts w:ascii="標楷體" w:eastAsia="標楷體" w:hAnsi="標楷體" w:hint="eastAsia"/>
          <w:sz w:val="32"/>
          <w:szCs w:val="32"/>
        </w:rPr>
        <w:t>3億9,490萬元，照列。</w:t>
      </w:r>
    </w:p>
    <w:p w14:paraId="23A0A993"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本項通過決議4項：</w:t>
      </w:r>
    </w:p>
    <w:p w14:paraId="65962BC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(一)有鑑於客家委員會對前期之</w:t>
      </w:r>
      <w:r w:rsidRPr="00BC7E20">
        <w:rPr>
          <w:rFonts w:ascii="標楷體" w:eastAsia="標楷體" w:hAnsi="標楷體" w:hint="eastAsia"/>
          <w:kern w:val="0"/>
          <w:sz w:val="32"/>
          <w:szCs w:val="32"/>
        </w:rPr>
        <w:t>中央政府前瞻基礎建設計畫特別預算</w:t>
      </w:r>
      <w:r w:rsidRPr="00BC7E20">
        <w:rPr>
          <w:rFonts w:ascii="標楷體" w:eastAsia="標楷體" w:hAnsi="標楷體" w:hint="eastAsia"/>
          <w:sz w:val="32"/>
          <w:szCs w:val="32"/>
        </w:rPr>
        <w:t>中，關於客庄369幸福計畫預算執行率及實現數低落等問題，迄今尚欠有積極之檢討與解決。同時，客家委員會亦應正視不宜再於僅有之8個月執行期限的</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中，又徒增經費支用後等各採購作業再遇延宕等高度風險，而是應改由常態性公務作業接替有關傳統聚落創意設計、客庄人文建設及產業建設等事項。爰請客家委員會於</w:t>
      </w:r>
      <w:r w:rsidRPr="00BC7E20">
        <w:rPr>
          <w:rFonts w:ascii="標楷體" w:eastAsia="標楷體" w:hAnsi="標楷體" w:hint="eastAsia"/>
          <w:kern w:val="0"/>
          <w:sz w:val="32"/>
          <w:szCs w:val="32"/>
        </w:rPr>
        <w:t>中央政府前瞻基礎建設計畫第5期特別預算案，督促既已核定案件之執行，並於執行期限內達成實現數</w:t>
      </w:r>
      <w:r w:rsidRPr="00BC7E20">
        <w:rPr>
          <w:rFonts w:ascii="標楷體" w:eastAsia="標楷體" w:hAnsi="標楷體" w:hint="eastAsia"/>
          <w:sz w:val="32"/>
          <w:szCs w:val="32"/>
        </w:rPr>
        <w:t>。</w:t>
      </w:r>
    </w:p>
    <w:p w14:paraId="4D1AD7D9" w14:textId="7C7B3729"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19D7762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(二)客家委員會及所屬於</w:t>
      </w:r>
      <w:r w:rsidRPr="00BC7E20">
        <w:rPr>
          <w:rFonts w:ascii="標楷體" w:eastAsia="標楷體" w:hAnsi="標楷體" w:hint="eastAsia"/>
          <w:kern w:val="0"/>
          <w:sz w:val="32"/>
          <w:szCs w:val="32"/>
        </w:rPr>
        <w:t>中央政府前瞻基礎建設計畫第1期至第4期</w:t>
      </w:r>
      <w:r w:rsidRPr="00BC7E20">
        <w:rPr>
          <w:rFonts w:ascii="標楷體" w:eastAsia="標楷體" w:hAnsi="標楷體" w:hint="eastAsia"/>
          <w:sz w:val="32"/>
          <w:szCs w:val="32"/>
        </w:rPr>
        <w:t>特別預算「城鄉建設」共編列39億2,982萬2千元，</w:t>
      </w:r>
      <w:r w:rsidRPr="00BC7E20">
        <w:rPr>
          <w:rFonts w:ascii="標楷體" w:eastAsia="標楷體" w:hAnsi="標楷體" w:hint="eastAsia"/>
          <w:kern w:val="0"/>
          <w:sz w:val="32"/>
          <w:szCs w:val="32"/>
        </w:rPr>
        <w:t>中央政府前瞻基礎建設計畫第5期特別預算</w:t>
      </w:r>
      <w:r w:rsidRPr="00BC7E20">
        <w:rPr>
          <w:rFonts w:ascii="標楷體" w:eastAsia="標楷體" w:hAnsi="標楷體" w:hint="eastAsia"/>
          <w:sz w:val="32"/>
          <w:szCs w:val="32"/>
        </w:rPr>
        <w:t>案賡續編列3億9,490萬元「客庄369幸福計畫」部分工作項目進度未如預期，且113年度預算之執行仍待積極改善，宜依執行期程儘速辦理，且迄至113年7月底止執行結果實現數為1億3,151萬3千元，實現數占核定補助金額比率僅為13.03%，宜儘速辦理客庄藝術季契約協議變更及結案驗收作業，並督促核定補助辦理客庄人文建設及客庄產業建設之地方政府依執行期程儘速辦理，俾利計畫依限執行。爰</w:t>
      </w:r>
      <w:r w:rsidRPr="00BC7E20">
        <w:rPr>
          <w:rFonts w:ascii="標楷體" w:eastAsia="標楷體" w:hAnsi="標楷體" w:hint="eastAsia"/>
          <w:kern w:val="0"/>
          <w:sz w:val="32"/>
          <w:szCs w:val="32"/>
        </w:rPr>
        <w:t>中央政府前瞻基礎建設計畫第5期特別預算</w:t>
      </w:r>
      <w:r w:rsidRPr="00BC7E20">
        <w:rPr>
          <w:rFonts w:ascii="標楷體" w:eastAsia="標楷體" w:hAnsi="標楷體" w:hint="eastAsia"/>
          <w:sz w:val="32"/>
          <w:szCs w:val="32"/>
        </w:rPr>
        <w:t>案，請客家委員會督促相關文化發電機工程案如期如質完工</w:t>
      </w:r>
      <w:r w:rsidRPr="00BC7E20">
        <w:rPr>
          <w:rFonts w:ascii="標楷體" w:eastAsia="標楷體" w:hAnsi="標楷體" w:hint="eastAsia"/>
          <w:sz w:val="32"/>
          <w:szCs w:val="32"/>
        </w:rPr>
        <w:lastRenderedPageBreak/>
        <w:t>並提升其使用率，讓客家鄉親受惠並成為客家語言、文化傳承發揚的基地。</w:t>
      </w:r>
    </w:p>
    <w:tbl>
      <w:tblPr>
        <w:tblW w:w="0" w:type="auto"/>
        <w:tblInd w:w="1438" w:type="dxa"/>
        <w:tblLook w:val="04A0" w:firstRow="1" w:lastRow="0" w:firstColumn="1" w:lastColumn="0" w:noHBand="0" w:noVBand="1"/>
      </w:tblPr>
      <w:tblGrid>
        <w:gridCol w:w="796"/>
        <w:gridCol w:w="1000"/>
        <w:gridCol w:w="1120"/>
        <w:gridCol w:w="880"/>
        <w:gridCol w:w="640"/>
        <w:gridCol w:w="1728"/>
        <w:gridCol w:w="1807"/>
      </w:tblGrid>
      <w:tr w:rsidR="009D64D0" w:rsidRPr="00444018" w14:paraId="3C601F22" w14:textId="77777777" w:rsidTr="00B15B90">
        <w:trPr>
          <w:trHeight w:val="564"/>
        </w:trPr>
        <w:tc>
          <w:tcPr>
            <w:tcW w:w="796" w:type="dxa"/>
            <w:vMerge w:val="restart"/>
            <w:tcBorders>
              <w:top w:val="single" w:sz="12" w:space="0" w:color="000000"/>
              <w:left w:val="single" w:sz="12" w:space="0" w:color="000000"/>
              <w:bottom w:val="single" w:sz="4" w:space="0" w:color="auto"/>
              <w:right w:val="single" w:sz="6" w:space="0" w:color="000000"/>
            </w:tcBorders>
            <w:tcMar>
              <w:top w:w="0" w:type="dxa"/>
              <w:left w:w="20" w:type="dxa"/>
              <w:bottom w:w="0" w:type="dxa"/>
              <w:right w:w="20" w:type="dxa"/>
            </w:tcMar>
            <w:vAlign w:val="center"/>
            <w:hideMark/>
          </w:tcPr>
          <w:p w14:paraId="79DC733B"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縣市</w:t>
            </w:r>
          </w:p>
        </w:tc>
        <w:tc>
          <w:tcPr>
            <w:tcW w:w="0" w:type="auto"/>
            <w:vMerge w:val="restart"/>
            <w:tcBorders>
              <w:top w:val="single" w:sz="12" w:space="0" w:color="000000"/>
              <w:left w:val="single" w:sz="6" w:space="0" w:color="000000"/>
              <w:bottom w:val="single" w:sz="4" w:space="0" w:color="auto"/>
              <w:right w:val="single" w:sz="6" w:space="0" w:color="000000"/>
            </w:tcBorders>
            <w:tcMar>
              <w:top w:w="0" w:type="dxa"/>
              <w:left w:w="20" w:type="dxa"/>
              <w:bottom w:w="0" w:type="dxa"/>
              <w:right w:w="20" w:type="dxa"/>
            </w:tcMar>
            <w:vAlign w:val="center"/>
            <w:hideMark/>
          </w:tcPr>
          <w:p w14:paraId="193DA010"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核定補助</w:t>
            </w:r>
          </w:p>
          <w:p w14:paraId="6C324294"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計畫件數</w:t>
            </w:r>
          </w:p>
        </w:tc>
        <w:tc>
          <w:tcPr>
            <w:tcW w:w="0" w:type="auto"/>
            <w:vMerge w:val="restart"/>
            <w:tcBorders>
              <w:top w:val="single" w:sz="12" w:space="0" w:color="000000"/>
              <w:left w:val="single" w:sz="6" w:space="0" w:color="000000"/>
              <w:bottom w:val="single" w:sz="4" w:space="0" w:color="auto"/>
              <w:right w:val="single" w:sz="6" w:space="0" w:color="000000"/>
            </w:tcBorders>
            <w:tcMar>
              <w:top w:w="0" w:type="dxa"/>
              <w:left w:w="20" w:type="dxa"/>
              <w:bottom w:w="0" w:type="dxa"/>
              <w:right w:w="20" w:type="dxa"/>
            </w:tcMar>
            <w:vAlign w:val="center"/>
            <w:hideMark/>
          </w:tcPr>
          <w:p w14:paraId="5F310D84"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核定補助</w:t>
            </w:r>
          </w:p>
          <w:p w14:paraId="77E07490"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計畫經費</w:t>
            </w:r>
          </w:p>
        </w:tc>
        <w:tc>
          <w:tcPr>
            <w:tcW w:w="0" w:type="auto"/>
            <w:gridSpan w:val="2"/>
            <w:tcBorders>
              <w:top w:val="single" w:sz="12"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78E4C2ED"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實現數</w:t>
            </w:r>
          </w:p>
        </w:tc>
        <w:tc>
          <w:tcPr>
            <w:tcW w:w="3535" w:type="dxa"/>
            <w:gridSpan w:val="2"/>
            <w:tcBorders>
              <w:top w:val="single" w:sz="12" w:space="0" w:color="000000"/>
              <w:left w:val="single" w:sz="6" w:space="0" w:color="000000"/>
              <w:bottom w:val="single" w:sz="6" w:space="0" w:color="000000"/>
              <w:right w:val="single" w:sz="12" w:space="0" w:color="000000"/>
            </w:tcBorders>
            <w:tcMar>
              <w:top w:w="0" w:type="dxa"/>
              <w:left w:w="20" w:type="dxa"/>
              <w:bottom w:w="0" w:type="dxa"/>
              <w:right w:w="20" w:type="dxa"/>
            </w:tcMar>
            <w:hideMark/>
          </w:tcPr>
          <w:p w14:paraId="7B16FFCC"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應付未付數</w:t>
            </w:r>
          </w:p>
        </w:tc>
      </w:tr>
      <w:tr w:rsidR="009D64D0" w:rsidRPr="00444018" w14:paraId="6BFDC480" w14:textId="77777777" w:rsidTr="00B15B90">
        <w:trPr>
          <w:trHeight w:val="431"/>
        </w:trPr>
        <w:tc>
          <w:tcPr>
            <w:tcW w:w="0" w:type="auto"/>
            <w:vMerge/>
            <w:tcBorders>
              <w:top w:val="single" w:sz="12" w:space="0" w:color="000000"/>
              <w:left w:val="single" w:sz="12" w:space="0" w:color="000000"/>
              <w:bottom w:val="single" w:sz="4" w:space="0" w:color="auto"/>
              <w:right w:val="single" w:sz="6" w:space="0" w:color="000000"/>
            </w:tcBorders>
            <w:vAlign w:val="center"/>
            <w:hideMark/>
          </w:tcPr>
          <w:p w14:paraId="4E973617" w14:textId="77777777" w:rsidR="009D64D0" w:rsidRPr="00444018" w:rsidRDefault="009D64D0" w:rsidP="00B15B90">
            <w:pPr>
              <w:kinsoku w:val="0"/>
              <w:overflowPunct w:val="0"/>
              <w:autoSpaceDE w:val="0"/>
              <w:spacing w:line="200" w:lineRule="exact"/>
              <w:rPr>
                <w:rFonts w:ascii="標楷體" w:eastAsia="標楷體" w:hAnsi="標楷體" w:cs="Arial"/>
                <w:kern w:val="0"/>
                <w:szCs w:val="24"/>
              </w:rPr>
            </w:pPr>
          </w:p>
        </w:tc>
        <w:tc>
          <w:tcPr>
            <w:tcW w:w="0" w:type="auto"/>
            <w:vMerge/>
            <w:tcBorders>
              <w:top w:val="single" w:sz="12" w:space="0" w:color="000000"/>
              <w:left w:val="single" w:sz="6" w:space="0" w:color="000000"/>
              <w:bottom w:val="single" w:sz="4" w:space="0" w:color="auto"/>
              <w:right w:val="single" w:sz="6" w:space="0" w:color="000000"/>
            </w:tcBorders>
            <w:vAlign w:val="center"/>
            <w:hideMark/>
          </w:tcPr>
          <w:p w14:paraId="1A02E8EC" w14:textId="77777777" w:rsidR="009D64D0" w:rsidRPr="00444018" w:rsidRDefault="009D64D0" w:rsidP="00B15B90">
            <w:pPr>
              <w:kinsoku w:val="0"/>
              <w:overflowPunct w:val="0"/>
              <w:autoSpaceDE w:val="0"/>
              <w:spacing w:line="200" w:lineRule="exact"/>
              <w:rPr>
                <w:rFonts w:ascii="標楷體" w:eastAsia="標楷體" w:hAnsi="標楷體" w:cs="Arial"/>
                <w:kern w:val="0"/>
                <w:szCs w:val="24"/>
              </w:rPr>
            </w:pPr>
          </w:p>
        </w:tc>
        <w:tc>
          <w:tcPr>
            <w:tcW w:w="0" w:type="auto"/>
            <w:vMerge/>
            <w:tcBorders>
              <w:top w:val="single" w:sz="12" w:space="0" w:color="000000"/>
              <w:left w:val="single" w:sz="6" w:space="0" w:color="000000"/>
              <w:bottom w:val="single" w:sz="4" w:space="0" w:color="auto"/>
              <w:right w:val="single" w:sz="6" w:space="0" w:color="000000"/>
            </w:tcBorders>
            <w:vAlign w:val="center"/>
            <w:hideMark/>
          </w:tcPr>
          <w:p w14:paraId="7CAE7408" w14:textId="77777777" w:rsidR="009D64D0" w:rsidRPr="00444018" w:rsidRDefault="009D64D0" w:rsidP="00B15B90">
            <w:pPr>
              <w:kinsoku w:val="0"/>
              <w:overflowPunct w:val="0"/>
              <w:autoSpaceDE w:val="0"/>
              <w:spacing w:line="200" w:lineRule="exact"/>
              <w:rPr>
                <w:rFonts w:ascii="標楷體" w:eastAsia="標楷體" w:hAnsi="標楷體" w:cs="Arial"/>
                <w:kern w:val="0"/>
                <w:szCs w:val="24"/>
              </w:rPr>
            </w:pP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4BA64FFD"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金額</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46578B21"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w:t>
            </w:r>
          </w:p>
        </w:tc>
        <w:tc>
          <w:tcPr>
            <w:tcW w:w="1728" w:type="dxa"/>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2781523F"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金額</w:t>
            </w:r>
          </w:p>
        </w:tc>
        <w:tc>
          <w:tcPr>
            <w:tcW w:w="1807" w:type="dxa"/>
            <w:tcBorders>
              <w:top w:val="single" w:sz="6" w:space="0" w:color="000000"/>
              <w:left w:val="single" w:sz="6" w:space="0" w:color="000000"/>
              <w:bottom w:val="single" w:sz="6" w:space="0" w:color="000000"/>
              <w:right w:val="single" w:sz="12" w:space="0" w:color="000000"/>
            </w:tcBorders>
            <w:tcMar>
              <w:top w:w="0" w:type="dxa"/>
              <w:left w:w="20" w:type="dxa"/>
              <w:bottom w:w="0" w:type="dxa"/>
              <w:right w:w="20" w:type="dxa"/>
            </w:tcMar>
            <w:hideMark/>
          </w:tcPr>
          <w:p w14:paraId="273D0BE3"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w:t>
            </w:r>
          </w:p>
        </w:tc>
      </w:tr>
      <w:tr w:rsidR="009D64D0" w:rsidRPr="00444018" w14:paraId="1916BBA4" w14:textId="77777777" w:rsidTr="00444018">
        <w:trPr>
          <w:trHeight w:val="390"/>
        </w:trPr>
        <w:tc>
          <w:tcPr>
            <w:tcW w:w="796" w:type="dxa"/>
            <w:tcBorders>
              <w:top w:val="single" w:sz="4" w:space="0" w:color="auto"/>
              <w:left w:val="single" w:sz="12" w:space="0" w:color="000000"/>
              <w:bottom w:val="single" w:sz="6" w:space="0" w:color="000000"/>
              <w:right w:val="single" w:sz="6" w:space="0" w:color="000000"/>
            </w:tcBorders>
            <w:tcMar>
              <w:top w:w="0" w:type="dxa"/>
              <w:left w:w="20" w:type="dxa"/>
              <w:bottom w:w="0" w:type="dxa"/>
              <w:right w:w="20" w:type="dxa"/>
            </w:tcMar>
            <w:hideMark/>
          </w:tcPr>
          <w:p w14:paraId="016855D2"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新竹縣</w:t>
            </w:r>
          </w:p>
        </w:tc>
        <w:tc>
          <w:tcPr>
            <w:tcW w:w="0" w:type="auto"/>
            <w:tcBorders>
              <w:top w:val="single" w:sz="4" w:space="0" w:color="auto"/>
              <w:left w:val="single" w:sz="6" w:space="0" w:color="000000"/>
              <w:bottom w:val="single" w:sz="6" w:space="0" w:color="000000"/>
              <w:right w:val="single" w:sz="6" w:space="0" w:color="000000"/>
            </w:tcBorders>
            <w:tcMar>
              <w:top w:w="0" w:type="dxa"/>
              <w:left w:w="20" w:type="dxa"/>
              <w:bottom w:w="0" w:type="dxa"/>
              <w:right w:w="20" w:type="dxa"/>
            </w:tcMar>
            <w:hideMark/>
          </w:tcPr>
          <w:p w14:paraId="1AB0FB62"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w:t>
            </w:r>
          </w:p>
        </w:tc>
        <w:tc>
          <w:tcPr>
            <w:tcW w:w="0" w:type="auto"/>
            <w:tcBorders>
              <w:top w:val="single" w:sz="4" w:space="0" w:color="auto"/>
              <w:left w:val="single" w:sz="6" w:space="0" w:color="000000"/>
              <w:bottom w:val="single" w:sz="6" w:space="0" w:color="000000"/>
              <w:right w:val="single" w:sz="6" w:space="0" w:color="000000"/>
            </w:tcBorders>
            <w:tcMar>
              <w:top w:w="0" w:type="dxa"/>
              <w:left w:w="20" w:type="dxa"/>
              <w:bottom w:w="0" w:type="dxa"/>
              <w:right w:w="20" w:type="dxa"/>
            </w:tcMar>
            <w:hideMark/>
          </w:tcPr>
          <w:p w14:paraId="12A8AAE2"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462,820</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6BB05BA1"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131,513</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67B82888"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28.42</w:t>
            </w:r>
          </w:p>
        </w:tc>
        <w:tc>
          <w:tcPr>
            <w:tcW w:w="1728" w:type="dxa"/>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1EF7E75D"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331,307</w:t>
            </w:r>
          </w:p>
        </w:tc>
        <w:tc>
          <w:tcPr>
            <w:tcW w:w="1807" w:type="dxa"/>
            <w:tcBorders>
              <w:top w:val="single" w:sz="6" w:space="0" w:color="000000"/>
              <w:left w:val="single" w:sz="6" w:space="0" w:color="000000"/>
              <w:bottom w:val="single" w:sz="6" w:space="0" w:color="000000"/>
              <w:right w:val="single" w:sz="12" w:space="0" w:color="000000"/>
            </w:tcBorders>
            <w:tcMar>
              <w:top w:w="0" w:type="dxa"/>
              <w:left w:w="20" w:type="dxa"/>
              <w:bottom w:w="0" w:type="dxa"/>
              <w:right w:w="20" w:type="dxa"/>
            </w:tcMar>
            <w:hideMark/>
          </w:tcPr>
          <w:p w14:paraId="27739B3A"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71.58</w:t>
            </w:r>
          </w:p>
        </w:tc>
      </w:tr>
      <w:tr w:rsidR="009D64D0" w:rsidRPr="00444018" w14:paraId="1339ADC0" w14:textId="77777777" w:rsidTr="00444018">
        <w:trPr>
          <w:trHeight w:val="390"/>
        </w:trPr>
        <w:tc>
          <w:tcPr>
            <w:tcW w:w="796" w:type="dxa"/>
            <w:tcBorders>
              <w:top w:val="single" w:sz="6" w:space="0" w:color="000000"/>
              <w:left w:val="single" w:sz="12" w:space="0" w:color="000000"/>
              <w:bottom w:val="single" w:sz="6" w:space="0" w:color="000000"/>
              <w:right w:val="single" w:sz="6" w:space="0" w:color="000000"/>
            </w:tcBorders>
            <w:tcMar>
              <w:top w:w="0" w:type="dxa"/>
              <w:left w:w="20" w:type="dxa"/>
              <w:bottom w:w="0" w:type="dxa"/>
              <w:right w:w="20" w:type="dxa"/>
            </w:tcMar>
            <w:hideMark/>
          </w:tcPr>
          <w:p w14:paraId="18294591"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苗栗縣</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025E8DFE"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0079F33D"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226,125</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617513D9"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0</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63874E81"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0.00</w:t>
            </w:r>
          </w:p>
        </w:tc>
        <w:tc>
          <w:tcPr>
            <w:tcW w:w="1728" w:type="dxa"/>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58DBA06D"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226,125</w:t>
            </w:r>
          </w:p>
        </w:tc>
        <w:tc>
          <w:tcPr>
            <w:tcW w:w="1807" w:type="dxa"/>
            <w:tcBorders>
              <w:top w:val="single" w:sz="6" w:space="0" w:color="000000"/>
              <w:left w:val="single" w:sz="6" w:space="0" w:color="000000"/>
              <w:bottom w:val="single" w:sz="6" w:space="0" w:color="000000"/>
              <w:right w:val="single" w:sz="12" w:space="0" w:color="000000"/>
            </w:tcBorders>
            <w:tcMar>
              <w:top w:w="0" w:type="dxa"/>
              <w:left w:w="20" w:type="dxa"/>
              <w:bottom w:w="0" w:type="dxa"/>
              <w:right w:w="20" w:type="dxa"/>
            </w:tcMar>
            <w:hideMark/>
          </w:tcPr>
          <w:p w14:paraId="7CA64F35"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100.00</w:t>
            </w:r>
          </w:p>
        </w:tc>
      </w:tr>
      <w:tr w:rsidR="009D64D0" w:rsidRPr="00444018" w14:paraId="06104FE8" w14:textId="77777777" w:rsidTr="00444018">
        <w:trPr>
          <w:trHeight w:val="390"/>
        </w:trPr>
        <w:tc>
          <w:tcPr>
            <w:tcW w:w="796" w:type="dxa"/>
            <w:tcBorders>
              <w:top w:val="single" w:sz="6" w:space="0" w:color="000000"/>
              <w:left w:val="single" w:sz="12" w:space="0" w:color="000000"/>
              <w:bottom w:val="single" w:sz="6" w:space="0" w:color="000000"/>
              <w:right w:val="single" w:sz="6" w:space="0" w:color="000000"/>
            </w:tcBorders>
            <w:tcMar>
              <w:top w:w="0" w:type="dxa"/>
              <w:left w:w="20" w:type="dxa"/>
              <w:bottom w:w="0" w:type="dxa"/>
              <w:right w:w="20" w:type="dxa"/>
            </w:tcMar>
            <w:hideMark/>
          </w:tcPr>
          <w:p w14:paraId="26CB5E37"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屏東縣</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62EA380C"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3</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4E751CEB"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320,400</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7DE3472C"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0</w:t>
            </w:r>
          </w:p>
        </w:tc>
        <w:tc>
          <w:tcPr>
            <w:tcW w:w="0" w:type="auto"/>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132E6117"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0.00</w:t>
            </w:r>
          </w:p>
        </w:tc>
        <w:tc>
          <w:tcPr>
            <w:tcW w:w="1728" w:type="dxa"/>
            <w:tcBorders>
              <w:top w:val="single" w:sz="6" w:space="0" w:color="000000"/>
              <w:left w:val="single" w:sz="6" w:space="0" w:color="000000"/>
              <w:bottom w:val="single" w:sz="6" w:space="0" w:color="000000"/>
              <w:right w:val="single" w:sz="6" w:space="0" w:color="000000"/>
            </w:tcBorders>
            <w:tcMar>
              <w:top w:w="0" w:type="dxa"/>
              <w:left w:w="20" w:type="dxa"/>
              <w:bottom w:w="0" w:type="dxa"/>
              <w:right w:w="20" w:type="dxa"/>
            </w:tcMar>
            <w:hideMark/>
          </w:tcPr>
          <w:p w14:paraId="754F7DCD"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320,400</w:t>
            </w:r>
          </w:p>
        </w:tc>
        <w:tc>
          <w:tcPr>
            <w:tcW w:w="1807" w:type="dxa"/>
            <w:tcBorders>
              <w:top w:val="single" w:sz="6" w:space="0" w:color="000000"/>
              <w:left w:val="single" w:sz="6" w:space="0" w:color="000000"/>
              <w:bottom w:val="single" w:sz="6" w:space="0" w:color="000000"/>
              <w:right w:val="single" w:sz="12" w:space="0" w:color="000000"/>
            </w:tcBorders>
            <w:tcMar>
              <w:top w:w="0" w:type="dxa"/>
              <w:left w:w="20" w:type="dxa"/>
              <w:bottom w:w="0" w:type="dxa"/>
              <w:right w:w="20" w:type="dxa"/>
            </w:tcMar>
            <w:hideMark/>
          </w:tcPr>
          <w:p w14:paraId="059A287F"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100.00</w:t>
            </w:r>
          </w:p>
        </w:tc>
      </w:tr>
      <w:tr w:rsidR="009D64D0" w:rsidRPr="00444018" w14:paraId="1769F902" w14:textId="77777777" w:rsidTr="00444018">
        <w:trPr>
          <w:trHeight w:val="405"/>
        </w:trPr>
        <w:tc>
          <w:tcPr>
            <w:tcW w:w="796" w:type="dxa"/>
            <w:tcBorders>
              <w:top w:val="single" w:sz="6" w:space="0" w:color="000000"/>
              <w:left w:val="single" w:sz="12" w:space="0" w:color="000000"/>
              <w:bottom w:val="single" w:sz="12" w:space="0" w:color="000000"/>
              <w:right w:val="single" w:sz="6" w:space="0" w:color="000000"/>
            </w:tcBorders>
            <w:tcMar>
              <w:top w:w="0" w:type="dxa"/>
              <w:left w:w="20" w:type="dxa"/>
              <w:bottom w:w="0" w:type="dxa"/>
              <w:right w:w="20" w:type="dxa"/>
            </w:tcMar>
            <w:hideMark/>
          </w:tcPr>
          <w:p w14:paraId="3AD61A80"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小計</w:t>
            </w:r>
          </w:p>
        </w:tc>
        <w:tc>
          <w:tcPr>
            <w:tcW w:w="0" w:type="auto"/>
            <w:tcBorders>
              <w:top w:val="single" w:sz="6" w:space="0" w:color="000000"/>
              <w:left w:val="single" w:sz="6" w:space="0" w:color="000000"/>
              <w:bottom w:val="single" w:sz="12" w:space="0" w:color="000000"/>
              <w:right w:val="single" w:sz="6" w:space="0" w:color="000000"/>
            </w:tcBorders>
            <w:tcMar>
              <w:top w:w="0" w:type="dxa"/>
              <w:left w:w="20" w:type="dxa"/>
              <w:bottom w:w="0" w:type="dxa"/>
              <w:right w:w="20" w:type="dxa"/>
            </w:tcMar>
            <w:hideMark/>
          </w:tcPr>
          <w:p w14:paraId="42C36236"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5</w:t>
            </w:r>
          </w:p>
        </w:tc>
        <w:tc>
          <w:tcPr>
            <w:tcW w:w="0" w:type="auto"/>
            <w:tcBorders>
              <w:top w:val="single" w:sz="6" w:space="0" w:color="000000"/>
              <w:left w:val="single" w:sz="6" w:space="0" w:color="000000"/>
              <w:bottom w:val="single" w:sz="12" w:space="0" w:color="000000"/>
              <w:right w:val="single" w:sz="6" w:space="0" w:color="000000"/>
            </w:tcBorders>
            <w:tcMar>
              <w:top w:w="0" w:type="dxa"/>
              <w:left w:w="20" w:type="dxa"/>
              <w:bottom w:w="0" w:type="dxa"/>
              <w:right w:w="20" w:type="dxa"/>
            </w:tcMar>
            <w:hideMark/>
          </w:tcPr>
          <w:p w14:paraId="5C9B96EB"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1,009,345</w:t>
            </w:r>
          </w:p>
        </w:tc>
        <w:tc>
          <w:tcPr>
            <w:tcW w:w="0" w:type="auto"/>
            <w:tcBorders>
              <w:top w:val="single" w:sz="6" w:space="0" w:color="000000"/>
              <w:left w:val="single" w:sz="6" w:space="0" w:color="000000"/>
              <w:bottom w:val="single" w:sz="12" w:space="0" w:color="000000"/>
              <w:right w:val="single" w:sz="6" w:space="0" w:color="000000"/>
            </w:tcBorders>
            <w:tcMar>
              <w:top w:w="0" w:type="dxa"/>
              <w:left w:w="20" w:type="dxa"/>
              <w:bottom w:w="0" w:type="dxa"/>
              <w:right w:w="20" w:type="dxa"/>
            </w:tcMar>
            <w:hideMark/>
          </w:tcPr>
          <w:p w14:paraId="57F9A563"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131,513</w:t>
            </w:r>
          </w:p>
        </w:tc>
        <w:tc>
          <w:tcPr>
            <w:tcW w:w="0" w:type="auto"/>
            <w:tcBorders>
              <w:top w:val="single" w:sz="6" w:space="0" w:color="000000"/>
              <w:left w:val="single" w:sz="6" w:space="0" w:color="000000"/>
              <w:bottom w:val="single" w:sz="12" w:space="0" w:color="000000"/>
              <w:right w:val="single" w:sz="6" w:space="0" w:color="000000"/>
            </w:tcBorders>
            <w:tcMar>
              <w:top w:w="0" w:type="dxa"/>
              <w:left w:w="20" w:type="dxa"/>
              <w:bottom w:w="0" w:type="dxa"/>
              <w:right w:w="20" w:type="dxa"/>
            </w:tcMar>
            <w:hideMark/>
          </w:tcPr>
          <w:p w14:paraId="1F4AB603"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13.03</w:t>
            </w:r>
          </w:p>
        </w:tc>
        <w:tc>
          <w:tcPr>
            <w:tcW w:w="1728" w:type="dxa"/>
            <w:tcBorders>
              <w:top w:val="single" w:sz="6" w:space="0" w:color="000000"/>
              <w:left w:val="single" w:sz="6" w:space="0" w:color="000000"/>
              <w:bottom w:val="single" w:sz="12" w:space="0" w:color="000000"/>
              <w:right w:val="single" w:sz="6" w:space="0" w:color="000000"/>
            </w:tcBorders>
            <w:tcMar>
              <w:top w:w="0" w:type="dxa"/>
              <w:left w:w="20" w:type="dxa"/>
              <w:bottom w:w="0" w:type="dxa"/>
              <w:right w:w="20" w:type="dxa"/>
            </w:tcMar>
            <w:hideMark/>
          </w:tcPr>
          <w:p w14:paraId="10354BE9"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877,832</w:t>
            </w:r>
          </w:p>
        </w:tc>
        <w:tc>
          <w:tcPr>
            <w:tcW w:w="1807" w:type="dxa"/>
            <w:tcBorders>
              <w:top w:val="single" w:sz="6" w:space="0" w:color="000000"/>
              <w:left w:val="single" w:sz="6" w:space="0" w:color="000000"/>
              <w:bottom w:val="single" w:sz="12" w:space="0" w:color="000000"/>
              <w:right w:val="single" w:sz="12" w:space="0" w:color="000000"/>
            </w:tcBorders>
            <w:tcMar>
              <w:top w:w="0" w:type="dxa"/>
              <w:left w:w="20" w:type="dxa"/>
              <w:bottom w:w="0" w:type="dxa"/>
              <w:right w:w="20" w:type="dxa"/>
            </w:tcMar>
            <w:hideMark/>
          </w:tcPr>
          <w:p w14:paraId="67ADF3AC" w14:textId="77777777" w:rsidR="009D64D0" w:rsidRPr="00444018" w:rsidRDefault="009D64D0" w:rsidP="00B15B90">
            <w:pPr>
              <w:kinsoku w:val="0"/>
              <w:overflowPunct w:val="0"/>
              <w:autoSpaceDE w:val="0"/>
              <w:spacing w:before="240" w:after="240" w:line="200" w:lineRule="exact"/>
              <w:jc w:val="center"/>
              <w:rPr>
                <w:rFonts w:ascii="標楷體" w:eastAsia="標楷體" w:hAnsi="標楷體" w:cs="Arial"/>
                <w:kern w:val="0"/>
                <w:szCs w:val="24"/>
              </w:rPr>
            </w:pPr>
            <w:r w:rsidRPr="00444018">
              <w:rPr>
                <w:rFonts w:ascii="標楷體" w:eastAsia="標楷體" w:hAnsi="標楷體" w:cs="Arial" w:hint="eastAsia"/>
                <w:kern w:val="0"/>
                <w:szCs w:val="24"/>
              </w:rPr>
              <w:t>86.97</w:t>
            </w:r>
          </w:p>
        </w:tc>
      </w:tr>
    </w:tbl>
    <w:p w14:paraId="57828E4D" w14:textId="0AA35AAE"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提案人：蘇清泉　涂權吉　陳菁徽　</w:t>
      </w:r>
    </w:p>
    <w:p w14:paraId="469A123D"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客家委員會及所屬於114年度中央政府前瞻基礎建設計畫第5期特別預算案第1目「城鄉建設」編列3億9,490萬元，辦理客庄369幸福計畫。查該計畫主要係補助地方政府辦理客庄創意設計及人文、產業建設，並培植社區持續發展動能，惟補助計畫地區以桃竹苗中臺三線地區、高屏六堆地區，以及花東縱谷臺九線廊道為範圍。惟據客家委員會110年全國客家人口暨語言基礎資料調查研究報告指出，全臺客家人口數約466.9萬人，其中台北市客家人口約45.3萬人；新北約67.2萬人。雙北人口合計破百萬人，占全台客家人口將近四分之一，顯示都會客家人口不在少數，不應忽視都會區客家文化發展保存及建設推動。請客家委員會於1個月內，就獎助都會區客家文化發展保存與推廣之計畫，向立法院財政及相關委員會提出書面報告。</w:t>
      </w:r>
    </w:p>
    <w:p w14:paraId="1FBA8814" w14:textId="7F9DB928"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陳昭姿　麥玉珍　</w:t>
      </w:r>
    </w:p>
    <w:p w14:paraId="5203198B"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(四)客家委員會及所屬於114年度</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第1目「城鄉建設」第1節「客庄369幸福」編列3億9,490萬元，旨在促進客庄地區的文化、人文及產業建設，透過多元計畫項目，提升客庄居民生活幸福感與區域發展</w:t>
      </w:r>
      <w:r w:rsidRPr="00BC7E20">
        <w:rPr>
          <w:rFonts w:ascii="標楷體" w:eastAsia="標楷體" w:hAnsi="標楷體" w:hint="eastAsia"/>
          <w:sz w:val="32"/>
          <w:szCs w:val="32"/>
        </w:rPr>
        <w:lastRenderedPageBreak/>
        <w:t>動能。該計畫以振興客庄經濟、促進文化傳承及強化地方特色為核心，對於促進客家文化永續發展與地方經濟繁榮具有重要意義。透過人文建設及產業發展的整合推動，不僅能改善客庄地區的基礎建設與公共服務，亦能提升整體社會對客家文化的認識與支持，達成文化與經濟並進的目標。然根據立法院預算中心評估報告及執行成效檢討，「客庄369幸福計畫」第4期至113年7月底止，部分工作項目進度未如預期，且113年度預算執行狀況仍有待改善。基此，</w:t>
      </w:r>
      <w:r w:rsidRPr="00BC7E20">
        <w:rPr>
          <w:rFonts w:ascii="標楷體" w:eastAsia="標楷體" w:hAnsi="標楷體" w:hint="eastAsia"/>
          <w:kern w:val="0"/>
          <w:sz w:val="32"/>
          <w:szCs w:val="32"/>
        </w:rPr>
        <w:t>中央政府前瞻基礎建設計畫第5期特別預算案</w:t>
      </w:r>
      <w:r w:rsidRPr="00BC7E20">
        <w:rPr>
          <w:rFonts w:ascii="標楷體" w:eastAsia="標楷體" w:hAnsi="標楷體" w:hint="eastAsia"/>
          <w:sz w:val="32"/>
          <w:szCs w:val="32"/>
        </w:rPr>
        <w:t>賡續編列相關經費後，建請客家委員會及所屬應儘速辦理如客庄藝術季等尚未完成的契約協議變更及結案驗收作業，並督促地方政府依計畫核定內容，加強執行補助項目，以確保資金之有效運用及計畫目標如期達成。</w:t>
      </w:r>
    </w:p>
    <w:p w14:paraId="5BF7BEC3" w14:textId="07A415FE"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4A5E33CD" w14:textId="250269C3"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連署人：郭昱晴　王正旭　</w:t>
      </w:r>
    </w:p>
    <w:p w14:paraId="1AF62E12" w14:textId="0D94DB87" w:rsidR="009D64D0" w:rsidRPr="00BC7E20" w:rsidRDefault="009D64D0" w:rsidP="00B15B90">
      <w:pPr>
        <w:kinsoku w:val="0"/>
        <w:overflowPunct w:val="0"/>
        <w:autoSpaceDE w:val="0"/>
        <w:spacing w:line="480" w:lineRule="exact"/>
        <w:ind w:leftChars="200" w:left="1601" w:hangingChars="350" w:hanging="1121"/>
        <w:jc w:val="both"/>
        <w:rPr>
          <w:rFonts w:ascii="標楷體" w:eastAsia="標楷體" w:hAnsi="標楷體"/>
          <w:b/>
          <w:sz w:val="32"/>
          <w:szCs w:val="32"/>
        </w:rPr>
      </w:pPr>
      <w:r w:rsidRPr="00BC7E20">
        <w:rPr>
          <w:rFonts w:ascii="標楷體" w:eastAsia="標楷體" w:hAnsi="標楷體" w:hint="eastAsia"/>
          <w:b/>
          <w:sz w:val="32"/>
          <w:szCs w:val="32"/>
        </w:rPr>
        <w:t>第5項</w:t>
      </w:r>
      <w:r w:rsidR="00B15B90"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核能安全委員會及所屬</w:t>
      </w:r>
      <w:r w:rsidRPr="00BC7E20">
        <w:rPr>
          <w:rFonts w:ascii="標楷體" w:eastAsia="標楷體" w:hAnsi="標楷體" w:hint="eastAsia"/>
          <w:color w:val="000000"/>
          <w:sz w:val="32"/>
          <w:szCs w:val="32"/>
        </w:rPr>
        <w:t>原列7,800萬元，減列第1目「綠能建設」項下「獎補助費」300萬元（科目自行調整），其餘均照列，改列為7,500萬元。</w:t>
      </w:r>
    </w:p>
    <w:p w14:paraId="71521FE9"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769F1066" w14:textId="77777777" w:rsidR="009D64D0" w:rsidRPr="00BC7E20" w:rsidRDefault="009D64D0" w:rsidP="00FA328D">
      <w:pPr>
        <w:widowControl w:val="0"/>
        <w:numPr>
          <w:ilvl w:val="0"/>
          <w:numId w:val="56"/>
        </w:numPr>
        <w:kinsoku w:val="0"/>
        <w:overflowPunct w:val="0"/>
        <w:autoSpaceDE w:val="0"/>
        <w:spacing w:line="480" w:lineRule="exact"/>
        <w:jc w:val="both"/>
        <w:textAlignment w:val="auto"/>
        <w:rPr>
          <w:rFonts w:ascii="標楷體" w:eastAsia="標楷體" w:hAnsi="標楷體"/>
          <w:sz w:val="32"/>
          <w:szCs w:val="32"/>
        </w:rPr>
      </w:pPr>
      <w:r w:rsidRPr="00BC7E20">
        <w:rPr>
          <w:rFonts w:ascii="標楷體" w:eastAsia="標楷體" w:hAnsi="標楷體" w:hint="eastAsia"/>
          <w:sz w:val="32"/>
          <w:szCs w:val="32"/>
        </w:rPr>
        <w:t>有鑑於核能安全委員會及所屬於114年度中央政府前瞻基礎建設計畫第5期特別預算案第1目「綠能建設」編列7,800萬元，所餘僅有的114年度8個月時間長度辦理之事項，容有適宜性爭議甚鉅。如所欲執行之本土化配電網路管理與地理空間資訊應用，開發微電網與配電網共模調控技術、變電所損傷診斷與預知維護資產管理技術等補助事項，乃與既有台灣電力股份有限公司成熟執行中之更新電網即時監控及保護設備，並同時應用AI、大數據及資通訊等先進技術之配電2.0各項目含智慧變電所IEC 61850、配電饋線調度控制中心（FDCS）、擴大啟動自動故障偵測隔離復電功能（FDIR），以及裝置配電變壓器資訊末端設備（TTU）並已</w:t>
      </w:r>
      <w:r w:rsidRPr="00BC7E20">
        <w:rPr>
          <w:rFonts w:ascii="標楷體" w:eastAsia="標楷體" w:hAnsi="標楷體" w:hint="eastAsia"/>
          <w:sz w:val="32"/>
          <w:szCs w:val="32"/>
        </w:rPr>
        <w:lastRenderedPageBreak/>
        <w:t>開始與先進型配電管理系統(ADMS)介接等高度重疊，並且該筆7,800萬元經費又屬補助性質，進而徒增執行層面受各界監督之難度。爰決議核能安全委員會於3個月內向立法院財政及相關委員會提出書面報告。</w:t>
      </w:r>
    </w:p>
    <w:p w14:paraId="4F45027A" w14:textId="36899C74"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257CF20A"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二)核能安全委員會及所屬於114年度中央政府前瞻基礎建設計畫第5期特別預算案第1目「綠能建設」編列7,800萬元，繼續辦理本土化配電網路管理與地理空間資訊應用、微電網與配電網共模調控技術開發、變電所損傷診斷與預知維護資產管理技術等3項目。惟依據國家發展委員會中央政府前瞻基礎建設計畫112年度總績效檢討報告顯示，中央政府前瞻基礎建設計畫第4期特別預算截至112年底平均執行率95.83%，其中核能安全委員會執行率僅74.89%，係16個主管機關中第15位，且所辦綠能發配電智慧管理與效能提升技術發展計畫及電網韌性分析計畫之2項綠能建設計畫112年底執行率亦分別為69.68%及82.88%。另據中央政府前瞻基礎建設計畫第3期特別決算報告顯示，本土化配電網路管理與地理空間資訊應用及微電網與配電網共模調控技術開發項目，因部分採購標的功能未正常運作或因故未交貨，無法完成履約而予以保留；而中央政府前瞻基礎建設計畫第4期特別預算該2項目亦因部分採購標的多次流標，迄112年底執行率僅各為67.25%及60.39%；鑑於中央政府前瞻基礎建設計畫第5期特別預算案所編項目均係延續性計畫，允宜妥善管控執行進度，俾達成提升我國配電網路本土化管理之目標。爰請核能安全委員會於3個月內向立法院財政及相關委員會提出書面報告。</w:t>
      </w:r>
    </w:p>
    <w:p w14:paraId="455E3CCE" w14:textId="65753DD2"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4B4F7623" w14:textId="31AFCC0A"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42740B9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(三)核能安全委員會除原子能安全管制業務外，近幾年在國家原子能科技研究院過去留下之原子能科技研究基礎上，積極發展綠能科技研究與新能源科技研發。核能安全委員會於中央</w:t>
      </w:r>
      <w:r w:rsidRPr="00BC7E20">
        <w:rPr>
          <w:rFonts w:ascii="標楷體" w:eastAsia="標楷體" w:hAnsi="標楷體" w:hint="eastAsia"/>
          <w:sz w:val="32"/>
          <w:szCs w:val="32"/>
        </w:rPr>
        <w:lastRenderedPageBreak/>
        <w:t>政府前瞻基礎建設計畫第5期特別預算案中，核定補助國家原子能科技研究院執行綠能發配電智慧管理與效能提升技術發展計畫，協助服務與快速復電系統運作，並開發變電所損傷診斷與預知維護資產管理等相關技術，以協助配電網穩定運轉。在我國積極發展各項科學技術研發與產業應用的同時，用電需求隨之增大，本土化的智慧配電網路其重要性亦隨之提升。核能安全委員會及所屬單位允應積極進行相關研究，儘速落實實務應用，以提升我國配電管理效率。爰此，請核能安全委員會於2個月內向立法院財政及相關委員會提出書面報告。</w:t>
      </w:r>
    </w:p>
    <w:p w14:paraId="78EE32EA" w14:textId="6F6227E4"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提案人：林宜瑾　</w:t>
      </w:r>
    </w:p>
    <w:p w14:paraId="652433A4" w14:textId="72F32CD4"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連署人：張雅琳　陳秀寳</w:t>
      </w:r>
    </w:p>
    <w:p w14:paraId="38DE0580" w14:textId="77777777" w:rsidR="009D64D0" w:rsidRPr="00BC7E20" w:rsidRDefault="009D64D0" w:rsidP="00F470A8">
      <w:pPr>
        <w:kinsoku w:val="0"/>
        <w:overflowPunct w:val="0"/>
        <w:autoSpaceDE w:val="0"/>
        <w:spacing w:line="480" w:lineRule="exact"/>
        <w:ind w:leftChars="200" w:left="1825" w:hangingChars="420" w:hanging="1345"/>
        <w:jc w:val="both"/>
        <w:rPr>
          <w:rFonts w:ascii="標楷體" w:eastAsia="標楷體" w:hAnsi="標楷體"/>
          <w:b/>
          <w:kern w:val="2"/>
          <w:sz w:val="32"/>
          <w:szCs w:val="32"/>
        </w:rPr>
      </w:pPr>
      <w:r w:rsidRPr="00BC7E20">
        <w:rPr>
          <w:rFonts w:ascii="標楷體" w:eastAsia="標楷體" w:hAnsi="標楷體" w:hint="eastAsia"/>
          <w:b/>
          <w:sz w:val="32"/>
          <w:szCs w:val="32"/>
        </w:rPr>
        <w:t>第6項  公共工程委員會</w:t>
      </w:r>
      <w:r w:rsidRPr="00BC7E20">
        <w:rPr>
          <w:rFonts w:ascii="標楷體" w:eastAsia="標楷體" w:hAnsi="標楷體" w:hint="eastAsia"/>
          <w:sz w:val="32"/>
          <w:szCs w:val="32"/>
        </w:rPr>
        <w:t>1,834萬2千元，照列。</w:t>
      </w:r>
    </w:p>
    <w:p w14:paraId="3885E10F"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本項通過決議2項：</w:t>
      </w:r>
    </w:p>
    <w:p w14:paraId="0317C2F6"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sz w:val="32"/>
          <w:szCs w:val="32"/>
        </w:rPr>
      </w:pPr>
      <w:r w:rsidRPr="00BC7E20">
        <w:rPr>
          <w:rFonts w:ascii="標楷體" w:eastAsia="標楷體" w:hAnsi="標楷體" w:hint="eastAsia"/>
          <w:sz w:val="32"/>
          <w:szCs w:val="32"/>
        </w:rPr>
        <w:t>(一)公共工程委員會於114年度中央政府前瞻基礎建設計畫第5期特別預算案第1目「數位建設」編列1,834萬2千元，有鑑於公共工程委員會透過歷來公務預算及特別預算之經費編列，已有效發揮網路作業之線上公共工程計算，同時對人員資訊、廠商資訊、技術庫及進度管考等作業亦成熟運作已然多時。爰本次所規劃之中央政府前瞻基礎建設計畫第5期特別預算案編列1,834萬2千元經費作業，並擬執行推動公共工程雲端系統計畫，本期特別預算案編列1,834萬2千元，係建置公共工程專業人員及廠商資料雲、技術雲、全生命週期管理雲及大數據資料雲等事項，是否確有必要。爰凍結該項預算十分之一，俟經公共工程委員會於1個月內向立法院財政及相關委員會提出書面報告後，始得動支。</w:t>
      </w:r>
    </w:p>
    <w:p w14:paraId="419F07EC" w14:textId="3E8DD210"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0CFFB731"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sz w:val="32"/>
          <w:szCs w:val="32"/>
        </w:rPr>
      </w:pPr>
      <w:r w:rsidRPr="00BC7E20">
        <w:rPr>
          <w:rFonts w:ascii="標楷體" w:eastAsia="標楷體" w:hAnsi="標楷體" w:hint="eastAsia"/>
          <w:sz w:val="32"/>
          <w:szCs w:val="32"/>
        </w:rPr>
        <w:t>(二)有鑑於中央政府前瞻基礎建設計畫第4期特別預算之政事執行各機關，相繼於離113年底期限僅剩不到半年之際，出現有預算執行進度不彰或採購作業仍遇有不順利等情況，是以考量</w:t>
      </w:r>
      <w:r w:rsidRPr="00BC7E20">
        <w:rPr>
          <w:rFonts w:ascii="標楷體" w:eastAsia="標楷體" w:hAnsi="標楷體" w:hint="eastAsia"/>
          <w:sz w:val="32"/>
          <w:szCs w:val="32"/>
        </w:rPr>
        <w:lastRenderedPageBreak/>
        <w:t>檢討作業進行乃受輕視，爰要求公共工程委員會應於2個月內，完成通盤之採購作業檢視與檢討作業，並向立法院財政及相關委員會提出書面報告。</w:t>
      </w:r>
    </w:p>
    <w:p w14:paraId="49237DBC" w14:textId="430B23E1"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719B7235"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kern w:val="2"/>
          <w:sz w:val="32"/>
          <w:szCs w:val="32"/>
        </w:rPr>
      </w:pPr>
      <w:r w:rsidRPr="00BC7E20">
        <w:rPr>
          <w:rFonts w:ascii="標楷體" w:eastAsia="標楷體" w:hAnsi="標楷體" w:hint="eastAsia"/>
          <w:b/>
          <w:sz w:val="32"/>
          <w:szCs w:val="32"/>
        </w:rPr>
        <w:t>第3款  內政部主管</w:t>
      </w:r>
    </w:p>
    <w:p w14:paraId="73793E15"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sz w:val="32"/>
          <w:szCs w:val="32"/>
        </w:rPr>
      </w:pPr>
      <w:r w:rsidRPr="00BC7E20">
        <w:rPr>
          <w:rFonts w:ascii="標楷體" w:eastAsia="標楷體" w:hAnsi="標楷體" w:hint="eastAsia"/>
          <w:b/>
          <w:sz w:val="32"/>
          <w:szCs w:val="32"/>
        </w:rPr>
        <w:t>第1項  內政部</w:t>
      </w:r>
      <w:r w:rsidRPr="00BC7E20">
        <w:rPr>
          <w:rFonts w:ascii="標楷體" w:eastAsia="標楷體" w:hAnsi="標楷體" w:hint="eastAsia"/>
          <w:sz w:val="32"/>
          <w:szCs w:val="32"/>
        </w:rPr>
        <w:t>12億6,982萬6千元，照列。</w:t>
      </w:r>
    </w:p>
    <w:p w14:paraId="0D4F9BF3"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本項通過決議4項：</w:t>
      </w:r>
    </w:p>
    <w:p w14:paraId="421E778B"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sz w:val="32"/>
          <w:szCs w:val="32"/>
        </w:rPr>
      </w:pPr>
      <w:r w:rsidRPr="00BC7E20">
        <w:rPr>
          <w:rFonts w:ascii="標楷體" w:eastAsia="標楷體" w:hAnsi="標楷體" w:hint="eastAsia"/>
          <w:sz w:val="32"/>
          <w:szCs w:val="32"/>
        </w:rPr>
        <w:t>(一)有關內政部辦理強化公部門網路服務與運算雲端基礎設施-內政部雲世代雲端基礎建設計畫，包括增進內政地理資訊整合效能、社會經濟資訊維護平台增修及租用公有雲端環境所需經費。本計畫相關系統僅收整開放性地理資料及統計資訊，無涉個資，請內政部於3個月內向立法院財政及相關委員會提出執行成果書面報告。</w:t>
      </w:r>
    </w:p>
    <w:p w14:paraId="25DCE72A" w14:textId="43B3C890"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提案人：盧縣一　蘇清泉</w:t>
      </w:r>
    </w:p>
    <w:p w14:paraId="269CFDAB" w14:textId="33875287"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6FBC4091"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內政部於114年度中央政府前瞻基礎建設計畫第5期特別預算案第2目「城鄉建設」第1節「公共服務據點整備」編列12億5,925萬元，此計畫係辦理包括審查及督導各地方政府辦理公有建築物耐震能力評估補強及拆除重建工程等所需經費；補助地方政府辦理行政大樓、鄉鎮市公所行政中心、戶政與地政機關辦公廳舍及村里集會所活動中心等危險建築物耐震補強及拆除重建工程等所需經費。考量原鄉及離島鄉(鎮、市、區)公所財政較為困難，請內政部優先予以補助。</w:t>
      </w:r>
    </w:p>
    <w:p w14:paraId="2405E467" w14:textId="6225DE6F"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提案人：盧縣一　蘇清泉</w:t>
      </w:r>
    </w:p>
    <w:p w14:paraId="11180249" w14:textId="69F9935F" w:rsidR="009D64D0" w:rsidRPr="00BC7E20" w:rsidRDefault="00444018"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611C6D34"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三)內政部於114年度中央政府前瞻基礎建設計畫第5期特別預算案第2目「城鄉建設」第1節「公共服務據點整備」編列12億5,925萬元，辦理直轄市與縣（市）政府行政大樓、鄉鎮市公所行政中心、戶政與地政機關辦公廳舍及村里集會所活動中心等危險建築物耐震補強及拆除重建工程。有鑑於國有土地</w:t>
      </w:r>
      <w:r w:rsidRPr="00BC7E20">
        <w:rPr>
          <w:rFonts w:ascii="標楷體" w:eastAsia="標楷體" w:hAnsi="標楷體" w:hint="eastAsia"/>
          <w:sz w:val="32"/>
          <w:szCs w:val="32"/>
        </w:rPr>
        <w:lastRenderedPageBreak/>
        <w:t>、市有土地資源稀缺，為提供地方更完善之公共設施服務，各機關規劃辦公廳舍、活動中心拆除重建時，允宜優先考慮整合納入停車場、社會住宅、日照中心、公托等設施，在恢復原始功能的同時滿足地方所需，確保最有效利用土地，並請內政部優先補助。</w:t>
      </w:r>
    </w:p>
    <w:p w14:paraId="1A96570F" w14:textId="592754C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陳昭姿　麥玉珍</w:t>
      </w:r>
    </w:p>
    <w:p w14:paraId="149694E5"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四)有鑑於交通部預計在114年初完成台61線南延高雄評估報告，台61線南延至高雄地區的重要性不言而喻，完成後不僅可完善台灣西部地區高、快速公路網，紓解國道壅塞，更能串聯台南及高雄的市區道路網，促進南部沿海地區發展。而目前臺南市政府針對台江大道快速化的可行性研究也已經完成，期望這條道路可以連接國道8號與目前興建中的北外環快速道路，完善台南都會區三橫三縱的快速公路網路。主管機關應儘速審查可行性評估，並協助臺南市政府辦理後續綜合規劃及環境影響評估等作業，以利完善臺南市路網交通。</w:t>
      </w:r>
    </w:p>
    <w:p w14:paraId="6FDAE2BD" w14:textId="71354883"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提案人：林俊憲　</w:t>
      </w:r>
    </w:p>
    <w:p w14:paraId="3B396CCA" w14:textId="6A7E15C0"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連署人：羅美玲　李坤城　</w:t>
      </w:r>
    </w:p>
    <w:p w14:paraId="250F4C3D" w14:textId="77777777" w:rsidR="009D64D0" w:rsidRPr="00BC7E20" w:rsidRDefault="009D64D0" w:rsidP="00B15B90">
      <w:pPr>
        <w:kinsoku w:val="0"/>
        <w:overflowPunct w:val="0"/>
        <w:autoSpaceDE w:val="0"/>
        <w:spacing w:line="480" w:lineRule="exact"/>
        <w:ind w:leftChars="200" w:left="1681" w:hangingChars="375" w:hanging="1201"/>
        <w:jc w:val="both"/>
        <w:rPr>
          <w:rFonts w:ascii="標楷體" w:eastAsia="標楷體" w:hAnsi="標楷體"/>
          <w:sz w:val="32"/>
          <w:szCs w:val="32"/>
        </w:rPr>
      </w:pPr>
      <w:r w:rsidRPr="00BC7E20">
        <w:rPr>
          <w:rFonts w:ascii="標楷體" w:eastAsia="標楷體" w:hAnsi="標楷體" w:hint="eastAsia"/>
          <w:b/>
          <w:sz w:val="32"/>
          <w:szCs w:val="32"/>
        </w:rPr>
        <w:t>第2項  國土管理署及所屬</w:t>
      </w:r>
      <w:r w:rsidRPr="00BC7E20">
        <w:rPr>
          <w:rFonts w:ascii="標楷體" w:eastAsia="標楷體" w:hAnsi="標楷體" w:hint="eastAsia"/>
          <w:sz w:val="32"/>
          <w:szCs w:val="32"/>
        </w:rPr>
        <w:t>原列99億2,800萬元，減列第2目「城鄉建設」第1節「提升道路品質」之「業務費」100萬元、第3目「水環境建設」第1節「水與安全」之「業務費」100萬元，共計減列200萬元（科目均自行調整），其餘均照列，改列為99億2,600萬元。</w:t>
      </w:r>
    </w:p>
    <w:p w14:paraId="56EC853E"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本項通過決議12項：</w:t>
      </w:r>
    </w:p>
    <w:p w14:paraId="4AC0877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內政部國土管理署及所屬於114年度中央政府前瞻基礎建設計畫第5期特別預算案第1目「綠能建設」編列2,800萬元，有鑑於政府為推動淨零建築轉型，內政部將於114年提案修法，強制民間新建建築符合建築能效，以及改善既有建築能源效率，惟外界擔憂恐將提高營建成本、推升房價，並且往往過於強調節能，恐忽略減廢之重要性，尤其公共工程及市地重劃過程中，經常面臨當年未妥善處理之營建廢棄物及違法掩埋</w:t>
      </w:r>
      <w:r w:rsidRPr="00BC7E20">
        <w:rPr>
          <w:rFonts w:ascii="標楷體" w:eastAsia="標楷體" w:hAnsi="標楷體" w:hint="eastAsia"/>
          <w:sz w:val="32"/>
          <w:szCs w:val="32"/>
        </w:rPr>
        <w:lastRenderedPageBreak/>
        <w:t>等問題。內政部應重視推動建築減廢及重視既有私有建築之能效提升，並將減廢納入重要衡量指標，透過新建物之減廢設計，以減少未來之廢棄物處理成本及環境衝擊。爰此，凍結該項預算100萬元，俟內政部國土管理署於3個月內研議修正營建事業廢棄物再利用管理辦法，並向立法院財政及相關委員會提出書面報告後，始得動支。</w:t>
      </w:r>
    </w:p>
    <w:p w14:paraId="571AE329" w14:textId="5F11101C"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3D89756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內政部國土管理署及所屬於114年度中央政府前瞻基礎建設計畫第5期特別預算案第2目「城鄉建設」第1節「提升道路品質」編列65億元。經查，內政部國土管理署於109年函請行政院將提升道路品質計畫1.0與2.0計畫整併進行，計畫編列年度由113年延長至114年。此計畫係為打造友善之通行環境，目標將行政機關、校園通勤、醫療院所等串連人行步道，建構行人通行路網。惟，近2年全國市區道路總長微幅減少，人行道總長微幅增加，全國市區人行道普及率由110年底之43.86%微幅增加至112年底之45.69%，2年僅增加1.83個百分點，成長幅度偏低且110至113年7月底各年底淨寬不足最低標準之人行道占人行道總長之比率皆約16%，顯未見其改善。爰凍結該項預算500萬元，俟內政部國土管理署於3個月內向立法院財政及相關委員會提出書面報告後，始得動支。</w:t>
      </w:r>
    </w:p>
    <w:p w14:paraId="7F173787" w14:textId="77777777" w:rsidR="00F764E2"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提案人：麥玉珍　陳昭姿　黃珊珊　盧縣一</w:t>
      </w:r>
    </w:p>
    <w:p w14:paraId="5D6AFF7C" w14:textId="64DE82D2"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蘇清泉　邱鎮軍</w:t>
      </w:r>
    </w:p>
    <w:p w14:paraId="6CD821EB" w14:textId="4ED04974"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連署人：鄭天財　陳玉珍　牛煦庭</w:t>
      </w:r>
    </w:p>
    <w:p w14:paraId="3A9A277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三)內政部國土管理署及所屬於114年度中央政府前瞻基礎建設計畫第5期特別預算案第1目「綠能建設」編列2,800萬元，係推動淨零建築發展，辦理節能法規修正、補助地方政府與特設主管建築機關推動淨零建築及落實節能法規。有鑑於內政部國土管理署下設之各職掌本就有法規之擬議及執行，加上內政部建築研究所亦有職掌建築法規研究及建築節約能源研究發展，恐有疊床架屋之虞。國家財政拮据，允宜撙節使用，</w:t>
      </w:r>
      <w:r w:rsidRPr="00BC7E20">
        <w:rPr>
          <w:rFonts w:ascii="標楷體" w:eastAsia="標楷體" w:hAnsi="標楷體" w:hint="eastAsia"/>
          <w:sz w:val="32"/>
          <w:szCs w:val="32"/>
        </w:rPr>
        <w:lastRenderedPageBreak/>
        <w:t>允宜檢討是否有必要額外於總預算外編列法規修正經費及補助地方政府於權責範圍內本該自行監管之建築節能法規。請內政部國土管理署於3個月內，就淨零建築節能法規之修法方向及計畫經費細項，向立法院財政及相關委員會提出書面報告。</w:t>
      </w:r>
    </w:p>
    <w:p w14:paraId="46E8B3B5" w14:textId="024B84AD"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陳昭姿　麥玉珍</w:t>
      </w:r>
    </w:p>
    <w:p w14:paraId="6842F86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內政部國土管理署及所屬於114年度中央政府前瞻基礎建設計畫第5期特別預算案第2目「城鄉建設」第1節「提升道路品質」編列65億元，係辦理提升道路品質計畫(內政部)2.0，包含業務費4,000萬元、設備及投資500萬元及獎補助費64億5,500萬元。該計畫於中央政府前瞻基礎建設計畫前4期特別預算累計編列418.52億元，然而全國市區人行道普及率成長幅度仍偏低，110至112年僅增加1.83個百分點，並且逾16%的人行道淨寬不足最低標準。請內政部國土管理署於3個月內向立法院財政及相關委員會提出書面報告。</w:t>
      </w:r>
    </w:p>
    <w:p w14:paraId="6C4146FC" w14:textId="1184F54B"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提案人：羅明才　</w:t>
      </w:r>
    </w:p>
    <w:p w14:paraId="1F4D2623" w14:textId="702A7BA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顏寬恒</w:t>
      </w:r>
    </w:p>
    <w:p w14:paraId="6DBCD87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五)內政部國土管理署及所屬於114年度中央政府前瞻基礎建設計畫第5期特別預算案第3目「水環境建設」編列34億元，其中包含「縣市管河川及區域排水整體改善計畫-下水道及都市排水改善」33億元及「全國水環境改善計畫-污水處理」1億元。惟截至113年7月止中央政府前瞻基礎建設計畫前4期特別預算縣市管河川及區域排水整體改善計畫尚有23案執行進度未達五成，主要除近期核定案件外，係有部分工程多次流標，嚴重影響預定執行期程；因雨水下水道屬道路下隱蔽設施，多有遭遇管線牴觸問題須排除；部分工程因用地取得、民眾抗爭、設計廠商品質不佳或其他單位配合事項未決等，造成設計書圖多次修正，影響工程執行時程。另鑑於113年7月凱米颱風侵臺，部分地區發生積淹水災情，應請內政部國土管理署積極協助地方政府改善淹水問題並提升都市防洪力。請</w:t>
      </w:r>
      <w:r w:rsidRPr="00BC7E20">
        <w:rPr>
          <w:rFonts w:ascii="標楷體" w:eastAsia="標楷體" w:hAnsi="標楷體" w:hint="eastAsia"/>
          <w:sz w:val="32"/>
          <w:szCs w:val="32"/>
        </w:rPr>
        <w:lastRenderedPageBreak/>
        <w:t>內政部國土管理署於3個月內向立法院財政及相關委員會提出書面報告。</w:t>
      </w:r>
    </w:p>
    <w:p w14:paraId="00C93F93" w14:textId="377AAE5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w:t>
      </w:r>
    </w:p>
    <w:p w14:paraId="4398A512" w14:textId="45E2914F"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520185F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六)內政部國土管理署及所屬於114年度中央政府前瞻基礎建設計畫第5期特別預算案第3目「水環境建設」第1節「水與安全」編列33億元。內政部國土管理署在此計畫中係辦理雨水下水道相關建設，補助地方政府辦理下水道系統規劃、都市排水整體改善，以期可健全都會區排水設施，達成改善都市水環境之整體效益。惟此計畫截至113年7月止中央政府前瞻基礎建設計畫前4期特別預算尚有23案執行程度未達五成，其中16案執行率更是0%，原因包含多次流標、工程用地取得、民眾抗爭、設計書圖多次修改等情事，以致工程進度嚴重拖宕。又113年強颱凱米侵台，共14縣市累積淹水災情達3,308件，死亡人數11人，受傷人數904人，係因颱風降雨量龐大，超出排水系統之設計標準與負荷量，河川或區域排水水流無法順利排出，雨水下水道無法將逕流排除而致市區積淹水情形發生。綜上，內政部國土管理署就上開執行率低落之情形，允應加強進度控管作業，針對各縣市因颱風淹水之災情，亦應積極協助各地方政府改善並同步擬定都市區降雨量超出負荷量時短期因應措施與長期防洪力之提升具體辦法，並於3個月內向立法院財政及相關委員會提出書面報告。</w:t>
      </w:r>
    </w:p>
    <w:p w14:paraId="1F7E6081" w14:textId="00CBA55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提案人：麥玉珍　黃珊珊　陳昭姿</w:t>
      </w:r>
    </w:p>
    <w:p w14:paraId="4E48F8A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七)內政部國土管理署及所屬於114年度中央政府前瞻基礎建設計畫第5期特別預算案第3目「水環境建設」第1節「水與安全」編列33億元。內政部國土管理署在此計畫中係辦理雨水下水道相關建設，補助地方政府辦理下水道系統規劃、都市排水整體改善，以期可健全都會區排水設施，達成改善都市水環境之整體效益。惟此計畫截至113年7月止中央政府前瞻基礎建設計畫前4期特別預算尚有23案執行程度未達五成，其中16</w:t>
      </w:r>
      <w:r w:rsidRPr="00BC7E20">
        <w:rPr>
          <w:rFonts w:ascii="標楷體" w:eastAsia="標楷體" w:hAnsi="標楷體" w:hint="eastAsia"/>
          <w:sz w:val="32"/>
          <w:szCs w:val="32"/>
        </w:rPr>
        <w:lastRenderedPageBreak/>
        <w:t>案執行率更是0%，原因包含多次流標、工程用地取得、民眾抗爭、設計書圖多次修改等情事，以致工程進度嚴重拖宕。又113年強颱凱米侵台，共14縣市累積淹水災情達3,308件，死亡人數11人，受傷人數904人，係因颱風降雨量龐大，超出排水系統之設計標準與負荷量，河川或區域排水水流無法順利排出，雨水下水道無法將逕流排除而致市區積淹水情形發生。綜上，內政部國土管理署就上開執行率低落之情形，允應加強進度控管作業，針對各縣市因颱風淹水之災情，亦應積極協助各地方政府改善並同步擬定都市區降雨量超出負荷量時短期因應措施與長期防洪力之提升具體辦法，並於3個月內向立法院財政及相關委員會提出書面報告。</w:t>
      </w:r>
    </w:p>
    <w:p w14:paraId="6078C715" w14:textId="58901D80"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提案人：麥玉珍　黃珊珊　陳昭姿</w:t>
      </w:r>
    </w:p>
    <w:p w14:paraId="147A605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八)內政部國土管理署及所屬於114年度中央政府前瞻基礎建設計畫第5期特別預算案第3目「水環境建設」第1節「水與安全」編列33億元，辦理直轄市及縣（市）下水道及都市排水改善所需經費。內政部國土管理署為改善淹水面積、提升都市耐洪韌性及進行災害預防及設施功能維持，遂辦理雨水下水道建設，透過補助地方政府辦理下水道系統規劃檢討、都市排水整體改善建設及韌性城市等工作健全都會區排水設施，達成改善都市水環境之整體效益。因全球暖化，近年極端氣候有常態化趨勢，由於都市雨水下水道來不及排水，113年春夏季雙北地區因豪大雨造成多地區淹水，允宜調升檢討市區防洪標準，並予以補助經費。請內政部國土管理署於3個月內，就都會區雨水下水道防洪標準檢討，向立法院財政及相關委員會提出書面報告。</w:t>
      </w:r>
    </w:p>
    <w:p w14:paraId="35CF0981" w14:textId="71C6F3B8"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麥玉珍　陳昭姿</w:t>
      </w:r>
    </w:p>
    <w:p w14:paraId="62AC652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九)內政部國土管理署及所屬於114年度中央政府前瞻基礎建設計畫第5期特別預算案第3目「水環境建設」第1節「水與安全」編列33億元，此計畫係辦理縣市管河川及區域排水整體改善計畫-辦理直轄市及縣市下水道及都市排水所需經費。本計畫</w:t>
      </w:r>
      <w:r w:rsidRPr="00BC7E20">
        <w:rPr>
          <w:rFonts w:ascii="標楷體" w:eastAsia="標楷體" w:hAnsi="標楷體" w:hint="eastAsia"/>
          <w:sz w:val="32"/>
          <w:szCs w:val="32"/>
        </w:rPr>
        <w:lastRenderedPageBreak/>
        <w:t>期以能針對下水道系統的規劃與檢討、都市排水整體改善建設及推動韌性城市等工作，提升改善都市水環境之整體效益，惟內政部國土管理署補助予地方政府之案件，後續計畫管考及執行進度等情形容有檢討改進空間；請積極敦促地方政府戮力排除建置該等下水道及排水管路之障礙。爰請內政部國土管理署於3個月將辦理情形及執行成果向立法院財政及相關委員會提出書面報告。</w:t>
      </w:r>
    </w:p>
    <w:p w14:paraId="0AB1EB28" w14:textId="1ADC5108"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提案人：盧縣一　蘇清泉</w:t>
      </w:r>
    </w:p>
    <w:p w14:paraId="66970A69" w14:textId="059CF28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4B7756C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十)臺南市新市區、永康區若逢劇烈降雨，時有淹水情事發生。新市區現有之抽水機組本為應急之用，抽水機形式並未統一，造成人員操作不易；另外，目前抽水機抽水量合計為5cms，遠低於5年重現期暴雨瞬時逕流12.5cms。因此，新市區急需於既有抽水站附近新建4臺4cms抽水機、合計16cms之抽水站，以達區域主要防汛功能。另永康區東抽水站目前所使用之抽水機組，為臺北市中山抽水站所汰換下來，已使用超過30年，維修頻率高。113年7月間凱米颱風侵襲，該抽水站啟動抽水時，發生柴油引擎漏油的狀況，造成設備停擺，影響防汛，應儘速更新抽水機組以提升抽水量，保障民眾安全。綜上，新市衛生排水抽水站新建工程2.5億元補助經費，以及永康東抽水站老舊機組及周邊設施改善工程1.5億元補助經費，需中央政府前瞻基礎建設計畫第5期特別預算案大力支持。建請內政部國土管理署儘速核定相關經費。</w:t>
      </w:r>
    </w:p>
    <w:p w14:paraId="3C48FB11" w14:textId="07B94ADF"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提案人：林宜瑾　</w:t>
      </w:r>
    </w:p>
    <w:p w14:paraId="56D48ECB" w14:textId="5744731C"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連署人：張雅琳　陳秀寳</w:t>
      </w:r>
    </w:p>
    <w:p w14:paraId="3376F6DC" w14:textId="77777777" w:rsidR="009D64D0" w:rsidRPr="00BC7E20" w:rsidRDefault="009D64D0" w:rsidP="00F470A8">
      <w:pPr>
        <w:kinsoku w:val="0"/>
        <w:overflowPunct w:val="0"/>
        <w:autoSpaceDE w:val="0"/>
        <w:spacing w:line="480" w:lineRule="exact"/>
        <w:ind w:leftChars="190" w:left="1442" w:hangingChars="308" w:hanging="986"/>
        <w:jc w:val="both"/>
        <w:rPr>
          <w:rFonts w:ascii="標楷體" w:eastAsia="標楷體" w:hAnsi="標楷體"/>
          <w:sz w:val="32"/>
          <w:szCs w:val="32"/>
        </w:rPr>
      </w:pPr>
      <w:r w:rsidRPr="00BC7E20">
        <w:rPr>
          <w:rFonts w:ascii="標楷體" w:eastAsia="標楷體" w:hAnsi="標楷體" w:hint="eastAsia"/>
          <w:sz w:val="32"/>
          <w:szCs w:val="32"/>
        </w:rPr>
        <w:t>(十一)有鑑於為強化市區道路品質，建構國人用路之友善環境，內政部國土管理署於110年推動道路品質提升計畫，辦理補助各地方政府道路品質改善工程，惟近期發現高雄市多數馬路隨處可見顏色不一之補丁，挖水管後的道路也不平坦，並且每當大雨來襲時，補丁之路面皆是最先出現坑洞之</w:t>
      </w:r>
      <w:r w:rsidRPr="00BC7E20">
        <w:rPr>
          <w:rFonts w:ascii="標楷體" w:eastAsia="標楷體" w:hAnsi="標楷體" w:hint="eastAsia"/>
          <w:sz w:val="32"/>
          <w:szCs w:val="32"/>
        </w:rPr>
        <w:lastRenderedPageBreak/>
        <w:t>區域，爰此，請內政部國土管理署於1個月內向立法院財政及相關委員會提出書面報告。</w:t>
      </w:r>
    </w:p>
    <w:p w14:paraId="75E92C16" w14:textId="04124157"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0D4D43DA" w14:textId="77777777" w:rsidR="009D64D0" w:rsidRPr="00BC7E20" w:rsidRDefault="009D64D0" w:rsidP="00F470A8">
      <w:pPr>
        <w:kinsoku w:val="0"/>
        <w:overflowPunct w:val="0"/>
        <w:autoSpaceDE w:val="0"/>
        <w:spacing w:line="480" w:lineRule="exact"/>
        <w:ind w:leftChars="190" w:left="1442" w:hangingChars="308" w:hanging="986"/>
        <w:jc w:val="both"/>
        <w:rPr>
          <w:rFonts w:ascii="標楷體" w:eastAsia="標楷體" w:hAnsi="標楷體"/>
          <w:sz w:val="32"/>
          <w:szCs w:val="32"/>
        </w:rPr>
      </w:pPr>
      <w:r w:rsidRPr="00BC7E20">
        <w:rPr>
          <w:rFonts w:ascii="標楷體" w:eastAsia="標楷體" w:hAnsi="標楷體" w:hint="eastAsia"/>
          <w:sz w:val="32"/>
          <w:szCs w:val="32"/>
        </w:rPr>
        <w:t>(十二)有鑑於面對全球極端氣候與防範颱風季豪雨之積淹水風險，內政部國土管理署持續推動都市總合治水建設計畫與前瞻基礎建設計畫-水與安全，提升都市雨水下水道防洪保護標準。惟113年下半年凱米、康芮、山陀兒等颱風接連造成高雄市嚴重淹水災情凸顯南台灣防洪治水成果仍有待改善之空間。爰此，請內政部國土管理署應積極與地方政府溝通協調合作，並協助研擬相關治水方案及措施，於1個月內向財政及相關委員會提出書面報告，以改善地方排水情形。</w:t>
      </w:r>
    </w:p>
    <w:p w14:paraId="6830BF69" w14:textId="10454431"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312C0858"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kern w:val="2"/>
          <w:sz w:val="32"/>
          <w:szCs w:val="32"/>
        </w:rPr>
      </w:pPr>
      <w:r w:rsidRPr="00BC7E20">
        <w:rPr>
          <w:rFonts w:ascii="標楷體" w:eastAsia="標楷體" w:hAnsi="標楷體" w:hint="eastAsia"/>
          <w:b/>
          <w:sz w:val="32"/>
          <w:szCs w:val="32"/>
        </w:rPr>
        <w:t>第3項  警政署及所屬</w:t>
      </w:r>
      <w:r w:rsidRPr="00BC7E20">
        <w:rPr>
          <w:rFonts w:ascii="標楷體" w:eastAsia="標楷體" w:hAnsi="標楷體" w:hint="eastAsia"/>
          <w:sz w:val="32"/>
          <w:szCs w:val="32"/>
        </w:rPr>
        <w:t>7億5,440萬元，照列。</w:t>
      </w:r>
    </w:p>
    <w:p w14:paraId="0148F2B6"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本項通過決議6項：</w:t>
      </w:r>
    </w:p>
    <w:p w14:paraId="6693E251"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sz w:val="32"/>
          <w:szCs w:val="32"/>
        </w:rPr>
      </w:pPr>
      <w:r w:rsidRPr="00BC7E20">
        <w:rPr>
          <w:rFonts w:ascii="標楷體" w:eastAsia="標楷體" w:hAnsi="標楷體" w:hint="eastAsia"/>
          <w:sz w:val="32"/>
          <w:szCs w:val="32"/>
        </w:rPr>
        <w:t>(一)內政部警政署及所屬於114年度中央政府前瞻基礎建設計畫第5期特別預算案第1目「城鄉建設」第1節「公共服務據點整備」編列7億5,440萬元。全國非六都中，前4期中央政府前瞻基礎建設計畫特別預算經費僅有屏東縣、嘉義縣獲得超過200億元補助，苗栗縣僅108億元，同樣都是財力五級縣市，苗栗縣獲配的補助卻與嘉義、屏東差距一倍以上，苗栗縣布建公共建設，使得創稅能力增加，增加中央稅收，但卻沒有獲得中央應有的回饋。以苗栗縣警局新建大樓案為例，總造價14億元，內政部核定補助的11億餘元，縣府自籌2億餘元，後因營建原物料物價上漲等因素，經重新核算縣警局新建大樓最低造價總額17億元，扣除中央補助的11億餘元，縣府仍需自籌5億餘元，地方政府在財政困難況下，勉為允諾自籌增加至5億餘元配合款，以總價17億元起建的提案，卻仍為內政部否准，縣警局新建大樓只能大幅縮減建坪面積，根本無法滿足縣</w:t>
      </w:r>
      <w:r w:rsidRPr="00BC7E20">
        <w:rPr>
          <w:rFonts w:ascii="標楷體" w:eastAsia="標楷體" w:hAnsi="標楷體" w:hint="eastAsia"/>
          <w:sz w:val="32"/>
          <w:szCs w:val="32"/>
        </w:rPr>
        <w:lastRenderedPageBreak/>
        <w:t>警局現有單位所需，內政部應正視本案。爰請內政部警政署於3個月內向立法院財政及相關委員會提出書面報告。</w:t>
      </w:r>
    </w:p>
    <w:p w14:paraId="525E3217" w14:textId="375BB3D1"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提案人：陳超明　</w:t>
      </w:r>
    </w:p>
    <w:p w14:paraId="02B47A8B" w14:textId="727E4E36"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連署人：張啓楷　鄭正鈐</w:t>
      </w:r>
    </w:p>
    <w:p w14:paraId="60CDE655"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二)內政部警政署及所屬於114年度中央政府前瞻基礎建設計畫第5期特別預算案第1目「城鄉建設」第1節「公共服務據點整備」編列7億5,440萬元，下表屏東縣警局辦公廳舍補強重建案其中部分計畫尚無進度，項目落後原因包括：受工程期間天候影響、辦理變更設計作業、消防檢查缺失等因素影響進度，或囿於物價指數調升致原預算金額無法因應致需檢討調撥經費，或因都市計畫變更、管線取得及建築物航空限高等因素影響，或將原址重建變更為新址重建，或公告招標作業延宕，或發包流標數次、基本設計及細部設計審議費時致影響期程。鑑於該計畫涉及警察廳舍建物安全，內政部警政署允宜督促地方政府妥善辦理各項規劃設計工作，並管控各工項進度，針對執行所遇困難妥為督導協助，俾於確保工程品質之同時，儘速完成建築物安全之強化。請內政部警政署說明延宕原因，於3個月內向立法院財政及相關委員會提出書面報告。</w:t>
      </w:r>
    </w:p>
    <w:tbl>
      <w:tblPr>
        <w:tblW w:w="8105" w:type="dxa"/>
        <w:jc w:val="righ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946"/>
        <w:gridCol w:w="1987"/>
        <w:gridCol w:w="1531"/>
        <w:gridCol w:w="1641"/>
      </w:tblGrid>
      <w:tr w:rsidR="009D64D0" w:rsidRPr="00F764E2" w14:paraId="26ACEA57" w14:textId="77777777" w:rsidTr="009D64D0">
        <w:trPr>
          <w:trHeight w:val="555"/>
          <w:jc w:val="right"/>
        </w:trPr>
        <w:tc>
          <w:tcPr>
            <w:tcW w:w="2946" w:type="dxa"/>
            <w:tcBorders>
              <w:top w:val="single" w:sz="12" w:space="0" w:color="auto"/>
              <w:left w:val="single" w:sz="12" w:space="0" w:color="auto"/>
              <w:bottom w:val="single" w:sz="12" w:space="0" w:color="auto"/>
              <w:right w:val="single" w:sz="12" w:space="0" w:color="auto"/>
            </w:tcBorders>
            <w:hideMark/>
          </w:tcPr>
          <w:p w14:paraId="560A41CB"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所屬子計畫或工作項目</w:t>
            </w:r>
          </w:p>
        </w:tc>
        <w:tc>
          <w:tcPr>
            <w:tcW w:w="1987" w:type="dxa"/>
            <w:tcBorders>
              <w:top w:val="single" w:sz="12" w:space="0" w:color="auto"/>
              <w:left w:val="single" w:sz="12" w:space="0" w:color="auto"/>
              <w:bottom w:val="single" w:sz="12" w:space="0" w:color="auto"/>
              <w:right w:val="single" w:sz="12" w:space="0" w:color="auto"/>
            </w:tcBorders>
            <w:hideMark/>
          </w:tcPr>
          <w:p w14:paraId="628ADD57"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累計分配預算數C</w:t>
            </w:r>
          </w:p>
        </w:tc>
        <w:tc>
          <w:tcPr>
            <w:tcW w:w="1531" w:type="dxa"/>
            <w:tcBorders>
              <w:top w:val="single" w:sz="12" w:space="0" w:color="auto"/>
              <w:left w:val="single" w:sz="12" w:space="0" w:color="auto"/>
              <w:bottom w:val="single" w:sz="12" w:space="0" w:color="auto"/>
              <w:right w:val="single" w:sz="12" w:space="0" w:color="auto"/>
            </w:tcBorders>
            <w:hideMark/>
          </w:tcPr>
          <w:p w14:paraId="045A2F39"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累計實現數D</w:t>
            </w:r>
          </w:p>
        </w:tc>
        <w:tc>
          <w:tcPr>
            <w:tcW w:w="1641" w:type="dxa"/>
            <w:tcBorders>
              <w:top w:val="single" w:sz="12" w:space="0" w:color="auto"/>
              <w:left w:val="single" w:sz="12" w:space="0" w:color="auto"/>
              <w:bottom w:val="single" w:sz="12" w:space="0" w:color="auto"/>
              <w:right w:val="single" w:sz="12" w:space="0" w:color="auto"/>
            </w:tcBorders>
            <w:hideMark/>
          </w:tcPr>
          <w:p w14:paraId="12D23E4E"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執行率D/C</w:t>
            </w:r>
          </w:p>
        </w:tc>
      </w:tr>
      <w:tr w:rsidR="009D64D0" w:rsidRPr="00F764E2" w14:paraId="5D50FEE9" w14:textId="77777777" w:rsidTr="009D64D0">
        <w:trPr>
          <w:trHeight w:val="555"/>
          <w:jc w:val="right"/>
        </w:trPr>
        <w:tc>
          <w:tcPr>
            <w:tcW w:w="2946" w:type="dxa"/>
            <w:tcBorders>
              <w:top w:val="single" w:sz="12" w:space="0" w:color="auto"/>
              <w:left w:val="single" w:sz="12" w:space="0" w:color="auto"/>
              <w:bottom w:val="single" w:sz="12" w:space="0" w:color="auto"/>
              <w:right w:val="single" w:sz="12" w:space="0" w:color="auto"/>
            </w:tcBorders>
            <w:hideMark/>
          </w:tcPr>
          <w:p w14:paraId="52A6C154"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屏東縣政府警察局枋寮分局拆除重建案</w:t>
            </w:r>
          </w:p>
        </w:tc>
        <w:tc>
          <w:tcPr>
            <w:tcW w:w="1987" w:type="dxa"/>
            <w:tcBorders>
              <w:top w:val="single" w:sz="12" w:space="0" w:color="auto"/>
              <w:left w:val="single" w:sz="12" w:space="0" w:color="auto"/>
              <w:bottom w:val="single" w:sz="12" w:space="0" w:color="auto"/>
              <w:right w:val="single" w:sz="12" w:space="0" w:color="auto"/>
            </w:tcBorders>
            <w:hideMark/>
          </w:tcPr>
          <w:p w14:paraId="6253966B"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260,000</w:t>
            </w:r>
          </w:p>
        </w:tc>
        <w:tc>
          <w:tcPr>
            <w:tcW w:w="1531" w:type="dxa"/>
            <w:tcBorders>
              <w:top w:val="single" w:sz="12" w:space="0" w:color="auto"/>
              <w:left w:val="single" w:sz="12" w:space="0" w:color="auto"/>
              <w:bottom w:val="single" w:sz="12" w:space="0" w:color="auto"/>
              <w:right w:val="single" w:sz="12" w:space="0" w:color="auto"/>
            </w:tcBorders>
            <w:hideMark/>
          </w:tcPr>
          <w:p w14:paraId="3BBE7E15"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85,483</w:t>
            </w:r>
          </w:p>
        </w:tc>
        <w:tc>
          <w:tcPr>
            <w:tcW w:w="1641" w:type="dxa"/>
            <w:tcBorders>
              <w:top w:val="single" w:sz="12" w:space="0" w:color="auto"/>
              <w:left w:val="single" w:sz="12" w:space="0" w:color="auto"/>
              <w:bottom w:val="single" w:sz="12" w:space="0" w:color="auto"/>
              <w:right w:val="single" w:sz="12" w:space="0" w:color="auto"/>
            </w:tcBorders>
            <w:hideMark/>
          </w:tcPr>
          <w:p w14:paraId="15F7C519"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32.88%</w:t>
            </w:r>
          </w:p>
        </w:tc>
      </w:tr>
      <w:tr w:rsidR="009D64D0" w:rsidRPr="00F764E2" w14:paraId="71671030" w14:textId="77777777" w:rsidTr="009D64D0">
        <w:trPr>
          <w:trHeight w:val="555"/>
          <w:jc w:val="right"/>
        </w:trPr>
        <w:tc>
          <w:tcPr>
            <w:tcW w:w="2946" w:type="dxa"/>
            <w:tcBorders>
              <w:top w:val="single" w:sz="12" w:space="0" w:color="auto"/>
              <w:left w:val="single" w:sz="12" w:space="0" w:color="auto"/>
              <w:bottom w:val="single" w:sz="12" w:space="0" w:color="auto"/>
              <w:right w:val="single" w:sz="12" w:space="0" w:color="auto"/>
            </w:tcBorders>
            <w:hideMark/>
          </w:tcPr>
          <w:p w14:paraId="07501EA5"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屏東縣政府警察局內埔分局耐震補強案</w:t>
            </w:r>
          </w:p>
        </w:tc>
        <w:tc>
          <w:tcPr>
            <w:tcW w:w="1987" w:type="dxa"/>
            <w:tcBorders>
              <w:top w:val="single" w:sz="12" w:space="0" w:color="auto"/>
              <w:left w:val="single" w:sz="12" w:space="0" w:color="auto"/>
              <w:bottom w:val="single" w:sz="12" w:space="0" w:color="auto"/>
              <w:right w:val="single" w:sz="12" w:space="0" w:color="auto"/>
            </w:tcBorders>
            <w:hideMark/>
          </w:tcPr>
          <w:p w14:paraId="27B445EF"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600</w:t>
            </w:r>
          </w:p>
        </w:tc>
        <w:tc>
          <w:tcPr>
            <w:tcW w:w="1531" w:type="dxa"/>
            <w:tcBorders>
              <w:top w:val="single" w:sz="12" w:space="0" w:color="auto"/>
              <w:left w:val="single" w:sz="12" w:space="0" w:color="auto"/>
              <w:bottom w:val="single" w:sz="12" w:space="0" w:color="auto"/>
              <w:right w:val="single" w:sz="12" w:space="0" w:color="auto"/>
            </w:tcBorders>
            <w:hideMark/>
          </w:tcPr>
          <w:p w14:paraId="49EB98D2"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0</w:t>
            </w:r>
          </w:p>
        </w:tc>
        <w:tc>
          <w:tcPr>
            <w:tcW w:w="1641" w:type="dxa"/>
            <w:tcBorders>
              <w:top w:val="single" w:sz="12" w:space="0" w:color="auto"/>
              <w:left w:val="single" w:sz="12" w:space="0" w:color="auto"/>
              <w:bottom w:val="single" w:sz="12" w:space="0" w:color="auto"/>
              <w:right w:val="single" w:sz="12" w:space="0" w:color="auto"/>
            </w:tcBorders>
            <w:hideMark/>
          </w:tcPr>
          <w:p w14:paraId="6E529690"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0%</w:t>
            </w:r>
          </w:p>
        </w:tc>
      </w:tr>
      <w:tr w:rsidR="009D64D0" w:rsidRPr="00F764E2" w14:paraId="64035650" w14:textId="77777777" w:rsidTr="009D64D0">
        <w:trPr>
          <w:trHeight w:val="555"/>
          <w:jc w:val="right"/>
        </w:trPr>
        <w:tc>
          <w:tcPr>
            <w:tcW w:w="2946" w:type="dxa"/>
            <w:tcBorders>
              <w:top w:val="single" w:sz="12" w:space="0" w:color="auto"/>
              <w:left w:val="single" w:sz="12" w:space="0" w:color="auto"/>
              <w:bottom w:val="single" w:sz="12" w:space="0" w:color="auto"/>
              <w:right w:val="single" w:sz="12" w:space="0" w:color="auto"/>
            </w:tcBorders>
            <w:hideMark/>
          </w:tcPr>
          <w:p w14:paraId="19E507A3"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屏東縣政府警察局東港分局耐震補強案</w:t>
            </w:r>
          </w:p>
        </w:tc>
        <w:tc>
          <w:tcPr>
            <w:tcW w:w="1987" w:type="dxa"/>
            <w:tcBorders>
              <w:top w:val="single" w:sz="12" w:space="0" w:color="auto"/>
              <w:left w:val="single" w:sz="12" w:space="0" w:color="auto"/>
              <w:bottom w:val="single" w:sz="12" w:space="0" w:color="auto"/>
              <w:right w:val="single" w:sz="12" w:space="0" w:color="auto"/>
            </w:tcBorders>
            <w:hideMark/>
          </w:tcPr>
          <w:p w14:paraId="0262B7FC"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600</w:t>
            </w:r>
          </w:p>
        </w:tc>
        <w:tc>
          <w:tcPr>
            <w:tcW w:w="1531" w:type="dxa"/>
            <w:tcBorders>
              <w:top w:val="single" w:sz="12" w:space="0" w:color="auto"/>
              <w:left w:val="single" w:sz="12" w:space="0" w:color="auto"/>
              <w:bottom w:val="single" w:sz="12" w:space="0" w:color="auto"/>
              <w:right w:val="single" w:sz="12" w:space="0" w:color="auto"/>
            </w:tcBorders>
            <w:hideMark/>
          </w:tcPr>
          <w:p w14:paraId="2038E1C4"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0</w:t>
            </w:r>
          </w:p>
        </w:tc>
        <w:tc>
          <w:tcPr>
            <w:tcW w:w="1641" w:type="dxa"/>
            <w:tcBorders>
              <w:top w:val="single" w:sz="12" w:space="0" w:color="auto"/>
              <w:left w:val="single" w:sz="12" w:space="0" w:color="auto"/>
              <w:bottom w:val="single" w:sz="12" w:space="0" w:color="auto"/>
              <w:right w:val="single" w:sz="12" w:space="0" w:color="auto"/>
            </w:tcBorders>
            <w:hideMark/>
          </w:tcPr>
          <w:p w14:paraId="4139DDEB"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0%</w:t>
            </w:r>
          </w:p>
        </w:tc>
      </w:tr>
      <w:tr w:rsidR="009D64D0" w:rsidRPr="00F764E2" w14:paraId="2AEAF3C1" w14:textId="77777777" w:rsidTr="009D64D0">
        <w:trPr>
          <w:trHeight w:val="555"/>
          <w:jc w:val="right"/>
        </w:trPr>
        <w:tc>
          <w:tcPr>
            <w:tcW w:w="2946" w:type="dxa"/>
            <w:tcBorders>
              <w:top w:val="single" w:sz="12" w:space="0" w:color="auto"/>
              <w:left w:val="single" w:sz="12" w:space="0" w:color="auto"/>
              <w:bottom w:val="single" w:sz="12" w:space="0" w:color="auto"/>
              <w:right w:val="single" w:sz="12" w:space="0" w:color="auto"/>
            </w:tcBorders>
            <w:hideMark/>
          </w:tcPr>
          <w:p w14:paraId="6F132203" w14:textId="77777777" w:rsidR="009D64D0" w:rsidRPr="00F764E2" w:rsidRDefault="009D64D0" w:rsidP="00B15B90">
            <w:pPr>
              <w:kinsoku w:val="0"/>
              <w:overflowPunct w:val="0"/>
              <w:autoSpaceDE w:val="0"/>
              <w:spacing w:line="240" w:lineRule="exact"/>
              <w:rPr>
                <w:rFonts w:ascii="標楷體" w:eastAsia="標楷體" w:hAnsi="標楷體"/>
                <w:kern w:val="0"/>
                <w:szCs w:val="24"/>
              </w:rPr>
            </w:pPr>
            <w:r w:rsidRPr="00F764E2">
              <w:rPr>
                <w:rFonts w:ascii="標楷體" w:eastAsia="標楷體" w:hAnsi="標楷體" w:cs="Arial" w:hint="eastAsia"/>
                <w:szCs w:val="24"/>
              </w:rPr>
              <w:t>屏東縣政府警察局恆春分局耐震補強案</w:t>
            </w:r>
          </w:p>
        </w:tc>
        <w:tc>
          <w:tcPr>
            <w:tcW w:w="1987" w:type="dxa"/>
            <w:tcBorders>
              <w:top w:val="single" w:sz="12" w:space="0" w:color="auto"/>
              <w:left w:val="single" w:sz="12" w:space="0" w:color="auto"/>
              <w:bottom w:val="single" w:sz="12" w:space="0" w:color="auto"/>
              <w:right w:val="single" w:sz="12" w:space="0" w:color="auto"/>
            </w:tcBorders>
            <w:hideMark/>
          </w:tcPr>
          <w:p w14:paraId="4C0CBCF5"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600</w:t>
            </w:r>
          </w:p>
        </w:tc>
        <w:tc>
          <w:tcPr>
            <w:tcW w:w="1531" w:type="dxa"/>
            <w:tcBorders>
              <w:top w:val="single" w:sz="12" w:space="0" w:color="auto"/>
              <w:left w:val="single" w:sz="12" w:space="0" w:color="auto"/>
              <w:bottom w:val="single" w:sz="12" w:space="0" w:color="auto"/>
              <w:right w:val="single" w:sz="12" w:space="0" w:color="auto"/>
            </w:tcBorders>
            <w:hideMark/>
          </w:tcPr>
          <w:p w14:paraId="1FB9E430"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0</w:t>
            </w:r>
          </w:p>
        </w:tc>
        <w:tc>
          <w:tcPr>
            <w:tcW w:w="1641" w:type="dxa"/>
            <w:tcBorders>
              <w:top w:val="single" w:sz="12" w:space="0" w:color="auto"/>
              <w:left w:val="single" w:sz="12" w:space="0" w:color="auto"/>
              <w:bottom w:val="single" w:sz="12" w:space="0" w:color="auto"/>
              <w:right w:val="single" w:sz="12" w:space="0" w:color="auto"/>
            </w:tcBorders>
            <w:hideMark/>
          </w:tcPr>
          <w:p w14:paraId="3973CF78" w14:textId="77777777" w:rsidR="009D64D0" w:rsidRPr="00F764E2" w:rsidRDefault="009D64D0" w:rsidP="00B15B90">
            <w:pPr>
              <w:kinsoku w:val="0"/>
              <w:overflowPunct w:val="0"/>
              <w:autoSpaceDE w:val="0"/>
              <w:spacing w:line="240" w:lineRule="exact"/>
              <w:jc w:val="right"/>
              <w:rPr>
                <w:rFonts w:ascii="標楷體" w:eastAsia="標楷體" w:hAnsi="標楷體"/>
                <w:kern w:val="0"/>
                <w:szCs w:val="24"/>
              </w:rPr>
            </w:pPr>
            <w:r w:rsidRPr="00F764E2">
              <w:rPr>
                <w:rFonts w:ascii="標楷體" w:eastAsia="標楷體" w:hAnsi="標楷體" w:cs="Arial" w:hint="eastAsia"/>
                <w:szCs w:val="24"/>
              </w:rPr>
              <w:t>0%</w:t>
            </w:r>
          </w:p>
        </w:tc>
      </w:tr>
    </w:tbl>
    <w:p w14:paraId="1295FFB1" w14:textId="22D13B7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提案人：蘇清泉　涂權吉　陳菁徽</w:t>
      </w:r>
    </w:p>
    <w:p w14:paraId="1F7EF53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三)內政部警政署及所屬於114年度中央政府前瞻基礎建設計畫第5期特別預算案第1目「城鄉建設」第1節「公共服務據點整備」編列7億5,440萬元。經查，此項計畫於中央政府前瞻基礎建設計畫第1至4期特別預算中皆有編列，前3期預算執行率尚</w:t>
      </w:r>
      <w:r w:rsidRPr="00BC7E20">
        <w:rPr>
          <w:rFonts w:ascii="標楷體" w:eastAsia="標楷體" w:hAnsi="標楷體" w:hint="eastAsia"/>
          <w:sz w:val="32"/>
          <w:szCs w:val="32"/>
        </w:rPr>
        <w:lastRenderedPageBreak/>
        <w:t>且都達八成以上，惟，截至113年7月第4期特別預算執行率僅33.89%，主因係案件申請變更計畫或工程多次流標，致計畫期程嚴重落後，其中有4處執行率低於50%，更有10處執行率為0%。鑑於上開計畫係為確保警察廳舍建物之安全，更攸關相關人員之安全，應督促執行率不佳之各縣市妥善辦理包含前置作業之發包、基本設計、細部審議等日程，或設定各階段執行進度之統一流程及日程，擬定計畫控管機制，落實各該建築進度之掌握，以利確保此計畫之執行程度及相關人員之安全。爰請內政部警政署於3個月內向立法院財政及相關委員會提出書面報告。</w:t>
      </w:r>
    </w:p>
    <w:p w14:paraId="6491A5CD" w14:textId="2BB2DDB0"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提案人：麥玉珍　陳昭姿　黃珊珊</w:t>
      </w:r>
    </w:p>
    <w:p w14:paraId="4292A87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四)內政部警政署及所屬於114年度中央政府前瞻基礎建設計畫第5期特別預算案第1目「城鄉建設」第1節「公共服務據點整備」編列7億5,440萬元，補助直轄市及縣（市）政府辦理警察廳舍危險建物耐震補強及拆除重建工程等所需經費。內政部警政署及所屬於中央政府前瞻基礎建設計畫第4期特別預算編列有同科目名稱之計畫，預算數13億0,880萬元，惟截至113年7月底執行率僅33.89%，部分子計畫或工作項目甚至尚無進度。建請內政部警政署及所屬針對警察廳舍之整理建設進行盤點，並強化計畫管考機制，審慎辦理各項工程之進度控管，以保障警務人員及洽公民眾之安全。另外，內政部警政署訂有警察機關興建辦公廳舍空間面積計算標準表，然現行仍有諸多機關之備勤室空間仍然狹小、設備老舊，無法供警察同仁安心休息。又我國女性警察人數已從96年占比4.16%成長至13.27%，警察機關辦公廳舍之廁所、備勤室、更衣盥洗空間允宜續行檢討，與時俱進，營造性別友善環境。爰請內政部警政署於3個月內，就補助計畫進度管考機制精進作為及全國各警察機關待勤處所改善需求盤點檢討與改善時程計畫，向立法院財政及相關委員會提出書面報告。</w:t>
      </w:r>
    </w:p>
    <w:p w14:paraId="0F562598" w14:textId="28D89183"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麥玉珍　陳昭姿</w:t>
      </w:r>
    </w:p>
    <w:p w14:paraId="76ECE07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lastRenderedPageBreak/>
        <w:t>(五)內政部警政署及所屬於中央政府前瞻基礎建設計畫第1至4期特別預算「城鄉建設」項下「公共服務據點整備」中「公有危險建築補強重建」之「地方警察廳舍」分別編列預算4億2,800萬元、20億2,540萬5千元、5億3,000萬元及13億0,880萬元，中央政府前瞻基礎建設計畫第5期特別預算案賡續編列7億5,440萬元，係補助直轄市及縣（市）政府辦理警察廳舍危險建物耐震補強及拆除重建工程等所需經費。經查中央政府前瞻基礎建設計畫特別預算第1至4期計畫截至113年7月底之預算執行率分別為82.53%、98.85%、92.09%及33.89%，中央政府前瞻基礎建設計畫第4期特別預算落後原因，主要係部分案件申請變更計畫或工程招標多次流標，致影響執行進度。截至113年7月底警察辦公廳舍重建案部分計畫甚且尚無進度，包括苗栗縣、南投縣、屏東縣及澎湖縣等地區之辦公廳舍補強重建案，其中苗栗縣2件執行率與實現數均為零。另查由於地方警察廳舍之補強重建案事涉建築物之安全性，內政部警政署允宜強化計畫管考機制，督促各地方政府落實案件追蹤，妥善督導協助克服執行中的困難，並審慎辦理各項工程之進度控管，以確保相關人員及洽公民眾之安全。爰請內政部警政署於3個月內向立法院財政及相關委員會提出書面報告。</w:t>
      </w:r>
    </w:p>
    <w:p w14:paraId="786BB0BB" w14:textId="1148FFDD"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5667FA08" w14:textId="5CF3A6B1"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6DEFE7B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w:t>
      </w:r>
      <w:r w:rsidRPr="00BC7E20">
        <w:rPr>
          <w:rFonts w:ascii="標楷體" w:eastAsia="標楷體" w:hAnsi="標楷體" w:hint="eastAsia"/>
          <w:kern w:val="0"/>
          <w:sz w:val="32"/>
          <w:szCs w:val="32"/>
        </w:rPr>
        <w:t>有鑑於近期地震頻傳，為加強建築物之耐震能力，</w:t>
      </w:r>
      <w:r w:rsidRPr="00BC7E20">
        <w:rPr>
          <w:rFonts w:ascii="標楷體" w:eastAsia="標楷體" w:hAnsi="標楷體" w:hint="eastAsia"/>
          <w:sz w:val="32"/>
          <w:szCs w:val="32"/>
        </w:rPr>
        <w:t>內政部警政署及所屬於114年度中央政府前瞻基礎建設計畫第5期特別預算案第1目「城鄉建設」第1節「公共服務據點整備」編列7億5,440萬元，</w:t>
      </w:r>
      <w:r w:rsidRPr="00BC7E20">
        <w:rPr>
          <w:rFonts w:ascii="標楷體" w:eastAsia="標楷體" w:hAnsi="標楷體" w:hint="eastAsia"/>
          <w:kern w:val="0"/>
          <w:sz w:val="32"/>
          <w:szCs w:val="32"/>
        </w:rPr>
        <w:t>用以補助地方政府辦理警察廳舍危險建物耐震補強及拆除重建工程。經</w:t>
      </w:r>
      <w:r w:rsidRPr="00BC7E20">
        <w:rPr>
          <w:rFonts w:ascii="標楷體" w:eastAsia="標楷體" w:hAnsi="標楷體" w:hint="eastAsia"/>
          <w:sz w:val="32"/>
          <w:szCs w:val="32"/>
        </w:rPr>
        <w:t>內政部</w:t>
      </w:r>
      <w:r w:rsidRPr="00BC7E20">
        <w:rPr>
          <w:rFonts w:ascii="標楷體" w:eastAsia="標楷體" w:hAnsi="標楷體" w:hint="eastAsia"/>
          <w:kern w:val="0"/>
          <w:sz w:val="32"/>
          <w:szCs w:val="32"/>
        </w:rPr>
        <w:t>警政署統計，全國警察廳舍截至111年底計有1,707處，其中屋齡20年以上計有1,304處，占比76.4%；30年以上計有997處，占比58.4%。根據地方警察機關辦公廳舍待勤處所整(修)建2年中程計畫，高雄市政府警</w:t>
      </w:r>
      <w:r w:rsidRPr="00BC7E20">
        <w:rPr>
          <w:rFonts w:ascii="標楷體" w:eastAsia="標楷體" w:hAnsi="標楷體" w:hint="eastAsia"/>
          <w:kern w:val="0"/>
          <w:sz w:val="32"/>
          <w:szCs w:val="32"/>
        </w:rPr>
        <w:lastRenderedPageBreak/>
        <w:t>察局已盤點須整(修)建共計25處，除請</w:t>
      </w:r>
      <w:r w:rsidRPr="00BC7E20">
        <w:rPr>
          <w:rFonts w:ascii="標楷體" w:eastAsia="標楷體" w:hAnsi="標楷體" w:hint="eastAsia"/>
          <w:sz w:val="32"/>
          <w:szCs w:val="32"/>
        </w:rPr>
        <w:t>內政部</w:t>
      </w:r>
      <w:r w:rsidRPr="00BC7E20">
        <w:rPr>
          <w:rFonts w:ascii="標楷體" w:eastAsia="標楷體" w:hAnsi="標楷體" w:hint="eastAsia"/>
          <w:kern w:val="0"/>
          <w:sz w:val="32"/>
          <w:szCs w:val="32"/>
        </w:rPr>
        <w:t>警政署如期如質如預算完工，亦請</w:t>
      </w:r>
      <w:r w:rsidRPr="00BC7E20">
        <w:rPr>
          <w:rFonts w:ascii="標楷體" w:eastAsia="標楷體" w:hAnsi="標楷體" w:hint="eastAsia"/>
          <w:sz w:val="32"/>
          <w:szCs w:val="32"/>
        </w:rPr>
        <w:t>內政部</w:t>
      </w:r>
      <w:r w:rsidRPr="00BC7E20">
        <w:rPr>
          <w:rFonts w:ascii="標楷體" w:eastAsia="標楷體" w:hAnsi="標楷體" w:hint="eastAsia"/>
          <w:kern w:val="0"/>
          <w:sz w:val="32"/>
          <w:szCs w:val="32"/>
        </w:rPr>
        <w:t>警政署盤點高雄市及南台灣之老舊警察辦公廳舍數量及情形。爰此，請內政部警政署於1個月內向</w:t>
      </w:r>
      <w:r w:rsidRPr="00BC7E20">
        <w:rPr>
          <w:rFonts w:ascii="標楷體" w:eastAsia="標楷體" w:hAnsi="標楷體" w:hint="eastAsia"/>
          <w:sz w:val="32"/>
          <w:szCs w:val="32"/>
        </w:rPr>
        <w:t>立法院財政及相關委員會</w:t>
      </w:r>
      <w:r w:rsidRPr="00BC7E20">
        <w:rPr>
          <w:rFonts w:ascii="標楷體" w:eastAsia="標楷體" w:hAnsi="標楷體" w:hint="eastAsia"/>
          <w:kern w:val="0"/>
          <w:sz w:val="32"/>
          <w:szCs w:val="32"/>
        </w:rPr>
        <w:t>提出書面報告。</w:t>
      </w:r>
    </w:p>
    <w:p w14:paraId="279A078B" w14:textId="2C2EF80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5B2016DE"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kern w:val="2"/>
          <w:sz w:val="32"/>
          <w:szCs w:val="32"/>
        </w:rPr>
      </w:pPr>
      <w:r w:rsidRPr="00BC7E20">
        <w:rPr>
          <w:rFonts w:ascii="標楷體" w:eastAsia="標楷體" w:hAnsi="標楷體" w:hint="eastAsia"/>
          <w:b/>
          <w:sz w:val="32"/>
          <w:szCs w:val="32"/>
        </w:rPr>
        <w:t>第4項  消防署及所屬</w:t>
      </w:r>
      <w:r w:rsidRPr="00BC7E20">
        <w:rPr>
          <w:rFonts w:ascii="標楷體" w:eastAsia="標楷體" w:hAnsi="標楷體" w:hint="eastAsia"/>
          <w:sz w:val="32"/>
          <w:szCs w:val="32"/>
        </w:rPr>
        <w:t>2億4,220萬元，照列。</w:t>
      </w:r>
    </w:p>
    <w:p w14:paraId="791A2567"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本項通過決議4項：</w:t>
      </w:r>
    </w:p>
    <w:p w14:paraId="7B19C9B0"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0"/>
          <w:sz w:val="32"/>
          <w:szCs w:val="32"/>
        </w:rPr>
      </w:pPr>
      <w:r w:rsidRPr="00BC7E20">
        <w:rPr>
          <w:rFonts w:ascii="標楷體" w:eastAsia="標楷體" w:hAnsi="標楷體" w:hint="eastAsia"/>
          <w:sz w:val="32"/>
          <w:szCs w:val="32"/>
        </w:rPr>
        <w:t>(一)內政部消防署及所屬於114年度中央政府前瞻基礎建設計畫第5期特別預算案第2目「城鄉建設」第1節「公共服務據點整備」編列2億2,020萬元，中央政府前瞻基礎建設計畫第1至4期特別預算</w:t>
      </w:r>
      <w:r w:rsidRPr="00BC7E20">
        <w:rPr>
          <w:rFonts w:ascii="標楷體" w:eastAsia="標楷體" w:hAnsi="標楷體" w:hint="eastAsia"/>
          <w:kern w:val="0"/>
          <w:sz w:val="32"/>
          <w:szCs w:val="32"/>
        </w:rPr>
        <w:t>「城鄉建設」項下「公共服務據點整備」中「公有危險建築補強重建」之「地方消防廳舍」分別編列預算3億3,400萬元、3億9,984萬元、1億6,600萬元及4億5,100萬元。經查，</w:t>
      </w:r>
      <w:r w:rsidRPr="00BC7E20">
        <w:rPr>
          <w:rFonts w:ascii="標楷體" w:eastAsia="標楷體" w:hAnsi="標楷體" w:hint="eastAsia"/>
          <w:sz w:val="32"/>
          <w:szCs w:val="32"/>
        </w:rPr>
        <w:t>中央政府前瞻基礎建設計畫第1至4期特別預算</w:t>
      </w:r>
      <w:r w:rsidRPr="00BC7E20">
        <w:rPr>
          <w:rFonts w:ascii="標楷體" w:eastAsia="標楷體" w:hAnsi="標楷體" w:hint="eastAsia"/>
          <w:kern w:val="0"/>
          <w:sz w:val="32"/>
          <w:szCs w:val="32"/>
        </w:rPr>
        <w:t>截至113年7月底之預算執行率分別為98.14%、98.15%、98.46%及24.43%，新北市、桃園市、嘉義市、嘉義縣、屏東縣與臺東縣仍有10個計畫案執行率未及60%，如屏東縣林邊分隊廳舍新建工程執行率僅13.08%，爰請內政部消防署</w:t>
      </w:r>
      <w:r w:rsidRPr="00BC7E20">
        <w:rPr>
          <w:rFonts w:ascii="標楷體" w:eastAsia="標楷體" w:hAnsi="標楷體" w:hint="eastAsia"/>
          <w:sz w:val="32"/>
          <w:szCs w:val="32"/>
        </w:rPr>
        <w:t>於3個月內</w:t>
      </w:r>
      <w:r w:rsidRPr="00BC7E20">
        <w:rPr>
          <w:rFonts w:ascii="標楷體" w:eastAsia="標楷體" w:hAnsi="標楷體" w:hint="eastAsia"/>
          <w:kern w:val="0"/>
          <w:sz w:val="32"/>
          <w:szCs w:val="32"/>
        </w:rPr>
        <w:t>向</w:t>
      </w:r>
      <w:r w:rsidRPr="00BC7E20">
        <w:rPr>
          <w:rFonts w:ascii="標楷體" w:eastAsia="標楷體" w:hAnsi="標楷體" w:hint="eastAsia"/>
          <w:sz w:val="32"/>
          <w:szCs w:val="32"/>
        </w:rPr>
        <w:t>立法院財政及相關委員會</w:t>
      </w:r>
      <w:r w:rsidRPr="00BC7E20">
        <w:rPr>
          <w:rFonts w:ascii="標楷體" w:eastAsia="標楷體" w:hAnsi="標楷體" w:hint="eastAsia"/>
          <w:kern w:val="0"/>
          <w:sz w:val="32"/>
          <w:szCs w:val="32"/>
        </w:rPr>
        <w:t>提出</w:t>
      </w:r>
      <w:r w:rsidRPr="00BC7E20">
        <w:rPr>
          <w:rFonts w:ascii="標楷體" w:eastAsia="標楷體" w:hAnsi="標楷體" w:hint="eastAsia"/>
          <w:sz w:val="32"/>
          <w:szCs w:val="32"/>
        </w:rPr>
        <w:t>書面報告</w:t>
      </w:r>
      <w:r w:rsidRPr="00BC7E20">
        <w:rPr>
          <w:rFonts w:ascii="標楷體" w:eastAsia="標楷體" w:hAnsi="標楷體" w:hint="eastAsia"/>
          <w:kern w:val="0"/>
          <w:sz w:val="32"/>
          <w:szCs w:val="32"/>
        </w:rPr>
        <w:t>。</w:t>
      </w:r>
    </w:p>
    <w:p w14:paraId="275B6D16" w14:textId="6BD9F8BF"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提案人：蘇清泉　涂權吉　陳菁徽</w:t>
      </w:r>
    </w:p>
    <w:p w14:paraId="79749A1D"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二)內政部消防署及所屬於114年度中央政府前瞻基礎建設計畫第5期特別預算案第2目「城鄉建設」第1節「公共服務據點整備」編列2億2,020萬元。經查，此項計畫於中央政府前瞻基礎建設計畫第1至4期特別預算中皆有編列，前3期預算執行率都達98%以上，惟截至113年7月中央政府前瞻基礎建設計畫第4期特別預算執行率僅24.43%，其中更有6處執行率為0%。鑑於上開計畫係為確保老舊消防廳舍建物之安全，更攸關災害發生時能否發揮救災救護功能，應督促地方政府針對此計畫之廳舍補強工程掌握其進度，包含前置作業之發包、採購期程，或設定各階段執行進度之統一流程及日程，擬定計畫控管</w:t>
      </w:r>
      <w:r w:rsidRPr="00BC7E20">
        <w:rPr>
          <w:rFonts w:ascii="標楷體" w:eastAsia="標楷體" w:hAnsi="標楷體" w:hint="eastAsia"/>
          <w:sz w:val="32"/>
          <w:szCs w:val="32"/>
        </w:rPr>
        <w:lastRenderedPageBreak/>
        <w:t>機制，落實各該計畫進度及目標，以利確保此計畫之執行程度及消防救災人員安全及救災勤務不受影響。請內政部消防署於2個月內向立法院財政及相關委員會提出策進作為書面報告。</w:t>
      </w:r>
    </w:p>
    <w:p w14:paraId="0949426D" w14:textId="743E344A"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陳昭姿　</w:t>
      </w:r>
    </w:p>
    <w:p w14:paraId="5A85F4B0" w14:textId="64EC0FA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連署人：黃珊珊　</w:t>
      </w:r>
    </w:p>
    <w:p w14:paraId="6008DA67"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三)內政部消防署及所屬於114年度中央政府前瞻基礎建設計畫第5期特別預算案第2目「城鄉建設」第1節「公共服務據點整備」編列2億2,020萬元，係補助直轄市及縣（市）政府辦理消防廳舍危險建物耐震補強及拆除重建工程等所需經費。經查中央政府前瞻基礎建設計畫第1至4期特別預算「城鄉建設」項下「公共服務據點整備」中「公有危險建築補強重建」之「地方消防廳舍」分別編列3億3,400萬元、3億9,984萬元、1億6,600萬元及4億5,100萬元，截至113年7月底之預算執行率分別為98.14%、98.15%、98.46%及24.43%，其中有工程進度嚴重落後，執行率與實現數偏低。鑑於內政部消防署公有危險建築補強重建計畫所補助之對象，為地方政府之公有建築，與消防人員安全及救災勤務關係密切，中央政府前瞻基礎建設計畫第5期特別預算案計畫允宜以維護公共安全為首要考量，審慎辦理相關耐震補強及拆除重建工程並趲趕工進。爰請內政部消防署於3個月內向立法院財政及相關委員會提出策進作為書面報告。</w:t>
      </w:r>
    </w:p>
    <w:p w14:paraId="4EAF92C9" w14:textId="1583CEB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409EFC0A" w14:textId="7F4728FD"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2E37EF5D"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w:t>
      </w:r>
      <w:r w:rsidRPr="00BC7E20">
        <w:rPr>
          <w:rFonts w:ascii="標楷體" w:eastAsia="標楷體" w:hAnsi="標楷體" w:hint="eastAsia"/>
          <w:kern w:val="0"/>
          <w:sz w:val="32"/>
          <w:szCs w:val="32"/>
        </w:rPr>
        <w:t>有鑑於部分消防廳舍過於老舊，以及空間有限及動線不良，影響出勤動線，並且近期地震頻傳，為加強建築物之耐震能力，本</w:t>
      </w:r>
      <w:r w:rsidRPr="00BC7E20">
        <w:rPr>
          <w:rFonts w:ascii="標楷體" w:eastAsia="標楷體" w:hAnsi="標楷體" w:hint="eastAsia"/>
          <w:sz w:val="32"/>
          <w:szCs w:val="32"/>
        </w:rPr>
        <w:t>期特別預算案編列2億2,020萬元，</w:t>
      </w:r>
      <w:r w:rsidRPr="00BC7E20">
        <w:rPr>
          <w:rFonts w:ascii="標楷體" w:eastAsia="標楷體" w:hAnsi="標楷體" w:hint="eastAsia"/>
          <w:kern w:val="0"/>
          <w:sz w:val="32"/>
          <w:szCs w:val="32"/>
        </w:rPr>
        <w:t>用以補助地方政府辦理消防廳舍危險建物耐震補強及拆除重建工程。經查高雄市政府消防廳舍內部設施需改善整修計有6處，除請</w:t>
      </w:r>
      <w:r w:rsidRPr="00BC7E20">
        <w:rPr>
          <w:rFonts w:ascii="標楷體" w:eastAsia="標楷體" w:hAnsi="標楷體" w:hint="eastAsia"/>
          <w:sz w:val="32"/>
          <w:szCs w:val="32"/>
        </w:rPr>
        <w:t>內政部</w:t>
      </w:r>
      <w:r w:rsidRPr="00BC7E20">
        <w:rPr>
          <w:rFonts w:ascii="標楷體" w:eastAsia="標楷體" w:hAnsi="標楷體" w:hint="eastAsia"/>
          <w:kern w:val="0"/>
          <w:sz w:val="32"/>
          <w:szCs w:val="32"/>
        </w:rPr>
        <w:t>消防署如期如質如預算完工，亦請</w:t>
      </w:r>
      <w:r w:rsidRPr="00BC7E20">
        <w:rPr>
          <w:rFonts w:ascii="標楷體" w:eastAsia="標楷體" w:hAnsi="標楷體" w:hint="eastAsia"/>
          <w:sz w:val="32"/>
          <w:szCs w:val="32"/>
        </w:rPr>
        <w:t>內政部消防</w:t>
      </w:r>
      <w:r w:rsidRPr="00BC7E20">
        <w:rPr>
          <w:rFonts w:ascii="標楷體" w:eastAsia="標楷體" w:hAnsi="標楷體" w:hint="eastAsia"/>
          <w:kern w:val="0"/>
          <w:sz w:val="32"/>
          <w:szCs w:val="32"/>
        </w:rPr>
        <w:t>署盤點高雄及南</w:t>
      </w:r>
      <w:r w:rsidRPr="00BC7E20">
        <w:rPr>
          <w:rFonts w:ascii="標楷體" w:eastAsia="標楷體" w:hAnsi="標楷體" w:hint="eastAsia"/>
          <w:kern w:val="0"/>
          <w:sz w:val="32"/>
          <w:szCs w:val="32"/>
        </w:rPr>
        <w:lastRenderedPageBreak/>
        <w:t>台灣地區之老舊消防辦公廳舍數量及情形。爰此，請內政部消防署於3個月內向</w:t>
      </w:r>
      <w:r w:rsidRPr="00BC7E20">
        <w:rPr>
          <w:rFonts w:ascii="標楷體" w:eastAsia="標楷體" w:hAnsi="標楷體" w:hint="eastAsia"/>
          <w:sz w:val="32"/>
          <w:szCs w:val="32"/>
        </w:rPr>
        <w:t>立法院財政及相關委員會</w:t>
      </w:r>
      <w:r w:rsidRPr="00BC7E20">
        <w:rPr>
          <w:rFonts w:ascii="標楷體" w:eastAsia="標楷體" w:hAnsi="標楷體" w:hint="eastAsia"/>
          <w:kern w:val="0"/>
          <w:sz w:val="32"/>
          <w:szCs w:val="32"/>
        </w:rPr>
        <w:t>提出書面報告。</w:t>
      </w:r>
    </w:p>
    <w:p w14:paraId="32E6938F" w14:textId="4716AAD1"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52B7A772" w14:textId="22DF322D" w:rsidR="009D64D0" w:rsidRPr="00BC7E20" w:rsidRDefault="009D64D0" w:rsidP="00F470A8">
      <w:pPr>
        <w:kinsoku w:val="0"/>
        <w:overflowPunct w:val="0"/>
        <w:autoSpaceDE w:val="0"/>
        <w:adjustRightInd w:val="0"/>
        <w:spacing w:line="480" w:lineRule="exact"/>
        <w:ind w:leftChars="200" w:left="1633" w:hangingChars="360" w:hanging="1153"/>
        <w:jc w:val="both"/>
        <w:rPr>
          <w:rFonts w:ascii="標楷體" w:eastAsia="標楷體" w:hAnsi="標楷體"/>
          <w:kern w:val="2"/>
          <w:sz w:val="32"/>
          <w:szCs w:val="32"/>
        </w:rPr>
      </w:pPr>
      <w:r w:rsidRPr="00BC7E20">
        <w:rPr>
          <w:rFonts w:ascii="標楷體" w:eastAsia="標楷體" w:hAnsi="標楷體" w:hint="eastAsia"/>
          <w:b/>
          <w:sz w:val="32"/>
          <w:szCs w:val="32"/>
        </w:rPr>
        <w:t>第5項</w:t>
      </w:r>
      <w:r w:rsidR="00B15B90"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建築研究所</w:t>
      </w:r>
      <w:r w:rsidRPr="00BC7E20">
        <w:rPr>
          <w:rFonts w:ascii="標楷體" w:eastAsia="標楷體" w:hAnsi="標楷體" w:hint="eastAsia"/>
          <w:sz w:val="32"/>
          <w:szCs w:val="32"/>
        </w:rPr>
        <w:t>原列5億2,200萬元，減列第1目「綠能建設」項下「業務費」200萬元（科目自行調整），其餘均照列，改列為5億2,000萬元。</w:t>
      </w:r>
    </w:p>
    <w:p w14:paraId="6A9F99BA"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本項通過決議1項：</w:t>
      </w:r>
    </w:p>
    <w:p w14:paraId="07D9623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(一)內政部建築研究所於114年度中央政府前瞻基礎建設計畫第5期特別預算案第1目「綠能建設」編列5億2,200萬元。</w:t>
      </w:r>
      <w:r w:rsidRPr="00BC7E20">
        <w:rPr>
          <w:rFonts w:ascii="標楷體" w:eastAsia="標楷體" w:hAnsi="標楷體" w:hint="eastAsia"/>
          <w:kern w:val="0"/>
          <w:sz w:val="32"/>
          <w:szCs w:val="32"/>
        </w:rPr>
        <w:t>為配合台灣2050淨零排放路徑及策略，推動淨零建築發展，研修淨零設計規範與完備技術基礎、培育跨領域人才、推動既有建築物轉型及協助產業發展應用。惟外界多擔憂恐將提高營建成本、推升房價，並且若過於強調節能，恐忽略減廢之重要性，尤其公共工程及市地重劃過程中，經常面臨未妥善處理之營建廢棄物及違法掩埋等問題，內政部除推動淨零節能建築，亦須重視推動建築減廢及既有私有建築之效能提升，並將減廢納入重要衡量指標，透過新建物之減廢設計，以減少未來之廢棄物處理成本及環境衝擊。爰此，請內政部建築研究所於3個月內向</w:t>
      </w:r>
      <w:r w:rsidRPr="00BC7E20">
        <w:rPr>
          <w:rFonts w:ascii="標楷體" w:eastAsia="標楷體" w:hAnsi="標楷體" w:hint="eastAsia"/>
          <w:sz w:val="32"/>
          <w:szCs w:val="32"/>
        </w:rPr>
        <w:t>立法院財政及相關委員會</w:t>
      </w:r>
      <w:r w:rsidRPr="00BC7E20">
        <w:rPr>
          <w:rFonts w:ascii="標楷體" w:eastAsia="標楷體" w:hAnsi="標楷體" w:hint="eastAsia"/>
          <w:kern w:val="0"/>
          <w:sz w:val="32"/>
          <w:szCs w:val="32"/>
        </w:rPr>
        <w:t>提出書面報告。</w:t>
      </w:r>
    </w:p>
    <w:p w14:paraId="3998C1AD" w14:textId="71EEA4F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344AD574"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color w:val="000000"/>
          <w:kern w:val="2"/>
          <w:sz w:val="32"/>
          <w:szCs w:val="32"/>
        </w:rPr>
      </w:pPr>
      <w:r w:rsidRPr="00BC7E20">
        <w:rPr>
          <w:rFonts w:ascii="標楷體" w:eastAsia="標楷體" w:hAnsi="標楷體" w:hint="eastAsia"/>
          <w:b/>
          <w:color w:val="000000"/>
          <w:sz w:val="32"/>
          <w:szCs w:val="32"/>
        </w:rPr>
        <w:t>第4款  財政部主管</w:t>
      </w:r>
    </w:p>
    <w:p w14:paraId="35EB812F"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color w:val="000000"/>
          <w:sz w:val="32"/>
          <w:szCs w:val="32"/>
        </w:rPr>
      </w:pPr>
      <w:r w:rsidRPr="00BC7E20">
        <w:rPr>
          <w:rFonts w:ascii="標楷體" w:eastAsia="標楷體" w:hAnsi="標楷體" w:hint="eastAsia"/>
          <w:b/>
          <w:color w:val="000000"/>
          <w:sz w:val="32"/>
          <w:szCs w:val="32"/>
        </w:rPr>
        <w:t>第1項  賦稅署</w:t>
      </w:r>
      <w:r w:rsidRPr="00BC7E20">
        <w:rPr>
          <w:rFonts w:ascii="標楷體" w:eastAsia="標楷體" w:hAnsi="標楷體" w:hint="eastAsia"/>
          <w:color w:val="000000"/>
          <w:sz w:val="32"/>
          <w:szCs w:val="32"/>
        </w:rPr>
        <w:t>2,530萬元，照列。</w:t>
      </w:r>
    </w:p>
    <w:p w14:paraId="26C7AAD6"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本項通過決議2項：</w:t>
      </w:r>
    </w:p>
    <w:p w14:paraId="54F1A783"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(一)財政部賦稅署於</w:t>
      </w:r>
      <w:r w:rsidRPr="00BC7E20">
        <w:rPr>
          <w:rFonts w:ascii="標楷體" w:eastAsia="標楷體" w:hAnsi="標楷體" w:hint="eastAsia"/>
          <w:bCs/>
          <w:color w:val="000000"/>
          <w:sz w:val="32"/>
          <w:szCs w:val="32"/>
        </w:rPr>
        <w:t>114年度</w:t>
      </w:r>
      <w:r w:rsidRPr="00BC7E20">
        <w:rPr>
          <w:rFonts w:ascii="標楷體" w:eastAsia="標楷體" w:hAnsi="標楷體" w:hint="eastAsia"/>
          <w:color w:val="000000"/>
          <w:sz w:val="32"/>
          <w:szCs w:val="32"/>
        </w:rPr>
        <w:t>中央政府前瞻基礎建設計畫第5期特別預算案第1目「城鄉建設」第1節「公共服務據點整備」編列2,530萬元。據審計部統計至113年9月30日為止，財政部賦稅署</w:t>
      </w:r>
      <w:r w:rsidRPr="00BC7E20">
        <w:rPr>
          <w:rFonts w:ascii="標楷體" w:eastAsia="標楷體" w:hAnsi="標楷體" w:hint="eastAsia"/>
          <w:bCs/>
          <w:color w:val="000000"/>
          <w:sz w:val="32"/>
          <w:szCs w:val="32"/>
        </w:rPr>
        <w:t>中央政府前瞻基礎建設計畫第4期特別預算</w:t>
      </w:r>
      <w:r w:rsidRPr="00BC7E20">
        <w:rPr>
          <w:rFonts w:ascii="標楷體" w:eastAsia="標楷體" w:hAnsi="標楷體" w:hint="eastAsia"/>
          <w:color w:val="000000"/>
          <w:sz w:val="32"/>
          <w:szCs w:val="32"/>
        </w:rPr>
        <w:t>公共服務據點整備預算僅執行14.96%。請財政部賦稅署就</w:t>
      </w:r>
      <w:r w:rsidRPr="00BC7E20">
        <w:rPr>
          <w:rFonts w:ascii="標楷體" w:eastAsia="標楷體" w:hAnsi="標楷體" w:hint="eastAsia"/>
          <w:bCs/>
          <w:color w:val="000000"/>
          <w:sz w:val="32"/>
          <w:szCs w:val="32"/>
        </w:rPr>
        <w:t>中央政府前瞻基礎建設計畫第4期特別預算</w:t>
      </w:r>
      <w:r w:rsidRPr="00BC7E20">
        <w:rPr>
          <w:rFonts w:ascii="標楷體" w:eastAsia="標楷體" w:hAnsi="標楷體" w:hint="eastAsia"/>
          <w:color w:val="000000"/>
          <w:sz w:val="32"/>
          <w:szCs w:val="32"/>
        </w:rPr>
        <w:t>之執行狀況檢討改進，以確保</w:t>
      </w:r>
      <w:r w:rsidRPr="00BC7E20">
        <w:rPr>
          <w:rFonts w:ascii="標楷體" w:eastAsia="標楷體" w:hAnsi="標楷體" w:hint="eastAsia"/>
          <w:bCs/>
          <w:color w:val="000000"/>
          <w:sz w:val="32"/>
          <w:szCs w:val="32"/>
        </w:rPr>
        <w:t>中央政府前瞻基礎建設計畫第5期特別預算</w:t>
      </w:r>
      <w:r w:rsidRPr="00BC7E20">
        <w:rPr>
          <w:rFonts w:ascii="標楷體" w:eastAsia="標楷體" w:hAnsi="標楷體" w:hint="eastAsia"/>
          <w:color w:val="000000"/>
          <w:sz w:val="32"/>
          <w:szCs w:val="32"/>
        </w:rPr>
        <w:t>之執行能如規劃完成。</w:t>
      </w:r>
      <w:r w:rsidRPr="00BC7E20">
        <w:rPr>
          <w:rFonts w:ascii="標楷體" w:eastAsia="標楷體" w:hAnsi="標楷體" w:hint="eastAsia"/>
          <w:color w:val="000000"/>
          <w:sz w:val="32"/>
          <w:szCs w:val="32"/>
        </w:rPr>
        <w:lastRenderedPageBreak/>
        <w:t>請財政部賦稅署於3個月內向立法院</w:t>
      </w:r>
      <w:r w:rsidRPr="00BC7E20">
        <w:rPr>
          <w:rFonts w:ascii="標楷體" w:eastAsia="標楷體" w:hAnsi="標楷體" w:hint="eastAsia"/>
          <w:bCs/>
          <w:color w:val="000000"/>
          <w:sz w:val="32"/>
          <w:szCs w:val="32"/>
        </w:rPr>
        <w:t>財政委員會</w:t>
      </w:r>
      <w:r w:rsidRPr="00BC7E20">
        <w:rPr>
          <w:rFonts w:ascii="標楷體" w:eastAsia="標楷體" w:hAnsi="標楷體" w:hint="eastAsia"/>
          <w:color w:val="000000"/>
          <w:sz w:val="32"/>
          <w:szCs w:val="32"/>
        </w:rPr>
        <w:t>提出書面報告。</w:t>
      </w:r>
    </w:p>
    <w:p w14:paraId="55B42946" w14:textId="097CBA3A"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提案人：吳沛憶</w:t>
      </w:r>
    </w:p>
    <w:p w14:paraId="7BA056B7" w14:textId="1D15F294"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512BA716"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(二)財政部賦稅署於</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第1目「城鄉建設」第1節「公共服務據點整備」編列2,530萬元，係賡續補助市縣政府改善地方稅稽徵機關公有建築物耐震能力，以維護公共安全所需經費。惟依財政部賦稅署</w:t>
      </w:r>
      <w:r w:rsidRPr="00BC7E20">
        <w:rPr>
          <w:rFonts w:ascii="標楷體" w:eastAsia="標楷體" w:hAnsi="標楷體" w:hint="eastAsia"/>
          <w:bCs/>
          <w:color w:val="000000"/>
          <w:sz w:val="32"/>
          <w:szCs w:val="32"/>
        </w:rPr>
        <w:t>中央政府前瞻基礎建設計畫第4期特別預算</w:t>
      </w:r>
      <w:r w:rsidRPr="00BC7E20">
        <w:rPr>
          <w:rFonts w:ascii="標楷體" w:eastAsia="標楷體" w:hAnsi="標楷體" w:hint="eastAsia"/>
          <w:color w:val="000000"/>
          <w:sz w:val="32"/>
          <w:szCs w:val="32"/>
        </w:rPr>
        <w:t>之會計月報所載，法定預算數1億0,790萬元、迄113年7月底止累計分配預算6,453萬3千元、累計實現數1,033萬1千元，分配預算執行率僅16.01%。鑑於</w:t>
      </w:r>
      <w:r w:rsidRPr="00BC7E20">
        <w:rPr>
          <w:rFonts w:ascii="標楷體" w:eastAsia="標楷體" w:hAnsi="標楷體" w:hint="eastAsia"/>
          <w:bCs/>
          <w:color w:val="000000"/>
          <w:sz w:val="32"/>
          <w:szCs w:val="32"/>
        </w:rPr>
        <w:t>中央政府前瞻基礎建設計畫第4期特別預算</w:t>
      </w:r>
      <w:r w:rsidRPr="00BC7E20">
        <w:rPr>
          <w:rFonts w:ascii="標楷體" w:eastAsia="標楷體" w:hAnsi="標楷體" w:hint="eastAsia"/>
          <w:color w:val="000000"/>
          <w:sz w:val="32"/>
          <w:szCs w:val="32"/>
        </w:rPr>
        <w:t>迄113年7月底止已有執行落後情事，允宜強化對受補助機關相關執行進度之管控，俾利如期如質達成預期成效。請財政部賦稅署於3個月內向立法院財政委員會提出書面報告。</w:t>
      </w:r>
    </w:p>
    <w:p w14:paraId="12B5D388" w14:textId="59E719D3"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w:t>
      </w:r>
    </w:p>
    <w:p w14:paraId="6480C865" w14:textId="5A9AD6A3"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3B94A92D"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第2項  關務署及所屬</w:t>
      </w:r>
      <w:r w:rsidRPr="00BC7E20">
        <w:rPr>
          <w:rFonts w:ascii="標楷體" w:eastAsia="標楷體" w:hAnsi="標楷體" w:hint="eastAsia"/>
          <w:color w:val="000000"/>
          <w:sz w:val="32"/>
          <w:szCs w:val="32"/>
        </w:rPr>
        <w:t>2,138萬1千元，照列。</w:t>
      </w:r>
    </w:p>
    <w:p w14:paraId="512AFF0F"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本項通過決議3項：</w:t>
      </w:r>
    </w:p>
    <w:p w14:paraId="7987C8D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(一)有鑑於財政部關務署及所屬於</w:t>
      </w:r>
      <w:r w:rsidRPr="00BC7E20">
        <w:rPr>
          <w:rFonts w:ascii="標楷體" w:eastAsia="標楷體" w:hAnsi="標楷體" w:hint="eastAsia"/>
          <w:bCs/>
          <w:color w:val="000000"/>
          <w:sz w:val="32"/>
          <w:szCs w:val="32"/>
        </w:rPr>
        <w:t>114年度中央政府前瞻基礎建設計畫第5期特別預算案第1目</w:t>
      </w:r>
      <w:r w:rsidRPr="00BC7E20">
        <w:rPr>
          <w:rFonts w:ascii="標楷體" w:eastAsia="標楷體" w:hAnsi="標楷體" w:hint="eastAsia"/>
          <w:color w:val="000000"/>
          <w:sz w:val="32"/>
          <w:szCs w:val="32"/>
        </w:rPr>
        <w:t>「數位建設」</w:t>
      </w:r>
      <w:r w:rsidRPr="00BC7E20">
        <w:rPr>
          <w:rFonts w:ascii="標楷體" w:eastAsia="標楷體" w:hAnsi="標楷體" w:hint="eastAsia"/>
          <w:bCs/>
          <w:color w:val="000000"/>
          <w:sz w:val="32"/>
          <w:szCs w:val="32"/>
        </w:rPr>
        <w:t>第1</w:t>
      </w:r>
      <w:r w:rsidRPr="00BC7E20">
        <w:rPr>
          <w:rFonts w:ascii="標楷體" w:eastAsia="標楷體" w:hAnsi="標楷體" w:hint="eastAsia"/>
          <w:color w:val="000000"/>
          <w:sz w:val="32"/>
          <w:szCs w:val="32"/>
        </w:rPr>
        <w:t>節「基礎建設環境」之「業務費」編列914萬元，辦理公有雲平台、虛擬主機、資料庫及網路連線等軟硬體租賃費用，考量政府債務舉借金額逐年增加，是項經費應予精簡，以減少公帑支出。爰凍結該項預算十分之一，俟財政部關務署向立法院財政委員會提出書面報告後，始得動支。</w:t>
      </w:r>
    </w:p>
    <w:p w14:paraId="69321ED3" w14:textId="19C4B8B7"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提案人：賴士葆　陳玉珍　林德福</w:t>
      </w:r>
    </w:p>
    <w:p w14:paraId="42D582C2"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(二)財政部關務署及所屬於</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規劃辦理「雲世代智慧海關計畫(110-114年)」編列2,138萬1千元，係為辦理AI稅則分類及跨機關車輛資</w:t>
      </w:r>
      <w:r w:rsidRPr="00BC7E20">
        <w:rPr>
          <w:rFonts w:ascii="標楷體" w:eastAsia="標楷體" w:hAnsi="標楷體" w:hint="eastAsia"/>
          <w:color w:val="000000"/>
          <w:sz w:val="32"/>
          <w:szCs w:val="32"/>
        </w:rPr>
        <w:lastRenderedPageBreak/>
        <w:t>訊等服務導入公有雲平台。本計畫總經費預計為1億3,368萬1千元。財政部關務署雲世代智慧海關計畫完成後，可提升民眾使用之便利性、強化業者服務之效益性及提高資訊之透明度，惟自115年度起後續之設備租金、維運等經費支出每年逾千萬元，應請財政部說明經費來源，以持續提供各項服務。爰要求財政部關務署於1個月內向立法院財政委員會提出書面報告。</w:t>
      </w:r>
    </w:p>
    <w:p w14:paraId="14061ADB" w14:textId="2EB40EAF"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w:t>
      </w:r>
    </w:p>
    <w:p w14:paraId="4940F6E2" w14:textId="40A35E3C"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5C4C2633"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三)為響應雲端政策及提升海關服務品質，財政部關務署推動雲世代智慧海關計畫，預期透過便民雲端服務達到資源彈性調配並緩解網路流量之目的，惟近年我國毒品氾濫、加熱菸黑市及走私亂象頻傳，財政部關務署除強化通關透明及減少貨品稅則歸類疑義，亦應持續導入次世代人工智慧科技精進查緝管理，以建構安全優質通關環境。爰此，要求財政部關務署於1個月內向立法院財政委員會提出書面報告。</w:t>
      </w:r>
    </w:p>
    <w:p w14:paraId="70625428" w14:textId="3374E634"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07437660" w14:textId="77777777" w:rsidR="009D64D0" w:rsidRPr="00BC7E20" w:rsidRDefault="009D64D0" w:rsidP="00F764E2">
      <w:pPr>
        <w:kinsoku w:val="0"/>
        <w:overflowPunct w:val="0"/>
        <w:autoSpaceDE w:val="0"/>
        <w:spacing w:line="480" w:lineRule="exact"/>
        <w:ind w:leftChars="200" w:left="1601" w:hangingChars="350" w:hanging="1121"/>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第3項  財政資訊中心</w:t>
      </w:r>
      <w:r w:rsidRPr="00BC7E20">
        <w:rPr>
          <w:rFonts w:ascii="標楷體" w:eastAsia="標楷體" w:hAnsi="標楷體" w:hint="eastAsia"/>
          <w:color w:val="000000"/>
          <w:sz w:val="32"/>
          <w:szCs w:val="32"/>
        </w:rPr>
        <w:t>原列1億1,528萬9千元，減列第1目「數位建設」第1節「基礎建設環境」之「業務費」80萬元（科目自行調整），其餘均照列，改列為1億1,448萬9千元。</w:t>
      </w:r>
    </w:p>
    <w:p w14:paraId="4220ED7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本項通過決議2項：</w:t>
      </w:r>
    </w:p>
    <w:p w14:paraId="04427E4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(一)財政部財政資訊中心於</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編列1億1,528萬9千元，預定辦理稅務雲世代雲端基礎建設計畫。經查財政部財政資訊中心推動稅務雲世代雲端基礎建設計畫，辦理消費通路雲端發票微服務及稅務好幫手等2項服務項目導入國家發展委員會建置之公有雲端平臺，預計可提升政府服務效能，惟本計畫經常門占比逾九成，鑑於經常支出效益僅限當年性，且</w:t>
      </w:r>
      <w:r w:rsidRPr="00BC7E20">
        <w:rPr>
          <w:rFonts w:ascii="標楷體" w:eastAsia="標楷體" w:hAnsi="標楷體" w:hint="eastAsia"/>
          <w:bCs/>
          <w:color w:val="000000"/>
          <w:sz w:val="32"/>
          <w:szCs w:val="32"/>
        </w:rPr>
        <w:t>中央政府前瞻基礎建設計畫特別預算</w:t>
      </w:r>
      <w:r w:rsidRPr="00BC7E20">
        <w:rPr>
          <w:rFonts w:ascii="標楷體" w:eastAsia="標楷體" w:hAnsi="標楷體" w:hint="eastAsia"/>
          <w:color w:val="000000"/>
          <w:sz w:val="32"/>
          <w:szCs w:val="32"/>
        </w:rPr>
        <w:t>多仰賴舉債支應，允宜撙節使用；另自115年度起，每年維運經費預估逾1億元，允宜妥適分配預算資源，避</w:t>
      </w:r>
      <w:r w:rsidRPr="00BC7E20">
        <w:rPr>
          <w:rFonts w:ascii="標楷體" w:eastAsia="標楷體" w:hAnsi="標楷體" w:hint="eastAsia"/>
          <w:color w:val="000000"/>
          <w:sz w:val="32"/>
          <w:szCs w:val="32"/>
        </w:rPr>
        <w:lastRenderedPageBreak/>
        <w:t>免影響其他工作項目之推展。爰請財政部於3個月內向立法院財政委員會提出書面報告。</w:t>
      </w:r>
    </w:p>
    <w:p w14:paraId="05F2CB9A" w14:textId="6927A99D"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w:t>
      </w:r>
    </w:p>
    <w:p w14:paraId="4E797EB4" w14:textId="248CBBB8"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25FE9C3B"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有鑑於財政部臺北國稅局於113年舉辦雲端種樹趣e起集點樹雲端發票抽獎活動，該活動多達4位民眾重複中獎，考慮重複中獎機率甚微，臺北國稅局承辦廠商竟以無內定、僅調整抽獎邏輯回覆，實難向大眾釋疑。爰此，請財政部財政資訊中心於2個月內向立法院財政委員會提出辦理</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數位建設業務之業務改善計畫書面報告。</w:t>
      </w:r>
    </w:p>
    <w:p w14:paraId="33BC38EF" w14:textId="7B806B7A"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56E0F6D3"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color w:val="000000"/>
          <w:kern w:val="2"/>
          <w:sz w:val="32"/>
          <w:szCs w:val="32"/>
        </w:rPr>
      </w:pPr>
      <w:r w:rsidRPr="00BC7E20">
        <w:rPr>
          <w:rFonts w:ascii="標楷體" w:eastAsia="標楷體" w:hAnsi="標楷體" w:hint="eastAsia"/>
          <w:b/>
          <w:color w:val="000000"/>
          <w:sz w:val="32"/>
          <w:szCs w:val="32"/>
        </w:rPr>
        <w:t>第5款  教育部主管</w:t>
      </w:r>
    </w:p>
    <w:p w14:paraId="0F69D9DE" w14:textId="77777777" w:rsidR="009D64D0" w:rsidRPr="00BC7E20" w:rsidRDefault="009D64D0" w:rsidP="00F470A8">
      <w:pPr>
        <w:kinsoku w:val="0"/>
        <w:overflowPunct w:val="0"/>
        <w:autoSpaceDE w:val="0"/>
        <w:spacing w:line="480" w:lineRule="exact"/>
        <w:ind w:leftChars="89" w:left="854" w:hangingChars="200"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本款通過決議2項：</w:t>
      </w:r>
    </w:p>
    <w:p w14:paraId="6AD7CBA0" w14:textId="77777777" w:rsidR="009D64D0" w:rsidRPr="00BC7E20" w:rsidRDefault="009D64D0" w:rsidP="00F470A8">
      <w:pPr>
        <w:kinsoku w:val="0"/>
        <w:overflowPunct w:val="0"/>
        <w:autoSpaceDE w:val="0"/>
        <w:spacing w:line="480" w:lineRule="exact"/>
        <w:ind w:leftChars="89" w:left="854" w:hangingChars="200" w:hanging="64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(一)教育部及所屬（包括教育部、國民及學前教育署）於</w:t>
      </w:r>
      <w:r w:rsidRPr="00BC7E20">
        <w:rPr>
          <w:rFonts w:ascii="標楷體" w:eastAsia="標楷體" w:hAnsi="標楷體" w:hint="eastAsia"/>
          <w:bCs/>
          <w:color w:val="000000"/>
          <w:sz w:val="32"/>
          <w:szCs w:val="32"/>
        </w:rPr>
        <w:t>114年度中央政府前瞻基礎建設計畫第5期特別預算案第1目</w:t>
      </w:r>
      <w:r w:rsidRPr="00BC7E20">
        <w:rPr>
          <w:rFonts w:ascii="標楷體" w:eastAsia="標楷體" w:hAnsi="標楷體" w:hint="eastAsia"/>
          <w:color w:val="000000"/>
          <w:sz w:val="32"/>
          <w:szCs w:val="32"/>
        </w:rPr>
        <w:t>「數位建設」編列8億2,083萬5千元，涵蓋基礎建設環境改善、數位人才培育及縮短5G偏鄉數位落差等多項計畫，旨在提升全國教育數位基礎建設及人才素養，進而縮減城鄉間數位差距。然根據執行情形評估，該項計畫於113年度至7月底止，整體執行率偏低，部分執行數僅達全年度預算數的少數比例。此外，所辦項目與既有方案性質相近，未能充分發揮差異化效益，並且部分績效指標之設定目標值過於寬鬆或尚不足以衡量實際成效，易對政策效果之評估帶來模糊性。爰建請教育部及所屬應落實控管計畫執行進度，針對執行落後之項目，應重新檢視並排除執行瓶頸。同時，應檢討績效指標及目標值之設定，確保其與政策成效具高度關聯性，提升目標設定的具體性與可衡量性。此外，應針對現有資源進行優化配置，聚焦於提升網路韌性、強化數位人才培育機制及有效縮減城鄉間數位落差，務求計畫目標</w:t>
      </w:r>
      <w:r w:rsidRPr="00BC7E20">
        <w:rPr>
          <w:rFonts w:ascii="標楷體" w:eastAsia="標楷體" w:hAnsi="標楷體" w:hint="eastAsia"/>
          <w:color w:val="000000"/>
          <w:sz w:val="32"/>
          <w:szCs w:val="32"/>
        </w:rPr>
        <w:lastRenderedPageBreak/>
        <w:t>全面達成。請教育部及所屬於3個月內向立法院財政及相關委員會提出書面報告。</w:t>
      </w:r>
    </w:p>
    <w:p w14:paraId="73AB98E1" w14:textId="2526A001"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提案人：張雅琳</w:t>
      </w:r>
    </w:p>
    <w:p w14:paraId="1914F557" w14:textId="10A3872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5414B8FC" w14:textId="77777777" w:rsidR="009D64D0" w:rsidRPr="00BC7E20" w:rsidRDefault="009D64D0" w:rsidP="00F470A8">
      <w:pPr>
        <w:kinsoku w:val="0"/>
        <w:overflowPunct w:val="0"/>
        <w:autoSpaceDE w:val="0"/>
        <w:spacing w:line="480" w:lineRule="exact"/>
        <w:ind w:leftChars="89" w:left="854" w:hangingChars="200" w:hanging="64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(二)教育部主管（包括教育部、國民及學前教育署、國立教育廣播電臺）於</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人才培育促進就業建設」項下，編列28億7,250萬元，其中教育部編列9億2,700萬元，國民及學前教育署編列19億4,150萬元，國立教育廣播電臺編列400萬元，用以推動2030雙語政策計畫，加速提升學生英語能力，實現人才國際化及促進未來就業競爭力之政策目標。然檢視目前執行情形，仍有多項待改進之處。首先，現行市面上已存在眾多英文能力檢定類型與工具，政府再補助另行研發新款測驗，應審慎評估其必要性與效益性，避免資源重複投入。其次，該計畫原訂期程已近屆滿，但至今尚未見修正或延長計畫之具體規劃，可能影響整體政策銜接與落實。爰建請教育部及所屬應針對2030雙語政策計畫進行全面檢討，聚焦於現有英文能力檢測工具的效益性分析，避免重複開發；同時，應儘速研擬計畫延長方案，確保各項推動措施得以順利銜接與深化。最後，需妥善規劃後續年度經費來源，將相關計畫納入年度預算編列，以確保資源配置之穩定性與執行目標之可持續性。爰請教育部及所屬於3個月內向立法院財政及相關委員會提出書面報告。</w:t>
      </w:r>
    </w:p>
    <w:p w14:paraId="3A098618" w14:textId="306F79D0"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提案人：張雅琳</w:t>
      </w:r>
    </w:p>
    <w:p w14:paraId="1A6A2BCD" w14:textId="71BCE83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761F0C38"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color w:val="000000"/>
          <w:sz w:val="32"/>
          <w:szCs w:val="32"/>
        </w:rPr>
      </w:pPr>
      <w:r w:rsidRPr="00BC7E20">
        <w:rPr>
          <w:rFonts w:ascii="標楷體" w:eastAsia="標楷體" w:hAnsi="標楷體" w:hint="eastAsia"/>
          <w:b/>
          <w:color w:val="000000"/>
          <w:sz w:val="32"/>
          <w:szCs w:val="32"/>
        </w:rPr>
        <w:t>第1項  教育部</w:t>
      </w:r>
      <w:r w:rsidRPr="00BC7E20">
        <w:rPr>
          <w:rFonts w:ascii="標楷體" w:eastAsia="標楷體" w:hAnsi="標楷體" w:hint="eastAsia"/>
          <w:color w:val="000000"/>
          <w:sz w:val="32"/>
          <w:szCs w:val="32"/>
        </w:rPr>
        <w:t>19億0,490萬元，照列。</w:t>
      </w:r>
    </w:p>
    <w:p w14:paraId="2024BBC1"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本項通過決議13項：</w:t>
      </w:r>
    </w:p>
    <w:p w14:paraId="3C4394E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(一)有鑑於師資培育之大學課程開辦上，實務上因早已規劃妥114年上半年(即114學年度第2學期)對於英語相關學習課程之開設，是以</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所將補助是類學校辦理課程研發、以及英語相關課程等經</w:t>
      </w:r>
      <w:r w:rsidRPr="00BC7E20">
        <w:rPr>
          <w:rFonts w:ascii="標楷體" w:eastAsia="標楷體" w:hAnsi="標楷體" w:hint="eastAsia"/>
          <w:color w:val="000000"/>
          <w:sz w:val="32"/>
          <w:szCs w:val="32"/>
        </w:rPr>
        <w:lastRenderedPageBreak/>
        <w:t>費，恐出現受理補助後，在執行上之成效考核、經費核銷等業務，皆將逾特別預算執行期限之挑戰。爰此，凍結</w:t>
      </w:r>
      <w:r w:rsidRPr="00BC7E20">
        <w:rPr>
          <w:rFonts w:ascii="標楷體" w:eastAsia="標楷體" w:hAnsi="標楷體" w:hint="eastAsia"/>
          <w:bCs/>
          <w:color w:val="000000"/>
          <w:sz w:val="32"/>
          <w:szCs w:val="32"/>
        </w:rPr>
        <w:t>第2目</w:t>
      </w:r>
      <w:r w:rsidRPr="00BC7E20">
        <w:rPr>
          <w:rFonts w:ascii="標楷體" w:eastAsia="標楷體" w:hAnsi="標楷體" w:hint="eastAsia"/>
          <w:color w:val="000000"/>
          <w:sz w:val="32"/>
          <w:szCs w:val="32"/>
        </w:rPr>
        <w:t>「人才培育促進就業建設」預算100萬元，俟教育部於1個月內向立法院財政及相關委員會提出書面報告後，始得動支。</w:t>
      </w:r>
    </w:p>
    <w:p w14:paraId="07B37DAB" w14:textId="72577031"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0BE8BB4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(二)教育部於</w:t>
      </w:r>
      <w:r w:rsidRPr="00BC7E20">
        <w:rPr>
          <w:rFonts w:ascii="標楷體" w:eastAsia="標楷體" w:hAnsi="標楷體" w:hint="eastAsia"/>
          <w:bCs/>
          <w:color w:val="000000"/>
          <w:sz w:val="32"/>
          <w:szCs w:val="32"/>
        </w:rPr>
        <w:t>114年度中央政府前瞻基礎建設計畫第5期特別預算案第1目</w:t>
      </w:r>
      <w:r w:rsidRPr="00BC7E20">
        <w:rPr>
          <w:rFonts w:ascii="標楷體" w:eastAsia="標楷體" w:hAnsi="標楷體" w:hint="eastAsia"/>
          <w:color w:val="000000"/>
          <w:sz w:val="32"/>
          <w:szCs w:val="32"/>
        </w:rPr>
        <w:t>「數位建設」編列5億7,150萬元，包括基礎建設環境、數位人才淬煉及縮短5G偏鄉數位落差。經查部分計畫113年度迄7月底止執行數占全年度預算數比率尚低(其中強化公部門網路服務與運算雲端基礎設施-臺灣學術網路服務優化113年度執行率僅為15.6%、高級中等學校智慧網路環境暨學術網路提升計畫113年度執行率68.9%、數位人才淬煉-強化智慧學習暨教學計畫113年度執行率74.5%)，且所辦項目與既有方案性質相近，又部分績效指標目標值過於寬鬆或尚未足以衡量具體成效，允宜落實控管執行進度，檢討績效指標及目標值之設定與政策成效之關聯性，並妥善配置相關資源，以達優化網路韌性、培育前瞻數位科技人才及縮短數位落差等目標。請教育部於3個月內向立法院財政及相關委員會提出書面報告。</w:t>
      </w:r>
    </w:p>
    <w:p w14:paraId="7A644D94" w14:textId="5A53F2E5"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w:t>
      </w:r>
    </w:p>
    <w:p w14:paraId="750123F8" w14:textId="4BC2F0A5"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47CDCF0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三)有鑑於臺灣學術網路CDN已加入既有教育部教育雲及因材網等多類我國教學網站，並已相繼有各縣市教育局處共同參與，將各縣市常用數位資源及應用納入臺灣學術網路CDN的服務範圍。復以，據教育部官方於113年度6月所稱，自108年起教育部已成功整合國內各學研團隊，於臺灣學術網路(TANet)先後構建學術網路資安防護處理機制，分別由事前預防、事中偵測及事後修補等多面向，多層次提升教育單位資訊安全。是以，考量教育部乃規劃投入3億5,000萬元經費，擬於114年度1至8月又將重複辦理臺灣學術網路(TANet)服務網路韌性強化</w:t>
      </w:r>
      <w:r w:rsidRPr="00BC7E20">
        <w:rPr>
          <w:rFonts w:ascii="標楷體" w:eastAsia="標楷體" w:hAnsi="標楷體" w:hint="eastAsia"/>
          <w:color w:val="000000"/>
          <w:sz w:val="32"/>
          <w:szCs w:val="32"/>
        </w:rPr>
        <w:lastRenderedPageBreak/>
        <w:t>、雲端服務品質提升及學術網路內容傳遞網路(CDN)建置等事項用以執行，容有必要性之爭議，以及業務重複辦理情形。爰此，為避免基層國民教育學生受教資源，及校舍安全經費遭間接排擠，請教育部於3個月內向立法院財政及相關委員會提出書面報告。</w:t>
      </w:r>
    </w:p>
    <w:p w14:paraId="3D8B91EA" w14:textId="010E17AD"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2E69801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四)有鑑於教育部辦理強化智慧學習暨教學計畫，乃規劃於114年度8月時完成1.輔導師資生3千人次參與數位教學檢測。2.完成高級中等學校跨領域合作新興科技融入教學，如藉AR/VR勝讀古詩情境選、探索生活中的AIoT、無人機應用於農業、AI互動機器人、魚菜共生系統等課程之遠距教學教案累積至200件。3.培育教師使用數位工具與資源實施教學能力累計8.8萬人，以及含現況已培育人數，累計占全國中小學教師約60%等。4.新增開發2,368組數位教材軟體。然而，考量既有於當前執行累計之績效不彰，進而再於</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編列8,950萬元經費，並趕辦成功之可能性過低，復以對地方政府輔導機制欠有加強。請教育部於3個月內向立法院財政及相關委員會提出書面報告。</w:t>
      </w:r>
    </w:p>
    <w:p w14:paraId="2063FA81" w14:textId="784B29DA"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368DDBE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(五)有鑑於教育部將透過</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執行縮短5G偏鄉數位落差，然特別預算執行事項如學習載具服務學生、使用5G線上互動情境之探索學習、體驗學習、自主學習或遠距教學等，尚無法於同年度俟特別預算期滿後，可有效回歸至常態國民教育用以施行並經常性推動。請教育部於3個月內向立法院財政及相關委員會提出書面報告。</w:t>
      </w:r>
    </w:p>
    <w:p w14:paraId="7B3A6A8F" w14:textId="6EAF8FAE"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0B16E5E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(六)教育部於</w:t>
      </w:r>
      <w:r w:rsidRPr="00BC7E20">
        <w:rPr>
          <w:rFonts w:ascii="標楷體" w:eastAsia="標楷體" w:hAnsi="標楷體" w:hint="eastAsia"/>
          <w:bCs/>
          <w:color w:val="000000"/>
          <w:sz w:val="32"/>
          <w:szCs w:val="32"/>
        </w:rPr>
        <w:t>114年度中央政府前瞻基礎建設計畫第5期特別預算案第2目</w:t>
      </w:r>
      <w:r w:rsidRPr="00BC7E20">
        <w:rPr>
          <w:rFonts w:ascii="標楷體" w:eastAsia="標楷體" w:hAnsi="標楷體" w:hint="eastAsia"/>
          <w:color w:val="000000"/>
          <w:sz w:val="32"/>
          <w:szCs w:val="32"/>
        </w:rPr>
        <w:t>「人才培育促進就業建設」編列9億2,700萬元，辦理2030雙語政策計畫-加速提升學生英語能力(另於國民及學前</w:t>
      </w:r>
      <w:r w:rsidRPr="00BC7E20">
        <w:rPr>
          <w:rFonts w:ascii="標楷體" w:eastAsia="標楷體" w:hAnsi="標楷體" w:hint="eastAsia"/>
          <w:color w:val="000000"/>
          <w:sz w:val="32"/>
          <w:szCs w:val="32"/>
        </w:rPr>
        <w:lastRenderedPageBreak/>
        <w:t>教育署編列19億4,150萬元、國立教育廣播電臺編列400萬元)。有鑑於主要工作項目大學教學英語化之辦理全國大專校院英語評量檢測，屢遭質疑既有英文能力檢定種類眾多，是否適合補助另行研發新款測驗，惟教育部仍規劃以2.4億元委由財團法人語言訓練測驗中心(LTTC)開發學生英語能力檢測工具，預計113年建置全國大專校院英語評量檢測；其次，立法院預算中心評估報告指出計畫期程預計從113年底延長至114年8月31日，惟尚未修正延長期程；此外，各績效指標雖列有119年目標值，惟經費需求係編列110至114年度，至後續年度經費允宜妥予規劃循預算程序納入年度預算編列，俾利達成計畫目標。爰請教育部於3個月內向立法院財政及相關委員會提出書面報告。</w:t>
      </w:r>
    </w:p>
    <w:p w14:paraId="087E0BB6" w14:textId="0C20DD50"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w:t>
      </w:r>
    </w:p>
    <w:p w14:paraId="6693FB37" w14:textId="12AE391D"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56194C5D"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(七)教育部於</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辦理「人才培育促進就業建設」編列9億2,700萬元，係協助大專校院成為雙語標竿學校、補助師資培育之大學辦理雙語教學研究中心之課程研發及開設英語相關學習課程等所需經費。其中辦理全國大專校院英語評量檢測一案，係補助LTTC針對國內大專校院學生研發培力英語能力檢定測驗(BESTEP)，並由教育部全額補助執行學校學生報名費。惟目前國內既有英文檢定(測驗)種類甚多，且新研發之檢定測驗是否獲國際採認，效益性尚待檢討。爰請教育部於3個月內向立法院財政及相關委員會提出檢討改善書面報告。</w:t>
      </w:r>
    </w:p>
    <w:p w14:paraId="23936E65" w14:textId="5D564062"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提案人：陳玉珍　葉元之</w:t>
      </w:r>
    </w:p>
    <w:p w14:paraId="69FECDAA" w14:textId="3A49BF2F"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連署人：羅明才　顏寬恒　林倩綺　萬美玲　</w:t>
      </w:r>
    </w:p>
    <w:p w14:paraId="6F24DCB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八)雙語政策為我國家重要政策，雙語教育也蔚為趨勢。2030雙語政策(110至113年度)第1次修正計畫總經費125億元，國家發展委員會及教育部為持續推動相關策略，計畫延長至114年8月，經費增加至150億元，顯見我國投注許多資源發展此政</w:t>
      </w:r>
      <w:r w:rsidRPr="00BC7E20">
        <w:rPr>
          <w:rFonts w:ascii="標楷體" w:eastAsia="標楷體" w:hAnsi="標楷體" w:hint="eastAsia"/>
          <w:color w:val="000000"/>
          <w:sz w:val="32"/>
          <w:szCs w:val="32"/>
        </w:rPr>
        <w:lastRenderedPageBreak/>
        <w:t>策。然學者研究指出，雙語政策即便立意良善，卻於教育現場出現五大亂象，包括：1.未準備好就上路的雙語課，被當作招生大補帖；2.體育、家政課也在考英語單字；3.強求每科都用雙語教，恐悖離教育目標；4.校內組教師社群迎戰雙語，英語教師淪翻譯機；5.雙語師培一國多制，在職培訓彈性不足。為促進雙語教育品質，教育部國民及學前教育署應召集教育與語言專家，展開諮詢會議，商討適切的教學方法，讓雙語政策能真正弭平偏鄉英語落差。請教育部邀集教育與語言專家辦理諮詢會議，於114年3月31日內向立法院財政及相關委員會提出書面報告。</w:t>
      </w:r>
    </w:p>
    <w:p w14:paraId="7433DF72" w14:textId="6D164164"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提案人：范　雲</w:t>
      </w:r>
    </w:p>
    <w:p w14:paraId="05101493" w14:textId="49893737"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連署人：王正旭　林月琴</w:t>
      </w:r>
    </w:p>
    <w:p w14:paraId="54F1FE21"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九)雙語政策為我國家重要政策，雙語教育也蔚為趨勢。2030雙語政策(110至113年度)第1次修正計畫總經費125億元，國家發展委員會及教育部為持續推動相關策略，計畫延長至114年8月，經費增加至150億元，顯見我國投注許多資源發展此政策。然學者研究指出，雙語政策即便立意良善，卻於教育現場出現五大亂象，包括：1.未準備好就上路的雙語課，被當作招生大補帖；2.體育、家政課也在考英語單字；3.強求每科都用雙語教，恐悖離教育目標；4.校內組教師社群迎戰雙語，英語教師淪翻譯機；5.雙語師培一國多制，在職培訓彈性不足。為促進雙語教育品質，教育部國民及學前教育署應召集國小、國中、高中的第一線英文教師，召開滾動式檢討會議，改善教育現場問題，讓雙語政策能真正弭平偏鄉英語落差。爰請教育部邀集第一線英語教師辦理諮詢會議，於114年3月31日內向立法院財政及相關委員會提出書面報告。</w:t>
      </w:r>
    </w:p>
    <w:p w14:paraId="62AF10B4" w14:textId="46760DBF"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提案人：范　雲</w:t>
      </w:r>
    </w:p>
    <w:p w14:paraId="7120A5A0" w14:textId="2268C0E2"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連署人：王正旭　林月琴</w:t>
      </w:r>
    </w:p>
    <w:p w14:paraId="0C7EDBF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(十)有鑑於教育部編列城鄉建設公共服務據點整備，用以補助公共圖書館執行耐震能力改善，然考量圖書館法定業務之歷年</w:t>
      </w:r>
      <w:r w:rsidRPr="00BC7E20">
        <w:rPr>
          <w:rFonts w:ascii="標楷體" w:eastAsia="標楷體" w:hAnsi="標楷體" w:hint="eastAsia"/>
          <w:color w:val="000000"/>
          <w:sz w:val="32"/>
          <w:szCs w:val="32"/>
        </w:rPr>
        <w:lastRenderedPageBreak/>
        <w:t>成效顯有未彰，容有檢討改善之必要；復以，教育部應該優先審視並完整相關規劃，對未來在圖書館法定事項如推廣教育、提升文化、支援教學研究，及倡導終身學習等業務再予精進，方不至於空有於硬體建設補助之際，卻疏於實際業務之提升，形成本末倒置情形。爰請教育部於2個月內向立法院財政及相關委員會提出書面報告。</w:t>
      </w:r>
    </w:p>
    <w:p w14:paraId="79C981D9" w14:textId="276BBB74"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428749FC"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(十一)教育部於</w:t>
      </w:r>
      <w:r w:rsidRPr="00BC7E20">
        <w:rPr>
          <w:rFonts w:ascii="標楷體" w:eastAsia="標楷體" w:hAnsi="標楷體" w:hint="eastAsia"/>
          <w:bCs/>
          <w:color w:val="000000"/>
          <w:sz w:val="32"/>
          <w:szCs w:val="32"/>
        </w:rPr>
        <w:t>114年度中央政府前瞻基礎建設計畫第5期特別預算案第3目</w:t>
      </w:r>
      <w:r w:rsidRPr="00BC7E20">
        <w:rPr>
          <w:rFonts w:ascii="標楷體" w:eastAsia="標楷體" w:hAnsi="標楷體" w:hint="eastAsia"/>
          <w:color w:val="000000"/>
          <w:sz w:val="32"/>
          <w:szCs w:val="32"/>
        </w:rPr>
        <w:t>「城鄉建設」編列4億0,640萬元(「業務費」150萬元、「獎補助費」4億0,490萬元)，辦理公有危險建築補強重建-公共圖書館耐震能力改善。惟教育部補助公共圖書館辦理耐震補強工程於</w:t>
      </w:r>
      <w:r w:rsidRPr="00BC7E20">
        <w:rPr>
          <w:rFonts w:ascii="標楷體" w:eastAsia="標楷體" w:hAnsi="標楷體" w:hint="eastAsia"/>
          <w:bCs/>
          <w:color w:val="000000"/>
          <w:sz w:val="32"/>
          <w:szCs w:val="32"/>
        </w:rPr>
        <w:t>中央政府前瞻基礎建設計畫第4期特別預算</w:t>
      </w:r>
      <w:r w:rsidRPr="00BC7E20">
        <w:rPr>
          <w:rFonts w:ascii="標楷體" w:eastAsia="標楷體" w:hAnsi="標楷體" w:hint="eastAsia"/>
          <w:color w:val="000000"/>
          <w:sz w:val="32"/>
          <w:szCs w:val="32"/>
        </w:rPr>
        <w:t>(112及113年度)共編列2億5,000萬元，其中113年迄7月底累計執行數8,298萬8千元，僅占全年度預算數2億元之41.49%，部分工程受缺工影響，多次流標或無廠商投標，允宜督導地方政府確實管控工程品質與執行進度，以確保建築物安全性，落實震災預防整備工作。爰請教育部於2個月內向立法院財政及相關委員會提出書面報告。</w:t>
      </w:r>
    </w:p>
    <w:p w14:paraId="5B2E0E9A" w14:textId="53AE0F4B"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w:t>
      </w:r>
    </w:p>
    <w:p w14:paraId="10F323C8" w14:textId="1AC22255"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5AB07078"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十二)屏東縣將公有閒置空間活化再運用，打造城市美學新亮點，翻轉成具有休閒、教育、藝文、商業之青年空間場域，遂規劃屏東潮青特區，並於其中設有潮青圖書館，以提供潮州青少年及青年適性發展職涯之專屬空間，進而提升青年留鄉及返鄉之意願。潮青圖書館以青少年及青年之興趣及職涯發展為選書重點，並於空間中設置ACG產業專區，為青少年及青年打造其專屬適性發展職涯探索環境，然屏東縣府屬第五級財力之城市，難以獨立支應全額經費，為平衡區域教育資源不均，教育部應針對潮青圖書館研議補助</w:t>
      </w:r>
      <w:r w:rsidRPr="00BC7E20">
        <w:rPr>
          <w:rFonts w:ascii="標楷體" w:eastAsia="標楷體" w:hAnsi="標楷體" w:hint="eastAsia"/>
          <w:color w:val="000000"/>
          <w:sz w:val="32"/>
          <w:szCs w:val="32"/>
        </w:rPr>
        <w:lastRenderedPageBreak/>
        <w:t>規劃，並於2個月內向立法院財政及相關委員會提出書面報告。</w:t>
      </w:r>
    </w:p>
    <w:p w14:paraId="3DD78A01" w14:textId="5C7A45E7"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提案人：徐富癸　伍麗華</w:t>
      </w:r>
    </w:p>
    <w:p w14:paraId="10D61D1C" w14:textId="352D7A0C"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連署人：王正旭</w:t>
      </w:r>
    </w:p>
    <w:p w14:paraId="01277F5C"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(十三)校園5G示範教室與學習載具計畫，在</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編列1億3,200萬元，建置高級中等以下學校之校園5G上網應用環境，發展5G行動寬頻運用在學習與教學之示範模式等所需經費。爰要求應考量城鄉平衡，應在資源相對不足地區建立示範教學教室，更彰顯特別預算要建立國家基礎建設的政策目的。</w:t>
      </w:r>
    </w:p>
    <w:p w14:paraId="634DAB23" w14:textId="1B39090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提案人：謝衣鳯　邱若華　羅明才</w:t>
      </w:r>
    </w:p>
    <w:p w14:paraId="35AB38D4"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第2項  國民及學前教育署</w:t>
      </w:r>
      <w:r w:rsidRPr="00BC7E20">
        <w:rPr>
          <w:rFonts w:ascii="標楷體" w:eastAsia="標楷體" w:hAnsi="標楷體" w:hint="eastAsia"/>
          <w:color w:val="000000"/>
          <w:sz w:val="32"/>
          <w:szCs w:val="32"/>
        </w:rPr>
        <w:t>21億9,083萬5千元，照列。</w:t>
      </w:r>
    </w:p>
    <w:p w14:paraId="04AFFD87"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本項通過決議7項：</w:t>
      </w:r>
    </w:p>
    <w:p w14:paraId="6E9DD5B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(一)有鑑於教育部國民及學前教育署規劃透過數位人才淬鍊科目，於</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編列3,450萬元，並辦理新興科技教育遠距示範服務。然而，考量</w:t>
      </w:r>
      <w:r w:rsidRPr="00BC7E20">
        <w:rPr>
          <w:rFonts w:ascii="標楷體" w:eastAsia="標楷體" w:hAnsi="標楷體" w:hint="eastAsia"/>
          <w:bCs/>
          <w:color w:val="000000"/>
          <w:sz w:val="32"/>
          <w:szCs w:val="32"/>
        </w:rPr>
        <w:t>114年度中央政府前瞻基礎建設計畫第5期特別預算案</w:t>
      </w:r>
      <w:r w:rsidRPr="00BC7E20">
        <w:rPr>
          <w:rFonts w:ascii="標楷體" w:eastAsia="標楷體" w:hAnsi="標楷體" w:hint="eastAsia"/>
          <w:color w:val="000000"/>
          <w:sz w:val="32"/>
          <w:szCs w:val="32"/>
        </w:rPr>
        <w:t>執行完畢後，時間將落在114年下半年，至於後續預算年度如何透過常態公務預算，再無縫接軌繼續銜接未來推動之科技教育遠距示範服務業務，迄今卻不見教育部國民及學前教育署推出相關規劃。爰凍結</w:t>
      </w:r>
      <w:r w:rsidRPr="00BC7E20">
        <w:rPr>
          <w:rFonts w:ascii="標楷體" w:eastAsia="標楷體" w:hAnsi="標楷體" w:hint="eastAsia"/>
          <w:bCs/>
          <w:color w:val="000000"/>
          <w:sz w:val="32"/>
          <w:szCs w:val="32"/>
        </w:rPr>
        <w:t>第1目</w:t>
      </w:r>
      <w:r w:rsidRPr="00BC7E20">
        <w:rPr>
          <w:rFonts w:ascii="標楷體" w:eastAsia="標楷體" w:hAnsi="標楷體" w:hint="eastAsia"/>
          <w:color w:val="000000"/>
          <w:sz w:val="32"/>
          <w:szCs w:val="32"/>
        </w:rPr>
        <w:t>「數位建設」第2節「數位人才淬鍊」預算3,450萬元之十分之一，俟教育部國民及學前教育署於1個月內向立法院財政及相關委員會提出書面報告後，始得動支。</w:t>
      </w:r>
    </w:p>
    <w:p w14:paraId="381CDE18" w14:textId="08EDCD73"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4681081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有鑑於教育部國民及學前教育署，為辦理數位建設之基礎建設環境預算規劃中，乃包含有高中學校智慧教室建置及資通安全防護能力提升等2項事項。然而，考量兩者業務之間孰輕孰重，則並未有詳細說明，復以所查當前基層高中多有校舍硬體建築損害，並急待修繕，徒增智慧教室建置業務上增加</w:t>
      </w:r>
      <w:r w:rsidRPr="00BC7E20">
        <w:rPr>
          <w:rFonts w:ascii="標楷體" w:eastAsia="標楷體" w:hAnsi="標楷體" w:hint="eastAsia"/>
          <w:color w:val="000000"/>
          <w:sz w:val="32"/>
          <w:szCs w:val="32"/>
        </w:rPr>
        <w:lastRenderedPageBreak/>
        <w:t>執行窒礙，且不見教育部國民及學前教育署積極排除。爰此，請教育部國民及學前教育署於3個月內向立法院財政及相關委員會提出書面報告。</w:t>
      </w:r>
    </w:p>
    <w:p w14:paraId="5F1F9412" w14:textId="51975F5A"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5980683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(三)教育部國民及學前教育署於</w:t>
      </w:r>
      <w:r w:rsidRPr="00BC7E20">
        <w:rPr>
          <w:rFonts w:ascii="標楷體" w:eastAsia="標楷體" w:hAnsi="標楷體" w:hint="eastAsia"/>
          <w:bCs/>
          <w:color w:val="000000"/>
          <w:sz w:val="32"/>
          <w:szCs w:val="32"/>
        </w:rPr>
        <w:t>114年度中央政府前瞻基礎建設計畫第5期特別預算案第1目</w:t>
      </w:r>
      <w:r w:rsidRPr="00BC7E20">
        <w:rPr>
          <w:rFonts w:ascii="標楷體" w:eastAsia="標楷體" w:hAnsi="標楷體" w:hint="eastAsia"/>
          <w:color w:val="000000"/>
          <w:sz w:val="32"/>
          <w:szCs w:val="32"/>
        </w:rPr>
        <w:t>「數位建設」第1節「基礎建設環境」編列2億1,483萬5千元。此計畫係為辦理高級中等學校智慧網路環境暨學術網路提升計畫，針對高級中等學校智慧教室建置及資通系統安全防護能力提升等所需經費。此一計畫未特別針對原鄉及離島鄉(鎮、市、區)予以優先推動，亦未積極敦促地方教育主管機關應積極縮短都市及原鄉間數位資源上之落差。爰此，請教育部國民及學前教育署於3個月內向立法院財政及相關委員會提出書面報告。</w:t>
      </w:r>
    </w:p>
    <w:p w14:paraId="2E2A81C9" w14:textId="1FC92CC6"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提案人：盧縣一　蘇清泉</w:t>
      </w:r>
    </w:p>
    <w:p w14:paraId="2FC1CF44" w14:textId="6C61C2DC"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連署人：鄭天財</w:t>
      </w:r>
    </w:p>
    <w:p w14:paraId="393935F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(四)教育部國民及學前教育署於</w:t>
      </w:r>
      <w:r w:rsidRPr="00BC7E20">
        <w:rPr>
          <w:rFonts w:ascii="標楷體" w:eastAsia="標楷體" w:hAnsi="標楷體" w:hint="eastAsia"/>
          <w:bCs/>
          <w:color w:val="000000"/>
          <w:sz w:val="32"/>
          <w:szCs w:val="32"/>
        </w:rPr>
        <w:t>114年度中央政府前瞻基礎建設計畫第5期特別預算案第2目</w:t>
      </w:r>
      <w:r w:rsidRPr="00BC7E20">
        <w:rPr>
          <w:rFonts w:ascii="標楷體" w:eastAsia="標楷體" w:hAnsi="標楷體" w:hint="eastAsia"/>
          <w:color w:val="000000"/>
          <w:sz w:val="32"/>
          <w:szCs w:val="32"/>
        </w:rPr>
        <w:t>「人才培育促進就業建設」編列19億4,150萬元，辦理2030雙語政策計畫-加速提升學生英語能力(另於教育部編列9億2,700萬元、國立教育廣播電臺編列400萬元)。有鑑於主要工作項目大學教學英語化之辦理全國大專校院英語評量檢測，屢遭質疑既有英文能力檢定種類眾多，是否適合補助另行研發新款測驗，惟教育部仍規劃以2.4億元委由財團法人語言訓練測驗中心(LTTC)開發學生英語能力檢測工具，預計113年建置全國大專校院英語評量檢測；其次，立法院預算中心評估報告指出計畫期程預計從113年底延長至114年8月31日，惟尚未修正延長期程；此外，各績效指標雖列有119年目標值，惟經費需求係編列於110至114年度，至後續年度經費允宜妥予規劃循預算程序納入年度預算編列，俾利達成計畫目標。爰請教育部國民及學前教育署於3個月內向立法院財政及相關委員會提出書面報告。</w:t>
      </w:r>
    </w:p>
    <w:p w14:paraId="62D87C3A" w14:textId="355608F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提案人：邱鎮軍</w:t>
      </w:r>
    </w:p>
    <w:p w14:paraId="2622B70E" w14:textId="73E2273B"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1CD562D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(五)有鑑於教育部國民及學前教育署唐突編列近20億元，規劃在114年1至8月</w:t>
      </w:r>
      <w:r w:rsidRPr="00BC7E20">
        <w:rPr>
          <w:rFonts w:ascii="標楷體" w:eastAsia="標楷體" w:hAnsi="標楷體" w:hint="eastAsia"/>
          <w:bCs/>
          <w:color w:val="000000"/>
          <w:sz w:val="32"/>
          <w:szCs w:val="32"/>
        </w:rPr>
        <w:t>中央政府前瞻基礎建設計畫第5期特別預算案</w:t>
      </w:r>
      <w:r w:rsidRPr="00BC7E20">
        <w:rPr>
          <w:rFonts w:ascii="標楷體" w:eastAsia="標楷體" w:hAnsi="標楷體" w:hint="eastAsia"/>
          <w:color w:val="000000"/>
          <w:sz w:val="32"/>
          <w:szCs w:val="32"/>
        </w:rPr>
        <w:t>執行期間僅8個月，便倉促要執行完畢提升雙語教學師資品質，及增加英語教師教學能量等業務，如此恐遭遇相關師資已肩負既定之學期課程業務排擠，致特別預算事項落實上有所打折。爰此，請教育部國民及學前教育署於3個月內向立法院財政及相關委員會提出書面報告。</w:t>
      </w:r>
    </w:p>
    <w:p w14:paraId="413D81E9" w14:textId="1F59EA46"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6FAD9D2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(六)教育部國民及學前教育署於</w:t>
      </w:r>
      <w:r w:rsidRPr="00BC7E20">
        <w:rPr>
          <w:rFonts w:ascii="標楷體" w:eastAsia="標楷體" w:hAnsi="標楷體" w:hint="eastAsia"/>
          <w:bCs/>
          <w:color w:val="000000"/>
          <w:sz w:val="32"/>
          <w:szCs w:val="32"/>
        </w:rPr>
        <w:t>114年度中央政府前瞻基礎建設計畫第5期特別預算案第2目</w:t>
      </w:r>
      <w:r w:rsidRPr="00BC7E20">
        <w:rPr>
          <w:rFonts w:ascii="標楷體" w:eastAsia="標楷體" w:hAnsi="標楷體" w:hint="eastAsia"/>
          <w:color w:val="000000"/>
          <w:sz w:val="32"/>
          <w:szCs w:val="32"/>
        </w:rPr>
        <w:t>「人才培育促進就業建設」編列19億4,150萬元，此計畫係為辦理2030雙語政策計畫中不分領域雙語教學、提升雙語教學師資品質及增加英語教師教學能量等所需經費，惟第一線教師同仁反映，雙語政策推動下，部分學校為追求績效，迫使校內部分科目要求以英文教導，老師於不熟稔或是不擅長英語教學等情況下，被迫用雙語進行授課。在職教師培訓或備課不及，倉促推動之結果反倒損及學生完整受教權益、造成教師授課壓力，影響學生學習品質</w:t>
      </w:r>
      <w:r w:rsidRPr="00BC7E20">
        <w:rPr>
          <w:rFonts w:ascii="標楷體" w:eastAsia="標楷體" w:hAnsi="標楷體" w:hint="eastAsia"/>
          <w:color w:val="000000"/>
          <w:kern w:val="0"/>
          <w:sz w:val="32"/>
          <w:szCs w:val="32"/>
        </w:rPr>
        <w:t>。</w:t>
      </w:r>
      <w:r w:rsidRPr="00BC7E20">
        <w:rPr>
          <w:rFonts w:ascii="標楷體" w:eastAsia="標楷體" w:hAnsi="標楷體" w:hint="eastAsia"/>
          <w:color w:val="000000"/>
          <w:sz w:val="32"/>
          <w:szCs w:val="32"/>
        </w:rPr>
        <w:t>且欲引進外籍教學人員的情況，各直轄市縣市教育主管機關推動辦理成效為何？能否兼顧學科與英語教學品質？請教育部國民及學前教育署於3個月內向立法院財政及相關委員會提出書面報告。</w:t>
      </w:r>
    </w:p>
    <w:p w14:paraId="72722B38" w14:textId="58934DE3"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提案人：盧縣一　蘇清泉</w:t>
      </w:r>
    </w:p>
    <w:p w14:paraId="20F0E594" w14:textId="60AC8630"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連署人：鄭天財</w:t>
      </w:r>
    </w:p>
    <w:p w14:paraId="54A4175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七)教育部辦理人才培育促進就業建設，編列經費19億4,150萬元，辦理2030雙語政策計畫-加速提升學生英語能力，打造高等教育雙語教學環境、提升學生英語溝通及應用能力、建立遠距教學普及英語學習等工作，其中包括補助高中以下學校辦理英語教學課程、課外學習4.25億元，以及提升雙語教學師</w:t>
      </w:r>
      <w:r w:rsidRPr="00BC7E20">
        <w:rPr>
          <w:rFonts w:ascii="標楷體" w:eastAsia="標楷體" w:hAnsi="標楷體" w:hint="eastAsia"/>
          <w:color w:val="000000"/>
          <w:sz w:val="32"/>
          <w:szCs w:val="32"/>
        </w:rPr>
        <w:lastRenderedPageBreak/>
        <w:t>資品質及增加英語教師教學能量等業務，編列15億1,650萬元。但因行政資源不足，雙語教育需要行政層面的大力支援，以至穩定數量與品質外國教師的師源。再則牽涉精通兩種語言，並具備足夠的合格學科專業師資培養。另將英文從單純的外語教學擴展到各學科教學，需要大量的課程設計和教材開發。以上都是現行計畫與教學現場所需面對並克服的困境，故請教育部針對相關計畫執行成效提出說明。爰請教育部國民及學前教育署於3個月內向立法院財政及相關委員會提出書面報告。</w:t>
      </w:r>
    </w:p>
    <w:p w14:paraId="36201D67" w14:textId="183C691C"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提案人：何欣純　陳素月　林俊憲</w:t>
      </w:r>
    </w:p>
    <w:p w14:paraId="0914C61F"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第3項  國立教育廣播電臺</w:t>
      </w:r>
      <w:r w:rsidRPr="00BC7E20">
        <w:rPr>
          <w:rFonts w:ascii="標楷體" w:eastAsia="標楷體" w:hAnsi="標楷體" w:hint="eastAsia"/>
          <w:color w:val="000000"/>
          <w:sz w:val="32"/>
          <w:szCs w:val="32"/>
        </w:rPr>
        <w:t>400萬元，照列。</w:t>
      </w:r>
    </w:p>
    <w:p w14:paraId="7D015499"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本項通過決議1項：</w:t>
      </w:r>
    </w:p>
    <w:p w14:paraId="37175A6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color w:val="000000"/>
          <w:sz w:val="32"/>
          <w:szCs w:val="32"/>
        </w:rPr>
        <w:t>(一)有鑑於教育部國立教育廣播電臺當前已然製播完成新聞英語通、瘋英語、口說英語通、英語你我他-片語篇、聽力英語通、用字英語通、句型英語通</w:t>
      </w:r>
      <w:r w:rsidRPr="00BC7E20">
        <w:rPr>
          <w:rFonts w:ascii="標楷體" w:eastAsia="標楷體" w:hAnsi="標楷體" w:hint="eastAsia"/>
          <w:sz w:val="32"/>
          <w:szCs w:val="32"/>
        </w:rPr>
        <w:t>、詞彙英語通實用篇、詞彙英語通進階篇及英語你我他-生活篇等節目，並皆為雙語教育生活資訊屬性。是以考量再利用</w:t>
      </w:r>
      <w:r w:rsidRPr="00BC7E20">
        <w:rPr>
          <w:rFonts w:ascii="標楷體" w:eastAsia="標楷體" w:hAnsi="標楷體" w:hint="eastAsia"/>
          <w:bCs/>
          <w:sz w:val="32"/>
          <w:szCs w:val="32"/>
        </w:rPr>
        <w:t>114年度中央政府前瞻基礎建設計畫第5期特別預算案</w:t>
      </w:r>
      <w:r w:rsidRPr="00BC7E20">
        <w:rPr>
          <w:rFonts w:ascii="標楷體" w:eastAsia="標楷體" w:hAnsi="標楷體" w:hint="eastAsia"/>
          <w:sz w:val="32"/>
          <w:szCs w:val="32"/>
        </w:rPr>
        <w:t>編列400萬元進行重複之作業，不如積極推廣既有節目，爰請教育部國立教育廣播電臺於3個月內向立法院財政及相關委員會提出書面報告。</w:t>
      </w:r>
    </w:p>
    <w:p w14:paraId="15F4261E" w14:textId="08246849" w:rsidR="009D64D0" w:rsidRPr="00BC7E20" w:rsidRDefault="00F764E2"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52671AAC"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kern w:val="2"/>
          <w:sz w:val="32"/>
          <w:szCs w:val="32"/>
        </w:rPr>
      </w:pPr>
      <w:r w:rsidRPr="00BC7E20">
        <w:rPr>
          <w:rFonts w:ascii="標楷體" w:eastAsia="標楷體" w:hAnsi="標楷體" w:hint="eastAsia"/>
          <w:b/>
          <w:sz w:val="32"/>
          <w:szCs w:val="32"/>
        </w:rPr>
        <w:t>第6款  經濟部主管</w:t>
      </w:r>
    </w:p>
    <w:p w14:paraId="58772727" w14:textId="02C029FD" w:rsidR="009D64D0" w:rsidRPr="00BC7E20" w:rsidRDefault="009D64D0" w:rsidP="00F470A8">
      <w:pPr>
        <w:kinsoku w:val="0"/>
        <w:overflowPunct w:val="0"/>
        <w:autoSpaceDE w:val="0"/>
        <w:spacing w:line="480" w:lineRule="exact"/>
        <w:ind w:leftChars="200" w:left="1601" w:hangingChars="350" w:hanging="1121"/>
        <w:jc w:val="both"/>
        <w:rPr>
          <w:rFonts w:ascii="標楷體" w:eastAsia="標楷體" w:hAnsi="標楷體"/>
          <w:sz w:val="32"/>
          <w:szCs w:val="32"/>
        </w:rPr>
      </w:pPr>
      <w:r w:rsidRPr="00BC7E20">
        <w:rPr>
          <w:rFonts w:ascii="標楷體" w:eastAsia="標楷體" w:hAnsi="標楷體" w:hint="eastAsia"/>
          <w:b/>
          <w:sz w:val="32"/>
          <w:szCs w:val="32"/>
        </w:rPr>
        <w:t>第1項</w:t>
      </w:r>
      <w:r w:rsidR="00F764E2"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經濟部</w:t>
      </w:r>
      <w:r w:rsidRPr="00BC7E20">
        <w:rPr>
          <w:rFonts w:ascii="標楷體" w:eastAsia="標楷體" w:hAnsi="標楷體" w:hint="eastAsia"/>
          <w:sz w:val="32"/>
          <w:szCs w:val="32"/>
        </w:rPr>
        <w:t>原列29億4,456萬元，減列第1目「綠能建設」600萬元、第2目「數位建設」第3節「產業數位轉型」4,000萬元，共計減列4,600萬元（科目均自行調整），其餘均照列，改列為28億9,856萬元。</w:t>
      </w:r>
    </w:p>
    <w:p w14:paraId="6E25E7DE"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本項通過決議7項：</w:t>
      </w:r>
    </w:p>
    <w:p w14:paraId="3F3D34A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(一)經濟部於114年度中央政府前瞻基礎建設計畫第5期特別預算案第1目「綠能建設」編列「碳循環關鍵技術開發計畫」預算2億1,000萬元。在114年度第5期前瞻基礎建設計畫的推動下</w:t>
      </w:r>
      <w:r w:rsidRPr="00BC7E20">
        <w:rPr>
          <w:rFonts w:ascii="標楷體" w:eastAsia="標楷體" w:hAnsi="標楷體" w:hint="eastAsia"/>
          <w:sz w:val="32"/>
          <w:szCs w:val="32"/>
        </w:rPr>
        <w:lastRenderedPageBreak/>
        <w:t>，政府積極開發綠色能源以應對能源需求的增長。然而，在現有能源資源未能妥善利用的情況下，卻持續透過擴大開發林地與海域來推動綠能建設，導致環境生態遭到破壞。更令人關注的是，台中市目前正評估新增4部燃氣機組作為電力供應方案，但燃氣發電過程中釋放大量二氧化碳，對氣候變遷及空氣品質影響甚鉅，此舉與國際能源署推動的減碳目標背道而馳，實有必要重新檢視其合理性及長期效益。另一方面，核能作為穩定供電並減少碳排放的重要選項，已被歐盟納入永續活動分類標準的綠能投資範疇。台灣的核電廠在全球大學可持續發展排名（UCL）中位居世界第六，安全性表現位於國際前列，且核二、核三廠目前具備延續運作的條件與潛力。若能重新啟動核能運轉，不僅能大幅減少碳排放，亦能穩定能源供應，有效遏止電價持續上漲所引發的民眾與企業焦慮。在能源政策的選擇上，應以減少對環境的破壞及優化現有能源結構為首要考量。針對台中新增4部燃氣機組，請進行全面環評與成本效益分析，並要求經濟部能源署同時研議重新啟動核二、核三廠的可行性，確保台灣在穩定供電與減碳目標之間找到平衡點。爰此，請經濟部能源署於3個月內提出書面報告，評估上述方案，以供政策調整之參考。</w:t>
      </w:r>
    </w:p>
    <w:p w14:paraId="2A1987AB" w14:textId="59189307"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w:t>
      </w:r>
    </w:p>
    <w:p w14:paraId="307669EA" w14:textId="4220C336"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連署人：黃珊珊　陳昭姿　</w:t>
      </w:r>
    </w:p>
    <w:p w14:paraId="49C9F1B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經濟部於114年度中央政府前瞻基礎建設計畫第5期特別預算案第1目「綠能建設」編列2億1,000萬元。本案係為補助財團法人工業技術研究院，惟108至112年度財團法人工業技術研究院研發成果收入平均為14.77%，略低於整體法人研發成果收入比平均率15.34%，顯見財團法人工業技術研究院科技研發成果之加值應用及衍生利益仍待提升，經濟部允宜強化受補助財團法人之後續執行監督及研發成果之落實，以提升研發成果效益。請經濟部於1個月內向立法院財政及相關委員會提出書面報告。</w:t>
      </w:r>
    </w:p>
    <w:p w14:paraId="634B3D7E" w14:textId="3FB660A7"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提案人：陳超明　</w:t>
      </w:r>
    </w:p>
    <w:p w14:paraId="5882EB34" w14:textId="5691E1AD"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連署人：張啟楷　鄭正鈐　</w:t>
      </w:r>
    </w:p>
    <w:p w14:paraId="3186215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三)經濟部於114年度中央政府前瞻基礎建設計畫第5期特別預算案第2目「數位建設」第3節「產業數位轉型」編列26億9,035萬元。該等預算係辦理AI晶片異質整合模組前瞻製造平台計畫、智慧顯示前瞻系統開發驗證計畫、建構工具機產線智慧系統升級、A世代半導體-先端技術與產業鏈自主發展等計畫所需經費。惟該等計畫經費多數集中補助特定法人機構，對於國內相關領域產業之加值應用、技術研發、技轉合作及產業整體升級尚未有相關助益。且經濟部產業技術司每年亦編列巨額預算經費補助該等法人機構辦理極為雷同、相似之科技專案計畫，故實有重複編列預算、刻意消耗預算之嫌。爰請經濟部向立法院財政及相關委員會提出書面報告。</w:t>
      </w:r>
    </w:p>
    <w:p w14:paraId="01B95B87" w14:textId="0CE3FA9D"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3EF8EC83" w14:textId="359E624A"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6E96265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113年電費調漲，其中產業用電依112年下半年用電量情形調整，調幅以14%為原則，用電量持平或衰退未達10%產業調幅為12%、衰退10%以上產業調幅為7%；查中藥製造業調幅為14%。鑑於該製造業於前嚴重特殊傳染性肺炎時期配合政策供應大量臺灣清冠一號藥品，且後疫情時代民眾用藥需求增加，仍有持續使用前揭藥品情形。再者，該製造業長期受政策要求，對於生產規範及環境有嚴格限制，且近年原藥價格上漲，惟礙於健保價格之上限，無法將製藥成本轉嫁予消費者，故調整電費將增加該製造業龐大負擔。此外，該製造業屬國內民生及國防自主之重要產業，嚴重特殊傳染性肺炎時期已揭櫫對我國維護社會醫療照護之重要性。爰此，要求經濟部應考量中藥製造業之產業特殊性、民生國防之必要，於下次電價費率審議會時提請討論排除電價調漲範圍，以避免對中藥製造業產生龐大成本負擔，影響中藥醫療品質。</w:t>
      </w:r>
    </w:p>
    <w:p w14:paraId="1149FD20" w14:textId="4F0A5A2F"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提案人：林俊憲　</w:t>
      </w:r>
    </w:p>
    <w:p w14:paraId="5E80718A" w14:textId="376AE82A"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連署人：王美惠　黃　捷　賴惠員　</w:t>
      </w:r>
    </w:p>
    <w:p w14:paraId="0090AED4" w14:textId="2253D9F5"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經濟部於114年度中央政府前瞻基礎建設計畫第5期特別預算案分別編列第1目「綠能建設」2億1,000萬元、第2目「數位建設」27億3,456萬元，均為獎補助費，補助對象包含業者及財團法人工業技術研究院(補助11億0,760萬元)。依科學技術基本法第5條規定，為推廣政府出資之應用性科學技術研究發展成果，政府應監督或協助法人、業學界等執行研究發展單位，將研究發展成果轉化為實際之生產或利用。又按經濟部產業技術司提供資料，近5年度(108至112年度)整體法人科專計畫研發成果收入占研發經費投入金額之平均比率為15.34%，同期間財團法人工業技術研究院研發成果收入比平均為14.77%，低於整體法人研發成果收入比平均率，顯示近年財團法人工業技術研究院科技研發成果之加值應用及技術移轉，衍生利益仍有提升空間。爰請經濟部應強化受補助財團法人與企業之後續執行監督及研發成果之落實，以提升政府出資之應用性科學技術研究發展成果效益，增進我國產業轉型成長動能；並請經濟部於1個月內向立法院財政及相關委員會提出書面報告，說明具體改善辦法。</w:t>
      </w:r>
    </w:p>
    <w:p w14:paraId="498F9983" w14:textId="071BBCA0"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25010DA9" w14:textId="140C87B4"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3475CDE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六)鑑於臺中人口增加及經濟發展，民生及產業用水需求也逐步上升，臺中相關水資源建設，如備援調度幹管計畫、大安大甲聯通管工程計畫、大安溪伏流水工程、烏溪伏流水、臺中至雲林區域水源調度管線改善計畫等，請經濟部加速辦理並如期完成，以利臺中地區公共用水穩定，後續大安溪及大甲溪水源運用，並請加強與農政單位溝通，枯水期務必確保下游農業灌溉用水需求，使在地鄉親共同支持政府建設。</w:t>
      </w:r>
    </w:p>
    <w:p w14:paraId="26682780" w14:textId="3D36FD4D"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提案人：蔡其昌　林俊憲　徐富癸</w:t>
      </w:r>
    </w:p>
    <w:p w14:paraId="04C02F8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(七)經濟部辦理建構零售暨服務業數據共享創新服務計畫，主要在協助商業服務業者導入雲端服務、人工智慧及數位工具；</w:t>
      </w:r>
      <w:r w:rsidRPr="00BC7E20">
        <w:rPr>
          <w:rFonts w:ascii="標楷體" w:eastAsia="標楷體" w:hAnsi="標楷體" w:hint="eastAsia"/>
          <w:sz w:val="32"/>
          <w:szCs w:val="32"/>
        </w:rPr>
        <w:lastRenderedPageBreak/>
        <w:t>其中包括籌組專家輔導團、並補助零售、餐飲等商業服務業者投入數位轉型的科技應用，但近來小店家、小商家面臨人力、物流、原物料等營運成本升高，更有兩大外送平台申請併購可能形成壟斷狀況。故請經濟部對於小店家、小商家各項扶助計畫，於專家輔導團輔導部分，應以現地輔導為主要核心工作，並針對不同商圈、線上或線下各商業服務業異質性，提出不同工作項目與指標，以符合計畫內容，確實幫助小店家、小商家等民生生計。</w:t>
      </w:r>
    </w:p>
    <w:p w14:paraId="5BEBC8DF" w14:textId="395695D6"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提案人：何欣純　陳素月　林俊憲</w:t>
      </w:r>
    </w:p>
    <w:p w14:paraId="7F85FEC1" w14:textId="15426D25" w:rsidR="009D64D0" w:rsidRPr="00BC7E20" w:rsidRDefault="009D64D0" w:rsidP="00F470A8">
      <w:pPr>
        <w:kinsoku w:val="0"/>
        <w:overflowPunct w:val="0"/>
        <w:autoSpaceDE w:val="0"/>
        <w:spacing w:line="480" w:lineRule="exact"/>
        <w:ind w:leftChars="200" w:left="1633" w:hangingChars="360" w:hanging="1153"/>
        <w:jc w:val="both"/>
        <w:rPr>
          <w:rFonts w:ascii="標楷體" w:eastAsia="標楷體" w:hAnsi="標楷體"/>
          <w:kern w:val="2"/>
          <w:sz w:val="32"/>
          <w:szCs w:val="32"/>
        </w:rPr>
      </w:pPr>
      <w:r w:rsidRPr="00BC7E20">
        <w:rPr>
          <w:rFonts w:ascii="標楷體" w:eastAsia="標楷體" w:hAnsi="標楷體" w:hint="eastAsia"/>
          <w:b/>
          <w:sz w:val="32"/>
          <w:szCs w:val="32"/>
        </w:rPr>
        <w:t>第2項</w:t>
      </w:r>
      <w:r w:rsidR="00D66E96"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產業發展署</w:t>
      </w:r>
      <w:r w:rsidRPr="00BC7E20">
        <w:rPr>
          <w:rFonts w:ascii="標楷體" w:eastAsia="標楷體" w:hAnsi="標楷體" w:hint="eastAsia"/>
          <w:sz w:val="32"/>
          <w:szCs w:val="32"/>
        </w:rPr>
        <w:t>原列10億5,788萬8千元，減列第2目「數位建設」第3節「推廣數位公益服務」之「業務費」500萬元、第4目「綠能建設」項下「業務費」100萬元，共計減列600萬元（科目均自行調整），其餘均照列，改列為10億5,188萬8千元。</w:t>
      </w:r>
    </w:p>
    <w:p w14:paraId="528B39F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423B51FB"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經濟部產業發展署於114年度中央政府前瞻基礎建設計畫第5期特別預算案第1目「綠能建設」項下編列「智慧電動巴士DMIT-電動巴士關鍵系統與整車協作計畫」2億3,550萬元。在推動交通部電動大客車示範計畫的過程中，台灣積極輔導電動巴士整車及關鍵零組件廠商投入技術升級與研發，期望加速國內相關產業進入國內外供應鏈，提升市場競爭力。然而，在積極發展電動巴士的同時，相關基礎建設的落後卻引發諸多隱憂，尤其是充電設施的不足與人才轉型的問題亟需正視。目前，電動大客車的示範計畫雖要求完善充電場站與維運規劃，但根據實際執行情況，許多地區的充電樁數量明顯不足，無法滿足日益增長的電動巴士需求。若未能解決這一問題，不僅將影響車隊的正常運營，更可能對未來大規模推廣電動巴士的可行性構成挑戰。此外，隨著電動車市場的快速發展，相關的人才培育問題亦顯得尤為迫切。目前，台灣多數維修技術人員仍以傳統燃油車維修為主，缺乏針對電動</w:t>
      </w:r>
      <w:r w:rsidRPr="00BC7E20">
        <w:rPr>
          <w:rFonts w:ascii="標楷體" w:eastAsia="標楷體" w:hAnsi="標楷體" w:hint="eastAsia"/>
          <w:sz w:val="32"/>
          <w:szCs w:val="32"/>
        </w:rPr>
        <w:lastRenderedPageBreak/>
        <w:t>車維修技術的系統性訓練與轉型計畫。這將導致未來產業技術需求與人力供應的嚴重脫節，影響整體產業升級的步伐。電動大客車的發展是台灣朝向綠色運輸與永續發展的重要一步，但若基礎建設與人力培養未能同步推進，可能影響計畫的成效與長遠目標的實現。請經濟部產業發展署向財政及相關委員會提出電動巴士發展精進作法之書面報告。</w:t>
      </w:r>
    </w:p>
    <w:p w14:paraId="78C4EC30" w14:textId="00A6424B"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w:t>
      </w:r>
    </w:p>
    <w:p w14:paraId="35A5DDC2" w14:textId="136CB752"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連署人：黃珊珊　陳昭姿　</w:t>
      </w:r>
    </w:p>
    <w:p w14:paraId="373919B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經濟部產業發展署於114年度中央政府前瞻基礎建設計畫第5期特別預算案第1目「綠能建設」項下編列「智慧電動巴士DMIT-電動巴士關鍵系統與整車協作計畫」2億3,550萬元。主要在推動產業升級，並能符合交通部電動大客車補助示範型計畫，有關各項國產化技術規範等業務，其中推動廠商投入電動巴士國產關鍵零組件及整車自主研發，包括電機、電控、電池等系統在地化供應，並給予開發經費。我國自國家發展委員會提出2050淨零排放轉型路徑後，隨即提出2030市區公車全電動化的願景。不過，以112年為例，市區電動公車預計要達2,300輛，實際卻僅有2,027輛。電動巴士不只要求續航力、充電速率，還包含車輛性能、座位配置，路線長短、單趟是否需要返站，這些都會影響車輛購買計畫與返站充電調度。但中南部公車覆蓋率不高，是因為民眾認為搭乘公車不夠方便，寧可開車、騎車，因為業者為了成本，拉長路線長度、班次間隔也會拉長，讓民眾不願搭乘。現有國產電動大客車有僅有大型巴士可選，無法解決問題。故請經濟部產業發展署積極推動中、小型電動巴士選擇，提出具體執行說明，並向立法院財政及相關委員會提出書面報告。</w:t>
      </w:r>
    </w:p>
    <w:p w14:paraId="249D65B1" w14:textId="2B2EF532"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提案人：何欣純　陳素月　林俊憲</w:t>
      </w:r>
    </w:p>
    <w:p w14:paraId="4552FEB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(三)經濟部產業發展署於114年度中央政府前瞻基礎建設計畫第5期特別預算案第2目「數位建設」第2節「產業數位轉型」編列3億3,465萬元。有鑑於近年受COVID-19疫情、美中科技爭</w:t>
      </w:r>
      <w:r w:rsidRPr="00BC7E20">
        <w:rPr>
          <w:rFonts w:ascii="標楷體" w:eastAsia="標楷體" w:hAnsi="標楷體" w:hint="eastAsia"/>
          <w:sz w:val="32"/>
          <w:szCs w:val="32"/>
        </w:rPr>
        <w:lastRenderedPageBreak/>
        <w:t>端及俄烏戰爭衍生之地緣政治緊張等因素影響，各國紛視半導體產業為重要戰略物資，在各國互相競合下，爭取先進製程技術、設備、原材料、晶片設計軟體與供應鏈廠商之串聯等將日益激烈。惟國內雖擁有完整之半導體產業鏈及研發能力，產業聚落完整，惟上游半導體材料及設備仍多數仰賴進口；又參據經濟部統計調查及財政部關務署進出口貿易等統計資料，112年度國內半導體設備需求為6,858億餘元，國產僅占約11.28%，顯示國內半導體廠商尚多採用國外設備廠商之產品，過度仰賴海外設備及原料供給，恐使我國半導體產業暴露於高風險中，允宜賡續強化整備半導體關鍵材料及設備供應鏈之韌性，逐步提升材料設備自主性與國產化，俾使我國在全球半導體市場保持競爭力。請經濟部產業發展署於1個月內向立法院財政及相關委員會提出強化半導體產業韌性及提升材料設備國產化之精進作為書面報告。</w:t>
      </w:r>
    </w:p>
    <w:p w14:paraId="1C024391" w14:textId="749A4434"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1DE6D50A" w14:textId="1B4F223E"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3B879F6C" w14:textId="7354B596" w:rsidR="009D64D0" w:rsidRPr="00BC7E20" w:rsidRDefault="009D64D0" w:rsidP="00D66E96">
      <w:pPr>
        <w:kinsoku w:val="0"/>
        <w:overflowPunct w:val="0"/>
        <w:autoSpaceDE w:val="0"/>
        <w:spacing w:line="480" w:lineRule="exact"/>
        <w:ind w:leftChars="200" w:left="1601" w:hangingChars="350" w:hanging="1121"/>
        <w:jc w:val="both"/>
        <w:rPr>
          <w:rFonts w:ascii="標楷體" w:eastAsia="標楷體" w:hAnsi="標楷體"/>
          <w:kern w:val="2"/>
          <w:sz w:val="32"/>
          <w:szCs w:val="32"/>
        </w:rPr>
      </w:pPr>
      <w:r w:rsidRPr="00BC7E20">
        <w:rPr>
          <w:rFonts w:ascii="標楷體" w:eastAsia="標楷體" w:hAnsi="標楷體" w:hint="eastAsia"/>
          <w:b/>
          <w:sz w:val="32"/>
          <w:szCs w:val="32"/>
        </w:rPr>
        <w:t>第3項</w:t>
      </w:r>
      <w:r w:rsidR="00D66E96"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標準檢驗局及所屬</w:t>
      </w:r>
      <w:r w:rsidRPr="00BC7E20">
        <w:rPr>
          <w:rFonts w:ascii="標楷體" w:eastAsia="標楷體" w:hAnsi="標楷體" w:hint="eastAsia"/>
          <w:sz w:val="32"/>
          <w:szCs w:val="32"/>
        </w:rPr>
        <w:t>原列1億4,829萬4千元，減列第1目「綠能建設」項下「業務費」200萬元（科目自行調整），其餘均照列，改列為1億4,629萬4千元。</w:t>
      </w:r>
    </w:p>
    <w:p w14:paraId="5CFBD450" w14:textId="087370BB"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sz w:val="32"/>
          <w:szCs w:val="32"/>
        </w:rPr>
      </w:pPr>
      <w:r w:rsidRPr="00BC7E20">
        <w:rPr>
          <w:rFonts w:ascii="標楷體" w:eastAsia="標楷體" w:hAnsi="標楷體" w:hint="eastAsia"/>
          <w:b/>
          <w:sz w:val="32"/>
          <w:szCs w:val="32"/>
        </w:rPr>
        <w:t>第4項</w:t>
      </w:r>
      <w:r w:rsidR="00D66E96"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智慧財產局</w:t>
      </w:r>
      <w:r w:rsidRPr="00BC7E20">
        <w:rPr>
          <w:rFonts w:ascii="標楷體" w:eastAsia="標楷體" w:hAnsi="標楷體" w:hint="eastAsia"/>
          <w:sz w:val="32"/>
          <w:szCs w:val="32"/>
        </w:rPr>
        <w:t>1,783萬6千元，照列。</w:t>
      </w:r>
    </w:p>
    <w:p w14:paraId="440CF859"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本項通過決議1項：</w:t>
      </w:r>
    </w:p>
    <w:p w14:paraId="40A04EC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經濟部智慧財產局於114年度中央政府前瞻基礎建設計畫第5期特別預算案於第1目「數位建設」第1節「基礎建設環境」編列1,783萬6千元。有鑑於經濟部智慧財產局訂有智權資訊服務雲計畫，該計畫係為使企業及民眾能快速地、安全地獲取智權開放資料、商標檢索及產業智權知識等智權資訊，從而提升本國產業創新競爭力。經查，我國專利舉發與商標評定2種公眾審查程序相當冗長，為確定其專利權或商標權是否有效存在，必須歷經舉發、訴願以及二級二審行政訴訟至多4個行政救濟程序確定後始能確定，不利於產業創新競爭力。</w:t>
      </w:r>
      <w:r w:rsidRPr="00BC7E20">
        <w:rPr>
          <w:rFonts w:ascii="標楷體" w:eastAsia="標楷體" w:hAnsi="標楷體" w:hint="eastAsia"/>
          <w:sz w:val="32"/>
          <w:szCs w:val="32"/>
        </w:rPr>
        <w:lastRenderedPageBreak/>
        <w:t>又，行政院於112年3月17日將專利法部分條文修正草案及商標法部分條文修正草案有關專利舉發與商標評定改為對審制之草案送至立法院進行審查。考量制度的簡化對於產業發展自屬有益，宜賡續檢討專利商標救濟制度。爰請經濟部智慧財產局向立法院財政及相關委員會提出書面報告。</w:t>
      </w:r>
    </w:p>
    <w:p w14:paraId="60FA8646" w14:textId="2A12CE5C"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陳昭姿　麥玉珍　</w:t>
      </w:r>
    </w:p>
    <w:p w14:paraId="05FE19CE" w14:textId="4938D429" w:rsidR="009D64D0" w:rsidRPr="00BC7E20" w:rsidRDefault="009D64D0" w:rsidP="00D66E96">
      <w:pPr>
        <w:kinsoku w:val="0"/>
        <w:overflowPunct w:val="0"/>
        <w:autoSpaceDE w:val="0"/>
        <w:spacing w:line="480" w:lineRule="exact"/>
        <w:ind w:leftChars="200" w:left="1601" w:hangingChars="350" w:hanging="1121"/>
        <w:jc w:val="both"/>
        <w:rPr>
          <w:rFonts w:ascii="標楷體" w:eastAsia="標楷體" w:hAnsi="標楷體"/>
          <w:b/>
          <w:kern w:val="2"/>
          <w:sz w:val="32"/>
          <w:szCs w:val="32"/>
        </w:rPr>
      </w:pPr>
      <w:r w:rsidRPr="00BC7E20">
        <w:rPr>
          <w:rFonts w:ascii="標楷體" w:eastAsia="標楷體" w:hAnsi="標楷體" w:hint="eastAsia"/>
          <w:b/>
          <w:sz w:val="32"/>
          <w:szCs w:val="32"/>
        </w:rPr>
        <w:t>第5項</w:t>
      </w:r>
      <w:r w:rsidR="00D66E96"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水利署及所屬</w:t>
      </w:r>
      <w:r w:rsidRPr="00BC7E20">
        <w:rPr>
          <w:rFonts w:ascii="標楷體" w:eastAsia="標楷體" w:hAnsi="標楷體" w:hint="eastAsia"/>
          <w:sz w:val="32"/>
          <w:szCs w:val="32"/>
        </w:rPr>
        <w:t>原列138億8,310萬元，減列第2目「水環境建設」第2節「水與安全」之「業務費」100萬元、第3節「水與環境」之「業務費」100萬元，共計減列200萬元（科目均自行調整），其餘均照列，改列為138億8,110萬元。</w:t>
      </w:r>
    </w:p>
    <w:p w14:paraId="0030964F"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本項通過決議12項：</w:t>
      </w:r>
    </w:p>
    <w:p w14:paraId="6302F717"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0"/>
          <w:sz w:val="32"/>
          <w:szCs w:val="32"/>
        </w:rPr>
      </w:pPr>
      <w:r w:rsidRPr="00BC7E20">
        <w:rPr>
          <w:rFonts w:ascii="標楷體" w:eastAsia="標楷體" w:hAnsi="標楷體" w:hint="eastAsia"/>
          <w:sz w:val="32"/>
          <w:szCs w:val="32"/>
        </w:rPr>
        <w:t>(一)經濟部水利署及所屬於114年度中央政府前瞻基礎建設計畫第5期特別預算案於第2目「水環境建設」第2節「水與安全」編列101億1,000萬元，辦理縣市管河川及區域排水整體改善計畫。經查縣市管河川及區域排水整體改善計畫第1至4期已投入498億0,700萬元，迄113年6月底累計執行數為393億4,347萬8千元，惟第2期及第3期相關預算尚未執行完竣，減消計畫項數計有23件，包含治理工程14項及應急工程9項，尚未發包工程等共92項，其中第1至3期仍有70項治理工程仍未發包，據經濟部水利署說明，因近期營建物價上漲及用地取得困難等，致招標困難；另已發包但仍未完工之工程迄113年6月底共計304項，主要受管線遷移及颱風降雨等影響，造成工期需展延。另迄113年6月底累積增加保護面積達208.05平方公里，施設堤防護岸及排水路改善196.5公里，較目標值增加保護面積250平方公里及設施改善223公里仍有差距。有鑑於氣候異常，極端暴雨事件頻仍發生，允宜通盤檢討各地治水計畫成效，並審酌氣候變遷可能造成之衝擊，因地制宜規劃未來治理方案，俾維政府治水經費之合理有效運用。爰請經濟部</w:t>
      </w:r>
      <w:r w:rsidRPr="00BC7E20">
        <w:rPr>
          <w:rFonts w:ascii="標楷體" w:eastAsia="標楷體" w:hAnsi="標楷體" w:hint="eastAsia"/>
          <w:sz w:val="32"/>
          <w:szCs w:val="32"/>
        </w:rPr>
        <w:lastRenderedPageBreak/>
        <w:t>水利署於1個月內向立法院財政及相關委員會提出工程落後改善對策及未來治理政策書面報告。</w:t>
      </w:r>
    </w:p>
    <w:p w14:paraId="03CE1583" w14:textId="230B10BC"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牛煦庭　</w:t>
      </w:r>
    </w:p>
    <w:p w14:paraId="141BF086" w14:textId="1219234F"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w:t>
      </w:r>
    </w:p>
    <w:p w14:paraId="0EE7056C"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0"/>
          <w:sz w:val="32"/>
          <w:szCs w:val="32"/>
        </w:rPr>
      </w:pPr>
      <w:r w:rsidRPr="00BC7E20">
        <w:rPr>
          <w:rFonts w:ascii="標楷體" w:eastAsia="標楷體" w:hAnsi="標楷體" w:hint="eastAsia"/>
          <w:sz w:val="32"/>
          <w:szCs w:val="32"/>
        </w:rPr>
        <w:t>(二)經濟部水利署</w:t>
      </w:r>
      <w:r w:rsidRPr="00BC7E20">
        <w:rPr>
          <w:rFonts w:ascii="標楷體" w:eastAsia="標楷體" w:hAnsi="標楷體" w:hint="eastAsia"/>
          <w:bCs/>
          <w:sz w:val="32"/>
          <w:szCs w:val="32"/>
        </w:rPr>
        <w:t>及所屬</w:t>
      </w:r>
      <w:r w:rsidRPr="00BC7E20">
        <w:rPr>
          <w:rFonts w:ascii="標楷體" w:eastAsia="標楷體" w:hAnsi="標楷體" w:hint="eastAsia"/>
          <w:sz w:val="32"/>
          <w:szCs w:val="32"/>
        </w:rPr>
        <w:t>於</w:t>
      </w:r>
      <w:r w:rsidRPr="00BC7E20">
        <w:rPr>
          <w:rFonts w:ascii="標楷體" w:eastAsia="標楷體" w:hAnsi="標楷體" w:hint="eastAsia"/>
          <w:bCs/>
          <w:sz w:val="32"/>
          <w:szCs w:val="32"/>
        </w:rPr>
        <w:t>114年度中央政府前瞻基礎建設計畫第5期特別預算案</w:t>
      </w:r>
      <w:r w:rsidRPr="00BC7E20">
        <w:rPr>
          <w:rFonts w:ascii="標楷體" w:eastAsia="標楷體" w:hAnsi="標楷體" w:hint="eastAsia"/>
          <w:sz w:val="32"/>
          <w:szCs w:val="32"/>
        </w:rPr>
        <w:t>第2目「水環境建設」第1節「水與發展」編列25億5,410萬元，辦理5項延續性計畫，包括石門水庫阿姆坪防淤隧道工程計畫、加強水庫集水區保育治理計畫、曾文南化聯通管工程計畫、台南山上淨水場供水系統改善工程計畫及建置水資源智慧管理及創新節水技術計畫；另新增備援調度幹管工程計畫及加強平地人工湖及伏流水推動計畫，自114年起於公務預算編列。惟查截至113年8月底有高達4項計畫因物價波動等影響需修正調增計畫總經費，另建置水資源智慧管理及創新節水技術計畫因受補助單位招標案流標，致預算執行進度未如預期。另依據112年度審計部中央政府總決算審核報告指出，經濟部水利署辦理水資源經理基本計畫推估產業用水需求與實際存有差異，請滾動檢討以因應增設(擴建)產業園區所額外增加用水量。請經濟部水利署於1個月內向立法院財政及相關委員會提出書面報告，說明中央政府前瞻基礎建設計畫前4期特別預算水與發展成效、未來產業用水需求及實際供水能力差異。</w:t>
      </w:r>
    </w:p>
    <w:p w14:paraId="4FC7B150" w14:textId="316B9842"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3AEA22EE" w14:textId="1169FFEF"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434AC845"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三)經濟部水利署及所屬於114年度中央政府前瞻基礎建設計畫第5期特別預算案第2目「水環境建設」第2節「水與安全」編列101億1,000萬元。該預算主要係辦理直轄市、縣市管河川、排水治理以及海岸防護之防洪綜合治理工程等所需經費。惟自海岸管理法公布施行，中央及地方依法各按其海岸防護計畫進行海岸防護之建置與管理，中央及地方就海岸防護等問題予以明確分工，卻也遭遇地方政府就海岸防護部分與在地</w:t>
      </w:r>
      <w:r w:rsidRPr="00BC7E20">
        <w:rPr>
          <w:rFonts w:ascii="標楷體" w:eastAsia="標楷體" w:hAnsi="標楷體" w:hint="eastAsia"/>
          <w:sz w:val="32"/>
          <w:szCs w:val="32"/>
        </w:rPr>
        <w:lastRenderedPageBreak/>
        <w:t>民意之期待、需求相左，如係屬第二級海岸者，地方政府其海岸防護計畫未予檢討修正之情況下，民眾之生命及財產權益遭致輕視之窘況，如:花蓮縣立霧溪口南側部分之民有部落，居民每逢遭遇颱風即面對此景況，其生命及財產權益遭受危害，但礙於現行法令上之分工以致於中央政府亦愛莫能助。爰請經濟部水利署於3個月內向立法院財政及相關委員會提出花蓮海岸防護計畫檢討情形書面報告。</w:t>
      </w:r>
    </w:p>
    <w:p w14:paraId="26F1E7AB" w14:textId="572D8D26"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2951547A" w14:textId="1055B547"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30229F7E"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四)經濟部水利署及所屬於114年度中央政府前瞻基礎建設計畫第5期特別預算案第2目「水環境建設」第2節「水與安全」編列101億1,000萬元。經濟部水利署於中央政府前瞻基礎建設計畫特別預算第1至4期之「水環境建設」項下「水與安全」已投入498億0,700萬元辦理縣市管河川及區域排水整體改善計畫，本期續編列101億1,000萬元。然第1至3期縣市管河川及區域排水整體改善計畫迄113年6月底均已屆期逾1年，惟經核定之補助計畫仍有部分未發包或完工，經濟部水利署應加強控管工程執行進度。請經濟部水利署於1個月內向立法院財政及相關委員會提出計畫執行改善對策及未來治理政策書面報告。</w:t>
      </w:r>
    </w:p>
    <w:p w14:paraId="3B4D7014" w14:textId="1CCA715F"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提案人：陳超明　</w:t>
      </w:r>
    </w:p>
    <w:p w14:paraId="24D177CC" w14:textId="643B8552"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連署人：張啟楷　鄭正鈐　</w:t>
      </w:r>
    </w:p>
    <w:p w14:paraId="12EDA05C"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五)經濟部水利署及所屬於114年度中央政府前瞻基礎建設計畫第5期特別預算案第2目「水環境建設」第2節「水與安全」編列101億1,000萬元。鑑於氣候變遷造成極端降雨機率大增，為減少淹水風險，使民眾安居樂業，經濟部應全力協助地方政府持續提升防洪排水基礎建設，特別是針對臺中海線地區排水系統改善，例如安良港大排，中央政府前瞻基礎建設計畫之水與安全特別預算過去雖已有投入，惟仍未改善完成，爰要求經濟部協助臺中市政府盤點安良港大排已整治情形及待</w:t>
      </w:r>
      <w:r w:rsidRPr="00BC7E20">
        <w:rPr>
          <w:rFonts w:ascii="標楷體" w:eastAsia="標楷體" w:hAnsi="標楷體" w:hint="eastAsia"/>
          <w:sz w:val="32"/>
          <w:szCs w:val="32"/>
        </w:rPr>
        <w:lastRenderedPageBreak/>
        <w:t>整治需求。請經濟部水利署於3個月內向立法院財政及相關委員會提出安良港大排整治情形書面報告。</w:t>
      </w:r>
    </w:p>
    <w:p w14:paraId="412D9555" w14:textId="3E340D88"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提案人：蔡其昌　林俊憲　徐富癸　</w:t>
      </w:r>
    </w:p>
    <w:p w14:paraId="0CC6A24B"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0"/>
          <w:sz w:val="32"/>
          <w:szCs w:val="32"/>
        </w:rPr>
      </w:pPr>
      <w:r w:rsidRPr="00BC7E20">
        <w:rPr>
          <w:rFonts w:ascii="標楷體" w:eastAsia="標楷體" w:hAnsi="標楷體" w:hint="eastAsia"/>
          <w:sz w:val="32"/>
          <w:szCs w:val="32"/>
        </w:rPr>
        <w:t>(六)經濟部水利署</w:t>
      </w:r>
      <w:r w:rsidRPr="00BC7E20">
        <w:rPr>
          <w:rFonts w:ascii="標楷體" w:eastAsia="標楷體" w:hAnsi="標楷體" w:hint="eastAsia"/>
          <w:bCs/>
          <w:sz w:val="32"/>
          <w:szCs w:val="32"/>
        </w:rPr>
        <w:t>及所屬</w:t>
      </w:r>
      <w:r w:rsidRPr="00BC7E20">
        <w:rPr>
          <w:rFonts w:ascii="標楷體" w:eastAsia="標楷體" w:hAnsi="標楷體" w:hint="eastAsia"/>
          <w:sz w:val="32"/>
          <w:szCs w:val="32"/>
        </w:rPr>
        <w:t>於</w:t>
      </w:r>
      <w:r w:rsidRPr="00BC7E20">
        <w:rPr>
          <w:rFonts w:ascii="標楷體" w:eastAsia="標楷體" w:hAnsi="標楷體" w:hint="eastAsia"/>
          <w:bCs/>
          <w:sz w:val="32"/>
          <w:szCs w:val="32"/>
        </w:rPr>
        <w:t>114年度中央政府前瞻基礎建設計畫第5期特別預算案</w:t>
      </w:r>
      <w:r w:rsidRPr="00BC7E20">
        <w:rPr>
          <w:rFonts w:ascii="標楷體" w:eastAsia="標楷體" w:hAnsi="標楷體" w:hint="eastAsia"/>
          <w:sz w:val="32"/>
          <w:szCs w:val="32"/>
        </w:rPr>
        <w:t>第2目「水環境建設」第3節「水與環境」編列11億9,300萬元，主要用以補助地方政府辦理河川、相關排水及海岸等水環境之改善工作，預計完成6處水環境亮點及親水空間營造34公頃。經查，</w:t>
      </w:r>
      <w:r w:rsidRPr="00BC7E20">
        <w:rPr>
          <w:rFonts w:ascii="標楷體" w:eastAsia="標楷體" w:hAnsi="標楷體" w:hint="eastAsia"/>
          <w:bCs/>
          <w:sz w:val="32"/>
          <w:szCs w:val="32"/>
        </w:rPr>
        <w:t>中央政府前瞻基礎建設計畫特別預算</w:t>
      </w:r>
      <w:r w:rsidRPr="00BC7E20">
        <w:rPr>
          <w:rFonts w:ascii="標楷體" w:eastAsia="標楷體" w:hAnsi="標楷體" w:hint="eastAsia"/>
          <w:sz w:val="32"/>
          <w:szCs w:val="32"/>
        </w:rPr>
        <w:t>第1至4期累計編列預算數為94億4,418萬6千元，迄113年6月底累計執行數為70億3,213萬1千元，預算執行率74.46%，</w:t>
      </w:r>
      <w:r w:rsidRPr="00BC7E20">
        <w:rPr>
          <w:rFonts w:ascii="標楷體" w:eastAsia="標楷體" w:hAnsi="標楷體" w:hint="eastAsia"/>
          <w:bCs/>
          <w:sz w:val="32"/>
          <w:szCs w:val="32"/>
        </w:rPr>
        <w:t>中央政府前瞻基礎建設計畫特別預算</w:t>
      </w:r>
      <w:r w:rsidRPr="00BC7E20">
        <w:rPr>
          <w:rFonts w:ascii="標楷體" w:eastAsia="標楷體" w:hAnsi="標楷體" w:hint="eastAsia"/>
          <w:sz w:val="32"/>
          <w:szCs w:val="32"/>
        </w:rPr>
        <w:t>第1至4期共核定補助計畫347項，辦理取消計畫共計8項，其餘計畫均已發包，惟仍有61項計畫尚未完工，包含</w:t>
      </w:r>
      <w:r w:rsidRPr="00BC7E20">
        <w:rPr>
          <w:rFonts w:ascii="標楷體" w:eastAsia="標楷體" w:hAnsi="標楷體" w:hint="eastAsia"/>
          <w:bCs/>
          <w:sz w:val="32"/>
          <w:szCs w:val="32"/>
        </w:rPr>
        <w:t>中央政府前瞻基礎建設計畫特別預算</w:t>
      </w:r>
      <w:r w:rsidRPr="00BC7E20">
        <w:rPr>
          <w:rFonts w:ascii="標楷體" w:eastAsia="標楷體" w:hAnsi="標楷體" w:hint="eastAsia"/>
          <w:sz w:val="32"/>
          <w:szCs w:val="32"/>
        </w:rPr>
        <w:t>第3及4期計畫分別為4項及57項。復據全國水環境改善計畫近2次複評及考核小組作業會議紀錄，其中部分市縣政府於辦理水環境改善案件時，仍存有規劃案終止契約，恐不利後續補助計畫推動，或初期規劃未能審慎規劃致需申請撤銷核定等情形。有鑑於114年度為全國水環境改善計畫辦理之最後1年，允宜滾動檢討前期計畫推動所遭遇困難及成效，加強補助計畫審查機制及控管進度，妥善規劃本期水環境改善之推動，俾使水環境改善經費發揮最大效益。請經濟部水利署於1個月內向立法院財政及相關委員會就上開建議提出書面報告。</w:t>
      </w:r>
    </w:p>
    <w:p w14:paraId="3B4CC481" w14:textId="21FBC3A7"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0B1B579E" w14:textId="23BBE033"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32FCF834"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0"/>
          <w:sz w:val="32"/>
          <w:szCs w:val="32"/>
        </w:rPr>
      </w:pPr>
      <w:r w:rsidRPr="00BC7E20">
        <w:rPr>
          <w:rFonts w:ascii="標楷體" w:eastAsia="標楷體" w:hAnsi="標楷體" w:hint="eastAsia"/>
          <w:sz w:val="32"/>
          <w:szCs w:val="32"/>
        </w:rPr>
        <w:t>(七)經濟部水利署</w:t>
      </w:r>
      <w:r w:rsidRPr="00BC7E20">
        <w:rPr>
          <w:rFonts w:ascii="標楷體" w:eastAsia="標楷體" w:hAnsi="標楷體" w:hint="eastAsia"/>
          <w:bCs/>
          <w:sz w:val="32"/>
          <w:szCs w:val="32"/>
        </w:rPr>
        <w:t>及所屬</w:t>
      </w:r>
      <w:r w:rsidRPr="00BC7E20">
        <w:rPr>
          <w:rFonts w:ascii="標楷體" w:eastAsia="標楷體" w:hAnsi="標楷體" w:hint="eastAsia"/>
          <w:sz w:val="32"/>
          <w:szCs w:val="32"/>
        </w:rPr>
        <w:t>於</w:t>
      </w:r>
      <w:r w:rsidRPr="00BC7E20">
        <w:rPr>
          <w:rFonts w:ascii="標楷體" w:eastAsia="標楷體" w:hAnsi="標楷體" w:hint="eastAsia"/>
          <w:bCs/>
          <w:sz w:val="32"/>
          <w:szCs w:val="32"/>
        </w:rPr>
        <w:t>114年度中央政府前瞻基礎建設計畫第5期特別預算案</w:t>
      </w:r>
      <w:r w:rsidRPr="00BC7E20">
        <w:rPr>
          <w:rFonts w:ascii="標楷體" w:eastAsia="標楷體" w:hAnsi="標楷體" w:hint="eastAsia"/>
          <w:sz w:val="32"/>
          <w:szCs w:val="32"/>
        </w:rPr>
        <w:t>第2目「水環境建設」第3節「水與環境」編列11億9,300萬元，政府為因應氣候變遷，並兼顧防洪、水資源及水環境等需求，自106年度起於中央政府前瞻基礎建設計畫，將水環境建設類別納於其中，以水與安全、水與發展及水</w:t>
      </w:r>
      <w:r w:rsidRPr="00BC7E20">
        <w:rPr>
          <w:rFonts w:ascii="標楷體" w:eastAsia="標楷體" w:hAnsi="標楷體" w:hint="eastAsia"/>
          <w:sz w:val="32"/>
          <w:szCs w:val="32"/>
        </w:rPr>
        <w:lastRenderedPageBreak/>
        <w:t>與環境三大建設主軸，營造降低淹水、穩定供水、喝好水及親近水的優質水環境，實施期程自106至114年度，共計8個年度。其中「水與環境」部分，旱溪整治及柳川四期整治工程應納而未納入</w:t>
      </w:r>
      <w:r w:rsidRPr="00BC7E20">
        <w:rPr>
          <w:rFonts w:ascii="標楷體" w:eastAsia="標楷體" w:hAnsi="標楷體" w:hint="eastAsia"/>
          <w:bCs/>
          <w:sz w:val="32"/>
          <w:szCs w:val="32"/>
        </w:rPr>
        <w:t>中央政府前瞻基礎建設計畫第</w:t>
      </w:r>
      <w:r w:rsidRPr="00BC7E20">
        <w:rPr>
          <w:rFonts w:ascii="標楷體" w:eastAsia="標楷體" w:hAnsi="標楷體" w:hint="eastAsia"/>
          <w:sz w:val="32"/>
          <w:szCs w:val="32"/>
        </w:rPr>
        <w:t>5期</w:t>
      </w:r>
      <w:r w:rsidRPr="00BC7E20">
        <w:rPr>
          <w:rFonts w:ascii="標楷體" w:eastAsia="標楷體" w:hAnsi="標楷體" w:hint="eastAsia"/>
          <w:bCs/>
          <w:sz w:val="32"/>
          <w:szCs w:val="32"/>
        </w:rPr>
        <w:t>特別預算案</w:t>
      </w:r>
      <w:r w:rsidRPr="00BC7E20">
        <w:rPr>
          <w:rFonts w:ascii="標楷體" w:eastAsia="標楷體" w:hAnsi="標楷體" w:hint="eastAsia"/>
          <w:sz w:val="32"/>
          <w:szCs w:val="32"/>
        </w:rPr>
        <w:t>，為營造台中市優質水環境，爰請經濟部將柳川四期之整治，納入下一階段治水計畫之115年度預算；另旱溪長福橋至自由路橋及聖母橋至樂業橋高灘地綠化與河道整理工程，請於114年儘速完成。請經濟部水利署針對上述問題於3個月內提出說明及檢討改進之方案，向立法院財政及相關委員會提出書面報告。</w:t>
      </w:r>
    </w:p>
    <w:p w14:paraId="2DCAB863" w14:textId="69AF9627"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提案人：羅廷瑋　</w:t>
      </w:r>
    </w:p>
    <w:p w14:paraId="55106B1B" w14:textId="603F4AF8" w:rsidR="009D64D0" w:rsidRPr="00BC7E20" w:rsidRDefault="00D66E96"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連署人：張智倫　廖先翔　</w:t>
      </w:r>
    </w:p>
    <w:p w14:paraId="71E9CD09"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八)經濟部水利署及所屬於114年度中央政府前瞻基礎建設計畫第5期特別預算案第2目「水環境建設」第3節「水與環境」編列11億9,300萬元。臺中市是蓬勃發展、欣欣向榮的都市，臺中市的發展與水岸環境密不可分，大里溪水系、筏子溪及其支流如旱溪排水、大智排水、柳川、惠來溪等，都是人口密集居住地區，在完成防洪保護後應持續改善水岸空間，例如第三河川分署已經完成的旱溪排水積善橋到日新橋河川，成為當地民眾散步休息的好去處，經濟部應延續過去成效，持續於中央政府前瞻基礎建設計畫第5期特別預算案投入經費協助臺中市政府推動柳川水環境改善第3期、大智排水第1期、惠來溪排水等水環境改善。請經濟部水利署於3個月內向立法院財政及相關委員會提出臺中市大智排水水環境改善執行情形書面報告。</w:t>
      </w:r>
    </w:p>
    <w:p w14:paraId="316BD77E" w14:textId="44C911FF"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提案人：蔡其昌　林俊憲　徐富癸　</w:t>
      </w:r>
    </w:p>
    <w:p w14:paraId="1136D51E"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九)經濟部水利署及所屬於114年度中央政府前瞻基礎建設計畫第5期特別預算案第2目「水環境建設」第3節「水與環境」編列11億9,300萬元，辦理河川、相關排水及海岸等水岸環境改善，以營造優質生活環境，打造樂活水岸風貌。查中央政府前</w:t>
      </w:r>
      <w:r w:rsidRPr="00BC7E20">
        <w:rPr>
          <w:rFonts w:ascii="標楷體" w:eastAsia="標楷體" w:hAnsi="標楷體" w:hint="eastAsia"/>
          <w:sz w:val="32"/>
          <w:szCs w:val="32"/>
        </w:rPr>
        <w:lastRenderedPageBreak/>
        <w:t>瞻基礎建設計畫第1至4期特別預算共核定補助計畫347項，惟仍有部分計畫尚未完工，現經濟部水利署於中央政府前瞻基礎建設計畫第5期特別預算案持續編列執行全國水環境改善計畫，應加強補助計畫審查機制及控管進度，檢討前期執行成效，並於3個月內向立法院財政及相關委員會提出書面報告。</w:t>
      </w:r>
    </w:p>
    <w:p w14:paraId="7F9A994A" w14:textId="21A1D18A"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提案人：陳超明　</w:t>
      </w:r>
    </w:p>
    <w:p w14:paraId="68F7B154" w14:textId="32FB3B81"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連署人：張啟楷　鄭正鈐　</w:t>
      </w:r>
    </w:p>
    <w:p w14:paraId="015AD0B1"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十)經濟部水利署及所屬於114年度中央政府前瞻基礎建設計畫第5期特別預算案第2目「水環境建設」第3節「水與環境」項下「全國水環境改善計畫—水岸環境」係辦理水岸環境營造結合水質改善與打造樂活水岸風貌等。雙北淡水河水域長期有水質不佳、淤積等問題，卻未被包括在本計畫內。本案涉及雙北、中央之分工，請經濟部水利署協助相關政策之統籌協調，並由相關權責單位挹注資源協助淡水河水域與河岸之整體改善。</w:t>
      </w:r>
    </w:p>
    <w:p w14:paraId="1404BC5E" w14:textId="7AA9A17B"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提案人：吳沛憶　</w:t>
      </w:r>
    </w:p>
    <w:p w14:paraId="14BB201E" w14:textId="63C3EC3B"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連署人：郭昱晴　林月琴　</w:t>
      </w:r>
    </w:p>
    <w:p w14:paraId="69CBE631"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2"/>
          <w:sz w:val="32"/>
          <w:szCs w:val="32"/>
        </w:rPr>
      </w:pPr>
      <w:r w:rsidRPr="00BC7E20">
        <w:rPr>
          <w:rFonts w:ascii="標楷體" w:eastAsia="標楷體" w:hAnsi="標楷體" w:hint="eastAsia"/>
          <w:sz w:val="32"/>
          <w:szCs w:val="32"/>
        </w:rPr>
        <w:t>(十一)經濟部水利署及所屬於114年度中央政府前瞻基礎建設計畫第5期特別預算案第2目「水環境建設」編列138億5,710萬元辦理「水與發展」編列25億5,410萬元、「水與安全」編列101億1,000萬元、「水與環境」編列11億9,300萬等相關業務所需經費。茲按，嘉義市每逢颱風、大雨，市區內就因排水、排洪不易而淹水，特別是湖子內等地區，每遇豪雨必淹水，當地住戶長年來飽受淹水之苦，卻只能靠調度移動式抽水機排水，實在緩不濟急。鑑於極端氣候的衝擊下，日後強降雨機率很大，政府應加強嘉義市區內水利防洪設施。爰此，經濟部水利署應儘速檢討嘉義市湖子內排水放流口合宜性，並於後庄排除水分洪處設置固定式抽水站，於1個月內向立法院財政及相關委員會提出書面報告。</w:t>
      </w:r>
    </w:p>
    <w:p w14:paraId="4E4ACC57" w14:textId="46AE1558"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提案人：王美惠　</w:t>
      </w:r>
    </w:p>
    <w:p w14:paraId="268E025E" w14:textId="233DC688"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連署人：黃　捷　李柏毅</w:t>
      </w:r>
    </w:p>
    <w:p w14:paraId="30FDA50B"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2"/>
          <w:sz w:val="32"/>
          <w:szCs w:val="32"/>
        </w:rPr>
      </w:pPr>
      <w:r w:rsidRPr="00BC7E20">
        <w:rPr>
          <w:rFonts w:ascii="標楷體" w:eastAsia="標楷體" w:hAnsi="標楷體" w:hint="eastAsia"/>
          <w:sz w:val="32"/>
          <w:szCs w:val="32"/>
        </w:rPr>
        <w:t>(十二)因中央政府前瞻基礎建設計畫第5期特別預算案已無編列無自來水地區供水改善計畫相關費用，然新北市新店區、深坑區、石碇區、坪林區及烏來區尚有許多無自來水地區未接自來水，鑑於供給安全的飲用水乃屬基本人權，爰要求經濟部水利署應負其主管水資源權責，將前述無自來水地區供給自來水相關改善計畫回歸114年度公務預算支應。</w:t>
      </w:r>
    </w:p>
    <w:p w14:paraId="0DB1691F" w14:textId="1B9C369D"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提案人：羅明才　</w:t>
      </w:r>
    </w:p>
    <w:p w14:paraId="6A1A80BB" w14:textId="5FB1D3D9"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顏寬恒　</w:t>
      </w:r>
    </w:p>
    <w:p w14:paraId="15C98829"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第6項  商業發展署</w:t>
      </w:r>
      <w:r w:rsidRPr="00BC7E20">
        <w:rPr>
          <w:rFonts w:ascii="標楷體" w:eastAsia="標楷體" w:hAnsi="標楷體" w:hint="eastAsia"/>
          <w:sz w:val="32"/>
          <w:szCs w:val="32"/>
        </w:rPr>
        <w:t>7億4,326萬元，照列。</w:t>
      </w:r>
    </w:p>
    <w:p w14:paraId="6F795AE4"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1DA0E068"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0"/>
          <w:sz w:val="32"/>
          <w:szCs w:val="32"/>
        </w:rPr>
      </w:pPr>
      <w:r w:rsidRPr="00BC7E20">
        <w:rPr>
          <w:rFonts w:ascii="標楷體" w:eastAsia="標楷體" w:hAnsi="標楷體" w:hint="eastAsia"/>
          <w:sz w:val="32"/>
          <w:szCs w:val="32"/>
        </w:rPr>
        <w:t>(一)經濟部商業發展署於114年度中央政府前瞻基礎建設計畫第5期特別預算案第3目「城鄉建設」第1節「公共服務據點整備」編列5億5,130萬元，辦理公有市場耐震補強及拆除重建等。惟部分受補助市場風光開幕，甚至副總統到場慶賀，但開幕僅數月後人潮即雪崩式下跌，甚至引發攤商成立自救會，抗議該市場設計不良、定位不明，攤商入不敷出。爰凍結該項預算十分之一，俟經濟部商業發展署於1個月內向立法院財政及相關委員會提出書面報告後，始得動支。</w:t>
      </w:r>
    </w:p>
    <w:p w14:paraId="3FCDA7C2" w14:textId="0C5C271F"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提案人：王鴻薇　</w:t>
      </w:r>
    </w:p>
    <w:p w14:paraId="4FA99D3C" w14:textId="42317651"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廖偉翔　</w:t>
      </w:r>
    </w:p>
    <w:p w14:paraId="3901E5E2"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0"/>
          <w:sz w:val="32"/>
          <w:szCs w:val="32"/>
        </w:rPr>
      </w:pPr>
      <w:r w:rsidRPr="00BC7E20">
        <w:rPr>
          <w:rFonts w:ascii="標楷體" w:eastAsia="標楷體" w:hAnsi="標楷體" w:hint="eastAsia"/>
          <w:sz w:val="32"/>
          <w:szCs w:val="32"/>
        </w:rPr>
        <w:t>(二)經濟部商業發展署於114年度中央政府前瞻基礎建設計畫第5期特別預算案第3目「城鄉建設」第1節「公共服務據點整備」編列5億5,130萬元，有鑑於審計部於中央政府前瞻基礎建設計畫第3期特別決算審核報告審核意見略以，經濟部補助市縣政府辦理公有零售市場建築物耐震能力評估及補強重建計畫，預算實現率偏低，且部分計畫逾完成期限仍有待完成，允宜檢討改善。另依據經濟部商業發展署113年8月提供資料所示，現行全國公有零售市場計455處，88年底前建造之公有市場約390處，已提出且開始辦理補強或拆除重建(含僅拆除</w:t>
      </w:r>
      <w:r w:rsidRPr="00BC7E20">
        <w:rPr>
          <w:rFonts w:ascii="標楷體" w:eastAsia="標楷體" w:hAnsi="標楷體" w:hint="eastAsia"/>
          <w:sz w:val="32"/>
          <w:szCs w:val="32"/>
        </w:rPr>
        <w:lastRenderedPageBreak/>
        <w:t>不重建)工程106處(含已完成)，占比未及三成。本計畫迄113年7月底，中央政府前瞻基礎建設計畫第3期特別預算2億8,000萬元，未計入驗收或請款中計畫尚有15件已核定計畫仍在辦理中，中央政府前瞻基礎建設計畫第4期特別預算3億6,868萬元，已核定補助計畫尚有六成仍未完成發包作業，進度緩慢。爰本項計畫經濟部商業署執行量能有限，中央政府前瞻基礎建設計畫第5期特別預算案卻大幅增加，請經濟部商業發展署於3個月內向立法院財政及相關委員會提出書面報告。</w:t>
      </w:r>
    </w:p>
    <w:p w14:paraId="18DCD5D6" w14:textId="19E2236F"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6B043833" w14:textId="4EDF06D5"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1BECE4FB"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三)經濟部商業發展署於114年度中央政府前瞻基礎建設計畫第5期特別預算案第3目「城鄉建設」第1節「公共服務據點整備」編列5億5,130萬元。辦理計畫審查、管理與補助地方政府辦理公有零售市場耐震補強及拆除重建等所需經費。據立法院預算中心評估報告指出，公有危險建築補強重建－公有零售市場中央政府前瞻基礎建設計畫第5期特別預算案編列5億5,130萬元。然於中央政府前瞻基礎建設計畫第4期特別預算，迄113年7月底，本計畫實現數為2,685萬，預算執行竟未及一成，經濟部商業發展署顯需檢討改進。請經濟部商業發展署於3個月內向立法院財政及相關委員會提出書面報告。</w:t>
      </w:r>
    </w:p>
    <w:p w14:paraId="6A192CC0" w14:textId="6A6266E9"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提案人：吳沛憶　</w:t>
      </w:r>
    </w:p>
    <w:p w14:paraId="62D6AB19" w14:textId="238FD1D0"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連署人：郭昱晴　林月琴　</w:t>
      </w:r>
    </w:p>
    <w:p w14:paraId="606EC6C1"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第7項  中小及新創企業署</w:t>
      </w:r>
      <w:r w:rsidRPr="00BC7E20">
        <w:rPr>
          <w:rFonts w:ascii="標楷體" w:eastAsia="標楷體" w:hAnsi="標楷體" w:hint="eastAsia"/>
          <w:sz w:val="32"/>
          <w:szCs w:val="32"/>
        </w:rPr>
        <w:t>2億4,400萬元，照列。</w:t>
      </w:r>
    </w:p>
    <w:p w14:paraId="14CBD0CD"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本項通過決議2項：</w:t>
      </w:r>
    </w:p>
    <w:p w14:paraId="6A16178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經濟部中小及新創企業署於114年度中央政府前瞻基礎建設計畫第5期特別預算案第1目「數位建設」第1節「推廣數位公益服務」編列9,400萬元。該預算主要係辦理擴大中小企業5G創新服務應用，賡續完備中小企業5G發展環境與整合5G價值鏈團隊，擴大其創新應用場域，複製擴散相關應用服務普及發</w:t>
      </w:r>
      <w:r w:rsidRPr="00BC7E20">
        <w:rPr>
          <w:rFonts w:ascii="標楷體" w:eastAsia="標楷體" w:hAnsi="標楷體" w:hint="eastAsia"/>
          <w:sz w:val="32"/>
          <w:szCs w:val="32"/>
        </w:rPr>
        <w:lastRenderedPageBreak/>
        <w:t>展等所需經費。且此特別預算不僅未具緊急重大之急迫性，亦未見計畫所提之前瞻性。針對原鄉及離島鄉(鎮、市、區)部分，如何擴大或普及其應用場域之具體推動作法顯無對策，自前瞻基礎建設計畫執行迄今均未見該署有相關扶持原鄉地區中小企業之具體舉措，爰要求經濟部中小及新創企業署於3個月內向立法院財政及相關委員會提出書面報告。</w:t>
      </w:r>
    </w:p>
    <w:p w14:paraId="6C913B5B" w14:textId="587E10D4"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1A9EFD6F" w14:textId="3E9B77FA"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606D4A0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經濟部中小及新創企業署於114年度中央政府前瞻基礎建設計畫第5期特別預算案第2目「城鄉建設」第1節「開發在地型產業園區」編列1億5,000萬元。有鑑於經濟部中小及新創企業署推動城鄉特色產業園區發展計畫因施工進度落後或完工招商情況欠佳，致中央政府前瞻基礎建設計畫第2期特別預算執行進度未如預期，截至113年7月底止，尚有1億7,000萬2千元應付保留數待繼續執行。該署表示倘113年底仍無法達成結案條件，將依規定就工程進度辦理就地結算。中央政府前瞻基礎建設計畫第5期特別預算案編列1億5,000萬元，預定辦理推動城鄉產業數位創新及循環永續發展量能。爰要求經濟部中小及新創企業署於1個月內向立法院財政及相關委員會提出書面報告說明開發在地型產業園區執行成果。</w:t>
      </w:r>
    </w:p>
    <w:p w14:paraId="5BBE3CBF" w14:textId="47124D1B"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2C2D406F" w14:textId="16EBF88B"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5F0D9C04"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第8項  產業園區管理局及所屬</w:t>
      </w:r>
      <w:r w:rsidRPr="00BC7E20">
        <w:rPr>
          <w:rFonts w:ascii="標楷體" w:eastAsia="標楷體" w:hAnsi="標楷體" w:hint="eastAsia"/>
          <w:sz w:val="32"/>
          <w:szCs w:val="32"/>
        </w:rPr>
        <w:t>6億5,818萬元，照列。</w:t>
      </w:r>
    </w:p>
    <w:p w14:paraId="2827406A"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本項通過決議2項：</w:t>
      </w:r>
    </w:p>
    <w:p w14:paraId="04DED8C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經濟部產業園區管理局及所屬於114年度中央政府前瞻基礎建設計畫第5期特別預算案第2目「城鄉建設」第1節「開發在地型產業園區」編列6億5,000萬元。有鑑於經濟部產業園區管理局開發在地型產業園區計畫，截至113年7月止中央政府前瞻基礎建設計畫</w:t>
      </w:r>
      <w:r w:rsidRPr="00BC7E20">
        <w:rPr>
          <w:rFonts w:ascii="標楷體" w:eastAsia="標楷體" w:hAnsi="標楷體" w:hint="eastAsia"/>
          <w:bCs/>
          <w:sz w:val="32"/>
          <w:szCs w:val="32"/>
        </w:rPr>
        <w:t>特別預算</w:t>
      </w:r>
      <w:r w:rsidRPr="00BC7E20">
        <w:rPr>
          <w:rFonts w:ascii="標楷體" w:eastAsia="標楷體" w:hAnsi="標楷體" w:hint="eastAsia"/>
          <w:sz w:val="32"/>
          <w:szCs w:val="32"/>
        </w:rPr>
        <w:t>第1至4期已核定補助案件，包含強化地方工業區公共設施補助方案104案，設置平價產業園區補</w:t>
      </w:r>
      <w:r w:rsidRPr="00BC7E20">
        <w:rPr>
          <w:rFonts w:ascii="標楷體" w:eastAsia="標楷體" w:hAnsi="標楷體" w:hint="eastAsia"/>
          <w:sz w:val="32"/>
          <w:szCs w:val="32"/>
        </w:rPr>
        <w:lastRenderedPageBreak/>
        <w:t>助方案35案，經濟部轄管工業區之道路、排水及污水處理廠等公共設施改善工程105案；其中補助既有工業區強化公共設施並活化產業用地面積計30公頃；補助開發新設產業園區並釋出產業用地案新增產業面積120公頃，相關方案之執行情形包含：1.強化地方工業區公共設施補助方案仍在施工中共10案，另尚有1案待發包。2.設置平價產業園區補助方案35案，全數發包，其中6案執行中，另尚有18案未完成產業園區報編程序。3.補助所轄工業區公共設施設計案件計105案中，施工中共10案，尚未發包共6案。本計畫係為因應台商回流用地需求，爰於中央政府前瞻基礎建設計畫特別預算編列補助既有與開發中工業區之公共設施興建，及補助地方政府規劃設置平價產業園區所需經費，允宜對尚未完工、發包及報編中之核定補助案件，督促協助相關縣市積極辦理，俾利產業用地供給之增加。請經濟部產業園區管理局確實管控各項作業期程加強執行，於1個月內向立法院財政及相關委員會提出書面報告。</w:t>
      </w:r>
    </w:p>
    <w:p w14:paraId="742E516E" w14:textId="01E6D03D"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2FF6E9B0" w14:textId="178F1FA5"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2E6FE12D"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經濟部產業園區管理局及所屬於114年度中央政府前瞻基礎建設計畫第5期特別預算案第2目「城鄉建設」第1節「開發在地型產業園區」編列3億7,700萬元，辦理開發在地型產業園區－提升加工區用地效能創新產業升級計畫，係藉由加速科技產業園區擴區與老舊建築物更新，新增產業用地及建構立體化創新研發產業空間聚落，以帶動地方區域經濟發展，114年度中央政府前瞻基礎建設計畫第5期特別預算案編列3億7,700萬元，係賡續推動屏東園區擴區及新建楠梓園區創新產業大樓等所需經費。其中屏東園區擴區經費為何？預期效益為何？預算未詳細說明編列情形，爰要求經濟部產業園區管理局於1個月內向立法院財政及相關委員會提出書面報告。</w:t>
      </w:r>
    </w:p>
    <w:tbl>
      <w:tblPr>
        <w:tblW w:w="8241" w:type="dxa"/>
        <w:tblInd w:w="144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5"/>
        <w:gridCol w:w="1363"/>
        <w:gridCol w:w="1680"/>
        <w:gridCol w:w="1203"/>
        <w:gridCol w:w="1330"/>
        <w:gridCol w:w="2240"/>
      </w:tblGrid>
      <w:tr w:rsidR="009D64D0" w:rsidRPr="00937673" w14:paraId="4DBF5E7E" w14:textId="77777777" w:rsidTr="00937673">
        <w:trPr>
          <w:trHeight w:val="412"/>
          <w:tblHeader/>
        </w:trPr>
        <w:tc>
          <w:tcPr>
            <w:tcW w:w="1788" w:type="dxa"/>
            <w:gridSpan w:val="2"/>
            <w:vMerge w:val="restart"/>
            <w:tcBorders>
              <w:top w:val="single" w:sz="12" w:space="0" w:color="auto"/>
              <w:left w:val="single" w:sz="12" w:space="0" w:color="auto"/>
              <w:bottom w:val="single" w:sz="4" w:space="0" w:color="auto"/>
              <w:right w:val="single" w:sz="4" w:space="0" w:color="auto"/>
            </w:tcBorders>
            <w:shd w:val="clear" w:color="auto" w:fill="FFFFFF"/>
            <w:noWrap/>
            <w:vAlign w:val="center"/>
            <w:hideMark/>
          </w:tcPr>
          <w:p w14:paraId="151E45D4" w14:textId="77777777" w:rsidR="009D64D0" w:rsidRPr="00937673" w:rsidRDefault="009D64D0" w:rsidP="00B15B90">
            <w:pPr>
              <w:kinsoku w:val="0"/>
              <w:overflowPunct w:val="0"/>
              <w:autoSpaceDE w:val="0"/>
              <w:spacing w:line="240" w:lineRule="exact"/>
              <w:jc w:val="both"/>
              <w:rPr>
                <w:rFonts w:ascii="標楷體" w:eastAsia="標楷體" w:hAnsi="標楷體"/>
                <w:b/>
                <w:snapToGrid w:val="0"/>
                <w:szCs w:val="24"/>
              </w:rPr>
            </w:pPr>
            <w:r w:rsidRPr="00937673">
              <w:rPr>
                <w:rFonts w:ascii="標楷體" w:eastAsia="標楷體" w:hAnsi="標楷體" w:hint="eastAsia"/>
                <w:b/>
                <w:snapToGrid w:val="0"/>
                <w:szCs w:val="24"/>
              </w:rPr>
              <w:lastRenderedPageBreak/>
              <w:t>類別及計畫名稱</w:t>
            </w:r>
          </w:p>
        </w:tc>
        <w:tc>
          <w:tcPr>
            <w:tcW w:w="1680" w:type="dxa"/>
            <w:vMerge w:val="restart"/>
            <w:tcBorders>
              <w:top w:val="single" w:sz="12" w:space="0" w:color="auto"/>
              <w:left w:val="single" w:sz="4" w:space="0" w:color="auto"/>
              <w:bottom w:val="single" w:sz="4" w:space="0" w:color="auto"/>
              <w:right w:val="single" w:sz="4" w:space="0" w:color="auto"/>
            </w:tcBorders>
            <w:shd w:val="clear" w:color="auto" w:fill="FFFFFF"/>
            <w:vAlign w:val="center"/>
            <w:hideMark/>
          </w:tcPr>
          <w:p w14:paraId="45699E9F" w14:textId="77777777" w:rsidR="009D64D0" w:rsidRPr="00937673" w:rsidRDefault="009D64D0" w:rsidP="00B15B90">
            <w:pPr>
              <w:kinsoku w:val="0"/>
              <w:overflowPunct w:val="0"/>
              <w:autoSpaceDE w:val="0"/>
              <w:spacing w:line="240" w:lineRule="exact"/>
              <w:jc w:val="both"/>
              <w:rPr>
                <w:rFonts w:ascii="標楷體" w:eastAsia="標楷體" w:hAnsi="標楷體"/>
                <w:b/>
                <w:snapToGrid w:val="0"/>
                <w:szCs w:val="24"/>
              </w:rPr>
            </w:pPr>
            <w:r w:rsidRPr="00937673">
              <w:rPr>
                <w:rFonts w:ascii="標楷體" w:eastAsia="標楷體" w:hAnsi="標楷體" w:hint="eastAsia"/>
                <w:b/>
                <w:snapToGrid w:val="0"/>
                <w:szCs w:val="24"/>
              </w:rPr>
              <w:t>計畫總經費</w:t>
            </w:r>
          </w:p>
          <w:p w14:paraId="7FF713F9" w14:textId="77777777" w:rsidR="009D64D0" w:rsidRPr="00937673" w:rsidRDefault="009D64D0" w:rsidP="00B15B90">
            <w:pPr>
              <w:kinsoku w:val="0"/>
              <w:overflowPunct w:val="0"/>
              <w:autoSpaceDE w:val="0"/>
              <w:spacing w:line="240" w:lineRule="exact"/>
              <w:jc w:val="both"/>
              <w:rPr>
                <w:rFonts w:ascii="標楷體" w:eastAsia="標楷體" w:hAnsi="標楷體"/>
                <w:b/>
                <w:snapToGrid w:val="0"/>
                <w:szCs w:val="24"/>
              </w:rPr>
            </w:pPr>
            <w:r w:rsidRPr="00937673">
              <w:rPr>
                <w:rFonts w:ascii="標楷體" w:eastAsia="標楷體" w:hAnsi="標楷體" w:hint="eastAsia"/>
                <w:b/>
                <w:snapToGrid w:val="0"/>
                <w:szCs w:val="24"/>
              </w:rPr>
              <w:t>及期程</w:t>
            </w:r>
          </w:p>
        </w:tc>
        <w:tc>
          <w:tcPr>
            <w:tcW w:w="1203" w:type="dxa"/>
            <w:vMerge w:val="restart"/>
            <w:tcBorders>
              <w:top w:val="single" w:sz="12" w:space="0" w:color="auto"/>
              <w:left w:val="single" w:sz="4" w:space="0" w:color="auto"/>
              <w:bottom w:val="single" w:sz="4" w:space="0" w:color="auto"/>
              <w:right w:val="single" w:sz="4" w:space="0" w:color="auto"/>
            </w:tcBorders>
            <w:shd w:val="clear" w:color="auto" w:fill="FFFFFF"/>
            <w:vAlign w:val="center"/>
            <w:hideMark/>
          </w:tcPr>
          <w:p w14:paraId="44C62BF8" w14:textId="77777777" w:rsidR="009D64D0" w:rsidRPr="00937673" w:rsidRDefault="009D64D0" w:rsidP="00B15B90">
            <w:pPr>
              <w:kinsoku w:val="0"/>
              <w:overflowPunct w:val="0"/>
              <w:autoSpaceDE w:val="0"/>
              <w:spacing w:line="240" w:lineRule="exact"/>
              <w:jc w:val="both"/>
              <w:rPr>
                <w:rFonts w:ascii="標楷體" w:eastAsia="標楷體" w:hAnsi="標楷體"/>
                <w:b/>
                <w:snapToGrid w:val="0"/>
                <w:szCs w:val="24"/>
              </w:rPr>
            </w:pPr>
            <w:r w:rsidRPr="00937673">
              <w:rPr>
                <w:rFonts w:ascii="標楷體" w:eastAsia="標楷體" w:hAnsi="標楷體" w:hint="eastAsia"/>
                <w:b/>
                <w:snapToGrid w:val="0"/>
                <w:szCs w:val="24"/>
              </w:rPr>
              <w:t>前期編列特別預算</w:t>
            </w:r>
          </w:p>
        </w:tc>
        <w:tc>
          <w:tcPr>
            <w:tcW w:w="3570" w:type="dxa"/>
            <w:gridSpan w:val="2"/>
            <w:tcBorders>
              <w:top w:val="single" w:sz="12" w:space="0" w:color="auto"/>
              <w:left w:val="single" w:sz="4" w:space="0" w:color="auto"/>
              <w:bottom w:val="single" w:sz="4" w:space="0" w:color="auto"/>
              <w:right w:val="single" w:sz="12" w:space="0" w:color="auto"/>
            </w:tcBorders>
            <w:shd w:val="clear" w:color="auto" w:fill="FFFFFF"/>
            <w:vAlign w:val="center"/>
            <w:hideMark/>
          </w:tcPr>
          <w:p w14:paraId="0191B452" w14:textId="77777777" w:rsidR="009D64D0" w:rsidRPr="00937673" w:rsidRDefault="009D64D0" w:rsidP="00B15B90">
            <w:pPr>
              <w:kinsoku w:val="0"/>
              <w:overflowPunct w:val="0"/>
              <w:autoSpaceDE w:val="0"/>
              <w:spacing w:line="240" w:lineRule="exact"/>
              <w:jc w:val="center"/>
              <w:rPr>
                <w:rFonts w:ascii="標楷體" w:eastAsia="標楷體" w:hAnsi="標楷體"/>
                <w:b/>
                <w:snapToGrid w:val="0"/>
                <w:szCs w:val="24"/>
              </w:rPr>
            </w:pPr>
            <w:r w:rsidRPr="00937673">
              <w:rPr>
                <w:rFonts w:ascii="標楷體" w:eastAsia="標楷體" w:hAnsi="標楷體" w:hint="eastAsia"/>
                <w:b/>
                <w:snapToGrid w:val="0"/>
                <w:szCs w:val="24"/>
              </w:rPr>
              <w:t>第5期特別預算案</w:t>
            </w:r>
          </w:p>
        </w:tc>
      </w:tr>
      <w:tr w:rsidR="009D64D0" w:rsidRPr="00937673" w14:paraId="26FFB9A1" w14:textId="77777777" w:rsidTr="00937673">
        <w:trPr>
          <w:trHeight w:val="842"/>
          <w:tblHeader/>
        </w:trPr>
        <w:tc>
          <w:tcPr>
            <w:tcW w:w="1788" w:type="dxa"/>
            <w:gridSpan w:val="2"/>
            <w:vMerge/>
            <w:tcBorders>
              <w:top w:val="single" w:sz="12" w:space="0" w:color="auto"/>
              <w:left w:val="single" w:sz="12" w:space="0" w:color="auto"/>
              <w:bottom w:val="single" w:sz="4" w:space="0" w:color="auto"/>
              <w:right w:val="single" w:sz="4" w:space="0" w:color="auto"/>
            </w:tcBorders>
            <w:vAlign w:val="center"/>
            <w:hideMark/>
          </w:tcPr>
          <w:p w14:paraId="4198E429" w14:textId="77777777" w:rsidR="009D64D0" w:rsidRPr="00937673" w:rsidRDefault="009D64D0" w:rsidP="00B15B90">
            <w:pPr>
              <w:kinsoku w:val="0"/>
              <w:overflowPunct w:val="0"/>
              <w:autoSpaceDE w:val="0"/>
              <w:spacing w:line="240" w:lineRule="exact"/>
              <w:rPr>
                <w:rFonts w:ascii="標楷體" w:eastAsia="標楷體" w:hAnsi="標楷體"/>
                <w:b/>
                <w:snapToGrid w:val="0"/>
                <w:kern w:val="2"/>
                <w:szCs w:val="24"/>
              </w:rPr>
            </w:pPr>
          </w:p>
        </w:tc>
        <w:tc>
          <w:tcPr>
            <w:tcW w:w="1680" w:type="dxa"/>
            <w:vMerge/>
            <w:tcBorders>
              <w:top w:val="single" w:sz="12" w:space="0" w:color="auto"/>
              <w:left w:val="single" w:sz="4" w:space="0" w:color="auto"/>
              <w:bottom w:val="single" w:sz="4" w:space="0" w:color="auto"/>
              <w:right w:val="single" w:sz="4" w:space="0" w:color="auto"/>
            </w:tcBorders>
            <w:vAlign w:val="center"/>
            <w:hideMark/>
          </w:tcPr>
          <w:p w14:paraId="2175DCC7" w14:textId="77777777" w:rsidR="009D64D0" w:rsidRPr="00937673" w:rsidRDefault="009D64D0" w:rsidP="00B15B90">
            <w:pPr>
              <w:kinsoku w:val="0"/>
              <w:overflowPunct w:val="0"/>
              <w:autoSpaceDE w:val="0"/>
              <w:spacing w:line="240" w:lineRule="exact"/>
              <w:rPr>
                <w:rFonts w:ascii="標楷體" w:eastAsia="標楷體" w:hAnsi="標楷體"/>
                <w:b/>
                <w:snapToGrid w:val="0"/>
                <w:kern w:val="2"/>
                <w:szCs w:val="24"/>
              </w:rPr>
            </w:pPr>
          </w:p>
        </w:tc>
        <w:tc>
          <w:tcPr>
            <w:tcW w:w="1203" w:type="dxa"/>
            <w:vMerge/>
            <w:tcBorders>
              <w:top w:val="single" w:sz="12" w:space="0" w:color="auto"/>
              <w:left w:val="single" w:sz="4" w:space="0" w:color="auto"/>
              <w:bottom w:val="single" w:sz="4" w:space="0" w:color="auto"/>
              <w:right w:val="single" w:sz="4" w:space="0" w:color="auto"/>
            </w:tcBorders>
            <w:vAlign w:val="center"/>
            <w:hideMark/>
          </w:tcPr>
          <w:p w14:paraId="41A376A4" w14:textId="77777777" w:rsidR="009D64D0" w:rsidRPr="00937673" w:rsidRDefault="009D64D0" w:rsidP="00B15B90">
            <w:pPr>
              <w:kinsoku w:val="0"/>
              <w:overflowPunct w:val="0"/>
              <w:autoSpaceDE w:val="0"/>
              <w:spacing w:line="240" w:lineRule="exact"/>
              <w:rPr>
                <w:rFonts w:ascii="標楷體" w:eastAsia="標楷體" w:hAnsi="標楷體"/>
                <w:b/>
                <w:snapToGrid w:val="0"/>
                <w:kern w:val="2"/>
                <w:szCs w:val="24"/>
              </w:rPr>
            </w:pPr>
          </w:p>
        </w:tc>
        <w:tc>
          <w:tcPr>
            <w:tcW w:w="133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70B3BD5" w14:textId="77777777" w:rsidR="009D64D0" w:rsidRPr="00937673" w:rsidRDefault="009D64D0" w:rsidP="00B15B90">
            <w:pPr>
              <w:kinsoku w:val="0"/>
              <w:overflowPunct w:val="0"/>
              <w:autoSpaceDE w:val="0"/>
              <w:spacing w:line="240" w:lineRule="exact"/>
              <w:jc w:val="center"/>
              <w:rPr>
                <w:rFonts w:ascii="標楷體" w:eastAsia="標楷體" w:hAnsi="標楷體"/>
                <w:b/>
                <w:snapToGrid w:val="0"/>
                <w:szCs w:val="24"/>
              </w:rPr>
            </w:pPr>
            <w:r w:rsidRPr="00937673">
              <w:rPr>
                <w:rFonts w:ascii="標楷體" w:eastAsia="標楷體" w:hAnsi="標楷體" w:hint="eastAsia"/>
                <w:b/>
                <w:snapToGrid w:val="0"/>
                <w:szCs w:val="24"/>
              </w:rPr>
              <w:t>預算案數</w:t>
            </w:r>
          </w:p>
        </w:tc>
        <w:tc>
          <w:tcPr>
            <w:tcW w:w="2240" w:type="dxa"/>
            <w:tcBorders>
              <w:top w:val="single" w:sz="4" w:space="0" w:color="auto"/>
              <w:left w:val="single" w:sz="4" w:space="0" w:color="auto"/>
              <w:bottom w:val="single" w:sz="4" w:space="0" w:color="auto"/>
              <w:right w:val="single" w:sz="12" w:space="0" w:color="auto"/>
            </w:tcBorders>
            <w:shd w:val="clear" w:color="auto" w:fill="FFFFFF"/>
            <w:vAlign w:val="center"/>
            <w:hideMark/>
          </w:tcPr>
          <w:p w14:paraId="45033471" w14:textId="77777777" w:rsidR="009D64D0" w:rsidRPr="00937673" w:rsidRDefault="009D64D0" w:rsidP="00B15B90">
            <w:pPr>
              <w:kinsoku w:val="0"/>
              <w:overflowPunct w:val="0"/>
              <w:autoSpaceDE w:val="0"/>
              <w:spacing w:line="240" w:lineRule="exact"/>
              <w:jc w:val="center"/>
              <w:rPr>
                <w:rFonts w:ascii="標楷體" w:eastAsia="標楷體" w:hAnsi="標楷體"/>
                <w:b/>
                <w:snapToGrid w:val="0"/>
                <w:szCs w:val="24"/>
              </w:rPr>
            </w:pPr>
            <w:r w:rsidRPr="00937673">
              <w:rPr>
                <w:rFonts w:ascii="標楷體" w:eastAsia="標楷體" w:hAnsi="標楷體" w:hint="eastAsia"/>
                <w:b/>
                <w:snapToGrid w:val="0"/>
                <w:szCs w:val="24"/>
              </w:rPr>
              <w:t>預計辦理事項</w:t>
            </w:r>
          </w:p>
        </w:tc>
      </w:tr>
      <w:tr w:rsidR="009D64D0" w:rsidRPr="00937673" w14:paraId="13AB7999" w14:textId="77777777" w:rsidTr="00937673">
        <w:trPr>
          <w:trHeight w:val="125"/>
          <w:tblHeader/>
        </w:trPr>
        <w:tc>
          <w:tcPr>
            <w:tcW w:w="425" w:type="dxa"/>
            <w:tcBorders>
              <w:top w:val="single" w:sz="4" w:space="0" w:color="auto"/>
              <w:left w:val="single" w:sz="12" w:space="0" w:color="auto"/>
              <w:bottom w:val="single" w:sz="12" w:space="0" w:color="auto"/>
              <w:right w:val="single" w:sz="4" w:space="0" w:color="auto"/>
            </w:tcBorders>
            <w:shd w:val="clear" w:color="auto" w:fill="FFFFFF"/>
            <w:noWrap/>
            <w:vAlign w:val="center"/>
            <w:hideMark/>
          </w:tcPr>
          <w:p w14:paraId="3B812284" w14:textId="77777777" w:rsidR="009D64D0" w:rsidRPr="00937673" w:rsidRDefault="009D64D0" w:rsidP="00B15B90">
            <w:pPr>
              <w:kinsoku w:val="0"/>
              <w:overflowPunct w:val="0"/>
              <w:autoSpaceDE w:val="0"/>
              <w:spacing w:line="240" w:lineRule="exact"/>
              <w:rPr>
                <w:rFonts w:ascii="標楷體" w:eastAsia="標楷體" w:hAnsi="標楷體"/>
                <w:snapToGrid w:val="0"/>
                <w:szCs w:val="24"/>
              </w:rPr>
            </w:pPr>
            <w:r w:rsidRPr="00937673">
              <w:rPr>
                <w:rFonts w:ascii="標楷體" w:eastAsia="標楷體" w:hAnsi="標楷體" w:hint="eastAsia"/>
                <w:snapToGrid w:val="0"/>
                <w:szCs w:val="24"/>
              </w:rPr>
              <w:t>城鄉建設</w:t>
            </w:r>
          </w:p>
        </w:tc>
        <w:tc>
          <w:tcPr>
            <w:tcW w:w="1363" w:type="dxa"/>
            <w:tcBorders>
              <w:top w:val="single" w:sz="4" w:space="0" w:color="auto"/>
              <w:left w:val="single" w:sz="4" w:space="0" w:color="auto"/>
              <w:bottom w:val="single" w:sz="12" w:space="0" w:color="auto"/>
              <w:right w:val="single" w:sz="4" w:space="0" w:color="auto"/>
            </w:tcBorders>
            <w:shd w:val="clear" w:color="auto" w:fill="FFFFFF"/>
            <w:vAlign w:val="center"/>
            <w:hideMark/>
          </w:tcPr>
          <w:p w14:paraId="6415F14D" w14:textId="77777777" w:rsidR="009D64D0" w:rsidRPr="00937673" w:rsidRDefault="009D64D0" w:rsidP="00B15B90">
            <w:pPr>
              <w:kinsoku w:val="0"/>
              <w:overflowPunct w:val="0"/>
              <w:autoSpaceDE w:val="0"/>
              <w:spacing w:line="240" w:lineRule="exact"/>
              <w:jc w:val="both"/>
              <w:rPr>
                <w:rFonts w:ascii="標楷體" w:eastAsia="標楷體" w:hAnsi="標楷體"/>
                <w:snapToGrid w:val="0"/>
                <w:szCs w:val="24"/>
              </w:rPr>
            </w:pPr>
            <w:r w:rsidRPr="00937673">
              <w:rPr>
                <w:rFonts w:ascii="標楷體" w:eastAsia="標楷體" w:hAnsi="標楷體" w:hint="eastAsia"/>
                <w:snapToGrid w:val="0"/>
                <w:szCs w:val="24"/>
              </w:rPr>
              <w:t>開發在地型產業園區-提升加工區用地效能創新產業升級計畫</w:t>
            </w:r>
          </w:p>
        </w:tc>
        <w:tc>
          <w:tcPr>
            <w:tcW w:w="1680" w:type="dxa"/>
            <w:tcBorders>
              <w:top w:val="single" w:sz="4" w:space="0" w:color="auto"/>
              <w:left w:val="single" w:sz="4" w:space="0" w:color="auto"/>
              <w:bottom w:val="single" w:sz="12" w:space="0" w:color="auto"/>
              <w:right w:val="single" w:sz="4" w:space="0" w:color="auto"/>
            </w:tcBorders>
            <w:shd w:val="clear" w:color="auto" w:fill="FFFFFF"/>
            <w:hideMark/>
          </w:tcPr>
          <w:p w14:paraId="38D6FE86" w14:textId="77777777" w:rsidR="009D64D0" w:rsidRPr="00937673" w:rsidRDefault="009D64D0" w:rsidP="00B15B90">
            <w:pPr>
              <w:kinsoku w:val="0"/>
              <w:overflowPunct w:val="0"/>
              <w:autoSpaceDE w:val="0"/>
              <w:spacing w:line="240" w:lineRule="exact"/>
              <w:jc w:val="right"/>
              <w:rPr>
                <w:rFonts w:ascii="標楷體" w:eastAsia="標楷體" w:hAnsi="標楷體"/>
                <w:snapToGrid w:val="0"/>
                <w:szCs w:val="24"/>
              </w:rPr>
            </w:pPr>
            <w:r w:rsidRPr="00937673">
              <w:rPr>
                <w:rFonts w:ascii="標楷體" w:eastAsia="標楷體" w:hAnsi="標楷體" w:hint="eastAsia"/>
                <w:snapToGrid w:val="0"/>
                <w:szCs w:val="24"/>
              </w:rPr>
              <w:t>3,443,750</w:t>
            </w:r>
          </w:p>
          <w:p w14:paraId="2AEF3592" w14:textId="77777777" w:rsidR="009D64D0" w:rsidRPr="00937673" w:rsidRDefault="009D64D0" w:rsidP="00B15B90">
            <w:pPr>
              <w:kinsoku w:val="0"/>
              <w:overflowPunct w:val="0"/>
              <w:autoSpaceDE w:val="0"/>
              <w:spacing w:line="240" w:lineRule="exact"/>
              <w:ind w:left="240" w:hangingChars="100" w:hanging="240"/>
              <w:rPr>
                <w:rFonts w:ascii="標楷體" w:eastAsia="標楷體" w:hAnsi="標楷體"/>
                <w:snapToGrid w:val="0"/>
                <w:szCs w:val="24"/>
              </w:rPr>
            </w:pPr>
            <w:r w:rsidRPr="00937673">
              <w:rPr>
                <w:rFonts w:ascii="標楷體" w:eastAsia="標楷體" w:hAnsi="標楷體" w:hint="eastAsia"/>
                <w:snapToGrid w:val="0"/>
                <w:szCs w:val="24"/>
              </w:rPr>
              <w:t>(106-114年度)</w:t>
            </w:r>
          </w:p>
        </w:tc>
        <w:tc>
          <w:tcPr>
            <w:tcW w:w="1203" w:type="dxa"/>
            <w:tcBorders>
              <w:top w:val="single" w:sz="4" w:space="0" w:color="auto"/>
              <w:left w:val="single" w:sz="4" w:space="0" w:color="auto"/>
              <w:bottom w:val="single" w:sz="12" w:space="0" w:color="auto"/>
              <w:right w:val="single" w:sz="4" w:space="0" w:color="auto"/>
            </w:tcBorders>
            <w:shd w:val="clear" w:color="auto" w:fill="FFFFFF"/>
            <w:hideMark/>
          </w:tcPr>
          <w:p w14:paraId="35E6E22E" w14:textId="77777777" w:rsidR="009D64D0" w:rsidRPr="00937673" w:rsidRDefault="009D64D0" w:rsidP="00B15B90">
            <w:pPr>
              <w:kinsoku w:val="0"/>
              <w:overflowPunct w:val="0"/>
              <w:autoSpaceDE w:val="0"/>
              <w:spacing w:line="240" w:lineRule="exact"/>
              <w:jc w:val="right"/>
              <w:rPr>
                <w:rFonts w:ascii="標楷體" w:eastAsia="標楷體" w:hAnsi="標楷體"/>
                <w:snapToGrid w:val="0"/>
                <w:szCs w:val="24"/>
              </w:rPr>
            </w:pPr>
            <w:r w:rsidRPr="00937673">
              <w:rPr>
                <w:rFonts w:ascii="標楷體" w:eastAsia="標楷體" w:hAnsi="標楷體" w:hint="eastAsia"/>
                <w:snapToGrid w:val="0"/>
                <w:szCs w:val="24"/>
              </w:rPr>
              <w:t>534,000</w:t>
            </w:r>
          </w:p>
        </w:tc>
        <w:tc>
          <w:tcPr>
            <w:tcW w:w="1330" w:type="dxa"/>
            <w:tcBorders>
              <w:top w:val="single" w:sz="4" w:space="0" w:color="auto"/>
              <w:left w:val="single" w:sz="4" w:space="0" w:color="auto"/>
              <w:bottom w:val="single" w:sz="12" w:space="0" w:color="auto"/>
              <w:right w:val="single" w:sz="4" w:space="0" w:color="auto"/>
            </w:tcBorders>
            <w:shd w:val="clear" w:color="auto" w:fill="FFFFFF"/>
            <w:noWrap/>
            <w:hideMark/>
          </w:tcPr>
          <w:p w14:paraId="757FC4C4" w14:textId="77777777" w:rsidR="009D64D0" w:rsidRPr="00937673" w:rsidRDefault="009D64D0" w:rsidP="00B15B90">
            <w:pPr>
              <w:kinsoku w:val="0"/>
              <w:overflowPunct w:val="0"/>
              <w:autoSpaceDE w:val="0"/>
              <w:spacing w:line="240" w:lineRule="exact"/>
              <w:jc w:val="right"/>
              <w:rPr>
                <w:rFonts w:ascii="標楷體" w:eastAsia="標楷體" w:hAnsi="標楷體"/>
                <w:snapToGrid w:val="0"/>
                <w:szCs w:val="24"/>
              </w:rPr>
            </w:pPr>
            <w:bookmarkStart w:id="153" w:name="_Hlk183531101"/>
            <w:r w:rsidRPr="00937673">
              <w:rPr>
                <w:rFonts w:ascii="標楷體" w:eastAsia="標楷體" w:hAnsi="標楷體" w:hint="eastAsia"/>
                <w:snapToGrid w:val="0"/>
                <w:szCs w:val="24"/>
              </w:rPr>
              <w:t>377,000</w:t>
            </w:r>
            <w:bookmarkEnd w:id="153"/>
          </w:p>
        </w:tc>
        <w:tc>
          <w:tcPr>
            <w:tcW w:w="2240" w:type="dxa"/>
            <w:tcBorders>
              <w:top w:val="single" w:sz="4" w:space="0" w:color="auto"/>
              <w:left w:val="single" w:sz="4" w:space="0" w:color="auto"/>
              <w:bottom w:val="single" w:sz="12" w:space="0" w:color="auto"/>
              <w:right w:val="single" w:sz="12" w:space="0" w:color="auto"/>
            </w:tcBorders>
            <w:shd w:val="clear" w:color="auto" w:fill="FFFFFF"/>
            <w:hideMark/>
          </w:tcPr>
          <w:p w14:paraId="41AC8D09" w14:textId="77777777" w:rsidR="009D64D0" w:rsidRPr="00937673" w:rsidRDefault="009D64D0" w:rsidP="00B15B90">
            <w:pPr>
              <w:kinsoku w:val="0"/>
              <w:overflowPunct w:val="0"/>
              <w:autoSpaceDE w:val="0"/>
              <w:spacing w:line="240" w:lineRule="exact"/>
              <w:jc w:val="both"/>
              <w:rPr>
                <w:rFonts w:ascii="標楷體" w:eastAsia="標楷體" w:hAnsi="標楷體"/>
                <w:snapToGrid w:val="0"/>
                <w:szCs w:val="24"/>
              </w:rPr>
            </w:pPr>
            <w:r w:rsidRPr="00937673">
              <w:rPr>
                <w:rFonts w:ascii="標楷體" w:eastAsia="標楷體" w:hAnsi="標楷體" w:hint="eastAsia"/>
                <w:snapToGrid w:val="0"/>
                <w:szCs w:val="24"/>
              </w:rPr>
              <w:t>辦理屏東園區擴區及新建楠梓園區創新產業大樓所需經費。</w:t>
            </w:r>
          </w:p>
        </w:tc>
      </w:tr>
    </w:tbl>
    <w:p w14:paraId="3464A891" w14:textId="1525B788"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提案人：蘇清泉　涂權吉　陳菁徽　</w:t>
      </w:r>
    </w:p>
    <w:p w14:paraId="14A38F2E"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第9項  地質調查及礦業管理中心</w:t>
      </w:r>
      <w:r w:rsidRPr="00BC7E20">
        <w:rPr>
          <w:rFonts w:ascii="標楷體" w:eastAsia="標楷體" w:hAnsi="標楷體" w:hint="eastAsia"/>
          <w:sz w:val="32"/>
          <w:szCs w:val="32"/>
        </w:rPr>
        <w:t>2億0,700萬元，照列。</w:t>
      </w:r>
    </w:p>
    <w:p w14:paraId="61B89CA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本項通過決議2項：</w:t>
      </w:r>
    </w:p>
    <w:p w14:paraId="025E43FB"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經濟部地質調查及礦業管理中心於114年度中央政府前瞻基礎建設計畫第5期特別預算案於第9項「地質調查及礦業管理中心」編列2億0,700萬元。有鑑於地熱是穩定的基載電力，然而地熱前期開發成本與探勘結果不確定性高等問題，使民間投資意願低落，推動地熱開發難有進展。土耳其2010至2018年地熱裝置容量爆發式成長12.65倍，其主要透過政府負責初期地質探勘，提供地質數據、提供補貼措施及明訂地熱專法等措施改善地熱開發環境，並積極爭取國際合作，以取得國際先進技術與資金的挹注，成功推動地熱開發，值得我國借鑑與學習。經查，經濟部地質調查及礦業管理中心根據1960年代累積至今的鑽井資訊評估，台灣深層地熱發電潛能具有40GW，顯見台灣地熱潛能豐富，若成功取用將對於台灣電力有極大貢獻。民間指出，財團法人工業技術研究院綠能與環境研究所證實基隆有海底火山，因此建議基隆發展地熱發電。然而，我國目前現有鑽井資訊約400孔，且深度大部分少於1,000公尺，對於基隆陸域及海域，更是仍缺乏近一步資料，無法評估基隆地區有多少地熱潛能。請經濟部地質調查及礦業管理中心於2個月內，就如何積極完善建置我國地熱潛能及分布探勘資訊並加值運用與如何改善我國地熱開發環境及促進民間投資開發之計畫，向立法院財政及相關委員會提出書面報告。</w:t>
      </w:r>
    </w:p>
    <w:p w14:paraId="7562A615" w14:textId="211E773D"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提案人：黃珊珊　陳昭姿　麥玉珍　</w:t>
      </w:r>
    </w:p>
    <w:p w14:paraId="648A72C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經濟部地質調查及礦業管理中心於114年度中央政府前瞻基礎建設計畫第5期特別預算案第2目「綠能建設」之「地熱探勘及開發基礎設備能量提升計畫」編列1億4,000萬元，主要係配合國家推動地熱事業，新購1台小孔徑岩芯式鑽機(6,000萬元)、小孔徑高溫井孔孔壁掃瞄量測及岩芯分析等設備(8,000萬元)，以供地熱探勘及開發不同階段之使用。根據經濟部地質調查及礦業管理中心說明，國內地熱探勘在中央政府前瞻基礎建設計畫第3及4期</w:t>
      </w:r>
      <w:r w:rsidRPr="00BC7E20">
        <w:rPr>
          <w:rFonts w:ascii="標楷體" w:eastAsia="標楷體" w:hAnsi="標楷體" w:hint="eastAsia"/>
          <w:bCs/>
          <w:sz w:val="32"/>
          <w:szCs w:val="32"/>
        </w:rPr>
        <w:t>特別預算</w:t>
      </w:r>
      <w:r w:rsidRPr="00BC7E20">
        <w:rPr>
          <w:rFonts w:ascii="標楷體" w:eastAsia="標楷體" w:hAnsi="標楷體" w:hint="eastAsia"/>
          <w:sz w:val="32"/>
          <w:szCs w:val="32"/>
        </w:rPr>
        <w:t>推動下，已開啟9個場域之先期探勘，以及1個場域地熱電廠興建計畫；另在有關地域型示範探勘及申設法規等相關調適，業促成國內數座地熱電廠開始運作，逐漸展現計畫推動之成效，惟面對國內基礎設備能量不足之情況，亟需進行調整和改善。鑑於購置設備之價值不低，允宜妥為保管及利用，增進購置設備之使用率，以提高政府資本支出之投資效益。請經濟部地質調查及礦業管理中心於2個月內向立法院財政及相關委員會提出該2台機器設備使用及借用方式之書面報告。</w:t>
      </w:r>
    </w:p>
    <w:p w14:paraId="2E625CDE" w14:textId="65863684"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0E916DF1" w14:textId="6F3377DF"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7C33805A" w14:textId="3A9EFABD" w:rsidR="009D64D0" w:rsidRPr="00BC7E20" w:rsidRDefault="009D64D0" w:rsidP="00937673">
      <w:pPr>
        <w:kinsoku w:val="0"/>
        <w:overflowPunct w:val="0"/>
        <w:autoSpaceDE w:val="0"/>
        <w:spacing w:line="480" w:lineRule="exact"/>
        <w:ind w:leftChars="200" w:left="1761" w:hangingChars="400" w:hanging="1281"/>
        <w:jc w:val="both"/>
        <w:rPr>
          <w:rFonts w:ascii="標楷體" w:eastAsia="標楷體" w:hAnsi="標楷體"/>
          <w:kern w:val="2"/>
          <w:sz w:val="32"/>
          <w:szCs w:val="32"/>
        </w:rPr>
      </w:pPr>
      <w:r w:rsidRPr="00BC7E20">
        <w:rPr>
          <w:rFonts w:ascii="標楷體" w:eastAsia="標楷體" w:hAnsi="標楷體" w:hint="eastAsia"/>
          <w:b/>
          <w:sz w:val="32"/>
          <w:szCs w:val="32"/>
        </w:rPr>
        <w:t>第10項</w:t>
      </w:r>
      <w:r w:rsidR="00937673"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能源署</w:t>
      </w:r>
      <w:r w:rsidRPr="00BC7E20">
        <w:rPr>
          <w:rFonts w:ascii="標楷體" w:eastAsia="標楷體" w:hAnsi="標楷體" w:hint="eastAsia"/>
          <w:sz w:val="32"/>
          <w:szCs w:val="32"/>
        </w:rPr>
        <w:t>原列7億8,300萬元，減列第1目「綠能建設」項下「業務費」100萬元（科目自行調整），其餘均照列，改列為7億8,200萬元。</w:t>
      </w:r>
    </w:p>
    <w:p w14:paraId="5ECFF9AD"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6BAA3AC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經濟部能源署於114年度中央政府前瞻基礎建設計畫第5期特別預算案第1目「綠能建設」編列7億8,300萬元。該部分預算係強化電網運轉彈性公共建設計畫，投資台灣電力股份有限公司辦理建構儲能併網環境及離島地區儲能系統等所需經費。過往，經濟部能源署及台灣電力股份有限公司曾於新北市烏來區、屏東縣、嘉義縣等原鄉地區建置微型電網暨儲能設施等示範場域，後續未賡續辦理係受限於計畫終止、台灣電</w:t>
      </w:r>
      <w:r w:rsidRPr="00BC7E20">
        <w:rPr>
          <w:rFonts w:ascii="標楷體" w:eastAsia="標楷體" w:hAnsi="標楷體" w:hint="eastAsia"/>
          <w:sz w:val="32"/>
          <w:szCs w:val="32"/>
        </w:rPr>
        <w:lastRenderedPageBreak/>
        <w:t>力股份有限公司及其區處未編列相關專款經費，以致未能於原鄉持續推動。為敦促經濟部能源署及台灣電力股份有限公司重視原鄉之電力備援能量、提升部落自主韌性，期以重視原鄉之電力需求，爰請經濟部能源署於2個月內向立法院財政及相關委員會提出書面報告。</w:t>
      </w:r>
    </w:p>
    <w:p w14:paraId="7C9E2228" w14:textId="455A0597"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59916386" w14:textId="5E0916A4"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39A3E36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二)經濟部能源署於114年度中央政府前瞻基礎建設計畫第5期特別預算案第1目「綠能建設」編列7億8,300萬元。根據112年度審計部總決算審核報告指出，經濟部能源署辦理高雄海洋科技產業創新專區及中央政府前瞻基礎建設計畫第2期</w:t>
      </w:r>
      <w:r w:rsidRPr="00BC7E20">
        <w:rPr>
          <w:rFonts w:ascii="標楷體" w:eastAsia="標楷體" w:hAnsi="標楷體" w:hint="eastAsia"/>
          <w:bCs/>
          <w:sz w:val="32"/>
          <w:szCs w:val="32"/>
        </w:rPr>
        <w:t>特別預算</w:t>
      </w:r>
      <w:r w:rsidRPr="00BC7E20">
        <w:rPr>
          <w:rFonts w:ascii="標楷體" w:eastAsia="標楷體" w:hAnsi="標楷體" w:hint="eastAsia"/>
          <w:sz w:val="32"/>
          <w:szCs w:val="32"/>
        </w:rPr>
        <w:t>執行結果，核有已規劃建置模擬海域環境之深水池，惟因設備介面整合複雜，建置技術難度高等，致完工期程一再展延，影響支援離岸風電廠商海上訓練及實驗場域期程；另離岸風電廠商海上訓練及實驗場域期程海洋專區廠商進駐率已逾九成，惟收入不敷營運支出，且虧損呈擴大趨勢，另培訓人次未達預期及客製化課程收入衰退等缺失。請經濟部能源署於3個月內向立法院財政及相關委員會提出書面報告。</w:t>
      </w:r>
    </w:p>
    <w:p w14:paraId="5F58749C" w14:textId="1CC0DD58"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5F7E5E5C" w14:textId="0258118D"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0DF6D986"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三)經濟部能源署於114年度中央政府前瞻基礎建設計畫第5期特別預算案第1目「綠能建設」項下「二氧化碳捕捉及封存試驗計畫」編列2億3,000萬元，其中台灣電力股份有限公司負責碳捕集與碳封存先導試驗計畫，辦理小規模碳捕集廠設備採購招標案，因受工程原物料價格攀升影響，多次流標，因此展延期程並調增經費，允宜配合控管工程執行期程及經費總額，以早日達成淨零碳排之目標。請經濟部能源署於3個月內向立法院財政及相關委員會提出書面報告。</w:t>
      </w:r>
    </w:p>
    <w:p w14:paraId="5203A4F2" w14:textId="549AC26A"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70DBCBC0" w14:textId="4CA33E8F"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牛煦庭　</w:t>
      </w:r>
    </w:p>
    <w:p w14:paraId="3B247DE9"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kern w:val="2"/>
          <w:sz w:val="32"/>
          <w:szCs w:val="32"/>
        </w:rPr>
      </w:pPr>
      <w:r w:rsidRPr="00BC7E20">
        <w:rPr>
          <w:rFonts w:ascii="標楷體" w:eastAsia="標楷體" w:hAnsi="標楷體" w:hint="eastAsia"/>
          <w:b/>
          <w:sz w:val="32"/>
          <w:szCs w:val="32"/>
        </w:rPr>
        <w:lastRenderedPageBreak/>
        <w:t>第7款  交通部主管</w:t>
      </w:r>
    </w:p>
    <w:p w14:paraId="01FF228C"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第1項  交通部</w:t>
      </w:r>
      <w:r w:rsidRPr="00BC7E20">
        <w:rPr>
          <w:rFonts w:ascii="標楷體" w:eastAsia="標楷體" w:hAnsi="標楷體" w:hint="eastAsia"/>
          <w:sz w:val="32"/>
          <w:szCs w:val="32"/>
        </w:rPr>
        <w:t>27億3,481萬4千元，照列。</w:t>
      </w:r>
    </w:p>
    <w:p w14:paraId="33DD129A"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本項通過決議12項：</w:t>
      </w:r>
    </w:p>
    <w:p w14:paraId="431F6B3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交通部於114年度中央政府前瞻基礎建設計畫第5期特別預算案第1目「軌道建設」編列25億4,490萬元。經查，桃園都會區大眾捷運系統航空城捷運線延伸至中壢火車站暨其土地整合發展計畫之綜合規劃於112年度業已經行政院核定，截至113年度7月底止預算實現率僅16.78%。另機場捷運增設機場第三航廈(A14)站計畫，亦因桃園國際機場股份有限公司代辦工程第三航廈用地延後給付，導致現今進度嚴重落後，截至113年7月底預算實現率僅41.25%，遠低於五成。是以，交通部主管允應針對軌道建設納編之11項計畫中上開兩項桃園都會區大眾捷運系統航空城捷運線延伸至中壢火車站暨其土地整合發展計畫及機場捷運增設機場第三航廈(A14)站計畫進度緩慢及預算實現率低於五成之檢討與嚴格審視各該計畫之實際掌握情形，改善延宕原因，以利各計畫如期完成。爰凍結該項預算十分之一，俟交通部於3個月內向立法院財政及相關委員會提出書面報告後，始得動支。</w:t>
      </w:r>
    </w:p>
    <w:p w14:paraId="7CDE58C5" w14:textId="77777777" w:rsidR="00937673"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陳昭姿　蘇清泉　涂權吉　</w:t>
      </w:r>
    </w:p>
    <w:p w14:paraId="2760586C" w14:textId="3561FBB7"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陳菁徽　邱鎮軍　王鴻薇　牛煦庭　</w:t>
      </w:r>
    </w:p>
    <w:p w14:paraId="362CF95B" w14:textId="3E1F260F"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連署人：黃珊珊　陳玉珍　</w:t>
      </w:r>
    </w:p>
    <w:p w14:paraId="7666F4E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有鑑於國道建置光纖管道作業，並供海纜及電信業者布建相關線路之規劃與執行，歷來作業已分別受交通部利用相關公務預算及特別預算作業執行完備，是以考量本次再以同樣作業名義編列區區8,391萬元特別預算案數之必要與執行成效皆不高。爰凍結第2目「數位建設」預算8,391萬4千元之十分之一，俟交通部於1個月內向立法院財政及相關委員會提出書面報告後，始得動支。</w:t>
      </w:r>
    </w:p>
    <w:p w14:paraId="66CDD10D" w14:textId="7A011567"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00D9D43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lastRenderedPageBreak/>
        <w:t>(三)有鑑於交通部規劃利用114年度中央政府前瞻基礎建設計畫第5期特別預算案城鄉建設科目，推動觀光升級作業，且編列預算數1億0,600萬元經費辦理高雄港碼頭港埠建設及旅運設施改善等事項，然考量本次特別預算執行期僅8個月，不利於經費短期內執行管控，亦不利進度揭露等事項之落實。考量主管機關允宜積極排除前述問題之需，請交通部於1個月內向立法院財政及相關委員會提出書面報告。</w:t>
      </w:r>
    </w:p>
    <w:p w14:paraId="3FAFECF2" w14:textId="4D021B78"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5B21D00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交通部於114年度中央政府前瞻基礎建設計畫第5期特別預算案中匡列41億元停車興建補助經費，本計畫截至113年6月底止，交通部公路局已核定補助整體規劃20件、可行性評估59件及工程153件，中央補助經費260億元已於113年6月審議用畢。因應台灣都會地區的停車需求，交通部已經呈報第3次修正計畫：1.計畫期程由106年9月至114年8月修正為106年9月至118年(延長4年)。2.總經費由260億元修正為320億元(再增加60億元)。惟新北市三重區需要中央補助興建之停車場，有五華國小、興穀國小、開元公園、六張公園及大同公園等5座，所需中央補助經費就高達17億元多，爰請行政院早日核定改善停車問題計畫第3次修正計畫，並請交通部協助改善新北市三重區停車之需求，並於3個月內向立法院財政及相關委員會提出書面報告。</w:t>
      </w:r>
    </w:p>
    <w:p w14:paraId="3B35EF10" w14:textId="00CC1282"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提案人：李坤城　</w:t>
      </w:r>
    </w:p>
    <w:p w14:paraId="1F2108D7" w14:textId="0E057411"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連署人：王世堅　郭國文</w:t>
      </w:r>
    </w:p>
    <w:p w14:paraId="515CD34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臺南市永康區、新市區、善化區等區域快速發展，臺南鐵路立體化推動多年，其中臺南市鐵路立體化延伸至永康地區計畫攸關鐵路沿線區域發展、均衡都市發展等。臺南市政府於111年2月9日函報臺南鐵路立體化延伸至永康地區暨周邊土地整合發展可行性研究至交通部審議，可行性研究報告書於同年11月22日循程序核轉行政院，再函交國家發展委員會審議。交通部於112年1月12日函復請臺南市政府依國家發展委員</w:t>
      </w:r>
      <w:r w:rsidRPr="00BC7E20">
        <w:rPr>
          <w:rFonts w:ascii="標楷體" w:eastAsia="標楷體" w:hAnsi="標楷體" w:hint="eastAsia"/>
          <w:sz w:val="32"/>
          <w:szCs w:val="32"/>
        </w:rPr>
        <w:lastRenderedPageBreak/>
        <w:t>會審查意見修正，2月13日提送修正報告予交通部續審，再經國家發展委員會將審議意見函覆交通部後，臺南市政府7月12日提送修正報告予交通部。後續國家發展委員會彙整各單位意見，於113年10月24日陳報行政院。本案事涉消除3處平交道，縫合鐵道兩側道路以建構完整道路系統、提升整體道路系統可及性，並可均衡都市發展，帶動相關產業發展。建請交通部加速審議相關計畫與補助經費，於2個月內向立法院財政及相關委員會提出書面報告。</w:t>
      </w:r>
    </w:p>
    <w:p w14:paraId="71224D51" w14:textId="1A35BA4F"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提案人：林宜瑾　</w:t>
      </w:r>
    </w:p>
    <w:p w14:paraId="4BFD064D" w14:textId="0019B9DA"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連署人：張雅琳　陳秀寳</w:t>
      </w:r>
    </w:p>
    <w:p w14:paraId="44E784C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有鑑於114年度中央政府前瞻基礎建設計畫第5期特別預算案編列鐵路立體化及通勤提速，其中也包括臺南市區鐵路地下化計畫，而目前工程計畫截止113年11月，整體計畫進度已達88.21%，目前施工單位已克服文資遺構的影響，預計115年底可望達成全線通車的目標。但台南鐵路地下化延伸至永康目前仍在持續審議當中，建請交通部協助地方政府儘速完成可行性評估，以利台南永康、新市、善化等地區發展。</w:t>
      </w:r>
    </w:p>
    <w:p w14:paraId="00DD80BE" w14:textId="4383C749"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提案人：林俊憲　</w:t>
      </w:r>
    </w:p>
    <w:p w14:paraId="4CA0A036" w14:textId="5D777A7D"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連署人：羅美玲　李坤城</w:t>
      </w:r>
    </w:p>
    <w:p w14:paraId="492F116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七)為鼓勵廠商提供友善職場就業環境納入評選考量，行政院公共工程委員會採購評選委員會（評審小組）評選（審）委員評分表範本，評選項目中包含廠商企業社會責任指標，其中，提供員工工作與生活平衡措施配分1分，相關措施項目如：友善家庭措施（如育嬰假或侍親假）、友善性別（含多元性別）、友善族群（含對不同族群之友善措施，例如廠商運用多元文化議題辦理內部訓練，藉以提升員工對於多元文化之認知及素養，或超額進用原住民族員工）、友善中高齡者及高齡者、友善身心障礙或弱勢團體人士、員工協助方案、企業托兒、健康促進、彈性工時與工作安排措施（如因家庭照顧或健康因素，提供彈性調整工作時間、地點或內容等）。為確保交</w:t>
      </w:r>
      <w:r w:rsidRPr="00BC7E20">
        <w:rPr>
          <w:rFonts w:ascii="標楷體" w:eastAsia="標楷體" w:hAnsi="標楷體" w:hint="eastAsia"/>
          <w:sz w:val="32"/>
          <w:szCs w:val="32"/>
        </w:rPr>
        <w:lastRenderedPageBreak/>
        <w:t>通部城鄉建設特別預算之使用，符合友善職場就業環境之標準。請交通部針對改善停車問題之投標廠商如何符合前述規範，於114年1月31日內向立法院財政及相關委員會提出書面報告。</w:t>
      </w:r>
    </w:p>
    <w:p w14:paraId="2DBAB2C5" w14:textId="3A620631"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提案人：范　雲　</w:t>
      </w:r>
    </w:p>
    <w:p w14:paraId="6E69050F" w14:textId="3C94872B"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連署人：王正旭　林月琴</w:t>
      </w:r>
    </w:p>
    <w:p w14:paraId="4DF3F3F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八)為鼓勵廠商提供友善職場就業環境納入評選考量，行政院公共工程委員會採購評選委員會（評審小組）評選（審）委員評分表範本，評選項目中包含廠商企業社會責任指標，其中，提供員工工作與生活平衡措施配分1分，相關措施項目如：友善家庭措施（如育嬰假或侍親假）、友善性別（含多元性別）、友善族群（含對不同族群之友善措施，例如廠商運用多元文化議題辦理內部訓練，藉以提升員工對於多元文化之認知及素養，或超額進用原住民族員工）、友善中高齡者及高齡者、友善身心障礙或弱勢團體人士、員工協助方案、企業托兒、健康促進、彈性工時與工作安排措施（如因家庭照顧或健康因素，提供彈性調整工作時間、地點或內容等）。為確保交通部城鄉建設特別預算之使用，符合友善職場就業環境之標準。請交通部針對提升道路品質之投標廠商如何符合前述規範，於114年1月31日內向立法院財政及相關委員會提出書面報告。</w:t>
      </w:r>
    </w:p>
    <w:p w14:paraId="22E2B9E0" w14:textId="0EFD853C"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提案人：范　雲　</w:t>
      </w:r>
    </w:p>
    <w:p w14:paraId="6F017EDE" w14:textId="0F5A3DC5"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連署人：王正旭　林月琴</w:t>
      </w:r>
    </w:p>
    <w:p w14:paraId="276D093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九)針對我國兆元投資國家發展方案，國家發展委員會預計於114年成立兆元投資平台，讓各部會提出公共建設案源，並媒合民間業者，以加速公共建設進度。台南市作為唯一未有捷運之直轄市，面對南部科學園區就業人口邁進10萬人，且不斷成長中，代表南部科學園區通勤需求增長，且有加強大眾運輸建設之急迫性。惟串聯南部科學園區與高鐵站之捷運深綠線，目前尚在可行性評估階段，進度緩慢，爰請交通部將台</w:t>
      </w:r>
      <w:r w:rsidRPr="00BC7E20">
        <w:rPr>
          <w:rFonts w:ascii="標楷體" w:eastAsia="標楷體" w:hAnsi="標楷體" w:hint="eastAsia"/>
          <w:sz w:val="32"/>
          <w:szCs w:val="32"/>
        </w:rPr>
        <w:lastRenderedPageBreak/>
        <w:t>南捷運深綠線優先納入兆元投資平台，以利於深綠線後發先至，跟上南部科學園區地區發展之進度。</w:t>
      </w:r>
    </w:p>
    <w:p w14:paraId="1D06E1CA" w14:textId="09F47AA9"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提案人：郭國文　</w:t>
      </w:r>
    </w:p>
    <w:p w14:paraId="2C10CA51" w14:textId="6FE6865E"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連署人：李坤城　賴惠員</w:t>
      </w:r>
    </w:p>
    <w:p w14:paraId="1B2E474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十)交通部辦理推動觀光升級業務，提出觀光前瞻建設計畫-魅力旅遊據點營造，期待藉由觀光產業健檢及資源盤點，提出景區改善策略，並串聯國家風景區與地方旅遊帶系統；由於行政院已核定並經交通部公告台中霧峰納入參山國家風景特定區管理處管轄，台中霧峰核心區、光復新村、林家花園古蹟群、立法院民主議政園區、國立臺灣音樂文化園區、921地震教育園區、霧峰菇類產學館、亞洲大學附屬現代美術館、國立臺灣工藝研究發展中心，以及定居於霧峰且被譽為臺灣工藝之父顏水龍先生晚年故居等，都納入未來觀光行銷串連規劃範圍，提升大台中旅遊深度，並增進文化與經濟效益，故請交通部於補助地方推動區域遊樂品牌，需將台中霧峰納入，以整備台中旅遊帶相關景點資源。</w:t>
      </w:r>
    </w:p>
    <w:p w14:paraId="5971AEC2" w14:textId="77748322"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提案人：何欣純　陳素月　林俊憲　</w:t>
      </w:r>
    </w:p>
    <w:p w14:paraId="794A3040"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0"/>
          <w:sz w:val="32"/>
          <w:szCs w:val="32"/>
        </w:rPr>
      </w:pPr>
      <w:r w:rsidRPr="00BC7E20">
        <w:rPr>
          <w:rFonts w:ascii="標楷體" w:eastAsia="標楷體" w:hAnsi="標楷體" w:hint="eastAsia"/>
          <w:sz w:val="32"/>
          <w:szCs w:val="32"/>
        </w:rPr>
        <w:t>(十一)關於大臺中地區山海線鐵路雙軌高架化建置計畫自106年起於中央政府前瞻基礎建設計畫第1期特別預算編列0.05億元，中央政府前瞻基礎建設計畫第2期特別預算編列0.1億元，中央政府前瞻基礎建設計畫第3期特別預算編列0.3億元，但截至111年度卻仍無實現數，主要原因係有待臺中市政府之可行性研究核定後，續辦綜合規劃及環境影響評估。經查，台鐵海線雙軌化(談文至追分)可行性研究案，已於113年1月底獲行政院核定，而臺中山海線鐵路雙軌高架化和海線雙軌化有部分重疊路段，2項計畫均對帶動海線區域整體發展相當重要。綜上，建請交通部應儘速落實海線雙軌化綜合規劃報告作業，以及於中央政府前瞻基礎建設計畫特別預算屆至前執行大臺中地區山海線鐵路雙軌高架化建置計畫之規劃作業。</w:t>
      </w:r>
    </w:p>
    <w:p w14:paraId="2E29F70B" w14:textId="7EA4BA85"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提案人：蔡其昌　徐富癸　林俊憲　</w:t>
      </w:r>
    </w:p>
    <w:p w14:paraId="1AF73B23"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0"/>
          <w:sz w:val="32"/>
          <w:szCs w:val="32"/>
        </w:rPr>
      </w:pPr>
      <w:r w:rsidRPr="00BC7E20">
        <w:rPr>
          <w:rFonts w:ascii="標楷體" w:eastAsia="標楷體" w:hAnsi="標楷體" w:hint="eastAsia"/>
          <w:sz w:val="32"/>
          <w:szCs w:val="32"/>
        </w:rPr>
        <w:t>(十二)改善停車問題計畫原則優先補助公共運輸場站停車轉乘、觀光遊憩旅次吸引量大地區及人車密集商業活絡區域等停車位不足之地區，但部分縣市的鄉鎮發展蓬勃，商業活動也活絡起來，同時面臨停車位不足之問題，要求將是類商業活動活絡之鄉鎮，也納入改善停車問題計畫之評估範圍。</w:t>
      </w:r>
    </w:p>
    <w:p w14:paraId="19A474E6" w14:textId="59B22BC2"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提案人：謝衣鳯　邱若華　羅明才　</w:t>
      </w:r>
    </w:p>
    <w:p w14:paraId="55256475"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第2項  中央氣象署</w:t>
      </w:r>
      <w:r w:rsidRPr="00BC7E20">
        <w:rPr>
          <w:rFonts w:ascii="標楷體" w:eastAsia="標楷體" w:hAnsi="標楷體" w:hint="eastAsia"/>
          <w:sz w:val="32"/>
          <w:szCs w:val="32"/>
        </w:rPr>
        <w:t>1億1,600萬元，照列。</w:t>
      </w:r>
    </w:p>
    <w:p w14:paraId="168BD298"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本項通過決議1項：</w:t>
      </w:r>
    </w:p>
    <w:p w14:paraId="0D1ACEE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交通部中央氣象署辦理本次特別預算事項中，所將規劃用以強化氣象資訊之資料儲存量能與穩定，以及對於都會區客製化地震預警系統之建置，皆於辦理內容說明上過於消極，致相關業務仍無法與既有公務預算事項釐清重疊性。爰此，凍結第1目「數位建設」預算1億1,600萬元之十分之一，俟交通部中央氣象署於1個月內向立法院財政及相關委員會提出書面報告後，始得動支。</w:t>
      </w:r>
    </w:p>
    <w:p w14:paraId="587FA0BF" w14:textId="5826A4A3"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3346A7C3"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第3項  觀光署及所屬</w:t>
      </w:r>
      <w:r w:rsidRPr="00BC7E20">
        <w:rPr>
          <w:rFonts w:ascii="標楷體" w:eastAsia="標楷體" w:hAnsi="標楷體" w:hint="eastAsia"/>
          <w:sz w:val="32"/>
          <w:szCs w:val="32"/>
        </w:rPr>
        <w:t>5億2,900萬元，照列。</w:t>
      </w:r>
    </w:p>
    <w:p w14:paraId="389EBEA7"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本項通過決議6項：</w:t>
      </w:r>
    </w:p>
    <w:p w14:paraId="3D04EC3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交通部觀光署及所屬於「推動觀光升級」編列5億2,900萬元，打造國際級魅力景區及推動區域旅遊品牌等。然我國來台旅遊目標人次從1,200萬人次，不到半年下修至1,000萬人次，現更下降至750萬人次，退回12年前水準。113年前8個月來台旅客約497萬人次，而出國旅客卻高達1,138萬人次，觀光逆差達641萬人次，更有學者推估113年全年觀光旅遊產值逆差將高達7,380億元。爰凍結第1目「城鄉建設」預算5億2,900萬元之十分之一，俟交通部觀光署於1個月內向立法院財政及相關委員會提出書面報告後，始得動支。</w:t>
      </w:r>
    </w:p>
    <w:p w14:paraId="1E52AD9F" w14:textId="77777777" w:rsidR="00937673"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提案人：王鴻薇　麥玉珍　陳昭姿　陳玉珍　</w:t>
      </w:r>
    </w:p>
    <w:p w14:paraId="1D3F0EB1" w14:textId="77777777" w:rsidR="00937673"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魯明哲　吳沛憶　蔡其昌　何欣純　</w:t>
      </w:r>
    </w:p>
    <w:p w14:paraId="00E65113" w14:textId="16ABD22B"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徐富癸　王美惠　</w:t>
      </w:r>
    </w:p>
    <w:p w14:paraId="4E52EEB4" w14:textId="77777777" w:rsidR="00937673"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連署人：廖偉翔　黃珊珊　羅明才　顏寬恒　</w:t>
      </w:r>
    </w:p>
    <w:p w14:paraId="5A92D9A1" w14:textId="77777777" w:rsidR="00937673"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林沛祥　游　灝　郭昱晴　林月琴　</w:t>
      </w:r>
    </w:p>
    <w:p w14:paraId="1EC0F2A3" w14:textId="0A9B8E1B"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黃　捷　李柏毅</w:t>
      </w:r>
    </w:p>
    <w:p w14:paraId="6B291B8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交通部觀光署及所屬於114年度中央政府前瞻基礎建設計畫第5期特別預算案第1目「城鄉建設」第1節「推動觀光升級」編列5億2,900萬元，係辦理觀光前瞻建設計畫-魅力旅遊據點營造，藉由觀光產業健檢及資源盤點，提出景區改善策略，並串聯國家風景區與地方旅遊帶系統，以推動觀光升級。觀光前瞻建設計畫-魅力旅遊據點營造之經濟效益部分，據交通部觀光署表示，尚難以該計畫單獨衡量經濟效益，惟112年度實際來臺旅客人數僅649萬人次，達該預計目標值54.68%，另外113年千萬國際旅客跳票，交通部長陳世凱日前下修目標到750萬人次，與114年度目標值及疫情前水準，尚有一定差距，允宜持續注意觀光產業發展趨勢，通盤檢討各項計畫之成效，俾順利達成預計目標。請交通部觀光署於1個月內向立法院財政及相關委員會提出改善書面報告。</w:t>
      </w:r>
    </w:p>
    <w:p w14:paraId="2312C861" w14:textId="4321D65A"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229DEC82" w14:textId="656F4280" w:rsidR="009D64D0" w:rsidRPr="00BC7E20" w:rsidRDefault="00937673"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1F8704B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三)有鑑於我國入境之國際旅客人數，已於113年度第四季受官方宣告無法達成原定目標數，是以交通部觀光署編列中央政府前瞻基礎建設計畫第5期特別預算案5億2,900萬元之際，更尤須將提振來台觀光之旅客人數，在效益績效上予以清楚設定，方有利國會監督問責，並讓國人清楚明白。請交通部觀光署於1個月內向立法院財政及相關委員會提出書面報告。</w:t>
      </w:r>
    </w:p>
    <w:p w14:paraId="19CC4030" w14:textId="239CCA73"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4BC7404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(四)交通部觀光署及所屬於114年度中央政府前瞻基礎建設計畫第5期特別預算案編列第1目「城鄉建設」第1節「推動觀光升級」預算5億2,900萬元，該預算係觀光前瞻建設計畫-魅力旅遊</w:t>
      </w:r>
      <w:r w:rsidRPr="00BC7E20">
        <w:rPr>
          <w:rFonts w:ascii="標楷體" w:eastAsia="標楷體" w:hAnsi="標楷體" w:hint="eastAsia"/>
          <w:sz w:val="32"/>
          <w:szCs w:val="32"/>
        </w:rPr>
        <w:lastRenderedPageBreak/>
        <w:t>據點營造，係打造國際級魅力景區及推動區域旅遊品牌等所需經費。該計畫未見挹注於原鄉及離島地區，也未透過此一計畫之推動將原鄉等觀光資源及部落產業等加以串連。且自嚴重特殊傳染性肺炎疫情趨緩、各國國境相繼解封後，國人出國旅遊等情況興盛，以致國內旅遊各大景點遊客人數未見明顯增長，交通部觀光署未能將國內之旅遊資源通盤檢討、凸顯各地旅遊資源其獨特性及未能協助地方打造區域觀光品牌形象。請交通部觀光署向立法院財政及相關委員會提出書面報告。</w:t>
      </w:r>
    </w:p>
    <w:p w14:paraId="35F9277A" w14:textId="5D7B8860"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326C44B2" w14:textId="488D47CA"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7E941E2D"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交通部觀光署及所屬於114年度中央政府前瞻基礎建設計畫第5期特別預算案第1目「城鄉建設」第1節「推動觀光升級」編列5億2,900萬元，係辦理觀光前瞻建設計畫-魅力旅遊據點營造，打造國際級魅力景區及推動區域旅遊品牌等，並預計有助推動114年度來台旅客人數達1,186至1,193萬人次。惟該項計畫係屬延續性計畫，113年觀光客來台人數目標已從1,200萬人持續下修到750萬人次，退回到12年前的水準(除疫情期間外，101年觀光人次為730萬人次)，顯示其相關觀光行銷策略顯有缺失，無法有效拉高來台旅遊誘因。請交通部觀光署重新提出檢討改善報告，並向立法院財政及相關委員會提出書面報告。</w:t>
      </w:r>
    </w:p>
    <w:p w14:paraId="1356A96C" w14:textId="43483DC3"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提案人：羅明才　</w:t>
      </w:r>
    </w:p>
    <w:p w14:paraId="7EAE5E7C" w14:textId="05573F2D"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顏寬恒</w:t>
      </w:r>
    </w:p>
    <w:p w14:paraId="026BBB7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交通部觀光署及所屬於114年度中央政府前瞻基礎建設計畫第5期特別預算案第1目「城鄉建設」第1節「推動觀光升級」編列5億2,900萬元。查前期前瞻基礎建設計畫之重要廊帶亮點營造計畫，有16個縣市申請，最終僅6個縣市中選。申請踴躍顯示各縣市都有相關需求。如嘉義市申請計畫即是蘭潭水庫之生態美景旅遊，是觀光轉型升級之重要建設。爰請交通部</w:t>
      </w:r>
      <w:r w:rsidRPr="00BC7E20">
        <w:rPr>
          <w:rFonts w:ascii="標楷體" w:eastAsia="標楷體" w:hAnsi="標楷體" w:hint="eastAsia"/>
          <w:sz w:val="32"/>
          <w:szCs w:val="32"/>
        </w:rPr>
        <w:lastRenderedPageBreak/>
        <w:t>觀光署於預算通過後2個月內，向立法院財政及相關委員會提出前瞻基礎建設計畫結束後協助各地方政府推動轉型升級建設書面報告。</w:t>
      </w:r>
    </w:p>
    <w:p w14:paraId="7A03F7AE" w14:textId="64CC544E"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提案人：王美惠　</w:t>
      </w:r>
    </w:p>
    <w:p w14:paraId="0541CF8B" w14:textId="47F244EB"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連署人：黃　捷　李柏毅</w:t>
      </w:r>
    </w:p>
    <w:p w14:paraId="48C3BF51"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kern w:val="2"/>
          <w:sz w:val="32"/>
          <w:szCs w:val="32"/>
        </w:rPr>
      </w:pPr>
      <w:r w:rsidRPr="00BC7E20">
        <w:rPr>
          <w:rFonts w:ascii="標楷體" w:eastAsia="標楷體" w:hAnsi="標楷體" w:hint="eastAsia"/>
          <w:b/>
          <w:sz w:val="32"/>
          <w:szCs w:val="32"/>
        </w:rPr>
        <w:t>第4項  運輸研究所</w:t>
      </w:r>
      <w:r w:rsidRPr="00BC7E20">
        <w:rPr>
          <w:rFonts w:ascii="標楷體" w:eastAsia="標楷體" w:hAnsi="標楷體" w:hint="eastAsia"/>
          <w:sz w:val="32"/>
          <w:szCs w:val="32"/>
        </w:rPr>
        <w:t>700萬元，照列。</w:t>
      </w:r>
    </w:p>
    <w:p w14:paraId="188F6CA1"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本項通過決議1項：</w:t>
      </w:r>
    </w:p>
    <w:p w14:paraId="51472D0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交通部運輸研究所規劃藉中央政府前瞻基礎建設計畫第5期特別預算案執行之事項，於辦理5G智慧交通數位神經中樞系統整合應用實作之業務面向，已和既有業務及應用實作事項高度重疊，容有重新評估預算編列之必要和效益所需。爰此，凍結第1目「數位建設」預算700萬元之十分之一，俟交通部運輸研究所於1個月內向立法院財政及相關委員會提出書面報告後，始得動支。</w:t>
      </w:r>
    </w:p>
    <w:p w14:paraId="3297963A" w14:textId="73ADBE39"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麥玉珍　</w:t>
      </w:r>
    </w:p>
    <w:p w14:paraId="7C6AEE62" w14:textId="01B1EDD6"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連署人：黃珊珊　陳昭姿</w:t>
      </w:r>
    </w:p>
    <w:p w14:paraId="2D481219"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第5項  公路局及所屬</w:t>
      </w:r>
      <w:r w:rsidRPr="00BC7E20">
        <w:rPr>
          <w:rFonts w:ascii="標楷體" w:eastAsia="標楷體" w:hAnsi="標楷體" w:hint="eastAsia"/>
          <w:sz w:val="32"/>
          <w:szCs w:val="32"/>
        </w:rPr>
        <w:t>73億5,870萬5千元，照列。</w:t>
      </w:r>
    </w:p>
    <w:p w14:paraId="40EB2385" w14:textId="77777777" w:rsidR="009D64D0" w:rsidRPr="00BC7E20" w:rsidRDefault="009D64D0" w:rsidP="00F470A8">
      <w:pPr>
        <w:kinsoku w:val="0"/>
        <w:overflowPunct w:val="0"/>
        <w:autoSpaceDE w:val="0"/>
        <w:spacing w:line="480" w:lineRule="exact"/>
        <w:ind w:leftChars="200" w:left="1120" w:hangingChars="200" w:hanging="640"/>
        <w:jc w:val="both"/>
        <w:rPr>
          <w:rFonts w:ascii="標楷體" w:eastAsia="標楷體" w:hAnsi="標楷體"/>
          <w:sz w:val="32"/>
          <w:szCs w:val="32"/>
        </w:rPr>
      </w:pPr>
      <w:r w:rsidRPr="00BC7E20">
        <w:rPr>
          <w:rFonts w:ascii="標楷體" w:eastAsia="標楷體" w:hAnsi="標楷體" w:hint="eastAsia"/>
          <w:kern w:val="0"/>
          <w:sz w:val="32"/>
          <w:szCs w:val="32"/>
        </w:rPr>
        <w:t>本</w:t>
      </w:r>
      <w:r w:rsidRPr="00BC7E20">
        <w:rPr>
          <w:rFonts w:ascii="標楷體" w:eastAsia="標楷體" w:hAnsi="標楷體" w:hint="eastAsia"/>
          <w:sz w:val="32"/>
          <w:szCs w:val="32"/>
        </w:rPr>
        <w:t>項</w:t>
      </w:r>
      <w:r w:rsidRPr="00BC7E20">
        <w:rPr>
          <w:rFonts w:ascii="標楷體" w:eastAsia="標楷體" w:hAnsi="標楷體" w:hint="eastAsia"/>
          <w:kern w:val="0"/>
          <w:sz w:val="32"/>
          <w:szCs w:val="32"/>
        </w:rPr>
        <w:t>提案1案，保留，送院會處理：</w:t>
      </w:r>
    </w:p>
    <w:p w14:paraId="17BE8860" w14:textId="51B763A5"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公路局本次對綠能建設特別預算之編列，乃規劃辦理補助結合客運業者試辦氫燃料電池大客車(公車)等所需經費。然而，考量試辦期間對氫燃料電池之安全掌控，尚欠有積極之有關把關機制，恐因此徒增基層國人搭乘之風險。爰此，特提案凍結「交通部主管-公路局及所屬-綠能建設」預算數20%，俟經限期於一個月內向本院提交專案報告，並經同意後始得動支。</w:t>
      </w:r>
    </w:p>
    <w:p w14:paraId="0382834D" w14:textId="09BFC497"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40F3CBD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kern w:val="2"/>
          <w:sz w:val="32"/>
          <w:szCs w:val="32"/>
        </w:rPr>
      </w:pPr>
      <w:r w:rsidRPr="00BC7E20">
        <w:rPr>
          <w:rFonts w:ascii="標楷體" w:eastAsia="標楷體" w:hAnsi="標楷體" w:hint="eastAsia"/>
          <w:sz w:val="32"/>
          <w:szCs w:val="32"/>
        </w:rPr>
        <w:t>本項通過決議11項：</w:t>
      </w:r>
    </w:p>
    <w:p w14:paraId="63DF805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(一)有鑑於交通部公路局對中央政府前瞻基礎建設計畫第5期特別預算案中，乃規劃藉數位建設項下之推廣數位公益服務名義編列3,100萬元採購高解析攝影機，以及開發AI辨識軟體。然</w:t>
      </w:r>
      <w:r w:rsidRPr="00BC7E20">
        <w:rPr>
          <w:rFonts w:ascii="標楷體" w:eastAsia="標楷體" w:hAnsi="標楷體" w:hint="eastAsia"/>
          <w:sz w:val="32"/>
          <w:szCs w:val="32"/>
        </w:rPr>
        <w:lastRenderedPageBreak/>
        <w:t>而，考量是類預算作業，與公益服務之性質間，兩者實在鏈結薄弱，允宜再有相關補充說明。爰此，凍結第2目「數位建設」預算3,100萬元之十分之一，俟交通部公路局於3個月內向立法院財政及相關委員會提出書面報告後，始得動支。</w:t>
      </w:r>
    </w:p>
    <w:p w14:paraId="104AB0BE" w14:textId="37AFD197"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1C6B328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交通部公路局及所屬於114年度中央政府前瞻基礎建設計畫第5期特別預算案賡續編列辦理「改善停車問題」預算41億元，惟中央政府前瞻基礎建設計畫第1至3期特別預算屆期保留率分別51.33%、19.74%及18.24%，預算執行未如預期。另該計畫所補助建設之停車場，部分使用率低落，甚至低至30%以下，顯不符改善停車問題計畫目標。停車場之建設應綜合評估其周邊居民數量、觀光景點人流等，而非僅為提高停車格數量，甚至於同一區域密集建設多個停車場，淪為蚊子館。爰此，凍結第6目「城鄉建設」第1節「改善停車問題」預算41億元之二分之一，俟交通部公路局於1個月內向立法院財政及相關委員會提出書面報告後，始得動支。</w:t>
      </w:r>
    </w:p>
    <w:p w14:paraId="577E4626" w14:textId="2B334EC3"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提案人：王鴻薇　</w:t>
      </w:r>
    </w:p>
    <w:p w14:paraId="2256093B" w14:textId="315682D4"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廖偉翔</w:t>
      </w:r>
    </w:p>
    <w:p w14:paraId="59ACE5B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有鑑於交通部公路局對於利用中央政府前瞻基礎建設計畫第5期特別預算案中，尚未積極釐清藉綠能建設執行有關自駕公車實證應用，以及智慧公路服務環境營造等，共計2類事項之預算占比，容有檢討與改善空間。請交通部公路局於3個月內向立法院財政及相關委員會提出書面報告。</w:t>
      </w:r>
    </w:p>
    <w:p w14:paraId="58F569AE" w14:textId="4E365260"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59E42DF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有鑑於交通部公路局本次對水環境建設特別預算之編列，乃規劃辦理省道遇河川之橋梁改建工程所需事項。然考量執行期僅8個月長度，徒增執行倉促且難以把關品質，又或者無法如期執行完畢之可能，允宜再有相關防範。請交通部公路局於3個月內向立法院財政及相關委員會提出書面報告。</w:t>
      </w:r>
    </w:p>
    <w:p w14:paraId="21C57E28" w14:textId="1D0B056D"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30859B4D"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lastRenderedPageBreak/>
        <w:t>(五)有鑑於地方政府所需辦理停車改善之工程，以及道路品質提升等事項，需求實屬急切，然考量城鄉建設65.44億元遇有執行期限僅8個月之短促，恐徒增補助趕辦上之行政不周情形。請交通部公路局於3個月內向立法院財政及相關委員會提出書面報告。</w:t>
      </w:r>
    </w:p>
    <w:p w14:paraId="10A3997D" w14:textId="5B1CDAEB"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王鴻薇　牛煦庭　</w:t>
      </w:r>
    </w:p>
    <w:p w14:paraId="6F4412F2" w14:textId="77777777" w:rsidR="009D64D0" w:rsidRPr="00BC7E20" w:rsidRDefault="009D64D0" w:rsidP="00F1366B">
      <w:pPr>
        <w:kinsoku w:val="0"/>
        <w:overflowPunct w:val="0"/>
        <w:autoSpaceDE w:val="0"/>
        <w:spacing w:line="42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交通部公路局及所屬於114年度中央政府前瞻基礎建設計畫第5期特別預算案第6目「城鄉建設」第1節「改善停車問題」編列41億元，係補助地方政府辦理工程設計及建設等所需經費。經查，中央政府前瞻基礎建設計畫第1至4期特別預算截至113年度止已累積編列214億8,900萬元經費，114年度中央政府前瞻基礎建設計畫第5期特別預算案編列預算41億元，中央政府前瞻基礎建設計畫第1至5期特別預算合共編列255億8,900萬元。其中中央政府前瞻基礎建設計畫第1至3期屆期保留率分別51.33%、19.74%及18.24%，預算執行進度未如預期。另依據交通部公路局提供資料顯示，截至113年7月底核定補助臺北市等20個市縣政府辦理152案停車場工程及6萬1,500個停車格，惟尚有63案刻正施工中或辦理規劃中而未結案；另已完工尚未營運計有12個停車場及已營運而停車率未達計畫目標計有14個停車場，其中以屏東縣最多，凸顯過去核定評估作業標準草率，114年度中央政府前瞻基礎建設計畫第5期特別預算案應審慎核定補助案件，後續仍應監督受補助案件之執行進度。交通部公路局應強化管控執行進度，並檢討經費支用及執行情形；另部分已完工之停車場未營運及已營運而停車率未達計畫目標等情形，允宜研謀改善，並監督執行進度與追蹤辦理成效。請交通部公路局於3個月內向立法院財政及相關委員會提出改善書面報告。</w:t>
      </w:r>
    </w:p>
    <w:p w14:paraId="2197B325" w14:textId="662EBBAA" w:rsidR="009D64D0" w:rsidRPr="00BC7E20" w:rsidRDefault="00F1366B" w:rsidP="00F1366B">
      <w:pPr>
        <w:widowControl w:val="0"/>
        <w:overflowPunct w:val="0"/>
        <w:autoSpaceDE w:val="0"/>
        <w:adjustRightInd w:val="0"/>
        <w:snapToGrid w:val="0"/>
        <w:spacing w:line="42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53C05534" w14:textId="0658769F" w:rsidR="009D64D0" w:rsidRPr="00BC7E20" w:rsidRDefault="00F1366B" w:rsidP="00F1366B">
      <w:pPr>
        <w:widowControl w:val="0"/>
        <w:overflowPunct w:val="0"/>
        <w:autoSpaceDE w:val="0"/>
        <w:adjustRightInd w:val="0"/>
        <w:snapToGrid w:val="0"/>
        <w:spacing w:line="42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14917FAA" w14:textId="1F87D900" w:rsidR="009D64D0" w:rsidRPr="00BC7E20" w:rsidRDefault="009D64D0" w:rsidP="00F1366B">
      <w:pPr>
        <w:kinsoku w:val="0"/>
        <w:overflowPunct w:val="0"/>
        <w:autoSpaceDE w:val="0"/>
        <w:spacing w:line="42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七)交通部公路局及所屬於114年度中央政府前瞻基礎建設計畫第5期特別預算案第6目「城鄉建設」第1節「改善停車問題」編列41億元，係補助地方政府辦理工程設計及建設等所需經費。然部分已完工的停車場未營運，以及許多已營運之停車場</w:t>
      </w:r>
      <w:r w:rsidRPr="00BC7E20">
        <w:rPr>
          <w:rFonts w:ascii="標楷體" w:eastAsia="標楷體" w:hAnsi="標楷體" w:hint="eastAsia"/>
          <w:sz w:val="32"/>
          <w:szCs w:val="32"/>
        </w:rPr>
        <w:lastRenderedPageBreak/>
        <w:t>的停車率未達計畫目標(參下表)，使用情形明顯欠佳，資源未發揮最大效益，其中甚有停車場使用率不到10%，恐淪為蚊子館，顯見事前評估審查不佳。請交通部公路局重新提出檢討改善報告，並向立法院財政及相關委員會提出書面報告。</w:t>
      </w:r>
    </w:p>
    <w:p w14:paraId="750F1A8D" w14:textId="25893AEE" w:rsidR="009D64D0" w:rsidRPr="00BC7E20" w:rsidRDefault="009D64D0" w:rsidP="00F1366B">
      <w:pPr>
        <w:kinsoku w:val="0"/>
        <w:overflowPunct w:val="0"/>
        <w:autoSpaceDE w:val="0"/>
        <w:spacing w:line="480" w:lineRule="exact"/>
        <w:jc w:val="both"/>
        <w:rPr>
          <w:rFonts w:ascii="標楷體" w:eastAsia="標楷體" w:hAnsi="標楷體"/>
          <w:sz w:val="32"/>
          <w:szCs w:val="32"/>
        </w:rPr>
      </w:pPr>
      <w:r w:rsidRPr="00BC7E20">
        <w:rPr>
          <w:rFonts w:ascii="標楷體" w:eastAsia="標楷體" w:hAnsi="標楷體"/>
          <w:noProof/>
          <w:sz w:val="32"/>
          <w:szCs w:val="32"/>
        </w:rPr>
        <w:drawing>
          <wp:anchor distT="0" distB="0" distL="114300" distR="114300" simplePos="0" relativeHeight="251724800" behindDoc="0" locked="0" layoutInCell="1" allowOverlap="1" wp14:anchorId="2EA805BE" wp14:editId="1EFCA261">
            <wp:simplePos x="0" y="0"/>
            <wp:positionH relativeFrom="column">
              <wp:posOffset>1023620</wp:posOffset>
            </wp:positionH>
            <wp:positionV relativeFrom="paragraph">
              <wp:posOffset>301625</wp:posOffset>
            </wp:positionV>
            <wp:extent cx="4962525" cy="5093970"/>
            <wp:effectExtent l="0" t="0" r="9525" b="0"/>
            <wp:wrapSquare wrapText="bothSides"/>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62525" cy="5093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7A8FD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7BEC948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3E0BCB9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658DA509" w14:textId="77777777" w:rsidR="009D64D0" w:rsidRPr="00BC7E20" w:rsidRDefault="009D64D0" w:rsidP="00F470A8">
      <w:pPr>
        <w:kinsoku w:val="0"/>
        <w:overflowPunct w:val="0"/>
        <w:autoSpaceDE w:val="0"/>
        <w:spacing w:line="480" w:lineRule="exact"/>
        <w:jc w:val="both"/>
        <w:rPr>
          <w:rFonts w:ascii="標楷體" w:eastAsia="標楷體" w:hAnsi="標楷體"/>
          <w:sz w:val="32"/>
          <w:szCs w:val="32"/>
        </w:rPr>
      </w:pPr>
    </w:p>
    <w:p w14:paraId="060133EC" w14:textId="77777777" w:rsidR="009D64D0" w:rsidRPr="00BC7E20" w:rsidRDefault="009D64D0" w:rsidP="00F470A8">
      <w:pPr>
        <w:kinsoku w:val="0"/>
        <w:overflowPunct w:val="0"/>
        <w:autoSpaceDE w:val="0"/>
        <w:spacing w:line="480" w:lineRule="exact"/>
        <w:jc w:val="both"/>
        <w:rPr>
          <w:rFonts w:ascii="標楷體" w:eastAsia="標楷體" w:hAnsi="標楷體"/>
          <w:sz w:val="32"/>
          <w:szCs w:val="32"/>
        </w:rPr>
      </w:pPr>
    </w:p>
    <w:p w14:paraId="77319C8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454FD9C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2362EAE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24DB906B"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1640183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33ECAF92" w14:textId="77777777" w:rsidR="009D64D0" w:rsidRPr="00BC7E20" w:rsidRDefault="009D64D0" w:rsidP="00F470A8">
      <w:pPr>
        <w:kinsoku w:val="0"/>
        <w:overflowPunct w:val="0"/>
        <w:autoSpaceDE w:val="0"/>
        <w:spacing w:line="480" w:lineRule="exact"/>
        <w:jc w:val="both"/>
        <w:rPr>
          <w:rFonts w:ascii="標楷體" w:eastAsia="標楷體" w:hAnsi="標楷體"/>
          <w:sz w:val="32"/>
          <w:szCs w:val="32"/>
        </w:rPr>
      </w:pPr>
    </w:p>
    <w:p w14:paraId="1A184E7B"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3187816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367B1EA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2C540A9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2F28255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322D618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12047475" w14:textId="77777777" w:rsidR="009D64D0" w:rsidRPr="00F1366B" w:rsidRDefault="009D64D0" w:rsidP="000F33DF">
      <w:pPr>
        <w:kinsoku w:val="0"/>
        <w:overflowPunct w:val="0"/>
        <w:autoSpaceDE w:val="0"/>
        <w:spacing w:line="320" w:lineRule="exact"/>
        <w:ind w:leftChars="400" w:left="960" w:firstLineChars="2200" w:firstLine="5280"/>
        <w:rPr>
          <w:rFonts w:ascii="標楷體" w:eastAsia="標楷體" w:hAnsi="標楷體"/>
          <w:kern w:val="0"/>
          <w:szCs w:val="24"/>
        </w:rPr>
      </w:pPr>
      <w:r w:rsidRPr="00F1366B">
        <w:rPr>
          <w:rFonts w:ascii="標楷體" w:eastAsia="標楷體" w:hAnsi="標楷體" w:hint="eastAsia"/>
          <w:szCs w:val="24"/>
        </w:rPr>
        <w:t>資料來源：立法院預算中心</w:t>
      </w:r>
    </w:p>
    <w:p w14:paraId="4FF4673F" w14:textId="6B8650AC"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提案人：羅明才　</w:t>
      </w:r>
    </w:p>
    <w:p w14:paraId="6E29C54F" w14:textId="28FF17BB"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顏寬恒</w:t>
      </w:r>
    </w:p>
    <w:p w14:paraId="53835757" w14:textId="69EAE8D2" w:rsidR="009D64D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八)停車場工程執行進度未如預期，部分完工後使用情形欠佳，允宜審慎核定補助案件，並監督執行進度及追蹤辦理成效，囿於停車場施工期程多為2至4年間，允宜衡酌地方政府所提計畫期程及其辦理能量與執行進度等，審慎核定補助案件，後續仍應監督受補助案件之執行進度，督促地方政府積極辦理工程及驗收作業，屏東縣政府依據行政院前瞻建設-改善停</w:t>
      </w:r>
      <w:r w:rsidRPr="00BC7E20">
        <w:rPr>
          <w:rFonts w:ascii="標楷體" w:eastAsia="標楷體" w:hAnsi="標楷體" w:hint="eastAsia"/>
          <w:sz w:val="32"/>
          <w:szCs w:val="32"/>
        </w:rPr>
        <w:lastRenderedPageBreak/>
        <w:t>車問題計畫，屏東縣水門轉運站附設轉乘停車場於110年7月7日完工、屏東市舊酒廠立體停車場興建案於111年1月20日完工、屏東公園立體停車場興建案(基地3)於111年1月25日完工、屏東公園立體停車場(基地1、基地2)於111年4月22日完工。申請中央補助經費約16億6,887萬元、地方自籌經費9億7,353萬元。原意是將都市計畫區內停車場滿足購物民眾，但經查交通部公路局辦理改善停車問題截至113年7月底補助地方政府興建停車場，屏東停車場多半皆已完工，停車率卻只有(25%、31%)未達計畫目標。顯然計畫未周詳，達不到目標，執行率低，是否停車場周邊交通動線規劃不良？在停車率未達50%前，新增案件不再予補助。請交通部公路局向立法院財政及相關委員會提出書面報告。</w:t>
      </w:r>
    </w:p>
    <w:p w14:paraId="73F29EFF" w14:textId="77777777" w:rsidR="00F1366B" w:rsidRPr="00BC7E20" w:rsidRDefault="00F1366B" w:rsidP="00F470A8">
      <w:pPr>
        <w:kinsoku w:val="0"/>
        <w:overflowPunct w:val="0"/>
        <w:autoSpaceDE w:val="0"/>
        <w:spacing w:line="480" w:lineRule="exact"/>
        <w:ind w:leftChars="200" w:left="1139" w:hangingChars="206" w:hanging="659"/>
        <w:jc w:val="both"/>
        <w:rPr>
          <w:rFonts w:ascii="標楷體" w:eastAsia="標楷體" w:hAnsi="標楷體"/>
          <w:sz w:val="32"/>
          <w:szCs w:val="32"/>
        </w:rPr>
      </w:pPr>
    </w:p>
    <w:p w14:paraId="70BA9751" w14:textId="77777777" w:rsidR="009D64D0" w:rsidRPr="00F1366B" w:rsidRDefault="009D64D0" w:rsidP="000F33DF">
      <w:pPr>
        <w:kinsoku w:val="0"/>
        <w:overflowPunct w:val="0"/>
        <w:autoSpaceDE w:val="0"/>
        <w:spacing w:line="280" w:lineRule="exact"/>
        <w:ind w:leftChars="200" w:left="480"/>
        <w:jc w:val="center"/>
        <w:rPr>
          <w:rFonts w:ascii="標楷體" w:eastAsia="標楷體" w:hAnsi="標楷體"/>
          <w:spacing w:val="-30"/>
          <w:szCs w:val="24"/>
        </w:rPr>
      </w:pPr>
      <w:r w:rsidRPr="00F1366B">
        <w:rPr>
          <w:rFonts w:ascii="標楷體" w:eastAsia="標楷體" w:hAnsi="標楷體" w:hint="eastAsia"/>
          <w:spacing w:val="-30"/>
          <w:szCs w:val="24"/>
        </w:rPr>
        <w:t>公路局辦理「改善停車問題計畫」截至113年7月底補助地方政府</w:t>
      </w:r>
    </w:p>
    <w:p w14:paraId="414C0226" w14:textId="77777777" w:rsidR="009D64D0" w:rsidRPr="00F1366B" w:rsidRDefault="009D64D0" w:rsidP="000F33DF">
      <w:pPr>
        <w:kinsoku w:val="0"/>
        <w:overflowPunct w:val="0"/>
        <w:autoSpaceDE w:val="0"/>
        <w:spacing w:line="280" w:lineRule="exact"/>
        <w:ind w:leftChars="200" w:left="480"/>
        <w:jc w:val="center"/>
        <w:rPr>
          <w:rFonts w:ascii="標楷體" w:eastAsia="標楷體" w:hAnsi="標楷體"/>
          <w:szCs w:val="24"/>
        </w:rPr>
      </w:pPr>
      <w:r w:rsidRPr="00F1366B">
        <w:rPr>
          <w:rFonts w:ascii="標楷體" w:eastAsia="標楷體" w:hAnsi="標楷體" w:hint="eastAsia"/>
          <w:spacing w:val="-30"/>
          <w:szCs w:val="24"/>
        </w:rPr>
        <w:t>興建停車場已完工尚未營運及已營運而停車率未達計畫目標概況表</w:t>
      </w:r>
    </w:p>
    <w:tbl>
      <w:tblPr>
        <w:tblW w:w="8930" w:type="dxa"/>
        <w:tblInd w:w="951" w:type="dxa"/>
        <w:tblLook w:val="04A0" w:firstRow="1" w:lastRow="0" w:firstColumn="1" w:lastColumn="0" w:noHBand="0" w:noVBand="1"/>
      </w:tblPr>
      <w:tblGrid>
        <w:gridCol w:w="850"/>
        <w:gridCol w:w="2268"/>
        <w:gridCol w:w="1276"/>
        <w:gridCol w:w="1276"/>
        <w:gridCol w:w="850"/>
        <w:gridCol w:w="709"/>
        <w:gridCol w:w="851"/>
        <w:gridCol w:w="850"/>
      </w:tblGrid>
      <w:tr w:rsidR="009D64D0" w:rsidRPr="00F1366B" w14:paraId="201AB3EA" w14:textId="77777777" w:rsidTr="009D64D0">
        <w:trPr>
          <w:trHeight w:val="300"/>
        </w:trPr>
        <w:tc>
          <w:tcPr>
            <w:tcW w:w="850" w:type="dxa"/>
            <w:vMerge w:val="restart"/>
            <w:tcBorders>
              <w:top w:val="single" w:sz="12" w:space="0" w:color="000000"/>
              <w:left w:val="single" w:sz="12" w:space="0" w:color="000000"/>
              <w:bottom w:val="single" w:sz="12" w:space="0" w:color="000000"/>
              <w:right w:val="single" w:sz="6" w:space="0" w:color="000000"/>
            </w:tcBorders>
            <w:tcMar>
              <w:top w:w="0" w:type="dxa"/>
              <w:left w:w="100" w:type="dxa"/>
              <w:bottom w:w="0" w:type="dxa"/>
              <w:right w:w="100" w:type="dxa"/>
            </w:tcMar>
            <w:hideMark/>
          </w:tcPr>
          <w:p w14:paraId="1BFB523C"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地方</w:t>
            </w:r>
          </w:p>
          <w:p w14:paraId="138E86E4"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政府</w:t>
            </w:r>
          </w:p>
        </w:tc>
        <w:tc>
          <w:tcPr>
            <w:tcW w:w="2268" w:type="dxa"/>
            <w:vMerge w:val="restart"/>
            <w:tcBorders>
              <w:top w:val="single" w:sz="12"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5DD98A0E"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停車場</w:t>
            </w:r>
          </w:p>
        </w:tc>
        <w:tc>
          <w:tcPr>
            <w:tcW w:w="1276" w:type="dxa"/>
            <w:vMerge w:val="restart"/>
            <w:tcBorders>
              <w:top w:val="single" w:sz="12"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7D9221E2"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完工日期</w:t>
            </w:r>
          </w:p>
        </w:tc>
        <w:tc>
          <w:tcPr>
            <w:tcW w:w="1276" w:type="dxa"/>
            <w:vMerge w:val="restart"/>
            <w:tcBorders>
              <w:top w:val="single" w:sz="12"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6A2AE365"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營運日期</w:t>
            </w:r>
          </w:p>
        </w:tc>
        <w:tc>
          <w:tcPr>
            <w:tcW w:w="1559" w:type="dxa"/>
            <w:gridSpan w:val="2"/>
            <w:tcBorders>
              <w:top w:val="single" w:sz="12"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0A62831E"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預計停車率</w:t>
            </w:r>
          </w:p>
        </w:tc>
        <w:tc>
          <w:tcPr>
            <w:tcW w:w="1701" w:type="dxa"/>
            <w:gridSpan w:val="2"/>
            <w:tcBorders>
              <w:top w:val="single" w:sz="12" w:space="0" w:color="000000"/>
              <w:left w:val="single" w:sz="6" w:space="0" w:color="000000"/>
              <w:bottom w:val="single" w:sz="6" w:space="0" w:color="000000"/>
              <w:right w:val="single" w:sz="12" w:space="0" w:color="000000"/>
            </w:tcBorders>
            <w:tcMar>
              <w:top w:w="0" w:type="dxa"/>
              <w:left w:w="100" w:type="dxa"/>
              <w:bottom w:w="0" w:type="dxa"/>
              <w:right w:w="100" w:type="dxa"/>
            </w:tcMar>
            <w:hideMark/>
          </w:tcPr>
          <w:p w14:paraId="004CDF2F"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實際停車率</w:t>
            </w:r>
          </w:p>
        </w:tc>
      </w:tr>
      <w:tr w:rsidR="009D64D0" w:rsidRPr="00F1366B" w14:paraId="6B6DA0F9" w14:textId="77777777" w:rsidTr="009D64D0">
        <w:trPr>
          <w:trHeight w:val="300"/>
        </w:trPr>
        <w:tc>
          <w:tcPr>
            <w:tcW w:w="0" w:type="auto"/>
            <w:vMerge/>
            <w:tcBorders>
              <w:top w:val="single" w:sz="12" w:space="0" w:color="000000"/>
              <w:left w:val="single" w:sz="12" w:space="0" w:color="000000"/>
              <w:bottom w:val="single" w:sz="12" w:space="0" w:color="000000"/>
              <w:right w:val="single" w:sz="6" w:space="0" w:color="000000"/>
            </w:tcBorders>
            <w:vAlign w:val="center"/>
            <w:hideMark/>
          </w:tcPr>
          <w:p w14:paraId="3B74E76F" w14:textId="77777777" w:rsidR="009D64D0" w:rsidRPr="00F1366B" w:rsidRDefault="009D64D0" w:rsidP="000F33DF">
            <w:pPr>
              <w:kinsoku w:val="0"/>
              <w:overflowPunct w:val="0"/>
              <w:autoSpaceDE w:val="0"/>
              <w:spacing w:line="240" w:lineRule="exact"/>
              <w:rPr>
                <w:rFonts w:ascii="標楷體" w:eastAsia="標楷體" w:hAnsi="標楷體" w:cs="新細明體"/>
                <w:spacing w:val="-30"/>
                <w:kern w:val="0"/>
                <w:szCs w:val="24"/>
              </w:rPr>
            </w:pPr>
          </w:p>
        </w:tc>
        <w:tc>
          <w:tcPr>
            <w:tcW w:w="0" w:type="auto"/>
            <w:vMerge/>
            <w:tcBorders>
              <w:top w:val="single" w:sz="12" w:space="0" w:color="000000"/>
              <w:left w:val="single" w:sz="6" w:space="0" w:color="000000"/>
              <w:bottom w:val="single" w:sz="12" w:space="0" w:color="000000"/>
              <w:right w:val="single" w:sz="6" w:space="0" w:color="000000"/>
            </w:tcBorders>
            <w:vAlign w:val="center"/>
            <w:hideMark/>
          </w:tcPr>
          <w:p w14:paraId="0EDF63DF" w14:textId="77777777" w:rsidR="009D64D0" w:rsidRPr="00F1366B" w:rsidRDefault="009D64D0" w:rsidP="000F33DF">
            <w:pPr>
              <w:kinsoku w:val="0"/>
              <w:overflowPunct w:val="0"/>
              <w:autoSpaceDE w:val="0"/>
              <w:spacing w:line="240" w:lineRule="exact"/>
              <w:rPr>
                <w:rFonts w:ascii="標楷體" w:eastAsia="標楷體" w:hAnsi="標楷體" w:cs="新細明體"/>
                <w:spacing w:val="-30"/>
                <w:kern w:val="0"/>
                <w:szCs w:val="24"/>
              </w:rPr>
            </w:pPr>
          </w:p>
        </w:tc>
        <w:tc>
          <w:tcPr>
            <w:tcW w:w="0" w:type="auto"/>
            <w:vMerge/>
            <w:tcBorders>
              <w:top w:val="single" w:sz="12" w:space="0" w:color="000000"/>
              <w:left w:val="single" w:sz="6" w:space="0" w:color="000000"/>
              <w:bottom w:val="single" w:sz="12" w:space="0" w:color="000000"/>
              <w:right w:val="single" w:sz="6" w:space="0" w:color="000000"/>
            </w:tcBorders>
            <w:vAlign w:val="center"/>
            <w:hideMark/>
          </w:tcPr>
          <w:p w14:paraId="2B070D9F" w14:textId="77777777" w:rsidR="009D64D0" w:rsidRPr="00F1366B" w:rsidRDefault="009D64D0" w:rsidP="000F33DF">
            <w:pPr>
              <w:kinsoku w:val="0"/>
              <w:overflowPunct w:val="0"/>
              <w:autoSpaceDE w:val="0"/>
              <w:spacing w:line="240" w:lineRule="exact"/>
              <w:rPr>
                <w:rFonts w:ascii="標楷體" w:eastAsia="標楷體" w:hAnsi="標楷體" w:cs="新細明體"/>
                <w:spacing w:val="-30"/>
                <w:kern w:val="0"/>
                <w:szCs w:val="24"/>
              </w:rPr>
            </w:pPr>
          </w:p>
        </w:tc>
        <w:tc>
          <w:tcPr>
            <w:tcW w:w="0" w:type="auto"/>
            <w:vMerge/>
            <w:tcBorders>
              <w:top w:val="single" w:sz="12" w:space="0" w:color="000000"/>
              <w:left w:val="single" w:sz="6" w:space="0" w:color="000000"/>
              <w:bottom w:val="single" w:sz="12" w:space="0" w:color="000000"/>
              <w:right w:val="single" w:sz="6" w:space="0" w:color="000000"/>
            </w:tcBorders>
            <w:vAlign w:val="center"/>
            <w:hideMark/>
          </w:tcPr>
          <w:p w14:paraId="48A25BA9" w14:textId="77777777" w:rsidR="009D64D0" w:rsidRPr="00F1366B" w:rsidRDefault="009D64D0" w:rsidP="000F33DF">
            <w:pPr>
              <w:kinsoku w:val="0"/>
              <w:overflowPunct w:val="0"/>
              <w:autoSpaceDE w:val="0"/>
              <w:spacing w:line="240" w:lineRule="exact"/>
              <w:rPr>
                <w:rFonts w:ascii="標楷體" w:eastAsia="標楷體" w:hAnsi="標楷體" w:cs="新細明體"/>
                <w:spacing w:val="-30"/>
                <w:kern w:val="0"/>
                <w:szCs w:val="24"/>
              </w:rPr>
            </w:pPr>
          </w:p>
        </w:tc>
        <w:tc>
          <w:tcPr>
            <w:tcW w:w="850" w:type="dxa"/>
            <w:tcBorders>
              <w:top w:val="single" w:sz="6"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17A34680"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平日</w:t>
            </w:r>
          </w:p>
        </w:tc>
        <w:tc>
          <w:tcPr>
            <w:tcW w:w="709" w:type="dxa"/>
            <w:tcBorders>
              <w:top w:val="single" w:sz="6"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6DD469C0"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假日</w:t>
            </w:r>
          </w:p>
        </w:tc>
        <w:tc>
          <w:tcPr>
            <w:tcW w:w="851" w:type="dxa"/>
            <w:tcBorders>
              <w:top w:val="single" w:sz="6"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08E9CF02"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平日</w:t>
            </w:r>
          </w:p>
        </w:tc>
        <w:tc>
          <w:tcPr>
            <w:tcW w:w="850" w:type="dxa"/>
            <w:tcBorders>
              <w:top w:val="single" w:sz="6" w:space="0" w:color="000000"/>
              <w:left w:val="single" w:sz="6" w:space="0" w:color="000000"/>
              <w:bottom w:val="single" w:sz="12" w:space="0" w:color="000000"/>
              <w:right w:val="single" w:sz="12" w:space="0" w:color="000000"/>
            </w:tcBorders>
            <w:tcMar>
              <w:top w:w="0" w:type="dxa"/>
              <w:left w:w="100" w:type="dxa"/>
              <w:bottom w:w="0" w:type="dxa"/>
              <w:right w:w="100" w:type="dxa"/>
            </w:tcMar>
            <w:hideMark/>
          </w:tcPr>
          <w:p w14:paraId="0CB734B4"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假日</w:t>
            </w:r>
          </w:p>
        </w:tc>
      </w:tr>
      <w:tr w:rsidR="009D64D0" w:rsidRPr="00F1366B" w14:paraId="1B941FC0" w14:textId="77777777" w:rsidTr="009D64D0">
        <w:trPr>
          <w:trHeight w:val="316"/>
        </w:trPr>
        <w:tc>
          <w:tcPr>
            <w:tcW w:w="8930" w:type="dxa"/>
            <w:gridSpan w:val="8"/>
            <w:tcBorders>
              <w:top w:val="single" w:sz="12" w:space="0" w:color="000000"/>
              <w:left w:val="single" w:sz="12" w:space="0" w:color="000000"/>
              <w:bottom w:val="single" w:sz="12" w:space="0" w:color="000000"/>
              <w:right w:val="single" w:sz="12" w:space="0" w:color="000000"/>
            </w:tcBorders>
            <w:tcMar>
              <w:top w:w="0" w:type="dxa"/>
              <w:left w:w="100" w:type="dxa"/>
              <w:bottom w:w="0" w:type="dxa"/>
              <w:right w:w="100" w:type="dxa"/>
            </w:tcMar>
            <w:hideMark/>
          </w:tcPr>
          <w:p w14:paraId="67C56A83"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已完工尚未營運</w:t>
            </w:r>
          </w:p>
        </w:tc>
      </w:tr>
      <w:tr w:rsidR="009D64D0" w:rsidRPr="00F1366B" w14:paraId="25F10C7F" w14:textId="77777777" w:rsidTr="009D64D0">
        <w:trPr>
          <w:trHeight w:val="586"/>
        </w:trPr>
        <w:tc>
          <w:tcPr>
            <w:tcW w:w="850" w:type="dxa"/>
            <w:tcBorders>
              <w:top w:val="single" w:sz="12" w:space="0" w:color="000000"/>
              <w:left w:val="single" w:sz="12" w:space="0" w:color="000000"/>
              <w:bottom w:val="single" w:sz="6" w:space="0" w:color="000000"/>
              <w:right w:val="single" w:sz="6" w:space="0" w:color="000000"/>
            </w:tcBorders>
            <w:tcMar>
              <w:top w:w="0" w:type="dxa"/>
              <w:left w:w="100" w:type="dxa"/>
              <w:bottom w:w="0" w:type="dxa"/>
              <w:right w:w="100" w:type="dxa"/>
            </w:tcMar>
            <w:hideMark/>
          </w:tcPr>
          <w:p w14:paraId="1C92BB67"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屏東縣</w:t>
            </w:r>
          </w:p>
        </w:tc>
        <w:tc>
          <w:tcPr>
            <w:tcW w:w="2268" w:type="dxa"/>
            <w:tcBorders>
              <w:top w:val="single" w:sz="12"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42C302A"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潮州第一立體停車場興建案</w:t>
            </w:r>
          </w:p>
        </w:tc>
        <w:tc>
          <w:tcPr>
            <w:tcW w:w="1276" w:type="dxa"/>
            <w:tcBorders>
              <w:top w:val="single" w:sz="12"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6E409B9D"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113.06.29</w:t>
            </w:r>
          </w:p>
        </w:tc>
        <w:tc>
          <w:tcPr>
            <w:tcW w:w="1276" w:type="dxa"/>
            <w:tcBorders>
              <w:top w:val="single" w:sz="12"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3F9EC681"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尚未營運</w:t>
            </w:r>
          </w:p>
        </w:tc>
        <w:tc>
          <w:tcPr>
            <w:tcW w:w="850" w:type="dxa"/>
            <w:tcBorders>
              <w:top w:val="single" w:sz="12"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49320F11"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30%</w:t>
            </w:r>
          </w:p>
        </w:tc>
        <w:tc>
          <w:tcPr>
            <w:tcW w:w="709" w:type="dxa"/>
            <w:tcBorders>
              <w:top w:val="single" w:sz="12"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2078CE9A"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30%</w:t>
            </w:r>
          </w:p>
        </w:tc>
        <w:tc>
          <w:tcPr>
            <w:tcW w:w="851" w:type="dxa"/>
            <w:tcBorders>
              <w:top w:val="single" w:sz="12" w:space="0" w:color="000000"/>
              <w:left w:val="single" w:sz="6" w:space="0" w:color="000000"/>
              <w:bottom w:val="single" w:sz="6" w:space="0" w:color="000000"/>
              <w:right w:val="single" w:sz="6" w:space="0" w:color="000000"/>
            </w:tcBorders>
            <w:tcMar>
              <w:top w:w="0" w:type="dxa"/>
              <w:left w:w="100" w:type="dxa"/>
              <w:bottom w:w="0" w:type="dxa"/>
              <w:right w:w="100" w:type="dxa"/>
            </w:tcMar>
            <w:hideMark/>
          </w:tcPr>
          <w:p w14:paraId="559AB21A"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尚未營運</w:t>
            </w:r>
          </w:p>
        </w:tc>
        <w:tc>
          <w:tcPr>
            <w:tcW w:w="850" w:type="dxa"/>
            <w:tcBorders>
              <w:top w:val="single" w:sz="12" w:space="0" w:color="000000"/>
              <w:left w:val="single" w:sz="6" w:space="0" w:color="000000"/>
              <w:bottom w:val="single" w:sz="6" w:space="0" w:color="000000"/>
              <w:right w:val="single" w:sz="12" w:space="0" w:color="000000"/>
            </w:tcBorders>
            <w:tcMar>
              <w:top w:w="0" w:type="dxa"/>
              <w:left w:w="100" w:type="dxa"/>
              <w:bottom w:w="0" w:type="dxa"/>
              <w:right w:w="100" w:type="dxa"/>
            </w:tcMar>
            <w:hideMark/>
          </w:tcPr>
          <w:p w14:paraId="2AAF6637"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尚未營運</w:t>
            </w:r>
          </w:p>
        </w:tc>
      </w:tr>
      <w:tr w:rsidR="009D64D0" w:rsidRPr="00F1366B" w14:paraId="61CD79B6" w14:textId="77777777" w:rsidTr="00F1366B">
        <w:trPr>
          <w:trHeight w:val="331"/>
        </w:trPr>
        <w:tc>
          <w:tcPr>
            <w:tcW w:w="8930" w:type="dxa"/>
            <w:gridSpan w:val="8"/>
            <w:tcBorders>
              <w:top w:val="single" w:sz="6" w:space="0" w:color="000000"/>
              <w:left w:val="single" w:sz="12" w:space="0" w:color="000000"/>
              <w:bottom w:val="single" w:sz="12" w:space="0" w:color="000000"/>
              <w:right w:val="single" w:sz="12" w:space="0" w:color="000000"/>
            </w:tcBorders>
            <w:tcMar>
              <w:top w:w="0" w:type="dxa"/>
              <w:left w:w="100" w:type="dxa"/>
              <w:bottom w:w="0" w:type="dxa"/>
              <w:right w:w="100" w:type="dxa"/>
            </w:tcMar>
            <w:hideMark/>
          </w:tcPr>
          <w:p w14:paraId="2B7926AD"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已營運而停車場停車率未達計畫目標</w:t>
            </w:r>
          </w:p>
        </w:tc>
      </w:tr>
      <w:tr w:rsidR="009D64D0" w:rsidRPr="00F1366B" w14:paraId="2A40E378" w14:textId="77777777" w:rsidTr="00F1366B">
        <w:trPr>
          <w:trHeight w:val="586"/>
        </w:trPr>
        <w:tc>
          <w:tcPr>
            <w:tcW w:w="850" w:type="dxa"/>
            <w:vMerge w:val="restart"/>
            <w:tcBorders>
              <w:top w:val="single" w:sz="12" w:space="0" w:color="000000"/>
              <w:left w:val="single" w:sz="12" w:space="0" w:color="000000"/>
              <w:bottom w:val="single" w:sz="4" w:space="0" w:color="000000"/>
              <w:right w:val="single" w:sz="6" w:space="0" w:color="000000"/>
            </w:tcBorders>
            <w:tcMar>
              <w:top w:w="0" w:type="dxa"/>
              <w:left w:w="100" w:type="dxa"/>
              <w:bottom w:w="0" w:type="dxa"/>
              <w:right w:w="100" w:type="dxa"/>
            </w:tcMar>
            <w:hideMark/>
          </w:tcPr>
          <w:p w14:paraId="22C3242B"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屏東縣</w:t>
            </w:r>
          </w:p>
        </w:tc>
        <w:tc>
          <w:tcPr>
            <w:tcW w:w="2268" w:type="dxa"/>
            <w:tcBorders>
              <w:top w:val="single" w:sz="12"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334F526C"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屏東縣水門轉運站附設轉乘停車場</w:t>
            </w:r>
          </w:p>
        </w:tc>
        <w:tc>
          <w:tcPr>
            <w:tcW w:w="1276" w:type="dxa"/>
            <w:tcBorders>
              <w:top w:val="single" w:sz="12"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0519DA0C"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110.01.16</w:t>
            </w:r>
          </w:p>
        </w:tc>
        <w:tc>
          <w:tcPr>
            <w:tcW w:w="1276" w:type="dxa"/>
            <w:tcBorders>
              <w:top w:val="single" w:sz="12"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4BCEA58C"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110.07.07</w:t>
            </w:r>
          </w:p>
        </w:tc>
        <w:tc>
          <w:tcPr>
            <w:tcW w:w="850" w:type="dxa"/>
            <w:tcBorders>
              <w:top w:val="single" w:sz="12"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51B1C59F"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40%</w:t>
            </w:r>
          </w:p>
        </w:tc>
        <w:tc>
          <w:tcPr>
            <w:tcW w:w="709" w:type="dxa"/>
            <w:tcBorders>
              <w:top w:val="single" w:sz="12"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2BF755D4"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40%</w:t>
            </w:r>
          </w:p>
        </w:tc>
        <w:tc>
          <w:tcPr>
            <w:tcW w:w="851" w:type="dxa"/>
            <w:tcBorders>
              <w:top w:val="single" w:sz="12"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4AA48387"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25%</w:t>
            </w:r>
          </w:p>
        </w:tc>
        <w:tc>
          <w:tcPr>
            <w:tcW w:w="850" w:type="dxa"/>
            <w:tcBorders>
              <w:top w:val="single" w:sz="12" w:space="0" w:color="000000"/>
              <w:left w:val="single" w:sz="6" w:space="0" w:color="000000"/>
              <w:bottom w:val="single" w:sz="4" w:space="0" w:color="000000"/>
              <w:right w:val="single" w:sz="12" w:space="0" w:color="000000"/>
            </w:tcBorders>
            <w:tcMar>
              <w:top w:w="0" w:type="dxa"/>
              <w:left w:w="100" w:type="dxa"/>
              <w:bottom w:w="0" w:type="dxa"/>
              <w:right w:w="100" w:type="dxa"/>
            </w:tcMar>
            <w:hideMark/>
          </w:tcPr>
          <w:p w14:paraId="24569FE5"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31%</w:t>
            </w:r>
          </w:p>
        </w:tc>
      </w:tr>
      <w:tr w:rsidR="009D64D0" w:rsidRPr="00F1366B" w14:paraId="6DD5F274" w14:textId="77777777" w:rsidTr="00F1366B">
        <w:trPr>
          <w:trHeight w:val="571"/>
        </w:trPr>
        <w:tc>
          <w:tcPr>
            <w:tcW w:w="0" w:type="auto"/>
            <w:vMerge/>
            <w:tcBorders>
              <w:top w:val="single" w:sz="4" w:space="0" w:color="000000"/>
              <w:left w:val="single" w:sz="12" w:space="0" w:color="000000"/>
              <w:bottom w:val="single" w:sz="4" w:space="0" w:color="000000"/>
              <w:right w:val="single" w:sz="6" w:space="0" w:color="000000"/>
            </w:tcBorders>
            <w:vAlign w:val="center"/>
            <w:hideMark/>
          </w:tcPr>
          <w:p w14:paraId="16632CD1" w14:textId="77777777" w:rsidR="009D64D0" w:rsidRPr="00F1366B" w:rsidRDefault="009D64D0" w:rsidP="000F33DF">
            <w:pPr>
              <w:kinsoku w:val="0"/>
              <w:overflowPunct w:val="0"/>
              <w:autoSpaceDE w:val="0"/>
              <w:spacing w:line="240" w:lineRule="exact"/>
              <w:rPr>
                <w:rFonts w:ascii="標楷體" w:eastAsia="標楷體" w:hAnsi="標楷體" w:cs="新細明體"/>
                <w:spacing w:val="-30"/>
                <w:kern w:val="0"/>
                <w:szCs w:val="24"/>
              </w:rPr>
            </w:pPr>
          </w:p>
        </w:tc>
        <w:tc>
          <w:tcPr>
            <w:tcW w:w="2268"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75BB0692"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屏東市舊酒廠立體停車場興建案</w:t>
            </w:r>
          </w:p>
        </w:tc>
        <w:tc>
          <w:tcPr>
            <w:tcW w:w="1276"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22F7F52B"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111.01.20</w:t>
            </w:r>
          </w:p>
        </w:tc>
        <w:tc>
          <w:tcPr>
            <w:tcW w:w="1276"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1D853C47"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111.01.20</w:t>
            </w:r>
          </w:p>
        </w:tc>
        <w:tc>
          <w:tcPr>
            <w:tcW w:w="850"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1B66387A"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30%</w:t>
            </w:r>
          </w:p>
        </w:tc>
        <w:tc>
          <w:tcPr>
            <w:tcW w:w="709"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3B915B24"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30%</w:t>
            </w:r>
          </w:p>
        </w:tc>
        <w:tc>
          <w:tcPr>
            <w:tcW w:w="851"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52623E1B"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29%</w:t>
            </w:r>
          </w:p>
        </w:tc>
        <w:tc>
          <w:tcPr>
            <w:tcW w:w="850" w:type="dxa"/>
            <w:tcBorders>
              <w:top w:val="single" w:sz="4" w:space="0" w:color="000000"/>
              <w:left w:val="single" w:sz="6" w:space="0" w:color="000000"/>
              <w:bottom w:val="single" w:sz="4" w:space="0" w:color="000000"/>
              <w:right w:val="single" w:sz="12" w:space="0" w:color="000000"/>
            </w:tcBorders>
            <w:tcMar>
              <w:top w:w="0" w:type="dxa"/>
              <w:left w:w="100" w:type="dxa"/>
              <w:bottom w:w="0" w:type="dxa"/>
              <w:right w:w="100" w:type="dxa"/>
            </w:tcMar>
            <w:hideMark/>
          </w:tcPr>
          <w:p w14:paraId="1DF57D55"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38%</w:t>
            </w:r>
          </w:p>
        </w:tc>
      </w:tr>
      <w:tr w:rsidR="009D64D0" w:rsidRPr="00F1366B" w14:paraId="1E70BE4C" w14:textId="77777777" w:rsidTr="00F1366B">
        <w:trPr>
          <w:trHeight w:val="571"/>
        </w:trPr>
        <w:tc>
          <w:tcPr>
            <w:tcW w:w="0" w:type="auto"/>
            <w:vMerge/>
            <w:tcBorders>
              <w:top w:val="single" w:sz="4" w:space="0" w:color="000000"/>
              <w:left w:val="single" w:sz="12" w:space="0" w:color="000000"/>
              <w:bottom w:val="single" w:sz="4" w:space="0" w:color="000000"/>
              <w:right w:val="single" w:sz="6" w:space="0" w:color="000000"/>
            </w:tcBorders>
            <w:vAlign w:val="center"/>
            <w:hideMark/>
          </w:tcPr>
          <w:p w14:paraId="43C33E68" w14:textId="77777777" w:rsidR="009D64D0" w:rsidRPr="00F1366B" w:rsidRDefault="009D64D0" w:rsidP="000F33DF">
            <w:pPr>
              <w:kinsoku w:val="0"/>
              <w:overflowPunct w:val="0"/>
              <w:autoSpaceDE w:val="0"/>
              <w:spacing w:line="240" w:lineRule="exact"/>
              <w:rPr>
                <w:rFonts w:ascii="標楷體" w:eastAsia="標楷體" w:hAnsi="標楷體" w:cs="新細明體"/>
                <w:spacing w:val="-30"/>
                <w:kern w:val="0"/>
                <w:szCs w:val="24"/>
              </w:rPr>
            </w:pPr>
          </w:p>
        </w:tc>
        <w:tc>
          <w:tcPr>
            <w:tcW w:w="2268"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343DF5C5"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屏東公園立體停車場興建案(基地3)</w:t>
            </w:r>
          </w:p>
        </w:tc>
        <w:tc>
          <w:tcPr>
            <w:tcW w:w="1276"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480A662D"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111.01.28</w:t>
            </w:r>
          </w:p>
        </w:tc>
        <w:tc>
          <w:tcPr>
            <w:tcW w:w="1276"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51FE9D7F"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111.01.25</w:t>
            </w:r>
          </w:p>
        </w:tc>
        <w:tc>
          <w:tcPr>
            <w:tcW w:w="850"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2FECE01D"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38%</w:t>
            </w:r>
          </w:p>
        </w:tc>
        <w:tc>
          <w:tcPr>
            <w:tcW w:w="709"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2D5E7D3F"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38%</w:t>
            </w:r>
          </w:p>
        </w:tc>
        <w:tc>
          <w:tcPr>
            <w:tcW w:w="851" w:type="dxa"/>
            <w:tcBorders>
              <w:top w:val="single" w:sz="4" w:space="0" w:color="000000"/>
              <w:left w:val="single" w:sz="6" w:space="0" w:color="000000"/>
              <w:bottom w:val="single" w:sz="4" w:space="0" w:color="000000"/>
              <w:right w:val="single" w:sz="6" w:space="0" w:color="000000"/>
            </w:tcBorders>
            <w:tcMar>
              <w:top w:w="0" w:type="dxa"/>
              <w:left w:w="100" w:type="dxa"/>
              <w:bottom w:w="0" w:type="dxa"/>
              <w:right w:w="100" w:type="dxa"/>
            </w:tcMar>
            <w:hideMark/>
          </w:tcPr>
          <w:p w14:paraId="1CF7A305"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23%</w:t>
            </w:r>
          </w:p>
        </w:tc>
        <w:tc>
          <w:tcPr>
            <w:tcW w:w="850" w:type="dxa"/>
            <w:tcBorders>
              <w:top w:val="single" w:sz="4" w:space="0" w:color="000000"/>
              <w:left w:val="single" w:sz="6" w:space="0" w:color="000000"/>
              <w:bottom w:val="single" w:sz="4" w:space="0" w:color="000000"/>
              <w:right w:val="single" w:sz="12" w:space="0" w:color="000000"/>
            </w:tcBorders>
            <w:tcMar>
              <w:top w:w="0" w:type="dxa"/>
              <w:left w:w="100" w:type="dxa"/>
              <w:bottom w:w="0" w:type="dxa"/>
              <w:right w:w="100" w:type="dxa"/>
            </w:tcMar>
            <w:hideMark/>
          </w:tcPr>
          <w:p w14:paraId="6335B514"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39%</w:t>
            </w:r>
          </w:p>
        </w:tc>
      </w:tr>
      <w:tr w:rsidR="009D64D0" w:rsidRPr="00F1366B" w14:paraId="2811FABC" w14:textId="77777777" w:rsidTr="00F1366B">
        <w:trPr>
          <w:trHeight w:val="586"/>
        </w:trPr>
        <w:tc>
          <w:tcPr>
            <w:tcW w:w="0" w:type="auto"/>
            <w:vMerge/>
            <w:tcBorders>
              <w:top w:val="single" w:sz="4" w:space="0" w:color="000000"/>
              <w:left w:val="single" w:sz="12" w:space="0" w:color="000000"/>
              <w:bottom w:val="single" w:sz="12" w:space="0" w:color="000000"/>
              <w:right w:val="single" w:sz="6" w:space="0" w:color="000000"/>
            </w:tcBorders>
            <w:vAlign w:val="center"/>
            <w:hideMark/>
          </w:tcPr>
          <w:p w14:paraId="66413104" w14:textId="77777777" w:rsidR="009D64D0" w:rsidRPr="00F1366B" w:rsidRDefault="009D64D0" w:rsidP="000F33DF">
            <w:pPr>
              <w:kinsoku w:val="0"/>
              <w:overflowPunct w:val="0"/>
              <w:autoSpaceDE w:val="0"/>
              <w:spacing w:line="240" w:lineRule="exact"/>
              <w:rPr>
                <w:rFonts w:ascii="標楷體" w:eastAsia="標楷體" w:hAnsi="標楷體" w:cs="新細明體"/>
                <w:spacing w:val="-30"/>
                <w:kern w:val="0"/>
                <w:szCs w:val="24"/>
              </w:rPr>
            </w:pPr>
          </w:p>
        </w:tc>
        <w:tc>
          <w:tcPr>
            <w:tcW w:w="2268" w:type="dxa"/>
            <w:tcBorders>
              <w:top w:val="single" w:sz="4"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6E024443"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屏東公園立體停車場(基地1、基地2)</w:t>
            </w:r>
          </w:p>
        </w:tc>
        <w:tc>
          <w:tcPr>
            <w:tcW w:w="1276" w:type="dxa"/>
            <w:tcBorders>
              <w:top w:val="single" w:sz="4"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6801A810"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111.04.12</w:t>
            </w:r>
          </w:p>
        </w:tc>
        <w:tc>
          <w:tcPr>
            <w:tcW w:w="1276" w:type="dxa"/>
            <w:tcBorders>
              <w:top w:val="single" w:sz="4"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2299530B"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111.04.22</w:t>
            </w:r>
          </w:p>
        </w:tc>
        <w:tc>
          <w:tcPr>
            <w:tcW w:w="850" w:type="dxa"/>
            <w:tcBorders>
              <w:top w:val="single" w:sz="4"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6F138FAE"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38%</w:t>
            </w:r>
          </w:p>
        </w:tc>
        <w:tc>
          <w:tcPr>
            <w:tcW w:w="709" w:type="dxa"/>
            <w:tcBorders>
              <w:top w:val="single" w:sz="4"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5C7BF960"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38%</w:t>
            </w:r>
          </w:p>
        </w:tc>
        <w:tc>
          <w:tcPr>
            <w:tcW w:w="851" w:type="dxa"/>
            <w:tcBorders>
              <w:top w:val="single" w:sz="4" w:space="0" w:color="000000"/>
              <w:left w:val="single" w:sz="6" w:space="0" w:color="000000"/>
              <w:bottom w:val="single" w:sz="12" w:space="0" w:color="000000"/>
              <w:right w:val="single" w:sz="6" w:space="0" w:color="000000"/>
            </w:tcBorders>
            <w:tcMar>
              <w:top w:w="0" w:type="dxa"/>
              <w:left w:w="100" w:type="dxa"/>
              <w:bottom w:w="0" w:type="dxa"/>
              <w:right w:w="100" w:type="dxa"/>
            </w:tcMar>
            <w:hideMark/>
          </w:tcPr>
          <w:p w14:paraId="1B1AB8C3"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基地1-31%</w:t>
            </w:r>
          </w:p>
          <w:p w14:paraId="6B2EBEFE"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基地2-36%</w:t>
            </w:r>
          </w:p>
        </w:tc>
        <w:tc>
          <w:tcPr>
            <w:tcW w:w="850" w:type="dxa"/>
            <w:tcBorders>
              <w:top w:val="single" w:sz="4" w:space="0" w:color="000000"/>
              <w:left w:val="single" w:sz="6" w:space="0" w:color="000000"/>
              <w:bottom w:val="single" w:sz="12" w:space="0" w:color="000000"/>
              <w:right w:val="single" w:sz="12" w:space="0" w:color="000000"/>
            </w:tcBorders>
            <w:tcMar>
              <w:top w:w="0" w:type="dxa"/>
              <w:left w:w="100" w:type="dxa"/>
              <w:bottom w:w="0" w:type="dxa"/>
              <w:right w:w="100" w:type="dxa"/>
            </w:tcMar>
            <w:hideMark/>
          </w:tcPr>
          <w:p w14:paraId="7B621247"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基地1-60%</w:t>
            </w:r>
          </w:p>
          <w:p w14:paraId="7C641F4E" w14:textId="77777777" w:rsidR="009D64D0" w:rsidRPr="00F1366B" w:rsidRDefault="009D64D0" w:rsidP="000F33DF">
            <w:pPr>
              <w:kinsoku w:val="0"/>
              <w:overflowPunct w:val="0"/>
              <w:autoSpaceDE w:val="0"/>
              <w:spacing w:line="240" w:lineRule="exact"/>
              <w:ind w:leftChars="-38" w:left="-91" w:rightChars="-20" w:right="-48"/>
              <w:jc w:val="center"/>
              <w:rPr>
                <w:rFonts w:ascii="標楷體" w:eastAsia="標楷體" w:hAnsi="標楷體" w:cs="新細明體"/>
                <w:spacing w:val="-30"/>
                <w:kern w:val="0"/>
                <w:szCs w:val="24"/>
              </w:rPr>
            </w:pPr>
            <w:r w:rsidRPr="00F1366B">
              <w:rPr>
                <w:rFonts w:ascii="標楷體" w:eastAsia="標楷體" w:hAnsi="標楷體" w:cs="新細明體" w:hint="eastAsia"/>
                <w:spacing w:val="-30"/>
                <w:kern w:val="0"/>
                <w:szCs w:val="24"/>
              </w:rPr>
              <w:t>基地2-41%</w:t>
            </w:r>
          </w:p>
        </w:tc>
      </w:tr>
    </w:tbl>
    <w:p w14:paraId="54CCBA77" w14:textId="2B471ABC"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提案人：蘇清泉　涂權吉　陳菁徽　</w:t>
      </w:r>
    </w:p>
    <w:p w14:paraId="4D1A3B9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九)交通部公路局及所屬於114年度中央政府前瞻基礎建設計畫第5期特別預算案第6目「城鄉建設」第1節「改善停車問題」編列41億元，有關我國原鄉地區等觀光景區停車空間日益不足，原鄉地區雖有部分縣市政府願意規劃建置，然受限於原鄉鄉(鎮、市、區)公所自籌經費不足、地方政府辦理停車場用</w:t>
      </w:r>
      <w:r w:rsidRPr="00BC7E20">
        <w:rPr>
          <w:rFonts w:ascii="標楷體" w:eastAsia="標楷體" w:hAnsi="標楷體" w:hint="eastAsia"/>
          <w:sz w:val="32"/>
          <w:szCs w:val="32"/>
        </w:rPr>
        <w:lastRenderedPageBreak/>
        <w:t>地之取得與變更等前置作業冗長，導致原鄉停車場之建置進度緩慢、影響其補助經費之爭取；另且辦理公共充電樁建置及區域充電需求評估，原鄉公共充電樁之建置及供應需求遠遠不及駕駛者之殷切需求、影響政府欲2040年全面禁售燃油車之進程。請交通部公路局向立法院財政及相關委員會提出書面檢討報告。</w:t>
      </w:r>
    </w:p>
    <w:p w14:paraId="026D4AA8" w14:textId="76999DF2"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35D5BBFD" w14:textId="0C7DE38A"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6399B22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十)交通部公路局及所屬於114年度中央政府前瞻基礎建設計畫第5期特別預算案第6目「城鄉建設」第2節「提升道路品質」編列24億4,400萬元，本期特別預算係辦理道路品質提升及美化道路景觀工程等所需經費，惟台灣人行空間不友善或導致不幸之意外事故屢登新聞版面。且此特別預算不僅未具緊急重大之急迫性，亦未見計畫所提之前瞻性。針對原鄉及離島鄉(鎮、市、區)部分，受限於道路編定及各級政府相關維管、分工原則問題，以致未能獲得相關補助或得享有特別預算之推動成果。請交通部公路局向立法院財政及相關委員會提出書面檢討報告。</w:t>
      </w:r>
    </w:p>
    <w:p w14:paraId="1A545976" w14:textId="085395EF"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提案人：盧縣一　蘇清泉　</w:t>
      </w:r>
    </w:p>
    <w:p w14:paraId="30F8CECC" w14:textId="4ECC490F"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連署人：鄭天財　</w:t>
      </w:r>
    </w:p>
    <w:p w14:paraId="54223429"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0"/>
          <w:sz w:val="32"/>
          <w:szCs w:val="32"/>
        </w:rPr>
      </w:pPr>
      <w:r w:rsidRPr="00BC7E20">
        <w:rPr>
          <w:rFonts w:ascii="標楷體" w:eastAsia="標楷體" w:hAnsi="標楷體" w:hint="eastAsia"/>
          <w:sz w:val="32"/>
          <w:szCs w:val="32"/>
        </w:rPr>
        <w:t>(十一)交通部公路局於114年度中央政府前瞻基礎建設計畫特別預算案第6目「城鄉建設」第2節「提升道路品質」編列24億4,400萬元，係辦理道路品質提升及美化道路景觀工程等所需經費，合計中央政府前瞻基礎建設計畫第1至5期特別預算合共編列225億9,820萬元。為改善行人地獄，強化行人交通機能與安全性，藉由實質的空間規劃，落實社會照顧機能，並全面性提升都市安全的生活品質。截至113年7月底本計畫已審議核定各市縣政府累計683件補助案件，其中602件工程案件已完工，並完成路面改善累計2,044公里，孔蓋下地8,484座及增加綠化面積5萬9,182平方公尺。尚有</w:t>
      </w:r>
      <w:r w:rsidRPr="00BC7E20">
        <w:rPr>
          <w:rFonts w:ascii="標楷體" w:eastAsia="標楷體" w:hAnsi="標楷體" w:hint="eastAsia"/>
          <w:sz w:val="32"/>
          <w:szCs w:val="32"/>
        </w:rPr>
        <w:lastRenderedPageBreak/>
        <w:t>宜蘭縣、桃園市及嘉義縣各1件，合計共3件，超過1億元以上受行政院公共工程委員會列管之案件，因設計作業、基本設計審議時程延宕或工程流標等因素，導致進度落後。惟經比對交通肇事件數與傷亡人數，112年車禍數竟較111年成長2萬7,082件，達到歷史新高的40萬2,926件，另外傷亡人數亦增加4萬0,315人傷亡，達到54萬2,558人的新高。行人車禍死亡較111年增加503人，達到1萬7,660人新高。請交通部公路局於3個月內向立法院財政及相關委員會提出改善書面報告。</w:t>
      </w:r>
    </w:p>
    <w:p w14:paraId="3F37F0BF" w14:textId="7A459C74"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提案人：邱鎮軍　</w:t>
      </w:r>
    </w:p>
    <w:p w14:paraId="601B9FC8" w14:textId="412519DF"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牛煦庭</w:t>
      </w:r>
    </w:p>
    <w:p w14:paraId="1ECDB80A" w14:textId="7F14676D" w:rsidR="009D64D0" w:rsidRPr="00BC7E20" w:rsidRDefault="009D64D0" w:rsidP="00F470A8">
      <w:pPr>
        <w:kinsoku w:val="0"/>
        <w:overflowPunct w:val="0"/>
        <w:autoSpaceDE w:val="0"/>
        <w:spacing w:line="480" w:lineRule="exact"/>
        <w:ind w:leftChars="200" w:left="1633" w:hangingChars="360" w:hanging="1153"/>
        <w:jc w:val="both"/>
        <w:rPr>
          <w:rFonts w:ascii="標楷體" w:eastAsia="標楷體" w:hAnsi="標楷體"/>
          <w:b/>
          <w:sz w:val="32"/>
          <w:szCs w:val="32"/>
        </w:rPr>
      </w:pPr>
      <w:r w:rsidRPr="00BC7E20">
        <w:rPr>
          <w:rFonts w:ascii="標楷體" w:eastAsia="標楷體" w:hAnsi="標楷體" w:hint="eastAsia"/>
          <w:b/>
          <w:sz w:val="32"/>
          <w:szCs w:val="32"/>
        </w:rPr>
        <w:t>第6項</w:t>
      </w:r>
      <w:r w:rsidR="00F1366B" w:rsidRPr="00EB155B">
        <w:rPr>
          <w:rFonts w:ascii="標楷體" w:eastAsia="標楷體" w:hAnsi="標楷體" w:hint="eastAsia"/>
          <w:kern w:val="0"/>
          <w:sz w:val="32"/>
          <w:szCs w:val="32"/>
        </w:rPr>
        <w:t xml:space="preserve">　</w:t>
      </w:r>
      <w:r w:rsidRPr="00BC7E20">
        <w:rPr>
          <w:rFonts w:ascii="標楷體" w:eastAsia="標楷體" w:hAnsi="標楷體" w:hint="eastAsia"/>
          <w:b/>
          <w:sz w:val="32"/>
          <w:szCs w:val="32"/>
        </w:rPr>
        <w:t>鐵道局及所屬</w:t>
      </w:r>
      <w:r w:rsidRPr="00BC7E20">
        <w:rPr>
          <w:rFonts w:ascii="標楷體" w:eastAsia="標楷體" w:hAnsi="標楷體" w:hint="eastAsia"/>
          <w:sz w:val="32"/>
          <w:szCs w:val="32"/>
        </w:rPr>
        <w:t>原列</w:t>
      </w:r>
      <w:r w:rsidRPr="00BC7E20">
        <w:rPr>
          <w:rFonts w:ascii="標楷體" w:eastAsia="標楷體" w:hAnsi="標楷體" w:hint="eastAsia"/>
          <w:color w:val="000000"/>
          <w:sz w:val="32"/>
          <w:szCs w:val="32"/>
        </w:rPr>
        <w:t>36億3,238萬1千元，減列第4目「城鄉建設」第1節「推動觀光升級」之「設備及投資」400萬元（科目自行調整），其餘均照列，改列為36億2,838萬1千元。</w:t>
      </w:r>
    </w:p>
    <w:p w14:paraId="551A1F30"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本項通過決議4項：</w:t>
      </w:r>
    </w:p>
    <w:p w14:paraId="662B602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交通部鐵道局及所屬將利用114年度中央政府前瞻基礎建設計畫第5期特別預算案科學支出項下數位建設名義，辦理補助鐵道營運機構建置5G連網相關設備等經費。然而，考量該等設備，應該是由鐵道營運機構自行添購才對，實在不該占用中央機關對於特別預算經費執行上之數額。爰此，凍結第1目「數位建設」預算5,200萬元之十分之一，俟交通部鐵道局於1個月內向立法院財政及相關委員會提出書面報告後，始得動支。</w:t>
      </w:r>
    </w:p>
    <w:p w14:paraId="2915CC8F" w14:textId="578F902E"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w:t>
      </w:r>
    </w:p>
    <w:p w14:paraId="4455497D" w14:textId="35ED28E4"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連署人：王鴻薇　牛煦庭</w:t>
      </w:r>
    </w:p>
    <w:p w14:paraId="16F11B7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有鑑於機場捷運增設A14站之工程，受本次特別預算案編列6.56億元經費之際，允宜再有克服缺工缺料等施作可能遭遇挑戰之規劃部署，方可在僅8個月之期限內完整執行。爰此，凍結第2目「軌道建設」第2節「都市推動捷運」預算6億</w:t>
      </w:r>
      <w:r w:rsidRPr="00BC7E20">
        <w:rPr>
          <w:rFonts w:ascii="標楷體" w:eastAsia="標楷體" w:hAnsi="標楷體" w:hint="eastAsia"/>
          <w:sz w:val="32"/>
          <w:szCs w:val="32"/>
        </w:rPr>
        <w:lastRenderedPageBreak/>
        <w:t>5,600萬元之十分之一，俟交通部鐵道局於1個月內向立法院財政及相關委員會提出書面報告後，始得動支。</w:t>
      </w:r>
    </w:p>
    <w:p w14:paraId="50B31E5C" w14:textId="77777777" w:rsidR="00F1366B"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提案人：邱鎮軍　林倩綺　鄭正鈐　陳菁徽</w:t>
      </w:r>
    </w:p>
    <w:p w14:paraId="3AB6D8DA" w14:textId="67C45233" w:rsidR="009D64D0" w:rsidRPr="00BC7E20" w:rsidRDefault="009D64D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BC7E20">
        <w:rPr>
          <w:rFonts w:ascii="標楷體" w:eastAsia="標楷體" w:hAnsi="標楷體" w:hint="eastAsia"/>
          <w:kern w:val="0"/>
          <w:sz w:val="32"/>
          <w:szCs w:val="32"/>
        </w:rPr>
        <w:t xml:space="preserve">　</w:t>
      </w:r>
      <w:r w:rsidR="00F1366B" w:rsidRPr="00EB155B">
        <w:rPr>
          <w:rFonts w:ascii="標楷體" w:eastAsia="標楷體" w:hAnsi="標楷體" w:hint="eastAsia"/>
          <w:kern w:val="0"/>
          <w:sz w:val="32"/>
          <w:szCs w:val="32"/>
        </w:rPr>
        <w:t xml:space="preserve">　　　　　</w:t>
      </w:r>
      <w:r w:rsidRPr="00BC7E20">
        <w:rPr>
          <w:rFonts w:ascii="標楷體" w:eastAsia="標楷體" w:hAnsi="標楷體" w:hint="eastAsia"/>
          <w:kern w:val="0"/>
          <w:sz w:val="32"/>
          <w:szCs w:val="32"/>
        </w:rPr>
        <w:t xml:space="preserve">牛煦庭　王鴻薇　</w:t>
      </w:r>
    </w:p>
    <w:p w14:paraId="13AA0761" w14:textId="513E1508" w:rsidR="009D64D0" w:rsidRPr="00BC7E20" w:rsidRDefault="00F1366B"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連署人：陳玉珍　鄭天財　呂玉玲　</w:t>
      </w:r>
    </w:p>
    <w:p w14:paraId="7CE9C21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有鑑於臺鐵車站美學與功能之提升，應當是由已完成公司化的國營臺灣鐵路股份有限公司所主責辦理預算支出事項。爰此，交通部鐵道局尚為該等目的，再編列逾4.41億元公務特別預算，實有欠周延。爰此，凍結第4目「城鄉建設」預算4億4,130萬元之十分之一，俟交通部鐵道局於1個月內向立法院財政及相關委員會提出書面報告後，始得動支。</w:t>
      </w:r>
    </w:p>
    <w:p w14:paraId="2EC7F2DA" w14:textId="51BAFAC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提案人：陳菁徽　吳沛憶　王鴻薇　牛煦庭　</w:t>
      </w:r>
    </w:p>
    <w:p w14:paraId="47BC70D5" w14:textId="453E07EC"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23417AD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交通部鐵道局及所屬於114年度中央政府前瞻基礎建設計畫第5期特別預算案第1目「數位建設」第1節「推廣數位公益服務」之「推動5G提升智慧交通服務效能與安全計畫」編列5,200萬元。台灣近期頻繁遭受致災性豪雨侵襲，導致國營臺灣鐵路股份有限公司多次發生軌道被土石流掩埋或路基掏空等危險情況。為應對災害，國營臺灣鐵路股份有限公司已成立防汛土石流聯防機制，並提前啟動預警性停駛，試圖減少災害損失。然而，這些措施尚需進一步優化。氣象專家指出，目前氣象預報仍存在不確定性，尤其在短延時強降雨的預測方面困難重重。因此，建議軌道系統管理者將風險管理納入核心考量，針對脆弱路段實施即時監控與數據分析，以提升決策的準確性與效率。此外，專家強調，除了依賴氣象資訊外，還應強化脆弱路段的基礎設施，進行結構性的改善。通過即時監測與大數據分析技術，全面提升預警能力，增強臺灣軌道系統的抗災韌性。同時，國營臺灣鐵路股份有限公司應全面建立安全文化，將員工意見納入管理與決策過程，避免安全管理系統流於形式化，從而更有效應對自然災害的挑戰</w:t>
      </w:r>
      <w:r w:rsidRPr="00BC7E20">
        <w:rPr>
          <w:rFonts w:ascii="標楷體" w:eastAsia="標楷體" w:hAnsi="標楷體" w:hint="eastAsia"/>
          <w:sz w:val="32"/>
          <w:szCs w:val="32"/>
        </w:rPr>
        <w:lastRenderedPageBreak/>
        <w:t>。爰此，建議在3個月內提出書面報告，詳細說明如何針對脆弱路段進行強化改造、優化災害預警機制，以及推進國營臺灣鐵路股份有限公司安全管理文化的具體方案，以確保軌道系統的長期安全與穩定運行。請交通部鐵道局督促國營臺灣鐵路股份有限公司優化災害預警機制並落實安全文化具體作法，向立法院財政及相關委員會提出書面報告。</w:t>
      </w:r>
    </w:p>
    <w:p w14:paraId="22124D51" w14:textId="506AB77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w:t>
      </w:r>
    </w:p>
    <w:p w14:paraId="332CF3A5" w14:textId="4FC59F7F"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連署人：黃珊珊　陳昭姿</w:t>
      </w:r>
    </w:p>
    <w:p w14:paraId="5E8BC4E6"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第7項  航港局</w:t>
      </w:r>
      <w:r w:rsidRPr="00BC7E20">
        <w:rPr>
          <w:rFonts w:ascii="標楷體" w:eastAsia="標楷體" w:hAnsi="標楷體" w:hint="eastAsia"/>
          <w:sz w:val="32"/>
          <w:szCs w:val="32"/>
        </w:rPr>
        <w:t>7,881萬元，照列。</w:t>
      </w:r>
    </w:p>
    <w:p w14:paraId="330DA218"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本項通過決議1項：</w:t>
      </w:r>
    </w:p>
    <w:p w14:paraId="2D1033D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交通部航港局不斷藉由歷年來辦理公務預算或特別預算等機會，執行新闢航線補助之預算事項。然而，考量實際成功有所航線新闢，並留作常態可供我國或來台旅客搭乘之航線新闢結果，卻依然在結果上有所不彰。請交通部航港局於1個月內向立法院財政及相關委員會提出書面報告。</w:t>
      </w:r>
    </w:p>
    <w:p w14:paraId="61A1464C" w14:textId="228F18BA"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0312BC3D"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kern w:val="2"/>
          <w:sz w:val="32"/>
          <w:szCs w:val="32"/>
        </w:rPr>
      </w:pPr>
      <w:r w:rsidRPr="00BC7E20">
        <w:rPr>
          <w:rFonts w:ascii="標楷體" w:eastAsia="標楷體" w:hAnsi="標楷體" w:hint="eastAsia"/>
          <w:b/>
          <w:sz w:val="32"/>
          <w:szCs w:val="32"/>
        </w:rPr>
        <w:t>第8款  勞動部主管</w:t>
      </w:r>
    </w:p>
    <w:p w14:paraId="00CC0F7C"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第1項  勞動部</w:t>
      </w:r>
      <w:r w:rsidRPr="00BC7E20">
        <w:rPr>
          <w:rFonts w:ascii="標楷體" w:eastAsia="標楷體" w:hAnsi="標楷體" w:hint="eastAsia"/>
          <w:sz w:val="32"/>
          <w:szCs w:val="32"/>
        </w:rPr>
        <w:t>1億8</w:t>
      </w:r>
      <w:r w:rsidRPr="00BC7E20">
        <w:rPr>
          <w:rFonts w:ascii="標楷體" w:eastAsia="標楷體" w:hAnsi="標楷體" w:cs="新細明體" w:hint="eastAsia"/>
          <w:kern w:val="0"/>
          <w:sz w:val="32"/>
          <w:szCs w:val="32"/>
        </w:rPr>
        <w:t>,110萬元</w:t>
      </w:r>
      <w:r w:rsidRPr="00BC7E20">
        <w:rPr>
          <w:rFonts w:ascii="標楷體" w:eastAsia="標楷體" w:hAnsi="標楷體" w:hint="eastAsia"/>
          <w:sz w:val="32"/>
          <w:szCs w:val="32"/>
        </w:rPr>
        <w:t>，照列。</w:t>
      </w:r>
    </w:p>
    <w:p w14:paraId="2F7AB8AE"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120BB14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勞動部已於112至113年度中央政府前瞻基礎建設計畫第4期特別預算編列1,400萬元用於執行公有危險建築補強重建之業務，而114年度中央政府前瞻基礎建設計畫第5期特別預算案編列1億8,110萬元，相比中央政府前瞻基礎建設計畫第4期並以年計算之，中央政府前瞻基礎建設計畫第5期特別預算案之預算大幅增加20倍以上，應積極督導縣市政府於114年底完成勞工中心建築物耐震補強或拆除工程，以維護人民生命財產安全，並於2個月內向立法院財政及相關委員會提出書面報告，說明如何提升勞工中心之使用率。</w:t>
      </w:r>
      <w:r w:rsidRPr="00BC7E20">
        <w:rPr>
          <w:rFonts w:ascii="標楷體" w:eastAsia="標楷體" w:hAnsi="標楷體" w:hint="eastAsia"/>
          <w:kern w:val="0"/>
          <w:sz w:val="32"/>
          <w:szCs w:val="32"/>
        </w:rPr>
        <w:t xml:space="preserve"> </w:t>
      </w:r>
    </w:p>
    <w:p w14:paraId="659C3E07" w14:textId="5D2269FE"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36047D3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lastRenderedPageBreak/>
        <w:t>(二)勞動部於114年度中央政府前瞻基礎建設計畫第5期特別預算案第1目「城鄉建設」第1節「公共服務據點整備」之「公有危險建築補強重建」編列1億8,110萬元。經查，上開計畫預計補助7個地方政府辦理9件補強工程作業，工程期間均為1年，然，勞動部於中央政府前瞻基礎建設計畫第4期特別預算編列預算1,400萬元，補助新竹市政府辦理新竹市勞工育樂中心耐震補強暨外牆更新整修工程，截至113年8月底執行數為0，其計畫書內載預計施工期程為5個月，113年底恐將無法如期完工。又按補助作業要點規定，受補助之機關應配合填列及提供計畫執行相關資料，勞動部則可以書面或實地督察之方式確切掌握計畫進度。有鑑於前期辦理工程僅1件，卻無法如期完成，114年度中央政府前瞻基礎建設計畫第5期特別預算案新增9件工程，勞動部應請相關部會提供工程採購專業協助以落實監督與管控，並提供各受補助單位必要之協助，避免前期工程延宕事件持續發生。</w:t>
      </w:r>
    </w:p>
    <w:p w14:paraId="65441033" w14:textId="59221BC6"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提案人：麥玉珍　陳昭姿</w:t>
      </w:r>
    </w:p>
    <w:p w14:paraId="7F2E6C56" w14:textId="4F38AFE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連署人：黃珊珊</w:t>
      </w:r>
    </w:p>
    <w:p w14:paraId="32FF0A1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 xml:space="preserve">(三)勞動部於中央政府前瞻基礎建設計畫第5期特別預算案第1目「城鄉建設」第1節「公共服務據點整備」之「公有危險建築補強重建」編列1億8,110萬元。預計補助桃園市等7個地方政府辦理9件耐震補強工程，惟前期補助新竹市政府辦理新竹市勞工育樂中心耐震補強暨外牆更新整修工程迄113年8月底止，尚未完成招標作業，該工程恐未能依限於113年底完成。其中屏東縣職人町耐震補強工程，預期效益為何？預算未詳細說明編列情形，爰要求勞動部於1個月內向立法院財政及相關委員會提出書面報告。 </w:t>
      </w:r>
    </w:p>
    <w:tbl>
      <w:tblPr>
        <w:tblW w:w="0" w:type="auto"/>
        <w:tblInd w:w="155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8"/>
        <w:gridCol w:w="4701"/>
        <w:gridCol w:w="1664"/>
      </w:tblGrid>
      <w:tr w:rsidR="009D64D0" w:rsidRPr="00725FA0" w14:paraId="651274C0" w14:textId="77777777" w:rsidTr="009D64D0">
        <w:trPr>
          <w:trHeight w:val="45"/>
        </w:trPr>
        <w:tc>
          <w:tcPr>
            <w:tcW w:w="1668" w:type="dxa"/>
            <w:tcBorders>
              <w:top w:val="single" w:sz="12" w:space="0" w:color="auto"/>
              <w:left w:val="single" w:sz="12" w:space="0" w:color="auto"/>
              <w:bottom w:val="single" w:sz="4" w:space="0" w:color="auto"/>
              <w:right w:val="single" w:sz="4" w:space="0" w:color="auto"/>
            </w:tcBorders>
            <w:vAlign w:val="center"/>
            <w:hideMark/>
          </w:tcPr>
          <w:p w14:paraId="7D32EF17" w14:textId="77777777" w:rsidR="009D64D0" w:rsidRPr="00725FA0" w:rsidRDefault="009D64D0" w:rsidP="00725FA0">
            <w:pPr>
              <w:kinsoku w:val="0"/>
              <w:overflowPunct w:val="0"/>
              <w:autoSpaceDE w:val="0"/>
              <w:spacing w:line="320" w:lineRule="exact"/>
              <w:jc w:val="center"/>
              <w:rPr>
                <w:rFonts w:ascii="標楷體" w:eastAsia="標楷體" w:hAnsi="標楷體"/>
                <w:szCs w:val="24"/>
              </w:rPr>
            </w:pPr>
            <w:r w:rsidRPr="00725FA0">
              <w:rPr>
                <w:rFonts w:ascii="標楷體" w:eastAsia="標楷體" w:hAnsi="標楷體" w:hint="eastAsia"/>
                <w:szCs w:val="24"/>
              </w:rPr>
              <w:t>受補助機關</w:t>
            </w:r>
          </w:p>
        </w:tc>
        <w:tc>
          <w:tcPr>
            <w:tcW w:w="4701" w:type="dxa"/>
            <w:tcBorders>
              <w:top w:val="single" w:sz="12" w:space="0" w:color="auto"/>
              <w:left w:val="single" w:sz="4" w:space="0" w:color="auto"/>
              <w:bottom w:val="single" w:sz="4" w:space="0" w:color="auto"/>
              <w:right w:val="single" w:sz="4" w:space="0" w:color="auto"/>
            </w:tcBorders>
            <w:vAlign w:val="center"/>
            <w:hideMark/>
          </w:tcPr>
          <w:p w14:paraId="260B4449" w14:textId="77777777" w:rsidR="009D64D0" w:rsidRPr="00725FA0" w:rsidRDefault="009D64D0" w:rsidP="00725FA0">
            <w:pPr>
              <w:kinsoku w:val="0"/>
              <w:overflowPunct w:val="0"/>
              <w:autoSpaceDE w:val="0"/>
              <w:spacing w:line="320" w:lineRule="exact"/>
              <w:jc w:val="center"/>
              <w:rPr>
                <w:rFonts w:ascii="標楷體" w:eastAsia="標楷體" w:hAnsi="標楷體"/>
                <w:szCs w:val="24"/>
              </w:rPr>
            </w:pPr>
            <w:r w:rsidRPr="00725FA0">
              <w:rPr>
                <w:rFonts w:ascii="標楷體" w:eastAsia="標楷體" w:hAnsi="標楷體" w:hint="eastAsia"/>
                <w:szCs w:val="24"/>
              </w:rPr>
              <w:t>工程名稱</w:t>
            </w:r>
          </w:p>
        </w:tc>
        <w:tc>
          <w:tcPr>
            <w:tcW w:w="1664" w:type="dxa"/>
            <w:tcBorders>
              <w:top w:val="single" w:sz="12" w:space="0" w:color="auto"/>
              <w:left w:val="single" w:sz="4" w:space="0" w:color="auto"/>
              <w:bottom w:val="single" w:sz="4" w:space="0" w:color="auto"/>
              <w:right w:val="single" w:sz="12" w:space="0" w:color="auto"/>
            </w:tcBorders>
            <w:vAlign w:val="center"/>
            <w:hideMark/>
          </w:tcPr>
          <w:p w14:paraId="194772F9" w14:textId="77777777" w:rsidR="009D64D0" w:rsidRPr="00725FA0" w:rsidRDefault="009D64D0" w:rsidP="00725FA0">
            <w:pPr>
              <w:kinsoku w:val="0"/>
              <w:overflowPunct w:val="0"/>
              <w:autoSpaceDE w:val="0"/>
              <w:spacing w:line="320" w:lineRule="exact"/>
              <w:jc w:val="center"/>
              <w:rPr>
                <w:rFonts w:ascii="標楷體" w:eastAsia="標楷體" w:hAnsi="標楷體"/>
                <w:szCs w:val="24"/>
              </w:rPr>
            </w:pPr>
            <w:r w:rsidRPr="00725FA0">
              <w:rPr>
                <w:rFonts w:ascii="標楷體" w:eastAsia="標楷體" w:hAnsi="標楷體" w:hint="eastAsia"/>
                <w:szCs w:val="24"/>
              </w:rPr>
              <w:t>預算數</w:t>
            </w:r>
          </w:p>
        </w:tc>
      </w:tr>
      <w:tr w:rsidR="009D64D0" w:rsidRPr="00725FA0" w14:paraId="0727C667" w14:textId="77777777" w:rsidTr="009D64D0">
        <w:trPr>
          <w:trHeight w:val="45"/>
        </w:trPr>
        <w:tc>
          <w:tcPr>
            <w:tcW w:w="1668" w:type="dxa"/>
            <w:tcBorders>
              <w:top w:val="single" w:sz="4" w:space="0" w:color="auto"/>
              <w:left w:val="single" w:sz="12" w:space="0" w:color="auto"/>
              <w:bottom w:val="single" w:sz="12" w:space="0" w:color="auto"/>
              <w:right w:val="single" w:sz="4" w:space="0" w:color="auto"/>
            </w:tcBorders>
            <w:vAlign w:val="center"/>
            <w:hideMark/>
          </w:tcPr>
          <w:p w14:paraId="1015CFBB" w14:textId="77777777" w:rsidR="009D64D0" w:rsidRPr="00725FA0" w:rsidRDefault="009D64D0" w:rsidP="00725FA0">
            <w:pPr>
              <w:kinsoku w:val="0"/>
              <w:overflowPunct w:val="0"/>
              <w:autoSpaceDE w:val="0"/>
              <w:spacing w:line="320" w:lineRule="exact"/>
              <w:jc w:val="center"/>
              <w:rPr>
                <w:rFonts w:ascii="標楷體" w:eastAsia="標楷體" w:hAnsi="標楷體"/>
                <w:szCs w:val="24"/>
              </w:rPr>
            </w:pPr>
            <w:r w:rsidRPr="00725FA0">
              <w:rPr>
                <w:rFonts w:ascii="標楷體" w:eastAsia="標楷體" w:hAnsi="標楷體" w:hint="eastAsia"/>
                <w:szCs w:val="24"/>
              </w:rPr>
              <w:t>屏東縣</w:t>
            </w:r>
          </w:p>
        </w:tc>
        <w:tc>
          <w:tcPr>
            <w:tcW w:w="4701" w:type="dxa"/>
            <w:tcBorders>
              <w:top w:val="single" w:sz="4" w:space="0" w:color="auto"/>
              <w:left w:val="single" w:sz="4" w:space="0" w:color="auto"/>
              <w:bottom w:val="single" w:sz="12" w:space="0" w:color="auto"/>
              <w:right w:val="single" w:sz="4" w:space="0" w:color="auto"/>
            </w:tcBorders>
            <w:vAlign w:val="center"/>
            <w:hideMark/>
          </w:tcPr>
          <w:p w14:paraId="2FCEF494" w14:textId="77777777" w:rsidR="009D64D0" w:rsidRPr="00725FA0" w:rsidRDefault="009D64D0" w:rsidP="00725FA0">
            <w:pPr>
              <w:kinsoku w:val="0"/>
              <w:overflowPunct w:val="0"/>
              <w:autoSpaceDE w:val="0"/>
              <w:spacing w:line="320" w:lineRule="exact"/>
              <w:rPr>
                <w:rFonts w:ascii="標楷體" w:eastAsia="標楷體" w:hAnsi="標楷體"/>
                <w:szCs w:val="24"/>
              </w:rPr>
            </w:pPr>
            <w:r w:rsidRPr="00725FA0">
              <w:rPr>
                <w:rFonts w:ascii="標楷體" w:eastAsia="標楷體" w:hAnsi="標楷體" w:hint="eastAsia"/>
                <w:szCs w:val="24"/>
              </w:rPr>
              <w:t>屏東縣職人町耐震補強工程(1件)</w:t>
            </w:r>
          </w:p>
        </w:tc>
        <w:tc>
          <w:tcPr>
            <w:tcW w:w="1664" w:type="dxa"/>
            <w:tcBorders>
              <w:top w:val="single" w:sz="4" w:space="0" w:color="auto"/>
              <w:left w:val="single" w:sz="4" w:space="0" w:color="auto"/>
              <w:bottom w:val="single" w:sz="12" w:space="0" w:color="auto"/>
              <w:right w:val="single" w:sz="12" w:space="0" w:color="auto"/>
            </w:tcBorders>
            <w:vAlign w:val="center"/>
            <w:hideMark/>
          </w:tcPr>
          <w:p w14:paraId="31899BB9" w14:textId="77777777" w:rsidR="009D64D0" w:rsidRPr="00725FA0" w:rsidRDefault="009D64D0" w:rsidP="00725FA0">
            <w:pPr>
              <w:kinsoku w:val="0"/>
              <w:overflowPunct w:val="0"/>
              <w:autoSpaceDE w:val="0"/>
              <w:spacing w:line="320" w:lineRule="exact"/>
              <w:jc w:val="right"/>
              <w:rPr>
                <w:rFonts w:ascii="標楷體" w:eastAsia="標楷體" w:hAnsi="標楷體"/>
                <w:szCs w:val="24"/>
              </w:rPr>
            </w:pPr>
            <w:r w:rsidRPr="00725FA0">
              <w:rPr>
                <w:rFonts w:ascii="標楷體" w:eastAsia="標楷體" w:hAnsi="標楷體" w:hint="eastAsia"/>
                <w:szCs w:val="24"/>
              </w:rPr>
              <w:t>10,934</w:t>
            </w:r>
          </w:p>
        </w:tc>
      </w:tr>
    </w:tbl>
    <w:p w14:paraId="1BF307C1" w14:textId="15152E27" w:rsidR="009D64D0" w:rsidRPr="00BC7E20" w:rsidRDefault="00725FA0" w:rsidP="00F470A8">
      <w:pPr>
        <w:kinsoku w:val="0"/>
        <w:overflowPunct w:val="0"/>
        <w:autoSpaceDE w:val="0"/>
        <w:spacing w:line="480" w:lineRule="exact"/>
        <w:ind w:leftChars="1089" w:left="3916" w:hangingChars="407" w:hanging="1302"/>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sz w:val="32"/>
          <w:szCs w:val="32"/>
        </w:rPr>
        <w:t>提案人：蘇清泉　涂權吉</w:t>
      </w:r>
      <w:r w:rsidR="009D64D0" w:rsidRPr="00BC7E20">
        <w:rPr>
          <w:rFonts w:ascii="標楷體" w:eastAsia="標楷體" w:hAnsi="標楷體" w:hint="eastAsia"/>
          <w:kern w:val="0"/>
          <w:sz w:val="32"/>
          <w:szCs w:val="32"/>
        </w:rPr>
        <w:t xml:space="preserve">　陳菁徽</w:t>
      </w:r>
    </w:p>
    <w:p w14:paraId="557D42A4"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kern w:val="2"/>
          <w:sz w:val="32"/>
          <w:szCs w:val="32"/>
        </w:rPr>
      </w:pPr>
      <w:r w:rsidRPr="00BC7E20">
        <w:rPr>
          <w:rFonts w:ascii="標楷體" w:eastAsia="標楷體" w:hAnsi="標楷體" w:hint="eastAsia"/>
          <w:b/>
          <w:sz w:val="32"/>
          <w:szCs w:val="32"/>
        </w:rPr>
        <w:t>第9款  農業部主管</w:t>
      </w:r>
    </w:p>
    <w:p w14:paraId="41726B04"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b/>
          <w:sz w:val="32"/>
          <w:szCs w:val="32"/>
        </w:rPr>
      </w:pPr>
      <w:r w:rsidRPr="00BC7E20">
        <w:rPr>
          <w:rFonts w:ascii="標楷體" w:eastAsia="標楷體" w:hAnsi="標楷體" w:hint="eastAsia"/>
          <w:b/>
          <w:sz w:val="32"/>
          <w:szCs w:val="32"/>
        </w:rPr>
        <w:lastRenderedPageBreak/>
        <w:t>第1項  農業部</w:t>
      </w:r>
      <w:r w:rsidRPr="00BC7E20">
        <w:rPr>
          <w:rFonts w:ascii="標楷體" w:eastAsia="標楷體" w:hAnsi="標楷體" w:hint="eastAsia"/>
          <w:sz w:val="32"/>
          <w:szCs w:val="32"/>
        </w:rPr>
        <w:t>3億6,473萬元，照列。</w:t>
      </w:r>
    </w:p>
    <w:p w14:paraId="5D803F5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本項通過決議6項：</w:t>
      </w:r>
    </w:p>
    <w:p w14:paraId="1C0A99A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有鑑於農業部於中央政府前瞻基礎建設計畫第5期特別預算案第2目「數位建設」第1節「基礎建設環境」編列2,574萬元，用於強化公部門網路服務與運算雲端基礎設施，以因應數位時代來臨相關業務進行數位轉型之需求。然據報載，傳統農業進行智慧轉型之際，部分農民礙於農業部所提供之公家資訊系統不夠簡便，無法有效進行轉型，更直言由地方政府與大專院校共同建置的農業行動平台比農業部的好用。爰此，請農業部於1個月內向立法院財政及相關委員會提出農業部因應數位時代浪潮對於農業從業者之轉型與輔導書面報告。</w:t>
      </w:r>
    </w:p>
    <w:p w14:paraId="5DB4E26C" w14:textId="6862A6F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7F5F2BC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有鑑於農業部於中央政府前瞻基礎建設計畫第5期特別預算案第2目「數位建設」第2節「推廣數位公益服務」編列1億1,744萬元，用於辦理農業物聯網技術服務體系建構及擴散應用，然審計部卻指出農業試驗所國家植物表型體分析中心興建的工程進度落後，因相關設計結構圖說未完整。爰此，請農業部於1個月內向立法院財政及相關委員會提出農業試驗所國家植物表型體分析中心興建工程進度延後案之改善與檢討報告。</w:t>
      </w:r>
    </w:p>
    <w:p w14:paraId="011ED294" w14:textId="5C19059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1681194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三)有鑑於近日有媒體披露，近年台灣牡蠣因為氣候變遷等因素，產量逐年下滑，盤商開始走私中國牡蠣、並混充成台灣蚵上市，藉以打擊台灣牡蠣產業。其未經邊境檢驗，食安風險更高。目前法規僅規範有公司登記的販售處如超市、水產行等，水產品需標示產地，但台灣海鮮有超過八成直接透過傳統市場銷售，因無須標示產地，也無從溯源，消費者根本難辨牡蠣真實來源。為保障國民食品衛生安全，並維護我國牡蠣不受中國走私蚵之衝擊，造成國產牡蠣市場需求受影響，</w:t>
      </w:r>
      <w:r w:rsidRPr="00BC7E20">
        <w:rPr>
          <w:rFonts w:ascii="標楷體" w:eastAsia="標楷體" w:hAnsi="標楷體" w:hint="eastAsia"/>
          <w:sz w:val="32"/>
          <w:szCs w:val="32"/>
        </w:rPr>
        <w:lastRenderedPageBreak/>
        <w:t>爰要求農業部應對走私蚵加強查緝，並協助我國牡蠣養殖戶溯源登記，以確保消費者以及我國漁民權益。</w:t>
      </w:r>
    </w:p>
    <w:p w14:paraId="71B2DA3B" w14:textId="670767B4"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提案人：林俊憲</w:t>
      </w:r>
    </w:p>
    <w:p w14:paraId="756B0C4B" w14:textId="1297EDC8"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連署人：羅美玲　李坤城</w:t>
      </w:r>
    </w:p>
    <w:p w14:paraId="26C38F6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臺南市曾文溪出海口一帶有部分牡蠣養殖戶，數十載以海謀生，卻礙於未有漁業權，就算遇有風災仍無法申請農業部之天然災害救助。113年7月凱米颱風造成3艘貨輪擱淺於臺南市沿海，其中貨輪凱塔號（KETA）之貨櫃散落，貨櫃中生鮮肉類腐臭，影響海水品質，導致當地文蛤及牡蠣大量死亡，造成蚵農損失。此外，後續山陀兒、康芮颱風導致蚵棚架受損，影響牡蠣生長亦造成蚵苗流失，重創蚵農生計。爰此，要求農業部以專案補助曾文溪出海口之牡蠣復育經費每棚5千元，以利振興牡蠣養殖業。</w:t>
      </w:r>
    </w:p>
    <w:p w14:paraId="376173DB" w14:textId="34AD9364"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提案人：林俊憲　賴惠員</w:t>
      </w:r>
    </w:p>
    <w:p w14:paraId="30A661B1" w14:textId="07C7F67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連署人：王美惠　黃</w:t>
      </w: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捷</w:t>
      </w:r>
    </w:p>
    <w:p w14:paraId="79FE819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台灣三農政策近來在農業部分，例如拓展水果海外市場、降低對中國依賴度及防堵豬瘟取得進展，然在農民、農村政策上有改善空間，經查國內農業保險比率過低，截至113年10月底覆蓋率為52.19%，但大宗為水稻面積大又是強制保險項目，實務上多數農民仍未能因保險受惠，另目前以老農津貼為基礎搭配農民退休儲金，建構雙層式老農經濟保障，截至113年10月底農民退休儲金覆蓋率約33%，從提撥年齡層看，40至64歲占比近八成，40歲以下青農比率過低。農村政策部分之農村再生基金將於116年計畫後用罄，經查中央政府前瞻基礎建設計畫第1至4期特別預算編列10億4,900萬元用於農業部推動地方創生計畫，中央政府前瞻基礎建設計畫第5期特別預算案並無編列任何預算，目前農業部年度預算中法律義務支出占比超過一半，針對未來如何提升農業保險覆蓋率及農民退休儲金比例，以及持續推動農村土地重劃及地方創生，爰請農業部於1個月內向立法院財政及相關委員會提出書面報告。</w:t>
      </w:r>
    </w:p>
    <w:p w14:paraId="33BD6F58" w14:textId="03FB47EF"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提案人：郭國文</w:t>
      </w:r>
    </w:p>
    <w:p w14:paraId="05654A87" w14:textId="52AAADC6"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連署人：李坤城　賴惠員</w:t>
      </w:r>
    </w:p>
    <w:p w14:paraId="19E8E26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台灣近年農業持續萎縮，7年間農地面積從74.6萬公頃下降至72.7萬公頃，少了逾1.8萬公頃，10年來農牧人口，由約282萬人下降至239萬人，少了近43萬人。為了扶持第一級產業，農業部應改善農林漁牧就業環境，並提高農產品經濟價值，如：東港碼頭的設施老舊，卻遲遲未獲得整修，屏東恆春後壁湖漁港停靠處因颱風侵襲，多處輪胎堤岸防撞牆已經損壞和脫落，對於漁民工作環境並不友善；另潮州農業國際化包裝場完工後，得強化栽培技術，輔助採後處理、蒸熱檢疫及農產加工與保存技術，引入冷鏈物流，兼具內、外銷功能且降低成本，然目前冷鏈設備後續完工經費14億元，農業部應針對老舊漁港提出改善期程計畫，潮州農業國際化包裝場後續建設計畫，並於2個月內向立法院財政及相關委員會提出書面報告。</w:t>
      </w:r>
    </w:p>
    <w:p w14:paraId="16435115" w14:textId="2CE986FC"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提案人：徐富癸</w:t>
      </w:r>
    </w:p>
    <w:p w14:paraId="2F8A522B" w14:textId="1C932113"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連署人：陳培瑜　王正旭</w:t>
      </w:r>
    </w:p>
    <w:p w14:paraId="687F16A8"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第2項  林業及自然保育署及所屬</w:t>
      </w:r>
      <w:r w:rsidRPr="00BC7E20">
        <w:rPr>
          <w:rFonts w:ascii="標楷體" w:eastAsia="標楷體" w:hAnsi="標楷體" w:hint="eastAsia"/>
          <w:sz w:val="32"/>
          <w:szCs w:val="32"/>
        </w:rPr>
        <w:t>9億4,126萬7千元，照列。</w:t>
      </w:r>
    </w:p>
    <w:p w14:paraId="6E951F78"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第3項  農村發展及水土</w:t>
      </w:r>
      <w:r w:rsidRPr="00BC7E20">
        <w:rPr>
          <w:rFonts w:ascii="標楷體" w:eastAsia="標楷體" w:hAnsi="標楷體" w:hint="eastAsia"/>
          <w:b/>
          <w:spacing w:val="-18"/>
          <w:sz w:val="32"/>
          <w:szCs w:val="32"/>
        </w:rPr>
        <w:t>保持署及所屬</w:t>
      </w:r>
      <w:r w:rsidRPr="00BC7E20">
        <w:rPr>
          <w:rFonts w:ascii="標楷體" w:eastAsia="標楷體" w:hAnsi="標楷體" w:hint="eastAsia"/>
          <w:sz w:val="32"/>
          <w:szCs w:val="32"/>
        </w:rPr>
        <w:t>13億5,400萬元，照列。</w:t>
      </w:r>
    </w:p>
    <w:p w14:paraId="69E522C5"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第4項  農業試驗所及所屬</w:t>
      </w:r>
      <w:r w:rsidRPr="00BC7E20">
        <w:rPr>
          <w:rFonts w:ascii="標楷體" w:eastAsia="標楷體" w:hAnsi="標楷體" w:hint="eastAsia"/>
          <w:sz w:val="32"/>
          <w:szCs w:val="32"/>
        </w:rPr>
        <w:t>1,686萬元，照列。</w:t>
      </w:r>
    </w:p>
    <w:p w14:paraId="1673DA3A"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第5項  水產試驗所</w:t>
      </w:r>
      <w:r w:rsidRPr="00BC7E20">
        <w:rPr>
          <w:rFonts w:ascii="標楷體" w:eastAsia="標楷體" w:hAnsi="標楷體" w:hint="eastAsia"/>
          <w:sz w:val="32"/>
          <w:szCs w:val="32"/>
        </w:rPr>
        <w:t>350萬元，照列。</w:t>
      </w:r>
    </w:p>
    <w:p w14:paraId="7587A3CE"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第6項  畜產試驗所及所屬</w:t>
      </w:r>
      <w:r w:rsidRPr="00BC7E20">
        <w:rPr>
          <w:rFonts w:ascii="標楷體" w:eastAsia="標楷體" w:hAnsi="標楷體" w:hint="eastAsia"/>
          <w:sz w:val="32"/>
          <w:szCs w:val="32"/>
        </w:rPr>
        <w:t>30萬元，照列。</w:t>
      </w:r>
    </w:p>
    <w:p w14:paraId="6FA413A3"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第7項  茶及飲料作物改良場</w:t>
      </w:r>
      <w:r w:rsidRPr="00BC7E20">
        <w:rPr>
          <w:rFonts w:ascii="標楷體" w:eastAsia="標楷體" w:hAnsi="標楷體" w:hint="eastAsia"/>
          <w:sz w:val="32"/>
          <w:szCs w:val="32"/>
        </w:rPr>
        <w:t>230萬元，照列。</w:t>
      </w:r>
    </w:p>
    <w:p w14:paraId="04925386"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第8項  種苗改良繁殖場</w:t>
      </w:r>
      <w:r w:rsidRPr="00BC7E20">
        <w:rPr>
          <w:rFonts w:ascii="標楷體" w:eastAsia="標楷體" w:hAnsi="標楷體" w:hint="eastAsia"/>
          <w:sz w:val="32"/>
          <w:szCs w:val="32"/>
        </w:rPr>
        <w:t>100萬元，照列。</w:t>
      </w:r>
    </w:p>
    <w:p w14:paraId="7C9AE02B"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第9項  桃園區農業改良場</w:t>
      </w:r>
      <w:r w:rsidRPr="00BC7E20">
        <w:rPr>
          <w:rFonts w:ascii="標楷體" w:eastAsia="標楷體" w:hAnsi="標楷體" w:hint="eastAsia"/>
          <w:sz w:val="32"/>
          <w:szCs w:val="32"/>
        </w:rPr>
        <w:t>360萬元，照列。</w:t>
      </w:r>
    </w:p>
    <w:p w14:paraId="5C96BD11"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第10項  苗栗區農業改良場</w:t>
      </w:r>
      <w:r w:rsidRPr="00BC7E20">
        <w:rPr>
          <w:rFonts w:ascii="標楷體" w:eastAsia="標楷體" w:hAnsi="標楷體" w:hint="eastAsia"/>
          <w:sz w:val="32"/>
          <w:szCs w:val="32"/>
        </w:rPr>
        <w:t>140萬元，照列。</w:t>
      </w:r>
    </w:p>
    <w:p w14:paraId="1DE0214D"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第11項  臺中區農業改良場</w:t>
      </w:r>
      <w:r w:rsidRPr="00BC7E20">
        <w:rPr>
          <w:rFonts w:ascii="標楷體" w:eastAsia="標楷體" w:hAnsi="標楷體" w:hint="eastAsia"/>
          <w:sz w:val="32"/>
          <w:szCs w:val="32"/>
        </w:rPr>
        <w:t>580萬元，照列。</w:t>
      </w:r>
    </w:p>
    <w:p w14:paraId="3A6A3E92"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第12項  臺南區農業改良場</w:t>
      </w:r>
      <w:r w:rsidRPr="00BC7E20">
        <w:rPr>
          <w:rFonts w:ascii="標楷體" w:eastAsia="標楷體" w:hAnsi="標楷體" w:hint="eastAsia"/>
          <w:sz w:val="32"/>
          <w:szCs w:val="32"/>
        </w:rPr>
        <w:t>250萬元，照列。</w:t>
      </w:r>
    </w:p>
    <w:p w14:paraId="18EF3857"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第13項  高雄區農業改良場</w:t>
      </w:r>
      <w:r w:rsidRPr="00BC7E20">
        <w:rPr>
          <w:rFonts w:ascii="標楷體" w:eastAsia="標楷體" w:hAnsi="標楷體" w:hint="eastAsia"/>
          <w:sz w:val="32"/>
          <w:szCs w:val="32"/>
        </w:rPr>
        <w:t>520萬元，照列。</w:t>
      </w:r>
    </w:p>
    <w:p w14:paraId="2C511828"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第14項  花蓮區農業改良場</w:t>
      </w:r>
      <w:r w:rsidRPr="00BC7E20">
        <w:rPr>
          <w:rFonts w:ascii="標楷體" w:eastAsia="標楷體" w:hAnsi="標楷體" w:hint="eastAsia"/>
          <w:sz w:val="32"/>
          <w:szCs w:val="32"/>
        </w:rPr>
        <w:t>110萬元，照列。</w:t>
      </w:r>
    </w:p>
    <w:p w14:paraId="3E187300"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lastRenderedPageBreak/>
        <w:t>第15項  臺東區農業改良場</w:t>
      </w:r>
      <w:r w:rsidRPr="00BC7E20">
        <w:rPr>
          <w:rFonts w:ascii="標楷體" w:eastAsia="標楷體" w:hAnsi="標楷體" w:hint="eastAsia"/>
          <w:sz w:val="32"/>
          <w:szCs w:val="32"/>
        </w:rPr>
        <w:t>140萬元，照列。</w:t>
      </w:r>
    </w:p>
    <w:p w14:paraId="4B0090E1"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第16項  漁業署及所屬</w:t>
      </w:r>
      <w:r w:rsidRPr="00BC7E20">
        <w:rPr>
          <w:rFonts w:ascii="標楷體" w:eastAsia="標楷體" w:hAnsi="標楷體" w:hint="eastAsia"/>
          <w:sz w:val="32"/>
          <w:szCs w:val="32"/>
        </w:rPr>
        <w:t>4億3,830萬7千元，照列。</w:t>
      </w:r>
    </w:p>
    <w:p w14:paraId="6FC2E552"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第17項  動植物防疫檢疫署及所屬</w:t>
      </w:r>
      <w:r w:rsidRPr="00BC7E20">
        <w:rPr>
          <w:rFonts w:ascii="標楷體" w:eastAsia="標楷體" w:hAnsi="標楷體" w:hint="eastAsia"/>
          <w:sz w:val="32"/>
          <w:szCs w:val="32"/>
        </w:rPr>
        <w:t>1,200萬元，照列。</w:t>
      </w:r>
    </w:p>
    <w:p w14:paraId="22E475F9"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本項通過決議1項：</w:t>
      </w:r>
    </w:p>
    <w:p w14:paraId="318E9C9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農業部動植物防疫檢疫署及所屬於114年度中央政府前瞻基礎建設計畫第5期特別預算案第1目「數位建設」第1節「推廣數位公益服務」編列1,200萬元，係辦理屠宰衛生檢查數位管理及人工智慧檢查研析等所需經費。然查農業部辦理農業物聯網發展計畫，就是希望以智慧農業成果為基礎，並與民間技術服務業者合作，將生物安全警示監測、影像辨識等系統加以整合應用於農、畜、林業場域，提升農業產銷管理及監管效率。而防疫本是全國一體之業務，農業部動植物防疫檢疫署在對於金門發生疫病時，僅以阻斷肉品銷台為手段，卻未對金門研擬完善之防疫策略方案，讓金門鄉親徒有一國二制之感。農業部動植物防疫檢疫署應持續滾動式檢討相關防疫措施，針對金門研擬完善之防疫策略方案，以維護國內畜禽產業健康及兼顧金門縣權益，於3個月內向立法院財政及相關委員會提出書面報告。</w:t>
      </w:r>
    </w:p>
    <w:p w14:paraId="471AEDA1" w14:textId="68E1E5EC"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提案人：陳玉珍　鄭正鈐</w:t>
      </w:r>
    </w:p>
    <w:p w14:paraId="6F1B14F9" w14:textId="23418D78"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連署人：羅明才　楊瓊瓔　顏寬恒　陳超明</w:t>
      </w:r>
    </w:p>
    <w:p w14:paraId="7D008C57"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第18項  農田水利署</w:t>
      </w:r>
      <w:r w:rsidRPr="00BC7E20">
        <w:rPr>
          <w:rFonts w:ascii="標楷體" w:eastAsia="標楷體" w:hAnsi="標楷體" w:hint="eastAsia"/>
          <w:sz w:val="32"/>
          <w:szCs w:val="32"/>
        </w:rPr>
        <w:t>10億6,942萬6千元，照列。</w:t>
      </w:r>
    </w:p>
    <w:p w14:paraId="1914D76D"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本項通過決議2項：</w:t>
      </w:r>
    </w:p>
    <w:p w14:paraId="4F9920C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t>(一)有鑑於農業部農田水利署於114年度中央政府前瞻基礎建設計畫第5期特別預算案第1目「水環境建設」編列10億6,142萬6千元用於縣市管河川及區域排水整體改善計畫，面對極端氣候造成氣候災害，特別是短時間內暴雨情況恐造成區域大規模淹水事件。檢視中央政府前瞻基礎建設計畫第4期特別預算，農業部農田水利署已編列3億6,000萬元用於因應極端強降雨氣候，然113年臺灣遭逢兩大颱風肆虐，凱米與山陀兒颱風重創南部地區，造成多處淹水嚴重勞民傷財。爰此，請農業</w:t>
      </w:r>
      <w:r w:rsidRPr="00BC7E20">
        <w:rPr>
          <w:rFonts w:ascii="標楷體" w:eastAsia="標楷體" w:hAnsi="標楷體" w:hint="eastAsia"/>
          <w:sz w:val="32"/>
          <w:szCs w:val="32"/>
        </w:rPr>
        <w:lastRenderedPageBreak/>
        <w:t>部農田水利署於1個月內向立法院財政及相關委員會提出針對原縣市管河川及區域排水整體改善計畫之改善與檢討報告。</w:t>
      </w:r>
    </w:p>
    <w:p w14:paraId="408B4444" w14:textId="0F59344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39C6B39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農業部農田水利署近年於中央政府前瞻基礎建設計畫特別預算投注許多預算在因應極端氣候，113年山陀兒颱風帶來豪雨，對新北市金山區影響甚大，不僅農產品災損嚴重，許多農田水利基礎設施也都被大水沖毀，已無力負荷短延時強降雨的衝擊，亦有溝渠從下方被掏空，以致農友復耕困難，爰建請農業部農田水利署核定補助計畫時，優先核定天災災區，俾利保障農民權益。</w:t>
      </w:r>
    </w:p>
    <w:p w14:paraId="16E4FF0D" w14:textId="0467F66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提案人：蘇巧慧</w:t>
      </w:r>
    </w:p>
    <w:p w14:paraId="6A1962F9" w14:textId="5CC718C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連署人：王美惠　黃</w:t>
      </w: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捷　陳培瑜</w:t>
      </w:r>
    </w:p>
    <w:p w14:paraId="6AF6CEB5"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kern w:val="2"/>
          <w:sz w:val="32"/>
          <w:szCs w:val="32"/>
        </w:rPr>
      </w:pPr>
      <w:r w:rsidRPr="00BC7E20">
        <w:rPr>
          <w:rFonts w:ascii="標楷體" w:eastAsia="標楷體" w:hAnsi="標楷體" w:hint="eastAsia"/>
          <w:b/>
          <w:sz w:val="32"/>
          <w:szCs w:val="32"/>
        </w:rPr>
        <w:t>第10款  衛生福利部主管</w:t>
      </w:r>
    </w:p>
    <w:p w14:paraId="1964F74F" w14:textId="77777777" w:rsidR="009D64D0" w:rsidRPr="00BC7E20" w:rsidRDefault="009D64D0" w:rsidP="00F470A8">
      <w:pPr>
        <w:kinsoku w:val="0"/>
        <w:overflowPunct w:val="0"/>
        <w:autoSpaceDE w:val="0"/>
        <w:spacing w:line="480" w:lineRule="exact"/>
        <w:ind w:leftChars="89" w:left="854" w:hangingChars="200" w:hanging="640"/>
        <w:jc w:val="both"/>
        <w:rPr>
          <w:rFonts w:ascii="標楷體" w:eastAsia="標楷體" w:hAnsi="標楷體"/>
          <w:sz w:val="32"/>
          <w:szCs w:val="32"/>
        </w:rPr>
      </w:pPr>
      <w:r w:rsidRPr="00BC7E20">
        <w:rPr>
          <w:rFonts w:ascii="標楷體" w:eastAsia="標楷體" w:hAnsi="標楷體" w:hint="eastAsia"/>
          <w:sz w:val="32"/>
          <w:szCs w:val="32"/>
        </w:rPr>
        <w:t>本款通過決議1項:</w:t>
      </w:r>
    </w:p>
    <w:p w14:paraId="5170476C" w14:textId="77777777" w:rsidR="009D64D0" w:rsidRPr="00BC7E20" w:rsidRDefault="009D64D0" w:rsidP="00F470A8">
      <w:pPr>
        <w:kinsoku w:val="0"/>
        <w:overflowPunct w:val="0"/>
        <w:autoSpaceDE w:val="0"/>
        <w:spacing w:line="480" w:lineRule="exact"/>
        <w:ind w:leftChars="100" w:left="89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衛生福利部主管於114年度中央政府前瞻基礎建設計畫第5期特別預算案編列34億1,744萬元，惟截至113年6月底，衛生福利部及所屬機關辦理中央政府前瞻基礎建設計畫特別預算前4期城鄉建設類之「整建長照衛福據點」與「加速推動地方創生」及「公有建築補強重建」等計畫，尚有百餘處尚待完成案件；另中央政府前瞻基礎建設計畫特別預算前4期「公共服務據點整備-整建長照衛福據點」、「公共服務據點整備-公有危險建築補強重建」、「加速推動地方創生-地方創生長照衛福據點整備」及「銀髮健身俱樂部補助」等計畫之累計預算數117億4,887萬1千元，截至113年6月底止累計實現數及應付數為69億3,977萬4千元、賸餘數為12億7,142萬8千元，合計占原編預算數之69.89%，執行率偏低。爰凍結衛生福利部主管預算34億1,744萬元之十分之一，俟衛生福利部向立法院財政及相關委員會提出書面報告後，始得動支。</w:t>
      </w:r>
    </w:p>
    <w:p w14:paraId="5B70DD23" w14:textId="2DF0250C"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提案人：王鴻薇</w:t>
      </w:r>
    </w:p>
    <w:p w14:paraId="13E07EEE" w14:textId="032B5A5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連署人：陳玉珍　廖偉翔</w:t>
      </w:r>
    </w:p>
    <w:p w14:paraId="26722390"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lastRenderedPageBreak/>
        <w:t>第1項  衛生福利部</w:t>
      </w:r>
      <w:r w:rsidRPr="00BC7E20">
        <w:rPr>
          <w:rFonts w:ascii="標楷體" w:eastAsia="標楷體" w:hAnsi="標楷體" w:hint="eastAsia"/>
          <w:sz w:val="32"/>
          <w:szCs w:val="32"/>
        </w:rPr>
        <w:t>6億1,935萬4千元，照列。</w:t>
      </w:r>
    </w:p>
    <w:p w14:paraId="03CB2083"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本項通過決議11項：</w:t>
      </w:r>
    </w:p>
    <w:p w14:paraId="22AAE2D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衛生福利部於114年度中央政府前瞻基礎建設計畫第5期特別預算案第1目「城鄉建設」第1節「公共服務據點整備」編列6億1,935萬4千元。有鑑於衛生福利部於中央政府前瞻基礎建設計畫第5期特別預算案編列6億1,935萬4千元，其中3億3,051萬2千元用於補助地方政府、國立大學運用社區活動中心及閒置空間布建社區式長照機構，整建長照衛福據點。經查，114年我國老年人口將超過20%，113年度的長照服務發展基金收入777億元、支出828億元；114年度的長照服務發展基金收入為758億元、支出為879億元，均為入不敷出的短絀狀態。又根據學者估算長照服務發展基金將在117年破產，未來長照的問題恐非單純增加長照機構得以解決，並應考慮目前長照服務發展基金僅來源自稅收，是否應再開源的問題。爰凍結該項預算之十分之一，俟衛生福利部於1個月內，就我國推動長照保險法可行性及時程評估，向立法院財政及相關委員會提出書面報告後，始得動支。</w:t>
      </w:r>
    </w:p>
    <w:p w14:paraId="10CDDE47" w14:textId="63B662BA"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提案人：黃珊珊　陳昭姿　麥玉珍</w:t>
      </w:r>
    </w:p>
    <w:p w14:paraId="44D500C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根據113年度審計部中央政府總預算暨附屬單位預算案半年結算查核報告，衛生福利部就中央政府前瞻基礎建設計畫第4期特別預算截至113年上半年度執行進度僅55.7%，嚴重落後。又根據該部之中央政府前瞻基礎建設計畫第3期特別決算審核報告指出，衛生福利部自106年9月起辦理整建長照衛福據點計畫，計畫執行進度長期落後，中央政府前瞻基礎建設計畫第1期特別預算屆期4年，預算仍未執行完竣；中央政府前瞻基礎建設計畫第2期特別預算屆期2年，預算保留金額仍鉅且執行率偏低；中央政府前瞻基礎建設計畫第3期特別預算於111年底屆期，已歷時2年，卻仍無執行數。另查國家發展委員會依行政院函頒公共建設計畫審議、預警及退場機制，於107至110年度連續4年將整建長照衛福據點計畫評列為高風險</w:t>
      </w:r>
      <w:r w:rsidRPr="00BC7E20">
        <w:rPr>
          <w:rFonts w:ascii="標楷體" w:eastAsia="標楷體" w:hAnsi="標楷體" w:hint="eastAsia"/>
          <w:sz w:val="32"/>
          <w:szCs w:val="32"/>
        </w:rPr>
        <w:lastRenderedPageBreak/>
        <w:t>（紅燈）預警計畫，該會並建請衛生福利部確實辦理經費分階段核撥、落實退場機制、加速核定後續補助案件及修正放寬補助要點等因應對策。而中央政府前瞻基礎建設計畫第5期特別預算案中，衛生福利部於114年度又再編列預算4億元整建長照衛福據點計畫辦理之，其預算是否如實執行令人憂心，爰此，要求衛生福利部就該計畫向立法院財政及相關委員會提出書面報告。</w:t>
      </w:r>
    </w:p>
    <w:p w14:paraId="3A8C2BA9" w14:textId="4E4E419A"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提案人：蔡其昌　徐富癸　林俊憲</w:t>
      </w:r>
    </w:p>
    <w:p w14:paraId="2E73C9E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衛生福利部於114年度中央政府前瞻基礎建設計畫第5期特別預算案第1目「城鄉建設」第1節「公共服務據點整備」編列6億1,935萬4千元。據審計部統計，至113年9月30日為止，衛生福利部於中央政府前瞻基礎建設計畫第4期特別預算之「公共服務據點整備」預算僅執行34.60%。請衛生福利部就中央政府前瞻基礎建設計畫第4期特別預算之執行狀況檢討改進，以確保中央政府前瞻基礎建設計畫第5期特別預算案之執行能如規劃完成。請衛生福利部予以檢討並提出解決方案。爰要求衛生福利部於3個月內向立法院財政及相關委員會提出書面報告。</w:t>
      </w:r>
    </w:p>
    <w:p w14:paraId="2B15CF7B" w14:textId="34BE1F7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提案人：吳沛憶</w:t>
      </w:r>
    </w:p>
    <w:p w14:paraId="7EC5615E" w14:textId="00CD7096"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7535627C"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四)衛生福利部社會及家庭署於中央政府前瞻基礎建設計畫第5期特別預算案辦理因應少子化友善育兒空間建設包括增設或改善兒少緊急及中長期安置機構。然兒少安置除機構外，尚有保母安置等型態，鑑於113年發生之剴剴案，請衛生福利部就非機構型態安置，包括出養前安置，一併加強相關措施，並落實訪視機制與對辦理安置機構之督導，以保障兒少權益。</w:t>
      </w:r>
    </w:p>
    <w:p w14:paraId="1C101B52" w14:textId="1AAD114F"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提案人：吳沛憶</w:t>
      </w:r>
    </w:p>
    <w:p w14:paraId="30F4DE66" w14:textId="53C6BCB8"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3D04BF1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(五)衛生福利部於中央政府前瞻基礎建設計畫第5期特別預算案布建各類據點，包括社區式長照機構及長照創新整合型服務據</w:t>
      </w:r>
      <w:r w:rsidRPr="00BC7E20">
        <w:rPr>
          <w:rFonts w:ascii="標楷體" w:eastAsia="標楷體" w:hAnsi="標楷體" w:hint="eastAsia"/>
          <w:sz w:val="32"/>
          <w:szCs w:val="32"/>
        </w:rPr>
        <w:lastRenderedPageBreak/>
        <w:t>點、身心障礙社區式照顧服務據點、銀髮俱樂部、兒少緊急及中長期安置機構等等。然社會救助業務亦須據點布建。如無家者議題，目前全台各地均欠缺無家者安置資源，致使無家者跨縣市移動頻繁。以臺北市艋舺公園為例，非臺北市戶籍者為七成多，許多是在原居地難覓可供維生之資源，方移動至臺北市露宿。請衛生福利部於各縣市推動無家者之安置方案，並將其納入各縣市社福考核，以使衛福據點之型態更加完善。</w:t>
      </w:r>
    </w:p>
    <w:p w14:paraId="7A233BCD" w14:textId="18C4EDB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提案人：吳沛憶</w:t>
      </w:r>
    </w:p>
    <w:p w14:paraId="34BA2A00" w14:textId="32927E53"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64EA05A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六)衛生福利部國民健康署於中央政府前瞻基礎建設計畫第5期特別預算案辦理公共服務據點整備，包括設置銀髮俱樂部。然由於地方政府財力分級之緣故，臺北市之自籌率為100%，故無銀髮俱樂部之推動。但高齡健康促進議題無分縣市，臺北市更率先邁入超高齡化社會，65歲以上人口已逾20%，爰請衛生福利部規劃相關方案，以促進全國及臺北市長者之身心健康。</w:t>
      </w:r>
    </w:p>
    <w:p w14:paraId="00E7FF10" w14:textId="3EBE66C5"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提案人：吳沛憶</w:t>
      </w:r>
    </w:p>
    <w:p w14:paraId="5F30B40B" w14:textId="033E2F28"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6A7802C8"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七)整建長照衛福據點計畫-整建長照ABC據點，中央政府前瞻基礎建設計畫第5期特別預算案編列4億元，其中本科目編列3億3,051萬2千元，補助地方政府、國立大學運用社區活動中心及休閒空間，布建社區式長照機構及長照創新整合型服務據點等所需經費。根據台灣同志諮詢熱線協會2023台灣同志與家庭照顧網路調查分析報告顯示，是否出櫃是同志與家庭關係重要指標，影響同志對長照的準備和實踐。没有完全出櫃的同志，多數家庭關係有摩擦，長照同樣面對價值觀不同，讓原有衝突更衝突。調查顯示，在想像成為照顧者可能遇到的困難，八成完全沒出櫃者擔心與家人發生衝突，完全出櫃者則有六成擔心與家人衝突。至於對自身長照需求，如購買</w:t>
      </w:r>
      <w:r w:rsidRPr="00BC7E20">
        <w:rPr>
          <w:rFonts w:ascii="標楷體" w:eastAsia="標楷體" w:hAnsi="標楷體" w:hint="eastAsia"/>
          <w:sz w:val="32"/>
          <w:szCs w:val="32"/>
        </w:rPr>
        <w:lastRenderedPageBreak/>
        <w:t>保險、規劃身後事，以及與家人討論醫療規劃，如預立醫療決定，都是完全出櫃者明顯高於完全沒出櫃者。為保障老年同志權益，使我國長照服務更為多元共榮。爰要求衛生福利部諮詢同志性別團體，研議於社區宣導長照計畫時，納入更多同志平權議題，並於114年6月30日内向立法院財政及相關委員會提出書面報告。</w:t>
      </w:r>
    </w:p>
    <w:p w14:paraId="190F9078" w14:textId="13C4A17C"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提案人：范</w:t>
      </w: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雲　王正旭　林月琴</w:t>
      </w:r>
    </w:p>
    <w:p w14:paraId="05260EF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八)衛生福利部辦理因應少子化友善育兒空間建設業務，建構0至2歲兒童社區公共托育計畫，主要在推動社區公共托育設施、布建托育資源中心、整建兒少家庭福利館、增設或改善兒少緊急安置機構等，其公共托育建置場域包括社區及政府機關(構)等；以台中為例，113年度累計共設有45處，但台中年輕人口不斷移入，整體人口數在少子化衝擊下仍繼續攀升達到285萬人，優質平價的托育需求非常大，以目前托育資源配置仍有區域不均、名額不足、師資不夠、建置速度不夠快等問題，故請衛生福利部於補助地方推動友善育兒空間建設，應考量實際需求、未來人口成長趨勢、帶動城鄉均衡，作為補助重要依據。</w:t>
      </w:r>
    </w:p>
    <w:p w14:paraId="20188BCC" w14:textId="08F57E2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提案人：何欣純　陳素月　林俊憲</w:t>
      </w:r>
    </w:p>
    <w:p w14:paraId="68B7CCD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九)根據台灣健康聯盟籌備會調查顯示，68.5%民眾經常被迫接觸到殘留或飄散的煙味。煙味主要來自菸品燃燒之後所產生的各種物質，附著於吸菸者身上，隨著抽菸者移動，進而間接影響他人、幼童與寵物之健康。爰要求衛生福利部研議無二手菸傷害政策，才能減少吸菸者對於未吸菸者的健康傷害。</w:t>
      </w:r>
    </w:p>
    <w:p w14:paraId="6E39B1F0" w14:textId="715DADC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提案人：蘇清泉　涂權吉　陳菁徽</w:t>
      </w:r>
    </w:p>
    <w:p w14:paraId="366C249F" w14:textId="77777777" w:rsidR="009D64D0" w:rsidRPr="00BC7E20" w:rsidRDefault="009D64D0" w:rsidP="00F470A8">
      <w:pPr>
        <w:tabs>
          <w:tab w:val="left" w:pos="2268"/>
        </w:tabs>
        <w:kinsoku w:val="0"/>
        <w:overflowPunct w:val="0"/>
        <w:autoSpaceDE w:val="0"/>
        <w:spacing w:line="480" w:lineRule="exact"/>
        <w:ind w:leftChars="200" w:left="1120" w:hangingChars="200" w:hanging="640"/>
        <w:jc w:val="both"/>
        <w:rPr>
          <w:rFonts w:ascii="標楷體" w:eastAsia="標楷體" w:hAnsi="標楷體"/>
          <w:kern w:val="2"/>
          <w:sz w:val="32"/>
          <w:szCs w:val="32"/>
        </w:rPr>
      </w:pPr>
      <w:r w:rsidRPr="00BC7E20">
        <w:rPr>
          <w:rFonts w:ascii="標楷體" w:eastAsia="標楷體" w:hAnsi="標楷體" w:hint="eastAsia"/>
          <w:sz w:val="32"/>
          <w:szCs w:val="32"/>
        </w:rPr>
        <w:t>(十)近日衛生福利部中央健康保險署署長石崇良也拋出調整健保收入結構的想法，政府可能從調整補充保費下手，更有學者建議提高消費稅或是營利事業所得稅來挹注健保經費缺口。為避免造成萬物齊漲之效果，爰要求衛生福利部應加速指定</w:t>
      </w:r>
      <w:r w:rsidRPr="00BC7E20">
        <w:rPr>
          <w:rFonts w:ascii="標楷體" w:eastAsia="標楷體" w:hAnsi="標楷體" w:hint="eastAsia"/>
          <w:sz w:val="32"/>
          <w:szCs w:val="32"/>
        </w:rPr>
        <w:lastRenderedPageBreak/>
        <w:t>菸品之審查程序，減少指定菸品之走私問題，讓指定菸品的菸稅與健康福利捐能補足部分健康福利經費之缺口。</w:t>
      </w:r>
    </w:p>
    <w:p w14:paraId="6DC5B8E8" w14:textId="62A5F1B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提案人：蘇清泉　涂權吉　陳菁徽</w:t>
      </w:r>
    </w:p>
    <w:p w14:paraId="5553919E" w14:textId="77777777" w:rsidR="009D64D0" w:rsidRPr="00BC7E20" w:rsidRDefault="009D64D0" w:rsidP="00F470A8">
      <w:pPr>
        <w:kinsoku w:val="0"/>
        <w:overflowPunct w:val="0"/>
        <w:autoSpaceDE w:val="0"/>
        <w:spacing w:line="480" w:lineRule="exact"/>
        <w:ind w:leftChars="200" w:left="1440" w:hangingChars="300" w:hanging="960"/>
        <w:jc w:val="both"/>
        <w:rPr>
          <w:rFonts w:ascii="標楷體" w:eastAsia="標楷體" w:hAnsi="標楷體"/>
          <w:kern w:val="0"/>
          <w:sz w:val="32"/>
          <w:szCs w:val="32"/>
        </w:rPr>
      </w:pPr>
      <w:r w:rsidRPr="00BC7E20">
        <w:rPr>
          <w:rFonts w:ascii="標楷體" w:eastAsia="標楷體" w:hAnsi="標楷體" w:hint="eastAsia"/>
          <w:sz w:val="32"/>
          <w:szCs w:val="32"/>
        </w:rPr>
        <w:t>(十一)為了因應少子化，連續編列了共4期的建構0至2歲兒童社區公共托育計畫，預算總數54億4,891萬1千元，累計到113年6月底止，前4期中央政府前瞻基礎建設計畫特別預算實現數及應付數為31億1,340萬2千元，預算執行率是72.15%。前4期中央政府前瞻基礎建設計畫特別預算執行率只有七成多，除了預算執行期間的營建成本上漲，導致多次流標；還有行政作業程序繁瑣等其他原因。此次中央政府前瞻基礎建設計畫第5期特別預算案，對於建構0至2歲兒童社區公共托育計畫繼續編列4億7,244萬元，爰要求衛生福利部應優先考量有迫切實際需求的鄉鎮所提出的0至2歲兒童社區公共托育計畫，提高預算執行率，以因應少子化的問題。</w:t>
      </w:r>
    </w:p>
    <w:p w14:paraId="020645A0" w14:textId="0AF82D96"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提案人：謝衣鳯　邱若華　羅明才</w:t>
      </w:r>
    </w:p>
    <w:p w14:paraId="45A9BBD4"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第2項  食品藥物管理署</w:t>
      </w:r>
      <w:r w:rsidRPr="00BC7E20">
        <w:rPr>
          <w:rFonts w:ascii="標楷體" w:eastAsia="標楷體" w:hAnsi="標楷體" w:hint="eastAsia"/>
          <w:sz w:val="32"/>
          <w:szCs w:val="32"/>
        </w:rPr>
        <w:t>13億5,000萬元，照列。</w:t>
      </w:r>
    </w:p>
    <w:p w14:paraId="1B979068"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208BAED7"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有鑑於衛生福利部自中央政府前瞻基礎建設計畫第4期特別預算中執行食品安全建設業務績效甚為不彰，至今仍無法有效彌補現代化食品藥物國家級實驗大樓及教育訓練大樓興建計畫執行率落後之情形，有鑑於衛生福利部食品藥物管理署原訂計畫應於116年完工，惟今前瞻基礎建設計畫特別預算官方網站又稱相關期程延至120年，前後資訊反覆，實難以確認該計畫之執行狀況，是以考量中央政府前瞻基礎建設計畫第5期特別預算案審議之際乃應先行有效檢討，並確立後續作業不會再發生此類情形，如此方屬合理。復以，食安建設總預算占整體中央政府前瞻基礎建設計畫第5期特別預算案僅1.9%，比例實在過低，恐無法有效建立國人對施政之把關信任，爰為保障國人食安權益，爰凍結第1目「食品安全建設」預算13億5,000萬元之十分之一，俟衛生福利部食品藥物管理署於3</w:t>
      </w:r>
      <w:r w:rsidRPr="00BC7E20">
        <w:rPr>
          <w:rFonts w:ascii="標楷體" w:eastAsia="標楷體" w:hAnsi="標楷體" w:hint="eastAsia"/>
          <w:sz w:val="32"/>
          <w:szCs w:val="32"/>
        </w:rPr>
        <w:lastRenderedPageBreak/>
        <w:t>個月內向立法院財政及相關委員會提出書面報告後，始得動支。</w:t>
      </w:r>
    </w:p>
    <w:p w14:paraId="29BF2567" w14:textId="65325A5C"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王鴻薇　牛煦庭</w:t>
      </w:r>
    </w:p>
    <w:p w14:paraId="250ABC3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有鑑於衛生福利部食品藥物管理署於114年度中央政府前瞻基礎建設計畫第5期特別預算案第1目「食品安全建設」編列13億5,000萬元，興建實驗大樓及行政訓練大樓等經費；考量政府債務舉借金額逐年增加，是項經費可予精簡，以減少公帑支出。爰凍結該項預算十分之一，俟衛生福利部食品藥物管理署向立法院財政及相關委員會提出專案報告並經同意後，始可動支。</w:t>
      </w:r>
    </w:p>
    <w:p w14:paraId="27E3044A" w14:textId="067A1CD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提案人：賴士葆　陳玉珍　林德福</w:t>
      </w:r>
    </w:p>
    <w:p w14:paraId="4B2845D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2"/>
          <w:sz w:val="32"/>
          <w:szCs w:val="32"/>
        </w:rPr>
      </w:pPr>
      <w:r w:rsidRPr="00BC7E20">
        <w:rPr>
          <w:rFonts w:ascii="標楷體" w:eastAsia="標楷體" w:hAnsi="標楷體" w:hint="eastAsia"/>
          <w:sz w:val="32"/>
          <w:szCs w:val="32"/>
        </w:rPr>
        <w:t>(三)有鑑於衛生福利部食品藥物管理署於114年度中央政府前瞻基礎建設計畫第5期特別預算案第1目「食品安全建設」編列13億5,000萬元，用於強化衛生單位食安治理檢驗效能及品質、提升新興傳染性疾病醫藥品及食因性病原檢驗研究量能及標準化等。近年來越南牡蠣進口量逐年增加，嚴重打擊到台灣牡蠣，進出口資料顯示，110年進口越南牡蠣1,786公噸，111年增為3,023公噸，到了112年已躍增至4,065公噸。過去越南牡蠣曾多次被驗出諾羅病毒以及無機砷、鎘等重金屬超標，但經查，統計113年度截至3月，衛生福利部食品藥物管理署受理自越南輸入生鮮牡蠣計530批，檢驗67批，檢驗率僅12.64%，未達當初要求之檢驗率，抽驗率顯然不足。為保障國民食品衛生安全，並維護我國牡蠣不受進口蚵之衝擊，造成國產牡蠣市場需求受影響，爰要求衛生福利部食品藥物管理署應對進口蚵加強查核，並研議將邊境抽驗率提高至百分之五十，以確保消費者以及我國漁民權益。</w:t>
      </w:r>
    </w:p>
    <w:p w14:paraId="630C9429" w14:textId="70D997F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提案人：林俊憲</w:t>
      </w:r>
    </w:p>
    <w:p w14:paraId="749CCC2C" w14:textId="01CC5AAF"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連署人：羅美玲　李坤城</w:t>
      </w:r>
    </w:p>
    <w:p w14:paraId="3E51A7AD"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第3項  國民健康署</w:t>
      </w:r>
      <w:r w:rsidRPr="00BC7E20">
        <w:rPr>
          <w:rFonts w:ascii="標楷體" w:eastAsia="標楷體" w:hAnsi="標楷體" w:hint="eastAsia"/>
          <w:sz w:val="32"/>
          <w:szCs w:val="32"/>
        </w:rPr>
        <w:t>8億7,704萬6千元，照列。</w:t>
      </w:r>
    </w:p>
    <w:p w14:paraId="5D9A5CB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本項通過決議3項：</w:t>
      </w:r>
    </w:p>
    <w:p w14:paraId="05E362D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sz w:val="32"/>
          <w:szCs w:val="32"/>
        </w:rPr>
      </w:pPr>
      <w:r w:rsidRPr="00BC7E20">
        <w:rPr>
          <w:rFonts w:ascii="標楷體" w:eastAsia="標楷體" w:hAnsi="標楷體" w:hint="eastAsia"/>
          <w:sz w:val="32"/>
          <w:szCs w:val="32"/>
        </w:rPr>
        <w:lastRenderedPageBreak/>
        <w:t>(一)衛生福利部國民健康署於114年度中央政府前瞻基礎建設計畫第5期特別預算案第1目「城鄉建設」第1節「公共服務據點整備」編列8億7,704萬6千元，辦理整建長照衛福據點計畫、地方衛生機關及社區活動中心建物整建，以及銀髮健身俱樂部補助計畫。根據113年度審計部中央政府總預算暨附屬單位預算案半年結算查核報告，衛生福利部國民健康署之113年公共服務據點整備預算分配數1億3,200萬元，但上半年僅執行2,700萬元，執行率僅有27%，連一半都不到，該執行成效有待檢討，而中央政府前瞻基礎建設計畫第5期特別預算案中，衛生福利部於114年度又再編列預算4億元整建長照衛福據點計畫辦理之，其預算是否如實執行令人憂心。爰要求衛生福利部國民健康署於3個月內向立法院財政及相關委員會提出書面報告。</w:t>
      </w:r>
    </w:p>
    <w:p w14:paraId="7F52EEAC" w14:textId="0E802A93"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提案人：蔡其昌　徐富癸　林俊憲</w:t>
      </w:r>
    </w:p>
    <w:p w14:paraId="2B9B3B4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衛生福利部國民健康署於114年度中央政府前瞻基礎建設計畫第5期特別預算案第1目「城鄉建設」第1節「公共服務據點整備」編列8億7,704萬6千元。據審計部統計，至113年9月30日為止衛生福利部國民健康署中央政府前瞻基礎建設計畫第4期特別預算公共服務據點整備預算僅執行35.38%。請衛生福利部國民健康署就中央政府前瞻基礎建設計畫第4期特別預算之執行狀況檢討改進，以確保中央政府前瞻基礎建設計畫第5期特別預算案之執行能如規劃完成。爰要求衛生福利部國民健康署於3個月內向立法院財政及相關委員會提出書面報告。</w:t>
      </w:r>
    </w:p>
    <w:p w14:paraId="7D3D6010" w14:textId="78C062B3"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提案人：吳沛憶</w:t>
      </w:r>
    </w:p>
    <w:p w14:paraId="369B4724" w14:textId="6A6A5A7B"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7E04F75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三)110至111年度中央政府前瞻基礎建設計畫第3期特別預算有關地方政府衛生局(所)項目改由衛生福利部國民健康署執行部分，其法定預算數為9,907萬5千元，截至113年8月底已撥付地方政府之累計實現數為4,605萬6千元，占法定預算數比率為46.49%，尚未達五成，若加計地方政府已請款但尚未撥付</w:t>
      </w:r>
      <w:r w:rsidRPr="00BC7E20">
        <w:rPr>
          <w:rFonts w:ascii="標楷體" w:eastAsia="標楷體" w:hAnsi="標楷體" w:hint="eastAsia"/>
          <w:sz w:val="32"/>
          <w:szCs w:val="32"/>
        </w:rPr>
        <w:lastRenderedPageBreak/>
        <w:t>之應付數227萬9千元、地方政府依實際工程金額最終未請款之賸餘數641萬6千元，其占法定預算數比率則為55.26%。至於112至113年度中央政府前瞻基礎建設計畫第4期特別預算，地方政府目前則均未請款。鑑於114年度中央政府前瞻基礎建設計畫第5期特別預算案衛生福利部國民健康署仍持續編列相關重建工程預算，且金額達7億2,755萬8千元，為前2期中央政府前瞻基礎建設計畫特別預算加總之4.54倍，預算執行恐出問題。爰要求衛生福利部國民健康署於3個月內向立法院財政及相關委員會提出書面報告。</w:t>
      </w:r>
    </w:p>
    <w:p w14:paraId="1F916E1E" w14:textId="15E9D235"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提案人：蘇清泉　涂權吉　陳菁徽</w:t>
      </w:r>
    </w:p>
    <w:p w14:paraId="293A40A7"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kern w:val="2"/>
          <w:sz w:val="32"/>
          <w:szCs w:val="32"/>
        </w:rPr>
      </w:pPr>
      <w:r w:rsidRPr="00BC7E20">
        <w:rPr>
          <w:rFonts w:ascii="標楷體" w:eastAsia="標楷體" w:hAnsi="標楷體" w:hint="eastAsia"/>
          <w:b/>
          <w:sz w:val="32"/>
          <w:szCs w:val="32"/>
        </w:rPr>
        <w:t>第4項  社會及家庭署</w:t>
      </w:r>
      <w:r w:rsidRPr="00BC7E20">
        <w:rPr>
          <w:rFonts w:ascii="標楷體" w:eastAsia="標楷體" w:hAnsi="標楷體" w:hint="eastAsia"/>
          <w:sz w:val="32"/>
          <w:szCs w:val="32"/>
        </w:rPr>
        <w:t>5億7,104萬元，照列。</w:t>
      </w:r>
    </w:p>
    <w:p w14:paraId="3ACF12A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sz w:val="32"/>
          <w:szCs w:val="32"/>
        </w:rPr>
      </w:pPr>
      <w:r w:rsidRPr="00BC7E20">
        <w:rPr>
          <w:rFonts w:ascii="標楷體" w:eastAsia="標楷體" w:hAnsi="標楷體" w:hint="eastAsia"/>
          <w:sz w:val="32"/>
          <w:szCs w:val="32"/>
        </w:rPr>
        <w:t>本項通過決議2項：</w:t>
      </w:r>
    </w:p>
    <w:p w14:paraId="350B24D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一)衛生福利部社會及家庭署於114年度中央政府前瞻基礎建設計畫第5期特別預算案第1目「城鄉建設」第1節「公共服務據點整備」編列9,860萬元。查審計部統計，至113年9月30日為止，衛生福利部社會及家庭署於中央政府前瞻基礎建設計畫第4期特別預算之「公共服務據點整備」預算僅執行56.9%。請衛生福利部社會及家庭署就中央政府前瞻基礎建設計畫第4期特別預算之執行狀況檢討改進，以確保中央政府前瞻基礎建設計畫第5期特別預算案之執行能如規劃完成。爰要求衛生福利部社會及家庭署於3個月內向立法院財政及相關委員會提出書面報告。</w:t>
      </w:r>
    </w:p>
    <w:p w14:paraId="0790872D" w14:textId="0D9BF359"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提案人：吳沛憶</w:t>
      </w:r>
    </w:p>
    <w:p w14:paraId="4E9E78A0" w14:textId="05E1191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林月琴</w:t>
      </w:r>
    </w:p>
    <w:p w14:paraId="30868391"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kern w:val="0"/>
          <w:sz w:val="32"/>
          <w:szCs w:val="32"/>
        </w:rPr>
      </w:pPr>
      <w:r w:rsidRPr="00BC7E20">
        <w:rPr>
          <w:rFonts w:ascii="標楷體" w:eastAsia="標楷體" w:hAnsi="標楷體" w:hint="eastAsia"/>
          <w:sz w:val="32"/>
          <w:szCs w:val="32"/>
        </w:rPr>
        <w:t>(二)衛生福利部社會及家庭署於114年度中央政府前瞻基礎建設計畫第5期特別預算案第2目「因應少子化友善育兒空間建設」之「建構0至2歲兒童社區公共托育計畫」編列4億7,244萬元，旨在充實社區公共托育資源，推動友善育兒空間，以應對少子化趨勢，並提升家長托育服務的可近性與便利性。然而，檢視截至113年6月底的執行情形，前4期中央政府前瞻基礎</w:t>
      </w:r>
      <w:r w:rsidRPr="00BC7E20">
        <w:rPr>
          <w:rFonts w:ascii="標楷體" w:eastAsia="標楷體" w:hAnsi="標楷體" w:hint="eastAsia"/>
          <w:sz w:val="32"/>
          <w:szCs w:val="32"/>
        </w:rPr>
        <w:lastRenderedPageBreak/>
        <w:t>建設計畫特別預算中，部分工作項目之累計預算達成率未及七成，顯示計畫執行進度明顯滯後。此外，部分績效指標連續2年未達標，反映執行成效與政策目標之間存有落差，可能影響計畫預期之政策成果。爰建請衛生福利部社會及家庭署應針對計畫中執行進度滯後的項目進行全面檢討，找出執行瓶頸，並強化專案管理及執行監控機制，確保計畫按時推進。同時，應檢討現行績效指標的設計及其衡量標準，確保其具體性及適切性，並加強與地方政府及相關單位的協調合作，提升執行效率與資源運用效益，以確保計畫目標之全面達成。爰要求衛生福利部社會及家庭署於3個月內向立法院財政及相關委員會提出書面報告。</w:t>
      </w:r>
    </w:p>
    <w:p w14:paraId="33722BAA" w14:textId="09611553"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提案人：張雅琳</w:t>
      </w:r>
    </w:p>
    <w:p w14:paraId="3E01F85E" w14:textId="0F5F6874"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6CA1FF4B"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kern w:val="2"/>
          <w:sz w:val="32"/>
          <w:szCs w:val="32"/>
        </w:rPr>
      </w:pPr>
      <w:r w:rsidRPr="00BC7E20">
        <w:rPr>
          <w:rFonts w:ascii="標楷體" w:eastAsia="標楷體" w:hAnsi="標楷體" w:hint="eastAsia"/>
          <w:b/>
          <w:sz w:val="32"/>
          <w:szCs w:val="32"/>
        </w:rPr>
        <w:t>第11款  環境部主管</w:t>
      </w:r>
    </w:p>
    <w:p w14:paraId="1DCBD596"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sz w:val="32"/>
          <w:szCs w:val="32"/>
        </w:rPr>
      </w:pPr>
      <w:r w:rsidRPr="00BC7E20">
        <w:rPr>
          <w:rFonts w:ascii="標楷體" w:eastAsia="標楷體" w:hAnsi="標楷體" w:hint="eastAsia"/>
          <w:b/>
          <w:sz w:val="32"/>
          <w:szCs w:val="32"/>
        </w:rPr>
        <w:t>第1項  環境部</w:t>
      </w:r>
      <w:r w:rsidRPr="00BC7E20">
        <w:rPr>
          <w:rFonts w:ascii="標楷體" w:eastAsia="標楷體" w:hAnsi="標楷體" w:hint="eastAsia"/>
          <w:sz w:val="32"/>
          <w:szCs w:val="32"/>
        </w:rPr>
        <w:t>5</w:t>
      </w:r>
      <w:r w:rsidRPr="00BC7E20">
        <w:rPr>
          <w:rFonts w:ascii="標楷體" w:eastAsia="標楷體" w:hAnsi="標楷體" w:cs="新細明體" w:hint="eastAsia"/>
          <w:kern w:val="0"/>
          <w:sz w:val="32"/>
          <w:szCs w:val="32"/>
        </w:rPr>
        <w:t>億6,155萬4千元</w:t>
      </w:r>
      <w:r w:rsidRPr="00BC7E20">
        <w:rPr>
          <w:rFonts w:ascii="標楷體" w:eastAsia="標楷體" w:hAnsi="標楷體" w:hint="eastAsia"/>
          <w:sz w:val="32"/>
          <w:szCs w:val="32"/>
        </w:rPr>
        <w:t>，照列。</w:t>
      </w:r>
    </w:p>
    <w:p w14:paraId="2FCDA05A" w14:textId="77777777" w:rsidR="009D64D0" w:rsidRPr="00BC7E20" w:rsidRDefault="009D64D0" w:rsidP="00725FA0">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本項通過決議1項：</w:t>
      </w:r>
    </w:p>
    <w:p w14:paraId="7E8D73C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sz w:val="32"/>
          <w:szCs w:val="32"/>
        </w:rPr>
      </w:pPr>
      <w:r w:rsidRPr="00BC7E20">
        <w:rPr>
          <w:rFonts w:ascii="標楷體" w:eastAsia="標楷體" w:hAnsi="標楷體" w:hint="eastAsia"/>
          <w:color w:val="000000"/>
          <w:sz w:val="32"/>
          <w:szCs w:val="32"/>
        </w:rPr>
        <w:t>(一)臺南市二仁溪早期因周遭盛行廢五金回收，大量工業廢水排入致重度污染。近年污染程度逐步好轉，惟沿岸仍有電子廢棄物尚待清理，漲退潮時河水將重金屬物溶入河川。查環境部統計，二仁溪總長65.2公里，僅800公尺未受污染；112年污染指數為5.19，屬中度污染，較106年污染指數3.36更高，顯見污染情形持續且微幅上升。依臺南市政府提出二仁溪河道廢棄物清理實施計畫第二期，沿岸尚待清理區域分為A、B、C、D四處，共計1萬3,966噸電子廢棄物需清理，其中臺南市管轄3處共計1萬0,330噸廢棄物，預估總經費共7.23億元。目前臺南市政府已透過B場址試驗計畫檢測出當地泥沙土含有重金屬及戴奧辛污染，已長期嚴重影響當地居民生命安全及生態保育。鑑於經費龐大且攸關人民居住安全及河川生態保育，爰要求環境部於3個月內針對如何編列經費來源及協助清理向立法院財政及相關委員會提出書面報告。</w:t>
      </w:r>
    </w:p>
    <w:p w14:paraId="139EDC3B" w14:textId="0BFA820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提案人：林俊憲　賴惠員</w:t>
      </w:r>
    </w:p>
    <w:p w14:paraId="5073758F" w14:textId="29094544"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連署人：王美惠　黃　捷　</w:t>
      </w:r>
    </w:p>
    <w:p w14:paraId="7871DCA4" w14:textId="55EDFFFB" w:rsidR="009D64D0" w:rsidRPr="00BC7E20" w:rsidRDefault="009D64D0" w:rsidP="00F470A8">
      <w:pPr>
        <w:kinsoku w:val="0"/>
        <w:overflowPunct w:val="0"/>
        <w:autoSpaceDE w:val="0"/>
        <w:spacing w:line="480" w:lineRule="exact"/>
        <w:ind w:leftChars="200" w:left="1697" w:hangingChars="380" w:hanging="1217"/>
        <w:jc w:val="both"/>
        <w:rPr>
          <w:rFonts w:ascii="標楷體" w:eastAsia="標楷體" w:hAnsi="標楷體"/>
          <w:color w:val="000000"/>
          <w:sz w:val="32"/>
          <w:szCs w:val="32"/>
        </w:rPr>
      </w:pPr>
      <w:r w:rsidRPr="00BC7E20">
        <w:rPr>
          <w:rFonts w:ascii="標楷體" w:eastAsia="標楷體" w:hAnsi="標楷體" w:hint="eastAsia"/>
          <w:b/>
          <w:color w:val="000000"/>
          <w:sz w:val="32"/>
          <w:szCs w:val="32"/>
        </w:rPr>
        <w:t>第2項</w:t>
      </w:r>
      <w:r w:rsidR="00725FA0" w:rsidRPr="00EB155B">
        <w:rPr>
          <w:rFonts w:ascii="標楷體" w:eastAsia="標楷體" w:hAnsi="標楷體" w:hint="eastAsia"/>
          <w:kern w:val="0"/>
          <w:sz w:val="32"/>
          <w:szCs w:val="32"/>
        </w:rPr>
        <w:t xml:space="preserve">　</w:t>
      </w:r>
      <w:r w:rsidRPr="00BC7E20">
        <w:rPr>
          <w:rFonts w:ascii="標楷體" w:eastAsia="標楷體" w:hAnsi="標楷體" w:hint="eastAsia"/>
          <w:b/>
          <w:color w:val="000000"/>
          <w:sz w:val="32"/>
          <w:szCs w:val="32"/>
        </w:rPr>
        <w:t>氣候變遷署</w:t>
      </w:r>
      <w:r w:rsidRPr="00BC7E20">
        <w:rPr>
          <w:rFonts w:ascii="標楷體" w:eastAsia="標楷體" w:hAnsi="標楷體" w:hint="eastAsia"/>
          <w:color w:val="000000"/>
          <w:sz w:val="32"/>
          <w:szCs w:val="32"/>
        </w:rPr>
        <w:t>原列4億4,200萬元，減列第1目「綠能建設」350萬元(科目自行調整)，其餘均照列，改列為4億3,850萬元。</w:t>
      </w:r>
    </w:p>
    <w:p w14:paraId="432A7CC9"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本項通過決議1項：</w:t>
      </w:r>
    </w:p>
    <w:p w14:paraId="5001F293"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環境部氣候變遷署於114年度中央政府前瞻基礎建設計畫第5期特別預算案第1目「綠能建設」編列用以推動低碳永續社區認證及建構韌性家園計畫預算3億元，是將淨零綠生活概念導入低碳永續家園推動等所需經費。爰要求應考量城鄉平衡，應在資源相對不足地區建立示範點，更彰顯特別預算要推動低碳永續環境的政策目的。</w:t>
      </w:r>
    </w:p>
    <w:p w14:paraId="75C3DD25" w14:textId="073C6071"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提案人：謝衣鳯　邱若華　羅明才　</w:t>
      </w:r>
    </w:p>
    <w:p w14:paraId="7607DC49"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s="新細明體"/>
          <w:color w:val="000000"/>
          <w:kern w:val="0"/>
          <w:sz w:val="32"/>
          <w:szCs w:val="32"/>
        </w:rPr>
      </w:pPr>
      <w:r w:rsidRPr="00BC7E20">
        <w:rPr>
          <w:rFonts w:ascii="標楷體" w:eastAsia="標楷體" w:hAnsi="標楷體" w:hint="eastAsia"/>
          <w:b/>
          <w:sz w:val="32"/>
          <w:szCs w:val="32"/>
        </w:rPr>
        <w:t xml:space="preserve">第3項  </w:t>
      </w:r>
      <w:r w:rsidRPr="00BC7E20">
        <w:rPr>
          <w:rFonts w:ascii="標楷體" w:eastAsia="標楷體" w:hAnsi="標楷體" w:hint="eastAsia"/>
          <w:b/>
          <w:color w:val="000000"/>
          <w:sz w:val="32"/>
          <w:szCs w:val="32"/>
        </w:rPr>
        <w:t>環境管理署</w:t>
      </w:r>
      <w:r w:rsidRPr="00BC7E20">
        <w:rPr>
          <w:rFonts w:ascii="標楷體" w:eastAsia="標楷體" w:hAnsi="標楷體" w:hint="eastAsia"/>
          <w:color w:val="000000"/>
          <w:sz w:val="32"/>
          <w:szCs w:val="32"/>
        </w:rPr>
        <w:t>1,424</w:t>
      </w:r>
      <w:r w:rsidRPr="00BC7E20">
        <w:rPr>
          <w:rFonts w:ascii="標楷體" w:eastAsia="標楷體" w:hAnsi="標楷體" w:cs="新細明體" w:hint="eastAsia"/>
          <w:color w:val="000000"/>
          <w:kern w:val="0"/>
          <w:sz w:val="32"/>
          <w:szCs w:val="32"/>
        </w:rPr>
        <w:t>萬6千元</w:t>
      </w:r>
      <w:r w:rsidRPr="00BC7E20">
        <w:rPr>
          <w:rFonts w:ascii="標楷體" w:eastAsia="標楷體" w:hAnsi="標楷體" w:hint="eastAsia"/>
          <w:color w:val="000000"/>
          <w:sz w:val="32"/>
          <w:szCs w:val="32"/>
        </w:rPr>
        <w:t>，照列。</w:t>
      </w:r>
    </w:p>
    <w:p w14:paraId="269AC280"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kern w:val="0"/>
          <w:sz w:val="32"/>
          <w:szCs w:val="32"/>
        </w:rPr>
      </w:pPr>
      <w:r w:rsidRPr="00BC7E20">
        <w:rPr>
          <w:rFonts w:ascii="標楷體" w:eastAsia="標楷體" w:hAnsi="標楷體" w:hint="eastAsia"/>
          <w:b/>
          <w:color w:val="000000"/>
          <w:sz w:val="32"/>
          <w:szCs w:val="32"/>
        </w:rPr>
        <w:t>第4項  國家環境研究院</w:t>
      </w:r>
      <w:r w:rsidRPr="00BC7E20">
        <w:rPr>
          <w:rFonts w:ascii="標楷體" w:eastAsia="標楷體" w:hAnsi="標楷體" w:hint="eastAsia"/>
          <w:color w:val="000000"/>
          <w:sz w:val="32"/>
          <w:szCs w:val="32"/>
        </w:rPr>
        <w:t>2,800</w:t>
      </w:r>
      <w:r w:rsidRPr="00BC7E20">
        <w:rPr>
          <w:rFonts w:ascii="標楷體" w:eastAsia="標楷體" w:hAnsi="標楷體" w:cs="新細明體" w:hint="eastAsia"/>
          <w:color w:val="000000"/>
          <w:kern w:val="0"/>
          <w:sz w:val="32"/>
          <w:szCs w:val="32"/>
        </w:rPr>
        <w:t>萬元</w:t>
      </w:r>
      <w:r w:rsidRPr="00BC7E20">
        <w:rPr>
          <w:rFonts w:ascii="標楷體" w:eastAsia="標楷體" w:hAnsi="標楷體" w:hint="eastAsia"/>
          <w:color w:val="000000"/>
          <w:sz w:val="32"/>
          <w:szCs w:val="32"/>
        </w:rPr>
        <w:t>，照列。</w:t>
      </w:r>
    </w:p>
    <w:p w14:paraId="1A246438"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color w:val="000000"/>
          <w:kern w:val="2"/>
          <w:sz w:val="32"/>
          <w:szCs w:val="32"/>
        </w:rPr>
      </w:pPr>
      <w:r w:rsidRPr="00BC7E20">
        <w:rPr>
          <w:rFonts w:ascii="標楷體" w:eastAsia="標楷體" w:hAnsi="標楷體" w:hint="eastAsia"/>
          <w:b/>
          <w:color w:val="000000"/>
          <w:sz w:val="32"/>
          <w:szCs w:val="32"/>
        </w:rPr>
        <w:t>第12款  文化部主管</w:t>
      </w:r>
    </w:p>
    <w:p w14:paraId="01258945" w14:textId="77777777" w:rsidR="009D64D0" w:rsidRPr="00BC7E20" w:rsidRDefault="009D64D0" w:rsidP="00F470A8">
      <w:pPr>
        <w:kinsoku w:val="0"/>
        <w:overflowPunct w:val="0"/>
        <w:autoSpaceDE w:val="0"/>
        <w:spacing w:line="480" w:lineRule="exact"/>
        <w:ind w:leftChars="89" w:left="854" w:hangingChars="200"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本款通過決議2項：</w:t>
      </w:r>
    </w:p>
    <w:p w14:paraId="180FD623" w14:textId="77777777" w:rsidR="009D64D0" w:rsidRPr="00BC7E20" w:rsidRDefault="009D64D0" w:rsidP="00F470A8">
      <w:pPr>
        <w:overflowPunct w:val="0"/>
        <w:autoSpaceDE w:val="0"/>
        <w:spacing w:line="480" w:lineRule="exact"/>
        <w:ind w:left="928" w:hanging="640"/>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文化部主管於114年度中央政府前瞻基礎建設計畫第5期特別預算案「數位建設」計畫項下合計編列2億8,318萬8千元，辦理「影音場域之5G創新應用領航-影視音類計畫」、「5G內容力技術力跨域創新生態系計畫」、「強化公部門網路服務與運算雲端基礎設施－文化部雲世代雲端基礎建設計畫」及「國家文化記憶庫及數位博物館應用－國家文化記憶庫計畫2.0」等4項子計畫，旨在推動文化數位化，強化數位創新應用，提升國家文化記憶保存與普及化程度。然檢視中央政府前瞻基礎建設計畫第4期特別預算執行情形，部分子計畫（如「影音場域之5G創新應用領航-影視音類計畫」及「國家文化記憶庫計畫2.0」）執行率未盡理想，影響計畫預期成效。特別是文化部主管資料庫的開放程度尚有進一步提升空間，部分數據未能有效提供給大眾檢索與應用，限制了其價值的全面發揮。爰建請文化部應加</w:t>
      </w:r>
      <w:r w:rsidRPr="00BC7E20">
        <w:rPr>
          <w:rFonts w:ascii="標楷體" w:eastAsia="標楷體" w:hAnsi="標楷體" w:hint="eastAsia"/>
          <w:color w:val="000000"/>
          <w:sz w:val="32"/>
          <w:szCs w:val="32"/>
        </w:rPr>
        <w:lastRenderedPageBreak/>
        <w:t>強進度管控機制，針對執行落後之計畫進行瓶頸分析，確保後續計畫如期如質完成。同時，應持續推動國家文化記憶庫的資料開放，優化檢索與應用功能，增強大眾使用便利性，並結合跨單位合作，促進文化資源於學術、教育及產業領域的多元化應用，以充分發揮其政策效益。爰凍結該項預算100萬元，俟文化部及所屬於3個月內向立法院財政及相關委員會提出書面報告後，始得動支。</w:t>
      </w:r>
    </w:p>
    <w:p w14:paraId="3296CDCA" w14:textId="5256D008"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5E6191E4" w14:textId="1A88D585"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6026AF4E" w14:textId="77777777" w:rsidR="009D64D0" w:rsidRPr="00BC7E20" w:rsidRDefault="009D64D0" w:rsidP="00F470A8">
      <w:pPr>
        <w:kinsoku w:val="0"/>
        <w:overflowPunct w:val="0"/>
        <w:autoSpaceDE w:val="0"/>
        <w:spacing w:line="480" w:lineRule="exact"/>
        <w:ind w:leftChars="89" w:left="854" w:hangingChars="200" w:hanging="640"/>
        <w:jc w:val="both"/>
        <w:rPr>
          <w:rFonts w:ascii="標楷體" w:eastAsia="標楷體" w:hAnsi="標楷體"/>
          <w:color w:val="000000"/>
          <w:sz w:val="32"/>
          <w:szCs w:val="32"/>
        </w:rPr>
      </w:pPr>
      <w:r w:rsidRPr="00BC7E20">
        <w:rPr>
          <w:rFonts w:ascii="標楷體" w:eastAsia="標楷體" w:hAnsi="標楷體" w:hint="eastAsia"/>
          <w:color w:val="000000"/>
          <w:sz w:val="32"/>
          <w:szCs w:val="32"/>
        </w:rPr>
        <w:t>(二)文化部主管於114年度中央政府前瞻基礎建設計畫第5期特別預算案「城鄉建設」編列9億元，賡續辦理文化生活圈建設計畫及公有藝文場館危險建築補強重建工作。本計畫主要透過補助地方政府辦理文化資產保存與發展、地方文化館舍升級等措施，提升文化場域服務能量，促進文化資源均衡發展。然檢視執行情形，部分已修復之文化場域因未及時營運，導致計畫執行效益未完全顯現。此外，其他機關過往辦理建物補強重建計畫亦有執行率欠佳及場館低度使用之問題，顯示相關計畫在執行監控與後續管理方面尚需改進。爰建請文化部應加強計畫審核及執行使用效益之管考機制，針對已修復但未營運之場域，應協助地方政府儘速排除營運障礙，確保設施功能得以早日發揮。同時，應參考過往執行經驗，確實依管考機制定期追蹤，促進場館的高效運用，並透過提升文化館舍之服務品質與功能，確保公共安全與政策目標之全面實現。請文化部及所屬於3個月內向立法院財政及相關委員會提出書面報告。</w:t>
      </w:r>
    </w:p>
    <w:p w14:paraId="472032D4" w14:textId="53551576"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394AD3A5" w14:textId="6D2D4A51"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06A6389D"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sz w:val="32"/>
          <w:szCs w:val="32"/>
        </w:rPr>
      </w:pPr>
      <w:r w:rsidRPr="00BC7E20">
        <w:rPr>
          <w:rFonts w:ascii="標楷體" w:eastAsia="標楷體" w:hAnsi="標楷體" w:hint="eastAsia"/>
          <w:b/>
          <w:color w:val="000000"/>
          <w:sz w:val="32"/>
          <w:szCs w:val="32"/>
        </w:rPr>
        <w:t>第1項  文化部</w:t>
      </w:r>
      <w:r w:rsidRPr="00BC7E20">
        <w:rPr>
          <w:rFonts w:ascii="標楷體" w:eastAsia="標楷體" w:hAnsi="標楷體" w:hint="eastAsia"/>
          <w:color w:val="000000"/>
          <w:sz w:val="32"/>
          <w:szCs w:val="32"/>
        </w:rPr>
        <w:t>9億4,788萬8千元，照列。</w:t>
      </w:r>
    </w:p>
    <w:p w14:paraId="31D68014"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本項通過決議4項：</w:t>
      </w:r>
    </w:p>
    <w:p w14:paraId="0CFC5D1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(一)文化部主管於114年度中央政府前瞻基礎建設計畫第5期特別預算案「城鄉建設」項下「文化生活圈建設計畫」，主要係推</w:t>
      </w:r>
      <w:r w:rsidRPr="00BC7E20">
        <w:rPr>
          <w:rFonts w:ascii="標楷體" w:eastAsia="標楷體" w:hAnsi="標楷體" w:hint="eastAsia"/>
          <w:color w:val="000000"/>
          <w:sz w:val="32"/>
          <w:szCs w:val="32"/>
        </w:rPr>
        <w:lastRenderedPageBreak/>
        <w:t>動文化保存、地方館舍升級、重建台灣藝術史及地方文化特色及藝文人口培育等工作，其中文化保存及地方館舍升級2項占比逾總經費預算80%。惟查，地方館舍升級工程興建部分，因受 COVID-19 疫情、缺工、缺料等因素影響，致工程進度與預算執行率不如預期；文化保存相關文化資產修護案件部分，因前期規劃作業延宕，並經多次流廢標，致執行進度不如預期，允宜研謀改善對策，趕上預期進度，並順利達成目標。綜上，請文化部於3個月內向立法院財政及相關委員會提出書面報告。</w:t>
      </w:r>
    </w:p>
    <w:p w14:paraId="488B8BA0" w14:textId="0DEEF27D"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提案人：林倩綺　</w:t>
      </w:r>
    </w:p>
    <w:p w14:paraId="2C785E48" w14:textId="072F6A6A"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連署人：鄭天財　呂玉玲　鄭正鈐</w:t>
      </w:r>
    </w:p>
    <w:p w14:paraId="20C5ABE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文化部國家文化記憶庫計畫2.0於114年度中央政府前瞻基礎建設計畫第5期特別預算案編列7,600萬元，以辦理臺灣文化與記憶之深化轉譯應用、發展線上共創平臺機制、推動公民參與當代蒐藏、整理在地知識。經查，文化部現設有國家文化記憶庫2.0、國家文化資料庫、國家文物典藏網以及國家文化資產網等數位文史資料庫平台。然數位資料庫間資料整合尚不完整，有業務內容重疊之虞。應納入更為完善之文史資料，舉凡地方文化局處、文獻館，地方文史工作者亦撰有地方誌，可為文化部國家文化記憶庫2.0所用，以完善全臺文史資源。為臺灣文史工作發展與完善現有數位文史資料庫，以達到文化記憶傳承之目的。請文化部偕同國立臺灣歷史博物館，召集專家與民間團體資訊會議，研議整合數位文史資源庫資料、利用數位科技對全民開放之有效方法，於114年6月30日內向立法院財政及相關委員會提出書面報告。</w:t>
      </w:r>
    </w:p>
    <w:p w14:paraId="5A5F814C" w14:textId="60C672C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提案人：范　雲</w:t>
      </w:r>
    </w:p>
    <w:p w14:paraId="1CF0210B" w14:textId="2D9CE59E"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連署人：王正旭　林月琴　</w:t>
      </w:r>
    </w:p>
    <w:p w14:paraId="43307412"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(三)文化部於114年度中央政府前瞻基礎建設計畫第5期特別預算案第2目「城鄉建設」編列7億4,070萬元，用於文化生活圈建設計畫以及公有危險建築補強重建(地方博物館、美術館、展</w:t>
      </w:r>
      <w:r w:rsidRPr="00BC7E20">
        <w:rPr>
          <w:rFonts w:ascii="標楷體" w:eastAsia="標楷體" w:hAnsi="標楷體" w:hint="eastAsia"/>
          <w:color w:val="000000"/>
          <w:sz w:val="32"/>
          <w:szCs w:val="32"/>
        </w:rPr>
        <w:lastRenderedPageBreak/>
        <w:t>覽館)計畫。惟針對文化部就該文化生活圈建設計畫之前期執行狀況，依審計部之中央政府前瞻基礎建設計畫第3期特別決算審核報告指出，其就全國博物館及地方文化館參與人口之整體效益指標，並未達到目標值；又對於補助地方政府辦理中臺灣電影中心新建工程於109年12月完工後，因該府辦理2次招商結果，均無人提出申請，已閒置逾2年等，但中央主管機關對於計畫執行完竣後使用效益之管考機制亦未臻周延，致未能據以審查受補助地方機關執行成果，並提出有效改善措施適時協助解決。另外，文化部於114年度中央政府前瞻基礎建設計畫第5期特別預算案編列2億0,070萬元新增辦理「公有危險建築補強重建－地方博物館、美術館、展覽館」，係補助地方政府辦理博物館、美術館、展覽館等藝文場館耐震評估補強及拆除重建工程等所需經費。衡酌內政部與經濟部於中央政府前瞻基礎建設計畫第1至3期特別預算「城鄉建設-公共服務據點整備」項下所編之「公有危險建築補強重建-地方辦公廳舍及村里活動中心」及「公有危險建築補強重建-公有零售市場計畫」，前揭計畫執行多年以來，迭有執行率欠佳，設施竣工後低度利用或閒置等情事，文化部辦理補助地方政府補強或拆除重建藝文場館，其審核與管考機制攸關計畫執行結果良窳、事涉民眾造訪之建築物安全。綜上，請文化部於3個月內向立法院財政及相關委員會提出書面報告。</w:t>
      </w:r>
    </w:p>
    <w:p w14:paraId="34E19E8C" w14:textId="7E57C9D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提案人：蔡其昌　林俊憲　徐富癸</w:t>
      </w:r>
    </w:p>
    <w:p w14:paraId="4E8C29B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2"/>
          <w:sz w:val="32"/>
          <w:szCs w:val="32"/>
        </w:rPr>
      </w:pPr>
      <w:r w:rsidRPr="00BC7E20">
        <w:rPr>
          <w:rFonts w:ascii="標楷體" w:eastAsia="標楷體" w:hAnsi="標楷體" w:hint="eastAsia"/>
          <w:color w:val="000000"/>
          <w:sz w:val="32"/>
          <w:szCs w:val="32"/>
        </w:rPr>
        <w:t>(四)文化部辦理文化生活圈建設，地方文化特色及藝文人口培育，係中央與地方協力發展地方文化及培育藝文人口。然文化部以點之形式辦理，影響力有其上限。然賴清德總統與行政院卓榮泰院長均曾主張部部都是文化部，各公有空間均可與文化相結合。如:內政部主管社宅政策，善用空間打造微型之藝文據點，如親子閱覽室、閱讀角，讓文化生活進入社宅，達成培育藝文人口之目標。</w:t>
      </w:r>
    </w:p>
    <w:p w14:paraId="7228340E" w14:textId="2B33B341"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提案人：吳沛憶　</w:t>
      </w:r>
    </w:p>
    <w:p w14:paraId="0B61E53D" w14:textId="51B5EB25"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連署人：郭昱晴　林月琴</w:t>
      </w:r>
    </w:p>
    <w:p w14:paraId="45A41B38"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第2項  文化資產局</w:t>
      </w:r>
      <w:r w:rsidRPr="00BC7E20">
        <w:rPr>
          <w:rFonts w:ascii="標楷體" w:eastAsia="標楷體" w:hAnsi="標楷體" w:hint="eastAsia"/>
          <w:color w:val="000000"/>
          <w:sz w:val="32"/>
          <w:szCs w:val="32"/>
        </w:rPr>
        <w:t>3億6,000萬元，照列。</w:t>
      </w:r>
    </w:p>
    <w:p w14:paraId="43B506D0"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本項通過決議3項：</w:t>
      </w:r>
    </w:p>
    <w:p w14:paraId="12D340BE"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sz w:val="32"/>
          <w:szCs w:val="32"/>
        </w:rPr>
      </w:pPr>
      <w:r w:rsidRPr="00BC7E20">
        <w:rPr>
          <w:rFonts w:ascii="標楷體" w:eastAsia="標楷體" w:hAnsi="標楷體" w:hint="eastAsia"/>
          <w:color w:val="000000"/>
          <w:sz w:val="32"/>
          <w:szCs w:val="32"/>
        </w:rPr>
        <w:t>(一)文化部文化資產局於114年度中央政府前瞻基礎建設計畫第5期特別預算案第1目「城鄉建設」編列3億6,000萬元。有鑑於文化部於中央政府前瞻基礎建設計畫特別預算下設文化生活圈建設項目，編列相關預算係辦理文化保存、地方館舍升級、地方文化特色及藝文人口培育、再造歷史現場等所需經費。惟該項預算下設大基隆歷史場景再現整合計畫，計畫期程106至113年共計編列8億元，主要透過歷史空間調研修復，呈現臺灣在大航海時代地理位置與角色的重要性。然而由於該項計畫宣傳力度不佳，成果無法有效推廣，致使其帶動基隆文化與觀光發展成效不彰。請文化部文化資產局積極輔導基隆市政府就大基隆歷史場景再現整合計畫成果，進行多元宣傳推廣，包裝行銷及活化營運，以強化該項計畫之成果效益。</w:t>
      </w:r>
    </w:p>
    <w:p w14:paraId="4D677112" w14:textId="56A5F722"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提案人：黃珊珊　麥玉珍　陳昭姿　</w:t>
      </w:r>
    </w:p>
    <w:p w14:paraId="14699449"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文化部文化資產局於114年度中央政府前瞻基礎建設計畫第5期特別預算案第1目「城鄉建設」第1節「文化生活圈建設」編列3億6,000萬元。文化生活圈建設計畫係辦理再造歷史現場計畫，雖擴大文化資產應用場域，然其中有多處場域雖已修復完畢截至113年7月卻尚未營運，包含臺東市北町日式建築文化園區於110年1月結案、歷史建築大屯郡役所及臺中州廳附屬建築群於112年6月結案、北寮五棟歷史建築111年12月結案等5處皆未正式營運或仍在評估營運與招商作業，文化部允應加強對上開計畫確實執行狀況之掌握，並應適時對各處進行營運情況之控管與監督機制。爰請文化部於3個月內向立法院財政及相關委員會提出書面報告。</w:t>
      </w:r>
    </w:p>
    <w:p w14:paraId="316A78B5" w14:textId="07470CFD"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陳昭姿　</w:t>
      </w:r>
    </w:p>
    <w:p w14:paraId="5CA57678" w14:textId="36407671"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連署人：黃珊珊　</w:t>
      </w:r>
    </w:p>
    <w:p w14:paraId="52BEB4B5"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lastRenderedPageBreak/>
        <w:t>(三)在地文史之保存與發揚，需要中央及地方共同協力，結合民間投入資金、人力、研究量能等資源。114年是臺南府城建城三百年，1725年建城迄今，多元文化於此深根發芽，府城遂成全臺人文薈萃之地。縱百年下來城牆僅剩城門與殘垣，然而三百年的發展卻使臺南發展豐沛，人文軌跡更是由牆內漫出城牆外，自府城出發，遍及臺江、南瀛，乃至全臺。於中央政府前瞻基礎建設計畫第5期特別預算案中，文化部文化資產局承辦文化生活圈建設計畫，辦理文化保存、地方館舍升級及地方文化特色活動等業務，並加以辦理再造歷史現場，補助地方政府結合科技、教育等領域，將文化資產保存納入地方空間與區域治理，重新連結與再現土地與人民歷史記憶。以科技再造歷史現場，得有效保存城鄉文化記憶，留存百年以來各式文化資產。臺南府城貴為三百年之古都，各類文化記憶於此處匯流，針對府城建城三百年此一臺南盛事，建請文化部文化資產局協助主管機關臺南市政府研擬以科學技術再現府城歷史風華，並協助臺南市政府研議於國立臺灣歷史博物館、國立臺灣文學館、國立臺南生活美學館等場館策劃相關之府城建城三百年科技再造歷史現場展覽。針對上開課題，文化部文化資產局應於3個月內向立法院財政及相關委員會提出書面報告。</w:t>
      </w:r>
    </w:p>
    <w:p w14:paraId="792758CB" w14:textId="67D46884"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提案人：林宜瑾　</w:t>
      </w:r>
    </w:p>
    <w:p w14:paraId="75866A2A" w14:textId="38149B2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連署人：張雅琳　陳秀寳　</w:t>
      </w:r>
    </w:p>
    <w:p w14:paraId="40A3C85E"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第3項  國立臺灣歷史博物館</w:t>
      </w:r>
      <w:r w:rsidRPr="00BC7E20">
        <w:rPr>
          <w:rFonts w:ascii="標楷體" w:eastAsia="標楷體" w:hAnsi="標楷體" w:hint="eastAsia"/>
          <w:color w:val="000000"/>
          <w:sz w:val="32"/>
          <w:szCs w:val="32"/>
        </w:rPr>
        <w:t>7,600萬元，照列。</w:t>
      </w:r>
    </w:p>
    <w:p w14:paraId="664A8268"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本項通過決議2項：</w:t>
      </w:r>
    </w:p>
    <w:p w14:paraId="5379BBD4"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文化部國家文化記憶庫計畫2.0於114年度中央政府前瞻基礎建設計畫第5期特別預算案編列7,600萬元，以辦理臺灣文化與記憶之深化轉譯應用、發展線上共創平臺機制、推動公民參與當代蒐藏、整理在地知識。經查，文化部現設有國家文化記憶庫2.0、國家文化資料庫、國家文物典藏網以及國家文化資產網等數位文史資料庫平台。然數位資料庫間資料整合</w:t>
      </w:r>
      <w:r w:rsidRPr="00BC7E20">
        <w:rPr>
          <w:rFonts w:ascii="標楷體" w:eastAsia="標楷體" w:hAnsi="標楷體" w:hint="eastAsia"/>
          <w:color w:val="000000"/>
          <w:sz w:val="32"/>
          <w:szCs w:val="32"/>
        </w:rPr>
        <w:lastRenderedPageBreak/>
        <w:t>尚不完整，有業務內容重疊之虞。應納入更為完善之文史資料，舉凡地方文化局處、文獻館，地方文史工作者亦撰有地方誌，可為文化部國家文化記憶庫2.0所用，以完善全臺文史資源。為臺灣文史工作發展與完善現有數位文史資料庫，以達到文化記憶傳承之目的，請文化部國立臺灣歷史博物館偕同文化部，召集專家與民間團體資訊會議，研議整合數位文史資源庫資料、利用數位科技對全民開放之有效方法，於114年6月30日內向立法院財政及相關委員會提出書面報告。</w:t>
      </w:r>
    </w:p>
    <w:p w14:paraId="00278B03" w14:textId="62FF2F64"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提案人：范　雲　王正旭　林月琴　</w:t>
      </w:r>
    </w:p>
    <w:p w14:paraId="080CA12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國家文化記憶庫計畫2.0係辦理臺灣文化與記憶之深化轉譯應用、發展線上共創平臺機制、推動公民參與當代蒐藏、整理在地知識及原住民文化、保存影視聽文化內容，以及有形無形記憶資產。國家文化記憶庫已介接文化部主管6資料庫、非文化部主管11單位資料庫及民眾上傳素材。花費公帑長年來所建置資料屬全民資產，本應最大程度開放並供大眾自由運用。然而，卻因欠缺系統性規劃，以致開放程度不足、不堪利用，甚或是蒐羅資料品質良莠不齊、內容具爭議。文化部首要之務在釐清相關資料是否涉及對私人權益之侵害，以利評估典藏及開放此些資料之必要與公益性。待前述工作完備後，始有進一步強化國家文化記憶庫應用的基礎，並落實下列改革：1.</w:t>
      </w:r>
      <w:r w:rsidRPr="00BC7E20">
        <w:rPr>
          <w:rFonts w:ascii="標楷體" w:eastAsia="標楷體" w:hAnsi="標楷體" w:hint="eastAsia"/>
          <w:color w:val="000000"/>
          <w:sz w:val="32"/>
          <w:szCs w:val="32"/>
        </w:rPr>
        <w:tab/>
        <w:t>力促各博物館典藏資料數位化，並開放高階圖檔。比照國立故宮博物院又或者國外博物館，以CC0或CCby4.0為開放權限。2.</w:t>
      </w:r>
      <w:r w:rsidRPr="00BC7E20">
        <w:rPr>
          <w:rFonts w:ascii="標楷體" w:eastAsia="標楷體" w:hAnsi="標楷體" w:hint="eastAsia"/>
          <w:color w:val="000000"/>
          <w:sz w:val="32"/>
          <w:szCs w:val="32"/>
        </w:rPr>
        <w:tab/>
        <w:t>雲端化文化部（及文化建設委員會）攜手臺灣歷史博物館、臺灣文學館、各縣市文化局所編纂文史資料與文學作品，供全民無償閱覽、下載。3.系統性規劃並建置臺灣歷史史料庫、臺灣文學文本資料庫、臺灣美術作品圖庫、臺灣工藝作品圖庫。為督促文化部積極辦理並落實上述事項，請文化部國立臺灣歷史博物館於3個月內提出具體規劃、落實期程，並向</w:t>
      </w:r>
      <w:r w:rsidRPr="00BC7E20">
        <w:rPr>
          <w:rFonts w:ascii="標楷體" w:eastAsia="標楷體" w:hAnsi="標楷體" w:hint="eastAsia"/>
          <w:sz w:val="32"/>
          <w:szCs w:val="32"/>
        </w:rPr>
        <w:t>立法院</w:t>
      </w:r>
      <w:r w:rsidRPr="00BC7E20">
        <w:rPr>
          <w:rFonts w:ascii="標楷體" w:eastAsia="標楷體" w:hAnsi="標楷體" w:hint="eastAsia"/>
          <w:color w:val="000000"/>
          <w:sz w:val="32"/>
          <w:szCs w:val="32"/>
        </w:rPr>
        <w:t>財政及相關委員會提出書面報告。</w:t>
      </w:r>
    </w:p>
    <w:p w14:paraId="678EE4FA" w14:textId="52763B11"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提案人：林宜瑾　</w:t>
      </w:r>
    </w:p>
    <w:p w14:paraId="6FF33F8C" w14:textId="448025B3"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lastRenderedPageBreak/>
        <w:t xml:space="preserve">　　</w:t>
      </w:r>
      <w:r w:rsidR="009D64D0" w:rsidRPr="00BC7E20">
        <w:rPr>
          <w:rFonts w:ascii="標楷體" w:eastAsia="標楷體" w:hAnsi="標楷體" w:hint="eastAsia"/>
          <w:kern w:val="0"/>
          <w:sz w:val="32"/>
          <w:szCs w:val="32"/>
        </w:rPr>
        <w:t xml:space="preserve">連署人：張雅琳　陳秀寳　</w:t>
      </w:r>
    </w:p>
    <w:p w14:paraId="61D9CEA0"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color w:val="000000"/>
          <w:kern w:val="2"/>
          <w:sz w:val="32"/>
          <w:szCs w:val="32"/>
        </w:rPr>
      </w:pPr>
      <w:r w:rsidRPr="00BC7E20">
        <w:rPr>
          <w:rFonts w:ascii="標楷體" w:eastAsia="標楷體" w:hAnsi="標楷體" w:hint="eastAsia"/>
          <w:b/>
          <w:color w:val="000000"/>
          <w:sz w:val="32"/>
          <w:szCs w:val="32"/>
        </w:rPr>
        <w:t>第13款  數位發展部主管</w:t>
      </w:r>
    </w:p>
    <w:p w14:paraId="7BD8B832" w14:textId="6F36D167" w:rsidR="009D64D0" w:rsidRPr="00BC7E20" w:rsidRDefault="009D64D0" w:rsidP="000F33DF">
      <w:pPr>
        <w:kinsoku w:val="0"/>
        <w:overflowPunct w:val="0"/>
        <w:autoSpaceDE w:val="0"/>
        <w:spacing w:line="480" w:lineRule="exact"/>
        <w:ind w:leftChars="200" w:left="1681" w:hangingChars="375" w:hanging="1201"/>
        <w:jc w:val="both"/>
        <w:rPr>
          <w:rFonts w:ascii="標楷體" w:eastAsia="標楷體" w:hAnsi="標楷體"/>
          <w:color w:val="000000"/>
          <w:sz w:val="32"/>
          <w:szCs w:val="32"/>
        </w:rPr>
      </w:pPr>
      <w:r w:rsidRPr="00BC7E20">
        <w:rPr>
          <w:rFonts w:ascii="標楷體" w:eastAsia="標楷體" w:hAnsi="標楷體" w:hint="eastAsia"/>
          <w:b/>
          <w:color w:val="000000"/>
          <w:sz w:val="32"/>
          <w:szCs w:val="32"/>
        </w:rPr>
        <w:t>第1項</w:t>
      </w:r>
      <w:r w:rsidR="000F33DF" w:rsidRPr="00EB155B">
        <w:rPr>
          <w:rFonts w:ascii="標楷體" w:eastAsia="標楷體" w:hAnsi="標楷體" w:hint="eastAsia"/>
          <w:kern w:val="0"/>
          <w:sz w:val="32"/>
          <w:szCs w:val="32"/>
        </w:rPr>
        <w:t xml:space="preserve">　</w:t>
      </w:r>
      <w:r w:rsidRPr="00BC7E20">
        <w:rPr>
          <w:rFonts w:ascii="標楷體" w:eastAsia="標楷體" w:hAnsi="標楷體" w:hint="eastAsia"/>
          <w:b/>
          <w:color w:val="000000"/>
          <w:sz w:val="32"/>
          <w:szCs w:val="32"/>
        </w:rPr>
        <w:t>數位發展部</w:t>
      </w:r>
      <w:r w:rsidRPr="00BC7E20">
        <w:rPr>
          <w:rFonts w:ascii="標楷體" w:eastAsia="標楷體" w:hAnsi="標楷體" w:hint="eastAsia"/>
          <w:color w:val="000000"/>
          <w:sz w:val="32"/>
          <w:szCs w:val="32"/>
        </w:rPr>
        <w:t>原列29億8,506萬元，減列第1目「數位建設」第1節「基礎建設環境」之「業務費」100萬元、第2節「5G基礎公共建設」6,100萬元(含業務費100萬元及獎補助費6,000萬元)，共計減列6,200萬元，其餘均照列，改列為29億2,306萬元。</w:t>
      </w:r>
    </w:p>
    <w:p w14:paraId="441F61D5"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本項通過決議1項：</w:t>
      </w:r>
    </w:p>
    <w:p w14:paraId="02F8F20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(一)數位發展部於114年度中央政府前瞻基礎建設計畫第5期特別預算案第1目「數位建設」第2節「5G基礎公共建設」編列26億9,851萬5千元，協助電信業者於具5G 戰略需求等地點加速建置5G網路基礎設施所需經費。惟根據審計部辦理112年度財務收支抽查指出，該部核准補助之基地臺，均無使用國產品牌設備，無法達成扶植5G國產品牌設備發展之目的，同時部分受補助5G基地臺網路完工後之網路下行速率未達規範標準，通信服務品質低落，且5G用戶使用率亦偏低。爰凍結該項預算二十分之一，俟數位發展部向立法院財政及相關委員會重新提出檢討改善專案報告並經同意後，始得動支。</w:t>
      </w:r>
    </w:p>
    <w:p w14:paraId="236A0BF4" w14:textId="45BC0F9A"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提案人：陳玉珍　魯明哲　陳菁徽　牛煦庭　</w:t>
      </w:r>
    </w:p>
    <w:p w14:paraId="36594A76" w14:textId="32B78F92" w:rsidR="009D64D0" w:rsidRPr="00BC7E20" w:rsidRDefault="009D64D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BC7E20">
        <w:rPr>
          <w:rFonts w:ascii="標楷體" w:eastAsia="標楷體" w:hAnsi="標楷體" w:hint="eastAsia"/>
          <w:kern w:val="0"/>
          <w:sz w:val="32"/>
          <w:szCs w:val="32"/>
        </w:rPr>
        <w:t xml:space="preserve">        </w:t>
      </w:r>
      <w:r w:rsidR="00725FA0" w:rsidRPr="00EB155B">
        <w:rPr>
          <w:rFonts w:ascii="標楷體" w:eastAsia="標楷體" w:hAnsi="標楷體" w:hint="eastAsia"/>
          <w:kern w:val="0"/>
          <w:sz w:val="32"/>
          <w:szCs w:val="32"/>
        </w:rPr>
        <w:t xml:space="preserve">　　</w:t>
      </w:r>
      <w:r w:rsidRPr="00BC7E20">
        <w:rPr>
          <w:rFonts w:ascii="標楷體" w:eastAsia="標楷體" w:hAnsi="標楷體" w:hint="eastAsia"/>
          <w:kern w:val="0"/>
          <w:sz w:val="32"/>
          <w:szCs w:val="32"/>
        </w:rPr>
        <w:t xml:space="preserve">王鴻薇　蘇清泉　涂權吉　</w:t>
      </w:r>
    </w:p>
    <w:p w14:paraId="1A8A71E7" w14:textId="6BE1E79C"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連署人：羅明才　顏寬恒　林沛祥　游　顥</w:t>
      </w:r>
    </w:p>
    <w:p w14:paraId="4C406703" w14:textId="529B2646" w:rsidR="009D64D0" w:rsidRPr="00BC7E20" w:rsidRDefault="009D64D0" w:rsidP="000F33DF">
      <w:pPr>
        <w:kinsoku w:val="0"/>
        <w:overflowPunct w:val="0"/>
        <w:autoSpaceDE w:val="0"/>
        <w:spacing w:line="480" w:lineRule="exact"/>
        <w:ind w:leftChars="200" w:left="1681" w:hangingChars="375" w:hanging="1201"/>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第2項</w:t>
      </w:r>
      <w:r w:rsidR="00725FA0" w:rsidRPr="00EB155B">
        <w:rPr>
          <w:rFonts w:ascii="標楷體" w:eastAsia="標楷體" w:hAnsi="標楷體" w:hint="eastAsia"/>
          <w:kern w:val="0"/>
          <w:sz w:val="32"/>
          <w:szCs w:val="32"/>
        </w:rPr>
        <w:t xml:space="preserve">　</w:t>
      </w:r>
      <w:r w:rsidRPr="00BC7E20">
        <w:rPr>
          <w:rFonts w:ascii="標楷體" w:eastAsia="標楷體" w:hAnsi="標楷體" w:hint="eastAsia"/>
          <w:b/>
          <w:color w:val="000000"/>
          <w:sz w:val="32"/>
          <w:szCs w:val="32"/>
        </w:rPr>
        <w:t>資通安全署</w:t>
      </w:r>
      <w:r w:rsidRPr="00BC7E20">
        <w:rPr>
          <w:rFonts w:ascii="標楷體" w:eastAsia="標楷體" w:hAnsi="標楷體" w:hint="eastAsia"/>
          <w:color w:val="000000"/>
          <w:sz w:val="32"/>
          <w:szCs w:val="32"/>
        </w:rPr>
        <w:t>原列7億1,200萬元，減列第1目「數位建設」第1節「基礎建設環境」300萬元，其餘均照列，改列為7億0,900萬元。</w:t>
      </w:r>
    </w:p>
    <w:p w14:paraId="5DBCAB7D"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本項通過決議1項：</w:t>
      </w:r>
    </w:p>
    <w:p w14:paraId="2A0BCC9A"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w:t>
      </w:r>
      <w:r w:rsidRPr="00BC7E20">
        <w:rPr>
          <w:rFonts w:ascii="標楷體" w:eastAsia="標楷體" w:hAnsi="標楷體" w:hint="eastAsia"/>
          <w:color w:val="000000"/>
          <w:kern w:val="0"/>
          <w:sz w:val="32"/>
          <w:szCs w:val="32"/>
        </w:rPr>
        <w:t>數位發展部資通安全署於114年度中央政府前瞻基礎建設計畫第5期特別預算案第1目「數位建設」第1節「基礎建設環境」編列7億1,200萬元用於臺灣資安卓越深耕-資安卓越中心計畫，然檢視該計畫之網站，最新公告竟已經超過1年未更新，最新一則停留在112年5月3日，且本計畫理應積極提供教育培力</w:t>
      </w:r>
      <w:r w:rsidRPr="00BC7E20">
        <w:rPr>
          <w:rFonts w:ascii="標楷體" w:eastAsia="標楷體" w:hAnsi="標楷體" w:hint="eastAsia"/>
          <w:color w:val="000000"/>
          <w:kern w:val="0"/>
          <w:sz w:val="32"/>
          <w:szCs w:val="32"/>
        </w:rPr>
        <w:lastRenderedPageBreak/>
        <w:t>課程資源，以利深化臺灣資安能力，但是最新的課程1111資安系列課程，更是停在2年前111年8月19日。綜上實難看出本計畫有其成效以及再編預算執行之必要。爰凍結該項預算</w:t>
      </w:r>
      <w:r w:rsidRPr="00BC7E20">
        <w:rPr>
          <w:rFonts w:ascii="標楷體" w:eastAsia="標楷體" w:hAnsi="標楷體" w:hint="eastAsia"/>
          <w:color w:val="000000"/>
          <w:sz w:val="32"/>
          <w:szCs w:val="32"/>
        </w:rPr>
        <w:t>十分之一</w:t>
      </w:r>
      <w:r w:rsidRPr="00BC7E20">
        <w:rPr>
          <w:rFonts w:ascii="標楷體" w:eastAsia="標楷體" w:hAnsi="標楷體" w:hint="eastAsia"/>
          <w:color w:val="000000"/>
          <w:kern w:val="0"/>
          <w:sz w:val="32"/>
          <w:szCs w:val="32"/>
        </w:rPr>
        <w:t>，俟數位發展部資通安全署於1個月內向立法院財政及相關委員會提出針對資安卓越計畫歷年績效成果書面報告後，始得動支。</w:t>
      </w:r>
    </w:p>
    <w:p w14:paraId="21B502E5" w14:textId="21476B0D"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牛煦庭　王鴻薇</w:t>
      </w:r>
    </w:p>
    <w:p w14:paraId="383CC197"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kern w:val="2"/>
          <w:sz w:val="32"/>
          <w:szCs w:val="32"/>
        </w:rPr>
      </w:pPr>
      <w:r w:rsidRPr="00BC7E20">
        <w:rPr>
          <w:rFonts w:ascii="標楷體" w:eastAsia="標楷體" w:hAnsi="標楷體" w:hint="eastAsia"/>
          <w:b/>
          <w:color w:val="000000"/>
          <w:sz w:val="32"/>
          <w:szCs w:val="32"/>
        </w:rPr>
        <w:t>第3項  數位產業署</w:t>
      </w:r>
      <w:r w:rsidRPr="00BC7E20">
        <w:rPr>
          <w:rFonts w:ascii="標楷體" w:eastAsia="標楷體" w:hAnsi="標楷體" w:hint="eastAsia"/>
          <w:color w:val="000000"/>
          <w:sz w:val="32"/>
          <w:szCs w:val="32"/>
        </w:rPr>
        <w:t>10億5,828萬6千元，照列。</w:t>
      </w:r>
    </w:p>
    <w:p w14:paraId="0DDB92C1"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本項通過決議1項：</w:t>
      </w:r>
    </w:p>
    <w:p w14:paraId="3B99A1D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數位發展部數位發展署辦理數位建設，包括建構開放政府及智慧城鄉服務2億4,800萬元、產業數位轉型6億1,000萬元、數位人才淬鍊1億6,000萬元等計畫，共計編列10億1,800萬元。其中普及智慧城鄉生活應用發展、中小企業行動智慧應用，期待串聯中小企業或店家相互合作；另引領中小微型企業數位轉型戰略攻領計畫，希望能統整雲世代下各行業數位資源，提升數位經營能力，並能透過新創團隊技術能力建立產業聯盟，促進整體產業發展；但經由政府輔導媒合組成之產業聯盟，對於未能及時參與並加入的中小微型企業，通常面臨更多挑戰，更需政府協助輔導的問題，故請數位發展部針對歷年已組成產業聯盟之廠商業務範圍及家數，以及未來擴大產業聯盟範圍，並提出具體執行說明，於1個月內</w:t>
      </w:r>
      <w:r w:rsidRPr="00BC7E20">
        <w:rPr>
          <w:rFonts w:ascii="標楷體" w:eastAsia="標楷體" w:hAnsi="標楷體" w:hint="eastAsia"/>
          <w:color w:val="000000"/>
          <w:kern w:val="0"/>
          <w:sz w:val="32"/>
          <w:szCs w:val="32"/>
        </w:rPr>
        <w:t>向立法院財政及相關委員會提出書面報告。</w:t>
      </w:r>
    </w:p>
    <w:p w14:paraId="0FE3C4DA" w14:textId="0F0C235E"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提案人：何欣純　陳素月　林俊憲　</w:t>
      </w:r>
    </w:p>
    <w:p w14:paraId="300394B2" w14:textId="77777777" w:rsidR="009D64D0" w:rsidRPr="00BC7E20" w:rsidRDefault="009D64D0" w:rsidP="00F470A8">
      <w:pPr>
        <w:kinsoku w:val="0"/>
        <w:overflowPunct w:val="0"/>
        <w:autoSpaceDE w:val="0"/>
        <w:spacing w:line="480" w:lineRule="exact"/>
        <w:ind w:leftChars="89" w:left="855" w:hangingChars="200" w:hanging="641"/>
        <w:jc w:val="both"/>
        <w:rPr>
          <w:rFonts w:ascii="標楷體" w:eastAsia="標楷體" w:hAnsi="標楷體"/>
          <w:b/>
          <w:color w:val="000000"/>
          <w:kern w:val="2"/>
          <w:sz w:val="32"/>
          <w:szCs w:val="32"/>
        </w:rPr>
      </w:pPr>
      <w:r w:rsidRPr="00BC7E20">
        <w:rPr>
          <w:rFonts w:ascii="標楷體" w:eastAsia="標楷體" w:hAnsi="標楷體" w:hint="eastAsia"/>
          <w:b/>
          <w:color w:val="000000"/>
          <w:sz w:val="32"/>
          <w:szCs w:val="32"/>
        </w:rPr>
        <w:t>第14款  國家科學及技術委員會主管</w:t>
      </w:r>
    </w:p>
    <w:p w14:paraId="146C3EAB" w14:textId="77777777" w:rsidR="009D64D0" w:rsidRPr="00BC7E20" w:rsidRDefault="009D64D0" w:rsidP="00F470A8">
      <w:pPr>
        <w:kinsoku w:val="0"/>
        <w:overflowPunct w:val="0"/>
        <w:autoSpaceDE w:val="0"/>
        <w:spacing w:line="480" w:lineRule="exact"/>
        <w:ind w:leftChars="200" w:left="1953" w:hangingChars="460" w:hanging="1473"/>
        <w:jc w:val="both"/>
        <w:rPr>
          <w:rFonts w:ascii="標楷體" w:eastAsia="標楷體" w:hAnsi="標楷體"/>
          <w:color w:val="000000"/>
          <w:sz w:val="32"/>
          <w:szCs w:val="32"/>
        </w:rPr>
      </w:pPr>
      <w:r w:rsidRPr="00BC7E20">
        <w:rPr>
          <w:rFonts w:ascii="標楷體" w:eastAsia="標楷體" w:hAnsi="標楷體" w:hint="eastAsia"/>
          <w:b/>
          <w:color w:val="000000"/>
          <w:sz w:val="32"/>
          <w:szCs w:val="32"/>
        </w:rPr>
        <w:t>第1項  國家科學及技術委員會</w:t>
      </w:r>
      <w:r w:rsidRPr="00BC7E20">
        <w:rPr>
          <w:rFonts w:ascii="標楷體" w:eastAsia="標楷體" w:hAnsi="標楷體" w:cs="新細明體" w:hint="eastAsia"/>
          <w:color w:val="000000"/>
          <w:kern w:val="0"/>
          <w:sz w:val="32"/>
          <w:szCs w:val="32"/>
        </w:rPr>
        <w:t>16億8,100萬元</w:t>
      </w:r>
      <w:r w:rsidRPr="00BC7E20">
        <w:rPr>
          <w:rFonts w:ascii="標楷體" w:eastAsia="標楷體" w:hAnsi="標楷體" w:hint="eastAsia"/>
          <w:color w:val="000000"/>
          <w:sz w:val="32"/>
          <w:szCs w:val="32"/>
        </w:rPr>
        <w:t>，照列。</w:t>
      </w:r>
    </w:p>
    <w:p w14:paraId="17ACDCF9" w14:textId="77777777" w:rsidR="009D64D0" w:rsidRPr="00BC7E20" w:rsidRDefault="009D64D0" w:rsidP="00F470A8">
      <w:pPr>
        <w:kinsoku w:val="0"/>
        <w:overflowPunct w:val="0"/>
        <w:autoSpaceDE w:val="0"/>
        <w:spacing w:line="480" w:lineRule="exact"/>
        <w:ind w:leftChars="200" w:left="2170" w:hangingChars="528" w:hanging="1690"/>
        <w:jc w:val="both"/>
        <w:rPr>
          <w:rFonts w:ascii="標楷體" w:eastAsia="標楷體" w:hAnsi="標楷體"/>
          <w:color w:val="000000"/>
          <w:sz w:val="32"/>
          <w:szCs w:val="32"/>
        </w:rPr>
      </w:pPr>
      <w:r w:rsidRPr="00BC7E20">
        <w:rPr>
          <w:rFonts w:ascii="標楷體" w:eastAsia="標楷體" w:hAnsi="標楷體" w:hint="eastAsia"/>
          <w:color w:val="000000"/>
          <w:sz w:val="32"/>
          <w:szCs w:val="32"/>
        </w:rPr>
        <w:t>本項通過決議6項：</w:t>
      </w:r>
    </w:p>
    <w:p w14:paraId="5DA5EE6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(一)有鑑於智慧地震防災預警服務計畫所規劃在本次特別預算執行期間，將落實建構地震速報服務網路及發展防災產業等業務，乃與交通部中央氣象署常態及本次特別預算業務有所高度重疊，允宜再行詳實之說明</w:t>
      </w:r>
      <w:r w:rsidRPr="00BC7E20">
        <w:rPr>
          <w:rFonts w:ascii="標楷體" w:eastAsia="標楷體" w:hAnsi="標楷體" w:hint="eastAsia"/>
          <w:color w:val="000000"/>
          <w:kern w:val="0"/>
          <w:sz w:val="32"/>
          <w:szCs w:val="32"/>
        </w:rPr>
        <w:t>。爰此，請國家科學及技術委</w:t>
      </w:r>
      <w:r w:rsidRPr="00BC7E20">
        <w:rPr>
          <w:rFonts w:ascii="標楷體" w:eastAsia="標楷體" w:hAnsi="標楷體" w:hint="eastAsia"/>
          <w:color w:val="000000"/>
          <w:kern w:val="0"/>
          <w:sz w:val="32"/>
          <w:szCs w:val="32"/>
        </w:rPr>
        <w:lastRenderedPageBreak/>
        <w:t>員會就上述事項於3個月內向立法院財政及相關委員會提出書面報告。</w:t>
      </w:r>
    </w:p>
    <w:p w14:paraId="41B8F815" w14:textId="129E67B5"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牛煦庭　王鴻薇</w:t>
      </w:r>
    </w:p>
    <w:p w14:paraId="70121CB6"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(二)</w:t>
      </w:r>
      <w:r w:rsidRPr="00BC7E20">
        <w:rPr>
          <w:rFonts w:ascii="標楷體" w:eastAsia="標楷體" w:hAnsi="標楷體" w:hint="eastAsia"/>
          <w:color w:val="000000"/>
          <w:kern w:val="0"/>
          <w:sz w:val="32"/>
          <w:szCs w:val="32"/>
        </w:rPr>
        <w:t>國家科學及技術委員會於114年度中央政府前瞻基礎建設計畫第5期特別預算案第1目「數位建設」第2節「基礎建設環境」編列6億7,000萬元</w:t>
      </w:r>
      <w:r w:rsidRPr="00BC7E20">
        <w:rPr>
          <w:rFonts w:ascii="標楷體" w:eastAsia="標楷體" w:hAnsi="標楷體" w:hint="eastAsia"/>
          <w:color w:val="000000"/>
          <w:sz w:val="32"/>
          <w:szCs w:val="32"/>
        </w:rPr>
        <w:t>，項下包含智慧科技大南方產業生態系推動方案—AI運算資料中心建置計畫，編列預算1億8,000萬元。經查，AI運算資料中心計畫將預計於沙崙人工智慧產業專區，建置我國新一代智慧節能高速AI運算資料中心，目前我國AI主機台灣杉2號於107年度業已建置完成，於當年度列入世界TOP500超級電腦排名第20名，惟迄113年6月排名已下滑至第106名，且世界排名第一之超級電腦算力領先台灣由107年16倍擴大至113年之134倍。此計畫預計主機進駐時間為119年度，運算主機之算力預計達200PF，而截至113年6月世界排名第一超級電腦算力已達1,206PF，有鑑於世界各國超級電腦算力發展迅速，允宜加速推動建置作業，確切掌握此計畫之執行情況與進駐作業，以利支援台灣AI產業發展所需，全面強化發展我國AI環境。</w:t>
      </w:r>
      <w:r w:rsidRPr="00BC7E20">
        <w:rPr>
          <w:rFonts w:ascii="標楷體" w:eastAsia="標楷體" w:hAnsi="標楷體" w:hint="eastAsia"/>
          <w:color w:val="000000"/>
          <w:kern w:val="0"/>
          <w:sz w:val="32"/>
          <w:szCs w:val="32"/>
        </w:rPr>
        <w:t>爰此，請國家科學及技術委員會就上述事項於3個月內向立法院財政及相關委員會提出書面報告</w:t>
      </w:r>
      <w:r w:rsidRPr="00BC7E20">
        <w:rPr>
          <w:rFonts w:ascii="標楷體" w:eastAsia="標楷體" w:hAnsi="標楷體" w:hint="eastAsia"/>
          <w:color w:val="000000"/>
          <w:sz w:val="32"/>
          <w:szCs w:val="32"/>
        </w:rPr>
        <w:t>。</w:t>
      </w:r>
    </w:p>
    <w:p w14:paraId="01E45F38" w14:textId="404F35B9"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提案人：麥玉珍　黃珊珊　陳昭姿　</w:t>
      </w:r>
    </w:p>
    <w:p w14:paraId="31258671"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(三)有鑑於當前我國公部門網路服務之基礎環境建設成果已然良好，是以</w:t>
      </w:r>
      <w:r w:rsidRPr="00BC7E20">
        <w:rPr>
          <w:rFonts w:ascii="標楷體" w:eastAsia="標楷體" w:hAnsi="標楷體" w:hint="eastAsia"/>
          <w:color w:val="000000"/>
          <w:kern w:val="0"/>
          <w:sz w:val="32"/>
          <w:szCs w:val="32"/>
        </w:rPr>
        <w:t>國家科學及技術委員會</w:t>
      </w:r>
      <w:r w:rsidRPr="00BC7E20">
        <w:rPr>
          <w:rFonts w:ascii="標楷體" w:eastAsia="標楷體" w:hAnsi="標楷體" w:hint="eastAsia"/>
          <w:color w:val="000000"/>
          <w:sz w:val="32"/>
          <w:szCs w:val="32"/>
        </w:rPr>
        <w:t>單就有限之預算編列說明，藉闡述提升雲端服務品質，如此便欲編列數位建設當中基礎建設環境預算數</w:t>
      </w:r>
      <w:r w:rsidRPr="00BC7E20">
        <w:rPr>
          <w:rFonts w:ascii="標楷體" w:eastAsia="標楷體" w:hAnsi="標楷體" w:hint="eastAsia"/>
          <w:color w:val="000000"/>
          <w:kern w:val="0"/>
          <w:sz w:val="32"/>
          <w:szCs w:val="32"/>
        </w:rPr>
        <w:t>6億7,000萬元</w:t>
      </w:r>
      <w:r w:rsidRPr="00BC7E20">
        <w:rPr>
          <w:rFonts w:ascii="標楷體" w:eastAsia="標楷體" w:hAnsi="標楷體" w:hint="eastAsia"/>
          <w:color w:val="000000"/>
          <w:sz w:val="32"/>
          <w:szCs w:val="32"/>
        </w:rPr>
        <w:t>，實有所在正當性上略顯單薄</w:t>
      </w:r>
      <w:r w:rsidRPr="00BC7E20">
        <w:rPr>
          <w:rFonts w:ascii="標楷體" w:eastAsia="標楷體" w:hAnsi="標楷體" w:hint="eastAsia"/>
          <w:color w:val="000000"/>
          <w:kern w:val="0"/>
          <w:sz w:val="32"/>
          <w:szCs w:val="32"/>
        </w:rPr>
        <w:t>。爰此，請國家科學及技術委員會就上述事項於3個月內向立法院財政及相關委員會提出書面報告。</w:t>
      </w:r>
    </w:p>
    <w:p w14:paraId="07A35F25" w14:textId="2C054126"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提案人：陳菁徽　牛煦庭　王鴻薇</w:t>
      </w:r>
    </w:p>
    <w:p w14:paraId="2185BA80"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(四)</w:t>
      </w:r>
      <w:r w:rsidRPr="00BC7E20">
        <w:rPr>
          <w:rFonts w:ascii="標楷體" w:eastAsia="標楷體" w:hAnsi="標楷體" w:hint="eastAsia"/>
          <w:color w:val="000000"/>
          <w:kern w:val="0"/>
          <w:sz w:val="32"/>
          <w:szCs w:val="32"/>
        </w:rPr>
        <w:t>國家科學及技術委員會於114年度中央政府前瞻基礎建設計畫第5期特別預算案第1目「數位建設」第2節「基礎建設環境」之「</w:t>
      </w:r>
      <w:r w:rsidRPr="00BC7E20">
        <w:rPr>
          <w:rFonts w:ascii="標楷體" w:eastAsia="標楷體" w:hAnsi="標楷體" w:hint="eastAsia"/>
          <w:color w:val="000000"/>
          <w:sz w:val="32"/>
          <w:szCs w:val="32"/>
        </w:rPr>
        <w:t>智慧科技大南方產業生態系推動方案－AI運算資料中心</w:t>
      </w:r>
      <w:r w:rsidRPr="00BC7E20">
        <w:rPr>
          <w:rFonts w:ascii="標楷體" w:eastAsia="標楷體" w:hAnsi="標楷體" w:hint="eastAsia"/>
          <w:color w:val="000000"/>
          <w:sz w:val="32"/>
          <w:szCs w:val="32"/>
        </w:rPr>
        <w:lastRenderedPageBreak/>
        <w:t>建置計畫</w:t>
      </w:r>
      <w:r w:rsidRPr="00BC7E20">
        <w:rPr>
          <w:rFonts w:ascii="標楷體" w:eastAsia="標楷體" w:hAnsi="標楷體" w:hint="eastAsia"/>
          <w:color w:val="000000"/>
          <w:kern w:val="0"/>
          <w:sz w:val="32"/>
          <w:szCs w:val="32"/>
        </w:rPr>
        <w:t>」編列1億8,000萬元，擬於沙崙科學城C區建置智慧節能IDC機房及AI資料中心，配備超級電腦，旨在提升我國AI產業發展所需算力，進一步支援人工智慧技術應用與產業發展。然而，截至113年6月，我國超級電腦台灣杉2號世界排名已降至第106名，與世界排名第一的超級電腦在算力上的差距持續擴大，顯示國內AI算力供應已逐漸難以滿足產業與科研需求，急需通過高效建置AI資料中心予以提升。惟檢視計畫進度，AI資料中心及超級電腦建置與進駐作業預計需時6年，時程過長恐難以應對當前AI技術發展的迅速變化及產業需求的快速增長。建議國家科學及技術委員會應加速推動建置與進駐作業，縮短相關工期，確保設施能儘早投入使用，以支援國內AI產業發展及科研進展。同時，應採取國際合作或資源整合等方式，引入更高效能的技術與設施，以有效應對全球AI算力競爭，並強化我國在AI領域的國際競爭力。爰此，請國家科學及技術委員會就上述事項於3個月內向立法院財政及相關委員會提出書面報告</w:t>
      </w:r>
      <w:r w:rsidRPr="00BC7E20">
        <w:rPr>
          <w:rFonts w:ascii="標楷體" w:eastAsia="標楷體" w:hAnsi="標楷體" w:hint="eastAsia"/>
          <w:color w:val="000000"/>
          <w:sz w:val="32"/>
          <w:szCs w:val="32"/>
        </w:rPr>
        <w:t>。</w:t>
      </w:r>
    </w:p>
    <w:p w14:paraId="225092D9" w14:textId="60E05310"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081E5A37" w14:textId="0C8DCCE1"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0F77991F"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(五)</w:t>
      </w:r>
      <w:r w:rsidRPr="00BC7E20">
        <w:rPr>
          <w:rFonts w:ascii="標楷體" w:eastAsia="標楷體" w:hAnsi="標楷體" w:hint="eastAsia"/>
          <w:color w:val="000000"/>
          <w:kern w:val="0"/>
          <w:sz w:val="32"/>
          <w:szCs w:val="32"/>
        </w:rPr>
        <w:t>國家科學及技術委員會於114年度中央政府前瞻基礎建設計畫第5期特別預算案第1目「數位建設」第4節「5G基礎公共建設」之「</w:t>
      </w:r>
      <w:r w:rsidRPr="00BC7E20">
        <w:rPr>
          <w:rFonts w:ascii="標楷體" w:eastAsia="標楷體" w:hAnsi="標楷體" w:hint="eastAsia"/>
          <w:color w:val="000000"/>
          <w:sz w:val="32"/>
          <w:szCs w:val="32"/>
        </w:rPr>
        <w:t>海纜及5G雲端聯網中心建置計畫</w:t>
      </w:r>
      <w:r w:rsidRPr="00BC7E20">
        <w:rPr>
          <w:rFonts w:ascii="標楷體" w:eastAsia="標楷體" w:hAnsi="標楷體" w:hint="eastAsia"/>
          <w:color w:val="000000"/>
          <w:kern w:val="0"/>
          <w:sz w:val="32"/>
          <w:szCs w:val="32"/>
        </w:rPr>
        <w:t>」編列3億6,000萬元，旨在透過建置聯網中心與升級海纜設施，增強我國網路連結力與備援能力，以支持5G應用的普及與發展。然截至113年7月計畫中臺南新建電信機房建築工程進度落後，恐影響整體計畫推進與目標達成。此外，國際間駭客攻擊事件頻傳，對聯網中心的服務安全性構成潛在威脅，顯示資安防護機制亟待強化。爰建請國家科學及技術委員會應加強進度管控，針對落後工程進行瓶頸分析，採取加速施工的具體措施，確保計畫如期如質完成。同時，應著重提升資安防護能量，包括部署先進的防火牆技術、實施持續的資安風險監控及定期演</w:t>
      </w:r>
      <w:r w:rsidRPr="00BC7E20">
        <w:rPr>
          <w:rFonts w:ascii="標楷體" w:eastAsia="標楷體" w:hAnsi="標楷體" w:hint="eastAsia"/>
          <w:color w:val="000000"/>
          <w:kern w:val="0"/>
          <w:sz w:val="32"/>
          <w:szCs w:val="32"/>
        </w:rPr>
        <w:lastRenderedPageBreak/>
        <w:t>練應變機制，進一步保障聯網中心的運作安全。藉此，實現網路連結力與備援能力的全面提升，確保計畫能有效支援國內5G產業及數位基礎建設的長期發展。爰此，請國家科學及技術委員會就上述事項於3個月內向立法院財政及相關委員會提出書面報告</w:t>
      </w:r>
      <w:r w:rsidRPr="00BC7E20">
        <w:rPr>
          <w:rFonts w:ascii="標楷體" w:eastAsia="標楷體" w:hAnsi="標楷體" w:hint="eastAsia"/>
          <w:color w:val="000000"/>
          <w:sz w:val="32"/>
          <w:szCs w:val="32"/>
        </w:rPr>
        <w:t>。</w:t>
      </w:r>
    </w:p>
    <w:p w14:paraId="7A39E305" w14:textId="00EA5BD4"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19C72FD4" w14:textId="1ADC4057"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098298FB" w14:textId="77777777" w:rsidR="009D64D0" w:rsidRPr="00BC7E20" w:rsidRDefault="009D64D0" w:rsidP="00F470A8">
      <w:pPr>
        <w:kinsoku w:val="0"/>
        <w:overflowPunct w:val="0"/>
        <w:autoSpaceDE w:val="0"/>
        <w:spacing w:line="480" w:lineRule="exact"/>
        <w:ind w:leftChars="200" w:left="1139" w:hangingChars="206" w:hanging="659"/>
        <w:jc w:val="both"/>
        <w:rPr>
          <w:rFonts w:ascii="標楷體" w:eastAsia="標楷體" w:hAnsi="標楷體"/>
          <w:color w:val="000000"/>
          <w:kern w:val="0"/>
          <w:sz w:val="32"/>
          <w:szCs w:val="32"/>
        </w:rPr>
      </w:pPr>
      <w:r w:rsidRPr="00BC7E20">
        <w:rPr>
          <w:rFonts w:ascii="標楷體" w:eastAsia="標楷體" w:hAnsi="標楷體" w:hint="eastAsia"/>
          <w:color w:val="000000"/>
          <w:sz w:val="32"/>
          <w:szCs w:val="32"/>
        </w:rPr>
        <w:t>(六)</w:t>
      </w:r>
      <w:r w:rsidRPr="00BC7E20">
        <w:rPr>
          <w:rFonts w:ascii="標楷體" w:eastAsia="標楷體" w:hAnsi="標楷體" w:hint="eastAsia"/>
          <w:color w:val="000000"/>
          <w:kern w:val="0"/>
          <w:sz w:val="32"/>
          <w:szCs w:val="32"/>
        </w:rPr>
        <w:t>國家科學及技術委員會於114年度中央政府前瞻基礎建設計畫第5期特別預算案第2目「人才培育促進就業建設」編列1億8,600萬元，辦理重點產業高階人才培訓計畫。該計畫旨在培訓我國關鍵產業（如半導體、生技及綠能等）所需之高階專業人才，以增強產業國際競爭力並支持國內經濟發展。然檢視截至112年度的執行情形，計畫多數績效指標已達甚至超越全期目標值，顯示原設定之目標未能充分反映計畫實際成效與推動潛力。此外，有關半導體人才培訓之績效指標，僅涵蓋過程性指標，缺乏對人才就業成效及實際產業貢獻的結果性評估，難以全面衡量計畫效益。爰建請國家科學及技術委員會應審酌執行實況，針對績效指標目標值進行適當調整，提升目標設定之積極性與挑戰性，以更有效反映計畫成效。此外，應比照培育產業實務博士級人才模式，為半導體人才培訓計畫增設結果性績效指標，例如追蹤受訓人才就業狀況、職場表現及對產業的實際貢獻，確保計畫目標之全面達成並發揮最大效益。爰此，請國家科學及技術委員會就上述事項於3個月內向立法院財政及相關委員會提出書面報告</w:t>
      </w:r>
      <w:r w:rsidRPr="00BC7E20">
        <w:rPr>
          <w:rFonts w:ascii="標楷體" w:eastAsia="標楷體" w:hAnsi="標楷體" w:hint="eastAsia"/>
          <w:color w:val="000000"/>
          <w:sz w:val="32"/>
          <w:szCs w:val="32"/>
        </w:rPr>
        <w:t>。</w:t>
      </w:r>
    </w:p>
    <w:p w14:paraId="72339B2A" w14:textId="6241A689"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 xml:space="preserve">提案人：張雅琳　</w:t>
      </w:r>
    </w:p>
    <w:p w14:paraId="40D48D20" w14:textId="30F1EFD9" w:rsidR="009D64D0" w:rsidRPr="00BC7E20" w:rsidRDefault="00725FA0" w:rsidP="00F470A8">
      <w:pPr>
        <w:widowControl w:val="0"/>
        <w:overflowPunct w:val="0"/>
        <w:autoSpaceDE w:val="0"/>
        <w:adjustRightInd w:val="0"/>
        <w:snapToGrid w:val="0"/>
        <w:spacing w:line="480" w:lineRule="exact"/>
        <w:ind w:leftChars="1089" w:left="3916" w:hangingChars="407" w:hanging="1302"/>
        <w:textAlignment w:val="auto"/>
        <w:rPr>
          <w:rFonts w:ascii="標楷體" w:eastAsia="標楷體" w:hAnsi="標楷體"/>
          <w:kern w:val="0"/>
          <w:sz w:val="32"/>
          <w:szCs w:val="32"/>
        </w:rPr>
      </w:pPr>
      <w:r w:rsidRPr="00EB155B">
        <w:rPr>
          <w:rFonts w:ascii="標楷體" w:eastAsia="標楷體" w:hAnsi="標楷體" w:hint="eastAsia"/>
          <w:kern w:val="0"/>
          <w:sz w:val="32"/>
          <w:szCs w:val="32"/>
        </w:rPr>
        <w:t xml:space="preserve">　　</w:t>
      </w:r>
      <w:r w:rsidR="009D64D0" w:rsidRPr="00BC7E20">
        <w:rPr>
          <w:rFonts w:ascii="標楷體" w:eastAsia="標楷體" w:hAnsi="標楷體" w:hint="eastAsia"/>
          <w:kern w:val="0"/>
          <w:sz w:val="32"/>
          <w:szCs w:val="32"/>
        </w:rPr>
        <w:t>連署人：郭昱晴　王正旭</w:t>
      </w:r>
    </w:p>
    <w:p w14:paraId="3536C9A3" w14:textId="77777777" w:rsidR="009D64D0" w:rsidRPr="00BC7E20" w:rsidRDefault="009D64D0" w:rsidP="00F470A8">
      <w:pPr>
        <w:kinsoku w:val="0"/>
        <w:overflowPunct w:val="0"/>
        <w:autoSpaceDE w:val="0"/>
        <w:spacing w:line="480" w:lineRule="exact"/>
        <w:ind w:leftChars="219" w:left="2512" w:hangingChars="620" w:hanging="1986"/>
        <w:jc w:val="both"/>
        <w:rPr>
          <w:rFonts w:ascii="標楷體" w:eastAsia="標楷體" w:hAnsi="標楷體"/>
          <w:b/>
          <w:color w:val="000000"/>
          <w:kern w:val="2"/>
          <w:sz w:val="32"/>
          <w:szCs w:val="32"/>
        </w:rPr>
      </w:pPr>
      <w:r w:rsidRPr="00BC7E20">
        <w:rPr>
          <w:rFonts w:ascii="標楷體" w:eastAsia="標楷體" w:hAnsi="標楷體" w:hint="eastAsia"/>
          <w:b/>
          <w:color w:val="000000"/>
          <w:sz w:val="32"/>
          <w:szCs w:val="32"/>
        </w:rPr>
        <w:t>有關政事別歲出預算隨同以上機關別審查結果調整。</w:t>
      </w:r>
    </w:p>
    <w:p w14:paraId="11E230DC" w14:textId="77777777" w:rsidR="009D64D0" w:rsidRPr="00BC7E20" w:rsidRDefault="009D64D0" w:rsidP="00F470A8">
      <w:pPr>
        <w:kinsoku w:val="0"/>
        <w:overflowPunct w:val="0"/>
        <w:autoSpaceDE w:val="0"/>
        <w:adjustRightInd w:val="0"/>
        <w:spacing w:beforeLines="50" w:before="180" w:line="480" w:lineRule="exact"/>
        <w:ind w:leftChars="96" w:left="874" w:hangingChars="201" w:hanging="644"/>
        <w:jc w:val="both"/>
        <w:rPr>
          <w:rFonts w:ascii="標楷體" w:eastAsia="標楷體" w:hAnsi="標楷體"/>
          <w:color w:val="000000"/>
          <w:sz w:val="32"/>
          <w:szCs w:val="32"/>
        </w:rPr>
      </w:pPr>
      <w:r w:rsidRPr="00BC7E20">
        <w:rPr>
          <w:rFonts w:ascii="標楷體" w:eastAsia="標楷體" w:hAnsi="標楷體" w:hint="eastAsia"/>
          <w:b/>
          <w:color w:val="000000"/>
          <w:sz w:val="32"/>
          <w:szCs w:val="32"/>
        </w:rPr>
        <w:t>二、融資財源調度部分：</w:t>
      </w:r>
      <w:r w:rsidRPr="00BC7E20">
        <w:rPr>
          <w:rFonts w:ascii="標楷體" w:eastAsia="標楷體" w:hAnsi="標楷體" w:hint="eastAsia"/>
          <w:color w:val="000000"/>
          <w:sz w:val="32"/>
          <w:szCs w:val="32"/>
        </w:rPr>
        <w:t>歲出所需財源原列703億0,005萬元，隨同歲出預算審議結果，減列1億5,230萬元，改列為701億4,775萬</w:t>
      </w:r>
      <w:r w:rsidRPr="00BC7E20">
        <w:rPr>
          <w:rFonts w:ascii="標楷體" w:eastAsia="標楷體" w:hAnsi="標楷體" w:hint="eastAsia"/>
          <w:color w:val="000000"/>
          <w:sz w:val="32"/>
          <w:szCs w:val="32"/>
        </w:rPr>
        <w:lastRenderedPageBreak/>
        <w:t>元，全數以舉借債務支應，並依據前瞻基礎建設條例第7條規定，所舉借債務不受公共債務法第5條第7項有關每年度舉債額度規定之限制。</w:t>
      </w:r>
    </w:p>
    <w:p w14:paraId="2D7915B4" w14:textId="77777777" w:rsidR="009D64D0" w:rsidRPr="00BC7E20" w:rsidRDefault="009D64D0" w:rsidP="00F470A8">
      <w:pPr>
        <w:tabs>
          <w:tab w:val="left" w:pos="709"/>
        </w:tabs>
        <w:kinsoku w:val="0"/>
        <w:overflowPunct w:val="0"/>
        <w:autoSpaceDE w:val="0"/>
        <w:spacing w:beforeLines="50" w:before="180" w:line="480" w:lineRule="exact"/>
        <w:ind w:left="644" w:hangingChars="201" w:hanging="644"/>
        <w:jc w:val="both"/>
        <w:rPr>
          <w:rFonts w:ascii="標楷體" w:eastAsia="標楷體" w:hAnsi="標楷體"/>
          <w:color w:val="000000"/>
          <w:sz w:val="32"/>
          <w:szCs w:val="32"/>
        </w:rPr>
      </w:pPr>
      <w:r w:rsidRPr="00BC7E20">
        <w:rPr>
          <w:rFonts w:ascii="標楷體" w:eastAsia="標楷體" w:hAnsi="標楷體" w:hint="eastAsia"/>
          <w:b/>
          <w:color w:val="000000"/>
          <w:sz w:val="32"/>
          <w:szCs w:val="32"/>
        </w:rPr>
        <w:t>貳、</w:t>
      </w:r>
      <w:r w:rsidRPr="00BC7E20">
        <w:rPr>
          <w:rFonts w:ascii="標楷體" w:eastAsia="標楷體" w:hAnsi="標楷體" w:hint="eastAsia"/>
          <w:bCs/>
          <w:color w:val="000000"/>
          <w:sz w:val="32"/>
          <w:szCs w:val="32"/>
        </w:rPr>
        <w:t>中央政府前瞻基礎建設計畫第5期特別預算案(114年度)</w:t>
      </w:r>
      <w:r w:rsidRPr="00BC7E20">
        <w:rPr>
          <w:rFonts w:ascii="標楷體" w:eastAsia="標楷體" w:hAnsi="標楷體" w:hint="eastAsia"/>
          <w:color w:val="000000"/>
          <w:sz w:val="32"/>
          <w:szCs w:val="32"/>
        </w:rPr>
        <w:t>業已審查完竣，擬具審查報告，提報院會討論；院會討論前，須交由黨團協商；院會討論時，由財政委員會陳召集委員玉珍出席說明。</w:t>
      </w:r>
    </w:p>
    <w:p w14:paraId="1942738F" w14:textId="77777777" w:rsidR="009D64D0" w:rsidRPr="00BC7E20" w:rsidRDefault="009D64D0" w:rsidP="00F470A8">
      <w:pPr>
        <w:kinsoku w:val="0"/>
        <w:overflowPunct w:val="0"/>
        <w:autoSpaceDE w:val="0"/>
        <w:spacing w:line="480" w:lineRule="exact"/>
        <w:rPr>
          <w:rFonts w:ascii="標楷體" w:eastAsia="標楷體" w:hAnsi="標楷體"/>
          <w:color w:val="000000"/>
          <w:sz w:val="32"/>
          <w:szCs w:val="32"/>
        </w:rPr>
      </w:pPr>
      <w:r w:rsidRPr="00BC7E20">
        <w:rPr>
          <w:rFonts w:ascii="標楷體" w:eastAsia="標楷體" w:hAnsi="標楷體" w:hint="eastAsia"/>
          <w:b/>
          <w:color w:val="000000"/>
          <w:sz w:val="32"/>
          <w:szCs w:val="32"/>
        </w:rPr>
        <w:t>參、</w:t>
      </w:r>
      <w:r w:rsidRPr="00BC7E20">
        <w:rPr>
          <w:rFonts w:ascii="標楷體" w:eastAsia="標楷體" w:hAnsi="標楷體" w:hint="eastAsia"/>
          <w:color w:val="000000"/>
          <w:sz w:val="32"/>
          <w:szCs w:val="32"/>
        </w:rPr>
        <w:t>本次聯席會之議事錄，授權由主席核定後確定。</w:t>
      </w:r>
    </w:p>
    <w:p w14:paraId="2557EE45" w14:textId="77777777" w:rsidR="009D64D0" w:rsidRPr="00BC7E20" w:rsidRDefault="009D64D0" w:rsidP="00F470A8">
      <w:pPr>
        <w:kinsoku w:val="0"/>
        <w:overflowPunct w:val="0"/>
        <w:autoSpaceDE w:val="0"/>
        <w:spacing w:beforeLines="50" w:before="180" w:line="480" w:lineRule="exact"/>
        <w:rPr>
          <w:rFonts w:ascii="標楷體" w:eastAsia="標楷體" w:hAnsi="標楷體"/>
          <w:b/>
          <w:color w:val="000000"/>
          <w:sz w:val="32"/>
          <w:szCs w:val="32"/>
        </w:rPr>
      </w:pPr>
      <w:r w:rsidRPr="00BC7E20">
        <w:rPr>
          <w:rFonts w:ascii="標楷體" w:eastAsia="標楷體" w:hAnsi="標楷體" w:hint="eastAsia"/>
          <w:b/>
          <w:color w:val="000000"/>
          <w:sz w:val="32"/>
          <w:szCs w:val="32"/>
        </w:rPr>
        <w:t>散會</w:t>
      </w:r>
    </w:p>
    <w:p w14:paraId="395CA52F" w14:textId="77777777" w:rsidR="009D64D0" w:rsidRDefault="009D64D0" w:rsidP="00F470A8">
      <w:pPr>
        <w:kinsoku w:val="0"/>
        <w:overflowPunct w:val="0"/>
        <w:autoSpaceDE w:val="0"/>
        <w:spacing w:beforeLines="50" w:before="180"/>
        <w:rPr>
          <w:rFonts w:ascii="標楷體" w:eastAsia="標楷體" w:hAnsi="標楷體"/>
          <w:b/>
        </w:rPr>
      </w:pPr>
    </w:p>
    <w:p w14:paraId="3239C6EE" w14:textId="77777777" w:rsidR="00347FA7" w:rsidRPr="00347FA7" w:rsidRDefault="00347FA7" w:rsidP="00F470A8">
      <w:pPr>
        <w:widowControl w:val="0"/>
        <w:overflowPunct w:val="0"/>
        <w:autoSpaceDN/>
        <w:spacing w:line="520" w:lineRule="exact"/>
        <w:jc w:val="both"/>
        <w:textAlignment w:val="auto"/>
        <w:rPr>
          <w:rFonts w:ascii="標楷體" w:eastAsia="標楷體" w:hAnsi="標楷體"/>
          <w:b/>
          <w:kern w:val="0"/>
          <w:sz w:val="32"/>
          <w:szCs w:val="32"/>
        </w:rPr>
      </w:pPr>
    </w:p>
    <w:sectPr w:rsidR="00347FA7" w:rsidRPr="00347FA7" w:rsidSect="009D64D0">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3AF4A2" w14:textId="77777777" w:rsidR="00DB42BB" w:rsidRDefault="00DB42BB">
      <w:r>
        <w:separator/>
      </w:r>
    </w:p>
  </w:endnote>
  <w:endnote w:type="continuationSeparator" w:id="0">
    <w:p w14:paraId="0FD44056" w14:textId="77777777" w:rsidR="00DB42BB" w:rsidRDefault="00DB4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New Gulim">
    <w:altName w:val="Malgun Gothic Semilight"/>
    <w:charset w:val="81"/>
    <w:family w:val="roman"/>
    <w:pitch w:val="variable"/>
    <w:sig w:usb0="00000000" w:usb1="7F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DFKaiShuW5-B5">
    <w:altName w:val="μO±d·￠RNAe W"/>
    <w:panose1 w:val="00000000000000000000"/>
    <w:charset w:val="88"/>
    <w:family w:val="swiss"/>
    <w:notTrueType/>
    <w:pitch w:val="default"/>
    <w:sig w:usb0="00000001" w:usb1="08080000" w:usb2="00000010" w:usb3="00000000" w:csb0="00100000" w:csb1="00000000"/>
  </w:font>
  <w:font w:name="Helvetica">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3DC03" w14:textId="77777777" w:rsidR="008B32D4" w:rsidRDefault="008B32D4">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14:paraId="483C1D5B" w14:textId="77777777" w:rsidR="008B32D4" w:rsidRDefault="008B32D4">
    <w:pPr>
      <w:pStyle w:val="af"/>
      <w:ind w:firstLine="360"/>
    </w:pPr>
  </w:p>
  <w:p w14:paraId="453F03BA" w14:textId="77777777" w:rsidR="008B32D4" w:rsidRDefault="008B32D4"/>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Content>
      <w:p w14:paraId="224AFDA2" w14:textId="6C958507" w:rsidR="008B32D4" w:rsidRDefault="008B32D4">
        <w:pPr>
          <w:pStyle w:val="af"/>
          <w:jc w:val="center"/>
        </w:pPr>
        <w:r>
          <w:fldChar w:fldCharType="begin"/>
        </w:r>
        <w:r>
          <w:instrText>PAGE   \* MERGEFORMAT</w:instrText>
        </w:r>
        <w:r>
          <w:fldChar w:fldCharType="separate"/>
        </w:r>
        <w:r w:rsidR="0052759A" w:rsidRPr="0052759A">
          <w:rPr>
            <w:noProof/>
            <w:lang w:val="zh-TW"/>
          </w:rPr>
          <w:t>146</w:t>
        </w:r>
        <w:r>
          <w:fldChar w:fldCharType="end"/>
        </w:r>
      </w:p>
    </w:sdtContent>
  </w:sdt>
  <w:p w14:paraId="31F0F337" w14:textId="77777777" w:rsidR="008B32D4" w:rsidRDefault="008B32D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0074F" w14:textId="77777777" w:rsidR="00DB42BB" w:rsidRDefault="00DB42BB">
      <w:r>
        <w:separator/>
      </w:r>
    </w:p>
  </w:footnote>
  <w:footnote w:type="continuationSeparator" w:id="0">
    <w:p w14:paraId="797AC674" w14:textId="77777777" w:rsidR="00DB42BB" w:rsidRDefault="00DB42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3136B2"/>
    <w:multiLevelType w:val="hybridMultilevel"/>
    <w:tmpl w:val="3A1A89F2"/>
    <w:lvl w:ilvl="0" w:tplc="5C326738">
      <w:start w:val="1"/>
      <w:numFmt w:val="taiwaneseCountingThousand"/>
      <w:lvlText w:val="(%1)"/>
      <w:lvlJc w:val="left"/>
      <w:pPr>
        <w:ind w:left="1360" w:hanging="720"/>
      </w:pPr>
      <w:rPr>
        <w:color w:val="auto"/>
      </w:rPr>
    </w:lvl>
    <w:lvl w:ilvl="1" w:tplc="04090019">
      <w:start w:val="1"/>
      <w:numFmt w:val="ideographTraditional"/>
      <w:lvlText w:val="%2、"/>
      <w:lvlJc w:val="left"/>
      <w:pPr>
        <w:ind w:left="1600" w:hanging="480"/>
      </w:pPr>
    </w:lvl>
    <w:lvl w:ilvl="2" w:tplc="0409001B">
      <w:start w:val="1"/>
      <w:numFmt w:val="lowerRoman"/>
      <w:lvlText w:val="%3."/>
      <w:lvlJc w:val="right"/>
      <w:pPr>
        <w:ind w:left="2080" w:hanging="480"/>
      </w:pPr>
    </w:lvl>
    <w:lvl w:ilvl="3" w:tplc="0409000F">
      <w:start w:val="1"/>
      <w:numFmt w:val="decimal"/>
      <w:lvlText w:val="%4."/>
      <w:lvlJc w:val="left"/>
      <w:pPr>
        <w:ind w:left="2560" w:hanging="480"/>
      </w:pPr>
    </w:lvl>
    <w:lvl w:ilvl="4" w:tplc="04090019">
      <w:start w:val="1"/>
      <w:numFmt w:val="ideographTraditional"/>
      <w:lvlText w:val="%5、"/>
      <w:lvlJc w:val="left"/>
      <w:pPr>
        <w:ind w:left="3040" w:hanging="480"/>
      </w:pPr>
    </w:lvl>
    <w:lvl w:ilvl="5" w:tplc="0409001B">
      <w:start w:val="1"/>
      <w:numFmt w:val="lowerRoman"/>
      <w:lvlText w:val="%6."/>
      <w:lvlJc w:val="right"/>
      <w:pPr>
        <w:ind w:left="3520" w:hanging="480"/>
      </w:pPr>
    </w:lvl>
    <w:lvl w:ilvl="6" w:tplc="0409000F">
      <w:start w:val="1"/>
      <w:numFmt w:val="decimal"/>
      <w:lvlText w:val="%7."/>
      <w:lvlJc w:val="left"/>
      <w:pPr>
        <w:ind w:left="4000" w:hanging="480"/>
      </w:pPr>
    </w:lvl>
    <w:lvl w:ilvl="7" w:tplc="04090019">
      <w:start w:val="1"/>
      <w:numFmt w:val="ideographTraditional"/>
      <w:lvlText w:val="%8、"/>
      <w:lvlJc w:val="left"/>
      <w:pPr>
        <w:ind w:left="4480" w:hanging="480"/>
      </w:pPr>
    </w:lvl>
    <w:lvl w:ilvl="8" w:tplc="0409001B">
      <w:start w:val="1"/>
      <w:numFmt w:val="lowerRoman"/>
      <w:lvlText w:val="%9."/>
      <w:lvlJc w:val="right"/>
      <w:pPr>
        <w:ind w:left="4960"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2"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1BB2222D"/>
    <w:multiLevelType w:val="hybridMultilevel"/>
    <w:tmpl w:val="0A9443E2"/>
    <w:lvl w:ilvl="0" w:tplc="525E4A24">
      <w:start w:val="1"/>
      <w:numFmt w:val="decimal"/>
      <w:lvlText w:val="%1"/>
      <w:lvlJc w:val="left"/>
      <w:pPr>
        <w:ind w:left="622" w:hanging="480"/>
      </w:pPr>
      <w:rPr>
        <w:rFonts w:hint="eastAsia"/>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16"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8"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C143542"/>
    <w:multiLevelType w:val="hybridMultilevel"/>
    <w:tmpl w:val="E4BA48BE"/>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D6C4471"/>
    <w:multiLevelType w:val="hybridMultilevel"/>
    <w:tmpl w:val="66564D98"/>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3"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6"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0"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15D55D6"/>
    <w:multiLevelType w:val="hybridMultilevel"/>
    <w:tmpl w:val="9DAEB87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3"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443F54C0"/>
    <w:multiLevelType w:val="hybridMultilevel"/>
    <w:tmpl w:val="7088854E"/>
    <w:lvl w:ilvl="0" w:tplc="A0B250B2">
      <w:start w:val="1"/>
      <w:numFmt w:val="decimal"/>
      <w:lvlText w:val="%1"/>
      <w:lvlJc w:val="center"/>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495B5A4A"/>
    <w:multiLevelType w:val="hybridMultilevel"/>
    <w:tmpl w:val="06CC0C52"/>
    <w:lvl w:ilvl="0" w:tplc="E1062E3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7"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50575726"/>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9"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0D9413A"/>
    <w:multiLevelType w:val="hybridMultilevel"/>
    <w:tmpl w:val="3C82923E"/>
    <w:lvl w:ilvl="0" w:tplc="F140DD64">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39638D2"/>
    <w:multiLevelType w:val="hybridMultilevel"/>
    <w:tmpl w:val="7CD68084"/>
    <w:lvl w:ilvl="0" w:tplc="FFFFFFFF">
      <w:start w:val="1"/>
      <w:numFmt w:val="decimal"/>
      <w:lvlText w:val="%1"/>
      <w:lvlJc w:val="center"/>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7"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8"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9"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9" w15:restartNumberingAfterBreak="0">
    <w:nsid w:val="7613033B"/>
    <w:multiLevelType w:val="hybridMultilevel"/>
    <w:tmpl w:val="B636D966"/>
    <w:lvl w:ilvl="0" w:tplc="B078671C">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56"/>
  </w:num>
  <w:num w:numId="3">
    <w:abstractNumId w:val="50"/>
  </w:num>
  <w:num w:numId="4">
    <w:abstractNumId w:val="42"/>
  </w:num>
  <w:num w:numId="5">
    <w:abstractNumId w:val="0"/>
  </w:num>
  <w:num w:numId="6">
    <w:abstractNumId w:val="19"/>
  </w:num>
  <w:num w:numId="7">
    <w:abstractNumId w:val="45"/>
  </w:num>
  <w:num w:numId="8">
    <w:abstractNumId w:val="31"/>
  </w:num>
  <w:num w:numId="9">
    <w:abstractNumId w:val="51"/>
  </w:num>
  <w:num w:numId="10">
    <w:abstractNumId w:val="18"/>
  </w:num>
  <w:num w:numId="11">
    <w:abstractNumId w:val="14"/>
  </w:num>
  <w:num w:numId="12">
    <w:abstractNumId w:val="54"/>
  </w:num>
  <w:num w:numId="13">
    <w:abstractNumId w:val="29"/>
  </w:num>
  <w:num w:numId="14">
    <w:abstractNumId w:val="10"/>
  </w:num>
  <w:num w:numId="15">
    <w:abstractNumId w:val="33"/>
  </w:num>
  <w:num w:numId="16">
    <w:abstractNumId w:val="25"/>
  </w:num>
  <w:num w:numId="17">
    <w:abstractNumId w:val="5"/>
  </w:num>
  <w:num w:numId="18">
    <w:abstractNumId w:val="17"/>
  </w:num>
  <w:num w:numId="19">
    <w:abstractNumId w:val="26"/>
  </w:num>
  <w:num w:numId="20">
    <w:abstractNumId w:val="55"/>
  </w:num>
  <w:num w:numId="21">
    <w:abstractNumId w:val="37"/>
  </w:num>
  <w:num w:numId="22">
    <w:abstractNumId w:val="24"/>
  </w:num>
  <w:num w:numId="23">
    <w:abstractNumId w:val="9"/>
  </w:num>
  <w:num w:numId="24">
    <w:abstractNumId w:val="28"/>
  </w:num>
  <w:num w:numId="25">
    <w:abstractNumId w:val="27"/>
  </w:num>
  <w:num w:numId="26">
    <w:abstractNumId w:val="13"/>
  </w:num>
  <w:num w:numId="27">
    <w:abstractNumId w:val="35"/>
  </w:num>
  <w:num w:numId="28">
    <w:abstractNumId w:val="1"/>
  </w:num>
  <w:num w:numId="29">
    <w:abstractNumId w:val="7"/>
  </w:num>
  <w:num w:numId="30">
    <w:abstractNumId w:val="58"/>
  </w:num>
  <w:num w:numId="31">
    <w:abstractNumId w:val="48"/>
  </w:num>
  <w:num w:numId="32">
    <w:abstractNumId w:val="61"/>
  </w:num>
  <w:num w:numId="33">
    <w:abstractNumId w:val="57"/>
  </w:num>
  <w:num w:numId="34">
    <w:abstractNumId w:val="3"/>
  </w:num>
  <w:num w:numId="35">
    <w:abstractNumId w:val="12"/>
  </w:num>
  <w:num w:numId="36">
    <w:abstractNumId w:val="41"/>
  </w:num>
  <w:num w:numId="37">
    <w:abstractNumId w:val="16"/>
  </w:num>
  <w:num w:numId="38">
    <w:abstractNumId w:val="40"/>
  </w:num>
  <w:num w:numId="39">
    <w:abstractNumId w:val="23"/>
  </w:num>
  <w:num w:numId="40">
    <w:abstractNumId w:val="43"/>
  </w:num>
  <w:num w:numId="41">
    <w:abstractNumId w:val="8"/>
  </w:num>
  <w:num w:numId="42">
    <w:abstractNumId w:val="49"/>
  </w:num>
  <w:num w:numId="43">
    <w:abstractNumId w:val="20"/>
  </w:num>
  <w:num w:numId="44">
    <w:abstractNumId w:val="47"/>
  </w:num>
  <w:num w:numId="45">
    <w:abstractNumId w:val="52"/>
  </w:num>
  <w:num w:numId="46">
    <w:abstractNumId w:val="60"/>
  </w:num>
  <w:num w:numId="47">
    <w:abstractNumId w:val="4"/>
  </w:num>
  <w:num w:numId="48">
    <w:abstractNumId w:val="53"/>
  </w:num>
  <w:num w:numId="49">
    <w:abstractNumId w:val="30"/>
  </w:num>
  <w:num w:numId="50">
    <w:abstractNumId w:val="56"/>
    <w:lvlOverride w:ilvl="0">
      <w:lvl w:ilvl="0">
        <w:start w:val="1"/>
        <w:numFmt w:val="decimal"/>
        <w:lvlText w:val=" %1"/>
        <w:lvlJc w:val="left"/>
        <w:pPr>
          <w:ind w:left="480" w:hanging="480"/>
        </w:pPr>
        <w:rPr>
          <w:rFonts w:hint="eastAsia"/>
          <w:b/>
          <w:color w:val="auto"/>
        </w:rPr>
      </w:lvl>
    </w:lvlOverride>
  </w:num>
  <w:num w:numId="51">
    <w:abstractNumId w:val="14"/>
    <w:lvlOverride w:ilvl="0">
      <w:lvl w:ilvl="0">
        <w:start w:val="1"/>
        <w:numFmt w:val="decimal"/>
        <w:lvlText w:val=" %1"/>
        <w:lvlJc w:val="left"/>
        <w:pPr>
          <w:ind w:left="480" w:hanging="480"/>
        </w:pPr>
        <w:rPr>
          <w:rFonts w:hint="eastAsia"/>
          <w:b/>
          <w:color w:val="auto"/>
        </w:rPr>
      </w:lvl>
    </w:lvlOverride>
  </w:num>
  <w:num w:numId="52">
    <w:abstractNumId w:val="36"/>
  </w:num>
  <w:num w:numId="53">
    <w:abstractNumId w:val="34"/>
  </w:num>
  <w:num w:numId="54">
    <w:abstractNumId w:val="39"/>
  </w:num>
  <w:num w:numId="55">
    <w:abstractNumId w:val="11"/>
  </w:num>
  <w:num w:numId="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9"/>
  </w:num>
  <w:num w:numId="58">
    <w:abstractNumId w:val="21"/>
  </w:num>
  <w:num w:numId="59">
    <w:abstractNumId w:val="44"/>
  </w:num>
  <w:num w:numId="60">
    <w:abstractNumId w:val="22"/>
  </w:num>
  <w:num w:numId="61">
    <w:abstractNumId w:val="32"/>
  </w:num>
  <w:num w:numId="62">
    <w:abstractNumId w:val="15"/>
  </w:num>
  <w:num w:numId="63">
    <w:abstractNumId w:val="46"/>
  </w:num>
  <w:num w:numId="64">
    <w:abstractNumId w:val="3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941"/>
    <w:rsid w:val="000039A8"/>
    <w:rsid w:val="000039E1"/>
    <w:rsid w:val="00003B42"/>
    <w:rsid w:val="00003DD8"/>
    <w:rsid w:val="000044D1"/>
    <w:rsid w:val="00004529"/>
    <w:rsid w:val="00004616"/>
    <w:rsid w:val="00004E0B"/>
    <w:rsid w:val="00004E1A"/>
    <w:rsid w:val="000052BC"/>
    <w:rsid w:val="000052C7"/>
    <w:rsid w:val="00005688"/>
    <w:rsid w:val="00005C90"/>
    <w:rsid w:val="00005CFD"/>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72F9"/>
    <w:rsid w:val="000473C2"/>
    <w:rsid w:val="000476B2"/>
    <w:rsid w:val="00047A26"/>
    <w:rsid w:val="00047D54"/>
    <w:rsid w:val="00047D78"/>
    <w:rsid w:val="000502C9"/>
    <w:rsid w:val="0005036E"/>
    <w:rsid w:val="00050618"/>
    <w:rsid w:val="000506DA"/>
    <w:rsid w:val="000517D4"/>
    <w:rsid w:val="00052587"/>
    <w:rsid w:val="00052E3F"/>
    <w:rsid w:val="000530EA"/>
    <w:rsid w:val="00053495"/>
    <w:rsid w:val="00053629"/>
    <w:rsid w:val="00053A3C"/>
    <w:rsid w:val="0005451D"/>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B11"/>
    <w:rsid w:val="000A2E7A"/>
    <w:rsid w:val="000A31E4"/>
    <w:rsid w:val="000A3325"/>
    <w:rsid w:val="000A3BB1"/>
    <w:rsid w:val="000A426F"/>
    <w:rsid w:val="000A4DA6"/>
    <w:rsid w:val="000A4DB2"/>
    <w:rsid w:val="000A5406"/>
    <w:rsid w:val="000A68EE"/>
    <w:rsid w:val="000A6CC9"/>
    <w:rsid w:val="000A6EE7"/>
    <w:rsid w:val="000A71D0"/>
    <w:rsid w:val="000A7631"/>
    <w:rsid w:val="000A7A5D"/>
    <w:rsid w:val="000A7D9C"/>
    <w:rsid w:val="000B0A96"/>
    <w:rsid w:val="000B0C46"/>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6185"/>
    <w:rsid w:val="000B67EE"/>
    <w:rsid w:val="000B6902"/>
    <w:rsid w:val="000B6BA8"/>
    <w:rsid w:val="000B7221"/>
    <w:rsid w:val="000B78AC"/>
    <w:rsid w:val="000B7D0B"/>
    <w:rsid w:val="000C023E"/>
    <w:rsid w:val="000C0787"/>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114C"/>
    <w:rsid w:val="000D118C"/>
    <w:rsid w:val="000D12CC"/>
    <w:rsid w:val="000D15DF"/>
    <w:rsid w:val="000D1C59"/>
    <w:rsid w:val="000D1E07"/>
    <w:rsid w:val="000D21C5"/>
    <w:rsid w:val="000D26AB"/>
    <w:rsid w:val="000D2E36"/>
    <w:rsid w:val="000D2F1C"/>
    <w:rsid w:val="000D398D"/>
    <w:rsid w:val="000D4277"/>
    <w:rsid w:val="000D4499"/>
    <w:rsid w:val="000D4D30"/>
    <w:rsid w:val="000D4FC0"/>
    <w:rsid w:val="000D5232"/>
    <w:rsid w:val="000D5355"/>
    <w:rsid w:val="000D59C3"/>
    <w:rsid w:val="000D60DB"/>
    <w:rsid w:val="000D7548"/>
    <w:rsid w:val="000D78A4"/>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6212"/>
    <w:rsid w:val="000E6612"/>
    <w:rsid w:val="000E677E"/>
    <w:rsid w:val="000E6A84"/>
    <w:rsid w:val="000E6BCD"/>
    <w:rsid w:val="000E7796"/>
    <w:rsid w:val="000E779B"/>
    <w:rsid w:val="000E7810"/>
    <w:rsid w:val="000F01DB"/>
    <w:rsid w:val="000F03D7"/>
    <w:rsid w:val="000F0735"/>
    <w:rsid w:val="000F0A81"/>
    <w:rsid w:val="000F1288"/>
    <w:rsid w:val="000F1CCE"/>
    <w:rsid w:val="000F1D9F"/>
    <w:rsid w:val="000F23E0"/>
    <w:rsid w:val="000F24DC"/>
    <w:rsid w:val="000F2E71"/>
    <w:rsid w:val="000F3013"/>
    <w:rsid w:val="000F33DF"/>
    <w:rsid w:val="000F41ED"/>
    <w:rsid w:val="000F4233"/>
    <w:rsid w:val="000F45F0"/>
    <w:rsid w:val="000F4835"/>
    <w:rsid w:val="000F4852"/>
    <w:rsid w:val="000F55F7"/>
    <w:rsid w:val="000F5809"/>
    <w:rsid w:val="000F6EA6"/>
    <w:rsid w:val="000F73B3"/>
    <w:rsid w:val="000F75E6"/>
    <w:rsid w:val="000F76BF"/>
    <w:rsid w:val="000F7904"/>
    <w:rsid w:val="000F7CA8"/>
    <w:rsid w:val="0010050E"/>
    <w:rsid w:val="001007DE"/>
    <w:rsid w:val="00100C01"/>
    <w:rsid w:val="0010107C"/>
    <w:rsid w:val="00101941"/>
    <w:rsid w:val="0010197F"/>
    <w:rsid w:val="001020DF"/>
    <w:rsid w:val="00102535"/>
    <w:rsid w:val="00102778"/>
    <w:rsid w:val="00102C63"/>
    <w:rsid w:val="00103917"/>
    <w:rsid w:val="00103C7A"/>
    <w:rsid w:val="0010437D"/>
    <w:rsid w:val="0010479B"/>
    <w:rsid w:val="0010493F"/>
    <w:rsid w:val="001049EE"/>
    <w:rsid w:val="00105534"/>
    <w:rsid w:val="001056A2"/>
    <w:rsid w:val="00105FC1"/>
    <w:rsid w:val="00105FE2"/>
    <w:rsid w:val="00106835"/>
    <w:rsid w:val="00106CEB"/>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9DE"/>
    <w:rsid w:val="0014106F"/>
    <w:rsid w:val="001410A1"/>
    <w:rsid w:val="001417C1"/>
    <w:rsid w:val="0014260F"/>
    <w:rsid w:val="0014279D"/>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5FA1"/>
    <w:rsid w:val="00156189"/>
    <w:rsid w:val="00156333"/>
    <w:rsid w:val="00156597"/>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453"/>
    <w:rsid w:val="001665B0"/>
    <w:rsid w:val="00166843"/>
    <w:rsid w:val="00166881"/>
    <w:rsid w:val="00166C7F"/>
    <w:rsid w:val="001672A9"/>
    <w:rsid w:val="001679B9"/>
    <w:rsid w:val="00167F21"/>
    <w:rsid w:val="001702F7"/>
    <w:rsid w:val="00170301"/>
    <w:rsid w:val="001705F3"/>
    <w:rsid w:val="00170A03"/>
    <w:rsid w:val="0017185B"/>
    <w:rsid w:val="00171FF9"/>
    <w:rsid w:val="00172700"/>
    <w:rsid w:val="00172BC8"/>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2D58"/>
    <w:rsid w:val="001839B6"/>
    <w:rsid w:val="001844A2"/>
    <w:rsid w:val="00184822"/>
    <w:rsid w:val="00184D21"/>
    <w:rsid w:val="00184DAD"/>
    <w:rsid w:val="0018559E"/>
    <w:rsid w:val="00185670"/>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F8D"/>
    <w:rsid w:val="00192168"/>
    <w:rsid w:val="00192936"/>
    <w:rsid w:val="00192BCC"/>
    <w:rsid w:val="00192E63"/>
    <w:rsid w:val="00192ED8"/>
    <w:rsid w:val="001931B5"/>
    <w:rsid w:val="0019356B"/>
    <w:rsid w:val="0019468D"/>
    <w:rsid w:val="00194709"/>
    <w:rsid w:val="00194996"/>
    <w:rsid w:val="00194DD1"/>
    <w:rsid w:val="00194E2C"/>
    <w:rsid w:val="001951EE"/>
    <w:rsid w:val="001962AE"/>
    <w:rsid w:val="001964CE"/>
    <w:rsid w:val="00196925"/>
    <w:rsid w:val="00196AA5"/>
    <w:rsid w:val="0019700B"/>
    <w:rsid w:val="00197ACE"/>
    <w:rsid w:val="00197D9A"/>
    <w:rsid w:val="001A07DC"/>
    <w:rsid w:val="001A083F"/>
    <w:rsid w:val="001A1093"/>
    <w:rsid w:val="001A1322"/>
    <w:rsid w:val="001A167F"/>
    <w:rsid w:val="001A1D56"/>
    <w:rsid w:val="001A1F0A"/>
    <w:rsid w:val="001A240E"/>
    <w:rsid w:val="001A2686"/>
    <w:rsid w:val="001A283D"/>
    <w:rsid w:val="001A3200"/>
    <w:rsid w:val="001A352A"/>
    <w:rsid w:val="001A3736"/>
    <w:rsid w:val="001A41C2"/>
    <w:rsid w:val="001A4900"/>
    <w:rsid w:val="001A4948"/>
    <w:rsid w:val="001A4B17"/>
    <w:rsid w:val="001A52B5"/>
    <w:rsid w:val="001A5708"/>
    <w:rsid w:val="001A5F12"/>
    <w:rsid w:val="001A64F7"/>
    <w:rsid w:val="001A6720"/>
    <w:rsid w:val="001A6D6A"/>
    <w:rsid w:val="001A719D"/>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6F8D"/>
    <w:rsid w:val="001F7062"/>
    <w:rsid w:val="001F7214"/>
    <w:rsid w:val="002000E4"/>
    <w:rsid w:val="00200DD2"/>
    <w:rsid w:val="00200F70"/>
    <w:rsid w:val="0020116F"/>
    <w:rsid w:val="00201C73"/>
    <w:rsid w:val="00202402"/>
    <w:rsid w:val="002024F5"/>
    <w:rsid w:val="00202CC3"/>
    <w:rsid w:val="00203040"/>
    <w:rsid w:val="00203370"/>
    <w:rsid w:val="0020377F"/>
    <w:rsid w:val="0020395B"/>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1F7C"/>
    <w:rsid w:val="002226E3"/>
    <w:rsid w:val="00222F4B"/>
    <w:rsid w:val="002232CD"/>
    <w:rsid w:val="00223331"/>
    <w:rsid w:val="002235D3"/>
    <w:rsid w:val="00223A94"/>
    <w:rsid w:val="00223AC9"/>
    <w:rsid w:val="0022472E"/>
    <w:rsid w:val="00224C0B"/>
    <w:rsid w:val="00224EF0"/>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694"/>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F50"/>
    <w:rsid w:val="00232F7F"/>
    <w:rsid w:val="002330A6"/>
    <w:rsid w:val="002331CA"/>
    <w:rsid w:val="0023479A"/>
    <w:rsid w:val="00234860"/>
    <w:rsid w:val="002351E3"/>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5BC"/>
    <w:rsid w:val="00263AD4"/>
    <w:rsid w:val="00263B51"/>
    <w:rsid w:val="00263EFA"/>
    <w:rsid w:val="00264232"/>
    <w:rsid w:val="0026458C"/>
    <w:rsid w:val="0026465A"/>
    <w:rsid w:val="002647D8"/>
    <w:rsid w:val="00264E99"/>
    <w:rsid w:val="002656D4"/>
    <w:rsid w:val="00265A36"/>
    <w:rsid w:val="00266309"/>
    <w:rsid w:val="00267233"/>
    <w:rsid w:val="0026725E"/>
    <w:rsid w:val="002679EB"/>
    <w:rsid w:val="00267C27"/>
    <w:rsid w:val="00267FBD"/>
    <w:rsid w:val="0027024C"/>
    <w:rsid w:val="002704C8"/>
    <w:rsid w:val="00270856"/>
    <w:rsid w:val="00270CA1"/>
    <w:rsid w:val="00270E22"/>
    <w:rsid w:val="00270E75"/>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7"/>
    <w:rsid w:val="00295D9A"/>
    <w:rsid w:val="0029605B"/>
    <w:rsid w:val="00297264"/>
    <w:rsid w:val="0029750B"/>
    <w:rsid w:val="00297A73"/>
    <w:rsid w:val="00297D1F"/>
    <w:rsid w:val="00297FD8"/>
    <w:rsid w:val="002A064B"/>
    <w:rsid w:val="002A112F"/>
    <w:rsid w:val="002A11A5"/>
    <w:rsid w:val="002A11AA"/>
    <w:rsid w:val="002A16A3"/>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C0865"/>
    <w:rsid w:val="002C19A8"/>
    <w:rsid w:val="002C21C7"/>
    <w:rsid w:val="002C30CF"/>
    <w:rsid w:val="002C346C"/>
    <w:rsid w:val="002C37C0"/>
    <w:rsid w:val="002C3B8D"/>
    <w:rsid w:val="002C4747"/>
    <w:rsid w:val="002C4A8C"/>
    <w:rsid w:val="002C4F6F"/>
    <w:rsid w:val="002C5628"/>
    <w:rsid w:val="002C5630"/>
    <w:rsid w:val="002C5946"/>
    <w:rsid w:val="002C5E3A"/>
    <w:rsid w:val="002C602A"/>
    <w:rsid w:val="002C666F"/>
    <w:rsid w:val="002C6AC7"/>
    <w:rsid w:val="002C6B42"/>
    <w:rsid w:val="002C795D"/>
    <w:rsid w:val="002C7AEA"/>
    <w:rsid w:val="002C7CFF"/>
    <w:rsid w:val="002C7FA9"/>
    <w:rsid w:val="002D0C77"/>
    <w:rsid w:val="002D0CBB"/>
    <w:rsid w:val="002D0D7E"/>
    <w:rsid w:val="002D1A49"/>
    <w:rsid w:val="002D1D4D"/>
    <w:rsid w:val="002D20D0"/>
    <w:rsid w:val="002D2A1E"/>
    <w:rsid w:val="002D2BAC"/>
    <w:rsid w:val="002D2C65"/>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21C"/>
    <w:rsid w:val="002D7961"/>
    <w:rsid w:val="002D79B4"/>
    <w:rsid w:val="002D7DC6"/>
    <w:rsid w:val="002E01F2"/>
    <w:rsid w:val="002E04F1"/>
    <w:rsid w:val="002E0C53"/>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8D5"/>
    <w:rsid w:val="002E6A17"/>
    <w:rsid w:val="002E6D1C"/>
    <w:rsid w:val="002E7648"/>
    <w:rsid w:val="002E7AE1"/>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BAD"/>
    <w:rsid w:val="00341E79"/>
    <w:rsid w:val="003426E5"/>
    <w:rsid w:val="003434B2"/>
    <w:rsid w:val="0034360E"/>
    <w:rsid w:val="0034383F"/>
    <w:rsid w:val="003438DC"/>
    <w:rsid w:val="00343905"/>
    <w:rsid w:val="003439BE"/>
    <w:rsid w:val="00343B46"/>
    <w:rsid w:val="0034445A"/>
    <w:rsid w:val="00344677"/>
    <w:rsid w:val="0034494F"/>
    <w:rsid w:val="0034536A"/>
    <w:rsid w:val="0034574D"/>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2089"/>
    <w:rsid w:val="00352120"/>
    <w:rsid w:val="003524DC"/>
    <w:rsid w:val="003525E4"/>
    <w:rsid w:val="003533F4"/>
    <w:rsid w:val="00353A39"/>
    <w:rsid w:val="00353AC5"/>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CD4"/>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BC9"/>
    <w:rsid w:val="00383972"/>
    <w:rsid w:val="00383ACD"/>
    <w:rsid w:val="00383C53"/>
    <w:rsid w:val="00384765"/>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537"/>
    <w:rsid w:val="00391594"/>
    <w:rsid w:val="00391A6E"/>
    <w:rsid w:val="00391C19"/>
    <w:rsid w:val="00391ECA"/>
    <w:rsid w:val="00392231"/>
    <w:rsid w:val="00392424"/>
    <w:rsid w:val="003936C0"/>
    <w:rsid w:val="003937BF"/>
    <w:rsid w:val="00393A0F"/>
    <w:rsid w:val="00393E36"/>
    <w:rsid w:val="00394088"/>
    <w:rsid w:val="00394366"/>
    <w:rsid w:val="003946FB"/>
    <w:rsid w:val="003947A5"/>
    <w:rsid w:val="00394F24"/>
    <w:rsid w:val="00394F2D"/>
    <w:rsid w:val="00395124"/>
    <w:rsid w:val="00395536"/>
    <w:rsid w:val="0039588F"/>
    <w:rsid w:val="00396283"/>
    <w:rsid w:val="003962AB"/>
    <w:rsid w:val="00396863"/>
    <w:rsid w:val="00396B8A"/>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160"/>
    <w:rsid w:val="003B23B0"/>
    <w:rsid w:val="003B2ABE"/>
    <w:rsid w:val="003B3680"/>
    <w:rsid w:val="003B3888"/>
    <w:rsid w:val="003B398E"/>
    <w:rsid w:val="003B3A84"/>
    <w:rsid w:val="003B4F6A"/>
    <w:rsid w:val="003B522B"/>
    <w:rsid w:val="003B5680"/>
    <w:rsid w:val="003B56A9"/>
    <w:rsid w:val="003B5843"/>
    <w:rsid w:val="003B5A45"/>
    <w:rsid w:val="003B683E"/>
    <w:rsid w:val="003B6C8D"/>
    <w:rsid w:val="003B714C"/>
    <w:rsid w:val="003B7476"/>
    <w:rsid w:val="003B7991"/>
    <w:rsid w:val="003B7A4C"/>
    <w:rsid w:val="003B7AA5"/>
    <w:rsid w:val="003B7BBB"/>
    <w:rsid w:val="003C00EF"/>
    <w:rsid w:val="003C0338"/>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6BC4"/>
    <w:rsid w:val="003E6BC8"/>
    <w:rsid w:val="003E7548"/>
    <w:rsid w:val="003E77DD"/>
    <w:rsid w:val="003E7969"/>
    <w:rsid w:val="003E7C2C"/>
    <w:rsid w:val="003E7E40"/>
    <w:rsid w:val="003F00EB"/>
    <w:rsid w:val="003F046F"/>
    <w:rsid w:val="003F04B1"/>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41"/>
    <w:rsid w:val="00400DD6"/>
    <w:rsid w:val="004013FC"/>
    <w:rsid w:val="00401801"/>
    <w:rsid w:val="00401BB8"/>
    <w:rsid w:val="00401D01"/>
    <w:rsid w:val="0040262B"/>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018"/>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C8A"/>
    <w:rsid w:val="00453E25"/>
    <w:rsid w:val="004544A3"/>
    <w:rsid w:val="00454755"/>
    <w:rsid w:val="00454AE0"/>
    <w:rsid w:val="00454B08"/>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987"/>
    <w:rsid w:val="00471B20"/>
    <w:rsid w:val="00471C01"/>
    <w:rsid w:val="00471CD7"/>
    <w:rsid w:val="004723D2"/>
    <w:rsid w:val="0047248E"/>
    <w:rsid w:val="00472667"/>
    <w:rsid w:val="00472DB3"/>
    <w:rsid w:val="004732A7"/>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30EB"/>
    <w:rsid w:val="004833C9"/>
    <w:rsid w:val="004833CF"/>
    <w:rsid w:val="004838E2"/>
    <w:rsid w:val="004840C8"/>
    <w:rsid w:val="00484584"/>
    <w:rsid w:val="00485204"/>
    <w:rsid w:val="004858A2"/>
    <w:rsid w:val="00486065"/>
    <w:rsid w:val="00486A1E"/>
    <w:rsid w:val="0048749F"/>
    <w:rsid w:val="004874F2"/>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AD"/>
    <w:rsid w:val="004A0CA0"/>
    <w:rsid w:val="004A0D0A"/>
    <w:rsid w:val="004A11C2"/>
    <w:rsid w:val="004A1414"/>
    <w:rsid w:val="004A1523"/>
    <w:rsid w:val="004A1979"/>
    <w:rsid w:val="004A1B28"/>
    <w:rsid w:val="004A1D24"/>
    <w:rsid w:val="004A1FE2"/>
    <w:rsid w:val="004A2E62"/>
    <w:rsid w:val="004A33CE"/>
    <w:rsid w:val="004A3406"/>
    <w:rsid w:val="004A3E42"/>
    <w:rsid w:val="004A42AE"/>
    <w:rsid w:val="004A640A"/>
    <w:rsid w:val="004A6443"/>
    <w:rsid w:val="004A71E3"/>
    <w:rsid w:val="004A742C"/>
    <w:rsid w:val="004A7A8A"/>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72B8"/>
    <w:rsid w:val="004B733E"/>
    <w:rsid w:val="004B7627"/>
    <w:rsid w:val="004B7810"/>
    <w:rsid w:val="004B7F28"/>
    <w:rsid w:val="004C0336"/>
    <w:rsid w:val="004C0794"/>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5000FC"/>
    <w:rsid w:val="0050029A"/>
    <w:rsid w:val="00500511"/>
    <w:rsid w:val="005009FD"/>
    <w:rsid w:val="00500C64"/>
    <w:rsid w:val="00500E8D"/>
    <w:rsid w:val="0050140B"/>
    <w:rsid w:val="00501C10"/>
    <w:rsid w:val="005022DD"/>
    <w:rsid w:val="00502485"/>
    <w:rsid w:val="005026E4"/>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BEB"/>
    <w:rsid w:val="00515DC0"/>
    <w:rsid w:val="00516BAF"/>
    <w:rsid w:val="005171F4"/>
    <w:rsid w:val="00520205"/>
    <w:rsid w:val="00520219"/>
    <w:rsid w:val="00520592"/>
    <w:rsid w:val="005209C0"/>
    <w:rsid w:val="00521154"/>
    <w:rsid w:val="005211D6"/>
    <w:rsid w:val="00521210"/>
    <w:rsid w:val="0052154C"/>
    <w:rsid w:val="005217F9"/>
    <w:rsid w:val="00522201"/>
    <w:rsid w:val="00522336"/>
    <w:rsid w:val="0052262A"/>
    <w:rsid w:val="00522F5C"/>
    <w:rsid w:val="00523409"/>
    <w:rsid w:val="00523D4B"/>
    <w:rsid w:val="00523F4D"/>
    <w:rsid w:val="00524337"/>
    <w:rsid w:val="005248BD"/>
    <w:rsid w:val="00524BCF"/>
    <w:rsid w:val="00524FF0"/>
    <w:rsid w:val="0052551A"/>
    <w:rsid w:val="005263E3"/>
    <w:rsid w:val="00526B5B"/>
    <w:rsid w:val="00526CD2"/>
    <w:rsid w:val="00526DA3"/>
    <w:rsid w:val="00527155"/>
    <w:rsid w:val="0052759A"/>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0E2"/>
    <w:rsid w:val="00541341"/>
    <w:rsid w:val="00541A6A"/>
    <w:rsid w:val="00541B6A"/>
    <w:rsid w:val="00541FFE"/>
    <w:rsid w:val="005429D1"/>
    <w:rsid w:val="00543397"/>
    <w:rsid w:val="00543477"/>
    <w:rsid w:val="00543553"/>
    <w:rsid w:val="00543636"/>
    <w:rsid w:val="00543F27"/>
    <w:rsid w:val="00544017"/>
    <w:rsid w:val="0054426E"/>
    <w:rsid w:val="00545158"/>
    <w:rsid w:val="005453E9"/>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DBA"/>
    <w:rsid w:val="0055425C"/>
    <w:rsid w:val="005551B7"/>
    <w:rsid w:val="00556ACD"/>
    <w:rsid w:val="00556C85"/>
    <w:rsid w:val="00556C96"/>
    <w:rsid w:val="00556D42"/>
    <w:rsid w:val="00557430"/>
    <w:rsid w:val="005600F3"/>
    <w:rsid w:val="00560C1E"/>
    <w:rsid w:val="00561231"/>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21A9"/>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DAB"/>
    <w:rsid w:val="005B2E19"/>
    <w:rsid w:val="005B2F86"/>
    <w:rsid w:val="005B32C4"/>
    <w:rsid w:val="005B3576"/>
    <w:rsid w:val="005B36FF"/>
    <w:rsid w:val="005B37B1"/>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640B"/>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DF"/>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77CD"/>
    <w:rsid w:val="005E794F"/>
    <w:rsid w:val="005F08D9"/>
    <w:rsid w:val="005F08DC"/>
    <w:rsid w:val="005F0CA5"/>
    <w:rsid w:val="005F0F39"/>
    <w:rsid w:val="005F1639"/>
    <w:rsid w:val="005F20F9"/>
    <w:rsid w:val="005F2309"/>
    <w:rsid w:val="005F280F"/>
    <w:rsid w:val="005F28CC"/>
    <w:rsid w:val="005F29A3"/>
    <w:rsid w:val="005F2E9A"/>
    <w:rsid w:val="005F31CF"/>
    <w:rsid w:val="005F31E3"/>
    <w:rsid w:val="005F31FB"/>
    <w:rsid w:val="005F39BB"/>
    <w:rsid w:val="005F3E72"/>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E2"/>
    <w:rsid w:val="0060025C"/>
    <w:rsid w:val="00600573"/>
    <w:rsid w:val="00600773"/>
    <w:rsid w:val="006007BA"/>
    <w:rsid w:val="0060093B"/>
    <w:rsid w:val="00601241"/>
    <w:rsid w:val="00601331"/>
    <w:rsid w:val="0060164F"/>
    <w:rsid w:val="00601AEB"/>
    <w:rsid w:val="006026BE"/>
    <w:rsid w:val="00602E63"/>
    <w:rsid w:val="0060362C"/>
    <w:rsid w:val="00603AA5"/>
    <w:rsid w:val="006056C3"/>
    <w:rsid w:val="006057B5"/>
    <w:rsid w:val="00605884"/>
    <w:rsid w:val="00605B7E"/>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63E8"/>
    <w:rsid w:val="00626575"/>
    <w:rsid w:val="00626604"/>
    <w:rsid w:val="006267B1"/>
    <w:rsid w:val="00626C79"/>
    <w:rsid w:val="00626E6B"/>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906"/>
    <w:rsid w:val="00635D6E"/>
    <w:rsid w:val="00635E83"/>
    <w:rsid w:val="00636122"/>
    <w:rsid w:val="00636D4A"/>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EEF"/>
    <w:rsid w:val="006440A1"/>
    <w:rsid w:val="006442CC"/>
    <w:rsid w:val="0064441F"/>
    <w:rsid w:val="0064443E"/>
    <w:rsid w:val="00644908"/>
    <w:rsid w:val="00644AAF"/>
    <w:rsid w:val="00644AE9"/>
    <w:rsid w:val="0064557F"/>
    <w:rsid w:val="006457E2"/>
    <w:rsid w:val="00645C5B"/>
    <w:rsid w:val="00646B55"/>
    <w:rsid w:val="00646F3B"/>
    <w:rsid w:val="00647356"/>
    <w:rsid w:val="006473FD"/>
    <w:rsid w:val="0065073A"/>
    <w:rsid w:val="0065095B"/>
    <w:rsid w:val="00650CA3"/>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188C"/>
    <w:rsid w:val="00681E6B"/>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CFC"/>
    <w:rsid w:val="006C492C"/>
    <w:rsid w:val="006C4C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6EB"/>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10AC"/>
    <w:rsid w:val="006F1591"/>
    <w:rsid w:val="006F1A1D"/>
    <w:rsid w:val="006F1AD3"/>
    <w:rsid w:val="006F1E68"/>
    <w:rsid w:val="006F2355"/>
    <w:rsid w:val="006F273D"/>
    <w:rsid w:val="006F2985"/>
    <w:rsid w:val="006F2AEC"/>
    <w:rsid w:val="006F2CE4"/>
    <w:rsid w:val="006F3285"/>
    <w:rsid w:val="006F387A"/>
    <w:rsid w:val="006F3978"/>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686"/>
    <w:rsid w:val="0070081D"/>
    <w:rsid w:val="0070102C"/>
    <w:rsid w:val="00701632"/>
    <w:rsid w:val="0070168A"/>
    <w:rsid w:val="00701C80"/>
    <w:rsid w:val="007029A8"/>
    <w:rsid w:val="00703100"/>
    <w:rsid w:val="007031EF"/>
    <w:rsid w:val="007033BB"/>
    <w:rsid w:val="00703A67"/>
    <w:rsid w:val="00703E00"/>
    <w:rsid w:val="00705340"/>
    <w:rsid w:val="007059A4"/>
    <w:rsid w:val="00705E55"/>
    <w:rsid w:val="007061A2"/>
    <w:rsid w:val="00707658"/>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24B"/>
    <w:rsid w:val="00717C19"/>
    <w:rsid w:val="00717C2B"/>
    <w:rsid w:val="00717E6E"/>
    <w:rsid w:val="007201EA"/>
    <w:rsid w:val="00720A55"/>
    <w:rsid w:val="00720B5E"/>
    <w:rsid w:val="00720C76"/>
    <w:rsid w:val="00721172"/>
    <w:rsid w:val="007216B1"/>
    <w:rsid w:val="00721B47"/>
    <w:rsid w:val="00721D35"/>
    <w:rsid w:val="007220FD"/>
    <w:rsid w:val="0072282C"/>
    <w:rsid w:val="00724219"/>
    <w:rsid w:val="00724446"/>
    <w:rsid w:val="00724715"/>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AB"/>
    <w:rsid w:val="00743793"/>
    <w:rsid w:val="00743B71"/>
    <w:rsid w:val="00743D4C"/>
    <w:rsid w:val="00743D79"/>
    <w:rsid w:val="007445A6"/>
    <w:rsid w:val="00744830"/>
    <w:rsid w:val="00744A91"/>
    <w:rsid w:val="00745197"/>
    <w:rsid w:val="00745281"/>
    <w:rsid w:val="00745C93"/>
    <w:rsid w:val="00745F72"/>
    <w:rsid w:val="0074607F"/>
    <w:rsid w:val="0074634B"/>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5D2"/>
    <w:rsid w:val="007556D4"/>
    <w:rsid w:val="0075614B"/>
    <w:rsid w:val="00756289"/>
    <w:rsid w:val="00756795"/>
    <w:rsid w:val="007569E3"/>
    <w:rsid w:val="00756DBF"/>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D86"/>
    <w:rsid w:val="00765F22"/>
    <w:rsid w:val="007661EC"/>
    <w:rsid w:val="007667DC"/>
    <w:rsid w:val="00766920"/>
    <w:rsid w:val="00766AA8"/>
    <w:rsid w:val="00766D6A"/>
    <w:rsid w:val="00766FAB"/>
    <w:rsid w:val="0076793D"/>
    <w:rsid w:val="00767C5F"/>
    <w:rsid w:val="00767F04"/>
    <w:rsid w:val="007703BC"/>
    <w:rsid w:val="0077043E"/>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D46"/>
    <w:rsid w:val="00783F52"/>
    <w:rsid w:val="007845B8"/>
    <w:rsid w:val="0078473D"/>
    <w:rsid w:val="00784757"/>
    <w:rsid w:val="00784A3C"/>
    <w:rsid w:val="00786006"/>
    <w:rsid w:val="00786508"/>
    <w:rsid w:val="00786CDF"/>
    <w:rsid w:val="00787692"/>
    <w:rsid w:val="007878B3"/>
    <w:rsid w:val="00790905"/>
    <w:rsid w:val="00790E24"/>
    <w:rsid w:val="00791B19"/>
    <w:rsid w:val="0079285D"/>
    <w:rsid w:val="0079289A"/>
    <w:rsid w:val="00793050"/>
    <w:rsid w:val="00793DEF"/>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5B40"/>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64F1"/>
    <w:rsid w:val="007B69DC"/>
    <w:rsid w:val="007B6F91"/>
    <w:rsid w:val="007B7712"/>
    <w:rsid w:val="007B7F4F"/>
    <w:rsid w:val="007C0286"/>
    <w:rsid w:val="007C074E"/>
    <w:rsid w:val="007C0C72"/>
    <w:rsid w:val="007C129F"/>
    <w:rsid w:val="007C13D0"/>
    <w:rsid w:val="007C16CD"/>
    <w:rsid w:val="007C24B2"/>
    <w:rsid w:val="007C2AF2"/>
    <w:rsid w:val="007C2C4C"/>
    <w:rsid w:val="007C33D7"/>
    <w:rsid w:val="007C3843"/>
    <w:rsid w:val="007C39DB"/>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60C"/>
    <w:rsid w:val="007D1DB3"/>
    <w:rsid w:val="007D2519"/>
    <w:rsid w:val="007D2C9D"/>
    <w:rsid w:val="007D302C"/>
    <w:rsid w:val="007D302E"/>
    <w:rsid w:val="007D4217"/>
    <w:rsid w:val="007D4DD0"/>
    <w:rsid w:val="007D63CC"/>
    <w:rsid w:val="007D6489"/>
    <w:rsid w:val="007D68D2"/>
    <w:rsid w:val="007D69C7"/>
    <w:rsid w:val="007D6FF3"/>
    <w:rsid w:val="007D7EEA"/>
    <w:rsid w:val="007E033C"/>
    <w:rsid w:val="007E04FF"/>
    <w:rsid w:val="007E0982"/>
    <w:rsid w:val="007E09AF"/>
    <w:rsid w:val="007E0B72"/>
    <w:rsid w:val="007E0CC7"/>
    <w:rsid w:val="007E1940"/>
    <w:rsid w:val="007E1BE5"/>
    <w:rsid w:val="007E2861"/>
    <w:rsid w:val="007E2DBA"/>
    <w:rsid w:val="007E3455"/>
    <w:rsid w:val="007E3549"/>
    <w:rsid w:val="007E4337"/>
    <w:rsid w:val="007E444B"/>
    <w:rsid w:val="007E47CB"/>
    <w:rsid w:val="007E4911"/>
    <w:rsid w:val="007E4BFB"/>
    <w:rsid w:val="007E5852"/>
    <w:rsid w:val="007E5978"/>
    <w:rsid w:val="007E59B7"/>
    <w:rsid w:val="007E5D41"/>
    <w:rsid w:val="007E5F11"/>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0F83"/>
    <w:rsid w:val="007F1273"/>
    <w:rsid w:val="007F15FD"/>
    <w:rsid w:val="007F1853"/>
    <w:rsid w:val="007F1A3D"/>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18F0"/>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AA6"/>
    <w:rsid w:val="00810BD0"/>
    <w:rsid w:val="0081157E"/>
    <w:rsid w:val="008127AE"/>
    <w:rsid w:val="00812BE9"/>
    <w:rsid w:val="00812CD3"/>
    <w:rsid w:val="00812D29"/>
    <w:rsid w:val="00813AE8"/>
    <w:rsid w:val="00813D93"/>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3B83"/>
    <w:rsid w:val="008244B3"/>
    <w:rsid w:val="00824689"/>
    <w:rsid w:val="008251EF"/>
    <w:rsid w:val="008252A8"/>
    <w:rsid w:val="00825728"/>
    <w:rsid w:val="00826B18"/>
    <w:rsid w:val="00826ED1"/>
    <w:rsid w:val="00827480"/>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C56"/>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60D5"/>
    <w:rsid w:val="00846211"/>
    <w:rsid w:val="008467BB"/>
    <w:rsid w:val="00847046"/>
    <w:rsid w:val="00847188"/>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F2E"/>
    <w:rsid w:val="00861400"/>
    <w:rsid w:val="008614D6"/>
    <w:rsid w:val="00862C99"/>
    <w:rsid w:val="00862F25"/>
    <w:rsid w:val="008632F7"/>
    <w:rsid w:val="00863C2A"/>
    <w:rsid w:val="008642B2"/>
    <w:rsid w:val="008644B2"/>
    <w:rsid w:val="008648A4"/>
    <w:rsid w:val="008649DD"/>
    <w:rsid w:val="00865BBE"/>
    <w:rsid w:val="00865F44"/>
    <w:rsid w:val="008662AF"/>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429"/>
    <w:rsid w:val="00882186"/>
    <w:rsid w:val="008821D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760"/>
    <w:rsid w:val="00894FFB"/>
    <w:rsid w:val="00895F0E"/>
    <w:rsid w:val="00896022"/>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2D4"/>
    <w:rsid w:val="008B3F40"/>
    <w:rsid w:val="008B3FF4"/>
    <w:rsid w:val="008B4332"/>
    <w:rsid w:val="008B44B7"/>
    <w:rsid w:val="008B48AB"/>
    <w:rsid w:val="008B49DE"/>
    <w:rsid w:val="008B4A2F"/>
    <w:rsid w:val="008B4B10"/>
    <w:rsid w:val="008B5440"/>
    <w:rsid w:val="008B579E"/>
    <w:rsid w:val="008B57D9"/>
    <w:rsid w:val="008B6415"/>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2D7"/>
    <w:rsid w:val="008C36F2"/>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E08"/>
    <w:rsid w:val="008D0FBE"/>
    <w:rsid w:val="008D19DC"/>
    <w:rsid w:val="008D1AC0"/>
    <w:rsid w:val="008D1BD7"/>
    <w:rsid w:val="008D2562"/>
    <w:rsid w:val="008D3624"/>
    <w:rsid w:val="008D3A02"/>
    <w:rsid w:val="008D3D9A"/>
    <w:rsid w:val="008D44D4"/>
    <w:rsid w:val="008D542F"/>
    <w:rsid w:val="008D57A2"/>
    <w:rsid w:val="008D5BDF"/>
    <w:rsid w:val="008D5E56"/>
    <w:rsid w:val="008D60C7"/>
    <w:rsid w:val="008D6640"/>
    <w:rsid w:val="008D6B3E"/>
    <w:rsid w:val="008D7D13"/>
    <w:rsid w:val="008E0010"/>
    <w:rsid w:val="008E02D8"/>
    <w:rsid w:val="008E05B8"/>
    <w:rsid w:val="008E06DB"/>
    <w:rsid w:val="008E0D6E"/>
    <w:rsid w:val="008E11C7"/>
    <w:rsid w:val="008E2BDA"/>
    <w:rsid w:val="008E3293"/>
    <w:rsid w:val="008E3FB2"/>
    <w:rsid w:val="008E4336"/>
    <w:rsid w:val="008E492E"/>
    <w:rsid w:val="008E4D7A"/>
    <w:rsid w:val="008E4EBF"/>
    <w:rsid w:val="008E4F00"/>
    <w:rsid w:val="008E562E"/>
    <w:rsid w:val="008E5660"/>
    <w:rsid w:val="008E586C"/>
    <w:rsid w:val="008E58F4"/>
    <w:rsid w:val="008E5942"/>
    <w:rsid w:val="008E5B1B"/>
    <w:rsid w:val="008E5C75"/>
    <w:rsid w:val="008E5D79"/>
    <w:rsid w:val="008E619B"/>
    <w:rsid w:val="008E690A"/>
    <w:rsid w:val="008E6994"/>
    <w:rsid w:val="008E785F"/>
    <w:rsid w:val="008E7A12"/>
    <w:rsid w:val="008E7BF8"/>
    <w:rsid w:val="008F0016"/>
    <w:rsid w:val="008F00DD"/>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147"/>
    <w:rsid w:val="008F532A"/>
    <w:rsid w:val="008F5F10"/>
    <w:rsid w:val="008F6198"/>
    <w:rsid w:val="008F6A33"/>
    <w:rsid w:val="008F6AA8"/>
    <w:rsid w:val="008F6CAE"/>
    <w:rsid w:val="008F7075"/>
    <w:rsid w:val="008F755A"/>
    <w:rsid w:val="009002BD"/>
    <w:rsid w:val="00900BCD"/>
    <w:rsid w:val="00900C39"/>
    <w:rsid w:val="009014D6"/>
    <w:rsid w:val="00901C5B"/>
    <w:rsid w:val="009024EF"/>
    <w:rsid w:val="00902F0E"/>
    <w:rsid w:val="00904356"/>
    <w:rsid w:val="009043A4"/>
    <w:rsid w:val="00905284"/>
    <w:rsid w:val="009055F6"/>
    <w:rsid w:val="009057ED"/>
    <w:rsid w:val="009060C0"/>
    <w:rsid w:val="00906116"/>
    <w:rsid w:val="009061FF"/>
    <w:rsid w:val="00906650"/>
    <w:rsid w:val="00907A23"/>
    <w:rsid w:val="00907F11"/>
    <w:rsid w:val="00910217"/>
    <w:rsid w:val="0091081A"/>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210E"/>
    <w:rsid w:val="0092265E"/>
    <w:rsid w:val="00922C27"/>
    <w:rsid w:val="00922C5F"/>
    <w:rsid w:val="00922EA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1097"/>
    <w:rsid w:val="00941334"/>
    <w:rsid w:val="009420D8"/>
    <w:rsid w:val="0094239D"/>
    <w:rsid w:val="009426AB"/>
    <w:rsid w:val="00942C05"/>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2DFF"/>
    <w:rsid w:val="009534F6"/>
    <w:rsid w:val="0095353E"/>
    <w:rsid w:val="00953855"/>
    <w:rsid w:val="00953DA6"/>
    <w:rsid w:val="00953DD3"/>
    <w:rsid w:val="00953F22"/>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2DB2"/>
    <w:rsid w:val="00974BC3"/>
    <w:rsid w:val="009756C7"/>
    <w:rsid w:val="00975E21"/>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154"/>
    <w:rsid w:val="0098255A"/>
    <w:rsid w:val="00982583"/>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A58"/>
    <w:rsid w:val="00993DA6"/>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B9C"/>
    <w:rsid w:val="009A1FA8"/>
    <w:rsid w:val="009A207C"/>
    <w:rsid w:val="009A4EBA"/>
    <w:rsid w:val="009A549D"/>
    <w:rsid w:val="009A555B"/>
    <w:rsid w:val="009A5DE2"/>
    <w:rsid w:val="009A60D1"/>
    <w:rsid w:val="009A7757"/>
    <w:rsid w:val="009A78F7"/>
    <w:rsid w:val="009B0024"/>
    <w:rsid w:val="009B03F6"/>
    <w:rsid w:val="009B0BAE"/>
    <w:rsid w:val="009B0CD7"/>
    <w:rsid w:val="009B0CDF"/>
    <w:rsid w:val="009B1054"/>
    <w:rsid w:val="009B132B"/>
    <w:rsid w:val="009B18F3"/>
    <w:rsid w:val="009B1EDD"/>
    <w:rsid w:val="009B2158"/>
    <w:rsid w:val="009B2286"/>
    <w:rsid w:val="009B232C"/>
    <w:rsid w:val="009B348F"/>
    <w:rsid w:val="009B3E63"/>
    <w:rsid w:val="009B43E9"/>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3093"/>
    <w:rsid w:val="00A045E3"/>
    <w:rsid w:val="00A04738"/>
    <w:rsid w:val="00A048A6"/>
    <w:rsid w:val="00A048D0"/>
    <w:rsid w:val="00A054CE"/>
    <w:rsid w:val="00A054E6"/>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909"/>
    <w:rsid w:val="00A13F98"/>
    <w:rsid w:val="00A13FDF"/>
    <w:rsid w:val="00A13FF6"/>
    <w:rsid w:val="00A13FF7"/>
    <w:rsid w:val="00A14058"/>
    <w:rsid w:val="00A14623"/>
    <w:rsid w:val="00A1528F"/>
    <w:rsid w:val="00A15645"/>
    <w:rsid w:val="00A1581E"/>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736C"/>
    <w:rsid w:val="00A27545"/>
    <w:rsid w:val="00A2763A"/>
    <w:rsid w:val="00A279F0"/>
    <w:rsid w:val="00A27CFE"/>
    <w:rsid w:val="00A30283"/>
    <w:rsid w:val="00A307EF"/>
    <w:rsid w:val="00A30C6D"/>
    <w:rsid w:val="00A31E00"/>
    <w:rsid w:val="00A31E4D"/>
    <w:rsid w:val="00A31E83"/>
    <w:rsid w:val="00A31F22"/>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328"/>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157C"/>
    <w:rsid w:val="00A51FA5"/>
    <w:rsid w:val="00A521CA"/>
    <w:rsid w:val="00A52FFC"/>
    <w:rsid w:val="00A53883"/>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2226"/>
    <w:rsid w:val="00A62EA9"/>
    <w:rsid w:val="00A6301D"/>
    <w:rsid w:val="00A6320F"/>
    <w:rsid w:val="00A63530"/>
    <w:rsid w:val="00A6370C"/>
    <w:rsid w:val="00A65005"/>
    <w:rsid w:val="00A65340"/>
    <w:rsid w:val="00A65D40"/>
    <w:rsid w:val="00A65F13"/>
    <w:rsid w:val="00A66AA4"/>
    <w:rsid w:val="00A66E32"/>
    <w:rsid w:val="00A66FB2"/>
    <w:rsid w:val="00A67386"/>
    <w:rsid w:val="00A6757C"/>
    <w:rsid w:val="00A675E2"/>
    <w:rsid w:val="00A6788F"/>
    <w:rsid w:val="00A67A3C"/>
    <w:rsid w:val="00A67A57"/>
    <w:rsid w:val="00A67A97"/>
    <w:rsid w:val="00A700E7"/>
    <w:rsid w:val="00A7014E"/>
    <w:rsid w:val="00A7142F"/>
    <w:rsid w:val="00A717C8"/>
    <w:rsid w:val="00A71869"/>
    <w:rsid w:val="00A718D9"/>
    <w:rsid w:val="00A721C7"/>
    <w:rsid w:val="00A7333F"/>
    <w:rsid w:val="00A73CA1"/>
    <w:rsid w:val="00A73FE6"/>
    <w:rsid w:val="00A74D4B"/>
    <w:rsid w:val="00A75461"/>
    <w:rsid w:val="00A75A2C"/>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50"/>
    <w:rsid w:val="00A86376"/>
    <w:rsid w:val="00A86427"/>
    <w:rsid w:val="00A86702"/>
    <w:rsid w:val="00A8677F"/>
    <w:rsid w:val="00A86ACD"/>
    <w:rsid w:val="00A873AD"/>
    <w:rsid w:val="00A87666"/>
    <w:rsid w:val="00A87987"/>
    <w:rsid w:val="00A901F5"/>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2AA"/>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C99"/>
    <w:rsid w:val="00AA3DAB"/>
    <w:rsid w:val="00AA405B"/>
    <w:rsid w:val="00AA4A3F"/>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7DF"/>
    <w:rsid w:val="00AB7815"/>
    <w:rsid w:val="00AB7957"/>
    <w:rsid w:val="00AC0051"/>
    <w:rsid w:val="00AC01C5"/>
    <w:rsid w:val="00AC07BC"/>
    <w:rsid w:val="00AC096B"/>
    <w:rsid w:val="00AC0A67"/>
    <w:rsid w:val="00AC116D"/>
    <w:rsid w:val="00AC1617"/>
    <w:rsid w:val="00AC1720"/>
    <w:rsid w:val="00AC1EF3"/>
    <w:rsid w:val="00AC22BE"/>
    <w:rsid w:val="00AC2356"/>
    <w:rsid w:val="00AC2C57"/>
    <w:rsid w:val="00AC2ED4"/>
    <w:rsid w:val="00AC360B"/>
    <w:rsid w:val="00AC3E13"/>
    <w:rsid w:val="00AC3F7F"/>
    <w:rsid w:val="00AC3FAB"/>
    <w:rsid w:val="00AC4A0D"/>
    <w:rsid w:val="00AC4DB1"/>
    <w:rsid w:val="00AC515B"/>
    <w:rsid w:val="00AC52B8"/>
    <w:rsid w:val="00AC5EAC"/>
    <w:rsid w:val="00AC60B3"/>
    <w:rsid w:val="00AC61CB"/>
    <w:rsid w:val="00AC66D3"/>
    <w:rsid w:val="00AC70F9"/>
    <w:rsid w:val="00AC7AB8"/>
    <w:rsid w:val="00AD00C7"/>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1407"/>
    <w:rsid w:val="00AE1D7B"/>
    <w:rsid w:val="00AE1DA9"/>
    <w:rsid w:val="00AE1E2B"/>
    <w:rsid w:val="00AE2214"/>
    <w:rsid w:val="00AE2EE9"/>
    <w:rsid w:val="00AE3257"/>
    <w:rsid w:val="00AE3324"/>
    <w:rsid w:val="00AE3853"/>
    <w:rsid w:val="00AE3AF3"/>
    <w:rsid w:val="00AE3BB3"/>
    <w:rsid w:val="00AE40E4"/>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FD3"/>
    <w:rsid w:val="00B009E1"/>
    <w:rsid w:val="00B010DE"/>
    <w:rsid w:val="00B01501"/>
    <w:rsid w:val="00B01B48"/>
    <w:rsid w:val="00B01E1F"/>
    <w:rsid w:val="00B01E41"/>
    <w:rsid w:val="00B029C1"/>
    <w:rsid w:val="00B02CF3"/>
    <w:rsid w:val="00B02DF5"/>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198"/>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350C"/>
    <w:rsid w:val="00B33892"/>
    <w:rsid w:val="00B343A4"/>
    <w:rsid w:val="00B344BA"/>
    <w:rsid w:val="00B34A00"/>
    <w:rsid w:val="00B356AF"/>
    <w:rsid w:val="00B356CD"/>
    <w:rsid w:val="00B35971"/>
    <w:rsid w:val="00B35BB6"/>
    <w:rsid w:val="00B36671"/>
    <w:rsid w:val="00B369CA"/>
    <w:rsid w:val="00B36CE1"/>
    <w:rsid w:val="00B37084"/>
    <w:rsid w:val="00B37532"/>
    <w:rsid w:val="00B378AF"/>
    <w:rsid w:val="00B37FAC"/>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47CA3"/>
    <w:rsid w:val="00B50030"/>
    <w:rsid w:val="00B501AE"/>
    <w:rsid w:val="00B50A41"/>
    <w:rsid w:val="00B50A85"/>
    <w:rsid w:val="00B50C30"/>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4E9F"/>
    <w:rsid w:val="00B7576B"/>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5DB2"/>
    <w:rsid w:val="00B86A8E"/>
    <w:rsid w:val="00B86B8C"/>
    <w:rsid w:val="00B86E24"/>
    <w:rsid w:val="00B86FA7"/>
    <w:rsid w:val="00B875C8"/>
    <w:rsid w:val="00B877EE"/>
    <w:rsid w:val="00B877F1"/>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89"/>
    <w:rsid w:val="00BC12B5"/>
    <w:rsid w:val="00BC15CD"/>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E20"/>
    <w:rsid w:val="00BC7F74"/>
    <w:rsid w:val="00BD0398"/>
    <w:rsid w:val="00BD085D"/>
    <w:rsid w:val="00BD08C2"/>
    <w:rsid w:val="00BD13B8"/>
    <w:rsid w:val="00BD156F"/>
    <w:rsid w:val="00BD1657"/>
    <w:rsid w:val="00BD1A3E"/>
    <w:rsid w:val="00BD1AA4"/>
    <w:rsid w:val="00BD2001"/>
    <w:rsid w:val="00BD298E"/>
    <w:rsid w:val="00BD3095"/>
    <w:rsid w:val="00BD3888"/>
    <w:rsid w:val="00BD3B69"/>
    <w:rsid w:val="00BD420D"/>
    <w:rsid w:val="00BD423D"/>
    <w:rsid w:val="00BD4670"/>
    <w:rsid w:val="00BD46EA"/>
    <w:rsid w:val="00BD47C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E7F8E"/>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010"/>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09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DA4"/>
    <w:rsid w:val="00C1402E"/>
    <w:rsid w:val="00C14B3D"/>
    <w:rsid w:val="00C1514B"/>
    <w:rsid w:val="00C151B2"/>
    <w:rsid w:val="00C1526A"/>
    <w:rsid w:val="00C153E0"/>
    <w:rsid w:val="00C15609"/>
    <w:rsid w:val="00C157B8"/>
    <w:rsid w:val="00C15855"/>
    <w:rsid w:val="00C15B5F"/>
    <w:rsid w:val="00C16051"/>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C8E"/>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0F1E"/>
    <w:rsid w:val="00C51086"/>
    <w:rsid w:val="00C51599"/>
    <w:rsid w:val="00C517E2"/>
    <w:rsid w:val="00C519B8"/>
    <w:rsid w:val="00C519E3"/>
    <w:rsid w:val="00C51AEC"/>
    <w:rsid w:val="00C51C03"/>
    <w:rsid w:val="00C520CB"/>
    <w:rsid w:val="00C523D4"/>
    <w:rsid w:val="00C52F43"/>
    <w:rsid w:val="00C532FC"/>
    <w:rsid w:val="00C538DC"/>
    <w:rsid w:val="00C53956"/>
    <w:rsid w:val="00C539D8"/>
    <w:rsid w:val="00C54628"/>
    <w:rsid w:val="00C549F7"/>
    <w:rsid w:val="00C54E75"/>
    <w:rsid w:val="00C5509F"/>
    <w:rsid w:val="00C552AD"/>
    <w:rsid w:val="00C552C1"/>
    <w:rsid w:val="00C5537D"/>
    <w:rsid w:val="00C553F6"/>
    <w:rsid w:val="00C55BB7"/>
    <w:rsid w:val="00C56C43"/>
    <w:rsid w:val="00C57029"/>
    <w:rsid w:val="00C60442"/>
    <w:rsid w:val="00C60498"/>
    <w:rsid w:val="00C6086E"/>
    <w:rsid w:val="00C61508"/>
    <w:rsid w:val="00C61907"/>
    <w:rsid w:val="00C61CBD"/>
    <w:rsid w:val="00C61E65"/>
    <w:rsid w:val="00C629C9"/>
    <w:rsid w:val="00C62AE2"/>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818"/>
    <w:rsid w:val="00C71D9A"/>
    <w:rsid w:val="00C71E7F"/>
    <w:rsid w:val="00C71FE0"/>
    <w:rsid w:val="00C720AC"/>
    <w:rsid w:val="00C725B2"/>
    <w:rsid w:val="00C72703"/>
    <w:rsid w:val="00C72B2F"/>
    <w:rsid w:val="00C72FB8"/>
    <w:rsid w:val="00C73362"/>
    <w:rsid w:val="00C73746"/>
    <w:rsid w:val="00C73945"/>
    <w:rsid w:val="00C74156"/>
    <w:rsid w:val="00C74247"/>
    <w:rsid w:val="00C743C8"/>
    <w:rsid w:val="00C74506"/>
    <w:rsid w:val="00C74E75"/>
    <w:rsid w:val="00C7531E"/>
    <w:rsid w:val="00C75345"/>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802"/>
    <w:rsid w:val="00C93C82"/>
    <w:rsid w:val="00C94027"/>
    <w:rsid w:val="00C9446E"/>
    <w:rsid w:val="00C9466C"/>
    <w:rsid w:val="00C94795"/>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8E4"/>
    <w:rsid w:val="00CA5ADD"/>
    <w:rsid w:val="00CA5AFF"/>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C9"/>
    <w:rsid w:val="00CB2AF6"/>
    <w:rsid w:val="00CB2C34"/>
    <w:rsid w:val="00CB37A5"/>
    <w:rsid w:val="00CB38DD"/>
    <w:rsid w:val="00CB3993"/>
    <w:rsid w:val="00CB3CC3"/>
    <w:rsid w:val="00CB3FC6"/>
    <w:rsid w:val="00CB4265"/>
    <w:rsid w:val="00CB505C"/>
    <w:rsid w:val="00CB5267"/>
    <w:rsid w:val="00CB5861"/>
    <w:rsid w:val="00CB5AC6"/>
    <w:rsid w:val="00CB5EB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C7A43"/>
    <w:rsid w:val="00CD133E"/>
    <w:rsid w:val="00CD162D"/>
    <w:rsid w:val="00CD1B5F"/>
    <w:rsid w:val="00CD1DD3"/>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D4C"/>
    <w:rsid w:val="00CF4046"/>
    <w:rsid w:val="00CF4DA8"/>
    <w:rsid w:val="00CF5604"/>
    <w:rsid w:val="00CF5E83"/>
    <w:rsid w:val="00CF5F13"/>
    <w:rsid w:val="00CF66E1"/>
    <w:rsid w:val="00CF67D3"/>
    <w:rsid w:val="00CF6BCD"/>
    <w:rsid w:val="00CF6EB7"/>
    <w:rsid w:val="00CF74BD"/>
    <w:rsid w:val="00CF7959"/>
    <w:rsid w:val="00D006A6"/>
    <w:rsid w:val="00D00C6E"/>
    <w:rsid w:val="00D00E99"/>
    <w:rsid w:val="00D01C7D"/>
    <w:rsid w:val="00D01D86"/>
    <w:rsid w:val="00D01FE8"/>
    <w:rsid w:val="00D023ED"/>
    <w:rsid w:val="00D02E8C"/>
    <w:rsid w:val="00D02F38"/>
    <w:rsid w:val="00D0302E"/>
    <w:rsid w:val="00D03F6B"/>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6EA"/>
    <w:rsid w:val="00D2277C"/>
    <w:rsid w:val="00D22A75"/>
    <w:rsid w:val="00D22BA5"/>
    <w:rsid w:val="00D22E1A"/>
    <w:rsid w:val="00D22E2A"/>
    <w:rsid w:val="00D22EDD"/>
    <w:rsid w:val="00D22FEE"/>
    <w:rsid w:val="00D2365C"/>
    <w:rsid w:val="00D23AAE"/>
    <w:rsid w:val="00D24A15"/>
    <w:rsid w:val="00D24A30"/>
    <w:rsid w:val="00D24C3B"/>
    <w:rsid w:val="00D253EB"/>
    <w:rsid w:val="00D25681"/>
    <w:rsid w:val="00D262C0"/>
    <w:rsid w:val="00D2690A"/>
    <w:rsid w:val="00D26E06"/>
    <w:rsid w:val="00D277DB"/>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34"/>
    <w:rsid w:val="00D36DCC"/>
    <w:rsid w:val="00D36E58"/>
    <w:rsid w:val="00D36F9F"/>
    <w:rsid w:val="00D3711D"/>
    <w:rsid w:val="00D372C5"/>
    <w:rsid w:val="00D373B2"/>
    <w:rsid w:val="00D37464"/>
    <w:rsid w:val="00D3762F"/>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0E53"/>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522D"/>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6505"/>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22"/>
    <w:rsid w:val="00DA77D9"/>
    <w:rsid w:val="00DA7C7F"/>
    <w:rsid w:val="00DA7CC1"/>
    <w:rsid w:val="00DA7E51"/>
    <w:rsid w:val="00DA7EBB"/>
    <w:rsid w:val="00DB005A"/>
    <w:rsid w:val="00DB1457"/>
    <w:rsid w:val="00DB197A"/>
    <w:rsid w:val="00DB4041"/>
    <w:rsid w:val="00DB42BB"/>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D2B"/>
    <w:rsid w:val="00DC1E0E"/>
    <w:rsid w:val="00DC21FB"/>
    <w:rsid w:val="00DC2981"/>
    <w:rsid w:val="00DC2BAF"/>
    <w:rsid w:val="00DC2EFC"/>
    <w:rsid w:val="00DC30AB"/>
    <w:rsid w:val="00DC30FA"/>
    <w:rsid w:val="00DC321C"/>
    <w:rsid w:val="00DC3239"/>
    <w:rsid w:val="00DC3578"/>
    <w:rsid w:val="00DC384A"/>
    <w:rsid w:val="00DC384E"/>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F27"/>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20EA"/>
    <w:rsid w:val="00E42106"/>
    <w:rsid w:val="00E42D5E"/>
    <w:rsid w:val="00E43463"/>
    <w:rsid w:val="00E43B3E"/>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EE"/>
    <w:rsid w:val="00E53206"/>
    <w:rsid w:val="00E53E7A"/>
    <w:rsid w:val="00E54097"/>
    <w:rsid w:val="00E55A43"/>
    <w:rsid w:val="00E562DD"/>
    <w:rsid w:val="00E562E8"/>
    <w:rsid w:val="00E56661"/>
    <w:rsid w:val="00E56834"/>
    <w:rsid w:val="00E57078"/>
    <w:rsid w:val="00E573AB"/>
    <w:rsid w:val="00E574BB"/>
    <w:rsid w:val="00E576F6"/>
    <w:rsid w:val="00E57C80"/>
    <w:rsid w:val="00E57E0E"/>
    <w:rsid w:val="00E610B7"/>
    <w:rsid w:val="00E61659"/>
    <w:rsid w:val="00E61EAE"/>
    <w:rsid w:val="00E6249C"/>
    <w:rsid w:val="00E62BFF"/>
    <w:rsid w:val="00E635CB"/>
    <w:rsid w:val="00E63FC0"/>
    <w:rsid w:val="00E64807"/>
    <w:rsid w:val="00E6483E"/>
    <w:rsid w:val="00E64AB6"/>
    <w:rsid w:val="00E653E4"/>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551"/>
    <w:rsid w:val="00E727D6"/>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18"/>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E7"/>
    <w:rsid w:val="00EA67C5"/>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6B1"/>
    <w:rsid w:val="00EC4B41"/>
    <w:rsid w:val="00EC5092"/>
    <w:rsid w:val="00EC55D9"/>
    <w:rsid w:val="00EC58BE"/>
    <w:rsid w:val="00EC5DCF"/>
    <w:rsid w:val="00EC5E3D"/>
    <w:rsid w:val="00EC7554"/>
    <w:rsid w:val="00ED0C12"/>
    <w:rsid w:val="00ED0C47"/>
    <w:rsid w:val="00ED10ED"/>
    <w:rsid w:val="00ED1F44"/>
    <w:rsid w:val="00ED2276"/>
    <w:rsid w:val="00ED27D7"/>
    <w:rsid w:val="00ED27F5"/>
    <w:rsid w:val="00ED2964"/>
    <w:rsid w:val="00ED29EF"/>
    <w:rsid w:val="00ED391F"/>
    <w:rsid w:val="00ED43BC"/>
    <w:rsid w:val="00ED4780"/>
    <w:rsid w:val="00ED4B8E"/>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321"/>
    <w:rsid w:val="00F07684"/>
    <w:rsid w:val="00F07743"/>
    <w:rsid w:val="00F07DBF"/>
    <w:rsid w:val="00F07E19"/>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40A"/>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5EC"/>
    <w:rsid w:val="00F3066B"/>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654E"/>
    <w:rsid w:val="00F36587"/>
    <w:rsid w:val="00F36C64"/>
    <w:rsid w:val="00F36CDD"/>
    <w:rsid w:val="00F36DB2"/>
    <w:rsid w:val="00F37810"/>
    <w:rsid w:val="00F37A70"/>
    <w:rsid w:val="00F37A80"/>
    <w:rsid w:val="00F4052C"/>
    <w:rsid w:val="00F40923"/>
    <w:rsid w:val="00F40D8F"/>
    <w:rsid w:val="00F41E1C"/>
    <w:rsid w:val="00F421DE"/>
    <w:rsid w:val="00F42936"/>
    <w:rsid w:val="00F42A5F"/>
    <w:rsid w:val="00F42B57"/>
    <w:rsid w:val="00F42F05"/>
    <w:rsid w:val="00F42FA9"/>
    <w:rsid w:val="00F43499"/>
    <w:rsid w:val="00F435B6"/>
    <w:rsid w:val="00F43993"/>
    <w:rsid w:val="00F443B7"/>
    <w:rsid w:val="00F44D87"/>
    <w:rsid w:val="00F44EFE"/>
    <w:rsid w:val="00F45E43"/>
    <w:rsid w:val="00F45FCF"/>
    <w:rsid w:val="00F460D4"/>
    <w:rsid w:val="00F46B7B"/>
    <w:rsid w:val="00F470A8"/>
    <w:rsid w:val="00F4763D"/>
    <w:rsid w:val="00F476B8"/>
    <w:rsid w:val="00F47FE5"/>
    <w:rsid w:val="00F5019A"/>
    <w:rsid w:val="00F5019B"/>
    <w:rsid w:val="00F502EF"/>
    <w:rsid w:val="00F51694"/>
    <w:rsid w:val="00F520B3"/>
    <w:rsid w:val="00F5254B"/>
    <w:rsid w:val="00F526AC"/>
    <w:rsid w:val="00F52B59"/>
    <w:rsid w:val="00F52BA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64E2"/>
    <w:rsid w:val="00F76AD3"/>
    <w:rsid w:val="00F771B6"/>
    <w:rsid w:val="00F7742A"/>
    <w:rsid w:val="00F775AC"/>
    <w:rsid w:val="00F777E9"/>
    <w:rsid w:val="00F77858"/>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7B9"/>
    <w:rsid w:val="00F868F0"/>
    <w:rsid w:val="00F871D5"/>
    <w:rsid w:val="00F873BC"/>
    <w:rsid w:val="00F8743F"/>
    <w:rsid w:val="00F8768D"/>
    <w:rsid w:val="00F90F9F"/>
    <w:rsid w:val="00F913DB"/>
    <w:rsid w:val="00F91596"/>
    <w:rsid w:val="00F916A6"/>
    <w:rsid w:val="00F917C5"/>
    <w:rsid w:val="00F9182B"/>
    <w:rsid w:val="00F919A2"/>
    <w:rsid w:val="00F919BA"/>
    <w:rsid w:val="00F91EDD"/>
    <w:rsid w:val="00F91F1D"/>
    <w:rsid w:val="00F92700"/>
    <w:rsid w:val="00F9328D"/>
    <w:rsid w:val="00F94123"/>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213D"/>
    <w:rsid w:val="00FB2984"/>
    <w:rsid w:val="00FB2CAE"/>
    <w:rsid w:val="00FB2F96"/>
    <w:rsid w:val="00FB364E"/>
    <w:rsid w:val="00FB3C3B"/>
    <w:rsid w:val="00FB3D7C"/>
    <w:rsid w:val="00FB4158"/>
    <w:rsid w:val="00FB4721"/>
    <w:rsid w:val="00FB4EA9"/>
    <w:rsid w:val="00FB5111"/>
    <w:rsid w:val="00FB5A6D"/>
    <w:rsid w:val="00FB60A5"/>
    <w:rsid w:val="00FB6663"/>
    <w:rsid w:val="00FB6F00"/>
    <w:rsid w:val="00FB6F82"/>
    <w:rsid w:val="00FB7277"/>
    <w:rsid w:val="00FB736B"/>
    <w:rsid w:val="00FB7967"/>
    <w:rsid w:val="00FB7A6C"/>
    <w:rsid w:val="00FB7B63"/>
    <w:rsid w:val="00FB7CF2"/>
    <w:rsid w:val="00FB7FB7"/>
    <w:rsid w:val="00FC07A4"/>
    <w:rsid w:val="00FC0D88"/>
    <w:rsid w:val="00FC10E0"/>
    <w:rsid w:val="00FC1482"/>
    <w:rsid w:val="00FC160C"/>
    <w:rsid w:val="00FC1D34"/>
    <w:rsid w:val="00FC2004"/>
    <w:rsid w:val="00FC2227"/>
    <w:rsid w:val="00FC2E58"/>
    <w:rsid w:val="00FC3BDE"/>
    <w:rsid w:val="00FC4349"/>
    <w:rsid w:val="00FC43DC"/>
    <w:rsid w:val="00FC4C95"/>
    <w:rsid w:val="00FC504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6199"/>
    <w:rsid w:val="00FE63C5"/>
    <w:rsid w:val="00FE72EA"/>
    <w:rsid w:val="00FE7564"/>
    <w:rsid w:val="00FE7ACF"/>
    <w:rsid w:val="00FF105D"/>
    <w:rsid w:val="00FF11D4"/>
    <w:rsid w:val="00FF1517"/>
    <w:rsid w:val="00FF1B4F"/>
    <w:rsid w:val="00FF1C5C"/>
    <w:rsid w:val="00FF2BAA"/>
    <w:rsid w:val="00FF2D55"/>
    <w:rsid w:val="00FF3131"/>
    <w:rsid w:val="00FF341A"/>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aw.moj.gov.tw/LawClass/LawAll.aspx?pcode=D0070062"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ppg.ly.gov.tw/ppg/sittings/2024092683/details?meetingDate=113/09/30"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08486-35A2-4760-9AFD-84FA5969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689</Pages>
  <Words>80442</Words>
  <Characters>458522</Characters>
  <Application>Microsoft Office Word</Application>
  <DocSecurity>0</DocSecurity>
  <Lines>3821</Lines>
  <Paragraphs>1075</Paragraphs>
  <ScaleCrop>false</ScaleCrop>
  <Company/>
  <LinksUpToDate>false</LinksUpToDate>
  <CharactersWithSpaces>537889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Windows 使用者</cp:lastModifiedBy>
  <cp:revision>4</cp:revision>
  <cp:lastPrinted>2025-02-14T06:21:00Z</cp:lastPrinted>
  <dcterms:created xsi:type="dcterms:W3CDTF">2025-02-14T06:21:00Z</dcterms:created>
  <dcterms:modified xsi:type="dcterms:W3CDTF">2025-02-14T06:26:00Z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