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CD1" w:rsidRPr="00B52D57" w:rsidRDefault="00951C0B" w:rsidP="00D261FD">
      <w:pPr>
        <w:spacing w:line="600" w:lineRule="exact"/>
        <w:ind w:leftChars="0" w:left="0" w:rightChars="-50" w:right="-142" w:firstLineChars="0" w:firstLine="0"/>
        <w:jc w:val="left"/>
        <w:rPr>
          <w:rFonts w:hint="eastAsia"/>
          <w:b/>
          <w:sz w:val="32"/>
          <w:szCs w:val="32"/>
        </w:rPr>
      </w:pPr>
      <w:bookmarkStart w:id="0" w:name="_Toc508876770"/>
      <w:bookmarkStart w:id="1" w:name="_GoBack"/>
      <w:bookmarkEnd w:id="1"/>
      <w:r>
        <w:rPr>
          <w:rFonts w:hint="eastAsia"/>
          <w:b/>
          <w:spacing w:val="-2"/>
          <w:sz w:val="36"/>
          <w:szCs w:val="36"/>
        </w:rPr>
        <w:t>11</w:t>
      </w:r>
      <w:r w:rsidR="00FD28AF">
        <w:rPr>
          <w:b/>
          <w:spacing w:val="-2"/>
          <w:sz w:val="36"/>
          <w:szCs w:val="36"/>
        </w:rPr>
        <w:t>3</w:t>
      </w:r>
      <w:r w:rsidR="00DD3CD1" w:rsidRPr="00B52D57">
        <w:rPr>
          <w:rFonts w:hint="eastAsia"/>
          <w:b/>
          <w:spacing w:val="-2"/>
          <w:sz w:val="36"/>
          <w:szCs w:val="36"/>
        </w:rPr>
        <w:t>年度中央政府總預算案有關推動性別平等之重要決議事項-各機關辦理情形彙總報告</w:t>
      </w:r>
    </w:p>
    <w:p w:rsidR="00DD3CD1" w:rsidRPr="00137327" w:rsidRDefault="00DD3CD1" w:rsidP="0002042A">
      <w:pPr>
        <w:pStyle w:val="16"/>
        <w:spacing w:line="560" w:lineRule="exact"/>
        <w:ind w:left="648" w:hanging="648"/>
        <w:rPr>
          <w:rFonts w:hint="eastAsia"/>
          <w:szCs w:val="32"/>
        </w:rPr>
      </w:pPr>
      <w:bookmarkStart w:id="2" w:name="_Toc502243359"/>
      <w:bookmarkStart w:id="3" w:name="_Toc1143623"/>
      <w:bookmarkStart w:id="4" w:name="_Toc191451952"/>
      <w:bookmarkEnd w:id="0"/>
      <w:r w:rsidRPr="00137327">
        <w:rPr>
          <w:rFonts w:hint="eastAsia"/>
          <w:szCs w:val="32"/>
        </w:rPr>
        <w:t>三、小結</w:t>
      </w:r>
      <w:bookmarkEnd w:id="2"/>
      <w:bookmarkEnd w:id="3"/>
      <w:bookmarkEnd w:id="4"/>
    </w:p>
    <w:p w:rsidR="00DD3CD1" w:rsidRPr="00A54598" w:rsidRDefault="00DD3CD1" w:rsidP="0002042A">
      <w:pPr>
        <w:spacing w:line="560" w:lineRule="exact"/>
        <w:ind w:left="567" w:firstLine="647"/>
        <w:rPr>
          <w:rFonts w:hint="eastAsia"/>
          <w:sz w:val="32"/>
          <w:szCs w:val="32"/>
        </w:rPr>
      </w:pPr>
      <w:r w:rsidRPr="00A54598">
        <w:rPr>
          <w:rFonts w:hAnsi="標楷體" w:hint="eastAsia"/>
          <w:sz w:val="32"/>
          <w:szCs w:val="32"/>
        </w:rPr>
        <w:t>本院審議</w:t>
      </w:r>
      <w:r w:rsidR="00951C0B" w:rsidRPr="00A54598">
        <w:rPr>
          <w:rFonts w:hAnsi="標楷體" w:hint="eastAsia"/>
          <w:sz w:val="32"/>
          <w:szCs w:val="32"/>
        </w:rPr>
        <w:t>11</w:t>
      </w:r>
      <w:r w:rsidR="00714431">
        <w:rPr>
          <w:rFonts w:hAnsi="標楷體"/>
          <w:sz w:val="32"/>
          <w:szCs w:val="32"/>
        </w:rPr>
        <w:t>3</w:t>
      </w:r>
      <w:r w:rsidRPr="00A54598">
        <w:rPr>
          <w:rFonts w:hAnsi="標楷體" w:hint="eastAsia"/>
          <w:sz w:val="32"/>
          <w:szCs w:val="32"/>
        </w:rPr>
        <w:t>年度中央政府總預算案有關推動性別平等重要決議事項之推動情形，經參酌各機關於1</w:t>
      </w:r>
      <w:r w:rsidR="003A0C65" w:rsidRPr="00A54598">
        <w:rPr>
          <w:rFonts w:hAnsi="標楷體" w:hint="eastAsia"/>
          <w:sz w:val="32"/>
          <w:szCs w:val="32"/>
        </w:rPr>
        <w:t>1</w:t>
      </w:r>
      <w:r w:rsidR="00714431">
        <w:rPr>
          <w:rFonts w:hAnsi="標楷體"/>
          <w:sz w:val="32"/>
          <w:szCs w:val="32"/>
        </w:rPr>
        <w:t>4</w:t>
      </w:r>
      <w:r w:rsidR="00D83861" w:rsidRPr="00A54598">
        <w:rPr>
          <w:rFonts w:hAnsi="標楷體" w:hint="eastAsia"/>
          <w:sz w:val="32"/>
          <w:szCs w:val="32"/>
        </w:rPr>
        <w:t>年度單位預算案所提具</w:t>
      </w:r>
      <w:r w:rsidR="00331F16" w:rsidRPr="00A54598">
        <w:rPr>
          <w:rFonts w:hAnsi="標楷體" w:hint="eastAsia"/>
          <w:sz w:val="32"/>
          <w:szCs w:val="32"/>
        </w:rPr>
        <w:t>前述重要決議</w:t>
      </w:r>
      <w:r w:rsidR="00D83861" w:rsidRPr="00A54598">
        <w:rPr>
          <w:rFonts w:hAnsi="標楷體" w:hint="eastAsia"/>
          <w:sz w:val="32"/>
          <w:szCs w:val="32"/>
        </w:rPr>
        <w:t>之辦理情形，</w:t>
      </w:r>
      <w:r w:rsidRPr="00A54598">
        <w:rPr>
          <w:rFonts w:hAnsi="標楷體" w:hint="eastAsia"/>
          <w:sz w:val="32"/>
          <w:szCs w:val="32"/>
        </w:rPr>
        <w:t>多已依本院決議持續辦理中，或依決議向</w:t>
      </w:r>
      <w:r w:rsidR="00966F1E" w:rsidRPr="00A54598">
        <w:rPr>
          <w:rFonts w:hAnsi="標楷體" w:hint="eastAsia"/>
          <w:sz w:val="32"/>
          <w:szCs w:val="32"/>
        </w:rPr>
        <w:t>本院</w:t>
      </w:r>
      <w:r w:rsidRPr="00A54598">
        <w:rPr>
          <w:rFonts w:hAnsi="標楷體" w:hint="eastAsia"/>
          <w:sz w:val="32"/>
          <w:szCs w:val="32"/>
        </w:rPr>
        <w:t>各委員會</w:t>
      </w:r>
      <w:r w:rsidRPr="00A54598">
        <w:rPr>
          <w:rFonts w:hint="eastAsia"/>
          <w:sz w:val="32"/>
          <w:szCs w:val="32"/>
        </w:rPr>
        <w:t>提出書面</w:t>
      </w:r>
      <w:r w:rsidRPr="00A54598">
        <w:rPr>
          <w:rFonts w:hAnsi="標楷體" w:hint="eastAsia"/>
          <w:sz w:val="32"/>
          <w:szCs w:val="32"/>
        </w:rPr>
        <w:t>或</w:t>
      </w:r>
      <w:r w:rsidRPr="00A54598">
        <w:rPr>
          <w:rFonts w:hint="eastAsia"/>
          <w:sz w:val="32"/>
          <w:szCs w:val="32"/>
        </w:rPr>
        <w:t>專案報告等進行說明</w:t>
      </w:r>
      <w:r w:rsidRPr="00A54598">
        <w:rPr>
          <w:rFonts w:hAnsi="標楷體" w:hint="eastAsia"/>
          <w:sz w:val="32"/>
          <w:szCs w:val="32"/>
        </w:rPr>
        <w:t>。茲就各機關仍待賡續加強推動之事項，簡要評估說明如下：</w:t>
      </w:r>
    </w:p>
    <w:p w:rsidR="00783B00" w:rsidRDefault="00783B00" w:rsidP="008C2AA9">
      <w:pPr>
        <w:pStyle w:val="a4"/>
        <w:spacing w:line="560" w:lineRule="exact"/>
        <w:ind w:left="891" w:hanging="324"/>
        <w:rPr>
          <w:b/>
          <w:sz w:val="32"/>
          <w:szCs w:val="32"/>
        </w:rPr>
      </w:pPr>
      <w:r w:rsidRPr="005C3499">
        <w:rPr>
          <w:rFonts w:hint="eastAsia"/>
          <w:b/>
          <w:sz w:val="32"/>
          <w:szCs w:val="32"/>
        </w:rPr>
        <w:t>(一)</w:t>
      </w:r>
      <w:r w:rsidR="00F144EB" w:rsidRPr="00F144EB">
        <w:rPr>
          <w:rFonts w:hint="eastAsia"/>
          <w:b/>
          <w:sz w:val="32"/>
          <w:szCs w:val="32"/>
        </w:rPr>
        <w:t>我國</w:t>
      </w:r>
      <w:r w:rsidR="00F63DA5">
        <w:rPr>
          <w:rFonts w:hint="eastAsia"/>
          <w:b/>
          <w:sz w:val="32"/>
          <w:szCs w:val="32"/>
        </w:rPr>
        <w:t>性別落差指數</w:t>
      </w:r>
      <w:r w:rsidR="001F137A">
        <w:rPr>
          <w:rFonts w:hint="eastAsia"/>
          <w:b/>
          <w:sz w:val="32"/>
          <w:szCs w:val="32"/>
        </w:rPr>
        <w:t>之國際</w:t>
      </w:r>
      <w:r w:rsidR="00F42360">
        <w:rPr>
          <w:rFonts w:hint="eastAsia"/>
          <w:b/>
          <w:sz w:val="32"/>
          <w:szCs w:val="32"/>
        </w:rPr>
        <w:t>評比名次</w:t>
      </w:r>
      <w:r w:rsidR="00F144EB">
        <w:rPr>
          <w:rFonts w:hint="eastAsia"/>
          <w:b/>
          <w:sz w:val="32"/>
          <w:szCs w:val="32"/>
        </w:rPr>
        <w:t>雖</w:t>
      </w:r>
      <w:r w:rsidR="00543DD1">
        <w:rPr>
          <w:rFonts w:hint="eastAsia"/>
          <w:b/>
          <w:sz w:val="32"/>
          <w:szCs w:val="32"/>
        </w:rPr>
        <w:t>有</w:t>
      </w:r>
      <w:r w:rsidR="0060378D">
        <w:rPr>
          <w:rFonts w:hint="eastAsia"/>
          <w:b/>
          <w:sz w:val="32"/>
          <w:szCs w:val="32"/>
        </w:rPr>
        <w:t>所</w:t>
      </w:r>
      <w:r w:rsidR="00543DD1">
        <w:rPr>
          <w:rFonts w:hint="eastAsia"/>
          <w:b/>
          <w:sz w:val="32"/>
          <w:szCs w:val="32"/>
        </w:rPr>
        <w:t>成長</w:t>
      </w:r>
      <w:r w:rsidR="001F137A">
        <w:rPr>
          <w:rFonts w:hint="eastAsia"/>
          <w:b/>
          <w:sz w:val="32"/>
          <w:szCs w:val="32"/>
        </w:rPr>
        <w:t>，</w:t>
      </w:r>
      <w:r w:rsidR="001F137A">
        <w:rPr>
          <w:b/>
          <w:sz w:val="32"/>
          <w:szCs w:val="32"/>
        </w:rPr>
        <w:t>惟其</w:t>
      </w:r>
      <w:r w:rsidR="00F63DA5">
        <w:rPr>
          <w:rFonts w:hint="eastAsia"/>
          <w:b/>
          <w:sz w:val="32"/>
          <w:szCs w:val="32"/>
        </w:rPr>
        <w:t>中「經濟參與和機會」次指數之性別落差</w:t>
      </w:r>
      <w:r w:rsidR="00FD578E">
        <w:rPr>
          <w:rFonts w:hint="eastAsia"/>
          <w:b/>
          <w:sz w:val="32"/>
          <w:szCs w:val="32"/>
        </w:rPr>
        <w:t>仍未見改善</w:t>
      </w:r>
      <w:r w:rsidR="00F63DA5">
        <w:rPr>
          <w:rFonts w:hint="eastAsia"/>
          <w:b/>
          <w:sz w:val="32"/>
          <w:szCs w:val="32"/>
        </w:rPr>
        <w:t>，</w:t>
      </w:r>
      <w:r w:rsidR="00543DD1">
        <w:rPr>
          <w:rFonts w:hint="eastAsia"/>
          <w:b/>
          <w:sz w:val="32"/>
          <w:szCs w:val="32"/>
        </w:rPr>
        <w:t>仍</w:t>
      </w:r>
      <w:r w:rsidR="00F63DA5">
        <w:rPr>
          <w:b/>
          <w:sz w:val="32"/>
          <w:szCs w:val="32"/>
        </w:rPr>
        <w:t>待</w:t>
      </w:r>
      <w:r w:rsidR="00131C7C" w:rsidRPr="00131C7C">
        <w:rPr>
          <w:rFonts w:hint="eastAsia"/>
          <w:b/>
          <w:sz w:val="32"/>
          <w:szCs w:val="32"/>
        </w:rPr>
        <w:t>檢討</w:t>
      </w:r>
      <w:r w:rsidR="00BA66AE">
        <w:rPr>
          <w:rFonts w:hint="eastAsia"/>
          <w:b/>
          <w:sz w:val="32"/>
          <w:szCs w:val="32"/>
        </w:rPr>
        <w:t>消弭</w:t>
      </w:r>
    </w:p>
    <w:p w:rsidR="001F137A" w:rsidRPr="005C3499" w:rsidRDefault="00BA5101" w:rsidP="00EE16CA">
      <w:pPr>
        <w:ind w:leftChars="311" w:left="882" w:firstLineChars="199" w:firstLine="644"/>
        <w:rPr>
          <w:rFonts w:hint="eastAsia"/>
        </w:rPr>
      </w:pPr>
      <w:r w:rsidRPr="00BA5101">
        <w:rPr>
          <w:rFonts w:hAnsi="標楷體" w:hint="eastAsia"/>
          <w:sz w:val="32"/>
          <w:szCs w:val="32"/>
        </w:rPr>
        <w:t>世界經濟論壇</w:t>
      </w:r>
      <w:r w:rsidR="00FD578E">
        <w:rPr>
          <w:rFonts w:hAnsi="標楷體"/>
          <w:sz w:val="32"/>
          <w:szCs w:val="32"/>
        </w:rPr>
        <w:t>(</w:t>
      </w:r>
      <w:r w:rsidR="00FD578E" w:rsidRPr="00FD578E">
        <w:rPr>
          <w:rFonts w:hAnsi="標楷體" w:hint="eastAsia"/>
          <w:sz w:val="32"/>
          <w:szCs w:val="32"/>
        </w:rPr>
        <w:t>World Economic Forum, WEF</w:t>
      </w:r>
      <w:r w:rsidR="00FD578E">
        <w:rPr>
          <w:rFonts w:hAnsi="標楷體"/>
          <w:sz w:val="32"/>
          <w:szCs w:val="32"/>
        </w:rPr>
        <w:t>)</w:t>
      </w:r>
      <w:r w:rsidR="00FD578E" w:rsidRPr="00FD578E">
        <w:rPr>
          <w:rFonts w:hAnsi="標楷體" w:hint="eastAsia"/>
          <w:sz w:val="32"/>
          <w:szCs w:val="32"/>
        </w:rPr>
        <w:t>自 2006年起</w:t>
      </w:r>
      <w:r w:rsidRPr="00BA5101">
        <w:rPr>
          <w:rFonts w:hAnsi="標楷體" w:hint="eastAsia"/>
          <w:sz w:val="32"/>
          <w:szCs w:val="32"/>
        </w:rPr>
        <w:t>以「經濟參與和機會」、「教育程度」、「健康與生存」及「政治參與」4項次指數之14項變數衡量各國性別差距實況</w:t>
      </w:r>
      <w:r>
        <w:rPr>
          <w:rFonts w:hAnsi="標楷體" w:hint="eastAsia"/>
          <w:sz w:val="32"/>
          <w:szCs w:val="32"/>
        </w:rPr>
        <w:t>，並據以發布</w:t>
      </w:r>
      <w:r w:rsidRPr="00BA5101">
        <w:rPr>
          <w:rFonts w:hAnsi="標楷體" w:hint="eastAsia"/>
          <w:sz w:val="32"/>
          <w:szCs w:val="32"/>
        </w:rPr>
        <w:t>性別落差指數（</w:t>
      </w:r>
      <w:r w:rsidRPr="00BA5101">
        <w:rPr>
          <w:rFonts w:hAnsi="標楷體"/>
          <w:sz w:val="32"/>
          <w:szCs w:val="32"/>
        </w:rPr>
        <w:t>Gender Gap Index, GGI</w:t>
      </w:r>
      <w:r w:rsidRPr="00BA5101">
        <w:rPr>
          <w:rFonts w:hAnsi="標楷體" w:hint="eastAsia"/>
          <w:sz w:val="32"/>
          <w:szCs w:val="32"/>
        </w:rPr>
        <w:t>）。</w:t>
      </w:r>
      <w:r w:rsidR="001F137A" w:rsidRPr="005C3499">
        <w:rPr>
          <w:rFonts w:hAnsi="標楷體" w:hint="eastAsia"/>
          <w:sz w:val="32"/>
          <w:szCs w:val="32"/>
        </w:rPr>
        <w:t>依</w:t>
      </w:r>
      <w:r w:rsidR="001F137A" w:rsidRPr="001F137A">
        <w:rPr>
          <w:rFonts w:hAnsi="標楷體" w:hint="eastAsia"/>
          <w:sz w:val="32"/>
          <w:szCs w:val="32"/>
        </w:rPr>
        <w:t>行政院性別平等處11</w:t>
      </w:r>
      <w:r w:rsidR="00761725">
        <w:rPr>
          <w:rFonts w:hAnsi="標楷體"/>
          <w:sz w:val="32"/>
          <w:szCs w:val="32"/>
        </w:rPr>
        <w:t>4</w:t>
      </w:r>
      <w:r w:rsidR="001F137A" w:rsidRPr="001F137A">
        <w:rPr>
          <w:rFonts w:hAnsi="標楷體" w:hint="eastAsia"/>
          <w:sz w:val="32"/>
          <w:szCs w:val="32"/>
        </w:rPr>
        <w:t>年1月所編印之202</w:t>
      </w:r>
      <w:r w:rsidR="00761725">
        <w:rPr>
          <w:rFonts w:hAnsi="標楷體"/>
          <w:sz w:val="32"/>
          <w:szCs w:val="32"/>
        </w:rPr>
        <w:t>5</w:t>
      </w:r>
      <w:r w:rsidR="001F137A" w:rsidRPr="001F137A">
        <w:rPr>
          <w:rFonts w:hAnsi="標楷體" w:hint="eastAsia"/>
          <w:sz w:val="32"/>
          <w:szCs w:val="32"/>
        </w:rPr>
        <w:t>年性別圖像，</w:t>
      </w:r>
      <w:r w:rsidRPr="00BA5101">
        <w:rPr>
          <w:rFonts w:hAnsi="標楷體" w:hint="eastAsia"/>
          <w:sz w:val="32"/>
          <w:szCs w:val="32"/>
        </w:rPr>
        <w:t>我國GGI編算結果為0.7</w:t>
      </w:r>
      <w:r w:rsidR="00761725">
        <w:rPr>
          <w:rFonts w:hAnsi="標楷體"/>
          <w:sz w:val="32"/>
          <w:szCs w:val="32"/>
        </w:rPr>
        <w:t>74</w:t>
      </w:r>
      <w:r w:rsidRPr="00BA5101">
        <w:rPr>
          <w:rFonts w:hAnsi="標楷體" w:hint="eastAsia"/>
          <w:sz w:val="32"/>
          <w:szCs w:val="32"/>
        </w:rPr>
        <w:t>，與經濟合作與發展組織（OECD）202</w:t>
      </w:r>
      <w:r w:rsidR="00761725">
        <w:rPr>
          <w:rFonts w:hAnsi="標楷體"/>
          <w:sz w:val="32"/>
          <w:szCs w:val="32"/>
        </w:rPr>
        <w:t>4</w:t>
      </w:r>
      <w:r w:rsidRPr="00BA5101">
        <w:rPr>
          <w:rFonts w:hAnsi="標楷體" w:hint="eastAsia"/>
          <w:sz w:val="32"/>
          <w:szCs w:val="32"/>
        </w:rPr>
        <w:t>年社會習俗性別指數（Social Institutions and Gender Index, SIGI）報告評比</w:t>
      </w:r>
      <w:r>
        <w:rPr>
          <w:rFonts w:hAnsi="標楷體" w:hint="eastAsia"/>
          <w:sz w:val="32"/>
          <w:szCs w:val="32"/>
        </w:rPr>
        <w:t>之</w:t>
      </w:r>
      <w:r w:rsidRPr="00BA5101">
        <w:rPr>
          <w:rFonts w:hAnsi="標楷體" w:hint="eastAsia"/>
          <w:sz w:val="32"/>
          <w:szCs w:val="32"/>
        </w:rPr>
        <w:t>14</w:t>
      </w:r>
      <w:r w:rsidR="00761725">
        <w:rPr>
          <w:rFonts w:hAnsi="標楷體"/>
          <w:sz w:val="32"/>
          <w:szCs w:val="32"/>
        </w:rPr>
        <w:t>7</w:t>
      </w:r>
      <w:r w:rsidRPr="00BA5101">
        <w:rPr>
          <w:rFonts w:hAnsi="標楷體" w:hint="eastAsia"/>
          <w:sz w:val="32"/>
          <w:szCs w:val="32"/>
        </w:rPr>
        <w:t>個國家比較，排名第</w:t>
      </w:r>
      <w:r w:rsidR="00761725">
        <w:rPr>
          <w:rFonts w:hAnsi="標楷體" w:hint="eastAsia"/>
          <w:sz w:val="32"/>
          <w:szCs w:val="32"/>
        </w:rPr>
        <w:t>2</w:t>
      </w:r>
      <w:r w:rsidR="00761725">
        <w:rPr>
          <w:rFonts w:hAnsi="標楷體"/>
          <w:sz w:val="32"/>
          <w:szCs w:val="32"/>
        </w:rPr>
        <w:t>9</w:t>
      </w:r>
      <w:r w:rsidRPr="00BA5101">
        <w:rPr>
          <w:rFonts w:hAnsi="標楷體" w:hint="eastAsia"/>
          <w:sz w:val="32"/>
          <w:szCs w:val="32"/>
        </w:rPr>
        <w:t>名，較202</w:t>
      </w:r>
      <w:r w:rsidR="00761725">
        <w:rPr>
          <w:rFonts w:hAnsi="標楷體"/>
          <w:sz w:val="32"/>
          <w:szCs w:val="32"/>
        </w:rPr>
        <w:t>3</w:t>
      </w:r>
      <w:r w:rsidRPr="00BA5101">
        <w:rPr>
          <w:rFonts w:hAnsi="標楷體" w:hint="eastAsia"/>
          <w:sz w:val="32"/>
          <w:szCs w:val="32"/>
        </w:rPr>
        <w:t>年上升</w:t>
      </w:r>
      <w:r w:rsidR="00761725">
        <w:rPr>
          <w:rFonts w:hAnsi="標楷體" w:hint="eastAsia"/>
          <w:sz w:val="32"/>
          <w:szCs w:val="32"/>
        </w:rPr>
        <w:t>5</w:t>
      </w:r>
      <w:r w:rsidRPr="00BA5101">
        <w:rPr>
          <w:rFonts w:hAnsi="標楷體" w:hint="eastAsia"/>
          <w:sz w:val="32"/>
          <w:szCs w:val="32"/>
        </w:rPr>
        <w:t>名；</w:t>
      </w:r>
      <w:r w:rsidR="00901601">
        <w:rPr>
          <w:rFonts w:hAnsi="標楷體" w:hint="eastAsia"/>
          <w:sz w:val="32"/>
          <w:szCs w:val="32"/>
        </w:rPr>
        <w:t>然若</w:t>
      </w:r>
      <w:r w:rsidR="00901601" w:rsidRPr="00901601">
        <w:rPr>
          <w:rFonts w:hAnsi="標楷體" w:hint="eastAsia"/>
          <w:sz w:val="32"/>
          <w:szCs w:val="32"/>
        </w:rPr>
        <w:t>就各次指數觀察，</w:t>
      </w:r>
      <w:r w:rsidR="002E47B9">
        <w:rPr>
          <w:rFonts w:hAnsi="標楷體" w:hint="eastAsia"/>
          <w:sz w:val="32"/>
          <w:szCs w:val="32"/>
        </w:rPr>
        <w:t>我國</w:t>
      </w:r>
      <w:r w:rsidR="00901601">
        <w:rPr>
          <w:rFonts w:hAnsi="標楷體" w:hint="eastAsia"/>
          <w:sz w:val="32"/>
          <w:szCs w:val="32"/>
        </w:rPr>
        <w:t>以</w:t>
      </w:r>
      <w:r w:rsidR="00901601" w:rsidRPr="00901601">
        <w:rPr>
          <w:rFonts w:hAnsi="標楷體" w:hint="eastAsia"/>
          <w:sz w:val="32"/>
          <w:szCs w:val="32"/>
        </w:rPr>
        <w:t>勞動力參與率、薪資、工作所得、民意代表、主管及經理人員、專技人員</w:t>
      </w:r>
      <w:r w:rsidR="00901601">
        <w:rPr>
          <w:rFonts w:hAnsi="標楷體" w:hint="eastAsia"/>
          <w:sz w:val="32"/>
          <w:szCs w:val="32"/>
        </w:rPr>
        <w:t>為變數編算之「經濟參與和機會」</w:t>
      </w:r>
      <w:r w:rsidR="00DA71BA">
        <w:rPr>
          <w:rFonts w:hAnsi="標楷體" w:hint="eastAsia"/>
          <w:sz w:val="32"/>
          <w:szCs w:val="32"/>
        </w:rPr>
        <w:t>次</w:t>
      </w:r>
      <w:r w:rsidR="00901601">
        <w:rPr>
          <w:rFonts w:hAnsi="標楷體" w:hint="eastAsia"/>
          <w:sz w:val="32"/>
          <w:szCs w:val="32"/>
        </w:rPr>
        <w:t>指數</w:t>
      </w:r>
      <w:r w:rsidR="007C59C0">
        <w:rPr>
          <w:rFonts w:hAnsi="標楷體" w:hint="eastAsia"/>
          <w:sz w:val="32"/>
          <w:szCs w:val="32"/>
        </w:rPr>
        <w:t>，</w:t>
      </w:r>
      <w:r w:rsidR="00901601">
        <w:rPr>
          <w:rFonts w:hAnsi="標楷體" w:hint="eastAsia"/>
          <w:sz w:val="32"/>
          <w:szCs w:val="32"/>
        </w:rPr>
        <w:t>2</w:t>
      </w:r>
      <w:r w:rsidR="00901601">
        <w:rPr>
          <w:rFonts w:hAnsi="標楷體"/>
          <w:sz w:val="32"/>
          <w:szCs w:val="32"/>
        </w:rPr>
        <w:t>021年尚有</w:t>
      </w:r>
      <w:r w:rsidR="00901601">
        <w:rPr>
          <w:rFonts w:hAnsi="標楷體" w:hint="eastAsia"/>
          <w:sz w:val="32"/>
          <w:szCs w:val="32"/>
        </w:rPr>
        <w:t>0</w:t>
      </w:r>
      <w:r w:rsidR="00901601">
        <w:rPr>
          <w:rFonts w:hAnsi="標楷體"/>
          <w:sz w:val="32"/>
          <w:szCs w:val="32"/>
        </w:rPr>
        <w:t>.736</w:t>
      </w:r>
      <w:r w:rsidR="00901601">
        <w:rPr>
          <w:rFonts w:hAnsi="標楷體" w:hint="eastAsia"/>
          <w:sz w:val="32"/>
          <w:szCs w:val="32"/>
        </w:rPr>
        <w:t>，</w:t>
      </w:r>
      <w:r w:rsidR="00EE16CA">
        <w:rPr>
          <w:rFonts w:hAnsi="標楷體" w:hint="eastAsia"/>
          <w:sz w:val="32"/>
          <w:szCs w:val="32"/>
        </w:rPr>
        <w:t>惟於</w:t>
      </w:r>
      <w:r w:rsidR="00761725">
        <w:rPr>
          <w:rFonts w:hAnsi="標楷體" w:hint="eastAsia"/>
          <w:sz w:val="32"/>
          <w:szCs w:val="32"/>
        </w:rPr>
        <w:t>2</w:t>
      </w:r>
      <w:r w:rsidR="00761725">
        <w:rPr>
          <w:rFonts w:hAnsi="標楷體"/>
          <w:sz w:val="32"/>
          <w:szCs w:val="32"/>
        </w:rPr>
        <w:t>024</w:t>
      </w:r>
      <w:r w:rsidR="00EE16CA">
        <w:rPr>
          <w:rFonts w:hAnsi="標楷體"/>
          <w:sz w:val="32"/>
          <w:szCs w:val="32"/>
        </w:rPr>
        <w:t>年</w:t>
      </w:r>
      <w:r w:rsidR="00901601">
        <w:rPr>
          <w:rFonts w:hAnsi="標楷體"/>
          <w:sz w:val="32"/>
          <w:szCs w:val="32"/>
        </w:rPr>
        <w:t>下降至</w:t>
      </w:r>
      <w:r w:rsidR="00901601">
        <w:rPr>
          <w:rFonts w:hAnsi="標楷體" w:hint="eastAsia"/>
          <w:sz w:val="32"/>
          <w:szCs w:val="32"/>
        </w:rPr>
        <w:t>0</w:t>
      </w:r>
      <w:r w:rsidR="00901601">
        <w:rPr>
          <w:rFonts w:hAnsi="標楷體"/>
          <w:sz w:val="32"/>
          <w:szCs w:val="32"/>
        </w:rPr>
        <w:t>.72</w:t>
      </w:r>
      <w:r w:rsidR="00EE16CA">
        <w:rPr>
          <w:rFonts w:hAnsi="標楷體"/>
          <w:sz w:val="32"/>
          <w:szCs w:val="32"/>
        </w:rPr>
        <w:t>7</w:t>
      </w:r>
      <w:r w:rsidR="00293BE7">
        <w:rPr>
          <w:rFonts w:hAnsi="標楷體" w:hint="eastAsia"/>
          <w:sz w:val="32"/>
          <w:szCs w:val="32"/>
        </w:rPr>
        <w:t>，</w:t>
      </w:r>
      <w:r w:rsidR="00DA71BA">
        <w:rPr>
          <w:rFonts w:hAnsi="標楷體"/>
          <w:sz w:val="32"/>
          <w:szCs w:val="32"/>
        </w:rPr>
        <w:t>性別落差有擴大</w:t>
      </w:r>
      <w:r w:rsidR="00DA71BA">
        <w:rPr>
          <w:rFonts w:hAnsi="標楷體"/>
          <w:sz w:val="32"/>
          <w:szCs w:val="32"/>
        </w:rPr>
        <w:lastRenderedPageBreak/>
        <w:t>情形</w:t>
      </w:r>
      <w:r w:rsidR="00293BE7">
        <w:rPr>
          <w:rStyle w:val="afc"/>
          <w:rFonts w:hAnsi="標楷體"/>
          <w:sz w:val="32"/>
          <w:szCs w:val="32"/>
        </w:rPr>
        <w:footnoteReference w:id="1"/>
      </w:r>
      <w:r w:rsidR="00901601">
        <w:rPr>
          <w:rFonts w:hAnsi="標楷體" w:hint="eastAsia"/>
          <w:sz w:val="32"/>
          <w:szCs w:val="32"/>
        </w:rPr>
        <w:t>，</w:t>
      </w:r>
      <w:r w:rsidR="00EE16CA" w:rsidRPr="00EE16CA">
        <w:rPr>
          <w:rFonts w:hAnsi="標楷體" w:hint="eastAsia"/>
          <w:sz w:val="32"/>
          <w:szCs w:val="32"/>
        </w:rPr>
        <w:t>相較於亞洲國家，我國表現</w:t>
      </w:r>
      <w:r w:rsidR="00DA71BA">
        <w:rPr>
          <w:rFonts w:hAnsi="標楷體" w:hint="eastAsia"/>
          <w:sz w:val="32"/>
          <w:szCs w:val="32"/>
        </w:rPr>
        <w:t>則</w:t>
      </w:r>
      <w:r w:rsidR="00EE16CA" w:rsidRPr="00EE16CA">
        <w:rPr>
          <w:rFonts w:hAnsi="標楷體" w:hint="eastAsia"/>
          <w:sz w:val="32"/>
          <w:szCs w:val="32"/>
        </w:rPr>
        <w:t>落後於新加坡</w:t>
      </w:r>
      <w:r w:rsidR="00EE16CA" w:rsidRPr="00EE16CA">
        <w:rPr>
          <w:rFonts w:hAnsi="標楷體" w:hint="eastAsia"/>
          <w:sz w:val="32"/>
          <w:szCs w:val="32"/>
        </w:rPr>
        <w:lastRenderedPageBreak/>
        <w:t>（0.779）、菲律賓（0.775）</w:t>
      </w:r>
      <w:r w:rsidR="00D9285B">
        <w:rPr>
          <w:rFonts w:hAnsi="標楷體" w:hint="eastAsia"/>
          <w:sz w:val="32"/>
          <w:szCs w:val="32"/>
        </w:rPr>
        <w:t>及</w:t>
      </w:r>
      <w:r w:rsidR="00EE16CA" w:rsidRPr="00EE16CA">
        <w:rPr>
          <w:rFonts w:hAnsi="標楷體" w:hint="eastAsia"/>
          <w:sz w:val="32"/>
          <w:szCs w:val="32"/>
        </w:rPr>
        <w:t>中國大陸（0.737）</w:t>
      </w:r>
      <w:r w:rsidR="007C59C0">
        <w:rPr>
          <w:rFonts w:hAnsi="標楷體" w:hint="eastAsia"/>
          <w:sz w:val="32"/>
          <w:szCs w:val="32"/>
        </w:rPr>
        <w:t>，</w:t>
      </w:r>
      <w:r w:rsidR="007C59C0">
        <w:rPr>
          <w:rFonts w:hAnsi="標楷體"/>
          <w:sz w:val="32"/>
          <w:szCs w:val="32"/>
        </w:rPr>
        <w:t>仍待</w:t>
      </w:r>
      <w:r w:rsidR="001859B0">
        <w:rPr>
          <w:rFonts w:hAnsi="標楷體"/>
          <w:sz w:val="32"/>
          <w:szCs w:val="32"/>
        </w:rPr>
        <w:t>檢討</w:t>
      </w:r>
      <w:r w:rsidR="001A4B34">
        <w:rPr>
          <w:rFonts w:hAnsi="標楷體"/>
          <w:sz w:val="32"/>
          <w:szCs w:val="32"/>
        </w:rPr>
        <w:t>消弭</w:t>
      </w:r>
      <w:r w:rsidR="00901601">
        <w:rPr>
          <w:rFonts w:hAnsi="標楷體" w:hint="eastAsia"/>
          <w:sz w:val="32"/>
          <w:szCs w:val="32"/>
        </w:rPr>
        <w:t>。</w:t>
      </w:r>
    </w:p>
    <w:p w:rsidR="00383B75" w:rsidRDefault="00383B75" w:rsidP="00383B75">
      <w:pPr>
        <w:spacing w:line="560" w:lineRule="exact"/>
        <w:ind w:left="891" w:hangingChars="100" w:hanging="324"/>
        <w:rPr>
          <w:b/>
          <w:sz w:val="32"/>
          <w:szCs w:val="32"/>
        </w:rPr>
      </w:pPr>
      <w:r w:rsidRPr="005C3499">
        <w:rPr>
          <w:rFonts w:hint="eastAsia"/>
          <w:b/>
          <w:sz w:val="32"/>
          <w:szCs w:val="32"/>
        </w:rPr>
        <w:t>(</w:t>
      </w:r>
      <w:r>
        <w:rPr>
          <w:b/>
          <w:sz w:val="32"/>
          <w:szCs w:val="32"/>
        </w:rPr>
        <w:t>二</w:t>
      </w:r>
      <w:r w:rsidRPr="005C3499">
        <w:rPr>
          <w:rFonts w:hint="eastAsia"/>
          <w:b/>
          <w:sz w:val="32"/>
          <w:szCs w:val="32"/>
        </w:rPr>
        <w:t>)</w:t>
      </w:r>
      <w:r>
        <w:rPr>
          <w:rFonts w:hint="eastAsia"/>
          <w:b/>
          <w:sz w:val="32"/>
          <w:szCs w:val="32"/>
        </w:rPr>
        <w:t>有配偶者育有年幼子女之就業率仍存在相當之性別差異，女性就業率亦隨年幼子女數增加而下降，婦女難兼顧家庭與就業之情形仍待持續積極改善</w:t>
      </w:r>
    </w:p>
    <w:p w:rsidR="00383B75" w:rsidRPr="00D414C0" w:rsidRDefault="00383B75" w:rsidP="00383B75">
      <w:pPr>
        <w:ind w:leftChars="321" w:left="910" w:firstLineChars="201" w:firstLine="650"/>
        <w:rPr>
          <w:rFonts w:hint="eastAsia"/>
          <w:sz w:val="32"/>
          <w:szCs w:val="32"/>
        </w:rPr>
      </w:pPr>
      <w:r w:rsidRPr="006C43BF">
        <w:rPr>
          <w:rFonts w:hint="eastAsia"/>
          <w:sz w:val="32"/>
          <w:szCs w:val="32"/>
        </w:rPr>
        <w:t>行政院自107年</w:t>
      </w:r>
      <w:r w:rsidR="00E23765">
        <w:rPr>
          <w:rFonts w:hint="eastAsia"/>
          <w:sz w:val="32"/>
          <w:szCs w:val="32"/>
        </w:rPr>
        <w:t>度</w:t>
      </w:r>
      <w:r w:rsidRPr="006C43BF">
        <w:rPr>
          <w:rFonts w:hint="eastAsia"/>
          <w:sz w:val="32"/>
          <w:szCs w:val="32"/>
        </w:rPr>
        <w:t>起推動「我國少子女化對策計畫」(107至113年)，納入性別平等(平衡就業與家庭)、減輕家庭育兒負擔、提升嬰幼兒照顧品質等政策理念，以改善婦女難兼顧家庭與就業，影響生育意願及勞動參與率等困境</w:t>
      </w:r>
      <w:r>
        <w:rPr>
          <w:rFonts w:hint="eastAsia"/>
          <w:sz w:val="32"/>
          <w:szCs w:val="32"/>
        </w:rPr>
        <w:t>，然據行政院主計總處1</w:t>
      </w:r>
      <w:r>
        <w:rPr>
          <w:sz w:val="32"/>
          <w:szCs w:val="32"/>
        </w:rPr>
        <w:t>13年人力運用調查報告</w:t>
      </w:r>
      <w:r>
        <w:rPr>
          <w:rFonts w:hint="eastAsia"/>
          <w:sz w:val="32"/>
          <w:szCs w:val="32"/>
        </w:rPr>
        <w:t>，</w:t>
      </w:r>
      <w:r w:rsidRPr="00FF667E">
        <w:rPr>
          <w:rFonts w:hint="eastAsia"/>
          <w:sz w:val="32"/>
          <w:szCs w:val="32"/>
        </w:rPr>
        <w:t>113年5月</w:t>
      </w:r>
      <w:r w:rsidR="00E23765">
        <w:rPr>
          <w:rFonts w:hint="eastAsia"/>
          <w:sz w:val="32"/>
          <w:szCs w:val="32"/>
        </w:rPr>
        <w:t>「</w:t>
      </w:r>
      <w:r w:rsidRPr="00FF667E">
        <w:rPr>
          <w:rFonts w:hint="eastAsia"/>
          <w:sz w:val="32"/>
          <w:szCs w:val="32"/>
        </w:rPr>
        <w:t>15</w:t>
      </w:r>
      <w:r>
        <w:rPr>
          <w:rFonts w:hint="eastAsia"/>
          <w:sz w:val="32"/>
          <w:szCs w:val="32"/>
        </w:rPr>
        <w:t>至</w:t>
      </w:r>
      <w:r w:rsidRPr="00FF667E">
        <w:rPr>
          <w:rFonts w:hint="eastAsia"/>
          <w:sz w:val="32"/>
          <w:szCs w:val="32"/>
        </w:rPr>
        <w:t>64歲有配偶者</w:t>
      </w:r>
      <w:r w:rsidR="00E23765">
        <w:rPr>
          <w:rFonts w:hint="eastAsia"/>
          <w:sz w:val="32"/>
          <w:szCs w:val="32"/>
        </w:rPr>
        <w:t>」</w:t>
      </w:r>
      <w:r w:rsidRPr="00FF667E">
        <w:rPr>
          <w:rFonts w:hint="eastAsia"/>
          <w:sz w:val="32"/>
          <w:szCs w:val="32"/>
        </w:rPr>
        <w:t>就業率為72.66%，其中女性62.37%，低於男性84.34%</w:t>
      </w:r>
      <w:r w:rsidR="00E23765">
        <w:rPr>
          <w:rFonts w:hint="eastAsia"/>
          <w:sz w:val="32"/>
          <w:szCs w:val="32"/>
        </w:rPr>
        <w:t>，進一步</w:t>
      </w:r>
      <w:r w:rsidRPr="00FF667E">
        <w:rPr>
          <w:rFonts w:hint="eastAsia"/>
          <w:sz w:val="32"/>
          <w:szCs w:val="32"/>
        </w:rPr>
        <w:t>就其最小子女年齡觀察，在最小子女未滿15歲以前，女性就業率</w:t>
      </w:r>
      <w:r>
        <w:rPr>
          <w:rFonts w:hint="eastAsia"/>
          <w:sz w:val="32"/>
          <w:szCs w:val="32"/>
        </w:rPr>
        <w:t>未</w:t>
      </w:r>
      <w:r w:rsidRPr="00FF667E">
        <w:rPr>
          <w:rFonts w:hint="eastAsia"/>
          <w:sz w:val="32"/>
          <w:szCs w:val="32"/>
        </w:rPr>
        <w:t>及8成，男性則逾9成，其中最小子女未滿3歲之女性就業率為67.01%，男性98.11%，兩者差距31.10個百分點。</w:t>
      </w:r>
      <w:r>
        <w:rPr>
          <w:rFonts w:hint="eastAsia"/>
          <w:sz w:val="32"/>
          <w:szCs w:val="32"/>
        </w:rPr>
        <w:t>又按</w:t>
      </w:r>
      <w:r w:rsidRPr="00FF667E">
        <w:rPr>
          <w:rFonts w:hint="eastAsia"/>
          <w:sz w:val="32"/>
          <w:szCs w:val="32"/>
        </w:rPr>
        <w:t>子女數觀察</w:t>
      </w:r>
      <w:r w:rsidR="00E23765">
        <w:rPr>
          <w:rFonts w:hint="eastAsia"/>
          <w:sz w:val="32"/>
          <w:szCs w:val="32"/>
        </w:rPr>
        <w:t>「</w:t>
      </w:r>
      <w:r w:rsidRPr="00FF667E">
        <w:rPr>
          <w:rFonts w:hint="eastAsia"/>
          <w:sz w:val="32"/>
          <w:szCs w:val="32"/>
        </w:rPr>
        <w:t>15</w:t>
      </w:r>
      <w:r>
        <w:rPr>
          <w:rFonts w:hint="eastAsia"/>
          <w:sz w:val="32"/>
          <w:szCs w:val="32"/>
        </w:rPr>
        <w:t>至</w:t>
      </w:r>
      <w:r w:rsidRPr="00FF667E">
        <w:rPr>
          <w:rFonts w:hint="eastAsia"/>
          <w:sz w:val="32"/>
          <w:szCs w:val="32"/>
        </w:rPr>
        <w:t>64歲有配偶者</w:t>
      </w:r>
      <w:r w:rsidR="00E23765">
        <w:rPr>
          <w:rFonts w:hint="eastAsia"/>
          <w:sz w:val="32"/>
          <w:szCs w:val="32"/>
        </w:rPr>
        <w:t>」</w:t>
      </w:r>
      <w:r w:rsidRPr="00FF667E">
        <w:rPr>
          <w:rFonts w:hint="eastAsia"/>
          <w:sz w:val="32"/>
          <w:szCs w:val="32"/>
        </w:rPr>
        <w:t>之就業率，受其年幼(15歲以下)子女數影響，育有1</w:t>
      </w:r>
      <w:r>
        <w:rPr>
          <w:rFonts w:hint="eastAsia"/>
          <w:sz w:val="32"/>
          <w:szCs w:val="32"/>
        </w:rPr>
        <w:t>名</w:t>
      </w:r>
      <w:r w:rsidRPr="00FF667E">
        <w:rPr>
          <w:rFonts w:hint="eastAsia"/>
          <w:sz w:val="32"/>
          <w:szCs w:val="32"/>
        </w:rPr>
        <w:t>年幼子女者，女性就業率為74.54%，至育有3名及以上年幼子女者就業率降至68.39%，男性則均維持於9成以上，顯示女性仍負擔較多育兒工作</w:t>
      </w:r>
      <w:r>
        <w:rPr>
          <w:rFonts w:hint="eastAsia"/>
          <w:sz w:val="32"/>
          <w:szCs w:val="32"/>
        </w:rPr>
        <w:t>，家務平均分攤之成效尚待研謀</w:t>
      </w:r>
      <w:r w:rsidR="00531F6B">
        <w:rPr>
          <w:rFonts w:hint="eastAsia"/>
          <w:sz w:val="32"/>
          <w:szCs w:val="32"/>
        </w:rPr>
        <w:t>策進</w:t>
      </w:r>
      <w:r>
        <w:rPr>
          <w:rFonts w:hint="eastAsia"/>
          <w:sz w:val="32"/>
          <w:szCs w:val="32"/>
        </w:rPr>
        <w:t>。</w:t>
      </w:r>
    </w:p>
    <w:p w:rsidR="00383B75" w:rsidRDefault="00383B75" w:rsidP="00383B75">
      <w:pPr>
        <w:spacing w:line="560" w:lineRule="exact"/>
        <w:ind w:left="891" w:hangingChars="100" w:hanging="324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(三</w:t>
      </w:r>
      <w:r>
        <w:rPr>
          <w:b/>
          <w:sz w:val="32"/>
          <w:szCs w:val="32"/>
        </w:rPr>
        <w:t>)</w:t>
      </w:r>
      <w:r w:rsidRPr="00B377C5">
        <w:rPr>
          <w:rFonts w:hint="eastAsia"/>
          <w:b/>
          <w:sz w:val="32"/>
          <w:szCs w:val="32"/>
        </w:rPr>
        <w:t>公部門女性參與決策比率較10年前</w:t>
      </w:r>
      <w:r>
        <w:rPr>
          <w:rFonts w:hint="eastAsia"/>
          <w:b/>
          <w:sz w:val="32"/>
          <w:szCs w:val="32"/>
        </w:rPr>
        <w:t>雖有所</w:t>
      </w:r>
      <w:r w:rsidRPr="00B377C5">
        <w:rPr>
          <w:rFonts w:hint="eastAsia"/>
          <w:b/>
          <w:sz w:val="32"/>
          <w:szCs w:val="32"/>
        </w:rPr>
        <w:t>提升，</w:t>
      </w:r>
      <w:r>
        <w:rPr>
          <w:rFonts w:hint="eastAsia"/>
          <w:b/>
          <w:sz w:val="32"/>
          <w:szCs w:val="32"/>
        </w:rPr>
        <w:t>惟仍有部分</w:t>
      </w:r>
      <w:r w:rsidR="0056509E">
        <w:rPr>
          <w:rFonts w:hint="eastAsia"/>
          <w:b/>
          <w:sz w:val="32"/>
          <w:szCs w:val="32"/>
        </w:rPr>
        <w:t>機構距離任一性別比例不少於</w:t>
      </w:r>
      <w:r>
        <w:rPr>
          <w:rFonts w:hint="eastAsia"/>
          <w:b/>
          <w:sz w:val="32"/>
          <w:szCs w:val="32"/>
        </w:rPr>
        <w:t>三分之一</w:t>
      </w:r>
      <w:r w:rsidR="0056509E">
        <w:rPr>
          <w:rFonts w:hint="eastAsia"/>
          <w:b/>
          <w:sz w:val="32"/>
          <w:szCs w:val="32"/>
        </w:rPr>
        <w:t>之</w:t>
      </w:r>
      <w:r>
        <w:rPr>
          <w:rFonts w:hint="eastAsia"/>
          <w:b/>
          <w:sz w:val="32"/>
          <w:szCs w:val="32"/>
        </w:rPr>
        <w:t>原</w:t>
      </w:r>
      <w:r>
        <w:rPr>
          <w:rFonts w:hint="eastAsia"/>
          <w:b/>
          <w:sz w:val="32"/>
          <w:szCs w:val="32"/>
        </w:rPr>
        <w:lastRenderedPageBreak/>
        <w:t>則</w:t>
      </w:r>
      <w:r w:rsidR="0056509E">
        <w:rPr>
          <w:rFonts w:hint="eastAsia"/>
          <w:b/>
          <w:sz w:val="32"/>
          <w:szCs w:val="32"/>
        </w:rPr>
        <w:t>，仍</w:t>
      </w:r>
      <w:r>
        <w:rPr>
          <w:rFonts w:hint="eastAsia"/>
          <w:b/>
          <w:sz w:val="32"/>
          <w:szCs w:val="32"/>
        </w:rPr>
        <w:t>相當差距，仍待推動落實</w:t>
      </w:r>
    </w:p>
    <w:p w:rsidR="00383B75" w:rsidRPr="00B377C5" w:rsidRDefault="00383B75" w:rsidP="00383B75">
      <w:pPr>
        <w:ind w:leftChars="321" w:left="910" w:firstLineChars="201" w:firstLine="650"/>
        <w:rPr>
          <w:rFonts w:hint="eastAsia"/>
          <w:sz w:val="32"/>
          <w:szCs w:val="32"/>
        </w:rPr>
      </w:pPr>
      <w:r w:rsidRPr="00B377C5">
        <w:rPr>
          <w:rFonts w:hint="eastAsia"/>
          <w:sz w:val="32"/>
          <w:szCs w:val="32"/>
        </w:rPr>
        <w:t>行政院於100年函頒「性別平等政策綱領」，作為我國性別平等政策最高指導方針，所訂行動措施包括</w:t>
      </w:r>
      <w:r w:rsidRPr="00B377C5">
        <w:rPr>
          <w:rFonts w:hint="eastAsia"/>
          <w:sz w:val="32"/>
          <w:szCs w:val="32"/>
        </w:rPr>
        <w:lastRenderedPageBreak/>
        <w:t>「持續推動三分之一性別比例原則，包括行政院各部會所屬委員會委員、政府捐助之財團法人及國營事業董監事、內閣閣員、考試委員、監察委員、大法官、公職人員簡任官之任命與拔擢等均以符合該原則為政策目標。」以提高我女性參與公共事務</w:t>
      </w:r>
      <w:r>
        <w:rPr>
          <w:rFonts w:hint="eastAsia"/>
          <w:sz w:val="32"/>
          <w:szCs w:val="32"/>
        </w:rPr>
        <w:t>。依行政院</w:t>
      </w:r>
      <w:r w:rsidRPr="00B377C5">
        <w:rPr>
          <w:rFonts w:hint="eastAsia"/>
          <w:sz w:val="32"/>
          <w:szCs w:val="32"/>
        </w:rPr>
        <w:t>性別平等處</w:t>
      </w:r>
      <w:r>
        <w:rPr>
          <w:sz w:val="32"/>
          <w:szCs w:val="32"/>
        </w:rPr>
        <w:t>2024年</w:t>
      </w:r>
      <w:r>
        <w:rPr>
          <w:rFonts w:hint="eastAsia"/>
          <w:sz w:val="32"/>
          <w:szCs w:val="32"/>
        </w:rPr>
        <w:t>1</w:t>
      </w:r>
      <w:r>
        <w:rPr>
          <w:sz w:val="32"/>
          <w:szCs w:val="32"/>
        </w:rPr>
        <w:t>2月統計結果</w:t>
      </w:r>
      <w:r w:rsidRPr="00B377C5">
        <w:rPr>
          <w:rFonts w:hint="eastAsia"/>
          <w:sz w:val="32"/>
          <w:szCs w:val="32"/>
        </w:rPr>
        <w:t>，</w:t>
      </w:r>
      <w:r w:rsidRPr="00844A7D">
        <w:rPr>
          <w:rFonts w:hint="eastAsia"/>
          <w:sz w:val="32"/>
          <w:szCs w:val="32"/>
        </w:rPr>
        <w:t>女性內閣閣員</w:t>
      </w:r>
      <w:r>
        <w:rPr>
          <w:rFonts w:hint="eastAsia"/>
          <w:sz w:val="32"/>
          <w:szCs w:val="32"/>
        </w:rPr>
        <w:t>占比</w:t>
      </w:r>
      <w:r w:rsidRPr="00844A7D">
        <w:rPr>
          <w:rFonts w:hint="eastAsia"/>
          <w:sz w:val="32"/>
          <w:szCs w:val="32"/>
        </w:rPr>
        <w:t>25%、女性部長占</w:t>
      </w:r>
      <w:r>
        <w:rPr>
          <w:rFonts w:hint="eastAsia"/>
          <w:sz w:val="32"/>
          <w:szCs w:val="32"/>
        </w:rPr>
        <w:t>比</w:t>
      </w:r>
      <w:r w:rsidRPr="00844A7D">
        <w:rPr>
          <w:rFonts w:hint="eastAsia"/>
          <w:sz w:val="32"/>
          <w:szCs w:val="32"/>
        </w:rPr>
        <w:t>22.6%，均與</w:t>
      </w:r>
      <w:r>
        <w:rPr>
          <w:rFonts w:hint="eastAsia"/>
          <w:sz w:val="32"/>
          <w:szCs w:val="32"/>
        </w:rPr>
        <w:t>三分之一</w:t>
      </w:r>
      <w:r w:rsidRPr="00844A7D">
        <w:rPr>
          <w:rFonts w:hint="eastAsia"/>
          <w:sz w:val="32"/>
          <w:szCs w:val="32"/>
        </w:rPr>
        <w:t>性別比例原則有相當之差距</w:t>
      </w:r>
      <w:r>
        <w:rPr>
          <w:rFonts w:hint="eastAsia"/>
          <w:sz w:val="32"/>
          <w:szCs w:val="32"/>
        </w:rPr>
        <w:t>；2</w:t>
      </w:r>
      <w:r>
        <w:rPr>
          <w:sz w:val="32"/>
          <w:szCs w:val="32"/>
        </w:rPr>
        <w:t>023年</w:t>
      </w:r>
      <w:r w:rsidRPr="00844A7D">
        <w:rPr>
          <w:rFonts w:hint="eastAsia"/>
          <w:sz w:val="32"/>
          <w:szCs w:val="32"/>
        </w:rPr>
        <w:t>全國女性政務人員</w:t>
      </w:r>
      <w:r>
        <w:rPr>
          <w:rFonts w:hint="eastAsia"/>
          <w:sz w:val="32"/>
          <w:szCs w:val="32"/>
        </w:rPr>
        <w:t>占</w:t>
      </w:r>
      <w:r w:rsidR="00531F6B">
        <w:rPr>
          <w:rFonts w:hint="eastAsia"/>
          <w:sz w:val="32"/>
          <w:szCs w:val="32"/>
        </w:rPr>
        <w:t>比</w:t>
      </w:r>
      <w:r>
        <w:rPr>
          <w:rFonts w:hint="eastAsia"/>
          <w:sz w:val="32"/>
          <w:szCs w:val="32"/>
        </w:rPr>
        <w:t>2</w:t>
      </w:r>
      <w:r w:rsidRPr="00844A7D">
        <w:rPr>
          <w:rFonts w:hint="eastAsia"/>
          <w:sz w:val="32"/>
          <w:szCs w:val="32"/>
        </w:rPr>
        <w:t>4.6%，</w:t>
      </w:r>
      <w:r>
        <w:rPr>
          <w:rFonts w:hint="eastAsia"/>
          <w:sz w:val="32"/>
          <w:szCs w:val="32"/>
        </w:rPr>
        <w:t>亦</w:t>
      </w:r>
      <w:r w:rsidRPr="00844A7D">
        <w:rPr>
          <w:rFonts w:hint="eastAsia"/>
          <w:sz w:val="32"/>
          <w:szCs w:val="32"/>
        </w:rPr>
        <w:t>未達</w:t>
      </w:r>
      <w:r>
        <w:rPr>
          <w:rFonts w:hint="eastAsia"/>
          <w:sz w:val="32"/>
          <w:szCs w:val="32"/>
        </w:rPr>
        <w:t>三分之一。另</w:t>
      </w:r>
      <w:r w:rsidR="00823AC6">
        <w:rPr>
          <w:rFonts w:hint="eastAsia"/>
          <w:sz w:val="32"/>
          <w:szCs w:val="32"/>
        </w:rPr>
        <w:t>據</w:t>
      </w:r>
      <w:r w:rsidRPr="00844A7D">
        <w:rPr>
          <w:rFonts w:hint="eastAsia"/>
          <w:sz w:val="32"/>
          <w:szCs w:val="32"/>
        </w:rPr>
        <w:t>2024年8月統計</w:t>
      </w:r>
      <w:r>
        <w:rPr>
          <w:rFonts w:hint="eastAsia"/>
          <w:sz w:val="32"/>
          <w:szCs w:val="32"/>
        </w:rPr>
        <w:t>，</w:t>
      </w:r>
      <w:r w:rsidRPr="00844A7D">
        <w:rPr>
          <w:rFonts w:hint="eastAsia"/>
          <w:sz w:val="32"/>
          <w:szCs w:val="32"/>
        </w:rPr>
        <w:t>行政院及所屬二級機關之女性政務副首長、二級機關女性常務副首長</w:t>
      </w:r>
      <w:r>
        <w:rPr>
          <w:rFonts w:hint="eastAsia"/>
          <w:sz w:val="32"/>
          <w:szCs w:val="32"/>
        </w:rPr>
        <w:t>及</w:t>
      </w:r>
      <w:r w:rsidRPr="00844A7D">
        <w:rPr>
          <w:rFonts w:hint="eastAsia"/>
          <w:sz w:val="32"/>
          <w:szCs w:val="32"/>
        </w:rPr>
        <w:t>三級機關女性首長</w:t>
      </w:r>
      <w:r w:rsidRPr="006F2C17">
        <w:rPr>
          <w:rFonts w:hint="eastAsia"/>
          <w:sz w:val="32"/>
          <w:szCs w:val="32"/>
        </w:rPr>
        <w:t>占</w:t>
      </w:r>
      <w:r>
        <w:rPr>
          <w:rFonts w:hint="eastAsia"/>
          <w:sz w:val="32"/>
          <w:szCs w:val="32"/>
        </w:rPr>
        <w:t>比僅分別為</w:t>
      </w:r>
      <w:r w:rsidRPr="006F2C17">
        <w:rPr>
          <w:rFonts w:hint="eastAsia"/>
          <w:sz w:val="32"/>
          <w:szCs w:val="32"/>
        </w:rPr>
        <w:t>18.9%</w:t>
      </w:r>
      <w:r>
        <w:rPr>
          <w:rFonts w:hint="eastAsia"/>
          <w:sz w:val="32"/>
          <w:szCs w:val="32"/>
        </w:rPr>
        <w:t>、</w:t>
      </w:r>
      <w:r w:rsidRPr="006F2C17">
        <w:rPr>
          <w:rFonts w:hint="eastAsia"/>
          <w:sz w:val="32"/>
          <w:szCs w:val="32"/>
        </w:rPr>
        <w:t>25%</w:t>
      </w:r>
      <w:r>
        <w:rPr>
          <w:rFonts w:hint="eastAsia"/>
          <w:sz w:val="32"/>
          <w:szCs w:val="32"/>
        </w:rPr>
        <w:t>及</w:t>
      </w:r>
      <w:r w:rsidRPr="00844A7D">
        <w:rPr>
          <w:rFonts w:hint="eastAsia"/>
          <w:sz w:val="32"/>
          <w:szCs w:val="32"/>
        </w:rPr>
        <w:t>26.5%，</w:t>
      </w:r>
      <w:r w:rsidR="00531F6B">
        <w:rPr>
          <w:rFonts w:hint="eastAsia"/>
          <w:sz w:val="32"/>
          <w:szCs w:val="32"/>
        </w:rPr>
        <w:t>爰</w:t>
      </w:r>
      <w:r w:rsidRPr="00C27D9B">
        <w:rPr>
          <w:rFonts w:hint="eastAsia"/>
          <w:sz w:val="32"/>
          <w:szCs w:val="32"/>
        </w:rPr>
        <w:t>三分之一性別比例</w:t>
      </w:r>
      <w:r>
        <w:rPr>
          <w:rFonts w:hint="eastAsia"/>
          <w:sz w:val="32"/>
          <w:szCs w:val="32"/>
        </w:rPr>
        <w:t>之政策目標亟待加強落實。</w:t>
      </w:r>
    </w:p>
    <w:p w:rsidR="00BA4C25" w:rsidRPr="005C3499" w:rsidRDefault="00445855" w:rsidP="00F42360">
      <w:pPr>
        <w:pStyle w:val="a4"/>
        <w:spacing w:line="560" w:lineRule="exact"/>
        <w:ind w:left="891" w:hanging="324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(</w:t>
      </w:r>
      <w:r w:rsidR="00383B75">
        <w:rPr>
          <w:rFonts w:hint="eastAsia"/>
          <w:b/>
          <w:sz w:val="32"/>
          <w:szCs w:val="32"/>
        </w:rPr>
        <w:t>四</w:t>
      </w:r>
      <w:r>
        <w:rPr>
          <w:b/>
          <w:sz w:val="32"/>
          <w:szCs w:val="32"/>
        </w:rPr>
        <w:t>)</w:t>
      </w:r>
      <w:r w:rsidR="00ED63F8" w:rsidRPr="00ED63F8">
        <w:rPr>
          <w:rFonts w:hint="eastAsia"/>
          <w:b/>
          <w:sz w:val="32"/>
          <w:szCs w:val="32"/>
        </w:rPr>
        <w:t>全時等量就業率</w:t>
      </w:r>
      <w:r w:rsidR="00AC7655" w:rsidRPr="00AC7655">
        <w:rPr>
          <w:rFonts w:hint="eastAsia"/>
          <w:b/>
          <w:sz w:val="32"/>
          <w:szCs w:val="32"/>
        </w:rPr>
        <w:t>仍維持男性遠高於女性</w:t>
      </w:r>
      <w:r w:rsidR="00AC7655">
        <w:rPr>
          <w:rFonts w:hint="eastAsia"/>
          <w:b/>
          <w:sz w:val="32"/>
          <w:szCs w:val="32"/>
        </w:rPr>
        <w:t>之</w:t>
      </w:r>
      <w:r w:rsidR="00AC7655" w:rsidRPr="00AC7655">
        <w:rPr>
          <w:rFonts w:hint="eastAsia"/>
          <w:b/>
          <w:sz w:val="32"/>
          <w:szCs w:val="32"/>
        </w:rPr>
        <w:t>現象</w:t>
      </w:r>
      <w:r w:rsidR="00ED63F8">
        <w:rPr>
          <w:rFonts w:hint="eastAsia"/>
          <w:b/>
          <w:sz w:val="32"/>
          <w:szCs w:val="32"/>
        </w:rPr>
        <w:t>，</w:t>
      </w:r>
      <w:r w:rsidR="008C4F74">
        <w:rPr>
          <w:rFonts w:hint="eastAsia"/>
          <w:b/>
          <w:sz w:val="32"/>
          <w:szCs w:val="32"/>
        </w:rPr>
        <w:t>且我國</w:t>
      </w:r>
      <w:r w:rsidR="008C4F74" w:rsidRPr="008C4F74">
        <w:rPr>
          <w:rFonts w:hint="eastAsia"/>
          <w:b/>
          <w:sz w:val="32"/>
          <w:szCs w:val="32"/>
        </w:rPr>
        <w:t>女性勞動參與率仍較鄰近主要國家為低，</w:t>
      </w:r>
      <w:r w:rsidR="00B57228" w:rsidRPr="005C3499">
        <w:rPr>
          <w:rFonts w:hint="eastAsia"/>
          <w:b/>
          <w:sz w:val="32"/>
          <w:szCs w:val="32"/>
        </w:rPr>
        <w:t>女性經濟力</w:t>
      </w:r>
      <w:r w:rsidR="00ED63F8">
        <w:rPr>
          <w:rFonts w:hint="eastAsia"/>
          <w:b/>
          <w:sz w:val="32"/>
          <w:szCs w:val="32"/>
        </w:rPr>
        <w:t>容待研謀</w:t>
      </w:r>
      <w:r w:rsidR="00B57228" w:rsidRPr="005C3499">
        <w:rPr>
          <w:rFonts w:hint="eastAsia"/>
          <w:b/>
          <w:sz w:val="32"/>
          <w:szCs w:val="32"/>
        </w:rPr>
        <w:t>提升</w:t>
      </w:r>
    </w:p>
    <w:p w:rsidR="00237754" w:rsidRPr="005C3499" w:rsidRDefault="00832C11" w:rsidP="005C6BCB">
      <w:pPr>
        <w:pStyle w:val="23"/>
        <w:spacing w:line="560" w:lineRule="exact"/>
        <w:ind w:leftChars="351" w:left="1331" w:hangingChars="104" w:hanging="336"/>
        <w:rPr>
          <w:sz w:val="32"/>
          <w:szCs w:val="32"/>
        </w:rPr>
      </w:pPr>
      <w:r w:rsidRPr="005C3499">
        <w:rPr>
          <w:rFonts w:hint="eastAsia"/>
          <w:sz w:val="32"/>
          <w:szCs w:val="32"/>
        </w:rPr>
        <w:t>1.</w:t>
      </w:r>
      <w:r w:rsidR="008C4F74">
        <w:rPr>
          <w:rFonts w:hint="eastAsia"/>
          <w:sz w:val="32"/>
          <w:szCs w:val="32"/>
        </w:rPr>
        <w:t>據</w:t>
      </w:r>
      <w:r w:rsidR="008C4F74" w:rsidRPr="008C4F74">
        <w:rPr>
          <w:rFonts w:hint="eastAsia"/>
          <w:sz w:val="32"/>
          <w:szCs w:val="32"/>
        </w:rPr>
        <w:t>行政院就主要工作之平均每週經常性工時滿35小時以上之全時勞工進行分析</w:t>
      </w:r>
      <w:r w:rsidR="00F943E1">
        <w:rPr>
          <w:rStyle w:val="afc"/>
          <w:sz w:val="32"/>
          <w:szCs w:val="32"/>
        </w:rPr>
        <w:footnoteReference w:id="2"/>
      </w:r>
      <w:r w:rsidR="008C4F74" w:rsidRPr="008C4F74">
        <w:rPr>
          <w:rFonts w:hint="eastAsia"/>
          <w:sz w:val="32"/>
          <w:szCs w:val="32"/>
        </w:rPr>
        <w:t>，2022 年我國女性之全時等量就業率為48.21%，低於男性之63.35%，兩者差異值為15.14 個百分點。自2016年以來，女性與男性之全時等量就業率皆概呈微幅上升趨勢</w:t>
      </w:r>
      <w:r w:rsidR="0045334E">
        <w:rPr>
          <w:rFonts w:hint="eastAsia"/>
          <w:sz w:val="32"/>
          <w:szCs w:val="32"/>
        </w:rPr>
        <w:t>，</w:t>
      </w:r>
      <w:r w:rsidR="008C4F74" w:rsidRPr="008C4F74">
        <w:rPr>
          <w:rFonts w:hint="eastAsia"/>
          <w:sz w:val="32"/>
          <w:szCs w:val="32"/>
        </w:rPr>
        <w:t>若以女性與男性差異值觀察，差異幅度亦</w:t>
      </w:r>
      <w:r w:rsidR="00AC7655">
        <w:rPr>
          <w:rFonts w:hint="eastAsia"/>
          <w:sz w:val="32"/>
          <w:szCs w:val="32"/>
        </w:rPr>
        <w:t>呈持續</w:t>
      </w:r>
      <w:r w:rsidR="008C4F74" w:rsidRPr="008C4F74">
        <w:rPr>
          <w:rFonts w:hint="eastAsia"/>
          <w:sz w:val="32"/>
          <w:szCs w:val="32"/>
        </w:rPr>
        <w:t>微幅縮</w:t>
      </w:r>
      <w:r w:rsidR="008C4F74" w:rsidRPr="008C4F74">
        <w:rPr>
          <w:rFonts w:hint="eastAsia"/>
          <w:sz w:val="32"/>
          <w:szCs w:val="32"/>
        </w:rPr>
        <w:lastRenderedPageBreak/>
        <w:t>小趨勢，</w:t>
      </w:r>
      <w:r w:rsidR="008C4F74">
        <w:rPr>
          <w:rFonts w:hint="eastAsia"/>
          <w:sz w:val="32"/>
          <w:szCs w:val="32"/>
        </w:rPr>
        <w:t>惟2</w:t>
      </w:r>
      <w:r w:rsidR="008C4F74">
        <w:rPr>
          <w:sz w:val="32"/>
          <w:szCs w:val="32"/>
        </w:rPr>
        <w:t>022年</w:t>
      </w:r>
      <w:r w:rsidR="00AC7655">
        <w:rPr>
          <w:sz w:val="32"/>
          <w:szCs w:val="32"/>
        </w:rPr>
        <w:t>性別差異</w:t>
      </w:r>
      <w:r w:rsidR="00AC7655">
        <w:rPr>
          <w:rFonts w:hint="eastAsia"/>
          <w:sz w:val="32"/>
          <w:szCs w:val="32"/>
        </w:rPr>
        <w:t>1</w:t>
      </w:r>
      <w:r w:rsidR="00AC7655">
        <w:rPr>
          <w:sz w:val="32"/>
          <w:szCs w:val="32"/>
        </w:rPr>
        <w:t>5.14</w:t>
      </w:r>
      <w:r w:rsidR="00D11D25" w:rsidRPr="00D11D25">
        <w:rPr>
          <w:rFonts w:hint="eastAsia"/>
          <w:sz w:val="32"/>
          <w:szCs w:val="32"/>
        </w:rPr>
        <w:t>個百分點</w:t>
      </w:r>
      <w:r w:rsidR="00AC7655">
        <w:rPr>
          <w:sz w:val="32"/>
          <w:szCs w:val="32"/>
        </w:rPr>
        <w:t>較</w:t>
      </w:r>
      <w:r w:rsidR="00AC7655">
        <w:rPr>
          <w:rFonts w:hint="eastAsia"/>
          <w:sz w:val="32"/>
          <w:szCs w:val="32"/>
        </w:rPr>
        <w:t>2</w:t>
      </w:r>
      <w:r w:rsidR="00AC7655">
        <w:rPr>
          <w:sz w:val="32"/>
          <w:szCs w:val="32"/>
        </w:rPr>
        <w:t>021年之</w:t>
      </w:r>
      <w:r w:rsidR="00AC7655">
        <w:rPr>
          <w:rFonts w:hint="eastAsia"/>
          <w:sz w:val="32"/>
          <w:szCs w:val="32"/>
        </w:rPr>
        <w:t>1</w:t>
      </w:r>
      <w:r w:rsidR="00AC7655">
        <w:rPr>
          <w:sz w:val="32"/>
          <w:szCs w:val="32"/>
        </w:rPr>
        <w:t>4.91</w:t>
      </w:r>
      <w:r w:rsidR="00D11D25" w:rsidRPr="00D11D25">
        <w:rPr>
          <w:rFonts w:hint="eastAsia"/>
          <w:sz w:val="32"/>
          <w:szCs w:val="32"/>
        </w:rPr>
        <w:t>個百分點</w:t>
      </w:r>
      <w:r w:rsidR="00AC7655">
        <w:rPr>
          <w:sz w:val="32"/>
          <w:szCs w:val="32"/>
        </w:rPr>
        <w:t>不降反升</w:t>
      </w:r>
      <w:r w:rsidR="00AC7655">
        <w:rPr>
          <w:rFonts w:hint="eastAsia"/>
          <w:sz w:val="32"/>
          <w:szCs w:val="32"/>
        </w:rPr>
        <w:t>，且</w:t>
      </w:r>
      <w:r w:rsidR="008C4F74" w:rsidRPr="008C4F74">
        <w:rPr>
          <w:rFonts w:hint="eastAsia"/>
          <w:sz w:val="32"/>
          <w:szCs w:val="32"/>
        </w:rPr>
        <w:t>仍維持男性全時等量就業率遠高於女性</w:t>
      </w:r>
      <w:r w:rsidR="00AC7655">
        <w:rPr>
          <w:rFonts w:hint="eastAsia"/>
          <w:sz w:val="32"/>
          <w:szCs w:val="32"/>
        </w:rPr>
        <w:t>之</w:t>
      </w:r>
      <w:r w:rsidR="008C4F74" w:rsidRPr="008C4F74">
        <w:rPr>
          <w:rFonts w:hint="eastAsia"/>
          <w:sz w:val="32"/>
          <w:szCs w:val="32"/>
        </w:rPr>
        <w:t>現象。</w:t>
      </w:r>
    </w:p>
    <w:p w:rsidR="00774813" w:rsidRDefault="00832C11" w:rsidP="00774813">
      <w:pPr>
        <w:pStyle w:val="23"/>
        <w:spacing w:line="560" w:lineRule="exact"/>
        <w:ind w:leftChars="351" w:left="1331" w:hangingChars="104" w:hanging="336"/>
        <w:rPr>
          <w:sz w:val="32"/>
          <w:szCs w:val="32"/>
        </w:rPr>
      </w:pPr>
      <w:r w:rsidRPr="005C3499">
        <w:rPr>
          <w:rFonts w:hint="eastAsia"/>
          <w:sz w:val="32"/>
          <w:szCs w:val="32"/>
        </w:rPr>
        <w:t>2.</w:t>
      </w:r>
      <w:r w:rsidR="00440930">
        <w:rPr>
          <w:rFonts w:hint="eastAsia"/>
          <w:sz w:val="32"/>
          <w:szCs w:val="32"/>
        </w:rPr>
        <w:t>復</w:t>
      </w:r>
      <w:r w:rsidR="008C4F74" w:rsidRPr="008C4F74">
        <w:rPr>
          <w:rFonts w:hint="eastAsia"/>
          <w:sz w:val="32"/>
          <w:szCs w:val="32"/>
        </w:rPr>
        <w:t>據勞動部統計資料，113年度男、女性平均勞參率分別為67.08%及51.95%，較103年度66.78%及50.64%上升，近10年度兩性間差距亦由16.14個百分點逐年縮減為15.13個百分點，惟我國112及113年度女性平均勞參率各為51.82%及51.95%，仍較112年度鄰近南韓(55.6%)、日本(54.8%)、香港(52.2%)及新加坡(62.6%)為低</w:t>
      </w:r>
      <w:r w:rsidR="006E2332">
        <w:rPr>
          <w:rFonts w:hint="eastAsia"/>
          <w:sz w:val="32"/>
          <w:szCs w:val="32"/>
        </w:rPr>
        <w:t>，仍待重視並賡續檢討提升</w:t>
      </w:r>
      <w:r w:rsidR="008C4F74" w:rsidRPr="008C4F74">
        <w:rPr>
          <w:rFonts w:hint="eastAsia"/>
          <w:sz w:val="32"/>
          <w:szCs w:val="32"/>
        </w:rPr>
        <w:t>。</w:t>
      </w:r>
    </w:p>
    <w:p w:rsidR="00383B75" w:rsidRDefault="00383B75" w:rsidP="00383B75">
      <w:pPr>
        <w:pStyle w:val="a4"/>
        <w:spacing w:line="560" w:lineRule="exact"/>
        <w:ind w:left="891" w:hanging="324"/>
        <w:rPr>
          <w:b/>
          <w:sz w:val="32"/>
          <w:szCs w:val="32"/>
        </w:rPr>
      </w:pPr>
      <w:r w:rsidRPr="005C3499">
        <w:rPr>
          <w:rFonts w:hint="eastAsia"/>
          <w:b/>
          <w:sz w:val="32"/>
          <w:szCs w:val="32"/>
        </w:rPr>
        <w:t>(</w:t>
      </w:r>
      <w:r>
        <w:rPr>
          <w:rFonts w:hint="eastAsia"/>
          <w:b/>
          <w:sz w:val="32"/>
          <w:szCs w:val="32"/>
        </w:rPr>
        <w:t>五</w:t>
      </w:r>
      <w:r w:rsidRPr="005C3499">
        <w:rPr>
          <w:rFonts w:hint="eastAsia"/>
          <w:b/>
          <w:sz w:val="32"/>
          <w:szCs w:val="32"/>
        </w:rPr>
        <w:t>)</w:t>
      </w:r>
      <w:r>
        <w:rPr>
          <w:rFonts w:hint="eastAsia"/>
          <w:b/>
          <w:sz w:val="32"/>
          <w:szCs w:val="32"/>
        </w:rPr>
        <w:t>近年我國</w:t>
      </w:r>
      <w:r w:rsidRPr="00F42360">
        <w:rPr>
          <w:rFonts w:hint="eastAsia"/>
          <w:b/>
          <w:sz w:val="32"/>
          <w:szCs w:val="32"/>
        </w:rPr>
        <w:t>高等教育領域仍存在「男理工、女人文」性別隔離現象，</w:t>
      </w:r>
      <w:r>
        <w:rPr>
          <w:rFonts w:hint="eastAsia"/>
          <w:b/>
          <w:sz w:val="32"/>
          <w:szCs w:val="32"/>
        </w:rPr>
        <w:t>允待</w:t>
      </w:r>
      <w:r w:rsidRPr="001859B0">
        <w:rPr>
          <w:rFonts w:hint="eastAsia"/>
          <w:b/>
          <w:sz w:val="32"/>
          <w:szCs w:val="32"/>
        </w:rPr>
        <w:t>研謀改善</w:t>
      </w:r>
    </w:p>
    <w:p w:rsidR="00383B75" w:rsidRDefault="00383B75" w:rsidP="007F0C66">
      <w:pPr>
        <w:ind w:leftChars="326" w:left="924" w:firstLineChars="204" w:firstLine="660"/>
      </w:pPr>
      <w:r w:rsidRPr="007B67A2">
        <w:rPr>
          <w:rFonts w:hAnsi="標楷體" w:hint="eastAsia"/>
          <w:sz w:val="32"/>
          <w:szCs w:val="32"/>
        </w:rPr>
        <w:t>為瞭解並定期監測我國各領域性別平等發展情形，</w:t>
      </w:r>
      <w:r>
        <w:rPr>
          <w:rFonts w:hAnsi="標楷體" w:hint="eastAsia"/>
          <w:sz w:val="32"/>
          <w:szCs w:val="32"/>
        </w:rPr>
        <w:t>行政</w:t>
      </w:r>
      <w:r w:rsidRPr="007B67A2">
        <w:rPr>
          <w:rFonts w:hAnsi="標楷體" w:hint="eastAsia"/>
          <w:sz w:val="32"/>
          <w:szCs w:val="32"/>
        </w:rPr>
        <w:t>院於2020</w:t>
      </w:r>
      <w:r>
        <w:rPr>
          <w:rFonts w:hAnsi="標楷體" w:hint="eastAsia"/>
          <w:sz w:val="32"/>
          <w:szCs w:val="32"/>
        </w:rPr>
        <w:t>至</w:t>
      </w:r>
      <w:r w:rsidRPr="007B67A2">
        <w:rPr>
          <w:rFonts w:hAnsi="標楷體" w:hint="eastAsia"/>
          <w:sz w:val="32"/>
          <w:szCs w:val="32"/>
        </w:rPr>
        <w:t>2023年委託台灣經濟研究院辦理</w:t>
      </w:r>
      <w:bookmarkStart w:id="5" w:name="_Hlk191371204"/>
      <w:r w:rsidRPr="007B67A2">
        <w:rPr>
          <w:rFonts w:hAnsi="標楷體" w:hint="eastAsia"/>
          <w:sz w:val="32"/>
          <w:szCs w:val="32"/>
        </w:rPr>
        <w:t>「建立我國性別平等指數架構」研究案</w:t>
      </w:r>
      <w:bookmarkEnd w:id="5"/>
      <w:r w:rsidRPr="007B67A2">
        <w:rPr>
          <w:rFonts w:hAnsi="標楷體" w:hint="eastAsia"/>
          <w:sz w:val="32"/>
          <w:szCs w:val="32"/>
        </w:rPr>
        <w:t>，指數之衡量指標係參採歐盟「性別平等指數」（GEI，以下簡稱GEI）架構，</w:t>
      </w:r>
      <w:r>
        <w:rPr>
          <w:rFonts w:hAnsi="標楷體" w:hint="eastAsia"/>
          <w:sz w:val="32"/>
          <w:szCs w:val="32"/>
        </w:rPr>
        <w:t>並</w:t>
      </w:r>
      <w:r w:rsidRPr="007B67A2">
        <w:rPr>
          <w:rFonts w:hAnsi="標楷體" w:hint="eastAsia"/>
          <w:sz w:val="32"/>
          <w:szCs w:val="32"/>
        </w:rPr>
        <w:t>納入本土性別平等指標，</w:t>
      </w:r>
      <w:r>
        <w:rPr>
          <w:rFonts w:hAnsi="標楷體" w:hint="eastAsia"/>
          <w:sz w:val="32"/>
          <w:szCs w:val="32"/>
        </w:rPr>
        <w:t>用</w:t>
      </w:r>
      <w:r w:rsidRPr="007B67A2">
        <w:rPr>
          <w:rFonts w:hAnsi="標楷體" w:hint="eastAsia"/>
          <w:sz w:val="32"/>
          <w:szCs w:val="32"/>
        </w:rPr>
        <w:t>以衡量我國性別平等的進展，並與歐盟接軌。</w:t>
      </w:r>
      <w:r>
        <w:rPr>
          <w:rFonts w:hAnsi="標楷體" w:hint="eastAsia"/>
          <w:sz w:val="32"/>
          <w:szCs w:val="32"/>
        </w:rPr>
        <w:t>依該</w:t>
      </w:r>
      <w:r w:rsidRPr="00F42360">
        <w:rPr>
          <w:rFonts w:hAnsi="標楷體" w:hint="eastAsia"/>
          <w:sz w:val="32"/>
          <w:szCs w:val="32"/>
        </w:rPr>
        <w:t>院112年9月</w:t>
      </w:r>
      <w:r>
        <w:rPr>
          <w:rFonts w:hAnsi="標楷體" w:hint="eastAsia"/>
          <w:sz w:val="32"/>
          <w:szCs w:val="32"/>
        </w:rPr>
        <w:t>公布之</w:t>
      </w:r>
      <w:r w:rsidRPr="00F42360">
        <w:rPr>
          <w:rFonts w:hAnsi="標楷體" w:hint="eastAsia"/>
          <w:sz w:val="32"/>
          <w:szCs w:val="32"/>
        </w:rPr>
        <w:t>第2期研究案統計</w:t>
      </w:r>
      <w:r>
        <w:rPr>
          <w:rFonts w:hAnsi="標楷體" w:hint="eastAsia"/>
          <w:sz w:val="32"/>
          <w:szCs w:val="32"/>
        </w:rPr>
        <w:t>數據</w:t>
      </w:r>
      <w:r w:rsidRPr="00F42360">
        <w:rPr>
          <w:rFonts w:hAnsi="標楷體" w:hint="eastAsia"/>
          <w:sz w:val="32"/>
          <w:szCs w:val="32"/>
        </w:rPr>
        <w:t>，</w:t>
      </w:r>
      <w:r w:rsidRPr="00302145">
        <w:rPr>
          <w:rFonts w:hAnsi="標楷體" w:hint="eastAsia"/>
          <w:sz w:val="32"/>
          <w:szCs w:val="32"/>
        </w:rPr>
        <w:t>2022年我國</w:t>
      </w:r>
      <w:r w:rsidRPr="001A2AFB">
        <w:rPr>
          <w:rFonts w:hAnsi="標楷體" w:hint="eastAsia"/>
          <w:sz w:val="32"/>
          <w:szCs w:val="32"/>
        </w:rPr>
        <w:t>就讀「教育」、「藝術及人文」及「醫藥衛生及社會福利」領域之高等教育學生數</w:t>
      </w:r>
      <w:r>
        <w:rPr>
          <w:rFonts w:hAnsi="標楷體" w:hint="eastAsia"/>
          <w:sz w:val="32"/>
          <w:szCs w:val="32"/>
        </w:rPr>
        <w:t>共有</w:t>
      </w:r>
      <w:r w:rsidRPr="001A2AFB">
        <w:rPr>
          <w:rFonts w:hAnsi="標楷體" w:hint="eastAsia"/>
          <w:sz w:val="32"/>
          <w:szCs w:val="32"/>
        </w:rPr>
        <w:t>33</w:t>
      </w:r>
      <w:r>
        <w:rPr>
          <w:rFonts w:hAnsi="標楷體" w:hint="eastAsia"/>
          <w:sz w:val="32"/>
          <w:szCs w:val="32"/>
        </w:rPr>
        <w:t>萬</w:t>
      </w:r>
      <w:r w:rsidRPr="001A2AFB">
        <w:rPr>
          <w:rFonts w:hAnsi="標楷體" w:hint="eastAsia"/>
          <w:sz w:val="32"/>
          <w:szCs w:val="32"/>
        </w:rPr>
        <w:t>3,904人</w:t>
      </w:r>
      <w:r>
        <w:rPr>
          <w:rFonts w:hAnsi="標楷體" w:hint="eastAsia"/>
          <w:sz w:val="32"/>
          <w:szCs w:val="32"/>
        </w:rPr>
        <w:t>，其中女性</w:t>
      </w:r>
      <w:r w:rsidRPr="001A2AFB">
        <w:rPr>
          <w:rFonts w:hAnsi="標楷體" w:hint="eastAsia"/>
          <w:sz w:val="32"/>
          <w:szCs w:val="32"/>
        </w:rPr>
        <w:t>為22</w:t>
      </w:r>
      <w:r>
        <w:rPr>
          <w:rFonts w:hAnsi="標楷體" w:hint="eastAsia"/>
          <w:sz w:val="32"/>
          <w:szCs w:val="32"/>
        </w:rPr>
        <w:t>萬</w:t>
      </w:r>
      <w:r w:rsidRPr="001A2AFB">
        <w:rPr>
          <w:rFonts w:hAnsi="標楷體" w:hint="eastAsia"/>
          <w:sz w:val="32"/>
          <w:szCs w:val="32"/>
        </w:rPr>
        <w:t>6,585人，男性為10</w:t>
      </w:r>
      <w:r>
        <w:rPr>
          <w:rFonts w:hAnsi="標楷體" w:hint="eastAsia"/>
          <w:sz w:val="32"/>
          <w:szCs w:val="32"/>
        </w:rPr>
        <w:t>萬</w:t>
      </w:r>
      <w:r w:rsidRPr="001A2AFB">
        <w:rPr>
          <w:rFonts w:hAnsi="標楷體" w:hint="eastAsia"/>
          <w:sz w:val="32"/>
          <w:szCs w:val="32"/>
        </w:rPr>
        <w:t>7,319人，</w:t>
      </w:r>
      <w:r w:rsidR="007F0C66">
        <w:rPr>
          <w:rFonts w:hAnsi="標楷體" w:hint="eastAsia"/>
          <w:sz w:val="32"/>
          <w:szCs w:val="32"/>
        </w:rPr>
        <w:t>該</w:t>
      </w:r>
      <w:r w:rsidR="007F0C66" w:rsidRPr="007F0C66">
        <w:rPr>
          <w:rFonts w:hAnsi="標楷體" w:hint="eastAsia"/>
          <w:sz w:val="32"/>
          <w:szCs w:val="32"/>
        </w:rPr>
        <w:t>年</w:t>
      </w:r>
      <w:r w:rsidR="007F0C66">
        <w:rPr>
          <w:rFonts w:hAnsi="標楷體" w:hint="eastAsia"/>
          <w:sz w:val="32"/>
          <w:szCs w:val="32"/>
        </w:rPr>
        <w:t>度</w:t>
      </w:r>
      <w:r w:rsidR="00C93230">
        <w:rPr>
          <w:rFonts w:hAnsi="標楷體" w:hint="eastAsia"/>
          <w:sz w:val="32"/>
          <w:szCs w:val="32"/>
        </w:rPr>
        <w:t>就讀</w:t>
      </w:r>
      <w:r w:rsidR="007F0C66" w:rsidRPr="007F0C66">
        <w:rPr>
          <w:rFonts w:hAnsi="標楷體" w:hint="eastAsia"/>
          <w:sz w:val="32"/>
          <w:szCs w:val="32"/>
        </w:rPr>
        <w:t>教育、健康與福利、人文與藝術學科高等教育</w:t>
      </w:r>
      <w:r w:rsidR="00C93230">
        <w:rPr>
          <w:rFonts w:hAnsi="標楷體" w:hint="eastAsia"/>
          <w:sz w:val="32"/>
          <w:szCs w:val="32"/>
        </w:rPr>
        <w:t>女性</w:t>
      </w:r>
      <w:r w:rsidR="007F0C66" w:rsidRPr="007F0C66">
        <w:rPr>
          <w:rFonts w:hAnsi="標楷體" w:hint="eastAsia"/>
          <w:sz w:val="32"/>
          <w:szCs w:val="32"/>
        </w:rPr>
        <w:t>學生之比率為40.63%，男性</w:t>
      </w:r>
      <w:r w:rsidR="00C93230">
        <w:rPr>
          <w:rFonts w:hAnsi="標楷體" w:hint="eastAsia"/>
          <w:sz w:val="32"/>
          <w:szCs w:val="32"/>
        </w:rPr>
        <w:t>則</w:t>
      </w:r>
      <w:r w:rsidR="007F0C66" w:rsidRPr="007F0C66">
        <w:rPr>
          <w:rFonts w:hAnsi="標楷體" w:hint="eastAsia"/>
          <w:sz w:val="32"/>
          <w:szCs w:val="32"/>
        </w:rPr>
        <w:t>為19.09%，</w:t>
      </w:r>
      <w:r>
        <w:rPr>
          <w:rFonts w:hAnsi="標楷體" w:hint="eastAsia"/>
          <w:sz w:val="32"/>
          <w:szCs w:val="32"/>
        </w:rPr>
        <w:t>以</w:t>
      </w:r>
      <w:r w:rsidRPr="00107CF4">
        <w:rPr>
          <w:rFonts w:hAnsi="標楷體" w:hint="eastAsia"/>
          <w:sz w:val="32"/>
          <w:szCs w:val="32"/>
        </w:rPr>
        <w:t>性別差異來看，女性仍高於男性21.5</w:t>
      </w:r>
      <w:r>
        <w:rPr>
          <w:rFonts w:hAnsi="標楷體"/>
          <w:sz w:val="32"/>
          <w:szCs w:val="32"/>
        </w:rPr>
        <w:t>4</w:t>
      </w:r>
      <w:r w:rsidRPr="00107CF4">
        <w:rPr>
          <w:rFonts w:hAnsi="標楷體" w:hint="eastAsia"/>
          <w:sz w:val="32"/>
          <w:szCs w:val="32"/>
        </w:rPr>
        <w:t>個百分點，</w:t>
      </w:r>
      <w:r w:rsidR="00C93230">
        <w:rPr>
          <w:rFonts w:hAnsi="標楷體" w:hint="eastAsia"/>
          <w:sz w:val="32"/>
          <w:szCs w:val="32"/>
        </w:rPr>
        <w:t>且</w:t>
      </w:r>
      <w:r>
        <w:rPr>
          <w:rFonts w:hAnsi="標楷體" w:hint="eastAsia"/>
          <w:sz w:val="32"/>
          <w:szCs w:val="32"/>
        </w:rPr>
        <w:t>近3（2</w:t>
      </w:r>
      <w:r>
        <w:rPr>
          <w:rFonts w:hAnsi="標楷體"/>
          <w:sz w:val="32"/>
          <w:szCs w:val="32"/>
        </w:rPr>
        <w:t>020-2023</w:t>
      </w:r>
      <w:r>
        <w:rPr>
          <w:rFonts w:hAnsi="標楷體" w:hint="eastAsia"/>
          <w:sz w:val="32"/>
          <w:szCs w:val="32"/>
        </w:rPr>
        <w:t>）年性別差異皆逾2</w:t>
      </w:r>
      <w:r>
        <w:rPr>
          <w:rFonts w:hAnsi="標楷體"/>
          <w:sz w:val="32"/>
          <w:szCs w:val="32"/>
        </w:rPr>
        <w:t>成</w:t>
      </w:r>
      <w:r>
        <w:rPr>
          <w:rFonts w:hAnsi="標楷體" w:hint="eastAsia"/>
          <w:sz w:val="32"/>
          <w:szCs w:val="32"/>
        </w:rPr>
        <w:t>；至</w:t>
      </w:r>
      <w:r w:rsidRPr="00302145">
        <w:rPr>
          <w:rFonts w:hAnsi="標楷體" w:hint="eastAsia"/>
          <w:sz w:val="32"/>
          <w:szCs w:val="32"/>
        </w:rPr>
        <w:t>就讀自然科學、數學及統計、資訊通訊科技與工程、製造及營建領域之女性學生9萬6,145人，則遠低於男性學生27萬8,982人，性別差異比率同期間皆逾3</w:t>
      </w:r>
      <w:r w:rsidRPr="00302145">
        <w:rPr>
          <w:rFonts w:hAnsi="標楷體"/>
          <w:sz w:val="32"/>
          <w:szCs w:val="32"/>
        </w:rPr>
        <w:t>成</w:t>
      </w:r>
      <w:r w:rsidRPr="00302145">
        <w:rPr>
          <w:rFonts w:hAnsi="標楷體" w:hint="eastAsia"/>
          <w:sz w:val="32"/>
          <w:szCs w:val="32"/>
        </w:rPr>
        <w:t>，相關學科領域仍呈現性別隔離現象</w:t>
      </w:r>
      <w:r>
        <w:rPr>
          <w:rFonts w:hAnsi="標楷體" w:hint="eastAsia"/>
          <w:sz w:val="32"/>
          <w:szCs w:val="32"/>
        </w:rPr>
        <w:t>，允待</w:t>
      </w:r>
      <w:bookmarkStart w:id="6" w:name="_Hlk191368305"/>
      <w:r>
        <w:rPr>
          <w:rFonts w:hAnsi="標楷體" w:hint="eastAsia"/>
          <w:sz w:val="32"/>
          <w:szCs w:val="32"/>
        </w:rPr>
        <w:t>研謀改善</w:t>
      </w:r>
      <w:bookmarkEnd w:id="6"/>
      <w:r w:rsidRPr="00F42360">
        <w:rPr>
          <w:rFonts w:hAnsi="標楷體" w:hint="eastAsia"/>
          <w:sz w:val="32"/>
          <w:szCs w:val="32"/>
        </w:rPr>
        <w:t>。</w:t>
      </w:r>
    </w:p>
    <w:p w:rsidR="00652747" w:rsidRDefault="00971856" w:rsidP="00652747">
      <w:pPr>
        <w:spacing w:line="560" w:lineRule="exact"/>
        <w:ind w:left="891" w:hangingChars="100" w:hanging="324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r w:rsidR="00BF2752">
        <w:rPr>
          <w:b/>
          <w:sz w:val="32"/>
          <w:szCs w:val="32"/>
        </w:rPr>
        <w:t>六</w:t>
      </w:r>
      <w:r>
        <w:rPr>
          <w:b/>
          <w:sz w:val="32"/>
          <w:szCs w:val="32"/>
        </w:rPr>
        <w:t>)</w:t>
      </w:r>
      <w:r w:rsidR="0081074C">
        <w:rPr>
          <w:rFonts w:hint="eastAsia"/>
          <w:b/>
          <w:sz w:val="32"/>
          <w:szCs w:val="32"/>
        </w:rPr>
        <w:t>部分機關未能詳於年度單位預算中載列</w:t>
      </w:r>
      <w:r w:rsidR="0081074C" w:rsidRPr="0081074C">
        <w:rPr>
          <w:rFonts w:hint="eastAsia"/>
          <w:b/>
          <w:sz w:val="32"/>
          <w:szCs w:val="32"/>
        </w:rPr>
        <w:t>有關推動性別平等重要決議之辦理情形</w:t>
      </w:r>
      <w:r w:rsidR="0081074C">
        <w:rPr>
          <w:rFonts w:hint="eastAsia"/>
          <w:b/>
          <w:sz w:val="32"/>
          <w:szCs w:val="32"/>
        </w:rPr>
        <w:t>，不利</w:t>
      </w:r>
      <w:r w:rsidR="0081074C" w:rsidRPr="0081074C">
        <w:rPr>
          <w:rFonts w:hint="eastAsia"/>
          <w:b/>
          <w:sz w:val="32"/>
          <w:szCs w:val="32"/>
        </w:rPr>
        <w:t>追蹤其兩性平權施政成效，允待檢討妥處</w:t>
      </w:r>
    </w:p>
    <w:p w:rsidR="00FB0564" w:rsidRPr="00AC04C9" w:rsidRDefault="00B02105" w:rsidP="007B731D">
      <w:pPr>
        <w:ind w:leftChars="321" w:left="910" w:firstLineChars="201" w:firstLine="650"/>
        <w:rPr>
          <w:rFonts w:hAnsi="標楷體" w:hint="eastAsia"/>
          <w:sz w:val="32"/>
          <w:szCs w:val="32"/>
        </w:rPr>
      </w:pPr>
      <w:r w:rsidRPr="00B02105">
        <w:rPr>
          <w:rFonts w:hAnsi="標楷體" w:hint="eastAsia"/>
          <w:sz w:val="32"/>
          <w:szCs w:val="32"/>
        </w:rPr>
        <w:t>據OECD</w:t>
      </w:r>
      <w:r w:rsidR="00823AC6">
        <w:rPr>
          <w:rFonts w:hAnsi="標楷體"/>
          <w:sz w:val="32"/>
          <w:szCs w:val="32"/>
        </w:rPr>
        <w:t xml:space="preserve"> </w:t>
      </w:r>
      <w:r w:rsidRPr="00B02105">
        <w:rPr>
          <w:rFonts w:hAnsi="標楷體" w:hint="eastAsia"/>
          <w:sz w:val="32"/>
          <w:szCs w:val="32"/>
        </w:rPr>
        <w:t>2023年性別預算報告揭示略以，將年度預算納入或附有各種形式之性別預算資訊，可強化政府公共支出之透明度與課責機制，而性別預算外部課責運作有多種形式，以定期向議會報告性別預算編製為最普遍之監督方法，且重視事後性別影響評估公開，據以追蹤政府實施兩性平權施政成效。</w:t>
      </w:r>
      <w:r>
        <w:rPr>
          <w:rFonts w:hAnsi="標楷體" w:hint="eastAsia"/>
          <w:sz w:val="32"/>
          <w:szCs w:val="32"/>
        </w:rPr>
        <w:t>茲中央政府各機關年度單位預算案中</w:t>
      </w:r>
      <w:r w:rsidRPr="00B02105">
        <w:rPr>
          <w:rFonts w:hAnsi="標楷體" w:hint="eastAsia"/>
          <w:sz w:val="32"/>
          <w:szCs w:val="32"/>
        </w:rPr>
        <w:t>「立法院審議中央政府總預算案所提決議、附帶決議及注意辦理事項辦理情形報告表」所列載之辦理情形，</w:t>
      </w:r>
      <w:r>
        <w:rPr>
          <w:rFonts w:hAnsi="標楷體" w:hint="eastAsia"/>
          <w:sz w:val="32"/>
          <w:szCs w:val="32"/>
        </w:rPr>
        <w:t>係為</w:t>
      </w:r>
      <w:r w:rsidRPr="00B02105">
        <w:rPr>
          <w:rFonts w:hAnsi="標楷體" w:hint="eastAsia"/>
          <w:sz w:val="32"/>
          <w:szCs w:val="32"/>
        </w:rPr>
        <w:t>提供本院委員問政參考，</w:t>
      </w:r>
      <w:r>
        <w:rPr>
          <w:rFonts w:hAnsi="標楷體" w:hint="eastAsia"/>
          <w:sz w:val="32"/>
          <w:szCs w:val="32"/>
        </w:rPr>
        <w:t>其中有關</w:t>
      </w:r>
      <w:r w:rsidRPr="00B02105">
        <w:rPr>
          <w:rFonts w:hAnsi="標楷體" w:hint="eastAsia"/>
          <w:sz w:val="32"/>
          <w:szCs w:val="32"/>
        </w:rPr>
        <w:t>推動性別平等重要決議</w:t>
      </w:r>
      <w:r>
        <w:rPr>
          <w:rFonts w:hAnsi="標楷體" w:hint="eastAsia"/>
          <w:sz w:val="32"/>
          <w:szCs w:val="32"/>
        </w:rPr>
        <w:t>之辦理情形</w:t>
      </w:r>
      <w:r w:rsidRPr="00B02105">
        <w:rPr>
          <w:rFonts w:hAnsi="標楷體" w:hint="eastAsia"/>
          <w:sz w:val="32"/>
          <w:szCs w:val="32"/>
        </w:rPr>
        <w:t>並</w:t>
      </w:r>
      <w:r>
        <w:rPr>
          <w:rFonts w:hAnsi="標楷體" w:hint="eastAsia"/>
          <w:sz w:val="32"/>
          <w:szCs w:val="32"/>
        </w:rPr>
        <w:t>有利於</w:t>
      </w:r>
      <w:r w:rsidRPr="00B02105">
        <w:rPr>
          <w:rFonts w:hAnsi="標楷體" w:hint="eastAsia"/>
          <w:sz w:val="32"/>
          <w:szCs w:val="32"/>
        </w:rPr>
        <w:t>外界瞭解</w:t>
      </w:r>
      <w:r>
        <w:rPr>
          <w:rFonts w:hAnsi="標楷體" w:hint="eastAsia"/>
          <w:sz w:val="32"/>
          <w:szCs w:val="32"/>
        </w:rPr>
        <w:t>各機關</w:t>
      </w:r>
      <w:r w:rsidRPr="00B02105">
        <w:rPr>
          <w:rFonts w:hAnsi="標楷體" w:hint="eastAsia"/>
          <w:sz w:val="32"/>
          <w:szCs w:val="32"/>
        </w:rPr>
        <w:t>對於消除性別歧視，推動建立我國友善性別平等環境之</w:t>
      </w:r>
      <w:r>
        <w:rPr>
          <w:rFonts w:hAnsi="標楷體" w:hint="eastAsia"/>
          <w:sz w:val="32"/>
          <w:szCs w:val="32"/>
        </w:rPr>
        <w:t>改善</w:t>
      </w:r>
      <w:r w:rsidRPr="00B02105">
        <w:rPr>
          <w:rFonts w:hAnsi="標楷體" w:hint="eastAsia"/>
          <w:sz w:val="32"/>
          <w:szCs w:val="32"/>
        </w:rPr>
        <w:t>成果</w:t>
      </w:r>
      <w:r>
        <w:rPr>
          <w:rFonts w:hAnsi="標楷體" w:hint="eastAsia"/>
          <w:sz w:val="32"/>
          <w:szCs w:val="32"/>
        </w:rPr>
        <w:t>，惟部分機關</w:t>
      </w:r>
      <w:r w:rsidR="00C93230">
        <w:rPr>
          <w:rFonts w:hAnsi="標楷體" w:hint="eastAsia"/>
          <w:sz w:val="32"/>
          <w:szCs w:val="32"/>
        </w:rPr>
        <w:t>於</w:t>
      </w:r>
      <w:r>
        <w:rPr>
          <w:rFonts w:hAnsi="標楷體" w:hint="eastAsia"/>
          <w:sz w:val="32"/>
          <w:szCs w:val="32"/>
        </w:rPr>
        <w:t>相關</w:t>
      </w:r>
      <w:r w:rsidRPr="00B02105">
        <w:rPr>
          <w:rFonts w:hAnsi="標楷體" w:hint="eastAsia"/>
          <w:sz w:val="32"/>
          <w:szCs w:val="32"/>
        </w:rPr>
        <w:t>辦理情形一欄，僅回復「遵照辦理」，</w:t>
      </w:r>
      <w:r w:rsidR="007A1423">
        <w:rPr>
          <w:rFonts w:hAnsi="標楷體" w:hint="eastAsia"/>
          <w:sz w:val="32"/>
          <w:szCs w:val="32"/>
        </w:rPr>
        <w:t>實難據以</w:t>
      </w:r>
      <w:r w:rsidR="007A1423" w:rsidRPr="007A1423">
        <w:rPr>
          <w:rFonts w:hAnsi="標楷體" w:hint="eastAsia"/>
          <w:sz w:val="32"/>
          <w:szCs w:val="32"/>
        </w:rPr>
        <w:t>追蹤</w:t>
      </w:r>
      <w:r w:rsidR="007A1423">
        <w:rPr>
          <w:rFonts w:hAnsi="標楷體" w:hint="eastAsia"/>
          <w:sz w:val="32"/>
          <w:szCs w:val="32"/>
        </w:rPr>
        <w:t>其</w:t>
      </w:r>
      <w:r w:rsidR="007A1423" w:rsidRPr="007A1423">
        <w:rPr>
          <w:rFonts w:hAnsi="標楷體" w:hint="eastAsia"/>
          <w:sz w:val="32"/>
          <w:szCs w:val="32"/>
        </w:rPr>
        <w:t>兩性平權施政成效</w:t>
      </w:r>
      <w:r w:rsidR="007A1423">
        <w:rPr>
          <w:rFonts w:hAnsi="標楷體" w:hint="eastAsia"/>
          <w:sz w:val="32"/>
          <w:szCs w:val="32"/>
        </w:rPr>
        <w:t>，允待檢討妥處</w:t>
      </w:r>
      <w:r w:rsidRPr="00B02105">
        <w:rPr>
          <w:rFonts w:hAnsi="標楷體" w:hint="eastAsia"/>
          <w:sz w:val="32"/>
          <w:szCs w:val="32"/>
        </w:rPr>
        <w:t>。</w:t>
      </w:r>
    </w:p>
    <w:sectPr w:rsidR="00FB0564" w:rsidRPr="00AC04C9" w:rsidSect="00F122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EFE" w:rsidRDefault="00E70EFE" w:rsidP="005E2219">
      <w:pPr>
        <w:ind w:left="560" w:firstLine="560"/>
      </w:pPr>
      <w:r>
        <w:separator/>
      </w:r>
    </w:p>
  </w:endnote>
  <w:endnote w:type="continuationSeparator" w:id="0">
    <w:p w:rsidR="00E70EFE" w:rsidRDefault="00E70EFE" w:rsidP="005E2219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E2" w:rsidRDefault="00BB19E2" w:rsidP="005E2219">
    <w:pPr>
      <w:pStyle w:val="af2"/>
      <w:framePr w:wrap="around" w:vAnchor="text" w:hAnchor="margin" w:xAlign="center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BB19E2" w:rsidRDefault="00BB19E2" w:rsidP="005E2219">
    <w:pPr>
      <w:pStyle w:val="af2"/>
      <w:framePr w:wrap="around" w:vAnchor="text" w:hAnchor="margin" w:xAlign="center" w:y="1"/>
      <w:ind w:left="560" w:right="3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BB19E2" w:rsidRDefault="00BB19E2" w:rsidP="005E2219">
    <w:pPr>
      <w:pStyle w:val="af2"/>
      <w:framePr w:wrap="around" w:vAnchor="text" w:hAnchor="margin" w:xAlign="right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BB19E2" w:rsidRDefault="00BB19E2" w:rsidP="005E2219">
    <w:pPr>
      <w:pStyle w:val="af2"/>
      <w:ind w:left="560" w:right="3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E2" w:rsidRDefault="00BB19E2" w:rsidP="00C42374">
    <w:pPr>
      <w:pStyle w:val="af2"/>
      <w:framePr w:wrap="around" w:vAnchor="text" w:hAnchor="margin" w:xAlign="center" w:y="1"/>
      <w:ind w:leftChars="0" w:left="0" w:firstLineChars="0" w:firstLine="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4A2002">
      <w:rPr>
        <w:rStyle w:val="af0"/>
        <w:noProof/>
      </w:rPr>
      <w:t>2</w:t>
    </w:r>
    <w:r>
      <w:rPr>
        <w:rStyle w:val="af0"/>
      </w:rPr>
      <w:fldChar w:fldCharType="end"/>
    </w:r>
  </w:p>
  <w:p w:rsidR="00BB19E2" w:rsidRDefault="00BB19E2" w:rsidP="005E2219">
    <w:pPr>
      <w:pStyle w:val="af2"/>
      <w:ind w:left="560" w:right="3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E2" w:rsidRDefault="00BB19E2" w:rsidP="005E2219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EFE" w:rsidRDefault="00E70EFE" w:rsidP="005E2219">
      <w:pPr>
        <w:ind w:left="560" w:firstLine="560"/>
      </w:pPr>
      <w:r>
        <w:separator/>
      </w:r>
    </w:p>
  </w:footnote>
  <w:footnote w:type="continuationSeparator" w:id="0">
    <w:p w:rsidR="00E70EFE" w:rsidRDefault="00E70EFE" w:rsidP="005E2219">
      <w:pPr>
        <w:ind w:left="560" w:firstLine="560"/>
      </w:pPr>
      <w:r>
        <w:continuationSeparator/>
      </w:r>
    </w:p>
  </w:footnote>
  <w:footnote w:id="1">
    <w:p w:rsidR="00293BE7" w:rsidRPr="00293BE7" w:rsidRDefault="00293BE7" w:rsidP="00293BE7">
      <w:pPr>
        <w:pStyle w:val="145"/>
        <w:rPr>
          <w:rFonts w:hint="eastAsia"/>
        </w:rPr>
      </w:pPr>
      <w:r>
        <w:rPr>
          <w:rStyle w:val="afc"/>
        </w:rPr>
        <w:footnoteRef/>
      </w:r>
      <w:r>
        <w:t xml:space="preserve"> </w:t>
      </w:r>
      <w:r w:rsidRPr="00293BE7">
        <w:rPr>
          <w:rFonts w:hint="eastAsia"/>
        </w:rPr>
        <w:t>次指數與總指數均介於0與1之間，愈趨近於1代表性別落差愈小。</w:t>
      </w:r>
    </w:p>
  </w:footnote>
  <w:footnote w:id="2">
    <w:p w:rsidR="00F943E1" w:rsidRPr="00F943E1" w:rsidRDefault="00F943E1" w:rsidP="00F943E1">
      <w:pPr>
        <w:pStyle w:val="145"/>
        <w:rPr>
          <w:rFonts w:hint="eastAsia"/>
        </w:rPr>
      </w:pPr>
      <w:r>
        <w:rPr>
          <w:rStyle w:val="afc"/>
        </w:rPr>
        <w:footnoteRef/>
      </w:r>
      <w:r>
        <w:t xml:space="preserve"> </w:t>
      </w:r>
      <w:r>
        <w:rPr>
          <w:rFonts w:hint="eastAsia"/>
        </w:rPr>
        <w:t>參據行政院</w:t>
      </w:r>
      <w:r w:rsidRPr="00F943E1">
        <w:rPr>
          <w:rFonts w:hint="eastAsia"/>
        </w:rPr>
        <w:t>112年9月公布之「建立我國性別平等指數架構」第2期研究案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E2" w:rsidRDefault="00BB19E2" w:rsidP="005E2219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E2" w:rsidRDefault="00BB19E2" w:rsidP="005E2219">
    <w:pPr>
      <w:pStyle w:val="af1"/>
      <w:ind w:left="560" w:right="360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E2" w:rsidRDefault="00BB19E2" w:rsidP="005E2219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2E3F"/>
    <w:multiLevelType w:val="hybridMultilevel"/>
    <w:tmpl w:val="98CEB652"/>
    <w:lvl w:ilvl="0" w:tplc="0409000F">
      <w:start w:val="1"/>
      <w:numFmt w:val="decimal"/>
      <w:lvlText w:val="%1."/>
      <w:lvlJc w:val="left"/>
      <w:pPr>
        <w:tabs>
          <w:tab w:val="num" w:pos="954"/>
        </w:tabs>
        <w:ind w:left="954" w:hanging="480"/>
      </w:pPr>
    </w:lvl>
    <w:lvl w:ilvl="1" w:tplc="04090003" w:tentative="1">
      <w:start w:val="1"/>
      <w:numFmt w:val="bullet"/>
      <w:lvlText w:val=""/>
      <w:lvlJc w:val="left"/>
      <w:pPr>
        <w:tabs>
          <w:tab w:val="num" w:pos="1434"/>
        </w:tabs>
        <w:ind w:left="14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4"/>
        </w:tabs>
        <w:ind w:left="19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4"/>
        </w:tabs>
        <w:ind w:left="23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4"/>
        </w:tabs>
        <w:ind w:left="28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4"/>
        </w:tabs>
        <w:ind w:left="33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4"/>
        </w:tabs>
        <w:ind w:left="38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4"/>
        </w:tabs>
        <w:ind w:left="43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4"/>
        </w:tabs>
        <w:ind w:left="4794" w:hanging="480"/>
      </w:pPr>
      <w:rPr>
        <w:rFonts w:ascii="Wingdings" w:hAnsi="Wingdings" w:hint="default"/>
      </w:rPr>
    </w:lvl>
  </w:abstractNum>
  <w:abstractNum w:abstractNumId="1" w15:restartNumberingAfterBreak="0">
    <w:nsid w:val="01CB0008"/>
    <w:multiLevelType w:val="hybridMultilevel"/>
    <w:tmpl w:val="4740C97A"/>
    <w:lvl w:ilvl="0" w:tplc="12743C8C">
      <w:start w:val="1"/>
      <w:numFmt w:val="taiwaneseCountingThousand"/>
      <w:suff w:val="nothing"/>
      <w:lvlText w:val="%1、"/>
      <w:lvlJc w:val="left"/>
      <w:pPr>
        <w:ind w:left="2864" w:hanging="454"/>
      </w:pPr>
      <w:rPr>
        <w:rFonts w:ascii="標楷體" w:eastAsia="標楷體" w:hAnsi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3370" w:hanging="480"/>
      </w:pPr>
    </w:lvl>
    <w:lvl w:ilvl="2" w:tplc="0409001B">
      <w:start w:val="1"/>
      <w:numFmt w:val="lowerRoman"/>
      <w:lvlText w:val="%3."/>
      <w:lvlJc w:val="right"/>
      <w:pPr>
        <w:ind w:left="3850" w:hanging="480"/>
      </w:pPr>
    </w:lvl>
    <w:lvl w:ilvl="3" w:tplc="0409000F">
      <w:start w:val="1"/>
      <w:numFmt w:val="decimal"/>
      <w:lvlText w:val="%4."/>
      <w:lvlJc w:val="left"/>
      <w:pPr>
        <w:ind w:left="4330" w:hanging="480"/>
      </w:pPr>
    </w:lvl>
    <w:lvl w:ilvl="4" w:tplc="04090019">
      <w:start w:val="1"/>
      <w:numFmt w:val="ideographTraditional"/>
      <w:lvlText w:val="%5、"/>
      <w:lvlJc w:val="left"/>
      <w:pPr>
        <w:ind w:left="4810" w:hanging="480"/>
      </w:pPr>
    </w:lvl>
    <w:lvl w:ilvl="5" w:tplc="0409001B">
      <w:start w:val="1"/>
      <w:numFmt w:val="lowerRoman"/>
      <w:lvlText w:val="%6."/>
      <w:lvlJc w:val="right"/>
      <w:pPr>
        <w:ind w:left="5290" w:hanging="480"/>
      </w:pPr>
    </w:lvl>
    <w:lvl w:ilvl="6" w:tplc="0409000F">
      <w:start w:val="1"/>
      <w:numFmt w:val="decimal"/>
      <w:lvlText w:val="%7."/>
      <w:lvlJc w:val="left"/>
      <w:pPr>
        <w:ind w:left="5770" w:hanging="480"/>
      </w:pPr>
    </w:lvl>
    <w:lvl w:ilvl="7" w:tplc="04090019">
      <w:start w:val="1"/>
      <w:numFmt w:val="ideographTraditional"/>
      <w:lvlText w:val="%8、"/>
      <w:lvlJc w:val="left"/>
      <w:pPr>
        <w:ind w:left="6250" w:hanging="480"/>
      </w:pPr>
    </w:lvl>
    <w:lvl w:ilvl="8" w:tplc="0409001B">
      <w:start w:val="1"/>
      <w:numFmt w:val="lowerRoman"/>
      <w:lvlText w:val="%9."/>
      <w:lvlJc w:val="right"/>
      <w:pPr>
        <w:ind w:left="6730" w:hanging="480"/>
      </w:pPr>
    </w:lvl>
  </w:abstractNum>
  <w:abstractNum w:abstractNumId="2" w15:restartNumberingAfterBreak="0">
    <w:nsid w:val="035C0CC9"/>
    <w:multiLevelType w:val="hybridMultilevel"/>
    <w:tmpl w:val="1DE05C46"/>
    <w:lvl w:ilvl="0" w:tplc="74D2076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AF8"/>
    <w:multiLevelType w:val="hybridMultilevel"/>
    <w:tmpl w:val="3E06F02E"/>
    <w:lvl w:ilvl="0" w:tplc="1D8E38D8">
      <w:start w:val="1"/>
      <w:numFmt w:val="taiwaneseCountingThousand"/>
      <w:lvlText w:val="%1、"/>
      <w:lvlJc w:val="left"/>
      <w:pPr>
        <w:ind w:left="62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1" w:hanging="480"/>
      </w:pPr>
    </w:lvl>
    <w:lvl w:ilvl="2" w:tplc="0409001B" w:tentative="1">
      <w:start w:val="1"/>
      <w:numFmt w:val="lowerRoman"/>
      <w:lvlText w:val="%3."/>
      <w:lvlJc w:val="right"/>
      <w:pPr>
        <w:ind w:left="1341" w:hanging="480"/>
      </w:pPr>
    </w:lvl>
    <w:lvl w:ilvl="3" w:tplc="0409000F" w:tentative="1">
      <w:start w:val="1"/>
      <w:numFmt w:val="decimal"/>
      <w:lvlText w:val="%4."/>
      <w:lvlJc w:val="left"/>
      <w:pPr>
        <w:ind w:left="18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1" w:hanging="480"/>
      </w:pPr>
    </w:lvl>
    <w:lvl w:ilvl="5" w:tplc="0409001B" w:tentative="1">
      <w:start w:val="1"/>
      <w:numFmt w:val="lowerRoman"/>
      <w:lvlText w:val="%6."/>
      <w:lvlJc w:val="right"/>
      <w:pPr>
        <w:ind w:left="2781" w:hanging="480"/>
      </w:pPr>
    </w:lvl>
    <w:lvl w:ilvl="6" w:tplc="0409000F" w:tentative="1">
      <w:start w:val="1"/>
      <w:numFmt w:val="decimal"/>
      <w:lvlText w:val="%7."/>
      <w:lvlJc w:val="left"/>
      <w:pPr>
        <w:ind w:left="32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1" w:hanging="480"/>
      </w:pPr>
    </w:lvl>
    <w:lvl w:ilvl="8" w:tplc="0409001B" w:tentative="1">
      <w:start w:val="1"/>
      <w:numFmt w:val="lowerRoman"/>
      <w:lvlText w:val="%9."/>
      <w:lvlJc w:val="right"/>
      <w:pPr>
        <w:ind w:left="4221" w:hanging="480"/>
      </w:pPr>
    </w:lvl>
  </w:abstractNum>
  <w:abstractNum w:abstractNumId="4" w15:restartNumberingAfterBreak="0">
    <w:nsid w:val="03981E2A"/>
    <w:multiLevelType w:val="hybridMultilevel"/>
    <w:tmpl w:val="C7F20964"/>
    <w:lvl w:ilvl="0" w:tplc="6766390A">
      <w:start w:val="23"/>
      <w:numFmt w:val="bullet"/>
      <w:lvlText w:val="※"/>
      <w:lvlJc w:val="left"/>
      <w:pPr>
        <w:tabs>
          <w:tab w:val="num" w:pos="845"/>
        </w:tabs>
        <w:ind w:left="845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5"/>
        </w:tabs>
        <w:ind w:left="14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5"/>
        </w:tabs>
        <w:ind w:left="19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5"/>
        </w:tabs>
        <w:ind w:left="24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5"/>
        </w:tabs>
        <w:ind w:left="28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5"/>
        </w:tabs>
        <w:ind w:left="33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5"/>
        </w:tabs>
        <w:ind w:left="38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5"/>
        </w:tabs>
        <w:ind w:left="43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5"/>
        </w:tabs>
        <w:ind w:left="4805" w:hanging="480"/>
      </w:pPr>
      <w:rPr>
        <w:rFonts w:ascii="Wingdings" w:hAnsi="Wingdings" w:hint="default"/>
      </w:rPr>
    </w:lvl>
  </w:abstractNum>
  <w:abstractNum w:abstractNumId="5" w15:restartNumberingAfterBreak="0">
    <w:nsid w:val="05967280"/>
    <w:multiLevelType w:val="hybridMultilevel"/>
    <w:tmpl w:val="EE0AA5E8"/>
    <w:lvl w:ilvl="0" w:tplc="43B4C2A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05AB10A0"/>
    <w:multiLevelType w:val="hybridMultilevel"/>
    <w:tmpl w:val="08E6A4B4"/>
    <w:lvl w:ilvl="0" w:tplc="FD067D1C">
      <w:start w:val="1"/>
      <w:numFmt w:val="taiwaneseCountingThousand"/>
      <w:suff w:val="nothing"/>
      <w:lvlText w:val="%1、"/>
      <w:lvlJc w:val="left"/>
      <w:pPr>
        <w:ind w:left="454" w:firstLine="1956"/>
      </w:pPr>
      <w:rPr>
        <w:rFonts w:ascii="標楷體" w:eastAsia="標楷體" w:hAnsi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E148BB"/>
    <w:multiLevelType w:val="hybridMultilevel"/>
    <w:tmpl w:val="8E9CA2EC"/>
    <w:lvl w:ilvl="0" w:tplc="2566FCB6">
      <w:numFmt w:val="bullet"/>
      <w:lvlText w:val="※"/>
      <w:lvlJc w:val="left"/>
      <w:pPr>
        <w:tabs>
          <w:tab w:val="num" w:pos="1502"/>
        </w:tabs>
        <w:ind w:left="1502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102"/>
        </w:tabs>
        <w:ind w:left="2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82"/>
        </w:tabs>
        <w:ind w:left="2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62"/>
        </w:tabs>
        <w:ind w:left="3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42"/>
        </w:tabs>
        <w:ind w:left="3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22"/>
        </w:tabs>
        <w:ind w:left="4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02"/>
        </w:tabs>
        <w:ind w:left="4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82"/>
        </w:tabs>
        <w:ind w:left="4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62"/>
        </w:tabs>
        <w:ind w:left="5462" w:hanging="480"/>
      </w:pPr>
      <w:rPr>
        <w:rFonts w:ascii="Wingdings" w:hAnsi="Wingdings" w:hint="default"/>
      </w:rPr>
    </w:lvl>
  </w:abstractNum>
  <w:abstractNum w:abstractNumId="8" w15:restartNumberingAfterBreak="0">
    <w:nsid w:val="0938487C"/>
    <w:multiLevelType w:val="hybridMultilevel"/>
    <w:tmpl w:val="0CF8C322"/>
    <w:lvl w:ilvl="0" w:tplc="DF02F642">
      <w:start w:val="1"/>
      <w:numFmt w:val="taiwaneseCountingThousand"/>
      <w:lvlText w:val="%1、"/>
      <w:lvlJc w:val="left"/>
      <w:pPr>
        <w:tabs>
          <w:tab w:val="num" w:pos="1287"/>
        </w:tabs>
        <w:ind w:left="1287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</w:lvl>
  </w:abstractNum>
  <w:abstractNum w:abstractNumId="9" w15:restartNumberingAfterBreak="0">
    <w:nsid w:val="0FFE2A69"/>
    <w:multiLevelType w:val="hybridMultilevel"/>
    <w:tmpl w:val="A4502EB8"/>
    <w:lvl w:ilvl="0" w:tplc="3D66F814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0" w15:restartNumberingAfterBreak="0">
    <w:nsid w:val="133804FA"/>
    <w:multiLevelType w:val="hybridMultilevel"/>
    <w:tmpl w:val="21A0447C"/>
    <w:lvl w:ilvl="0" w:tplc="7B7CE246">
      <w:start w:val="1"/>
      <w:numFmt w:val="taiwaneseCountingThousand"/>
      <w:suff w:val="nothing"/>
      <w:lvlText w:val="%1、"/>
      <w:lvlJc w:val="left"/>
      <w:pPr>
        <w:ind w:left="454" w:firstLine="1956"/>
      </w:pPr>
      <w:rPr>
        <w:rFonts w:ascii="標楷體" w:eastAsia="標楷體" w:hAnsi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40E010C"/>
    <w:multiLevelType w:val="multilevel"/>
    <w:tmpl w:val="DD3256F8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2" w15:restartNumberingAfterBreak="0">
    <w:nsid w:val="18E36534"/>
    <w:multiLevelType w:val="hybridMultilevel"/>
    <w:tmpl w:val="05DC0D9A"/>
    <w:lvl w:ilvl="0" w:tplc="3CEA28BC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3" w15:restartNumberingAfterBreak="0">
    <w:nsid w:val="1BF24592"/>
    <w:multiLevelType w:val="hybridMultilevel"/>
    <w:tmpl w:val="42C63C9E"/>
    <w:lvl w:ilvl="0" w:tplc="E15C489E">
      <w:start w:val="1"/>
      <w:numFmt w:val="taiwaneseCountingThousand"/>
      <w:suff w:val="nothing"/>
      <w:lvlText w:val="%1、"/>
      <w:lvlJc w:val="left"/>
      <w:pPr>
        <w:ind w:left="454" w:firstLine="1956"/>
      </w:pPr>
      <w:rPr>
        <w:rFonts w:ascii="標楷體" w:eastAsia="標楷體" w:hAnsi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CDC5AE5"/>
    <w:multiLevelType w:val="hybridMultilevel"/>
    <w:tmpl w:val="3066344E"/>
    <w:lvl w:ilvl="0" w:tplc="4C689F34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5" w15:restartNumberingAfterBreak="0">
    <w:nsid w:val="20E11594"/>
    <w:multiLevelType w:val="hybridMultilevel"/>
    <w:tmpl w:val="9AD46002"/>
    <w:lvl w:ilvl="0" w:tplc="5B683172">
      <w:start w:val="1"/>
      <w:numFmt w:val="taiwaneseCountingThousand"/>
      <w:lvlText w:val="（%1）"/>
      <w:lvlJc w:val="left"/>
      <w:pPr>
        <w:tabs>
          <w:tab w:val="num" w:pos="2732"/>
        </w:tabs>
        <w:ind w:left="2732" w:hanging="1004"/>
      </w:pPr>
      <w:rPr>
        <w:rFonts w:hint="eastAsia"/>
      </w:rPr>
    </w:lvl>
    <w:lvl w:ilvl="1" w:tplc="F752A28C">
      <w:start w:val="1"/>
      <w:numFmt w:val="taiwaneseCountingThousand"/>
      <w:lvlText w:val="（%2）"/>
      <w:lvlJc w:val="left"/>
      <w:pPr>
        <w:tabs>
          <w:tab w:val="num" w:pos="1474"/>
        </w:tabs>
        <w:ind w:left="1474" w:hanging="907"/>
      </w:pPr>
      <w:rPr>
        <w:rFonts w:eastAsia="標楷體" w:hint="eastAsia"/>
      </w:rPr>
    </w:lvl>
    <w:lvl w:ilvl="2" w:tplc="AE4C207E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2096887"/>
    <w:multiLevelType w:val="hybridMultilevel"/>
    <w:tmpl w:val="AAB8C990"/>
    <w:lvl w:ilvl="0" w:tplc="393C1114">
      <w:start w:val="4"/>
      <w:numFmt w:val="bullet"/>
      <w:lvlText w:val="※"/>
      <w:lvlJc w:val="left"/>
      <w:pPr>
        <w:tabs>
          <w:tab w:val="num" w:pos="983"/>
        </w:tabs>
        <w:ind w:left="983" w:hanging="360"/>
      </w:pPr>
      <w:rPr>
        <w:rFonts w:ascii="標楷體" w:eastAsia="標楷體" w:hAnsi="Times New Roman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583"/>
        </w:tabs>
        <w:ind w:left="15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63"/>
        </w:tabs>
        <w:ind w:left="20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43"/>
        </w:tabs>
        <w:ind w:left="25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23"/>
        </w:tabs>
        <w:ind w:left="30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503"/>
        </w:tabs>
        <w:ind w:left="35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83"/>
        </w:tabs>
        <w:ind w:left="39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63"/>
        </w:tabs>
        <w:ind w:left="44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43"/>
        </w:tabs>
        <w:ind w:left="4943" w:hanging="480"/>
      </w:pPr>
      <w:rPr>
        <w:rFonts w:ascii="Wingdings" w:hAnsi="Wingdings" w:hint="default"/>
      </w:rPr>
    </w:lvl>
  </w:abstractNum>
  <w:abstractNum w:abstractNumId="17" w15:restartNumberingAfterBreak="0">
    <w:nsid w:val="316B12FD"/>
    <w:multiLevelType w:val="hybridMultilevel"/>
    <w:tmpl w:val="E776451C"/>
    <w:lvl w:ilvl="0" w:tplc="E25CA008">
      <w:start w:val="1"/>
      <w:numFmt w:val="bullet"/>
      <w:lvlText w:val="※"/>
      <w:lvlJc w:val="left"/>
      <w:pPr>
        <w:tabs>
          <w:tab w:val="num" w:pos="1148"/>
        </w:tabs>
        <w:ind w:left="114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48"/>
        </w:tabs>
        <w:ind w:left="174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28"/>
        </w:tabs>
        <w:ind w:left="222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08"/>
        </w:tabs>
        <w:ind w:left="270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88"/>
        </w:tabs>
        <w:ind w:left="318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68"/>
        </w:tabs>
        <w:ind w:left="366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48"/>
        </w:tabs>
        <w:ind w:left="414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28"/>
        </w:tabs>
        <w:ind w:left="462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08"/>
        </w:tabs>
        <w:ind w:left="5108" w:hanging="480"/>
      </w:pPr>
      <w:rPr>
        <w:rFonts w:ascii="Wingdings" w:hAnsi="Wingdings" w:hint="default"/>
      </w:rPr>
    </w:lvl>
  </w:abstractNum>
  <w:abstractNum w:abstractNumId="18" w15:restartNumberingAfterBreak="0">
    <w:nsid w:val="320F333B"/>
    <w:multiLevelType w:val="hybridMultilevel"/>
    <w:tmpl w:val="9AD8F026"/>
    <w:lvl w:ilvl="0" w:tplc="A0D6D930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9" w15:restartNumberingAfterBreak="0">
    <w:nsid w:val="36B757C5"/>
    <w:multiLevelType w:val="hybridMultilevel"/>
    <w:tmpl w:val="C194DD86"/>
    <w:lvl w:ilvl="0" w:tplc="156C4ABE">
      <w:start w:val="1"/>
      <w:numFmt w:val="taiwaneseCountingThousand"/>
      <w:lvlText w:val="%1、"/>
      <w:lvlJc w:val="left"/>
      <w:pPr>
        <w:tabs>
          <w:tab w:val="num" w:pos="1570"/>
        </w:tabs>
        <w:ind w:left="157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20" w15:restartNumberingAfterBreak="0">
    <w:nsid w:val="38B7153B"/>
    <w:multiLevelType w:val="hybridMultilevel"/>
    <w:tmpl w:val="F000AF4C"/>
    <w:lvl w:ilvl="0" w:tplc="4AB20D5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EBE4E78"/>
    <w:multiLevelType w:val="hybridMultilevel"/>
    <w:tmpl w:val="18724238"/>
    <w:lvl w:ilvl="0" w:tplc="C63C8E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F3B0EB6"/>
    <w:multiLevelType w:val="hybridMultilevel"/>
    <w:tmpl w:val="A238D424"/>
    <w:lvl w:ilvl="0" w:tplc="C89ECF4E">
      <w:start w:val="1"/>
      <w:numFmt w:val="taiwaneseCountingThousand"/>
      <w:lvlText w:val="%1、"/>
      <w:lvlJc w:val="left"/>
      <w:pPr>
        <w:tabs>
          <w:tab w:val="num" w:pos="727"/>
        </w:tabs>
        <w:ind w:left="727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7"/>
        </w:tabs>
        <w:ind w:left="96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7"/>
        </w:tabs>
        <w:ind w:left="144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7"/>
        </w:tabs>
        <w:ind w:left="192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7"/>
        </w:tabs>
        <w:ind w:left="240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7"/>
        </w:tabs>
        <w:ind w:left="288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7"/>
        </w:tabs>
        <w:ind w:left="336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7"/>
        </w:tabs>
        <w:ind w:left="384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7"/>
        </w:tabs>
        <w:ind w:left="4327" w:hanging="480"/>
      </w:pPr>
    </w:lvl>
  </w:abstractNum>
  <w:abstractNum w:abstractNumId="23" w15:restartNumberingAfterBreak="0">
    <w:nsid w:val="44065474"/>
    <w:multiLevelType w:val="hybridMultilevel"/>
    <w:tmpl w:val="0CC8C89C"/>
    <w:lvl w:ilvl="0" w:tplc="0B480946">
      <w:start w:val="1"/>
      <w:numFmt w:val="taiwaneseCountingThousand"/>
      <w:suff w:val="nothing"/>
      <w:lvlText w:val="%1、"/>
      <w:lvlJc w:val="left"/>
      <w:pPr>
        <w:ind w:left="454" w:firstLine="1956"/>
      </w:pPr>
      <w:rPr>
        <w:rFonts w:ascii="標楷體" w:eastAsia="標楷體" w:hAnsi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43B5F9B"/>
    <w:multiLevelType w:val="hybridMultilevel"/>
    <w:tmpl w:val="FD4AC546"/>
    <w:lvl w:ilvl="0" w:tplc="4750446A"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25" w15:restartNumberingAfterBreak="0">
    <w:nsid w:val="456F7B7B"/>
    <w:multiLevelType w:val="hybridMultilevel"/>
    <w:tmpl w:val="9AD8F026"/>
    <w:lvl w:ilvl="0" w:tplc="04090001">
      <w:start w:val="1"/>
      <w:numFmt w:val="bullet"/>
      <w:lvlText w:val=""/>
      <w:lvlJc w:val="left"/>
      <w:pPr>
        <w:tabs>
          <w:tab w:val="num" w:pos="1330"/>
        </w:tabs>
        <w:ind w:left="133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26" w15:restartNumberingAfterBreak="0">
    <w:nsid w:val="46335D69"/>
    <w:multiLevelType w:val="hybridMultilevel"/>
    <w:tmpl w:val="B4165218"/>
    <w:lvl w:ilvl="0" w:tplc="84424EA0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7" w15:restartNumberingAfterBreak="0">
    <w:nsid w:val="46A20596"/>
    <w:multiLevelType w:val="hybridMultilevel"/>
    <w:tmpl w:val="021064AE"/>
    <w:lvl w:ilvl="0" w:tplc="0409000F">
      <w:start w:val="1"/>
      <w:numFmt w:val="decimal"/>
      <w:lvlText w:val="%1."/>
      <w:lvlJc w:val="left"/>
      <w:pPr>
        <w:tabs>
          <w:tab w:val="num" w:pos="954"/>
        </w:tabs>
        <w:ind w:left="954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34"/>
        </w:tabs>
        <w:ind w:left="143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14"/>
        </w:tabs>
        <w:ind w:left="191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4"/>
        </w:tabs>
        <w:ind w:left="239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4"/>
        </w:tabs>
        <w:ind w:left="287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4"/>
        </w:tabs>
        <w:ind w:left="335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34"/>
        </w:tabs>
        <w:ind w:left="383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4"/>
        </w:tabs>
        <w:ind w:left="431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94"/>
        </w:tabs>
        <w:ind w:left="4794" w:hanging="480"/>
      </w:pPr>
    </w:lvl>
  </w:abstractNum>
  <w:abstractNum w:abstractNumId="28" w15:restartNumberingAfterBreak="0">
    <w:nsid w:val="48094773"/>
    <w:multiLevelType w:val="hybridMultilevel"/>
    <w:tmpl w:val="2C5627E0"/>
    <w:lvl w:ilvl="0" w:tplc="CC74F540">
      <w:start w:val="9"/>
      <w:numFmt w:val="bullet"/>
      <w:lvlText w:val="※"/>
      <w:lvlJc w:val="left"/>
      <w:pPr>
        <w:tabs>
          <w:tab w:val="num" w:pos="839"/>
        </w:tabs>
        <w:ind w:left="83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9"/>
        </w:tabs>
        <w:ind w:left="143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9"/>
        </w:tabs>
        <w:ind w:left="191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9"/>
        </w:tabs>
        <w:ind w:left="239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9"/>
        </w:tabs>
        <w:ind w:left="287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9"/>
        </w:tabs>
        <w:ind w:left="335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9"/>
        </w:tabs>
        <w:ind w:left="383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9"/>
        </w:tabs>
        <w:ind w:left="431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9"/>
        </w:tabs>
        <w:ind w:left="4799" w:hanging="480"/>
      </w:pPr>
      <w:rPr>
        <w:rFonts w:ascii="Wingdings" w:hAnsi="Wingdings" w:hint="default"/>
      </w:rPr>
    </w:lvl>
  </w:abstractNum>
  <w:abstractNum w:abstractNumId="29" w15:restartNumberingAfterBreak="0">
    <w:nsid w:val="48785F67"/>
    <w:multiLevelType w:val="hybridMultilevel"/>
    <w:tmpl w:val="1466F286"/>
    <w:lvl w:ilvl="0" w:tplc="E600111E">
      <w:start w:val="1"/>
      <w:numFmt w:val="taiwaneseCountingThousand"/>
      <w:lvlText w:val="%1、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0" w15:restartNumberingAfterBreak="0">
    <w:nsid w:val="48A22737"/>
    <w:multiLevelType w:val="hybridMultilevel"/>
    <w:tmpl w:val="C03EA280"/>
    <w:lvl w:ilvl="0" w:tplc="DD966840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1" w15:restartNumberingAfterBreak="0">
    <w:nsid w:val="4D114186"/>
    <w:multiLevelType w:val="hybridMultilevel"/>
    <w:tmpl w:val="F878D6F6"/>
    <w:lvl w:ilvl="0" w:tplc="9EC6C1FC">
      <w:start w:val="1"/>
      <w:numFmt w:val="taiwaneseCountingThousand"/>
      <w:suff w:val="nothing"/>
      <w:lvlText w:val="%1、"/>
      <w:lvlJc w:val="left"/>
      <w:pPr>
        <w:ind w:left="454" w:firstLine="1956"/>
      </w:pPr>
      <w:rPr>
        <w:rFonts w:ascii="標楷體" w:eastAsia="標楷體" w:hAnsi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D3414C5"/>
    <w:multiLevelType w:val="hybridMultilevel"/>
    <w:tmpl w:val="F99EA6C6"/>
    <w:lvl w:ilvl="0" w:tplc="39F862CE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3" w15:restartNumberingAfterBreak="0">
    <w:nsid w:val="4D87035D"/>
    <w:multiLevelType w:val="hybridMultilevel"/>
    <w:tmpl w:val="19C04F9C"/>
    <w:lvl w:ilvl="0" w:tplc="3FB2FCA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060488F"/>
    <w:multiLevelType w:val="hybridMultilevel"/>
    <w:tmpl w:val="291A1C00"/>
    <w:lvl w:ilvl="0" w:tplc="4DECB696">
      <w:start w:val="1"/>
      <w:numFmt w:val="taiwaneseCountingThousand"/>
      <w:suff w:val="nothing"/>
      <w:lvlText w:val="%1、"/>
      <w:lvlJc w:val="left"/>
      <w:pPr>
        <w:ind w:left="454" w:hanging="454"/>
      </w:pPr>
      <w:rPr>
        <w:rFonts w:ascii="標楷體" w:eastAsia="標楷體" w:hAnsi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8E30DD"/>
    <w:multiLevelType w:val="hybridMultilevel"/>
    <w:tmpl w:val="93489580"/>
    <w:lvl w:ilvl="0" w:tplc="9FF6154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5D705A03"/>
    <w:multiLevelType w:val="hybridMultilevel"/>
    <w:tmpl w:val="F1ACD806"/>
    <w:lvl w:ilvl="0" w:tplc="B3C88F7C">
      <w:start w:val="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37" w15:restartNumberingAfterBreak="0">
    <w:nsid w:val="62AF2162"/>
    <w:multiLevelType w:val="hybridMultilevel"/>
    <w:tmpl w:val="B5DC5654"/>
    <w:lvl w:ilvl="0" w:tplc="8E82AEF6">
      <w:start w:val="1"/>
      <w:numFmt w:val="taiwaneseCountingThousand"/>
      <w:suff w:val="nothing"/>
      <w:lvlText w:val="%1、"/>
      <w:lvlJc w:val="left"/>
      <w:pPr>
        <w:ind w:left="1305" w:hanging="454"/>
      </w:pPr>
      <w:rPr>
        <w:rFonts w:ascii="標楷體" w:eastAsia="標楷體" w:hAnsi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>
      <w:start w:val="1"/>
      <w:numFmt w:val="decimal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>
      <w:start w:val="1"/>
      <w:numFmt w:val="lowerRoman"/>
      <w:lvlText w:val="%6."/>
      <w:lvlJc w:val="right"/>
      <w:pPr>
        <w:ind w:left="3731" w:hanging="480"/>
      </w:pPr>
    </w:lvl>
    <w:lvl w:ilvl="6" w:tplc="0409000F">
      <w:start w:val="1"/>
      <w:numFmt w:val="decimal"/>
      <w:lvlText w:val="%7."/>
      <w:lvlJc w:val="left"/>
      <w:pPr>
        <w:ind w:left="4211" w:hanging="480"/>
      </w:pPr>
    </w:lvl>
    <w:lvl w:ilvl="7" w:tplc="04090019">
      <w:start w:val="1"/>
      <w:numFmt w:val="ideographTraditional"/>
      <w:lvlText w:val="%8、"/>
      <w:lvlJc w:val="left"/>
      <w:pPr>
        <w:ind w:left="4691" w:hanging="480"/>
      </w:pPr>
    </w:lvl>
    <w:lvl w:ilvl="8" w:tplc="0409001B">
      <w:start w:val="1"/>
      <w:numFmt w:val="lowerRoman"/>
      <w:lvlText w:val="%9."/>
      <w:lvlJc w:val="right"/>
      <w:pPr>
        <w:ind w:left="5171" w:hanging="480"/>
      </w:pPr>
    </w:lvl>
  </w:abstractNum>
  <w:abstractNum w:abstractNumId="38" w15:restartNumberingAfterBreak="0">
    <w:nsid w:val="63FF7E41"/>
    <w:multiLevelType w:val="hybridMultilevel"/>
    <w:tmpl w:val="DD162EC2"/>
    <w:lvl w:ilvl="0" w:tplc="C76E6A98">
      <w:numFmt w:val="bullet"/>
      <w:lvlText w:val="※"/>
      <w:lvlJc w:val="left"/>
      <w:pPr>
        <w:tabs>
          <w:tab w:val="num" w:pos="834"/>
        </w:tabs>
        <w:ind w:left="83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4"/>
        </w:tabs>
        <w:ind w:left="14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4"/>
        </w:tabs>
        <w:ind w:left="19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4"/>
        </w:tabs>
        <w:ind w:left="23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4"/>
        </w:tabs>
        <w:ind w:left="28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4"/>
        </w:tabs>
        <w:ind w:left="33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4"/>
        </w:tabs>
        <w:ind w:left="38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4"/>
        </w:tabs>
        <w:ind w:left="43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4"/>
        </w:tabs>
        <w:ind w:left="4794" w:hanging="480"/>
      </w:pPr>
      <w:rPr>
        <w:rFonts w:ascii="Wingdings" w:hAnsi="Wingdings" w:hint="default"/>
      </w:rPr>
    </w:lvl>
  </w:abstractNum>
  <w:abstractNum w:abstractNumId="39" w15:restartNumberingAfterBreak="0">
    <w:nsid w:val="668B3E9B"/>
    <w:multiLevelType w:val="hybridMultilevel"/>
    <w:tmpl w:val="2076B760"/>
    <w:lvl w:ilvl="0" w:tplc="1324971E">
      <w:start w:val="1"/>
      <w:numFmt w:val="taiwaneseCountingThousand"/>
      <w:suff w:val="nothing"/>
      <w:lvlText w:val="%1、"/>
      <w:lvlJc w:val="left"/>
      <w:pPr>
        <w:ind w:left="454" w:firstLine="1956"/>
      </w:pPr>
      <w:rPr>
        <w:rFonts w:ascii="標楷體" w:eastAsia="標楷體" w:hAnsi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9791F2F"/>
    <w:multiLevelType w:val="hybridMultilevel"/>
    <w:tmpl w:val="67B2B816"/>
    <w:lvl w:ilvl="0" w:tplc="1C44CA74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41" w15:restartNumberingAfterBreak="0">
    <w:nsid w:val="6AD24856"/>
    <w:multiLevelType w:val="hybridMultilevel"/>
    <w:tmpl w:val="6A444BF0"/>
    <w:lvl w:ilvl="0" w:tplc="0026F512">
      <w:start w:val="1"/>
      <w:numFmt w:val="taiwaneseCountingThousand"/>
      <w:lvlText w:val="%1、"/>
      <w:lvlJc w:val="left"/>
      <w:pPr>
        <w:ind w:left="62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1" w:hanging="480"/>
      </w:pPr>
    </w:lvl>
    <w:lvl w:ilvl="2" w:tplc="0409001B" w:tentative="1">
      <w:start w:val="1"/>
      <w:numFmt w:val="lowerRoman"/>
      <w:lvlText w:val="%3."/>
      <w:lvlJc w:val="right"/>
      <w:pPr>
        <w:ind w:left="1341" w:hanging="480"/>
      </w:pPr>
    </w:lvl>
    <w:lvl w:ilvl="3" w:tplc="0409000F" w:tentative="1">
      <w:start w:val="1"/>
      <w:numFmt w:val="decimal"/>
      <w:lvlText w:val="%4."/>
      <w:lvlJc w:val="left"/>
      <w:pPr>
        <w:ind w:left="18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1" w:hanging="480"/>
      </w:pPr>
    </w:lvl>
    <w:lvl w:ilvl="5" w:tplc="0409001B" w:tentative="1">
      <w:start w:val="1"/>
      <w:numFmt w:val="lowerRoman"/>
      <w:lvlText w:val="%6."/>
      <w:lvlJc w:val="right"/>
      <w:pPr>
        <w:ind w:left="2781" w:hanging="480"/>
      </w:pPr>
    </w:lvl>
    <w:lvl w:ilvl="6" w:tplc="0409000F" w:tentative="1">
      <w:start w:val="1"/>
      <w:numFmt w:val="decimal"/>
      <w:lvlText w:val="%7."/>
      <w:lvlJc w:val="left"/>
      <w:pPr>
        <w:ind w:left="32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1" w:hanging="480"/>
      </w:pPr>
    </w:lvl>
    <w:lvl w:ilvl="8" w:tplc="0409001B" w:tentative="1">
      <w:start w:val="1"/>
      <w:numFmt w:val="lowerRoman"/>
      <w:lvlText w:val="%9."/>
      <w:lvlJc w:val="right"/>
      <w:pPr>
        <w:ind w:left="4221" w:hanging="480"/>
      </w:pPr>
    </w:lvl>
  </w:abstractNum>
  <w:abstractNum w:abstractNumId="42" w15:restartNumberingAfterBreak="0">
    <w:nsid w:val="70D273E2"/>
    <w:multiLevelType w:val="hybridMultilevel"/>
    <w:tmpl w:val="BE7A02FE"/>
    <w:lvl w:ilvl="0" w:tplc="5792EBB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43" w15:restartNumberingAfterBreak="0">
    <w:nsid w:val="71953BE9"/>
    <w:multiLevelType w:val="hybridMultilevel"/>
    <w:tmpl w:val="FD90463C"/>
    <w:lvl w:ilvl="0" w:tplc="EB1EA518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44" w15:restartNumberingAfterBreak="0">
    <w:nsid w:val="7535447F"/>
    <w:multiLevelType w:val="hybridMultilevel"/>
    <w:tmpl w:val="BC324DF6"/>
    <w:lvl w:ilvl="0" w:tplc="56068460">
      <w:start w:val="96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45" w15:restartNumberingAfterBreak="0">
    <w:nsid w:val="75964129"/>
    <w:multiLevelType w:val="hybridMultilevel"/>
    <w:tmpl w:val="42E8184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9DE1216"/>
    <w:multiLevelType w:val="hybridMultilevel"/>
    <w:tmpl w:val="98CEB652"/>
    <w:lvl w:ilvl="0" w:tplc="C90079FE">
      <w:start w:val="3"/>
      <w:numFmt w:val="bullet"/>
      <w:lvlText w:val="※"/>
      <w:lvlJc w:val="left"/>
      <w:pPr>
        <w:tabs>
          <w:tab w:val="num" w:pos="834"/>
        </w:tabs>
        <w:ind w:left="83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4"/>
        </w:tabs>
        <w:ind w:left="14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4"/>
        </w:tabs>
        <w:ind w:left="19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4"/>
        </w:tabs>
        <w:ind w:left="23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4"/>
        </w:tabs>
        <w:ind w:left="28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4"/>
        </w:tabs>
        <w:ind w:left="33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4"/>
        </w:tabs>
        <w:ind w:left="38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4"/>
        </w:tabs>
        <w:ind w:left="43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4"/>
        </w:tabs>
        <w:ind w:left="4794" w:hanging="480"/>
      </w:pPr>
      <w:rPr>
        <w:rFonts w:ascii="Wingdings" w:hAnsi="Wingdings" w:hint="default"/>
      </w:rPr>
    </w:lvl>
  </w:abstractNum>
  <w:num w:numId="1">
    <w:abstractNumId w:val="11"/>
  </w:num>
  <w:num w:numId="2">
    <w:abstractNumId w:val="45"/>
  </w:num>
  <w:num w:numId="3">
    <w:abstractNumId w:val="41"/>
  </w:num>
  <w:num w:numId="4">
    <w:abstractNumId w:val="20"/>
  </w:num>
  <w:num w:numId="5">
    <w:abstractNumId w:val="16"/>
  </w:num>
  <w:num w:numId="6">
    <w:abstractNumId w:val="46"/>
  </w:num>
  <w:num w:numId="7">
    <w:abstractNumId w:val="0"/>
  </w:num>
  <w:num w:numId="8">
    <w:abstractNumId w:val="22"/>
  </w:num>
  <w:num w:numId="9">
    <w:abstractNumId w:val="7"/>
  </w:num>
  <w:num w:numId="10">
    <w:abstractNumId w:val="27"/>
  </w:num>
  <w:num w:numId="11">
    <w:abstractNumId w:val="38"/>
  </w:num>
  <w:num w:numId="12">
    <w:abstractNumId w:val="4"/>
  </w:num>
  <w:num w:numId="13">
    <w:abstractNumId w:val="14"/>
  </w:num>
  <w:num w:numId="14">
    <w:abstractNumId w:val="24"/>
  </w:num>
  <w:num w:numId="15">
    <w:abstractNumId w:val="40"/>
  </w:num>
  <w:num w:numId="16">
    <w:abstractNumId w:val="43"/>
  </w:num>
  <w:num w:numId="17">
    <w:abstractNumId w:val="18"/>
  </w:num>
  <w:num w:numId="18">
    <w:abstractNumId w:val="25"/>
  </w:num>
  <w:num w:numId="19">
    <w:abstractNumId w:val="8"/>
  </w:num>
  <w:num w:numId="20">
    <w:abstractNumId w:val="19"/>
  </w:num>
  <w:num w:numId="21">
    <w:abstractNumId w:val="15"/>
  </w:num>
  <w:num w:numId="22">
    <w:abstractNumId w:val="21"/>
  </w:num>
  <w:num w:numId="23">
    <w:abstractNumId w:val="30"/>
  </w:num>
  <w:num w:numId="24">
    <w:abstractNumId w:val="32"/>
  </w:num>
  <w:num w:numId="25">
    <w:abstractNumId w:val="42"/>
  </w:num>
  <w:num w:numId="26">
    <w:abstractNumId w:val="35"/>
  </w:num>
  <w:num w:numId="27">
    <w:abstractNumId w:val="36"/>
  </w:num>
  <w:num w:numId="28">
    <w:abstractNumId w:val="12"/>
  </w:num>
  <w:num w:numId="29">
    <w:abstractNumId w:val="5"/>
  </w:num>
  <w:num w:numId="30">
    <w:abstractNumId w:val="9"/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17"/>
  </w:num>
  <w:num w:numId="34">
    <w:abstractNumId w:val="28"/>
  </w:num>
  <w:num w:numId="35">
    <w:abstractNumId w:val="44"/>
  </w:num>
  <w:num w:numId="36">
    <w:abstractNumId w:val="26"/>
  </w:num>
  <w:num w:numId="37">
    <w:abstractNumId w:val="29"/>
  </w:num>
  <w:num w:numId="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60291"/>
    <w:rsid w:val="00000EA7"/>
    <w:rsid w:val="00001096"/>
    <w:rsid w:val="0000124C"/>
    <w:rsid w:val="00002443"/>
    <w:rsid w:val="000024BD"/>
    <w:rsid w:val="00003FAE"/>
    <w:rsid w:val="00004598"/>
    <w:rsid w:val="000057C2"/>
    <w:rsid w:val="00006228"/>
    <w:rsid w:val="0000643E"/>
    <w:rsid w:val="00006B43"/>
    <w:rsid w:val="00006E54"/>
    <w:rsid w:val="00007438"/>
    <w:rsid w:val="00007674"/>
    <w:rsid w:val="000078C1"/>
    <w:rsid w:val="000115E6"/>
    <w:rsid w:val="00011C6F"/>
    <w:rsid w:val="00012231"/>
    <w:rsid w:val="00012A5F"/>
    <w:rsid w:val="00013790"/>
    <w:rsid w:val="0001437F"/>
    <w:rsid w:val="00014E12"/>
    <w:rsid w:val="000153DA"/>
    <w:rsid w:val="000155F3"/>
    <w:rsid w:val="00015DB9"/>
    <w:rsid w:val="00017A9F"/>
    <w:rsid w:val="000202C5"/>
    <w:rsid w:val="0002042A"/>
    <w:rsid w:val="000215CD"/>
    <w:rsid w:val="00021733"/>
    <w:rsid w:val="000229AE"/>
    <w:rsid w:val="00022BC3"/>
    <w:rsid w:val="00023890"/>
    <w:rsid w:val="00024D95"/>
    <w:rsid w:val="00024EDB"/>
    <w:rsid w:val="000253F3"/>
    <w:rsid w:val="000257E2"/>
    <w:rsid w:val="00026816"/>
    <w:rsid w:val="00027996"/>
    <w:rsid w:val="00027F0B"/>
    <w:rsid w:val="00027F17"/>
    <w:rsid w:val="00030121"/>
    <w:rsid w:val="000312E7"/>
    <w:rsid w:val="000313C7"/>
    <w:rsid w:val="00031763"/>
    <w:rsid w:val="00031C8D"/>
    <w:rsid w:val="00032BAA"/>
    <w:rsid w:val="00034BEB"/>
    <w:rsid w:val="00034CD1"/>
    <w:rsid w:val="00035701"/>
    <w:rsid w:val="00036468"/>
    <w:rsid w:val="00036508"/>
    <w:rsid w:val="000369C3"/>
    <w:rsid w:val="00036C68"/>
    <w:rsid w:val="00040FBF"/>
    <w:rsid w:val="000413E1"/>
    <w:rsid w:val="00041C32"/>
    <w:rsid w:val="00041D45"/>
    <w:rsid w:val="00041E4B"/>
    <w:rsid w:val="000420DA"/>
    <w:rsid w:val="00042828"/>
    <w:rsid w:val="00043EDB"/>
    <w:rsid w:val="0004457D"/>
    <w:rsid w:val="000456C5"/>
    <w:rsid w:val="000459F0"/>
    <w:rsid w:val="00047460"/>
    <w:rsid w:val="0005003A"/>
    <w:rsid w:val="00050E3F"/>
    <w:rsid w:val="00051DF3"/>
    <w:rsid w:val="00052A9E"/>
    <w:rsid w:val="0005312B"/>
    <w:rsid w:val="0005315F"/>
    <w:rsid w:val="000536C1"/>
    <w:rsid w:val="00054ACD"/>
    <w:rsid w:val="00055177"/>
    <w:rsid w:val="00055A97"/>
    <w:rsid w:val="00056329"/>
    <w:rsid w:val="00056759"/>
    <w:rsid w:val="00056CDC"/>
    <w:rsid w:val="0005747F"/>
    <w:rsid w:val="00057549"/>
    <w:rsid w:val="00057A76"/>
    <w:rsid w:val="00057D1D"/>
    <w:rsid w:val="000613CA"/>
    <w:rsid w:val="00062116"/>
    <w:rsid w:val="0006226A"/>
    <w:rsid w:val="00065F4E"/>
    <w:rsid w:val="0006631C"/>
    <w:rsid w:val="000675CF"/>
    <w:rsid w:val="000679A2"/>
    <w:rsid w:val="000679D0"/>
    <w:rsid w:val="00070477"/>
    <w:rsid w:val="0007074E"/>
    <w:rsid w:val="00070ED9"/>
    <w:rsid w:val="000714D6"/>
    <w:rsid w:val="00073955"/>
    <w:rsid w:val="00073DFB"/>
    <w:rsid w:val="0007423E"/>
    <w:rsid w:val="0007466C"/>
    <w:rsid w:val="00074D04"/>
    <w:rsid w:val="00074D80"/>
    <w:rsid w:val="0007502D"/>
    <w:rsid w:val="00076BB5"/>
    <w:rsid w:val="000770E7"/>
    <w:rsid w:val="0007749D"/>
    <w:rsid w:val="00077568"/>
    <w:rsid w:val="00077EA7"/>
    <w:rsid w:val="00080A7A"/>
    <w:rsid w:val="000837B8"/>
    <w:rsid w:val="00083AD6"/>
    <w:rsid w:val="00084A22"/>
    <w:rsid w:val="00086A27"/>
    <w:rsid w:val="0008728F"/>
    <w:rsid w:val="00087927"/>
    <w:rsid w:val="0009029A"/>
    <w:rsid w:val="0009097B"/>
    <w:rsid w:val="00092327"/>
    <w:rsid w:val="00092346"/>
    <w:rsid w:val="00093384"/>
    <w:rsid w:val="0009351C"/>
    <w:rsid w:val="0009388C"/>
    <w:rsid w:val="000949F6"/>
    <w:rsid w:val="0009500F"/>
    <w:rsid w:val="0009622F"/>
    <w:rsid w:val="00096B39"/>
    <w:rsid w:val="00096B56"/>
    <w:rsid w:val="0009711F"/>
    <w:rsid w:val="00097B3A"/>
    <w:rsid w:val="000A1318"/>
    <w:rsid w:val="000A1A4F"/>
    <w:rsid w:val="000A1CF8"/>
    <w:rsid w:val="000A2537"/>
    <w:rsid w:val="000A2816"/>
    <w:rsid w:val="000A29C7"/>
    <w:rsid w:val="000A2CDA"/>
    <w:rsid w:val="000A2FB2"/>
    <w:rsid w:val="000A3320"/>
    <w:rsid w:val="000A3D7F"/>
    <w:rsid w:val="000A468D"/>
    <w:rsid w:val="000A4AD2"/>
    <w:rsid w:val="000A55A5"/>
    <w:rsid w:val="000A5C58"/>
    <w:rsid w:val="000A7C81"/>
    <w:rsid w:val="000A7DF3"/>
    <w:rsid w:val="000A7FA7"/>
    <w:rsid w:val="000B0699"/>
    <w:rsid w:val="000B0C92"/>
    <w:rsid w:val="000B0D75"/>
    <w:rsid w:val="000B18BC"/>
    <w:rsid w:val="000B199F"/>
    <w:rsid w:val="000B1ADF"/>
    <w:rsid w:val="000B1B49"/>
    <w:rsid w:val="000B462A"/>
    <w:rsid w:val="000B4875"/>
    <w:rsid w:val="000B6743"/>
    <w:rsid w:val="000C0C24"/>
    <w:rsid w:val="000C19B7"/>
    <w:rsid w:val="000C1B55"/>
    <w:rsid w:val="000C2081"/>
    <w:rsid w:val="000C28E3"/>
    <w:rsid w:val="000C2B27"/>
    <w:rsid w:val="000C2FDB"/>
    <w:rsid w:val="000C33E1"/>
    <w:rsid w:val="000C33ED"/>
    <w:rsid w:val="000C3477"/>
    <w:rsid w:val="000C5E30"/>
    <w:rsid w:val="000C6982"/>
    <w:rsid w:val="000C6BAE"/>
    <w:rsid w:val="000C6BF7"/>
    <w:rsid w:val="000C6C29"/>
    <w:rsid w:val="000D1901"/>
    <w:rsid w:val="000D30F4"/>
    <w:rsid w:val="000D318F"/>
    <w:rsid w:val="000D5376"/>
    <w:rsid w:val="000D553E"/>
    <w:rsid w:val="000D6480"/>
    <w:rsid w:val="000D6FD1"/>
    <w:rsid w:val="000D7650"/>
    <w:rsid w:val="000E081F"/>
    <w:rsid w:val="000E08E5"/>
    <w:rsid w:val="000E1586"/>
    <w:rsid w:val="000E1856"/>
    <w:rsid w:val="000E2C8B"/>
    <w:rsid w:val="000E2D5D"/>
    <w:rsid w:val="000E3E23"/>
    <w:rsid w:val="000E432E"/>
    <w:rsid w:val="000E4380"/>
    <w:rsid w:val="000E492A"/>
    <w:rsid w:val="000E4AFC"/>
    <w:rsid w:val="000E4E32"/>
    <w:rsid w:val="000E4E5F"/>
    <w:rsid w:val="000E5708"/>
    <w:rsid w:val="000E58AD"/>
    <w:rsid w:val="000E5B49"/>
    <w:rsid w:val="000E5E69"/>
    <w:rsid w:val="000E7C4F"/>
    <w:rsid w:val="000F0388"/>
    <w:rsid w:val="000F0538"/>
    <w:rsid w:val="000F0C67"/>
    <w:rsid w:val="000F0F28"/>
    <w:rsid w:val="000F176F"/>
    <w:rsid w:val="000F24E3"/>
    <w:rsid w:val="000F2F01"/>
    <w:rsid w:val="000F415F"/>
    <w:rsid w:val="000F480D"/>
    <w:rsid w:val="000F48F2"/>
    <w:rsid w:val="000F49BD"/>
    <w:rsid w:val="000F49ED"/>
    <w:rsid w:val="000F596F"/>
    <w:rsid w:val="000F5FFD"/>
    <w:rsid w:val="000F694E"/>
    <w:rsid w:val="000F69F1"/>
    <w:rsid w:val="000F6D8E"/>
    <w:rsid w:val="000F7FE5"/>
    <w:rsid w:val="00100297"/>
    <w:rsid w:val="00100B47"/>
    <w:rsid w:val="001015EF"/>
    <w:rsid w:val="00101948"/>
    <w:rsid w:val="00101C06"/>
    <w:rsid w:val="00101CBD"/>
    <w:rsid w:val="00101DC1"/>
    <w:rsid w:val="00103750"/>
    <w:rsid w:val="001038DD"/>
    <w:rsid w:val="00103AA8"/>
    <w:rsid w:val="001044C7"/>
    <w:rsid w:val="00105242"/>
    <w:rsid w:val="001054C1"/>
    <w:rsid w:val="00107CB8"/>
    <w:rsid w:val="00107CF4"/>
    <w:rsid w:val="00110351"/>
    <w:rsid w:val="00110F37"/>
    <w:rsid w:val="001110A5"/>
    <w:rsid w:val="001116F5"/>
    <w:rsid w:val="00112047"/>
    <w:rsid w:val="00112432"/>
    <w:rsid w:val="00112908"/>
    <w:rsid w:val="0011300E"/>
    <w:rsid w:val="00113B5D"/>
    <w:rsid w:val="001140AA"/>
    <w:rsid w:val="001151C2"/>
    <w:rsid w:val="001157D2"/>
    <w:rsid w:val="00115840"/>
    <w:rsid w:val="0011630E"/>
    <w:rsid w:val="00116B36"/>
    <w:rsid w:val="00117212"/>
    <w:rsid w:val="001176A6"/>
    <w:rsid w:val="00117C50"/>
    <w:rsid w:val="00117FEA"/>
    <w:rsid w:val="001216D9"/>
    <w:rsid w:val="001223A7"/>
    <w:rsid w:val="00124715"/>
    <w:rsid w:val="0012552B"/>
    <w:rsid w:val="00125787"/>
    <w:rsid w:val="0012601B"/>
    <w:rsid w:val="001264FC"/>
    <w:rsid w:val="001273E2"/>
    <w:rsid w:val="0013049A"/>
    <w:rsid w:val="00130876"/>
    <w:rsid w:val="00130FB3"/>
    <w:rsid w:val="00131699"/>
    <w:rsid w:val="00131C7C"/>
    <w:rsid w:val="00132282"/>
    <w:rsid w:val="001323F2"/>
    <w:rsid w:val="00132472"/>
    <w:rsid w:val="001324D4"/>
    <w:rsid w:val="0013301F"/>
    <w:rsid w:val="00133781"/>
    <w:rsid w:val="00133C4E"/>
    <w:rsid w:val="00133C69"/>
    <w:rsid w:val="00133CAE"/>
    <w:rsid w:val="00134D6E"/>
    <w:rsid w:val="00134E48"/>
    <w:rsid w:val="001356AF"/>
    <w:rsid w:val="0013587D"/>
    <w:rsid w:val="00135D4B"/>
    <w:rsid w:val="00136047"/>
    <w:rsid w:val="00136F73"/>
    <w:rsid w:val="001371CA"/>
    <w:rsid w:val="00137327"/>
    <w:rsid w:val="001400BF"/>
    <w:rsid w:val="001408DC"/>
    <w:rsid w:val="00140C58"/>
    <w:rsid w:val="00141543"/>
    <w:rsid w:val="00143F11"/>
    <w:rsid w:val="00145643"/>
    <w:rsid w:val="00147804"/>
    <w:rsid w:val="00147F71"/>
    <w:rsid w:val="00152118"/>
    <w:rsid w:val="00152302"/>
    <w:rsid w:val="00153742"/>
    <w:rsid w:val="00154E04"/>
    <w:rsid w:val="0015505B"/>
    <w:rsid w:val="001556A6"/>
    <w:rsid w:val="00160928"/>
    <w:rsid w:val="00161121"/>
    <w:rsid w:val="001614E5"/>
    <w:rsid w:val="001615AB"/>
    <w:rsid w:val="0016196F"/>
    <w:rsid w:val="00161A59"/>
    <w:rsid w:val="001624FC"/>
    <w:rsid w:val="0016357E"/>
    <w:rsid w:val="0016503C"/>
    <w:rsid w:val="00165FFF"/>
    <w:rsid w:val="0016637E"/>
    <w:rsid w:val="00167109"/>
    <w:rsid w:val="00167B65"/>
    <w:rsid w:val="001703E5"/>
    <w:rsid w:val="00170538"/>
    <w:rsid w:val="001724B0"/>
    <w:rsid w:val="0017266E"/>
    <w:rsid w:val="0017459B"/>
    <w:rsid w:val="0017559F"/>
    <w:rsid w:val="001758E4"/>
    <w:rsid w:val="00175908"/>
    <w:rsid w:val="00175A01"/>
    <w:rsid w:val="00175A2B"/>
    <w:rsid w:val="0017632C"/>
    <w:rsid w:val="0017683C"/>
    <w:rsid w:val="00176D7E"/>
    <w:rsid w:val="00181816"/>
    <w:rsid w:val="001818F7"/>
    <w:rsid w:val="00182A58"/>
    <w:rsid w:val="00183559"/>
    <w:rsid w:val="001841EF"/>
    <w:rsid w:val="0018507D"/>
    <w:rsid w:val="001859B0"/>
    <w:rsid w:val="00185BCD"/>
    <w:rsid w:val="00187101"/>
    <w:rsid w:val="00187542"/>
    <w:rsid w:val="001902D0"/>
    <w:rsid w:val="001903AF"/>
    <w:rsid w:val="001906AD"/>
    <w:rsid w:val="00190BAF"/>
    <w:rsid w:val="00190CC5"/>
    <w:rsid w:val="00190DF5"/>
    <w:rsid w:val="00190FAC"/>
    <w:rsid w:val="0019118A"/>
    <w:rsid w:val="0019122C"/>
    <w:rsid w:val="00191D77"/>
    <w:rsid w:val="00191FDB"/>
    <w:rsid w:val="00192689"/>
    <w:rsid w:val="00192F65"/>
    <w:rsid w:val="00193093"/>
    <w:rsid w:val="00193F24"/>
    <w:rsid w:val="00193FD7"/>
    <w:rsid w:val="00194018"/>
    <w:rsid w:val="00194ABF"/>
    <w:rsid w:val="0019798C"/>
    <w:rsid w:val="00197D29"/>
    <w:rsid w:val="001A018C"/>
    <w:rsid w:val="001A1B61"/>
    <w:rsid w:val="001A2153"/>
    <w:rsid w:val="001A21D5"/>
    <w:rsid w:val="001A22EE"/>
    <w:rsid w:val="001A2AFB"/>
    <w:rsid w:val="001A2CF6"/>
    <w:rsid w:val="001A320C"/>
    <w:rsid w:val="001A4AC0"/>
    <w:rsid w:val="001A4B34"/>
    <w:rsid w:val="001A548D"/>
    <w:rsid w:val="001A550F"/>
    <w:rsid w:val="001A5A37"/>
    <w:rsid w:val="001A5ADC"/>
    <w:rsid w:val="001A63E7"/>
    <w:rsid w:val="001A6A7A"/>
    <w:rsid w:val="001A6B23"/>
    <w:rsid w:val="001B2BA5"/>
    <w:rsid w:val="001B2CD4"/>
    <w:rsid w:val="001B569E"/>
    <w:rsid w:val="001B681B"/>
    <w:rsid w:val="001B70BF"/>
    <w:rsid w:val="001B7333"/>
    <w:rsid w:val="001B7AD1"/>
    <w:rsid w:val="001B7D68"/>
    <w:rsid w:val="001C0536"/>
    <w:rsid w:val="001C121C"/>
    <w:rsid w:val="001C1A65"/>
    <w:rsid w:val="001C1B07"/>
    <w:rsid w:val="001C2288"/>
    <w:rsid w:val="001C28DF"/>
    <w:rsid w:val="001C28FA"/>
    <w:rsid w:val="001C2C69"/>
    <w:rsid w:val="001C472F"/>
    <w:rsid w:val="001C4937"/>
    <w:rsid w:val="001C5403"/>
    <w:rsid w:val="001C56A0"/>
    <w:rsid w:val="001C59CA"/>
    <w:rsid w:val="001C5B18"/>
    <w:rsid w:val="001C5D4A"/>
    <w:rsid w:val="001C61BD"/>
    <w:rsid w:val="001C63E9"/>
    <w:rsid w:val="001C64E7"/>
    <w:rsid w:val="001C6CBE"/>
    <w:rsid w:val="001C6E62"/>
    <w:rsid w:val="001C7776"/>
    <w:rsid w:val="001D022B"/>
    <w:rsid w:val="001D1E5E"/>
    <w:rsid w:val="001D45D5"/>
    <w:rsid w:val="001D4784"/>
    <w:rsid w:val="001D4E08"/>
    <w:rsid w:val="001D5104"/>
    <w:rsid w:val="001D5A6D"/>
    <w:rsid w:val="001D6699"/>
    <w:rsid w:val="001D6CFE"/>
    <w:rsid w:val="001D7A2D"/>
    <w:rsid w:val="001E2C5F"/>
    <w:rsid w:val="001E330F"/>
    <w:rsid w:val="001E5F7F"/>
    <w:rsid w:val="001E6688"/>
    <w:rsid w:val="001E6D11"/>
    <w:rsid w:val="001F015E"/>
    <w:rsid w:val="001F0DFF"/>
    <w:rsid w:val="001F126B"/>
    <w:rsid w:val="001F137A"/>
    <w:rsid w:val="001F2AA0"/>
    <w:rsid w:val="001F2D17"/>
    <w:rsid w:val="001F3253"/>
    <w:rsid w:val="001F363D"/>
    <w:rsid w:val="001F3E94"/>
    <w:rsid w:val="001F451C"/>
    <w:rsid w:val="001F4A3B"/>
    <w:rsid w:val="001F4B15"/>
    <w:rsid w:val="001F4E13"/>
    <w:rsid w:val="001F5158"/>
    <w:rsid w:val="001F6B2C"/>
    <w:rsid w:val="001F764E"/>
    <w:rsid w:val="00201642"/>
    <w:rsid w:val="0020197F"/>
    <w:rsid w:val="00201AAF"/>
    <w:rsid w:val="002025BD"/>
    <w:rsid w:val="0020305E"/>
    <w:rsid w:val="00203165"/>
    <w:rsid w:val="00203414"/>
    <w:rsid w:val="002046FE"/>
    <w:rsid w:val="002054AA"/>
    <w:rsid w:val="00205BEE"/>
    <w:rsid w:val="00206D56"/>
    <w:rsid w:val="002103FB"/>
    <w:rsid w:val="00210526"/>
    <w:rsid w:val="00210D5D"/>
    <w:rsid w:val="00210E49"/>
    <w:rsid w:val="002112D0"/>
    <w:rsid w:val="00211D92"/>
    <w:rsid w:val="002123F9"/>
    <w:rsid w:val="00214906"/>
    <w:rsid w:val="00215ED1"/>
    <w:rsid w:val="00215F26"/>
    <w:rsid w:val="0021702F"/>
    <w:rsid w:val="0021794F"/>
    <w:rsid w:val="002207D6"/>
    <w:rsid w:val="002210CD"/>
    <w:rsid w:val="00221604"/>
    <w:rsid w:val="00221B43"/>
    <w:rsid w:val="002224AE"/>
    <w:rsid w:val="00223291"/>
    <w:rsid w:val="002233BA"/>
    <w:rsid w:val="0022501D"/>
    <w:rsid w:val="002257CA"/>
    <w:rsid w:val="00230E11"/>
    <w:rsid w:val="002314AF"/>
    <w:rsid w:val="00231AE1"/>
    <w:rsid w:val="002329BE"/>
    <w:rsid w:val="00232B00"/>
    <w:rsid w:val="00232D38"/>
    <w:rsid w:val="0023350A"/>
    <w:rsid w:val="00235362"/>
    <w:rsid w:val="00236288"/>
    <w:rsid w:val="00237754"/>
    <w:rsid w:val="002378AC"/>
    <w:rsid w:val="002400FF"/>
    <w:rsid w:val="00241226"/>
    <w:rsid w:val="00241DBD"/>
    <w:rsid w:val="00241F9D"/>
    <w:rsid w:val="0024200A"/>
    <w:rsid w:val="00242256"/>
    <w:rsid w:val="00242FA4"/>
    <w:rsid w:val="0024326B"/>
    <w:rsid w:val="002433D5"/>
    <w:rsid w:val="00243B31"/>
    <w:rsid w:val="002441EC"/>
    <w:rsid w:val="0024471E"/>
    <w:rsid w:val="00244A8D"/>
    <w:rsid w:val="0024508A"/>
    <w:rsid w:val="00245B07"/>
    <w:rsid w:val="00245D8A"/>
    <w:rsid w:val="00246398"/>
    <w:rsid w:val="002472D7"/>
    <w:rsid w:val="0024737B"/>
    <w:rsid w:val="002504ED"/>
    <w:rsid w:val="002507EF"/>
    <w:rsid w:val="00250CBB"/>
    <w:rsid w:val="00251BF6"/>
    <w:rsid w:val="00252AE8"/>
    <w:rsid w:val="0025341F"/>
    <w:rsid w:val="002550A3"/>
    <w:rsid w:val="00255587"/>
    <w:rsid w:val="00255B34"/>
    <w:rsid w:val="00256778"/>
    <w:rsid w:val="00257C15"/>
    <w:rsid w:val="00261284"/>
    <w:rsid w:val="00262078"/>
    <w:rsid w:val="00263DC1"/>
    <w:rsid w:val="002641AF"/>
    <w:rsid w:val="002641CF"/>
    <w:rsid w:val="002653F6"/>
    <w:rsid w:val="00265C6C"/>
    <w:rsid w:val="00266860"/>
    <w:rsid w:val="002670FE"/>
    <w:rsid w:val="00267520"/>
    <w:rsid w:val="0026793E"/>
    <w:rsid w:val="00270783"/>
    <w:rsid w:val="0027178F"/>
    <w:rsid w:val="0027261C"/>
    <w:rsid w:val="00273817"/>
    <w:rsid w:val="00273A8A"/>
    <w:rsid w:val="00273E69"/>
    <w:rsid w:val="0027474B"/>
    <w:rsid w:val="002756C1"/>
    <w:rsid w:val="00275DC7"/>
    <w:rsid w:val="0027673E"/>
    <w:rsid w:val="0028025A"/>
    <w:rsid w:val="0028041D"/>
    <w:rsid w:val="0028175C"/>
    <w:rsid w:val="002818CA"/>
    <w:rsid w:val="00282F31"/>
    <w:rsid w:val="00283298"/>
    <w:rsid w:val="00283379"/>
    <w:rsid w:val="002835CC"/>
    <w:rsid w:val="00283FD9"/>
    <w:rsid w:val="002849F2"/>
    <w:rsid w:val="00284D9F"/>
    <w:rsid w:val="00285019"/>
    <w:rsid w:val="00285360"/>
    <w:rsid w:val="00285A20"/>
    <w:rsid w:val="0028666C"/>
    <w:rsid w:val="002871BC"/>
    <w:rsid w:val="0028753E"/>
    <w:rsid w:val="002878F1"/>
    <w:rsid w:val="00287E39"/>
    <w:rsid w:val="00290838"/>
    <w:rsid w:val="00292016"/>
    <w:rsid w:val="00292A93"/>
    <w:rsid w:val="00293B6C"/>
    <w:rsid w:val="00293BE7"/>
    <w:rsid w:val="0029431B"/>
    <w:rsid w:val="002968F5"/>
    <w:rsid w:val="00296D4A"/>
    <w:rsid w:val="002978D4"/>
    <w:rsid w:val="0029797A"/>
    <w:rsid w:val="002A00B1"/>
    <w:rsid w:val="002A054B"/>
    <w:rsid w:val="002A0E80"/>
    <w:rsid w:val="002A2B21"/>
    <w:rsid w:val="002A3674"/>
    <w:rsid w:val="002A3B0F"/>
    <w:rsid w:val="002A41D2"/>
    <w:rsid w:val="002A4A1E"/>
    <w:rsid w:val="002A5092"/>
    <w:rsid w:val="002A568F"/>
    <w:rsid w:val="002A5ADA"/>
    <w:rsid w:val="002A5CD4"/>
    <w:rsid w:val="002A5FA1"/>
    <w:rsid w:val="002A749E"/>
    <w:rsid w:val="002A7593"/>
    <w:rsid w:val="002A7AC5"/>
    <w:rsid w:val="002B0838"/>
    <w:rsid w:val="002B1E5F"/>
    <w:rsid w:val="002B1F0A"/>
    <w:rsid w:val="002B2288"/>
    <w:rsid w:val="002B2437"/>
    <w:rsid w:val="002B2EEA"/>
    <w:rsid w:val="002B33A6"/>
    <w:rsid w:val="002B3527"/>
    <w:rsid w:val="002B4BCA"/>
    <w:rsid w:val="002B515F"/>
    <w:rsid w:val="002B5EB2"/>
    <w:rsid w:val="002B64C3"/>
    <w:rsid w:val="002B6742"/>
    <w:rsid w:val="002B6A6B"/>
    <w:rsid w:val="002B6BF6"/>
    <w:rsid w:val="002B7D0C"/>
    <w:rsid w:val="002C0772"/>
    <w:rsid w:val="002C163B"/>
    <w:rsid w:val="002C184B"/>
    <w:rsid w:val="002C1C46"/>
    <w:rsid w:val="002C1CE2"/>
    <w:rsid w:val="002C1EC6"/>
    <w:rsid w:val="002C2C65"/>
    <w:rsid w:val="002C301C"/>
    <w:rsid w:val="002C34B3"/>
    <w:rsid w:val="002C3909"/>
    <w:rsid w:val="002C39AC"/>
    <w:rsid w:val="002C3FAB"/>
    <w:rsid w:val="002C4207"/>
    <w:rsid w:val="002C49E6"/>
    <w:rsid w:val="002C4A74"/>
    <w:rsid w:val="002C4D73"/>
    <w:rsid w:val="002C53AA"/>
    <w:rsid w:val="002C595F"/>
    <w:rsid w:val="002C5C5D"/>
    <w:rsid w:val="002C6161"/>
    <w:rsid w:val="002C684A"/>
    <w:rsid w:val="002C6D2E"/>
    <w:rsid w:val="002C76E8"/>
    <w:rsid w:val="002D105D"/>
    <w:rsid w:val="002D167D"/>
    <w:rsid w:val="002D18FD"/>
    <w:rsid w:val="002D19D4"/>
    <w:rsid w:val="002D1BAF"/>
    <w:rsid w:val="002D227E"/>
    <w:rsid w:val="002D28FD"/>
    <w:rsid w:val="002D2EF6"/>
    <w:rsid w:val="002D4FF1"/>
    <w:rsid w:val="002D5087"/>
    <w:rsid w:val="002D5EB2"/>
    <w:rsid w:val="002D6C1E"/>
    <w:rsid w:val="002D6C79"/>
    <w:rsid w:val="002D771B"/>
    <w:rsid w:val="002E011A"/>
    <w:rsid w:val="002E02D4"/>
    <w:rsid w:val="002E0326"/>
    <w:rsid w:val="002E0ECD"/>
    <w:rsid w:val="002E19DA"/>
    <w:rsid w:val="002E1EF2"/>
    <w:rsid w:val="002E2F92"/>
    <w:rsid w:val="002E360C"/>
    <w:rsid w:val="002E3DEC"/>
    <w:rsid w:val="002E47B9"/>
    <w:rsid w:val="002E4C5E"/>
    <w:rsid w:val="002E51FB"/>
    <w:rsid w:val="002E5D84"/>
    <w:rsid w:val="002E609F"/>
    <w:rsid w:val="002E6347"/>
    <w:rsid w:val="002E6A68"/>
    <w:rsid w:val="002E6BE5"/>
    <w:rsid w:val="002E730D"/>
    <w:rsid w:val="002F0E0E"/>
    <w:rsid w:val="002F169B"/>
    <w:rsid w:val="002F1ABB"/>
    <w:rsid w:val="002F1F76"/>
    <w:rsid w:val="002F22D9"/>
    <w:rsid w:val="002F376F"/>
    <w:rsid w:val="002F3FA6"/>
    <w:rsid w:val="002F446F"/>
    <w:rsid w:val="002F578E"/>
    <w:rsid w:val="002F6E01"/>
    <w:rsid w:val="002F7C68"/>
    <w:rsid w:val="002F7D0D"/>
    <w:rsid w:val="00300245"/>
    <w:rsid w:val="00300ACD"/>
    <w:rsid w:val="0030106F"/>
    <w:rsid w:val="00301EF2"/>
    <w:rsid w:val="00302145"/>
    <w:rsid w:val="00302292"/>
    <w:rsid w:val="00302736"/>
    <w:rsid w:val="003030F1"/>
    <w:rsid w:val="00303C47"/>
    <w:rsid w:val="00303F71"/>
    <w:rsid w:val="00304583"/>
    <w:rsid w:val="00304A1C"/>
    <w:rsid w:val="00305242"/>
    <w:rsid w:val="00305E1A"/>
    <w:rsid w:val="00306631"/>
    <w:rsid w:val="003079BF"/>
    <w:rsid w:val="003118CA"/>
    <w:rsid w:val="00312224"/>
    <w:rsid w:val="00312B72"/>
    <w:rsid w:val="00313FF2"/>
    <w:rsid w:val="00315CE2"/>
    <w:rsid w:val="003160E3"/>
    <w:rsid w:val="003178D4"/>
    <w:rsid w:val="00320B00"/>
    <w:rsid w:val="003222B3"/>
    <w:rsid w:val="00322A13"/>
    <w:rsid w:val="00322D8D"/>
    <w:rsid w:val="00322FB0"/>
    <w:rsid w:val="00323279"/>
    <w:rsid w:val="00323A53"/>
    <w:rsid w:val="003250B9"/>
    <w:rsid w:val="0032512F"/>
    <w:rsid w:val="0032586D"/>
    <w:rsid w:val="00326172"/>
    <w:rsid w:val="00326438"/>
    <w:rsid w:val="00327F14"/>
    <w:rsid w:val="0033010C"/>
    <w:rsid w:val="00330441"/>
    <w:rsid w:val="00331F16"/>
    <w:rsid w:val="0033276E"/>
    <w:rsid w:val="003349AA"/>
    <w:rsid w:val="00335A68"/>
    <w:rsid w:val="00336693"/>
    <w:rsid w:val="00336BB3"/>
    <w:rsid w:val="00336CA8"/>
    <w:rsid w:val="003373E3"/>
    <w:rsid w:val="00337BF3"/>
    <w:rsid w:val="00337C3D"/>
    <w:rsid w:val="00337FF0"/>
    <w:rsid w:val="0034048B"/>
    <w:rsid w:val="00340E51"/>
    <w:rsid w:val="00341889"/>
    <w:rsid w:val="00341D94"/>
    <w:rsid w:val="0034404B"/>
    <w:rsid w:val="00344137"/>
    <w:rsid w:val="00344C11"/>
    <w:rsid w:val="00345E11"/>
    <w:rsid w:val="00345ED9"/>
    <w:rsid w:val="003464B1"/>
    <w:rsid w:val="00347BAB"/>
    <w:rsid w:val="003509C7"/>
    <w:rsid w:val="00351F57"/>
    <w:rsid w:val="00352E31"/>
    <w:rsid w:val="00352F4F"/>
    <w:rsid w:val="00353366"/>
    <w:rsid w:val="0035475C"/>
    <w:rsid w:val="003549B3"/>
    <w:rsid w:val="00354F5B"/>
    <w:rsid w:val="00354F68"/>
    <w:rsid w:val="00355218"/>
    <w:rsid w:val="00355837"/>
    <w:rsid w:val="00356AF9"/>
    <w:rsid w:val="0035748B"/>
    <w:rsid w:val="00360272"/>
    <w:rsid w:val="003604D3"/>
    <w:rsid w:val="0036053D"/>
    <w:rsid w:val="0036079F"/>
    <w:rsid w:val="00360B9F"/>
    <w:rsid w:val="0036105D"/>
    <w:rsid w:val="00361FEF"/>
    <w:rsid w:val="003621EF"/>
    <w:rsid w:val="00364D1C"/>
    <w:rsid w:val="00365142"/>
    <w:rsid w:val="003658DD"/>
    <w:rsid w:val="00365DE9"/>
    <w:rsid w:val="00366CFA"/>
    <w:rsid w:val="0037077F"/>
    <w:rsid w:val="003708B0"/>
    <w:rsid w:val="003722EF"/>
    <w:rsid w:val="00372F46"/>
    <w:rsid w:val="00373249"/>
    <w:rsid w:val="00373F3E"/>
    <w:rsid w:val="0037666A"/>
    <w:rsid w:val="0037735A"/>
    <w:rsid w:val="003805A5"/>
    <w:rsid w:val="00381093"/>
    <w:rsid w:val="00381AC0"/>
    <w:rsid w:val="00382133"/>
    <w:rsid w:val="00383245"/>
    <w:rsid w:val="00383A54"/>
    <w:rsid w:val="00383B75"/>
    <w:rsid w:val="00383B78"/>
    <w:rsid w:val="0038530C"/>
    <w:rsid w:val="00385FE1"/>
    <w:rsid w:val="00387099"/>
    <w:rsid w:val="00387C05"/>
    <w:rsid w:val="003914BF"/>
    <w:rsid w:val="00392A8F"/>
    <w:rsid w:val="00392CD5"/>
    <w:rsid w:val="0039305C"/>
    <w:rsid w:val="003946F4"/>
    <w:rsid w:val="003962A8"/>
    <w:rsid w:val="003A0C65"/>
    <w:rsid w:val="003A1FB8"/>
    <w:rsid w:val="003A2D6C"/>
    <w:rsid w:val="003A478E"/>
    <w:rsid w:val="003A4B04"/>
    <w:rsid w:val="003A4CED"/>
    <w:rsid w:val="003A6AA2"/>
    <w:rsid w:val="003A735F"/>
    <w:rsid w:val="003A7CC0"/>
    <w:rsid w:val="003B112D"/>
    <w:rsid w:val="003B1C89"/>
    <w:rsid w:val="003B1F93"/>
    <w:rsid w:val="003B3B7D"/>
    <w:rsid w:val="003B3B94"/>
    <w:rsid w:val="003B3E01"/>
    <w:rsid w:val="003B47C1"/>
    <w:rsid w:val="003B4F3C"/>
    <w:rsid w:val="003B505A"/>
    <w:rsid w:val="003B5209"/>
    <w:rsid w:val="003B548B"/>
    <w:rsid w:val="003B66E0"/>
    <w:rsid w:val="003C0111"/>
    <w:rsid w:val="003C0883"/>
    <w:rsid w:val="003C1BF0"/>
    <w:rsid w:val="003C1C60"/>
    <w:rsid w:val="003C2B77"/>
    <w:rsid w:val="003C3B6D"/>
    <w:rsid w:val="003C3C27"/>
    <w:rsid w:val="003C464D"/>
    <w:rsid w:val="003C4AFF"/>
    <w:rsid w:val="003C4BDA"/>
    <w:rsid w:val="003C533E"/>
    <w:rsid w:val="003C6537"/>
    <w:rsid w:val="003C79CD"/>
    <w:rsid w:val="003C7E72"/>
    <w:rsid w:val="003D0E40"/>
    <w:rsid w:val="003D1C0F"/>
    <w:rsid w:val="003D3676"/>
    <w:rsid w:val="003D44C7"/>
    <w:rsid w:val="003D4660"/>
    <w:rsid w:val="003D640A"/>
    <w:rsid w:val="003D69CE"/>
    <w:rsid w:val="003D722E"/>
    <w:rsid w:val="003D78DC"/>
    <w:rsid w:val="003D7B5C"/>
    <w:rsid w:val="003D7C5E"/>
    <w:rsid w:val="003E0795"/>
    <w:rsid w:val="003E0EC9"/>
    <w:rsid w:val="003E1141"/>
    <w:rsid w:val="003E1BE8"/>
    <w:rsid w:val="003E21A5"/>
    <w:rsid w:val="003E37FA"/>
    <w:rsid w:val="003E40F5"/>
    <w:rsid w:val="003E4FD9"/>
    <w:rsid w:val="003E530C"/>
    <w:rsid w:val="003E53E1"/>
    <w:rsid w:val="003E56FF"/>
    <w:rsid w:val="003E5C3E"/>
    <w:rsid w:val="003F06ED"/>
    <w:rsid w:val="003F0B01"/>
    <w:rsid w:val="003F0E96"/>
    <w:rsid w:val="003F1BEA"/>
    <w:rsid w:val="003F28F6"/>
    <w:rsid w:val="003F291E"/>
    <w:rsid w:val="003F41B8"/>
    <w:rsid w:val="003F4304"/>
    <w:rsid w:val="003F45B4"/>
    <w:rsid w:val="003F46C9"/>
    <w:rsid w:val="003F4913"/>
    <w:rsid w:val="003F5226"/>
    <w:rsid w:val="003F5856"/>
    <w:rsid w:val="003F58EF"/>
    <w:rsid w:val="003F59B0"/>
    <w:rsid w:val="003F59EE"/>
    <w:rsid w:val="003F5DDF"/>
    <w:rsid w:val="003F5EE4"/>
    <w:rsid w:val="003F64A7"/>
    <w:rsid w:val="004006AC"/>
    <w:rsid w:val="00401573"/>
    <w:rsid w:val="00401C96"/>
    <w:rsid w:val="00401E3B"/>
    <w:rsid w:val="00401F23"/>
    <w:rsid w:val="004022F0"/>
    <w:rsid w:val="00402A7C"/>
    <w:rsid w:val="00406776"/>
    <w:rsid w:val="0040775D"/>
    <w:rsid w:val="00407919"/>
    <w:rsid w:val="00407C39"/>
    <w:rsid w:val="0041042C"/>
    <w:rsid w:val="004109B6"/>
    <w:rsid w:val="00410A0F"/>
    <w:rsid w:val="00411632"/>
    <w:rsid w:val="0041184C"/>
    <w:rsid w:val="0041287F"/>
    <w:rsid w:val="00413593"/>
    <w:rsid w:val="0041375E"/>
    <w:rsid w:val="00414496"/>
    <w:rsid w:val="00415B0C"/>
    <w:rsid w:val="00416369"/>
    <w:rsid w:val="0041690A"/>
    <w:rsid w:val="00420554"/>
    <w:rsid w:val="00420D6D"/>
    <w:rsid w:val="00425216"/>
    <w:rsid w:val="0042537C"/>
    <w:rsid w:val="0042585F"/>
    <w:rsid w:val="00426993"/>
    <w:rsid w:val="00426B38"/>
    <w:rsid w:val="00426F5D"/>
    <w:rsid w:val="00432867"/>
    <w:rsid w:val="004329DB"/>
    <w:rsid w:val="0043492F"/>
    <w:rsid w:val="00435502"/>
    <w:rsid w:val="00435CAE"/>
    <w:rsid w:val="00436379"/>
    <w:rsid w:val="0043663D"/>
    <w:rsid w:val="004367F3"/>
    <w:rsid w:val="00437546"/>
    <w:rsid w:val="00437D2A"/>
    <w:rsid w:val="00437EF1"/>
    <w:rsid w:val="0044032A"/>
    <w:rsid w:val="00440930"/>
    <w:rsid w:val="00442401"/>
    <w:rsid w:val="004425AA"/>
    <w:rsid w:val="00442F9C"/>
    <w:rsid w:val="00442FE1"/>
    <w:rsid w:val="004432B5"/>
    <w:rsid w:val="0044395E"/>
    <w:rsid w:val="00443BE7"/>
    <w:rsid w:val="00444102"/>
    <w:rsid w:val="00445855"/>
    <w:rsid w:val="00446ED3"/>
    <w:rsid w:val="00447126"/>
    <w:rsid w:val="004475CC"/>
    <w:rsid w:val="00450A65"/>
    <w:rsid w:val="00450C8C"/>
    <w:rsid w:val="00450DAB"/>
    <w:rsid w:val="004512AF"/>
    <w:rsid w:val="00451FF7"/>
    <w:rsid w:val="0045334E"/>
    <w:rsid w:val="00455EAD"/>
    <w:rsid w:val="004565FA"/>
    <w:rsid w:val="00456C92"/>
    <w:rsid w:val="00457211"/>
    <w:rsid w:val="00460569"/>
    <w:rsid w:val="00460B20"/>
    <w:rsid w:val="00461956"/>
    <w:rsid w:val="00462357"/>
    <w:rsid w:val="004631F2"/>
    <w:rsid w:val="004636FF"/>
    <w:rsid w:val="004641B4"/>
    <w:rsid w:val="00465159"/>
    <w:rsid w:val="0046629A"/>
    <w:rsid w:val="004664DC"/>
    <w:rsid w:val="00466613"/>
    <w:rsid w:val="004724C9"/>
    <w:rsid w:val="00473B22"/>
    <w:rsid w:val="004740A1"/>
    <w:rsid w:val="00475D51"/>
    <w:rsid w:val="00475F3D"/>
    <w:rsid w:val="004774B5"/>
    <w:rsid w:val="004775FC"/>
    <w:rsid w:val="004776E2"/>
    <w:rsid w:val="00477B08"/>
    <w:rsid w:val="00481469"/>
    <w:rsid w:val="004836D5"/>
    <w:rsid w:val="00484332"/>
    <w:rsid w:val="00484A28"/>
    <w:rsid w:val="00484EDD"/>
    <w:rsid w:val="0048543C"/>
    <w:rsid w:val="00485512"/>
    <w:rsid w:val="0048584F"/>
    <w:rsid w:val="0048608B"/>
    <w:rsid w:val="00486421"/>
    <w:rsid w:val="00487C22"/>
    <w:rsid w:val="00490196"/>
    <w:rsid w:val="0049046C"/>
    <w:rsid w:val="0049074D"/>
    <w:rsid w:val="00490F47"/>
    <w:rsid w:val="0049157B"/>
    <w:rsid w:val="004929B9"/>
    <w:rsid w:val="00492C24"/>
    <w:rsid w:val="00493C76"/>
    <w:rsid w:val="00495227"/>
    <w:rsid w:val="00495B09"/>
    <w:rsid w:val="0049606B"/>
    <w:rsid w:val="004962C5"/>
    <w:rsid w:val="0049683A"/>
    <w:rsid w:val="004973DB"/>
    <w:rsid w:val="004973F9"/>
    <w:rsid w:val="0049755A"/>
    <w:rsid w:val="004A050B"/>
    <w:rsid w:val="004A0A90"/>
    <w:rsid w:val="004A0CDC"/>
    <w:rsid w:val="004A0F63"/>
    <w:rsid w:val="004A192B"/>
    <w:rsid w:val="004A1B10"/>
    <w:rsid w:val="004A1E76"/>
    <w:rsid w:val="004A2002"/>
    <w:rsid w:val="004A366F"/>
    <w:rsid w:val="004A61D3"/>
    <w:rsid w:val="004A61EC"/>
    <w:rsid w:val="004A65B4"/>
    <w:rsid w:val="004A6F24"/>
    <w:rsid w:val="004B0827"/>
    <w:rsid w:val="004B1845"/>
    <w:rsid w:val="004B257F"/>
    <w:rsid w:val="004B2A05"/>
    <w:rsid w:val="004B3195"/>
    <w:rsid w:val="004B3485"/>
    <w:rsid w:val="004B3735"/>
    <w:rsid w:val="004B3A3D"/>
    <w:rsid w:val="004B46AE"/>
    <w:rsid w:val="004B4F15"/>
    <w:rsid w:val="004B5282"/>
    <w:rsid w:val="004B5344"/>
    <w:rsid w:val="004B5959"/>
    <w:rsid w:val="004B6C99"/>
    <w:rsid w:val="004B75D2"/>
    <w:rsid w:val="004B791B"/>
    <w:rsid w:val="004B7D18"/>
    <w:rsid w:val="004C0397"/>
    <w:rsid w:val="004C1788"/>
    <w:rsid w:val="004C1D55"/>
    <w:rsid w:val="004C3759"/>
    <w:rsid w:val="004C39D3"/>
    <w:rsid w:val="004C44D8"/>
    <w:rsid w:val="004C5B15"/>
    <w:rsid w:val="004C6D57"/>
    <w:rsid w:val="004C6F22"/>
    <w:rsid w:val="004C6FF7"/>
    <w:rsid w:val="004C7D22"/>
    <w:rsid w:val="004D01A0"/>
    <w:rsid w:val="004D0388"/>
    <w:rsid w:val="004D063F"/>
    <w:rsid w:val="004D0AB6"/>
    <w:rsid w:val="004D15CB"/>
    <w:rsid w:val="004D1D0B"/>
    <w:rsid w:val="004D1FCE"/>
    <w:rsid w:val="004D350E"/>
    <w:rsid w:val="004D3CE0"/>
    <w:rsid w:val="004D43A0"/>
    <w:rsid w:val="004D54A8"/>
    <w:rsid w:val="004D5A57"/>
    <w:rsid w:val="004D5FF7"/>
    <w:rsid w:val="004D604B"/>
    <w:rsid w:val="004D6885"/>
    <w:rsid w:val="004D6D24"/>
    <w:rsid w:val="004D791D"/>
    <w:rsid w:val="004E1BEE"/>
    <w:rsid w:val="004E1E74"/>
    <w:rsid w:val="004E24A8"/>
    <w:rsid w:val="004E24EC"/>
    <w:rsid w:val="004E2A80"/>
    <w:rsid w:val="004E3AD5"/>
    <w:rsid w:val="004E4C05"/>
    <w:rsid w:val="004E4D81"/>
    <w:rsid w:val="004E59D2"/>
    <w:rsid w:val="004E7169"/>
    <w:rsid w:val="004F05C6"/>
    <w:rsid w:val="004F17A0"/>
    <w:rsid w:val="004F186A"/>
    <w:rsid w:val="004F2354"/>
    <w:rsid w:val="004F325B"/>
    <w:rsid w:val="004F3507"/>
    <w:rsid w:val="004F3607"/>
    <w:rsid w:val="004F385D"/>
    <w:rsid w:val="004F3E33"/>
    <w:rsid w:val="004F4101"/>
    <w:rsid w:val="004F41C4"/>
    <w:rsid w:val="004F499C"/>
    <w:rsid w:val="004F4EDB"/>
    <w:rsid w:val="004F557D"/>
    <w:rsid w:val="004F5AE6"/>
    <w:rsid w:val="004F5ED4"/>
    <w:rsid w:val="004F7744"/>
    <w:rsid w:val="004F7944"/>
    <w:rsid w:val="004F7C3B"/>
    <w:rsid w:val="004F7EE7"/>
    <w:rsid w:val="0050012C"/>
    <w:rsid w:val="005005E6"/>
    <w:rsid w:val="0050081E"/>
    <w:rsid w:val="0050119B"/>
    <w:rsid w:val="00502A65"/>
    <w:rsid w:val="00502D78"/>
    <w:rsid w:val="00503403"/>
    <w:rsid w:val="0050443E"/>
    <w:rsid w:val="00504915"/>
    <w:rsid w:val="00504A2C"/>
    <w:rsid w:val="00506A3C"/>
    <w:rsid w:val="005073A2"/>
    <w:rsid w:val="00507B29"/>
    <w:rsid w:val="00510D70"/>
    <w:rsid w:val="00511D16"/>
    <w:rsid w:val="00511DE7"/>
    <w:rsid w:val="00512FBF"/>
    <w:rsid w:val="005131E7"/>
    <w:rsid w:val="00513811"/>
    <w:rsid w:val="005149A4"/>
    <w:rsid w:val="0051505A"/>
    <w:rsid w:val="00516E9B"/>
    <w:rsid w:val="00517C8E"/>
    <w:rsid w:val="00520CFB"/>
    <w:rsid w:val="00521142"/>
    <w:rsid w:val="005220AF"/>
    <w:rsid w:val="00522823"/>
    <w:rsid w:val="00522DEA"/>
    <w:rsid w:val="005240E3"/>
    <w:rsid w:val="005244A1"/>
    <w:rsid w:val="005249DC"/>
    <w:rsid w:val="005257CD"/>
    <w:rsid w:val="0052690B"/>
    <w:rsid w:val="005271C8"/>
    <w:rsid w:val="005273B2"/>
    <w:rsid w:val="005306A5"/>
    <w:rsid w:val="005309BD"/>
    <w:rsid w:val="005317A8"/>
    <w:rsid w:val="00531F6B"/>
    <w:rsid w:val="00534C8E"/>
    <w:rsid w:val="00535684"/>
    <w:rsid w:val="00535C4A"/>
    <w:rsid w:val="005361E3"/>
    <w:rsid w:val="005362F3"/>
    <w:rsid w:val="0053631D"/>
    <w:rsid w:val="00536CED"/>
    <w:rsid w:val="00537001"/>
    <w:rsid w:val="00537620"/>
    <w:rsid w:val="005404D0"/>
    <w:rsid w:val="005409DA"/>
    <w:rsid w:val="005439E6"/>
    <w:rsid w:val="00543DD1"/>
    <w:rsid w:val="00543FEC"/>
    <w:rsid w:val="00544898"/>
    <w:rsid w:val="005448A9"/>
    <w:rsid w:val="005454EA"/>
    <w:rsid w:val="00545753"/>
    <w:rsid w:val="005458AA"/>
    <w:rsid w:val="00545CEE"/>
    <w:rsid w:val="005462E4"/>
    <w:rsid w:val="00546638"/>
    <w:rsid w:val="00546B93"/>
    <w:rsid w:val="00546DA4"/>
    <w:rsid w:val="005507E0"/>
    <w:rsid w:val="005512DF"/>
    <w:rsid w:val="00551466"/>
    <w:rsid w:val="00553EBC"/>
    <w:rsid w:val="005559E4"/>
    <w:rsid w:val="005560F6"/>
    <w:rsid w:val="005561D3"/>
    <w:rsid w:val="00556B0A"/>
    <w:rsid w:val="005573E7"/>
    <w:rsid w:val="005575E9"/>
    <w:rsid w:val="00557C2F"/>
    <w:rsid w:val="00560D8A"/>
    <w:rsid w:val="005610CE"/>
    <w:rsid w:val="00561167"/>
    <w:rsid w:val="00561E09"/>
    <w:rsid w:val="005627FD"/>
    <w:rsid w:val="00562B98"/>
    <w:rsid w:val="005630A9"/>
    <w:rsid w:val="00563D21"/>
    <w:rsid w:val="00564963"/>
    <w:rsid w:val="00564A7E"/>
    <w:rsid w:val="0056509E"/>
    <w:rsid w:val="0056763A"/>
    <w:rsid w:val="00570A2F"/>
    <w:rsid w:val="00572717"/>
    <w:rsid w:val="005727FC"/>
    <w:rsid w:val="0057288D"/>
    <w:rsid w:val="00572AC7"/>
    <w:rsid w:val="00573378"/>
    <w:rsid w:val="00573B76"/>
    <w:rsid w:val="00573BAA"/>
    <w:rsid w:val="0057484C"/>
    <w:rsid w:val="00574DCC"/>
    <w:rsid w:val="00574EF3"/>
    <w:rsid w:val="005756F0"/>
    <w:rsid w:val="00575722"/>
    <w:rsid w:val="00575736"/>
    <w:rsid w:val="0057576E"/>
    <w:rsid w:val="005758FA"/>
    <w:rsid w:val="005763E5"/>
    <w:rsid w:val="00576A5F"/>
    <w:rsid w:val="0057728D"/>
    <w:rsid w:val="00577DC7"/>
    <w:rsid w:val="005800F2"/>
    <w:rsid w:val="00580AB2"/>
    <w:rsid w:val="00582C0B"/>
    <w:rsid w:val="0059023A"/>
    <w:rsid w:val="005909EB"/>
    <w:rsid w:val="00591900"/>
    <w:rsid w:val="00592E50"/>
    <w:rsid w:val="00593EA1"/>
    <w:rsid w:val="005941A8"/>
    <w:rsid w:val="0059441E"/>
    <w:rsid w:val="00595471"/>
    <w:rsid w:val="00595F7F"/>
    <w:rsid w:val="00596730"/>
    <w:rsid w:val="005969F1"/>
    <w:rsid w:val="0059754C"/>
    <w:rsid w:val="00597E35"/>
    <w:rsid w:val="005A0606"/>
    <w:rsid w:val="005A0DD9"/>
    <w:rsid w:val="005A2595"/>
    <w:rsid w:val="005A25A2"/>
    <w:rsid w:val="005A2BF8"/>
    <w:rsid w:val="005A36BD"/>
    <w:rsid w:val="005A37FA"/>
    <w:rsid w:val="005A460D"/>
    <w:rsid w:val="005A5996"/>
    <w:rsid w:val="005A6566"/>
    <w:rsid w:val="005A6868"/>
    <w:rsid w:val="005A7A59"/>
    <w:rsid w:val="005A7C86"/>
    <w:rsid w:val="005A7DE7"/>
    <w:rsid w:val="005B0408"/>
    <w:rsid w:val="005B04BD"/>
    <w:rsid w:val="005B1008"/>
    <w:rsid w:val="005B1A3B"/>
    <w:rsid w:val="005B2281"/>
    <w:rsid w:val="005B2663"/>
    <w:rsid w:val="005B2D1B"/>
    <w:rsid w:val="005B2EF0"/>
    <w:rsid w:val="005B3F66"/>
    <w:rsid w:val="005B4440"/>
    <w:rsid w:val="005B4FAB"/>
    <w:rsid w:val="005B64D5"/>
    <w:rsid w:val="005C21FD"/>
    <w:rsid w:val="005C2D2E"/>
    <w:rsid w:val="005C33EF"/>
    <w:rsid w:val="005C3499"/>
    <w:rsid w:val="005C3A9C"/>
    <w:rsid w:val="005C3EE9"/>
    <w:rsid w:val="005C4112"/>
    <w:rsid w:val="005C483B"/>
    <w:rsid w:val="005C5110"/>
    <w:rsid w:val="005C5642"/>
    <w:rsid w:val="005C5994"/>
    <w:rsid w:val="005C6912"/>
    <w:rsid w:val="005C6BCB"/>
    <w:rsid w:val="005C6EA2"/>
    <w:rsid w:val="005C6EB1"/>
    <w:rsid w:val="005C6EBD"/>
    <w:rsid w:val="005C752C"/>
    <w:rsid w:val="005C7BEB"/>
    <w:rsid w:val="005C7EDF"/>
    <w:rsid w:val="005D0DE1"/>
    <w:rsid w:val="005D2382"/>
    <w:rsid w:val="005D2784"/>
    <w:rsid w:val="005D2A44"/>
    <w:rsid w:val="005D2A9E"/>
    <w:rsid w:val="005D2B2F"/>
    <w:rsid w:val="005D2D48"/>
    <w:rsid w:val="005D2F0B"/>
    <w:rsid w:val="005D2F5C"/>
    <w:rsid w:val="005D5374"/>
    <w:rsid w:val="005D6466"/>
    <w:rsid w:val="005D6550"/>
    <w:rsid w:val="005D76FD"/>
    <w:rsid w:val="005D7C09"/>
    <w:rsid w:val="005D7E24"/>
    <w:rsid w:val="005E165D"/>
    <w:rsid w:val="005E17E2"/>
    <w:rsid w:val="005E1AD3"/>
    <w:rsid w:val="005E1E80"/>
    <w:rsid w:val="005E2219"/>
    <w:rsid w:val="005E35D4"/>
    <w:rsid w:val="005E4D0E"/>
    <w:rsid w:val="005E4E47"/>
    <w:rsid w:val="005E50C5"/>
    <w:rsid w:val="005E53E7"/>
    <w:rsid w:val="005E54AC"/>
    <w:rsid w:val="005E6F8E"/>
    <w:rsid w:val="005F044E"/>
    <w:rsid w:val="005F0AC6"/>
    <w:rsid w:val="005F1201"/>
    <w:rsid w:val="005F3417"/>
    <w:rsid w:val="005F3F8F"/>
    <w:rsid w:val="005F491F"/>
    <w:rsid w:val="005F56FF"/>
    <w:rsid w:val="005F5F99"/>
    <w:rsid w:val="005F6350"/>
    <w:rsid w:val="005F719B"/>
    <w:rsid w:val="00601465"/>
    <w:rsid w:val="00602ADC"/>
    <w:rsid w:val="0060378D"/>
    <w:rsid w:val="00603BF7"/>
    <w:rsid w:val="006043A5"/>
    <w:rsid w:val="00605864"/>
    <w:rsid w:val="00605BE1"/>
    <w:rsid w:val="006069FC"/>
    <w:rsid w:val="00606C9B"/>
    <w:rsid w:val="00610A7C"/>
    <w:rsid w:val="00610F38"/>
    <w:rsid w:val="00611648"/>
    <w:rsid w:val="006123B0"/>
    <w:rsid w:val="00612AE0"/>
    <w:rsid w:val="00614EFA"/>
    <w:rsid w:val="00615174"/>
    <w:rsid w:val="00615FFF"/>
    <w:rsid w:val="0061669F"/>
    <w:rsid w:val="00616E96"/>
    <w:rsid w:val="006172B4"/>
    <w:rsid w:val="006174A0"/>
    <w:rsid w:val="00617657"/>
    <w:rsid w:val="00620527"/>
    <w:rsid w:val="00620BA0"/>
    <w:rsid w:val="006219D0"/>
    <w:rsid w:val="00621A25"/>
    <w:rsid w:val="00621B69"/>
    <w:rsid w:val="0062223D"/>
    <w:rsid w:val="00622944"/>
    <w:rsid w:val="00622C87"/>
    <w:rsid w:val="00622E51"/>
    <w:rsid w:val="006231D5"/>
    <w:rsid w:val="006246B7"/>
    <w:rsid w:val="00624AA9"/>
    <w:rsid w:val="0062618E"/>
    <w:rsid w:val="006267BA"/>
    <w:rsid w:val="00627CF1"/>
    <w:rsid w:val="00630900"/>
    <w:rsid w:val="00630B3E"/>
    <w:rsid w:val="00630D8F"/>
    <w:rsid w:val="00631464"/>
    <w:rsid w:val="0063171A"/>
    <w:rsid w:val="00631953"/>
    <w:rsid w:val="00632241"/>
    <w:rsid w:val="00632667"/>
    <w:rsid w:val="00632AEF"/>
    <w:rsid w:val="006339FA"/>
    <w:rsid w:val="00633B26"/>
    <w:rsid w:val="0063425D"/>
    <w:rsid w:val="006348E2"/>
    <w:rsid w:val="006354BB"/>
    <w:rsid w:val="006354EB"/>
    <w:rsid w:val="00636D21"/>
    <w:rsid w:val="00636F92"/>
    <w:rsid w:val="006407C9"/>
    <w:rsid w:val="006420EA"/>
    <w:rsid w:val="00642A44"/>
    <w:rsid w:val="00642BCF"/>
    <w:rsid w:val="006442B1"/>
    <w:rsid w:val="00644962"/>
    <w:rsid w:val="00644A35"/>
    <w:rsid w:val="0064585E"/>
    <w:rsid w:val="00645B95"/>
    <w:rsid w:val="00645F6C"/>
    <w:rsid w:val="00647329"/>
    <w:rsid w:val="00650FEB"/>
    <w:rsid w:val="00652574"/>
    <w:rsid w:val="00652747"/>
    <w:rsid w:val="00652B67"/>
    <w:rsid w:val="00654445"/>
    <w:rsid w:val="00654A89"/>
    <w:rsid w:val="0065569D"/>
    <w:rsid w:val="006560FE"/>
    <w:rsid w:val="006564D2"/>
    <w:rsid w:val="00656950"/>
    <w:rsid w:val="006571D9"/>
    <w:rsid w:val="00660291"/>
    <w:rsid w:val="006602EE"/>
    <w:rsid w:val="006608EF"/>
    <w:rsid w:val="00660F30"/>
    <w:rsid w:val="006619AB"/>
    <w:rsid w:val="00661AEC"/>
    <w:rsid w:val="0066254B"/>
    <w:rsid w:val="00662AE1"/>
    <w:rsid w:val="0066304C"/>
    <w:rsid w:val="00663965"/>
    <w:rsid w:val="00663CF1"/>
    <w:rsid w:val="00663FED"/>
    <w:rsid w:val="006640AC"/>
    <w:rsid w:val="00664A68"/>
    <w:rsid w:val="006659DD"/>
    <w:rsid w:val="00667EE3"/>
    <w:rsid w:val="00670733"/>
    <w:rsid w:val="00671382"/>
    <w:rsid w:val="006713C7"/>
    <w:rsid w:val="0067154D"/>
    <w:rsid w:val="00672C4D"/>
    <w:rsid w:val="00673148"/>
    <w:rsid w:val="00674502"/>
    <w:rsid w:val="00674CFB"/>
    <w:rsid w:val="006750D8"/>
    <w:rsid w:val="0067588F"/>
    <w:rsid w:val="00676A68"/>
    <w:rsid w:val="006774E5"/>
    <w:rsid w:val="0067773D"/>
    <w:rsid w:val="00677E41"/>
    <w:rsid w:val="00677EF6"/>
    <w:rsid w:val="00677FE0"/>
    <w:rsid w:val="00680673"/>
    <w:rsid w:val="00681A93"/>
    <w:rsid w:val="0068246E"/>
    <w:rsid w:val="00683089"/>
    <w:rsid w:val="00683636"/>
    <w:rsid w:val="006858D5"/>
    <w:rsid w:val="006858DC"/>
    <w:rsid w:val="00685C13"/>
    <w:rsid w:val="00686BCA"/>
    <w:rsid w:val="00686C5E"/>
    <w:rsid w:val="006900CE"/>
    <w:rsid w:val="00690905"/>
    <w:rsid w:val="00690A78"/>
    <w:rsid w:val="00690DDE"/>
    <w:rsid w:val="00691624"/>
    <w:rsid w:val="0069265E"/>
    <w:rsid w:val="006933CA"/>
    <w:rsid w:val="00693E4C"/>
    <w:rsid w:val="00694048"/>
    <w:rsid w:val="0069510D"/>
    <w:rsid w:val="006952D4"/>
    <w:rsid w:val="006964F7"/>
    <w:rsid w:val="006977EF"/>
    <w:rsid w:val="00697861"/>
    <w:rsid w:val="00697B54"/>
    <w:rsid w:val="006A02D4"/>
    <w:rsid w:val="006A0608"/>
    <w:rsid w:val="006A11FD"/>
    <w:rsid w:val="006A1421"/>
    <w:rsid w:val="006A1A49"/>
    <w:rsid w:val="006A1D7C"/>
    <w:rsid w:val="006A2AF3"/>
    <w:rsid w:val="006A31E6"/>
    <w:rsid w:val="006A43C6"/>
    <w:rsid w:val="006A471A"/>
    <w:rsid w:val="006A555C"/>
    <w:rsid w:val="006A6E46"/>
    <w:rsid w:val="006A7240"/>
    <w:rsid w:val="006A73CA"/>
    <w:rsid w:val="006A7772"/>
    <w:rsid w:val="006A77CD"/>
    <w:rsid w:val="006A7B12"/>
    <w:rsid w:val="006A7C6A"/>
    <w:rsid w:val="006B0194"/>
    <w:rsid w:val="006B0F3E"/>
    <w:rsid w:val="006B162B"/>
    <w:rsid w:val="006B22D8"/>
    <w:rsid w:val="006B2611"/>
    <w:rsid w:val="006B2954"/>
    <w:rsid w:val="006B428E"/>
    <w:rsid w:val="006B4BA1"/>
    <w:rsid w:val="006B542F"/>
    <w:rsid w:val="006B6E52"/>
    <w:rsid w:val="006B772C"/>
    <w:rsid w:val="006B7A72"/>
    <w:rsid w:val="006C0AF4"/>
    <w:rsid w:val="006C18BE"/>
    <w:rsid w:val="006C32B7"/>
    <w:rsid w:val="006C42DB"/>
    <w:rsid w:val="006C43BF"/>
    <w:rsid w:val="006C488C"/>
    <w:rsid w:val="006C5D62"/>
    <w:rsid w:val="006C6314"/>
    <w:rsid w:val="006C68A1"/>
    <w:rsid w:val="006C6E2D"/>
    <w:rsid w:val="006C6F9F"/>
    <w:rsid w:val="006D019B"/>
    <w:rsid w:val="006D15D5"/>
    <w:rsid w:val="006D2735"/>
    <w:rsid w:val="006D2E61"/>
    <w:rsid w:val="006D3669"/>
    <w:rsid w:val="006D3F0E"/>
    <w:rsid w:val="006D47D5"/>
    <w:rsid w:val="006D6274"/>
    <w:rsid w:val="006D6276"/>
    <w:rsid w:val="006D6DF8"/>
    <w:rsid w:val="006D7411"/>
    <w:rsid w:val="006D7738"/>
    <w:rsid w:val="006D7B09"/>
    <w:rsid w:val="006E0031"/>
    <w:rsid w:val="006E0BA7"/>
    <w:rsid w:val="006E1367"/>
    <w:rsid w:val="006E15F4"/>
    <w:rsid w:val="006E2332"/>
    <w:rsid w:val="006E2363"/>
    <w:rsid w:val="006E2EE9"/>
    <w:rsid w:val="006E2EEC"/>
    <w:rsid w:val="006E32B2"/>
    <w:rsid w:val="006E3CF1"/>
    <w:rsid w:val="006E3F11"/>
    <w:rsid w:val="006E40BB"/>
    <w:rsid w:val="006E47C4"/>
    <w:rsid w:val="006E4BB3"/>
    <w:rsid w:val="006E4E75"/>
    <w:rsid w:val="006E54C8"/>
    <w:rsid w:val="006E73FC"/>
    <w:rsid w:val="006E76B7"/>
    <w:rsid w:val="006E7925"/>
    <w:rsid w:val="006F00FB"/>
    <w:rsid w:val="006F04C8"/>
    <w:rsid w:val="006F05BB"/>
    <w:rsid w:val="006F1B05"/>
    <w:rsid w:val="006F1E65"/>
    <w:rsid w:val="006F1FDE"/>
    <w:rsid w:val="006F2509"/>
    <w:rsid w:val="006F29A3"/>
    <w:rsid w:val="006F2C17"/>
    <w:rsid w:val="006F3EF4"/>
    <w:rsid w:val="006F4B86"/>
    <w:rsid w:val="006F4B93"/>
    <w:rsid w:val="006F4FCF"/>
    <w:rsid w:val="006F5191"/>
    <w:rsid w:val="006F564A"/>
    <w:rsid w:val="006F56AF"/>
    <w:rsid w:val="006F5B64"/>
    <w:rsid w:val="006F62DC"/>
    <w:rsid w:val="006F6628"/>
    <w:rsid w:val="006F6D45"/>
    <w:rsid w:val="006F6ED4"/>
    <w:rsid w:val="006F718C"/>
    <w:rsid w:val="006F7A56"/>
    <w:rsid w:val="006F7B64"/>
    <w:rsid w:val="007007B8"/>
    <w:rsid w:val="00700E1F"/>
    <w:rsid w:val="00701A4B"/>
    <w:rsid w:val="00702497"/>
    <w:rsid w:val="00702ABC"/>
    <w:rsid w:val="00703307"/>
    <w:rsid w:val="0070411A"/>
    <w:rsid w:val="00704FF4"/>
    <w:rsid w:val="007062AC"/>
    <w:rsid w:val="0071057C"/>
    <w:rsid w:val="007106D1"/>
    <w:rsid w:val="0071315E"/>
    <w:rsid w:val="00714431"/>
    <w:rsid w:val="007147CA"/>
    <w:rsid w:val="00714C6B"/>
    <w:rsid w:val="00714CD4"/>
    <w:rsid w:val="007152CA"/>
    <w:rsid w:val="00715997"/>
    <w:rsid w:val="007160BC"/>
    <w:rsid w:val="00716605"/>
    <w:rsid w:val="00716C90"/>
    <w:rsid w:val="00716D09"/>
    <w:rsid w:val="00717345"/>
    <w:rsid w:val="00717E69"/>
    <w:rsid w:val="00721C86"/>
    <w:rsid w:val="00721DF0"/>
    <w:rsid w:val="007231AE"/>
    <w:rsid w:val="007238BD"/>
    <w:rsid w:val="00723A7E"/>
    <w:rsid w:val="00724203"/>
    <w:rsid w:val="007250AC"/>
    <w:rsid w:val="00725691"/>
    <w:rsid w:val="007259B2"/>
    <w:rsid w:val="00725B41"/>
    <w:rsid w:val="0072615C"/>
    <w:rsid w:val="00727C3E"/>
    <w:rsid w:val="007305BF"/>
    <w:rsid w:val="0073254F"/>
    <w:rsid w:val="00732FEF"/>
    <w:rsid w:val="00733120"/>
    <w:rsid w:val="0073376D"/>
    <w:rsid w:val="0073405E"/>
    <w:rsid w:val="0073516D"/>
    <w:rsid w:val="007359F7"/>
    <w:rsid w:val="00735AAA"/>
    <w:rsid w:val="00735F15"/>
    <w:rsid w:val="00736942"/>
    <w:rsid w:val="00737A75"/>
    <w:rsid w:val="00737B37"/>
    <w:rsid w:val="00740317"/>
    <w:rsid w:val="0074057A"/>
    <w:rsid w:val="0074064D"/>
    <w:rsid w:val="00741CA8"/>
    <w:rsid w:val="00742539"/>
    <w:rsid w:val="00743F33"/>
    <w:rsid w:val="00744500"/>
    <w:rsid w:val="00744627"/>
    <w:rsid w:val="0074513B"/>
    <w:rsid w:val="00745625"/>
    <w:rsid w:val="00746B7E"/>
    <w:rsid w:val="00750B92"/>
    <w:rsid w:val="007514C3"/>
    <w:rsid w:val="0075169F"/>
    <w:rsid w:val="007517A3"/>
    <w:rsid w:val="00751A16"/>
    <w:rsid w:val="00751A6F"/>
    <w:rsid w:val="00752950"/>
    <w:rsid w:val="00752983"/>
    <w:rsid w:val="007548D9"/>
    <w:rsid w:val="00754B80"/>
    <w:rsid w:val="0075588C"/>
    <w:rsid w:val="007559DA"/>
    <w:rsid w:val="00755FA3"/>
    <w:rsid w:val="00756AB0"/>
    <w:rsid w:val="00761725"/>
    <w:rsid w:val="00762578"/>
    <w:rsid w:val="007625E1"/>
    <w:rsid w:val="007627F6"/>
    <w:rsid w:val="00762A5E"/>
    <w:rsid w:val="007631B8"/>
    <w:rsid w:val="007631C9"/>
    <w:rsid w:val="007649E4"/>
    <w:rsid w:val="00764D84"/>
    <w:rsid w:val="00765017"/>
    <w:rsid w:val="00765378"/>
    <w:rsid w:val="00765671"/>
    <w:rsid w:val="00765E03"/>
    <w:rsid w:val="00766428"/>
    <w:rsid w:val="00766F19"/>
    <w:rsid w:val="00767DC5"/>
    <w:rsid w:val="00770B7C"/>
    <w:rsid w:val="00770C5C"/>
    <w:rsid w:val="007713D7"/>
    <w:rsid w:val="00772851"/>
    <w:rsid w:val="00772F07"/>
    <w:rsid w:val="00773001"/>
    <w:rsid w:val="00774813"/>
    <w:rsid w:val="00774DB6"/>
    <w:rsid w:val="00774F40"/>
    <w:rsid w:val="0077699F"/>
    <w:rsid w:val="00777C76"/>
    <w:rsid w:val="00777F2C"/>
    <w:rsid w:val="00780123"/>
    <w:rsid w:val="00780F11"/>
    <w:rsid w:val="00782506"/>
    <w:rsid w:val="00782727"/>
    <w:rsid w:val="00782A47"/>
    <w:rsid w:val="00783754"/>
    <w:rsid w:val="00783B00"/>
    <w:rsid w:val="00785671"/>
    <w:rsid w:val="00785B63"/>
    <w:rsid w:val="00785B85"/>
    <w:rsid w:val="00785F0E"/>
    <w:rsid w:val="00786283"/>
    <w:rsid w:val="00786352"/>
    <w:rsid w:val="007879CD"/>
    <w:rsid w:val="00787DFE"/>
    <w:rsid w:val="00790CF1"/>
    <w:rsid w:val="00791333"/>
    <w:rsid w:val="00791336"/>
    <w:rsid w:val="00791870"/>
    <w:rsid w:val="007918B5"/>
    <w:rsid w:val="00792C2E"/>
    <w:rsid w:val="00792C76"/>
    <w:rsid w:val="00793153"/>
    <w:rsid w:val="00793BC1"/>
    <w:rsid w:val="00793D1B"/>
    <w:rsid w:val="007956AD"/>
    <w:rsid w:val="0079633B"/>
    <w:rsid w:val="00796BE3"/>
    <w:rsid w:val="00796D1C"/>
    <w:rsid w:val="007A1423"/>
    <w:rsid w:val="007A1B65"/>
    <w:rsid w:val="007A2D0A"/>
    <w:rsid w:val="007A2E0B"/>
    <w:rsid w:val="007A34DB"/>
    <w:rsid w:val="007A3FBB"/>
    <w:rsid w:val="007A574D"/>
    <w:rsid w:val="007A5836"/>
    <w:rsid w:val="007A5AE7"/>
    <w:rsid w:val="007A6064"/>
    <w:rsid w:val="007A6496"/>
    <w:rsid w:val="007A7684"/>
    <w:rsid w:val="007B04B2"/>
    <w:rsid w:val="007B07C3"/>
    <w:rsid w:val="007B0988"/>
    <w:rsid w:val="007B0E95"/>
    <w:rsid w:val="007B186D"/>
    <w:rsid w:val="007B1F10"/>
    <w:rsid w:val="007B2076"/>
    <w:rsid w:val="007B2508"/>
    <w:rsid w:val="007B274F"/>
    <w:rsid w:val="007B29BB"/>
    <w:rsid w:val="007B2C65"/>
    <w:rsid w:val="007B3768"/>
    <w:rsid w:val="007B3A61"/>
    <w:rsid w:val="007B42A5"/>
    <w:rsid w:val="007B43EE"/>
    <w:rsid w:val="007B4418"/>
    <w:rsid w:val="007B52AE"/>
    <w:rsid w:val="007B579B"/>
    <w:rsid w:val="007B623D"/>
    <w:rsid w:val="007B67A2"/>
    <w:rsid w:val="007B67F5"/>
    <w:rsid w:val="007B731D"/>
    <w:rsid w:val="007C0FB9"/>
    <w:rsid w:val="007C2BD6"/>
    <w:rsid w:val="007C2C83"/>
    <w:rsid w:val="007C5776"/>
    <w:rsid w:val="007C59C0"/>
    <w:rsid w:val="007C6E38"/>
    <w:rsid w:val="007D0AB8"/>
    <w:rsid w:val="007D34C5"/>
    <w:rsid w:val="007D4CB8"/>
    <w:rsid w:val="007D5405"/>
    <w:rsid w:val="007D60F0"/>
    <w:rsid w:val="007D617D"/>
    <w:rsid w:val="007D6319"/>
    <w:rsid w:val="007D7AF5"/>
    <w:rsid w:val="007D7F9A"/>
    <w:rsid w:val="007E0615"/>
    <w:rsid w:val="007E07F1"/>
    <w:rsid w:val="007E2C7E"/>
    <w:rsid w:val="007E3069"/>
    <w:rsid w:val="007E3D2B"/>
    <w:rsid w:val="007E479E"/>
    <w:rsid w:val="007E480A"/>
    <w:rsid w:val="007E48C6"/>
    <w:rsid w:val="007E5D77"/>
    <w:rsid w:val="007E615D"/>
    <w:rsid w:val="007E634B"/>
    <w:rsid w:val="007E6A6C"/>
    <w:rsid w:val="007E6FB3"/>
    <w:rsid w:val="007E7651"/>
    <w:rsid w:val="007E7A47"/>
    <w:rsid w:val="007E7C80"/>
    <w:rsid w:val="007F0B99"/>
    <w:rsid w:val="007F0C66"/>
    <w:rsid w:val="007F0E52"/>
    <w:rsid w:val="007F188E"/>
    <w:rsid w:val="007F2B19"/>
    <w:rsid w:val="007F3065"/>
    <w:rsid w:val="007F3327"/>
    <w:rsid w:val="007F3499"/>
    <w:rsid w:val="007F3E29"/>
    <w:rsid w:val="007F4F9B"/>
    <w:rsid w:val="007F53A7"/>
    <w:rsid w:val="007F641B"/>
    <w:rsid w:val="007F6A3C"/>
    <w:rsid w:val="008013B2"/>
    <w:rsid w:val="008015BC"/>
    <w:rsid w:val="0080163A"/>
    <w:rsid w:val="00802641"/>
    <w:rsid w:val="00803819"/>
    <w:rsid w:val="00803A09"/>
    <w:rsid w:val="008055D4"/>
    <w:rsid w:val="00805BC1"/>
    <w:rsid w:val="00806B77"/>
    <w:rsid w:val="00807422"/>
    <w:rsid w:val="00807C0E"/>
    <w:rsid w:val="0081074C"/>
    <w:rsid w:val="00810B28"/>
    <w:rsid w:val="008120C7"/>
    <w:rsid w:val="00812D39"/>
    <w:rsid w:val="00814110"/>
    <w:rsid w:val="00814879"/>
    <w:rsid w:val="00814E5B"/>
    <w:rsid w:val="0081591F"/>
    <w:rsid w:val="00815BC3"/>
    <w:rsid w:val="00815D25"/>
    <w:rsid w:val="00816013"/>
    <w:rsid w:val="0081646F"/>
    <w:rsid w:val="00816A48"/>
    <w:rsid w:val="0081752D"/>
    <w:rsid w:val="008175D7"/>
    <w:rsid w:val="008205AB"/>
    <w:rsid w:val="00821CBD"/>
    <w:rsid w:val="008222D5"/>
    <w:rsid w:val="00822D1B"/>
    <w:rsid w:val="00823137"/>
    <w:rsid w:val="00823AC6"/>
    <w:rsid w:val="00824475"/>
    <w:rsid w:val="00824E9A"/>
    <w:rsid w:val="0082512B"/>
    <w:rsid w:val="008252AD"/>
    <w:rsid w:val="00825EAA"/>
    <w:rsid w:val="00825F12"/>
    <w:rsid w:val="00825FA5"/>
    <w:rsid w:val="00826CA7"/>
    <w:rsid w:val="008271B5"/>
    <w:rsid w:val="0082733F"/>
    <w:rsid w:val="008300E8"/>
    <w:rsid w:val="008303F5"/>
    <w:rsid w:val="00830D16"/>
    <w:rsid w:val="00830E5B"/>
    <w:rsid w:val="00830ECA"/>
    <w:rsid w:val="008315DB"/>
    <w:rsid w:val="00831B7B"/>
    <w:rsid w:val="00831F31"/>
    <w:rsid w:val="00832C11"/>
    <w:rsid w:val="00832F7D"/>
    <w:rsid w:val="00832FA8"/>
    <w:rsid w:val="008335B6"/>
    <w:rsid w:val="008346C1"/>
    <w:rsid w:val="00834E29"/>
    <w:rsid w:val="008353C3"/>
    <w:rsid w:val="00835CBF"/>
    <w:rsid w:val="00835E8B"/>
    <w:rsid w:val="00835EFC"/>
    <w:rsid w:val="00836C0C"/>
    <w:rsid w:val="00837956"/>
    <w:rsid w:val="0084017F"/>
    <w:rsid w:val="0084115F"/>
    <w:rsid w:val="00841FD3"/>
    <w:rsid w:val="008432E0"/>
    <w:rsid w:val="00843D23"/>
    <w:rsid w:val="00844A7D"/>
    <w:rsid w:val="00844BB1"/>
    <w:rsid w:val="008462CF"/>
    <w:rsid w:val="0084640E"/>
    <w:rsid w:val="008469C4"/>
    <w:rsid w:val="00846C8A"/>
    <w:rsid w:val="00846F87"/>
    <w:rsid w:val="00847A99"/>
    <w:rsid w:val="008507DD"/>
    <w:rsid w:val="008514B0"/>
    <w:rsid w:val="0085155F"/>
    <w:rsid w:val="00851A5B"/>
    <w:rsid w:val="008525F8"/>
    <w:rsid w:val="00853199"/>
    <w:rsid w:val="00853669"/>
    <w:rsid w:val="00854398"/>
    <w:rsid w:val="008549FA"/>
    <w:rsid w:val="00857395"/>
    <w:rsid w:val="0085792E"/>
    <w:rsid w:val="00860A6C"/>
    <w:rsid w:val="00861047"/>
    <w:rsid w:val="00861269"/>
    <w:rsid w:val="008615B4"/>
    <w:rsid w:val="008622D9"/>
    <w:rsid w:val="00862393"/>
    <w:rsid w:val="00864F81"/>
    <w:rsid w:val="00864F9B"/>
    <w:rsid w:val="008654CB"/>
    <w:rsid w:val="008669E9"/>
    <w:rsid w:val="00867486"/>
    <w:rsid w:val="008676A5"/>
    <w:rsid w:val="00867F57"/>
    <w:rsid w:val="00867FBE"/>
    <w:rsid w:val="008705AE"/>
    <w:rsid w:val="0087116E"/>
    <w:rsid w:val="00871333"/>
    <w:rsid w:val="00871E3E"/>
    <w:rsid w:val="00872514"/>
    <w:rsid w:val="00873917"/>
    <w:rsid w:val="00874036"/>
    <w:rsid w:val="00874AEE"/>
    <w:rsid w:val="00874D4B"/>
    <w:rsid w:val="00874DC1"/>
    <w:rsid w:val="00875183"/>
    <w:rsid w:val="008753B0"/>
    <w:rsid w:val="008754FB"/>
    <w:rsid w:val="008764A5"/>
    <w:rsid w:val="008764AA"/>
    <w:rsid w:val="00877056"/>
    <w:rsid w:val="008774FD"/>
    <w:rsid w:val="008808AB"/>
    <w:rsid w:val="00880B3C"/>
    <w:rsid w:val="00880BA1"/>
    <w:rsid w:val="00881169"/>
    <w:rsid w:val="00881482"/>
    <w:rsid w:val="0088161E"/>
    <w:rsid w:val="0088220A"/>
    <w:rsid w:val="00882533"/>
    <w:rsid w:val="008832C9"/>
    <w:rsid w:val="00884CA1"/>
    <w:rsid w:val="00885000"/>
    <w:rsid w:val="00885B52"/>
    <w:rsid w:val="00885D53"/>
    <w:rsid w:val="00885FC9"/>
    <w:rsid w:val="00886D27"/>
    <w:rsid w:val="0088763F"/>
    <w:rsid w:val="00887997"/>
    <w:rsid w:val="00887CD1"/>
    <w:rsid w:val="008916B5"/>
    <w:rsid w:val="00892FB5"/>
    <w:rsid w:val="008931A3"/>
    <w:rsid w:val="0089380B"/>
    <w:rsid w:val="008939B5"/>
    <w:rsid w:val="0089418A"/>
    <w:rsid w:val="00894FD9"/>
    <w:rsid w:val="00895478"/>
    <w:rsid w:val="0089585D"/>
    <w:rsid w:val="00895910"/>
    <w:rsid w:val="008969D6"/>
    <w:rsid w:val="008979E2"/>
    <w:rsid w:val="008A0870"/>
    <w:rsid w:val="008A13D5"/>
    <w:rsid w:val="008A1440"/>
    <w:rsid w:val="008A19F3"/>
    <w:rsid w:val="008A2535"/>
    <w:rsid w:val="008A2652"/>
    <w:rsid w:val="008A2927"/>
    <w:rsid w:val="008A671F"/>
    <w:rsid w:val="008A7B18"/>
    <w:rsid w:val="008B02C6"/>
    <w:rsid w:val="008B0E46"/>
    <w:rsid w:val="008B0EDF"/>
    <w:rsid w:val="008B0F35"/>
    <w:rsid w:val="008B113F"/>
    <w:rsid w:val="008B155D"/>
    <w:rsid w:val="008B20C6"/>
    <w:rsid w:val="008B3067"/>
    <w:rsid w:val="008B3968"/>
    <w:rsid w:val="008B420B"/>
    <w:rsid w:val="008C0783"/>
    <w:rsid w:val="008C1C4F"/>
    <w:rsid w:val="008C2973"/>
    <w:rsid w:val="008C2AA9"/>
    <w:rsid w:val="008C2D37"/>
    <w:rsid w:val="008C353E"/>
    <w:rsid w:val="008C354C"/>
    <w:rsid w:val="008C3841"/>
    <w:rsid w:val="008C38F4"/>
    <w:rsid w:val="008C3E5E"/>
    <w:rsid w:val="008C4F74"/>
    <w:rsid w:val="008C51A6"/>
    <w:rsid w:val="008C5CFA"/>
    <w:rsid w:val="008C71CB"/>
    <w:rsid w:val="008C7318"/>
    <w:rsid w:val="008C7688"/>
    <w:rsid w:val="008C7BF6"/>
    <w:rsid w:val="008D07CC"/>
    <w:rsid w:val="008D0ED8"/>
    <w:rsid w:val="008D0FDF"/>
    <w:rsid w:val="008D1F30"/>
    <w:rsid w:val="008D2A6E"/>
    <w:rsid w:val="008D2D6F"/>
    <w:rsid w:val="008D4937"/>
    <w:rsid w:val="008D4A3F"/>
    <w:rsid w:val="008D5860"/>
    <w:rsid w:val="008D5D55"/>
    <w:rsid w:val="008D60DB"/>
    <w:rsid w:val="008D66BF"/>
    <w:rsid w:val="008D6C96"/>
    <w:rsid w:val="008D714F"/>
    <w:rsid w:val="008E0208"/>
    <w:rsid w:val="008E0389"/>
    <w:rsid w:val="008E180E"/>
    <w:rsid w:val="008E1D77"/>
    <w:rsid w:val="008E2709"/>
    <w:rsid w:val="008E29DB"/>
    <w:rsid w:val="008E3236"/>
    <w:rsid w:val="008E41D6"/>
    <w:rsid w:val="008E76E6"/>
    <w:rsid w:val="008E79C5"/>
    <w:rsid w:val="008F03C9"/>
    <w:rsid w:val="008F047A"/>
    <w:rsid w:val="008F0E41"/>
    <w:rsid w:val="008F1DC6"/>
    <w:rsid w:val="008F239D"/>
    <w:rsid w:val="008F2686"/>
    <w:rsid w:val="008F26CF"/>
    <w:rsid w:val="008F3A3F"/>
    <w:rsid w:val="008F3C09"/>
    <w:rsid w:val="008F5104"/>
    <w:rsid w:val="008F6705"/>
    <w:rsid w:val="00900801"/>
    <w:rsid w:val="00900D8B"/>
    <w:rsid w:val="0090139B"/>
    <w:rsid w:val="00901601"/>
    <w:rsid w:val="00902202"/>
    <w:rsid w:val="00902DED"/>
    <w:rsid w:val="009031DB"/>
    <w:rsid w:val="00903F74"/>
    <w:rsid w:val="009049D9"/>
    <w:rsid w:val="009063F3"/>
    <w:rsid w:val="009064F0"/>
    <w:rsid w:val="00906967"/>
    <w:rsid w:val="00906B39"/>
    <w:rsid w:val="00907BC8"/>
    <w:rsid w:val="00910541"/>
    <w:rsid w:val="009107A3"/>
    <w:rsid w:val="009117F0"/>
    <w:rsid w:val="009125D1"/>
    <w:rsid w:val="00913E83"/>
    <w:rsid w:val="00913F25"/>
    <w:rsid w:val="00914076"/>
    <w:rsid w:val="00914DBE"/>
    <w:rsid w:val="00915236"/>
    <w:rsid w:val="00915330"/>
    <w:rsid w:val="009154FE"/>
    <w:rsid w:val="00915B14"/>
    <w:rsid w:val="0091663E"/>
    <w:rsid w:val="009168CE"/>
    <w:rsid w:val="009172ED"/>
    <w:rsid w:val="00920178"/>
    <w:rsid w:val="009202C5"/>
    <w:rsid w:val="0092067E"/>
    <w:rsid w:val="00920ADB"/>
    <w:rsid w:val="00920C29"/>
    <w:rsid w:val="009226F2"/>
    <w:rsid w:val="00922BA2"/>
    <w:rsid w:val="00923695"/>
    <w:rsid w:val="009243CF"/>
    <w:rsid w:val="00925A1F"/>
    <w:rsid w:val="00925BA5"/>
    <w:rsid w:val="0092609B"/>
    <w:rsid w:val="0092699C"/>
    <w:rsid w:val="0092726F"/>
    <w:rsid w:val="00931373"/>
    <w:rsid w:val="0093289A"/>
    <w:rsid w:val="00933630"/>
    <w:rsid w:val="009336D7"/>
    <w:rsid w:val="009337DE"/>
    <w:rsid w:val="00934387"/>
    <w:rsid w:val="00934FF6"/>
    <w:rsid w:val="00935054"/>
    <w:rsid w:val="0093560C"/>
    <w:rsid w:val="009357F3"/>
    <w:rsid w:val="00935DBF"/>
    <w:rsid w:val="009360CF"/>
    <w:rsid w:val="00936C7D"/>
    <w:rsid w:val="00936E96"/>
    <w:rsid w:val="00937596"/>
    <w:rsid w:val="00937E4C"/>
    <w:rsid w:val="00940496"/>
    <w:rsid w:val="00941274"/>
    <w:rsid w:val="00941D7E"/>
    <w:rsid w:val="00942549"/>
    <w:rsid w:val="0094289C"/>
    <w:rsid w:val="00943C3A"/>
    <w:rsid w:val="00943DBB"/>
    <w:rsid w:val="009447F0"/>
    <w:rsid w:val="00944BFF"/>
    <w:rsid w:val="009455A9"/>
    <w:rsid w:val="009458CD"/>
    <w:rsid w:val="0094655C"/>
    <w:rsid w:val="00946BEE"/>
    <w:rsid w:val="009471E9"/>
    <w:rsid w:val="0094726C"/>
    <w:rsid w:val="00947D3F"/>
    <w:rsid w:val="00951C0B"/>
    <w:rsid w:val="009532E7"/>
    <w:rsid w:val="00953579"/>
    <w:rsid w:val="00955E3B"/>
    <w:rsid w:val="00957CC9"/>
    <w:rsid w:val="0096021F"/>
    <w:rsid w:val="0096023C"/>
    <w:rsid w:val="009604DA"/>
    <w:rsid w:val="0096086D"/>
    <w:rsid w:val="009610F2"/>
    <w:rsid w:val="00961394"/>
    <w:rsid w:val="009618ED"/>
    <w:rsid w:val="009621B5"/>
    <w:rsid w:val="009624D2"/>
    <w:rsid w:val="00962644"/>
    <w:rsid w:val="00962A4F"/>
    <w:rsid w:val="009639C0"/>
    <w:rsid w:val="00963DEF"/>
    <w:rsid w:val="0096412B"/>
    <w:rsid w:val="00964740"/>
    <w:rsid w:val="00964C58"/>
    <w:rsid w:val="00964CC0"/>
    <w:rsid w:val="00964F8C"/>
    <w:rsid w:val="00966635"/>
    <w:rsid w:val="009667B0"/>
    <w:rsid w:val="00966A8C"/>
    <w:rsid w:val="00966F1E"/>
    <w:rsid w:val="009709B9"/>
    <w:rsid w:val="00970DA3"/>
    <w:rsid w:val="00971856"/>
    <w:rsid w:val="009718F6"/>
    <w:rsid w:val="0097208C"/>
    <w:rsid w:val="009729D2"/>
    <w:rsid w:val="00972AD4"/>
    <w:rsid w:val="00973AA1"/>
    <w:rsid w:val="00974C59"/>
    <w:rsid w:val="00974C93"/>
    <w:rsid w:val="00974C99"/>
    <w:rsid w:val="009754E3"/>
    <w:rsid w:val="00976470"/>
    <w:rsid w:val="00976BA9"/>
    <w:rsid w:val="00977A22"/>
    <w:rsid w:val="00977B38"/>
    <w:rsid w:val="00977EED"/>
    <w:rsid w:val="009808B4"/>
    <w:rsid w:val="00980DF9"/>
    <w:rsid w:val="0098228B"/>
    <w:rsid w:val="0098265E"/>
    <w:rsid w:val="009838E8"/>
    <w:rsid w:val="00984AAA"/>
    <w:rsid w:val="00986773"/>
    <w:rsid w:val="009912EE"/>
    <w:rsid w:val="0099260F"/>
    <w:rsid w:val="0099366A"/>
    <w:rsid w:val="00994D28"/>
    <w:rsid w:val="009967F4"/>
    <w:rsid w:val="0099690F"/>
    <w:rsid w:val="00996A35"/>
    <w:rsid w:val="009979AF"/>
    <w:rsid w:val="009A01D3"/>
    <w:rsid w:val="009A0DAC"/>
    <w:rsid w:val="009A12D7"/>
    <w:rsid w:val="009A13E1"/>
    <w:rsid w:val="009A17B3"/>
    <w:rsid w:val="009A1900"/>
    <w:rsid w:val="009A19EB"/>
    <w:rsid w:val="009A1A0E"/>
    <w:rsid w:val="009A298C"/>
    <w:rsid w:val="009A2A6B"/>
    <w:rsid w:val="009A481F"/>
    <w:rsid w:val="009A499C"/>
    <w:rsid w:val="009A4E7A"/>
    <w:rsid w:val="009A546B"/>
    <w:rsid w:val="009A56D6"/>
    <w:rsid w:val="009A6D95"/>
    <w:rsid w:val="009A7651"/>
    <w:rsid w:val="009B0066"/>
    <w:rsid w:val="009B0D6F"/>
    <w:rsid w:val="009B0DA2"/>
    <w:rsid w:val="009B214B"/>
    <w:rsid w:val="009B249F"/>
    <w:rsid w:val="009B3F38"/>
    <w:rsid w:val="009B4537"/>
    <w:rsid w:val="009B5839"/>
    <w:rsid w:val="009B5F0E"/>
    <w:rsid w:val="009B611E"/>
    <w:rsid w:val="009B637B"/>
    <w:rsid w:val="009B72FE"/>
    <w:rsid w:val="009B7660"/>
    <w:rsid w:val="009C0652"/>
    <w:rsid w:val="009C1926"/>
    <w:rsid w:val="009C1DEA"/>
    <w:rsid w:val="009C2011"/>
    <w:rsid w:val="009C2A8B"/>
    <w:rsid w:val="009C4BC0"/>
    <w:rsid w:val="009C5DCC"/>
    <w:rsid w:val="009C6317"/>
    <w:rsid w:val="009C63BD"/>
    <w:rsid w:val="009D1E11"/>
    <w:rsid w:val="009D201C"/>
    <w:rsid w:val="009D2A80"/>
    <w:rsid w:val="009D3F45"/>
    <w:rsid w:val="009D450D"/>
    <w:rsid w:val="009D477B"/>
    <w:rsid w:val="009D6561"/>
    <w:rsid w:val="009D6B7A"/>
    <w:rsid w:val="009D6EB8"/>
    <w:rsid w:val="009D6F2E"/>
    <w:rsid w:val="009D7C2D"/>
    <w:rsid w:val="009E02AA"/>
    <w:rsid w:val="009E1149"/>
    <w:rsid w:val="009E12CE"/>
    <w:rsid w:val="009E3D1D"/>
    <w:rsid w:val="009E4E63"/>
    <w:rsid w:val="009E5895"/>
    <w:rsid w:val="009E5AF6"/>
    <w:rsid w:val="009E7D09"/>
    <w:rsid w:val="009E7D10"/>
    <w:rsid w:val="009F0036"/>
    <w:rsid w:val="009F08F9"/>
    <w:rsid w:val="009F10CA"/>
    <w:rsid w:val="009F14CC"/>
    <w:rsid w:val="009F157C"/>
    <w:rsid w:val="009F1F0C"/>
    <w:rsid w:val="009F4AFF"/>
    <w:rsid w:val="009F4F01"/>
    <w:rsid w:val="009F53B6"/>
    <w:rsid w:val="009F78CC"/>
    <w:rsid w:val="009F7D1E"/>
    <w:rsid w:val="009F7EF5"/>
    <w:rsid w:val="00A0037F"/>
    <w:rsid w:val="00A00B6A"/>
    <w:rsid w:val="00A01B34"/>
    <w:rsid w:val="00A03032"/>
    <w:rsid w:val="00A04127"/>
    <w:rsid w:val="00A04D1D"/>
    <w:rsid w:val="00A05077"/>
    <w:rsid w:val="00A069CD"/>
    <w:rsid w:val="00A06C4E"/>
    <w:rsid w:val="00A06F5C"/>
    <w:rsid w:val="00A07E23"/>
    <w:rsid w:val="00A07E5C"/>
    <w:rsid w:val="00A10D98"/>
    <w:rsid w:val="00A119E7"/>
    <w:rsid w:val="00A12301"/>
    <w:rsid w:val="00A123CD"/>
    <w:rsid w:val="00A126B8"/>
    <w:rsid w:val="00A13780"/>
    <w:rsid w:val="00A1431F"/>
    <w:rsid w:val="00A14650"/>
    <w:rsid w:val="00A16723"/>
    <w:rsid w:val="00A16A25"/>
    <w:rsid w:val="00A174BC"/>
    <w:rsid w:val="00A1756A"/>
    <w:rsid w:val="00A219AA"/>
    <w:rsid w:val="00A21EF2"/>
    <w:rsid w:val="00A21FFE"/>
    <w:rsid w:val="00A232C3"/>
    <w:rsid w:val="00A233FB"/>
    <w:rsid w:val="00A23DF9"/>
    <w:rsid w:val="00A23EE1"/>
    <w:rsid w:val="00A241A3"/>
    <w:rsid w:val="00A24BA4"/>
    <w:rsid w:val="00A24C90"/>
    <w:rsid w:val="00A252D3"/>
    <w:rsid w:val="00A261D4"/>
    <w:rsid w:val="00A27CF1"/>
    <w:rsid w:val="00A309BF"/>
    <w:rsid w:val="00A31C87"/>
    <w:rsid w:val="00A32D4C"/>
    <w:rsid w:val="00A33F4D"/>
    <w:rsid w:val="00A33FC3"/>
    <w:rsid w:val="00A340D0"/>
    <w:rsid w:val="00A36057"/>
    <w:rsid w:val="00A36DD6"/>
    <w:rsid w:val="00A40013"/>
    <w:rsid w:val="00A41B6E"/>
    <w:rsid w:val="00A42131"/>
    <w:rsid w:val="00A43495"/>
    <w:rsid w:val="00A436D9"/>
    <w:rsid w:val="00A43BF0"/>
    <w:rsid w:val="00A44F0C"/>
    <w:rsid w:val="00A450C4"/>
    <w:rsid w:val="00A45250"/>
    <w:rsid w:val="00A45B35"/>
    <w:rsid w:val="00A4604B"/>
    <w:rsid w:val="00A4727F"/>
    <w:rsid w:val="00A47A13"/>
    <w:rsid w:val="00A50363"/>
    <w:rsid w:val="00A52714"/>
    <w:rsid w:val="00A53130"/>
    <w:rsid w:val="00A540FF"/>
    <w:rsid w:val="00A54593"/>
    <w:rsid w:val="00A54598"/>
    <w:rsid w:val="00A54624"/>
    <w:rsid w:val="00A54CEE"/>
    <w:rsid w:val="00A55206"/>
    <w:rsid w:val="00A55309"/>
    <w:rsid w:val="00A5577A"/>
    <w:rsid w:val="00A55AAF"/>
    <w:rsid w:val="00A55AFE"/>
    <w:rsid w:val="00A56DF4"/>
    <w:rsid w:val="00A57437"/>
    <w:rsid w:val="00A579DF"/>
    <w:rsid w:val="00A61A43"/>
    <w:rsid w:val="00A61D14"/>
    <w:rsid w:val="00A62A02"/>
    <w:rsid w:val="00A63B4F"/>
    <w:rsid w:val="00A63BC9"/>
    <w:rsid w:val="00A6531E"/>
    <w:rsid w:val="00A659EA"/>
    <w:rsid w:val="00A65EE2"/>
    <w:rsid w:val="00A6723E"/>
    <w:rsid w:val="00A70B4D"/>
    <w:rsid w:val="00A70DCE"/>
    <w:rsid w:val="00A71ACC"/>
    <w:rsid w:val="00A71FFB"/>
    <w:rsid w:val="00A736CD"/>
    <w:rsid w:val="00A73E0A"/>
    <w:rsid w:val="00A74B4F"/>
    <w:rsid w:val="00A74E18"/>
    <w:rsid w:val="00A813DC"/>
    <w:rsid w:val="00A82602"/>
    <w:rsid w:val="00A83D37"/>
    <w:rsid w:val="00A84407"/>
    <w:rsid w:val="00A85616"/>
    <w:rsid w:val="00A86488"/>
    <w:rsid w:val="00A8692F"/>
    <w:rsid w:val="00A86FCC"/>
    <w:rsid w:val="00A874E9"/>
    <w:rsid w:val="00A874F8"/>
    <w:rsid w:val="00A918A3"/>
    <w:rsid w:val="00A91FE8"/>
    <w:rsid w:val="00A92D94"/>
    <w:rsid w:val="00A93457"/>
    <w:rsid w:val="00A93734"/>
    <w:rsid w:val="00A93AAF"/>
    <w:rsid w:val="00A94A8C"/>
    <w:rsid w:val="00A95871"/>
    <w:rsid w:val="00A95D92"/>
    <w:rsid w:val="00A96D73"/>
    <w:rsid w:val="00A97090"/>
    <w:rsid w:val="00A97B79"/>
    <w:rsid w:val="00A97D24"/>
    <w:rsid w:val="00AA196C"/>
    <w:rsid w:val="00AA2901"/>
    <w:rsid w:val="00AA4245"/>
    <w:rsid w:val="00AA43D0"/>
    <w:rsid w:val="00AA4C0C"/>
    <w:rsid w:val="00AA4CEB"/>
    <w:rsid w:val="00AA5FFC"/>
    <w:rsid w:val="00AA625E"/>
    <w:rsid w:val="00AB0BE2"/>
    <w:rsid w:val="00AB0F39"/>
    <w:rsid w:val="00AB0F5C"/>
    <w:rsid w:val="00AB1281"/>
    <w:rsid w:val="00AB1356"/>
    <w:rsid w:val="00AB1D3F"/>
    <w:rsid w:val="00AB275B"/>
    <w:rsid w:val="00AB3C16"/>
    <w:rsid w:val="00AB40ED"/>
    <w:rsid w:val="00AB4213"/>
    <w:rsid w:val="00AB525A"/>
    <w:rsid w:val="00AB6BD0"/>
    <w:rsid w:val="00AB75CB"/>
    <w:rsid w:val="00AB786C"/>
    <w:rsid w:val="00AC04C9"/>
    <w:rsid w:val="00AC07F7"/>
    <w:rsid w:val="00AC0D1C"/>
    <w:rsid w:val="00AC0FFB"/>
    <w:rsid w:val="00AC1F16"/>
    <w:rsid w:val="00AC2724"/>
    <w:rsid w:val="00AC2F34"/>
    <w:rsid w:val="00AC4E68"/>
    <w:rsid w:val="00AC6DF2"/>
    <w:rsid w:val="00AC7655"/>
    <w:rsid w:val="00AD12B8"/>
    <w:rsid w:val="00AD1F08"/>
    <w:rsid w:val="00AD2586"/>
    <w:rsid w:val="00AD3752"/>
    <w:rsid w:val="00AD42CF"/>
    <w:rsid w:val="00AD4A63"/>
    <w:rsid w:val="00AD5642"/>
    <w:rsid w:val="00AD582E"/>
    <w:rsid w:val="00AD61BB"/>
    <w:rsid w:val="00AD6384"/>
    <w:rsid w:val="00AD6583"/>
    <w:rsid w:val="00AD6C16"/>
    <w:rsid w:val="00AD7F31"/>
    <w:rsid w:val="00AE07CF"/>
    <w:rsid w:val="00AE0DED"/>
    <w:rsid w:val="00AE0FD0"/>
    <w:rsid w:val="00AE14B5"/>
    <w:rsid w:val="00AE171A"/>
    <w:rsid w:val="00AE47A0"/>
    <w:rsid w:val="00AE4A23"/>
    <w:rsid w:val="00AE4B43"/>
    <w:rsid w:val="00AE7768"/>
    <w:rsid w:val="00AE7CCE"/>
    <w:rsid w:val="00AE7CF7"/>
    <w:rsid w:val="00AF0228"/>
    <w:rsid w:val="00AF171C"/>
    <w:rsid w:val="00AF2216"/>
    <w:rsid w:val="00AF33F6"/>
    <w:rsid w:val="00AF39DB"/>
    <w:rsid w:val="00AF4915"/>
    <w:rsid w:val="00AF4B25"/>
    <w:rsid w:val="00AF4CE4"/>
    <w:rsid w:val="00AF50FB"/>
    <w:rsid w:val="00AF6286"/>
    <w:rsid w:val="00AF688E"/>
    <w:rsid w:val="00AF71E0"/>
    <w:rsid w:val="00AF769A"/>
    <w:rsid w:val="00AF7830"/>
    <w:rsid w:val="00AF7B14"/>
    <w:rsid w:val="00B00529"/>
    <w:rsid w:val="00B013D4"/>
    <w:rsid w:val="00B02105"/>
    <w:rsid w:val="00B02A79"/>
    <w:rsid w:val="00B0437B"/>
    <w:rsid w:val="00B0678C"/>
    <w:rsid w:val="00B06896"/>
    <w:rsid w:val="00B0722C"/>
    <w:rsid w:val="00B07865"/>
    <w:rsid w:val="00B079C7"/>
    <w:rsid w:val="00B10A0D"/>
    <w:rsid w:val="00B114F2"/>
    <w:rsid w:val="00B117E0"/>
    <w:rsid w:val="00B1364B"/>
    <w:rsid w:val="00B14020"/>
    <w:rsid w:val="00B141A4"/>
    <w:rsid w:val="00B14CA8"/>
    <w:rsid w:val="00B14F8E"/>
    <w:rsid w:val="00B1504A"/>
    <w:rsid w:val="00B15942"/>
    <w:rsid w:val="00B2019C"/>
    <w:rsid w:val="00B2053C"/>
    <w:rsid w:val="00B2116B"/>
    <w:rsid w:val="00B213EB"/>
    <w:rsid w:val="00B21AAE"/>
    <w:rsid w:val="00B2260E"/>
    <w:rsid w:val="00B23896"/>
    <w:rsid w:val="00B23B95"/>
    <w:rsid w:val="00B251E7"/>
    <w:rsid w:val="00B259F2"/>
    <w:rsid w:val="00B2672F"/>
    <w:rsid w:val="00B26E1F"/>
    <w:rsid w:val="00B26FB4"/>
    <w:rsid w:val="00B2760D"/>
    <w:rsid w:val="00B304BF"/>
    <w:rsid w:val="00B30E5C"/>
    <w:rsid w:val="00B30E98"/>
    <w:rsid w:val="00B31359"/>
    <w:rsid w:val="00B317E8"/>
    <w:rsid w:val="00B31832"/>
    <w:rsid w:val="00B3189C"/>
    <w:rsid w:val="00B31989"/>
    <w:rsid w:val="00B31C98"/>
    <w:rsid w:val="00B32E68"/>
    <w:rsid w:val="00B36B53"/>
    <w:rsid w:val="00B377C5"/>
    <w:rsid w:val="00B37A90"/>
    <w:rsid w:val="00B37CA4"/>
    <w:rsid w:val="00B37E0B"/>
    <w:rsid w:val="00B37E49"/>
    <w:rsid w:val="00B408B5"/>
    <w:rsid w:val="00B4108C"/>
    <w:rsid w:val="00B41E8F"/>
    <w:rsid w:val="00B430E5"/>
    <w:rsid w:val="00B45B04"/>
    <w:rsid w:val="00B45EF2"/>
    <w:rsid w:val="00B45F0C"/>
    <w:rsid w:val="00B467E4"/>
    <w:rsid w:val="00B47065"/>
    <w:rsid w:val="00B47844"/>
    <w:rsid w:val="00B47992"/>
    <w:rsid w:val="00B5034A"/>
    <w:rsid w:val="00B5083D"/>
    <w:rsid w:val="00B518E6"/>
    <w:rsid w:val="00B51C9A"/>
    <w:rsid w:val="00B525CB"/>
    <w:rsid w:val="00B52B93"/>
    <w:rsid w:val="00B52D57"/>
    <w:rsid w:val="00B5304F"/>
    <w:rsid w:val="00B5343D"/>
    <w:rsid w:val="00B53B44"/>
    <w:rsid w:val="00B55ACC"/>
    <w:rsid w:val="00B565E9"/>
    <w:rsid w:val="00B57052"/>
    <w:rsid w:val="00B57211"/>
    <w:rsid w:val="00B57228"/>
    <w:rsid w:val="00B57B55"/>
    <w:rsid w:val="00B60290"/>
    <w:rsid w:val="00B60770"/>
    <w:rsid w:val="00B6116B"/>
    <w:rsid w:val="00B6117E"/>
    <w:rsid w:val="00B620AD"/>
    <w:rsid w:val="00B628F7"/>
    <w:rsid w:val="00B62E0C"/>
    <w:rsid w:val="00B63751"/>
    <w:rsid w:val="00B64186"/>
    <w:rsid w:val="00B64452"/>
    <w:rsid w:val="00B64678"/>
    <w:rsid w:val="00B657DB"/>
    <w:rsid w:val="00B66757"/>
    <w:rsid w:val="00B667B5"/>
    <w:rsid w:val="00B70A87"/>
    <w:rsid w:val="00B70DFF"/>
    <w:rsid w:val="00B71EDB"/>
    <w:rsid w:val="00B73520"/>
    <w:rsid w:val="00B75004"/>
    <w:rsid w:val="00B75524"/>
    <w:rsid w:val="00B75E53"/>
    <w:rsid w:val="00B7763B"/>
    <w:rsid w:val="00B77811"/>
    <w:rsid w:val="00B77AF4"/>
    <w:rsid w:val="00B80ECF"/>
    <w:rsid w:val="00B81687"/>
    <w:rsid w:val="00B82E1D"/>
    <w:rsid w:val="00B82F1A"/>
    <w:rsid w:val="00B83167"/>
    <w:rsid w:val="00B8383B"/>
    <w:rsid w:val="00B83CEE"/>
    <w:rsid w:val="00B83EA9"/>
    <w:rsid w:val="00B84116"/>
    <w:rsid w:val="00B842AA"/>
    <w:rsid w:val="00B84517"/>
    <w:rsid w:val="00B846E0"/>
    <w:rsid w:val="00B87403"/>
    <w:rsid w:val="00B8745B"/>
    <w:rsid w:val="00B87917"/>
    <w:rsid w:val="00B87B08"/>
    <w:rsid w:val="00B90B95"/>
    <w:rsid w:val="00B91802"/>
    <w:rsid w:val="00B924EA"/>
    <w:rsid w:val="00B941E6"/>
    <w:rsid w:val="00B951CB"/>
    <w:rsid w:val="00B95B46"/>
    <w:rsid w:val="00B96966"/>
    <w:rsid w:val="00B96FB4"/>
    <w:rsid w:val="00B970D1"/>
    <w:rsid w:val="00B979F9"/>
    <w:rsid w:val="00B97F68"/>
    <w:rsid w:val="00B97FC0"/>
    <w:rsid w:val="00BA0E11"/>
    <w:rsid w:val="00BA12AC"/>
    <w:rsid w:val="00BA1995"/>
    <w:rsid w:val="00BA27FC"/>
    <w:rsid w:val="00BA3279"/>
    <w:rsid w:val="00BA3B03"/>
    <w:rsid w:val="00BA4C25"/>
    <w:rsid w:val="00BA5101"/>
    <w:rsid w:val="00BA57D7"/>
    <w:rsid w:val="00BA588F"/>
    <w:rsid w:val="00BA5A0C"/>
    <w:rsid w:val="00BA659A"/>
    <w:rsid w:val="00BA66AE"/>
    <w:rsid w:val="00BA68AF"/>
    <w:rsid w:val="00BA6946"/>
    <w:rsid w:val="00BA6B5C"/>
    <w:rsid w:val="00BA7232"/>
    <w:rsid w:val="00BA7C36"/>
    <w:rsid w:val="00BB1282"/>
    <w:rsid w:val="00BB19E2"/>
    <w:rsid w:val="00BB223A"/>
    <w:rsid w:val="00BB2329"/>
    <w:rsid w:val="00BB29D8"/>
    <w:rsid w:val="00BB35E6"/>
    <w:rsid w:val="00BB59A3"/>
    <w:rsid w:val="00BB6942"/>
    <w:rsid w:val="00BB6944"/>
    <w:rsid w:val="00BB7B52"/>
    <w:rsid w:val="00BB7E7C"/>
    <w:rsid w:val="00BB7F56"/>
    <w:rsid w:val="00BC09E9"/>
    <w:rsid w:val="00BC0A9D"/>
    <w:rsid w:val="00BC1181"/>
    <w:rsid w:val="00BC1E4A"/>
    <w:rsid w:val="00BC219A"/>
    <w:rsid w:val="00BC243C"/>
    <w:rsid w:val="00BC2B20"/>
    <w:rsid w:val="00BC2D57"/>
    <w:rsid w:val="00BC2E06"/>
    <w:rsid w:val="00BC3578"/>
    <w:rsid w:val="00BC3CD2"/>
    <w:rsid w:val="00BC3D5F"/>
    <w:rsid w:val="00BC4B98"/>
    <w:rsid w:val="00BC7E67"/>
    <w:rsid w:val="00BD0BF1"/>
    <w:rsid w:val="00BD1616"/>
    <w:rsid w:val="00BD1C81"/>
    <w:rsid w:val="00BD1DB6"/>
    <w:rsid w:val="00BD22CF"/>
    <w:rsid w:val="00BD248B"/>
    <w:rsid w:val="00BD2494"/>
    <w:rsid w:val="00BD279B"/>
    <w:rsid w:val="00BD3334"/>
    <w:rsid w:val="00BD3520"/>
    <w:rsid w:val="00BD3DCB"/>
    <w:rsid w:val="00BD4067"/>
    <w:rsid w:val="00BD4836"/>
    <w:rsid w:val="00BD54A0"/>
    <w:rsid w:val="00BD710A"/>
    <w:rsid w:val="00BE02D3"/>
    <w:rsid w:val="00BE065B"/>
    <w:rsid w:val="00BE0D0E"/>
    <w:rsid w:val="00BE19DA"/>
    <w:rsid w:val="00BE1B2F"/>
    <w:rsid w:val="00BE2F77"/>
    <w:rsid w:val="00BE3F7E"/>
    <w:rsid w:val="00BE77A0"/>
    <w:rsid w:val="00BE7869"/>
    <w:rsid w:val="00BF0484"/>
    <w:rsid w:val="00BF1313"/>
    <w:rsid w:val="00BF144A"/>
    <w:rsid w:val="00BF2752"/>
    <w:rsid w:val="00BF32FF"/>
    <w:rsid w:val="00BF3757"/>
    <w:rsid w:val="00BF37DB"/>
    <w:rsid w:val="00BF5083"/>
    <w:rsid w:val="00BF5A9A"/>
    <w:rsid w:val="00BF5DF1"/>
    <w:rsid w:val="00BF68A7"/>
    <w:rsid w:val="00BF74CC"/>
    <w:rsid w:val="00C0033B"/>
    <w:rsid w:val="00C00934"/>
    <w:rsid w:val="00C00D9C"/>
    <w:rsid w:val="00C02109"/>
    <w:rsid w:val="00C029BD"/>
    <w:rsid w:val="00C02EFD"/>
    <w:rsid w:val="00C0316F"/>
    <w:rsid w:val="00C04AB8"/>
    <w:rsid w:val="00C04AE0"/>
    <w:rsid w:val="00C05FA1"/>
    <w:rsid w:val="00C061DA"/>
    <w:rsid w:val="00C10583"/>
    <w:rsid w:val="00C10B58"/>
    <w:rsid w:val="00C1114F"/>
    <w:rsid w:val="00C11F47"/>
    <w:rsid w:val="00C12A0D"/>
    <w:rsid w:val="00C14B35"/>
    <w:rsid w:val="00C15045"/>
    <w:rsid w:val="00C205AE"/>
    <w:rsid w:val="00C209F9"/>
    <w:rsid w:val="00C20CF4"/>
    <w:rsid w:val="00C2102D"/>
    <w:rsid w:val="00C22512"/>
    <w:rsid w:val="00C22B69"/>
    <w:rsid w:val="00C2312D"/>
    <w:rsid w:val="00C23387"/>
    <w:rsid w:val="00C23B27"/>
    <w:rsid w:val="00C24C74"/>
    <w:rsid w:val="00C2613D"/>
    <w:rsid w:val="00C27D9B"/>
    <w:rsid w:val="00C304DF"/>
    <w:rsid w:val="00C30D70"/>
    <w:rsid w:val="00C31B8E"/>
    <w:rsid w:val="00C32014"/>
    <w:rsid w:val="00C32917"/>
    <w:rsid w:val="00C32E15"/>
    <w:rsid w:val="00C332D8"/>
    <w:rsid w:val="00C333EF"/>
    <w:rsid w:val="00C33497"/>
    <w:rsid w:val="00C349D9"/>
    <w:rsid w:val="00C34D37"/>
    <w:rsid w:val="00C35644"/>
    <w:rsid w:val="00C35652"/>
    <w:rsid w:val="00C36217"/>
    <w:rsid w:val="00C3630B"/>
    <w:rsid w:val="00C36FF5"/>
    <w:rsid w:val="00C376E1"/>
    <w:rsid w:val="00C37AE4"/>
    <w:rsid w:val="00C40FB0"/>
    <w:rsid w:val="00C41D31"/>
    <w:rsid w:val="00C42374"/>
    <w:rsid w:val="00C43105"/>
    <w:rsid w:val="00C435B0"/>
    <w:rsid w:val="00C441DB"/>
    <w:rsid w:val="00C44C03"/>
    <w:rsid w:val="00C45EA7"/>
    <w:rsid w:val="00C46A82"/>
    <w:rsid w:val="00C47DB8"/>
    <w:rsid w:val="00C47F09"/>
    <w:rsid w:val="00C518E9"/>
    <w:rsid w:val="00C520D4"/>
    <w:rsid w:val="00C52959"/>
    <w:rsid w:val="00C52A12"/>
    <w:rsid w:val="00C52CB0"/>
    <w:rsid w:val="00C52CD2"/>
    <w:rsid w:val="00C53BBE"/>
    <w:rsid w:val="00C5412B"/>
    <w:rsid w:val="00C546CB"/>
    <w:rsid w:val="00C54F4F"/>
    <w:rsid w:val="00C555C1"/>
    <w:rsid w:val="00C56C5E"/>
    <w:rsid w:val="00C57037"/>
    <w:rsid w:val="00C571E3"/>
    <w:rsid w:val="00C6262A"/>
    <w:rsid w:val="00C62B3B"/>
    <w:rsid w:val="00C645F1"/>
    <w:rsid w:val="00C64858"/>
    <w:rsid w:val="00C64A0F"/>
    <w:rsid w:val="00C65278"/>
    <w:rsid w:val="00C6619E"/>
    <w:rsid w:val="00C663A9"/>
    <w:rsid w:val="00C664F4"/>
    <w:rsid w:val="00C66DCA"/>
    <w:rsid w:val="00C66E26"/>
    <w:rsid w:val="00C67F25"/>
    <w:rsid w:val="00C71349"/>
    <w:rsid w:val="00C71F37"/>
    <w:rsid w:val="00C7453E"/>
    <w:rsid w:val="00C7462E"/>
    <w:rsid w:val="00C74F23"/>
    <w:rsid w:val="00C75378"/>
    <w:rsid w:val="00C75EA3"/>
    <w:rsid w:val="00C76F06"/>
    <w:rsid w:val="00C77E5C"/>
    <w:rsid w:val="00C77F4B"/>
    <w:rsid w:val="00C8094C"/>
    <w:rsid w:val="00C822AE"/>
    <w:rsid w:val="00C82A94"/>
    <w:rsid w:val="00C83329"/>
    <w:rsid w:val="00C83A3B"/>
    <w:rsid w:val="00C84B1C"/>
    <w:rsid w:val="00C855DC"/>
    <w:rsid w:val="00C86C39"/>
    <w:rsid w:val="00C86D48"/>
    <w:rsid w:val="00C87585"/>
    <w:rsid w:val="00C87F72"/>
    <w:rsid w:val="00C91A6E"/>
    <w:rsid w:val="00C93230"/>
    <w:rsid w:val="00C93F08"/>
    <w:rsid w:val="00C9420B"/>
    <w:rsid w:val="00C94224"/>
    <w:rsid w:val="00C954DA"/>
    <w:rsid w:val="00C965B3"/>
    <w:rsid w:val="00C971CA"/>
    <w:rsid w:val="00C9787E"/>
    <w:rsid w:val="00C97F32"/>
    <w:rsid w:val="00CA00E9"/>
    <w:rsid w:val="00CA03BF"/>
    <w:rsid w:val="00CA298D"/>
    <w:rsid w:val="00CA2C18"/>
    <w:rsid w:val="00CA3BB8"/>
    <w:rsid w:val="00CA3FAC"/>
    <w:rsid w:val="00CA55CE"/>
    <w:rsid w:val="00CA5C24"/>
    <w:rsid w:val="00CA6D4F"/>
    <w:rsid w:val="00CA7A6A"/>
    <w:rsid w:val="00CB0583"/>
    <w:rsid w:val="00CB05A8"/>
    <w:rsid w:val="00CB0CF2"/>
    <w:rsid w:val="00CB1DDB"/>
    <w:rsid w:val="00CB2308"/>
    <w:rsid w:val="00CB3027"/>
    <w:rsid w:val="00CB446B"/>
    <w:rsid w:val="00CB4F8F"/>
    <w:rsid w:val="00CB5E32"/>
    <w:rsid w:val="00CB7F9E"/>
    <w:rsid w:val="00CC1518"/>
    <w:rsid w:val="00CC1807"/>
    <w:rsid w:val="00CC1F12"/>
    <w:rsid w:val="00CC41D0"/>
    <w:rsid w:val="00CC4358"/>
    <w:rsid w:val="00CC46E4"/>
    <w:rsid w:val="00CC4CE8"/>
    <w:rsid w:val="00CC520C"/>
    <w:rsid w:val="00CC712C"/>
    <w:rsid w:val="00CC744B"/>
    <w:rsid w:val="00CD0094"/>
    <w:rsid w:val="00CD0923"/>
    <w:rsid w:val="00CD10E6"/>
    <w:rsid w:val="00CD2B56"/>
    <w:rsid w:val="00CD2EC6"/>
    <w:rsid w:val="00CD3D66"/>
    <w:rsid w:val="00CD5F35"/>
    <w:rsid w:val="00CD6C86"/>
    <w:rsid w:val="00CD6CDF"/>
    <w:rsid w:val="00CD6D9E"/>
    <w:rsid w:val="00CD6EEE"/>
    <w:rsid w:val="00CD73B5"/>
    <w:rsid w:val="00CE04F3"/>
    <w:rsid w:val="00CE17CC"/>
    <w:rsid w:val="00CE2307"/>
    <w:rsid w:val="00CE2584"/>
    <w:rsid w:val="00CE287A"/>
    <w:rsid w:val="00CE40BD"/>
    <w:rsid w:val="00CE6BBB"/>
    <w:rsid w:val="00CE6E0C"/>
    <w:rsid w:val="00CE78A9"/>
    <w:rsid w:val="00CE7DD6"/>
    <w:rsid w:val="00CE7EBF"/>
    <w:rsid w:val="00CF14E4"/>
    <w:rsid w:val="00CF16CF"/>
    <w:rsid w:val="00CF2BD7"/>
    <w:rsid w:val="00CF2D2A"/>
    <w:rsid w:val="00CF2D59"/>
    <w:rsid w:val="00CF3622"/>
    <w:rsid w:val="00CF363C"/>
    <w:rsid w:val="00CF3C15"/>
    <w:rsid w:val="00CF4AD1"/>
    <w:rsid w:val="00CF5010"/>
    <w:rsid w:val="00CF65E9"/>
    <w:rsid w:val="00CF6DA1"/>
    <w:rsid w:val="00CF73C0"/>
    <w:rsid w:val="00CF7CEB"/>
    <w:rsid w:val="00D031D7"/>
    <w:rsid w:val="00D03B78"/>
    <w:rsid w:val="00D04858"/>
    <w:rsid w:val="00D04A22"/>
    <w:rsid w:val="00D051A2"/>
    <w:rsid w:val="00D0552F"/>
    <w:rsid w:val="00D05A73"/>
    <w:rsid w:val="00D11D25"/>
    <w:rsid w:val="00D12E1E"/>
    <w:rsid w:val="00D12F21"/>
    <w:rsid w:val="00D13153"/>
    <w:rsid w:val="00D13648"/>
    <w:rsid w:val="00D136A2"/>
    <w:rsid w:val="00D16C71"/>
    <w:rsid w:val="00D17643"/>
    <w:rsid w:val="00D211F0"/>
    <w:rsid w:val="00D21810"/>
    <w:rsid w:val="00D21969"/>
    <w:rsid w:val="00D21B20"/>
    <w:rsid w:val="00D21D60"/>
    <w:rsid w:val="00D22241"/>
    <w:rsid w:val="00D230E8"/>
    <w:rsid w:val="00D23311"/>
    <w:rsid w:val="00D23A34"/>
    <w:rsid w:val="00D241DE"/>
    <w:rsid w:val="00D24CC9"/>
    <w:rsid w:val="00D256F7"/>
    <w:rsid w:val="00D261FD"/>
    <w:rsid w:val="00D26306"/>
    <w:rsid w:val="00D2686E"/>
    <w:rsid w:val="00D27817"/>
    <w:rsid w:val="00D27FE7"/>
    <w:rsid w:val="00D30BC3"/>
    <w:rsid w:val="00D30E11"/>
    <w:rsid w:val="00D31954"/>
    <w:rsid w:val="00D31B8C"/>
    <w:rsid w:val="00D320CF"/>
    <w:rsid w:val="00D3674B"/>
    <w:rsid w:val="00D3703D"/>
    <w:rsid w:val="00D41420"/>
    <w:rsid w:val="00D414C0"/>
    <w:rsid w:val="00D4197E"/>
    <w:rsid w:val="00D4387A"/>
    <w:rsid w:val="00D43DCC"/>
    <w:rsid w:val="00D46126"/>
    <w:rsid w:val="00D507F5"/>
    <w:rsid w:val="00D50EBE"/>
    <w:rsid w:val="00D5130C"/>
    <w:rsid w:val="00D51EDD"/>
    <w:rsid w:val="00D51EFB"/>
    <w:rsid w:val="00D54E93"/>
    <w:rsid w:val="00D555E5"/>
    <w:rsid w:val="00D57292"/>
    <w:rsid w:val="00D57E07"/>
    <w:rsid w:val="00D61331"/>
    <w:rsid w:val="00D6400A"/>
    <w:rsid w:val="00D64408"/>
    <w:rsid w:val="00D66F15"/>
    <w:rsid w:val="00D67496"/>
    <w:rsid w:val="00D6754E"/>
    <w:rsid w:val="00D67B74"/>
    <w:rsid w:val="00D70327"/>
    <w:rsid w:val="00D70697"/>
    <w:rsid w:val="00D70A39"/>
    <w:rsid w:val="00D70DA5"/>
    <w:rsid w:val="00D712D0"/>
    <w:rsid w:val="00D7198E"/>
    <w:rsid w:val="00D72D25"/>
    <w:rsid w:val="00D73202"/>
    <w:rsid w:val="00D74524"/>
    <w:rsid w:val="00D757C1"/>
    <w:rsid w:val="00D75E11"/>
    <w:rsid w:val="00D768AD"/>
    <w:rsid w:val="00D76BD8"/>
    <w:rsid w:val="00D76F25"/>
    <w:rsid w:val="00D76F8D"/>
    <w:rsid w:val="00D76F9E"/>
    <w:rsid w:val="00D778C4"/>
    <w:rsid w:val="00D77D01"/>
    <w:rsid w:val="00D8254D"/>
    <w:rsid w:val="00D83861"/>
    <w:rsid w:val="00D84A6B"/>
    <w:rsid w:val="00D84FC8"/>
    <w:rsid w:val="00D866C2"/>
    <w:rsid w:val="00D86E01"/>
    <w:rsid w:val="00D878F9"/>
    <w:rsid w:val="00D8796D"/>
    <w:rsid w:val="00D9103F"/>
    <w:rsid w:val="00D9285B"/>
    <w:rsid w:val="00D93FB6"/>
    <w:rsid w:val="00D94734"/>
    <w:rsid w:val="00D94ED6"/>
    <w:rsid w:val="00D9537C"/>
    <w:rsid w:val="00D95A8D"/>
    <w:rsid w:val="00D95AE8"/>
    <w:rsid w:val="00D961C6"/>
    <w:rsid w:val="00D96E06"/>
    <w:rsid w:val="00D970B2"/>
    <w:rsid w:val="00DA0823"/>
    <w:rsid w:val="00DA18D3"/>
    <w:rsid w:val="00DA1A6D"/>
    <w:rsid w:val="00DA1C70"/>
    <w:rsid w:val="00DA22D0"/>
    <w:rsid w:val="00DA2581"/>
    <w:rsid w:val="00DA26FC"/>
    <w:rsid w:val="00DA3A43"/>
    <w:rsid w:val="00DA5285"/>
    <w:rsid w:val="00DA65E9"/>
    <w:rsid w:val="00DA7052"/>
    <w:rsid w:val="00DA71BA"/>
    <w:rsid w:val="00DA7E6E"/>
    <w:rsid w:val="00DB03F8"/>
    <w:rsid w:val="00DB1EF9"/>
    <w:rsid w:val="00DB1FC1"/>
    <w:rsid w:val="00DB21E0"/>
    <w:rsid w:val="00DB226E"/>
    <w:rsid w:val="00DB35C6"/>
    <w:rsid w:val="00DB3EEC"/>
    <w:rsid w:val="00DB48A5"/>
    <w:rsid w:val="00DB5173"/>
    <w:rsid w:val="00DB542B"/>
    <w:rsid w:val="00DB5D9A"/>
    <w:rsid w:val="00DC01FD"/>
    <w:rsid w:val="00DC395B"/>
    <w:rsid w:val="00DC3B2E"/>
    <w:rsid w:val="00DC4A2F"/>
    <w:rsid w:val="00DC5197"/>
    <w:rsid w:val="00DC5DA6"/>
    <w:rsid w:val="00DC6071"/>
    <w:rsid w:val="00DC61A9"/>
    <w:rsid w:val="00DC6968"/>
    <w:rsid w:val="00DC6FF3"/>
    <w:rsid w:val="00DC78A2"/>
    <w:rsid w:val="00DC7BAB"/>
    <w:rsid w:val="00DD0FB0"/>
    <w:rsid w:val="00DD1398"/>
    <w:rsid w:val="00DD1781"/>
    <w:rsid w:val="00DD1942"/>
    <w:rsid w:val="00DD1D37"/>
    <w:rsid w:val="00DD212F"/>
    <w:rsid w:val="00DD2EB1"/>
    <w:rsid w:val="00DD3CD1"/>
    <w:rsid w:val="00DD4220"/>
    <w:rsid w:val="00DD42C7"/>
    <w:rsid w:val="00DD4B97"/>
    <w:rsid w:val="00DD4BB8"/>
    <w:rsid w:val="00DD514B"/>
    <w:rsid w:val="00DD59CD"/>
    <w:rsid w:val="00DD6547"/>
    <w:rsid w:val="00DD6638"/>
    <w:rsid w:val="00DD6653"/>
    <w:rsid w:val="00DD6BE4"/>
    <w:rsid w:val="00DD6C0B"/>
    <w:rsid w:val="00DE0DC9"/>
    <w:rsid w:val="00DE0E24"/>
    <w:rsid w:val="00DE0ECF"/>
    <w:rsid w:val="00DE19E8"/>
    <w:rsid w:val="00DE1DC0"/>
    <w:rsid w:val="00DE201A"/>
    <w:rsid w:val="00DE248A"/>
    <w:rsid w:val="00DE263A"/>
    <w:rsid w:val="00DE2A91"/>
    <w:rsid w:val="00DE3467"/>
    <w:rsid w:val="00DE3726"/>
    <w:rsid w:val="00DE3F47"/>
    <w:rsid w:val="00DE4CCC"/>
    <w:rsid w:val="00DE52EF"/>
    <w:rsid w:val="00DE55F3"/>
    <w:rsid w:val="00DE63B6"/>
    <w:rsid w:val="00DE7C25"/>
    <w:rsid w:val="00DF26A5"/>
    <w:rsid w:val="00DF2ED5"/>
    <w:rsid w:val="00DF4094"/>
    <w:rsid w:val="00DF78F9"/>
    <w:rsid w:val="00E003C4"/>
    <w:rsid w:val="00E0058A"/>
    <w:rsid w:val="00E0088C"/>
    <w:rsid w:val="00E01834"/>
    <w:rsid w:val="00E01CBE"/>
    <w:rsid w:val="00E0229C"/>
    <w:rsid w:val="00E0236F"/>
    <w:rsid w:val="00E02982"/>
    <w:rsid w:val="00E032F2"/>
    <w:rsid w:val="00E03B0A"/>
    <w:rsid w:val="00E04EEF"/>
    <w:rsid w:val="00E05533"/>
    <w:rsid w:val="00E05776"/>
    <w:rsid w:val="00E060CE"/>
    <w:rsid w:val="00E073EF"/>
    <w:rsid w:val="00E074B2"/>
    <w:rsid w:val="00E0785D"/>
    <w:rsid w:val="00E078AA"/>
    <w:rsid w:val="00E10ECD"/>
    <w:rsid w:val="00E10FE0"/>
    <w:rsid w:val="00E1130E"/>
    <w:rsid w:val="00E119C6"/>
    <w:rsid w:val="00E11C49"/>
    <w:rsid w:val="00E12959"/>
    <w:rsid w:val="00E14CFA"/>
    <w:rsid w:val="00E154E8"/>
    <w:rsid w:val="00E1576A"/>
    <w:rsid w:val="00E15F1D"/>
    <w:rsid w:val="00E17DDC"/>
    <w:rsid w:val="00E20B37"/>
    <w:rsid w:val="00E21174"/>
    <w:rsid w:val="00E21BF8"/>
    <w:rsid w:val="00E2233E"/>
    <w:rsid w:val="00E231E1"/>
    <w:rsid w:val="00E23765"/>
    <w:rsid w:val="00E24D51"/>
    <w:rsid w:val="00E254B9"/>
    <w:rsid w:val="00E30EC3"/>
    <w:rsid w:val="00E313D7"/>
    <w:rsid w:val="00E32158"/>
    <w:rsid w:val="00E3220E"/>
    <w:rsid w:val="00E32AC6"/>
    <w:rsid w:val="00E3408A"/>
    <w:rsid w:val="00E34DEB"/>
    <w:rsid w:val="00E35660"/>
    <w:rsid w:val="00E37C45"/>
    <w:rsid w:val="00E37C91"/>
    <w:rsid w:val="00E37DB2"/>
    <w:rsid w:val="00E40CE7"/>
    <w:rsid w:val="00E41D32"/>
    <w:rsid w:val="00E42495"/>
    <w:rsid w:val="00E43347"/>
    <w:rsid w:val="00E438A4"/>
    <w:rsid w:val="00E43930"/>
    <w:rsid w:val="00E43C09"/>
    <w:rsid w:val="00E43DE9"/>
    <w:rsid w:val="00E46203"/>
    <w:rsid w:val="00E4637C"/>
    <w:rsid w:val="00E467A6"/>
    <w:rsid w:val="00E47DD0"/>
    <w:rsid w:val="00E47FBB"/>
    <w:rsid w:val="00E501DC"/>
    <w:rsid w:val="00E507F5"/>
    <w:rsid w:val="00E50C91"/>
    <w:rsid w:val="00E510E2"/>
    <w:rsid w:val="00E513ED"/>
    <w:rsid w:val="00E51726"/>
    <w:rsid w:val="00E51A4F"/>
    <w:rsid w:val="00E52994"/>
    <w:rsid w:val="00E52ACD"/>
    <w:rsid w:val="00E5367F"/>
    <w:rsid w:val="00E5396F"/>
    <w:rsid w:val="00E54918"/>
    <w:rsid w:val="00E555F7"/>
    <w:rsid w:val="00E56D38"/>
    <w:rsid w:val="00E56E34"/>
    <w:rsid w:val="00E56F53"/>
    <w:rsid w:val="00E57302"/>
    <w:rsid w:val="00E60428"/>
    <w:rsid w:val="00E6073C"/>
    <w:rsid w:val="00E60C6A"/>
    <w:rsid w:val="00E60F11"/>
    <w:rsid w:val="00E61386"/>
    <w:rsid w:val="00E617B3"/>
    <w:rsid w:val="00E627F0"/>
    <w:rsid w:val="00E6498C"/>
    <w:rsid w:val="00E65ACB"/>
    <w:rsid w:val="00E665B4"/>
    <w:rsid w:val="00E665D4"/>
    <w:rsid w:val="00E66D7A"/>
    <w:rsid w:val="00E70A7A"/>
    <w:rsid w:val="00E70EFE"/>
    <w:rsid w:val="00E71466"/>
    <w:rsid w:val="00E71704"/>
    <w:rsid w:val="00E71C7A"/>
    <w:rsid w:val="00E74281"/>
    <w:rsid w:val="00E749FF"/>
    <w:rsid w:val="00E74AE5"/>
    <w:rsid w:val="00E74FC0"/>
    <w:rsid w:val="00E764A1"/>
    <w:rsid w:val="00E771DA"/>
    <w:rsid w:val="00E771F6"/>
    <w:rsid w:val="00E800BA"/>
    <w:rsid w:val="00E80AB1"/>
    <w:rsid w:val="00E80F03"/>
    <w:rsid w:val="00E81304"/>
    <w:rsid w:val="00E81DBE"/>
    <w:rsid w:val="00E83604"/>
    <w:rsid w:val="00E83BDB"/>
    <w:rsid w:val="00E84171"/>
    <w:rsid w:val="00E86794"/>
    <w:rsid w:val="00E86EAA"/>
    <w:rsid w:val="00E870AD"/>
    <w:rsid w:val="00E876FC"/>
    <w:rsid w:val="00E91635"/>
    <w:rsid w:val="00E91BC0"/>
    <w:rsid w:val="00E92156"/>
    <w:rsid w:val="00E92C2D"/>
    <w:rsid w:val="00E94B0E"/>
    <w:rsid w:val="00E94BF8"/>
    <w:rsid w:val="00E95A51"/>
    <w:rsid w:val="00E97D45"/>
    <w:rsid w:val="00EA1346"/>
    <w:rsid w:val="00EA1B01"/>
    <w:rsid w:val="00EA2E02"/>
    <w:rsid w:val="00EA408B"/>
    <w:rsid w:val="00EA503E"/>
    <w:rsid w:val="00EA5609"/>
    <w:rsid w:val="00EA5AE3"/>
    <w:rsid w:val="00EA6FAD"/>
    <w:rsid w:val="00EA71A3"/>
    <w:rsid w:val="00EB0601"/>
    <w:rsid w:val="00EB2607"/>
    <w:rsid w:val="00EB2943"/>
    <w:rsid w:val="00EB3930"/>
    <w:rsid w:val="00EB3A1F"/>
    <w:rsid w:val="00EB5536"/>
    <w:rsid w:val="00EB5D0F"/>
    <w:rsid w:val="00EB5E67"/>
    <w:rsid w:val="00EB5EF7"/>
    <w:rsid w:val="00EB62A5"/>
    <w:rsid w:val="00EC01C8"/>
    <w:rsid w:val="00EC088B"/>
    <w:rsid w:val="00EC0E12"/>
    <w:rsid w:val="00EC0EC2"/>
    <w:rsid w:val="00EC4720"/>
    <w:rsid w:val="00EC5669"/>
    <w:rsid w:val="00EC5757"/>
    <w:rsid w:val="00EC678C"/>
    <w:rsid w:val="00ED0457"/>
    <w:rsid w:val="00ED0604"/>
    <w:rsid w:val="00ED0D17"/>
    <w:rsid w:val="00ED1C4F"/>
    <w:rsid w:val="00ED2B1F"/>
    <w:rsid w:val="00ED2FCC"/>
    <w:rsid w:val="00ED32CE"/>
    <w:rsid w:val="00ED3707"/>
    <w:rsid w:val="00ED461E"/>
    <w:rsid w:val="00ED5255"/>
    <w:rsid w:val="00ED54F1"/>
    <w:rsid w:val="00ED5557"/>
    <w:rsid w:val="00ED63F8"/>
    <w:rsid w:val="00ED702F"/>
    <w:rsid w:val="00ED7203"/>
    <w:rsid w:val="00ED7A24"/>
    <w:rsid w:val="00EE014F"/>
    <w:rsid w:val="00EE057B"/>
    <w:rsid w:val="00EE16CA"/>
    <w:rsid w:val="00EE274B"/>
    <w:rsid w:val="00EE2AF3"/>
    <w:rsid w:val="00EE3A85"/>
    <w:rsid w:val="00EE3C4E"/>
    <w:rsid w:val="00EE4464"/>
    <w:rsid w:val="00EE5EC0"/>
    <w:rsid w:val="00EE69A1"/>
    <w:rsid w:val="00EE69A3"/>
    <w:rsid w:val="00EF00DF"/>
    <w:rsid w:val="00EF099C"/>
    <w:rsid w:val="00EF0F5B"/>
    <w:rsid w:val="00EF1656"/>
    <w:rsid w:val="00EF19B8"/>
    <w:rsid w:val="00EF1AEE"/>
    <w:rsid w:val="00EF1E87"/>
    <w:rsid w:val="00EF255B"/>
    <w:rsid w:val="00EF30AF"/>
    <w:rsid w:val="00EF312A"/>
    <w:rsid w:val="00EF3C5E"/>
    <w:rsid w:val="00EF3E89"/>
    <w:rsid w:val="00EF4816"/>
    <w:rsid w:val="00EF5621"/>
    <w:rsid w:val="00EF7610"/>
    <w:rsid w:val="00F00EA1"/>
    <w:rsid w:val="00F012F5"/>
    <w:rsid w:val="00F015C2"/>
    <w:rsid w:val="00F03013"/>
    <w:rsid w:val="00F044B9"/>
    <w:rsid w:val="00F047A6"/>
    <w:rsid w:val="00F050B7"/>
    <w:rsid w:val="00F052C8"/>
    <w:rsid w:val="00F06216"/>
    <w:rsid w:val="00F064F5"/>
    <w:rsid w:val="00F06CA8"/>
    <w:rsid w:val="00F073A8"/>
    <w:rsid w:val="00F0751E"/>
    <w:rsid w:val="00F07781"/>
    <w:rsid w:val="00F07AA4"/>
    <w:rsid w:val="00F07BCB"/>
    <w:rsid w:val="00F07DFC"/>
    <w:rsid w:val="00F1017B"/>
    <w:rsid w:val="00F10ADD"/>
    <w:rsid w:val="00F12280"/>
    <w:rsid w:val="00F12428"/>
    <w:rsid w:val="00F12E82"/>
    <w:rsid w:val="00F144EB"/>
    <w:rsid w:val="00F15815"/>
    <w:rsid w:val="00F15CBD"/>
    <w:rsid w:val="00F16574"/>
    <w:rsid w:val="00F16A73"/>
    <w:rsid w:val="00F16FEF"/>
    <w:rsid w:val="00F17486"/>
    <w:rsid w:val="00F177A1"/>
    <w:rsid w:val="00F178B0"/>
    <w:rsid w:val="00F1799B"/>
    <w:rsid w:val="00F17A61"/>
    <w:rsid w:val="00F17AA7"/>
    <w:rsid w:val="00F17ABC"/>
    <w:rsid w:val="00F17AE6"/>
    <w:rsid w:val="00F201E5"/>
    <w:rsid w:val="00F202F1"/>
    <w:rsid w:val="00F210CD"/>
    <w:rsid w:val="00F21CD1"/>
    <w:rsid w:val="00F23C54"/>
    <w:rsid w:val="00F23C8D"/>
    <w:rsid w:val="00F245EE"/>
    <w:rsid w:val="00F2511C"/>
    <w:rsid w:val="00F257E2"/>
    <w:rsid w:val="00F30533"/>
    <w:rsid w:val="00F31882"/>
    <w:rsid w:val="00F32029"/>
    <w:rsid w:val="00F328BE"/>
    <w:rsid w:val="00F32C61"/>
    <w:rsid w:val="00F3483F"/>
    <w:rsid w:val="00F34F1F"/>
    <w:rsid w:val="00F365DA"/>
    <w:rsid w:val="00F36754"/>
    <w:rsid w:val="00F36A1C"/>
    <w:rsid w:val="00F41332"/>
    <w:rsid w:val="00F41F32"/>
    <w:rsid w:val="00F42360"/>
    <w:rsid w:val="00F42B12"/>
    <w:rsid w:val="00F42B8C"/>
    <w:rsid w:val="00F43C35"/>
    <w:rsid w:val="00F447EF"/>
    <w:rsid w:val="00F44F0B"/>
    <w:rsid w:val="00F450BE"/>
    <w:rsid w:val="00F46967"/>
    <w:rsid w:val="00F46ABA"/>
    <w:rsid w:val="00F505CE"/>
    <w:rsid w:val="00F50E90"/>
    <w:rsid w:val="00F513A8"/>
    <w:rsid w:val="00F513EE"/>
    <w:rsid w:val="00F53FA7"/>
    <w:rsid w:val="00F542F5"/>
    <w:rsid w:val="00F54333"/>
    <w:rsid w:val="00F54418"/>
    <w:rsid w:val="00F56421"/>
    <w:rsid w:val="00F568AB"/>
    <w:rsid w:val="00F56E8F"/>
    <w:rsid w:val="00F61117"/>
    <w:rsid w:val="00F6112A"/>
    <w:rsid w:val="00F622FB"/>
    <w:rsid w:val="00F6271C"/>
    <w:rsid w:val="00F62A22"/>
    <w:rsid w:val="00F63DA5"/>
    <w:rsid w:val="00F6421B"/>
    <w:rsid w:val="00F6433A"/>
    <w:rsid w:val="00F64AD8"/>
    <w:rsid w:val="00F65124"/>
    <w:rsid w:val="00F656BE"/>
    <w:rsid w:val="00F66811"/>
    <w:rsid w:val="00F66CCB"/>
    <w:rsid w:val="00F6703E"/>
    <w:rsid w:val="00F67A4D"/>
    <w:rsid w:val="00F703DC"/>
    <w:rsid w:val="00F7133A"/>
    <w:rsid w:val="00F72A62"/>
    <w:rsid w:val="00F73E80"/>
    <w:rsid w:val="00F76254"/>
    <w:rsid w:val="00F76600"/>
    <w:rsid w:val="00F767B5"/>
    <w:rsid w:val="00F7725D"/>
    <w:rsid w:val="00F80FD5"/>
    <w:rsid w:val="00F811AC"/>
    <w:rsid w:val="00F81F87"/>
    <w:rsid w:val="00F8205D"/>
    <w:rsid w:val="00F851DE"/>
    <w:rsid w:val="00F852F4"/>
    <w:rsid w:val="00F854EE"/>
    <w:rsid w:val="00F855E3"/>
    <w:rsid w:val="00F857CD"/>
    <w:rsid w:val="00F860D6"/>
    <w:rsid w:val="00F8677A"/>
    <w:rsid w:val="00F873B3"/>
    <w:rsid w:val="00F8779F"/>
    <w:rsid w:val="00F9080A"/>
    <w:rsid w:val="00F91CC9"/>
    <w:rsid w:val="00F91EE5"/>
    <w:rsid w:val="00F91FA8"/>
    <w:rsid w:val="00F93243"/>
    <w:rsid w:val="00F93AE6"/>
    <w:rsid w:val="00F942C8"/>
    <w:rsid w:val="00F943E1"/>
    <w:rsid w:val="00F945E8"/>
    <w:rsid w:val="00F94DE1"/>
    <w:rsid w:val="00F9510A"/>
    <w:rsid w:val="00F95C95"/>
    <w:rsid w:val="00F95F85"/>
    <w:rsid w:val="00F9653A"/>
    <w:rsid w:val="00FA0FE1"/>
    <w:rsid w:val="00FA17DE"/>
    <w:rsid w:val="00FA3F82"/>
    <w:rsid w:val="00FA3F93"/>
    <w:rsid w:val="00FA6A65"/>
    <w:rsid w:val="00FA7477"/>
    <w:rsid w:val="00FA7929"/>
    <w:rsid w:val="00FB019A"/>
    <w:rsid w:val="00FB02BA"/>
    <w:rsid w:val="00FB0564"/>
    <w:rsid w:val="00FB1209"/>
    <w:rsid w:val="00FB19A9"/>
    <w:rsid w:val="00FB2BFA"/>
    <w:rsid w:val="00FB2F02"/>
    <w:rsid w:val="00FB3352"/>
    <w:rsid w:val="00FB3EE6"/>
    <w:rsid w:val="00FB409B"/>
    <w:rsid w:val="00FB673A"/>
    <w:rsid w:val="00FB6E01"/>
    <w:rsid w:val="00FB6F05"/>
    <w:rsid w:val="00FB7246"/>
    <w:rsid w:val="00FB7530"/>
    <w:rsid w:val="00FB794E"/>
    <w:rsid w:val="00FC0433"/>
    <w:rsid w:val="00FC1F21"/>
    <w:rsid w:val="00FC1F57"/>
    <w:rsid w:val="00FC2342"/>
    <w:rsid w:val="00FC325E"/>
    <w:rsid w:val="00FC3882"/>
    <w:rsid w:val="00FC39CE"/>
    <w:rsid w:val="00FC4464"/>
    <w:rsid w:val="00FC447A"/>
    <w:rsid w:val="00FC48FF"/>
    <w:rsid w:val="00FC4ECA"/>
    <w:rsid w:val="00FC50E4"/>
    <w:rsid w:val="00FC6658"/>
    <w:rsid w:val="00FC734B"/>
    <w:rsid w:val="00FC78D1"/>
    <w:rsid w:val="00FC7E02"/>
    <w:rsid w:val="00FD0B76"/>
    <w:rsid w:val="00FD28AF"/>
    <w:rsid w:val="00FD3FB7"/>
    <w:rsid w:val="00FD578E"/>
    <w:rsid w:val="00FD5E79"/>
    <w:rsid w:val="00FD74C4"/>
    <w:rsid w:val="00FE0BB6"/>
    <w:rsid w:val="00FE116A"/>
    <w:rsid w:val="00FE2C60"/>
    <w:rsid w:val="00FE36CC"/>
    <w:rsid w:val="00FE5078"/>
    <w:rsid w:val="00FE5428"/>
    <w:rsid w:val="00FE5551"/>
    <w:rsid w:val="00FE75B1"/>
    <w:rsid w:val="00FE780C"/>
    <w:rsid w:val="00FF09FC"/>
    <w:rsid w:val="00FF0B61"/>
    <w:rsid w:val="00FF1B90"/>
    <w:rsid w:val="00FF1C63"/>
    <w:rsid w:val="00FF2915"/>
    <w:rsid w:val="00FF2B6E"/>
    <w:rsid w:val="00FF3B9B"/>
    <w:rsid w:val="00FF3F1C"/>
    <w:rsid w:val="00FF46E5"/>
    <w:rsid w:val="00FF4BD9"/>
    <w:rsid w:val="00FF5A3A"/>
    <w:rsid w:val="00FF6171"/>
    <w:rsid w:val="00FF667E"/>
    <w:rsid w:val="00FF6DE5"/>
    <w:rsid w:val="00FF7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8D0ADCD-FBE7-4AAA-98DA-8EC82E8F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A3FA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pPr>
      <w:numPr>
        <w:numId w:val="1"/>
      </w:numPr>
      <w:kinsoku w:val="0"/>
      <w:spacing w:line="240" w:lineRule="auto"/>
      <w:ind w:leftChars="0" w:left="800" w:hangingChars="800" w:hanging="80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"/>
    <w:qFormat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36F9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character" w:customStyle="1" w:styleId="10">
    <w:name w:val="(一)(二)(三) 字元1"/>
    <w:link w:val="a4"/>
    <w:rsid w:val="00D031D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 字元 字元"/>
    <w:basedOn w:val="a8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link w:val="a9"/>
    <w:semiHidden/>
    <w:pPr>
      <w:ind w:leftChars="400" w:left="960" w:hangingChars="200" w:hanging="480"/>
    </w:pPr>
  </w:style>
  <w:style w:type="character" w:customStyle="1" w:styleId="a9">
    <w:name w:val="圖表目錄 字元"/>
    <w:link w:val="a8"/>
    <w:rsid w:val="00FF3F1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a">
    <w:name w:val="報告名稱"/>
    <w:basedOn w:val="a"/>
    <w:link w:val="ab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 字元"/>
    <w:basedOn w:val="142"/>
    <w:link w:val="201"/>
    <w:pPr>
      <w:spacing w:line="400" w:lineRule="exact"/>
    </w:pPr>
  </w:style>
  <w:style w:type="character" w:customStyle="1" w:styleId="201">
    <w:name w:val="表格內文(20行高) 字元 字元1"/>
    <w:basedOn w:val="143"/>
    <w:link w:val="20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rsid w:val="00D261FD"/>
    <w:pPr>
      <w:tabs>
        <w:tab w:val="right" w:leader="hyphen" w:pos="8490"/>
      </w:tabs>
      <w:spacing w:line="400" w:lineRule="exact"/>
      <w:ind w:leftChars="0" w:left="357" w:hangingChars="126" w:hanging="357"/>
    </w:pPr>
    <w:rPr>
      <w:color w:val="000000"/>
      <w:sz w:val="24"/>
      <w:szCs w:val="24"/>
    </w:rPr>
  </w:style>
  <w:style w:type="paragraph" w:styleId="21">
    <w:name w:val="toc 2"/>
    <w:basedOn w:val="a"/>
    <w:next w:val="a"/>
    <w:autoRedefine/>
    <w:uiPriority w:val="39"/>
    <w:rsid w:val="00652B67"/>
    <w:pPr>
      <w:tabs>
        <w:tab w:val="right" w:leader="hyphen" w:pos="8490"/>
      </w:tabs>
      <w:ind w:leftChars="0" w:left="487" w:rightChars="76" w:right="215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af">
    <w:name w:val="Body Text Indent"/>
    <w:basedOn w:val="a"/>
    <w:pPr>
      <w:spacing w:line="480" w:lineRule="exact"/>
      <w:ind w:left="554" w:firstLine="554"/>
    </w:pPr>
    <w:rPr>
      <w:rFonts w:ascii="Times New Roman"/>
    </w:rPr>
  </w:style>
  <w:style w:type="character" w:styleId="af0">
    <w:name w:val="page number"/>
    <w:basedOn w:val="a0"/>
  </w:style>
  <w:style w:type="paragraph" w:styleId="af1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2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22">
    <w:name w:val="Body Text Indent 2"/>
    <w:basedOn w:val="a"/>
    <w:pPr>
      <w:ind w:left="567" w:firstLine="567"/>
      <w:jc w:val="left"/>
    </w:pPr>
  </w:style>
  <w:style w:type="paragraph" w:styleId="af3">
    <w:name w:val="Salutation"/>
    <w:basedOn w:val="a"/>
    <w:next w:val="a"/>
    <w:rPr>
      <w:rFonts w:hAnsi="標楷體"/>
    </w:rPr>
  </w:style>
  <w:style w:type="paragraph" w:styleId="af4">
    <w:name w:val="Closing"/>
    <w:basedOn w:val="a"/>
    <w:pPr>
      <w:ind w:leftChars="1800" w:left="100"/>
    </w:pPr>
    <w:rPr>
      <w:rFonts w:hAnsi="標楷體"/>
    </w:rPr>
  </w:style>
  <w:style w:type="character" w:customStyle="1" w:styleId="af5">
    <w:name w:val="(一)(二)(三) 字元"/>
    <w:link w:val="af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6">
    <w:name w:val="(一)(二)(三) 字元 字元"/>
    <w:link w:val="af5"/>
    <w:rsid w:val="001260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">
    <w:name w:val="1.2.3. 字元"/>
    <w:link w:val="1232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link w:val="1231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7">
    <w:name w:val="FollowedHyperlink"/>
    <w:rPr>
      <w:color w:val="800080"/>
      <w:u w:val="single"/>
    </w:rPr>
  </w:style>
  <w:style w:type="paragraph" w:customStyle="1" w:styleId="50">
    <w:name w:val="樣式5"/>
    <w:basedOn w:val="a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0">
    <w:name w:val="樣式4"/>
    <w:basedOn w:val="a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rsid w:val="004D1D0B"/>
    <w:rPr>
      <w:rFonts w:ascii="Arial Unicode MS" w:eastAsia="Arial Unicode MS" w:hAnsi="Arial Unicode MS" w:cs="Arial Unicode MS"/>
      <w:color w:val="000000"/>
    </w:rPr>
  </w:style>
  <w:style w:type="table" w:styleId="af8">
    <w:name w:val="Table Grid"/>
    <w:basedOn w:val="a1"/>
    <w:rsid w:val="00FF3F1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9">
    <w:name w:val="特殊項目符號"/>
    <w:basedOn w:val="a"/>
    <w:next w:val="a"/>
    <w:rsid w:val="00FF3F1C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0">
    <w:name w:val="toc 6"/>
    <w:basedOn w:val="a"/>
    <w:next w:val="a"/>
    <w:autoRedefine/>
    <w:semiHidden/>
    <w:rsid w:val="00FF3F1C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styleId="51">
    <w:name w:val="toc 5"/>
    <w:basedOn w:val="a"/>
    <w:next w:val="a"/>
    <w:autoRedefine/>
    <w:semiHidden/>
    <w:rsid w:val="00FF3F1C"/>
    <w:pPr>
      <w:spacing w:line="320" w:lineRule="exact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paragraph" w:customStyle="1" w:styleId="12">
    <w:name w:val="表格內文1"/>
    <w:rsid w:val="008C3E5E"/>
    <w:pPr>
      <w:spacing w:line="280" w:lineRule="exact"/>
    </w:pPr>
    <w:rPr>
      <w:rFonts w:eastAsia="標楷體"/>
      <w:sz w:val="24"/>
      <w:szCs w:val="24"/>
    </w:rPr>
  </w:style>
  <w:style w:type="paragraph" w:customStyle="1" w:styleId="160">
    <w:name w:val="表格內文(16行高)"/>
    <w:basedOn w:val="a8"/>
    <w:link w:val="161"/>
    <w:qFormat/>
    <w:rsid w:val="00F202F1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F202F1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rsid w:val="00F202F1"/>
    <w:pPr>
      <w:spacing w:line="400" w:lineRule="exact"/>
    </w:pPr>
    <w:rPr>
      <w:sz w:val="28"/>
    </w:rPr>
  </w:style>
  <w:style w:type="paragraph" w:styleId="30">
    <w:name w:val="toc 3"/>
    <w:basedOn w:val="a"/>
    <w:next w:val="a"/>
    <w:autoRedefine/>
    <w:semiHidden/>
    <w:rsid w:val="006C5D62"/>
    <w:pPr>
      <w:ind w:leftChars="400" w:left="960"/>
    </w:pPr>
  </w:style>
  <w:style w:type="paragraph" w:customStyle="1" w:styleId="23">
    <w:name w:val="(一)下內文縮2"/>
    <w:basedOn w:val="a"/>
    <w:qFormat/>
    <w:rsid w:val="00092327"/>
    <w:pPr>
      <w:adjustRightInd w:val="0"/>
      <w:ind w:leftChars="300" w:left="300"/>
    </w:pPr>
  </w:style>
  <w:style w:type="paragraph" w:styleId="afa">
    <w:name w:val="footnote text"/>
    <w:basedOn w:val="a"/>
    <w:link w:val="afb"/>
    <w:uiPriority w:val="99"/>
    <w:rsid w:val="00092327"/>
    <w:pPr>
      <w:snapToGrid w:val="0"/>
      <w:jc w:val="left"/>
    </w:pPr>
    <w:rPr>
      <w:sz w:val="20"/>
      <w:szCs w:val="20"/>
    </w:rPr>
  </w:style>
  <w:style w:type="character" w:customStyle="1" w:styleId="afb">
    <w:name w:val="註腳文字 字元"/>
    <w:link w:val="afa"/>
    <w:uiPriority w:val="99"/>
    <w:rsid w:val="00F30533"/>
    <w:rPr>
      <w:rFonts w:ascii="標楷體" w:eastAsia="標楷體"/>
      <w:snapToGrid w:val="0"/>
      <w:kern w:val="2"/>
    </w:rPr>
  </w:style>
  <w:style w:type="character" w:styleId="afc">
    <w:name w:val="footnote reference"/>
    <w:aliases w:val="FR,Ref,de nota al pie,註腳內容,Error-Fußnotenzeichen5,Error-Fußnotenzeichen6,Error-Fußnotenzeichen3"/>
    <w:uiPriority w:val="99"/>
    <w:rsid w:val="00092327"/>
    <w:rPr>
      <w:vertAlign w:val="superscript"/>
    </w:rPr>
  </w:style>
  <w:style w:type="paragraph" w:customStyle="1" w:styleId="afd">
    <w:name w:val="預備金及追加預算標題 字元"/>
    <w:link w:val="afe"/>
    <w:rsid w:val="00D031D7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fe">
    <w:name w:val="預備金及追加預算標題 字元 字元"/>
    <w:link w:val="afd"/>
    <w:rsid w:val="00D031D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f">
    <w:name w:val="annotation reference"/>
    <w:semiHidden/>
    <w:rsid w:val="00CF2D59"/>
    <w:rPr>
      <w:sz w:val="18"/>
      <w:szCs w:val="18"/>
    </w:rPr>
  </w:style>
  <w:style w:type="paragraph" w:styleId="aff0">
    <w:name w:val="annotation text"/>
    <w:basedOn w:val="a"/>
    <w:semiHidden/>
    <w:rsid w:val="00CF2D59"/>
    <w:pPr>
      <w:jc w:val="left"/>
    </w:pPr>
  </w:style>
  <w:style w:type="paragraph" w:styleId="aff1">
    <w:name w:val="annotation subject"/>
    <w:basedOn w:val="aff0"/>
    <w:next w:val="aff0"/>
    <w:semiHidden/>
    <w:rsid w:val="00CF2D59"/>
    <w:rPr>
      <w:b/>
      <w:bCs/>
    </w:rPr>
  </w:style>
  <w:style w:type="paragraph" w:styleId="aff2">
    <w:name w:val="Balloon Text"/>
    <w:basedOn w:val="a"/>
    <w:semiHidden/>
    <w:rsid w:val="00CF2D59"/>
    <w:rPr>
      <w:rFonts w:ascii="Arial" w:eastAsia="新細明體" w:hAnsi="Arial"/>
      <w:sz w:val="18"/>
      <w:szCs w:val="18"/>
    </w:rPr>
  </w:style>
  <w:style w:type="character" w:customStyle="1" w:styleId="1410">
    <w:name w:val="第二層(14號字) 字元1"/>
    <w:rsid w:val="00AB12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3">
    <w:name w:val="行文機關"/>
    <w:basedOn w:val="a"/>
    <w:rsid w:val="00A450C4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Cs w:val="20"/>
    </w:rPr>
  </w:style>
  <w:style w:type="paragraph" w:styleId="aff4">
    <w:name w:val="No Spacing"/>
    <w:uiPriority w:val="1"/>
    <w:qFormat/>
    <w:rsid w:val="00B304BF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5">
    <w:name w:val="Body Text"/>
    <w:basedOn w:val="a"/>
    <w:link w:val="aff6"/>
    <w:rsid w:val="00040FBF"/>
    <w:pPr>
      <w:spacing w:after="120"/>
    </w:pPr>
  </w:style>
  <w:style w:type="character" w:customStyle="1" w:styleId="aff6">
    <w:name w:val="本文 字元"/>
    <w:link w:val="aff5"/>
    <w:rsid w:val="00040FBF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Note Heading"/>
    <w:basedOn w:val="a"/>
    <w:next w:val="a"/>
    <w:link w:val="aff8"/>
    <w:rsid w:val="00A10D98"/>
    <w:pPr>
      <w:jc w:val="center"/>
    </w:pPr>
    <w:rPr>
      <w:color w:val="000000"/>
    </w:rPr>
  </w:style>
  <w:style w:type="character" w:customStyle="1" w:styleId="aff8">
    <w:name w:val="註釋標題 字元"/>
    <w:link w:val="aff7"/>
    <w:rsid w:val="00A10D98"/>
    <w:rPr>
      <w:rFonts w:ascii="標楷體" w:eastAsia="標楷體"/>
      <w:snapToGrid w:val="0"/>
      <w:color w:val="000000"/>
      <w:kern w:val="2"/>
      <w:sz w:val="28"/>
      <w:szCs w:val="28"/>
    </w:rPr>
  </w:style>
  <w:style w:type="paragraph" w:customStyle="1" w:styleId="aff9">
    <w:name w:val="表內(一)"/>
    <w:basedOn w:val="160"/>
    <w:link w:val="affa"/>
    <w:rsid w:val="00402A7C"/>
    <w:pPr>
      <w:spacing w:line="360" w:lineRule="exact"/>
      <w:ind w:left="351" w:hangingChars="144" w:hanging="351"/>
      <w:jc w:val="both"/>
    </w:pPr>
  </w:style>
  <w:style w:type="paragraph" w:customStyle="1" w:styleId="13">
    <w:name w:val="表內1."/>
    <w:basedOn w:val="aff9"/>
    <w:link w:val="15"/>
    <w:rsid w:val="00402A7C"/>
    <w:pPr>
      <w:ind w:leftChars="129" w:left="617" w:hangingChars="103" w:hanging="251"/>
    </w:pPr>
  </w:style>
  <w:style w:type="character" w:customStyle="1" w:styleId="affa">
    <w:name w:val="表內(一) 字元"/>
    <w:link w:val="aff9"/>
    <w:rsid w:val="00402A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b">
    <w:name w:val="表內(一)(二)"/>
    <w:basedOn w:val="affc"/>
    <w:link w:val="affd"/>
    <w:qFormat/>
    <w:rsid w:val="00535C4A"/>
    <w:pPr>
      <w:ind w:left="241" w:hangingChars="99" w:hanging="241"/>
    </w:pPr>
  </w:style>
  <w:style w:type="character" w:customStyle="1" w:styleId="15">
    <w:name w:val="表內1. 字元"/>
    <w:basedOn w:val="affa"/>
    <w:link w:val="13"/>
    <w:rsid w:val="00402A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1012">
    <w:name w:val="110表內1.2."/>
    <w:basedOn w:val="13"/>
    <w:link w:val="110120"/>
    <w:qFormat/>
    <w:rsid w:val="006E47C4"/>
    <w:pPr>
      <w:spacing w:line="280" w:lineRule="exact"/>
      <w:ind w:leftChars="61" w:left="438" w:hangingChars="109" w:hanging="265"/>
    </w:pPr>
    <w:rPr>
      <w:szCs w:val="24"/>
    </w:rPr>
  </w:style>
  <w:style w:type="character" w:customStyle="1" w:styleId="affd">
    <w:name w:val="表內(一)(二) 字元"/>
    <w:link w:val="affb"/>
    <w:rsid w:val="00535C4A"/>
    <w:rPr>
      <w:rFonts w:ascii="標楷體" w:eastAsia="標楷體" w:hAnsi="標楷體" w:cs="Arial"/>
      <w:kern w:val="2"/>
      <w:sz w:val="24"/>
      <w:szCs w:val="24"/>
    </w:rPr>
  </w:style>
  <w:style w:type="paragraph" w:customStyle="1" w:styleId="24">
    <w:name w:val=" 字元 字元2 字元 字元 字元"/>
    <w:basedOn w:val="a"/>
    <w:semiHidden/>
    <w:rsid w:val="00DD212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10120">
    <w:name w:val="110表內1.2. 字元"/>
    <w:link w:val="11012"/>
    <w:rsid w:val="006E47C4"/>
    <w:rPr>
      <w:rFonts w:ascii="標楷體" w:eastAsia="標楷體"/>
      <w:snapToGrid w:val="0"/>
      <w:kern w:val="2"/>
      <w:sz w:val="24"/>
      <w:szCs w:val="24"/>
    </w:rPr>
  </w:style>
  <w:style w:type="paragraph" w:styleId="affe">
    <w:name w:val="Date"/>
    <w:basedOn w:val="a"/>
    <w:next w:val="a"/>
    <w:link w:val="afff"/>
    <w:rsid w:val="00DD212F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">
    <w:name w:val="日期 字元"/>
    <w:link w:val="affe"/>
    <w:rsid w:val="00DD212F"/>
    <w:rPr>
      <w:rFonts w:eastAsia="標楷體"/>
      <w:b/>
      <w:bCs/>
      <w:kern w:val="2"/>
      <w:sz w:val="36"/>
      <w:szCs w:val="24"/>
    </w:rPr>
  </w:style>
  <w:style w:type="character" w:customStyle="1" w:styleId="ab">
    <w:name w:val="報告名稱 字元"/>
    <w:link w:val="aa"/>
    <w:rsid w:val="00DD3CD1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affc">
    <w:name w:val="表內一"/>
    <w:basedOn w:val="160"/>
    <w:link w:val="afff0"/>
    <w:qFormat/>
    <w:rsid w:val="00006E54"/>
    <w:pPr>
      <w:ind w:leftChars="-35" w:left="247" w:rightChars="-20" w:right="-57" w:hangingChars="122" w:hanging="346"/>
      <w:jc w:val="both"/>
    </w:pPr>
    <w:rPr>
      <w:rFonts w:hAnsi="標楷體" w:cs="Arial"/>
      <w:snapToGrid/>
      <w:szCs w:val="24"/>
    </w:rPr>
  </w:style>
  <w:style w:type="paragraph" w:customStyle="1" w:styleId="afff1">
    <w:name w:val="表格內一"/>
    <w:basedOn w:val="160"/>
    <w:qFormat/>
    <w:rsid w:val="004D6885"/>
    <w:pPr>
      <w:ind w:left="222" w:rightChars="-27" w:right="-77" w:hangingChars="91" w:hanging="222"/>
      <w:jc w:val="both"/>
    </w:pPr>
    <w:rPr>
      <w:rFonts w:hAnsi="標楷體" w:cs="Arial"/>
      <w:snapToGrid/>
      <w:szCs w:val="24"/>
    </w:rPr>
  </w:style>
  <w:style w:type="paragraph" w:customStyle="1" w:styleId="-110">
    <w:name w:val="表格內文-110"/>
    <w:basedOn w:val="160"/>
    <w:link w:val="-1100"/>
    <w:qFormat/>
    <w:rsid w:val="00B14F8E"/>
    <w:pPr>
      <w:ind w:leftChars="-38" w:left="-108" w:rightChars="-38" w:right="-108"/>
    </w:pPr>
  </w:style>
  <w:style w:type="paragraph" w:customStyle="1" w:styleId="110">
    <w:name w:val="110表內文"/>
    <w:basedOn w:val="-110"/>
    <w:link w:val="1100"/>
    <w:qFormat/>
    <w:rsid w:val="007B3A61"/>
    <w:pPr>
      <w:ind w:rightChars="-15" w:right="-43"/>
      <w:jc w:val="both"/>
    </w:pPr>
    <w:rPr>
      <w:color w:val="FF0000"/>
    </w:rPr>
  </w:style>
  <w:style w:type="character" w:customStyle="1" w:styleId="-1100">
    <w:name w:val="表格內文-110 字元"/>
    <w:basedOn w:val="161"/>
    <w:link w:val="-110"/>
    <w:rsid w:val="00B14F8E"/>
    <w:rPr>
      <w:rFonts w:ascii="標楷體" w:eastAsia="標楷體"/>
      <w:snapToGrid w:val="0"/>
      <w:kern w:val="2"/>
      <w:sz w:val="28"/>
      <w:szCs w:val="28"/>
    </w:rPr>
  </w:style>
  <w:style w:type="paragraph" w:customStyle="1" w:styleId="1101">
    <w:name w:val="110表內一"/>
    <w:basedOn w:val="affc"/>
    <w:link w:val="1102"/>
    <w:qFormat/>
    <w:rsid w:val="003C79CD"/>
    <w:rPr>
      <w:color w:val="FF0000"/>
      <w:szCs w:val="28"/>
    </w:rPr>
  </w:style>
  <w:style w:type="character" w:customStyle="1" w:styleId="1100">
    <w:name w:val="110表內文 字元"/>
    <w:link w:val="110"/>
    <w:rsid w:val="007B3A61"/>
    <w:rPr>
      <w:rFonts w:ascii="標楷體" w:eastAsia="標楷體"/>
      <w:snapToGrid w:val="0"/>
      <w:color w:val="FF0000"/>
      <w:kern w:val="2"/>
      <w:sz w:val="28"/>
      <w:szCs w:val="28"/>
    </w:rPr>
  </w:style>
  <w:style w:type="paragraph" w:customStyle="1" w:styleId="1103">
    <w:name w:val="110表左段二"/>
    <w:basedOn w:val="affc"/>
    <w:link w:val="1104"/>
    <w:qFormat/>
    <w:rsid w:val="00F8677A"/>
    <w:pPr>
      <w:ind w:leftChars="87" w:firstLineChars="186" w:firstLine="527"/>
    </w:pPr>
  </w:style>
  <w:style w:type="character" w:customStyle="1" w:styleId="afff0">
    <w:name w:val="表內一 字元"/>
    <w:link w:val="affc"/>
    <w:rsid w:val="00006E54"/>
    <w:rPr>
      <w:rFonts w:ascii="標楷體" w:eastAsia="標楷體" w:hAnsi="標楷體" w:cs="Arial"/>
      <w:kern w:val="2"/>
      <w:sz w:val="28"/>
      <w:szCs w:val="24"/>
    </w:rPr>
  </w:style>
  <w:style w:type="character" w:customStyle="1" w:styleId="1102">
    <w:name w:val="110表內一 字元"/>
    <w:link w:val="1101"/>
    <w:rsid w:val="003C79CD"/>
    <w:rPr>
      <w:rFonts w:ascii="標楷體" w:eastAsia="標楷體" w:hAnsi="標楷體" w:cs="Arial"/>
      <w:color w:val="FF0000"/>
      <w:kern w:val="2"/>
      <w:sz w:val="28"/>
      <w:szCs w:val="28"/>
    </w:rPr>
  </w:style>
  <w:style w:type="character" w:customStyle="1" w:styleId="markedcontent">
    <w:name w:val="markedcontent"/>
    <w:rsid w:val="00D31B8C"/>
  </w:style>
  <w:style w:type="character" w:customStyle="1" w:styleId="1104">
    <w:name w:val="110表左段二 字元"/>
    <w:basedOn w:val="afff0"/>
    <w:link w:val="1103"/>
    <w:rsid w:val="00F8677A"/>
    <w:rPr>
      <w:rFonts w:ascii="標楷體" w:eastAsia="標楷體" w:hAnsi="標楷體" w:cs="Arial"/>
      <w:kern w:val="2"/>
      <w:sz w:val="28"/>
      <w:szCs w:val="24"/>
    </w:rPr>
  </w:style>
  <w:style w:type="paragraph" w:customStyle="1" w:styleId="145">
    <w:name w:val="表格內文(14行高)"/>
    <w:basedOn w:val="a8"/>
    <w:link w:val="146"/>
    <w:qFormat/>
    <w:rsid w:val="00E876FC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rsid w:val="00E876FC"/>
    <w:rPr>
      <w:rFonts w:ascii="標楷體" w:eastAsia="標楷體"/>
      <w:snapToGrid w:val="0"/>
      <w:kern w:val="2"/>
      <w:sz w:val="24"/>
      <w:szCs w:val="28"/>
    </w:rPr>
  </w:style>
  <w:style w:type="paragraph" w:customStyle="1" w:styleId="afff2">
    <w:name w:val="(一)"/>
    <w:basedOn w:val="a"/>
    <w:rsid w:val="005560F6"/>
    <w:pPr>
      <w:spacing w:line="340" w:lineRule="exact"/>
      <w:ind w:leftChars="0" w:left="100" w:rightChars="4" w:right="8" w:hangingChars="100" w:hanging="100"/>
    </w:pPr>
    <w:rPr>
      <w:rFonts w:hAnsi="標楷體" w:cs="華康楷書體W5外字集"/>
      <w:snapToGrid/>
      <w:spacing w:val="-10"/>
      <w:sz w:val="22"/>
      <w:szCs w:val="22"/>
    </w:rPr>
  </w:style>
  <w:style w:type="paragraph" w:customStyle="1" w:styleId="afff3">
    <w:name w:val="表格內文頂頭"/>
    <w:basedOn w:val="a"/>
    <w:next w:val="a"/>
    <w:rsid w:val="00F65124"/>
    <w:pPr>
      <w:kinsoku w:val="0"/>
      <w:overflowPunct w:val="0"/>
      <w:autoSpaceDE w:val="0"/>
      <w:autoSpaceDN w:val="0"/>
      <w:snapToGrid w:val="0"/>
      <w:spacing w:line="240" w:lineRule="auto"/>
      <w:ind w:leftChars="0" w:left="0" w:firstLineChars="0" w:firstLine="0"/>
    </w:pPr>
    <w:rPr>
      <w:rFonts w:ascii="Times New Roman" w:eastAsia="華康細明體"/>
      <w:snapToGrid/>
      <w:sz w:val="24"/>
      <w:szCs w:val="24"/>
    </w:rPr>
  </w:style>
  <w:style w:type="paragraph" w:customStyle="1" w:styleId="afff4">
    <w:name w:val="表格第一列(文字分散)"/>
    <w:basedOn w:val="a"/>
    <w:next w:val="a"/>
    <w:rsid w:val="00F65124"/>
    <w:pPr>
      <w:kinsoku w:val="0"/>
      <w:overflowPunct w:val="0"/>
      <w:autoSpaceDE w:val="0"/>
      <w:autoSpaceDN w:val="0"/>
      <w:snapToGrid w:val="0"/>
      <w:spacing w:line="240" w:lineRule="auto"/>
      <w:ind w:leftChars="50" w:left="105" w:rightChars="50" w:right="105" w:firstLineChars="0" w:firstLine="0"/>
      <w:jc w:val="distribute"/>
    </w:pPr>
    <w:rPr>
      <w:rFonts w:ascii="Times New Roman" w:eastAsia="華康細明體"/>
      <w:snapToGrid/>
      <w:sz w:val="24"/>
      <w:szCs w:val="24"/>
    </w:rPr>
  </w:style>
  <w:style w:type="paragraph" w:customStyle="1" w:styleId="120">
    <w:name w:val="表內1.2."/>
    <w:basedOn w:val="13"/>
    <w:link w:val="121"/>
    <w:qFormat/>
    <w:rsid w:val="0044395E"/>
    <w:pPr>
      <w:ind w:leftChars="61" w:left="438" w:hangingChars="109" w:hanging="265"/>
    </w:pPr>
  </w:style>
  <w:style w:type="character" w:customStyle="1" w:styleId="121">
    <w:name w:val="表內1.2. 字元"/>
    <w:link w:val="120"/>
    <w:rsid w:val="0044395E"/>
    <w:rPr>
      <w:rFonts w:ascii="標楷體" w:eastAsia="標楷體"/>
      <w:snapToGrid w:val="0"/>
      <w:kern w:val="2"/>
      <w:sz w:val="28"/>
      <w:szCs w:val="28"/>
    </w:rPr>
  </w:style>
  <w:style w:type="character" w:customStyle="1" w:styleId="25">
    <w:name w:val="附代決議2 字元"/>
    <w:link w:val="26"/>
    <w:uiPriority w:val="99"/>
    <w:locked/>
    <w:rsid w:val="00915236"/>
    <w:rPr>
      <w:rFonts w:ascii="Arial" w:hAnsi="Arial" w:cs="Arial"/>
      <w:color w:val="000000"/>
    </w:rPr>
  </w:style>
  <w:style w:type="paragraph" w:customStyle="1" w:styleId="26">
    <w:name w:val="附代決議2"/>
    <w:link w:val="25"/>
    <w:uiPriority w:val="99"/>
    <w:qFormat/>
    <w:rsid w:val="00915236"/>
    <w:pPr>
      <w:spacing w:line="360" w:lineRule="exact"/>
      <w:jc w:val="both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68145-9DDE-4553-A637-033BA5126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122</Pages>
  <Words>431</Words>
  <Characters>2460</Characters>
  <Application>Microsoft Office Word</Application>
  <DocSecurity>0</DocSecurity>
  <Lines>20</Lines>
  <Paragraphs>5</Paragraphs>
  <ScaleCrop>false</ScaleCrop>
  <Company/>
  <LinksUpToDate>false</LinksUpToDate>
  <CharactersWithSpaces>2886</CharactersWithSpaces>
  <SharedDoc>false</SharedDoc>
  <HLinks>
    <vt:vector size="18" baseType="variant">
      <vt:variant>
        <vt:i4>1966140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_Toc191451952</vt:lpwstr>
      </vt:variant>
      <vt:variant>
        <vt:i4>1966140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_Toc191451951</vt:lpwstr>
      </vt:variant>
      <vt:variant>
        <vt:i4>1966140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_Toc191451950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中華電信股份有限公司94年度營業預算評估報告</dc:title>
  <dc:subject/>
  <dc:creator>謝淑津</dc:creator>
  <cp:keywords/>
  <cp:lastModifiedBy>Administrator</cp:lastModifiedBy>
  <cp:revision>2</cp:revision>
  <cp:lastPrinted>2024-03-07T01:56:00Z</cp:lastPrinted>
  <dcterms:created xsi:type="dcterms:W3CDTF">2025-03-06T06:41:00Z</dcterms:created>
  <dcterms:modified xsi:type="dcterms:W3CDTF">2025-03-06T06:41:00Z</dcterms:modified>
</cp:coreProperties>
</file>