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779B" w:rsidRDefault="0046779B" w:rsidP="0046779B">
      <w:pPr>
        <w:pStyle w:val="a9"/>
      </w:pPr>
      <w:bookmarkStart w:id="0" w:name="_GoBack"/>
      <w:bookmarkEnd w:id="0"/>
      <w:r>
        <w:rPr>
          <w:rFonts w:hint="eastAsia"/>
        </w:rPr>
        <w:t>台灣電力股份有限公司1</w:t>
      </w:r>
      <w:r>
        <w:t>1</w:t>
      </w:r>
      <w:r w:rsidR="00EC7AA9">
        <w:t>2</w:t>
      </w:r>
      <w:r>
        <w:rPr>
          <w:rFonts w:hint="eastAsia"/>
        </w:rPr>
        <w:t>年度營業決算評估報告</w:t>
      </w:r>
    </w:p>
    <w:p w:rsidR="007015A1" w:rsidRPr="003D51F7" w:rsidRDefault="0046779B" w:rsidP="009948CF">
      <w:pPr>
        <w:pStyle w:val="a7"/>
        <w:ind w:firstLine="566"/>
        <w:rPr>
          <w:color w:val="FF0000"/>
        </w:rPr>
      </w:pPr>
      <w:r w:rsidRPr="00040C4E">
        <w:rPr>
          <w:rFonts w:hint="eastAsia"/>
        </w:rPr>
        <w:t>台灣電力股份有限公司(以下簡稱台電公司)</w:t>
      </w:r>
      <w:r w:rsidRPr="009948CF">
        <w:rPr>
          <w:rFonts w:hint="eastAsia"/>
        </w:rPr>
        <w:t>1</w:t>
      </w:r>
      <w:r w:rsidRPr="009948CF">
        <w:t>1</w:t>
      </w:r>
      <w:r w:rsidR="00EC7AA9">
        <w:t>2</w:t>
      </w:r>
      <w:r w:rsidRPr="009948CF">
        <w:rPr>
          <w:rFonts w:hint="eastAsia"/>
        </w:rPr>
        <w:t>年度</w:t>
      </w:r>
      <w:r w:rsidR="00780A92">
        <w:rPr>
          <w:rFonts w:hint="eastAsia"/>
        </w:rPr>
        <w:t>營運結果</w:t>
      </w:r>
      <w:r w:rsidRPr="009948CF">
        <w:rPr>
          <w:rFonts w:hint="eastAsia"/>
        </w:rPr>
        <w:t>決算</w:t>
      </w:r>
      <w:r w:rsidR="00C15416">
        <w:rPr>
          <w:rFonts w:hint="eastAsia"/>
        </w:rPr>
        <w:t>淨</w:t>
      </w:r>
      <w:r w:rsidR="00C15416" w:rsidRPr="009948CF">
        <w:rPr>
          <w:rFonts w:hint="eastAsia"/>
        </w:rPr>
        <w:t>損</w:t>
      </w:r>
      <w:r w:rsidR="00C0104C">
        <w:t>1,990</w:t>
      </w:r>
      <w:r w:rsidR="00C0104C">
        <w:rPr>
          <w:rFonts w:hint="eastAsia"/>
        </w:rPr>
        <w:t>億9</w:t>
      </w:r>
      <w:r w:rsidR="00C0104C">
        <w:t>,055</w:t>
      </w:r>
      <w:r w:rsidR="00C0104C">
        <w:rPr>
          <w:rFonts w:hint="eastAsia"/>
        </w:rPr>
        <w:t>萬6千元，較預算</w:t>
      </w:r>
      <w:r w:rsidRPr="009948CF">
        <w:rPr>
          <w:rFonts w:hint="eastAsia"/>
        </w:rPr>
        <w:t>淨</w:t>
      </w:r>
      <w:r w:rsidR="00040C4E" w:rsidRPr="009948CF">
        <w:rPr>
          <w:rFonts w:hint="eastAsia"/>
        </w:rPr>
        <w:t>損2</w:t>
      </w:r>
      <w:r w:rsidR="00040C4E" w:rsidRPr="009948CF">
        <w:t>,</w:t>
      </w:r>
      <w:r w:rsidR="00C0104C">
        <w:t>784</w:t>
      </w:r>
      <w:r w:rsidR="00C0104C">
        <w:rPr>
          <w:rFonts w:hint="eastAsia"/>
        </w:rPr>
        <w:t>億4</w:t>
      </w:r>
      <w:r w:rsidR="00C0104C">
        <w:t>,951</w:t>
      </w:r>
      <w:r w:rsidR="00C0104C">
        <w:rPr>
          <w:rFonts w:hint="eastAsia"/>
        </w:rPr>
        <w:t>萬</w:t>
      </w:r>
      <w:r w:rsidRPr="009948CF">
        <w:rPr>
          <w:rFonts w:hint="eastAsia"/>
        </w:rPr>
        <w:t>元</w:t>
      </w:r>
      <w:r w:rsidR="00C0104C">
        <w:rPr>
          <w:rFonts w:hint="eastAsia"/>
        </w:rPr>
        <w:t>，減少虧損7</w:t>
      </w:r>
      <w:r w:rsidR="00C0104C">
        <w:t>93</w:t>
      </w:r>
      <w:r w:rsidR="00C0104C">
        <w:rPr>
          <w:rFonts w:hint="eastAsia"/>
        </w:rPr>
        <w:t>億5</w:t>
      </w:r>
      <w:r w:rsidR="00C0104C">
        <w:t>,895</w:t>
      </w:r>
      <w:r w:rsidR="00C0104C">
        <w:rPr>
          <w:rFonts w:hint="eastAsia"/>
        </w:rPr>
        <w:t>萬4千元(減幅2</w:t>
      </w:r>
      <w:r w:rsidR="00C0104C">
        <w:t>8.50%)</w:t>
      </w:r>
      <w:r w:rsidRPr="009948CF">
        <w:rPr>
          <w:rFonts w:hint="eastAsia"/>
        </w:rPr>
        <w:t>。相關問題謹評估如下：</w:t>
      </w:r>
    </w:p>
    <w:p w:rsidR="0046779B" w:rsidRDefault="00F9432C" w:rsidP="009074DC">
      <w:pPr>
        <w:pStyle w:val="14"/>
        <w:ind w:left="567" w:hanging="567"/>
      </w:pPr>
      <w:bookmarkStart w:id="1" w:name="_Toc193185738"/>
      <w:r>
        <w:rPr>
          <w:rFonts w:hint="eastAsia"/>
        </w:rPr>
        <w:t>一、</w:t>
      </w:r>
      <w:r w:rsidR="00216704">
        <w:rPr>
          <w:rFonts w:hint="eastAsia"/>
        </w:rPr>
        <w:t>11</w:t>
      </w:r>
      <w:r w:rsidR="00C0104C">
        <w:t>2</w:t>
      </w:r>
      <w:r w:rsidR="00216704">
        <w:rPr>
          <w:rFonts w:hint="eastAsia"/>
        </w:rPr>
        <w:t>年度</w:t>
      </w:r>
      <w:r w:rsidR="009074DC">
        <w:rPr>
          <w:rFonts w:hint="eastAsia"/>
        </w:rPr>
        <w:t>營運</w:t>
      </w:r>
      <w:r w:rsidR="00216704">
        <w:rPr>
          <w:rFonts w:hint="eastAsia"/>
        </w:rPr>
        <w:t>虧損</w:t>
      </w:r>
      <w:r w:rsidR="00C0104C">
        <w:rPr>
          <w:rFonts w:hint="eastAsia"/>
        </w:rPr>
        <w:t>近</w:t>
      </w:r>
      <w:r w:rsidR="00216704">
        <w:rPr>
          <w:rFonts w:hint="eastAsia"/>
        </w:rPr>
        <w:t>2千億元</w:t>
      </w:r>
      <w:r w:rsidR="009074DC">
        <w:rPr>
          <w:rFonts w:hint="eastAsia"/>
        </w:rPr>
        <w:t>，</w:t>
      </w:r>
      <w:r w:rsidR="009F38D0">
        <w:rPr>
          <w:rFonts w:hint="eastAsia"/>
        </w:rPr>
        <w:t>股東權益</w:t>
      </w:r>
      <w:r w:rsidR="004422C4">
        <w:rPr>
          <w:rFonts w:hint="eastAsia"/>
        </w:rPr>
        <w:t>報酬率</w:t>
      </w:r>
      <w:r w:rsidR="009F38D0">
        <w:rPr>
          <w:rFonts w:hint="eastAsia"/>
        </w:rPr>
        <w:t>已連續2年為負數</w:t>
      </w:r>
      <w:r w:rsidR="00C0104C">
        <w:rPr>
          <w:rFonts w:hint="eastAsia"/>
        </w:rPr>
        <w:t>，</w:t>
      </w:r>
      <w:r w:rsidR="00467B3D">
        <w:rPr>
          <w:rFonts w:hint="eastAsia"/>
        </w:rPr>
        <w:t>財務</w:t>
      </w:r>
      <w:r w:rsidR="009074DC">
        <w:rPr>
          <w:rFonts w:hint="eastAsia"/>
        </w:rPr>
        <w:t>狀況</w:t>
      </w:r>
      <w:r w:rsidR="009F38D0">
        <w:rPr>
          <w:rFonts w:hint="eastAsia"/>
        </w:rPr>
        <w:t>持續</w:t>
      </w:r>
      <w:r w:rsidR="00467B3D">
        <w:rPr>
          <w:rFonts w:hint="eastAsia"/>
        </w:rPr>
        <w:t>惡化，允宜研謀改善方案，俾利公司財務健全</w:t>
      </w:r>
      <w:r w:rsidR="009F3C69">
        <w:rPr>
          <w:rFonts w:hint="eastAsia"/>
        </w:rPr>
        <w:t>與永續經營</w:t>
      </w:r>
      <w:bookmarkEnd w:id="1"/>
    </w:p>
    <w:p w:rsidR="00467B3D" w:rsidRDefault="00467B3D" w:rsidP="00CD76BB">
      <w:pPr>
        <w:spacing w:line="480" w:lineRule="exact"/>
        <w:ind w:left="566" w:firstLine="566"/>
      </w:pPr>
      <w:r>
        <w:rPr>
          <w:rFonts w:hint="eastAsia"/>
        </w:rPr>
        <w:t>台電公司11</w:t>
      </w:r>
      <w:r w:rsidR="00C0104C">
        <w:t>2</w:t>
      </w:r>
      <w:r>
        <w:rPr>
          <w:rFonts w:hint="eastAsia"/>
        </w:rPr>
        <w:t>年度</w:t>
      </w:r>
      <w:r w:rsidR="00B37C8A">
        <w:rPr>
          <w:rFonts w:hint="eastAsia"/>
        </w:rPr>
        <w:t>預</w:t>
      </w:r>
      <w:r w:rsidR="00CD76BB">
        <w:rPr>
          <w:rFonts w:hint="eastAsia"/>
        </w:rPr>
        <w:t>算編列</w:t>
      </w:r>
      <w:r w:rsidR="00B37C8A">
        <w:rPr>
          <w:rFonts w:hint="eastAsia"/>
        </w:rPr>
        <w:t>淨</w:t>
      </w:r>
      <w:r w:rsidR="00C0104C" w:rsidRPr="009948CF">
        <w:rPr>
          <w:rFonts w:hint="eastAsia"/>
        </w:rPr>
        <w:t>損2</w:t>
      </w:r>
      <w:r w:rsidR="00C0104C" w:rsidRPr="009948CF">
        <w:t>,</w:t>
      </w:r>
      <w:r w:rsidR="00C0104C">
        <w:t>784</w:t>
      </w:r>
      <w:r w:rsidR="009448E6">
        <w:t>.50</w:t>
      </w:r>
      <w:r w:rsidR="00C0104C">
        <w:rPr>
          <w:rFonts w:hint="eastAsia"/>
        </w:rPr>
        <w:t>億</w:t>
      </w:r>
      <w:r w:rsidR="00C0104C" w:rsidRPr="009948CF">
        <w:rPr>
          <w:rFonts w:hint="eastAsia"/>
        </w:rPr>
        <w:t>元</w:t>
      </w:r>
      <w:r w:rsidR="000C40EC">
        <w:rPr>
          <w:rFonts w:hint="eastAsia"/>
        </w:rPr>
        <w:t>，營運結果</w:t>
      </w:r>
      <w:r w:rsidR="00CD76BB">
        <w:rPr>
          <w:rFonts w:hint="eastAsia"/>
        </w:rPr>
        <w:t>決算</w:t>
      </w:r>
      <w:r>
        <w:rPr>
          <w:rFonts w:hint="eastAsia"/>
        </w:rPr>
        <w:t>淨損</w:t>
      </w:r>
      <w:r w:rsidR="00C0104C">
        <w:t>1,990</w:t>
      </w:r>
      <w:r w:rsidR="009448E6">
        <w:t>.91</w:t>
      </w:r>
      <w:r w:rsidR="00C0104C">
        <w:rPr>
          <w:rFonts w:hint="eastAsia"/>
        </w:rPr>
        <w:t>億元</w:t>
      </w:r>
      <w:r>
        <w:rPr>
          <w:rFonts w:hint="eastAsia"/>
        </w:rPr>
        <w:t>，</w:t>
      </w:r>
      <w:r w:rsidR="00C0104C">
        <w:rPr>
          <w:rFonts w:hint="eastAsia"/>
        </w:rPr>
        <w:t>當年底</w:t>
      </w:r>
      <w:r w:rsidR="00B37C8A">
        <w:rPr>
          <w:rFonts w:hint="eastAsia"/>
        </w:rPr>
        <w:t>累積虧損</w:t>
      </w:r>
      <w:r w:rsidR="009448E6">
        <w:rPr>
          <w:rFonts w:hint="eastAsia"/>
        </w:rPr>
        <w:t>3</w:t>
      </w:r>
      <w:r w:rsidR="000C0F54">
        <w:t>,</w:t>
      </w:r>
      <w:r w:rsidR="009448E6">
        <w:t>818.21</w:t>
      </w:r>
      <w:r w:rsidR="009448E6">
        <w:rPr>
          <w:rFonts w:hint="eastAsia"/>
        </w:rPr>
        <w:t>億元</w:t>
      </w:r>
      <w:r w:rsidR="00B37C8A">
        <w:rPr>
          <w:rFonts w:hint="eastAsia"/>
        </w:rPr>
        <w:t>，占實收資本總額</w:t>
      </w:r>
      <w:r w:rsidR="00E90BF5">
        <w:rPr>
          <w:rFonts w:hint="eastAsia"/>
        </w:rPr>
        <w:t>4</w:t>
      </w:r>
      <w:r w:rsidR="00E90BF5">
        <w:t>,799</w:t>
      </w:r>
      <w:r w:rsidR="00B37C8A">
        <w:rPr>
          <w:rFonts w:hint="eastAsia"/>
        </w:rPr>
        <w:t>億元</w:t>
      </w:r>
      <w:r w:rsidR="005A0D81">
        <w:rPr>
          <w:rFonts w:hint="eastAsia"/>
        </w:rPr>
        <w:t>之</w:t>
      </w:r>
      <w:r w:rsidR="009448E6">
        <w:rPr>
          <w:rFonts w:hint="eastAsia"/>
        </w:rPr>
        <w:t>7</w:t>
      </w:r>
      <w:r w:rsidR="009448E6">
        <w:t>9.</w:t>
      </w:r>
      <w:r w:rsidR="00E90BF5">
        <w:t>56</w:t>
      </w:r>
      <w:r w:rsidR="00B37C8A">
        <w:rPr>
          <w:rFonts w:hint="eastAsia"/>
        </w:rPr>
        <w:t>%，亟待通盤檢討並研謀具體改善方案。謹臚陳如下：</w:t>
      </w:r>
    </w:p>
    <w:p w:rsidR="00B37C8A" w:rsidRPr="00113252" w:rsidRDefault="00B37C8A" w:rsidP="00CD76BB">
      <w:pPr>
        <w:pStyle w:val="a4"/>
        <w:spacing w:line="480" w:lineRule="exact"/>
        <w:ind w:left="849" w:hanging="283"/>
        <w:rPr>
          <w:b/>
        </w:rPr>
      </w:pPr>
      <w:r w:rsidRPr="00113252">
        <w:rPr>
          <w:rFonts w:hint="eastAsia"/>
          <w:b/>
        </w:rPr>
        <w:t>(一)</w:t>
      </w:r>
      <w:r w:rsidR="00CD76BB">
        <w:rPr>
          <w:rFonts w:hint="eastAsia"/>
          <w:b/>
        </w:rPr>
        <w:t>11</w:t>
      </w:r>
      <w:r w:rsidR="009448E6">
        <w:rPr>
          <w:b/>
        </w:rPr>
        <w:t>2</w:t>
      </w:r>
      <w:r w:rsidR="00CD76BB">
        <w:rPr>
          <w:rFonts w:hint="eastAsia"/>
          <w:b/>
        </w:rPr>
        <w:t>年度</w:t>
      </w:r>
      <w:r w:rsidR="00780A92" w:rsidRPr="00780A92">
        <w:rPr>
          <w:rFonts w:hint="eastAsia"/>
          <w:b/>
        </w:rPr>
        <w:t>平均每度售電虧損雖較預算</w:t>
      </w:r>
      <w:r w:rsidR="004422C4">
        <w:rPr>
          <w:rFonts w:hint="eastAsia"/>
          <w:b/>
        </w:rPr>
        <w:t>目標</w:t>
      </w:r>
      <w:r w:rsidR="00780A92" w:rsidRPr="00780A92">
        <w:rPr>
          <w:rFonts w:hint="eastAsia"/>
          <w:b/>
        </w:rPr>
        <w:t>略減</w:t>
      </w:r>
      <w:r w:rsidR="00113252" w:rsidRPr="00113252">
        <w:rPr>
          <w:rFonts w:hint="eastAsia"/>
          <w:b/>
        </w:rPr>
        <w:t>，</w:t>
      </w:r>
      <w:r w:rsidR="00780A92">
        <w:rPr>
          <w:rFonts w:hint="eastAsia"/>
          <w:b/>
        </w:rPr>
        <w:t>惟營運收支仍呈鉅額虧損</w:t>
      </w:r>
      <w:r w:rsidR="00761659">
        <w:rPr>
          <w:rFonts w:hint="eastAsia"/>
          <w:b/>
        </w:rPr>
        <w:t>，</w:t>
      </w:r>
      <w:r w:rsidR="000167AD">
        <w:rPr>
          <w:rFonts w:hint="eastAsia"/>
          <w:b/>
        </w:rPr>
        <w:t>允宜</w:t>
      </w:r>
      <w:r w:rsidR="00113252" w:rsidRPr="00113252">
        <w:rPr>
          <w:rFonts w:hint="eastAsia"/>
          <w:b/>
        </w:rPr>
        <w:t>秉</w:t>
      </w:r>
      <w:r w:rsidR="000167AD">
        <w:rPr>
          <w:rFonts w:hint="eastAsia"/>
          <w:b/>
        </w:rPr>
        <w:t>持</w:t>
      </w:r>
      <w:r w:rsidR="00113252" w:rsidRPr="00113252">
        <w:rPr>
          <w:rFonts w:hint="eastAsia"/>
          <w:b/>
        </w:rPr>
        <w:t>企業經營原則研謀提升營運績效</w:t>
      </w:r>
    </w:p>
    <w:p w:rsidR="00113252" w:rsidRDefault="00113252" w:rsidP="000C071D">
      <w:pPr>
        <w:spacing w:line="480" w:lineRule="exact"/>
        <w:ind w:leftChars="300" w:left="850" w:firstLine="566"/>
      </w:pPr>
      <w:r>
        <w:rPr>
          <w:rFonts w:hint="eastAsia"/>
        </w:rPr>
        <w:t>依國營事業管理法第4條規定：「國營事業應依照企業方式經營，以事業養事業，以事業發展事業，並力求有盈無虧，增加國庫收入。…。」</w:t>
      </w:r>
      <w:r w:rsidR="000C071D">
        <w:rPr>
          <w:rFonts w:hint="eastAsia"/>
        </w:rPr>
        <w:t>復依</w:t>
      </w:r>
      <w:r w:rsidR="004E5E37">
        <w:rPr>
          <w:rFonts w:hint="eastAsia"/>
        </w:rPr>
        <w:t>「</w:t>
      </w:r>
      <w:r w:rsidR="00BD39E2">
        <w:rPr>
          <w:rFonts w:hint="eastAsia"/>
        </w:rPr>
        <w:t>附屬單位預算執行要點</w:t>
      </w:r>
      <w:r w:rsidR="004E5E37">
        <w:rPr>
          <w:rFonts w:hint="eastAsia"/>
        </w:rPr>
        <w:t>」</w:t>
      </w:r>
      <w:r w:rsidR="00BD39E2">
        <w:rPr>
          <w:rFonts w:hint="eastAsia"/>
        </w:rPr>
        <w:t>第4點第2項規定：「</w:t>
      </w:r>
      <w:r w:rsidR="00BD39E2">
        <w:t>營業基金應促進事業永續發展，落實環境保護、社會責任及公司治理，並兼顧企業化經營原則，設法提高產銷營運量，增加收入，抑減成本費用，並積極研究發展及落實責任中心制度，改進產銷及管理技術，提高產品及服務品質，以提升經營績效，除較預算增加之政策性因素及推動永續發展外，應達成年度法定預算盈餘目標。</w:t>
      </w:r>
      <w:r w:rsidR="00BD39E2">
        <w:rPr>
          <w:rFonts w:hint="eastAsia"/>
        </w:rPr>
        <w:t>」</w:t>
      </w:r>
    </w:p>
    <w:p w:rsidR="00216704" w:rsidRDefault="00B37C8A" w:rsidP="00CD76BB">
      <w:pPr>
        <w:pStyle w:val="21"/>
        <w:spacing w:line="480" w:lineRule="exact"/>
        <w:ind w:left="850" w:firstLine="566"/>
      </w:pPr>
      <w:r>
        <w:rPr>
          <w:rFonts w:hint="eastAsia"/>
        </w:rPr>
        <w:t>據台電公司11</w:t>
      </w:r>
      <w:r w:rsidR="009448E6">
        <w:t>2</w:t>
      </w:r>
      <w:r>
        <w:rPr>
          <w:rFonts w:hint="eastAsia"/>
        </w:rPr>
        <w:t>年度審定決算書</w:t>
      </w:r>
      <w:r w:rsidR="004422C4">
        <w:rPr>
          <w:rFonts w:hint="eastAsia"/>
        </w:rPr>
        <w:t>「成本與售價比較表」</w:t>
      </w:r>
      <w:r>
        <w:rPr>
          <w:rFonts w:hint="eastAsia"/>
        </w:rPr>
        <w:t>揭示，該公司11</w:t>
      </w:r>
      <w:r w:rsidR="009448E6">
        <w:t>2</w:t>
      </w:r>
      <w:r>
        <w:rPr>
          <w:rFonts w:hint="eastAsia"/>
        </w:rPr>
        <w:t>年度平均每度售電</w:t>
      </w:r>
      <w:r w:rsidR="009448E6">
        <w:rPr>
          <w:rFonts w:hint="eastAsia"/>
        </w:rPr>
        <w:t>虧損</w:t>
      </w:r>
      <w:r w:rsidR="0044228D">
        <w:rPr>
          <w:rFonts w:hint="eastAsia"/>
        </w:rPr>
        <w:t>達</w:t>
      </w:r>
      <w:r w:rsidR="000C0F54">
        <w:rPr>
          <w:rFonts w:hint="eastAsia"/>
        </w:rPr>
        <w:t>1</w:t>
      </w:r>
      <w:r w:rsidR="000C0F54">
        <w:t>.18</w:t>
      </w:r>
      <w:r w:rsidR="000C0F54">
        <w:rPr>
          <w:rFonts w:hint="eastAsia"/>
        </w:rPr>
        <w:t>元</w:t>
      </w:r>
      <w:r w:rsidR="0044228D">
        <w:rPr>
          <w:rFonts w:hint="eastAsia"/>
        </w:rPr>
        <w:t>，雖</w:t>
      </w:r>
      <w:r w:rsidR="00E90BF5">
        <w:rPr>
          <w:rFonts w:hint="eastAsia"/>
        </w:rPr>
        <w:t>較預算</w:t>
      </w:r>
      <w:r w:rsidR="004422C4">
        <w:rPr>
          <w:rFonts w:hint="eastAsia"/>
        </w:rPr>
        <w:t>目標</w:t>
      </w:r>
      <w:r w:rsidR="00E90BF5">
        <w:rPr>
          <w:rFonts w:hint="eastAsia"/>
        </w:rPr>
        <w:t>1</w:t>
      </w:r>
      <w:r w:rsidR="00E90BF5">
        <w:t>.1995</w:t>
      </w:r>
      <w:r w:rsidR="0044228D">
        <w:rPr>
          <w:rFonts w:hint="eastAsia"/>
        </w:rPr>
        <w:t>元略減</w:t>
      </w:r>
      <w:r w:rsidR="000E3976">
        <w:rPr>
          <w:rFonts w:hint="eastAsia"/>
        </w:rPr>
        <w:t>0</w:t>
      </w:r>
      <w:r w:rsidR="000E3976">
        <w:t>.0195</w:t>
      </w:r>
      <w:r w:rsidR="000E3976">
        <w:rPr>
          <w:rFonts w:hint="eastAsia"/>
        </w:rPr>
        <w:t>元</w:t>
      </w:r>
      <w:r w:rsidR="0044228D">
        <w:rPr>
          <w:rFonts w:hint="eastAsia"/>
        </w:rPr>
        <w:t>，</w:t>
      </w:r>
      <w:r w:rsidR="000C0F54">
        <w:rPr>
          <w:rFonts w:hint="eastAsia"/>
        </w:rPr>
        <w:t>惟</w:t>
      </w:r>
      <w:r w:rsidR="00217732">
        <w:rPr>
          <w:rFonts w:hint="eastAsia"/>
        </w:rPr>
        <w:t>截至</w:t>
      </w:r>
      <w:r w:rsidR="0044228D">
        <w:rPr>
          <w:rFonts w:hint="eastAsia"/>
        </w:rPr>
        <w:t>1</w:t>
      </w:r>
      <w:r w:rsidR="0044228D">
        <w:t>12</w:t>
      </w:r>
      <w:r w:rsidR="0044228D">
        <w:rPr>
          <w:rFonts w:hint="eastAsia"/>
        </w:rPr>
        <w:t>年</w:t>
      </w:r>
      <w:r w:rsidR="009F38D0">
        <w:rPr>
          <w:rFonts w:hint="eastAsia"/>
        </w:rPr>
        <w:t>底</w:t>
      </w:r>
      <w:r w:rsidR="00440D2D">
        <w:rPr>
          <w:rFonts w:hint="eastAsia"/>
        </w:rPr>
        <w:t>累積虧損</w:t>
      </w:r>
      <w:r w:rsidR="009F38D0">
        <w:rPr>
          <w:rFonts w:hint="eastAsia"/>
        </w:rPr>
        <w:t>達</w:t>
      </w:r>
      <w:r w:rsidR="000C0F54">
        <w:rPr>
          <w:rFonts w:hint="eastAsia"/>
        </w:rPr>
        <w:t>3</w:t>
      </w:r>
      <w:r w:rsidR="000C0F54">
        <w:t>,818.21</w:t>
      </w:r>
      <w:r w:rsidR="000C0F54">
        <w:rPr>
          <w:rFonts w:hint="eastAsia"/>
        </w:rPr>
        <w:t>億元</w:t>
      </w:r>
      <w:r w:rsidR="009F38D0">
        <w:rPr>
          <w:rFonts w:hint="eastAsia"/>
        </w:rPr>
        <w:t>，</w:t>
      </w:r>
      <w:r w:rsidR="000C0F54">
        <w:rPr>
          <w:rFonts w:hint="eastAsia"/>
        </w:rPr>
        <w:t>較1</w:t>
      </w:r>
      <w:r w:rsidR="000C0F54">
        <w:t>11</w:t>
      </w:r>
      <w:r w:rsidR="000C0F54">
        <w:rPr>
          <w:rFonts w:hint="eastAsia"/>
        </w:rPr>
        <w:t>年底</w:t>
      </w:r>
      <w:r w:rsidR="00440D2D">
        <w:rPr>
          <w:rFonts w:hint="eastAsia"/>
        </w:rPr>
        <w:t>2</w:t>
      </w:r>
      <w:r w:rsidR="00440D2D">
        <w:t>,063</w:t>
      </w:r>
      <w:r w:rsidR="000C40EC">
        <w:rPr>
          <w:rFonts w:hint="eastAsia"/>
        </w:rPr>
        <w:t>.09</w:t>
      </w:r>
      <w:r w:rsidR="00440D2D">
        <w:rPr>
          <w:rFonts w:hint="eastAsia"/>
        </w:rPr>
        <w:t>億元</w:t>
      </w:r>
      <w:r w:rsidR="00023189">
        <w:rPr>
          <w:rFonts w:hint="eastAsia"/>
        </w:rPr>
        <w:t>增加虧損1</w:t>
      </w:r>
      <w:r w:rsidR="00023189">
        <w:t>,755.1</w:t>
      </w:r>
      <w:r w:rsidR="00E90BF5">
        <w:t>2</w:t>
      </w:r>
      <w:r w:rsidR="00023189">
        <w:rPr>
          <w:rFonts w:hint="eastAsia"/>
        </w:rPr>
        <w:t>億元</w:t>
      </w:r>
      <w:r w:rsidR="000C0F54">
        <w:rPr>
          <w:rFonts w:hint="eastAsia"/>
        </w:rPr>
        <w:t>，增幅8</w:t>
      </w:r>
      <w:r w:rsidR="000C0F54">
        <w:t>5.07%</w:t>
      </w:r>
      <w:r w:rsidR="00023189">
        <w:rPr>
          <w:rFonts w:hint="eastAsia"/>
        </w:rPr>
        <w:t>。</w:t>
      </w:r>
      <w:r w:rsidR="00F2524C">
        <w:rPr>
          <w:rFonts w:hint="eastAsia"/>
        </w:rPr>
        <w:t>另台電公司</w:t>
      </w:r>
      <w:r w:rsidR="000C0F54">
        <w:rPr>
          <w:rFonts w:hint="eastAsia"/>
        </w:rPr>
        <w:t>1</w:t>
      </w:r>
      <w:r w:rsidR="00345F0D">
        <w:rPr>
          <w:rFonts w:hint="eastAsia"/>
        </w:rPr>
        <w:t>1</w:t>
      </w:r>
      <w:r w:rsidR="000C0F54">
        <w:t>2</w:t>
      </w:r>
      <w:r w:rsidR="00345F0D">
        <w:rPr>
          <w:rFonts w:hint="eastAsia"/>
        </w:rPr>
        <w:t>年度各項投資報酬指標值</w:t>
      </w:r>
      <w:r w:rsidR="009F38D0">
        <w:rPr>
          <w:rFonts w:hint="eastAsia"/>
        </w:rPr>
        <w:lastRenderedPageBreak/>
        <w:t>仍</w:t>
      </w:r>
      <w:r w:rsidR="00345F0D">
        <w:rPr>
          <w:rFonts w:hint="eastAsia"/>
        </w:rPr>
        <w:t>為</w:t>
      </w:r>
      <w:r w:rsidR="00711930">
        <w:rPr>
          <w:rFonts w:hint="eastAsia"/>
        </w:rPr>
        <w:t>負值，</w:t>
      </w:r>
      <w:r w:rsidR="0085682F">
        <w:rPr>
          <w:rFonts w:hint="eastAsia"/>
        </w:rPr>
        <w:t>股東權益</w:t>
      </w:r>
      <w:r w:rsidR="00A37AB6">
        <w:rPr>
          <w:rFonts w:hint="eastAsia"/>
        </w:rPr>
        <w:t>報酬率</w:t>
      </w:r>
      <w:r w:rsidR="009F38D0">
        <w:rPr>
          <w:rFonts w:hint="eastAsia"/>
        </w:rPr>
        <w:t>由1</w:t>
      </w:r>
      <w:r w:rsidR="009F38D0">
        <w:t>11</w:t>
      </w:r>
      <w:r w:rsidR="009F38D0">
        <w:rPr>
          <w:rFonts w:hint="eastAsia"/>
        </w:rPr>
        <w:t>年度-</w:t>
      </w:r>
      <w:r w:rsidR="009F38D0">
        <w:t>94.73%</w:t>
      </w:r>
      <w:r w:rsidR="00F2524C">
        <w:rPr>
          <w:rFonts w:hint="eastAsia"/>
        </w:rPr>
        <w:t>擴</w:t>
      </w:r>
      <w:r w:rsidR="009F38D0">
        <w:rPr>
          <w:rFonts w:hint="eastAsia"/>
        </w:rPr>
        <w:t>增至1</w:t>
      </w:r>
      <w:r w:rsidR="009F38D0">
        <w:t>12</w:t>
      </w:r>
      <w:r w:rsidR="009F38D0">
        <w:rPr>
          <w:rFonts w:hint="eastAsia"/>
        </w:rPr>
        <w:t>年度-</w:t>
      </w:r>
      <w:r w:rsidR="009F38D0">
        <w:t>151.94%</w:t>
      </w:r>
      <w:r w:rsidR="00345F0D">
        <w:rPr>
          <w:rFonts w:hint="eastAsia"/>
        </w:rPr>
        <w:t>(詳表1)</w:t>
      </w:r>
      <w:r w:rsidR="00F2524C">
        <w:rPr>
          <w:rFonts w:hint="eastAsia"/>
        </w:rPr>
        <w:t>，顯示該公司財務狀況持續惡化</w:t>
      </w:r>
      <w:r w:rsidR="009F38D0">
        <w:rPr>
          <w:rFonts w:hint="eastAsia"/>
        </w:rPr>
        <w:t>，</w:t>
      </w:r>
      <w:r w:rsidR="00345F0D">
        <w:rPr>
          <w:rFonts w:hint="eastAsia"/>
        </w:rPr>
        <w:t>允宜</w:t>
      </w:r>
      <w:r w:rsidR="00440D2D">
        <w:rPr>
          <w:rFonts w:hint="eastAsia"/>
        </w:rPr>
        <w:t>依企業經營原則通盤檢討各項開源節流措施</w:t>
      </w:r>
      <w:r w:rsidR="000C40EC">
        <w:rPr>
          <w:rFonts w:hint="eastAsia"/>
        </w:rPr>
        <w:t>等</w:t>
      </w:r>
      <w:r w:rsidR="00440D2D">
        <w:rPr>
          <w:rFonts w:hint="eastAsia"/>
        </w:rPr>
        <w:t>，俾有效提升營運績效。</w:t>
      </w:r>
    </w:p>
    <w:p w:rsidR="00F9432C" w:rsidRPr="00761659" w:rsidRDefault="00761659" w:rsidP="00761659">
      <w:pPr>
        <w:pStyle w:val="21"/>
        <w:ind w:leftChars="-30" w:left="851" w:hangingChars="330" w:hanging="936"/>
        <w:rPr>
          <w:b/>
        </w:rPr>
      </w:pPr>
      <w:r w:rsidRPr="00761659">
        <w:rPr>
          <w:rFonts w:hint="eastAsia"/>
          <w:b/>
        </w:rPr>
        <w:t>表1  台電公司</w:t>
      </w:r>
      <w:r w:rsidR="009F38D0">
        <w:rPr>
          <w:rFonts w:hint="eastAsia"/>
          <w:b/>
        </w:rPr>
        <w:t>1</w:t>
      </w:r>
      <w:r w:rsidR="009F38D0">
        <w:rPr>
          <w:b/>
        </w:rPr>
        <w:t>0</w:t>
      </w:r>
      <w:r w:rsidR="003775E7">
        <w:rPr>
          <w:b/>
        </w:rPr>
        <w:t>8</w:t>
      </w:r>
      <w:r w:rsidR="009F38D0">
        <w:rPr>
          <w:rFonts w:hint="eastAsia"/>
          <w:b/>
        </w:rPr>
        <w:t>至1</w:t>
      </w:r>
      <w:r w:rsidR="009F38D0">
        <w:rPr>
          <w:b/>
        </w:rPr>
        <w:t>12</w:t>
      </w:r>
      <w:r w:rsidR="009F38D0">
        <w:rPr>
          <w:rFonts w:hint="eastAsia"/>
          <w:b/>
        </w:rPr>
        <w:t>年度</w:t>
      </w:r>
      <w:r w:rsidRPr="00761659">
        <w:rPr>
          <w:rFonts w:hint="eastAsia"/>
          <w:b/>
        </w:rPr>
        <w:t>投資報酬分析表</w:t>
      </w:r>
    </w:p>
    <w:tbl>
      <w:tblPr>
        <w:tblW w:w="0" w:type="auto"/>
        <w:tblInd w:w="6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36"/>
        <w:gridCol w:w="1134"/>
        <w:gridCol w:w="992"/>
        <w:gridCol w:w="1134"/>
        <w:gridCol w:w="1276"/>
        <w:gridCol w:w="1275"/>
      </w:tblGrid>
      <w:tr w:rsidR="003775E7" w:rsidTr="003775E7">
        <w:tc>
          <w:tcPr>
            <w:tcW w:w="2736" w:type="dxa"/>
            <w:shd w:val="clear" w:color="auto" w:fill="auto"/>
            <w:vAlign w:val="center"/>
          </w:tcPr>
          <w:p w:rsidR="003775E7" w:rsidRPr="007E3D1E" w:rsidRDefault="003775E7" w:rsidP="00DF2487">
            <w:pPr>
              <w:pStyle w:val="142"/>
              <w:spacing w:line="340" w:lineRule="exact"/>
              <w:jc w:val="center"/>
              <w:rPr>
                <w:b/>
              </w:rPr>
            </w:pPr>
            <w:r>
              <w:rPr>
                <w:noProof/>
              </w:rPr>
              <w:pict>
                <v:shapetype id="_x0000_t32" coordsize="21600,21600" o:spt="32" o:oned="t" path="m,l21600,21600e" filled="f">
                  <v:path arrowok="t" fillok="f" o:connecttype="none"/>
                  <o:lock v:ext="edit" shapetype="t"/>
                </v:shapetype>
                <v:shape id="AutoShape 2" o:spid="_x0000_s1029" type="#_x0000_t32" style="position:absolute;left:0;text-align:left;margin-left:39.5pt;margin-top:.75pt;width:17.2pt;height:14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"/>
              </w:pict>
            </w:r>
            <w:r w:rsidRPr="007E3D1E">
              <w:rPr>
                <w:rFonts w:hint="eastAsia"/>
                <w:b/>
              </w:rPr>
              <w:t>項目       年度</w:t>
            </w:r>
          </w:p>
        </w:tc>
        <w:tc>
          <w:tcPr>
            <w:tcW w:w="1134"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108</w:t>
            </w:r>
          </w:p>
        </w:tc>
        <w:tc>
          <w:tcPr>
            <w:tcW w:w="992"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109</w:t>
            </w:r>
          </w:p>
        </w:tc>
        <w:tc>
          <w:tcPr>
            <w:tcW w:w="1134"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110</w:t>
            </w:r>
          </w:p>
        </w:tc>
        <w:tc>
          <w:tcPr>
            <w:tcW w:w="1276" w:type="dxa"/>
            <w:shd w:val="clear" w:color="auto" w:fill="auto"/>
            <w:vAlign w:val="center"/>
          </w:tcPr>
          <w:p w:rsidR="003775E7" w:rsidRPr="007E3D1E" w:rsidRDefault="003775E7" w:rsidP="00DF2487">
            <w:pPr>
              <w:pStyle w:val="142"/>
              <w:spacing w:line="340" w:lineRule="exact"/>
              <w:jc w:val="center"/>
              <w:rPr>
                <w:b/>
              </w:rPr>
            </w:pPr>
            <w:r w:rsidRPr="007E3D1E">
              <w:rPr>
                <w:rFonts w:hint="eastAsia"/>
                <w:b/>
              </w:rPr>
              <w:t>11</w:t>
            </w:r>
            <w:r>
              <w:rPr>
                <w:rFonts w:hint="eastAsia"/>
                <w:b/>
              </w:rPr>
              <w:t>1</w:t>
            </w:r>
          </w:p>
        </w:tc>
        <w:tc>
          <w:tcPr>
            <w:tcW w:w="1275" w:type="dxa"/>
          </w:tcPr>
          <w:p w:rsidR="003775E7" w:rsidRPr="007E3D1E" w:rsidRDefault="003775E7" w:rsidP="00DF2487">
            <w:pPr>
              <w:pStyle w:val="142"/>
              <w:spacing w:line="340" w:lineRule="exact"/>
              <w:jc w:val="center"/>
              <w:rPr>
                <w:rFonts w:hint="eastAsia"/>
                <w:b/>
              </w:rPr>
            </w:pPr>
            <w:r>
              <w:rPr>
                <w:rFonts w:hint="eastAsia"/>
                <w:b/>
              </w:rPr>
              <w:t>1</w:t>
            </w:r>
            <w:r>
              <w:rPr>
                <w:b/>
              </w:rPr>
              <w:t>12</w:t>
            </w:r>
          </w:p>
        </w:tc>
      </w:tr>
      <w:tr w:rsidR="003775E7" w:rsidTr="003775E7">
        <w:tc>
          <w:tcPr>
            <w:tcW w:w="2736" w:type="dxa"/>
            <w:shd w:val="clear" w:color="auto" w:fill="auto"/>
          </w:tcPr>
          <w:p w:rsidR="003775E7" w:rsidRDefault="003775E7" w:rsidP="00DF2487">
            <w:pPr>
              <w:pStyle w:val="142"/>
              <w:spacing w:line="340" w:lineRule="exact"/>
            </w:pPr>
            <w:r>
              <w:rPr>
                <w:rFonts w:hint="eastAsia"/>
              </w:rPr>
              <w:t>營業利益率(%)</w:t>
            </w:r>
          </w:p>
        </w:tc>
        <w:tc>
          <w:tcPr>
            <w:tcW w:w="1134" w:type="dxa"/>
            <w:shd w:val="clear" w:color="auto" w:fill="auto"/>
            <w:vAlign w:val="center"/>
          </w:tcPr>
          <w:p w:rsidR="003775E7" w:rsidRDefault="003775E7" w:rsidP="00DF2487">
            <w:pPr>
              <w:pStyle w:val="142"/>
              <w:spacing w:line="340" w:lineRule="exact"/>
              <w:jc w:val="right"/>
            </w:pPr>
            <w:r>
              <w:rPr>
                <w:rFonts w:hint="eastAsia"/>
              </w:rPr>
              <w:t>0.02</w:t>
            </w:r>
          </w:p>
        </w:tc>
        <w:tc>
          <w:tcPr>
            <w:tcW w:w="992" w:type="dxa"/>
            <w:shd w:val="clear" w:color="auto" w:fill="auto"/>
            <w:vAlign w:val="center"/>
          </w:tcPr>
          <w:p w:rsidR="003775E7" w:rsidRDefault="003775E7" w:rsidP="00DF2487">
            <w:pPr>
              <w:pStyle w:val="142"/>
              <w:spacing w:line="340" w:lineRule="exact"/>
              <w:jc w:val="right"/>
            </w:pPr>
            <w:r>
              <w:rPr>
                <w:rFonts w:hint="eastAsia"/>
              </w:rPr>
              <w:t>8.24</w:t>
            </w:r>
          </w:p>
        </w:tc>
        <w:tc>
          <w:tcPr>
            <w:tcW w:w="1134" w:type="dxa"/>
            <w:shd w:val="clear" w:color="auto" w:fill="auto"/>
            <w:vAlign w:val="center"/>
          </w:tcPr>
          <w:p w:rsidR="003775E7" w:rsidRDefault="003775E7" w:rsidP="00DF2487">
            <w:pPr>
              <w:pStyle w:val="142"/>
              <w:spacing w:line="340" w:lineRule="exact"/>
              <w:jc w:val="right"/>
            </w:pPr>
            <w:r>
              <w:rPr>
                <w:rFonts w:hint="eastAsia"/>
              </w:rPr>
              <w:t>7.79</w:t>
            </w:r>
          </w:p>
        </w:tc>
        <w:tc>
          <w:tcPr>
            <w:tcW w:w="1276" w:type="dxa"/>
            <w:shd w:val="clear" w:color="auto" w:fill="auto"/>
            <w:vAlign w:val="center"/>
          </w:tcPr>
          <w:p w:rsidR="003775E7" w:rsidRDefault="003775E7" w:rsidP="00DF2487">
            <w:pPr>
              <w:pStyle w:val="142"/>
              <w:spacing w:line="340" w:lineRule="exact"/>
              <w:jc w:val="right"/>
            </w:pPr>
            <w:r>
              <w:rPr>
                <w:rFonts w:hint="eastAsia"/>
              </w:rPr>
              <w:t>-39.05</w:t>
            </w:r>
          </w:p>
        </w:tc>
        <w:tc>
          <w:tcPr>
            <w:tcW w:w="1275" w:type="dxa"/>
          </w:tcPr>
          <w:p w:rsidR="003775E7" w:rsidRDefault="003775E7" w:rsidP="00DF2487">
            <w:pPr>
              <w:pStyle w:val="142"/>
              <w:spacing w:line="340" w:lineRule="exact"/>
              <w:jc w:val="right"/>
              <w:rPr>
                <w:rFonts w:hint="eastAsia"/>
              </w:rPr>
            </w:pPr>
            <w:r>
              <w:rPr>
                <w:rFonts w:hint="eastAsia"/>
              </w:rPr>
              <w:t>-</w:t>
            </w:r>
            <w:r>
              <w:t>22.48</w:t>
            </w:r>
          </w:p>
        </w:tc>
      </w:tr>
      <w:tr w:rsidR="003775E7" w:rsidTr="003775E7">
        <w:tc>
          <w:tcPr>
            <w:tcW w:w="2736" w:type="dxa"/>
            <w:shd w:val="clear" w:color="auto" w:fill="auto"/>
          </w:tcPr>
          <w:p w:rsidR="003775E7" w:rsidRDefault="003775E7" w:rsidP="00DF2487">
            <w:pPr>
              <w:pStyle w:val="142"/>
              <w:spacing w:line="340" w:lineRule="exact"/>
            </w:pPr>
            <w:r>
              <w:rPr>
                <w:rFonts w:hint="eastAsia"/>
              </w:rPr>
              <w:t>淨利率(%)</w:t>
            </w:r>
          </w:p>
        </w:tc>
        <w:tc>
          <w:tcPr>
            <w:tcW w:w="1134" w:type="dxa"/>
            <w:shd w:val="clear" w:color="auto" w:fill="auto"/>
            <w:vAlign w:val="center"/>
          </w:tcPr>
          <w:p w:rsidR="003775E7" w:rsidRDefault="003775E7" w:rsidP="00DF2487">
            <w:pPr>
              <w:pStyle w:val="142"/>
              <w:spacing w:line="340" w:lineRule="exact"/>
              <w:jc w:val="right"/>
            </w:pPr>
            <w:r>
              <w:rPr>
                <w:rFonts w:hint="eastAsia"/>
              </w:rPr>
              <w:t>2.71</w:t>
            </w:r>
          </w:p>
        </w:tc>
        <w:tc>
          <w:tcPr>
            <w:tcW w:w="992" w:type="dxa"/>
            <w:shd w:val="clear" w:color="auto" w:fill="auto"/>
            <w:vAlign w:val="center"/>
          </w:tcPr>
          <w:p w:rsidR="003775E7" w:rsidRDefault="003775E7" w:rsidP="00DF2487">
            <w:pPr>
              <w:pStyle w:val="142"/>
              <w:spacing w:line="340" w:lineRule="exact"/>
              <w:jc w:val="right"/>
            </w:pPr>
            <w:r>
              <w:rPr>
                <w:rFonts w:hint="eastAsia"/>
              </w:rPr>
              <w:t>3.99</w:t>
            </w:r>
          </w:p>
        </w:tc>
        <w:tc>
          <w:tcPr>
            <w:tcW w:w="1134" w:type="dxa"/>
            <w:shd w:val="clear" w:color="auto" w:fill="auto"/>
            <w:vAlign w:val="center"/>
          </w:tcPr>
          <w:p w:rsidR="003775E7" w:rsidRDefault="003775E7" w:rsidP="00DF2487">
            <w:pPr>
              <w:pStyle w:val="142"/>
              <w:spacing w:line="340" w:lineRule="exact"/>
              <w:jc w:val="right"/>
            </w:pPr>
            <w:r>
              <w:rPr>
                <w:rFonts w:hint="eastAsia"/>
              </w:rPr>
              <w:t>3.62</w:t>
            </w:r>
          </w:p>
        </w:tc>
        <w:tc>
          <w:tcPr>
            <w:tcW w:w="1276" w:type="dxa"/>
            <w:shd w:val="clear" w:color="auto" w:fill="auto"/>
            <w:vAlign w:val="center"/>
          </w:tcPr>
          <w:p w:rsidR="003775E7" w:rsidRDefault="003775E7" w:rsidP="00DF2487">
            <w:pPr>
              <w:pStyle w:val="142"/>
              <w:spacing w:line="340" w:lineRule="exact"/>
              <w:jc w:val="right"/>
            </w:pPr>
            <w:r>
              <w:rPr>
                <w:rFonts w:hint="eastAsia"/>
              </w:rPr>
              <w:t>-34.22</w:t>
            </w:r>
          </w:p>
        </w:tc>
        <w:tc>
          <w:tcPr>
            <w:tcW w:w="1275" w:type="dxa"/>
          </w:tcPr>
          <w:p w:rsidR="003775E7" w:rsidRDefault="003775E7" w:rsidP="00DF2487">
            <w:pPr>
              <w:pStyle w:val="142"/>
              <w:spacing w:line="340" w:lineRule="exact"/>
              <w:jc w:val="right"/>
              <w:rPr>
                <w:rFonts w:hint="eastAsia"/>
              </w:rPr>
            </w:pPr>
            <w:r>
              <w:rPr>
                <w:rFonts w:hint="eastAsia"/>
              </w:rPr>
              <w:t>-</w:t>
            </w:r>
            <w:r>
              <w:t>25.49</w:t>
            </w:r>
          </w:p>
        </w:tc>
      </w:tr>
      <w:tr w:rsidR="003775E7" w:rsidTr="003775E7">
        <w:tc>
          <w:tcPr>
            <w:tcW w:w="2736" w:type="dxa"/>
            <w:shd w:val="clear" w:color="auto" w:fill="auto"/>
          </w:tcPr>
          <w:p w:rsidR="003775E7" w:rsidRDefault="003775E7" w:rsidP="00DF2487">
            <w:pPr>
              <w:pStyle w:val="142"/>
              <w:spacing w:line="340" w:lineRule="exact"/>
            </w:pPr>
            <w:r>
              <w:rPr>
                <w:rFonts w:hint="eastAsia"/>
              </w:rPr>
              <w:t>每股盈餘(元)</w:t>
            </w:r>
          </w:p>
        </w:tc>
        <w:tc>
          <w:tcPr>
            <w:tcW w:w="1134" w:type="dxa"/>
            <w:shd w:val="clear" w:color="auto" w:fill="auto"/>
            <w:vAlign w:val="center"/>
          </w:tcPr>
          <w:p w:rsidR="003775E7" w:rsidRDefault="003775E7" w:rsidP="00DF2487">
            <w:pPr>
              <w:pStyle w:val="142"/>
              <w:spacing w:line="340" w:lineRule="exact"/>
              <w:jc w:val="right"/>
            </w:pPr>
            <w:r>
              <w:rPr>
                <w:rFonts w:hint="eastAsia"/>
              </w:rPr>
              <w:t>0.49</w:t>
            </w:r>
          </w:p>
        </w:tc>
        <w:tc>
          <w:tcPr>
            <w:tcW w:w="992" w:type="dxa"/>
            <w:shd w:val="clear" w:color="auto" w:fill="auto"/>
            <w:vAlign w:val="center"/>
          </w:tcPr>
          <w:p w:rsidR="003775E7" w:rsidRDefault="003775E7" w:rsidP="00DF2487">
            <w:pPr>
              <w:pStyle w:val="142"/>
              <w:spacing w:line="340" w:lineRule="exact"/>
              <w:jc w:val="right"/>
            </w:pPr>
            <w:r>
              <w:rPr>
                <w:rFonts w:hint="eastAsia"/>
              </w:rPr>
              <w:t>0.73</w:t>
            </w:r>
          </w:p>
        </w:tc>
        <w:tc>
          <w:tcPr>
            <w:tcW w:w="1134" w:type="dxa"/>
            <w:shd w:val="clear" w:color="auto" w:fill="auto"/>
            <w:vAlign w:val="center"/>
          </w:tcPr>
          <w:p w:rsidR="003775E7" w:rsidRDefault="003775E7" w:rsidP="00DF2487">
            <w:pPr>
              <w:pStyle w:val="142"/>
              <w:spacing w:line="340" w:lineRule="exact"/>
              <w:jc w:val="right"/>
            </w:pPr>
            <w:r>
              <w:rPr>
                <w:rFonts w:hint="eastAsia"/>
              </w:rPr>
              <w:t>0.68</w:t>
            </w:r>
          </w:p>
        </w:tc>
        <w:tc>
          <w:tcPr>
            <w:tcW w:w="1276" w:type="dxa"/>
            <w:shd w:val="clear" w:color="auto" w:fill="auto"/>
            <w:vAlign w:val="center"/>
          </w:tcPr>
          <w:p w:rsidR="003775E7" w:rsidRDefault="003775E7" w:rsidP="00DF2487">
            <w:pPr>
              <w:pStyle w:val="142"/>
              <w:spacing w:line="340" w:lineRule="exact"/>
              <w:jc w:val="right"/>
            </w:pPr>
            <w:r>
              <w:rPr>
                <w:rFonts w:hint="eastAsia"/>
              </w:rPr>
              <w:t>-6.86</w:t>
            </w:r>
          </w:p>
        </w:tc>
        <w:tc>
          <w:tcPr>
            <w:tcW w:w="1275" w:type="dxa"/>
          </w:tcPr>
          <w:p w:rsidR="003775E7" w:rsidRDefault="003775E7" w:rsidP="00DF2487">
            <w:pPr>
              <w:pStyle w:val="142"/>
              <w:spacing w:line="340" w:lineRule="exact"/>
              <w:jc w:val="right"/>
              <w:rPr>
                <w:rFonts w:hint="eastAsia"/>
              </w:rPr>
            </w:pPr>
            <w:r>
              <w:rPr>
                <w:rFonts w:hint="eastAsia"/>
              </w:rPr>
              <w:t>-</w:t>
            </w:r>
            <w:r>
              <w:t>4.49</w:t>
            </w:r>
          </w:p>
        </w:tc>
      </w:tr>
      <w:tr w:rsidR="003775E7" w:rsidTr="003775E7">
        <w:tc>
          <w:tcPr>
            <w:tcW w:w="2736" w:type="dxa"/>
            <w:shd w:val="clear" w:color="auto" w:fill="auto"/>
          </w:tcPr>
          <w:p w:rsidR="003775E7" w:rsidRDefault="003775E7" w:rsidP="00DF2487">
            <w:pPr>
              <w:pStyle w:val="142"/>
              <w:spacing w:line="340" w:lineRule="exact"/>
            </w:pPr>
            <w:r>
              <w:rPr>
                <w:rFonts w:hint="eastAsia"/>
              </w:rPr>
              <w:t>總資產報酬率(%)</w:t>
            </w:r>
          </w:p>
        </w:tc>
        <w:tc>
          <w:tcPr>
            <w:tcW w:w="1134" w:type="dxa"/>
            <w:shd w:val="clear" w:color="auto" w:fill="auto"/>
            <w:vAlign w:val="center"/>
          </w:tcPr>
          <w:p w:rsidR="003775E7" w:rsidRDefault="003775E7" w:rsidP="00DF2487">
            <w:pPr>
              <w:pStyle w:val="142"/>
              <w:spacing w:line="340" w:lineRule="exact"/>
              <w:jc w:val="right"/>
            </w:pPr>
            <w:r>
              <w:rPr>
                <w:rFonts w:hint="eastAsia"/>
              </w:rPr>
              <w:t>0.78</w:t>
            </w:r>
          </w:p>
        </w:tc>
        <w:tc>
          <w:tcPr>
            <w:tcW w:w="992" w:type="dxa"/>
            <w:shd w:val="clear" w:color="auto" w:fill="auto"/>
            <w:vAlign w:val="center"/>
          </w:tcPr>
          <w:p w:rsidR="003775E7" w:rsidRDefault="003775E7" w:rsidP="00DF2487">
            <w:pPr>
              <w:pStyle w:val="142"/>
              <w:spacing w:line="340" w:lineRule="exact"/>
              <w:jc w:val="right"/>
            </w:pPr>
            <w:r>
              <w:rPr>
                <w:rFonts w:hint="eastAsia"/>
              </w:rPr>
              <w:t>1.14</w:t>
            </w:r>
          </w:p>
        </w:tc>
        <w:tc>
          <w:tcPr>
            <w:tcW w:w="1134" w:type="dxa"/>
            <w:shd w:val="clear" w:color="auto" w:fill="auto"/>
            <w:vAlign w:val="center"/>
          </w:tcPr>
          <w:p w:rsidR="003775E7" w:rsidRDefault="003775E7" w:rsidP="00DF2487">
            <w:pPr>
              <w:pStyle w:val="142"/>
              <w:spacing w:line="340" w:lineRule="exact"/>
              <w:jc w:val="right"/>
            </w:pPr>
            <w:r>
              <w:rPr>
                <w:rFonts w:hint="eastAsia"/>
              </w:rPr>
              <w:t>1.03</w:t>
            </w:r>
          </w:p>
        </w:tc>
        <w:tc>
          <w:tcPr>
            <w:tcW w:w="1276" w:type="dxa"/>
            <w:shd w:val="clear" w:color="auto" w:fill="auto"/>
            <w:vAlign w:val="center"/>
          </w:tcPr>
          <w:p w:rsidR="003775E7" w:rsidRDefault="003775E7" w:rsidP="00DF2487">
            <w:pPr>
              <w:pStyle w:val="142"/>
              <w:spacing w:line="340" w:lineRule="exact"/>
              <w:jc w:val="right"/>
            </w:pPr>
            <w:r>
              <w:rPr>
                <w:rFonts w:hint="eastAsia"/>
              </w:rPr>
              <w:t>-10.00</w:t>
            </w:r>
          </w:p>
        </w:tc>
        <w:tc>
          <w:tcPr>
            <w:tcW w:w="1275" w:type="dxa"/>
          </w:tcPr>
          <w:p w:rsidR="003775E7" w:rsidRDefault="003775E7" w:rsidP="00DF2487">
            <w:pPr>
              <w:pStyle w:val="142"/>
              <w:spacing w:line="340" w:lineRule="exact"/>
              <w:jc w:val="right"/>
              <w:rPr>
                <w:rFonts w:hint="eastAsia"/>
              </w:rPr>
            </w:pPr>
            <w:r>
              <w:rPr>
                <w:rFonts w:hint="eastAsia"/>
              </w:rPr>
              <w:t>-</w:t>
            </w:r>
            <w:r>
              <w:t>8.14</w:t>
            </w:r>
          </w:p>
        </w:tc>
      </w:tr>
      <w:tr w:rsidR="003775E7" w:rsidTr="003775E7">
        <w:tc>
          <w:tcPr>
            <w:tcW w:w="2736" w:type="dxa"/>
            <w:shd w:val="clear" w:color="auto" w:fill="auto"/>
          </w:tcPr>
          <w:p w:rsidR="003775E7" w:rsidRDefault="003775E7" w:rsidP="00DF2487">
            <w:pPr>
              <w:pStyle w:val="142"/>
              <w:spacing w:line="340" w:lineRule="exact"/>
            </w:pPr>
            <w:r>
              <w:rPr>
                <w:rFonts w:hint="eastAsia"/>
              </w:rPr>
              <w:t>權益報酬率(%)</w:t>
            </w:r>
          </w:p>
        </w:tc>
        <w:tc>
          <w:tcPr>
            <w:tcW w:w="1134" w:type="dxa"/>
            <w:shd w:val="clear" w:color="auto" w:fill="auto"/>
            <w:vAlign w:val="center"/>
          </w:tcPr>
          <w:p w:rsidR="003775E7" w:rsidRDefault="003775E7" w:rsidP="00DF2487">
            <w:pPr>
              <w:pStyle w:val="142"/>
              <w:spacing w:line="340" w:lineRule="exact"/>
              <w:jc w:val="right"/>
            </w:pPr>
            <w:r>
              <w:rPr>
                <w:rFonts w:hint="eastAsia"/>
              </w:rPr>
              <w:t>5.43</w:t>
            </w:r>
          </w:p>
        </w:tc>
        <w:tc>
          <w:tcPr>
            <w:tcW w:w="992" w:type="dxa"/>
            <w:shd w:val="clear" w:color="auto" w:fill="auto"/>
            <w:vAlign w:val="center"/>
          </w:tcPr>
          <w:p w:rsidR="003775E7" w:rsidRDefault="003775E7" w:rsidP="00DF2487">
            <w:pPr>
              <w:pStyle w:val="142"/>
              <w:spacing w:line="340" w:lineRule="exact"/>
              <w:jc w:val="right"/>
            </w:pPr>
            <w:r>
              <w:rPr>
                <w:rFonts w:hint="eastAsia"/>
              </w:rPr>
              <w:t>7.64</w:t>
            </w:r>
          </w:p>
        </w:tc>
        <w:tc>
          <w:tcPr>
            <w:tcW w:w="1134" w:type="dxa"/>
            <w:shd w:val="clear" w:color="auto" w:fill="auto"/>
            <w:vAlign w:val="center"/>
          </w:tcPr>
          <w:p w:rsidR="003775E7" w:rsidRDefault="003775E7" w:rsidP="00DF2487">
            <w:pPr>
              <w:pStyle w:val="142"/>
              <w:spacing w:line="340" w:lineRule="exact"/>
              <w:jc w:val="right"/>
            </w:pPr>
            <w:r>
              <w:rPr>
                <w:rFonts w:hint="eastAsia"/>
              </w:rPr>
              <w:t>6.65</w:t>
            </w:r>
          </w:p>
        </w:tc>
        <w:tc>
          <w:tcPr>
            <w:tcW w:w="1276" w:type="dxa"/>
            <w:shd w:val="clear" w:color="auto" w:fill="auto"/>
            <w:vAlign w:val="center"/>
          </w:tcPr>
          <w:p w:rsidR="003775E7" w:rsidRDefault="003775E7" w:rsidP="00DF2487">
            <w:pPr>
              <w:pStyle w:val="142"/>
              <w:spacing w:line="340" w:lineRule="exact"/>
              <w:jc w:val="right"/>
            </w:pPr>
            <w:r>
              <w:rPr>
                <w:rFonts w:hint="eastAsia"/>
              </w:rPr>
              <w:t>-94.73</w:t>
            </w:r>
          </w:p>
        </w:tc>
        <w:tc>
          <w:tcPr>
            <w:tcW w:w="1275" w:type="dxa"/>
          </w:tcPr>
          <w:p w:rsidR="003775E7" w:rsidRDefault="003775E7" w:rsidP="00DF2487">
            <w:pPr>
              <w:pStyle w:val="142"/>
              <w:spacing w:line="340" w:lineRule="exact"/>
              <w:jc w:val="right"/>
              <w:rPr>
                <w:rFonts w:hint="eastAsia"/>
              </w:rPr>
            </w:pPr>
            <w:r>
              <w:rPr>
                <w:rFonts w:hint="eastAsia"/>
              </w:rPr>
              <w:t>-</w:t>
            </w:r>
            <w:r>
              <w:t>151.94</w:t>
            </w:r>
          </w:p>
        </w:tc>
      </w:tr>
    </w:tbl>
    <w:p w:rsidR="00761659" w:rsidRDefault="00761659" w:rsidP="00761659">
      <w:pPr>
        <w:pStyle w:val="142"/>
      </w:pPr>
      <w:r>
        <w:rPr>
          <w:rFonts w:hint="eastAsia"/>
        </w:rPr>
        <w:t>資料來源：摘錄自台電公司11</w:t>
      </w:r>
      <w:r w:rsidR="00A37AB6">
        <w:t>2</w:t>
      </w:r>
      <w:r>
        <w:rPr>
          <w:rFonts w:hint="eastAsia"/>
        </w:rPr>
        <w:t>年度附屬單位決算(審定本)第</w:t>
      </w:r>
      <w:r w:rsidR="00A37AB6">
        <w:rPr>
          <w:rFonts w:hint="eastAsia"/>
        </w:rPr>
        <w:t>8</w:t>
      </w:r>
      <w:r w:rsidR="00A37AB6">
        <w:t>2</w:t>
      </w:r>
      <w:r>
        <w:rPr>
          <w:rFonts w:hint="eastAsia"/>
        </w:rPr>
        <w:t>頁。</w:t>
      </w:r>
    </w:p>
    <w:p w:rsidR="00761659" w:rsidRPr="0049642D" w:rsidRDefault="006552FB" w:rsidP="00CD76BB">
      <w:pPr>
        <w:pStyle w:val="a4"/>
        <w:spacing w:line="460" w:lineRule="exact"/>
        <w:ind w:left="849" w:hanging="283"/>
        <w:rPr>
          <w:b/>
        </w:rPr>
      </w:pPr>
      <w:r w:rsidRPr="0049642D">
        <w:rPr>
          <w:rFonts w:hint="eastAsia"/>
          <w:b/>
        </w:rPr>
        <w:t>(二)</w:t>
      </w:r>
      <w:r w:rsidR="00CD76BB">
        <w:rPr>
          <w:rFonts w:hint="eastAsia"/>
          <w:b/>
        </w:rPr>
        <w:t>11</w:t>
      </w:r>
      <w:r w:rsidR="009F38D0">
        <w:rPr>
          <w:b/>
        </w:rPr>
        <w:t>2</w:t>
      </w:r>
      <w:r w:rsidR="00CD76BB">
        <w:rPr>
          <w:rFonts w:hint="eastAsia"/>
          <w:b/>
        </w:rPr>
        <w:t>年</w:t>
      </w:r>
      <w:r w:rsidR="00CD76BB" w:rsidRPr="007929AE">
        <w:rPr>
          <w:rFonts w:hint="eastAsia"/>
          <w:b/>
        </w:rPr>
        <w:t>度</w:t>
      </w:r>
      <w:r w:rsidR="004422C4" w:rsidRPr="007929AE">
        <w:rPr>
          <w:rFonts w:hint="eastAsia"/>
          <w:b/>
        </w:rPr>
        <w:t>政</w:t>
      </w:r>
      <w:r w:rsidR="00DF2487" w:rsidRPr="007929AE">
        <w:rPr>
          <w:rFonts w:hint="eastAsia"/>
          <w:b/>
        </w:rPr>
        <w:t>策</w:t>
      </w:r>
      <w:r w:rsidR="004422C4">
        <w:rPr>
          <w:rFonts w:hint="eastAsia"/>
          <w:b/>
        </w:rPr>
        <w:t>因素影響金額達2</w:t>
      </w:r>
      <w:r w:rsidR="000B26F9">
        <w:rPr>
          <w:b/>
        </w:rPr>
        <w:t>,</w:t>
      </w:r>
      <w:r w:rsidR="004422C4">
        <w:rPr>
          <w:b/>
        </w:rPr>
        <w:t>356.12</w:t>
      </w:r>
      <w:r w:rsidR="004422C4">
        <w:rPr>
          <w:rFonts w:hint="eastAsia"/>
          <w:b/>
        </w:rPr>
        <w:t>億元，</w:t>
      </w:r>
      <w:r w:rsidR="0049642D" w:rsidRPr="0049642D">
        <w:rPr>
          <w:rFonts w:hint="eastAsia"/>
          <w:b/>
        </w:rPr>
        <w:t>亟需研謀改善</w:t>
      </w:r>
    </w:p>
    <w:p w:rsidR="00467B3D" w:rsidRDefault="0085682F" w:rsidP="00CD76BB">
      <w:pPr>
        <w:pStyle w:val="21"/>
        <w:spacing w:line="460" w:lineRule="exact"/>
        <w:ind w:left="850" w:firstLine="566"/>
      </w:pPr>
      <w:r>
        <w:rPr>
          <w:rFonts w:hint="eastAsia"/>
        </w:rPr>
        <w:t>依</w:t>
      </w:r>
      <w:r w:rsidR="00BF648B">
        <w:rPr>
          <w:rFonts w:hint="eastAsia"/>
        </w:rPr>
        <w:t>台電公司</w:t>
      </w:r>
      <w:r w:rsidR="00D256FE">
        <w:rPr>
          <w:rFonts w:hint="eastAsia"/>
        </w:rPr>
        <w:t>11</w:t>
      </w:r>
      <w:r w:rsidR="009F38D0">
        <w:t>2</w:t>
      </w:r>
      <w:r w:rsidR="00D256FE">
        <w:rPr>
          <w:rFonts w:hint="eastAsia"/>
        </w:rPr>
        <w:t>年度</w:t>
      </w:r>
      <w:r w:rsidR="00334923">
        <w:rPr>
          <w:rFonts w:hint="eastAsia"/>
        </w:rPr>
        <w:t>審定</w:t>
      </w:r>
      <w:r w:rsidR="00CD76BB">
        <w:rPr>
          <w:rFonts w:hint="eastAsia"/>
        </w:rPr>
        <w:t>決算</w:t>
      </w:r>
      <w:r w:rsidR="00334923">
        <w:rPr>
          <w:rFonts w:hint="eastAsia"/>
        </w:rPr>
        <w:t>書</w:t>
      </w:r>
      <w:r w:rsidR="00621252">
        <w:rPr>
          <w:rFonts w:hint="eastAsia"/>
        </w:rPr>
        <w:t>所示</w:t>
      </w:r>
      <w:r w:rsidR="00D256FE">
        <w:rPr>
          <w:rFonts w:hint="eastAsia"/>
        </w:rPr>
        <w:t>，</w:t>
      </w:r>
      <w:r w:rsidR="00334923">
        <w:rPr>
          <w:rFonts w:hint="eastAsia"/>
        </w:rPr>
        <w:t>該公司</w:t>
      </w:r>
      <w:r w:rsidR="002E4557">
        <w:rPr>
          <w:rFonts w:hint="eastAsia"/>
        </w:rPr>
        <w:t>因</w:t>
      </w:r>
      <w:r w:rsidR="00BF648B">
        <w:rPr>
          <w:rFonts w:hint="eastAsia"/>
        </w:rPr>
        <w:t>配合執行重大政策或負擔社會責任</w:t>
      </w:r>
      <w:r w:rsidR="002E4557">
        <w:rPr>
          <w:rFonts w:hint="eastAsia"/>
        </w:rPr>
        <w:t>之</w:t>
      </w:r>
      <w:r w:rsidR="00BF648B">
        <w:rPr>
          <w:rFonts w:hint="eastAsia"/>
        </w:rPr>
        <w:t>金額</w:t>
      </w:r>
      <w:r w:rsidR="008F1BF6">
        <w:rPr>
          <w:rFonts w:hint="eastAsia"/>
        </w:rPr>
        <w:t>共</w:t>
      </w:r>
      <w:r w:rsidR="00BF648B">
        <w:rPr>
          <w:rFonts w:hint="eastAsia"/>
        </w:rPr>
        <w:t>2</w:t>
      </w:r>
      <w:r w:rsidR="00BF648B">
        <w:t>,</w:t>
      </w:r>
      <w:r w:rsidR="009F38D0">
        <w:t>356.</w:t>
      </w:r>
      <w:r w:rsidR="000C071D">
        <w:t>12</w:t>
      </w:r>
      <w:r w:rsidR="00BF648B">
        <w:rPr>
          <w:rFonts w:hint="eastAsia"/>
        </w:rPr>
        <w:t>億元，其中</w:t>
      </w:r>
      <w:r w:rsidR="009F38D0">
        <w:rPr>
          <w:rFonts w:hint="eastAsia"/>
        </w:rPr>
        <w:t>2</w:t>
      </w:r>
      <w:r w:rsidR="009F38D0">
        <w:t>,304.72</w:t>
      </w:r>
      <w:r w:rsidR="00D256FE">
        <w:rPr>
          <w:rFonts w:hint="eastAsia"/>
        </w:rPr>
        <w:t>億元</w:t>
      </w:r>
      <w:r w:rsidR="008F1BF6">
        <w:rPr>
          <w:rFonts w:hint="eastAsia"/>
        </w:rPr>
        <w:t>(占比</w:t>
      </w:r>
      <w:r w:rsidR="000E3976">
        <w:rPr>
          <w:rFonts w:hint="eastAsia"/>
        </w:rPr>
        <w:t>9</w:t>
      </w:r>
      <w:r w:rsidR="000E3976">
        <w:t>7.82%)</w:t>
      </w:r>
      <w:r w:rsidR="00D256FE">
        <w:rPr>
          <w:rFonts w:hint="eastAsia"/>
        </w:rPr>
        <w:t>係</w:t>
      </w:r>
      <w:r w:rsidR="00BF648B">
        <w:rPr>
          <w:rFonts w:hint="eastAsia"/>
        </w:rPr>
        <w:t>「配合電價費率計算公式所訂漲幅上限，成本上漲超過電價漲幅部分所減少之電費收入影響數」</w:t>
      </w:r>
      <w:r w:rsidR="004422C4">
        <w:rPr>
          <w:rFonts w:hint="eastAsia"/>
        </w:rPr>
        <w:t>，</w:t>
      </w:r>
      <w:r w:rsidR="0044228D">
        <w:rPr>
          <w:rFonts w:hint="eastAsia"/>
        </w:rPr>
        <w:t>允宜</w:t>
      </w:r>
      <w:r w:rsidR="00874136">
        <w:rPr>
          <w:rFonts w:hint="eastAsia"/>
        </w:rPr>
        <w:t>積極</w:t>
      </w:r>
      <w:r w:rsidR="0044228D">
        <w:rPr>
          <w:rFonts w:hint="eastAsia"/>
        </w:rPr>
        <w:t>就</w:t>
      </w:r>
      <w:r w:rsidR="004422C4">
        <w:rPr>
          <w:rFonts w:hint="eastAsia"/>
        </w:rPr>
        <w:t>各項政策性負擔項目之合理性、</w:t>
      </w:r>
      <w:r w:rsidR="0044228D">
        <w:rPr>
          <w:rFonts w:hint="eastAsia"/>
        </w:rPr>
        <w:t>售電價格及財務規劃等通盤檢討，以利改善虧損情形</w:t>
      </w:r>
      <w:r w:rsidR="00874136">
        <w:rPr>
          <w:rFonts w:hint="eastAsia"/>
        </w:rPr>
        <w:t>。</w:t>
      </w:r>
    </w:p>
    <w:p w:rsidR="0049642D" w:rsidRDefault="0049642D" w:rsidP="00E90BF5">
      <w:pPr>
        <w:spacing w:line="480" w:lineRule="exact"/>
        <w:ind w:left="566" w:firstLine="566"/>
      </w:pPr>
      <w:r w:rsidRPr="0049642D">
        <w:rPr>
          <w:rFonts w:hint="eastAsia"/>
        </w:rPr>
        <w:t>綜上，</w:t>
      </w:r>
      <w:r w:rsidR="00201A02">
        <w:rPr>
          <w:rFonts w:hint="eastAsia"/>
        </w:rPr>
        <w:t>台電公司11</w:t>
      </w:r>
      <w:r w:rsidR="00023189">
        <w:t>2</w:t>
      </w:r>
      <w:r w:rsidR="00201A02">
        <w:rPr>
          <w:rFonts w:hint="eastAsia"/>
        </w:rPr>
        <w:t>年度</w:t>
      </w:r>
      <w:r w:rsidR="00987FCD">
        <w:rPr>
          <w:rFonts w:hint="eastAsia"/>
        </w:rPr>
        <w:t>決算</w:t>
      </w:r>
      <w:r w:rsidR="00C15416">
        <w:rPr>
          <w:rFonts w:hint="eastAsia"/>
        </w:rPr>
        <w:t>每度售電虧損</w:t>
      </w:r>
      <w:r w:rsidR="00987FCD">
        <w:rPr>
          <w:rFonts w:hint="eastAsia"/>
        </w:rPr>
        <w:t>1</w:t>
      </w:r>
      <w:r w:rsidR="00987FCD">
        <w:t>.18</w:t>
      </w:r>
      <w:r w:rsidR="00987FCD">
        <w:rPr>
          <w:rFonts w:hint="eastAsia"/>
        </w:rPr>
        <w:t>元</w:t>
      </w:r>
      <w:r w:rsidR="00C15416">
        <w:rPr>
          <w:rFonts w:hint="eastAsia"/>
        </w:rPr>
        <w:t>雖較</w:t>
      </w:r>
      <w:r w:rsidR="00780A92">
        <w:rPr>
          <w:rFonts w:hint="eastAsia"/>
        </w:rPr>
        <w:t>預算</w:t>
      </w:r>
      <w:r w:rsidR="00987FCD">
        <w:rPr>
          <w:rFonts w:hint="eastAsia"/>
        </w:rPr>
        <w:t>目標</w:t>
      </w:r>
      <w:r w:rsidR="00C15416">
        <w:rPr>
          <w:rFonts w:hint="eastAsia"/>
        </w:rPr>
        <w:t>略減，惟當年度</w:t>
      </w:r>
      <w:r w:rsidR="00201A02">
        <w:rPr>
          <w:rFonts w:hint="eastAsia"/>
        </w:rPr>
        <w:t>營運</w:t>
      </w:r>
      <w:r w:rsidR="00C15416">
        <w:rPr>
          <w:rFonts w:hint="eastAsia"/>
        </w:rPr>
        <w:t>收支仍呈鉅額</w:t>
      </w:r>
      <w:r w:rsidR="00201A02">
        <w:rPr>
          <w:rFonts w:hint="eastAsia"/>
        </w:rPr>
        <w:t>虧損</w:t>
      </w:r>
      <w:r w:rsidR="00987FCD">
        <w:rPr>
          <w:rFonts w:hint="eastAsia"/>
        </w:rPr>
        <w:t>1</w:t>
      </w:r>
      <w:r w:rsidR="00987FCD">
        <w:t>,990.91</w:t>
      </w:r>
      <w:r w:rsidR="00987FCD">
        <w:rPr>
          <w:rFonts w:hint="eastAsia"/>
        </w:rPr>
        <w:t>億元</w:t>
      </w:r>
      <w:r w:rsidR="00C15416">
        <w:rPr>
          <w:rFonts w:hint="eastAsia"/>
        </w:rPr>
        <w:t>，</w:t>
      </w:r>
      <w:r w:rsidR="00334923">
        <w:rPr>
          <w:rFonts w:hint="eastAsia"/>
        </w:rPr>
        <w:t>各項投資報酬指標皆呈負數</w:t>
      </w:r>
      <w:r w:rsidR="00023189">
        <w:rPr>
          <w:rFonts w:hint="eastAsia"/>
        </w:rPr>
        <w:t>，</w:t>
      </w:r>
      <w:r w:rsidR="00FC5923">
        <w:rPr>
          <w:rFonts w:hint="eastAsia"/>
        </w:rPr>
        <w:t>財務狀況極為嚴峻，</w:t>
      </w:r>
      <w:r w:rsidR="00780A92">
        <w:rPr>
          <w:rFonts w:hint="eastAsia"/>
        </w:rPr>
        <w:t>允宜積極就</w:t>
      </w:r>
      <w:r w:rsidR="00987FCD">
        <w:rPr>
          <w:rFonts w:hint="eastAsia"/>
        </w:rPr>
        <w:t>發購電成本、</w:t>
      </w:r>
      <w:r w:rsidR="00780A92">
        <w:rPr>
          <w:rFonts w:hint="eastAsia"/>
        </w:rPr>
        <w:t>售電價格及財務規劃等通盤檢討</w:t>
      </w:r>
      <w:r w:rsidR="00535C59">
        <w:rPr>
          <w:rFonts w:hint="eastAsia"/>
        </w:rPr>
        <w:t>，俾利財務健全與</w:t>
      </w:r>
      <w:r w:rsidR="00174909">
        <w:rPr>
          <w:rFonts w:hint="eastAsia"/>
        </w:rPr>
        <w:t>營運</w:t>
      </w:r>
      <w:r w:rsidR="00535C59">
        <w:rPr>
          <w:rFonts w:hint="eastAsia"/>
        </w:rPr>
        <w:t>永續。</w:t>
      </w:r>
    </w:p>
    <w:sectPr w:rsidR="0049642D" w:rsidSect="00481106">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1F53" w:rsidRDefault="001A1F53" w:rsidP="00D760F2">
      <w:pPr>
        <w:spacing w:line="240" w:lineRule="auto"/>
        <w:ind w:left="560" w:firstLine="560"/>
      </w:pPr>
      <w:r>
        <w:separator/>
      </w:r>
    </w:p>
  </w:endnote>
  <w:endnote w:type="continuationSeparator" w:id="0">
    <w:p w:rsidR="001A1F53" w:rsidRDefault="001A1F53" w:rsidP="00D760F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481106">
    <w:pPr>
      <w:pStyle w:val="ae"/>
      <w:ind w:left="560" w:firstLine="400"/>
      <w:jc w:val="center"/>
    </w:pPr>
    <w:r>
      <w:fldChar w:fldCharType="begin"/>
    </w:r>
    <w:r>
      <w:instrText>PAGE   \* MERGEFORMAT</w:instrText>
    </w:r>
    <w:r>
      <w:fldChar w:fldCharType="separate"/>
    </w:r>
    <w:r w:rsidR="00BF464D" w:rsidRPr="00BF464D">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1F53" w:rsidRDefault="001A1F53" w:rsidP="00D760F2">
      <w:pPr>
        <w:spacing w:line="240" w:lineRule="auto"/>
        <w:ind w:left="560" w:firstLine="560"/>
      </w:pPr>
      <w:r>
        <w:separator/>
      </w:r>
    </w:p>
  </w:footnote>
  <w:footnote w:type="continuationSeparator" w:id="0">
    <w:p w:rsidR="001A1F53" w:rsidRDefault="001A1F53" w:rsidP="00D760F2">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C0F" w:rsidRDefault="00BF5C0F" w:rsidP="00D71B67">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4E5F13"/>
    <w:multiLevelType w:val="hybridMultilevel"/>
    <w:tmpl w:val="3BB4FAB0"/>
    <w:lvl w:ilvl="0" w:tplc="A46430A8">
      <w:start w:val="1"/>
      <w:numFmt w:val="decimal"/>
      <w:suff w:val="nothing"/>
      <w:lvlText w:val="%1、"/>
      <w:lvlJc w:val="left"/>
      <w:pPr>
        <w:ind w:left="533" w:hanging="360"/>
      </w:pPr>
      <w:rPr>
        <w:rFonts w:hint="default"/>
      </w:rPr>
    </w:lvl>
    <w:lvl w:ilvl="1" w:tplc="4DB8245A">
      <w:start w:val="1"/>
      <w:numFmt w:val="decimal"/>
      <w:lvlText w:val="(%2)"/>
      <w:lvlJc w:val="left"/>
      <w:pPr>
        <w:ind w:left="1133" w:hanging="480"/>
      </w:pPr>
      <w:rPr>
        <w:rFonts w:hint="default"/>
      </w:rPr>
    </w:lvl>
    <w:lvl w:ilvl="2" w:tplc="0409001B" w:tentative="1">
      <w:start w:val="1"/>
      <w:numFmt w:val="lowerRoman"/>
      <w:lvlText w:val="%3."/>
      <w:lvlJc w:val="right"/>
      <w:pPr>
        <w:ind w:left="1613" w:hanging="480"/>
      </w:pPr>
    </w:lvl>
    <w:lvl w:ilvl="3" w:tplc="0409000F" w:tentative="1">
      <w:start w:val="1"/>
      <w:numFmt w:val="decimal"/>
      <w:lvlText w:val="%4."/>
      <w:lvlJc w:val="left"/>
      <w:pPr>
        <w:ind w:left="2093" w:hanging="480"/>
      </w:pPr>
    </w:lvl>
    <w:lvl w:ilvl="4" w:tplc="04090019" w:tentative="1">
      <w:start w:val="1"/>
      <w:numFmt w:val="ideographTraditional"/>
      <w:lvlText w:val="%5、"/>
      <w:lvlJc w:val="left"/>
      <w:pPr>
        <w:ind w:left="2573" w:hanging="480"/>
      </w:pPr>
    </w:lvl>
    <w:lvl w:ilvl="5" w:tplc="0409001B" w:tentative="1">
      <w:start w:val="1"/>
      <w:numFmt w:val="lowerRoman"/>
      <w:lvlText w:val="%6."/>
      <w:lvlJc w:val="right"/>
      <w:pPr>
        <w:ind w:left="3053" w:hanging="480"/>
      </w:pPr>
    </w:lvl>
    <w:lvl w:ilvl="6" w:tplc="0409000F" w:tentative="1">
      <w:start w:val="1"/>
      <w:numFmt w:val="decimal"/>
      <w:lvlText w:val="%7."/>
      <w:lvlJc w:val="left"/>
      <w:pPr>
        <w:ind w:left="3533" w:hanging="480"/>
      </w:pPr>
    </w:lvl>
    <w:lvl w:ilvl="7" w:tplc="04090019" w:tentative="1">
      <w:start w:val="1"/>
      <w:numFmt w:val="ideographTraditional"/>
      <w:lvlText w:val="%8、"/>
      <w:lvlJc w:val="left"/>
      <w:pPr>
        <w:ind w:left="4013" w:hanging="480"/>
      </w:pPr>
    </w:lvl>
    <w:lvl w:ilvl="8" w:tplc="0409001B" w:tentative="1">
      <w:start w:val="1"/>
      <w:numFmt w:val="lowerRoman"/>
      <w:lvlText w:val="%9."/>
      <w:lvlJc w:val="right"/>
      <w:pPr>
        <w:ind w:left="4493"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6779B"/>
    <w:rsid w:val="0000378D"/>
    <w:rsid w:val="00014912"/>
    <w:rsid w:val="000167AD"/>
    <w:rsid w:val="00017499"/>
    <w:rsid w:val="00023189"/>
    <w:rsid w:val="000273B4"/>
    <w:rsid w:val="00040C4E"/>
    <w:rsid w:val="000A5153"/>
    <w:rsid w:val="000B26F9"/>
    <w:rsid w:val="000B7733"/>
    <w:rsid w:val="000C071D"/>
    <w:rsid w:val="000C0F54"/>
    <w:rsid w:val="000C2DD7"/>
    <w:rsid w:val="000C40EC"/>
    <w:rsid w:val="000C76C4"/>
    <w:rsid w:val="000E05D4"/>
    <w:rsid w:val="000E3976"/>
    <w:rsid w:val="00100D11"/>
    <w:rsid w:val="00113252"/>
    <w:rsid w:val="00121A0A"/>
    <w:rsid w:val="001354DD"/>
    <w:rsid w:val="00145857"/>
    <w:rsid w:val="00174909"/>
    <w:rsid w:val="00183B85"/>
    <w:rsid w:val="001901F1"/>
    <w:rsid w:val="001A0C43"/>
    <w:rsid w:val="001A1F53"/>
    <w:rsid w:val="001A5F62"/>
    <w:rsid w:val="001A64F3"/>
    <w:rsid w:val="001B151B"/>
    <w:rsid w:val="001C3F58"/>
    <w:rsid w:val="001C55BB"/>
    <w:rsid w:val="001D4B16"/>
    <w:rsid w:val="001E3867"/>
    <w:rsid w:val="001F6928"/>
    <w:rsid w:val="001F7258"/>
    <w:rsid w:val="00201A02"/>
    <w:rsid w:val="0020607F"/>
    <w:rsid w:val="00207F44"/>
    <w:rsid w:val="00216704"/>
    <w:rsid w:val="00217732"/>
    <w:rsid w:val="00221FE3"/>
    <w:rsid w:val="002321A9"/>
    <w:rsid w:val="002347E0"/>
    <w:rsid w:val="002403FF"/>
    <w:rsid w:val="00240532"/>
    <w:rsid w:val="00241247"/>
    <w:rsid w:val="00246186"/>
    <w:rsid w:val="00246761"/>
    <w:rsid w:val="002633E0"/>
    <w:rsid w:val="00265FBB"/>
    <w:rsid w:val="00273631"/>
    <w:rsid w:val="002737DE"/>
    <w:rsid w:val="00276822"/>
    <w:rsid w:val="00292FD7"/>
    <w:rsid w:val="00295D6A"/>
    <w:rsid w:val="00296414"/>
    <w:rsid w:val="002A006D"/>
    <w:rsid w:val="002A0381"/>
    <w:rsid w:val="002A519E"/>
    <w:rsid w:val="002C6C21"/>
    <w:rsid w:val="002C6EF7"/>
    <w:rsid w:val="002D6E9C"/>
    <w:rsid w:val="002E2566"/>
    <w:rsid w:val="002E2C37"/>
    <w:rsid w:val="002E4557"/>
    <w:rsid w:val="002E6AE7"/>
    <w:rsid w:val="002E763B"/>
    <w:rsid w:val="002F30F4"/>
    <w:rsid w:val="002F588D"/>
    <w:rsid w:val="003022EE"/>
    <w:rsid w:val="003050B7"/>
    <w:rsid w:val="003122D4"/>
    <w:rsid w:val="00320CE1"/>
    <w:rsid w:val="00322B02"/>
    <w:rsid w:val="0033006E"/>
    <w:rsid w:val="00334923"/>
    <w:rsid w:val="003353CC"/>
    <w:rsid w:val="00345F0D"/>
    <w:rsid w:val="00352A21"/>
    <w:rsid w:val="00366E94"/>
    <w:rsid w:val="003711C0"/>
    <w:rsid w:val="00372728"/>
    <w:rsid w:val="00374945"/>
    <w:rsid w:val="003750F8"/>
    <w:rsid w:val="003775E7"/>
    <w:rsid w:val="003854AB"/>
    <w:rsid w:val="00386AAD"/>
    <w:rsid w:val="00387357"/>
    <w:rsid w:val="003A56AC"/>
    <w:rsid w:val="003B6E9B"/>
    <w:rsid w:val="003C1BC1"/>
    <w:rsid w:val="003C3E4B"/>
    <w:rsid w:val="003C5FC5"/>
    <w:rsid w:val="003D18B1"/>
    <w:rsid w:val="003D51F7"/>
    <w:rsid w:val="003D52FC"/>
    <w:rsid w:val="003E76A2"/>
    <w:rsid w:val="003F0A13"/>
    <w:rsid w:val="003F7C10"/>
    <w:rsid w:val="00415483"/>
    <w:rsid w:val="00426898"/>
    <w:rsid w:val="00430997"/>
    <w:rsid w:val="00440D2D"/>
    <w:rsid w:val="0044228D"/>
    <w:rsid w:val="004422C4"/>
    <w:rsid w:val="00446BC8"/>
    <w:rsid w:val="0046779B"/>
    <w:rsid w:val="00467B3D"/>
    <w:rsid w:val="00481106"/>
    <w:rsid w:val="004901CE"/>
    <w:rsid w:val="004923AA"/>
    <w:rsid w:val="004927B3"/>
    <w:rsid w:val="00494567"/>
    <w:rsid w:val="0049642D"/>
    <w:rsid w:val="004D0185"/>
    <w:rsid w:val="004D0D39"/>
    <w:rsid w:val="004E48DB"/>
    <w:rsid w:val="004E5E37"/>
    <w:rsid w:val="00505A68"/>
    <w:rsid w:val="0051074F"/>
    <w:rsid w:val="00511590"/>
    <w:rsid w:val="00512CD4"/>
    <w:rsid w:val="005137A4"/>
    <w:rsid w:val="00531F18"/>
    <w:rsid w:val="00535C59"/>
    <w:rsid w:val="0056325A"/>
    <w:rsid w:val="00587982"/>
    <w:rsid w:val="00597873"/>
    <w:rsid w:val="005A0D81"/>
    <w:rsid w:val="005A59AE"/>
    <w:rsid w:val="005A7C20"/>
    <w:rsid w:val="005B7366"/>
    <w:rsid w:val="005D177B"/>
    <w:rsid w:val="005E0EC2"/>
    <w:rsid w:val="005E1320"/>
    <w:rsid w:val="005F32B9"/>
    <w:rsid w:val="005F4215"/>
    <w:rsid w:val="005F5170"/>
    <w:rsid w:val="00600305"/>
    <w:rsid w:val="006039AD"/>
    <w:rsid w:val="00611A45"/>
    <w:rsid w:val="0061526A"/>
    <w:rsid w:val="00621252"/>
    <w:rsid w:val="006368DE"/>
    <w:rsid w:val="00647380"/>
    <w:rsid w:val="0065406A"/>
    <w:rsid w:val="0065439B"/>
    <w:rsid w:val="006552FB"/>
    <w:rsid w:val="006554A6"/>
    <w:rsid w:val="0066061A"/>
    <w:rsid w:val="00663CA1"/>
    <w:rsid w:val="00674203"/>
    <w:rsid w:val="00677067"/>
    <w:rsid w:val="00685372"/>
    <w:rsid w:val="00691FA6"/>
    <w:rsid w:val="006A0BF2"/>
    <w:rsid w:val="006C7AD5"/>
    <w:rsid w:val="006E7A85"/>
    <w:rsid w:val="007015A1"/>
    <w:rsid w:val="007048C3"/>
    <w:rsid w:val="00711930"/>
    <w:rsid w:val="007173EF"/>
    <w:rsid w:val="00736C2F"/>
    <w:rsid w:val="00744408"/>
    <w:rsid w:val="00745F1A"/>
    <w:rsid w:val="007465D0"/>
    <w:rsid w:val="00750B14"/>
    <w:rsid w:val="007518B0"/>
    <w:rsid w:val="00754120"/>
    <w:rsid w:val="00761659"/>
    <w:rsid w:val="007633D7"/>
    <w:rsid w:val="00780A92"/>
    <w:rsid w:val="00785E00"/>
    <w:rsid w:val="007929AE"/>
    <w:rsid w:val="007A1E6E"/>
    <w:rsid w:val="007A3213"/>
    <w:rsid w:val="007A4E3D"/>
    <w:rsid w:val="007B5FBE"/>
    <w:rsid w:val="007C0179"/>
    <w:rsid w:val="007E1710"/>
    <w:rsid w:val="007E3D1E"/>
    <w:rsid w:val="007F4E5A"/>
    <w:rsid w:val="0081180A"/>
    <w:rsid w:val="00813D03"/>
    <w:rsid w:val="0082258B"/>
    <w:rsid w:val="00826F81"/>
    <w:rsid w:val="008343D9"/>
    <w:rsid w:val="0084196A"/>
    <w:rsid w:val="008503E1"/>
    <w:rsid w:val="0085682F"/>
    <w:rsid w:val="00870DF8"/>
    <w:rsid w:val="00874136"/>
    <w:rsid w:val="00886E79"/>
    <w:rsid w:val="00886F27"/>
    <w:rsid w:val="008A4560"/>
    <w:rsid w:val="008A4CDA"/>
    <w:rsid w:val="008B2E5B"/>
    <w:rsid w:val="008B542D"/>
    <w:rsid w:val="008C21E9"/>
    <w:rsid w:val="008D254D"/>
    <w:rsid w:val="008E5ED2"/>
    <w:rsid w:val="008F1BF6"/>
    <w:rsid w:val="008F29AE"/>
    <w:rsid w:val="009074DC"/>
    <w:rsid w:val="00915A2B"/>
    <w:rsid w:val="009448E6"/>
    <w:rsid w:val="00953A30"/>
    <w:rsid w:val="00961E57"/>
    <w:rsid w:val="009636EA"/>
    <w:rsid w:val="00965DB7"/>
    <w:rsid w:val="00970D61"/>
    <w:rsid w:val="0098719D"/>
    <w:rsid w:val="00987FCD"/>
    <w:rsid w:val="00991BE4"/>
    <w:rsid w:val="009948CF"/>
    <w:rsid w:val="009A0CDB"/>
    <w:rsid w:val="009B064B"/>
    <w:rsid w:val="009B77AC"/>
    <w:rsid w:val="009C2FF0"/>
    <w:rsid w:val="009C3AAB"/>
    <w:rsid w:val="009C5E88"/>
    <w:rsid w:val="009D3536"/>
    <w:rsid w:val="009E7DDB"/>
    <w:rsid w:val="009F38D0"/>
    <w:rsid w:val="009F3C69"/>
    <w:rsid w:val="00A042E0"/>
    <w:rsid w:val="00A131E1"/>
    <w:rsid w:val="00A34AE1"/>
    <w:rsid w:val="00A37AB6"/>
    <w:rsid w:val="00A44223"/>
    <w:rsid w:val="00A51235"/>
    <w:rsid w:val="00A67360"/>
    <w:rsid w:val="00A753D2"/>
    <w:rsid w:val="00A80161"/>
    <w:rsid w:val="00A80A8D"/>
    <w:rsid w:val="00A86869"/>
    <w:rsid w:val="00A90908"/>
    <w:rsid w:val="00A9564F"/>
    <w:rsid w:val="00A9680F"/>
    <w:rsid w:val="00A97741"/>
    <w:rsid w:val="00AC63AA"/>
    <w:rsid w:val="00AD291A"/>
    <w:rsid w:val="00AD2B26"/>
    <w:rsid w:val="00AD56CA"/>
    <w:rsid w:val="00AD77AD"/>
    <w:rsid w:val="00AE051F"/>
    <w:rsid w:val="00AE4ED0"/>
    <w:rsid w:val="00AF607F"/>
    <w:rsid w:val="00B03BCA"/>
    <w:rsid w:val="00B205E2"/>
    <w:rsid w:val="00B37C8A"/>
    <w:rsid w:val="00B47856"/>
    <w:rsid w:val="00B618E5"/>
    <w:rsid w:val="00B63D27"/>
    <w:rsid w:val="00B814F5"/>
    <w:rsid w:val="00BA57F7"/>
    <w:rsid w:val="00BB66BC"/>
    <w:rsid w:val="00BC2C7D"/>
    <w:rsid w:val="00BD39E2"/>
    <w:rsid w:val="00BE34DE"/>
    <w:rsid w:val="00BE6C23"/>
    <w:rsid w:val="00BE6F42"/>
    <w:rsid w:val="00BE7400"/>
    <w:rsid w:val="00BF464D"/>
    <w:rsid w:val="00BF5C0F"/>
    <w:rsid w:val="00BF648B"/>
    <w:rsid w:val="00C0104C"/>
    <w:rsid w:val="00C02739"/>
    <w:rsid w:val="00C029AE"/>
    <w:rsid w:val="00C03257"/>
    <w:rsid w:val="00C03B0E"/>
    <w:rsid w:val="00C045B8"/>
    <w:rsid w:val="00C11577"/>
    <w:rsid w:val="00C13387"/>
    <w:rsid w:val="00C15416"/>
    <w:rsid w:val="00C1727B"/>
    <w:rsid w:val="00C222C7"/>
    <w:rsid w:val="00C27834"/>
    <w:rsid w:val="00C331C3"/>
    <w:rsid w:val="00C37C4D"/>
    <w:rsid w:val="00C65633"/>
    <w:rsid w:val="00C65EB4"/>
    <w:rsid w:val="00C77F2F"/>
    <w:rsid w:val="00C8235C"/>
    <w:rsid w:val="00C83374"/>
    <w:rsid w:val="00C97D40"/>
    <w:rsid w:val="00CA3070"/>
    <w:rsid w:val="00CC0B41"/>
    <w:rsid w:val="00CC5F51"/>
    <w:rsid w:val="00CC7952"/>
    <w:rsid w:val="00CD76BB"/>
    <w:rsid w:val="00CF6893"/>
    <w:rsid w:val="00D23C16"/>
    <w:rsid w:val="00D256FE"/>
    <w:rsid w:val="00D273DC"/>
    <w:rsid w:val="00D4196A"/>
    <w:rsid w:val="00D50AB9"/>
    <w:rsid w:val="00D57489"/>
    <w:rsid w:val="00D61DC8"/>
    <w:rsid w:val="00D663EE"/>
    <w:rsid w:val="00D71B67"/>
    <w:rsid w:val="00D71FBA"/>
    <w:rsid w:val="00D760F2"/>
    <w:rsid w:val="00D7647D"/>
    <w:rsid w:val="00DA7E1F"/>
    <w:rsid w:val="00DB1957"/>
    <w:rsid w:val="00DB1BE3"/>
    <w:rsid w:val="00DC3921"/>
    <w:rsid w:val="00DF0099"/>
    <w:rsid w:val="00DF2487"/>
    <w:rsid w:val="00E06616"/>
    <w:rsid w:val="00E07D96"/>
    <w:rsid w:val="00E33B1A"/>
    <w:rsid w:val="00E36DEC"/>
    <w:rsid w:val="00E37476"/>
    <w:rsid w:val="00E4256D"/>
    <w:rsid w:val="00E5169F"/>
    <w:rsid w:val="00E5391B"/>
    <w:rsid w:val="00E6204F"/>
    <w:rsid w:val="00E775FF"/>
    <w:rsid w:val="00E90563"/>
    <w:rsid w:val="00E90BF5"/>
    <w:rsid w:val="00E92D04"/>
    <w:rsid w:val="00EC25CC"/>
    <w:rsid w:val="00EC3954"/>
    <w:rsid w:val="00EC7AA9"/>
    <w:rsid w:val="00ED7223"/>
    <w:rsid w:val="00EE1289"/>
    <w:rsid w:val="00EF1B91"/>
    <w:rsid w:val="00F04E72"/>
    <w:rsid w:val="00F101C4"/>
    <w:rsid w:val="00F2524C"/>
    <w:rsid w:val="00F253F2"/>
    <w:rsid w:val="00F256EB"/>
    <w:rsid w:val="00F6161B"/>
    <w:rsid w:val="00F61A5F"/>
    <w:rsid w:val="00F703F5"/>
    <w:rsid w:val="00F72F49"/>
    <w:rsid w:val="00F8541C"/>
    <w:rsid w:val="00F90F2E"/>
    <w:rsid w:val="00F91EFF"/>
    <w:rsid w:val="00F9432C"/>
    <w:rsid w:val="00FB5D54"/>
    <w:rsid w:val="00FC5923"/>
    <w:rsid w:val="00FC5E92"/>
    <w:rsid w:val="00FD4CB7"/>
    <w:rsid w:val="00FF63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AutoShape 2"/>
      </o:rules>
    </o:shapelayout>
  </w:shapeDefaults>
  <w:decimalSymbol w:val="."/>
  <w:listSeparator w:val=","/>
  <w15:chartTrackingRefBased/>
  <w15:docId w15:val="{5D161BE1-D27D-4844-B7D8-67B8BA61E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677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3C1BC1"/>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3C1BC1"/>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3C1BC1"/>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c">
    <w:name w:val="header"/>
    <w:basedOn w:val="a"/>
    <w:link w:val="ad"/>
    <w:uiPriority w:val="99"/>
    <w:unhideWhenUsed/>
    <w:rsid w:val="00D71B67"/>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pPr>
      <w:adjustRightInd w:val="0"/>
      <w:ind w:leftChars="300" w:left="300"/>
    </w:pPr>
  </w:style>
  <w:style w:type="paragraph" w:styleId="12">
    <w:name w:val="toc 1"/>
    <w:basedOn w:val="a"/>
    <w:next w:val="a"/>
    <w:autoRedefine/>
    <w:uiPriority w:val="39"/>
    <w:rsid w:val="00481106"/>
    <w:pPr>
      <w:tabs>
        <w:tab w:val="right" w:leader="hyphen" w:pos="8490"/>
      </w:tabs>
      <w:ind w:leftChars="0" w:left="487" w:rightChars="100" w:right="283" w:hangingChars="200" w:hanging="487"/>
    </w:pPr>
    <w:rPr>
      <w:noProof/>
      <w:sz w:val="24"/>
    </w:rPr>
  </w:style>
  <w:style w:type="paragraph" w:styleId="23">
    <w:name w:val="toc 2"/>
    <w:basedOn w:val="a"/>
    <w:next w:val="a"/>
    <w:autoRedefine/>
    <w:semiHidden/>
    <w:pPr>
      <w:tabs>
        <w:tab w:val="right" w:leader="hyphen" w:pos="8490"/>
      </w:tabs>
      <w:ind w:leftChars="0" w:left="566" w:hangingChars="200" w:hanging="566"/>
    </w:pPr>
  </w:style>
  <w:style w:type="character" w:customStyle="1" w:styleId="ad">
    <w:name w:val="頁首 字元"/>
    <w:link w:val="ac"/>
    <w:uiPriority w:val="99"/>
    <w:rsid w:val="00D71B67"/>
    <w:rPr>
      <w:rFonts w:ascii="標楷體" w:eastAsia="標楷體"/>
      <w:snapToGrid w:val="0"/>
      <w:kern w:val="2"/>
    </w:rPr>
  </w:style>
  <w:style w:type="paragraph" w:styleId="ae">
    <w:name w:val="footer"/>
    <w:basedOn w:val="a"/>
    <w:link w:val="af"/>
    <w:uiPriority w:val="99"/>
    <w:unhideWhenUsed/>
    <w:rsid w:val="00D71B67"/>
    <w:pPr>
      <w:tabs>
        <w:tab w:val="center" w:pos="4153"/>
        <w:tab w:val="right" w:pos="8306"/>
      </w:tabs>
      <w:snapToGrid w:val="0"/>
    </w:pPr>
    <w:rPr>
      <w:sz w:val="20"/>
      <w:szCs w:val="20"/>
    </w:rPr>
  </w:style>
  <w:style w:type="character" w:customStyle="1" w:styleId="af">
    <w:name w:val="頁尾 字元"/>
    <w:link w:val="ae"/>
    <w:uiPriority w:val="99"/>
    <w:rsid w:val="00D71B67"/>
    <w:rPr>
      <w:rFonts w:ascii="標楷體" w:eastAsia="標楷體"/>
      <w:snapToGrid w:val="0"/>
      <w:kern w:val="2"/>
    </w:rPr>
  </w:style>
  <w:style w:type="character" w:styleId="af0">
    <w:name w:val="footnote reference"/>
    <w:aliases w:val="FR,Ref,de nota al pie,註腳內容,Error-Fußnotenzeichen5,Error-Fußnotenzeichen6,Error-Fußnotenzeichen3,Error-Fusnotßnotenzeichen5,Error-Fußnotenzeic"/>
    <w:unhideWhenUsed/>
    <w:qFormat/>
    <w:rsid w:val="0046779B"/>
    <w:rPr>
      <w:vertAlign w:val="superscript"/>
    </w:rPr>
  </w:style>
  <w:style w:type="character" w:customStyle="1" w:styleId="143">
    <w:name w:val="表格內文(14行高) 字元"/>
    <w:link w:val="142"/>
    <w:qFormat/>
    <w:rsid w:val="0046779B"/>
    <w:rPr>
      <w:rFonts w:ascii="標楷體" w:eastAsia="標楷體"/>
      <w:snapToGrid w:val="0"/>
      <w:kern w:val="2"/>
      <w:sz w:val="24"/>
      <w:szCs w:val="28"/>
    </w:rPr>
  </w:style>
  <w:style w:type="character" w:customStyle="1" w:styleId="22">
    <w:name w:val="(一)下內文縮2 字元"/>
    <w:link w:val="21"/>
    <w:rsid w:val="0046779B"/>
    <w:rPr>
      <w:rFonts w:ascii="標楷體" w:eastAsia="標楷體"/>
      <w:snapToGrid w:val="0"/>
      <w:kern w:val="2"/>
      <w:sz w:val="28"/>
      <w:szCs w:val="28"/>
    </w:rPr>
  </w:style>
  <w:style w:type="character" w:customStyle="1" w:styleId="140">
    <w:name w:val="第二層(14號字) 字元"/>
    <w:link w:val="14"/>
    <w:rsid w:val="00467B3D"/>
    <w:rPr>
      <w:rFonts w:ascii="標楷體" w:eastAsia="標楷體"/>
      <w:b/>
      <w:snapToGrid w:val="0"/>
      <w:kern w:val="2"/>
      <w:sz w:val="28"/>
    </w:rPr>
  </w:style>
  <w:style w:type="character" w:customStyle="1" w:styleId="11">
    <w:name w:val="(一)(二)(三) 字元1"/>
    <w:link w:val="a4"/>
    <w:rsid w:val="00467B3D"/>
    <w:rPr>
      <w:rFonts w:ascii="標楷體" w:eastAsia="標楷體"/>
      <w:snapToGrid w:val="0"/>
      <w:kern w:val="2"/>
      <w:sz w:val="28"/>
      <w:szCs w:val="28"/>
    </w:rPr>
  </w:style>
  <w:style w:type="paragraph" w:styleId="af1">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2"/>
    <w:uiPriority w:val="99"/>
    <w:unhideWhenUsed/>
    <w:qFormat/>
    <w:rsid w:val="00F9432C"/>
    <w:pPr>
      <w:snapToGrid w:val="0"/>
      <w:jc w:val="left"/>
    </w:pPr>
    <w:rPr>
      <w:sz w:val="20"/>
      <w:szCs w:val="20"/>
    </w:rPr>
  </w:style>
  <w:style w:type="character" w:customStyle="1" w:styleId="af2">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字元 字元4"/>
    <w:link w:val="af1"/>
    <w:uiPriority w:val="99"/>
    <w:qFormat/>
    <w:rsid w:val="00F9432C"/>
    <w:rPr>
      <w:rFonts w:ascii="標楷體" w:eastAsia="標楷體"/>
      <w:snapToGrid w:val="0"/>
      <w:kern w:val="2"/>
    </w:rPr>
  </w:style>
  <w:style w:type="table" w:styleId="af3">
    <w:name w:val="Table Grid"/>
    <w:basedOn w:val="a1"/>
    <w:uiPriority w:val="39"/>
    <w:rsid w:val="007616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3C1BC1"/>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3C1BC1"/>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3C1BC1"/>
    <w:rPr>
      <w:rFonts w:ascii="Calibri Light" w:eastAsia="新細明體" w:hAnsi="Calibri Light" w:cs="Times New Roman"/>
      <w:b/>
      <w:bCs/>
      <w:snapToGrid w:val="0"/>
      <w:kern w:val="2"/>
      <w:sz w:val="36"/>
      <w:szCs w:val="36"/>
    </w:rPr>
  </w:style>
  <w:style w:type="character" w:styleId="af4">
    <w:name w:val="Hyperlink"/>
    <w:uiPriority w:val="99"/>
    <w:unhideWhenUsed/>
    <w:rsid w:val="003C1BC1"/>
    <w:rPr>
      <w:color w:val="0563C1"/>
      <w:u w:val="single"/>
    </w:rPr>
  </w:style>
  <w:style w:type="paragraph" w:styleId="af5">
    <w:name w:val="Balloon Text"/>
    <w:basedOn w:val="a"/>
    <w:link w:val="af6"/>
    <w:uiPriority w:val="99"/>
    <w:semiHidden/>
    <w:unhideWhenUsed/>
    <w:rsid w:val="00A51235"/>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A51235"/>
    <w:rPr>
      <w:rFonts w:ascii="Calibri Light" w:eastAsia="新細明體" w:hAnsi="Calibri Light" w:cs="Times New Roman"/>
      <w:snapToGrid w:val="0"/>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9148682">
      <w:bodyDiv w:val="1"/>
      <w:marLeft w:val="0"/>
      <w:marRight w:val="0"/>
      <w:marTop w:val="0"/>
      <w:marBottom w:val="0"/>
      <w:divBdr>
        <w:top w:val="none" w:sz="0" w:space="0" w:color="auto"/>
        <w:left w:val="none" w:sz="0" w:space="0" w:color="auto"/>
        <w:bottom w:val="none" w:sz="0" w:space="0" w:color="auto"/>
        <w:right w:val="none" w:sz="0" w:space="0" w:color="auto"/>
      </w:divBdr>
    </w:div>
    <w:div w:id="790441676">
      <w:bodyDiv w:val="1"/>
      <w:marLeft w:val="0"/>
      <w:marRight w:val="0"/>
      <w:marTop w:val="0"/>
      <w:marBottom w:val="0"/>
      <w:divBdr>
        <w:top w:val="none" w:sz="0" w:space="0" w:color="auto"/>
        <w:left w:val="none" w:sz="0" w:space="0" w:color="auto"/>
        <w:bottom w:val="none" w:sz="0" w:space="0" w:color="auto"/>
        <w:right w:val="none" w:sz="0" w:space="0" w:color="auto"/>
      </w:divBdr>
    </w:div>
    <w:div w:id="1333140056">
      <w:bodyDiv w:val="1"/>
      <w:marLeft w:val="0"/>
      <w:marRight w:val="0"/>
      <w:marTop w:val="0"/>
      <w:marBottom w:val="0"/>
      <w:divBdr>
        <w:top w:val="none" w:sz="0" w:space="0" w:color="auto"/>
        <w:left w:val="none" w:sz="0" w:space="0" w:color="auto"/>
        <w:bottom w:val="none" w:sz="0" w:space="0" w:color="auto"/>
        <w:right w:val="none" w:sz="0" w:space="0" w:color="auto"/>
      </w:divBdr>
    </w:div>
    <w:div w:id="1433622652">
      <w:bodyDiv w:val="1"/>
      <w:marLeft w:val="0"/>
      <w:marRight w:val="0"/>
      <w:marTop w:val="0"/>
      <w:marBottom w:val="0"/>
      <w:divBdr>
        <w:top w:val="none" w:sz="0" w:space="0" w:color="auto"/>
        <w:left w:val="none" w:sz="0" w:space="0" w:color="auto"/>
        <w:bottom w:val="none" w:sz="0" w:space="0" w:color="auto"/>
        <w:right w:val="none" w:sz="0" w:space="0" w:color="auto"/>
      </w:divBdr>
    </w:div>
    <w:div w:id="1665474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4CE04420L5\Desktop\2012&#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63832-EB3E-4F82-B5C6-E5EAA75C0C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2012範本檔.dot</Template>
  <TotalTime>0</TotalTime>
  <Pages>2</Pages>
  <Words>215</Words>
  <Characters>1230</Characters>
  <Application>Microsoft Office Word</Application>
  <DocSecurity>0</DocSecurity>
  <Lines>10</Lines>
  <Paragraphs>2</Paragraphs>
  <ScaleCrop>false</ScaleCrop>
  <Company>HOME</Company>
  <LinksUpToDate>false</LinksUpToDate>
  <CharactersWithSpaces>1443</CharactersWithSpaces>
  <SharedDoc>false</SharedDoc>
  <HLinks>
    <vt:vector size="30" baseType="variant">
      <vt:variant>
        <vt:i4>1966141</vt:i4>
      </vt:variant>
      <vt:variant>
        <vt:i4>26</vt:i4>
      </vt:variant>
      <vt:variant>
        <vt:i4>0</vt:i4>
      </vt:variant>
      <vt:variant>
        <vt:i4>5</vt:i4>
      </vt:variant>
      <vt:variant>
        <vt:lpwstr/>
      </vt:variant>
      <vt:variant>
        <vt:lpwstr>_Toc193185742</vt:lpwstr>
      </vt:variant>
      <vt:variant>
        <vt:i4>1966141</vt:i4>
      </vt:variant>
      <vt:variant>
        <vt:i4>20</vt:i4>
      </vt:variant>
      <vt:variant>
        <vt:i4>0</vt:i4>
      </vt:variant>
      <vt:variant>
        <vt:i4>5</vt:i4>
      </vt:variant>
      <vt:variant>
        <vt:lpwstr/>
      </vt:variant>
      <vt:variant>
        <vt:lpwstr>_Toc193185741</vt:lpwstr>
      </vt:variant>
      <vt:variant>
        <vt:i4>1966141</vt:i4>
      </vt:variant>
      <vt:variant>
        <vt:i4>14</vt:i4>
      </vt:variant>
      <vt:variant>
        <vt:i4>0</vt:i4>
      </vt:variant>
      <vt:variant>
        <vt:i4>5</vt:i4>
      </vt:variant>
      <vt:variant>
        <vt:lpwstr/>
      </vt:variant>
      <vt:variant>
        <vt:lpwstr>_Toc193185740</vt:lpwstr>
      </vt:variant>
      <vt:variant>
        <vt:i4>1638461</vt:i4>
      </vt:variant>
      <vt:variant>
        <vt:i4>8</vt:i4>
      </vt:variant>
      <vt:variant>
        <vt:i4>0</vt:i4>
      </vt:variant>
      <vt:variant>
        <vt:i4>5</vt:i4>
      </vt:variant>
      <vt:variant>
        <vt:lpwstr/>
      </vt:variant>
      <vt:variant>
        <vt:lpwstr>_Toc193185739</vt:lpwstr>
      </vt:variant>
      <vt:variant>
        <vt:i4>1638461</vt:i4>
      </vt:variant>
      <vt:variant>
        <vt:i4>2</vt:i4>
      </vt:variant>
      <vt:variant>
        <vt:i4>0</vt:i4>
      </vt:variant>
      <vt:variant>
        <vt:i4>5</vt:i4>
      </vt:variant>
      <vt:variant>
        <vt:lpwstr/>
      </vt:variant>
      <vt:variant>
        <vt:lpwstr>_Toc193185738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Administrator</cp:lastModifiedBy>
  <cp:revision>2</cp:revision>
  <cp:lastPrinted>2025-03-21T01:23:00Z</cp:lastPrinted>
  <dcterms:created xsi:type="dcterms:W3CDTF">2025-03-24T06:12:00Z</dcterms:created>
  <dcterms:modified xsi:type="dcterms:W3CDTF">2025-03-24T06:12:00Z</dcterms:modified>
</cp:coreProperties>
</file>