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bookmarkStart w:id="0" w:name="_GoBack"/>
      <w:bookmarkEnd w:id="0"/>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65139B" w:rsidRDefault="00044813" w:rsidP="0065139B">
      <w:pPr>
        <w:pStyle w:val="14"/>
        <w:ind w:left="567" w:hanging="567"/>
      </w:pPr>
      <w:bookmarkStart w:id="1" w:name="_Toc161322219"/>
      <w:bookmarkStart w:id="2" w:name="_Toc181005582"/>
      <w:bookmarkStart w:id="3" w:name="_Toc193441793"/>
      <w:r>
        <w:rPr>
          <w:rFonts w:hint="eastAsia"/>
        </w:rPr>
        <w:t>七、</w:t>
      </w:r>
      <w:bookmarkEnd w:id="1"/>
      <w:bookmarkEnd w:id="2"/>
      <w:r w:rsidR="0065139B">
        <w:rPr>
          <w:rFonts w:hint="eastAsia"/>
        </w:rPr>
        <w:t>再生能源發展基金</w:t>
      </w:r>
      <w:r w:rsidR="0065139B">
        <w:t>112</w:t>
      </w:r>
      <w:r w:rsidR="0065139B">
        <w:rPr>
          <w:rFonts w:hint="eastAsia"/>
        </w:rPr>
        <w:t>年度再生能源推廣計畫預算執行率</w:t>
      </w:r>
      <w:r w:rsidR="007B3A94">
        <w:rPr>
          <w:rFonts w:hint="eastAsia"/>
        </w:rPr>
        <w:t>僅</w:t>
      </w:r>
      <w:r w:rsidR="007D5B2F">
        <w:rPr>
          <w:rFonts w:hint="eastAsia"/>
        </w:rPr>
        <w:t>達3</w:t>
      </w:r>
      <w:r w:rsidR="007D5B2F">
        <w:t>5.06%</w:t>
      </w:r>
      <w:r w:rsidR="0065139B">
        <w:rPr>
          <w:rFonts w:hint="eastAsia"/>
        </w:rPr>
        <w:t>，且推廣實績與規劃目標存有差距，允宜研謀加強執行策略</w:t>
      </w:r>
      <w:bookmarkEnd w:id="3"/>
    </w:p>
    <w:p w:rsidR="0065139B" w:rsidRDefault="0065139B" w:rsidP="0065139B">
      <w:pPr>
        <w:ind w:left="566" w:firstLine="566"/>
      </w:pPr>
      <w:r>
        <w:rPr>
          <w:rFonts w:hint="eastAsia"/>
        </w:rPr>
        <w:t>再生能源發展基金</w:t>
      </w:r>
      <w:r w:rsidRPr="007C6B4D">
        <w:rPr>
          <w:rFonts w:hint="eastAsia"/>
        </w:rPr>
        <w:t>11</w:t>
      </w:r>
      <w:r w:rsidRPr="007C6B4D">
        <w:t>2</w:t>
      </w:r>
      <w:r w:rsidRPr="007C6B4D">
        <w:rPr>
          <w:rFonts w:hint="eastAsia"/>
        </w:rPr>
        <w:t>年度預算編列「再生能源推廣計畫」6億5</w:t>
      </w:r>
      <w:r w:rsidRPr="007C6B4D">
        <w:t>,546</w:t>
      </w:r>
      <w:r w:rsidRPr="007C6B4D">
        <w:rPr>
          <w:rFonts w:hint="eastAsia"/>
        </w:rPr>
        <w:t>萬4千元，辦理再生能源推廣及其宣導等相關費用，執行結果，審定決算數2億2</w:t>
      </w:r>
      <w:r w:rsidRPr="007C6B4D">
        <w:t>,978</w:t>
      </w:r>
      <w:r w:rsidRPr="007C6B4D">
        <w:rPr>
          <w:rFonts w:hint="eastAsia"/>
        </w:rPr>
        <w:t>萬7千元，預算執行率3</w:t>
      </w:r>
      <w:r w:rsidRPr="007C6B4D">
        <w:t>5.06</w:t>
      </w:r>
      <w:r w:rsidRPr="007C6B4D">
        <w:rPr>
          <w:rFonts w:hint="eastAsia"/>
        </w:rPr>
        <w:t>%</w:t>
      </w:r>
      <w:r>
        <w:rPr>
          <w:rFonts w:hint="eastAsia"/>
        </w:rPr>
        <w:t>，再生能源推廣實績與規劃目標存有差距，亟待研謀加強推廣策略。謹說明如下：</w:t>
      </w:r>
    </w:p>
    <w:p w:rsidR="0065139B" w:rsidRPr="00352F22" w:rsidRDefault="0065139B" w:rsidP="0065139B">
      <w:pPr>
        <w:pStyle w:val="a4"/>
        <w:ind w:left="849" w:hanging="283"/>
        <w:rPr>
          <w:b/>
        </w:rPr>
      </w:pPr>
      <w:r w:rsidRPr="00352F22">
        <w:rPr>
          <w:rFonts w:hint="eastAsia"/>
          <w:b/>
        </w:rPr>
        <w:t>(一)我國</w:t>
      </w:r>
      <w:r>
        <w:rPr>
          <w:rFonts w:hint="eastAsia"/>
          <w:b/>
        </w:rPr>
        <w:t>以太陽光電及離岸風電為</w:t>
      </w:r>
      <w:r w:rsidRPr="00352F22">
        <w:rPr>
          <w:rFonts w:hint="eastAsia"/>
          <w:b/>
        </w:rPr>
        <w:t>再生能源推廣策略</w:t>
      </w:r>
      <w:r>
        <w:rPr>
          <w:rFonts w:hint="eastAsia"/>
          <w:b/>
        </w:rPr>
        <w:t>主軸，截至</w:t>
      </w:r>
      <w:r>
        <w:rPr>
          <w:b/>
        </w:rPr>
        <w:t>112</w:t>
      </w:r>
      <w:r>
        <w:rPr>
          <w:rFonts w:hint="eastAsia"/>
          <w:b/>
        </w:rPr>
        <w:t>年底再生能源裝置容量實績達成率逾9成，惟部分再生能源</w:t>
      </w:r>
      <w:r w:rsidR="007D5B2F">
        <w:rPr>
          <w:rFonts w:hint="eastAsia"/>
          <w:b/>
        </w:rPr>
        <w:t>項目</w:t>
      </w:r>
      <w:r>
        <w:rPr>
          <w:rFonts w:hint="eastAsia"/>
          <w:b/>
        </w:rPr>
        <w:t>達成率僅約7成，容待提升</w:t>
      </w:r>
    </w:p>
    <w:p w:rsidR="0065139B" w:rsidRDefault="0065139B" w:rsidP="0065139B">
      <w:pPr>
        <w:pStyle w:val="22"/>
        <w:ind w:left="850" w:firstLine="566"/>
      </w:pPr>
      <w:r>
        <w:rPr>
          <w:rFonts w:hint="eastAsia"/>
        </w:rPr>
        <w:lastRenderedPageBreak/>
        <w:t>據能源署說明，政府已規劃114年再生能源發電設備總量達29GW(百萬</w:t>
      </w:r>
      <w:r w:rsidRPr="007C0460">
        <w:rPr>
          <w:rFonts w:hint="eastAsia"/>
        </w:rPr>
        <w:t>瓩</w:t>
      </w:r>
      <w:r>
        <w:rPr>
          <w:rFonts w:hint="eastAsia"/>
        </w:rPr>
        <w:t>)之推廣目標，其中以太陽光電20</w:t>
      </w:r>
      <w:r>
        <w:t>GW</w:t>
      </w:r>
      <w:r>
        <w:rPr>
          <w:rFonts w:hint="eastAsia"/>
        </w:rPr>
        <w:t>、離岸風電5.6</w:t>
      </w:r>
      <w:r>
        <w:t>GW</w:t>
      </w:r>
      <w:r>
        <w:rPr>
          <w:rFonts w:hint="eastAsia"/>
        </w:rPr>
        <w:t>為推動主軸，並且積極發展其他各類再生能源類別(詳表1)，皆已妥善規劃整體推動策略及路徑。</w:t>
      </w:r>
    </w:p>
    <w:p w:rsidR="0065139B" w:rsidRDefault="0065139B" w:rsidP="0065139B">
      <w:pPr>
        <w:adjustRightInd w:val="0"/>
        <w:ind w:leftChars="300" w:left="850" w:firstLine="566"/>
      </w:pPr>
      <w:r>
        <w:rPr>
          <w:rFonts w:hint="eastAsia"/>
        </w:rPr>
        <w:t>復據該署統計</w:t>
      </w:r>
      <w:r w:rsidRPr="00CF54FA">
        <w:rPr>
          <w:rFonts w:hint="eastAsia"/>
        </w:rPr>
        <w:t>，112年底累計全國再生能源總裝置容量</w:t>
      </w:r>
      <w:r>
        <w:rPr>
          <w:rFonts w:hint="eastAsia"/>
        </w:rPr>
        <w:t>實績為1</w:t>
      </w:r>
      <w:r>
        <w:t>7.92GW</w:t>
      </w:r>
      <w:r w:rsidRPr="00CF54FA">
        <w:rPr>
          <w:rFonts w:hint="eastAsia"/>
        </w:rPr>
        <w:t>，</w:t>
      </w:r>
      <w:r>
        <w:rPr>
          <w:rFonts w:hint="eastAsia"/>
        </w:rPr>
        <w:t>整體達成率介於9</w:t>
      </w:r>
      <w:r>
        <w:t>0.35%</w:t>
      </w:r>
      <w:r>
        <w:rPr>
          <w:rFonts w:hint="eastAsia"/>
        </w:rPr>
        <w:t>至9</w:t>
      </w:r>
      <w:r>
        <w:t>2.69</w:t>
      </w:r>
      <w:r>
        <w:rPr>
          <w:rFonts w:hint="eastAsia"/>
        </w:rPr>
        <w:t>%間，惟</w:t>
      </w:r>
      <w:r w:rsidR="007D5B2F">
        <w:rPr>
          <w:rFonts w:hint="eastAsia"/>
        </w:rPr>
        <w:t>比較</w:t>
      </w:r>
      <w:r>
        <w:rPr>
          <w:rFonts w:hint="eastAsia"/>
        </w:rPr>
        <w:t>各項再生能源裝置容量達成率差異</w:t>
      </w:r>
      <w:r w:rsidR="007D5B2F">
        <w:rPr>
          <w:rFonts w:hint="eastAsia"/>
        </w:rPr>
        <w:t>甚大</w:t>
      </w:r>
      <w:r>
        <w:rPr>
          <w:rFonts w:hint="eastAsia"/>
        </w:rPr>
        <w:t>，達成目標值者如陸域風電達成率(以下同)1</w:t>
      </w:r>
      <w:r>
        <w:t>03.17%</w:t>
      </w:r>
      <w:r>
        <w:rPr>
          <w:rFonts w:hint="eastAsia"/>
        </w:rPr>
        <w:t>，較低者如離岸風電介於6</w:t>
      </w:r>
      <w:r>
        <w:t>4.04%</w:t>
      </w:r>
      <w:r>
        <w:rPr>
          <w:rFonts w:hint="eastAsia"/>
        </w:rPr>
        <w:t>至7</w:t>
      </w:r>
      <w:r>
        <w:t>8.25%</w:t>
      </w:r>
      <w:r>
        <w:rPr>
          <w:rFonts w:hint="eastAsia"/>
        </w:rPr>
        <w:t>間，地熱能7</w:t>
      </w:r>
      <w:r>
        <w:t>3%</w:t>
      </w:r>
      <w:r>
        <w:rPr>
          <w:rFonts w:hint="eastAsia"/>
        </w:rPr>
        <w:t>，允宜加強執行。</w:t>
      </w:r>
    </w:p>
    <w:p w:rsidR="0065139B" w:rsidRPr="009376CE" w:rsidRDefault="0065139B" w:rsidP="0065139B">
      <w:pPr>
        <w:spacing w:beforeLines="30" w:before="150" w:line="320" w:lineRule="exact"/>
        <w:ind w:leftChars="0" w:left="0" w:rightChars="-100" w:right="-283" w:firstLineChars="0" w:firstLine="0"/>
        <w:jc w:val="left"/>
        <w:rPr>
          <w:rFonts w:hAnsi="標楷體"/>
          <w:snapToGrid/>
          <w:sz w:val="24"/>
          <w:szCs w:val="22"/>
        </w:rPr>
      </w:pPr>
      <w:r w:rsidRPr="009376CE">
        <w:rPr>
          <w:rFonts w:hAnsi="標楷體" w:hint="eastAsia"/>
          <w:b/>
          <w:snapToGrid/>
        </w:rPr>
        <w:t>表1</w:t>
      </w:r>
      <w:r>
        <w:rPr>
          <w:rFonts w:hAnsi="標楷體"/>
          <w:b/>
          <w:snapToGrid/>
        </w:rPr>
        <w:t xml:space="preserve">  </w:t>
      </w:r>
      <w:r w:rsidRPr="009376CE">
        <w:rPr>
          <w:rFonts w:hAnsi="標楷體" w:hint="eastAsia"/>
          <w:b/>
          <w:snapToGrid/>
        </w:rPr>
        <w:t xml:space="preserve"> 我國各類再生能源推廣目標裝置容量一覽表</w:t>
      </w:r>
      <w:r>
        <w:rPr>
          <w:rFonts w:hAnsi="標楷體" w:hint="eastAsia"/>
          <w:b/>
          <w:snapToGrid/>
        </w:rPr>
        <w:t xml:space="preserve"> </w:t>
      </w:r>
      <w:r>
        <w:rPr>
          <w:rFonts w:hAnsi="標楷體"/>
          <w:b/>
          <w:snapToGrid/>
        </w:rPr>
        <w:t xml:space="preserve">   </w:t>
      </w:r>
      <w:r w:rsidRPr="009376CE">
        <w:rPr>
          <w:rFonts w:hAnsi="標楷體" w:hint="eastAsia"/>
          <w:snapToGrid/>
          <w:sz w:val="24"/>
          <w:szCs w:val="24"/>
        </w:rPr>
        <w:t>單位：千</w:t>
      </w:r>
      <w:r w:rsidRPr="009376CE">
        <w:rPr>
          <w:rFonts w:hAnsi="標楷體"/>
          <w:snapToGrid/>
          <w:color w:val="000000"/>
          <w:sz w:val="24"/>
          <w:szCs w:val="24"/>
        </w:rPr>
        <w:t>瓩</w:t>
      </w:r>
      <w:r>
        <w:rPr>
          <w:rFonts w:hAnsi="標楷體" w:hint="eastAsia"/>
          <w:snapToGrid/>
          <w:color w:val="000000"/>
          <w:sz w:val="24"/>
          <w:szCs w:val="24"/>
        </w:rPr>
        <w:t>(</w:t>
      </w:r>
      <w:r>
        <w:rPr>
          <w:rFonts w:hAnsi="標楷體"/>
          <w:snapToGrid/>
          <w:color w:val="000000"/>
          <w:sz w:val="24"/>
          <w:szCs w:val="24"/>
        </w:rPr>
        <w:t>MW)</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8"/>
        <w:gridCol w:w="1223"/>
        <w:gridCol w:w="1225"/>
        <w:gridCol w:w="999"/>
        <w:gridCol w:w="1210"/>
        <w:gridCol w:w="1421"/>
        <w:gridCol w:w="1416"/>
      </w:tblGrid>
      <w:tr w:rsidR="0065139B" w:rsidRPr="009376CE" w:rsidTr="006727DD">
        <w:trPr>
          <w:tblHeader/>
        </w:trPr>
        <w:tc>
          <w:tcPr>
            <w:tcW w:w="658" w:type="pct"/>
            <w:vMerge w:val="restar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pacing w:val="-16"/>
                <w:sz w:val="22"/>
              </w:rPr>
            </w:pPr>
            <w:r w:rsidRPr="00A2577A">
              <w:rPr>
                <w:rFonts w:hint="eastAsia"/>
                <w:b/>
                <w:snapToGrid/>
                <w:color w:val="000000"/>
                <w:spacing w:val="-16"/>
                <w:sz w:val="22"/>
              </w:rPr>
              <w:t>項目</w:t>
            </w:r>
          </w:p>
        </w:tc>
        <w:tc>
          <w:tcPr>
            <w:tcW w:w="658"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110年</w:t>
            </w:r>
          </w:p>
        </w:tc>
        <w:tc>
          <w:tcPr>
            <w:tcW w:w="720"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111年</w:t>
            </w:r>
          </w:p>
        </w:tc>
        <w:tc>
          <w:tcPr>
            <w:tcW w:w="1300" w:type="pct"/>
            <w:gridSpan w:val="2"/>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112年</w:t>
            </w:r>
          </w:p>
        </w:tc>
        <w:tc>
          <w:tcPr>
            <w:tcW w:w="833" w:type="pct"/>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113年</w:t>
            </w:r>
          </w:p>
        </w:tc>
        <w:tc>
          <w:tcPr>
            <w:tcW w:w="830" w:type="pct"/>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114年</w:t>
            </w:r>
          </w:p>
        </w:tc>
      </w:tr>
      <w:tr w:rsidR="0065139B" w:rsidRPr="009376CE" w:rsidTr="006727DD">
        <w:trPr>
          <w:tblHeader/>
        </w:trPr>
        <w:tc>
          <w:tcPr>
            <w:tcW w:w="658" w:type="pct"/>
            <w:vMerge/>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pacing w:val="-16"/>
                <w:sz w:val="22"/>
              </w:rPr>
            </w:pPr>
          </w:p>
        </w:tc>
        <w:tc>
          <w:tcPr>
            <w:tcW w:w="658" w:type="pct"/>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實績</w:t>
            </w:r>
          </w:p>
        </w:tc>
        <w:tc>
          <w:tcPr>
            <w:tcW w:w="720" w:type="pct"/>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實績</w:t>
            </w:r>
          </w:p>
        </w:tc>
        <w:tc>
          <w:tcPr>
            <w:tcW w:w="581" w:type="pct"/>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目標</w:t>
            </w:r>
          </w:p>
        </w:tc>
        <w:tc>
          <w:tcPr>
            <w:tcW w:w="719"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實績</w:t>
            </w:r>
          </w:p>
        </w:tc>
        <w:tc>
          <w:tcPr>
            <w:tcW w:w="833" w:type="pct"/>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目標</w:t>
            </w:r>
          </w:p>
        </w:tc>
        <w:tc>
          <w:tcPr>
            <w:tcW w:w="830" w:type="pct"/>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目標</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1.水力</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2,094</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2,09</w:t>
            </w:r>
            <w:r w:rsidRPr="00A2577A">
              <w:rPr>
                <w:rFonts w:hint="eastAsia"/>
                <w:bCs/>
                <w:snapToGrid/>
                <w:color w:val="000000"/>
                <w:sz w:val="22"/>
              </w:rPr>
              <w:t>8</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w:t>
            </w:r>
            <w:r w:rsidRPr="00A2577A">
              <w:rPr>
                <w:bCs/>
                <w:snapToGrid/>
                <w:color w:val="000000"/>
                <w:sz w:val="22"/>
              </w:rPr>
              <w:t>,111</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2,104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2,104</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2,122</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2.太陽光電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7,700</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9</w:t>
            </w:r>
            <w:r w:rsidRPr="00A2577A">
              <w:rPr>
                <w:bCs/>
                <w:snapToGrid/>
                <w:color w:val="000000"/>
                <w:sz w:val="22"/>
              </w:rPr>
              <w:t>,</w:t>
            </w:r>
            <w:r w:rsidRPr="00A2577A">
              <w:rPr>
                <w:rFonts w:hint="eastAsia"/>
                <w:bCs/>
                <w:snapToGrid/>
                <w:color w:val="000000"/>
                <w:sz w:val="22"/>
              </w:rPr>
              <w:t>724</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w:t>
            </w:r>
            <w:r w:rsidRPr="00A2577A">
              <w:rPr>
                <w:bCs/>
                <w:snapToGrid/>
                <w:color w:val="000000"/>
                <w:sz w:val="22"/>
              </w:rPr>
              <w:t>3,310</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w:t>
            </w:r>
            <w:r w:rsidRPr="00A2577A">
              <w:rPr>
                <w:rFonts w:hint="eastAsia"/>
                <w:bCs/>
                <w:snapToGrid/>
                <w:color w:val="000000"/>
                <w:sz w:val="22"/>
              </w:rPr>
              <w:t>2</w:t>
            </w:r>
            <w:r w:rsidRPr="00A2577A">
              <w:rPr>
                <w:bCs/>
                <w:snapToGrid/>
                <w:color w:val="000000"/>
                <w:sz w:val="22"/>
              </w:rPr>
              <w:t>,</w:t>
            </w:r>
            <w:r w:rsidRPr="00A2577A">
              <w:rPr>
                <w:rFonts w:hint="eastAsia"/>
                <w:bCs/>
                <w:snapToGrid/>
                <w:color w:val="000000"/>
                <w:sz w:val="22"/>
              </w:rPr>
              <w:t>418</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w:t>
            </w:r>
            <w:r w:rsidRPr="00A2577A">
              <w:rPr>
                <w:rFonts w:hint="eastAsia"/>
                <w:bCs/>
                <w:snapToGrid/>
                <w:color w:val="000000"/>
                <w:sz w:val="22"/>
              </w:rPr>
              <w:t>6</w:t>
            </w:r>
            <w:r w:rsidRPr="00A2577A">
              <w:rPr>
                <w:bCs/>
                <w:snapToGrid/>
                <w:color w:val="000000"/>
                <w:sz w:val="22"/>
              </w:rPr>
              <w:t>,</w:t>
            </w:r>
            <w:r w:rsidRPr="00A2577A">
              <w:rPr>
                <w:rFonts w:hint="eastAsia"/>
                <w:bCs/>
                <w:snapToGrid/>
                <w:color w:val="000000"/>
                <w:sz w:val="22"/>
              </w:rPr>
              <w:t>21</w:t>
            </w:r>
            <w:r w:rsidRPr="00A2577A">
              <w:rPr>
                <w:bCs/>
                <w:snapToGrid/>
                <w:color w:val="000000"/>
                <w:sz w:val="22"/>
              </w:rPr>
              <w:t>0</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20,000</w:t>
            </w:r>
          </w:p>
        </w:tc>
      </w:tr>
      <w:tr w:rsidR="0065139B" w:rsidRPr="009376CE" w:rsidTr="006727DD">
        <w:trPr>
          <w:trHeight w:val="59"/>
        </w:trPr>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3.風力發電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1,094</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1,581</w:t>
            </w:r>
          </w:p>
        </w:tc>
        <w:tc>
          <w:tcPr>
            <w:tcW w:w="581" w:type="pct"/>
            <w:shd w:val="clear" w:color="auto" w:fill="auto"/>
            <w:vAlign w:val="center"/>
          </w:tcPr>
          <w:p w:rsidR="0065139B" w:rsidRDefault="0065139B" w:rsidP="006727DD">
            <w:pPr>
              <w:spacing w:line="300" w:lineRule="exact"/>
              <w:ind w:leftChars="0" w:left="0" w:firstLineChars="0" w:firstLine="0"/>
              <w:jc w:val="right"/>
              <w:rPr>
                <w:bCs/>
                <w:snapToGrid/>
                <w:color w:val="000000"/>
                <w:sz w:val="22"/>
              </w:rPr>
            </w:pPr>
            <w:r>
              <w:rPr>
                <w:rFonts w:hint="eastAsia"/>
                <w:bCs/>
                <w:snapToGrid/>
                <w:color w:val="000000"/>
                <w:sz w:val="22"/>
              </w:rPr>
              <w:t>3</w:t>
            </w:r>
            <w:r>
              <w:rPr>
                <w:bCs/>
                <w:snapToGrid/>
                <w:color w:val="000000"/>
                <w:sz w:val="22"/>
              </w:rPr>
              <w:t>,136</w:t>
            </w:r>
          </w:p>
          <w:p w:rsidR="0065139B" w:rsidRPr="00A2577A" w:rsidRDefault="0065139B" w:rsidP="006727DD">
            <w:pPr>
              <w:spacing w:line="300" w:lineRule="exact"/>
              <w:ind w:leftChars="0" w:left="0" w:firstLineChars="0" w:firstLine="0"/>
              <w:jc w:val="right"/>
              <w:rPr>
                <w:bCs/>
                <w:snapToGrid/>
                <w:color w:val="000000"/>
                <w:sz w:val="22"/>
              </w:rPr>
            </w:pPr>
            <w:r>
              <w:rPr>
                <w:bCs/>
                <w:snapToGrid/>
                <w:color w:val="000000"/>
                <w:sz w:val="22"/>
              </w:rPr>
              <w:t>~3,636</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2,674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3,639</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w:t>
            </w:r>
            <w:r w:rsidRPr="00A2577A">
              <w:rPr>
                <w:rFonts w:hint="eastAsia"/>
                <w:bCs/>
                <w:snapToGrid/>
                <w:color w:val="000000"/>
                <w:sz w:val="22"/>
              </w:rPr>
              <w:t>4,539</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4,539</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w:t>
            </w:r>
            <w:r w:rsidRPr="00A2577A">
              <w:rPr>
                <w:rFonts w:hint="eastAsia"/>
                <w:bCs/>
                <w:snapToGrid/>
                <w:color w:val="000000"/>
                <w:sz w:val="22"/>
              </w:rPr>
              <w:t>6,503</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3</w:t>
            </w:r>
            <w:r w:rsidRPr="00AD736D">
              <w:rPr>
                <w:snapToGrid/>
                <w:color w:val="000000"/>
                <w:spacing w:val="-28"/>
                <w:sz w:val="22"/>
              </w:rPr>
              <w:t>.1</w:t>
            </w:r>
            <w:r w:rsidRPr="00AD736D">
              <w:rPr>
                <w:rFonts w:hint="eastAsia"/>
                <w:snapToGrid/>
                <w:color w:val="000000"/>
                <w:spacing w:val="-28"/>
                <w:sz w:val="22"/>
              </w:rPr>
              <w:t>陸域風電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825</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w:t>
            </w:r>
            <w:r w:rsidRPr="00A2577A">
              <w:rPr>
                <w:rFonts w:hint="eastAsia"/>
                <w:bCs/>
                <w:snapToGrid/>
                <w:color w:val="000000"/>
                <w:sz w:val="22"/>
              </w:rPr>
              <w:t>36</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8</w:t>
            </w:r>
            <w:r w:rsidRPr="00A2577A">
              <w:rPr>
                <w:bCs/>
                <w:snapToGrid/>
                <w:color w:val="000000"/>
                <w:sz w:val="22"/>
              </w:rPr>
              <w:t>83</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911</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886</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886</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3</w:t>
            </w:r>
            <w:r w:rsidRPr="00AD736D">
              <w:rPr>
                <w:snapToGrid/>
                <w:color w:val="000000"/>
                <w:spacing w:val="-28"/>
                <w:sz w:val="22"/>
              </w:rPr>
              <w:t>.2</w:t>
            </w:r>
            <w:r w:rsidRPr="00AD736D">
              <w:rPr>
                <w:rFonts w:hint="eastAsia"/>
                <w:snapToGrid/>
                <w:color w:val="000000"/>
                <w:spacing w:val="-28"/>
                <w:sz w:val="22"/>
              </w:rPr>
              <w:t>離岸風電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269</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745</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w:t>
            </w:r>
            <w:r w:rsidRPr="00A2577A">
              <w:rPr>
                <w:bCs/>
                <w:snapToGrid/>
                <w:color w:val="000000"/>
                <w:sz w:val="22"/>
              </w:rPr>
              <w:t>,253</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~2,753</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1,763</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2,753</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~3,</w:t>
            </w:r>
            <w:r w:rsidRPr="00A2577A">
              <w:rPr>
                <w:rFonts w:hint="eastAsia"/>
                <w:bCs/>
                <w:snapToGrid/>
                <w:color w:val="000000"/>
                <w:sz w:val="22"/>
              </w:rPr>
              <w:t>6</w:t>
            </w:r>
            <w:r w:rsidRPr="00A2577A">
              <w:rPr>
                <w:bCs/>
                <w:snapToGrid/>
                <w:color w:val="000000"/>
                <w:sz w:val="22"/>
              </w:rPr>
              <w:t>53</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3,653</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~5,617</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4.地熱能</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4.5</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5</w:t>
            </w:r>
            <w:r w:rsidRPr="00A2577A">
              <w:rPr>
                <w:rFonts w:hint="eastAsia"/>
                <w:bCs/>
                <w:snapToGrid/>
                <w:color w:val="000000"/>
                <w:sz w:val="22"/>
              </w:rPr>
              <w:t>.4</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10</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7.3</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15</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5.生質能</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w:t>
            </w:r>
            <w:r w:rsidRPr="00A2577A">
              <w:rPr>
                <w:rFonts w:hint="eastAsia"/>
                <w:bCs/>
                <w:snapToGrid/>
                <w:color w:val="000000"/>
                <w:sz w:val="22"/>
              </w:rPr>
              <w:t>17</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w:t>
            </w:r>
            <w:r w:rsidRPr="00A2577A">
              <w:rPr>
                <w:rFonts w:hint="eastAsia"/>
                <w:bCs/>
                <w:snapToGrid/>
                <w:color w:val="000000"/>
                <w:sz w:val="22"/>
              </w:rPr>
              <w:t>24</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0933D4">
              <w:rPr>
                <w:rFonts w:hint="eastAsia"/>
                <w:bCs/>
                <w:snapToGrid/>
                <w:color w:val="000000"/>
                <w:sz w:val="22"/>
              </w:rPr>
              <w:t>7</w:t>
            </w:r>
            <w:r w:rsidRPr="000933D4">
              <w:rPr>
                <w:bCs/>
                <w:snapToGrid/>
                <w:color w:val="000000"/>
                <w:sz w:val="22"/>
              </w:rPr>
              <w:t>64</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w:t>
            </w:r>
            <w:r w:rsidRPr="00A2577A">
              <w:rPr>
                <w:rFonts w:hint="eastAsia"/>
                <w:bCs/>
                <w:snapToGrid/>
                <w:color w:val="000000"/>
                <w:sz w:val="22"/>
              </w:rPr>
              <w:t>1</w:t>
            </w:r>
            <w:r w:rsidRPr="00A2577A">
              <w:rPr>
                <w:bCs/>
                <w:snapToGrid/>
                <w:color w:val="000000"/>
                <w:sz w:val="22"/>
              </w:rPr>
              <w:t>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764</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778</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6.燃料電池</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0.5</w:t>
            </w:r>
            <w:r w:rsidRPr="00A2577A">
              <w:rPr>
                <w:rFonts w:hint="eastAsia"/>
                <w:bCs/>
                <w:snapToGrid/>
                <w:color w:val="000000"/>
                <w:sz w:val="22"/>
              </w:rPr>
              <w:t>7</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0.</w:t>
            </w:r>
            <w:r w:rsidRPr="00A2577A">
              <w:rPr>
                <w:rFonts w:hint="eastAsia"/>
                <w:bCs/>
                <w:snapToGrid/>
                <w:color w:val="000000"/>
                <w:sz w:val="22"/>
              </w:rPr>
              <w:t>59</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w:t>
            </w:r>
            <w:r w:rsidRPr="00A2577A">
              <w:rPr>
                <w:bCs/>
                <w:snapToGrid/>
                <w:color w:val="000000"/>
                <w:sz w:val="22"/>
              </w:rPr>
              <w:t>.0</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1.6</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2.2</w:t>
            </w:r>
          </w:p>
        </w:tc>
      </w:tr>
      <w:tr w:rsidR="0065139B" w:rsidRPr="009376CE" w:rsidTr="006727DD">
        <w:tc>
          <w:tcPr>
            <w:tcW w:w="658"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合  計</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w:t>
            </w:r>
            <w:r w:rsidRPr="00A2577A">
              <w:rPr>
                <w:b/>
                <w:bCs/>
                <w:snapToGrid/>
                <w:color w:val="000000"/>
                <w:sz w:val="22"/>
              </w:rPr>
              <w:t>1,</w:t>
            </w:r>
            <w:r w:rsidRPr="00A2577A">
              <w:rPr>
                <w:rFonts w:hint="eastAsia"/>
                <w:b/>
                <w:bCs/>
                <w:snapToGrid/>
                <w:color w:val="000000"/>
                <w:sz w:val="22"/>
              </w:rPr>
              <w:t>610</w:t>
            </w:r>
            <w:r w:rsidRPr="00A2577A">
              <w:rPr>
                <w:b/>
                <w:bCs/>
                <w:snapToGrid/>
                <w:color w:val="000000"/>
                <w:sz w:val="22"/>
              </w:rPr>
              <w:t>.0</w:t>
            </w:r>
            <w:r w:rsidRPr="00A2577A">
              <w:rPr>
                <w:rFonts w:hint="eastAsia"/>
                <w:b/>
                <w:bCs/>
                <w:snapToGrid/>
                <w:color w:val="000000"/>
                <w:sz w:val="22"/>
              </w:rPr>
              <w:t>7</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14</w:t>
            </w:r>
            <w:r w:rsidRPr="00A2577A">
              <w:rPr>
                <w:b/>
                <w:bCs/>
                <w:snapToGrid/>
                <w:color w:val="000000"/>
                <w:sz w:val="22"/>
              </w:rPr>
              <w:t>,</w:t>
            </w:r>
            <w:r w:rsidRPr="00A2577A">
              <w:rPr>
                <w:rFonts w:hint="eastAsia"/>
                <w:b/>
                <w:bCs/>
                <w:snapToGrid/>
                <w:color w:val="000000"/>
                <w:sz w:val="22"/>
              </w:rPr>
              <w:t>132</w:t>
            </w:r>
            <w:r w:rsidRPr="00A2577A">
              <w:rPr>
                <w:b/>
                <w:bCs/>
                <w:snapToGrid/>
                <w:color w:val="000000"/>
                <w:sz w:val="22"/>
              </w:rPr>
              <w:t>.</w:t>
            </w:r>
            <w:r w:rsidRPr="00A2577A">
              <w:rPr>
                <w:rFonts w:hint="eastAsia"/>
                <w:b/>
                <w:bCs/>
                <w:snapToGrid/>
                <w:color w:val="000000"/>
                <w:sz w:val="22"/>
              </w:rPr>
              <w:t>99</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w:t>
            </w:r>
            <w:r w:rsidRPr="00A2577A">
              <w:rPr>
                <w:b/>
                <w:bCs/>
                <w:snapToGrid/>
                <w:color w:val="000000"/>
                <w:sz w:val="22"/>
              </w:rPr>
              <w:t>9,332</w:t>
            </w:r>
          </w:p>
          <w:p w:rsidR="0065139B" w:rsidRPr="00A2577A" w:rsidRDefault="0065139B" w:rsidP="006727DD">
            <w:pPr>
              <w:spacing w:line="300" w:lineRule="exact"/>
              <w:ind w:leftChars="0" w:left="0" w:firstLineChars="0" w:firstLine="0"/>
              <w:jc w:val="right"/>
              <w:rPr>
                <w:b/>
                <w:bCs/>
                <w:snapToGrid/>
                <w:color w:val="000000"/>
                <w:sz w:val="22"/>
              </w:rPr>
            </w:pPr>
            <w:r w:rsidRPr="00A2577A">
              <w:rPr>
                <w:b/>
                <w:bCs/>
                <w:snapToGrid/>
                <w:color w:val="000000"/>
                <w:sz w:val="22"/>
              </w:rPr>
              <w:t>~19,832</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17,918.7</w:t>
            </w:r>
          </w:p>
        </w:tc>
        <w:tc>
          <w:tcPr>
            <w:tcW w:w="833" w:type="pct"/>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22</w:t>
            </w:r>
            <w:r w:rsidRPr="00A2577A">
              <w:rPr>
                <w:b/>
                <w:bCs/>
                <w:snapToGrid/>
                <w:color w:val="000000"/>
                <w:sz w:val="22"/>
              </w:rPr>
              <w:t>,</w:t>
            </w:r>
            <w:r w:rsidRPr="00A2577A">
              <w:rPr>
                <w:rFonts w:hint="eastAsia"/>
                <w:b/>
                <w:bCs/>
                <w:snapToGrid/>
                <w:color w:val="000000"/>
                <w:sz w:val="22"/>
              </w:rPr>
              <w:t>733</w:t>
            </w:r>
            <w:r w:rsidRPr="00A2577A">
              <w:rPr>
                <w:b/>
                <w:bCs/>
                <w:snapToGrid/>
                <w:color w:val="000000"/>
                <w:sz w:val="22"/>
              </w:rPr>
              <w:t>.</w:t>
            </w:r>
            <w:r w:rsidRPr="00A2577A">
              <w:rPr>
                <w:rFonts w:hint="eastAsia"/>
                <w:b/>
                <w:bCs/>
                <w:snapToGrid/>
                <w:color w:val="000000"/>
                <w:sz w:val="22"/>
              </w:rPr>
              <w:t>6</w:t>
            </w:r>
          </w:p>
          <w:p w:rsidR="0065139B" w:rsidRPr="00A2577A" w:rsidRDefault="0065139B" w:rsidP="006727DD">
            <w:pPr>
              <w:spacing w:line="300" w:lineRule="exact"/>
              <w:ind w:leftChars="0" w:left="0" w:firstLineChars="0" w:firstLine="0"/>
              <w:jc w:val="right"/>
              <w:rPr>
                <w:b/>
                <w:bCs/>
                <w:snapToGrid/>
                <w:color w:val="000000"/>
                <w:sz w:val="22"/>
              </w:rPr>
            </w:pPr>
            <w:r w:rsidRPr="00A2577A">
              <w:rPr>
                <w:b/>
                <w:bCs/>
                <w:snapToGrid/>
                <w:color w:val="000000"/>
                <w:sz w:val="22"/>
              </w:rPr>
              <w:t>~</w:t>
            </w:r>
            <w:r w:rsidRPr="00A2577A">
              <w:rPr>
                <w:rFonts w:hint="eastAsia"/>
                <w:b/>
                <w:bCs/>
                <w:snapToGrid/>
                <w:color w:val="000000"/>
                <w:sz w:val="22"/>
              </w:rPr>
              <w:t>23,633.6</w:t>
            </w:r>
          </w:p>
        </w:tc>
        <w:tc>
          <w:tcPr>
            <w:tcW w:w="830"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27,461.2</w:t>
            </w:r>
          </w:p>
          <w:p w:rsidR="0065139B" w:rsidRPr="00A2577A" w:rsidRDefault="0065139B" w:rsidP="006727DD">
            <w:pPr>
              <w:spacing w:line="300" w:lineRule="exact"/>
              <w:ind w:leftChars="0" w:left="0" w:firstLineChars="0" w:firstLine="0"/>
              <w:jc w:val="right"/>
              <w:rPr>
                <w:b/>
                <w:bCs/>
                <w:snapToGrid/>
                <w:color w:val="000000"/>
                <w:sz w:val="22"/>
              </w:rPr>
            </w:pPr>
            <w:r w:rsidRPr="00A2577A">
              <w:rPr>
                <w:b/>
                <w:bCs/>
                <w:snapToGrid/>
                <w:color w:val="000000"/>
                <w:sz w:val="22"/>
              </w:rPr>
              <w:t>~</w:t>
            </w:r>
            <w:r w:rsidRPr="00A2577A">
              <w:rPr>
                <w:rFonts w:hint="eastAsia"/>
                <w:b/>
                <w:bCs/>
                <w:snapToGrid/>
                <w:color w:val="000000"/>
                <w:sz w:val="22"/>
              </w:rPr>
              <w:t>2</w:t>
            </w:r>
            <w:r w:rsidRPr="00A2577A">
              <w:rPr>
                <w:b/>
                <w:bCs/>
                <w:snapToGrid/>
                <w:color w:val="000000"/>
                <w:sz w:val="22"/>
              </w:rPr>
              <w:t>9,42</w:t>
            </w:r>
            <w:r w:rsidRPr="00A2577A">
              <w:rPr>
                <w:rFonts w:hint="eastAsia"/>
                <w:b/>
                <w:bCs/>
                <w:snapToGrid/>
                <w:color w:val="000000"/>
                <w:sz w:val="22"/>
              </w:rPr>
              <w:t>5.2</w:t>
            </w:r>
          </w:p>
        </w:tc>
      </w:tr>
    </w:tbl>
    <w:p w:rsidR="0065139B" w:rsidRDefault="0065139B" w:rsidP="0065139B">
      <w:pPr>
        <w:spacing w:line="300" w:lineRule="exact"/>
        <w:ind w:leftChars="0" w:left="1216" w:hangingChars="500" w:hanging="1216"/>
        <w:rPr>
          <w:rFonts w:hAnsi="標楷體"/>
          <w:sz w:val="24"/>
        </w:rPr>
      </w:pPr>
      <w:r w:rsidRPr="001754A0">
        <w:rPr>
          <w:rFonts w:hAnsi="標楷體" w:hint="eastAsia"/>
          <w:color w:val="000000"/>
          <w:sz w:val="24"/>
        </w:rPr>
        <w:t>資料來源</w:t>
      </w:r>
      <w:r>
        <w:rPr>
          <w:rFonts w:hAnsi="標楷體" w:hint="eastAsia"/>
          <w:color w:val="000000"/>
          <w:sz w:val="24"/>
        </w:rPr>
        <w:t>：能源署提供</w:t>
      </w:r>
      <w:r w:rsidRPr="005D6285">
        <w:rPr>
          <w:rFonts w:hAnsi="標楷體" w:hint="eastAsia"/>
          <w:sz w:val="24"/>
        </w:rPr>
        <w:t>。</w:t>
      </w:r>
      <w:r w:rsidRPr="005D6285">
        <w:rPr>
          <w:rFonts w:hAnsi="標楷體"/>
          <w:sz w:val="24"/>
        </w:rPr>
        <w:t xml:space="preserve"> </w:t>
      </w:r>
    </w:p>
    <w:p w:rsidR="0065139B" w:rsidRPr="00D64026" w:rsidRDefault="0065139B" w:rsidP="0065139B">
      <w:pPr>
        <w:pStyle w:val="a4"/>
        <w:ind w:left="849" w:hanging="283"/>
        <w:rPr>
          <w:b/>
        </w:rPr>
      </w:pPr>
      <w:r w:rsidRPr="00D64026">
        <w:rPr>
          <w:rFonts w:hint="eastAsia"/>
          <w:b/>
        </w:rPr>
        <w:t>(二)</w:t>
      </w:r>
      <w:r>
        <w:rPr>
          <w:rFonts w:hint="eastAsia"/>
          <w:b/>
        </w:rPr>
        <w:t>近年</w:t>
      </w:r>
      <w:r w:rsidRPr="00D64026">
        <w:rPr>
          <w:rFonts w:hint="eastAsia"/>
          <w:b/>
        </w:rPr>
        <w:t>再生能源裝置容量</w:t>
      </w:r>
      <w:r>
        <w:rPr>
          <w:rFonts w:hint="eastAsia"/>
          <w:b/>
        </w:rPr>
        <w:t>占</w:t>
      </w:r>
      <w:r w:rsidRPr="00C61217">
        <w:rPr>
          <w:rFonts w:hint="eastAsia"/>
          <w:b/>
        </w:rPr>
        <w:t>整體電源裝</w:t>
      </w:r>
      <w:r>
        <w:rPr>
          <w:rFonts w:hint="eastAsia"/>
          <w:b/>
        </w:rPr>
        <w:t>置</w:t>
      </w:r>
      <w:r w:rsidRPr="00C61217">
        <w:rPr>
          <w:rFonts w:hint="eastAsia"/>
          <w:b/>
        </w:rPr>
        <w:t>容量</w:t>
      </w:r>
      <w:r>
        <w:rPr>
          <w:rFonts w:hint="eastAsia"/>
          <w:b/>
        </w:rPr>
        <w:t>大幅成長</w:t>
      </w:r>
      <w:r w:rsidRPr="00C61217">
        <w:rPr>
          <w:rFonts w:hint="eastAsia"/>
          <w:b/>
        </w:rPr>
        <w:t>，惟</w:t>
      </w:r>
      <w:r w:rsidRPr="00D64026">
        <w:rPr>
          <w:rFonts w:hint="eastAsia"/>
          <w:b/>
        </w:rPr>
        <w:t>發電量占比</w:t>
      </w:r>
      <w:r>
        <w:rPr>
          <w:rFonts w:hint="eastAsia"/>
          <w:b/>
        </w:rPr>
        <w:t>仍低，</w:t>
      </w:r>
      <w:r w:rsidRPr="003D4638">
        <w:rPr>
          <w:rFonts w:hint="eastAsia"/>
          <w:b/>
        </w:rPr>
        <w:t>允宜研謀改善並加強辦理</w:t>
      </w:r>
      <w:r w:rsidRPr="00D64026">
        <w:rPr>
          <w:b/>
        </w:rPr>
        <w:t xml:space="preserve"> </w:t>
      </w:r>
    </w:p>
    <w:p w:rsidR="0065139B" w:rsidRDefault="0065139B" w:rsidP="0065139B">
      <w:pPr>
        <w:pStyle w:val="22"/>
        <w:ind w:left="850" w:firstLine="566"/>
      </w:pPr>
      <w:r>
        <w:rPr>
          <w:rFonts w:hint="eastAsia"/>
        </w:rPr>
        <w:t>依</w:t>
      </w:r>
      <w:r w:rsidR="007D5B2F">
        <w:rPr>
          <w:rFonts w:hint="eastAsia"/>
        </w:rPr>
        <w:t>能源</w:t>
      </w:r>
      <w:r>
        <w:rPr>
          <w:rFonts w:hint="eastAsia"/>
        </w:rPr>
        <w:t>署統計，自102至11</w:t>
      </w:r>
      <w:r>
        <w:t>2</w:t>
      </w:r>
      <w:r>
        <w:rPr>
          <w:rFonts w:hint="eastAsia"/>
        </w:rPr>
        <w:t>年底止，全國電源總裝置容量由4萬8</w:t>
      </w:r>
      <w:r>
        <w:t>,799</w:t>
      </w:r>
      <w:r>
        <w:rPr>
          <w:rFonts w:hint="eastAsia"/>
        </w:rPr>
        <w:t>千</w:t>
      </w:r>
      <w:r w:rsidRPr="00283BC9">
        <w:rPr>
          <w:rFonts w:hint="eastAsia"/>
        </w:rPr>
        <w:t>瓩增至</w:t>
      </w:r>
      <w:r>
        <w:rPr>
          <w:rFonts w:hint="eastAsia"/>
        </w:rPr>
        <w:t>6</w:t>
      </w:r>
      <w:r w:rsidRPr="00283BC9">
        <w:rPr>
          <w:rFonts w:hint="eastAsia"/>
        </w:rPr>
        <w:t>萬</w:t>
      </w:r>
      <w:r>
        <w:rPr>
          <w:rFonts w:hint="eastAsia"/>
        </w:rPr>
        <w:t>4</w:t>
      </w:r>
      <w:r>
        <w:t>,045</w:t>
      </w:r>
      <w:r>
        <w:rPr>
          <w:rFonts w:hint="eastAsia"/>
        </w:rPr>
        <w:t>千</w:t>
      </w:r>
      <w:r w:rsidRPr="00283BC9">
        <w:rPr>
          <w:rFonts w:hint="eastAsia"/>
        </w:rPr>
        <w:t>瓩</w:t>
      </w:r>
      <w:r>
        <w:rPr>
          <w:rFonts w:hint="eastAsia"/>
        </w:rPr>
        <w:t>，成長幅度3</w:t>
      </w:r>
      <w:r>
        <w:t>1.24</w:t>
      </w:r>
      <w:r>
        <w:rPr>
          <w:rFonts w:hint="eastAsia"/>
        </w:rPr>
        <w:t>%，主要係再生能源裝置容量增加1萬</w:t>
      </w:r>
      <w:r>
        <w:t>4,140</w:t>
      </w:r>
      <w:r>
        <w:rPr>
          <w:rFonts w:hint="eastAsia"/>
        </w:rPr>
        <w:t>千</w:t>
      </w:r>
      <w:r w:rsidRPr="00B05A62">
        <w:rPr>
          <w:rFonts w:hint="eastAsia"/>
        </w:rPr>
        <w:t>瓩</w:t>
      </w:r>
      <w:r>
        <w:rPr>
          <w:rFonts w:hint="eastAsia"/>
        </w:rPr>
        <w:t>，增幅達3</w:t>
      </w:r>
      <w:r>
        <w:t>.71</w:t>
      </w:r>
      <w:r>
        <w:rPr>
          <w:rFonts w:hint="eastAsia"/>
        </w:rPr>
        <w:t>倍。</w:t>
      </w:r>
    </w:p>
    <w:p w:rsidR="0065139B" w:rsidRDefault="0065139B" w:rsidP="0065139B">
      <w:pPr>
        <w:pStyle w:val="22"/>
        <w:ind w:left="850" w:firstLine="566"/>
      </w:pPr>
      <w:r>
        <w:rPr>
          <w:rFonts w:hint="eastAsia"/>
        </w:rPr>
        <w:t>再生能源發電設備裝置容量占整體電源裝置容量之比率雖</w:t>
      </w:r>
      <w:r>
        <w:rPr>
          <w:rFonts w:hint="eastAsia"/>
        </w:rPr>
        <w:lastRenderedPageBreak/>
        <w:t>由102年度7.8%成長至11</w:t>
      </w:r>
      <w:r>
        <w:t>2</w:t>
      </w:r>
      <w:r>
        <w:rPr>
          <w:rFonts w:hint="eastAsia"/>
        </w:rPr>
        <w:t>年度2</w:t>
      </w:r>
      <w:r>
        <w:t>8</w:t>
      </w:r>
      <w:r>
        <w:rPr>
          <w:rFonts w:hint="eastAsia"/>
        </w:rPr>
        <w:t>%(詳表2)，惟據台灣電力股份有限公司(以下簡稱台電公司)統計，1</w:t>
      </w:r>
      <w:r>
        <w:t>12</w:t>
      </w:r>
      <w:r>
        <w:rPr>
          <w:rFonts w:hint="eastAsia"/>
        </w:rPr>
        <w:t>年度</w:t>
      </w:r>
      <w:r w:rsidRPr="00063DC2">
        <w:t>台電系統發</w:t>
      </w:r>
      <w:r>
        <w:rPr>
          <w:rFonts w:hint="eastAsia"/>
        </w:rPr>
        <w:t>(購)</w:t>
      </w:r>
      <w:r w:rsidRPr="00063DC2">
        <w:t>電量為2,454.6億度，其中火力發電量占比</w:t>
      </w:r>
      <w:r>
        <w:rPr>
          <w:rFonts w:hint="eastAsia"/>
        </w:rPr>
        <w:t>為</w:t>
      </w:r>
      <w:r w:rsidRPr="00063DC2">
        <w:t>81.8%</w:t>
      </w:r>
      <w:r>
        <w:t>(</w:t>
      </w:r>
      <w:r>
        <w:rPr>
          <w:rFonts w:hint="eastAsia"/>
        </w:rPr>
        <w:t>含</w:t>
      </w:r>
      <w:r w:rsidRPr="00063DC2">
        <w:t>燃煤34.1%、燃油1.2%、燃氣44.1%、汽電共生2.4%</w:t>
      </w:r>
      <w:r w:rsidR="00DB61EF">
        <w:rPr>
          <w:rStyle w:val="af5"/>
        </w:rPr>
        <w:footnoteReference w:id="2"/>
      </w:r>
      <w:r>
        <w:rPr>
          <w:rFonts w:hint="eastAsia"/>
        </w:rPr>
        <w:t>)</w:t>
      </w:r>
      <w:r w:rsidRPr="00063DC2">
        <w:t>，再生能源</w:t>
      </w:r>
      <w:r>
        <w:rPr>
          <w:rFonts w:hint="eastAsia"/>
        </w:rPr>
        <w:t>占比</w:t>
      </w:r>
      <w:r w:rsidRPr="00063DC2">
        <w:t>9.9%(含水力及汽電共生中之垃圾及沼氣)，核能</w:t>
      </w:r>
      <w:r>
        <w:rPr>
          <w:rFonts w:hint="eastAsia"/>
        </w:rPr>
        <w:t>占比</w:t>
      </w:r>
      <w:r w:rsidRPr="00063DC2">
        <w:t>7.</w:t>
      </w:r>
      <w:r>
        <w:t>1</w:t>
      </w:r>
      <w:r w:rsidRPr="00063DC2">
        <w:t>%</w:t>
      </w:r>
      <w:r>
        <w:rPr>
          <w:rFonts w:hint="eastAsia"/>
        </w:rPr>
        <w:t>及</w:t>
      </w:r>
      <w:r w:rsidRPr="00063DC2">
        <w:t>抽蓄水力</w:t>
      </w:r>
      <w:r>
        <w:rPr>
          <w:rFonts w:hint="eastAsia"/>
        </w:rPr>
        <w:t>占比</w:t>
      </w:r>
      <w:r w:rsidRPr="00063DC2">
        <w:t>1.2%，</w:t>
      </w:r>
      <w:r>
        <w:rPr>
          <w:rFonts w:hint="eastAsia"/>
        </w:rPr>
        <w:t>主要係我國再生能源發展以風力及太陽能為主，發電效率受制於天候因素，容量因數僅約2成</w:t>
      </w:r>
      <w:r>
        <w:rPr>
          <w:rStyle w:val="af5"/>
        </w:rPr>
        <w:footnoteReference w:id="3"/>
      </w:r>
      <w:r>
        <w:rPr>
          <w:rFonts w:hint="eastAsia"/>
        </w:rPr>
        <w:t>，致11</w:t>
      </w:r>
      <w:r>
        <w:t>2</w:t>
      </w:r>
      <w:r>
        <w:rPr>
          <w:rFonts w:hint="eastAsia"/>
        </w:rPr>
        <w:t>年度再生能源發電量占比僅約近1成，容待提升。</w:t>
      </w:r>
    </w:p>
    <w:p w:rsidR="0065139B" w:rsidRDefault="0065139B" w:rsidP="0065139B">
      <w:pPr>
        <w:ind w:left="566" w:firstLine="566"/>
      </w:pPr>
      <w:r>
        <w:rPr>
          <w:rFonts w:hint="eastAsia"/>
        </w:rPr>
        <w:t>綜上，我國再生能源發展以風力及太陽能為主軸，兩者之發電容量因數皆受限於天候因素，致</w:t>
      </w:r>
      <w:r w:rsidR="00DB61EF">
        <w:rPr>
          <w:rFonts w:hint="eastAsia"/>
        </w:rPr>
        <w:t>近年</w:t>
      </w:r>
      <w:r>
        <w:rPr>
          <w:rFonts w:hint="eastAsia"/>
        </w:rPr>
        <w:t>再生能源裝置容量雖大幅成長</w:t>
      </w:r>
      <w:r w:rsidR="00DB61EF">
        <w:rPr>
          <w:rFonts w:hint="eastAsia"/>
        </w:rPr>
        <w:t>(</w:t>
      </w:r>
      <w:r w:rsidR="00DB61EF">
        <w:t>112</w:t>
      </w:r>
      <w:r w:rsidR="00DB61EF">
        <w:rPr>
          <w:rFonts w:hint="eastAsia"/>
        </w:rPr>
        <w:t>年度已達2</w:t>
      </w:r>
      <w:r w:rsidR="00DB61EF">
        <w:t>8%)</w:t>
      </w:r>
      <w:r>
        <w:rPr>
          <w:rFonts w:hint="eastAsia"/>
        </w:rPr>
        <w:t>，惟發電量占比仍低</w:t>
      </w:r>
      <w:r w:rsidR="00DB61EF">
        <w:rPr>
          <w:rFonts w:hint="eastAsia"/>
        </w:rPr>
        <w:t>(</w:t>
      </w:r>
      <w:r w:rsidR="00DB61EF">
        <w:t>112</w:t>
      </w:r>
      <w:r w:rsidR="00DB61EF">
        <w:rPr>
          <w:rFonts w:hint="eastAsia"/>
        </w:rPr>
        <w:t>年度尚未達1</w:t>
      </w:r>
      <w:r w:rsidR="00DB61EF">
        <w:t>0%)</w:t>
      </w:r>
      <w:r>
        <w:rPr>
          <w:rFonts w:hint="eastAsia"/>
        </w:rPr>
        <w:t>，允宜研謀改善並加強辦理，俾早日達再生能源發展目標。</w:t>
      </w:r>
    </w:p>
    <w:p w:rsidR="0065139B" w:rsidRDefault="0065139B" w:rsidP="0065139B">
      <w:pPr>
        <w:pStyle w:val="22"/>
        <w:ind w:leftChars="-64" w:left="851" w:hangingChars="364" w:hanging="1032"/>
      </w:pPr>
      <w:r w:rsidRPr="00F447FC">
        <w:rPr>
          <w:rFonts w:hint="eastAsia"/>
          <w:b/>
        </w:rPr>
        <w:t xml:space="preserve">表2 </w:t>
      </w:r>
      <w:r>
        <w:rPr>
          <w:b/>
        </w:rPr>
        <w:t xml:space="preserve"> </w:t>
      </w:r>
      <w:r w:rsidRPr="00F447FC">
        <w:rPr>
          <w:rFonts w:hint="eastAsia"/>
          <w:b/>
        </w:rPr>
        <w:t>102至11</w:t>
      </w:r>
      <w:r>
        <w:rPr>
          <w:b/>
        </w:rPr>
        <w:t>2</w:t>
      </w:r>
      <w:r w:rsidRPr="00F447FC">
        <w:rPr>
          <w:rFonts w:hint="eastAsia"/>
          <w:b/>
        </w:rPr>
        <w:t>年</w:t>
      </w:r>
      <w:r>
        <w:rPr>
          <w:rFonts w:hint="eastAsia"/>
          <w:b/>
        </w:rPr>
        <w:t>度</w:t>
      </w:r>
      <w:r w:rsidRPr="00F447FC">
        <w:rPr>
          <w:rFonts w:hint="eastAsia"/>
          <w:b/>
        </w:rPr>
        <w:t>全國發電裝置容量統計表</w:t>
      </w:r>
      <w:r>
        <w:rPr>
          <w:rFonts w:hint="eastAsia"/>
        </w:rPr>
        <w:t xml:space="preserve">   </w:t>
      </w:r>
      <w:r>
        <w:t xml:space="preserve">    </w:t>
      </w:r>
      <w:r w:rsidRPr="00F447FC">
        <w:rPr>
          <w:rFonts w:hint="eastAsia"/>
          <w:sz w:val="24"/>
          <w:szCs w:val="24"/>
        </w:rPr>
        <w:t>單位：千瓩(MW)；%</w:t>
      </w:r>
    </w:p>
    <w:tbl>
      <w:tblPr>
        <w:tblW w:w="0" w:type="auto"/>
        <w:tblInd w:w="-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2"/>
        <w:gridCol w:w="980"/>
        <w:gridCol w:w="875"/>
        <w:gridCol w:w="665"/>
        <w:gridCol w:w="1008"/>
        <w:gridCol w:w="812"/>
        <w:gridCol w:w="1007"/>
        <w:gridCol w:w="814"/>
        <w:gridCol w:w="910"/>
        <w:gridCol w:w="911"/>
      </w:tblGrid>
      <w:tr w:rsidR="0065139B" w:rsidRPr="00C55597" w:rsidTr="006727DD">
        <w:trPr>
          <w:tblHeader/>
        </w:trPr>
        <w:tc>
          <w:tcPr>
            <w:tcW w:w="812" w:type="dxa"/>
            <w:vMerge w:val="restart"/>
            <w:shd w:val="clear" w:color="auto" w:fill="auto"/>
            <w:vAlign w:val="center"/>
          </w:tcPr>
          <w:p w:rsidR="0065139B" w:rsidRPr="00C55597" w:rsidRDefault="0065139B" w:rsidP="006727DD">
            <w:pPr>
              <w:pStyle w:val="142"/>
              <w:spacing w:line="240" w:lineRule="exact"/>
              <w:jc w:val="center"/>
              <w:rPr>
                <w:b/>
                <w:sz w:val="22"/>
                <w:szCs w:val="22"/>
              </w:rPr>
            </w:pPr>
            <w:r>
              <w:rPr>
                <w:rFonts w:hint="eastAsia"/>
                <w:b/>
                <w:sz w:val="22"/>
                <w:szCs w:val="22"/>
              </w:rPr>
              <w:t>年度</w:t>
            </w:r>
          </w:p>
        </w:tc>
        <w:tc>
          <w:tcPr>
            <w:tcW w:w="980" w:type="dxa"/>
            <w:vMerge w:val="restart"/>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總裝置容量</w:t>
            </w:r>
          </w:p>
        </w:tc>
        <w:tc>
          <w:tcPr>
            <w:tcW w:w="1540"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抽蓄水力</w:t>
            </w:r>
          </w:p>
        </w:tc>
        <w:tc>
          <w:tcPr>
            <w:tcW w:w="1820"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火力</w:t>
            </w:r>
          </w:p>
        </w:tc>
        <w:tc>
          <w:tcPr>
            <w:tcW w:w="1821"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核能</w:t>
            </w:r>
          </w:p>
        </w:tc>
        <w:tc>
          <w:tcPr>
            <w:tcW w:w="1821"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再生能源</w:t>
            </w:r>
          </w:p>
        </w:tc>
      </w:tr>
      <w:tr w:rsidR="0065139B" w:rsidRPr="00C55597" w:rsidTr="006727DD">
        <w:trPr>
          <w:tblHeader/>
        </w:trPr>
        <w:tc>
          <w:tcPr>
            <w:tcW w:w="812" w:type="dxa"/>
            <w:vMerge/>
            <w:shd w:val="clear" w:color="auto" w:fill="auto"/>
          </w:tcPr>
          <w:p w:rsidR="0065139B" w:rsidRPr="00C55597" w:rsidRDefault="0065139B" w:rsidP="006727DD">
            <w:pPr>
              <w:pStyle w:val="142"/>
              <w:spacing w:line="240" w:lineRule="exact"/>
              <w:rPr>
                <w:b/>
                <w:sz w:val="22"/>
                <w:szCs w:val="22"/>
              </w:rPr>
            </w:pPr>
          </w:p>
        </w:tc>
        <w:tc>
          <w:tcPr>
            <w:tcW w:w="980" w:type="dxa"/>
            <w:vMerge/>
            <w:shd w:val="clear" w:color="auto" w:fill="auto"/>
            <w:vAlign w:val="center"/>
          </w:tcPr>
          <w:p w:rsidR="0065139B" w:rsidRPr="00C55597" w:rsidRDefault="0065139B" w:rsidP="006727DD">
            <w:pPr>
              <w:pStyle w:val="142"/>
              <w:spacing w:line="240" w:lineRule="exact"/>
              <w:jc w:val="center"/>
              <w:rPr>
                <w:b/>
                <w:sz w:val="22"/>
                <w:szCs w:val="22"/>
              </w:rPr>
            </w:pPr>
          </w:p>
        </w:tc>
        <w:tc>
          <w:tcPr>
            <w:tcW w:w="875"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665"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c>
          <w:tcPr>
            <w:tcW w:w="1008"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812"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c>
          <w:tcPr>
            <w:tcW w:w="1007"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814"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c>
          <w:tcPr>
            <w:tcW w:w="910"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911"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102</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8,799</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.3</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7,237</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6.3</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0.5</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,816</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.8</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103</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8,413</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.4</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6,602</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5.6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0.6</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,064</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8</w:t>
            </w:r>
            <w:r w:rsidRPr="00C55597">
              <w:rPr>
                <w:sz w:val="22"/>
                <w:szCs w:val="22"/>
              </w:rPr>
              <w:t>.4</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104</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8,665</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.3</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6,590</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5.2</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0.6</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,329</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8</w:t>
            </w:r>
            <w:r w:rsidRPr="00C55597">
              <w:rPr>
                <w:sz w:val="22"/>
                <w:szCs w:val="22"/>
              </w:rPr>
              <w:t>.9</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105</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9,579</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.2</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7,108</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4.8</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0.4</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,726</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9</w:t>
            </w:r>
            <w:r w:rsidRPr="00C55597">
              <w:rPr>
                <w:sz w:val="22"/>
                <w:szCs w:val="22"/>
              </w:rPr>
              <w:t>.5</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106</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9,286</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.3</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6,281</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3.6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0.4</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,259</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0.7</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107</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2,666</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9,300</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4.6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,508</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8</w:t>
            </w:r>
            <w:r w:rsidRPr="00C55597">
              <w:rPr>
                <w:sz w:val="22"/>
                <w:szCs w:val="22"/>
              </w:rPr>
              <w:t>.6</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6</w:t>
            </w:r>
            <w:r w:rsidRPr="00C55597">
              <w:rPr>
                <w:sz w:val="22"/>
                <w:szCs w:val="22"/>
              </w:rPr>
              <w:t>,255</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1.9</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108</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6,136</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.6</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1,866</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4.6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,872</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6</w:t>
            </w:r>
            <w:r w:rsidRPr="00C55597">
              <w:rPr>
                <w:sz w:val="22"/>
                <w:szCs w:val="22"/>
              </w:rPr>
              <w:t>.9</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,796</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3.9</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109</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7,820</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.5</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1,782</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2.3</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,872</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6</w:t>
            </w:r>
            <w:r w:rsidRPr="00C55597">
              <w:rPr>
                <w:sz w:val="22"/>
                <w:szCs w:val="22"/>
              </w:rPr>
              <w:t>.7</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9</w:t>
            </w:r>
            <w:r w:rsidRPr="00C55597">
              <w:rPr>
                <w:sz w:val="22"/>
                <w:szCs w:val="22"/>
              </w:rPr>
              <w:t>,564</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6.5</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110</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9,375</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.4</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2,302</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1.2</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,887</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1,585</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9.5</w:t>
            </w:r>
          </w:p>
        </w:tc>
      </w:tr>
      <w:tr w:rsidR="0065139B" w:rsidRPr="00F45910" w:rsidTr="006727DD">
        <w:tc>
          <w:tcPr>
            <w:tcW w:w="812" w:type="dxa"/>
            <w:shd w:val="clear" w:color="auto" w:fill="auto"/>
          </w:tcPr>
          <w:p w:rsidR="0065139B" w:rsidRPr="00C55597" w:rsidRDefault="0065139B" w:rsidP="006727DD">
            <w:pPr>
              <w:pStyle w:val="142"/>
              <w:spacing w:line="240" w:lineRule="exact"/>
              <w:jc w:val="center"/>
              <w:rPr>
                <w:rFonts w:hint="eastAsia"/>
                <w:sz w:val="22"/>
                <w:szCs w:val="22"/>
              </w:rPr>
            </w:pPr>
            <w:r>
              <w:rPr>
                <w:rFonts w:hint="eastAsia"/>
                <w:sz w:val="22"/>
                <w:szCs w:val="22"/>
              </w:rPr>
              <w:t>1</w:t>
            </w:r>
            <w:r>
              <w:rPr>
                <w:sz w:val="22"/>
                <w:szCs w:val="22"/>
              </w:rPr>
              <w:t>11</w:t>
            </w:r>
          </w:p>
        </w:tc>
        <w:tc>
          <w:tcPr>
            <w:tcW w:w="980" w:type="dxa"/>
            <w:shd w:val="clear" w:color="auto" w:fill="auto"/>
            <w:vAlign w:val="center"/>
          </w:tcPr>
          <w:p w:rsidR="0065139B" w:rsidRPr="00F45910" w:rsidRDefault="0065139B" w:rsidP="006727DD">
            <w:pPr>
              <w:pStyle w:val="142"/>
              <w:spacing w:line="240" w:lineRule="exact"/>
              <w:jc w:val="right"/>
              <w:rPr>
                <w:sz w:val="22"/>
                <w:szCs w:val="22"/>
              </w:rPr>
            </w:pPr>
            <w:r w:rsidRPr="00F45910">
              <w:rPr>
                <w:rFonts w:hint="eastAsia"/>
                <w:sz w:val="22"/>
                <w:szCs w:val="22"/>
              </w:rPr>
              <w:t xml:space="preserve">61,943  </w:t>
            </w:r>
          </w:p>
        </w:tc>
        <w:tc>
          <w:tcPr>
            <w:tcW w:w="87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2,602     </w:t>
            </w:r>
          </w:p>
        </w:tc>
        <w:tc>
          <w:tcPr>
            <w:tcW w:w="66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4.2    </w:t>
            </w:r>
          </w:p>
        </w:tc>
        <w:tc>
          <w:tcPr>
            <w:tcW w:w="1008"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42,322 </w:t>
            </w:r>
          </w:p>
        </w:tc>
        <w:tc>
          <w:tcPr>
            <w:tcW w:w="812"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68.3 </w:t>
            </w:r>
          </w:p>
        </w:tc>
        <w:tc>
          <w:tcPr>
            <w:tcW w:w="1007"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2,887 </w:t>
            </w:r>
          </w:p>
        </w:tc>
        <w:tc>
          <w:tcPr>
            <w:tcW w:w="814"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4.7 </w:t>
            </w:r>
          </w:p>
        </w:tc>
        <w:tc>
          <w:tcPr>
            <w:tcW w:w="910"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14,132 </w:t>
            </w:r>
          </w:p>
        </w:tc>
        <w:tc>
          <w:tcPr>
            <w:tcW w:w="911"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22.8 </w:t>
            </w:r>
          </w:p>
        </w:tc>
      </w:tr>
      <w:tr w:rsidR="0065139B" w:rsidRPr="00F45910" w:rsidTr="006727DD">
        <w:tc>
          <w:tcPr>
            <w:tcW w:w="812" w:type="dxa"/>
            <w:shd w:val="clear" w:color="auto" w:fill="auto"/>
          </w:tcPr>
          <w:p w:rsidR="0065139B" w:rsidRDefault="0065139B" w:rsidP="006727DD">
            <w:pPr>
              <w:pStyle w:val="142"/>
              <w:spacing w:line="240" w:lineRule="exact"/>
              <w:jc w:val="center"/>
              <w:rPr>
                <w:rFonts w:hint="eastAsia"/>
                <w:sz w:val="22"/>
                <w:szCs w:val="22"/>
              </w:rPr>
            </w:pPr>
            <w:r>
              <w:rPr>
                <w:rFonts w:hint="eastAsia"/>
                <w:sz w:val="22"/>
                <w:szCs w:val="22"/>
              </w:rPr>
              <w:t>1</w:t>
            </w:r>
            <w:r>
              <w:rPr>
                <w:sz w:val="22"/>
                <w:szCs w:val="22"/>
              </w:rPr>
              <w:t>12</w:t>
            </w:r>
          </w:p>
        </w:tc>
        <w:tc>
          <w:tcPr>
            <w:tcW w:w="980"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64,045   </w:t>
            </w:r>
          </w:p>
        </w:tc>
        <w:tc>
          <w:tcPr>
            <w:tcW w:w="87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2,602      </w:t>
            </w:r>
          </w:p>
        </w:tc>
        <w:tc>
          <w:tcPr>
            <w:tcW w:w="66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4.1    </w:t>
            </w:r>
          </w:p>
        </w:tc>
        <w:tc>
          <w:tcPr>
            <w:tcW w:w="1008"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41,585 </w:t>
            </w:r>
          </w:p>
        </w:tc>
        <w:tc>
          <w:tcPr>
            <w:tcW w:w="812"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64.9 </w:t>
            </w:r>
          </w:p>
        </w:tc>
        <w:tc>
          <w:tcPr>
            <w:tcW w:w="1007"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1,902 </w:t>
            </w:r>
          </w:p>
        </w:tc>
        <w:tc>
          <w:tcPr>
            <w:tcW w:w="814"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3.0 </w:t>
            </w:r>
          </w:p>
        </w:tc>
        <w:tc>
          <w:tcPr>
            <w:tcW w:w="910"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17,956 </w:t>
            </w:r>
          </w:p>
        </w:tc>
        <w:tc>
          <w:tcPr>
            <w:tcW w:w="911"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28.0 </w:t>
            </w:r>
          </w:p>
        </w:tc>
      </w:tr>
    </w:tbl>
    <w:p w:rsidR="0065139B" w:rsidRDefault="0065139B" w:rsidP="0065139B">
      <w:pPr>
        <w:pStyle w:val="142"/>
        <w:ind w:leftChars="-50" w:left="1074" w:hangingChars="500" w:hanging="1216"/>
        <w:jc w:val="both"/>
      </w:pPr>
      <w:r>
        <w:rPr>
          <w:rFonts w:hint="eastAsia"/>
        </w:rPr>
        <w:t>說    明：「火力」裝置容量包含燃煤、燃油、燃氣3種火力發電裝置容量；「再生能源」裝置容量包含慣常水力、地熱、太陽光電、風力、生質能及廢棄物。</w:t>
      </w:r>
    </w:p>
    <w:p w:rsidR="0065139B" w:rsidRPr="0043012E" w:rsidRDefault="0065139B" w:rsidP="0065139B">
      <w:pPr>
        <w:pStyle w:val="142"/>
        <w:ind w:leftChars="-50" w:left="-142"/>
        <w:rPr>
          <w:szCs w:val="24"/>
        </w:rPr>
      </w:pPr>
      <w:r>
        <w:rPr>
          <w:rFonts w:hint="eastAsia"/>
        </w:rPr>
        <w:t>資料來源：</w:t>
      </w:r>
      <w:r>
        <w:rPr>
          <w:rFonts w:hint="eastAsia"/>
          <w:szCs w:val="24"/>
        </w:rPr>
        <w:t>能源署</w:t>
      </w:r>
      <w:r w:rsidRPr="0043012E">
        <w:rPr>
          <w:rFonts w:hint="eastAsia"/>
          <w:szCs w:val="24"/>
        </w:rPr>
        <w:t>公開資訊網/</w:t>
      </w:r>
      <w:r>
        <w:rPr>
          <w:rFonts w:hint="eastAsia"/>
          <w:szCs w:val="24"/>
        </w:rPr>
        <w:t>統</w:t>
      </w:r>
      <w:r w:rsidRPr="0043012E">
        <w:rPr>
          <w:rFonts w:hint="eastAsia"/>
          <w:szCs w:val="24"/>
        </w:rPr>
        <w:t>計月報/3-03發電裝置容量(全國)。</w:t>
      </w:r>
    </w:p>
    <w:sectPr w:rsidR="0065139B" w:rsidRPr="0043012E"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17175E" w:rsidRPr="0017175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 w:id="2">
    <w:p w:rsidR="00DB61EF" w:rsidRPr="00DB61EF" w:rsidRDefault="00DB61EF" w:rsidP="00DB61EF">
      <w:pPr>
        <w:pStyle w:val="142"/>
        <w:ind w:left="141" w:hangingChars="58" w:hanging="141"/>
        <w:jc w:val="both"/>
        <w:rPr>
          <w:rFonts w:hint="eastAsia"/>
        </w:rPr>
      </w:pPr>
      <w:r>
        <w:rPr>
          <w:rStyle w:val="af5"/>
        </w:rPr>
        <w:footnoteRef/>
      </w:r>
      <w:r>
        <w:t xml:space="preserve"> </w:t>
      </w:r>
      <w:r w:rsidRPr="00063DC2">
        <w:t>不含垃圾及沼氣</w:t>
      </w:r>
      <w:r>
        <w:rPr>
          <w:rFonts w:hint="eastAsia"/>
        </w:rPr>
        <w:t>。</w:t>
      </w:r>
    </w:p>
  </w:footnote>
  <w:footnote w:id="3">
    <w:p w:rsidR="0065139B" w:rsidRPr="005458B8" w:rsidRDefault="0065139B" w:rsidP="0065139B">
      <w:pPr>
        <w:pStyle w:val="142"/>
        <w:ind w:left="141" w:hangingChars="58" w:hanging="141"/>
        <w:jc w:val="both"/>
      </w:pPr>
      <w:r>
        <w:rPr>
          <w:rStyle w:val="af5"/>
        </w:rPr>
        <w:footnoteRef/>
      </w:r>
      <w:r>
        <w:rPr>
          <w:rFonts w:hint="eastAsia"/>
        </w:rPr>
        <w:t xml:space="preserve"> </w:t>
      </w:r>
      <w:r w:rsidRPr="00BE0D5F">
        <w:rPr>
          <w:rFonts w:hint="eastAsia"/>
        </w:rPr>
        <w:t>據台電公司統計</w:t>
      </w:r>
      <w:r>
        <w:rPr>
          <w:rFonts w:hint="eastAsia"/>
        </w:rPr>
        <w:t>1</w:t>
      </w:r>
      <w:r>
        <w:t>12</w:t>
      </w:r>
      <w:r>
        <w:rPr>
          <w:rFonts w:hint="eastAsia"/>
        </w:rPr>
        <w:t>年度發電機組容量因素(以下同)平均為5</w:t>
      </w:r>
      <w:r>
        <w:t>2.61%</w:t>
      </w:r>
      <w:r>
        <w:rPr>
          <w:rFonts w:hint="eastAsia"/>
        </w:rPr>
        <w:t>，其中再生能源為2</w:t>
      </w:r>
      <w:r>
        <w:t>1.39%</w:t>
      </w:r>
      <w:r>
        <w:rPr>
          <w:rFonts w:hint="eastAsia"/>
        </w:rPr>
        <w:t>，較傳統火力發電(介於6</w:t>
      </w:r>
      <w:r>
        <w:t>3.94%</w:t>
      </w:r>
      <w:r>
        <w:rPr>
          <w:rFonts w:hint="eastAsia"/>
        </w:rPr>
        <w:t>至7</w:t>
      </w:r>
      <w:r>
        <w:t>0.51%</w:t>
      </w:r>
      <w:r>
        <w:rPr>
          <w:rFonts w:hint="eastAsia"/>
        </w:rPr>
        <w:t>間)為低。資料來源：台電公司1</w:t>
      </w:r>
      <w:r>
        <w:t>12</w:t>
      </w:r>
      <w:r>
        <w:rPr>
          <w:rFonts w:hint="eastAsia"/>
        </w:rPr>
        <w:t>年度預算，頁10</w:t>
      </w:r>
      <w:r>
        <w:t>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175E"/>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44F03562-2BD0-4533-B5F5-79EEC8FFB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6F0C3-CE64-4806-B2AC-294ACF9F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445</Words>
  <Characters>2537</Characters>
  <Application>Microsoft Office Word</Application>
  <DocSecurity>0</DocSecurity>
  <Lines>21</Lines>
  <Paragraphs>5</Paragraphs>
  <ScaleCrop>false</ScaleCrop>
  <Company>HOME</Company>
  <LinksUpToDate>false</LinksUpToDate>
  <CharactersWithSpaces>2977</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2025-03-25T02:31:00Z</dcterms:created>
  <dcterms:modified xsi:type="dcterms:W3CDTF">2025-03-25T02:31:00Z</dcterms:modified>
</cp:coreProperties>
</file>