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Pr="008B4272" w:rsidRDefault="00166061" w:rsidP="00166061">
      <w:pPr>
        <w:pStyle w:val="14"/>
        <w:ind w:left="567" w:hanging="567"/>
        <w:rPr>
          <w:color w:val="000000"/>
        </w:rPr>
      </w:pPr>
      <w:bookmarkStart w:id="49" w:name="_Toc90019291"/>
      <w:bookmarkStart w:id="50" w:name="_Toc194483507"/>
      <w:r w:rsidRPr="008B4272">
        <w:rPr>
          <w:rFonts w:hint="eastAsia"/>
          <w:color w:val="000000"/>
          <w:lang w:eastAsia="zh-HK"/>
        </w:rPr>
        <w:t>三</w:t>
      </w:r>
      <w:r w:rsidRPr="008B4272">
        <w:rPr>
          <w:rFonts w:hint="eastAsia"/>
          <w:color w:val="000000"/>
        </w:rPr>
        <w:t>、</w:t>
      </w:r>
      <w:bookmarkStart w:id="51" w:name="_Toc496280630"/>
      <w:bookmarkEnd w:id="49"/>
      <w:r w:rsidR="0037263F" w:rsidRPr="008B4272">
        <w:rPr>
          <w:rFonts w:hint="eastAsia"/>
          <w:color w:val="000000"/>
        </w:rPr>
        <w:t>112年度健保收支雖為淨結餘，惟歷年保險成本平均成長率高於收入成長率，且補充保險費之扣取上限金額自100年訂定後迄112年底皆未調整，允宜檢討改善</w:t>
      </w:r>
      <w:bookmarkEnd w:id="50"/>
    </w:p>
    <w:p w:rsidR="00E70171" w:rsidRPr="00E70171" w:rsidRDefault="00882987" w:rsidP="00E70171">
      <w:pPr>
        <w:ind w:left="566" w:firstLine="566"/>
        <w:rPr>
          <w:snapToGrid/>
        </w:rPr>
      </w:pPr>
      <w:r w:rsidRPr="00882987">
        <w:rPr>
          <w:rFonts w:hAnsi="標楷體" w:hint="eastAsia"/>
          <w:snapToGrid/>
          <w:kern w:val="28"/>
          <w:szCs w:val="24"/>
        </w:rPr>
        <w:t>全民健康保險基金(下稱健保基金) 112年度「保險收入－保費收入」預算數7,220億2,159萬3千元，決算數7,735億3,441萬5千元，達成率107.13%。另112年度截至12月底止，保險收支淨結餘數約339億元。經查</w:t>
      </w:r>
      <w:r w:rsidR="00E70171" w:rsidRPr="00E70171">
        <w:rPr>
          <w:rFonts w:hint="eastAsia"/>
          <w:snapToGrid/>
        </w:rPr>
        <w:t>：</w:t>
      </w:r>
    </w:p>
    <w:p w:rsidR="00597189" w:rsidRPr="00594504" w:rsidRDefault="00597189" w:rsidP="00594504">
      <w:pPr>
        <w:pStyle w:val="a5"/>
        <w:ind w:left="849" w:hanging="283"/>
        <w:rPr>
          <w:b/>
        </w:rPr>
      </w:pPr>
      <w:r w:rsidRPr="00594504">
        <w:rPr>
          <w:rFonts w:hint="eastAsia"/>
          <w:b/>
        </w:rPr>
        <w:t>(一)</w:t>
      </w:r>
      <w:r w:rsidR="00882987" w:rsidRPr="00882987">
        <w:rPr>
          <w:rFonts w:hint="eastAsia"/>
          <w:b/>
        </w:rPr>
        <w:t>健保財務長期結構失衡，85至112年健保成本平均成長率4.73%高於收入成長率4.59%</w:t>
      </w:r>
    </w:p>
    <w:p w:rsidR="00597189" w:rsidRPr="00597189" w:rsidRDefault="00882987" w:rsidP="00597189">
      <w:pPr>
        <w:adjustRightInd w:val="0"/>
        <w:ind w:leftChars="300" w:left="850" w:firstLine="566"/>
      </w:pPr>
      <w:r w:rsidRPr="00882987">
        <w:rPr>
          <w:rFonts w:hint="eastAsia"/>
        </w:rPr>
        <w:t>據健保基金112年度決算書之總說明所載，截至112年12月底止，保險收支淨結餘數約339億元，累計安全準備餘額約1,388億元，約當保險給付支出月數2.14個月。另全民健保自84年開辦以來，受人口老化、民眾對醫療服務需求增加及醫療價格上漲等影響，醫療費用支出成長遠超過保險費收入成長幅度，尤其85年至112年間，健保保險成本平均成長率4.73%，高於保險收入平均成長率4.59%，顯示健保財務長期存在收支結構性失衡問題</w:t>
      </w:r>
      <w:r w:rsidR="00597189" w:rsidRPr="00597189">
        <w:rPr>
          <w:rFonts w:hint="eastAsia"/>
        </w:rPr>
        <w:t>。</w:t>
      </w:r>
    </w:p>
    <w:p w:rsidR="00597189" w:rsidRPr="00594504" w:rsidRDefault="00597189" w:rsidP="00594504">
      <w:pPr>
        <w:pStyle w:val="a5"/>
        <w:ind w:left="849" w:hanging="283"/>
        <w:rPr>
          <w:b/>
        </w:rPr>
      </w:pPr>
      <w:r w:rsidRPr="00594504">
        <w:rPr>
          <w:rFonts w:hint="eastAsia"/>
          <w:b/>
        </w:rPr>
        <w:t>(二)</w:t>
      </w:r>
      <w:r w:rsidR="00882987" w:rsidRPr="00882987">
        <w:rPr>
          <w:rFonts w:hint="eastAsia"/>
          <w:b/>
        </w:rPr>
        <w:t>保費收入主要由一般保險費及補充保險費組成，惟補充保險費扣取上限金額自100年訂定後，迄112年底皆未檢討調整</w:t>
      </w:r>
    </w:p>
    <w:p w:rsidR="00597189" w:rsidRPr="00597189" w:rsidRDefault="00882987" w:rsidP="00594504">
      <w:pPr>
        <w:pStyle w:val="21"/>
        <w:ind w:left="850" w:firstLine="566"/>
      </w:pPr>
      <w:r>
        <w:rPr>
          <w:rFonts w:hint="eastAsia"/>
        </w:rPr>
        <w:t>健</w:t>
      </w:r>
      <w:r w:rsidRPr="00882987">
        <w:rPr>
          <w:rFonts w:hint="eastAsia"/>
        </w:rPr>
        <w:t>保基金之保費收入主要由一般保險費及補充保險費組成，其中112年度一般保險費收入決算數6,074億8,073萬元，占健保保費收入決算數7,735億3,441萬5千元之78.53%，至於補充保險費收入決算數722億5,810萬4千元，占健保保費收入決算數之9.34%(詳表1)，該比率低於111年度之9.81%</w:t>
      </w:r>
      <w:r w:rsidR="00597189" w:rsidRPr="00597189">
        <w:rPr>
          <w:rFonts w:hint="eastAsia"/>
        </w:rPr>
        <w:t>。</w:t>
      </w:r>
    </w:p>
    <w:p w:rsidR="00882987" w:rsidRDefault="007D000B" w:rsidP="00882987">
      <w:pPr>
        <w:snapToGrid w:val="0"/>
        <w:ind w:leftChars="0" w:left="0" w:firstLineChars="100" w:firstLine="283"/>
        <w:jc w:val="left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 xml:space="preserve">  </w:t>
      </w:r>
      <w:r w:rsidR="00882987" w:rsidRPr="00161BCB">
        <w:rPr>
          <w:rFonts w:hAnsi="標楷體" w:hint="eastAsia"/>
          <w:b/>
        </w:rPr>
        <w:t>表1  1</w:t>
      </w:r>
      <w:r w:rsidR="00882987">
        <w:rPr>
          <w:rFonts w:hAnsi="標楷體"/>
          <w:b/>
        </w:rPr>
        <w:t>09</w:t>
      </w:r>
      <w:r w:rsidR="00882987" w:rsidRPr="00161BCB">
        <w:rPr>
          <w:rFonts w:hAnsi="標楷體" w:hint="eastAsia"/>
          <w:b/>
        </w:rPr>
        <w:t>至11</w:t>
      </w:r>
      <w:r w:rsidR="00882987">
        <w:rPr>
          <w:rFonts w:hAnsi="標楷體"/>
          <w:b/>
        </w:rPr>
        <w:t>2</w:t>
      </w:r>
      <w:r w:rsidR="00882987" w:rsidRPr="00161BCB">
        <w:rPr>
          <w:rFonts w:hAnsi="標楷體" w:hint="eastAsia"/>
          <w:b/>
        </w:rPr>
        <w:t>年度健保基金保險費收入</w:t>
      </w:r>
      <w:r w:rsidR="00882987" w:rsidRPr="00402CAD">
        <w:rPr>
          <w:rFonts w:hAnsi="標楷體" w:hint="eastAsia"/>
          <w:b/>
        </w:rPr>
        <w:t>決算數</w:t>
      </w:r>
      <w:r w:rsidR="00882987" w:rsidRPr="00161BCB">
        <w:rPr>
          <w:rFonts w:hAnsi="標楷體" w:hint="eastAsia"/>
          <w:b/>
        </w:rPr>
        <w:t xml:space="preserve">簡表 </w:t>
      </w:r>
      <w:r w:rsidR="00882987" w:rsidRPr="00161BCB">
        <w:rPr>
          <w:rFonts w:hAnsi="標楷體"/>
          <w:b/>
        </w:rPr>
        <w:t xml:space="preserve"> </w:t>
      </w:r>
    </w:p>
    <w:p w:rsidR="00882987" w:rsidRPr="00161BCB" w:rsidRDefault="00882987" w:rsidP="00882987">
      <w:pPr>
        <w:snapToGrid w:val="0"/>
        <w:spacing w:line="320" w:lineRule="exact"/>
        <w:ind w:leftChars="0" w:left="0" w:firstLineChars="2200" w:firstLine="5351"/>
        <w:jc w:val="right"/>
        <w:rPr>
          <w:rFonts w:ascii="Times New Roman"/>
          <w:sz w:val="24"/>
          <w:szCs w:val="24"/>
        </w:rPr>
      </w:pPr>
      <w:r w:rsidRPr="00161BCB">
        <w:rPr>
          <w:rFonts w:ascii="Times New Roman" w:hint="eastAsia"/>
          <w:sz w:val="24"/>
          <w:szCs w:val="24"/>
        </w:rPr>
        <w:t>單位：新臺幣千元</w:t>
      </w:r>
      <w:r w:rsidRPr="00161BCB">
        <w:rPr>
          <w:rFonts w:hAnsi="標楷體" w:hint="eastAsia"/>
          <w:sz w:val="24"/>
          <w:szCs w:val="24"/>
        </w:rPr>
        <w:t>；%</w:t>
      </w:r>
    </w:p>
    <w:tbl>
      <w:tblPr>
        <w:tblW w:w="7958" w:type="dxa"/>
        <w:tblInd w:w="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1"/>
        <w:gridCol w:w="1496"/>
        <w:gridCol w:w="1440"/>
        <w:gridCol w:w="1441"/>
        <w:gridCol w:w="1460"/>
      </w:tblGrid>
      <w:tr w:rsidR="00882987" w:rsidRPr="00D6576E" w:rsidTr="007D000B">
        <w:trPr>
          <w:trHeight w:val="407"/>
          <w:tblHeader/>
        </w:trPr>
        <w:tc>
          <w:tcPr>
            <w:tcW w:w="2121" w:type="dxa"/>
            <w:shd w:val="clear" w:color="auto" w:fill="auto"/>
            <w:noWrap/>
            <w:vAlign w:val="center"/>
          </w:tcPr>
          <w:p w:rsidR="00882987" w:rsidRPr="00D6576E" w:rsidRDefault="00882987" w:rsidP="00280C42">
            <w:pPr>
              <w:pStyle w:val="142"/>
              <w:jc w:val="center"/>
            </w:pPr>
            <w:r w:rsidRPr="00D6576E">
              <w:rPr>
                <w:rFonts w:hint="eastAsia"/>
              </w:rPr>
              <w:t>項目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center"/>
            </w:pPr>
            <w:r w:rsidRPr="00D6576E">
              <w:rPr>
                <w:rFonts w:hint="eastAsia"/>
              </w:rPr>
              <w:t>1</w:t>
            </w:r>
            <w:r w:rsidRPr="00D6576E">
              <w:t>09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center"/>
            </w:pPr>
            <w:r w:rsidRPr="00D6576E">
              <w:rPr>
                <w:rFonts w:hint="eastAsia"/>
              </w:rPr>
              <w:t>11</w:t>
            </w:r>
            <w:r w:rsidRPr="00D6576E">
              <w:t>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center"/>
            </w:pPr>
            <w:r w:rsidRPr="00D6576E">
              <w:rPr>
                <w:rFonts w:hint="eastAsia"/>
              </w:rPr>
              <w:t>11</w:t>
            </w:r>
            <w:r w:rsidRPr="00D6576E">
              <w:t>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center"/>
            </w:pPr>
            <w:r w:rsidRPr="00D6576E">
              <w:rPr>
                <w:rFonts w:hint="eastAsia"/>
              </w:rPr>
              <w:t>11</w:t>
            </w:r>
            <w:r w:rsidRPr="00D6576E">
              <w:t>2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業務收入-保費收入(</w:t>
            </w:r>
            <w:r w:rsidRPr="00D6576E">
              <w:t>A</w:t>
            </w:r>
            <w:r w:rsidRPr="00D6576E">
              <w:rPr>
                <w:rFonts w:hint="eastAsia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614,754,092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699,469,487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747,904,072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773,534,415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1.一般保險費(</w:t>
            </w:r>
            <w:r w:rsidRPr="00D6576E">
              <w:t>B</w:t>
            </w:r>
            <w:r w:rsidRPr="00D6576E">
              <w:rPr>
                <w:rFonts w:hint="eastAsia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507,386,753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566,306,980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585,711,662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607,480,730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2.補充保險費(</w:t>
            </w:r>
            <w:r w:rsidRPr="00D6576E">
              <w:t>C</w:t>
            </w:r>
            <w:r w:rsidRPr="00D6576E">
              <w:rPr>
                <w:rFonts w:hint="eastAsia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47,274,532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58,229,157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73,388,478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72,258,104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3.政府應負擔健保總經費不足36%部分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59,625,898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74,488,068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88,282,180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93,265,229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4.滯納金</w:t>
            </w:r>
          </w:p>
        </w:tc>
        <w:tc>
          <w:tcPr>
            <w:tcW w:w="14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466,909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445,282</w:t>
            </w:r>
          </w:p>
        </w:tc>
        <w:tc>
          <w:tcPr>
            <w:tcW w:w="144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521,752</w:t>
            </w:r>
          </w:p>
        </w:tc>
        <w:tc>
          <w:tcPr>
            <w:tcW w:w="146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530,352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一般保險費占保費收入比率(B</w:t>
            </w:r>
            <w:r w:rsidRPr="00D6576E">
              <w:t>/A</w:t>
            </w:r>
            <w:r w:rsidRPr="00D6576E">
              <w:rPr>
                <w:rFonts w:hint="eastAsia"/>
              </w:rPr>
              <w:t>)</w:t>
            </w:r>
          </w:p>
        </w:tc>
        <w:tc>
          <w:tcPr>
            <w:tcW w:w="14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82.53</w:t>
            </w:r>
          </w:p>
        </w:tc>
        <w:tc>
          <w:tcPr>
            <w:tcW w:w="144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80.96</w:t>
            </w:r>
          </w:p>
        </w:tc>
        <w:tc>
          <w:tcPr>
            <w:tcW w:w="144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78.31</w:t>
            </w:r>
          </w:p>
        </w:tc>
        <w:tc>
          <w:tcPr>
            <w:tcW w:w="146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78.53</w:t>
            </w:r>
          </w:p>
        </w:tc>
      </w:tr>
      <w:tr w:rsidR="00882987" w:rsidRPr="00D6576E" w:rsidTr="007D000B">
        <w:trPr>
          <w:trHeight w:val="340"/>
        </w:trPr>
        <w:tc>
          <w:tcPr>
            <w:tcW w:w="212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</w:pPr>
            <w:r w:rsidRPr="00D6576E">
              <w:rPr>
                <w:rFonts w:hint="eastAsia"/>
              </w:rPr>
              <w:t>補充保險費占保費收入比率(</w:t>
            </w:r>
            <w:r w:rsidRPr="00D6576E">
              <w:t>C/A)</w:t>
            </w:r>
          </w:p>
        </w:tc>
        <w:tc>
          <w:tcPr>
            <w:tcW w:w="14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7.69</w:t>
            </w:r>
          </w:p>
        </w:tc>
        <w:tc>
          <w:tcPr>
            <w:tcW w:w="144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8.32</w:t>
            </w:r>
          </w:p>
        </w:tc>
        <w:tc>
          <w:tcPr>
            <w:tcW w:w="144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9.81</w:t>
            </w:r>
          </w:p>
        </w:tc>
        <w:tc>
          <w:tcPr>
            <w:tcW w:w="14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82987" w:rsidRPr="00D6576E" w:rsidRDefault="00882987" w:rsidP="00280C42">
            <w:pPr>
              <w:pStyle w:val="142"/>
              <w:jc w:val="right"/>
            </w:pPr>
            <w:r w:rsidRPr="00D6576E">
              <w:t>9.34</w:t>
            </w:r>
          </w:p>
        </w:tc>
      </w:tr>
    </w:tbl>
    <w:p w:rsidR="00882987" w:rsidRPr="00161BCB" w:rsidRDefault="007D000B" w:rsidP="00882987">
      <w:pPr>
        <w:spacing w:line="280" w:lineRule="exact"/>
        <w:ind w:leftChars="28" w:left="79" w:firstLineChars="82" w:firstLine="199"/>
        <w:jc w:val="left"/>
      </w:pPr>
      <w:r>
        <w:rPr>
          <w:rFonts w:hAnsi="標楷體" w:cs="標楷體" w:hint="eastAsia"/>
          <w:snapToGrid/>
          <w:sz w:val="24"/>
          <w:szCs w:val="24"/>
        </w:rPr>
        <w:t xml:space="preserve">  </w:t>
      </w:r>
      <w:r w:rsidR="00882987" w:rsidRPr="00161BCB">
        <w:rPr>
          <w:rFonts w:hAnsi="標楷體" w:cs="標楷體" w:hint="eastAsia"/>
          <w:snapToGrid/>
          <w:sz w:val="24"/>
          <w:szCs w:val="24"/>
        </w:rPr>
        <w:t>資料來源：健保基金提供。</w:t>
      </w:r>
    </w:p>
    <w:p w:rsidR="00882987" w:rsidRDefault="00882987" w:rsidP="00882987">
      <w:pPr>
        <w:pStyle w:val="21"/>
        <w:ind w:left="850" w:firstLine="566"/>
      </w:pPr>
      <w:r w:rsidRPr="00EF7391">
        <w:rPr>
          <w:rFonts w:hint="eastAsia"/>
        </w:rPr>
        <w:t>一般保險費以經常性薪資為計費基礎，據健保署推估，</w:t>
      </w:r>
      <w:r>
        <w:rPr>
          <w:rFonts w:hint="eastAsia"/>
        </w:rPr>
        <w:t>隨</w:t>
      </w:r>
      <w:r w:rsidRPr="00EF7391">
        <w:rPr>
          <w:rFonts w:hint="eastAsia"/>
        </w:rPr>
        <w:t>11</w:t>
      </w:r>
      <w:r>
        <w:rPr>
          <w:rFonts w:hint="eastAsia"/>
        </w:rPr>
        <w:t>2</w:t>
      </w:r>
      <w:r w:rsidRPr="00EF7391">
        <w:rPr>
          <w:rFonts w:hint="eastAsia"/>
        </w:rPr>
        <w:t>年度調升基本工資，保險收入因而增加約56億元。</w:t>
      </w:r>
      <w:r>
        <w:rPr>
          <w:rFonts w:hint="eastAsia"/>
        </w:rPr>
        <w:t>此外，</w:t>
      </w:r>
      <w:r w:rsidRPr="00CE0566">
        <w:rPr>
          <w:rFonts w:hint="eastAsia"/>
        </w:rPr>
        <w:t>健保保費收入原偏重經常性薪資，100年1月修正</w:t>
      </w:r>
      <w:r>
        <w:rPr>
          <w:rFonts w:hint="eastAsia"/>
        </w:rPr>
        <w:t>全民</w:t>
      </w:r>
      <w:r w:rsidRPr="00CE0566">
        <w:rPr>
          <w:rFonts w:hint="eastAsia"/>
        </w:rPr>
        <w:t>健</w:t>
      </w:r>
      <w:r>
        <w:rPr>
          <w:rFonts w:hint="eastAsia"/>
        </w:rPr>
        <w:t>康</w:t>
      </w:r>
      <w:r w:rsidRPr="00CE0566">
        <w:rPr>
          <w:rFonts w:hint="eastAsia"/>
        </w:rPr>
        <w:t>保</w:t>
      </w:r>
      <w:r>
        <w:rPr>
          <w:rFonts w:hint="eastAsia"/>
        </w:rPr>
        <w:t>險</w:t>
      </w:r>
      <w:r w:rsidRPr="00CE0566">
        <w:rPr>
          <w:rFonts w:hint="eastAsia"/>
        </w:rPr>
        <w:t>法</w:t>
      </w:r>
      <w:r>
        <w:rPr>
          <w:rFonts w:hint="eastAsia"/>
        </w:rPr>
        <w:t>(下稱健保法)</w:t>
      </w:r>
      <w:r w:rsidRPr="00CE0566">
        <w:rPr>
          <w:rFonts w:hint="eastAsia"/>
        </w:rPr>
        <w:t>第31條，將</w:t>
      </w:r>
      <w:r>
        <w:rPr>
          <w:rFonts w:hint="eastAsia"/>
        </w:rPr>
        <w:t>原未列入保險費計費基礎之</w:t>
      </w:r>
      <w:r w:rsidRPr="00CE0566">
        <w:rPr>
          <w:rFonts w:hint="eastAsia"/>
        </w:rPr>
        <w:t>股利所得等6項非經常性薪資收入以單次給付1千萬元為限，計收補充保險費，逾上限金額部分，免再扣取補充保險費，僅以現行費率2.11%計收補充保險費21萬1千元</w:t>
      </w:r>
      <w:r>
        <w:rPr>
          <w:rFonts w:hint="eastAsia"/>
        </w:rPr>
        <w:t>。</w:t>
      </w:r>
    </w:p>
    <w:p w:rsidR="00882987" w:rsidRPr="00161BCB" w:rsidRDefault="00882987" w:rsidP="00882987">
      <w:pPr>
        <w:pStyle w:val="21"/>
        <w:ind w:left="850" w:firstLine="566"/>
        <w:rPr>
          <w:rFonts w:ascii="Times New Roman"/>
          <w:sz w:val="24"/>
          <w:szCs w:val="24"/>
        </w:rPr>
      </w:pPr>
      <w:r w:rsidRPr="00CE0566">
        <w:rPr>
          <w:rFonts w:hint="eastAsia"/>
        </w:rPr>
        <w:t>惟審計部於112年度中央政府總決算審核報告指出，依財政部113年公告110年度綜合所得稅申報核定統計專冊，利息所得、股利所得申報金額1千萬元以上者各為5萬餘件、15萬餘件，較107年度各增加5千餘件、6萬餘件。然補充保險費扣取上限自100年訂定後迄11</w:t>
      </w:r>
      <w:r>
        <w:rPr>
          <w:rFonts w:hint="eastAsia"/>
        </w:rPr>
        <w:t>2</w:t>
      </w:r>
      <w:r w:rsidRPr="00CE0566">
        <w:rPr>
          <w:rFonts w:hint="eastAsia"/>
        </w:rPr>
        <w:t>年</w:t>
      </w:r>
      <w:r>
        <w:rPr>
          <w:rFonts w:hint="eastAsia"/>
        </w:rPr>
        <w:t>底皆</w:t>
      </w:r>
      <w:r w:rsidRPr="00CE0566">
        <w:rPr>
          <w:rFonts w:hint="eastAsia"/>
        </w:rPr>
        <w:t>未調整，該期間非經常性薪資收入逾前開法定上限金額(1,000萬元)者已增加，恐未能契合補充保費依負擔能力收取之原意</w:t>
      </w:r>
      <w:r>
        <w:rPr>
          <w:rFonts w:hint="eastAsia"/>
        </w:rPr>
        <w:t>。</w:t>
      </w:r>
    </w:p>
    <w:p w:rsidR="00166061" w:rsidRPr="00D35E73" w:rsidRDefault="00597189" w:rsidP="00E70171">
      <w:pPr>
        <w:ind w:left="566" w:firstLine="566"/>
      </w:pPr>
      <w:r w:rsidRPr="00597189">
        <w:rPr>
          <w:rFonts w:hint="eastAsia"/>
        </w:rPr>
        <w:t>綜上，</w:t>
      </w:r>
      <w:r w:rsidR="00882987" w:rsidRPr="00882987">
        <w:rPr>
          <w:rFonts w:hint="eastAsia"/>
        </w:rPr>
        <w:t>健保基金於85年至112年間，保險成本平均成長率高於收入成長率，雖112年底止保險收支為淨結餘，惟健保補充保</w:t>
      </w:r>
      <w:r w:rsidR="00882987" w:rsidRPr="00882987">
        <w:rPr>
          <w:rFonts w:hint="eastAsia"/>
        </w:rPr>
        <w:lastRenderedPageBreak/>
        <w:t>費收取上限金額自100年訂定後，迄112年底皆未調整，允宜檢討改善，俾契合補充保費依負擔能力收取之原意及充裕基金收入</w:t>
      </w:r>
      <w:r w:rsidRPr="00597189">
        <w:rPr>
          <w:rFonts w:hint="eastAsia"/>
        </w:rPr>
        <w:t>。</w:t>
      </w:r>
    </w:p>
    <w:bookmarkEnd w:id="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RPr="00D35E73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74CC0" w:rsidRPr="00274CC0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4CC0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50B42B2-158A-499F-90D0-BBC89BC4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04E02-AC48-4B69-820C-66D1C898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