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A7398E">
        <w:rPr>
          <w:rFonts w:hint="eastAsia"/>
          <w:color w:val="000000"/>
          <w:spacing w:val="-8"/>
        </w:rPr>
        <w:t>2</w:t>
      </w:r>
      <w:r w:rsidR="005C29F0" w:rsidRPr="00E921F3">
        <w:rPr>
          <w:rFonts w:hint="eastAsia"/>
          <w:color w:val="000000"/>
          <w:spacing w:val="-8"/>
        </w:rPr>
        <w:t>年度</w:t>
      </w:r>
      <w:r w:rsidRPr="00F16E40">
        <w:rPr>
          <w:rFonts w:hint="eastAsia"/>
          <w:spacing w:val="-8"/>
        </w:rPr>
        <w:t>決算評估報告</w:t>
      </w:r>
    </w:p>
    <w:p w:rsidR="00EB5611" w:rsidRPr="005D5ED2" w:rsidRDefault="00EB5611" w:rsidP="00275734">
      <w:pPr>
        <w:pStyle w:val="14"/>
        <w:ind w:left="567" w:hanging="567"/>
      </w:pPr>
      <w:bookmarkStart w:id="49" w:name="_Toc34404362"/>
      <w:bookmarkStart w:id="50" w:name="_Toc194483515"/>
      <w:bookmarkEnd w:id="0"/>
      <w:r>
        <w:rPr>
          <w:rFonts w:hAnsi="標楷體" w:hint="eastAsia"/>
        </w:rPr>
        <w:t>九</w:t>
      </w:r>
      <w:r w:rsidRPr="005D5ED2">
        <w:rPr>
          <w:rFonts w:hint="eastAsia"/>
        </w:rPr>
        <w:t>、</w:t>
      </w:r>
      <w:bookmarkEnd w:id="49"/>
      <w:r w:rsidR="00012265" w:rsidRPr="00012265">
        <w:rPr>
          <w:rFonts w:hint="eastAsia"/>
        </w:rPr>
        <w:t>食品安全保護基金已由補助消費者訴訟轉為補助地方政府促進食安工作，112年度有大幅超支併決算情事；又近年持續發生裁罰收入轉列呆帳，宜強化催收及追償機制，以發揮基金功能</w:t>
      </w:r>
      <w:bookmarkEnd w:id="50"/>
    </w:p>
    <w:p w:rsidR="00012265" w:rsidRDefault="00012265" w:rsidP="00012265">
      <w:pPr>
        <w:ind w:left="566" w:firstLine="566"/>
        <w:rPr>
          <w:rFonts w:ascii="新細明體" w:eastAsia="新細明體" w:hAnsi="新細明體"/>
        </w:rPr>
      </w:pPr>
      <w:r w:rsidRPr="00012265">
        <w:rPr>
          <w:rFonts w:hint="eastAsia"/>
        </w:rPr>
        <w:t>食品安全保護基金112年度「食品安全保護計畫」決算數2,359萬2千元，較預算數1,257萬4千元，增加1,101萬8千元(增幅87.63%)，併決算辦理。另「食品安全保護計畫」項下短絀、賠償給付與支應退場支出決算數44萬6千元，較預算數30萬元，增加14萬6千元(增幅48.67%)。經查</w:t>
      </w:r>
      <w:r>
        <w:rPr>
          <w:rFonts w:ascii="新細明體" w:eastAsia="新細明體" w:hAnsi="新細明體" w:hint="eastAsia"/>
        </w:rPr>
        <w:t>：</w:t>
      </w:r>
    </w:p>
    <w:p w:rsidR="00012265" w:rsidRDefault="00012265" w:rsidP="00012265">
      <w:pPr>
        <w:pStyle w:val="a5"/>
        <w:ind w:left="849" w:hanging="283"/>
        <w:rPr>
          <w:rFonts w:hAnsi="標楷體"/>
        </w:rPr>
      </w:pPr>
      <w:r w:rsidRPr="004E428E">
        <w:rPr>
          <w:rFonts w:hint="eastAsia"/>
          <w:b/>
        </w:rPr>
        <w:t>(一)</w:t>
      </w:r>
      <w:r>
        <w:rPr>
          <w:rFonts w:hint="eastAsia"/>
          <w:b/>
        </w:rPr>
        <w:t>基金用途主要係補助食安事件之消費訴訟費用，惟</w:t>
      </w:r>
      <w:r w:rsidRPr="004E428E">
        <w:rPr>
          <w:rFonts w:hint="eastAsia"/>
          <w:b/>
        </w:rPr>
        <w:t>近年</w:t>
      </w:r>
      <w:r>
        <w:rPr>
          <w:rFonts w:hint="eastAsia"/>
          <w:b/>
        </w:rPr>
        <w:t>用途已逐漸轉為補助地方衛生機關從事促進食安工作之費用，112年度甚且有決算數大幅增加而辦理超支併決算</w:t>
      </w:r>
    </w:p>
    <w:p w:rsidR="00012265" w:rsidRDefault="00012265" w:rsidP="00012265">
      <w:pPr>
        <w:pStyle w:val="21"/>
        <w:ind w:left="850" w:firstLine="566"/>
        <w:rPr>
          <w:rFonts w:hAnsi="標楷體"/>
        </w:rPr>
      </w:pPr>
      <w:r w:rsidRPr="009E7FC9">
        <w:rPr>
          <w:rFonts w:hAnsi="標楷體" w:hint="eastAsia"/>
        </w:rPr>
        <w:t>食品安全保護基金</w:t>
      </w:r>
      <w:r>
        <w:rPr>
          <w:rFonts w:hAnsi="標楷體" w:hint="eastAsia"/>
        </w:rPr>
        <w:t>於</w:t>
      </w:r>
      <w:r w:rsidRPr="009E7FC9">
        <w:rPr>
          <w:rFonts w:hAnsi="標楷體" w:hint="eastAsia"/>
        </w:rPr>
        <w:t>104年設置，</w:t>
      </w:r>
      <w:r>
        <w:rPr>
          <w:rFonts w:hAnsi="標楷體" w:hint="eastAsia"/>
        </w:rPr>
        <w:t>設立目的主要為</w:t>
      </w:r>
      <w:r w:rsidRPr="009E7FC9">
        <w:rPr>
          <w:rFonts w:hAnsi="標楷體" w:hint="eastAsia"/>
        </w:rPr>
        <w:t>保障食品安全事件消費者權益</w:t>
      </w:r>
      <w:r>
        <w:rPr>
          <w:rFonts w:hAnsi="標楷體" w:hint="eastAsia"/>
        </w:rPr>
        <w:t>，目前</w:t>
      </w:r>
      <w:r w:rsidRPr="009E7FC9">
        <w:rPr>
          <w:rFonts w:hAnsi="標楷體" w:hint="eastAsia"/>
        </w:rPr>
        <w:t>僅辦理食品安全保護計畫，係補助食品衛生安全事件，提起消費訴訟、食安事件檢舉獎金及其他促進食品安全等相關費用，自成立以來</w:t>
      </w:r>
      <w:r>
        <w:rPr>
          <w:rFonts w:hAnsi="標楷體" w:hint="eastAsia"/>
        </w:rPr>
        <w:t>至112年度止</w:t>
      </w:r>
      <w:r w:rsidRPr="009E7FC9">
        <w:rPr>
          <w:rFonts w:hAnsi="標楷體" w:hint="eastAsia"/>
        </w:rPr>
        <w:t>補助消費者團體訴訟相關費用最高為104年度之795 萬8千元，</w:t>
      </w:r>
      <w:r>
        <w:rPr>
          <w:rFonts w:hAnsi="標楷體" w:hint="eastAsia"/>
        </w:rPr>
        <w:t>其</w:t>
      </w:r>
      <w:r w:rsidRPr="009E7FC9">
        <w:rPr>
          <w:rFonts w:hAnsi="標楷體" w:hint="eastAsia"/>
        </w:rPr>
        <w:t>後即呈概減趨勢，112年度未核定相關補助費用(詳表</w:t>
      </w:r>
      <w:r>
        <w:rPr>
          <w:rFonts w:hAnsi="標楷體" w:hint="eastAsia"/>
        </w:rPr>
        <w:t>1</w:t>
      </w:r>
      <w:r w:rsidRPr="009E7FC9">
        <w:rPr>
          <w:rFonts w:hAnsi="標楷體" w:hint="eastAsia"/>
        </w:rPr>
        <w:t>)</w:t>
      </w:r>
      <w:r>
        <w:rPr>
          <w:rFonts w:hAnsi="標楷體" w:hint="eastAsia"/>
        </w:rPr>
        <w:t>。進一步檢視</w:t>
      </w:r>
      <w:r w:rsidRPr="009E7FC9">
        <w:rPr>
          <w:rFonts w:hAnsi="標楷體" w:hint="eastAsia"/>
        </w:rPr>
        <w:t>近年計畫補助</w:t>
      </w:r>
      <w:r>
        <w:rPr>
          <w:rFonts w:hAnsi="標楷體" w:hint="eastAsia"/>
        </w:rPr>
        <w:t>情形可知，該基金用途</w:t>
      </w:r>
      <w:r w:rsidRPr="009E7FC9">
        <w:rPr>
          <w:rFonts w:hAnsi="標楷體" w:hint="eastAsia"/>
        </w:rPr>
        <w:t>已逐漸轉為補助地方政府衛生局從事有關促進食品安全(例如輔導業者強化食品安全衛生稽查及檢驗量能等作業)之費用，112年</w:t>
      </w:r>
      <w:r>
        <w:rPr>
          <w:rFonts w:hAnsi="標楷體" w:hint="eastAsia"/>
        </w:rPr>
        <w:t>度</w:t>
      </w:r>
      <w:r w:rsidRPr="009E7FC9">
        <w:rPr>
          <w:rFonts w:hAnsi="標楷體" w:hint="eastAsia"/>
        </w:rPr>
        <w:t>基金用途決算數2</w:t>
      </w:r>
      <w:r w:rsidRPr="009E7FC9">
        <w:rPr>
          <w:rFonts w:hAnsi="標楷體"/>
        </w:rPr>
        <w:t>,</w:t>
      </w:r>
      <w:r w:rsidRPr="009E7FC9">
        <w:rPr>
          <w:rFonts w:hAnsi="標楷體" w:hint="eastAsia"/>
        </w:rPr>
        <w:t>359萬2千元</w:t>
      </w:r>
      <w:r>
        <w:rPr>
          <w:rFonts w:hAnsi="標楷體" w:hint="eastAsia"/>
        </w:rPr>
        <w:t>已</w:t>
      </w:r>
      <w:r w:rsidRPr="009E7FC9">
        <w:rPr>
          <w:rFonts w:hAnsi="標楷體" w:hint="eastAsia"/>
        </w:rPr>
        <w:t>全數為該項補助費用，</w:t>
      </w:r>
      <w:r>
        <w:rPr>
          <w:rFonts w:hAnsi="標楷體" w:hint="eastAsia"/>
        </w:rPr>
        <w:t>較104年度決算數(僅9萬9千元)大幅成長</w:t>
      </w:r>
      <w:r w:rsidR="00C14C22">
        <w:rPr>
          <w:rFonts w:hAnsi="標楷體" w:hint="eastAsia"/>
        </w:rPr>
        <w:t>逾</w:t>
      </w:r>
      <w:r>
        <w:rPr>
          <w:rFonts w:hAnsi="標楷體" w:hint="eastAsia"/>
        </w:rPr>
        <w:t>237倍。</w:t>
      </w:r>
      <w:r w:rsidRPr="009E7FC9">
        <w:rPr>
          <w:rFonts w:hAnsi="標楷體" w:hint="eastAsia"/>
        </w:rPr>
        <w:t>至於食安檢舉獎金自</w:t>
      </w:r>
      <w:r>
        <w:rPr>
          <w:rFonts w:hAnsi="標楷體" w:hint="eastAsia"/>
        </w:rPr>
        <w:t>104年</w:t>
      </w:r>
      <w:r w:rsidRPr="009E7FC9">
        <w:rPr>
          <w:rFonts w:hAnsi="標楷體" w:hint="eastAsia"/>
        </w:rPr>
        <w:t>基金成立</w:t>
      </w:r>
      <w:r>
        <w:rPr>
          <w:rFonts w:hAnsi="標楷體" w:hint="eastAsia"/>
        </w:rPr>
        <w:t>以來，僅4個年度(107至110年度)共</w:t>
      </w:r>
      <w:r w:rsidRPr="009E7FC9">
        <w:rPr>
          <w:rFonts w:hAnsi="標楷體" w:hint="eastAsia"/>
        </w:rPr>
        <w:t>計核定64萬9千元</w:t>
      </w:r>
      <w:r>
        <w:rPr>
          <w:rFonts w:hAnsi="標楷體" w:hint="eastAsia"/>
        </w:rPr>
        <w:t>，其餘5個年度均未核發檢舉獎金</w:t>
      </w:r>
      <w:r w:rsidRPr="009E7FC9">
        <w:rPr>
          <w:rFonts w:hAnsi="標楷體" w:hint="eastAsia"/>
        </w:rPr>
        <w:t>。</w:t>
      </w:r>
    </w:p>
    <w:p w:rsidR="00012265" w:rsidRDefault="00012265" w:rsidP="00012265">
      <w:pPr>
        <w:pStyle w:val="21"/>
        <w:ind w:left="850" w:firstLine="566"/>
        <w:rPr>
          <w:rFonts w:hAnsi="標楷體"/>
        </w:rPr>
      </w:pPr>
      <w:r>
        <w:rPr>
          <w:rFonts w:hAnsi="標楷體" w:hint="eastAsia"/>
        </w:rPr>
        <w:lastRenderedPageBreak/>
        <w:t>經洽食品安全保護基金表示，112年度</w:t>
      </w:r>
      <w:r w:rsidRPr="00F058E9">
        <w:rPr>
          <w:rFonts w:hAnsi="標楷體" w:hint="eastAsia"/>
        </w:rPr>
        <w:t>「</w:t>
      </w:r>
      <w:r>
        <w:rPr>
          <w:rFonts w:hAnsi="標楷體" w:hint="eastAsia"/>
        </w:rPr>
        <w:t>食品安全保護</w:t>
      </w:r>
      <w:r w:rsidRPr="00F058E9">
        <w:rPr>
          <w:rFonts w:hAnsi="標楷體" w:hint="eastAsia"/>
        </w:rPr>
        <w:t>計畫</w:t>
      </w:r>
      <w:r w:rsidRPr="00F058E9">
        <w:rPr>
          <w:rFonts w:hint="eastAsia"/>
        </w:rPr>
        <w:t>」</w:t>
      </w:r>
      <w:r>
        <w:rPr>
          <w:rFonts w:hint="eastAsia"/>
        </w:rPr>
        <w:t>決算數較預算數大幅增加而併決算辦理，</w:t>
      </w:r>
      <w:r w:rsidRPr="00191F14">
        <w:rPr>
          <w:rFonts w:hAnsi="標楷體" w:hint="eastAsia"/>
        </w:rPr>
        <w:t>主要係</w:t>
      </w:r>
      <w:r w:rsidRPr="00191F14">
        <w:rPr>
          <w:rFonts w:hAnsi="標楷體"/>
        </w:rPr>
        <w:t>111年7月修訂「衛生福利部食品安全保護基金補助從事促進食品安全事務、業務或研究之相關計畫申請作業須知」，擴大補助項目與經費使用範疇，故補助地方政府</w:t>
      </w:r>
      <w:r>
        <w:rPr>
          <w:rFonts w:hAnsi="標楷體" w:hint="eastAsia"/>
        </w:rPr>
        <w:t>相關案件</w:t>
      </w:r>
      <w:r w:rsidRPr="00191F14">
        <w:rPr>
          <w:rFonts w:hAnsi="標楷體" w:hint="eastAsia"/>
        </w:rPr>
        <w:t>較預計增加所致</w:t>
      </w:r>
      <w:r>
        <w:rPr>
          <w:rFonts w:hAnsi="標楷體" w:hint="eastAsia"/>
        </w:rPr>
        <w:t>。惟鑑於該基金主要目的係保障食品安全事件中之消費者權益，且依</w:t>
      </w:r>
      <w:r w:rsidRPr="00191F14">
        <w:rPr>
          <w:rFonts w:hAnsi="標楷體"/>
        </w:rPr>
        <w:t>「</w:t>
      </w:r>
      <w:r w:rsidRPr="005017FD">
        <w:rPr>
          <w:rFonts w:hAnsi="標楷體" w:hint="eastAsia"/>
        </w:rPr>
        <w:t>附屬單位預算執行要點</w:t>
      </w:r>
      <w:r w:rsidRPr="00191F14">
        <w:rPr>
          <w:rFonts w:hAnsi="標楷體"/>
        </w:rPr>
        <w:t>」</w:t>
      </w:r>
      <w:r w:rsidRPr="005017FD">
        <w:rPr>
          <w:rFonts w:hAnsi="標楷體" w:hint="eastAsia"/>
        </w:rPr>
        <w:t>第2</w:t>
      </w:r>
      <w:r>
        <w:rPr>
          <w:rFonts w:hAnsi="標楷體" w:hint="eastAsia"/>
        </w:rPr>
        <w:t>6</w:t>
      </w:r>
      <w:r w:rsidRPr="005017FD">
        <w:rPr>
          <w:rFonts w:hAnsi="標楷體" w:hint="eastAsia"/>
        </w:rPr>
        <w:t>點第3款</w:t>
      </w:r>
      <w:r>
        <w:rPr>
          <w:rFonts w:hAnsi="標楷體" w:hint="eastAsia"/>
        </w:rPr>
        <w:t>前段</w:t>
      </w:r>
      <w:r w:rsidRPr="005017FD">
        <w:rPr>
          <w:rFonts w:hAnsi="標楷體" w:hint="eastAsia"/>
        </w:rPr>
        <w:t>規定</w:t>
      </w:r>
      <w:r>
        <w:rPr>
          <w:rFonts w:hAnsi="標楷體" w:hint="eastAsia"/>
        </w:rPr>
        <w:t>略以</w:t>
      </w:r>
      <w:r w:rsidRPr="005017FD">
        <w:rPr>
          <w:rFonts w:hAnsi="標楷體" w:hint="eastAsia"/>
        </w:rPr>
        <w:t>，政事基金</w:t>
      </w:r>
      <w:r>
        <w:rPr>
          <w:rFonts w:hAnsi="標楷體" w:hint="eastAsia"/>
        </w:rPr>
        <w:t>用途之執行於</w:t>
      </w:r>
      <w:r w:rsidRPr="005017FD">
        <w:rPr>
          <w:rFonts w:hAnsi="標楷體" w:hint="eastAsia"/>
        </w:rPr>
        <w:t>年度進行中，已編列預算</w:t>
      </w:r>
      <w:r>
        <w:rPr>
          <w:rFonts w:hAnsi="標楷體" w:hint="eastAsia"/>
        </w:rPr>
        <w:t>之</w:t>
      </w:r>
      <w:r w:rsidRPr="005017FD">
        <w:rPr>
          <w:rFonts w:hAnsi="標楷體" w:hint="eastAsia"/>
        </w:rPr>
        <w:t>業務計畫，因業務需要，致增加經費者，應優先檢討停辦或緩辦不具效益或不具急迫性項目，以於原計畫法定預算總額內調整容納為原則。</w:t>
      </w:r>
      <w:r>
        <w:rPr>
          <w:rFonts w:hAnsi="標楷體" w:hint="eastAsia"/>
        </w:rPr>
        <w:t>允宜確實檢討該基金主要功能，嚴格控管經費，提升預算資源使用效率。</w:t>
      </w:r>
    </w:p>
    <w:p w:rsidR="00012265" w:rsidRDefault="00012265" w:rsidP="00012265">
      <w:pPr>
        <w:ind w:leftChars="70" w:left="198" w:firstLineChars="70" w:firstLine="198"/>
        <w:rPr>
          <w:b/>
          <w:bCs/>
        </w:rPr>
      </w:pPr>
      <w:r>
        <w:rPr>
          <w:rFonts w:hint="eastAsia"/>
          <w:b/>
          <w:bCs/>
        </w:rPr>
        <w:t xml:space="preserve"> </w:t>
      </w:r>
      <w:r w:rsidRPr="00DD37B8">
        <w:rPr>
          <w:rFonts w:hint="eastAsia"/>
          <w:b/>
          <w:bCs/>
        </w:rPr>
        <w:t>表1  104至</w:t>
      </w:r>
      <w:r w:rsidRPr="00DD37B8">
        <w:rPr>
          <w:b/>
          <w:bCs/>
        </w:rPr>
        <w:t>11</w:t>
      </w:r>
      <w:r w:rsidRPr="00DD37B8">
        <w:rPr>
          <w:rFonts w:hint="eastAsia"/>
          <w:b/>
          <w:bCs/>
        </w:rPr>
        <w:t>2年度食品安全保護計畫預決算數統計表</w:t>
      </w:r>
    </w:p>
    <w:p w:rsidR="00012265" w:rsidRPr="009E7FC9" w:rsidRDefault="00012265" w:rsidP="00012265">
      <w:pPr>
        <w:pStyle w:val="142"/>
        <w:jc w:val="right"/>
        <w:rPr>
          <w:rFonts w:hAnsi="標楷體"/>
        </w:rPr>
      </w:pPr>
      <w:r w:rsidRPr="00E9580E">
        <w:t xml:space="preserve"> </w:t>
      </w:r>
      <w:r w:rsidRPr="009E7FC9">
        <w:rPr>
          <w:rFonts w:hint="eastAsia"/>
        </w:rPr>
        <w:t>單位:新臺幣千元</w:t>
      </w:r>
      <w:r w:rsidRPr="009E7FC9">
        <w:rPr>
          <w:rFonts w:hAnsi="標楷體" w:hint="eastAsia"/>
        </w:rPr>
        <w:t>；%</w:t>
      </w:r>
    </w:p>
    <w:tbl>
      <w:tblPr>
        <w:tblW w:w="8049"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3"/>
        <w:gridCol w:w="778"/>
        <w:gridCol w:w="823"/>
        <w:gridCol w:w="823"/>
        <w:gridCol w:w="777"/>
        <w:gridCol w:w="777"/>
        <w:gridCol w:w="823"/>
        <w:gridCol w:w="778"/>
        <w:gridCol w:w="778"/>
        <w:gridCol w:w="879"/>
      </w:tblGrid>
      <w:tr w:rsidR="00012265" w:rsidRPr="009E7FC9" w:rsidTr="00507C82">
        <w:trPr>
          <w:trHeight w:hRule="exact" w:val="728"/>
          <w:tblHeader/>
        </w:trPr>
        <w:tc>
          <w:tcPr>
            <w:tcW w:w="813" w:type="dxa"/>
            <w:shd w:val="clear" w:color="auto" w:fill="auto"/>
            <w:vAlign w:val="center"/>
          </w:tcPr>
          <w:p w:rsidR="00012265" w:rsidRDefault="00012265" w:rsidP="006E14EF">
            <w:pPr>
              <w:pStyle w:val="142"/>
              <w:jc w:val="center"/>
              <w:rPr>
                <w:snapToGrid/>
              </w:rPr>
            </w:pPr>
            <w:r>
              <w:rPr>
                <w:rFonts w:hint="eastAsia"/>
                <w:snapToGrid/>
              </w:rPr>
              <w:t>年度</w:t>
            </w:r>
          </w:p>
          <w:p w:rsidR="00012265" w:rsidRPr="009E7FC9" w:rsidRDefault="00012265" w:rsidP="006E14EF">
            <w:pPr>
              <w:pStyle w:val="142"/>
              <w:jc w:val="center"/>
              <w:rPr>
                <w:snapToGrid/>
              </w:rPr>
            </w:pPr>
            <w:r w:rsidRPr="009E7FC9">
              <w:rPr>
                <w:rFonts w:hint="eastAsia"/>
                <w:snapToGrid/>
              </w:rPr>
              <w:t>項目</w:t>
            </w:r>
          </w:p>
        </w:tc>
        <w:tc>
          <w:tcPr>
            <w:tcW w:w="778" w:type="dxa"/>
            <w:shd w:val="clear" w:color="auto" w:fill="auto"/>
            <w:vAlign w:val="center"/>
          </w:tcPr>
          <w:p w:rsidR="00012265" w:rsidRPr="009E7FC9" w:rsidRDefault="00012265" w:rsidP="006E14EF">
            <w:pPr>
              <w:pStyle w:val="142"/>
              <w:jc w:val="center"/>
              <w:rPr>
                <w:snapToGrid/>
              </w:rPr>
            </w:pPr>
            <w:r w:rsidRPr="009E7FC9">
              <w:rPr>
                <w:rFonts w:hint="eastAsia"/>
                <w:snapToGrid/>
              </w:rPr>
              <w:t>104年</w:t>
            </w:r>
          </w:p>
        </w:tc>
        <w:tc>
          <w:tcPr>
            <w:tcW w:w="823" w:type="dxa"/>
            <w:shd w:val="clear" w:color="auto" w:fill="auto"/>
            <w:vAlign w:val="center"/>
          </w:tcPr>
          <w:p w:rsidR="00012265" w:rsidRPr="009E7FC9" w:rsidRDefault="00012265" w:rsidP="006E14EF">
            <w:pPr>
              <w:pStyle w:val="142"/>
              <w:jc w:val="center"/>
              <w:rPr>
                <w:snapToGrid/>
              </w:rPr>
            </w:pPr>
            <w:r w:rsidRPr="009E7FC9">
              <w:rPr>
                <w:rFonts w:hint="eastAsia"/>
                <w:snapToGrid/>
              </w:rPr>
              <w:t>105年</w:t>
            </w:r>
          </w:p>
        </w:tc>
        <w:tc>
          <w:tcPr>
            <w:tcW w:w="823" w:type="dxa"/>
            <w:vAlign w:val="center"/>
          </w:tcPr>
          <w:p w:rsidR="00012265" w:rsidRPr="009E7FC9" w:rsidRDefault="00012265" w:rsidP="006E14EF">
            <w:pPr>
              <w:pStyle w:val="142"/>
              <w:jc w:val="center"/>
              <w:rPr>
                <w:snapToGrid/>
              </w:rPr>
            </w:pPr>
            <w:r w:rsidRPr="009E7FC9">
              <w:rPr>
                <w:rFonts w:hint="eastAsia"/>
                <w:snapToGrid/>
              </w:rPr>
              <w:t>106年</w:t>
            </w:r>
          </w:p>
        </w:tc>
        <w:tc>
          <w:tcPr>
            <w:tcW w:w="777" w:type="dxa"/>
            <w:vAlign w:val="center"/>
          </w:tcPr>
          <w:p w:rsidR="00012265" w:rsidRPr="009E7FC9" w:rsidRDefault="00012265" w:rsidP="006E14EF">
            <w:pPr>
              <w:pStyle w:val="142"/>
              <w:jc w:val="center"/>
              <w:rPr>
                <w:snapToGrid/>
              </w:rPr>
            </w:pPr>
            <w:r w:rsidRPr="009E7FC9">
              <w:rPr>
                <w:rFonts w:hint="eastAsia"/>
                <w:snapToGrid/>
              </w:rPr>
              <w:t>107年</w:t>
            </w:r>
          </w:p>
        </w:tc>
        <w:tc>
          <w:tcPr>
            <w:tcW w:w="777" w:type="dxa"/>
            <w:vAlign w:val="center"/>
          </w:tcPr>
          <w:p w:rsidR="00012265" w:rsidRPr="009E7FC9" w:rsidRDefault="00012265" w:rsidP="006E14EF">
            <w:pPr>
              <w:pStyle w:val="142"/>
              <w:jc w:val="center"/>
              <w:rPr>
                <w:snapToGrid/>
              </w:rPr>
            </w:pPr>
            <w:r w:rsidRPr="009E7FC9">
              <w:rPr>
                <w:rFonts w:hint="eastAsia"/>
                <w:snapToGrid/>
              </w:rPr>
              <w:t>108年</w:t>
            </w:r>
          </w:p>
        </w:tc>
        <w:tc>
          <w:tcPr>
            <w:tcW w:w="823" w:type="dxa"/>
            <w:vAlign w:val="center"/>
          </w:tcPr>
          <w:p w:rsidR="00012265" w:rsidRPr="009E7FC9" w:rsidRDefault="00012265" w:rsidP="006E14EF">
            <w:pPr>
              <w:pStyle w:val="142"/>
              <w:jc w:val="center"/>
              <w:rPr>
                <w:snapToGrid/>
              </w:rPr>
            </w:pPr>
            <w:r w:rsidRPr="009E7FC9">
              <w:rPr>
                <w:rFonts w:hint="eastAsia"/>
                <w:snapToGrid/>
              </w:rPr>
              <w:t>109年</w:t>
            </w:r>
          </w:p>
        </w:tc>
        <w:tc>
          <w:tcPr>
            <w:tcW w:w="778" w:type="dxa"/>
            <w:vAlign w:val="center"/>
          </w:tcPr>
          <w:p w:rsidR="00012265" w:rsidRPr="009E7FC9" w:rsidRDefault="00012265" w:rsidP="006E14EF">
            <w:pPr>
              <w:pStyle w:val="142"/>
              <w:jc w:val="center"/>
              <w:rPr>
                <w:snapToGrid/>
              </w:rPr>
            </w:pPr>
            <w:r w:rsidRPr="009E7FC9">
              <w:rPr>
                <w:rFonts w:hint="eastAsia"/>
                <w:snapToGrid/>
              </w:rPr>
              <w:t>1</w:t>
            </w:r>
            <w:r w:rsidRPr="009E7FC9">
              <w:rPr>
                <w:snapToGrid/>
              </w:rPr>
              <w:t>1</w:t>
            </w:r>
            <w:r w:rsidRPr="009E7FC9">
              <w:rPr>
                <w:rFonts w:hint="eastAsia"/>
                <w:snapToGrid/>
              </w:rPr>
              <w:t>0年</w:t>
            </w:r>
          </w:p>
        </w:tc>
        <w:tc>
          <w:tcPr>
            <w:tcW w:w="778" w:type="dxa"/>
            <w:vAlign w:val="center"/>
          </w:tcPr>
          <w:p w:rsidR="00012265" w:rsidRPr="009E7FC9" w:rsidRDefault="00012265" w:rsidP="006E14EF">
            <w:pPr>
              <w:pStyle w:val="142"/>
              <w:jc w:val="center"/>
              <w:rPr>
                <w:snapToGrid/>
              </w:rPr>
            </w:pPr>
            <w:r w:rsidRPr="009E7FC9">
              <w:rPr>
                <w:rFonts w:hint="eastAsia"/>
                <w:snapToGrid/>
              </w:rPr>
              <w:t>111年</w:t>
            </w:r>
          </w:p>
        </w:tc>
        <w:tc>
          <w:tcPr>
            <w:tcW w:w="879" w:type="dxa"/>
            <w:vAlign w:val="center"/>
          </w:tcPr>
          <w:p w:rsidR="00012265" w:rsidRPr="009E7FC9" w:rsidRDefault="00012265" w:rsidP="006E14EF">
            <w:pPr>
              <w:pStyle w:val="142"/>
              <w:jc w:val="center"/>
              <w:rPr>
                <w:snapToGrid/>
              </w:rPr>
            </w:pPr>
            <w:r w:rsidRPr="009E7FC9">
              <w:rPr>
                <w:rFonts w:hint="eastAsia"/>
                <w:snapToGrid/>
              </w:rPr>
              <w:t>112年</w:t>
            </w:r>
          </w:p>
        </w:tc>
      </w:tr>
      <w:tr w:rsidR="00012265" w:rsidRPr="009E7FC9" w:rsidTr="00507C82">
        <w:trPr>
          <w:trHeight w:hRule="exact" w:val="678"/>
        </w:trPr>
        <w:tc>
          <w:tcPr>
            <w:tcW w:w="813" w:type="dxa"/>
            <w:shd w:val="clear" w:color="auto" w:fill="auto"/>
            <w:vAlign w:val="center"/>
          </w:tcPr>
          <w:p w:rsidR="00012265" w:rsidRPr="00DD37B8" w:rsidRDefault="00012265" w:rsidP="00012265">
            <w:pPr>
              <w:pStyle w:val="142"/>
              <w:jc w:val="center"/>
              <w:rPr>
                <w:rFonts w:hAnsi="標楷體"/>
                <w:b/>
                <w:bCs/>
                <w:snapToGrid/>
                <w:color w:val="000000"/>
              </w:rPr>
            </w:pPr>
            <w:r w:rsidRPr="00DD37B8">
              <w:rPr>
                <w:rFonts w:hAnsi="標楷體" w:hint="eastAsia"/>
                <w:b/>
                <w:bCs/>
                <w:snapToGrid/>
                <w:color w:val="000000"/>
              </w:rPr>
              <w:t>決算數</w:t>
            </w:r>
            <w:r w:rsidR="00010B8C">
              <w:rPr>
                <w:rFonts w:hAnsi="標楷體" w:hint="eastAsia"/>
                <w:b/>
                <w:bCs/>
                <w:snapToGrid/>
                <w:color w:val="000000"/>
              </w:rPr>
              <w:t>(</w:t>
            </w:r>
            <w:r w:rsidRPr="00DD37B8">
              <w:rPr>
                <w:rFonts w:hAnsi="標楷體" w:hint="eastAsia"/>
                <w:b/>
                <w:bCs/>
                <w:snapToGrid/>
                <w:color w:val="000000"/>
              </w:rPr>
              <w:t>A</w:t>
            </w:r>
            <w:r w:rsidR="00010B8C">
              <w:rPr>
                <w:rFonts w:hAnsi="標楷體" w:hint="eastAsia"/>
                <w:b/>
                <w:bCs/>
                <w:snapToGrid/>
                <w:color w:val="000000"/>
              </w:rPr>
              <w:t>)</w:t>
            </w:r>
          </w:p>
        </w:tc>
        <w:tc>
          <w:tcPr>
            <w:tcW w:w="778"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b/>
                <w:bCs/>
                <w:color w:val="000000"/>
              </w:rPr>
              <w:fldChar w:fldCharType="begin"/>
            </w:r>
            <w:r w:rsidRPr="00DD37B8">
              <w:rPr>
                <w:rFonts w:hAnsi="標楷體"/>
                <w:b/>
                <w:bCs/>
                <w:color w:val="000000"/>
              </w:rPr>
              <w:instrText xml:space="preserve"> =SUM(below) </w:instrText>
            </w:r>
            <w:r w:rsidRPr="00DD37B8">
              <w:rPr>
                <w:rFonts w:hAnsi="標楷體"/>
                <w:b/>
                <w:bCs/>
                <w:color w:val="000000"/>
              </w:rPr>
              <w:fldChar w:fldCharType="separate"/>
            </w:r>
            <w:r w:rsidRPr="00DD37B8">
              <w:rPr>
                <w:rFonts w:hAnsi="標楷體"/>
                <w:b/>
                <w:bCs/>
                <w:noProof/>
                <w:color w:val="000000"/>
              </w:rPr>
              <w:t>8,057</w:t>
            </w:r>
            <w:r w:rsidRPr="00DD37B8">
              <w:rPr>
                <w:rFonts w:hAnsi="標楷體"/>
                <w:b/>
                <w:bCs/>
                <w:color w:val="000000"/>
              </w:rPr>
              <w:fldChar w:fldCharType="end"/>
            </w:r>
          </w:p>
        </w:tc>
        <w:tc>
          <w:tcPr>
            <w:tcW w:w="823"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b/>
                <w:bCs/>
                <w:color w:val="000000"/>
              </w:rPr>
              <w:fldChar w:fldCharType="begin"/>
            </w:r>
            <w:r w:rsidRPr="00DD37B8">
              <w:rPr>
                <w:rFonts w:hAnsi="標楷體"/>
                <w:b/>
                <w:bCs/>
                <w:color w:val="000000"/>
              </w:rPr>
              <w:instrText xml:space="preserve"> =SUM(below) </w:instrText>
            </w:r>
            <w:r w:rsidRPr="00DD37B8">
              <w:rPr>
                <w:rFonts w:hAnsi="標楷體"/>
                <w:b/>
                <w:bCs/>
                <w:color w:val="000000"/>
              </w:rPr>
              <w:fldChar w:fldCharType="separate"/>
            </w:r>
            <w:r w:rsidRPr="00DD37B8">
              <w:rPr>
                <w:rFonts w:hAnsi="標楷體"/>
                <w:b/>
                <w:bCs/>
                <w:noProof/>
                <w:color w:val="000000"/>
              </w:rPr>
              <w:t>3,580</w:t>
            </w:r>
            <w:r w:rsidRPr="00DD37B8">
              <w:rPr>
                <w:rFonts w:hAnsi="標楷體"/>
                <w:b/>
                <w:bCs/>
                <w:color w:val="000000"/>
              </w:rPr>
              <w:fldChar w:fldCharType="end"/>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t>1,10</w:t>
            </w:r>
            <w:r w:rsidRPr="00DD37B8">
              <w:rPr>
                <w:rFonts w:hAnsi="標楷體" w:hint="eastAsia"/>
                <w:b/>
                <w:bCs/>
                <w:color w:val="000000"/>
              </w:rPr>
              <w:t>2</w:t>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fldChar w:fldCharType="begin"/>
            </w:r>
            <w:r w:rsidRPr="00DD37B8">
              <w:rPr>
                <w:rFonts w:hAnsi="標楷體"/>
                <w:b/>
                <w:bCs/>
                <w:color w:val="000000"/>
              </w:rPr>
              <w:instrText xml:space="preserve"> </w:instrText>
            </w:r>
            <w:r w:rsidRPr="00DD37B8">
              <w:rPr>
                <w:rFonts w:hAnsi="標楷體" w:hint="eastAsia"/>
                <w:b/>
                <w:bCs/>
                <w:color w:val="000000"/>
              </w:rPr>
              <w:instrText>=SUM(below)</w:instrText>
            </w:r>
            <w:r w:rsidRPr="00DD37B8">
              <w:rPr>
                <w:rFonts w:hAnsi="標楷體"/>
                <w:b/>
                <w:bCs/>
                <w:color w:val="000000"/>
              </w:rPr>
              <w:instrText xml:space="preserve"> </w:instrText>
            </w:r>
            <w:r w:rsidRPr="00DD37B8">
              <w:rPr>
                <w:rFonts w:hAnsi="標楷體"/>
                <w:b/>
                <w:bCs/>
                <w:color w:val="000000"/>
              </w:rPr>
              <w:fldChar w:fldCharType="separate"/>
            </w:r>
            <w:r w:rsidRPr="00DD37B8">
              <w:rPr>
                <w:rFonts w:hAnsi="標楷體"/>
                <w:b/>
                <w:bCs/>
                <w:noProof/>
                <w:color w:val="000000"/>
              </w:rPr>
              <w:t>7,282</w:t>
            </w:r>
            <w:r w:rsidRPr="00DD37B8">
              <w:rPr>
                <w:rFonts w:hAnsi="標楷體"/>
                <w:b/>
                <w:bCs/>
                <w:color w:val="000000"/>
              </w:rPr>
              <w:fldChar w:fldCharType="end"/>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5,110</w:t>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t>9,273</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4</w:t>
            </w:r>
            <w:r w:rsidRPr="00DD37B8">
              <w:rPr>
                <w:rFonts w:hAnsi="標楷體"/>
                <w:b/>
                <w:bCs/>
                <w:color w:val="000000"/>
              </w:rPr>
              <w:t>,013</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6</w:t>
            </w:r>
            <w:r w:rsidRPr="00DD37B8">
              <w:rPr>
                <w:rFonts w:hAnsi="標楷體"/>
                <w:b/>
                <w:bCs/>
                <w:color w:val="000000"/>
              </w:rPr>
              <w:t>,</w:t>
            </w:r>
            <w:r w:rsidRPr="00DD37B8">
              <w:rPr>
                <w:rFonts w:hAnsi="標楷體" w:hint="eastAsia"/>
                <w:b/>
                <w:bCs/>
                <w:color w:val="000000"/>
              </w:rPr>
              <w:t>908</w:t>
            </w:r>
          </w:p>
        </w:tc>
        <w:tc>
          <w:tcPr>
            <w:tcW w:w="879"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2</w:t>
            </w:r>
            <w:r w:rsidRPr="00DD37B8">
              <w:rPr>
                <w:rFonts w:hAnsi="標楷體"/>
                <w:b/>
                <w:bCs/>
                <w:color w:val="000000"/>
              </w:rPr>
              <w:t>3,592</w:t>
            </w:r>
          </w:p>
        </w:tc>
      </w:tr>
      <w:tr w:rsidR="00012265" w:rsidRPr="009E7FC9" w:rsidTr="00507C82">
        <w:trPr>
          <w:trHeight w:hRule="exact" w:val="1151"/>
        </w:trPr>
        <w:tc>
          <w:tcPr>
            <w:tcW w:w="813" w:type="dxa"/>
            <w:shd w:val="clear" w:color="auto" w:fill="auto"/>
            <w:vAlign w:val="center"/>
          </w:tcPr>
          <w:p w:rsidR="00012265" w:rsidRPr="00172068"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消費者</w:t>
            </w:r>
          </w:p>
          <w:p w:rsidR="00012265" w:rsidRPr="00172068"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團體訴</w:t>
            </w:r>
          </w:p>
          <w:p w:rsidR="00012265" w:rsidRPr="00172068"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訟相關</w:t>
            </w:r>
          </w:p>
          <w:p w:rsidR="00012265" w:rsidRPr="009E7FC9" w:rsidRDefault="00012265" w:rsidP="00012265">
            <w:pPr>
              <w:pStyle w:val="142"/>
              <w:jc w:val="center"/>
              <w:rPr>
                <w:rFonts w:hAnsi="標楷體"/>
                <w:snapToGrid/>
                <w:color w:val="000000"/>
                <w:shd w:val="pct15" w:color="auto" w:fill="FFFFFF"/>
              </w:rPr>
            </w:pPr>
            <w:r w:rsidRPr="009E7FC9">
              <w:rPr>
                <w:rFonts w:hAnsi="標楷體" w:hint="eastAsia"/>
                <w:snapToGrid/>
                <w:color w:val="000000"/>
                <w:shd w:val="pct15" w:color="auto" w:fill="FFFFFF"/>
              </w:rPr>
              <w:t>費用</w:t>
            </w:r>
          </w:p>
        </w:tc>
        <w:tc>
          <w:tcPr>
            <w:tcW w:w="778"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7,958</w:t>
            </w:r>
            <w:r w:rsidRPr="009E7FC9">
              <w:rPr>
                <w:rFonts w:hAnsi="標楷體"/>
                <w:color w:val="000000"/>
                <w:shd w:val="pct15" w:color="auto" w:fill="FFFFFF"/>
              </w:rPr>
              <w:t xml:space="preserve"> </w:t>
            </w:r>
          </w:p>
        </w:tc>
        <w:tc>
          <w:tcPr>
            <w:tcW w:w="823"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3,500</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998</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451</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902</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color w:val="000000"/>
                <w:shd w:val="pct15" w:color="auto" w:fill="FFFFFF"/>
              </w:rPr>
              <w:t>1,932</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230</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600</w:t>
            </w:r>
          </w:p>
        </w:tc>
        <w:tc>
          <w:tcPr>
            <w:tcW w:w="879"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0</w:t>
            </w:r>
          </w:p>
        </w:tc>
      </w:tr>
      <w:tr w:rsidR="00012265" w:rsidRPr="009E7FC9" w:rsidTr="00507C82">
        <w:trPr>
          <w:trHeight w:hRule="exact" w:val="569"/>
        </w:trPr>
        <w:tc>
          <w:tcPr>
            <w:tcW w:w="813" w:type="dxa"/>
            <w:shd w:val="clear" w:color="auto" w:fill="auto"/>
            <w:vAlign w:val="center"/>
          </w:tcPr>
          <w:p w:rsidR="00012265" w:rsidRPr="009E7FC9" w:rsidRDefault="00012265" w:rsidP="00012265">
            <w:pPr>
              <w:pStyle w:val="142"/>
              <w:jc w:val="center"/>
              <w:rPr>
                <w:rFonts w:hAnsi="標楷體"/>
                <w:snapToGrid/>
                <w:color w:val="000000"/>
              </w:rPr>
            </w:pPr>
            <w:r w:rsidRPr="009E7FC9">
              <w:rPr>
                <w:rFonts w:hAnsi="標楷體" w:hint="eastAsia"/>
                <w:snapToGrid/>
                <w:color w:val="000000"/>
              </w:rPr>
              <w:t>食安檢</w:t>
            </w:r>
          </w:p>
          <w:p w:rsidR="00012265" w:rsidRPr="009E7FC9" w:rsidRDefault="00012265" w:rsidP="00012265">
            <w:pPr>
              <w:pStyle w:val="142"/>
              <w:jc w:val="center"/>
              <w:rPr>
                <w:rFonts w:hAnsi="標楷體"/>
                <w:snapToGrid/>
                <w:color w:val="000000"/>
              </w:rPr>
            </w:pPr>
            <w:r w:rsidRPr="009E7FC9">
              <w:rPr>
                <w:rFonts w:hAnsi="標楷體" w:hint="eastAsia"/>
                <w:snapToGrid/>
                <w:color w:val="000000"/>
              </w:rPr>
              <w:t>舉獎金</w:t>
            </w:r>
          </w:p>
        </w:tc>
        <w:tc>
          <w:tcPr>
            <w:tcW w:w="778"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823"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237</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200</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color w:val="000000"/>
              </w:rPr>
              <w:t>200</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12</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c>
          <w:tcPr>
            <w:tcW w:w="879"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0</w:t>
            </w:r>
          </w:p>
        </w:tc>
      </w:tr>
      <w:tr w:rsidR="00012265" w:rsidRPr="009E7FC9" w:rsidTr="00507C82">
        <w:trPr>
          <w:trHeight w:hRule="exact" w:val="372"/>
        </w:trPr>
        <w:tc>
          <w:tcPr>
            <w:tcW w:w="813" w:type="dxa"/>
            <w:shd w:val="clear" w:color="auto" w:fill="auto"/>
            <w:vAlign w:val="center"/>
          </w:tcPr>
          <w:p w:rsidR="00012265" w:rsidRPr="009E7FC9" w:rsidRDefault="00012265" w:rsidP="00012265">
            <w:pPr>
              <w:pStyle w:val="142"/>
              <w:jc w:val="center"/>
              <w:rPr>
                <w:rFonts w:hAnsi="標楷體"/>
                <w:snapToGrid/>
                <w:color w:val="000000"/>
                <w:shd w:val="pct15" w:color="auto" w:fill="FFFFFF"/>
              </w:rPr>
            </w:pPr>
            <w:r w:rsidRPr="009E7FC9">
              <w:rPr>
                <w:rFonts w:hAnsi="標楷體"/>
                <w:snapToGrid/>
                <w:color w:val="000000"/>
                <w:shd w:val="pct15" w:color="auto" w:fill="FFFFFF"/>
              </w:rPr>
              <w:t>其他</w:t>
            </w:r>
          </w:p>
        </w:tc>
        <w:tc>
          <w:tcPr>
            <w:tcW w:w="778"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99</w:t>
            </w:r>
          </w:p>
        </w:tc>
        <w:tc>
          <w:tcPr>
            <w:tcW w:w="823" w:type="dxa"/>
            <w:shd w:val="clear" w:color="auto" w:fill="auto"/>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80</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104</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6,594</w:t>
            </w:r>
          </w:p>
        </w:tc>
        <w:tc>
          <w:tcPr>
            <w:tcW w:w="777"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4,008</w:t>
            </w:r>
          </w:p>
        </w:tc>
        <w:tc>
          <w:tcPr>
            <w:tcW w:w="823"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color w:val="000000"/>
                <w:shd w:val="pct15" w:color="auto" w:fill="FFFFFF"/>
              </w:rPr>
              <w:t>7,141</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3</w:t>
            </w:r>
            <w:r w:rsidRPr="009E7FC9">
              <w:rPr>
                <w:rFonts w:hAnsi="標楷體"/>
                <w:color w:val="000000"/>
                <w:shd w:val="pct15" w:color="auto" w:fill="FFFFFF"/>
              </w:rPr>
              <w:t>,</w:t>
            </w:r>
            <w:r w:rsidRPr="009E7FC9">
              <w:rPr>
                <w:rFonts w:hAnsi="標楷體" w:hint="eastAsia"/>
                <w:color w:val="000000"/>
                <w:shd w:val="pct15" w:color="auto" w:fill="FFFFFF"/>
              </w:rPr>
              <w:t>771</w:t>
            </w:r>
          </w:p>
        </w:tc>
        <w:tc>
          <w:tcPr>
            <w:tcW w:w="778"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6</w:t>
            </w:r>
            <w:r w:rsidRPr="009E7FC9">
              <w:rPr>
                <w:rFonts w:hAnsi="標楷體"/>
                <w:color w:val="000000"/>
                <w:shd w:val="pct15" w:color="auto" w:fill="FFFFFF"/>
              </w:rPr>
              <w:t>,</w:t>
            </w:r>
            <w:r w:rsidRPr="009E7FC9">
              <w:rPr>
                <w:rFonts w:hAnsi="標楷體" w:hint="eastAsia"/>
                <w:color w:val="000000"/>
                <w:shd w:val="pct15" w:color="auto" w:fill="FFFFFF"/>
              </w:rPr>
              <w:t>308</w:t>
            </w:r>
          </w:p>
        </w:tc>
        <w:tc>
          <w:tcPr>
            <w:tcW w:w="879" w:type="dxa"/>
            <w:vAlign w:val="center"/>
          </w:tcPr>
          <w:p w:rsidR="00012265" w:rsidRPr="009E7FC9" w:rsidRDefault="00012265" w:rsidP="006E14EF">
            <w:pPr>
              <w:pStyle w:val="142"/>
              <w:jc w:val="right"/>
              <w:rPr>
                <w:rFonts w:hAnsi="標楷體"/>
                <w:color w:val="000000"/>
                <w:shd w:val="pct15" w:color="auto" w:fill="FFFFFF"/>
              </w:rPr>
            </w:pPr>
            <w:r w:rsidRPr="009E7FC9">
              <w:rPr>
                <w:rFonts w:hAnsi="標楷體" w:hint="eastAsia"/>
                <w:color w:val="000000"/>
                <w:shd w:val="pct15" w:color="auto" w:fill="FFFFFF"/>
              </w:rPr>
              <w:t>2</w:t>
            </w:r>
            <w:r w:rsidRPr="009E7FC9">
              <w:rPr>
                <w:rFonts w:hAnsi="標楷體"/>
                <w:color w:val="000000"/>
                <w:shd w:val="pct15" w:color="auto" w:fill="FFFFFF"/>
              </w:rPr>
              <w:t>3,592</w:t>
            </w:r>
          </w:p>
        </w:tc>
      </w:tr>
      <w:tr w:rsidR="00012265" w:rsidRPr="009E7FC9" w:rsidTr="00507C82">
        <w:trPr>
          <w:trHeight w:hRule="exact" w:val="628"/>
        </w:trPr>
        <w:tc>
          <w:tcPr>
            <w:tcW w:w="813" w:type="dxa"/>
            <w:shd w:val="clear" w:color="auto" w:fill="auto"/>
            <w:vAlign w:val="center"/>
          </w:tcPr>
          <w:p w:rsidR="00012265" w:rsidRPr="00DD37B8" w:rsidRDefault="00012265" w:rsidP="00012265">
            <w:pPr>
              <w:pStyle w:val="142"/>
              <w:jc w:val="center"/>
              <w:rPr>
                <w:rFonts w:hAnsi="標楷體"/>
                <w:b/>
                <w:bCs/>
                <w:snapToGrid/>
                <w:color w:val="000000"/>
              </w:rPr>
            </w:pPr>
            <w:r w:rsidRPr="00DD37B8">
              <w:rPr>
                <w:rFonts w:hAnsi="標楷體" w:hint="eastAsia"/>
                <w:b/>
                <w:bCs/>
                <w:snapToGrid/>
                <w:color w:val="000000"/>
              </w:rPr>
              <w:t>預算數</w:t>
            </w:r>
            <w:r w:rsidR="00010B8C">
              <w:rPr>
                <w:rFonts w:hAnsi="標楷體" w:hint="eastAsia"/>
                <w:b/>
                <w:bCs/>
                <w:snapToGrid/>
                <w:color w:val="000000"/>
              </w:rPr>
              <w:t>(</w:t>
            </w:r>
            <w:r w:rsidRPr="00DD37B8">
              <w:rPr>
                <w:rFonts w:hAnsi="標楷體" w:hint="eastAsia"/>
                <w:b/>
                <w:bCs/>
                <w:snapToGrid/>
                <w:color w:val="000000"/>
              </w:rPr>
              <w:t>B</w:t>
            </w:r>
            <w:r w:rsidR="00010B8C">
              <w:rPr>
                <w:rFonts w:hAnsi="標楷體" w:hint="eastAsia"/>
                <w:b/>
                <w:bCs/>
                <w:snapToGrid/>
                <w:color w:val="000000"/>
              </w:rPr>
              <w:t>)</w:t>
            </w:r>
          </w:p>
        </w:tc>
        <w:tc>
          <w:tcPr>
            <w:tcW w:w="778"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41,000</w:t>
            </w:r>
          </w:p>
        </w:tc>
        <w:tc>
          <w:tcPr>
            <w:tcW w:w="823" w:type="dxa"/>
            <w:shd w:val="clear" w:color="auto" w:fill="auto"/>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12,000</w:t>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10,700</w:t>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7,960</w:t>
            </w:r>
          </w:p>
        </w:tc>
        <w:tc>
          <w:tcPr>
            <w:tcW w:w="777"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8,956</w:t>
            </w:r>
          </w:p>
        </w:tc>
        <w:tc>
          <w:tcPr>
            <w:tcW w:w="823" w:type="dxa"/>
            <w:vAlign w:val="center"/>
          </w:tcPr>
          <w:p w:rsidR="00012265" w:rsidRPr="00DD37B8" w:rsidRDefault="00012265" w:rsidP="006E14EF">
            <w:pPr>
              <w:pStyle w:val="142"/>
              <w:jc w:val="right"/>
              <w:rPr>
                <w:rFonts w:hAnsi="標楷體"/>
                <w:b/>
                <w:bCs/>
                <w:color w:val="000000"/>
              </w:rPr>
            </w:pPr>
            <w:r w:rsidRPr="00DD37B8">
              <w:rPr>
                <w:rFonts w:hAnsi="標楷體"/>
                <w:b/>
                <w:bCs/>
                <w:color w:val="000000"/>
              </w:rPr>
              <w:t>10,229</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13,014</w:t>
            </w:r>
          </w:p>
        </w:tc>
        <w:tc>
          <w:tcPr>
            <w:tcW w:w="778"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w:t>
            </w:r>
            <w:r w:rsidRPr="00DD37B8">
              <w:rPr>
                <w:rFonts w:hAnsi="標楷體"/>
                <w:b/>
                <w:bCs/>
                <w:color w:val="000000"/>
              </w:rPr>
              <w:t>1,274</w:t>
            </w:r>
          </w:p>
        </w:tc>
        <w:tc>
          <w:tcPr>
            <w:tcW w:w="879" w:type="dxa"/>
            <w:vAlign w:val="center"/>
          </w:tcPr>
          <w:p w:rsidR="00012265" w:rsidRPr="00DD37B8" w:rsidRDefault="00012265" w:rsidP="006E14EF">
            <w:pPr>
              <w:pStyle w:val="142"/>
              <w:jc w:val="right"/>
              <w:rPr>
                <w:rFonts w:hAnsi="標楷體"/>
                <w:b/>
                <w:bCs/>
                <w:color w:val="000000"/>
              </w:rPr>
            </w:pPr>
            <w:r w:rsidRPr="00DD37B8">
              <w:rPr>
                <w:rFonts w:hAnsi="標楷體" w:hint="eastAsia"/>
                <w:b/>
                <w:bCs/>
                <w:color w:val="000000"/>
              </w:rPr>
              <w:t>1</w:t>
            </w:r>
            <w:r w:rsidRPr="00DD37B8">
              <w:rPr>
                <w:rFonts w:hAnsi="標楷體"/>
                <w:b/>
                <w:bCs/>
                <w:color w:val="000000"/>
              </w:rPr>
              <w:t>2,574</w:t>
            </w:r>
          </w:p>
        </w:tc>
      </w:tr>
      <w:tr w:rsidR="00012265" w:rsidRPr="009E7FC9" w:rsidTr="00507C82">
        <w:trPr>
          <w:trHeight w:hRule="exact" w:val="675"/>
        </w:trPr>
        <w:tc>
          <w:tcPr>
            <w:tcW w:w="813" w:type="dxa"/>
            <w:shd w:val="clear" w:color="auto" w:fill="auto"/>
            <w:vAlign w:val="center"/>
          </w:tcPr>
          <w:p w:rsidR="00012265" w:rsidRPr="009E7FC9" w:rsidRDefault="00012265" w:rsidP="00012265">
            <w:pPr>
              <w:pStyle w:val="142"/>
              <w:jc w:val="center"/>
              <w:rPr>
                <w:rFonts w:hAnsi="標楷體"/>
                <w:snapToGrid/>
                <w:color w:val="000000"/>
              </w:rPr>
            </w:pPr>
            <w:r w:rsidRPr="009E7FC9">
              <w:rPr>
                <w:rFonts w:hAnsi="標楷體" w:hint="eastAsia"/>
                <w:snapToGrid/>
                <w:color w:val="000000"/>
              </w:rPr>
              <w:t>執行率(A/B)</w:t>
            </w:r>
          </w:p>
        </w:tc>
        <w:tc>
          <w:tcPr>
            <w:tcW w:w="778"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19.65</w:t>
            </w:r>
          </w:p>
        </w:tc>
        <w:tc>
          <w:tcPr>
            <w:tcW w:w="823" w:type="dxa"/>
            <w:shd w:val="clear" w:color="auto" w:fill="auto"/>
            <w:vAlign w:val="center"/>
          </w:tcPr>
          <w:p w:rsidR="00012265" w:rsidRPr="009E7FC9" w:rsidRDefault="00012265" w:rsidP="006E14EF">
            <w:pPr>
              <w:pStyle w:val="142"/>
              <w:jc w:val="right"/>
              <w:rPr>
                <w:rFonts w:hAnsi="標楷體"/>
                <w:color w:val="000000"/>
              </w:rPr>
            </w:pPr>
            <w:r w:rsidRPr="009E7FC9">
              <w:rPr>
                <w:rFonts w:hAnsi="標楷體" w:hint="eastAsia"/>
                <w:color w:val="000000"/>
              </w:rPr>
              <w:t>29.83</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10.30</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91.48</w:t>
            </w:r>
          </w:p>
        </w:tc>
        <w:tc>
          <w:tcPr>
            <w:tcW w:w="777"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57.06</w:t>
            </w:r>
          </w:p>
        </w:tc>
        <w:tc>
          <w:tcPr>
            <w:tcW w:w="823" w:type="dxa"/>
            <w:vAlign w:val="center"/>
          </w:tcPr>
          <w:p w:rsidR="00012265" w:rsidRPr="009E7FC9" w:rsidRDefault="00012265" w:rsidP="006E14EF">
            <w:pPr>
              <w:pStyle w:val="142"/>
              <w:jc w:val="right"/>
              <w:rPr>
                <w:rFonts w:hAnsi="標楷體"/>
                <w:color w:val="000000"/>
              </w:rPr>
            </w:pPr>
            <w:r w:rsidRPr="009E7FC9">
              <w:rPr>
                <w:rFonts w:hAnsi="標楷體"/>
                <w:color w:val="000000"/>
              </w:rPr>
              <w:t>90.65</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30.84</w:t>
            </w:r>
          </w:p>
        </w:tc>
        <w:tc>
          <w:tcPr>
            <w:tcW w:w="778"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61.27</w:t>
            </w:r>
          </w:p>
        </w:tc>
        <w:tc>
          <w:tcPr>
            <w:tcW w:w="879" w:type="dxa"/>
            <w:vAlign w:val="center"/>
          </w:tcPr>
          <w:p w:rsidR="00012265" w:rsidRPr="009E7FC9" w:rsidRDefault="00012265" w:rsidP="006E14EF">
            <w:pPr>
              <w:pStyle w:val="142"/>
              <w:jc w:val="right"/>
              <w:rPr>
                <w:rFonts w:hAnsi="標楷體"/>
                <w:color w:val="000000"/>
              </w:rPr>
            </w:pPr>
            <w:r w:rsidRPr="009E7FC9">
              <w:rPr>
                <w:rFonts w:hAnsi="標楷體" w:hint="eastAsia"/>
                <w:color w:val="000000"/>
              </w:rPr>
              <w:t>187.63</w:t>
            </w:r>
          </w:p>
        </w:tc>
      </w:tr>
    </w:tbl>
    <w:p w:rsidR="00507C82" w:rsidRPr="009E7FC9" w:rsidRDefault="00507C82" w:rsidP="00507C82">
      <w:pPr>
        <w:pStyle w:val="142"/>
        <w:ind w:leftChars="144" w:left="1665" w:hangingChars="517" w:hanging="1257"/>
        <w:jc w:val="both"/>
        <w:rPr>
          <w:snapToGrid/>
        </w:rPr>
      </w:pPr>
      <w:r>
        <w:rPr>
          <w:rFonts w:hint="eastAsia"/>
          <w:snapToGrid/>
        </w:rPr>
        <w:t xml:space="preserve"> </w:t>
      </w:r>
      <w:r w:rsidRPr="009E7FC9">
        <w:rPr>
          <w:rFonts w:hint="eastAsia"/>
          <w:snapToGrid/>
        </w:rPr>
        <w:t>說    明：其他項目係補助地方政府衛生局從事有關促進食品安全(例如輔導業者強化食品安全衛生稽查及檢驗量能等作業)之費用。</w:t>
      </w:r>
    </w:p>
    <w:p w:rsidR="00507C82" w:rsidRPr="009E7FC9" w:rsidRDefault="00507C82" w:rsidP="00507C82">
      <w:pPr>
        <w:pStyle w:val="142"/>
        <w:ind w:leftChars="151" w:left="1501" w:hangingChars="464" w:hanging="1073"/>
        <w:jc w:val="both"/>
      </w:pPr>
      <w:r>
        <w:rPr>
          <w:rFonts w:hint="eastAsia"/>
          <w:snapToGrid/>
          <w:spacing w:val="-6"/>
          <w:szCs w:val="24"/>
        </w:rPr>
        <w:t xml:space="preserve"> </w:t>
      </w:r>
      <w:r w:rsidRPr="009E7FC9">
        <w:rPr>
          <w:rFonts w:hint="eastAsia"/>
          <w:snapToGrid/>
          <w:spacing w:val="-6"/>
          <w:szCs w:val="24"/>
        </w:rPr>
        <w:t>資料來源：食品安全保護基金提供資料。</w:t>
      </w:r>
    </w:p>
    <w:p w:rsidR="00507C82" w:rsidRPr="00787C47" w:rsidRDefault="00507C82" w:rsidP="00507C82">
      <w:pPr>
        <w:pStyle w:val="a5"/>
        <w:ind w:left="849" w:hanging="283"/>
        <w:rPr>
          <w:rFonts w:hAnsi="標楷體"/>
          <w:b/>
          <w:bCs/>
        </w:rPr>
      </w:pPr>
      <w:r w:rsidRPr="004E428E">
        <w:rPr>
          <w:rFonts w:hint="eastAsia"/>
          <w:b/>
        </w:rPr>
        <w:t>(</w:t>
      </w:r>
      <w:r>
        <w:rPr>
          <w:rFonts w:hint="eastAsia"/>
          <w:b/>
        </w:rPr>
        <w:t>二</w:t>
      </w:r>
      <w:r w:rsidRPr="004E428E">
        <w:rPr>
          <w:rFonts w:hint="eastAsia"/>
          <w:b/>
        </w:rPr>
        <w:t>)近年</w:t>
      </w:r>
      <w:r>
        <w:rPr>
          <w:rFonts w:hint="eastAsia"/>
          <w:b/>
        </w:rPr>
        <w:t>持續發生</w:t>
      </w:r>
      <w:r w:rsidRPr="00787C47">
        <w:rPr>
          <w:b/>
        </w:rPr>
        <w:t>廠商違反食品安全衛生管理法裁罰案件，逾期</w:t>
      </w:r>
      <w:r w:rsidRPr="00787C47">
        <w:rPr>
          <w:b/>
        </w:rPr>
        <w:lastRenderedPageBreak/>
        <w:t>欠款</w:t>
      </w:r>
      <w:r>
        <w:rPr>
          <w:rFonts w:hint="eastAsia"/>
          <w:b/>
        </w:rPr>
        <w:t>催收無著轉列呆帳，且決算數多超過預算數，</w:t>
      </w:r>
      <w:r w:rsidRPr="006E43EF">
        <w:rPr>
          <w:rFonts w:hint="eastAsia"/>
          <w:b/>
        </w:rPr>
        <w:t>宜</w:t>
      </w:r>
      <w:r>
        <w:rPr>
          <w:rFonts w:hint="eastAsia"/>
          <w:b/>
        </w:rPr>
        <w:t>強化催收及追償機制，以發揮嚇阻作用並充裕基金來源</w:t>
      </w:r>
    </w:p>
    <w:p w:rsidR="00507C82" w:rsidRDefault="00507C82" w:rsidP="00507C82">
      <w:pPr>
        <w:pStyle w:val="21"/>
        <w:ind w:left="850" w:firstLine="566"/>
        <w:rPr>
          <w:rFonts w:hAnsi="標楷體"/>
        </w:rPr>
      </w:pPr>
      <w:r>
        <w:rPr>
          <w:rFonts w:hAnsi="標楷體" w:hint="eastAsia"/>
        </w:rPr>
        <w:t>食品安全保護基金主要收入來源為違反食品安全衛生管理法之罰款收入(112年度決算數2億8</w:t>
      </w:r>
      <w:r>
        <w:rPr>
          <w:rFonts w:hAnsi="標楷體"/>
        </w:rPr>
        <w:t>,</w:t>
      </w:r>
      <w:r>
        <w:rPr>
          <w:rFonts w:hAnsi="標楷體" w:hint="eastAsia"/>
        </w:rPr>
        <w:t>040萬9千元，占基金收入來源2億8</w:t>
      </w:r>
      <w:r>
        <w:rPr>
          <w:rFonts w:hAnsi="標楷體"/>
        </w:rPr>
        <w:t>,</w:t>
      </w:r>
      <w:r>
        <w:rPr>
          <w:rFonts w:hAnsi="標楷體" w:hint="eastAsia"/>
        </w:rPr>
        <w:t>04</w:t>
      </w:r>
      <w:r>
        <w:rPr>
          <w:rFonts w:hAnsi="標楷體"/>
        </w:rPr>
        <w:t>4</w:t>
      </w:r>
      <w:r>
        <w:rPr>
          <w:rFonts w:hAnsi="標楷體" w:hint="eastAsia"/>
        </w:rPr>
        <w:t>萬元之比率達99.99%)，並按該等收入預估廠商逾期欠款經催收無著之呆帳費用。依近年預估認列呆帳情形觀之，108及109年度均無預估認列呆帳(詳表2)，惟實際均有呆帳產生，108年度甚至達244萬8千元。110年度實際呆帳較預期減少，然111及112年度又再度發生實際呆帳較預期為多之情形，且超出數占預算數之比率皆接近5成。108至112年度已連續5個年度發生呆帳無法收回，且其中有4個年度實際呆帳超過預估數。</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rsidR="00507C82" w:rsidRPr="00AB0A63" w:rsidRDefault="00507C82" w:rsidP="00507C82">
      <w:pPr>
        <w:spacing w:beforeLines="20" w:before="100" w:line="360" w:lineRule="exact"/>
        <w:ind w:leftChars="151" w:left="1222" w:hangingChars="280" w:hanging="794"/>
        <w:jc w:val="left"/>
        <w:rPr>
          <w:b/>
          <w:sz w:val="24"/>
        </w:rPr>
      </w:pPr>
      <w:r w:rsidRPr="00C46F8C">
        <w:rPr>
          <w:rStyle w:val="201"/>
          <w:rFonts w:hint="eastAsia"/>
          <w:b/>
          <w:bCs/>
          <w:sz w:val="28"/>
        </w:rPr>
        <w:t>表</w:t>
      </w:r>
      <w:r w:rsidRPr="00C46F8C">
        <w:rPr>
          <w:rStyle w:val="201"/>
          <w:b/>
          <w:bCs/>
          <w:sz w:val="28"/>
        </w:rPr>
        <w:t>2</w:t>
      </w:r>
      <w:r w:rsidRPr="00C46F8C">
        <w:rPr>
          <w:rStyle w:val="201"/>
          <w:rFonts w:hint="eastAsia"/>
          <w:b/>
          <w:bCs/>
          <w:sz w:val="28"/>
        </w:rPr>
        <w:t xml:space="preserve">  10</w:t>
      </w:r>
      <w:r w:rsidRPr="00C46F8C">
        <w:rPr>
          <w:rStyle w:val="201"/>
          <w:b/>
          <w:bCs/>
          <w:sz w:val="28"/>
        </w:rPr>
        <w:t>8</w:t>
      </w:r>
      <w:r w:rsidRPr="00C46F8C">
        <w:rPr>
          <w:rStyle w:val="201"/>
          <w:rFonts w:hint="eastAsia"/>
          <w:b/>
          <w:bCs/>
          <w:sz w:val="28"/>
        </w:rPr>
        <w:t>至</w:t>
      </w:r>
      <w:r w:rsidRPr="00C46F8C">
        <w:rPr>
          <w:rStyle w:val="201"/>
          <w:b/>
          <w:bCs/>
          <w:sz w:val="28"/>
        </w:rPr>
        <w:t>112</w:t>
      </w:r>
      <w:r w:rsidRPr="00C46F8C">
        <w:rPr>
          <w:rStyle w:val="201"/>
          <w:rFonts w:hint="eastAsia"/>
          <w:b/>
          <w:bCs/>
          <w:sz w:val="28"/>
        </w:rPr>
        <w:t>年度廠商違反食品安全衛生管理法裁罰案件，逾期欠款轉列呆帳情形表</w:t>
      </w:r>
      <w:r w:rsidRPr="00AB0A63">
        <w:rPr>
          <w:rFonts w:hint="eastAsia"/>
          <w:b/>
        </w:rPr>
        <w:t xml:space="preserve">        </w:t>
      </w:r>
      <w:r>
        <w:rPr>
          <w:rFonts w:hint="eastAsia"/>
          <w:b/>
        </w:rPr>
        <w:t xml:space="preserve">        </w:t>
      </w:r>
      <w:r w:rsidRPr="00C46F8C">
        <w:rPr>
          <w:rStyle w:val="143"/>
          <w:rFonts w:hint="eastAsia"/>
        </w:rPr>
        <w:t>單位：新臺幣千元；%</w:t>
      </w:r>
    </w:p>
    <w:tbl>
      <w:tblPr>
        <w:tblW w:w="8071" w:type="dxa"/>
        <w:tblInd w:w="4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7" w:type="dxa"/>
          <w:right w:w="17" w:type="dxa"/>
        </w:tblCellMar>
        <w:tblLook w:val="04A0" w:firstRow="1" w:lastRow="0" w:firstColumn="1" w:lastColumn="0" w:noHBand="0" w:noVBand="1"/>
      </w:tblPr>
      <w:tblGrid>
        <w:gridCol w:w="984"/>
        <w:gridCol w:w="1771"/>
        <w:gridCol w:w="1772"/>
        <w:gridCol w:w="1772"/>
        <w:gridCol w:w="1772"/>
      </w:tblGrid>
      <w:tr w:rsidR="00507C82" w:rsidRPr="00AB0A63" w:rsidTr="006E14EF">
        <w:trPr>
          <w:trHeight w:val="340"/>
          <w:tblHeader/>
        </w:trPr>
        <w:tc>
          <w:tcPr>
            <w:tcW w:w="984" w:type="dxa"/>
            <w:shd w:val="clear" w:color="auto" w:fill="auto"/>
            <w:noWrap/>
            <w:vAlign w:val="center"/>
            <w:hideMark/>
          </w:tcPr>
          <w:p w:rsidR="00507C82" w:rsidRPr="00AB0A63" w:rsidRDefault="00507C82" w:rsidP="006E14EF">
            <w:pPr>
              <w:pStyle w:val="142"/>
              <w:jc w:val="center"/>
              <w:rPr>
                <w:snapToGrid/>
              </w:rPr>
            </w:pPr>
            <w:r w:rsidRPr="00AB0A63">
              <w:rPr>
                <w:rFonts w:hint="eastAsia"/>
                <w:snapToGrid/>
              </w:rPr>
              <w:t>年度</w:t>
            </w:r>
          </w:p>
        </w:tc>
        <w:tc>
          <w:tcPr>
            <w:tcW w:w="1771" w:type="dxa"/>
            <w:shd w:val="clear" w:color="auto" w:fill="auto"/>
            <w:noWrap/>
            <w:vAlign w:val="center"/>
            <w:hideMark/>
          </w:tcPr>
          <w:p w:rsidR="00507C82" w:rsidRPr="00AB0A63" w:rsidRDefault="00507C82" w:rsidP="006E14EF">
            <w:pPr>
              <w:pStyle w:val="142"/>
              <w:jc w:val="center"/>
              <w:rPr>
                <w:snapToGrid/>
              </w:rPr>
            </w:pPr>
            <w:r w:rsidRPr="00AB0A63">
              <w:rPr>
                <w:rFonts w:hint="eastAsia"/>
                <w:snapToGrid/>
              </w:rPr>
              <w:t>預算數</w:t>
            </w:r>
          </w:p>
          <w:p w:rsidR="00507C82" w:rsidRPr="00AB0A63" w:rsidRDefault="00507C82" w:rsidP="006E14EF">
            <w:pPr>
              <w:pStyle w:val="142"/>
              <w:jc w:val="center"/>
              <w:rPr>
                <w:snapToGrid/>
              </w:rPr>
            </w:pPr>
            <w:r w:rsidRPr="00AB0A63">
              <w:rPr>
                <w:rFonts w:hint="eastAsia"/>
                <w:snapToGrid/>
              </w:rPr>
              <w:t>a</w:t>
            </w:r>
          </w:p>
        </w:tc>
        <w:tc>
          <w:tcPr>
            <w:tcW w:w="1772" w:type="dxa"/>
            <w:shd w:val="clear" w:color="auto" w:fill="auto"/>
            <w:noWrap/>
            <w:vAlign w:val="center"/>
            <w:hideMark/>
          </w:tcPr>
          <w:p w:rsidR="00507C82" w:rsidRPr="00AB0A63" w:rsidRDefault="00507C82" w:rsidP="006E14EF">
            <w:pPr>
              <w:pStyle w:val="142"/>
              <w:jc w:val="center"/>
              <w:rPr>
                <w:snapToGrid/>
              </w:rPr>
            </w:pPr>
            <w:r w:rsidRPr="00AB0A63">
              <w:rPr>
                <w:rFonts w:hint="eastAsia"/>
                <w:snapToGrid/>
              </w:rPr>
              <w:t>決算數</w:t>
            </w:r>
          </w:p>
          <w:p w:rsidR="00507C82" w:rsidRPr="00AB0A63" w:rsidRDefault="00507C82" w:rsidP="006E14EF">
            <w:pPr>
              <w:pStyle w:val="142"/>
              <w:jc w:val="center"/>
              <w:rPr>
                <w:snapToGrid/>
              </w:rPr>
            </w:pPr>
            <w:r w:rsidRPr="00AB0A63">
              <w:rPr>
                <w:rFonts w:hint="eastAsia"/>
                <w:snapToGrid/>
              </w:rPr>
              <w:t>b</w:t>
            </w:r>
          </w:p>
        </w:tc>
        <w:tc>
          <w:tcPr>
            <w:tcW w:w="1772" w:type="dxa"/>
            <w:shd w:val="clear" w:color="auto" w:fill="auto"/>
            <w:noWrap/>
            <w:vAlign w:val="center"/>
            <w:hideMark/>
          </w:tcPr>
          <w:p w:rsidR="00507C82" w:rsidRPr="00AB0A63" w:rsidRDefault="00507C82" w:rsidP="006E14EF">
            <w:pPr>
              <w:pStyle w:val="142"/>
              <w:jc w:val="center"/>
              <w:rPr>
                <w:snapToGrid/>
              </w:rPr>
            </w:pPr>
            <w:r>
              <w:rPr>
                <w:rFonts w:hint="eastAsia"/>
                <w:snapToGrid/>
              </w:rPr>
              <w:t>差異</w:t>
            </w:r>
            <w:r w:rsidRPr="00AB0A63">
              <w:rPr>
                <w:rFonts w:hint="eastAsia"/>
                <w:snapToGrid/>
              </w:rPr>
              <w:t>數</w:t>
            </w:r>
          </w:p>
          <w:p w:rsidR="00507C82" w:rsidRPr="00AB0A63" w:rsidRDefault="00507C82" w:rsidP="006E14EF">
            <w:pPr>
              <w:pStyle w:val="142"/>
              <w:jc w:val="center"/>
              <w:rPr>
                <w:snapToGrid/>
              </w:rPr>
            </w:pPr>
            <w:r w:rsidRPr="00AB0A63">
              <w:rPr>
                <w:snapToGrid/>
              </w:rPr>
              <w:t>c=</w:t>
            </w:r>
            <w:r w:rsidRPr="00AB0A63">
              <w:rPr>
                <w:rFonts w:hint="eastAsia"/>
                <w:snapToGrid/>
              </w:rPr>
              <w:t>b-a</w:t>
            </w:r>
          </w:p>
        </w:tc>
        <w:tc>
          <w:tcPr>
            <w:tcW w:w="1772" w:type="dxa"/>
            <w:vAlign w:val="center"/>
          </w:tcPr>
          <w:p w:rsidR="00507C82" w:rsidRPr="00AB0A63" w:rsidRDefault="00507C82" w:rsidP="006E14EF">
            <w:pPr>
              <w:pStyle w:val="142"/>
              <w:jc w:val="center"/>
              <w:rPr>
                <w:snapToGrid/>
              </w:rPr>
            </w:pPr>
            <w:r>
              <w:rPr>
                <w:rFonts w:hint="eastAsia"/>
                <w:snapToGrid/>
              </w:rPr>
              <w:t>差異</w:t>
            </w:r>
            <w:r w:rsidRPr="00AB0A63">
              <w:rPr>
                <w:rFonts w:hint="eastAsia"/>
                <w:snapToGrid/>
              </w:rPr>
              <w:t>數占預算數比率c/a</w:t>
            </w:r>
          </w:p>
        </w:tc>
      </w:tr>
      <w:tr w:rsidR="00507C82" w:rsidRPr="00AB0A63" w:rsidTr="006E14EF">
        <w:trPr>
          <w:trHeight w:val="340"/>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108</w:t>
            </w:r>
          </w:p>
        </w:tc>
        <w:tc>
          <w:tcPr>
            <w:tcW w:w="1771" w:type="dxa"/>
            <w:shd w:val="clear" w:color="auto" w:fill="auto"/>
            <w:noWrap/>
            <w:vAlign w:val="center"/>
          </w:tcPr>
          <w:p w:rsidR="00507C82" w:rsidRPr="00AB0A63" w:rsidRDefault="00507C82" w:rsidP="006E14EF">
            <w:pPr>
              <w:pStyle w:val="142"/>
              <w:jc w:val="right"/>
              <w:rPr>
                <w:snapToGrid/>
              </w:rPr>
            </w:pPr>
            <w:r>
              <w:rPr>
                <w:rFonts w:hint="eastAsia"/>
                <w:snapToGrid/>
              </w:rPr>
              <w:t>0</w:t>
            </w:r>
          </w:p>
        </w:tc>
        <w:tc>
          <w:tcPr>
            <w:tcW w:w="1772" w:type="dxa"/>
            <w:shd w:val="clear" w:color="auto" w:fill="auto"/>
            <w:noWrap/>
            <w:vAlign w:val="center"/>
          </w:tcPr>
          <w:p w:rsidR="00507C82" w:rsidRPr="00AB0A63" w:rsidRDefault="00507C82" w:rsidP="006E14EF">
            <w:pPr>
              <w:pStyle w:val="142"/>
              <w:jc w:val="right"/>
              <w:rPr>
                <w:snapToGrid/>
              </w:rPr>
            </w:pPr>
            <w:r>
              <w:rPr>
                <w:rFonts w:hint="eastAsia"/>
                <w:snapToGrid/>
              </w:rPr>
              <w:t>2</w:t>
            </w:r>
            <w:r>
              <w:rPr>
                <w:snapToGrid/>
              </w:rPr>
              <w:t>,</w:t>
            </w:r>
            <w:r>
              <w:rPr>
                <w:rFonts w:hint="eastAsia"/>
                <w:snapToGrid/>
              </w:rPr>
              <w:t>448</w:t>
            </w:r>
          </w:p>
        </w:tc>
        <w:tc>
          <w:tcPr>
            <w:tcW w:w="1772" w:type="dxa"/>
            <w:shd w:val="clear" w:color="auto" w:fill="auto"/>
            <w:noWrap/>
            <w:vAlign w:val="center"/>
          </w:tcPr>
          <w:p w:rsidR="00507C82" w:rsidRPr="00AB0A63" w:rsidRDefault="00507C82" w:rsidP="006E14EF">
            <w:pPr>
              <w:pStyle w:val="142"/>
              <w:jc w:val="right"/>
              <w:rPr>
                <w:snapToGrid/>
              </w:rPr>
            </w:pPr>
            <w:r>
              <w:rPr>
                <w:rFonts w:hint="eastAsia"/>
                <w:snapToGrid/>
              </w:rPr>
              <w:t>2</w:t>
            </w:r>
            <w:r>
              <w:rPr>
                <w:snapToGrid/>
              </w:rPr>
              <w:t>,448</w:t>
            </w:r>
          </w:p>
        </w:tc>
        <w:tc>
          <w:tcPr>
            <w:tcW w:w="1772" w:type="dxa"/>
            <w:vAlign w:val="center"/>
          </w:tcPr>
          <w:p w:rsidR="00507C82" w:rsidRPr="00AB0A63" w:rsidRDefault="00507C82" w:rsidP="006E14EF">
            <w:pPr>
              <w:pStyle w:val="142"/>
              <w:jc w:val="right"/>
              <w:rPr>
                <w:snapToGrid/>
              </w:rPr>
            </w:pPr>
            <w:r>
              <w:rPr>
                <w:rFonts w:hAnsi="標楷體" w:hint="eastAsia"/>
                <w:snapToGrid/>
              </w:rPr>
              <w:t>－</w:t>
            </w:r>
          </w:p>
        </w:tc>
      </w:tr>
      <w:tr w:rsidR="00507C82" w:rsidRPr="00AB0A63" w:rsidTr="006E14EF">
        <w:trPr>
          <w:trHeight w:val="340"/>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109</w:t>
            </w:r>
          </w:p>
        </w:tc>
        <w:tc>
          <w:tcPr>
            <w:tcW w:w="1771" w:type="dxa"/>
            <w:shd w:val="clear" w:color="auto" w:fill="auto"/>
            <w:noWrap/>
            <w:vAlign w:val="center"/>
            <w:hideMark/>
          </w:tcPr>
          <w:p w:rsidR="00507C82" w:rsidRPr="00AB0A63" w:rsidRDefault="00507C82" w:rsidP="006E14EF">
            <w:pPr>
              <w:pStyle w:val="142"/>
              <w:jc w:val="right"/>
              <w:rPr>
                <w:snapToGrid/>
              </w:rPr>
            </w:pPr>
            <w:r>
              <w:rPr>
                <w:snapToGrid/>
              </w:rPr>
              <w:t>0</w:t>
            </w:r>
          </w:p>
        </w:tc>
        <w:tc>
          <w:tcPr>
            <w:tcW w:w="1772" w:type="dxa"/>
            <w:shd w:val="clear" w:color="auto" w:fill="auto"/>
            <w:noWrap/>
            <w:vAlign w:val="center"/>
            <w:hideMark/>
          </w:tcPr>
          <w:p w:rsidR="00507C82" w:rsidRPr="00AB0A63" w:rsidRDefault="00507C82" w:rsidP="006E14EF">
            <w:pPr>
              <w:pStyle w:val="142"/>
              <w:jc w:val="right"/>
              <w:rPr>
                <w:snapToGrid/>
              </w:rPr>
            </w:pPr>
            <w:r w:rsidRPr="00AB0A63">
              <w:rPr>
                <w:rFonts w:hint="eastAsia"/>
                <w:snapToGrid/>
              </w:rPr>
              <w:t>3</w:t>
            </w:r>
            <w:r>
              <w:rPr>
                <w:snapToGrid/>
              </w:rPr>
              <w:t>24</w:t>
            </w:r>
          </w:p>
        </w:tc>
        <w:tc>
          <w:tcPr>
            <w:tcW w:w="1772" w:type="dxa"/>
            <w:shd w:val="clear" w:color="auto" w:fill="auto"/>
            <w:noWrap/>
            <w:vAlign w:val="center"/>
            <w:hideMark/>
          </w:tcPr>
          <w:p w:rsidR="00507C82" w:rsidRPr="00AB0A63" w:rsidRDefault="00507C82" w:rsidP="006E14EF">
            <w:pPr>
              <w:pStyle w:val="142"/>
              <w:jc w:val="right"/>
              <w:rPr>
                <w:snapToGrid/>
              </w:rPr>
            </w:pPr>
            <w:r>
              <w:rPr>
                <w:snapToGrid/>
              </w:rPr>
              <w:t>324</w:t>
            </w:r>
          </w:p>
        </w:tc>
        <w:tc>
          <w:tcPr>
            <w:tcW w:w="1772" w:type="dxa"/>
            <w:vAlign w:val="center"/>
          </w:tcPr>
          <w:p w:rsidR="00507C82" w:rsidRPr="00AB0A63" w:rsidRDefault="00507C82" w:rsidP="006E14EF">
            <w:pPr>
              <w:pStyle w:val="142"/>
              <w:jc w:val="right"/>
              <w:rPr>
                <w:snapToGrid/>
              </w:rPr>
            </w:pPr>
            <w:r>
              <w:rPr>
                <w:rFonts w:hAnsi="標楷體" w:hint="eastAsia"/>
                <w:snapToGrid/>
              </w:rPr>
              <w:t>－</w:t>
            </w:r>
          </w:p>
        </w:tc>
      </w:tr>
      <w:tr w:rsidR="00507C82" w:rsidRPr="00AB0A63" w:rsidTr="006E14EF">
        <w:trPr>
          <w:trHeight w:val="340"/>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110</w:t>
            </w:r>
          </w:p>
        </w:tc>
        <w:tc>
          <w:tcPr>
            <w:tcW w:w="1771" w:type="dxa"/>
            <w:shd w:val="clear" w:color="auto" w:fill="auto"/>
            <w:noWrap/>
            <w:vAlign w:val="center"/>
            <w:hideMark/>
          </w:tcPr>
          <w:p w:rsidR="00507C82" w:rsidRPr="00AB0A63" w:rsidRDefault="00507C82" w:rsidP="006E14EF">
            <w:pPr>
              <w:pStyle w:val="142"/>
              <w:jc w:val="right"/>
              <w:rPr>
                <w:snapToGrid/>
              </w:rPr>
            </w:pPr>
            <w:r w:rsidRPr="00AB0A63">
              <w:rPr>
                <w:rFonts w:hint="eastAsia"/>
                <w:snapToGrid/>
              </w:rPr>
              <w:t>1,</w:t>
            </w:r>
            <w:r>
              <w:rPr>
                <w:snapToGrid/>
              </w:rPr>
              <w:t>335</w:t>
            </w:r>
          </w:p>
        </w:tc>
        <w:tc>
          <w:tcPr>
            <w:tcW w:w="1772" w:type="dxa"/>
            <w:shd w:val="clear" w:color="auto" w:fill="auto"/>
            <w:noWrap/>
            <w:vAlign w:val="center"/>
            <w:hideMark/>
          </w:tcPr>
          <w:p w:rsidR="00507C82" w:rsidRPr="00AB0A63" w:rsidRDefault="00507C82" w:rsidP="006E14EF">
            <w:pPr>
              <w:pStyle w:val="142"/>
              <w:jc w:val="right"/>
              <w:rPr>
                <w:snapToGrid/>
              </w:rPr>
            </w:pPr>
            <w:r>
              <w:rPr>
                <w:snapToGrid/>
              </w:rPr>
              <w:t>63</w:t>
            </w:r>
          </w:p>
        </w:tc>
        <w:tc>
          <w:tcPr>
            <w:tcW w:w="1772" w:type="dxa"/>
            <w:shd w:val="clear" w:color="auto" w:fill="auto"/>
            <w:noWrap/>
            <w:vAlign w:val="center"/>
            <w:hideMark/>
          </w:tcPr>
          <w:p w:rsidR="00507C82" w:rsidRPr="00AB0A63" w:rsidRDefault="00507C82" w:rsidP="006E14EF">
            <w:pPr>
              <w:pStyle w:val="142"/>
              <w:jc w:val="right"/>
              <w:rPr>
                <w:snapToGrid/>
              </w:rPr>
            </w:pPr>
            <w:r>
              <w:rPr>
                <w:rFonts w:hint="eastAsia"/>
                <w:snapToGrid/>
              </w:rPr>
              <w:t>(</w:t>
            </w:r>
            <w:r>
              <w:rPr>
                <w:snapToGrid/>
              </w:rPr>
              <w:t>1,272)</w:t>
            </w:r>
          </w:p>
        </w:tc>
        <w:tc>
          <w:tcPr>
            <w:tcW w:w="1772" w:type="dxa"/>
            <w:vAlign w:val="center"/>
          </w:tcPr>
          <w:p w:rsidR="00507C82" w:rsidRPr="00AB0A63" w:rsidRDefault="00507C82" w:rsidP="006E14EF">
            <w:pPr>
              <w:pStyle w:val="142"/>
              <w:jc w:val="right"/>
              <w:rPr>
                <w:snapToGrid/>
              </w:rPr>
            </w:pPr>
            <w:r>
              <w:rPr>
                <w:snapToGrid/>
              </w:rPr>
              <w:t>(95</w:t>
            </w:r>
            <w:r w:rsidRPr="00AB0A63">
              <w:rPr>
                <w:rFonts w:hint="eastAsia"/>
                <w:snapToGrid/>
              </w:rPr>
              <w:t>.</w:t>
            </w:r>
            <w:r>
              <w:rPr>
                <w:snapToGrid/>
              </w:rPr>
              <w:t>2</w:t>
            </w:r>
            <w:r w:rsidRPr="00AB0A63">
              <w:rPr>
                <w:rFonts w:hint="eastAsia"/>
                <w:snapToGrid/>
              </w:rPr>
              <w:t>8</w:t>
            </w:r>
            <w:r>
              <w:rPr>
                <w:snapToGrid/>
              </w:rPr>
              <w:t>)</w:t>
            </w:r>
          </w:p>
        </w:tc>
      </w:tr>
      <w:tr w:rsidR="00507C82" w:rsidRPr="00AB0A63" w:rsidTr="006E14EF">
        <w:trPr>
          <w:trHeight w:val="323"/>
        </w:trPr>
        <w:tc>
          <w:tcPr>
            <w:tcW w:w="984" w:type="dxa"/>
            <w:shd w:val="clear" w:color="auto" w:fill="auto"/>
            <w:noWrap/>
            <w:vAlign w:val="center"/>
          </w:tcPr>
          <w:p w:rsidR="00507C82" w:rsidRPr="00AB0A63" w:rsidRDefault="00507C82" w:rsidP="006E14EF">
            <w:pPr>
              <w:pStyle w:val="142"/>
              <w:jc w:val="center"/>
              <w:rPr>
                <w:snapToGrid/>
              </w:rPr>
            </w:pPr>
            <w:r w:rsidRPr="00AB0A63">
              <w:rPr>
                <w:rFonts w:hint="eastAsia"/>
                <w:snapToGrid/>
              </w:rPr>
              <w:t>111</w:t>
            </w:r>
          </w:p>
        </w:tc>
        <w:tc>
          <w:tcPr>
            <w:tcW w:w="1771" w:type="dxa"/>
            <w:shd w:val="clear" w:color="auto" w:fill="auto"/>
            <w:noWrap/>
            <w:vAlign w:val="center"/>
            <w:hideMark/>
          </w:tcPr>
          <w:p w:rsidR="00507C82" w:rsidRPr="00AB0A63" w:rsidRDefault="00507C82" w:rsidP="006E14EF">
            <w:pPr>
              <w:pStyle w:val="142"/>
              <w:jc w:val="right"/>
              <w:rPr>
                <w:snapToGrid/>
              </w:rPr>
            </w:pPr>
            <w:r>
              <w:rPr>
                <w:rFonts w:hint="eastAsia"/>
                <w:snapToGrid/>
              </w:rPr>
              <w:t>4</w:t>
            </w:r>
            <w:r>
              <w:rPr>
                <w:snapToGrid/>
              </w:rPr>
              <w:t>00</w:t>
            </w:r>
          </w:p>
        </w:tc>
        <w:tc>
          <w:tcPr>
            <w:tcW w:w="1772" w:type="dxa"/>
            <w:shd w:val="clear" w:color="auto" w:fill="auto"/>
            <w:noWrap/>
            <w:vAlign w:val="center"/>
            <w:hideMark/>
          </w:tcPr>
          <w:p w:rsidR="00507C82" w:rsidRPr="00AB0A63" w:rsidRDefault="00507C82" w:rsidP="006E14EF">
            <w:pPr>
              <w:pStyle w:val="142"/>
              <w:jc w:val="right"/>
              <w:rPr>
                <w:snapToGrid/>
              </w:rPr>
            </w:pPr>
            <w:r>
              <w:rPr>
                <w:rFonts w:hint="eastAsia"/>
                <w:snapToGrid/>
              </w:rPr>
              <w:t>5</w:t>
            </w:r>
            <w:r>
              <w:rPr>
                <w:snapToGrid/>
              </w:rPr>
              <w:t>91</w:t>
            </w:r>
          </w:p>
        </w:tc>
        <w:tc>
          <w:tcPr>
            <w:tcW w:w="1772" w:type="dxa"/>
            <w:shd w:val="clear" w:color="auto" w:fill="auto"/>
            <w:noWrap/>
            <w:vAlign w:val="center"/>
            <w:hideMark/>
          </w:tcPr>
          <w:p w:rsidR="00507C82" w:rsidRPr="00AB0A63" w:rsidRDefault="00507C82" w:rsidP="006E14EF">
            <w:pPr>
              <w:pStyle w:val="142"/>
              <w:jc w:val="right"/>
              <w:rPr>
                <w:snapToGrid/>
              </w:rPr>
            </w:pPr>
            <w:r>
              <w:rPr>
                <w:snapToGrid/>
              </w:rPr>
              <w:t>191</w:t>
            </w:r>
          </w:p>
        </w:tc>
        <w:tc>
          <w:tcPr>
            <w:tcW w:w="1772" w:type="dxa"/>
            <w:vAlign w:val="center"/>
          </w:tcPr>
          <w:p w:rsidR="00507C82" w:rsidRPr="00AB0A63" w:rsidRDefault="00507C82" w:rsidP="006E14EF">
            <w:pPr>
              <w:pStyle w:val="142"/>
              <w:jc w:val="right"/>
              <w:rPr>
                <w:snapToGrid/>
              </w:rPr>
            </w:pPr>
            <w:r>
              <w:rPr>
                <w:rFonts w:hint="eastAsia"/>
                <w:snapToGrid/>
              </w:rPr>
              <w:t>4</w:t>
            </w:r>
            <w:r>
              <w:rPr>
                <w:snapToGrid/>
              </w:rPr>
              <w:t>7.75</w:t>
            </w:r>
          </w:p>
        </w:tc>
      </w:tr>
      <w:tr w:rsidR="00507C82" w:rsidRPr="00AB0A63" w:rsidTr="006E14EF">
        <w:trPr>
          <w:trHeight w:val="318"/>
        </w:trPr>
        <w:tc>
          <w:tcPr>
            <w:tcW w:w="984" w:type="dxa"/>
            <w:shd w:val="clear" w:color="auto" w:fill="auto"/>
            <w:noWrap/>
            <w:vAlign w:val="center"/>
          </w:tcPr>
          <w:p w:rsidR="00507C82" w:rsidRPr="00AB0A63" w:rsidRDefault="00507C82" w:rsidP="006E14EF">
            <w:pPr>
              <w:pStyle w:val="142"/>
              <w:jc w:val="center"/>
              <w:rPr>
                <w:snapToGrid/>
              </w:rPr>
            </w:pPr>
            <w:r>
              <w:rPr>
                <w:rFonts w:hint="eastAsia"/>
                <w:snapToGrid/>
              </w:rPr>
              <w:t>1</w:t>
            </w:r>
            <w:r>
              <w:rPr>
                <w:snapToGrid/>
              </w:rPr>
              <w:t>12</w:t>
            </w:r>
          </w:p>
        </w:tc>
        <w:tc>
          <w:tcPr>
            <w:tcW w:w="1771" w:type="dxa"/>
            <w:shd w:val="clear" w:color="auto" w:fill="auto"/>
            <w:noWrap/>
            <w:vAlign w:val="center"/>
          </w:tcPr>
          <w:p w:rsidR="00507C82" w:rsidRPr="00AB0A63" w:rsidRDefault="00507C82" w:rsidP="006E14EF">
            <w:pPr>
              <w:pStyle w:val="142"/>
              <w:jc w:val="right"/>
              <w:rPr>
                <w:snapToGrid/>
              </w:rPr>
            </w:pPr>
            <w:r>
              <w:rPr>
                <w:rFonts w:hint="eastAsia"/>
                <w:snapToGrid/>
              </w:rPr>
              <w:t>300</w:t>
            </w:r>
          </w:p>
        </w:tc>
        <w:tc>
          <w:tcPr>
            <w:tcW w:w="1772" w:type="dxa"/>
            <w:shd w:val="clear" w:color="auto" w:fill="auto"/>
            <w:noWrap/>
            <w:vAlign w:val="center"/>
          </w:tcPr>
          <w:p w:rsidR="00507C82" w:rsidRPr="00AB0A63" w:rsidRDefault="00507C82" w:rsidP="006E14EF">
            <w:pPr>
              <w:pStyle w:val="142"/>
              <w:jc w:val="right"/>
            </w:pPr>
            <w:r>
              <w:rPr>
                <w:rFonts w:hint="eastAsia"/>
                <w:snapToGrid/>
              </w:rPr>
              <w:t>446</w:t>
            </w:r>
          </w:p>
        </w:tc>
        <w:tc>
          <w:tcPr>
            <w:tcW w:w="1772" w:type="dxa"/>
            <w:shd w:val="clear" w:color="auto" w:fill="auto"/>
            <w:noWrap/>
            <w:vAlign w:val="center"/>
          </w:tcPr>
          <w:p w:rsidR="00507C82" w:rsidRPr="00885AD5" w:rsidRDefault="00507C82" w:rsidP="006E14EF">
            <w:pPr>
              <w:pStyle w:val="142"/>
              <w:jc w:val="right"/>
              <w:rPr>
                <w:snapToGrid/>
                <w:shd w:val="pct15" w:color="auto" w:fill="FFFFFF"/>
              </w:rPr>
            </w:pPr>
            <w:r w:rsidRPr="002D5BB8">
              <w:rPr>
                <w:rFonts w:hint="eastAsia"/>
                <w:snapToGrid/>
              </w:rPr>
              <w:t>146</w:t>
            </w:r>
          </w:p>
        </w:tc>
        <w:tc>
          <w:tcPr>
            <w:tcW w:w="1772" w:type="dxa"/>
            <w:vAlign w:val="center"/>
          </w:tcPr>
          <w:p w:rsidR="00507C82" w:rsidRPr="00885AD5" w:rsidRDefault="00507C82" w:rsidP="006E14EF">
            <w:pPr>
              <w:pStyle w:val="142"/>
              <w:jc w:val="right"/>
              <w:rPr>
                <w:snapToGrid/>
                <w:shd w:val="pct15" w:color="auto" w:fill="FFFFFF"/>
              </w:rPr>
            </w:pPr>
            <w:r w:rsidRPr="002D5BB8">
              <w:rPr>
                <w:rFonts w:hint="eastAsia"/>
                <w:snapToGrid/>
              </w:rPr>
              <w:t>48.67</w:t>
            </w:r>
          </w:p>
        </w:tc>
      </w:tr>
    </w:tbl>
    <w:p w:rsidR="00507C82" w:rsidRDefault="00507C82" w:rsidP="00507C82">
      <w:pPr>
        <w:pStyle w:val="142"/>
        <w:ind w:leftChars="144" w:left="1571" w:hangingChars="478" w:hanging="1163"/>
        <w:jc w:val="both"/>
      </w:pPr>
      <w:r>
        <w:rPr>
          <w:rFonts w:hint="eastAsia"/>
        </w:rPr>
        <w:t>說    明：各年度金額均屬食品安全保護計畫項下之短絀、賠償給付與支應退場支出。</w:t>
      </w:r>
    </w:p>
    <w:p w:rsidR="00507C82" w:rsidRDefault="00507C82" w:rsidP="00507C82">
      <w:pPr>
        <w:pStyle w:val="142"/>
        <w:ind w:leftChars="144" w:left="1571" w:hangingChars="478" w:hanging="1163"/>
        <w:jc w:val="both"/>
      </w:pPr>
      <w:r w:rsidRPr="00AB0A63">
        <w:rPr>
          <w:rFonts w:hint="eastAsia"/>
        </w:rPr>
        <w:t>資料來源：</w:t>
      </w:r>
      <w:r>
        <w:rPr>
          <w:rFonts w:hint="eastAsia"/>
        </w:rPr>
        <w:t>食品安全保護</w:t>
      </w:r>
      <w:r w:rsidRPr="00AB0A63">
        <w:rPr>
          <w:rFonts w:hint="eastAsia"/>
        </w:rPr>
        <w:t>基金各年度決算書。</w:t>
      </w:r>
    </w:p>
    <w:p w:rsidR="00507C82" w:rsidRPr="00275B84" w:rsidRDefault="00507C82" w:rsidP="00507C82">
      <w:pPr>
        <w:pStyle w:val="21"/>
        <w:ind w:left="850" w:firstLine="566"/>
        <w:rPr>
          <w:rFonts w:hAnsi="標楷體"/>
        </w:rPr>
      </w:pPr>
      <w:r w:rsidRPr="00275B84">
        <w:rPr>
          <w:rFonts w:hint="eastAsia"/>
        </w:rPr>
        <w:t>經洽食品安全保護基金表示實際呆帳數較預期為多，</w:t>
      </w:r>
      <w:r w:rsidRPr="00275B84">
        <w:t>係因違反食品安全衛生管理法之裁罰案件，於認列應收款項後廠商逾期欠款並經催收無著，</w:t>
      </w:r>
      <w:r w:rsidRPr="00275B84">
        <w:rPr>
          <w:rFonts w:hint="eastAsia"/>
        </w:rPr>
        <w:t>業</w:t>
      </w:r>
      <w:r w:rsidRPr="00275B84">
        <w:t>陳報審計機關同意</w:t>
      </w:r>
      <w:r>
        <w:rPr>
          <w:rFonts w:hint="eastAsia"/>
        </w:rPr>
        <w:t>後，</w:t>
      </w:r>
      <w:r w:rsidRPr="00275B84">
        <w:t>轉銷認列呆帳及保證短絀</w:t>
      </w:r>
      <w:r w:rsidRPr="00275B84">
        <w:rPr>
          <w:rFonts w:hint="eastAsia"/>
        </w:rPr>
        <w:t>所致，惟鑑於罰款收入為該基金主要收入來源，允宜</w:t>
      </w:r>
      <w:r>
        <w:rPr>
          <w:rFonts w:hint="eastAsia"/>
        </w:rPr>
        <w:t>強化催收</w:t>
      </w:r>
      <w:r w:rsidRPr="00275B84">
        <w:rPr>
          <w:rFonts w:hint="eastAsia"/>
        </w:rPr>
        <w:t>及</w:t>
      </w:r>
      <w:r>
        <w:rPr>
          <w:rFonts w:hint="eastAsia"/>
        </w:rPr>
        <w:t>追償機制</w:t>
      </w:r>
      <w:r w:rsidRPr="00275B84">
        <w:rPr>
          <w:rFonts w:hint="eastAsia"/>
        </w:rPr>
        <w:t>，以發揮嚇阻作用並充裕基金來源。</w:t>
      </w:r>
    </w:p>
    <w:p w:rsidR="00507C82" w:rsidRPr="00E9580E" w:rsidRDefault="00507C82" w:rsidP="00507C82">
      <w:pPr>
        <w:ind w:left="566" w:firstLine="566"/>
      </w:pPr>
      <w:r w:rsidRPr="005A4B01">
        <w:rPr>
          <w:rFonts w:hint="eastAsia"/>
        </w:rPr>
        <w:t>綜上，</w:t>
      </w:r>
      <w:r>
        <w:rPr>
          <w:rFonts w:hint="eastAsia"/>
        </w:rPr>
        <w:t>食品安全保護</w:t>
      </w:r>
      <w:r w:rsidRPr="00183B74">
        <w:rPr>
          <w:rFonts w:hint="eastAsia"/>
          <w:bCs/>
        </w:rPr>
        <w:t>基金主要係補助食安事件之消費</w:t>
      </w:r>
      <w:r>
        <w:rPr>
          <w:rFonts w:hint="eastAsia"/>
          <w:bCs/>
        </w:rPr>
        <w:t>者</w:t>
      </w:r>
      <w:r w:rsidRPr="00183B74">
        <w:rPr>
          <w:rFonts w:hint="eastAsia"/>
          <w:bCs/>
        </w:rPr>
        <w:t>訴訟</w:t>
      </w:r>
      <w:r w:rsidRPr="00183B74">
        <w:rPr>
          <w:rFonts w:hint="eastAsia"/>
          <w:bCs/>
        </w:rPr>
        <w:lastRenderedPageBreak/>
        <w:t>費用，</w:t>
      </w:r>
      <w:r>
        <w:rPr>
          <w:rFonts w:hint="eastAsia"/>
          <w:bCs/>
        </w:rPr>
        <w:t>然</w:t>
      </w:r>
      <w:r w:rsidRPr="00183B74">
        <w:rPr>
          <w:rFonts w:hint="eastAsia"/>
          <w:bCs/>
        </w:rPr>
        <w:t>近年已</w:t>
      </w:r>
      <w:r>
        <w:rPr>
          <w:rFonts w:hint="eastAsia"/>
          <w:bCs/>
        </w:rPr>
        <w:t>逐漸</w:t>
      </w:r>
      <w:r w:rsidRPr="00183B74">
        <w:rPr>
          <w:rFonts w:hint="eastAsia"/>
          <w:bCs/>
        </w:rPr>
        <w:t>轉為補助地方衛生機關從事促進食安工作之費用，112年</w:t>
      </w:r>
      <w:r>
        <w:rPr>
          <w:rFonts w:hint="eastAsia"/>
          <w:bCs/>
        </w:rPr>
        <w:t>度</w:t>
      </w:r>
      <w:r w:rsidRPr="00183B74">
        <w:rPr>
          <w:rFonts w:hint="eastAsia"/>
          <w:bCs/>
        </w:rPr>
        <w:t>甚且有決算數大幅增加而辦理超支併決算</w:t>
      </w:r>
      <w:r>
        <w:rPr>
          <w:rFonts w:hint="eastAsia"/>
          <w:bCs/>
        </w:rPr>
        <w:t>。又該基金主要收入來源為</w:t>
      </w:r>
      <w:r w:rsidRPr="00183B74">
        <w:rPr>
          <w:rFonts w:hint="eastAsia"/>
          <w:bCs/>
        </w:rPr>
        <w:t>違反食品安全衛生管理法之罰款收入</w:t>
      </w:r>
      <w:r>
        <w:rPr>
          <w:rFonts w:hint="eastAsia"/>
          <w:bCs/>
        </w:rPr>
        <w:t>，惟108至112年度已連</w:t>
      </w:r>
      <w:r w:rsidRPr="00183B74">
        <w:rPr>
          <w:rFonts w:hint="eastAsia"/>
          <w:bCs/>
        </w:rPr>
        <w:t>續</w:t>
      </w:r>
      <w:r>
        <w:rPr>
          <w:rFonts w:hint="eastAsia"/>
          <w:bCs/>
        </w:rPr>
        <w:t>5年</w:t>
      </w:r>
      <w:r w:rsidRPr="00183B74">
        <w:rPr>
          <w:rFonts w:hint="eastAsia"/>
          <w:bCs/>
        </w:rPr>
        <w:t>發生</w:t>
      </w:r>
      <w:r w:rsidRPr="00183B74">
        <w:rPr>
          <w:bCs/>
        </w:rPr>
        <w:t>廠商逾期欠款催收無著</w:t>
      </w:r>
      <w:r w:rsidRPr="00183B74">
        <w:rPr>
          <w:rFonts w:hint="eastAsia"/>
          <w:bCs/>
        </w:rPr>
        <w:t>轉列呆帳，且決算數多超過預算數，宜</w:t>
      </w:r>
      <w:r>
        <w:rPr>
          <w:rFonts w:hint="eastAsia"/>
        </w:rPr>
        <w:t>強化催收</w:t>
      </w:r>
      <w:r w:rsidRPr="00275B84">
        <w:rPr>
          <w:rFonts w:hint="eastAsia"/>
        </w:rPr>
        <w:t>及</w:t>
      </w:r>
      <w:r>
        <w:rPr>
          <w:rFonts w:hint="eastAsia"/>
        </w:rPr>
        <w:t>追償機制</w:t>
      </w:r>
      <w:r w:rsidRPr="006220AA">
        <w:rPr>
          <w:rFonts w:hint="eastAsia"/>
        </w:rPr>
        <w:t>，</w:t>
      </w:r>
      <w:r>
        <w:rPr>
          <w:rFonts w:hint="eastAsia"/>
          <w:bCs/>
        </w:rPr>
        <w:t>以充分發揮基金功能</w:t>
      </w:r>
      <w:r w:rsidRPr="005A4B01">
        <w:rPr>
          <w:rFonts w:hint="eastAsia"/>
        </w:rPr>
        <w:t>。</w:t>
      </w:r>
    </w:p>
    <w:p w:rsidR="00507C82" w:rsidRDefault="00507C82" w:rsidP="00507C82">
      <w:pPr>
        <w:pStyle w:val="ad"/>
        <w:ind w:left="566" w:firstLine="566"/>
        <w:rPr>
          <w:rFonts w:hAnsi="標楷體"/>
        </w:rPr>
      </w:pPr>
      <w:r w:rsidRPr="00052271">
        <w:rPr>
          <w:rFonts w:hAnsi="標楷體" w:hint="eastAsia"/>
        </w:rPr>
        <w:t>（分機：19</w:t>
      </w:r>
      <w:r>
        <w:rPr>
          <w:rFonts w:hAnsi="標楷體" w:hint="eastAsia"/>
        </w:rPr>
        <w:t>35</w:t>
      </w:r>
      <w:r w:rsidRPr="00052271">
        <w:rPr>
          <w:rFonts w:hAnsi="標楷體" w:hint="eastAsia"/>
        </w:rPr>
        <w:t xml:space="preserve"> </w:t>
      </w:r>
      <w:r>
        <w:rPr>
          <w:rFonts w:hAnsi="標楷體" w:hint="eastAsia"/>
        </w:rPr>
        <w:t>陳果廷</w:t>
      </w:r>
      <w:r w:rsidRPr="00052271">
        <w:rPr>
          <w:rFonts w:hAnsi="標楷體" w:hint="eastAsia"/>
        </w:rPr>
        <w:t>）</w:t>
      </w:r>
    </w:p>
    <w:sectPr w:rsidR="00507C82"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81A" w:rsidRDefault="00FC581A" w:rsidP="0004615E">
      <w:pPr>
        <w:spacing w:line="240" w:lineRule="auto"/>
        <w:ind w:left="560" w:firstLine="560"/>
      </w:pPr>
      <w:r>
        <w:separator/>
      </w:r>
    </w:p>
  </w:endnote>
  <w:endnote w:type="continuationSeparator" w:id="0">
    <w:p w:rsidR="00FC581A" w:rsidRDefault="00FC581A"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111FBA" w:rsidRPr="00111FB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81A" w:rsidRDefault="00FC581A" w:rsidP="00E31BB7">
      <w:pPr>
        <w:spacing w:line="240" w:lineRule="auto"/>
        <w:ind w:left="560" w:firstLine="560"/>
      </w:pPr>
      <w:r>
        <w:separator/>
      </w:r>
    </w:p>
  </w:footnote>
  <w:footnote w:type="continuationSeparator" w:id="0">
    <w:p w:rsidR="00FC581A" w:rsidRDefault="00FC581A"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11FBA"/>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32140"/>
    <w:rsid w:val="00135503"/>
    <w:rsid w:val="0014620B"/>
    <w:rsid w:val="001462A4"/>
    <w:rsid w:val="001531DC"/>
    <w:rsid w:val="00154A71"/>
    <w:rsid w:val="00154E1C"/>
    <w:rsid w:val="00155434"/>
    <w:rsid w:val="001578B3"/>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652A"/>
    <w:rsid w:val="00230F04"/>
    <w:rsid w:val="002352E8"/>
    <w:rsid w:val="00236E0D"/>
    <w:rsid w:val="00240C03"/>
    <w:rsid w:val="00244B5B"/>
    <w:rsid w:val="00245B95"/>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92AAE"/>
    <w:rsid w:val="0029405E"/>
    <w:rsid w:val="002A2545"/>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D700C"/>
    <w:rsid w:val="004E428E"/>
    <w:rsid w:val="004F100C"/>
    <w:rsid w:val="00501613"/>
    <w:rsid w:val="00505919"/>
    <w:rsid w:val="00506AD9"/>
    <w:rsid w:val="00507238"/>
    <w:rsid w:val="00507C82"/>
    <w:rsid w:val="00513473"/>
    <w:rsid w:val="00516335"/>
    <w:rsid w:val="00524F1A"/>
    <w:rsid w:val="00527F1F"/>
    <w:rsid w:val="00551B8C"/>
    <w:rsid w:val="0055419F"/>
    <w:rsid w:val="00554BE3"/>
    <w:rsid w:val="00556D2D"/>
    <w:rsid w:val="00556E1B"/>
    <w:rsid w:val="00561E00"/>
    <w:rsid w:val="00562931"/>
    <w:rsid w:val="005644B2"/>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0739"/>
    <w:rsid w:val="007612EB"/>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4F80"/>
    <w:rsid w:val="00815146"/>
    <w:rsid w:val="00823D05"/>
    <w:rsid w:val="00826DE7"/>
    <w:rsid w:val="00827379"/>
    <w:rsid w:val="0083187C"/>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7C1"/>
    <w:rsid w:val="008648BB"/>
    <w:rsid w:val="00865DF3"/>
    <w:rsid w:val="008670D5"/>
    <w:rsid w:val="00867C6F"/>
    <w:rsid w:val="008732BE"/>
    <w:rsid w:val="00873A95"/>
    <w:rsid w:val="00874F43"/>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11B5"/>
    <w:rsid w:val="008D202B"/>
    <w:rsid w:val="008D2D19"/>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4D3B"/>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5EDD"/>
    <w:rsid w:val="00AF63BC"/>
    <w:rsid w:val="00AF65EA"/>
    <w:rsid w:val="00AF7073"/>
    <w:rsid w:val="00B04650"/>
    <w:rsid w:val="00B05C2F"/>
    <w:rsid w:val="00B07ECE"/>
    <w:rsid w:val="00B15C3D"/>
    <w:rsid w:val="00B15EDE"/>
    <w:rsid w:val="00B1697A"/>
    <w:rsid w:val="00B20985"/>
    <w:rsid w:val="00B2213A"/>
    <w:rsid w:val="00B226B7"/>
    <w:rsid w:val="00B2278F"/>
    <w:rsid w:val="00B3185B"/>
    <w:rsid w:val="00B34878"/>
    <w:rsid w:val="00B34CB5"/>
    <w:rsid w:val="00B455CE"/>
    <w:rsid w:val="00B45BDB"/>
    <w:rsid w:val="00B45ED6"/>
    <w:rsid w:val="00B46286"/>
    <w:rsid w:val="00B46CD5"/>
    <w:rsid w:val="00B47DDD"/>
    <w:rsid w:val="00B50610"/>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61BA"/>
    <w:rsid w:val="00BD7293"/>
    <w:rsid w:val="00BE08F9"/>
    <w:rsid w:val="00BE0992"/>
    <w:rsid w:val="00BE3219"/>
    <w:rsid w:val="00BE41A7"/>
    <w:rsid w:val="00BE4E7F"/>
    <w:rsid w:val="00BE5B11"/>
    <w:rsid w:val="00BF3EAA"/>
    <w:rsid w:val="00BF475B"/>
    <w:rsid w:val="00BF7DC8"/>
    <w:rsid w:val="00C00C38"/>
    <w:rsid w:val="00C03C83"/>
    <w:rsid w:val="00C0411F"/>
    <w:rsid w:val="00C06F7C"/>
    <w:rsid w:val="00C07670"/>
    <w:rsid w:val="00C10C11"/>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50886"/>
    <w:rsid w:val="00C51F45"/>
    <w:rsid w:val="00C541CC"/>
    <w:rsid w:val="00C54588"/>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471"/>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E7A7D"/>
    <w:rsid w:val="00CF2E1F"/>
    <w:rsid w:val="00CF374E"/>
    <w:rsid w:val="00CF37FE"/>
    <w:rsid w:val="00CF542C"/>
    <w:rsid w:val="00D02538"/>
    <w:rsid w:val="00D04850"/>
    <w:rsid w:val="00D06C64"/>
    <w:rsid w:val="00D11524"/>
    <w:rsid w:val="00D208B1"/>
    <w:rsid w:val="00D21364"/>
    <w:rsid w:val="00D265F9"/>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80F7A"/>
    <w:rsid w:val="00D87C7C"/>
    <w:rsid w:val="00D93A80"/>
    <w:rsid w:val="00D94E8E"/>
    <w:rsid w:val="00DA618A"/>
    <w:rsid w:val="00DA70CF"/>
    <w:rsid w:val="00DB00C5"/>
    <w:rsid w:val="00DB0AF9"/>
    <w:rsid w:val="00DB0EA2"/>
    <w:rsid w:val="00DB0F12"/>
    <w:rsid w:val="00DB2341"/>
    <w:rsid w:val="00DB3211"/>
    <w:rsid w:val="00DB3C79"/>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2233"/>
    <w:rsid w:val="00F24189"/>
    <w:rsid w:val="00F25EE1"/>
    <w:rsid w:val="00F31C4D"/>
    <w:rsid w:val="00F33D75"/>
    <w:rsid w:val="00F34DD9"/>
    <w:rsid w:val="00F34E6C"/>
    <w:rsid w:val="00F35869"/>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045A"/>
    <w:rsid w:val="00FA4B77"/>
    <w:rsid w:val="00FA648D"/>
    <w:rsid w:val="00FA66A2"/>
    <w:rsid w:val="00FB0730"/>
    <w:rsid w:val="00FB4821"/>
    <w:rsid w:val="00FB6C0D"/>
    <w:rsid w:val="00FB7066"/>
    <w:rsid w:val="00FB744D"/>
    <w:rsid w:val="00FC11EF"/>
    <w:rsid w:val="00FC1654"/>
    <w:rsid w:val="00FC4716"/>
    <w:rsid w:val="00FC581A"/>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40B206F-4CC4-4380-9466-D69B37D38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C7621-7FC3-4604-B94A-697299080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4</Pages>
  <Words>378</Words>
  <Characters>2155</Characters>
  <Application>Microsoft Office Word</Application>
  <DocSecurity>0</DocSecurity>
  <Lines>17</Lines>
  <Paragraphs>5</Paragraphs>
  <ScaleCrop>false</ScaleCrop>
  <Company/>
  <LinksUpToDate>false</LinksUpToDate>
  <CharactersWithSpaces>2528</CharactersWithSpaces>
  <SharedDoc>false</SharedDoc>
  <HLinks>
    <vt:vector size="108" baseType="variant">
      <vt:variant>
        <vt:i4>1572920</vt:i4>
      </vt:variant>
      <vt:variant>
        <vt:i4>104</vt:i4>
      </vt:variant>
      <vt:variant>
        <vt:i4>0</vt:i4>
      </vt:variant>
      <vt:variant>
        <vt:i4>5</vt:i4>
      </vt:variant>
      <vt:variant>
        <vt:lpwstr/>
      </vt:variant>
      <vt:variant>
        <vt:lpwstr>_Toc194483519</vt:lpwstr>
      </vt:variant>
      <vt:variant>
        <vt:i4>1572920</vt:i4>
      </vt:variant>
      <vt:variant>
        <vt:i4>98</vt:i4>
      </vt:variant>
      <vt:variant>
        <vt:i4>0</vt:i4>
      </vt:variant>
      <vt:variant>
        <vt:i4>5</vt:i4>
      </vt:variant>
      <vt:variant>
        <vt:lpwstr/>
      </vt:variant>
      <vt:variant>
        <vt:lpwstr>_Toc194483518</vt:lpwstr>
      </vt:variant>
      <vt:variant>
        <vt:i4>1572920</vt:i4>
      </vt:variant>
      <vt:variant>
        <vt:i4>92</vt:i4>
      </vt:variant>
      <vt:variant>
        <vt:i4>0</vt:i4>
      </vt:variant>
      <vt:variant>
        <vt:i4>5</vt:i4>
      </vt:variant>
      <vt:variant>
        <vt:lpwstr/>
      </vt:variant>
      <vt:variant>
        <vt:lpwstr>_Toc194483517</vt:lpwstr>
      </vt:variant>
      <vt:variant>
        <vt:i4>1572920</vt:i4>
      </vt:variant>
      <vt:variant>
        <vt:i4>86</vt:i4>
      </vt:variant>
      <vt:variant>
        <vt:i4>0</vt:i4>
      </vt:variant>
      <vt:variant>
        <vt:i4>5</vt:i4>
      </vt:variant>
      <vt:variant>
        <vt:lpwstr/>
      </vt:variant>
      <vt:variant>
        <vt:lpwstr>_Toc194483516</vt:lpwstr>
      </vt:variant>
      <vt:variant>
        <vt:i4>1572920</vt:i4>
      </vt:variant>
      <vt:variant>
        <vt:i4>80</vt:i4>
      </vt:variant>
      <vt:variant>
        <vt:i4>0</vt:i4>
      </vt:variant>
      <vt:variant>
        <vt:i4>5</vt:i4>
      </vt:variant>
      <vt:variant>
        <vt:lpwstr/>
      </vt:variant>
      <vt:variant>
        <vt:lpwstr>_Toc194483515</vt:lpwstr>
      </vt:variant>
      <vt:variant>
        <vt:i4>1572920</vt:i4>
      </vt:variant>
      <vt:variant>
        <vt:i4>74</vt:i4>
      </vt:variant>
      <vt:variant>
        <vt:i4>0</vt:i4>
      </vt:variant>
      <vt:variant>
        <vt:i4>5</vt:i4>
      </vt:variant>
      <vt:variant>
        <vt:lpwstr/>
      </vt:variant>
      <vt:variant>
        <vt:lpwstr>_Toc194483514</vt:lpwstr>
      </vt:variant>
      <vt:variant>
        <vt:i4>1572920</vt:i4>
      </vt:variant>
      <vt:variant>
        <vt:i4>68</vt:i4>
      </vt:variant>
      <vt:variant>
        <vt:i4>0</vt:i4>
      </vt:variant>
      <vt:variant>
        <vt:i4>5</vt:i4>
      </vt:variant>
      <vt:variant>
        <vt:lpwstr/>
      </vt:variant>
      <vt:variant>
        <vt:lpwstr>_Toc194483513</vt:lpwstr>
      </vt:variant>
      <vt:variant>
        <vt:i4>1572920</vt:i4>
      </vt:variant>
      <vt:variant>
        <vt:i4>62</vt:i4>
      </vt:variant>
      <vt:variant>
        <vt:i4>0</vt:i4>
      </vt:variant>
      <vt:variant>
        <vt:i4>5</vt:i4>
      </vt:variant>
      <vt:variant>
        <vt:lpwstr/>
      </vt:variant>
      <vt:variant>
        <vt:lpwstr>_Toc194483512</vt:lpwstr>
      </vt:variant>
      <vt:variant>
        <vt:i4>1572920</vt:i4>
      </vt:variant>
      <vt:variant>
        <vt:i4>56</vt:i4>
      </vt:variant>
      <vt:variant>
        <vt:i4>0</vt:i4>
      </vt:variant>
      <vt:variant>
        <vt:i4>5</vt:i4>
      </vt:variant>
      <vt:variant>
        <vt:lpwstr/>
      </vt:variant>
      <vt:variant>
        <vt:lpwstr>_Toc194483511</vt:lpwstr>
      </vt:variant>
      <vt:variant>
        <vt:i4>1572920</vt:i4>
      </vt:variant>
      <vt:variant>
        <vt:i4>50</vt:i4>
      </vt:variant>
      <vt:variant>
        <vt:i4>0</vt:i4>
      </vt:variant>
      <vt:variant>
        <vt:i4>5</vt:i4>
      </vt:variant>
      <vt:variant>
        <vt:lpwstr/>
      </vt:variant>
      <vt:variant>
        <vt:lpwstr>_Toc194483510</vt:lpwstr>
      </vt:variant>
      <vt:variant>
        <vt:i4>1638456</vt:i4>
      </vt:variant>
      <vt:variant>
        <vt:i4>44</vt:i4>
      </vt:variant>
      <vt:variant>
        <vt:i4>0</vt:i4>
      </vt:variant>
      <vt:variant>
        <vt:i4>5</vt:i4>
      </vt:variant>
      <vt:variant>
        <vt:lpwstr/>
      </vt:variant>
      <vt:variant>
        <vt:lpwstr>_Toc194483509</vt:lpwstr>
      </vt:variant>
      <vt:variant>
        <vt:i4>1638456</vt:i4>
      </vt:variant>
      <vt:variant>
        <vt:i4>38</vt:i4>
      </vt:variant>
      <vt:variant>
        <vt:i4>0</vt:i4>
      </vt:variant>
      <vt:variant>
        <vt:i4>5</vt:i4>
      </vt:variant>
      <vt:variant>
        <vt:lpwstr/>
      </vt:variant>
      <vt:variant>
        <vt:lpwstr>_Toc194483508</vt:lpwstr>
      </vt:variant>
      <vt:variant>
        <vt:i4>1638456</vt:i4>
      </vt:variant>
      <vt:variant>
        <vt:i4>32</vt:i4>
      </vt:variant>
      <vt:variant>
        <vt:i4>0</vt:i4>
      </vt:variant>
      <vt:variant>
        <vt:i4>5</vt:i4>
      </vt:variant>
      <vt:variant>
        <vt:lpwstr/>
      </vt:variant>
      <vt:variant>
        <vt:lpwstr>_Toc194483507</vt:lpwstr>
      </vt:variant>
      <vt:variant>
        <vt:i4>1638456</vt:i4>
      </vt:variant>
      <vt:variant>
        <vt:i4>26</vt:i4>
      </vt:variant>
      <vt:variant>
        <vt:i4>0</vt:i4>
      </vt:variant>
      <vt:variant>
        <vt:i4>5</vt:i4>
      </vt:variant>
      <vt:variant>
        <vt:lpwstr/>
      </vt:variant>
      <vt:variant>
        <vt:lpwstr>_Toc194483506</vt:lpwstr>
      </vt:variant>
      <vt:variant>
        <vt:i4>1638456</vt:i4>
      </vt:variant>
      <vt:variant>
        <vt:i4>20</vt:i4>
      </vt:variant>
      <vt:variant>
        <vt:i4>0</vt:i4>
      </vt:variant>
      <vt:variant>
        <vt:i4>5</vt:i4>
      </vt:variant>
      <vt:variant>
        <vt:lpwstr/>
      </vt:variant>
      <vt:variant>
        <vt:lpwstr>_Toc194483505</vt:lpwstr>
      </vt:variant>
      <vt:variant>
        <vt:i4>1638456</vt:i4>
      </vt:variant>
      <vt:variant>
        <vt:i4>14</vt:i4>
      </vt:variant>
      <vt:variant>
        <vt:i4>0</vt:i4>
      </vt:variant>
      <vt:variant>
        <vt:i4>5</vt:i4>
      </vt:variant>
      <vt:variant>
        <vt:lpwstr/>
      </vt:variant>
      <vt:variant>
        <vt:lpwstr>_Toc194483504</vt:lpwstr>
      </vt:variant>
      <vt:variant>
        <vt:i4>1638456</vt:i4>
      </vt:variant>
      <vt:variant>
        <vt:i4>8</vt:i4>
      </vt:variant>
      <vt:variant>
        <vt:i4>0</vt:i4>
      </vt:variant>
      <vt:variant>
        <vt:i4>5</vt:i4>
      </vt:variant>
      <vt:variant>
        <vt:lpwstr/>
      </vt:variant>
      <vt:variant>
        <vt:lpwstr>_Toc194483503</vt:lpwstr>
      </vt:variant>
      <vt:variant>
        <vt:i4>1638456</vt:i4>
      </vt:variant>
      <vt:variant>
        <vt:i4>2</vt:i4>
      </vt:variant>
      <vt:variant>
        <vt:i4>0</vt:i4>
      </vt:variant>
      <vt:variant>
        <vt:i4>5</vt:i4>
      </vt:variant>
      <vt:variant>
        <vt:lpwstr/>
      </vt:variant>
      <vt:variant>
        <vt:lpwstr>_Toc194483502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2025-04-02T06:46:00Z</dcterms:created>
  <dcterms:modified xsi:type="dcterms:W3CDTF">2025-04-02T06:46:00Z</dcterms:modified>
</cp:coreProperties>
</file>