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2C3D29">
        <w:rPr>
          <w:rFonts w:hAnsi="標楷體"/>
        </w:rPr>
        <w:t>2</w:t>
      </w:r>
      <w:r w:rsidRPr="000C21D7">
        <w:rPr>
          <w:rFonts w:hAnsi="標楷體" w:hint="eastAsia"/>
        </w:rPr>
        <w:t>年度營業決算評估報告</w:t>
      </w:r>
    </w:p>
    <w:p w:rsidR="00A33729" w:rsidRPr="007E57C8" w:rsidRDefault="00CC3E1F" w:rsidP="00A33729">
      <w:pPr>
        <w:pStyle w:val="14"/>
        <w:ind w:left="567" w:hanging="567"/>
        <w:rPr>
          <w:rFonts w:hAnsi="標楷體"/>
        </w:rPr>
      </w:pPr>
      <w:bookmarkStart w:id="1" w:name="_Toc193356662"/>
      <w:r w:rsidRPr="007E57C8">
        <w:rPr>
          <w:rFonts w:hAnsi="標楷體" w:hint="eastAsia"/>
          <w:snapToGrid/>
        </w:rPr>
        <w:t>三、</w:t>
      </w:r>
      <w:r w:rsidR="009243C8">
        <w:rPr>
          <w:rFonts w:hAnsi="標楷體" w:hint="eastAsia"/>
          <w:snapToGrid/>
        </w:rPr>
        <w:t>臺灣銀行</w:t>
      </w:r>
      <w:r w:rsidR="00954E55" w:rsidRPr="007E57C8">
        <w:rPr>
          <w:rFonts w:hAnsi="標楷體" w:hint="eastAsia"/>
          <w:snapToGrid/>
        </w:rPr>
        <w:t>近5</w:t>
      </w:r>
      <w:r w:rsidR="00055D45" w:rsidRPr="007E57C8">
        <w:rPr>
          <w:rFonts w:hAnsi="標楷體" w:hint="eastAsia"/>
        </w:rPr>
        <w:t>年</w:t>
      </w:r>
      <w:r w:rsidR="009243C8">
        <w:rPr>
          <w:rFonts w:hAnsi="標楷體" w:hint="eastAsia"/>
        </w:rPr>
        <w:t>度</w:t>
      </w:r>
      <w:r w:rsidR="00055D45" w:rsidRPr="007E57C8">
        <w:rPr>
          <w:rFonts w:hAnsi="標楷體" w:hint="eastAsia"/>
        </w:rPr>
        <w:t>手續費收入呈下滑趨勢，</w:t>
      </w:r>
      <w:r w:rsidR="009243C8">
        <w:rPr>
          <w:rFonts w:hAnsi="標楷體" w:hint="eastAsia"/>
        </w:rPr>
        <w:t>其中</w:t>
      </w:r>
      <w:r w:rsidR="00055D45" w:rsidRPr="007E57C8">
        <w:rPr>
          <w:rFonts w:hAnsi="標楷體" w:hint="eastAsia"/>
        </w:rPr>
        <w:t>財富管理手續費收入</w:t>
      </w:r>
      <w:r w:rsidR="009243C8">
        <w:rPr>
          <w:rFonts w:hAnsi="標楷體" w:hint="eastAsia"/>
        </w:rPr>
        <w:t>持續縮減</w:t>
      </w:r>
      <w:r w:rsidR="00055D45" w:rsidRPr="007E57C8">
        <w:rPr>
          <w:rFonts w:hAnsi="標楷體" w:hint="eastAsia"/>
        </w:rPr>
        <w:t>，允宜</w:t>
      </w:r>
      <w:r w:rsidR="009243C8">
        <w:rPr>
          <w:rFonts w:hAnsi="標楷體" w:hint="eastAsia"/>
        </w:rPr>
        <w:t>關</w:t>
      </w:r>
      <w:r w:rsidR="00055D45" w:rsidRPr="007E57C8">
        <w:rPr>
          <w:rFonts w:hAnsi="標楷體" w:hint="eastAsia"/>
        </w:rPr>
        <w:t>注金融市場環境</w:t>
      </w:r>
      <w:r w:rsidR="00454D00">
        <w:rPr>
          <w:rFonts w:hAnsi="標楷體" w:hint="eastAsia"/>
        </w:rPr>
        <w:t>及地緣政治風險</w:t>
      </w:r>
      <w:r w:rsidR="00055D45" w:rsidRPr="007E57C8">
        <w:rPr>
          <w:rFonts w:hAnsi="標楷體" w:hint="eastAsia"/>
        </w:rPr>
        <w:t>變化，</w:t>
      </w:r>
      <w:r w:rsidR="00454D00">
        <w:rPr>
          <w:rFonts w:hAnsi="標楷體" w:hint="eastAsia"/>
        </w:rPr>
        <w:t>並妥適</w:t>
      </w:r>
      <w:r w:rsidR="00055D45" w:rsidRPr="007E57C8">
        <w:rPr>
          <w:rFonts w:hAnsi="標楷體" w:hint="eastAsia"/>
        </w:rPr>
        <w:t>規劃因應策略</w:t>
      </w:r>
      <w:r w:rsidR="00454D00">
        <w:rPr>
          <w:rFonts w:hAnsi="標楷體" w:hint="eastAsia"/>
        </w:rPr>
        <w:t>，</w:t>
      </w:r>
      <w:r w:rsidR="00055D45" w:rsidRPr="007E57C8">
        <w:rPr>
          <w:rFonts w:hAnsi="標楷體" w:hint="eastAsia"/>
        </w:rPr>
        <w:t>以提升營收業績</w:t>
      </w:r>
      <w:bookmarkEnd w:id="1"/>
    </w:p>
    <w:p w:rsidR="00A33729" w:rsidRDefault="00055D45" w:rsidP="00A33729">
      <w:pPr>
        <w:adjustRightInd w:val="0"/>
        <w:ind w:left="566" w:firstLine="566"/>
        <w:rPr>
          <w:rFonts w:hAnsi="標楷體"/>
        </w:rPr>
      </w:pPr>
      <w:r w:rsidRPr="007E57C8">
        <w:rPr>
          <w:rFonts w:hAnsi="標楷體" w:hint="eastAsia"/>
        </w:rPr>
        <w:t>臺灣銀行11</w:t>
      </w:r>
      <w:r w:rsidRPr="007E57C8">
        <w:rPr>
          <w:rFonts w:hAnsi="標楷體"/>
        </w:rPr>
        <w:t>2</w:t>
      </w:r>
      <w:r w:rsidRPr="007E57C8">
        <w:rPr>
          <w:rFonts w:hAnsi="標楷體" w:hint="eastAsia"/>
        </w:rPr>
        <w:t>年度預算於「營業收入」之「金融保險收入」</w:t>
      </w:r>
      <w:r w:rsidRPr="00055D45">
        <w:rPr>
          <w:rFonts w:hAnsi="標楷體" w:hint="eastAsia"/>
        </w:rPr>
        <w:t>科目編列手續費收入</w:t>
      </w:r>
      <w:r w:rsidR="00954E55">
        <w:rPr>
          <w:rStyle w:val="afa"/>
          <w:rFonts w:hAnsi="標楷體"/>
        </w:rPr>
        <w:footnoteReference w:id="1"/>
      </w:r>
      <w:r w:rsidR="00DC07B1">
        <w:rPr>
          <w:rFonts w:hAnsi="標楷體"/>
        </w:rPr>
        <w:t>50</w:t>
      </w:r>
      <w:r w:rsidRPr="00055D45">
        <w:rPr>
          <w:rFonts w:hAnsi="標楷體" w:hint="eastAsia"/>
        </w:rPr>
        <w:t>億</w:t>
      </w:r>
      <w:r w:rsidR="00DC07B1">
        <w:rPr>
          <w:rFonts w:hAnsi="標楷體" w:hint="eastAsia"/>
        </w:rPr>
        <w:t>3</w:t>
      </w:r>
      <w:r w:rsidRPr="00055D45">
        <w:rPr>
          <w:rFonts w:hAnsi="標楷體" w:hint="eastAsia"/>
        </w:rPr>
        <w:t>7</w:t>
      </w:r>
      <w:r w:rsidR="00DC07B1">
        <w:rPr>
          <w:rFonts w:hAnsi="標楷體"/>
        </w:rPr>
        <w:t>8</w:t>
      </w:r>
      <w:r w:rsidRPr="00055D45">
        <w:rPr>
          <w:rFonts w:hAnsi="標楷體" w:hint="eastAsia"/>
        </w:rPr>
        <w:t>萬</w:t>
      </w:r>
      <w:r w:rsidR="00DC07B1">
        <w:rPr>
          <w:rFonts w:hAnsi="標楷體" w:hint="eastAsia"/>
        </w:rPr>
        <w:t>3</w:t>
      </w:r>
      <w:r w:rsidRPr="00055D45">
        <w:rPr>
          <w:rFonts w:hAnsi="標楷體" w:hint="eastAsia"/>
        </w:rPr>
        <w:t>千元，決算數為4</w:t>
      </w:r>
      <w:r w:rsidR="00DC07B1">
        <w:rPr>
          <w:rFonts w:hAnsi="標楷體"/>
        </w:rPr>
        <w:t>6</w:t>
      </w:r>
      <w:r w:rsidRPr="00055D45">
        <w:rPr>
          <w:rFonts w:hAnsi="標楷體" w:hint="eastAsia"/>
        </w:rPr>
        <w:t>億</w:t>
      </w:r>
      <w:r w:rsidR="00DC07B1">
        <w:rPr>
          <w:rFonts w:hAnsi="標楷體"/>
        </w:rPr>
        <w:t>1</w:t>
      </w:r>
      <w:r w:rsidRPr="00055D45">
        <w:rPr>
          <w:rFonts w:hAnsi="標楷體" w:hint="eastAsia"/>
        </w:rPr>
        <w:t>,</w:t>
      </w:r>
      <w:r w:rsidR="00DC07B1">
        <w:rPr>
          <w:rFonts w:hAnsi="標楷體"/>
        </w:rPr>
        <w:t>964</w:t>
      </w:r>
      <w:r w:rsidRPr="00055D45">
        <w:rPr>
          <w:rFonts w:hAnsi="標楷體" w:hint="eastAsia"/>
        </w:rPr>
        <w:t>萬</w:t>
      </w:r>
      <w:r w:rsidR="00DC07B1">
        <w:rPr>
          <w:rFonts w:hAnsi="標楷體"/>
        </w:rPr>
        <w:t>9</w:t>
      </w:r>
      <w:r w:rsidRPr="00055D45">
        <w:rPr>
          <w:rFonts w:hAnsi="標楷體" w:hint="eastAsia"/>
        </w:rPr>
        <w:t>千元，預算達成率9</w:t>
      </w:r>
      <w:r w:rsidR="00DC07B1">
        <w:rPr>
          <w:rFonts w:hAnsi="標楷體"/>
        </w:rPr>
        <w:t>2</w:t>
      </w:r>
      <w:r w:rsidRPr="00055D45">
        <w:rPr>
          <w:rFonts w:hAnsi="標楷體" w:hint="eastAsia"/>
        </w:rPr>
        <w:t>.</w:t>
      </w:r>
      <w:r w:rsidR="00DC07B1">
        <w:rPr>
          <w:rFonts w:hAnsi="標楷體"/>
        </w:rPr>
        <w:t>32</w:t>
      </w:r>
      <w:r w:rsidRPr="00055D45">
        <w:rPr>
          <w:rFonts w:hAnsi="標楷體" w:hint="eastAsia"/>
        </w:rPr>
        <w:t>%。經查：</w:t>
      </w:r>
    </w:p>
    <w:p w:rsidR="00DC07B1" w:rsidRPr="00872B86" w:rsidRDefault="00DC07B1" w:rsidP="00DC07B1">
      <w:pPr>
        <w:pStyle w:val="a4"/>
        <w:ind w:left="849" w:hanging="283"/>
        <w:rPr>
          <w:rFonts w:hAnsi="標楷體"/>
          <w:b/>
        </w:rPr>
      </w:pPr>
      <w:r w:rsidRPr="00872B86">
        <w:rPr>
          <w:rFonts w:hAnsi="標楷體" w:hint="eastAsia"/>
          <w:b/>
        </w:rPr>
        <w:t>(一)近</w:t>
      </w:r>
      <w:r>
        <w:rPr>
          <w:rFonts w:hAnsi="標楷體" w:hint="eastAsia"/>
          <w:b/>
        </w:rPr>
        <w:t>5</w:t>
      </w:r>
      <w:r w:rsidRPr="00872B86">
        <w:rPr>
          <w:rFonts w:hAnsi="標楷體" w:hint="eastAsia"/>
          <w:b/>
        </w:rPr>
        <w:t>年手續費收入決算金額持續下滑，允宜研謀改善</w:t>
      </w:r>
    </w:p>
    <w:p w:rsidR="00A33729" w:rsidRDefault="00DC07B1" w:rsidP="00C82AB9">
      <w:pPr>
        <w:ind w:leftChars="300" w:left="850" w:firstLine="566"/>
        <w:rPr>
          <w:rFonts w:hAnsi="標楷體"/>
          <w:color w:val="000000"/>
        </w:rPr>
      </w:pPr>
      <w:r w:rsidRPr="00DC07B1">
        <w:rPr>
          <w:rFonts w:hAnsi="標楷體" w:hint="eastAsia"/>
          <w:color w:val="000000"/>
        </w:rPr>
        <w:t>參據該行近</w:t>
      </w:r>
      <w:r w:rsidR="0043111C">
        <w:rPr>
          <w:rFonts w:hAnsi="標楷體" w:hint="eastAsia"/>
          <w:color w:val="000000"/>
        </w:rPr>
        <w:t>5</w:t>
      </w:r>
      <w:r w:rsidRPr="00DC07B1">
        <w:rPr>
          <w:rFonts w:hAnsi="標楷體" w:hint="eastAsia"/>
          <w:color w:val="000000"/>
        </w:rPr>
        <w:t>年手續費收入之預、決算情形(詳表1)，決算數由108年度58億6,659萬8千元逐年減至112年度46億1,964萬9千元，減幅21.26%；且手續費淨收益由108年度51億7,408萬7千元逐年降至112年度37億2,397萬8千元，減幅達28.03%，111及112年度占總淨收益比率亦均跌至10%以下</w:t>
      </w:r>
      <w:r w:rsidR="008811C9" w:rsidRPr="008811C9">
        <w:rPr>
          <w:rFonts w:hAnsi="標楷體" w:hint="eastAsia"/>
          <w:color w:val="000000"/>
        </w:rPr>
        <w:t>，整體手續費業務規模顯著萎縮。</w:t>
      </w:r>
      <w:r w:rsidR="00C82AB9" w:rsidRPr="00C82AB9">
        <w:rPr>
          <w:rFonts w:hAnsi="標楷體" w:hint="eastAsia"/>
          <w:color w:val="000000"/>
        </w:rPr>
        <w:t>據該行說明近年手續費收入持續下滑主要係最大宗之銷售保險手續費收入(合作推廣業務手續費收入</w:t>
      </w:r>
      <w:r w:rsidR="006A1A84">
        <w:rPr>
          <w:rStyle w:val="afa"/>
          <w:rFonts w:hAnsi="標楷體"/>
          <w:color w:val="000000"/>
        </w:rPr>
        <w:footnoteReference w:id="2"/>
      </w:r>
      <w:r w:rsidR="00C82AB9" w:rsidRPr="00C82AB9">
        <w:rPr>
          <w:rFonts w:hAnsi="標楷體" w:hint="eastAsia"/>
          <w:color w:val="000000"/>
        </w:rPr>
        <w:t>)減少所致，該項收入自109年起因主管機關陸續採行多</w:t>
      </w:r>
      <w:r w:rsidR="00C82AB9" w:rsidRPr="00C82AB9">
        <w:rPr>
          <w:rFonts w:hAnsi="標楷體" w:hint="eastAsia"/>
          <w:color w:val="000000"/>
        </w:rPr>
        <w:lastRenderedPageBreak/>
        <w:t>項監理措施</w:t>
      </w:r>
      <w:r w:rsidR="006A1A84">
        <w:rPr>
          <w:rStyle w:val="afa"/>
          <w:rFonts w:hAnsi="標楷體"/>
          <w:color w:val="000000"/>
        </w:rPr>
        <w:footnoteReference w:id="3"/>
      </w:r>
      <w:r w:rsidR="00C82AB9" w:rsidRPr="00C82AB9">
        <w:rPr>
          <w:rFonts w:hAnsi="標楷體" w:hint="eastAsia"/>
          <w:color w:val="000000"/>
        </w:rPr>
        <w:t>影響銷售、110年受新冠肺炎疫情影響業務推展、111年美國及國內啟動升息循環與全球股市大跌影響保單推展，</w:t>
      </w:r>
      <w:r w:rsidR="00454D00">
        <w:rPr>
          <w:rFonts w:hAnsi="標楷體" w:hint="eastAsia"/>
          <w:color w:val="000000"/>
        </w:rPr>
        <w:t>及</w:t>
      </w:r>
      <w:r w:rsidR="00C82AB9" w:rsidRPr="00C82AB9">
        <w:rPr>
          <w:rFonts w:hAnsi="標楷體" w:hint="eastAsia"/>
          <w:color w:val="000000"/>
        </w:rPr>
        <w:t>112年持續有不利因素影響(如升息</w:t>
      </w:r>
      <w:r w:rsidR="006A1A84">
        <w:rPr>
          <w:rStyle w:val="afa"/>
          <w:rFonts w:hAnsi="標楷體"/>
          <w:color w:val="000000"/>
        </w:rPr>
        <w:footnoteReference w:id="4"/>
      </w:r>
      <w:r w:rsidR="00C82AB9" w:rsidRPr="00C82AB9">
        <w:rPr>
          <w:rFonts w:hAnsi="標楷體" w:hint="eastAsia"/>
          <w:color w:val="000000"/>
        </w:rPr>
        <w:t>、金融市場波動</w:t>
      </w:r>
      <w:r w:rsidR="006A1A84">
        <w:rPr>
          <w:rStyle w:val="afa"/>
          <w:rFonts w:hAnsi="標楷體"/>
          <w:color w:val="000000"/>
        </w:rPr>
        <w:footnoteReference w:id="5"/>
      </w:r>
      <w:r w:rsidR="00C82AB9" w:rsidRPr="00C82AB9">
        <w:rPr>
          <w:rFonts w:hAnsi="標楷體" w:hint="eastAsia"/>
          <w:color w:val="000000"/>
        </w:rPr>
        <w:t>)。</w:t>
      </w:r>
      <w:r w:rsidR="00C82AB9" w:rsidRPr="00C82AB9">
        <w:rPr>
          <w:rFonts w:hAnsi="標楷體" w:hint="eastAsia"/>
          <w:color w:val="000000"/>
        </w:rPr>
        <w:lastRenderedPageBreak/>
        <w:t>衡酌主管機關監理措施與全球經濟發展趨勢均為金融市場既存之規範與風險，允宜滾動調整因應對策，俾改善該項業務持續萎縮之態勢。</w:t>
      </w:r>
    </w:p>
    <w:p w:rsidR="00CD32F3" w:rsidRDefault="00CD32F3" w:rsidP="00CD32F3">
      <w:pPr>
        <w:ind w:leftChars="150" w:left="425" w:firstLineChars="0" w:firstLine="0"/>
        <w:rPr>
          <w:rFonts w:hAnsi="標楷體"/>
          <w:b/>
        </w:rPr>
      </w:pPr>
      <w:r w:rsidRPr="003B67EB">
        <w:rPr>
          <w:rFonts w:hAnsi="標楷體" w:hint="eastAsia"/>
          <w:b/>
        </w:rPr>
        <w:t>表1 臺灣銀行近</w:t>
      </w:r>
      <w:r w:rsidR="0043111C">
        <w:rPr>
          <w:rFonts w:hAnsi="標楷體" w:hint="eastAsia"/>
          <w:b/>
        </w:rPr>
        <w:t>5</w:t>
      </w:r>
      <w:r w:rsidRPr="003B67EB">
        <w:rPr>
          <w:rFonts w:hAnsi="標楷體" w:hint="eastAsia"/>
          <w:b/>
        </w:rPr>
        <w:t>年</w:t>
      </w:r>
      <w:r w:rsidRPr="00796FDA">
        <w:rPr>
          <w:rFonts w:hAnsi="標楷體" w:hint="eastAsia"/>
          <w:b/>
        </w:rPr>
        <w:t>金融保險</w:t>
      </w:r>
      <w:r w:rsidRPr="003B67EB">
        <w:rPr>
          <w:rFonts w:hAnsi="標楷體" w:hint="eastAsia"/>
          <w:b/>
        </w:rPr>
        <w:t>手續費收入預、決算情形表</w:t>
      </w:r>
    </w:p>
    <w:p w:rsidR="00CD32F3" w:rsidRPr="003B67EB" w:rsidRDefault="00CD32F3" w:rsidP="00CD32F3">
      <w:pPr>
        <w:spacing w:line="280" w:lineRule="exact"/>
        <w:ind w:leftChars="-50" w:left="-142" w:rightChars="50" w:right="142" w:firstLineChars="0" w:firstLine="0"/>
        <w:jc w:val="right"/>
        <w:rPr>
          <w:rFonts w:hAnsi="標楷體"/>
        </w:rPr>
      </w:pPr>
      <w:r w:rsidRPr="003B67EB">
        <w:rPr>
          <w:rFonts w:hAnsi="標楷體" w:hint="eastAsia"/>
        </w:rPr>
        <w:t xml:space="preserve">     </w:t>
      </w:r>
      <w:r w:rsidRPr="003B67EB">
        <w:rPr>
          <w:rFonts w:hAnsi="標楷體" w:hint="eastAsia"/>
          <w:sz w:val="24"/>
          <w:szCs w:val="24"/>
        </w:rPr>
        <w:t>單位</w:t>
      </w:r>
      <w:r w:rsidRPr="003B67EB">
        <w:rPr>
          <w:rFonts w:hAnsi="標楷體" w:cs="全字庫正宋體" w:hint="eastAsia"/>
          <w:sz w:val="24"/>
          <w:szCs w:val="24"/>
        </w:rPr>
        <w:t>：</w:t>
      </w:r>
      <w:r w:rsidRPr="003B67EB">
        <w:rPr>
          <w:rFonts w:hAnsi="標楷體" w:hint="eastAsia"/>
          <w:sz w:val="24"/>
          <w:szCs w:val="24"/>
        </w:rPr>
        <w:t>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275"/>
        <w:gridCol w:w="1276"/>
        <w:gridCol w:w="1276"/>
        <w:gridCol w:w="1276"/>
        <w:gridCol w:w="1275"/>
      </w:tblGrid>
      <w:tr w:rsidR="00CD32F3" w:rsidRPr="003B67EB" w:rsidTr="00CD32F3">
        <w:trPr>
          <w:tblHeader/>
        </w:trPr>
        <w:tc>
          <w:tcPr>
            <w:tcW w:w="1701" w:type="dxa"/>
            <w:shd w:val="clear" w:color="auto" w:fill="auto"/>
          </w:tcPr>
          <w:p w:rsidR="00CD32F3" w:rsidRPr="003B67EB" w:rsidRDefault="00CD32F3" w:rsidP="0050138F">
            <w:pPr>
              <w:pStyle w:val="142"/>
              <w:spacing w:line="360" w:lineRule="exact"/>
              <w:rPr>
                <w:rFonts w:hAnsi="標楷體" w:hint="eastAsia"/>
                <w:spacing w:val="-20"/>
                <w:sz w:val="22"/>
                <w:szCs w:val="22"/>
              </w:rPr>
            </w:pPr>
            <w:r w:rsidRPr="003B67EB">
              <w:rPr>
                <w:rFonts w:hAnsi="標楷體" w:hint="eastAsia"/>
                <w:spacing w:val="-20"/>
                <w:sz w:val="22"/>
                <w:szCs w:val="22"/>
              </w:rPr>
              <w:t>項目</w:t>
            </w:r>
          </w:p>
        </w:tc>
        <w:tc>
          <w:tcPr>
            <w:tcW w:w="1275"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w:t>
            </w:r>
            <w:r w:rsidRPr="003B67EB">
              <w:rPr>
                <w:rFonts w:hAnsi="標楷體"/>
                <w:spacing w:val="-12"/>
                <w:sz w:val="22"/>
                <w:szCs w:val="22"/>
              </w:rPr>
              <w:t>08</w:t>
            </w:r>
            <w:r w:rsidRPr="003B67EB">
              <w:rPr>
                <w:rFonts w:hAnsi="標楷體" w:hint="eastAsia"/>
                <w:spacing w:val="-12"/>
                <w:sz w:val="22"/>
                <w:szCs w:val="22"/>
              </w:rPr>
              <w:t>年度</w:t>
            </w:r>
          </w:p>
        </w:tc>
        <w:tc>
          <w:tcPr>
            <w:tcW w:w="1276"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10</w:t>
            </w:r>
            <w:r w:rsidRPr="003B67EB">
              <w:rPr>
                <w:rFonts w:hAnsi="標楷體"/>
                <w:spacing w:val="-12"/>
                <w:sz w:val="22"/>
                <w:szCs w:val="22"/>
              </w:rPr>
              <w:t>9</w:t>
            </w:r>
            <w:r w:rsidRPr="003B67EB">
              <w:rPr>
                <w:rFonts w:hAnsi="標楷體" w:hint="eastAsia"/>
                <w:spacing w:val="-12"/>
                <w:sz w:val="22"/>
                <w:szCs w:val="22"/>
              </w:rPr>
              <w:t>年度</w:t>
            </w:r>
          </w:p>
        </w:tc>
        <w:tc>
          <w:tcPr>
            <w:tcW w:w="1276"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110年度</w:t>
            </w:r>
          </w:p>
        </w:tc>
        <w:tc>
          <w:tcPr>
            <w:tcW w:w="1276"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111年度</w:t>
            </w:r>
          </w:p>
        </w:tc>
        <w:tc>
          <w:tcPr>
            <w:tcW w:w="1275" w:type="dxa"/>
            <w:shd w:val="clear" w:color="auto" w:fill="auto"/>
          </w:tcPr>
          <w:p w:rsidR="00CD32F3" w:rsidRPr="003B67EB" w:rsidRDefault="00CD32F3" w:rsidP="0050138F">
            <w:pPr>
              <w:pStyle w:val="142"/>
              <w:spacing w:line="360" w:lineRule="exact"/>
              <w:jc w:val="center"/>
              <w:rPr>
                <w:rFonts w:hAnsi="標楷體" w:hint="eastAsia"/>
                <w:spacing w:val="-12"/>
                <w:sz w:val="22"/>
                <w:szCs w:val="22"/>
              </w:rPr>
            </w:pPr>
            <w:r w:rsidRPr="003B67EB">
              <w:rPr>
                <w:rFonts w:hAnsi="標楷體" w:hint="eastAsia"/>
                <w:spacing w:val="-12"/>
                <w:sz w:val="22"/>
                <w:szCs w:val="22"/>
              </w:rPr>
              <w:t>112年度</w:t>
            </w:r>
          </w:p>
        </w:tc>
      </w:tr>
      <w:tr w:rsidR="00CD32F3" w:rsidRPr="003B67EB" w:rsidTr="00CD32F3">
        <w:tc>
          <w:tcPr>
            <w:tcW w:w="1701" w:type="dxa"/>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預算數</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,528,795</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,400,206</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,251,799</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,967,661</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,003,783</w:t>
            </w:r>
          </w:p>
        </w:tc>
      </w:tr>
      <w:tr w:rsidR="00CD32F3" w:rsidRPr="003B67EB" w:rsidTr="00CD32F3">
        <w:tc>
          <w:tcPr>
            <w:tcW w:w="1701" w:type="dxa"/>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決算數</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,866,598</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,567,488</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,283,011</w:t>
            </w:r>
          </w:p>
        </w:tc>
        <w:tc>
          <w:tcPr>
            <w:tcW w:w="1276"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,877,342</w:t>
            </w:r>
          </w:p>
        </w:tc>
        <w:tc>
          <w:tcPr>
            <w:tcW w:w="1275" w:type="dxa"/>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spacing w:val="-12"/>
                <w:sz w:val="20"/>
                <w:szCs w:val="20"/>
              </w:rPr>
              <w:t>4,619,649</w:t>
            </w:r>
          </w:p>
        </w:tc>
      </w:tr>
      <w:tr w:rsidR="00CD32F3" w:rsidRPr="003B67EB" w:rsidTr="00CD32F3">
        <w:tc>
          <w:tcPr>
            <w:tcW w:w="1701" w:type="dxa"/>
            <w:tcBorders>
              <w:bottom w:val="double" w:sz="4" w:space="0" w:color="auto"/>
            </w:tcBorders>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達成率</w:t>
            </w:r>
          </w:p>
        </w:tc>
        <w:tc>
          <w:tcPr>
            <w:tcW w:w="1275"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snapToGrid/>
                <w:spacing w:val="-12"/>
                <w:kern w:val="0"/>
                <w:sz w:val="20"/>
                <w:szCs w:val="20"/>
              </w:rPr>
            </w:pPr>
            <w:r w:rsidRPr="003B67EB">
              <w:rPr>
                <w:rFonts w:hAnsi="標楷體" w:hint="eastAsia"/>
                <w:spacing w:val="-12"/>
                <w:sz w:val="20"/>
                <w:szCs w:val="20"/>
              </w:rPr>
              <w:t>106.11%</w:t>
            </w:r>
          </w:p>
        </w:tc>
        <w:tc>
          <w:tcPr>
            <w:tcW w:w="1276"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103.10%</w:t>
            </w:r>
          </w:p>
        </w:tc>
        <w:tc>
          <w:tcPr>
            <w:tcW w:w="1276"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100.59%</w:t>
            </w:r>
          </w:p>
        </w:tc>
        <w:tc>
          <w:tcPr>
            <w:tcW w:w="1276"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98.18%</w:t>
            </w:r>
          </w:p>
        </w:tc>
        <w:tc>
          <w:tcPr>
            <w:tcW w:w="1275" w:type="dxa"/>
            <w:tcBorders>
              <w:bottom w:val="doub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2</w:t>
            </w:r>
            <w:r w:rsidRPr="003B67EB">
              <w:rPr>
                <w:rFonts w:hAnsi="標楷體" w:hint="eastAsia"/>
                <w:spacing w:val="-12"/>
                <w:sz w:val="20"/>
                <w:szCs w:val="20"/>
              </w:rPr>
              <w:t>.</w:t>
            </w:r>
            <w:r w:rsidRPr="003B67EB">
              <w:rPr>
                <w:rFonts w:hAnsi="標楷體"/>
                <w:spacing w:val="-12"/>
                <w:sz w:val="20"/>
                <w:szCs w:val="20"/>
              </w:rPr>
              <w:t>32</w:t>
            </w:r>
            <w:r w:rsidRPr="003B67EB">
              <w:rPr>
                <w:rFonts w:hAnsi="標楷體" w:hint="eastAsia"/>
                <w:spacing w:val="-12"/>
                <w:sz w:val="20"/>
                <w:szCs w:val="20"/>
              </w:rPr>
              <w:t>%</w:t>
            </w:r>
          </w:p>
        </w:tc>
      </w:tr>
      <w:tr w:rsidR="00CD32F3" w:rsidRPr="003B67EB" w:rsidTr="00CD32F3">
        <w:tc>
          <w:tcPr>
            <w:tcW w:w="1701" w:type="dxa"/>
            <w:tcBorders>
              <w:top w:val="double" w:sz="4" w:space="0" w:color="auto"/>
              <w:bottom w:val="single" w:sz="4" w:space="0" w:color="auto"/>
            </w:tcBorders>
            <w:shd w:val="clear" w:color="auto" w:fill="auto"/>
          </w:tcPr>
          <w:p w:rsidR="00CD32F3" w:rsidRPr="003B67EB" w:rsidRDefault="00CD32F3" w:rsidP="0050138F">
            <w:pPr>
              <w:pStyle w:val="142"/>
              <w:spacing w:line="360" w:lineRule="exact"/>
              <w:rPr>
                <w:rFonts w:hAnsi="標楷體" w:hint="eastAsia"/>
                <w:spacing w:val="-20"/>
              </w:rPr>
            </w:pPr>
            <w:r w:rsidRPr="003B67EB">
              <w:rPr>
                <w:rFonts w:hAnsi="標楷體" w:hint="eastAsia"/>
                <w:spacing w:val="-20"/>
              </w:rPr>
              <w:t>手續費淨收益</w:t>
            </w:r>
          </w:p>
        </w:tc>
        <w:tc>
          <w:tcPr>
            <w:tcW w:w="1275"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,174,087</w:t>
            </w:r>
          </w:p>
        </w:tc>
        <w:tc>
          <w:tcPr>
            <w:tcW w:w="1276"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,832,319</w:t>
            </w:r>
          </w:p>
        </w:tc>
        <w:tc>
          <w:tcPr>
            <w:tcW w:w="1276"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,519,121</w:t>
            </w:r>
          </w:p>
        </w:tc>
        <w:tc>
          <w:tcPr>
            <w:tcW w:w="1276" w:type="dxa"/>
            <w:tcBorders>
              <w:top w:val="double" w:sz="4" w:space="0" w:color="auto"/>
              <w:bottom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,070,368</w:t>
            </w:r>
          </w:p>
        </w:tc>
        <w:tc>
          <w:tcPr>
            <w:tcW w:w="1275" w:type="dxa"/>
            <w:tcBorders>
              <w:top w:val="double" w:sz="4" w:space="0" w:color="auto"/>
              <w:bottom w:val="single" w:sz="4" w:space="0" w:color="auto"/>
            </w:tcBorders>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spacing w:val="-12"/>
                <w:sz w:val="20"/>
                <w:szCs w:val="20"/>
              </w:rPr>
              <w:t>3,723,978</w:t>
            </w:r>
          </w:p>
        </w:tc>
      </w:tr>
      <w:tr w:rsidR="00CD32F3" w:rsidRPr="003B67EB" w:rsidTr="00CD32F3">
        <w:tc>
          <w:tcPr>
            <w:tcW w:w="1701" w:type="dxa"/>
            <w:tcBorders>
              <w:top w:val="single" w:sz="4" w:space="0" w:color="auto"/>
            </w:tcBorders>
            <w:shd w:val="clear" w:color="auto" w:fill="auto"/>
          </w:tcPr>
          <w:p w:rsidR="00CD32F3" w:rsidRPr="003B67EB" w:rsidRDefault="00CD32F3" w:rsidP="0050138F">
            <w:pPr>
              <w:pStyle w:val="142"/>
              <w:spacing w:line="360" w:lineRule="exact"/>
              <w:rPr>
                <w:rFonts w:hAnsi="標楷體" w:hint="eastAsia"/>
                <w:spacing w:val="-20"/>
                <w:sz w:val="22"/>
                <w:szCs w:val="22"/>
              </w:rPr>
            </w:pPr>
            <w:r w:rsidRPr="003B67EB">
              <w:rPr>
                <w:rFonts w:hAnsi="標楷體" w:hint="eastAsia"/>
                <w:spacing w:val="-20"/>
                <w:sz w:val="22"/>
                <w:szCs w:val="22"/>
              </w:rPr>
              <w:t>占總淨收益比率</w:t>
            </w:r>
          </w:p>
        </w:tc>
        <w:tc>
          <w:tcPr>
            <w:tcW w:w="1275"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2.27%</w:t>
            </w:r>
          </w:p>
        </w:tc>
        <w:tc>
          <w:tcPr>
            <w:tcW w:w="1276"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4.16%</w:t>
            </w:r>
          </w:p>
        </w:tc>
        <w:tc>
          <w:tcPr>
            <w:tcW w:w="1276"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1.57%</w:t>
            </w:r>
          </w:p>
        </w:tc>
        <w:tc>
          <w:tcPr>
            <w:tcW w:w="1276" w:type="dxa"/>
            <w:tcBorders>
              <w:top w:val="single" w:sz="4" w:space="0" w:color="auto"/>
            </w:tcBorders>
            <w:shd w:val="clear" w:color="auto" w:fill="auto"/>
            <w:vAlign w:val="center"/>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.51%</w:t>
            </w:r>
          </w:p>
        </w:tc>
        <w:tc>
          <w:tcPr>
            <w:tcW w:w="1275" w:type="dxa"/>
            <w:tcBorders>
              <w:top w:val="single" w:sz="4" w:space="0" w:color="auto"/>
            </w:tcBorders>
            <w:shd w:val="clear" w:color="auto" w:fill="auto"/>
          </w:tcPr>
          <w:p w:rsidR="00CD32F3" w:rsidRPr="003B67EB" w:rsidRDefault="00CD32F3" w:rsidP="00CD32F3">
            <w:pPr>
              <w:pStyle w:val="142"/>
              <w:spacing w:line="360" w:lineRule="exact"/>
              <w:jc w:val="right"/>
              <w:rPr>
                <w:rFonts w:hAnsi="標楷體" w:hint="eastAsia"/>
                <w:spacing w:val="-12"/>
                <w:sz w:val="20"/>
                <w:szCs w:val="20"/>
              </w:rPr>
            </w:pPr>
            <w:r w:rsidRPr="003B67EB">
              <w:rPr>
                <w:rFonts w:hAnsi="標楷體"/>
                <w:spacing w:val="-12"/>
                <w:sz w:val="20"/>
                <w:szCs w:val="20"/>
              </w:rPr>
              <w:t>6.67%</w:t>
            </w:r>
          </w:p>
        </w:tc>
      </w:tr>
    </w:tbl>
    <w:p w:rsidR="00CD32F3" w:rsidRPr="003B67EB" w:rsidRDefault="00CD32F3" w:rsidP="00CD32F3">
      <w:pPr>
        <w:spacing w:line="280" w:lineRule="exact"/>
        <w:ind w:leftChars="150" w:left="425" w:firstLineChars="0" w:firstLine="0"/>
        <w:jc w:val="left"/>
        <w:rPr>
          <w:rFonts w:hAnsi="標楷體"/>
          <w:sz w:val="24"/>
        </w:rPr>
      </w:pPr>
      <w:r w:rsidRPr="003B67EB">
        <w:rPr>
          <w:rFonts w:hAnsi="標楷體" w:hint="eastAsia"/>
          <w:sz w:val="24"/>
        </w:rPr>
        <w:t>說    明</w:t>
      </w:r>
      <w:r w:rsidRPr="003B67EB">
        <w:rPr>
          <w:rFonts w:hAnsi="標楷體" w:cs="全字庫正宋體" w:hint="eastAsia"/>
          <w:sz w:val="24"/>
        </w:rPr>
        <w:t>：</w:t>
      </w:r>
      <w:r>
        <w:rPr>
          <w:rFonts w:hAnsi="標楷體" w:hint="eastAsia"/>
          <w:sz w:val="24"/>
        </w:rPr>
        <w:t>表內總淨收益係指利息淨收益加計利息以外淨收益之合計數</w:t>
      </w:r>
      <w:r w:rsidRPr="003B67EB">
        <w:rPr>
          <w:rFonts w:hAnsi="標楷體" w:hint="eastAsia"/>
          <w:sz w:val="24"/>
        </w:rPr>
        <w:t>。</w:t>
      </w:r>
    </w:p>
    <w:p w:rsidR="00CD32F3" w:rsidRPr="00B6310B" w:rsidRDefault="00CD32F3" w:rsidP="00CD32F3">
      <w:pPr>
        <w:spacing w:line="280" w:lineRule="exact"/>
        <w:ind w:leftChars="150" w:left="425" w:firstLineChars="0" w:firstLine="0"/>
        <w:jc w:val="left"/>
        <w:rPr>
          <w:rFonts w:hAnsi="標楷體" w:hint="eastAsia"/>
          <w:sz w:val="24"/>
        </w:rPr>
      </w:pPr>
      <w:r w:rsidRPr="00B6310B">
        <w:rPr>
          <w:rFonts w:hAnsi="標楷體" w:hint="eastAsia"/>
          <w:sz w:val="24"/>
        </w:rPr>
        <w:t>資料來源：臺灣銀行各年度年報及臺灣銀行提供。</w:t>
      </w:r>
    </w:p>
    <w:p w:rsidR="00CD32F3" w:rsidRPr="00872B86" w:rsidRDefault="00CD32F3" w:rsidP="00CD32F3">
      <w:pPr>
        <w:pStyle w:val="a4"/>
        <w:ind w:left="849" w:hanging="283"/>
        <w:rPr>
          <w:rFonts w:hAnsi="標楷體"/>
          <w:b/>
        </w:rPr>
      </w:pPr>
      <w:r w:rsidRPr="00872B86">
        <w:rPr>
          <w:rFonts w:hAnsi="標楷體" w:hint="eastAsia"/>
          <w:b/>
        </w:rPr>
        <w:t>(</w:t>
      </w:r>
      <w:r>
        <w:rPr>
          <w:rFonts w:hAnsi="標楷體" w:hint="eastAsia"/>
          <w:b/>
        </w:rPr>
        <w:t>二</w:t>
      </w:r>
      <w:r w:rsidRPr="00872B86">
        <w:rPr>
          <w:rFonts w:hAnsi="標楷體" w:hint="eastAsia"/>
          <w:b/>
        </w:rPr>
        <w:t>)</w:t>
      </w:r>
      <w:r w:rsidRPr="00CD32F3">
        <w:rPr>
          <w:rFonts w:hAnsi="標楷體" w:hint="eastAsia"/>
          <w:b/>
        </w:rPr>
        <w:t>財富管理手續費收入持續下滑，允宜加強推展業務</w:t>
      </w:r>
    </w:p>
    <w:p w:rsidR="006B2649" w:rsidRDefault="00CD32F3" w:rsidP="006B2649">
      <w:pPr>
        <w:ind w:leftChars="300" w:left="850" w:firstLine="566"/>
        <w:rPr>
          <w:rFonts w:hAnsi="標楷體"/>
          <w:color w:val="000000"/>
        </w:rPr>
      </w:pPr>
      <w:r w:rsidRPr="006B2649">
        <w:rPr>
          <w:rFonts w:hAnsi="標楷體" w:hint="eastAsia"/>
          <w:color w:val="000000"/>
        </w:rPr>
        <w:t>該行財富管理業務係利用金控集團商品及通路整合行銷效益，建立多元化金融商品銷售平臺，拓展理財業務之服務網，並優化理財業務專業人才培訓，實施業務輔導機制，以強化目標管理，並賡續辦理投資理財講座，深耕理財客戶。</w:t>
      </w:r>
    </w:p>
    <w:p w:rsidR="00CD32F3" w:rsidRPr="006B2649" w:rsidRDefault="006B2649" w:rsidP="006B2649">
      <w:pPr>
        <w:ind w:leftChars="300" w:left="850" w:firstLine="566"/>
        <w:rPr>
          <w:rFonts w:hAnsi="標楷體"/>
          <w:color w:val="000000"/>
        </w:rPr>
      </w:pPr>
      <w:r w:rsidRPr="006B2649">
        <w:rPr>
          <w:rFonts w:hAnsi="標楷體" w:hint="eastAsia"/>
          <w:color w:val="000000"/>
        </w:rPr>
        <w:t>有關近年度臺灣銀行財富管理業務執行情形，該行整體財富管理業務收入由108年度14.42億元逐年減至112年度5.94億元(減幅58.81%)，業務規模大幅縮減，業務拓展成效難謂良</w:t>
      </w:r>
      <w:r w:rsidRPr="006B2649">
        <w:rPr>
          <w:rFonts w:hAnsi="標楷體" w:hint="eastAsia"/>
          <w:color w:val="000000"/>
        </w:rPr>
        <w:lastRenderedPageBreak/>
        <w:t>善(詳表2)，謹分述如次：</w:t>
      </w:r>
    </w:p>
    <w:p w:rsidR="006B2649" w:rsidRPr="005820D1" w:rsidRDefault="006B2649" w:rsidP="006B2649">
      <w:pPr>
        <w:pStyle w:val="123"/>
        <w:ind w:left="1133" w:hanging="283"/>
        <w:rPr>
          <w:rFonts w:hAnsi="標楷體"/>
        </w:rPr>
      </w:pPr>
      <w:r w:rsidRPr="005820D1">
        <w:rPr>
          <w:rFonts w:hAnsi="標楷體" w:hint="eastAsia"/>
          <w:b/>
        </w:rPr>
        <w:t>1.基金手續費收入</w:t>
      </w:r>
      <w:r w:rsidRPr="005820D1">
        <w:rPr>
          <w:rFonts w:hAnsi="標楷體" w:cs="全字庫正宋體" w:hint="eastAsia"/>
          <w:b/>
        </w:rPr>
        <w:t>：</w:t>
      </w:r>
      <w:r w:rsidRPr="005820D1">
        <w:rPr>
          <w:rFonts w:hAnsi="標楷體" w:hint="eastAsia"/>
        </w:rPr>
        <w:t>由108年度2.27億元增至110年度3.62億元，惟1</w:t>
      </w:r>
      <w:r w:rsidRPr="005820D1">
        <w:rPr>
          <w:rFonts w:hAnsi="標楷體"/>
        </w:rPr>
        <w:t>12</w:t>
      </w:r>
      <w:r w:rsidRPr="005820D1">
        <w:rPr>
          <w:rFonts w:hAnsi="標楷體" w:hint="eastAsia"/>
        </w:rPr>
        <w:t>年度縮減至2.</w:t>
      </w:r>
      <w:r w:rsidRPr="005820D1">
        <w:rPr>
          <w:rFonts w:hAnsi="標楷體"/>
        </w:rPr>
        <w:t>06</w:t>
      </w:r>
      <w:r w:rsidRPr="005820D1">
        <w:rPr>
          <w:rFonts w:hAnsi="標楷體" w:hint="eastAsia"/>
        </w:rPr>
        <w:t>億元，較1</w:t>
      </w:r>
      <w:r w:rsidRPr="005820D1">
        <w:rPr>
          <w:rFonts w:hAnsi="標楷體"/>
        </w:rPr>
        <w:t>10</w:t>
      </w:r>
      <w:r w:rsidRPr="005820D1">
        <w:rPr>
          <w:rFonts w:hAnsi="標楷體" w:hint="eastAsia"/>
        </w:rPr>
        <w:t>年度減少</w:t>
      </w:r>
      <w:r w:rsidRPr="005820D1">
        <w:rPr>
          <w:rFonts w:hAnsi="標楷體"/>
        </w:rPr>
        <w:t>43</w:t>
      </w:r>
      <w:r w:rsidRPr="005820D1">
        <w:rPr>
          <w:rFonts w:hAnsi="標楷體" w:hint="eastAsia"/>
        </w:rPr>
        <w:t>.</w:t>
      </w:r>
      <w:r w:rsidRPr="005820D1">
        <w:rPr>
          <w:rFonts w:hAnsi="標楷體"/>
        </w:rPr>
        <w:t>09</w:t>
      </w:r>
      <w:r w:rsidRPr="005820D1">
        <w:rPr>
          <w:rFonts w:hAnsi="標楷體" w:hint="eastAsia"/>
        </w:rPr>
        <w:t>%，據該行表示主要係11</w:t>
      </w:r>
      <w:r w:rsidRPr="005820D1">
        <w:rPr>
          <w:rFonts w:hAnsi="標楷體"/>
        </w:rPr>
        <w:t>2</w:t>
      </w:r>
      <w:r w:rsidRPr="005820D1">
        <w:rPr>
          <w:rFonts w:hAnsi="標楷體" w:hint="eastAsia"/>
        </w:rPr>
        <w:t>年全球金融市場波動劇烈，該行客戶投資屬性偏保守穩健多持觀望以對，致達成情形未如預期。</w:t>
      </w:r>
    </w:p>
    <w:p w:rsidR="006B2649" w:rsidRPr="005820D1" w:rsidRDefault="006B2649" w:rsidP="006B2649">
      <w:pPr>
        <w:pStyle w:val="123"/>
        <w:ind w:left="1133" w:hanging="283"/>
        <w:rPr>
          <w:rFonts w:hAnsi="標楷體"/>
        </w:rPr>
      </w:pPr>
      <w:r w:rsidRPr="005820D1">
        <w:rPr>
          <w:rFonts w:hAnsi="標楷體" w:hint="eastAsia"/>
          <w:b/>
        </w:rPr>
        <w:t>2</w:t>
      </w:r>
      <w:r w:rsidRPr="005820D1">
        <w:rPr>
          <w:rFonts w:hAnsi="標楷體"/>
          <w:b/>
        </w:rPr>
        <w:t>.</w:t>
      </w:r>
      <w:r w:rsidRPr="005820D1">
        <w:rPr>
          <w:rFonts w:hAnsi="標楷體" w:hint="eastAsia"/>
          <w:b/>
        </w:rPr>
        <w:t>保險手續費收入</w:t>
      </w:r>
      <w:r w:rsidRPr="005820D1">
        <w:rPr>
          <w:rFonts w:hAnsi="標楷體" w:cs="全字庫正宋體" w:hint="eastAsia"/>
          <w:b/>
        </w:rPr>
        <w:t>：</w:t>
      </w:r>
      <w:r w:rsidRPr="005820D1">
        <w:rPr>
          <w:rFonts w:hAnsi="標楷體" w:hint="eastAsia"/>
        </w:rPr>
        <w:t>由108年度11.52億元逐年減至11</w:t>
      </w:r>
      <w:r w:rsidRPr="005820D1">
        <w:rPr>
          <w:rFonts w:hAnsi="標楷體"/>
        </w:rPr>
        <w:t>2</w:t>
      </w:r>
      <w:r w:rsidRPr="005820D1">
        <w:rPr>
          <w:rFonts w:hAnsi="標楷體" w:hint="eastAsia"/>
        </w:rPr>
        <w:t>年度3.</w:t>
      </w:r>
      <w:r w:rsidRPr="005820D1">
        <w:rPr>
          <w:rFonts w:hAnsi="標楷體"/>
        </w:rPr>
        <w:t>22</w:t>
      </w:r>
      <w:r w:rsidRPr="005820D1">
        <w:rPr>
          <w:rFonts w:hAnsi="標楷體" w:hint="eastAsia"/>
        </w:rPr>
        <w:t>億元(減幅</w:t>
      </w:r>
      <w:r w:rsidRPr="005820D1">
        <w:rPr>
          <w:rFonts w:hAnsi="標楷體"/>
        </w:rPr>
        <w:t>72</w:t>
      </w:r>
      <w:r w:rsidRPr="005820D1">
        <w:rPr>
          <w:rFonts w:hAnsi="標楷體" w:hint="eastAsia"/>
        </w:rPr>
        <w:t>.</w:t>
      </w:r>
      <w:r w:rsidRPr="005820D1">
        <w:rPr>
          <w:rFonts w:hAnsi="標楷體"/>
        </w:rPr>
        <w:t>05</w:t>
      </w:r>
      <w:r w:rsidRPr="005820D1">
        <w:rPr>
          <w:rFonts w:hAnsi="標楷體" w:hint="eastAsia"/>
        </w:rPr>
        <w:t>%)，據該行表示主要係產品銷售主力-</w:t>
      </w:r>
      <w:r w:rsidRPr="005820D1">
        <w:rPr>
          <w:rFonts w:hAnsi="標楷體" w:hint="eastAsia"/>
        </w:rPr>
        <w:lastRenderedPageBreak/>
        <w:t>儲蓄型保單及投資型保單銷售推展困難，已逐步調整商品策略，將持續轉型銷售高保障型商品，以符合該行眾多中小企業主之退休規劃、資產傳承等需求。</w:t>
      </w:r>
    </w:p>
    <w:p w:rsidR="006B2649" w:rsidRPr="00120819" w:rsidRDefault="006B2649" w:rsidP="006B2649">
      <w:pPr>
        <w:pStyle w:val="123"/>
        <w:ind w:left="1133" w:hanging="283"/>
        <w:rPr>
          <w:rFonts w:hAnsi="標楷體"/>
        </w:rPr>
      </w:pPr>
      <w:r w:rsidRPr="00120819">
        <w:rPr>
          <w:rFonts w:hAnsi="標楷體" w:hint="eastAsia"/>
          <w:b/>
        </w:rPr>
        <w:t>3.黃金存摺手續費收入：</w:t>
      </w:r>
      <w:r w:rsidRPr="00120819">
        <w:rPr>
          <w:rFonts w:hAnsi="標楷體" w:hint="eastAsia"/>
        </w:rPr>
        <w:t>由</w:t>
      </w:r>
      <w:r w:rsidR="00454D00">
        <w:rPr>
          <w:rFonts w:hAnsi="標楷體" w:hint="eastAsia"/>
        </w:rPr>
        <w:t>近年最高之</w:t>
      </w:r>
      <w:r w:rsidRPr="00120819">
        <w:rPr>
          <w:rFonts w:hAnsi="標楷體" w:hint="eastAsia"/>
        </w:rPr>
        <w:t>109年度1.48億元減至11</w:t>
      </w:r>
      <w:r w:rsidRPr="00120819">
        <w:rPr>
          <w:rFonts w:hAnsi="標楷體"/>
        </w:rPr>
        <w:t>2</w:t>
      </w:r>
      <w:r w:rsidRPr="00120819">
        <w:rPr>
          <w:rFonts w:hAnsi="標楷體" w:hint="eastAsia"/>
        </w:rPr>
        <w:t>年度0.</w:t>
      </w:r>
      <w:r w:rsidRPr="00120819">
        <w:rPr>
          <w:rFonts w:hAnsi="標楷體"/>
        </w:rPr>
        <w:t>66</w:t>
      </w:r>
      <w:r w:rsidRPr="00120819">
        <w:rPr>
          <w:rFonts w:hAnsi="標楷體" w:hint="eastAsia"/>
        </w:rPr>
        <w:t>億元(減幅5</w:t>
      </w:r>
      <w:r w:rsidRPr="00120819">
        <w:rPr>
          <w:rFonts w:hAnsi="標楷體"/>
        </w:rPr>
        <w:t>5</w:t>
      </w:r>
      <w:r w:rsidRPr="00120819">
        <w:rPr>
          <w:rFonts w:hAnsi="標楷體" w:hint="eastAsia"/>
        </w:rPr>
        <w:t>.</w:t>
      </w:r>
      <w:r w:rsidRPr="00120819">
        <w:rPr>
          <w:rFonts w:hAnsi="標楷體"/>
        </w:rPr>
        <w:t>41</w:t>
      </w:r>
      <w:r w:rsidRPr="00120819">
        <w:rPr>
          <w:rFonts w:hAnsi="標楷體" w:hint="eastAsia"/>
        </w:rPr>
        <w:t>%)，據該行表示11</w:t>
      </w:r>
      <w:r w:rsidRPr="00120819">
        <w:rPr>
          <w:rFonts w:hAnsi="標楷體"/>
        </w:rPr>
        <w:t>2</w:t>
      </w:r>
      <w:r w:rsidRPr="00120819">
        <w:rPr>
          <w:rFonts w:hAnsi="標楷體" w:hint="eastAsia"/>
        </w:rPr>
        <w:t>年因以巴戰爭引發地緣政治風險急遽上升，投資人買賣轉為積極，惟通膨降溫，帶動金價處於高檔，投資人轉趨觀望，影響後續銷售動能致手續費收入不如預期。</w:t>
      </w:r>
    </w:p>
    <w:p w:rsidR="006B2649" w:rsidRPr="00120819" w:rsidRDefault="006B2649" w:rsidP="006B2649">
      <w:pPr>
        <w:ind w:leftChars="300" w:left="850" w:firstLine="566"/>
        <w:rPr>
          <w:rFonts w:hAnsi="標楷體"/>
        </w:rPr>
      </w:pPr>
      <w:r w:rsidRPr="00120819">
        <w:rPr>
          <w:rFonts w:hAnsi="標楷體" w:hint="eastAsia"/>
        </w:rPr>
        <w:t>鑒於國際金融市場</w:t>
      </w:r>
      <w:r w:rsidR="00454D00">
        <w:rPr>
          <w:rFonts w:hAnsi="標楷體" w:hint="eastAsia"/>
        </w:rPr>
        <w:t>及地緣政治</w:t>
      </w:r>
      <w:r w:rsidRPr="00120819">
        <w:rPr>
          <w:rFonts w:hAnsi="標楷體" w:hint="eastAsia"/>
        </w:rPr>
        <w:t>風險</w:t>
      </w:r>
      <w:r w:rsidR="00454D00">
        <w:rPr>
          <w:rFonts w:hAnsi="標楷體" w:hint="eastAsia"/>
        </w:rPr>
        <w:t>影響該行財富管理業務甚鉅</w:t>
      </w:r>
      <w:r w:rsidRPr="00120819">
        <w:rPr>
          <w:rFonts w:hAnsi="標楷體" w:hint="eastAsia"/>
        </w:rPr>
        <w:t>，</w:t>
      </w:r>
      <w:r w:rsidR="00454D00">
        <w:rPr>
          <w:rFonts w:hAnsi="標楷體" w:hint="eastAsia"/>
        </w:rPr>
        <w:t>爰相關</w:t>
      </w:r>
      <w:r w:rsidRPr="00120819">
        <w:rPr>
          <w:rFonts w:hAnsi="標楷體" w:hint="eastAsia"/>
        </w:rPr>
        <w:t>金融商品投資與專業管理更顯重要，允宜積極利用該行具備之銷售平台與專業人才等優勢，積極改善各該財富管理業務之推展績效。</w:t>
      </w:r>
    </w:p>
    <w:p w:rsidR="006B2649" w:rsidRDefault="006B2649" w:rsidP="006B2649">
      <w:pPr>
        <w:ind w:leftChars="300" w:left="850" w:firstLineChars="0" w:firstLine="0"/>
        <w:rPr>
          <w:rFonts w:hAnsi="標楷體"/>
          <w:b/>
        </w:rPr>
      </w:pPr>
      <w:r w:rsidRPr="00973A1E">
        <w:rPr>
          <w:rFonts w:hAnsi="標楷體" w:hint="eastAsia"/>
          <w:b/>
        </w:rPr>
        <w:t xml:space="preserve">表2 近年臺灣銀行財富管理業務執行情形一覽表 </w:t>
      </w:r>
      <w:r>
        <w:rPr>
          <w:rFonts w:hAnsi="標楷體"/>
          <w:b/>
        </w:rPr>
        <w:t xml:space="preserve"> </w:t>
      </w:r>
    </w:p>
    <w:p w:rsidR="006B2649" w:rsidRPr="00973A1E" w:rsidRDefault="006B2649" w:rsidP="006B2649">
      <w:pPr>
        <w:spacing w:line="280" w:lineRule="exact"/>
        <w:ind w:leftChars="100" w:left="283" w:firstLineChars="0" w:firstLine="0"/>
        <w:jc w:val="right"/>
        <w:rPr>
          <w:rFonts w:hAnsi="標楷體"/>
          <w:snapToGrid/>
          <w:spacing w:val="-5"/>
          <w:kern w:val="0"/>
          <w:sz w:val="24"/>
          <w:szCs w:val="24"/>
        </w:rPr>
      </w:pPr>
      <w:r w:rsidRPr="00973A1E">
        <w:rPr>
          <w:rFonts w:hAnsi="標楷體" w:hint="eastAsia"/>
          <w:sz w:val="24"/>
          <w:szCs w:val="24"/>
        </w:rPr>
        <w:t>單位：新臺幣億元</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134"/>
        <w:gridCol w:w="1134"/>
        <w:gridCol w:w="1275"/>
        <w:gridCol w:w="1134"/>
        <w:gridCol w:w="1134"/>
      </w:tblGrid>
      <w:tr w:rsidR="006B2649" w:rsidRPr="00973A1E" w:rsidTr="006B2649">
        <w:trPr>
          <w:tblHeader/>
        </w:trPr>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項目</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108年度</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109年度</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110年度</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111年度</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w:t>
            </w:r>
            <w:r w:rsidRPr="00973A1E">
              <w:rPr>
                <w:rFonts w:hAnsi="標楷體"/>
                <w:snapToGrid/>
                <w:spacing w:val="-5"/>
                <w:kern w:val="0"/>
                <w:sz w:val="22"/>
                <w:szCs w:val="22"/>
              </w:rPr>
              <w:t>2</w:t>
            </w:r>
            <w:r w:rsidRPr="00973A1E">
              <w:rPr>
                <w:rFonts w:hAnsi="標楷體" w:hint="eastAsia"/>
                <w:snapToGrid/>
                <w:spacing w:val="-5"/>
                <w:kern w:val="0"/>
                <w:sz w:val="22"/>
                <w:szCs w:val="22"/>
              </w:rPr>
              <w:t>年度</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基金手續費收入</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2.27</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3.16</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3.62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2.22</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2.</w:t>
            </w:r>
            <w:r w:rsidRPr="00973A1E">
              <w:rPr>
                <w:rFonts w:hAnsi="標楷體"/>
                <w:snapToGrid/>
                <w:spacing w:val="-5"/>
                <w:kern w:val="0"/>
                <w:sz w:val="22"/>
                <w:szCs w:val="22"/>
              </w:rPr>
              <w:t>06</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保險手續費收入</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6.89</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3.86</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3.</w:t>
            </w:r>
            <w:r w:rsidRPr="00973A1E">
              <w:rPr>
                <w:rFonts w:hAnsi="標楷體"/>
                <w:snapToGrid/>
                <w:spacing w:val="-5"/>
                <w:kern w:val="0"/>
                <w:sz w:val="22"/>
                <w:szCs w:val="22"/>
              </w:rPr>
              <w:t>22</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10"/>
                <w:kern w:val="0"/>
                <w:sz w:val="22"/>
                <w:szCs w:val="22"/>
              </w:rPr>
            </w:pPr>
            <w:r w:rsidRPr="00973A1E">
              <w:rPr>
                <w:rFonts w:hAnsi="標楷體"/>
                <w:snapToGrid/>
                <w:spacing w:val="-10"/>
                <w:kern w:val="0"/>
                <w:sz w:val="22"/>
                <w:szCs w:val="22"/>
              </w:rPr>
              <w:t>黃金存摺手續費收入</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0.63</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1.48</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0.68</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0.70</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0.6</w:t>
            </w:r>
            <w:r w:rsidRPr="00973A1E">
              <w:rPr>
                <w:rFonts w:hAnsi="標楷體"/>
                <w:snapToGrid/>
                <w:spacing w:val="-5"/>
                <w:kern w:val="0"/>
                <w:sz w:val="22"/>
                <w:szCs w:val="22"/>
              </w:rPr>
              <w:t>6</w:t>
            </w:r>
          </w:p>
        </w:tc>
      </w:tr>
      <w:tr w:rsidR="006B2649" w:rsidRPr="00973A1E" w:rsidTr="006B2649">
        <w:tc>
          <w:tcPr>
            <w:tcW w:w="1843" w:type="dxa"/>
            <w:shd w:val="clear" w:color="auto" w:fill="auto"/>
            <w:vAlign w:val="center"/>
          </w:tcPr>
          <w:p w:rsidR="006B2649" w:rsidRPr="00973A1E" w:rsidRDefault="006B2649" w:rsidP="0047740F">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合計</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14.42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11.53</w:t>
            </w:r>
          </w:p>
        </w:tc>
        <w:tc>
          <w:tcPr>
            <w:tcW w:w="1275"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11.12</w:t>
            </w:r>
          </w:p>
        </w:tc>
        <w:tc>
          <w:tcPr>
            <w:tcW w:w="1134" w:type="dxa"/>
            <w:shd w:val="clear" w:color="auto" w:fill="auto"/>
            <w:vAlign w:val="center"/>
          </w:tcPr>
          <w:p w:rsidR="006B2649" w:rsidRPr="00973A1E" w:rsidRDefault="006B2649" w:rsidP="0047740F">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6.78</w:t>
            </w:r>
          </w:p>
        </w:tc>
        <w:tc>
          <w:tcPr>
            <w:tcW w:w="1134" w:type="dxa"/>
            <w:vAlign w:val="center"/>
          </w:tcPr>
          <w:p w:rsidR="006B2649" w:rsidRPr="00973A1E" w:rsidRDefault="006B2649" w:rsidP="0047740F">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5</w:t>
            </w:r>
            <w:r w:rsidRPr="00973A1E">
              <w:rPr>
                <w:rFonts w:hAnsi="標楷體" w:hint="eastAsia"/>
                <w:snapToGrid/>
                <w:spacing w:val="-5"/>
                <w:kern w:val="0"/>
                <w:sz w:val="22"/>
                <w:szCs w:val="22"/>
              </w:rPr>
              <w:t>.9</w:t>
            </w:r>
            <w:r w:rsidRPr="00973A1E">
              <w:rPr>
                <w:rFonts w:hAnsi="標楷體"/>
                <w:snapToGrid/>
                <w:spacing w:val="-5"/>
                <w:kern w:val="0"/>
                <w:sz w:val="22"/>
                <w:szCs w:val="22"/>
              </w:rPr>
              <w:t>4</w:t>
            </w:r>
          </w:p>
        </w:tc>
      </w:tr>
    </w:tbl>
    <w:p w:rsidR="006B2649" w:rsidRPr="00973A1E" w:rsidRDefault="006B2649" w:rsidP="006B2649">
      <w:pPr>
        <w:spacing w:line="360" w:lineRule="exact"/>
        <w:ind w:leftChars="300" w:left="850" w:firstLineChars="0" w:firstLine="0"/>
        <w:rPr>
          <w:rFonts w:hAnsi="標楷體" w:hint="eastAsia"/>
          <w:sz w:val="24"/>
          <w:szCs w:val="24"/>
        </w:rPr>
      </w:pPr>
      <w:r w:rsidRPr="00973A1E">
        <w:rPr>
          <w:rFonts w:hAnsi="標楷體" w:hint="eastAsia"/>
          <w:sz w:val="24"/>
          <w:szCs w:val="24"/>
        </w:rPr>
        <w:t>資料來源：臺灣銀行提供。</w:t>
      </w:r>
    </w:p>
    <w:p w:rsidR="00A33729" w:rsidRPr="000C21D7" w:rsidRDefault="00A33729" w:rsidP="00A33729">
      <w:pPr>
        <w:adjustRightInd w:val="0"/>
        <w:ind w:leftChars="201" w:left="569" w:firstLine="566"/>
        <w:rPr>
          <w:rFonts w:hAnsi="標楷體"/>
          <w:snapToGrid/>
        </w:rPr>
      </w:pPr>
      <w:r w:rsidRPr="000C21D7">
        <w:rPr>
          <w:rFonts w:hAnsi="標楷體" w:hint="eastAsia"/>
        </w:rPr>
        <w:t>綜上，臺灣銀行</w:t>
      </w:r>
      <w:r w:rsidR="00494C8D">
        <w:rPr>
          <w:rFonts w:hAnsi="標楷體" w:hint="eastAsia"/>
        </w:rPr>
        <w:t>近5年</w:t>
      </w:r>
      <w:r w:rsidR="00454D00">
        <w:rPr>
          <w:rFonts w:hAnsi="標楷體" w:hint="eastAsia"/>
        </w:rPr>
        <w:t>度</w:t>
      </w:r>
      <w:r w:rsidR="00494C8D" w:rsidRPr="00494C8D">
        <w:rPr>
          <w:rFonts w:hAnsi="標楷體" w:hint="eastAsia"/>
        </w:rPr>
        <w:t>手續費收入及其淨收益持續下滑；其中財富管理手續費收入由108年度14.42億元減至11</w:t>
      </w:r>
      <w:r w:rsidR="00494C8D">
        <w:rPr>
          <w:rFonts w:hAnsi="標楷體"/>
        </w:rPr>
        <w:t>2</w:t>
      </w:r>
      <w:r w:rsidR="00494C8D" w:rsidRPr="00494C8D">
        <w:rPr>
          <w:rFonts w:hAnsi="標楷體" w:hint="eastAsia"/>
        </w:rPr>
        <w:t>年度5.94億元，業務收入大幅縮減，各該業務辦理績效容有提升空間，允宜儘速研謀改善對策，俾提高財富管理業務績效。</w:t>
      </w:r>
    </w:p>
    <w:p w:rsidR="005376E5" w:rsidRPr="000C21D7" w:rsidRDefault="000C5C66" w:rsidP="000C5C66">
      <w:pPr>
        <w:pStyle w:val="ac"/>
        <w:rPr>
          <w:rFonts w:hAnsi="標楷體"/>
        </w:rPr>
      </w:pPr>
      <w:r w:rsidRPr="000C21D7">
        <w:rPr>
          <w:rFonts w:hAnsi="標楷體" w:hint="eastAsia"/>
        </w:rPr>
        <w:t>（分機：19</w:t>
      </w:r>
      <w:r w:rsidR="00D049A5">
        <w:rPr>
          <w:rFonts w:hAnsi="標楷體"/>
        </w:rPr>
        <w:t>14</w:t>
      </w:r>
      <w:r w:rsidRPr="000C21D7">
        <w:rPr>
          <w:rFonts w:hAnsi="標楷體" w:hint="eastAsia"/>
        </w:rPr>
        <w:t xml:space="preserve"> </w:t>
      </w:r>
      <w:r w:rsidR="00D049A5">
        <w:rPr>
          <w:rFonts w:hAnsi="標楷體" w:hint="eastAsia"/>
        </w:rPr>
        <w:t>葉蘭</w:t>
      </w:r>
      <w:r w:rsidR="005376E5" w:rsidRPr="000C21D7">
        <w:rPr>
          <w:rFonts w:hAnsi="標楷體" w:hint="eastAsia"/>
        </w:rPr>
        <w:t>）</w:t>
      </w:r>
    </w:p>
    <w:sectPr w:rsidR="005376E5" w:rsidRPr="000C21D7"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316" w:rsidRDefault="00172316" w:rsidP="00956559">
      <w:pPr>
        <w:spacing w:line="240" w:lineRule="auto"/>
        <w:ind w:left="560" w:firstLine="560"/>
      </w:pPr>
      <w:r>
        <w:separator/>
      </w:r>
    </w:p>
  </w:endnote>
  <w:endnote w:type="continuationSeparator" w:id="0">
    <w:p w:rsidR="00172316" w:rsidRDefault="00172316"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8F" w:rsidRDefault="0050138F" w:rsidP="008B5FC6">
    <w:pPr>
      <w:pStyle w:val="af1"/>
      <w:ind w:leftChars="0" w:left="566" w:firstLineChars="0" w:firstLine="406"/>
      <w:jc w:val="center"/>
    </w:pPr>
    <w:r>
      <w:fldChar w:fldCharType="begin"/>
    </w:r>
    <w:r>
      <w:instrText>PAGE   \* MERGEFORMAT</w:instrText>
    </w:r>
    <w:r>
      <w:fldChar w:fldCharType="separate"/>
    </w:r>
    <w:r w:rsidR="00F03178" w:rsidRPr="00F03178">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316" w:rsidRDefault="00172316" w:rsidP="003F0A05">
      <w:pPr>
        <w:spacing w:line="240" w:lineRule="auto"/>
        <w:ind w:left="560" w:firstLine="560"/>
      </w:pPr>
      <w:r>
        <w:separator/>
      </w:r>
    </w:p>
  </w:footnote>
  <w:footnote w:type="continuationSeparator" w:id="0">
    <w:p w:rsidR="00172316" w:rsidRDefault="00172316" w:rsidP="00956559">
      <w:pPr>
        <w:spacing w:line="240" w:lineRule="auto"/>
        <w:ind w:left="560" w:firstLine="560"/>
      </w:pPr>
      <w:r>
        <w:continuationSeparator/>
      </w:r>
    </w:p>
  </w:footnote>
  <w:footnote w:id="1">
    <w:p w:rsidR="0050138F" w:rsidRPr="005B74DC" w:rsidRDefault="0050138F" w:rsidP="00954E55">
      <w:pPr>
        <w:pStyle w:val="142"/>
        <w:ind w:left="122" w:hangingChars="50" w:hanging="122"/>
        <w:jc w:val="both"/>
        <w:rPr>
          <w:rStyle w:val="afa"/>
        </w:rPr>
      </w:pPr>
      <w:r>
        <w:rPr>
          <w:rStyle w:val="afa"/>
        </w:rPr>
        <w:footnoteRef/>
      </w:r>
      <w:r w:rsidRPr="005B74DC">
        <w:rPr>
          <w:rStyle w:val="afa"/>
        </w:rPr>
        <w:t xml:space="preserve"> </w:t>
      </w:r>
      <w:r>
        <w:rPr>
          <w:rFonts w:hint="eastAsia"/>
        </w:rPr>
        <w:t>包括承購帳款手續費等3</w:t>
      </w:r>
      <w:r>
        <w:t>6</w:t>
      </w:r>
      <w:r>
        <w:rPr>
          <w:rFonts w:hint="eastAsia"/>
        </w:rPr>
        <w:t>項手續費收入，前5大收入項目依序為信託手續費、保證手續費、託辦手續費、聯貸手續費及合作推廣業務手續費。</w:t>
      </w:r>
    </w:p>
  </w:footnote>
  <w:footnote w:id="2">
    <w:p w:rsidR="0050138F" w:rsidRPr="006A1A84" w:rsidRDefault="0050138F" w:rsidP="006A1A84">
      <w:pPr>
        <w:pStyle w:val="142"/>
        <w:ind w:left="122" w:hangingChars="50" w:hanging="122"/>
        <w:jc w:val="both"/>
        <w:rPr>
          <w:rStyle w:val="afa"/>
        </w:rPr>
      </w:pPr>
      <w:r>
        <w:rPr>
          <w:rStyle w:val="afa"/>
        </w:rPr>
        <w:footnoteRef/>
      </w:r>
      <w:r w:rsidRPr="006A1A84">
        <w:rPr>
          <w:rStyle w:val="afa"/>
        </w:rPr>
        <w:t xml:space="preserve"> </w:t>
      </w:r>
      <w:r w:rsidRPr="006A1A84">
        <w:rPr>
          <w:rFonts w:hint="eastAsia"/>
        </w:rPr>
        <w:t>係最大宗手續費收入項目，11</w:t>
      </w:r>
      <w:r>
        <w:t>2</w:t>
      </w:r>
      <w:r w:rsidRPr="006A1A84">
        <w:rPr>
          <w:rFonts w:hint="eastAsia"/>
        </w:rPr>
        <w:t>年度</w:t>
      </w:r>
      <w:r>
        <w:rPr>
          <w:rFonts w:hint="eastAsia"/>
        </w:rPr>
        <w:t>決</w:t>
      </w:r>
      <w:r w:rsidRPr="006A1A84">
        <w:rPr>
          <w:rFonts w:hint="eastAsia"/>
        </w:rPr>
        <w:t>算</w:t>
      </w:r>
      <w:r>
        <w:rPr>
          <w:rFonts w:hint="eastAsia"/>
        </w:rPr>
        <w:t>3</w:t>
      </w:r>
      <w:r w:rsidRPr="006A1A84">
        <w:rPr>
          <w:rFonts w:hint="eastAsia"/>
        </w:rPr>
        <w:t>.</w:t>
      </w:r>
      <w:r>
        <w:t>53</w:t>
      </w:r>
      <w:r w:rsidRPr="006A1A84">
        <w:rPr>
          <w:rFonts w:hint="eastAsia"/>
        </w:rPr>
        <w:t>億元，占比為</w:t>
      </w:r>
      <w:r>
        <w:t>7</w:t>
      </w:r>
      <w:r w:rsidRPr="006A1A84">
        <w:rPr>
          <w:rFonts w:hint="eastAsia"/>
        </w:rPr>
        <w:t>.6</w:t>
      </w:r>
      <w:r>
        <w:t>4</w:t>
      </w:r>
      <w:r w:rsidRPr="006A1A84">
        <w:rPr>
          <w:rFonts w:hint="eastAsia"/>
        </w:rPr>
        <w:t>%。</w:t>
      </w:r>
    </w:p>
  </w:footnote>
  <w:footnote w:id="3">
    <w:p w:rsidR="0050138F" w:rsidRPr="006A1A84" w:rsidRDefault="0050138F" w:rsidP="006A1A84">
      <w:pPr>
        <w:pStyle w:val="142"/>
        <w:ind w:left="122" w:hangingChars="50" w:hanging="122"/>
        <w:jc w:val="both"/>
        <w:rPr>
          <w:rStyle w:val="afa"/>
        </w:rPr>
      </w:pPr>
      <w:r>
        <w:rPr>
          <w:rStyle w:val="afa"/>
        </w:rPr>
        <w:footnoteRef/>
      </w:r>
      <w:r w:rsidRPr="006A1A84">
        <w:rPr>
          <w:rStyle w:val="afa"/>
        </w:rPr>
        <w:t xml:space="preserve"> </w:t>
      </w:r>
      <w:r w:rsidRPr="006A1A84">
        <w:rPr>
          <w:rFonts w:hint="eastAsia"/>
        </w:rPr>
        <w:t>如調降新契約責任準備金利率、實施宣告利率平穩機制及提高人壽保險死亡保障門檻等。</w:t>
      </w:r>
    </w:p>
  </w:footnote>
  <w:footnote w:id="4">
    <w:p w:rsidR="0050138F" w:rsidRPr="006A1A84" w:rsidRDefault="0050138F" w:rsidP="006A1A84">
      <w:pPr>
        <w:pStyle w:val="142"/>
        <w:ind w:left="122" w:hangingChars="50" w:hanging="122"/>
        <w:jc w:val="both"/>
        <w:rPr>
          <w:rStyle w:val="afa"/>
        </w:rPr>
      </w:pPr>
      <w:r>
        <w:rPr>
          <w:rStyle w:val="afa"/>
        </w:rPr>
        <w:footnoteRef/>
      </w:r>
      <w:r w:rsidRPr="006A1A84">
        <w:rPr>
          <w:rStyle w:val="afa"/>
        </w:rPr>
        <w:t xml:space="preserve"> </w:t>
      </w:r>
      <w:r w:rsidRPr="00CD32F3">
        <w:rPr>
          <w:rFonts w:hint="eastAsia"/>
        </w:rPr>
        <w:t>美元利變保險商品宣告利率因受限主管機關宣告利率平穩機制監理政策而未能反映，商品宣告利率較不具競爭力，影響銀行主力利變商品銷售動能。</w:t>
      </w:r>
    </w:p>
  </w:footnote>
  <w:footnote w:id="5">
    <w:p w:rsidR="0050138F" w:rsidRPr="00CD32F3" w:rsidRDefault="0050138F" w:rsidP="00CD32F3">
      <w:pPr>
        <w:pStyle w:val="142"/>
        <w:ind w:left="122" w:hangingChars="50" w:hanging="122"/>
        <w:jc w:val="both"/>
        <w:rPr>
          <w:rStyle w:val="afa"/>
        </w:rPr>
      </w:pPr>
      <w:r>
        <w:rPr>
          <w:rStyle w:val="afa"/>
        </w:rPr>
        <w:footnoteRef/>
      </w:r>
      <w:r w:rsidRPr="00CD32F3">
        <w:rPr>
          <w:rFonts w:hint="eastAsia"/>
        </w:rPr>
        <w:t>投資型保單因國際地緣政治與金融市場波動，持續影響客戶投保意願及保險業務員銷售信心，又112年7月類全委投資型保單(係指委託投信公司代為運用與管理專設帳簿資產之投資型保單)連結高收益債與新興債基金上限新規上路，更影響銷售動能。</w:t>
      </w:r>
      <w:r w:rsidRPr="00CD32F3">
        <w:rPr>
          <w:rStyle w:val="af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14E"/>
    <w:rsid w:val="001D6567"/>
    <w:rsid w:val="001D66B7"/>
    <w:rsid w:val="001D773A"/>
    <w:rsid w:val="001D7BD5"/>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5AB"/>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3D29"/>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0E1"/>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62039"/>
    <w:rsid w:val="00362A68"/>
    <w:rsid w:val="00362E0F"/>
    <w:rsid w:val="00363CF0"/>
    <w:rsid w:val="00363E8A"/>
    <w:rsid w:val="00364900"/>
    <w:rsid w:val="0036592F"/>
    <w:rsid w:val="00366F8C"/>
    <w:rsid w:val="00367367"/>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31"/>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7740F"/>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4C8D"/>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3287"/>
    <w:rsid w:val="005033FE"/>
    <w:rsid w:val="005037E5"/>
    <w:rsid w:val="005038DD"/>
    <w:rsid w:val="0050478D"/>
    <w:rsid w:val="00504993"/>
    <w:rsid w:val="00504D82"/>
    <w:rsid w:val="00505DA3"/>
    <w:rsid w:val="00506F29"/>
    <w:rsid w:val="0051472C"/>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84F"/>
    <w:rsid w:val="00554BAA"/>
    <w:rsid w:val="0055573B"/>
    <w:rsid w:val="00555A61"/>
    <w:rsid w:val="00557604"/>
    <w:rsid w:val="00560DBF"/>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94B"/>
    <w:rsid w:val="005914ED"/>
    <w:rsid w:val="005917A2"/>
    <w:rsid w:val="00592043"/>
    <w:rsid w:val="005929AC"/>
    <w:rsid w:val="00592EBB"/>
    <w:rsid w:val="005944DE"/>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02"/>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648B"/>
    <w:rsid w:val="006A7012"/>
    <w:rsid w:val="006A7BF0"/>
    <w:rsid w:val="006B0785"/>
    <w:rsid w:val="006B0933"/>
    <w:rsid w:val="006B2649"/>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307CE"/>
    <w:rsid w:val="00730FEF"/>
    <w:rsid w:val="00731100"/>
    <w:rsid w:val="0073164A"/>
    <w:rsid w:val="00731D2C"/>
    <w:rsid w:val="00732551"/>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770D"/>
    <w:rsid w:val="00777A7E"/>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BBA"/>
    <w:rsid w:val="007A7448"/>
    <w:rsid w:val="007B01D3"/>
    <w:rsid w:val="007B2BA7"/>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57C8"/>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17CE"/>
    <w:rsid w:val="0083193E"/>
    <w:rsid w:val="00833810"/>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1C9"/>
    <w:rsid w:val="008816D4"/>
    <w:rsid w:val="008820BA"/>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4E55"/>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6D4"/>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392"/>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3B49"/>
    <w:rsid w:val="00AD4B6E"/>
    <w:rsid w:val="00AD61DB"/>
    <w:rsid w:val="00AD67ED"/>
    <w:rsid w:val="00AD6CB5"/>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4852"/>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34B6"/>
    <w:rsid w:val="00C1617A"/>
    <w:rsid w:val="00C161E0"/>
    <w:rsid w:val="00C17CBF"/>
    <w:rsid w:val="00C2005C"/>
    <w:rsid w:val="00C20C33"/>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32F3"/>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860"/>
    <w:rsid w:val="00F01172"/>
    <w:rsid w:val="00F0163D"/>
    <w:rsid w:val="00F022E4"/>
    <w:rsid w:val="00F03178"/>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6675A"/>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141"/>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62BA2295-FEDD-4B81-B14E-DE7EBF536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6A2BB-0DB0-4A71-B0DC-14F7FEB1F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8</Pages>
  <Words>306</Words>
  <Characters>1748</Characters>
  <Application>Microsoft Office Word</Application>
  <DocSecurity>0</DocSecurity>
  <Lines>14</Lines>
  <Paragraphs>4</Paragraphs>
  <ScaleCrop>false</ScaleCrop>
  <Company/>
  <LinksUpToDate>false</LinksUpToDate>
  <CharactersWithSpaces>2050</CharactersWithSpaces>
  <SharedDoc>false</SharedDoc>
  <HLinks>
    <vt:vector size="18" baseType="variant">
      <vt:variant>
        <vt:i4>1900593</vt:i4>
      </vt:variant>
      <vt:variant>
        <vt:i4>14</vt:i4>
      </vt:variant>
      <vt:variant>
        <vt:i4>0</vt:i4>
      </vt:variant>
      <vt:variant>
        <vt:i4>5</vt:i4>
      </vt:variant>
      <vt:variant>
        <vt:lpwstr/>
      </vt:variant>
      <vt:variant>
        <vt:lpwstr>_Toc193356662</vt:lpwstr>
      </vt:variant>
      <vt:variant>
        <vt:i4>1900593</vt:i4>
      </vt:variant>
      <vt:variant>
        <vt:i4>8</vt:i4>
      </vt:variant>
      <vt:variant>
        <vt:i4>0</vt:i4>
      </vt:variant>
      <vt:variant>
        <vt:i4>5</vt:i4>
      </vt:variant>
      <vt:variant>
        <vt:lpwstr/>
      </vt:variant>
      <vt:variant>
        <vt:lpwstr>_Toc193356661</vt:lpwstr>
      </vt:variant>
      <vt:variant>
        <vt:i4>1900593</vt:i4>
      </vt:variant>
      <vt:variant>
        <vt:i4>2</vt:i4>
      </vt:variant>
      <vt:variant>
        <vt:i4>0</vt:i4>
      </vt:variant>
      <vt:variant>
        <vt:i4>5</vt:i4>
      </vt:variant>
      <vt:variant>
        <vt:lpwstr/>
      </vt:variant>
      <vt:variant>
        <vt:lpwstr>_Toc193356660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2025-04-02T06:55:00Z</dcterms:created>
  <dcterms:modified xsi:type="dcterms:W3CDTF">2025-04-02T06:55:00Z</dcterms:modified>
</cp:coreProperties>
</file>