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376E5" w:rsidRPr="000C21D7" w:rsidRDefault="00530331" w:rsidP="005376E5">
      <w:pPr>
        <w:pStyle w:val="ab"/>
        <w:spacing w:afterLines="20" w:after="100"/>
        <w:ind w:rightChars="-50" w:right="-142"/>
        <w:rPr>
          <w:rFonts w:hAnsi="標楷體"/>
          <w:sz w:val="24"/>
          <w:szCs w:val="24"/>
        </w:rPr>
      </w:pPr>
      <w:bookmarkStart w:id="0" w:name="_GoBack"/>
      <w:bookmarkEnd w:id="0"/>
      <w:r w:rsidRPr="000C21D7">
        <w:rPr>
          <w:rFonts w:hAnsi="標楷體" w:hint="eastAsia"/>
        </w:rPr>
        <w:t>臺灣金融控股股份有限公司及所屬臺灣銀行股份有限公司</w:t>
      </w:r>
      <w:r w:rsidR="00DD7711" w:rsidRPr="000C21D7">
        <w:rPr>
          <w:rFonts w:hAnsi="標楷體" w:hint="eastAsia"/>
        </w:rPr>
        <w:t>1</w:t>
      </w:r>
      <w:r w:rsidR="00BB3524" w:rsidRPr="000C21D7">
        <w:rPr>
          <w:rFonts w:hAnsi="標楷體" w:hint="eastAsia"/>
        </w:rPr>
        <w:t>1</w:t>
      </w:r>
      <w:r w:rsidR="00254DCE">
        <w:rPr>
          <w:rFonts w:hAnsi="標楷體"/>
        </w:rPr>
        <w:t>2</w:t>
      </w:r>
      <w:r w:rsidRPr="000C21D7">
        <w:rPr>
          <w:rFonts w:hAnsi="標楷體" w:hint="eastAsia"/>
        </w:rPr>
        <w:t>年度營業</w:t>
      </w:r>
      <w:r w:rsidR="008566D3" w:rsidRPr="000C21D7">
        <w:rPr>
          <w:rFonts w:hAnsi="標楷體" w:hint="eastAsia"/>
        </w:rPr>
        <w:t>決</w:t>
      </w:r>
      <w:r w:rsidRPr="000C21D7">
        <w:rPr>
          <w:rFonts w:hAnsi="標楷體" w:hint="eastAsia"/>
        </w:rPr>
        <w:t>算評估報告</w:t>
      </w:r>
      <w:r w:rsidR="00AB0B1B" w:rsidRPr="000C21D7">
        <w:rPr>
          <w:rFonts w:hAnsi="標楷體" w:hint="eastAsia"/>
        </w:rPr>
        <w:t>目錄</w:t>
      </w:r>
      <w:r w:rsidR="00DA63F0" w:rsidRPr="000C21D7">
        <w:rPr>
          <w:rFonts w:hAnsi="標楷體" w:hint="eastAsia"/>
        </w:rPr>
        <w:t xml:space="preserve">          </w:t>
      </w:r>
      <w:r w:rsidR="00D74323" w:rsidRPr="000C21D7">
        <w:rPr>
          <w:rFonts w:hAnsi="標楷體" w:hint="eastAsia"/>
        </w:rPr>
        <w:t xml:space="preserve">  </w:t>
      </w:r>
      <w:r w:rsidR="00DA63F0" w:rsidRPr="000C21D7">
        <w:rPr>
          <w:rFonts w:hAnsi="標楷體" w:hint="eastAsia"/>
        </w:rPr>
        <w:t xml:space="preserve"> </w:t>
      </w:r>
      <w:r w:rsidR="00DA63F0" w:rsidRPr="000C21D7">
        <w:rPr>
          <w:rFonts w:hAnsi="標楷體" w:hint="eastAsia"/>
          <w:sz w:val="24"/>
          <w:szCs w:val="24"/>
        </w:rPr>
        <w:t>頁次</w:t>
      </w:r>
    </w:p>
    <w:p w:rsidR="00D21A0A" w:rsidRPr="00560DBF" w:rsidRDefault="005376E5">
      <w:pPr>
        <w:pStyle w:val="23"/>
        <w:rPr>
          <w:rFonts w:ascii="Calibri" w:eastAsia="新細明體" w:hAnsi="Calibri"/>
          <w:noProof/>
          <w:snapToGrid/>
          <w:szCs w:val="22"/>
        </w:rPr>
      </w:pPr>
      <w:r w:rsidRPr="000C21D7">
        <w:rPr>
          <w:rFonts w:hAnsi="標楷體"/>
          <w:color w:val="984806"/>
        </w:rPr>
        <w:fldChar w:fldCharType="begin"/>
      </w:r>
      <w:r w:rsidRPr="000C21D7">
        <w:rPr>
          <w:rFonts w:hAnsi="標楷體"/>
          <w:color w:val="984806"/>
        </w:rPr>
        <w:instrText xml:space="preserve"> TOC \h \z \t "第一層(16號字),1,第二層(14號字),2" </w:instrText>
      </w:r>
      <w:r w:rsidRPr="000C21D7">
        <w:rPr>
          <w:rFonts w:hAnsi="標楷體"/>
          <w:color w:val="984806"/>
        </w:rPr>
        <w:fldChar w:fldCharType="separate"/>
      </w:r>
      <w:hyperlink w:anchor="_Toc193356660" w:history="1">
        <w:r w:rsidR="00D21A0A" w:rsidRPr="009E6E53">
          <w:rPr>
            <w:rStyle w:val="af7"/>
            <w:rFonts w:hAnsi="標楷體" w:hint="eastAsia"/>
            <w:noProof/>
            <w:lang w:eastAsia="zh-HK"/>
          </w:rPr>
          <w:t>一</w:t>
        </w:r>
        <w:r w:rsidR="00D21A0A" w:rsidRPr="009E6E53">
          <w:rPr>
            <w:rStyle w:val="af7"/>
            <w:rFonts w:hAnsi="標楷體" w:hint="eastAsia"/>
            <w:noProof/>
          </w:rPr>
          <w:t>、臺銀人壽子公司連年虧損，</w:t>
        </w:r>
        <w:r w:rsidR="00D21A0A" w:rsidRPr="009E6E53">
          <w:rPr>
            <w:rStyle w:val="af7"/>
            <w:rFonts w:hAnsi="標楷體"/>
            <w:noProof/>
          </w:rPr>
          <w:t>112</w:t>
        </w:r>
        <w:r w:rsidR="00D21A0A" w:rsidRPr="009E6E53">
          <w:rPr>
            <w:rStyle w:val="af7"/>
            <w:rFonts w:hAnsi="標楷體" w:hint="eastAsia"/>
            <w:noProof/>
          </w:rPr>
          <w:t>年度由母公司</w:t>
        </w:r>
        <w:r w:rsidR="00D21A0A" w:rsidRPr="009E6E53">
          <w:rPr>
            <w:rStyle w:val="af7"/>
            <w:rFonts w:hAnsi="標楷體"/>
            <w:noProof/>
          </w:rPr>
          <w:t>(</w:t>
        </w:r>
        <w:r w:rsidR="00D21A0A" w:rsidRPr="009E6E53">
          <w:rPr>
            <w:rStyle w:val="af7"/>
            <w:rFonts w:hAnsi="標楷體" w:hint="eastAsia"/>
            <w:noProof/>
          </w:rPr>
          <w:t>臺灣金控</w:t>
        </w:r>
        <w:r w:rsidR="00D21A0A" w:rsidRPr="009E6E53">
          <w:rPr>
            <w:rStyle w:val="af7"/>
            <w:rFonts w:hAnsi="標楷體"/>
            <w:noProof/>
          </w:rPr>
          <w:t>)</w:t>
        </w:r>
        <w:r w:rsidR="00D21A0A" w:rsidRPr="009E6E53">
          <w:rPr>
            <w:rStyle w:val="af7"/>
            <w:rFonts w:hAnsi="標楷體" w:hint="eastAsia"/>
            <w:noProof/>
          </w:rPr>
          <w:t>以舉債支應其現金增資，惟各次增資後之經營績效未見顯著改善，允應積極督促該子公司研謀業務良策，以改善財務結構</w:t>
        </w:r>
        <w:r w:rsidR="00D21A0A">
          <w:rPr>
            <w:noProof/>
            <w:webHidden/>
          </w:rPr>
          <w:tab/>
        </w:r>
        <w:r w:rsidR="00D21A0A">
          <w:rPr>
            <w:noProof/>
            <w:webHidden/>
          </w:rPr>
          <w:fldChar w:fldCharType="begin"/>
        </w:r>
        <w:r w:rsidR="00D21A0A">
          <w:rPr>
            <w:noProof/>
            <w:webHidden/>
          </w:rPr>
          <w:instrText xml:space="preserve"> PAGEREF _Toc193356660 \h </w:instrText>
        </w:r>
        <w:r w:rsidR="00D21A0A">
          <w:rPr>
            <w:noProof/>
            <w:webHidden/>
          </w:rPr>
        </w:r>
        <w:r w:rsidR="00D21A0A">
          <w:rPr>
            <w:noProof/>
            <w:webHidden/>
          </w:rPr>
          <w:fldChar w:fldCharType="separate"/>
        </w:r>
        <w:r w:rsidR="00D21A0A">
          <w:rPr>
            <w:noProof/>
            <w:webHidden/>
          </w:rPr>
          <w:t>1</w:t>
        </w:r>
        <w:r w:rsidR="00D21A0A">
          <w:rPr>
            <w:noProof/>
            <w:webHidden/>
          </w:rPr>
          <w:fldChar w:fldCharType="end"/>
        </w:r>
      </w:hyperlink>
    </w:p>
    <w:p w:rsidR="00D21A0A" w:rsidRPr="00560DBF" w:rsidRDefault="00D21A0A">
      <w:pPr>
        <w:pStyle w:val="23"/>
        <w:rPr>
          <w:rFonts w:ascii="Calibri" w:eastAsia="新細明體" w:hAnsi="Calibri"/>
          <w:noProof/>
          <w:snapToGrid/>
          <w:szCs w:val="22"/>
        </w:rPr>
      </w:pPr>
      <w:hyperlink w:anchor="_Toc193356661" w:history="1">
        <w:r w:rsidRPr="009E6E53">
          <w:rPr>
            <w:rStyle w:val="af7"/>
            <w:rFonts w:hAnsi="標楷體" w:hint="eastAsia"/>
            <w:noProof/>
          </w:rPr>
          <w:t>二、臺灣金控</w:t>
        </w:r>
        <w:r w:rsidRPr="009E6E53">
          <w:rPr>
            <w:rStyle w:val="af7"/>
            <w:rFonts w:hAnsi="標楷體"/>
            <w:noProof/>
          </w:rPr>
          <w:t>112</w:t>
        </w:r>
        <w:r w:rsidRPr="009E6E53">
          <w:rPr>
            <w:rStyle w:val="af7"/>
            <w:rFonts w:hAnsi="標楷體" w:hint="eastAsia"/>
            <w:noProof/>
          </w:rPr>
          <w:t>年</w:t>
        </w:r>
        <w:r w:rsidRPr="009E6E53">
          <w:rPr>
            <w:rStyle w:val="af7"/>
            <w:rFonts w:hAnsi="標楷體" w:hint="eastAsia"/>
            <w:noProof/>
          </w:rPr>
          <w:t>度有</w:t>
        </w:r>
        <w:r w:rsidRPr="009E6E53">
          <w:rPr>
            <w:rStyle w:val="af7"/>
            <w:rFonts w:hAnsi="標楷體"/>
            <w:noProof/>
          </w:rPr>
          <w:t>5</w:t>
        </w:r>
        <w:r w:rsidRPr="009E6E53">
          <w:rPr>
            <w:rStyle w:val="af7"/>
            <w:rFonts w:hAnsi="標楷體" w:hint="eastAsia"/>
            <w:noProof/>
          </w:rPr>
          <w:t>家轉投資事業呈虧損狀態，且部分轉投資事業有連年虧損及由盈轉虧之情事，允宜檢視現有經營模式及管理策略</w:t>
        </w:r>
        <w:r>
          <w:rPr>
            <w:noProof/>
            <w:webHidden/>
          </w:rPr>
          <w:tab/>
        </w:r>
        <w:r>
          <w:rPr>
            <w:noProof/>
            <w:webHidden/>
          </w:rPr>
          <w:fldChar w:fldCharType="begin"/>
        </w:r>
        <w:r>
          <w:rPr>
            <w:noProof/>
            <w:webHidden/>
          </w:rPr>
          <w:instrText xml:space="preserve"> PAGEREF _Toc193356661 \h </w:instrText>
        </w:r>
        <w:r>
          <w:rPr>
            <w:noProof/>
            <w:webHidden/>
          </w:rPr>
        </w:r>
        <w:r>
          <w:rPr>
            <w:noProof/>
            <w:webHidden/>
          </w:rPr>
          <w:fldChar w:fldCharType="separate"/>
        </w:r>
        <w:r>
          <w:rPr>
            <w:noProof/>
            <w:webHidden/>
          </w:rPr>
          <w:t>3</w:t>
        </w:r>
        <w:r>
          <w:rPr>
            <w:noProof/>
            <w:webHidden/>
          </w:rPr>
          <w:fldChar w:fldCharType="end"/>
        </w:r>
      </w:hyperlink>
    </w:p>
    <w:p w:rsidR="00D21A0A" w:rsidRPr="00560DBF" w:rsidRDefault="00D21A0A">
      <w:pPr>
        <w:pStyle w:val="23"/>
        <w:rPr>
          <w:rFonts w:ascii="Calibri" w:eastAsia="新細明體" w:hAnsi="Calibri"/>
          <w:noProof/>
          <w:snapToGrid/>
          <w:szCs w:val="22"/>
        </w:rPr>
      </w:pPr>
      <w:hyperlink w:anchor="_Toc193356662" w:history="1">
        <w:r w:rsidRPr="009E6E53">
          <w:rPr>
            <w:rStyle w:val="af7"/>
            <w:rFonts w:hAnsi="標楷體" w:hint="eastAsia"/>
            <w:noProof/>
          </w:rPr>
          <w:t>三、臺灣銀行近</w:t>
        </w:r>
        <w:r w:rsidRPr="009E6E53">
          <w:rPr>
            <w:rStyle w:val="af7"/>
            <w:rFonts w:hAnsi="標楷體"/>
            <w:noProof/>
          </w:rPr>
          <w:t>5</w:t>
        </w:r>
        <w:r w:rsidRPr="009E6E53">
          <w:rPr>
            <w:rStyle w:val="af7"/>
            <w:rFonts w:hAnsi="標楷體" w:hint="eastAsia"/>
            <w:noProof/>
          </w:rPr>
          <w:t>年度手續費收入呈下滑趨勢，其中財富管理手續費收入持續縮減，允宜關注金融市場環境及地緣政治風險變化，並妥適規劃因應策略，以提升營收業績</w:t>
        </w:r>
        <w:r>
          <w:rPr>
            <w:noProof/>
            <w:webHidden/>
          </w:rPr>
          <w:tab/>
        </w:r>
        <w:r>
          <w:rPr>
            <w:noProof/>
            <w:webHidden/>
          </w:rPr>
          <w:fldChar w:fldCharType="begin"/>
        </w:r>
        <w:r>
          <w:rPr>
            <w:noProof/>
            <w:webHidden/>
          </w:rPr>
          <w:instrText xml:space="preserve"> PAGEREF _Toc193356662 \h </w:instrText>
        </w:r>
        <w:r>
          <w:rPr>
            <w:noProof/>
            <w:webHidden/>
          </w:rPr>
        </w:r>
        <w:r>
          <w:rPr>
            <w:noProof/>
            <w:webHidden/>
          </w:rPr>
          <w:fldChar w:fldCharType="separate"/>
        </w:r>
        <w:r>
          <w:rPr>
            <w:noProof/>
            <w:webHidden/>
          </w:rPr>
          <w:t>5</w:t>
        </w:r>
        <w:r>
          <w:rPr>
            <w:noProof/>
            <w:webHidden/>
          </w:rPr>
          <w:fldChar w:fldCharType="end"/>
        </w:r>
      </w:hyperlink>
    </w:p>
    <w:p w:rsidR="005376E5" w:rsidRPr="000C21D7" w:rsidRDefault="005376E5" w:rsidP="004D0CF9">
      <w:pPr>
        <w:pStyle w:val="23"/>
        <w:ind w:left="566" w:hanging="566"/>
        <w:rPr>
          <w:rFonts w:hAnsi="標楷體"/>
          <w:color w:val="984806"/>
        </w:rPr>
      </w:pPr>
      <w:r w:rsidRPr="000C21D7">
        <w:rPr>
          <w:rFonts w:hAnsi="標楷體"/>
          <w:color w:val="984806"/>
          <w:sz w:val="28"/>
        </w:rPr>
        <w:fldChar w:fldCharType="end"/>
      </w:r>
    </w:p>
    <w:p w:rsidR="005376E5" w:rsidRPr="000C21D7" w:rsidRDefault="005376E5" w:rsidP="005376E5">
      <w:pPr>
        <w:pStyle w:val="ab"/>
        <w:spacing w:afterLines="20" w:after="100"/>
        <w:rPr>
          <w:rFonts w:hAnsi="標楷體"/>
          <w:color w:val="984806"/>
        </w:rPr>
        <w:sectPr w:rsidR="005376E5" w:rsidRPr="000C21D7" w:rsidSect="00B8535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0"/>
          <w:cols w:space="425"/>
          <w:titlePg/>
          <w:docGrid w:type="linesAndChars" w:linePitch="500" w:charSpace="658"/>
        </w:sectPr>
      </w:pPr>
    </w:p>
    <w:p w:rsidR="005376E5" w:rsidRPr="000C21D7" w:rsidRDefault="005376E5" w:rsidP="005376E5">
      <w:pPr>
        <w:pStyle w:val="ab"/>
        <w:spacing w:afterLines="20" w:after="100"/>
        <w:rPr>
          <w:rFonts w:hAnsi="標楷體"/>
        </w:rPr>
      </w:pPr>
      <w:r w:rsidRPr="000C21D7">
        <w:rPr>
          <w:rFonts w:hAnsi="標楷體"/>
          <w:color w:val="984806"/>
        </w:rPr>
        <w:br w:type="page"/>
      </w:r>
      <w:r w:rsidRPr="000C21D7">
        <w:rPr>
          <w:rFonts w:hAnsi="標楷體" w:hint="eastAsia"/>
        </w:rPr>
        <w:lastRenderedPageBreak/>
        <w:t>臺灣金融控股股份有限公司及所屬臺灣銀行股份有限公司1</w:t>
      </w:r>
      <w:r w:rsidR="00BB3524" w:rsidRPr="000C21D7">
        <w:rPr>
          <w:rFonts w:hAnsi="標楷體" w:hint="eastAsia"/>
        </w:rPr>
        <w:t>1</w:t>
      </w:r>
      <w:r w:rsidR="002C3D29">
        <w:rPr>
          <w:rFonts w:hAnsi="標楷體"/>
        </w:rPr>
        <w:t>2</w:t>
      </w:r>
      <w:r w:rsidRPr="000C21D7">
        <w:rPr>
          <w:rFonts w:hAnsi="標楷體" w:hint="eastAsia"/>
        </w:rPr>
        <w:t>年度營業決算評估報告</w:t>
      </w:r>
    </w:p>
    <w:p w:rsidR="00B758E3" w:rsidRPr="0050478D" w:rsidRDefault="00F74F6C" w:rsidP="00B758E3">
      <w:pPr>
        <w:pStyle w:val="14"/>
        <w:ind w:left="567" w:hanging="567"/>
        <w:rPr>
          <w:rFonts w:hAnsi="標楷體"/>
          <w:snapToGrid/>
        </w:rPr>
      </w:pPr>
      <w:bookmarkStart w:id="1" w:name="_Toc54876600"/>
      <w:bookmarkStart w:id="2" w:name="_Toc193356660"/>
      <w:r w:rsidRPr="0050478D">
        <w:rPr>
          <w:rFonts w:hAnsi="標楷體" w:hint="eastAsia"/>
          <w:snapToGrid/>
          <w:lang w:eastAsia="zh-HK"/>
        </w:rPr>
        <w:t>一</w:t>
      </w:r>
      <w:r w:rsidRPr="0050478D">
        <w:rPr>
          <w:rFonts w:hAnsi="標楷體" w:hint="eastAsia"/>
          <w:snapToGrid/>
        </w:rPr>
        <w:t>、</w:t>
      </w:r>
      <w:r w:rsidR="005D4DB7" w:rsidRPr="0050478D">
        <w:rPr>
          <w:rFonts w:hAnsi="標楷體" w:hint="eastAsia"/>
          <w:snapToGrid/>
        </w:rPr>
        <w:t>臺銀人壽子公司</w:t>
      </w:r>
      <w:r w:rsidR="00F85EC4" w:rsidRPr="00F85EC4">
        <w:rPr>
          <w:rFonts w:hAnsi="標楷體" w:hint="eastAsia"/>
          <w:snapToGrid/>
        </w:rPr>
        <w:t>連年</w:t>
      </w:r>
      <w:r w:rsidR="005D4DB7" w:rsidRPr="0050478D">
        <w:rPr>
          <w:rFonts w:hAnsi="標楷體" w:hint="eastAsia"/>
          <w:snapToGrid/>
        </w:rPr>
        <w:t>虧損，</w:t>
      </w:r>
      <w:r w:rsidR="00450605">
        <w:rPr>
          <w:rFonts w:hAnsi="標楷體" w:hint="eastAsia"/>
          <w:snapToGrid/>
        </w:rPr>
        <w:t>1</w:t>
      </w:r>
      <w:r w:rsidR="00450605">
        <w:rPr>
          <w:rFonts w:hAnsi="標楷體"/>
          <w:snapToGrid/>
        </w:rPr>
        <w:t>12</w:t>
      </w:r>
      <w:r w:rsidR="00450605">
        <w:rPr>
          <w:rFonts w:hAnsi="標楷體" w:hint="eastAsia"/>
          <w:snapToGrid/>
        </w:rPr>
        <w:t>年度由母公司(</w:t>
      </w:r>
      <w:r w:rsidR="0053742B" w:rsidRPr="0050478D">
        <w:rPr>
          <w:rFonts w:hAnsi="標楷體" w:hint="eastAsia"/>
          <w:snapToGrid/>
        </w:rPr>
        <w:t>臺灣金控</w:t>
      </w:r>
      <w:r w:rsidR="00450605">
        <w:rPr>
          <w:rFonts w:hAnsi="標楷體" w:hint="eastAsia"/>
          <w:snapToGrid/>
        </w:rPr>
        <w:t>)</w:t>
      </w:r>
      <w:r w:rsidR="0053742B" w:rsidRPr="0050478D">
        <w:rPr>
          <w:rFonts w:hAnsi="標楷體" w:hint="eastAsia"/>
          <w:snapToGrid/>
        </w:rPr>
        <w:t>以舉債支應其現金增資，惟各次增資後之經營績效未見顯著改善</w:t>
      </w:r>
      <w:r w:rsidR="005D4DB7" w:rsidRPr="0050478D">
        <w:rPr>
          <w:rFonts w:hAnsi="標楷體" w:hint="eastAsia"/>
          <w:snapToGrid/>
        </w:rPr>
        <w:t>，允應積極督促該子公司研謀業務良策，以改善財務結構</w:t>
      </w:r>
      <w:bookmarkEnd w:id="2"/>
    </w:p>
    <w:p w:rsidR="00B758E3" w:rsidRPr="00FC0392" w:rsidRDefault="00175E60" w:rsidP="00B758E3">
      <w:pPr>
        <w:ind w:left="566" w:firstLine="566"/>
        <w:rPr>
          <w:rFonts w:hAnsi="標楷體"/>
          <w:snapToGrid/>
        </w:rPr>
      </w:pPr>
      <w:r>
        <w:rPr>
          <w:rFonts w:hAnsi="標楷體" w:hint="eastAsia"/>
          <w:snapToGrid/>
        </w:rPr>
        <w:t>據</w:t>
      </w:r>
      <w:r w:rsidR="005160F2" w:rsidRPr="00FC0392">
        <w:rPr>
          <w:rFonts w:hAnsi="標楷體" w:hint="eastAsia"/>
          <w:snapToGrid/>
        </w:rPr>
        <w:t>1</w:t>
      </w:r>
      <w:r w:rsidR="005160F2" w:rsidRPr="00FC0392">
        <w:rPr>
          <w:rFonts w:hAnsi="標楷體"/>
          <w:snapToGrid/>
        </w:rPr>
        <w:t>12</w:t>
      </w:r>
      <w:r w:rsidR="005160F2" w:rsidRPr="00FC0392">
        <w:rPr>
          <w:rFonts w:hAnsi="標楷體" w:hint="eastAsia"/>
          <w:snapToGrid/>
        </w:rPr>
        <w:t>年度臺灣金融控股股</w:t>
      </w:r>
      <w:r w:rsidR="00504993" w:rsidRPr="00FC0392">
        <w:rPr>
          <w:rFonts w:hAnsi="標楷體" w:hint="eastAsia"/>
          <w:snapToGrid/>
        </w:rPr>
        <w:t>份有限</w:t>
      </w:r>
      <w:r w:rsidR="005160F2" w:rsidRPr="00FC0392">
        <w:rPr>
          <w:rFonts w:hAnsi="標楷體" w:hint="eastAsia"/>
          <w:snapToGrid/>
        </w:rPr>
        <w:t>公司</w:t>
      </w:r>
      <w:r w:rsidR="00504993" w:rsidRPr="00FC0392">
        <w:rPr>
          <w:rFonts w:hAnsi="標楷體" w:hint="eastAsia"/>
          <w:snapToGrid/>
        </w:rPr>
        <w:t>(下稱臺灣金控</w:t>
      </w:r>
      <w:r w:rsidR="00504993" w:rsidRPr="00FC0392">
        <w:rPr>
          <w:rFonts w:hAnsi="標楷體"/>
          <w:snapToGrid/>
        </w:rPr>
        <w:t>)</w:t>
      </w:r>
      <w:r w:rsidR="005160F2" w:rsidRPr="00FC0392">
        <w:rPr>
          <w:rFonts w:hAnsi="標楷體" w:hint="eastAsia"/>
          <w:snapToGrid/>
        </w:rPr>
        <w:t>附屬單位決算書之「長期債務之舉借及償還計畫」說明</w:t>
      </w:r>
      <w:r>
        <w:rPr>
          <w:rFonts w:hAnsi="標楷體" w:hint="eastAsia"/>
          <w:snapToGrid/>
        </w:rPr>
        <w:t>略以，</w:t>
      </w:r>
      <w:r w:rsidR="005160F2" w:rsidRPr="00FC0392">
        <w:rPr>
          <w:rFonts w:hAnsi="標楷體" w:hint="eastAsia"/>
          <w:snapToGrid/>
        </w:rPr>
        <w:t>本年度長期債務舉借預算保留數</w:t>
      </w:r>
      <w:r w:rsidR="00504993" w:rsidRPr="00FC0392">
        <w:rPr>
          <w:rFonts w:hAnsi="標楷體"/>
          <w:snapToGrid/>
        </w:rPr>
        <w:t>391</w:t>
      </w:r>
      <w:r w:rsidR="005160F2" w:rsidRPr="00FC0392">
        <w:rPr>
          <w:rFonts w:hAnsi="標楷體" w:hint="eastAsia"/>
          <w:snapToGrid/>
        </w:rPr>
        <w:t>億元，實際決算數為0元</w:t>
      </w:r>
      <w:r w:rsidR="00504993" w:rsidRPr="00FC0392">
        <w:rPr>
          <w:rFonts w:hAnsi="標楷體" w:hint="eastAsia"/>
          <w:snapToGrid/>
        </w:rPr>
        <w:t>，</w:t>
      </w:r>
      <w:r>
        <w:rPr>
          <w:rFonts w:hAnsi="標楷體" w:hint="eastAsia"/>
          <w:snapToGrid/>
        </w:rPr>
        <w:t>主要係</w:t>
      </w:r>
      <w:r w:rsidR="00504993" w:rsidRPr="00FC0392">
        <w:rPr>
          <w:rFonts w:hAnsi="標楷體" w:hint="eastAsia"/>
          <w:snapToGrid/>
        </w:rPr>
        <w:t>市場利率尚無大幅上揚之趨勢，為撙節利息</w:t>
      </w:r>
      <w:r>
        <w:rPr>
          <w:rFonts w:hAnsi="標楷體" w:hint="eastAsia"/>
          <w:snapToGrid/>
        </w:rPr>
        <w:t>支</w:t>
      </w:r>
      <w:r w:rsidR="00504993" w:rsidRPr="00FC0392">
        <w:rPr>
          <w:rFonts w:hAnsi="標楷體" w:hint="eastAsia"/>
          <w:snapToGrid/>
        </w:rPr>
        <w:t>出，改以銀行短期借款支應資金需求所致</w:t>
      </w:r>
      <w:r>
        <w:rPr>
          <w:rFonts w:hAnsi="標楷體" w:hint="eastAsia"/>
          <w:snapToGrid/>
        </w:rPr>
        <w:t>；另</w:t>
      </w:r>
      <w:r w:rsidR="005160F2" w:rsidRPr="00FC0392">
        <w:rPr>
          <w:rFonts w:hAnsi="標楷體" w:hint="eastAsia"/>
          <w:snapToGrid/>
        </w:rPr>
        <w:t>臺灣金控</w:t>
      </w:r>
      <w:r w:rsidR="00504993" w:rsidRPr="00FC0392">
        <w:rPr>
          <w:rFonts w:hAnsi="標楷體" w:hint="eastAsia"/>
          <w:snapToGrid/>
        </w:rPr>
        <w:t>「</w:t>
      </w:r>
      <w:r w:rsidR="005160F2" w:rsidRPr="00FC0392">
        <w:rPr>
          <w:rFonts w:hAnsi="標楷體" w:hint="eastAsia"/>
          <w:snapToGrid/>
        </w:rPr>
        <w:t>長期債務舉借</w:t>
      </w:r>
      <w:r w:rsidR="00504993" w:rsidRPr="00FC0392">
        <w:rPr>
          <w:rFonts w:hAnsi="標楷體" w:hint="eastAsia"/>
          <w:snapToGrid/>
        </w:rPr>
        <w:t>」</w:t>
      </w:r>
      <w:r w:rsidR="005160F2" w:rsidRPr="00FC0392">
        <w:rPr>
          <w:rFonts w:hAnsi="標楷體" w:hint="eastAsia"/>
          <w:snapToGrid/>
        </w:rPr>
        <w:t>主要係作為</w:t>
      </w:r>
      <w:r w:rsidR="00FC0392" w:rsidRPr="00FC0392">
        <w:rPr>
          <w:rFonts w:hAnsi="標楷體" w:hint="eastAsia"/>
          <w:snapToGrid/>
        </w:rPr>
        <w:t>支應該公司現金增資子公司臺銀人壽所需</w:t>
      </w:r>
      <w:r w:rsidR="005D4DB7" w:rsidRPr="00FC0392">
        <w:rPr>
          <w:rFonts w:hAnsi="標楷體" w:hint="eastAsia"/>
          <w:snapToGrid/>
        </w:rPr>
        <w:t>。經查：</w:t>
      </w:r>
    </w:p>
    <w:p w:rsidR="005D4DB7" w:rsidRPr="00CD0CA3" w:rsidRDefault="005D4DB7" w:rsidP="005D4DB7">
      <w:pPr>
        <w:pStyle w:val="a4"/>
        <w:ind w:left="849" w:hanging="283"/>
        <w:rPr>
          <w:rFonts w:hAnsi="標楷體"/>
          <w:b/>
          <w:snapToGrid/>
        </w:rPr>
      </w:pPr>
      <w:r w:rsidRPr="00CD0CA3">
        <w:rPr>
          <w:rFonts w:hAnsi="標楷體" w:hint="eastAsia"/>
          <w:b/>
          <w:snapToGrid/>
        </w:rPr>
        <w:t>(一)</w:t>
      </w:r>
      <w:r w:rsidR="00F85EC4" w:rsidRPr="00F85EC4">
        <w:rPr>
          <w:rFonts w:hAnsi="標楷體" w:hint="eastAsia"/>
          <w:b/>
          <w:snapToGrid/>
        </w:rPr>
        <w:t>臺銀人壽子公司連年虧損</w:t>
      </w:r>
      <w:r>
        <w:rPr>
          <w:rFonts w:hAnsi="標楷體" w:hint="eastAsia"/>
          <w:b/>
          <w:snapToGrid/>
        </w:rPr>
        <w:t>，且部分年度損失逾2</w:t>
      </w:r>
      <w:r>
        <w:rPr>
          <w:rFonts w:hAnsi="標楷體"/>
          <w:b/>
          <w:snapToGrid/>
        </w:rPr>
        <w:t>0</w:t>
      </w:r>
      <w:r>
        <w:rPr>
          <w:rFonts w:hAnsi="標楷體" w:hint="eastAsia"/>
          <w:b/>
          <w:snapToGrid/>
        </w:rPr>
        <w:t>億元</w:t>
      </w:r>
    </w:p>
    <w:p w:rsidR="00B758E3" w:rsidRPr="005D4DB7" w:rsidRDefault="005D4DB7" w:rsidP="005D4DB7">
      <w:pPr>
        <w:ind w:leftChars="300" w:left="850" w:firstLine="566"/>
        <w:rPr>
          <w:rFonts w:hAnsi="標楷體"/>
          <w:color w:val="000000"/>
        </w:rPr>
      </w:pPr>
      <w:r w:rsidRPr="005D4DB7">
        <w:rPr>
          <w:rFonts w:hAnsi="標楷體" w:hint="eastAsia"/>
          <w:color w:val="000000"/>
        </w:rPr>
        <w:t>參據107至1</w:t>
      </w:r>
      <w:r w:rsidRPr="005D4DB7">
        <w:rPr>
          <w:rFonts w:hAnsi="標楷體"/>
          <w:color w:val="000000"/>
        </w:rPr>
        <w:t>12</w:t>
      </w:r>
      <w:r w:rsidRPr="005D4DB7">
        <w:rPr>
          <w:rFonts w:hAnsi="標楷體" w:hint="eastAsia"/>
          <w:color w:val="000000"/>
        </w:rPr>
        <w:t>年度臺銀金控採用權益法認列子公司投資損益情形(詳表1)，其中於臺灣銀行及臺銀證券各年度均有認列投資利益及現金股利，1</w:t>
      </w:r>
      <w:r w:rsidRPr="005D4DB7">
        <w:rPr>
          <w:rFonts w:hAnsi="標楷體"/>
          <w:color w:val="000000"/>
        </w:rPr>
        <w:t>12</w:t>
      </w:r>
      <w:r w:rsidRPr="005D4DB7">
        <w:rPr>
          <w:rFonts w:hAnsi="標楷體" w:hint="eastAsia"/>
          <w:color w:val="000000"/>
        </w:rPr>
        <w:t>年度投資利益分別認列</w:t>
      </w:r>
      <w:r w:rsidRPr="005D4DB7">
        <w:rPr>
          <w:rFonts w:hAnsi="標楷體"/>
          <w:color w:val="000000"/>
        </w:rPr>
        <w:t>238</w:t>
      </w:r>
      <w:r w:rsidRPr="005D4DB7">
        <w:rPr>
          <w:rFonts w:hAnsi="標楷體" w:hint="eastAsia"/>
          <w:color w:val="000000"/>
        </w:rPr>
        <w:t>億</w:t>
      </w:r>
      <w:r w:rsidRPr="005D4DB7">
        <w:rPr>
          <w:rFonts w:hAnsi="標楷體"/>
          <w:color w:val="000000"/>
        </w:rPr>
        <w:t>1,901</w:t>
      </w:r>
      <w:r w:rsidRPr="005D4DB7">
        <w:rPr>
          <w:rFonts w:hAnsi="標楷體" w:hint="eastAsia"/>
          <w:color w:val="000000"/>
        </w:rPr>
        <w:t>萬</w:t>
      </w:r>
      <w:r w:rsidRPr="005D4DB7">
        <w:rPr>
          <w:rFonts w:hAnsi="標楷體"/>
          <w:color w:val="000000"/>
        </w:rPr>
        <w:t>6</w:t>
      </w:r>
      <w:r w:rsidRPr="005D4DB7">
        <w:rPr>
          <w:rFonts w:hAnsi="標楷體" w:hint="eastAsia"/>
          <w:color w:val="000000"/>
        </w:rPr>
        <w:t>千元及</w:t>
      </w:r>
      <w:r w:rsidRPr="005D4DB7">
        <w:rPr>
          <w:rFonts w:hAnsi="標楷體"/>
          <w:color w:val="000000"/>
        </w:rPr>
        <w:t>4</w:t>
      </w:r>
      <w:r w:rsidRPr="005D4DB7">
        <w:rPr>
          <w:rFonts w:hAnsi="標楷體" w:hint="eastAsia"/>
          <w:color w:val="000000"/>
        </w:rPr>
        <w:t>億</w:t>
      </w:r>
      <w:r w:rsidRPr="005D4DB7">
        <w:rPr>
          <w:rFonts w:hAnsi="標楷體"/>
          <w:color w:val="000000"/>
        </w:rPr>
        <w:t>6,530</w:t>
      </w:r>
      <w:r w:rsidRPr="005D4DB7">
        <w:rPr>
          <w:rFonts w:hAnsi="標楷體" w:hint="eastAsia"/>
          <w:color w:val="000000"/>
        </w:rPr>
        <w:t>萬</w:t>
      </w:r>
      <w:r w:rsidRPr="005D4DB7">
        <w:rPr>
          <w:rFonts w:hAnsi="標楷體"/>
          <w:color w:val="000000"/>
        </w:rPr>
        <w:t>2</w:t>
      </w:r>
      <w:r w:rsidRPr="005D4DB7">
        <w:rPr>
          <w:rFonts w:hAnsi="標楷體" w:hint="eastAsia"/>
          <w:color w:val="000000"/>
        </w:rPr>
        <w:t>千元，現金股利分別認列</w:t>
      </w:r>
      <w:r w:rsidRPr="005D4DB7">
        <w:rPr>
          <w:rFonts w:hAnsi="標楷體"/>
          <w:color w:val="000000"/>
        </w:rPr>
        <w:t>40</w:t>
      </w:r>
      <w:r w:rsidRPr="005D4DB7">
        <w:rPr>
          <w:rFonts w:hAnsi="標楷體" w:hint="eastAsia"/>
          <w:color w:val="000000"/>
        </w:rPr>
        <w:t>億元與</w:t>
      </w:r>
      <w:r w:rsidRPr="005D4DB7">
        <w:rPr>
          <w:rFonts w:hAnsi="標楷體"/>
          <w:color w:val="000000"/>
        </w:rPr>
        <w:t>2</w:t>
      </w:r>
      <w:r w:rsidRPr="005D4DB7">
        <w:rPr>
          <w:rFonts w:hAnsi="標楷體" w:hint="eastAsia"/>
          <w:color w:val="000000"/>
        </w:rPr>
        <w:t>億</w:t>
      </w:r>
      <w:r w:rsidRPr="005D4DB7">
        <w:rPr>
          <w:rFonts w:hAnsi="標楷體"/>
          <w:color w:val="000000"/>
        </w:rPr>
        <w:t>851</w:t>
      </w:r>
      <w:r w:rsidRPr="005D4DB7">
        <w:rPr>
          <w:rFonts w:hAnsi="標楷體" w:hint="eastAsia"/>
          <w:color w:val="000000"/>
        </w:rPr>
        <w:t>萬</w:t>
      </w:r>
      <w:r w:rsidRPr="005D4DB7">
        <w:rPr>
          <w:rFonts w:hAnsi="標楷體"/>
          <w:color w:val="000000"/>
        </w:rPr>
        <w:t>8</w:t>
      </w:r>
      <w:r w:rsidRPr="005D4DB7">
        <w:rPr>
          <w:rFonts w:hAnsi="標楷體" w:hint="eastAsia"/>
          <w:color w:val="000000"/>
        </w:rPr>
        <w:t>千元；惟同期間卻連年認列臺銀人壽投資損失，其中10</w:t>
      </w:r>
      <w:r w:rsidRPr="005D4DB7">
        <w:rPr>
          <w:rFonts w:hAnsi="標楷體"/>
          <w:color w:val="000000"/>
        </w:rPr>
        <w:t>8</w:t>
      </w:r>
      <w:r w:rsidRPr="005D4DB7">
        <w:rPr>
          <w:rFonts w:hAnsi="標楷體" w:hint="eastAsia"/>
          <w:color w:val="000000"/>
        </w:rPr>
        <w:t>及1</w:t>
      </w:r>
      <w:r w:rsidRPr="005D4DB7">
        <w:rPr>
          <w:rFonts w:hAnsi="標楷體"/>
          <w:color w:val="000000"/>
        </w:rPr>
        <w:t>09</w:t>
      </w:r>
      <w:r w:rsidRPr="005D4DB7">
        <w:rPr>
          <w:rFonts w:hAnsi="標楷體" w:hint="eastAsia"/>
          <w:color w:val="000000"/>
        </w:rPr>
        <w:t>年度均認列損失逾2</w:t>
      </w:r>
      <w:r w:rsidRPr="005D4DB7">
        <w:rPr>
          <w:rFonts w:hAnsi="標楷體"/>
          <w:color w:val="000000"/>
        </w:rPr>
        <w:t>0</w:t>
      </w:r>
      <w:r w:rsidRPr="005D4DB7">
        <w:rPr>
          <w:rFonts w:hAnsi="標楷體" w:hint="eastAsia"/>
          <w:color w:val="000000"/>
        </w:rPr>
        <w:t>億元，顯示該金控受臺銀人壽經營績效不善而承受之損失影響頗鉅，亟待改善對該子公司之管理效能。</w:t>
      </w:r>
    </w:p>
    <w:p w:rsidR="005D4DB7" w:rsidRPr="000F4FF2" w:rsidRDefault="005D4DB7" w:rsidP="005D4DB7">
      <w:pPr>
        <w:pStyle w:val="a4"/>
        <w:ind w:left="849" w:hanging="283"/>
        <w:rPr>
          <w:rFonts w:hAnsi="標楷體" w:cs="全字庫正宋體"/>
          <w:b/>
          <w:snapToGrid/>
        </w:rPr>
      </w:pPr>
      <w:r w:rsidRPr="000F4FF2">
        <w:rPr>
          <w:rFonts w:hAnsi="標楷體" w:cs="全字庫正宋體" w:hint="eastAsia"/>
          <w:b/>
          <w:snapToGrid/>
        </w:rPr>
        <w:t>(二)臺銀人壽子公司持續虧損，</w:t>
      </w:r>
      <w:r w:rsidR="00723A28" w:rsidRPr="00723A28">
        <w:rPr>
          <w:rFonts w:hAnsi="標楷體" w:cs="全字庫正宋體" w:hint="eastAsia"/>
          <w:b/>
          <w:snapToGrid/>
        </w:rPr>
        <w:t>112年度由母公司(臺灣金控)以舉債支應其現金增資</w:t>
      </w:r>
      <w:r w:rsidRPr="00B112A3">
        <w:rPr>
          <w:rFonts w:hAnsi="標楷體" w:cs="全字庫正宋體" w:hint="eastAsia"/>
          <w:b/>
          <w:snapToGrid/>
        </w:rPr>
        <w:t>，</w:t>
      </w:r>
      <w:r w:rsidRPr="000F4FF2">
        <w:rPr>
          <w:rFonts w:hAnsi="標楷體" w:cs="全字庫正宋體" w:hint="eastAsia"/>
          <w:b/>
          <w:snapToGrid/>
        </w:rPr>
        <w:t>惟各次增資後</w:t>
      </w:r>
      <w:r>
        <w:rPr>
          <w:rFonts w:hAnsi="標楷體" w:cs="全字庫正宋體" w:hint="eastAsia"/>
          <w:b/>
          <w:snapToGrid/>
        </w:rPr>
        <w:t>之</w:t>
      </w:r>
      <w:r w:rsidRPr="000F4FF2">
        <w:rPr>
          <w:rFonts w:hAnsi="標楷體" w:cs="全字庫正宋體" w:hint="eastAsia"/>
          <w:b/>
          <w:snapToGrid/>
        </w:rPr>
        <w:t>經營績效未見顯著改善</w:t>
      </w:r>
    </w:p>
    <w:p w:rsidR="005D4DB7" w:rsidRPr="00867B48" w:rsidRDefault="005D4DB7" w:rsidP="005D4DB7">
      <w:pPr>
        <w:ind w:leftChars="300" w:left="850" w:firstLine="566"/>
        <w:rPr>
          <w:rFonts w:hAnsi="標楷體" w:cs="全字庫正宋體"/>
          <w:snapToGrid/>
        </w:rPr>
      </w:pPr>
      <w:r w:rsidRPr="00867B48">
        <w:rPr>
          <w:rFonts w:hAnsi="標楷體" w:cs="全字庫正宋體" w:hint="eastAsia"/>
          <w:snapToGrid/>
        </w:rPr>
        <w:t>按臺銀人壽(股)公司係</w:t>
      </w:r>
      <w:r w:rsidR="00175E60" w:rsidRPr="00175E60">
        <w:rPr>
          <w:rFonts w:hAnsi="標楷體" w:cs="全字庫正宋體" w:hint="eastAsia"/>
          <w:snapToGrid/>
        </w:rPr>
        <w:t>臺灣金控</w:t>
      </w:r>
      <w:r w:rsidRPr="00867B48">
        <w:rPr>
          <w:rFonts w:hAnsi="標楷體" w:cs="全字庫正宋體" w:hint="eastAsia"/>
          <w:snapToGrid/>
        </w:rPr>
        <w:t>100%持股子公司，於97年自金控另一子公司臺灣銀行之人壽保險業務部門分割營業資產及負債而設立；初期資本額50億元，嗣後為強化資本結構辦理多次私募現金增資，並均由母公司認購所發行增資股，迄11</w:t>
      </w:r>
      <w:r w:rsidRPr="00867B48">
        <w:rPr>
          <w:rFonts w:hAnsi="標楷體" w:cs="全字庫正宋體"/>
          <w:snapToGrid/>
        </w:rPr>
        <w:t>2</w:t>
      </w:r>
      <w:r w:rsidRPr="00867B48">
        <w:rPr>
          <w:rFonts w:hAnsi="標楷體" w:cs="全字庫正宋體" w:hint="eastAsia"/>
          <w:snapToGrid/>
        </w:rPr>
        <w:lastRenderedPageBreak/>
        <w:t>年已辦理7次增資，累計挹注資金達4</w:t>
      </w:r>
      <w:r w:rsidRPr="00867B48">
        <w:rPr>
          <w:rFonts w:hAnsi="標楷體" w:cs="全字庫正宋體"/>
          <w:snapToGrid/>
        </w:rPr>
        <w:t>4</w:t>
      </w:r>
      <w:r w:rsidRPr="00867B48">
        <w:rPr>
          <w:rFonts w:hAnsi="標楷體" w:cs="全字庫正宋體" w:hint="eastAsia"/>
          <w:snapToGrid/>
        </w:rPr>
        <w:t>5億元</w:t>
      </w:r>
      <w:r>
        <w:rPr>
          <w:rFonts w:hAnsi="標楷體" w:cs="全字庫正宋體" w:hint="eastAsia"/>
          <w:snapToGrid/>
        </w:rPr>
        <w:t>。謹</w:t>
      </w:r>
      <w:r w:rsidRPr="00867B48">
        <w:rPr>
          <w:rFonts w:hAnsi="標楷體" w:cs="全字庫正宋體" w:hint="eastAsia"/>
          <w:snapToGrid/>
        </w:rPr>
        <w:t>分述如次：</w:t>
      </w:r>
    </w:p>
    <w:bookmarkEnd w:id="1"/>
    <w:p w:rsidR="005D4DB7" w:rsidRPr="00DD2CED" w:rsidRDefault="005D4DB7" w:rsidP="005D4DB7">
      <w:pPr>
        <w:pStyle w:val="123"/>
        <w:ind w:left="1133" w:hanging="283"/>
        <w:rPr>
          <w:snapToGrid/>
          <w:color w:val="000000"/>
        </w:rPr>
      </w:pPr>
      <w:r w:rsidRPr="00DD2CED">
        <w:rPr>
          <w:rFonts w:hint="eastAsia"/>
          <w:snapToGrid/>
          <w:color w:val="000000"/>
        </w:rPr>
        <w:t>1.98及99年度辦理增資各20億元及40億元，以提升資本適足率。</w:t>
      </w:r>
    </w:p>
    <w:p w:rsidR="005D4DB7" w:rsidRPr="00DD2CED" w:rsidRDefault="005D4DB7" w:rsidP="005D4DB7">
      <w:pPr>
        <w:pStyle w:val="123"/>
        <w:ind w:left="1133" w:hanging="283"/>
        <w:rPr>
          <w:snapToGrid/>
          <w:color w:val="000000"/>
        </w:rPr>
      </w:pPr>
      <w:r w:rsidRPr="00DD2CED">
        <w:rPr>
          <w:rFonts w:hint="eastAsia"/>
          <w:snapToGrid/>
          <w:color w:val="000000"/>
        </w:rPr>
        <w:t>2.102年度為因應國際財務報導準則(IFRSs)實施及調整資產長期配置比重等，辦理第3度增資60億元。</w:t>
      </w:r>
    </w:p>
    <w:p w:rsidR="005D4DB7" w:rsidRPr="00DD2CED" w:rsidRDefault="005D4DB7" w:rsidP="005D4DB7">
      <w:pPr>
        <w:pStyle w:val="123"/>
        <w:ind w:left="1133" w:hanging="283"/>
        <w:rPr>
          <w:snapToGrid/>
          <w:color w:val="000000"/>
        </w:rPr>
      </w:pPr>
      <w:r w:rsidRPr="00DD2CED">
        <w:rPr>
          <w:rFonts w:hint="eastAsia"/>
          <w:snapToGrid/>
          <w:color w:val="000000"/>
        </w:rPr>
        <w:t>3.104年度受舊保單利差損及增提準備金等影響，辦理第4次增資55億元。</w:t>
      </w:r>
    </w:p>
    <w:p w:rsidR="005D4DB7" w:rsidRPr="00DD2CED" w:rsidRDefault="005D4DB7" w:rsidP="005D4DB7">
      <w:pPr>
        <w:pStyle w:val="123"/>
        <w:ind w:left="1133" w:hanging="283"/>
        <w:rPr>
          <w:snapToGrid/>
          <w:color w:val="000000"/>
        </w:rPr>
      </w:pPr>
      <w:r w:rsidRPr="00DD2CED">
        <w:rPr>
          <w:rFonts w:hint="eastAsia"/>
          <w:snapToGrid/>
          <w:color w:val="000000"/>
        </w:rPr>
        <w:t>4.107年度為強化資本結構並提升資產配置之風險承擔能力，辦理第5度增資100億元。</w:t>
      </w:r>
    </w:p>
    <w:p w:rsidR="005D4DB7" w:rsidRDefault="005D4DB7" w:rsidP="005D4DB7">
      <w:pPr>
        <w:pStyle w:val="123"/>
        <w:ind w:left="1133" w:hanging="283"/>
        <w:rPr>
          <w:snapToGrid/>
          <w:color w:val="000000"/>
        </w:rPr>
      </w:pPr>
      <w:r w:rsidRPr="00DD2CED">
        <w:rPr>
          <w:rFonts w:hint="eastAsia"/>
          <w:snapToGrid/>
          <w:color w:val="000000"/>
        </w:rPr>
        <w:t>5.110年度辦理第6度增資110億元。</w:t>
      </w:r>
    </w:p>
    <w:p w:rsidR="005D4DB7" w:rsidRDefault="005D4DB7" w:rsidP="005D4DB7">
      <w:pPr>
        <w:pStyle w:val="123"/>
        <w:ind w:left="1133" w:hanging="283"/>
        <w:rPr>
          <w:snapToGrid/>
          <w:color w:val="000000"/>
        </w:rPr>
      </w:pPr>
      <w:r>
        <w:rPr>
          <w:snapToGrid/>
          <w:color w:val="000000"/>
        </w:rPr>
        <w:t>6.</w:t>
      </w:r>
      <w:r w:rsidRPr="00DD2CED">
        <w:rPr>
          <w:rFonts w:hint="eastAsia"/>
          <w:snapToGrid/>
          <w:color w:val="000000"/>
        </w:rPr>
        <w:t>11</w:t>
      </w:r>
      <w:r>
        <w:rPr>
          <w:snapToGrid/>
          <w:color w:val="000000"/>
        </w:rPr>
        <w:t>2</w:t>
      </w:r>
      <w:r w:rsidRPr="00DD2CED">
        <w:rPr>
          <w:rFonts w:hint="eastAsia"/>
          <w:snapToGrid/>
          <w:color w:val="000000"/>
        </w:rPr>
        <w:t>年度辦理第</w:t>
      </w:r>
      <w:r>
        <w:rPr>
          <w:snapToGrid/>
          <w:color w:val="000000"/>
        </w:rPr>
        <w:t>7</w:t>
      </w:r>
      <w:r w:rsidRPr="00DD2CED">
        <w:rPr>
          <w:rFonts w:hint="eastAsia"/>
          <w:snapToGrid/>
          <w:color w:val="000000"/>
        </w:rPr>
        <w:t>度增資</w:t>
      </w:r>
      <w:r>
        <w:rPr>
          <w:snapToGrid/>
          <w:color w:val="000000"/>
        </w:rPr>
        <w:t>6</w:t>
      </w:r>
      <w:r w:rsidRPr="00DD2CED">
        <w:rPr>
          <w:rFonts w:hint="eastAsia"/>
          <w:snapToGrid/>
          <w:color w:val="000000"/>
        </w:rPr>
        <w:t>0億元。</w:t>
      </w:r>
    </w:p>
    <w:p w:rsidR="000A6F04" w:rsidRDefault="005D4DB7" w:rsidP="005D4DB7">
      <w:pPr>
        <w:ind w:leftChars="300" w:left="850" w:firstLine="566"/>
        <w:rPr>
          <w:rFonts w:hAnsi="標楷體" w:cs="全字庫正宋體" w:hint="eastAsia"/>
          <w:snapToGrid/>
        </w:rPr>
      </w:pPr>
      <w:r>
        <w:rPr>
          <w:rFonts w:hAnsi="標楷體" w:cs="全字庫正宋體" w:hint="eastAsia"/>
          <w:snapToGrid/>
        </w:rPr>
        <w:t>由於</w:t>
      </w:r>
      <w:r w:rsidRPr="005D1D89">
        <w:rPr>
          <w:rFonts w:hAnsi="標楷體" w:cs="全字庫正宋體" w:hint="eastAsia"/>
          <w:snapToGrid/>
        </w:rPr>
        <w:t>該等現金增資之資金來源係由臺灣金控以舉債方式支應，據該金控說明，經考量市場利率水準及撙節利息支出，將預計舉借長期債務均改以短期債務支應</w:t>
      </w:r>
      <w:r>
        <w:rPr>
          <w:rFonts w:hAnsi="標楷體" w:cs="全字庫正宋體" w:hint="eastAsia"/>
          <w:snapToGrid/>
        </w:rPr>
        <w:t>。</w:t>
      </w:r>
      <w:r w:rsidRPr="005D1D89">
        <w:rPr>
          <w:rFonts w:hAnsi="標楷體" w:cs="全字庫正宋體" w:hint="eastAsia"/>
          <w:snapToGrid/>
        </w:rPr>
        <w:t>參據該金控10</w:t>
      </w:r>
      <w:r w:rsidR="00984434">
        <w:rPr>
          <w:rFonts w:hAnsi="標楷體" w:cs="全字庫正宋體"/>
          <w:snapToGrid/>
        </w:rPr>
        <w:t>8</w:t>
      </w:r>
      <w:r w:rsidRPr="005D1D89">
        <w:rPr>
          <w:rFonts w:hAnsi="標楷體" w:cs="全字庫正宋體" w:hint="eastAsia"/>
          <w:snapToGrid/>
        </w:rPr>
        <w:t>至11</w:t>
      </w:r>
      <w:r w:rsidR="00984434">
        <w:rPr>
          <w:rFonts w:hAnsi="標楷體" w:cs="全字庫正宋體"/>
          <w:snapToGrid/>
        </w:rPr>
        <w:t>2</w:t>
      </w:r>
      <w:r w:rsidRPr="005D1D89">
        <w:rPr>
          <w:rFonts w:hAnsi="標楷體" w:cs="全字庫正宋體" w:hint="eastAsia"/>
          <w:snapToGrid/>
        </w:rPr>
        <w:t>年度借款</w:t>
      </w:r>
      <w:r w:rsidR="00175E60">
        <w:rPr>
          <w:rFonts w:hAnsi="標楷體" w:cs="全字庫正宋體" w:hint="eastAsia"/>
          <w:snapToGrid/>
        </w:rPr>
        <w:t>餘額</w:t>
      </w:r>
      <w:r w:rsidRPr="005D1D89">
        <w:rPr>
          <w:rFonts w:hAnsi="標楷體" w:cs="全字庫正宋體" w:hint="eastAsia"/>
          <w:snapToGrid/>
        </w:rPr>
        <w:t>及利息費用情形(詳表2)，11</w:t>
      </w:r>
      <w:r w:rsidR="001D5766">
        <w:rPr>
          <w:rFonts w:hAnsi="標楷體" w:cs="全字庫正宋體"/>
          <w:snapToGrid/>
        </w:rPr>
        <w:t>2</w:t>
      </w:r>
      <w:r w:rsidRPr="005D1D89">
        <w:rPr>
          <w:rFonts w:hAnsi="標楷體" w:cs="全字庫正宋體" w:hint="eastAsia"/>
          <w:snapToGrid/>
        </w:rPr>
        <w:t>年度</w:t>
      </w:r>
      <w:r w:rsidRPr="00612D4E">
        <w:rPr>
          <w:rFonts w:hAnsi="標楷體" w:cs="全字庫正宋體" w:hint="eastAsia"/>
          <w:snapToGrid/>
        </w:rPr>
        <w:t>臺灣金控</w:t>
      </w:r>
      <w:r w:rsidRPr="005D1D89">
        <w:rPr>
          <w:rFonts w:hAnsi="標楷體" w:cs="全字庫正宋體" w:hint="eastAsia"/>
          <w:snapToGrid/>
        </w:rPr>
        <w:t>借款</w:t>
      </w:r>
      <w:r>
        <w:rPr>
          <w:rFonts w:hAnsi="標楷體" w:cs="全字庫正宋體" w:hint="eastAsia"/>
          <w:snapToGrid/>
        </w:rPr>
        <w:t>餘</w:t>
      </w:r>
      <w:r w:rsidRPr="005D1D89">
        <w:rPr>
          <w:rFonts w:hAnsi="標楷體" w:cs="全字庫正宋體" w:hint="eastAsia"/>
          <w:snapToGrid/>
        </w:rPr>
        <w:t>額</w:t>
      </w:r>
      <w:r w:rsidR="00175E60">
        <w:rPr>
          <w:rFonts w:hAnsi="標楷體" w:cs="全字庫正宋體" w:hint="eastAsia"/>
          <w:snapToGrid/>
        </w:rPr>
        <w:t>決算數</w:t>
      </w:r>
      <w:r w:rsidRPr="005D1D89">
        <w:rPr>
          <w:rFonts w:hAnsi="標楷體" w:cs="全字庫正宋體" w:hint="eastAsia"/>
          <w:snapToGrid/>
        </w:rPr>
        <w:t>增至</w:t>
      </w:r>
      <w:r w:rsidR="00BE4852" w:rsidRPr="000419EE">
        <w:rPr>
          <w:rFonts w:hAnsi="標楷體" w:cs="全字庫正宋體"/>
          <w:snapToGrid/>
        </w:rPr>
        <w:t>381</w:t>
      </w:r>
      <w:r w:rsidRPr="000419EE">
        <w:rPr>
          <w:rFonts w:hAnsi="標楷體" w:cs="全字庫正宋體" w:hint="eastAsia"/>
          <w:snapToGrid/>
        </w:rPr>
        <w:t>億元並編列利息</w:t>
      </w:r>
      <w:r w:rsidRPr="005D1D89">
        <w:rPr>
          <w:rFonts w:hAnsi="標楷體" w:cs="全字庫正宋體" w:hint="eastAsia"/>
          <w:snapToGrid/>
        </w:rPr>
        <w:t>費用</w:t>
      </w:r>
      <w:r w:rsidR="000A6F04">
        <w:rPr>
          <w:rFonts w:hAnsi="標楷體" w:cs="全字庫正宋體" w:hint="eastAsia"/>
          <w:snapToGrid/>
        </w:rPr>
        <w:t>預算</w:t>
      </w:r>
      <w:r w:rsidR="001D5766">
        <w:rPr>
          <w:rFonts w:hAnsi="標楷體" w:cs="全字庫正宋體"/>
          <w:snapToGrid/>
        </w:rPr>
        <w:t>4</w:t>
      </w:r>
      <w:r w:rsidRPr="005D1D89">
        <w:rPr>
          <w:rFonts w:hAnsi="標楷體" w:cs="全字庫正宋體" w:hint="eastAsia"/>
          <w:snapToGrid/>
        </w:rPr>
        <w:t>億</w:t>
      </w:r>
      <w:r w:rsidR="001D5766">
        <w:rPr>
          <w:rFonts w:hAnsi="標楷體" w:cs="全字庫正宋體" w:hint="eastAsia"/>
          <w:snapToGrid/>
        </w:rPr>
        <w:t>4</w:t>
      </w:r>
      <w:r>
        <w:rPr>
          <w:rFonts w:hAnsi="標楷體" w:cs="全字庫正宋體"/>
          <w:snapToGrid/>
        </w:rPr>
        <w:t>50</w:t>
      </w:r>
      <w:r w:rsidRPr="005D1D89">
        <w:rPr>
          <w:rFonts w:hAnsi="標楷體" w:cs="全字庫正宋體" w:hint="eastAsia"/>
          <w:snapToGrid/>
        </w:rPr>
        <w:t>萬元；惟該金控以往年度利息費用實際支付係以借入短期債務支應核算</w:t>
      </w:r>
      <w:r w:rsidR="000A6F04">
        <w:rPr>
          <w:rFonts w:hAnsi="標楷體" w:cs="全字庫正宋體" w:hint="eastAsia"/>
          <w:snapToGrid/>
        </w:rPr>
        <w:t>，是以，除1</w:t>
      </w:r>
      <w:r w:rsidR="000A6F04">
        <w:rPr>
          <w:rFonts w:hAnsi="標楷體" w:cs="全字庫正宋體"/>
          <w:snapToGrid/>
        </w:rPr>
        <w:t>12</w:t>
      </w:r>
      <w:r w:rsidR="000A6F04">
        <w:rPr>
          <w:rFonts w:hAnsi="標楷體" w:cs="全字庫正宋體" w:hint="eastAsia"/>
          <w:snapToGrid/>
        </w:rPr>
        <w:t>年度因利率調升致執行數高於預算數外，其餘年度之執行率均低於7成</w:t>
      </w:r>
      <w:r w:rsidRPr="005D1D89">
        <w:rPr>
          <w:rFonts w:hAnsi="標楷體" w:cs="全字庫正宋體" w:hint="eastAsia"/>
          <w:snapToGrid/>
        </w:rPr>
        <w:t>，允宜覈實編列所需預算。又該金控雖持續增資挹注臺銀人壽，期能改善其財務結構，惟虧損問題</w:t>
      </w:r>
      <w:r>
        <w:rPr>
          <w:rFonts w:hAnsi="標楷體" w:cs="全字庫正宋體" w:hint="eastAsia"/>
          <w:snapToGrid/>
        </w:rPr>
        <w:t>未見明顯改善</w:t>
      </w:r>
      <w:r w:rsidRPr="005D1D89">
        <w:rPr>
          <w:rFonts w:hAnsi="標楷體" w:cs="全字庫正宋體" w:hint="eastAsia"/>
          <w:snapToGrid/>
        </w:rPr>
        <w:t>，</w:t>
      </w:r>
      <w:r w:rsidR="000A6F04">
        <w:rPr>
          <w:rFonts w:hAnsi="標楷體" w:cs="全字庫正宋體" w:hint="eastAsia"/>
          <w:snapToGrid/>
        </w:rPr>
        <w:t>該子公司</w:t>
      </w:r>
      <w:r w:rsidRPr="007757C1">
        <w:rPr>
          <w:rFonts w:hAnsi="標楷體" w:cs="全字庫正宋體" w:hint="eastAsia"/>
          <w:snapToGrid/>
        </w:rPr>
        <w:t>由10</w:t>
      </w:r>
      <w:r w:rsidR="000A6F04">
        <w:rPr>
          <w:rFonts w:hAnsi="標楷體" w:cs="全字庫正宋體"/>
          <w:snapToGrid/>
        </w:rPr>
        <w:t>7</w:t>
      </w:r>
      <w:r w:rsidRPr="007757C1">
        <w:rPr>
          <w:rFonts w:hAnsi="標楷體" w:cs="全字庫正宋體" w:hint="eastAsia"/>
          <w:snapToGrid/>
        </w:rPr>
        <w:t>年度淨損</w:t>
      </w:r>
      <w:r w:rsidR="000A6F04">
        <w:rPr>
          <w:rFonts w:hAnsi="標楷體" w:cs="全字庫正宋體"/>
          <w:snapToGrid/>
        </w:rPr>
        <w:t>9</w:t>
      </w:r>
      <w:r w:rsidR="007757C1" w:rsidRPr="007757C1">
        <w:rPr>
          <w:rFonts w:hAnsi="標楷體" w:cs="全字庫正宋體"/>
          <w:snapToGrid/>
        </w:rPr>
        <w:t>.</w:t>
      </w:r>
      <w:r w:rsidR="000A6F04">
        <w:rPr>
          <w:rFonts w:hAnsi="標楷體" w:cs="全字庫正宋體"/>
          <w:snapToGrid/>
        </w:rPr>
        <w:t>79</w:t>
      </w:r>
      <w:r w:rsidRPr="007757C1">
        <w:rPr>
          <w:rFonts w:hAnsi="標楷體" w:cs="全字庫正宋體" w:hint="eastAsia"/>
          <w:snapToGrid/>
        </w:rPr>
        <w:t>億元概擴增至1</w:t>
      </w:r>
      <w:r w:rsidRPr="007757C1">
        <w:rPr>
          <w:rFonts w:hAnsi="標楷體" w:cs="全字庫正宋體"/>
          <w:snapToGrid/>
        </w:rPr>
        <w:t>11</w:t>
      </w:r>
      <w:r w:rsidRPr="007757C1">
        <w:rPr>
          <w:rFonts w:hAnsi="標楷體" w:cs="全字庫正宋體" w:hint="eastAsia"/>
          <w:snapToGrid/>
        </w:rPr>
        <w:t>年度</w:t>
      </w:r>
      <w:r w:rsidRPr="007757C1">
        <w:rPr>
          <w:rFonts w:hAnsi="標楷體" w:cs="全字庫正宋體"/>
          <w:snapToGrid/>
        </w:rPr>
        <w:t>11</w:t>
      </w:r>
      <w:r w:rsidRPr="007757C1">
        <w:rPr>
          <w:rFonts w:hAnsi="標楷體" w:cs="全字庫正宋體" w:hint="eastAsia"/>
          <w:snapToGrid/>
        </w:rPr>
        <w:t>.</w:t>
      </w:r>
      <w:r w:rsidRPr="007757C1">
        <w:rPr>
          <w:rFonts w:hAnsi="標楷體" w:cs="全字庫正宋體"/>
          <w:snapToGrid/>
        </w:rPr>
        <w:t>69</w:t>
      </w:r>
      <w:r w:rsidRPr="007757C1">
        <w:rPr>
          <w:rFonts w:hAnsi="標楷體" w:cs="全字庫正宋體" w:hint="eastAsia"/>
          <w:snapToGrid/>
        </w:rPr>
        <w:t>億元，雖1</w:t>
      </w:r>
      <w:r w:rsidRPr="007757C1">
        <w:rPr>
          <w:rFonts w:hAnsi="標楷體" w:cs="全字庫正宋體"/>
          <w:snapToGrid/>
        </w:rPr>
        <w:t>12</w:t>
      </w:r>
      <w:r w:rsidRPr="007757C1">
        <w:rPr>
          <w:rFonts w:hAnsi="標楷體" w:cs="全字庫正宋體" w:hint="eastAsia"/>
          <w:snapToGrid/>
        </w:rPr>
        <w:t>年度虧損降至0</w:t>
      </w:r>
      <w:r w:rsidRPr="007757C1">
        <w:rPr>
          <w:rFonts w:hAnsi="標楷體" w:cs="全字庫正宋體"/>
          <w:snapToGrid/>
        </w:rPr>
        <w:t>.98</w:t>
      </w:r>
      <w:r w:rsidRPr="007757C1">
        <w:rPr>
          <w:rFonts w:hAnsi="標楷體" w:cs="全字庫正宋體" w:hint="eastAsia"/>
          <w:snapToGrid/>
        </w:rPr>
        <w:t>億元，然整體經營體質未能因各次現金增資而有顯著改善。</w:t>
      </w:r>
    </w:p>
    <w:p w:rsidR="005D4DB7" w:rsidRPr="00E031A7" w:rsidRDefault="005D4DB7" w:rsidP="007E58D1">
      <w:pPr>
        <w:spacing w:line="400" w:lineRule="exact"/>
        <w:ind w:leftChars="-150" w:left="-425" w:firstLineChars="0" w:firstLine="0"/>
        <w:jc w:val="left"/>
        <w:rPr>
          <w:rFonts w:hAnsi="標楷體"/>
          <w:snapToGrid/>
        </w:rPr>
      </w:pPr>
      <w:r w:rsidRPr="00E031A7">
        <w:rPr>
          <w:rFonts w:hAnsi="標楷體" w:hint="eastAsia"/>
          <w:b/>
          <w:snapToGrid/>
          <w:lang w:eastAsia="zh-HK"/>
        </w:rPr>
        <w:t>表</w:t>
      </w:r>
      <w:r w:rsidRPr="00E031A7">
        <w:rPr>
          <w:rFonts w:hAnsi="標楷體" w:hint="eastAsia"/>
          <w:b/>
          <w:snapToGrid/>
        </w:rPr>
        <w:t>1臺灣金控</w:t>
      </w:r>
      <w:r>
        <w:rPr>
          <w:rFonts w:hAnsi="標楷體" w:hint="eastAsia"/>
          <w:b/>
          <w:snapToGrid/>
        </w:rPr>
        <w:t>107至1</w:t>
      </w:r>
      <w:r>
        <w:rPr>
          <w:rFonts w:hAnsi="標楷體"/>
          <w:b/>
          <w:snapToGrid/>
        </w:rPr>
        <w:t>1</w:t>
      </w:r>
      <w:r w:rsidR="009C46D4">
        <w:rPr>
          <w:rFonts w:hAnsi="標楷體"/>
          <w:b/>
          <w:snapToGrid/>
        </w:rPr>
        <w:t>2</w:t>
      </w:r>
      <w:r w:rsidRPr="00E031A7">
        <w:rPr>
          <w:rFonts w:hAnsi="標楷體" w:hint="eastAsia"/>
          <w:b/>
          <w:snapToGrid/>
        </w:rPr>
        <w:t>年</w:t>
      </w:r>
      <w:r>
        <w:rPr>
          <w:rFonts w:hAnsi="標楷體" w:hint="eastAsia"/>
          <w:b/>
          <w:snapToGrid/>
          <w:lang w:eastAsia="zh-HK"/>
        </w:rPr>
        <w:t>度依</w:t>
      </w:r>
      <w:r>
        <w:rPr>
          <w:rFonts w:hAnsi="標楷體" w:hint="eastAsia"/>
          <w:b/>
          <w:snapToGrid/>
        </w:rPr>
        <w:t>權益法認列</w:t>
      </w:r>
      <w:r>
        <w:rPr>
          <w:rFonts w:hAnsi="標楷體" w:hint="eastAsia"/>
          <w:b/>
          <w:snapToGrid/>
          <w:lang w:eastAsia="zh-HK"/>
        </w:rPr>
        <w:t>各</w:t>
      </w:r>
      <w:r w:rsidRPr="00E031A7">
        <w:rPr>
          <w:rFonts w:hAnsi="標楷體" w:hint="eastAsia"/>
          <w:b/>
          <w:snapToGrid/>
        </w:rPr>
        <w:t>子公司</w:t>
      </w:r>
      <w:r>
        <w:rPr>
          <w:rFonts w:hAnsi="標楷體" w:hint="eastAsia"/>
          <w:b/>
          <w:snapToGrid/>
          <w:lang w:eastAsia="zh-HK"/>
        </w:rPr>
        <w:t>之投資</w:t>
      </w:r>
      <w:r w:rsidRPr="00E031A7">
        <w:rPr>
          <w:rFonts w:hAnsi="標楷體" w:hint="eastAsia"/>
          <w:b/>
          <w:snapToGrid/>
        </w:rPr>
        <w:t>損益</w:t>
      </w:r>
      <w:r>
        <w:rPr>
          <w:rFonts w:hAnsi="標楷體" w:hint="eastAsia"/>
          <w:b/>
          <w:snapToGrid/>
          <w:lang w:eastAsia="zh-HK"/>
        </w:rPr>
        <w:t>情形</w:t>
      </w:r>
      <w:r>
        <w:rPr>
          <w:rFonts w:hAnsi="標楷體" w:hint="eastAsia"/>
          <w:b/>
          <w:snapToGrid/>
        </w:rPr>
        <w:t>表</w:t>
      </w:r>
    </w:p>
    <w:p w:rsidR="005D4DB7" w:rsidRPr="005E5B94" w:rsidRDefault="005D4DB7" w:rsidP="005D4DB7">
      <w:pPr>
        <w:spacing w:line="400" w:lineRule="exact"/>
        <w:ind w:leftChars="0" w:left="0" w:rightChars="100" w:right="283" w:firstLineChars="0" w:firstLine="0"/>
        <w:jc w:val="right"/>
        <w:rPr>
          <w:rFonts w:hAnsi="標楷體"/>
          <w:snapToGrid/>
          <w:sz w:val="24"/>
          <w:szCs w:val="24"/>
        </w:rPr>
      </w:pPr>
      <w:r w:rsidRPr="005E5B94">
        <w:rPr>
          <w:rFonts w:hAnsi="標楷體" w:hint="eastAsia"/>
          <w:snapToGrid/>
          <w:sz w:val="24"/>
          <w:szCs w:val="24"/>
        </w:rPr>
        <w:t>單位:新臺幣千元</w:t>
      </w:r>
    </w:p>
    <w:tbl>
      <w:tblPr>
        <w:tblW w:w="8931" w:type="dxa"/>
        <w:tblInd w:w="-4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07"/>
        <w:gridCol w:w="1384"/>
        <w:gridCol w:w="1346"/>
        <w:gridCol w:w="1275"/>
        <w:gridCol w:w="1117"/>
        <w:gridCol w:w="1034"/>
        <w:gridCol w:w="1268"/>
      </w:tblGrid>
      <w:tr w:rsidR="005D4DB7" w:rsidRPr="006471F7" w:rsidTr="000A6F04">
        <w:trPr>
          <w:tblHeader/>
        </w:trPr>
        <w:tc>
          <w:tcPr>
            <w:tcW w:w="1507" w:type="dxa"/>
            <w:shd w:val="clear" w:color="auto" w:fill="auto"/>
          </w:tcPr>
          <w:p w:rsidR="005D4DB7" w:rsidRPr="006471F7" w:rsidRDefault="005D4DB7" w:rsidP="00E24202">
            <w:pPr>
              <w:widowControl/>
              <w:spacing w:line="360" w:lineRule="exact"/>
              <w:ind w:leftChars="0" w:left="0" w:firstLineChars="0" w:firstLine="0"/>
              <w:jc w:val="center"/>
              <w:rPr>
                <w:rFonts w:hAnsi="標楷體"/>
                <w:snapToGrid/>
                <w:color w:val="000000"/>
                <w:spacing w:val="-5"/>
                <w:kern w:val="0"/>
                <w:sz w:val="24"/>
                <w:szCs w:val="24"/>
              </w:rPr>
            </w:pPr>
            <w:r w:rsidRPr="006471F7">
              <w:rPr>
                <w:rFonts w:hAnsi="標楷體" w:hint="eastAsia"/>
                <w:snapToGrid/>
                <w:color w:val="000000"/>
                <w:spacing w:val="-5"/>
                <w:kern w:val="0"/>
                <w:sz w:val="24"/>
                <w:szCs w:val="24"/>
              </w:rPr>
              <w:t>項目</w:t>
            </w:r>
          </w:p>
        </w:tc>
        <w:tc>
          <w:tcPr>
            <w:tcW w:w="2730" w:type="dxa"/>
            <w:gridSpan w:val="2"/>
            <w:shd w:val="clear" w:color="auto" w:fill="auto"/>
          </w:tcPr>
          <w:p w:rsidR="005D4DB7" w:rsidRPr="006471F7" w:rsidRDefault="005D4DB7" w:rsidP="00E24202">
            <w:pPr>
              <w:widowControl/>
              <w:spacing w:line="360" w:lineRule="exact"/>
              <w:ind w:leftChars="0" w:left="0" w:firstLineChars="0" w:firstLine="0"/>
              <w:jc w:val="center"/>
              <w:rPr>
                <w:rFonts w:hAnsi="標楷體"/>
                <w:snapToGrid/>
                <w:color w:val="000000"/>
                <w:spacing w:val="-5"/>
                <w:kern w:val="0"/>
                <w:sz w:val="24"/>
                <w:szCs w:val="24"/>
              </w:rPr>
            </w:pPr>
            <w:r w:rsidRPr="006471F7">
              <w:rPr>
                <w:rFonts w:hAnsi="標楷體" w:hint="eastAsia"/>
                <w:snapToGrid/>
                <w:color w:val="000000"/>
                <w:spacing w:val="-5"/>
                <w:kern w:val="0"/>
                <w:sz w:val="24"/>
                <w:szCs w:val="24"/>
              </w:rPr>
              <w:t>臺灣銀行</w:t>
            </w:r>
          </w:p>
        </w:tc>
        <w:tc>
          <w:tcPr>
            <w:tcW w:w="2392" w:type="dxa"/>
            <w:gridSpan w:val="2"/>
            <w:shd w:val="clear" w:color="auto" w:fill="auto"/>
          </w:tcPr>
          <w:p w:rsidR="005D4DB7" w:rsidRPr="006471F7" w:rsidRDefault="005D4DB7" w:rsidP="00E24202">
            <w:pPr>
              <w:widowControl/>
              <w:spacing w:line="360" w:lineRule="exact"/>
              <w:ind w:leftChars="0" w:left="0" w:firstLineChars="0" w:firstLine="0"/>
              <w:jc w:val="center"/>
              <w:rPr>
                <w:rFonts w:hAnsi="標楷體"/>
                <w:snapToGrid/>
                <w:color w:val="000000"/>
                <w:spacing w:val="-5"/>
                <w:kern w:val="0"/>
                <w:sz w:val="24"/>
                <w:szCs w:val="24"/>
              </w:rPr>
            </w:pPr>
            <w:r w:rsidRPr="006471F7">
              <w:rPr>
                <w:rFonts w:hAnsi="標楷體" w:hint="eastAsia"/>
                <w:snapToGrid/>
                <w:color w:val="000000"/>
                <w:spacing w:val="-5"/>
                <w:kern w:val="0"/>
                <w:sz w:val="24"/>
                <w:szCs w:val="24"/>
              </w:rPr>
              <w:t>臺銀人壽</w:t>
            </w:r>
          </w:p>
        </w:tc>
        <w:tc>
          <w:tcPr>
            <w:tcW w:w="2302" w:type="dxa"/>
            <w:gridSpan w:val="2"/>
            <w:shd w:val="clear" w:color="auto" w:fill="auto"/>
          </w:tcPr>
          <w:p w:rsidR="005D4DB7" w:rsidRPr="006471F7" w:rsidRDefault="005D4DB7" w:rsidP="00E24202">
            <w:pPr>
              <w:widowControl/>
              <w:spacing w:line="360" w:lineRule="exact"/>
              <w:ind w:leftChars="0" w:left="0" w:firstLineChars="0" w:firstLine="0"/>
              <w:jc w:val="center"/>
              <w:rPr>
                <w:rFonts w:hAnsi="標楷體"/>
                <w:snapToGrid/>
                <w:color w:val="000000"/>
                <w:spacing w:val="-5"/>
                <w:kern w:val="0"/>
                <w:sz w:val="24"/>
                <w:szCs w:val="24"/>
              </w:rPr>
            </w:pPr>
            <w:r w:rsidRPr="006471F7">
              <w:rPr>
                <w:rFonts w:hAnsi="標楷體" w:hint="eastAsia"/>
                <w:snapToGrid/>
                <w:color w:val="000000"/>
                <w:spacing w:val="-5"/>
                <w:kern w:val="0"/>
                <w:sz w:val="24"/>
                <w:szCs w:val="24"/>
              </w:rPr>
              <w:t>臺銀證券</w:t>
            </w:r>
          </w:p>
        </w:tc>
      </w:tr>
      <w:tr w:rsidR="005D4DB7" w:rsidRPr="006471F7" w:rsidTr="000A6F04">
        <w:trPr>
          <w:tblHeader/>
        </w:trPr>
        <w:tc>
          <w:tcPr>
            <w:tcW w:w="1507" w:type="dxa"/>
            <w:shd w:val="clear" w:color="auto" w:fill="auto"/>
          </w:tcPr>
          <w:p w:rsidR="005D4DB7" w:rsidRPr="006471F7" w:rsidRDefault="005D4DB7" w:rsidP="00E24202">
            <w:pPr>
              <w:widowControl/>
              <w:spacing w:line="360" w:lineRule="exact"/>
              <w:ind w:leftChars="0" w:left="0" w:firstLineChars="0" w:firstLine="0"/>
              <w:jc w:val="center"/>
              <w:rPr>
                <w:rFonts w:hAnsi="標楷體"/>
                <w:snapToGrid/>
                <w:color w:val="000000"/>
                <w:spacing w:val="-5"/>
                <w:kern w:val="0"/>
                <w:sz w:val="24"/>
                <w:szCs w:val="24"/>
              </w:rPr>
            </w:pPr>
            <w:r w:rsidRPr="006471F7">
              <w:rPr>
                <w:rFonts w:hAnsi="標楷體" w:hint="eastAsia"/>
                <w:snapToGrid/>
                <w:color w:val="000000"/>
                <w:spacing w:val="-5"/>
                <w:kern w:val="0"/>
                <w:sz w:val="24"/>
                <w:szCs w:val="24"/>
              </w:rPr>
              <w:t>年度</w:t>
            </w:r>
            <w:r>
              <w:rPr>
                <w:rFonts w:hAnsi="標楷體" w:hint="eastAsia"/>
                <w:snapToGrid/>
                <w:color w:val="000000"/>
                <w:spacing w:val="-5"/>
                <w:kern w:val="0"/>
                <w:sz w:val="24"/>
                <w:szCs w:val="24"/>
              </w:rPr>
              <w:t>/月</w:t>
            </w:r>
          </w:p>
        </w:tc>
        <w:tc>
          <w:tcPr>
            <w:tcW w:w="1384"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投資利益</w:t>
            </w:r>
          </w:p>
        </w:tc>
        <w:tc>
          <w:tcPr>
            <w:tcW w:w="1346"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現金股利</w:t>
            </w:r>
          </w:p>
        </w:tc>
        <w:tc>
          <w:tcPr>
            <w:tcW w:w="1275"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投資利益</w:t>
            </w:r>
          </w:p>
        </w:tc>
        <w:tc>
          <w:tcPr>
            <w:tcW w:w="1117"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現金股利</w:t>
            </w:r>
          </w:p>
        </w:tc>
        <w:tc>
          <w:tcPr>
            <w:tcW w:w="1034"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投資利益</w:t>
            </w:r>
          </w:p>
        </w:tc>
        <w:tc>
          <w:tcPr>
            <w:tcW w:w="1268"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現金股利</w:t>
            </w:r>
          </w:p>
        </w:tc>
      </w:tr>
      <w:tr w:rsidR="005D4DB7" w:rsidRPr="006471F7" w:rsidTr="00244631">
        <w:tc>
          <w:tcPr>
            <w:tcW w:w="1507" w:type="dxa"/>
            <w:shd w:val="clear" w:color="auto" w:fill="auto"/>
          </w:tcPr>
          <w:p w:rsidR="005D4DB7" w:rsidRPr="006471F7" w:rsidRDefault="005D4DB7" w:rsidP="00E24202">
            <w:pPr>
              <w:widowControl/>
              <w:spacing w:line="360" w:lineRule="exact"/>
              <w:ind w:leftChars="0" w:left="0" w:firstLineChars="0" w:firstLine="0"/>
              <w:jc w:val="left"/>
              <w:rPr>
                <w:rFonts w:hAnsi="標楷體"/>
                <w:snapToGrid/>
                <w:color w:val="000000"/>
                <w:spacing w:val="-5"/>
                <w:kern w:val="0"/>
                <w:sz w:val="24"/>
                <w:szCs w:val="24"/>
              </w:rPr>
            </w:pPr>
            <w:r w:rsidRPr="006471F7">
              <w:rPr>
                <w:rFonts w:hAnsi="標楷體" w:hint="eastAsia"/>
                <w:snapToGrid/>
                <w:color w:val="000000"/>
                <w:spacing w:val="-5"/>
                <w:kern w:val="0"/>
                <w:sz w:val="24"/>
                <w:szCs w:val="24"/>
              </w:rPr>
              <w:t xml:space="preserve">107 </w:t>
            </w:r>
          </w:p>
        </w:tc>
        <w:tc>
          <w:tcPr>
            <w:tcW w:w="138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10</w:t>
            </w:r>
            <w:r w:rsidRPr="006471F7">
              <w:rPr>
                <w:rFonts w:hAnsi="標楷體"/>
                <w:snapToGrid/>
                <w:color w:val="000000"/>
                <w:spacing w:val="-5"/>
                <w:kern w:val="0"/>
                <w:sz w:val="24"/>
                <w:szCs w:val="24"/>
              </w:rPr>
              <w:t>,245,206</w:t>
            </w:r>
          </w:p>
        </w:tc>
        <w:tc>
          <w:tcPr>
            <w:tcW w:w="1346"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800,000</w:t>
            </w:r>
          </w:p>
        </w:tc>
        <w:tc>
          <w:tcPr>
            <w:tcW w:w="1275"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-978,894</w:t>
            </w:r>
          </w:p>
        </w:tc>
        <w:tc>
          <w:tcPr>
            <w:tcW w:w="1117"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0</w:t>
            </w:r>
          </w:p>
        </w:tc>
        <w:tc>
          <w:tcPr>
            <w:tcW w:w="103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125,742</w:t>
            </w:r>
          </w:p>
        </w:tc>
        <w:tc>
          <w:tcPr>
            <w:tcW w:w="1268"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79,429</w:t>
            </w:r>
          </w:p>
        </w:tc>
      </w:tr>
      <w:tr w:rsidR="005D4DB7" w:rsidRPr="006471F7" w:rsidTr="00244631">
        <w:tc>
          <w:tcPr>
            <w:tcW w:w="1507" w:type="dxa"/>
            <w:shd w:val="clear" w:color="auto" w:fill="auto"/>
          </w:tcPr>
          <w:p w:rsidR="005D4DB7" w:rsidRPr="006471F7" w:rsidRDefault="005D4DB7" w:rsidP="00E24202">
            <w:pPr>
              <w:widowControl/>
              <w:spacing w:line="360" w:lineRule="exact"/>
              <w:ind w:leftChars="0" w:left="0" w:firstLineChars="0" w:firstLine="0"/>
              <w:jc w:val="left"/>
              <w:rPr>
                <w:rFonts w:hAnsi="標楷體"/>
                <w:snapToGrid/>
                <w:color w:val="000000"/>
                <w:spacing w:val="-5"/>
                <w:kern w:val="0"/>
                <w:sz w:val="24"/>
                <w:szCs w:val="24"/>
              </w:rPr>
            </w:pPr>
            <w:r w:rsidRPr="006471F7">
              <w:rPr>
                <w:rFonts w:hAnsi="標楷體" w:hint="eastAsia"/>
                <w:snapToGrid/>
                <w:color w:val="000000"/>
                <w:spacing w:val="-5"/>
                <w:kern w:val="0"/>
                <w:sz w:val="24"/>
                <w:szCs w:val="24"/>
              </w:rPr>
              <w:t xml:space="preserve">108 </w:t>
            </w:r>
          </w:p>
        </w:tc>
        <w:tc>
          <w:tcPr>
            <w:tcW w:w="138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snapToGrid/>
                <w:color w:val="000000"/>
                <w:spacing w:val="-5"/>
                <w:kern w:val="0"/>
                <w:sz w:val="24"/>
                <w:szCs w:val="24"/>
              </w:rPr>
              <w:t>11,390,413</w:t>
            </w:r>
          </w:p>
        </w:tc>
        <w:tc>
          <w:tcPr>
            <w:tcW w:w="1346"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800,000</w:t>
            </w:r>
          </w:p>
        </w:tc>
        <w:tc>
          <w:tcPr>
            <w:tcW w:w="1275"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6471F7">
              <w:rPr>
                <w:rFonts w:hAnsi="標楷體"/>
                <w:snapToGrid/>
                <w:color w:val="000000"/>
                <w:spacing w:val="-5"/>
                <w:kern w:val="0"/>
                <w:sz w:val="24"/>
                <w:szCs w:val="24"/>
              </w:rPr>
              <w:t>-2,239,815</w:t>
            </w:r>
          </w:p>
        </w:tc>
        <w:tc>
          <w:tcPr>
            <w:tcW w:w="1117"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0</w:t>
            </w:r>
          </w:p>
        </w:tc>
        <w:tc>
          <w:tcPr>
            <w:tcW w:w="103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snapToGrid/>
                <w:color w:val="000000"/>
                <w:spacing w:val="-5"/>
                <w:kern w:val="0"/>
                <w:sz w:val="24"/>
                <w:szCs w:val="24"/>
              </w:rPr>
              <w:t>197,434</w:t>
            </w:r>
          </w:p>
        </w:tc>
        <w:tc>
          <w:tcPr>
            <w:tcW w:w="1268"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snapToGrid/>
                <w:color w:val="000000"/>
                <w:spacing w:val="-5"/>
                <w:kern w:val="0"/>
                <w:sz w:val="24"/>
                <w:szCs w:val="24"/>
              </w:rPr>
              <w:t>115,523</w:t>
            </w:r>
          </w:p>
        </w:tc>
      </w:tr>
      <w:tr w:rsidR="005D4DB7" w:rsidRPr="006471F7" w:rsidTr="00244631">
        <w:tc>
          <w:tcPr>
            <w:tcW w:w="1507" w:type="dxa"/>
            <w:shd w:val="clear" w:color="auto" w:fill="auto"/>
          </w:tcPr>
          <w:p w:rsidR="005D4DB7" w:rsidRPr="006471F7" w:rsidRDefault="005D4DB7" w:rsidP="00E24202">
            <w:pPr>
              <w:widowControl/>
              <w:spacing w:line="360" w:lineRule="exact"/>
              <w:ind w:leftChars="0" w:left="0" w:firstLineChars="0" w:firstLine="0"/>
              <w:jc w:val="left"/>
              <w:rPr>
                <w:rFonts w:hAnsi="標楷體"/>
                <w:snapToGrid/>
                <w:color w:val="000000"/>
                <w:spacing w:val="-5"/>
                <w:kern w:val="0"/>
                <w:sz w:val="24"/>
                <w:szCs w:val="24"/>
              </w:rPr>
            </w:pPr>
            <w:r w:rsidRPr="006471F7">
              <w:rPr>
                <w:rFonts w:hAnsi="標楷體" w:hint="eastAsia"/>
                <w:snapToGrid/>
                <w:color w:val="000000"/>
                <w:spacing w:val="-5"/>
                <w:kern w:val="0"/>
                <w:sz w:val="24"/>
                <w:szCs w:val="24"/>
              </w:rPr>
              <w:t xml:space="preserve">109 </w:t>
            </w:r>
          </w:p>
        </w:tc>
        <w:tc>
          <w:tcPr>
            <w:tcW w:w="138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snapToGrid/>
                <w:color w:val="000000"/>
                <w:spacing w:val="-5"/>
                <w:kern w:val="0"/>
                <w:sz w:val="24"/>
                <w:szCs w:val="24"/>
              </w:rPr>
              <w:t>11,515,350</w:t>
            </w:r>
          </w:p>
        </w:tc>
        <w:tc>
          <w:tcPr>
            <w:tcW w:w="1346"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snapToGrid/>
                <w:color w:val="000000"/>
                <w:spacing w:val="-5"/>
                <w:kern w:val="0"/>
                <w:sz w:val="24"/>
                <w:szCs w:val="24"/>
              </w:rPr>
              <w:t>2,125,912</w:t>
            </w:r>
          </w:p>
        </w:tc>
        <w:tc>
          <w:tcPr>
            <w:tcW w:w="1275"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6471F7">
              <w:rPr>
                <w:rFonts w:hAnsi="標楷體"/>
                <w:snapToGrid/>
                <w:color w:val="000000"/>
                <w:spacing w:val="-5"/>
                <w:kern w:val="0"/>
                <w:sz w:val="24"/>
                <w:szCs w:val="24"/>
              </w:rPr>
              <w:t>-2,574,585</w:t>
            </w:r>
          </w:p>
        </w:tc>
        <w:tc>
          <w:tcPr>
            <w:tcW w:w="1117"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0</w:t>
            </w:r>
          </w:p>
        </w:tc>
        <w:tc>
          <w:tcPr>
            <w:tcW w:w="103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snapToGrid/>
                <w:color w:val="000000"/>
                <w:spacing w:val="-5"/>
                <w:kern w:val="0"/>
                <w:sz w:val="24"/>
                <w:szCs w:val="24"/>
              </w:rPr>
              <w:t>387,724</w:t>
            </w:r>
          </w:p>
        </w:tc>
        <w:tc>
          <w:tcPr>
            <w:tcW w:w="1268"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snapToGrid/>
                <w:color w:val="000000"/>
                <w:spacing w:val="-5"/>
                <w:kern w:val="0"/>
                <w:sz w:val="24"/>
                <w:szCs w:val="24"/>
              </w:rPr>
              <w:t>95,465</w:t>
            </w:r>
          </w:p>
        </w:tc>
      </w:tr>
      <w:tr w:rsidR="005D4DB7" w:rsidRPr="006471F7" w:rsidTr="00244631">
        <w:tc>
          <w:tcPr>
            <w:tcW w:w="1507" w:type="dxa"/>
            <w:shd w:val="clear" w:color="auto" w:fill="auto"/>
          </w:tcPr>
          <w:p w:rsidR="005D4DB7" w:rsidRPr="006471F7" w:rsidRDefault="005D4DB7" w:rsidP="00E24202">
            <w:pPr>
              <w:widowControl/>
              <w:spacing w:line="360" w:lineRule="exact"/>
              <w:ind w:leftChars="0" w:left="0" w:firstLineChars="0" w:firstLine="0"/>
              <w:jc w:val="left"/>
              <w:rPr>
                <w:rFonts w:hAnsi="標楷體"/>
                <w:snapToGrid/>
                <w:color w:val="000000"/>
                <w:spacing w:val="-5"/>
                <w:kern w:val="0"/>
                <w:sz w:val="24"/>
                <w:szCs w:val="24"/>
              </w:rPr>
            </w:pPr>
            <w:r w:rsidRPr="006471F7">
              <w:rPr>
                <w:rFonts w:hAnsi="標楷體" w:hint="eastAsia"/>
                <w:snapToGrid/>
                <w:color w:val="000000"/>
                <w:spacing w:val="-5"/>
                <w:kern w:val="0"/>
                <w:sz w:val="24"/>
                <w:szCs w:val="24"/>
              </w:rPr>
              <w:t>1</w:t>
            </w:r>
            <w:r>
              <w:rPr>
                <w:rFonts w:hAnsi="標楷體"/>
                <w:snapToGrid/>
                <w:color w:val="000000"/>
                <w:spacing w:val="-5"/>
                <w:kern w:val="0"/>
                <w:sz w:val="24"/>
                <w:szCs w:val="24"/>
              </w:rPr>
              <w:t>1</w:t>
            </w:r>
            <w:r w:rsidRPr="006471F7">
              <w:rPr>
                <w:rFonts w:hAnsi="標楷體" w:hint="eastAsia"/>
                <w:snapToGrid/>
                <w:color w:val="000000"/>
                <w:spacing w:val="-5"/>
                <w:kern w:val="0"/>
                <w:sz w:val="24"/>
                <w:szCs w:val="24"/>
              </w:rPr>
              <w:t xml:space="preserve">0 </w:t>
            </w:r>
          </w:p>
        </w:tc>
        <w:tc>
          <w:tcPr>
            <w:tcW w:w="138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F3B6A">
              <w:rPr>
                <w:rFonts w:hAnsi="標楷體"/>
                <w:snapToGrid/>
                <w:color w:val="000000"/>
                <w:spacing w:val="-5"/>
                <w:kern w:val="0"/>
                <w:sz w:val="24"/>
                <w:szCs w:val="24"/>
              </w:rPr>
              <w:t>15,281,161</w:t>
            </w:r>
          </w:p>
        </w:tc>
        <w:tc>
          <w:tcPr>
            <w:tcW w:w="1346"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F3B6A">
              <w:rPr>
                <w:rFonts w:hAnsi="標楷體"/>
                <w:snapToGrid/>
                <w:color w:val="000000"/>
                <w:spacing w:val="-5"/>
                <w:kern w:val="0"/>
                <w:sz w:val="24"/>
                <w:szCs w:val="24"/>
              </w:rPr>
              <w:t>3,181,976</w:t>
            </w:r>
          </w:p>
        </w:tc>
        <w:tc>
          <w:tcPr>
            <w:tcW w:w="1275"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-224,043</w:t>
            </w:r>
          </w:p>
        </w:tc>
        <w:tc>
          <w:tcPr>
            <w:tcW w:w="1117"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0</w:t>
            </w:r>
          </w:p>
        </w:tc>
        <w:tc>
          <w:tcPr>
            <w:tcW w:w="103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883,440</w:t>
            </w:r>
          </w:p>
        </w:tc>
        <w:tc>
          <w:tcPr>
            <w:tcW w:w="1268"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450,000</w:t>
            </w:r>
          </w:p>
        </w:tc>
      </w:tr>
      <w:tr w:rsidR="005D4DB7" w:rsidRPr="006471F7" w:rsidTr="00244631">
        <w:tc>
          <w:tcPr>
            <w:tcW w:w="1507" w:type="dxa"/>
            <w:shd w:val="clear" w:color="auto" w:fill="auto"/>
          </w:tcPr>
          <w:p w:rsidR="005D4DB7" w:rsidRPr="006471F7" w:rsidRDefault="005D4DB7" w:rsidP="00E24202">
            <w:pPr>
              <w:widowControl/>
              <w:spacing w:line="360" w:lineRule="exact"/>
              <w:ind w:leftChars="0" w:left="0" w:firstLineChars="0" w:firstLine="0"/>
              <w:jc w:val="left"/>
              <w:rPr>
                <w:rFonts w:hAnsi="標楷體"/>
                <w:snapToGrid/>
                <w:color w:val="000000"/>
                <w:spacing w:val="-5"/>
                <w:kern w:val="0"/>
                <w:sz w:val="24"/>
                <w:szCs w:val="24"/>
              </w:rPr>
            </w:pPr>
            <w:r w:rsidRPr="006471F7">
              <w:rPr>
                <w:rFonts w:hAnsi="標楷體" w:hint="eastAsia"/>
                <w:snapToGrid/>
                <w:color w:val="000000"/>
                <w:spacing w:val="-5"/>
                <w:kern w:val="0"/>
                <w:sz w:val="24"/>
                <w:szCs w:val="24"/>
              </w:rPr>
              <w:t>1</w:t>
            </w:r>
            <w:r>
              <w:rPr>
                <w:rFonts w:hAnsi="標楷體"/>
                <w:snapToGrid/>
                <w:color w:val="000000"/>
                <w:spacing w:val="-5"/>
                <w:kern w:val="0"/>
                <w:sz w:val="24"/>
                <w:szCs w:val="24"/>
              </w:rPr>
              <w:t>11</w:t>
            </w:r>
            <w:r w:rsidRPr="006471F7">
              <w:rPr>
                <w:rFonts w:hAnsi="標楷體" w:hint="eastAsia"/>
                <w:snapToGrid/>
                <w:color w:val="000000"/>
                <w:spacing w:val="-5"/>
                <w:kern w:val="0"/>
                <w:sz w:val="24"/>
                <w:szCs w:val="24"/>
              </w:rPr>
              <w:t xml:space="preserve"> </w:t>
            </w:r>
          </w:p>
        </w:tc>
        <w:tc>
          <w:tcPr>
            <w:tcW w:w="138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F3B6A">
              <w:rPr>
                <w:rFonts w:hAnsi="標楷體"/>
                <w:snapToGrid/>
                <w:color w:val="000000"/>
                <w:spacing w:val="-5"/>
                <w:kern w:val="0"/>
                <w:sz w:val="24"/>
                <w:szCs w:val="24"/>
              </w:rPr>
              <w:t>17,045,818</w:t>
            </w:r>
          </w:p>
        </w:tc>
        <w:tc>
          <w:tcPr>
            <w:tcW w:w="1346"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F3B6A">
              <w:rPr>
                <w:rFonts w:hAnsi="標楷體"/>
                <w:snapToGrid/>
                <w:color w:val="000000"/>
                <w:spacing w:val="-5"/>
                <w:kern w:val="0"/>
                <w:sz w:val="24"/>
                <w:szCs w:val="24"/>
              </w:rPr>
              <w:t>3,300,000</w:t>
            </w:r>
          </w:p>
        </w:tc>
        <w:tc>
          <w:tcPr>
            <w:tcW w:w="1275"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-1,169,096</w:t>
            </w:r>
          </w:p>
        </w:tc>
        <w:tc>
          <w:tcPr>
            <w:tcW w:w="1117"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0</w:t>
            </w:r>
          </w:p>
        </w:tc>
        <w:tc>
          <w:tcPr>
            <w:tcW w:w="103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111,332</w:t>
            </w:r>
          </w:p>
        </w:tc>
        <w:tc>
          <w:tcPr>
            <w:tcW w:w="1268"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100,924</w:t>
            </w:r>
          </w:p>
        </w:tc>
      </w:tr>
      <w:tr w:rsidR="005D4DB7" w:rsidRPr="006471F7" w:rsidTr="00244631">
        <w:tc>
          <w:tcPr>
            <w:tcW w:w="1507" w:type="dxa"/>
            <w:shd w:val="clear" w:color="auto" w:fill="auto"/>
          </w:tcPr>
          <w:p w:rsidR="005D4DB7" w:rsidRPr="006471F7" w:rsidRDefault="005D4DB7" w:rsidP="00E24202">
            <w:pPr>
              <w:widowControl/>
              <w:spacing w:line="360" w:lineRule="exact"/>
              <w:ind w:leftChars="0" w:left="0" w:firstLineChars="0" w:firstLine="0"/>
              <w:jc w:val="left"/>
              <w:rPr>
                <w:rFonts w:hAnsi="標楷體"/>
                <w:snapToGrid/>
                <w:color w:val="000000"/>
                <w:spacing w:val="-5"/>
                <w:kern w:val="0"/>
                <w:sz w:val="24"/>
                <w:szCs w:val="24"/>
              </w:rPr>
            </w:pPr>
            <w:r w:rsidRPr="006471F7">
              <w:rPr>
                <w:rFonts w:hAnsi="標楷體" w:hint="eastAsia"/>
                <w:snapToGrid/>
                <w:color w:val="000000"/>
                <w:spacing w:val="-5"/>
                <w:kern w:val="0"/>
                <w:sz w:val="24"/>
                <w:szCs w:val="24"/>
              </w:rPr>
              <w:t>1</w:t>
            </w:r>
            <w:r>
              <w:rPr>
                <w:rFonts w:hAnsi="標楷體"/>
                <w:snapToGrid/>
                <w:color w:val="000000"/>
                <w:spacing w:val="-5"/>
                <w:kern w:val="0"/>
                <w:sz w:val="24"/>
                <w:szCs w:val="24"/>
              </w:rPr>
              <w:t>12</w:t>
            </w:r>
            <w:r w:rsidRPr="006471F7">
              <w:rPr>
                <w:rFonts w:hAnsi="標楷體" w:hint="eastAsia"/>
                <w:snapToGrid/>
                <w:color w:val="000000"/>
                <w:spacing w:val="-5"/>
                <w:kern w:val="0"/>
                <w:sz w:val="24"/>
                <w:szCs w:val="24"/>
              </w:rPr>
              <w:t xml:space="preserve"> </w:t>
            </w:r>
          </w:p>
        </w:tc>
        <w:tc>
          <w:tcPr>
            <w:tcW w:w="138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F3B6A">
              <w:rPr>
                <w:rFonts w:hAnsi="標楷體"/>
                <w:snapToGrid/>
                <w:color w:val="000000"/>
                <w:spacing w:val="-5"/>
                <w:kern w:val="0"/>
                <w:sz w:val="24"/>
                <w:szCs w:val="24"/>
              </w:rPr>
              <w:t>23,819,016</w:t>
            </w:r>
          </w:p>
        </w:tc>
        <w:tc>
          <w:tcPr>
            <w:tcW w:w="1346"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4,000,000</w:t>
            </w:r>
          </w:p>
        </w:tc>
        <w:tc>
          <w:tcPr>
            <w:tcW w:w="1275"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-98,348</w:t>
            </w:r>
          </w:p>
        </w:tc>
        <w:tc>
          <w:tcPr>
            <w:tcW w:w="1117"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0</w:t>
            </w:r>
          </w:p>
        </w:tc>
        <w:tc>
          <w:tcPr>
            <w:tcW w:w="103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465,302</w:t>
            </w:r>
          </w:p>
        </w:tc>
        <w:tc>
          <w:tcPr>
            <w:tcW w:w="1268"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208,518</w:t>
            </w:r>
          </w:p>
        </w:tc>
      </w:tr>
    </w:tbl>
    <w:p w:rsidR="005D4DB7" w:rsidRDefault="005D4DB7" w:rsidP="007E58D1">
      <w:pPr>
        <w:spacing w:line="280" w:lineRule="exact"/>
        <w:ind w:leftChars="-150" w:left="-425" w:firstLineChars="0" w:firstLine="0"/>
        <w:rPr>
          <w:sz w:val="24"/>
          <w:szCs w:val="24"/>
        </w:rPr>
      </w:pPr>
      <w:r>
        <w:rPr>
          <w:rFonts w:hint="eastAsia"/>
          <w:sz w:val="24"/>
          <w:szCs w:val="24"/>
        </w:rPr>
        <w:t xml:space="preserve">說 </w:t>
      </w:r>
      <w:r>
        <w:rPr>
          <w:sz w:val="24"/>
          <w:szCs w:val="24"/>
        </w:rPr>
        <w:t xml:space="preserve">   </w:t>
      </w:r>
      <w:r>
        <w:rPr>
          <w:rFonts w:hint="eastAsia"/>
          <w:sz w:val="24"/>
          <w:szCs w:val="24"/>
        </w:rPr>
        <w:t>明</w:t>
      </w:r>
      <w:r>
        <w:rPr>
          <w:rFonts w:hAnsi="標楷體" w:hint="eastAsia"/>
          <w:sz w:val="24"/>
          <w:szCs w:val="24"/>
        </w:rPr>
        <w:t>：</w:t>
      </w:r>
      <w:r>
        <w:rPr>
          <w:rFonts w:hint="eastAsia"/>
          <w:sz w:val="24"/>
          <w:szCs w:val="24"/>
        </w:rPr>
        <w:t>表內10</w:t>
      </w:r>
      <w:r>
        <w:rPr>
          <w:sz w:val="24"/>
          <w:szCs w:val="24"/>
        </w:rPr>
        <w:t>7</w:t>
      </w:r>
      <w:r>
        <w:rPr>
          <w:rFonts w:hint="eastAsia"/>
          <w:sz w:val="24"/>
          <w:szCs w:val="24"/>
        </w:rPr>
        <w:t>至1</w:t>
      </w:r>
      <w:r>
        <w:rPr>
          <w:sz w:val="24"/>
          <w:szCs w:val="24"/>
        </w:rPr>
        <w:t>12</w:t>
      </w:r>
      <w:r>
        <w:rPr>
          <w:rFonts w:hint="eastAsia"/>
          <w:sz w:val="24"/>
          <w:szCs w:val="24"/>
        </w:rPr>
        <w:t>年度為決算數</w:t>
      </w:r>
      <w:r>
        <w:rPr>
          <w:rFonts w:hAnsi="標楷體" w:hint="eastAsia"/>
          <w:sz w:val="24"/>
          <w:szCs w:val="24"/>
        </w:rPr>
        <w:t>。</w:t>
      </w:r>
    </w:p>
    <w:p w:rsidR="005D4DB7" w:rsidRDefault="005D4DB7" w:rsidP="007E58D1">
      <w:pPr>
        <w:spacing w:line="280" w:lineRule="exact"/>
        <w:ind w:leftChars="-150" w:left="-425" w:firstLineChars="0" w:firstLine="0"/>
        <w:rPr>
          <w:sz w:val="24"/>
          <w:szCs w:val="24"/>
        </w:rPr>
      </w:pPr>
      <w:r>
        <w:rPr>
          <w:rFonts w:hint="eastAsia"/>
          <w:sz w:val="24"/>
          <w:szCs w:val="24"/>
        </w:rPr>
        <w:t>資料來源：</w:t>
      </w:r>
      <w:r w:rsidRPr="002A044A">
        <w:rPr>
          <w:rFonts w:hint="eastAsia"/>
          <w:sz w:val="24"/>
          <w:szCs w:val="24"/>
        </w:rPr>
        <w:t>臺灣金控。</w:t>
      </w:r>
    </w:p>
    <w:p w:rsidR="005D4DB7" w:rsidRPr="003912D8" w:rsidRDefault="005D4DB7" w:rsidP="001F629D">
      <w:pPr>
        <w:ind w:leftChars="-150" w:left="284" w:hangingChars="250" w:hanging="709"/>
        <w:jc w:val="left"/>
        <w:rPr>
          <w:rFonts w:hAnsi="標楷體"/>
          <w:sz w:val="24"/>
          <w:szCs w:val="24"/>
        </w:rPr>
      </w:pPr>
      <w:r w:rsidRPr="003912D8">
        <w:rPr>
          <w:rFonts w:hAnsi="標楷體" w:hint="eastAsia"/>
          <w:b/>
          <w:lang w:eastAsia="zh-HK"/>
        </w:rPr>
        <w:t>表</w:t>
      </w:r>
      <w:r>
        <w:rPr>
          <w:rFonts w:hAnsi="標楷體" w:hint="eastAsia"/>
          <w:b/>
        </w:rPr>
        <w:t>2</w:t>
      </w:r>
      <w:r>
        <w:rPr>
          <w:rFonts w:hAnsi="標楷體"/>
          <w:b/>
        </w:rPr>
        <w:t xml:space="preserve"> </w:t>
      </w:r>
      <w:r w:rsidRPr="003912D8">
        <w:rPr>
          <w:rFonts w:hAnsi="標楷體" w:hint="eastAsia"/>
          <w:b/>
        </w:rPr>
        <w:t>臺灣金控10</w:t>
      </w:r>
      <w:r w:rsidR="00984434">
        <w:rPr>
          <w:rFonts w:hAnsi="標楷體"/>
          <w:b/>
        </w:rPr>
        <w:t>8</w:t>
      </w:r>
      <w:r>
        <w:rPr>
          <w:rFonts w:hAnsi="標楷體" w:hint="eastAsia"/>
          <w:b/>
        </w:rPr>
        <w:t>至</w:t>
      </w:r>
      <w:r w:rsidRPr="003912D8">
        <w:rPr>
          <w:rFonts w:hAnsi="標楷體" w:hint="eastAsia"/>
          <w:b/>
        </w:rPr>
        <w:t>11</w:t>
      </w:r>
      <w:r w:rsidR="00AD67ED">
        <w:rPr>
          <w:rFonts w:hAnsi="標楷體"/>
          <w:b/>
        </w:rPr>
        <w:t>2</w:t>
      </w:r>
      <w:r w:rsidRPr="003912D8">
        <w:rPr>
          <w:rFonts w:hAnsi="標楷體" w:hint="eastAsia"/>
          <w:b/>
          <w:lang w:eastAsia="zh-HK"/>
        </w:rPr>
        <w:t>年度</w:t>
      </w:r>
      <w:r w:rsidR="000A6F04">
        <w:rPr>
          <w:rFonts w:hAnsi="標楷體" w:hint="eastAsia"/>
          <w:b/>
          <w:lang w:eastAsia="zh-HK"/>
        </w:rPr>
        <w:t>借款餘額及</w:t>
      </w:r>
      <w:r w:rsidRPr="003912D8">
        <w:rPr>
          <w:rFonts w:hAnsi="標楷體" w:hint="eastAsia"/>
          <w:b/>
        </w:rPr>
        <w:t>債務利息費用之預、決算</w:t>
      </w:r>
      <w:r w:rsidRPr="003912D8">
        <w:rPr>
          <w:rFonts w:hAnsi="標楷體" w:hint="eastAsia"/>
          <w:b/>
          <w:lang w:eastAsia="zh-HK"/>
        </w:rPr>
        <w:t>數一覽</w:t>
      </w:r>
      <w:r w:rsidRPr="003912D8">
        <w:rPr>
          <w:rFonts w:hAnsi="標楷體" w:hint="eastAsia"/>
          <w:b/>
        </w:rPr>
        <w:t xml:space="preserve">表                                   </w:t>
      </w:r>
      <w:r w:rsidR="001F629D">
        <w:rPr>
          <w:rFonts w:hAnsi="標楷體"/>
          <w:b/>
        </w:rPr>
        <w:t xml:space="preserve">      </w:t>
      </w:r>
      <w:r w:rsidRPr="003912D8">
        <w:rPr>
          <w:rFonts w:hAnsi="標楷體" w:hint="eastAsia"/>
          <w:sz w:val="24"/>
          <w:szCs w:val="24"/>
        </w:rPr>
        <w:t>單位:新臺幣千元</w:t>
      </w:r>
    </w:p>
    <w:tbl>
      <w:tblPr>
        <w:tblW w:w="8942" w:type="dxa"/>
        <w:tblInd w:w="-4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1429"/>
        <w:gridCol w:w="1276"/>
        <w:gridCol w:w="1417"/>
        <w:gridCol w:w="1418"/>
        <w:gridCol w:w="1417"/>
      </w:tblGrid>
      <w:tr w:rsidR="00AD67ED" w:rsidRPr="002779EE" w:rsidTr="00C822D8">
        <w:trPr>
          <w:tblHeader/>
        </w:trPr>
        <w:tc>
          <w:tcPr>
            <w:tcW w:w="1985" w:type="dxa"/>
            <w:shd w:val="clear" w:color="auto" w:fill="auto"/>
          </w:tcPr>
          <w:p w:rsidR="00AD67ED" w:rsidRPr="002779EE" w:rsidRDefault="00AD67ED" w:rsidP="00AD67ED">
            <w:pPr>
              <w:widowControl/>
              <w:spacing w:line="360" w:lineRule="exact"/>
              <w:ind w:leftChars="0" w:left="0" w:firstLineChars="0" w:firstLine="0"/>
              <w:jc w:val="center"/>
              <w:rPr>
                <w:rFonts w:hAnsi="標楷體"/>
                <w:snapToGrid/>
                <w:spacing w:val="-5"/>
                <w:kern w:val="0"/>
                <w:sz w:val="24"/>
                <w:szCs w:val="24"/>
              </w:rPr>
            </w:pPr>
            <w:r w:rsidRPr="002779EE">
              <w:rPr>
                <w:rFonts w:hAnsi="標楷體" w:hint="eastAsia"/>
                <w:snapToGrid/>
                <w:spacing w:val="-5"/>
                <w:kern w:val="0"/>
                <w:sz w:val="24"/>
                <w:szCs w:val="24"/>
              </w:rPr>
              <w:t>年度</w:t>
            </w:r>
          </w:p>
        </w:tc>
        <w:tc>
          <w:tcPr>
            <w:tcW w:w="1429" w:type="dxa"/>
          </w:tcPr>
          <w:p w:rsidR="00AD67ED" w:rsidRPr="002779EE" w:rsidRDefault="00AD67ED" w:rsidP="00AD67ED">
            <w:pPr>
              <w:widowControl/>
              <w:spacing w:line="360" w:lineRule="exact"/>
              <w:ind w:leftChars="0" w:left="0" w:firstLineChars="0" w:firstLine="0"/>
              <w:jc w:val="center"/>
              <w:rPr>
                <w:rFonts w:hAnsi="標楷體"/>
                <w:snapToGrid/>
                <w:spacing w:val="-5"/>
                <w:kern w:val="0"/>
                <w:sz w:val="24"/>
                <w:szCs w:val="24"/>
              </w:rPr>
            </w:pPr>
            <w:r>
              <w:rPr>
                <w:rFonts w:hAnsi="標楷體" w:hint="eastAsia"/>
                <w:snapToGrid/>
                <w:spacing w:val="-5"/>
                <w:kern w:val="0"/>
                <w:sz w:val="24"/>
                <w:szCs w:val="24"/>
              </w:rPr>
              <w:t>1</w:t>
            </w:r>
            <w:r>
              <w:rPr>
                <w:rFonts w:hAnsi="標楷體"/>
                <w:snapToGrid/>
                <w:spacing w:val="-5"/>
                <w:kern w:val="0"/>
                <w:sz w:val="24"/>
                <w:szCs w:val="24"/>
              </w:rPr>
              <w:t>08</w:t>
            </w:r>
          </w:p>
        </w:tc>
        <w:tc>
          <w:tcPr>
            <w:tcW w:w="1276" w:type="dxa"/>
          </w:tcPr>
          <w:p w:rsidR="00AD67ED" w:rsidRPr="002779EE" w:rsidRDefault="00AD67ED" w:rsidP="00AD67ED">
            <w:pPr>
              <w:widowControl/>
              <w:spacing w:line="360" w:lineRule="exact"/>
              <w:ind w:leftChars="0" w:left="0" w:firstLineChars="0" w:firstLine="0"/>
              <w:jc w:val="center"/>
              <w:rPr>
                <w:rFonts w:hAnsi="標楷體"/>
                <w:snapToGrid/>
                <w:spacing w:val="-5"/>
                <w:kern w:val="0"/>
                <w:sz w:val="24"/>
                <w:szCs w:val="24"/>
              </w:rPr>
            </w:pPr>
            <w:r w:rsidRPr="002779EE">
              <w:rPr>
                <w:rFonts w:hAnsi="標楷體" w:hint="eastAsia"/>
                <w:snapToGrid/>
                <w:spacing w:val="-5"/>
                <w:kern w:val="0"/>
                <w:sz w:val="24"/>
                <w:szCs w:val="24"/>
              </w:rPr>
              <w:t xml:space="preserve">109 </w:t>
            </w:r>
          </w:p>
        </w:tc>
        <w:tc>
          <w:tcPr>
            <w:tcW w:w="1417" w:type="dxa"/>
          </w:tcPr>
          <w:p w:rsidR="00AD67ED" w:rsidRPr="002779EE" w:rsidRDefault="00AD67ED" w:rsidP="00AD67ED">
            <w:pPr>
              <w:widowControl/>
              <w:spacing w:line="360" w:lineRule="exact"/>
              <w:ind w:leftChars="0" w:left="0" w:firstLineChars="0" w:firstLine="0"/>
              <w:jc w:val="center"/>
              <w:rPr>
                <w:rFonts w:hAnsi="標楷體"/>
                <w:snapToGrid/>
                <w:spacing w:val="-5"/>
                <w:kern w:val="0"/>
                <w:sz w:val="24"/>
                <w:szCs w:val="24"/>
              </w:rPr>
            </w:pPr>
            <w:r w:rsidRPr="002779EE">
              <w:rPr>
                <w:rFonts w:hAnsi="標楷體" w:hint="eastAsia"/>
                <w:snapToGrid/>
                <w:spacing w:val="-5"/>
                <w:kern w:val="0"/>
                <w:sz w:val="24"/>
                <w:szCs w:val="24"/>
              </w:rPr>
              <w:t xml:space="preserve">110 </w:t>
            </w:r>
          </w:p>
        </w:tc>
        <w:tc>
          <w:tcPr>
            <w:tcW w:w="1418" w:type="dxa"/>
          </w:tcPr>
          <w:p w:rsidR="00AD67ED" w:rsidRPr="002779EE" w:rsidRDefault="00AD67ED" w:rsidP="00AD67ED">
            <w:pPr>
              <w:widowControl/>
              <w:spacing w:line="360" w:lineRule="exact"/>
              <w:ind w:leftChars="0" w:left="0" w:firstLineChars="0" w:firstLine="0"/>
              <w:jc w:val="center"/>
              <w:rPr>
                <w:rFonts w:hAnsi="標楷體"/>
                <w:snapToGrid/>
                <w:spacing w:val="-5"/>
                <w:kern w:val="0"/>
                <w:sz w:val="24"/>
                <w:szCs w:val="24"/>
              </w:rPr>
            </w:pPr>
            <w:r w:rsidRPr="002779EE">
              <w:rPr>
                <w:rFonts w:hAnsi="標楷體" w:hint="eastAsia"/>
                <w:snapToGrid/>
                <w:spacing w:val="-5"/>
                <w:kern w:val="0"/>
                <w:sz w:val="24"/>
                <w:szCs w:val="24"/>
              </w:rPr>
              <w:t xml:space="preserve">111 </w:t>
            </w:r>
          </w:p>
        </w:tc>
        <w:tc>
          <w:tcPr>
            <w:tcW w:w="1417" w:type="dxa"/>
          </w:tcPr>
          <w:p w:rsidR="00AD67ED" w:rsidRPr="002779EE" w:rsidRDefault="00AD67ED" w:rsidP="00AD67ED">
            <w:pPr>
              <w:widowControl/>
              <w:spacing w:line="360" w:lineRule="exact"/>
              <w:ind w:leftChars="0" w:left="0" w:firstLineChars="0" w:firstLine="0"/>
              <w:jc w:val="center"/>
              <w:rPr>
                <w:rFonts w:hAnsi="標楷體"/>
                <w:snapToGrid/>
                <w:spacing w:val="-5"/>
                <w:kern w:val="0"/>
                <w:sz w:val="24"/>
                <w:szCs w:val="24"/>
              </w:rPr>
            </w:pPr>
            <w:r w:rsidRPr="002779EE">
              <w:rPr>
                <w:rFonts w:hAnsi="標楷體" w:hint="eastAsia"/>
                <w:snapToGrid/>
                <w:spacing w:val="-5"/>
                <w:kern w:val="0"/>
                <w:sz w:val="24"/>
                <w:szCs w:val="24"/>
              </w:rPr>
              <w:t>1</w:t>
            </w:r>
            <w:r w:rsidRPr="002779EE">
              <w:rPr>
                <w:rFonts w:hAnsi="標楷體"/>
                <w:snapToGrid/>
                <w:spacing w:val="-5"/>
                <w:kern w:val="0"/>
                <w:sz w:val="24"/>
                <w:szCs w:val="24"/>
              </w:rPr>
              <w:t>12</w:t>
            </w:r>
          </w:p>
        </w:tc>
      </w:tr>
      <w:tr w:rsidR="00AD67ED" w:rsidRPr="002779EE" w:rsidTr="00C822D8">
        <w:trPr>
          <w:tblHeader/>
        </w:trPr>
        <w:tc>
          <w:tcPr>
            <w:tcW w:w="1985" w:type="dxa"/>
            <w:shd w:val="clear" w:color="auto" w:fill="auto"/>
          </w:tcPr>
          <w:p w:rsidR="00AD67ED" w:rsidRPr="002779EE" w:rsidRDefault="00AD67ED" w:rsidP="00AD67ED">
            <w:pPr>
              <w:widowControl/>
              <w:spacing w:line="360" w:lineRule="exact"/>
              <w:ind w:leftChars="0" w:left="0" w:firstLineChars="0" w:firstLine="0"/>
              <w:jc w:val="left"/>
              <w:rPr>
                <w:rFonts w:hAnsi="標楷體"/>
                <w:snapToGrid/>
                <w:spacing w:val="-5"/>
                <w:kern w:val="0"/>
                <w:sz w:val="24"/>
                <w:szCs w:val="24"/>
              </w:rPr>
            </w:pPr>
            <w:r w:rsidRPr="002779EE">
              <w:rPr>
                <w:rFonts w:hAnsi="標楷體" w:hint="eastAsia"/>
                <w:snapToGrid/>
                <w:spacing w:val="-5"/>
                <w:kern w:val="0"/>
                <w:sz w:val="24"/>
                <w:szCs w:val="24"/>
              </w:rPr>
              <w:t>借款</w:t>
            </w:r>
            <w:r>
              <w:rPr>
                <w:rFonts w:hAnsi="標楷體" w:hint="eastAsia"/>
                <w:snapToGrid/>
                <w:spacing w:val="-5"/>
                <w:kern w:val="0"/>
                <w:sz w:val="24"/>
                <w:szCs w:val="24"/>
              </w:rPr>
              <w:t>餘</w:t>
            </w:r>
            <w:r w:rsidRPr="002779EE">
              <w:rPr>
                <w:rFonts w:hAnsi="標楷體" w:hint="eastAsia"/>
                <w:snapToGrid/>
                <w:spacing w:val="-5"/>
                <w:kern w:val="0"/>
                <w:sz w:val="24"/>
                <w:szCs w:val="24"/>
              </w:rPr>
              <w:t>額</w:t>
            </w:r>
            <w:r w:rsidR="001F629D" w:rsidRPr="002779EE">
              <w:rPr>
                <w:rFonts w:hAnsi="標楷體" w:hint="eastAsia"/>
                <w:snapToGrid/>
                <w:spacing w:val="-5"/>
                <w:kern w:val="0"/>
                <w:sz w:val="24"/>
                <w:szCs w:val="24"/>
              </w:rPr>
              <w:t>預算數</w:t>
            </w:r>
          </w:p>
        </w:tc>
        <w:tc>
          <w:tcPr>
            <w:tcW w:w="1429"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AD67ED">
              <w:rPr>
                <w:rFonts w:hAnsi="標楷體" w:hint="eastAsia"/>
                <w:snapToGrid/>
                <w:spacing w:val="-5"/>
                <w:kern w:val="0"/>
                <w:sz w:val="24"/>
                <w:szCs w:val="24"/>
              </w:rPr>
              <w:t>266億元</w:t>
            </w:r>
          </w:p>
        </w:tc>
        <w:tc>
          <w:tcPr>
            <w:tcW w:w="1276"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hint="eastAsia"/>
                <w:snapToGrid/>
                <w:spacing w:val="-5"/>
                <w:kern w:val="0"/>
                <w:sz w:val="24"/>
                <w:szCs w:val="24"/>
              </w:rPr>
              <w:t>258億元</w:t>
            </w:r>
          </w:p>
        </w:tc>
        <w:tc>
          <w:tcPr>
            <w:tcW w:w="1417"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hint="eastAsia"/>
                <w:snapToGrid/>
                <w:spacing w:val="-5"/>
                <w:kern w:val="0"/>
                <w:sz w:val="24"/>
                <w:szCs w:val="24"/>
              </w:rPr>
              <w:t>362億元</w:t>
            </w:r>
          </w:p>
        </w:tc>
        <w:tc>
          <w:tcPr>
            <w:tcW w:w="1418"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hint="eastAsia"/>
                <w:snapToGrid/>
                <w:spacing w:val="-5"/>
                <w:kern w:val="0"/>
                <w:sz w:val="24"/>
                <w:szCs w:val="24"/>
              </w:rPr>
              <w:t>356億元</w:t>
            </w:r>
          </w:p>
        </w:tc>
        <w:tc>
          <w:tcPr>
            <w:tcW w:w="1417"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hint="eastAsia"/>
                <w:snapToGrid/>
                <w:spacing w:val="-5"/>
                <w:kern w:val="0"/>
                <w:sz w:val="24"/>
                <w:szCs w:val="24"/>
              </w:rPr>
              <w:t>395億元</w:t>
            </w:r>
          </w:p>
        </w:tc>
      </w:tr>
      <w:tr w:rsidR="0055484F" w:rsidRPr="002779EE" w:rsidTr="00C822D8">
        <w:trPr>
          <w:tblHeader/>
        </w:trPr>
        <w:tc>
          <w:tcPr>
            <w:tcW w:w="1985" w:type="dxa"/>
            <w:shd w:val="clear" w:color="auto" w:fill="auto"/>
          </w:tcPr>
          <w:p w:rsidR="0055484F" w:rsidRPr="002779EE" w:rsidRDefault="0055484F" w:rsidP="0055484F">
            <w:pPr>
              <w:widowControl/>
              <w:spacing w:line="360" w:lineRule="exact"/>
              <w:ind w:leftChars="0" w:left="0" w:firstLineChars="0" w:firstLine="0"/>
              <w:jc w:val="left"/>
              <w:rPr>
                <w:rFonts w:hAnsi="標楷體" w:hint="eastAsia"/>
                <w:snapToGrid/>
                <w:spacing w:val="-5"/>
                <w:kern w:val="0"/>
                <w:sz w:val="24"/>
                <w:szCs w:val="24"/>
              </w:rPr>
            </w:pPr>
            <w:r w:rsidRPr="002779EE">
              <w:rPr>
                <w:rFonts w:hAnsi="標楷體" w:hint="eastAsia"/>
                <w:snapToGrid/>
                <w:spacing w:val="-5"/>
                <w:kern w:val="0"/>
                <w:sz w:val="24"/>
                <w:szCs w:val="24"/>
              </w:rPr>
              <w:t>借款</w:t>
            </w:r>
            <w:r>
              <w:rPr>
                <w:rFonts w:hAnsi="標楷體" w:hint="eastAsia"/>
                <w:snapToGrid/>
                <w:spacing w:val="-5"/>
                <w:kern w:val="0"/>
                <w:sz w:val="24"/>
                <w:szCs w:val="24"/>
              </w:rPr>
              <w:t>餘</w:t>
            </w:r>
            <w:r w:rsidRPr="002779EE">
              <w:rPr>
                <w:rFonts w:hAnsi="標楷體" w:hint="eastAsia"/>
                <w:snapToGrid/>
                <w:spacing w:val="-5"/>
                <w:kern w:val="0"/>
                <w:sz w:val="24"/>
                <w:szCs w:val="24"/>
              </w:rPr>
              <w:t>額</w:t>
            </w:r>
            <w:r>
              <w:rPr>
                <w:rFonts w:hAnsi="標楷體" w:hint="eastAsia"/>
                <w:snapToGrid/>
                <w:spacing w:val="-5"/>
                <w:kern w:val="0"/>
                <w:sz w:val="24"/>
                <w:szCs w:val="24"/>
              </w:rPr>
              <w:t>決</w:t>
            </w:r>
            <w:r w:rsidRPr="002779EE">
              <w:rPr>
                <w:rFonts w:hAnsi="標楷體" w:hint="eastAsia"/>
                <w:snapToGrid/>
                <w:spacing w:val="-5"/>
                <w:kern w:val="0"/>
                <w:sz w:val="24"/>
                <w:szCs w:val="24"/>
              </w:rPr>
              <w:t>算數</w:t>
            </w:r>
          </w:p>
        </w:tc>
        <w:tc>
          <w:tcPr>
            <w:tcW w:w="1429" w:type="dxa"/>
          </w:tcPr>
          <w:p w:rsidR="0055484F" w:rsidRPr="00AD67ED" w:rsidRDefault="0055484F" w:rsidP="0055484F">
            <w:pPr>
              <w:widowControl/>
              <w:spacing w:line="360" w:lineRule="exact"/>
              <w:ind w:leftChars="0" w:left="0" w:firstLineChars="0" w:firstLine="0"/>
              <w:jc w:val="right"/>
              <w:rPr>
                <w:rFonts w:hAnsi="標楷體" w:hint="eastAsia"/>
                <w:snapToGrid/>
                <w:spacing w:val="-5"/>
                <w:kern w:val="0"/>
                <w:sz w:val="24"/>
                <w:szCs w:val="24"/>
              </w:rPr>
            </w:pPr>
            <w:r w:rsidRPr="0055484F">
              <w:rPr>
                <w:rFonts w:hAnsi="標楷體" w:hint="eastAsia"/>
                <w:snapToGrid/>
                <w:spacing w:val="-5"/>
                <w:kern w:val="0"/>
                <w:sz w:val="24"/>
                <w:szCs w:val="24"/>
              </w:rPr>
              <w:t>252億元</w:t>
            </w:r>
          </w:p>
        </w:tc>
        <w:tc>
          <w:tcPr>
            <w:tcW w:w="1276" w:type="dxa"/>
          </w:tcPr>
          <w:p w:rsidR="0055484F" w:rsidRPr="002779EE" w:rsidRDefault="0055484F" w:rsidP="0055484F">
            <w:pPr>
              <w:widowControl/>
              <w:spacing w:line="360" w:lineRule="exact"/>
              <w:ind w:leftChars="0" w:left="0" w:firstLineChars="0" w:firstLine="0"/>
              <w:jc w:val="right"/>
              <w:rPr>
                <w:rFonts w:hAnsi="標楷體" w:hint="eastAsia"/>
                <w:snapToGrid/>
                <w:spacing w:val="-5"/>
                <w:kern w:val="0"/>
                <w:sz w:val="24"/>
                <w:szCs w:val="24"/>
              </w:rPr>
            </w:pPr>
            <w:r w:rsidRPr="0055484F">
              <w:rPr>
                <w:rFonts w:hAnsi="標楷體" w:hint="eastAsia"/>
                <w:snapToGrid/>
                <w:spacing w:val="-5"/>
                <w:kern w:val="0"/>
                <w:sz w:val="24"/>
                <w:szCs w:val="24"/>
              </w:rPr>
              <w:t>246億元</w:t>
            </w:r>
          </w:p>
        </w:tc>
        <w:tc>
          <w:tcPr>
            <w:tcW w:w="1417" w:type="dxa"/>
          </w:tcPr>
          <w:p w:rsidR="0055484F" w:rsidRPr="002779EE" w:rsidRDefault="0055484F" w:rsidP="0055484F">
            <w:pPr>
              <w:widowControl/>
              <w:spacing w:line="360" w:lineRule="exact"/>
              <w:ind w:leftChars="0" w:left="0" w:firstLineChars="0" w:firstLine="0"/>
              <w:jc w:val="right"/>
              <w:rPr>
                <w:rFonts w:hAnsi="標楷體" w:hint="eastAsia"/>
                <w:snapToGrid/>
                <w:spacing w:val="-5"/>
                <w:kern w:val="0"/>
                <w:sz w:val="24"/>
                <w:szCs w:val="24"/>
              </w:rPr>
            </w:pPr>
            <w:r w:rsidRPr="0055484F">
              <w:rPr>
                <w:rFonts w:hAnsi="標楷體" w:hint="eastAsia"/>
                <w:snapToGrid/>
                <w:spacing w:val="-5"/>
                <w:kern w:val="0"/>
                <w:sz w:val="24"/>
                <w:szCs w:val="24"/>
              </w:rPr>
              <w:t>350億元</w:t>
            </w:r>
          </w:p>
        </w:tc>
        <w:tc>
          <w:tcPr>
            <w:tcW w:w="1418" w:type="dxa"/>
          </w:tcPr>
          <w:p w:rsidR="0055484F" w:rsidRPr="002779EE" w:rsidRDefault="0055484F" w:rsidP="0055484F">
            <w:pPr>
              <w:widowControl/>
              <w:spacing w:line="360" w:lineRule="exact"/>
              <w:ind w:leftChars="0" w:left="0" w:firstLineChars="0" w:firstLine="0"/>
              <w:jc w:val="right"/>
              <w:rPr>
                <w:rFonts w:hAnsi="標楷體" w:hint="eastAsia"/>
                <w:snapToGrid/>
                <w:spacing w:val="-5"/>
                <w:kern w:val="0"/>
                <w:sz w:val="24"/>
                <w:szCs w:val="24"/>
              </w:rPr>
            </w:pPr>
            <w:r w:rsidRPr="0055484F">
              <w:rPr>
                <w:rFonts w:hAnsi="標楷體" w:hint="eastAsia"/>
                <w:snapToGrid/>
                <w:spacing w:val="-5"/>
                <w:kern w:val="0"/>
                <w:sz w:val="24"/>
                <w:szCs w:val="24"/>
              </w:rPr>
              <w:t>335億元</w:t>
            </w:r>
          </w:p>
        </w:tc>
        <w:tc>
          <w:tcPr>
            <w:tcW w:w="1417" w:type="dxa"/>
          </w:tcPr>
          <w:p w:rsidR="0055484F" w:rsidRPr="002779EE" w:rsidRDefault="0055484F" w:rsidP="0055484F">
            <w:pPr>
              <w:widowControl/>
              <w:spacing w:line="360" w:lineRule="exact"/>
              <w:ind w:leftChars="0" w:left="0" w:firstLineChars="0" w:firstLine="0"/>
              <w:jc w:val="right"/>
              <w:rPr>
                <w:rFonts w:hAnsi="標楷體" w:hint="eastAsia"/>
                <w:snapToGrid/>
                <w:spacing w:val="-5"/>
                <w:kern w:val="0"/>
                <w:sz w:val="24"/>
                <w:szCs w:val="24"/>
              </w:rPr>
            </w:pPr>
            <w:r w:rsidRPr="0055484F">
              <w:rPr>
                <w:rFonts w:hAnsi="標楷體" w:hint="eastAsia"/>
                <w:snapToGrid/>
                <w:spacing w:val="-5"/>
                <w:kern w:val="0"/>
                <w:sz w:val="24"/>
                <w:szCs w:val="24"/>
              </w:rPr>
              <w:t>381億元</w:t>
            </w:r>
          </w:p>
        </w:tc>
      </w:tr>
      <w:tr w:rsidR="00AD67ED" w:rsidRPr="002779EE" w:rsidTr="00C822D8">
        <w:trPr>
          <w:tblHeader/>
        </w:trPr>
        <w:tc>
          <w:tcPr>
            <w:tcW w:w="1985" w:type="dxa"/>
            <w:shd w:val="clear" w:color="auto" w:fill="auto"/>
          </w:tcPr>
          <w:p w:rsidR="00AD67ED" w:rsidRPr="002779EE" w:rsidRDefault="00AD67ED" w:rsidP="00AD67ED">
            <w:pPr>
              <w:widowControl/>
              <w:spacing w:line="360" w:lineRule="exact"/>
              <w:ind w:leftChars="0" w:left="0" w:firstLineChars="0" w:firstLine="0"/>
              <w:jc w:val="left"/>
              <w:rPr>
                <w:rFonts w:hAnsi="標楷體"/>
                <w:snapToGrid/>
                <w:spacing w:val="-5"/>
                <w:kern w:val="0"/>
                <w:sz w:val="24"/>
                <w:szCs w:val="24"/>
              </w:rPr>
            </w:pPr>
            <w:r w:rsidRPr="00276F31">
              <w:rPr>
                <w:rFonts w:hAnsi="標楷體" w:hint="eastAsia"/>
                <w:snapToGrid/>
                <w:spacing w:val="-5"/>
                <w:kern w:val="0"/>
                <w:sz w:val="24"/>
                <w:szCs w:val="24"/>
              </w:rPr>
              <w:t>利息費用</w:t>
            </w:r>
            <w:r w:rsidRPr="002779EE">
              <w:rPr>
                <w:rFonts w:hAnsi="標楷體" w:hint="eastAsia"/>
                <w:snapToGrid/>
                <w:spacing w:val="-5"/>
                <w:kern w:val="0"/>
                <w:sz w:val="24"/>
                <w:szCs w:val="24"/>
              </w:rPr>
              <w:t>預算數</w:t>
            </w:r>
          </w:p>
        </w:tc>
        <w:tc>
          <w:tcPr>
            <w:tcW w:w="1429"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AD67ED">
              <w:rPr>
                <w:rFonts w:hAnsi="標楷體"/>
                <w:snapToGrid/>
                <w:spacing w:val="-5"/>
                <w:kern w:val="0"/>
                <w:sz w:val="24"/>
                <w:szCs w:val="24"/>
              </w:rPr>
              <w:t>470,820</w:t>
            </w:r>
          </w:p>
        </w:tc>
        <w:tc>
          <w:tcPr>
            <w:tcW w:w="1276"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hint="eastAsia"/>
                <w:snapToGrid/>
                <w:spacing w:val="-5"/>
                <w:kern w:val="0"/>
                <w:sz w:val="24"/>
                <w:szCs w:val="24"/>
              </w:rPr>
              <w:t>448</w:t>
            </w:r>
            <w:r w:rsidRPr="002779EE">
              <w:rPr>
                <w:rFonts w:hAnsi="標楷體"/>
                <w:snapToGrid/>
                <w:spacing w:val="-5"/>
                <w:kern w:val="0"/>
                <w:sz w:val="24"/>
                <w:szCs w:val="24"/>
              </w:rPr>
              <w:t>,</w:t>
            </w:r>
            <w:r w:rsidRPr="002779EE">
              <w:rPr>
                <w:rFonts w:hAnsi="標楷體" w:hint="eastAsia"/>
                <w:snapToGrid/>
                <w:spacing w:val="-5"/>
                <w:kern w:val="0"/>
                <w:sz w:val="24"/>
                <w:szCs w:val="24"/>
              </w:rPr>
              <w:t>920</w:t>
            </w:r>
          </w:p>
        </w:tc>
        <w:tc>
          <w:tcPr>
            <w:tcW w:w="1417"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hint="eastAsia"/>
                <w:snapToGrid/>
                <w:spacing w:val="-5"/>
                <w:kern w:val="0"/>
                <w:sz w:val="24"/>
                <w:szCs w:val="24"/>
              </w:rPr>
              <w:t>4</w:t>
            </w:r>
            <w:r w:rsidRPr="002779EE">
              <w:rPr>
                <w:rFonts w:hAnsi="標楷體"/>
                <w:snapToGrid/>
                <w:spacing w:val="-5"/>
                <w:kern w:val="0"/>
                <w:sz w:val="24"/>
                <w:szCs w:val="24"/>
              </w:rPr>
              <w:t>5</w:t>
            </w:r>
            <w:r w:rsidRPr="002779EE">
              <w:rPr>
                <w:rFonts w:hAnsi="標楷體" w:hint="eastAsia"/>
                <w:snapToGrid/>
                <w:spacing w:val="-5"/>
                <w:kern w:val="0"/>
                <w:sz w:val="24"/>
                <w:szCs w:val="24"/>
              </w:rPr>
              <w:t>9</w:t>
            </w:r>
            <w:r w:rsidRPr="002779EE">
              <w:rPr>
                <w:rFonts w:hAnsi="標楷體"/>
                <w:snapToGrid/>
                <w:spacing w:val="-5"/>
                <w:kern w:val="0"/>
                <w:sz w:val="24"/>
                <w:szCs w:val="24"/>
              </w:rPr>
              <w:t>,</w:t>
            </w:r>
            <w:r w:rsidRPr="002779EE">
              <w:rPr>
                <w:rFonts w:hAnsi="標楷體" w:hint="eastAsia"/>
                <w:snapToGrid/>
                <w:spacing w:val="-5"/>
                <w:kern w:val="0"/>
                <w:sz w:val="24"/>
                <w:szCs w:val="24"/>
              </w:rPr>
              <w:t>710</w:t>
            </w:r>
          </w:p>
        </w:tc>
        <w:tc>
          <w:tcPr>
            <w:tcW w:w="1418"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hint="eastAsia"/>
                <w:snapToGrid/>
                <w:spacing w:val="-5"/>
                <w:kern w:val="0"/>
                <w:sz w:val="24"/>
                <w:szCs w:val="24"/>
              </w:rPr>
              <w:t>462</w:t>
            </w:r>
            <w:r w:rsidRPr="002779EE">
              <w:rPr>
                <w:rFonts w:hAnsi="標楷體"/>
                <w:snapToGrid/>
                <w:spacing w:val="-5"/>
                <w:kern w:val="0"/>
                <w:sz w:val="24"/>
                <w:szCs w:val="24"/>
              </w:rPr>
              <w:t>,</w:t>
            </w:r>
            <w:r w:rsidRPr="002779EE">
              <w:rPr>
                <w:rFonts w:hAnsi="標楷體" w:hint="eastAsia"/>
                <w:snapToGrid/>
                <w:spacing w:val="-5"/>
                <w:kern w:val="0"/>
                <w:sz w:val="24"/>
                <w:szCs w:val="24"/>
              </w:rPr>
              <w:t>800</w:t>
            </w:r>
          </w:p>
        </w:tc>
        <w:tc>
          <w:tcPr>
            <w:tcW w:w="1417"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snapToGrid/>
                <w:spacing w:val="-5"/>
                <w:kern w:val="0"/>
                <w:sz w:val="24"/>
                <w:szCs w:val="24"/>
              </w:rPr>
              <w:t>404,500</w:t>
            </w:r>
          </w:p>
        </w:tc>
      </w:tr>
      <w:tr w:rsidR="00AD67ED" w:rsidRPr="002779EE" w:rsidTr="00C822D8">
        <w:trPr>
          <w:tblHeader/>
        </w:trPr>
        <w:tc>
          <w:tcPr>
            <w:tcW w:w="1985" w:type="dxa"/>
            <w:shd w:val="clear" w:color="auto" w:fill="auto"/>
          </w:tcPr>
          <w:p w:rsidR="00AD67ED" w:rsidRPr="002779EE" w:rsidRDefault="00AD67ED" w:rsidP="00AD67ED">
            <w:pPr>
              <w:widowControl/>
              <w:spacing w:line="360" w:lineRule="exact"/>
              <w:ind w:leftChars="0" w:left="0" w:firstLineChars="0" w:firstLine="0"/>
              <w:jc w:val="left"/>
              <w:rPr>
                <w:rFonts w:hAnsi="標楷體"/>
                <w:snapToGrid/>
                <w:spacing w:val="-5"/>
                <w:kern w:val="0"/>
                <w:sz w:val="24"/>
                <w:szCs w:val="24"/>
              </w:rPr>
            </w:pPr>
            <w:r w:rsidRPr="00276F31">
              <w:rPr>
                <w:rFonts w:hAnsi="標楷體" w:hint="eastAsia"/>
                <w:snapToGrid/>
                <w:spacing w:val="-5"/>
                <w:kern w:val="0"/>
                <w:sz w:val="24"/>
                <w:szCs w:val="24"/>
              </w:rPr>
              <w:t>利息費用</w:t>
            </w:r>
            <w:r w:rsidRPr="002779EE">
              <w:rPr>
                <w:rFonts w:hAnsi="標楷體" w:hint="eastAsia"/>
                <w:snapToGrid/>
                <w:spacing w:val="-5"/>
                <w:kern w:val="0"/>
                <w:sz w:val="24"/>
                <w:szCs w:val="24"/>
              </w:rPr>
              <w:t>決算數</w:t>
            </w:r>
          </w:p>
        </w:tc>
        <w:tc>
          <w:tcPr>
            <w:tcW w:w="1429" w:type="dxa"/>
          </w:tcPr>
          <w:p w:rsidR="00AD67ED" w:rsidRPr="001B6D6A" w:rsidRDefault="00AD67ED" w:rsidP="00AD67ED">
            <w:pPr>
              <w:widowControl/>
              <w:spacing w:line="360" w:lineRule="exact"/>
              <w:ind w:leftChars="0" w:left="0" w:firstLineChars="0" w:firstLine="0"/>
              <w:jc w:val="right"/>
              <w:rPr>
                <w:rFonts w:hAnsi="標楷體"/>
                <w:snapToGrid/>
                <w:spacing w:val="-5"/>
                <w:kern w:val="0"/>
                <w:sz w:val="24"/>
                <w:szCs w:val="24"/>
              </w:rPr>
            </w:pPr>
            <w:r w:rsidRPr="00AD67ED">
              <w:rPr>
                <w:rFonts w:hAnsi="標楷體"/>
                <w:snapToGrid/>
                <w:spacing w:val="-5"/>
                <w:kern w:val="0"/>
                <w:sz w:val="24"/>
                <w:szCs w:val="24"/>
              </w:rPr>
              <w:t>207,025</w:t>
            </w:r>
          </w:p>
        </w:tc>
        <w:tc>
          <w:tcPr>
            <w:tcW w:w="1276"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hint="eastAsia"/>
                <w:snapToGrid/>
                <w:spacing w:val="-5"/>
                <w:kern w:val="0"/>
                <w:sz w:val="24"/>
                <w:szCs w:val="24"/>
              </w:rPr>
              <w:t>166,428</w:t>
            </w:r>
          </w:p>
        </w:tc>
        <w:tc>
          <w:tcPr>
            <w:tcW w:w="1417"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snapToGrid/>
                <w:spacing w:val="-5"/>
                <w:kern w:val="0"/>
                <w:sz w:val="24"/>
                <w:szCs w:val="24"/>
              </w:rPr>
              <w:t>204,199</w:t>
            </w:r>
          </w:p>
        </w:tc>
        <w:tc>
          <w:tcPr>
            <w:tcW w:w="1418"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snapToGrid/>
                <w:spacing w:val="-5"/>
                <w:kern w:val="0"/>
                <w:sz w:val="24"/>
                <w:szCs w:val="24"/>
              </w:rPr>
              <w:t>312,565</w:t>
            </w:r>
          </w:p>
        </w:tc>
        <w:tc>
          <w:tcPr>
            <w:tcW w:w="1417" w:type="dxa"/>
          </w:tcPr>
          <w:p w:rsidR="00AD67ED" w:rsidRPr="001B6D6A" w:rsidRDefault="00AD67ED" w:rsidP="00AD67ED">
            <w:pPr>
              <w:widowControl/>
              <w:spacing w:line="360" w:lineRule="exact"/>
              <w:ind w:leftChars="0" w:left="0" w:firstLineChars="0" w:firstLine="0"/>
              <w:jc w:val="right"/>
              <w:rPr>
                <w:rFonts w:hAnsi="標楷體"/>
                <w:snapToGrid/>
                <w:spacing w:val="-5"/>
                <w:kern w:val="0"/>
                <w:sz w:val="24"/>
                <w:szCs w:val="24"/>
              </w:rPr>
            </w:pPr>
            <w:r w:rsidRPr="001B6D6A">
              <w:rPr>
                <w:rFonts w:hAnsi="標楷體"/>
                <w:snapToGrid/>
                <w:spacing w:val="-5"/>
                <w:kern w:val="0"/>
                <w:sz w:val="24"/>
                <w:szCs w:val="24"/>
              </w:rPr>
              <w:t>528,760</w:t>
            </w:r>
          </w:p>
        </w:tc>
      </w:tr>
      <w:tr w:rsidR="00AD67ED" w:rsidRPr="002779EE" w:rsidTr="00C822D8">
        <w:trPr>
          <w:trHeight w:val="160"/>
          <w:tblHeader/>
        </w:trPr>
        <w:tc>
          <w:tcPr>
            <w:tcW w:w="1985" w:type="dxa"/>
            <w:shd w:val="clear" w:color="auto" w:fill="auto"/>
          </w:tcPr>
          <w:p w:rsidR="00AD67ED" w:rsidRPr="002779EE" w:rsidRDefault="00AD67ED" w:rsidP="00AD67ED">
            <w:pPr>
              <w:widowControl/>
              <w:spacing w:line="360" w:lineRule="exact"/>
              <w:ind w:leftChars="0" w:left="0" w:firstLineChars="0" w:firstLine="0"/>
              <w:jc w:val="left"/>
              <w:rPr>
                <w:rFonts w:hAnsi="標楷體"/>
                <w:snapToGrid/>
                <w:spacing w:val="-5"/>
                <w:kern w:val="0"/>
                <w:sz w:val="24"/>
                <w:szCs w:val="24"/>
              </w:rPr>
            </w:pPr>
            <w:r w:rsidRPr="002779EE">
              <w:rPr>
                <w:rFonts w:hAnsi="標楷體" w:hint="eastAsia"/>
                <w:snapToGrid/>
                <w:spacing w:val="-5"/>
                <w:kern w:val="0"/>
                <w:sz w:val="24"/>
                <w:szCs w:val="24"/>
              </w:rPr>
              <w:t>執行率(%)</w:t>
            </w:r>
          </w:p>
        </w:tc>
        <w:tc>
          <w:tcPr>
            <w:tcW w:w="1429"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4</w:t>
            </w:r>
            <w:r>
              <w:rPr>
                <w:rFonts w:hAnsi="標楷體"/>
                <w:snapToGrid/>
                <w:spacing w:val="-5"/>
                <w:kern w:val="0"/>
                <w:sz w:val="24"/>
                <w:szCs w:val="24"/>
              </w:rPr>
              <w:t>3.97</w:t>
            </w:r>
          </w:p>
        </w:tc>
        <w:tc>
          <w:tcPr>
            <w:tcW w:w="1276"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hint="eastAsia"/>
                <w:snapToGrid/>
                <w:spacing w:val="-5"/>
                <w:kern w:val="0"/>
                <w:sz w:val="24"/>
                <w:szCs w:val="24"/>
              </w:rPr>
              <w:t>37.07</w:t>
            </w:r>
          </w:p>
        </w:tc>
        <w:tc>
          <w:tcPr>
            <w:tcW w:w="1417"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4</w:t>
            </w:r>
            <w:r>
              <w:rPr>
                <w:rFonts w:hAnsi="標楷體"/>
                <w:snapToGrid/>
                <w:spacing w:val="-5"/>
                <w:kern w:val="0"/>
                <w:sz w:val="24"/>
                <w:szCs w:val="24"/>
              </w:rPr>
              <w:t>4.42</w:t>
            </w:r>
          </w:p>
        </w:tc>
        <w:tc>
          <w:tcPr>
            <w:tcW w:w="1418"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6</w:t>
            </w:r>
            <w:r>
              <w:rPr>
                <w:rFonts w:hAnsi="標楷體"/>
                <w:snapToGrid/>
                <w:spacing w:val="-5"/>
                <w:kern w:val="0"/>
                <w:sz w:val="24"/>
                <w:szCs w:val="24"/>
              </w:rPr>
              <w:t>7.54</w:t>
            </w:r>
          </w:p>
        </w:tc>
        <w:tc>
          <w:tcPr>
            <w:tcW w:w="1417"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1</w:t>
            </w:r>
            <w:r>
              <w:rPr>
                <w:rFonts w:hAnsi="標楷體"/>
                <w:snapToGrid/>
                <w:spacing w:val="-5"/>
                <w:kern w:val="0"/>
                <w:sz w:val="24"/>
                <w:szCs w:val="24"/>
              </w:rPr>
              <w:t>30.72</w:t>
            </w:r>
          </w:p>
        </w:tc>
      </w:tr>
    </w:tbl>
    <w:p w:rsidR="005D4DB7" w:rsidRPr="003912D8" w:rsidRDefault="005D4DB7" w:rsidP="001F629D">
      <w:pPr>
        <w:spacing w:line="280" w:lineRule="exact"/>
        <w:ind w:leftChars="-150" w:left="791" w:rightChars="50" w:right="142" w:hangingChars="500" w:hanging="1216"/>
        <w:rPr>
          <w:w w:val="94"/>
          <w:sz w:val="24"/>
          <w:szCs w:val="24"/>
        </w:rPr>
      </w:pPr>
      <w:r w:rsidRPr="003912D8">
        <w:rPr>
          <w:rFonts w:hint="eastAsia"/>
          <w:sz w:val="24"/>
          <w:szCs w:val="24"/>
          <w:lang w:eastAsia="zh-HK"/>
        </w:rPr>
        <w:t>說</w:t>
      </w:r>
      <w:r w:rsidRPr="003912D8">
        <w:rPr>
          <w:rFonts w:hint="eastAsia"/>
          <w:sz w:val="24"/>
          <w:szCs w:val="24"/>
        </w:rPr>
        <w:t xml:space="preserve">    </w:t>
      </w:r>
      <w:r w:rsidRPr="003912D8">
        <w:rPr>
          <w:rFonts w:hint="eastAsia"/>
          <w:sz w:val="24"/>
          <w:szCs w:val="24"/>
          <w:lang w:eastAsia="zh-HK"/>
        </w:rPr>
        <w:t>明：</w:t>
      </w:r>
      <w:r w:rsidRPr="00A44E51">
        <w:rPr>
          <w:rFonts w:hint="eastAsia"/>
          <w:sz w:val="24"/>
          <w:szCs w:val="24"/>
        </w:rPr>
        <w:t>112年度期初借款利率1.254%，</w:t>
      </w:r>
      <w:r>
        <w:rPr>
          <w:rFonts w:hint="eastAsia"/>
          <w:sz w:val="24"/>
          <w:szCs w:val="24"/>
        </w:rPr>
        <w:t>嗣</w:t>
      </w:r>
      <w:r w:rsidRPr="00A44E51">
        <w:rPr>
          <w:rFonts w:hint="eastAsia"/>
          <w:sz w:val="24"/>
          <w:szCs w:val="24"/>
        </w:rPr>
        <w:t>央行隨同國際調升利率</w:t>
      </w:r>
      <w:r>
        <w:rPr>
          <w:rFonts w:hint="eastAsia"/>
          <w:sz w:val="24"/>
          <w:szCs w:val="24"/>
        </w:rPr>
        <w:t>走</w:t>
      </w:r>
      <w:r w:rsidRPr="00A44E51">
        <w:rPr>
          <w:rFonts w:hint="eastAsia"/>
          <w:sz w:val="24"/>
          <w:szCs w:val="24"/>
        </w:rPr>
        <w:t>勢</w:t>
      </w:r>
      <w:r>
        <w:rPr>
          <w:rFonts w:hAnsi="標楷體" w:hint="eastAsia"/>
          <w:sz w:val="24"/>
          <w:szCs w:val="24"/>
        </w:rPr>
        <w:t>，</w:t>
      </w:r>
      <w:r>
        <w:rPr>
          <w:rFonts w:hint="eastAsia"/>
          <w:sz w:val="24"/>
          <w:szCs w:val="24"/>
        </w:rPr>
        <w:t>爰</w:t>
      </w:r>
      <w:r w:rsidRPr="00A44E51">
        <w:rPr>
          <w:rFonts w:hint="eastAsia"/>
          <w:sz w:val="24"/>
          <w:szCs w:val="24"/>
        </w:rPr>
        <w:t>112年8月借款利率已</w:t>
      </w:r>
      <w:r>
        <w:rPr>
          <w:rFonts w:hint="eastAsia"/>
          <w:sz w:val="24"/>
          <w:szCs w:val="24"/>
        </w:rPr>
        <w:t>增加</w:t>
      </w:r>
      <w:r w:rsidRPr="00A44E51">
        <w:rPr>
          <w:rFonts w:hint="eastAsia"/>
          <w:sz w:val="24"/>
          <w:szCs w:val="24"/>
        </w:rPr>
        <w:t>至1.56%，</w:t>
      </w:r>
      <w:r>
        <w:rPr>
          <w:rFonts w:hint="eastAsia"/>
          <w:sz w:val="24"/>
          <w:szCs w:val="24"/>
        </w:rPr>
        <w:t>致</w:t>
      </w:r>
      <w:r w:rsidRPr="00A44E51">
        <w:rPr>
          <w:rFonts w:hint="eastAsia"/>
          <w:sz w:val="24"/>
          <w:szCs w:val="24"/>
        </w:rPr>
        <w:t>全年利息費用</w:t>
      </w:r>
      <w:r>
        <w:rPr>
          <w:rFonts w:hint="eastAsia"/>
          <w:sz w:val="24"/>
          <w:szCs w:val="24"/>
        </w:rPr>
        <w:t>為</w:t>
      </w:r>
      <w:r w:rsidRPr="00A44E51">
        <w:rPr>
          <w:rFonts w:hint="eastAsia"/>
          <w:sz w:val="24"/>
          <w:szCs w:val="24"/>
        </w:rPr>
        <w:t>528,760千元。</w:t>
      </w:r>
    </w:p>
    <w:p w:rsidR="005D4DB7" w:rsidRPr="003912D8" w:rsidRDefault="005D4DB7" w:rsidP="007E58D1">
      <w:pPr>
        <w:spacing w:line="280" w:lineRule="exact"/>
        <w:ind w:leftChars="-150" w:left="426" w:hangingChars="350" w:hanging="851"/>
        <w:rPr>
          <w:snapToGrid/>
          <w:sz w:val="24"/>
          <w:szCs w:val="24"/>
        </w:rPr>
      </w:pPr>
      <w:r w:rsidRPr="003912D8">
        <w:rPr>
          <w:rFonts w:hint="eastAsia"/>
          <w:sz w:val="24"/>
          <w:szCs w:val="24"/>
        </w:rPr>
        <w:t>資料來源：臺灣金控。</w:t>
      </w:r>
    </w:p>
    <w:p w:rsidR="005D4DB7" w:rsidRPr="005D4DB7" w:rsidRDefault="005D4DB7" w:rsidP="00CB7BAA">
      <w:pPr>
        <w:ind w:left="566" w:firstLine="566"/>
        <w:rPr>
          <w:rFonts w:hAnsi="標楷體" w:cs="全字庫正宋體"/>
          <w:snapToGrid/>
        </w:rPr>
      </w:pPr>
      <w:r w:rsidRPr="002C2B52">
        <w:rPr>
          <w:rFonts w:hAnsi="標楷體" w:hint="eastAsia"/>
          <w:snapToGrid/>
        </w:rPr>
        <w:t>綜上，金融控股公司成立旨在藉由金融跨業經營，以發揮綜合經營效益。近年來臺灣金控按權益法</w:t>
      </w:r>
      <w:r w:rsidR="001F629D">
        <w:rPr>
          <w:rFonts w:hAnsi="標楷體" w:hint="eastAsia"/>
          <w:snapToGrid/>
        </w:rPr>
        <w:t>逐年</w:t>
      </w:r>
      <w:r w:rsidRPr="002C2B52">
        <w:rPr>
          <w:rFonts w:hAnsi="標楷體" w:hint="eastAsia"/>
          <w:snapToGrid/>
        </w:rPr>
        <w:t>認列臺銀人壽子公司投資損失，</w:t>
      </w:r>
      <w:r>
        <w:rPr>
          <w:rFonts w:hAnsi="標楷體" w:hint="eastAsia"/>
          <w:snapToGrid/>
        </w:rPr>
        <w:t>截至1</w:t>
      </w:r>
      <w:r>
        <w:rPr>
          <w:rFonts w:hAnsi="標楷體"/>
          <w:snapToGrid/>
        </w:rPr>
        <w:t>12</w:t>
      </w:r>
      <w:r>
        <w:rPr>
          <w:rFonts w:hAnsi="標楷體" w:hint="eastAsia"/>
          <w:snapToGrid/>
        </w:rPr>
        <w:t>年底止，</w:t>
      </w:r>
      <w:r w:rsidRPr="00016344">
        <w:rPr>
          <w:rFonts w:hAnsi="標楷體" w:hint="eastAsia"/>
          <w:snapToGrid/>
        </w:rPr>
        <w:t>臺灣金控</w:t>
      </w:r>
      <w:r w:rsidRPr="002C2B52">
        <w:rPr>
          <w:rFonts w:hAnsi="標楷體" w:hint="eastAsia"/>
          <w:snapToGrid/>
        </w:rPr>
        <w:t>雖已透過</w:t>
      </w:r>
      <w:r>
        <w:rPr>
          <w:rFonts w:hAnsi="標楷體" w:hint="eastAsia"/>
          <w:snapToGrid/>
        </w:rPr>
        <w:t>舉債支應該子公司</w:t>
      </w:r>
      <w:r w:rsidRPr="002C2B52">
        <w:rPr>
          <w:rFonts w:hAnsi="標楷體"/>
          <w:snapToGrid/>
        </w:rPr>
        <w:t>7</w:t>
      </w:r>
      <w:r w:rsidRPr="002C2B52">
        <w:rPr>
          <w:rFonts w:hAnsi="標楷體" w:hint="eastAsia"/>
          <w:snapToGrid/>
        </w:rPr>
        <w:t>次現金增資</w:t>
      </w:r>
      <w:r>
        <w:rPr>
          <w:rFonts w:hAnsi="標楷體" w:hint="eastAsia"/>
          <w:snapToGrid/>
        </w:rPr>
        <w:t>達</w:t>
      </w:r>
      <w:r w:rsidRPr="002C2B52">
        <w:rPr>
          <w:rFonts w:hAnsi="標楷體" w:hint="eastAsia"/>
          <w:snapToGrid/>
        </w:rPr>
        <w:t>4</w:t>
      </w:r>
      <w:r w:rsidRPr="002C2B52">
        <w:rPr>
          <w:rFonts w:hAnsi="標楷體"/>
          <w:snapToGrid/>
        </w:rPr>
        <w:t>45</w:t>
      </w:r>
      <w:r w:rsidRPr="002C2B52">
        <w:rPr>
          <w:rFonts w:hAnsi="標楷體" w:hint="eastAsia"/>
          <w:snapToGrid/>
        </w:rPr>
        <w:t>億元，</w:t>
      </w:r>
      <w:r>
        <w:rPr>
          <w:rFonts w:hAnsi="標楷體" w:hint="eastAsia"/>
          <w:snapToGrid/>
        </w:rPr>
        <w:t>惟</w:t>
      </w:r>
      <w:r w:rsidRPr="002C2B52">
        <w:rPr>
          <w:rFonts w:hAnsi="標楷體" w:hint="eastAsia"/>
          <w:snapToGrid/>
        </w:rPr>
        <w:t>臺銀人壽</w:t>
      </w:r>
      <w:r>
        <w:rPr>
          <w:rFonts w:hAnsi="標楷體" w:hint="eastAsia"/>
          <w:snapToGrid/>
        </w:rPr>
        <w:t>連年虧損，且部分年度虧損逾2</w:t>
      </w:r>
      <w:r>
        <w:rPr>
          <w:rFonts w:hAnsi="標楷體"/>
          <w:snapToGrid/>
        </w:rPr>
        <w:t>0</w:t>
      </w:r>
      <w:r>
        <w:rPr>
          <w:rFonts w:hAnsi="標楷體" w:hint="eastAsia"/>
          <w:snapToGrid/>
        </w:rPr>
        <w:t>億元，</w:t>
      </w:r>
      <w:r w:rsidRPr="002C2B52">
        <w:rPr>
          <w:rFonts w:hAnsi="標楷體" w:hint="eastAsia"/>
          <w:snapToGrid/>
        </w:rPr>
        <w:t>整體經營績效未見顯著改善，</w:t>
      </w:r>
      <w:r w:rsidRPr="00D171AC">
        <w:rPr>
          <w:rFonts w:hAnsi="標楷體" w:hint="eastAsia"/>
          <w:snapToGrid/>
        </w:rPr>
        <w:t>臺灣</w:t>
      </w:r>
      <w:r w:rsidRPr="002C2B52">
        <w:rPr>
          <w:rFonts w:hAnsi="標楷體" w:hint="eastAsia"/>
          <w:snapToGrid/>
        </w:rPr>
        <w:t>金控允應積極督促該子公司研謀業務改善對策，</w:t>
      </w:r>
      <w:r>
        <w:rPr>
          <w:rFonts w:hAnsi="標楷體" w:hint="eastAsia"/>
          <w:snapToGrid/>
        </w:rPr>
        <w:t>以提升營運績效及改善財務結構</w:t>
      </w:r>
      <w:r w:rsidRPr="002C2B52">
        <w:rPr>
          <w:rFonts w:hAnsi="標楷體" w:hint="eastAsia"/>
          <w:snapToGrid/>
        </w:rPr>
        <w:t>。</w:t>
      </w:r>
    </w:p>
    <w:p w:rsidR="00F74F6C" w:rsidRPr="005D4DB7" w:rsidRDefault="00F74F6C" w:rsidP="005376E5">
      <w:pPr>
        <w:pStyle w:val="14"/>
        <w:ind w:left="567" w:hanging="567"/>
        <w:rPr>
          <w:rFonts w:hAnsi="標楷體"/>
          <w:snapToGrid/>
        </w:rPr>
      </w:pPr>
    </w:p>
    <w:p w:rsidR="00A33729" w:rsidRPr="002E60E1" w:rsidRDefault="00CC3E1F" w:rsidP="00A33729">
      <w:pPr>
        <w:pStyle w:val="14"/>
        <w:ind w:left="567" w:hanging="567"/>
        <w:rPr>
          <w:rFonts w:hAnsi="標楷體"/>
        </w:rPr>
      </w:pPr>
      <w:bookmarkStart w:id="3" w:name="_Toc193356661"/>
      <w:r w:rsidRPr="002E60E1">
        <w:rPr>
          <w:rFonts w:hAnsi="標楷體" w:hint="eastAsia"/>
          <w:snapToGrid/>
        </w:rPr>
        <w:t>二、</w:t>
      </w:r>
      <w:r w:rsidR="00656432" w:rsidRPr="002E60E1">
        <w:rPr>
          <w:rFonts w:hAnsi="標楷體" w:hint="eastAsia"/>
        </w:rPr>
        <w:t>臺灣金控112年度有5家轉投資事業呈虧損狀態</w:t>
      </w:r>
      <w:r w:rsidR="00732551">
        <w:rPr>
          <w:rFonts w:hAnsi="標楷體" w:hint="eastAsia"/>
        </w:rPr>
        <w:t>，且</w:t>
      </w:r>
      <w:r w:rsidR="00656432" w:rsidRPr="002E60E1">
        <w:rPr>
          <w:rFonts w:hAnsi="標楷體" w:hint="eastAsia"/>
        </w:rPr>
        <w:t>部分轉投資事業有連年虧損及由盈轉虧之情事，允宜</w:t>
      </w:r>
      <w:r w:rsidR="009243C8">
        <w:rPr>
          <w:rFonts w:hAnsi="標楷體" w:hint="eastAsia"/>
        </w:rPr>
        <w:t>檢視現有經營模式及</w:t>
      </w:r>
      <w:r w:rsidR="00656432" w:rsidRPr="002E60E1">
        <w:rPr>
          <w:rFonts w:hAnsi="標楷體" w:hint="eastAsia"/>
        </w:rPr>
        <w:t>管理策略</w:t>
      </w:r>
      <w:bookmarkEnd w:id="3"/>
    </w:p>
    <w:p w:rsidR="00A33729" w:rsidRDefault="00797FB3" w:rsidP="00E640FE">
      <w:pPr>
        <w:ind w:left="566" w:firstLine="566"/>
        <w:rPr>
          <w:rFonts w:hAnsi="標楷體"/>
          <w:color w:val="000000"/>
        </w:rPr>
      </w:pPr>
      <w:r w:rsidRPr="00797FB3">
        <w:rPr>
          <w:rFonts w:hAnsi="標楷體" w:hint="eastAsia"/>
          <w:color w:val="000000"/>
        </w:rPr>
        <w:t>臺灣金控112年度決算</w:t>
      </w:r>
      <w:r w:rsidR="00D21A0A">
        <w:rPr>
          <w:rFonts w:hAnsi="標楷體" w:hint="eastAsia"/>
          <w:color w:val="000000"/>
        </w:rPr>
        <w:t>之</w:t>
      </w:r>
      <w:r w:rsidRPr="00797FB3">
        <w:rPr>
          <w:rFonts w:hAnsi="標楷體" w:hint="eastAsia"/>
          <w:color w:val="000000"/>
        </w:rPr>
        <w:t>合併資金轉投資事業認列長期股權投資利益76億4,614萬8千元，包括現金股利24億5,363萬8千元及採用權益法認列關聯企業之利益51億9,251萬元</w:t>
      </w:r>
      <w:r w:rsidR="00A33729" w:rsidRPr="008F5480">
        <w:rPr>
          <w:rFonts w:hAnsi="標楷體" w:hint="eastAsia"/>
          <w:color w:val="000000"/>
        </w:rPr>
        <w:t>。</w:t>
      </w:r>
      <w:r w:rsidR="009243C8">
        <w:rPr>
          <w:rFonts w:hAnsi="標楷體" w:hint="eastAsia"/>
          <w:color w:val="000000"/>
        </w:rPr>
        <w:t>該金控公司</w:t>
      </w:r>
      <w:r w:rsidR="00E640FE">
        <w:rPr>
          <w:rFonts w:hAnsi="標楷體" w:hint="eastAsia"/>
          <w:color w:val="000000"/>
        </w:rPr>
        <w:t>1</w:t>
      </w:r>
      <w:r w:rsidR="00E640FE">
        <w:rPr>
          <w:rFonts w:hAnsi="標楷體"/>
          <w:color w:val="000000"/>
        </w:rPr>
        <w:t>12</w:t>
      </w:r>
      <w:r w:rsidR="00E640FE" w:rsidRPr="00E640FE">
        <w:rPr>
          <w:rFonts w:hAnsi="標楷體" w:hint="eastAsia"/>
          <w:color w:val="000000"/>
        </w:rPr>
        <w:t>年度轉投資事業中計有5家轉投資事業呈虧損狀態，包括唐榮鐵工廠公司、臺灣中華日報社公司、臺灣金融聯合都市更新服務公司、中華貿易開發公司及臺灣聯合銀行</w:t>
      </w:r>
      <w:r w:rsidR="00357125">
        <w:rPr>
          <w:rFonts w:hAnsi="標楷體" w:hint="eastAsia"/>
          <w:color w:val="000000"/>
        </w:rPr>
        <w:t>，且</w:t>
      </w:r>
      <w:r w:rsidR="00E640FE" w:rsidRPr="00E640FE">
        <w:rPr>
          <w:rFonts w:hAnsi="標楷體" w:hint="eastAsia"/>
          <w:color w:val="000000"/>
        </w:rPr>
        <w:t>部分轉投資事業有連年虧損及由盈轉虧之情事，</w:t>
      </w:r>
      <w:r w:rsidR="009243C8">
        <w:rPr>
          <w:rFonts w:hAnsi="標楷體" w:hint="eastAsia"/>
          <w:color w:val="000000"/>
        </w:rPr>
        <w:t>謹</w:t>
      </w:r>
      <w:r w:rsidR="00A33729" w:rsidRPr="00A33729">
        <w:rPr>
          <w:rFonts w:hAnsi="標楷體" w:hint="eastAsia"/>
          <w:color w:val="000000"/>
        </w:rPr>
        <w:t>分述如次</w:t>
      </w:r>
      <w:r w:rsidR="002E60E1">
        <w:rPr>
          <w:rStyle w:val="afa"/>
          <w:rFonts w:hAnsi="標楷體"/>
          <w:color w:val="000000"/>
        </w:rPr>
        <w:footnoteReference w:id="1"/>
      </w:r>
      <w:r w:rsidR="00A33729" w:rsidRPr="00E640FE">
        <w:rPr>
          <w:rFonts w:hAnsi="標楷體" w:hint="eastAsia"/>
          <w:color w:val="000000"/>
        </w:rPr>
        <w:t>：</w:t>
      </w:r>
    </w:p>
    <w:p w:rsidR="00E640FE" w:rsidRDefault="008820BA" w:rsidP="00D22A9D">
      <w:pPr>
        <w:ind w:left="849" w:hangingChars="100" w:hanging="283"/>
        <w:rPr>
          <w:rFonts w:hAnsi="標楷體"/>
          <w:color w:val="000000"/>
        </w:rPr>
      </w:pPr>
      <w:r w:rsidRPr="00D22A9D">
        <w:rPr>
          <w:rFonts w:hAnsi="標楷體"/>
          <w:b/>
          <w:color w:val="000000"/>
        </w:rPr>
        <w:t>1.</w:t>
      </w:r>
      <w:r w:rsidR="00E640FE" w:rsidRPr="00D22A9D">
        <w:rPr>
          <w:rFonts w:hAnsi="標楷體" w:hint="eastAsia"/>
          <w:b/>
          <w:color w:val="000000"/>
        </w:rPr>
        <w:t>連年虧損公司：</w:t>
      </w:r>
      <w:r w:rsidR="00E640FE" w:rsidRPr="00E640FE">
        <w:rPr>
          <w:rFonts w:hAnsi="標楷體" w:hint="eastAsia"/>
          <w:color w:val="000000"/>
        </w:rPr>
        <w:t>唐榮鐵工廠公司因原物料價格大幅下跌，各鋼鐵廠訂單量及價格急遽下滑遂於111及112年度連續虧損 2 年；臺灣中華日報社公司因廣告收入持續衰退，已於110至112年度連續虧損 3 年；另臺灣金融聯合都市更新服務公司因危老建物重建及都市更新整合成案時間冗長，收入不敷支應成本，已於107至112年度連續虧損 6 年。</w:t>
      </w:r>
    </w:p>
    <w:p w:rsidR="00D22A9D" w:rsidRPr="00357125" w:rsidRDefault="00D22A9D" w:rsidP="00D22A9D">
      <w:pPr>
        <w:ind w:left="849" w:hangingChars="100" w:hanging="283"/>
        <w:rPr>
          <w:rFonts w:hAnsi="標楷體" w:hint="eastAsia"/>
          <w:bCs/>
          <w:color w:val="000000"/>
        </w:rPr>
      </w:pPr>
      <w:r w:rsidRPr="00D22A9D">
        <w:rPr>
          <w:rFonts w:hAnsi="標楷體"/>
          <w:b/>
          <w:color w:val="000000"/>
        </w:rPr>
        <w:t>2.</w:t>
      </w:r>
      <w:r w:rsidRPr="00D22A9D">
        <w:rPr>
          <w:rFonts w:hAnsi="標楷體" w:hint="eastAsia"/>
          <w:b/>
          <w:color w:val="000000"/>
        </w:rPr>
        <w:t>由盈轉虧公司：</w:t>
      </w:r>
      <w:r w:rsidRPr="00357125">
        <w:rPr>
          <w:rFonts w:hAnsi="標楷體" w:hint="eastAsia"/>
          <w:bCs/>
          <w:color w:val="000000"/>
        </w:rPr>
        <w:t>中華貿易開發公司因融資所生利息費用大幅增加；及臺灣聯合銀行因提列聯貸案（Orpea）備抵呆帳，致兩者均由盈轉虧。</w:t>
      </w:r>
    </w:p>
    <w:p w:rsidR="00D22A9D" w:rsidRPr="00D22A9D" w:rsidRDefault="00D22A9D" w:rsidP="00D22A9D">
      <w:pPr>
        <w:ind w:left="566" w:firstLine="566"/>
        <w:rPr>
          <w:rFonts w:hAnsi="標楷體" w:hint="eastAsia"/>
          <w:color w:val="000000"/>
        </w:rPr>
      </w:pPr>
      <w:r w:rsidRPr="00D22A9D">
        <w:rPr>
          <w:rFonts w:hAnsi="標楷體" w:hint="eastAsia"/>
          <w:color w:val="000000"/>
        </w:rPr>
        <w:t>據該金控公司說明，對於該等營運虧損之轉投資事業，每半年檢視其財務、業務經營概況，並適時函請各該公司提出有效改善方案落實執行，提升經營績效。另臺灣銀行對於其轉投資事業之管理策略為：(1)與業務無關且改善體質無望者(如台灣中華日報社公司</w:t>
      </w:r>
      <w:r w:rsidRPr="002E60E1">
        <w:rPr>
          <w:rStyle w:val="afa"/>
          <w:rFonts w:hAnsi="標楷體"/>
        </w:rPr>
        <w:footnoteReference w:id="2"/>
      </w:r>
      <w:r w:rsidRPr="00D22A9D">
        <w:rPr>
          <w:rFonts w:hAnsi="標楷體" w:hint="eastAsia"/>
          <w:color w:val="000000"/>
        </w:rPr>
        <w:t>)：伺機編列撤資預算出清持股。(2)投資未顯效益但有改善可能者(如中華貿易開發公司及臺灣聯合銀行)或配合政府政策繼續持有者(如唐榮鐵工廠公司及臺灣金融聯合都市更新服務公司)：要求檢討虧損原因及督促改善。鑒於臺灣金控及所屬子公司轉投資事業於11</w:t>
      </w:r>
      <w:r w:rsidRPr="00D22A9D">
        <w:rPr>
          <w:rFonts w:hAnsi="標楷體"/>
          <w:color w:val="000000"/>
        </w:rPr>
        <w:t>2</w:t>
      </w:r>
      <w:r w:rsidRPr="00D22A9D">
        <w:rPr>
          <w:rFonts w:hAnsi="標楷體" w:hint="eastAsia"/>
          <w:color w:val="000000"/>
        </w:rPr>
        <w:t>年度有多家營運虧損或連續虧損情事，尤其持股逾10%者，允宜積極落實公股責任，加強督促其營運績效改善。</w:t>
      </w:r>
    </w:p>
    <w:p w:rsidR="00A33729" w:rsidRDefault="00A33729" w:rsidP="00A33729">
      <w:pPr>
        <w:ind w:left="566" w:firstLine="566"/>
        <w:rPr>
          <w:rFonts w:hAnsi="標楷體"/>
          <w:color w:val="000000"/>
        </w:rPr>
      </w:pPr>
      <w:r w:rsidRPr="000C21D7">
        <w:rPr>
          <w:rFonts w:hAnsi="標楷體" w:hint="eastAsia"/>
          <w:color w:val="000000"/>
        </w:rPr>
        <w:t>綜上，</w:t>
      </w:r>
      <w:r w:rsidR="002E60E1" w:rsidRPr="002E60E1">
        <w:rPr>
          <w:rFonts w:hAnsi="標楷體" w:hint="eastAsia"/>
          <w:color w:val="000000"/>
        </w:rPr>
        <w:t>臺灣金控集團轉投資多家事業，惟112年度有5家轉投資事業呈虧損狀態；另部分轉投資事業有連年虧損及轉盈為虧之情事，相關投資事業管理策略容有精進空間，允宜加強並善盡公股管理人責任，俾維護公股權益。</w:t>
      </w:r>
    </w:p>
    <w:p w:rsidR="005F45D0" w:rsidRDefault="005F45D0" w:rsidP="00A33729">
      <w:pPr>
        <w:pStyle w:val="14"/>
        <w:ind w:left="567" w:hanging="567"/>
        <w:rPr>
          <w:rFonts w:hAnsi="標楷體"/>
          <w:snapToGrid/>
        </w:rPr>
      </w:pPr>
    </w:p>
    <w:p w:rsidR="00A33729" w:rsidRPr="007E57C8" w:rsidRDefault="00CC3E1F" w:rsidP="00A33729">
      <w:pPr>
        <w:pStyle w:val="14"/>
        <w:ind w:left="567" w:hanging="567"/>
        <w:rPr>
          <w:rFonts w:hAnsi="標楷體"/>
        </w:rPr>
      </w:pPr>
      <w:bookmarkStart w:id="4" w:name="_Toc193356662"/>
      <w:r w:rsidRPr="007E57C8">
        <w:rPr>
          <w:rFonts w:hAnsi="標楷體" w:hint="eastAsia"/>
          <w:snapToGrid/>
        </w:rPr>
        <w:t>三、</w:t>
      </w:r>
      <w:r w:rsidR="009243C8">
        <w:rPr>
          <w:rFonts w:hAnsi="標楷體" w:hint="eastAsia"/>
          <w:snapToGrid/>
        </w:rPr>
        <w:t>臺灣銀行</w:t>
      </w:r>
      <w:r w:rsidR="00954E55" w:rsidRPr="007E57C8">
        <w:rPr>
          <w:rFonts w:hAnsi="標楷體" w:hint="eastAsia"/>
          <w:snapToGrid/>
        </w:rPr>
        <w:t>近5</w:t>
      </w:r>
      <w:r w:rsidR="00055D45" w:rsidRPr="007E57C8">
        <w:rPr>
          <w:rFonts w:hAnsi="標楷體" w:hint="eastAsia"/>
        </w:rPr>
        <w:t>年</w:t>
      </w:r>
      <w:r w:rsidR="009243C8">
        <w:rPr>
          <w:rFonts w:hAnsi="標楷體" w:hint="eastAsia"/>
        </w:rPr>
        <w:t>度</w:t>
      </w:r>
      <w:r w:rsidR="00055D45" w:rsidRPr="007E57C8">
        <w:rPr>
          <w:rFonts w:hAnsi="標楷體" w:hint="eastAsia"/>
        </w:rPr>
        <w:t>手續費收入呈下滑趨勢，</w:t>
      </w:r>
      <w:r w:rsidR="009243C8">
        <w:rPr>
          <w:rFonts w:hAnsi="標楷體" w:hint="eastAsia"/>
        </w:rPr>
        <w:t>其中</w:t>
      </w:r>
      <w:r w:rsidR="00055D45" w:rsidRPr="007E57C8">
        <w:rPr>
          <w:rFonts w:hAnsi="標楷體" w:hint="eastAsia"/>
        </w:rPr>
        <w:t>財富管理手續費收入</w:t>
      </w:r>
      <w:r w:rsidR="009243C8">
        <w:rPr>
          <w:rFonts w:hAnsi="標楷體" w:hint="eastAsia"/>
        </w:rPr>
        <w:t>持續縮減</w:t>
      </w:r>
      <w:r w:rsidR="00055D45" w:rsidRPr="007E57C8">
        <w:rPr>
          <w:rFonts w:hAnsi="標楷體" w:hint="eastAsia"/>
        </w:rPr>
        <w:t>，允宜</w:t>
      </w:r>
      <w:r w:rsidR="009243C8">
        <w:rPr>
          <w:rFonts w:hAnsi="標楷體" w:hint="eastAsia"/>
        </w:rPr>
        <w:t>關</w:t>
      </w:r>
      <w:r w:rsidR="00055D45" w:rsidRPr="007E57C8">
        <w:rPr>
          <w:rFonts w:hAnsi="標楷體" w:hint="eastAsia"/>
        </w:rPr>
        <w:t>注金融市場環境</w:t>
      </w:r>
      <w:r w:rsidR="00454D00">
        <w:rPr>
          <w:rFonts w:hAnsi="標楷體" w:hint="eastAsia"/>
        </w:rPr>
        <w:t>及地緣政治風險</w:t>
      </w:r>
      <w:r w:rsidR="00055D45" w:rsidRPr="007E57C8">
        <w:rPr>
          <w:rFonts w:hAnsi="標楷體" w:hint="eastAsia"/>
        </w:rPr>
        <w:t>變化，</w:t>
      </w:r>
      <w:r w:rsidR="00454D00">
        <w:rPr>
          <w:rFonts w:hAnsi="標楷體" w:hint="eastAsia"/>
        </w:rPr>
        <w:t>並妥適</w:t>
      </w:r>
      <w:r w:rsidR="00055D45" w:rsidRPr="007E57C8">
        <w:rPr>
          <w:rFonts w:hAnsi="標楷體" w:hint="eastAsia"/>
        </w:rPr>
        <w:t>規劃因應策略</w:t>
      </w:r>
      <w:r w:rsidR="00454D00">
        <w:rPr>
          <w:rFonts w:hAnsi="標楷體" w:hint="eastAsia"/>
        </w:rPr>
        <w:t>，</w:t>
      </w:r>
      <w:r w:rsidR="00055D45" w:rsidRPr="007E57C8">
        <w:rPr>
          <w:rFonts w:hAnsi="標楷體" w:hint="eastAsia"/>
        </w:rPr>
        <w:t>以提升營收業績</w:t>
      </w:r>
      <w:bookmarkEnd w:id="4"/>
    </w:p>
    <w:p w:rsidR="00A33729" w:rsidRDefault="00055D45" w:rsidP="00A33729">
      <w:pPr>
        <w:adjustRightInd w:val="0"/>
        <w:ind w:left="566" w:firstLine="566"/>
        <w:rPr>
          <w:rFonts w:hAnsi="標楷體"/>
        </w:rPr>
      </w:pPr>
      <w:r w:rsidRPr="007E57C8">
        <w:rPr>
          <w:rFonts w:hAnsi="標楷體" w:hint="eastAsia"/>
        </w:rPr>
        <w:t>臺灣銀行11</w:t>
      </w:r>
      <w:r w:rsidRPr="007E57C8">
        <w:rPr>
          <w:rFonts w:hAnsi="標楷體"/>
        </w:rPr>
        <w:t>2</w:t>
      </w:r>
      <w:r w:rsidRPr="007E57C8">
        <w:rPr>
          <w:rFonts w:hAnsi="標楷體" w:hint="eastAsia"/>
        </w:rPr>
        <w:t>年度預算於「營業收入」之「金融保險收入」</w:t>
      </w:r>
      <w:r w:rsidRPr="00055D45">
        <w:rPr>
          <w:rFonts w:hAnsi="標楷體" w:hint="eastAsia"/>
        </w:rPr>
        <w:t>科目編列手續費收入</w:t>
      </w:r>
      <w:r w:rsidR="00954E55">
        <w:rPr>
          <w:rStyle w:val="afa"/>
          <w:rFonts w:hAnsi="標楷體"/>
        </w:rPr>
        <w:footnoteReference w:id="3"/>
      </w:r>
      <w:r w:rsidR="00DC07B1">
        <w:rPr>
          <w:rFonts w:hAnsi="標楷體"/>
        </w:rPr>
        <w:t>50</w:t>
      </w:r>
      <w:r w:rsidRPr="00055D45">
        <w:rPr>
          <w:rFonts w:hAnsi="標楷體" w:hint="eastAsia"/>
        </w:rPr>
        <w:t>億</w:t>
      </w:r>
      <w:r w:rsidR="00DC07B1">
        <w:rPr>
          <w:rFonts w:hAnsi="標楷體" w:hint="eastAsia"/>
        </w:rPr>
        <w:t>3</w:t>
      </w:r>
      <w:r w:rsidRPr="00055D45">
        <w:rPr>
          <w:rFonts w:hAnsi="標楷體" w:hint="eastAsia"/>
        </w:rPr>
        <w:t>7</w:t>
      </w:r>
      <w:r w:rsidR="00DC07B1">
        <w:rPr>
          <w:rFonts w:hAnsi="標楷體"/>
        </w:rPr>
        <w:t>8</w:t>
      </w:r>
      <w:r w:rsidRPr="00055D45">
        <w:rPr>
          <w:rFonts w:hAnsi="標楷體" w:hint="eastAsia"/>
        </w:rPr>
        <w:t>萬</w:t>
      </w:r>
      <w:r w:rsidR="00DC07B1">
        <w:rPr>
          <w:rFonts w:hAnsi="標楷體" w:hint="eastAsia"/>
        </w:rPr>
        <w:t>3</w:t>
      </w:r>
      <w:r w:rsidRPr="00055D45">
        <w:rPr>
          <w:rFonts w:hAnsi="標楷體" w:hint="eastAsia"/>
        </w:rPr>
        <w:t>千元，決算數為4</w:t>
      </w:r>
      <w:r w:rsidR="00DC07B1">
        <w:rPr>
          <w:rFonts w:hAnsi="標楷體"/>
        </w:rPr>
        <w:t>6</w:t>
      </w:r>
      <w:r w:rsidRPr="00055D45">
        <w:rPr>
          <w:rFonts w:hAnsi="標楷體" w:hint="eastAsia"/>
        </w:rPr>
        <w:t>億</w:t>
      </w:r>
      <w:r w:rsidR="00DC07B1">
        <w:rPr>
          <w:rFonts w:hAnsi="標楷體"/>
        </w:rPr>
        <w:t>1</w:t>
      </w:r>
      <w:r w:rsidRPr="00055D45">
        <w:rPr>
          <w:rFonts w:hAnsi="標楷體" w:hint="eastAsia"/>
        </w:rPr>
        <w:t>,</w:t>
      </w:r>
      <w:r w:rsidR="00DC07B1">
        <w:rPr>
          <w:rFonts w:hAnsi="標楷體"/>
        </w:rPr>
        <w:t>964</w:t>
      </w:r>
      <w:r w:rsidRPr="00055D45">
        <w:rPr>
          <w:rFonts w:hAnsi="標楷體" w:hint="eastAsia"/>
        </w:rPr>
        <w:t>萬</w:t>
      </w:r>
      <w:r w:rsidR="00DC07B1">
        <w:rPr>
          <w:rFonts w:hAnsi="標楷體"/>
        </w:rPr>
        <w:t>9</w:t>
      </w:r>
      <w:r w:rsidRPr="00055D45">
        <w:rPr>
          <w:rFonts w:hAnsi="標楷體" w:hint="eastAsia"/>
        </w:rPr>
        <w:t>千元，預算達成率9</w:t>
      </w:r>
      <w:r w:rsidR="00DC07B1">
        <w:rPr>
          <w:rFonts w:hAnsi="標楷體"/>
        </w:rPr>
        <w:t>2</w:t>
      </w:r>
      <w:r w:rsidRPr="00055D45">
        <w:rPr>
          <w:rFonts w:hAnsi="標楷體" w:hint="eastAsia"/>
        </w:rPr>
        <w:t>.</w:t>
      </w:r>
      <w:r w:rsidR="00DC07B1">
        <w:rPr>
          <w:rFonts w:hAnsi="標楷體"/>
        </w:rPr>
        <w:t>32</w:t>
      </w:r>
      <w:r w:rsidRPr="00055D45">
        <w:rPr>
          <w:rFonts w:hAnsi="標楷體" w:hint="eastAsia"/>
        </w:rPr>
        <w:t>%。經查：</w:t>
      </w:r>
    </w:p>
    <w:p w:rsidR="00DC07B1" w:rsidRPr="00872B86" w:rsidRDefault="00DC07B1" w:rsidP="00DC07B1">
      <w:pPr>
        <w:pStyle w:val="a4"/>
        <w:ind w:left="849" w:hanging="283"/>
        <w:rPr>
          <w:rFonts w:hAnsi="標楷體"/>
          <w:b/>
        </w:rPr>
      </w:pPr>
      <w:r w:rsidRPr="00872B86">
        <w:rPr>
          <w:rFonts w:hAnsi="標楷體" w:hint="eastAsia"/>
          <w:b/>
        </w:rPr>
        <w:t>(一)近</w:t>
      </w:r>
      <w:r>
        <w:rPr>
          <w:rFonts w:hAnsi="標楷體" w:hint="eastAsia"/>
          <w:b/>
        </w:rPr>
        <w:t>5</w:t>
      </w:r>
      <w:r w:rsidRPr="00872B86">
        <w:rPr>
          <w:rFonts w:hAnsi="標楷體" w:hint="eastAsia"/>
          <w:b/>
        </w:rPr>
        <w:t>年手續費收入決算金額持續下滑，允宜研謀改善</w:t>
      </w:r>
    </w:p>
    <w:p w:rsidR="00A33729" w:rsidRDefault="00DC07B1" w:rsidP="00C82AB9">
      <w:pPr>
        <w:ind w:leftChars="300" w:left="850" w:firstLine="566"/>
        <w:rPr>
          <w:rFonts w:hAnsi="標楷體"/>
          <w:color w:val="000000"/>
        </w:rPr>
      </w:pPr>
      <w:r w:rsidRPr="00DC07B1">
        <w:rPr>
          <w:rFonts w:hAnsi="標楷體" w:hint="eastAsia"/>
          <w:color w:val="000000"/>
        </w:rPr>
        <w:t>參據該行近</w:t>
      </w:r>
      <w:r w:rsidR="0043111C">
        <w:rPr>
          <w:rFonts w:hAnsi="標楷體" w:hint="eastAsia"/>
          <w:color w:val="000000"/>
        </w:rPr>
        <w:t>5</w:t>
      </w:r>
      <w:r w:rsidRPr="00DC07B1">
        <w:rPr>
          <w:rFonts w:hAnsi="標楷體" w:hint="eastAsia"/>
          <w:color w:val="000000"/>
        </w:rPr>
        <w:t>年手續費收入之預、決算情形(詳表1)，決算數由108年度58億6,659萬8千元逐年減至112年度46億1,964萬9千元，減幅21.26%；且手續費淨收益由108年度51億7,408萬7千元逐年降至112年度37億2,397萬8千元，減幅達28.03%，111及112年度占總淨收益比率亦均跌至10%以下</w:t>
      </w:r>
      <w:r w:rsidR="008811C9" w:rsidRPr="008811C9">
        <w:rPr>
          <w:rFonts w:hAnsi="標楷體" w:hint="eastAsia"/>
          <w:color w:val="000000"/>
        </w:rPr>
        <w:t>，整體手續費業務規模顯著萎縮。</w:t>
      </w:r>
      <w:r w:rsidR="00C82AB9" w:rsidRPr="00C82AB9">
        <w:rPr>
          <w:rFonts w:hAnsi="標楷體" w:hint="eastAsia"/>
          <w:color w:val="000000"/>
        </w:rPr>
        <w:t>據該行說明近年手續費收入持續下滑主要係最大宗之銷售保險手續費收入(合作推廣業務手續費收入</w:t>
      </w:r>
      <w:r w:rsidR="006A1A84">
        <w:rPr>
          <w:rStyle w:val="afa"/>
          <w:rFonts w:hAnsi="標楷體"/>
          <w:color w:val="000000"/>
        </w:rPr>
        <w:footnoteReference w:id="4"/>
      </w:r>
      <w:r w:rsidR="00C82AB9" w:rsidRPr="00C82AB9">
        <w:rPr>
          <w:rFonts w:hAnsi="標楷體" w:hint="eastAsia"/>
          <w:color w:val="000000"/>
        </w:rPr>
        <w:t>)減少所致，該項收入自109年起因主管機關陸續採行多項監理措施</w:t>
      </w:r>
      <w:r w:rsidR="006A1A84">
        <w:rPr>
          <w:rStyle w:val="afa"/>
          <w:rFonts w:hAnsi="標楷體"/>
          <w:color w:val="000000"/>
        </w:rPr>
        <w:footnoteReference w:id="5"/>
      </w:r>
      <w:r w:rsidR="00C82AB9" w:rsidRPr="00C82AB9">
        <w:rPr>
          <w:rFonts w:hAnsi="標楷體" w:hint="eastAsia"/>
          <w:color w:val="000000"/>
        </w:rPr>
        <w:t>影響銷售、110年受新冠肺炎疫情影響業務推展、111年美國及國內啟動升息循環與全球股市大跌影響保單推展，</w:t>
      </w:r>
      <w:r w:rsidR="00454D00">
        <w:rPr>
          <w:rFonts w:hAnsi="標楷體" w:hint="eastAsia"/>
          <w:color w:val="000000"/>
        </w:rPr>
        <w:t>及</w:t>
      </w:r>
      <w:r w:rsidR="00C82AB9" w:rsidRPr="00C82AB9">
        <w:rPr>
          <w:rFonts w:hAnsi="標楷體" w:hint="eastAsia"/>
          <w:color w:val="000000"/>
        </w:rPr>
        <w:t>112年持續有不利因素影響(如升息</w:t>
      </w:r>
      <w:r w:rsidR="006A1A84">
        <w:rPr>
          <w:rStyle w:val="afa"/>
          <w:rFonts w:hAnsi="標楷體"/>
          <w:color w:val="000000"/>
        </w:rPr>
        <w:footnoteReference w:id="6"/>
      </w:r>
      <w:r w:rsidR="00C82AB9" w:rsidRPr="00C82AB9">
        <w:rPr>
          <w:rFonts w:hAnsi="標楷體" w:hint="eastAsia"/>
          <w:color w:val="000000"/>
        </w:rPr>
        <w:t>、金融市場波動</w:t>
      </w:r>
      <w:r w:rsidR="006A1A84">
        <w:rPr>
          <w:rStyle w:val="afa"/>
          <w:rFonts w:hAnsi="標楷體"/>
          <w:color w:val="000000"/>
        </w:rPr>
        <w:footnoteReference w:id="7"/>
      </w:r>
      <w:r w:rsidR="00C82AB9" w:rsidRPr="00C82AB9">
        <w:rPr>
          <w:rFonts w:hAnsi="標楷體" w:hint="eastAsia"/>
          <w:color w:val="000000"/>
        </w:rPr>
        <w:t>)。衡酌主管機關監理措施與全球經濟發展趨勢均為金融市場既存之規範與風險，允宜滾動調整因應對策，俾改善該項業務持續萎縮之態勢。</w:t>
      </w:r>
    </w:p>
    <w:p w:rsidR="00CD32F3" w:rsidRDefault="00CD32F3" w:rsidP="00CD32F3">
      <w:pPr>
        <w:ind w:leftChars="150" w:left="425" w:firstLineChars="0" w:firstLine="0"/>
        <w:rPr>
          <w:rFonts w:hAnsi="標楷體"/>
          <w:b/>
        </w:rPr>
      </w:pPr>
      <w:r w:rsidRPr="003B67EB">
        <w:rPr>
          <w:rFonts w:hAnsi="標楷體" w:hint="eastAsia"/>
          <w:b/>
        </w:rPr>
        <w:t>表1 臺灣銀行近</w:t>
      </w:r>
      <w:r w:rsidR="0043111C">
        <w:rPr>
          <w:rFonts w:hAnsi="標楷體" w:hint="eastAsia"/>
          <w:b/>
        </w:rPr>
        <w:t>5</w:t>
      </w:r>
      <w:r w:rsidRPr="003B67EB">
        <w:rPr>
          <w:rFonts w:hAnsi="標楷體" w:hint="eastAsia"/>
          <w:b/>
        </w:rPr>
        <w:t>年</w:t>
      </w:r>
      <w:r w:rsidRPr="00796FDA">
        <w:rPr>
          <w:rFonts w:hAnsi="標楷體" w:hint="eastAsia"/>
          <w:b/>
        </w:rPr>
        <w:t>金融保險</w:t>
      </w:r>
      <w:r w:rsidRPr="003B67EB">
        <w:rPr>
          <w:rFonts w:hAnsi="標楷體" w:hint="eastAsia"/>
          <w:b/>
        </w:rPr>
        <w:t>手續費收入預、決算情形表</w:t>
      </w:r>
    </w:p>
    <w:p w:rsidR="00CD32F3" w:rsidRPr="003B67EB" w:rsidRDefault="00CD32F3" w:rsidP="00CD32F3">
      <w:pPr>
        <w:spacing w:line="280" w:lineRule="exact"/>
        <w:ind w:leftChars="-50" w:left="-142" w:rightChars="50" w:right="142" w:firstLineChars="0" w:firstLine="0"/>
        <w:jc w:val="right"/>
        <w:rPr>
          <w:rFonts w:hAnsi="標楷體"/>
        </w:rPr>
      </w:pPr>
      <w:r w:rsidRPr="003B67EB">
        <w:rPr>
          <w:rFonts w:hAnsi="標楷體" w:hint="eastAsia"/>
        </w:rPr>
        <w:t xml:space="preserve">     </w:t>
      </w:r>
      <w:r w:rsidRPr="003B67EB">
        <w:rPr>
          <w:rFonts w:hAnsi="標楷體" w:hint="eastAsia"/>
          <w:sz w:val="24"/>
          <w:szCs w:val="24"/>
        </w:rPr>
        <w:t>單位</w:t>
      </w:r>
      <w:r w:rsidRPr="003B67EB">
        <w:rPr>
          <w:rFonts w:hAnsi="標楷體" w:cs="全字庫正宋體" w:hint="eastAsia"/>
          <w:sz w:val="24"/>
          <w:szCs w:val="24"/>
        </w:rPr>
        <w:t>：</w:t>
      </w:r>
      <w:r w:rsidRPr="003B67EB">
        <w:rPr>
          <w:rFonts w:hAnsi="標楷體" w:hint="eastAsia"/>
          <w:sz w:val="24"/>
          <w:szCs w:val="24"/>
        </w:rPr>
        <w:t>新臺幣千元</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1275"/>
        <w:gridCol w:w="1276"/>
        <w:gridCol w:w="1276"/>
        <w:gridCol w:w="1276"/>
        <w:gridCol w:w="1275"/>
      </w:tblGrid>
      <w:tr w:rsidR="00CD32F3" w:rsidRPr="003B67EB" w:rsidTr="00CD32F3">
        <w:trPr>
          <w:tblHeader/>
        </w:trPr>
        <w:tc>
          <w:tcPr>
            <w:tcW w:w="1701" w:type="dxa"/>
            <w:shd w:val="clear" w:color="auto" w:fill="auto"/>
          </w:tcPr>
          <w:p w:rsidR="00CD32F3" w:rsidRPr="003B67EB" w:rsidRDefault="00CD32F3" w:rsidP="0050138F">
            <w:pPr>
              <w:pStyle w:val="142"/>
              <w:spacing w:line="360" w:lineRule="exact"/>
              <w:rPr>
                <w:rFonts w:hAnsi="標楷體" w:hint="eastAsia"/>
                <w:spacing w:val="-20"/>
                <w:sz w:val="22"/>
                <w:szCs w:val="22"/>
              </w:rPr>
            </w:pPr>
            <w:r w:rsidRPr="003B67EB">
              <w:rPr>
                <w:rFonts w:hAnsi="標楷體" w:hint="eastAsia"/>
                <w:spacing w:val="-20"/>
                <w:sz w:val="22"/>
                <w:szCs w:val="22"/>
              </w:rPr>
              <w:t>項目</w:t>
            </w:r>
          </w:p>
        </w:tc>
        <w:tc>
          <w:tcPr>
            <w:tcW w:w="1275" w:type="dxa"/>
            <w:shd w:val="clear" w:color="auto" w:fill="auto"/>
          </w:tcPr>
          <w:p w:rsidR="00CD32F3" w:rsidRPr="003B67EB" w:rsidRDefault="00CD32F3" w:rsidP="0050138F">
            <w:pPr>
              <w:pStyle w:val="142"/>
              <w:spacing w:line="360" w:lineRule="exact"/>
              <w:jc w:val="center"/>
              <w:rPr>
                <w:rFonts w:hAnsi="標楷體" w:hint="eastAsia"/>
                <w:spacing w:val="-12"/>
                <w:sz w:val="22"/>
                <w:szCs w:val="22"/>
              </w:rPr>
            </w:pPr>
            <w:r w:rsidRPr="003B67EB">
              <w:rPr>
                <w:rFonts w:hAnsi="標楷體" w:hint="eastAsia"/>
                <w:spacing w:val="-12"/>
                <w:sz w:val="22"/>
                <w:szCs w:val="22"/>
              </w:rPr>
              <w:t>1</w:t>
            </w:r>
            <w:r w:rsidRPr="003B67EB">
              <w:rPr>
                <w:rFonts w:hAnsi="標楷體"/>
                <w:spacing w:val="-12"/>
                <w:sz w:val="22"/>
                <w:szCs w:val="22"/>
              </w:rPr>
              <w:t>08</w:t>
            </w:r>
            <w:r w:rsidRPr="003B67EB">
              <w:rPr>
                <w:rFonts w:hAnsi="標楷體" w:hint="eastAsia"/>
                <w:spacing w:val="-12"/>
                <w:sz w:val="22"/>
                <w:szCs w:val="22"/>
              </w:rPr>
              <w:t>年度</w:t>
            </w:r>
          </w:p>
        </w:tc>
        <w:tc>
          <w:tcPr>
            <w:tcW w:w="1276" w:type="dxa"/>
            <w:shd w:val="clear" w:color="auto" w:fill="auto"/>
          </w:tcPr>
          <w:p w:rsidR="00CD32F3" w:rsidRPr="003B67EB" w:rsidRDefault="00CD32F3" w:rsidP="0050138F">
            <w:pPr>
              <w:pStyle w:val="142"/>
              <w:spacing w:line="360" w:lineRule="exact"/>
              <w:jc w:val="center"/>
              <w:rPr>
                <w:rFonts w:hAnsi="標楷體" w:hint="eastAsia"/>
                <w:spacing w:val="-12"/>
                <w:sz w:val="22"/>
                <w:szCs w:val="22"/>
              </w:rPr>
            </w:pPr>
            <w:r w:rsidRPr="003B67EB">
              <w:rPr>
                <w:rFonts w:hAnsi="標楷體" w:hint="eastAsia"/>
                <w:spacing w:val="-12"/>
                <w:sz w:val="22"/>
                <w:szCs w:val="22"/>
              </w:rPr>
              <w:t>10</w:t>
            </w:r>
            <w:r w:rsidRPr="003B67EB">
              <w:rPr>
                <w:rFonts w:hAnsi="標楷體"/>
                <w:spacing w:val="-12"/>
                <w:sz w:val="22"/>
                <w:szCs w:val="22"/>
              </w:rPr>
              <w:t>9</w:t>
            </w:r>
            <w:r w:rsidRPr="003B67EB">
              <w:rPr>
                <w:rFonts w:hAnsi="標楷體" w:hint="eastAsia"/>
                <w:spacing w:val="-12"/>
                <w:sz w:val="22"/>
                <w:szCs w:val="22"/>
              </w:rPr>
              <w:t>年度</w:t>
            </w:r>
          </w:p>
        </w:tc>
        <w:tc>
          <w:tcPr>
            <w:tcW w:w="1276" w:type="dxa"/>
            <w:shd w:val="clear" w:color="auto" w:fill="auto"/>
          </w:tcPr>
          <w:p w:rsidR="00CD32F3" w:rsidRPr="003B67EB" w:rsidRDefault="00CD32F3" w:rsidP="0050138F">
            <w:pPr>
              <w:pStyle w:val="142"/>
              <w:spacing w:line="360" w:lineRule="exact"/>
              <w:jc w:val="center"/>
              <w:rPr>
                <w:rFonts w:hAnsi="標楷體" w:hint="eastAsia"/>
                <w:spacing w:val="-12"/>
                <w:sz w:val="22"/>
                <w:szCs w:val="22"/>
              </w:rPr>
            </w:pPr>
            <w:r w:rsidRPr="003B67EB">
              <w:rPr>
                <w:rFonts w:hAnsi="標楷體" w:hint="eastAsia"/>
                <w:spacing w:val="-12"/>
                <w:sz w:val="22"/>
                <w:szCs w:val="22"/>
              </w:rPr>
              <w:t>110年度</w:t>
            </w:r>
          </w:p>
        </w:tc>
        <w:tc>
          <w:tcPr>
            <w:tcW w:w="1276" w:type="dxa"/>
            <w:shd w:val="clear" w:color="auto" w:fill="auto"/>
          </w:tcPr>
          <w:p w:rsidR="00CD32F3" w:rsidRPr="003B67EB" w:rsidRDefault="00CD32F3" w:rsidP="0050138F">
            <w:pPr>
              <w:pStyle w:val="142"/>
              <w:spacing w:line="360" w:lineRule="exact"/>
              <w:jc w:val="center"/>
              <w:rPr>
                <w:rFonts w:hAnsi="標楷體" w:hint="eastAsia"/>
                <w:spacing w:val="-12"/>
                <w:sz w:val="22"/>
                <w:szCs w:val="22"/>
              </w:rPr>
            </w:pPr>
            <w:r w:rsidRPr="003B67EB">
              <w:rPr>
                <w:rFonts w:hAnsi="標楷體" w:hint="eastAsia"/>
                <w:spacing w:val="-12"/>
                <w:sz w:val="22"/>
                <w:szCs w:val="22"/>
              </w:rPr>
              <w:t>111年度</w:t>
            </w:r>
          </w:p>
        </w:tc>
        <w:tc>
          <w:tcPr>
            <w:tcW w:w="1275" w:type="dxa"/>
            <w:shd w:val="clear" w:color="auto" w:fill="auto"/>
          </w:tcPr>
          <w:p w:rsidR="00CD32F3" w:rsidRPr="003B67EB" w:rsidRDefault="00CD32F3" w:rsidP="0050138F">
            <w:pPr>
              <w:pStyle w:val="142"/>
              <w:spacing w:line="360" w:lineRule="exact"/>
              <w:jc w:val="center"/>
              <w:rPr>
                <w:rFonts w:hAnsi="標楷體" w:hint="eastAsia"/>
                <w:spacing w:val="-12"/>
                <w:sz w:val="22"/>
                <w:szCs w:val="22"/>
              </w:rPr>
            </w:pPr>
            <w:r w:rsidRPr="003B67EB">
              <w:rPr>
                <w:rFonts w:hAnsi="標楷體" w:hint="eastAsia"/>
                <w:spacing w:val="-12"/>
                <w:sz w:val="22"/>
                <w:szCs w:val="22"/>
              </w:rPr>
              <w:t>112年度</w:t>
            </w:r>
          </w:p>
        </w:tc>
      </w:tr>
      <w:tr w:rsidR="00CD32F3" w:rsidRPr="003B67EB" w:rsidTr="00CD32F3">
        <w:tc>
          <w:tcPr>
            <w:tcW w:w="1701" w:type="dxa"/>
            <w:shd w:val="clear" w:color="auto" w:fill="auto"/>
          </w:tcPr>
          <w:p w:rsidR="00CD32F3" w:rsidRPr="003B67EB" w:rsidRDefault="00CD32F3" w:rsidP="0050138F">
            <w:pPr>
              <w:pStyle w:val="142"/>
              <w:spacing w:line="360" w:lineRule="exact"/>
              <w:rPr>
                <w:rFonts w:hAnsi="標楷體" w:hint="eastAsia"/>
                <w:spacing w:val="-20"/>
              </w:rPr>
            </w:pPr>
            <w:r w:rsidRPr="003B67EB">
              <w:rPr>
                <w:rFonts w:hAnsi="標楷體" w:hint="eastAsia"/>
                <w:spacing w:val="-20"/>
              </w:rPr>
              <w:t>預算數</w:t>
            </w:r>
          </w:p>
        </w:tc>
        <w:tc>
          <w:tcPr>
            <w:tcW w:w="1275" w:type="dxa"/>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,528,795</w:t>
            </w:r>
          </w:p>
        </w:tc>
        <w:tc>
          <w:tcPr>
            <w:tcW w:w="1276" w:type="dxa"/>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,400,206</w:t>
            </w:r>
          </w:p>
        </w:tc>
        <w:tc>
          <w:tcPr>
            <w:tcW w:w="1276" w:type="dxa"/>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,251,799</w:t>
            </w:r>
          </w:p>
        </w:tc>
        <w:tc>
          <w:tcPr>
            <w:tcW w:w="1276" w:type="dxa"/>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,967,661</w:t>
            </w:r>
          </w:p>
        </w:tc>
        <w:tc>
          <w:tcPr>
            <w:tcW w:w="1275" w:type="dxa"/>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,003,783</w:t>
            </w:r>
          </w:p>
        </w:tc>
      </w:tr>
      <w:tr w:rsidR="00CD32F3" w:rsidRPr="003B67EB" w:rsidTr="00CD32F3">
        <w:tc>
          <w:tcPr>
            <w:tcW w:w="1701" w:type="dxa"/>
            <w:shd w:val="clear" w:color="auto" w:fill="auto"/>
          </w:tcPr>
          <w:p w:rsidR="00CD32F3" w:rsidRPr="003B67EB" w:rsidRDefault="00CD32F3" w:rsidP="0050138F">
            <w:pPr>
              <w:pStyle w:val="142"/>
              <w:spacing w:line="360" w:lineRule="exact"/>
              <w:rPr>
                <w:rFonts w:hAnsi="標楷體" w:hint="eastAsia"/>
                <w:spacing w:val="-20"/>
              </w:rPr>
            </w:pPr>
            <w:r w:rsidRPr="003B67EB">
              <w:rPr>
                <w:rFonts w:hAnsi="標楷體" w:hint="eastAsia"/>
                <w:spacing w:val="-20"/>
              </w:rPr>
              <w:t>決算數</w:t>
            </w:r>
          </w:p>
        </w:tc>
        <w:tc>
          <w:tcPr>
            <w:tcW w:w="1275" w:type="dxa"/>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,866,598</w:t>
            </w:r>
          </w:p>
        </w:tc>
        <w:tc>
          <w:tcPr>
            <w:tcW w:w="1276" w:type="dxa"/>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,567,488</w:t>
            </w:r>
          </w:p>
        </w:tc>
        <w:tc>
          <w:tcPr>
            <w:tcW w:w="1276" w:type="dxa"/>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,283,011</w:t>
            </w:r>
          </w:p>
        </w:tc>
        <w:tc>
          <w:tcPr>
            <w:tcW w:w="1276" w:type="dxa"/>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,877,342</w:t>
            </w:r>
          </w:p>
        </w:tc>
        <w:tc>
          <w:tcPr>
            <w:tcW w:w="1275" w:type="dxa"/>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spacing w:val="-12"/>
                <w:sz w:val="20"/>
                <w:szCs w:val="20"/>
              </w:rPr>
              <w:t>4,619,649</w:t>
            </w:r>
          </w:p>
        </w:tc>
      </w:tr>
      <w:tr w:rsidR="00CD32F3" w:rsidRPr="003B67EB" w:rsidTr="00CD32F3">
        <w:tc>
          <w:tcPr>
            <w:tcW w:w="1701" w:type="dxa"/>
            <w:tcBorders>
              <w:bottom w:val="double" w:sz="4" w:space="0" w:color="auto"/>
            </w:tcBorders>
            <w:shd w:val="clear" w:color="auto" w:fill="auto"/>
          </w:tcPr>
          <w:p w:rsidR="00CD32F3" w:rsidRPr="003B67EB" w:rsidRDefault="00CD32F3" w:rsidP="0050138F">
            <w:pPr>
              <w:pStyle w:val="142"/>
              <w:spacing w:line="360" w:lineRule="exact"/>
              <w:rPr>
                <w:rFonts w:hAnsi="標楷體" w:hint="eastAsia"/>
                <w:spacing w:val="-20"/>
              </w:rPr>
            </w:pPr>
            <w:r w:rsidRPr="003B67EB">
              <w:rPr>
                <w:rFonts w:hAnsi="標楷體" w:hint="eastAsia"/>
                <w:spacing w:val="-20"/>
              </w:rPr>
              <w:t>達成率</w:t>
            </w:r>
          </w:p>
        </w:tc>
        <w:tc>
          <w:tcPr>
            <w:tcW w:w="1275" w:type="dxa"/>
            <w:tcBorders>
              <w:bottom w:val="double" w:sz="4" w:space="0" w:color="auto"/>
            </w:tcBorders>
            <w:shd w:val="clear" w:color="auto" w:fill="auto"/>
            <w:vAlign w:val="center"/>
          </w:tcPr>
          <w:p w:rsidR="00CD32F3" w:rsidRPr="003B67EB" w:rsidRDefault="00CD32F3" w:rsidP="00CD32F3">
            <w:pPr>
              <w:pStyle w:val="142"/>
              <w:spacing w:line="360" w:lineRule="exact"/>
              <w:jc w:val="right"/>
              <w:rPr>
                <w:rFonts w:hAnsi="標楷體"/>
                <w:snapToGrid/>
                <w:spacing w:val="-12"/>
                <w:kern w:val="0"/>
                <w:sz w:val="20"/>
                <w:szCs w:val="20"/>
              </w:rPr>
            </w:pPr>
            <w:r w:rsidRPr="003B67EB">
              <w:rPr>
                <w:rFonts w:hAnsi="標楷體" w:hint="eastAsia"/>
                <w:spacing w:val="-12"/>
                <w:sz w:val="20"/>
                <w:szCs w:val="20"/>
              </w:rPr>
              <w:t>106.11%</w:t>
            </w:r>
          </w:p>
        </w:tc>
        <w:tc>
          <w:tcPr>
            <w:tcW w:w="1276" w:type="dxa"/>
            <w:tcBorders>
              <w:bottom w:val="doub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103.10%</w:t>
            </w:r>
          </w:p>
        </w:tc>
        <w:tc>
          <w:tcPr>
            <w:tcW w:w="1276" w:type="dxa"/>
            <w:tcBorders>
              <w:bottom w:val="doub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100.59%</w:t>
            </w:r>
          </w:p>
        </w:tc>
        <w:tc>
          <w:tcPr>
            <w:tcW w:w="1276" w:type="dxa"/>
            <w:tcBorders>
              <w:bottom w:val="doub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98.18%</w:t>
            </w:r>
          </w:p>
        </w:tc>
        <w:tc>
          <w:tcPr>
            <w:tcW w:w="1275" w:type="dxa"/>
            <w:tcBorders>
              <w:bottom w:val="doub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9</w:t>
            </w:r>
            <w:r w:rsidRPr="003B67EB">
              <w:rPr>
                <w:rFonts w:hAnsi="標楷體"/>
                <w:spacing w:val="-12"/>
                <w:sz w:val="20"/>
                <w:szCs w:val="20"/>
              </w:rPr>
              <w:t>2</w:t>
            </w:r>
            <w:r w:rsidRPr="003B67EB">
              <w:rPr>
                <w:rFonts w:hAnsi="標楷體" w:hint="eastAsia"/>
                <w:spacing w:val="-12"/>
                <w:sz w:val="20"/>
                <w:szCs w:val="20"/>
              </w:rPr>
              <w:t>.</w:t>
            </w:r>
            <w:r w:rsidRPr="003B67EB">
              <w:rPr>
                <w:rFonts w:hAnsi="標楷體"/>
                <w:spacing w:val="-12"/>
                <w:sz w:val="20"/>
                <w:szCs w:val="20"/>
              </w:rPr>
              <w:t>32</w:t>
            </w:r>
            <w:r w:rsidRPr="003B67EB">
              <w:rPr>
                <w:rFonts w:hAnsi="標楷體" w:hint="eastAsia"/>
                <w:spacing w:val="-12"/>
                <w:sz w:val="20"/>
                <w:szCs w:val="20"/>
              </w:rPr>
              <w:t>%</w:t>
            </w:r>
          </w:p>
        </w:tc>
      </w:tr>
      <w:tr w:rsidR="00CD32F3" w:rsidRPr="003B67EB" w:rsidTr="00CD32F3">
        <w:tc>
          <w:tcPr>
            <w:tcW w:w="1701" w:type="dxa"/>
            <w:tcBorders>
              <w:top w:val="double" w:sz="4" w:space="0" w:color="auto"/>
              <w:bottom w:val="single" w:sz="4" w:space="0" w:color="auto"/>
            </w:tcBorders>
            <w:shd w:val="clear" w:color="auto" w:fill="auto"/>
          </w:tcPr>
          <w:p w:rsidR="00CD32F3" w:rsidRPr="003B67EB" w:rsidRDefault="00CD32F3" w:rsidP="0050138F">
            <w:pPr>
              <w:pStyle w:val="142"/>
              <w:spacing w:line="360" w:lineRule="exact"/>
              <w:rPr>
                <w:rFonts w:hAnsi="標楷體" w:hint="eastAsia"/>
                <w:spacing w:val="-20"/>
              </w:rPr>
            </w:pPr>
            <w:r w:rsidRPr="003B67EB">
              <w:rPr>
                <w:rFonts w:hAnsi="標楷體" w:hint="eastAsia"/>
                <w:spacing w:val="-20"/>
              </w:rPr>
              <w:t>手續費淨收益</w:t>
            </w:r>
          </w:p>
        </w:tc>
        <w:tc>
          <w:tcPr>
            <w:tcW w:w="1275" w:type="dxa"/>
            <w:tcBorders>
              <w:top w:val="double" w:sz="4" w:space="0" w:color="auto"/>
              <w:bottom w:val="sing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,174,087</w:t>
            </w:r>
          </w:p>
        </w:tc>
        <w:tc>
          <w:tcPr>
            <w:tcW w:w="1276" w:type="dxa"/>
            <w:tcBorders>
              <w:top w:val="double" w:sz="4" w:space="0" w:color="auto"/>
              <w:bottom w:val="sing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,832,319</w:t>
            </w:r>
          </w:p>
        </w:tc>
        <w:tc>
          <w:tcPr>
            <w:tcW w:w="1276" w:type="dxa"/>
            <w:tcBorders>
              <w:top w:val="double" w:sz="4" w:space="0" w:color="auto"/>
              <w:bottom w:val="sing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,519,121</w:t>
            </w:r>
          </w:p>
        </w:tc>
        <w:tc>
          <w:tcPr>
            <w:tcW w:w="1276" w:type="dxa"/>
            <w:tcBorders>
              <w:top w:val="double" w:sz="4" w:space="0" w:color="auto"/>
              <w:bottom w:val="sing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,070,368</w:t>
            </w:r>
          </w:p>
        </w:tc>
        <w:tc>
          <w:tcPr>
            <w:tcW w:w="1275" w:type="dxa"/>
            <w:tcBorders>
              <w:top w:val="double" w:sz="4" w:space="0" w:color="auto"/>
              <w:bottom w:val="single" w:sz="4" w:space="0" w:color="auto"/>
            </w:tcBorders>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spacing w:val="-12"/>
                <w:sz w:val="20"/>
                <w:szCs w:val="20"/>
              </w:rPr>
              <w:t>3,723,978</w:t>
            </w:r>
          </w:p>
        </w:tc>
      </w:tr>
      <w:tr w:rsidR="00CD32F3" w:rsidRPr="003B67EB" w:rsidTr="00CD32F3">
        <w:tc>
          <w:tcPr>
            <w:tcW w:w="1701" w:type="dxa"/>
            <w:tcBorders>
              <w:top w:val="single" w:sz="4" w:space="0" w:color="auto"/>
            </w:tcBorders>
            <w:shd w:val="clear" w:color="auto" w:fill="auto"/>
          </w:tcPr>
          <w:p w:rsidR="00CD32F3" w:rsidRPr="003B67EB" w:rsidRDefault="00CD32F3" w:rsidP="0050138F">
            <w:pPr>
              <w:pStyle w:val="142"/>
              <w:spacing w:line="360" w:lineRule="exact"/>
              <w:rPr>
                <w:rFonts w:hAnsi="標楷體" w:hint="eastAsia"/>
                <w:spacing w:val="-20"/>
                <w:sz w:val="22"/>
                <w:szCs w:val="22"/>
              </w:rPr>
            </w:pPr>
            <w:r w:rsidRPr="003B67EB">
              <w:rPr>
                <w:rFonts w:hAnsi="標楷體" w:hint="eastAsia"/>
                <w:spacing w:val="-20"/>
                <w:sz w:val="22"/>
                <w:szCs w:val="22"/>
              </w:rPr>
              <w:t>占總淨收益比率</w:t>
            </w:r>
          </w:p>
        </w:tc>
        <w:tc>
          <w:tcPr>
            <w:tcW w:w="1275" w:type="dxa"/>
            <w:tcBorders>
              <w:top w:val="sing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1</w:t>
            </w:r>
            <w:r w:rsidRPr="003B67EB">
              <w:rPr>
                <w:rFonts w:hAnsi="標楷體"/>
                <w:spacing w:val="-12"/>
                <w:sz w:val="20"/>
                <w:szCs w:val="20"/>
              </w:rPr>
              <w:t>2.27%</w:t>
            </w:r>
          </w:p>
        </w:tc>
        <w:tc>
          <w:tcPr>
            <w:tcW w:w="1276" w:type="dxa"/>
            <w:tcBorders>
              <w:top w:val="sing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1</w:t>
            </w:r>
            <w:r w:rsidRPr="003B67EB">
              <w:rPr>
                <w:rFonts w:hAnsi="標楷體"/>
                <w:spacing w:val="-12"/>
                <w:sz w:val="20"/>
                <w:szCs w:val="20"/>
              </w:rPr>
              <w:t>4.16%</w:t>
            </w:r>
          </w:p>
        </w:tc>
        <w:tc>
          <w:tcPr>
            <w:tcW w:w="1276" w:type="dxa"/>
            <w:tcBorders>
              <w:top w:val="sing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1</w:t>
            </w:r>
            <w:r w:rsidRPr="003B67EB">
              <w:rPr>
                <w:rFonts w:hAnsi="標楷體"/>
                <w:spacing w:val="-12"/>
                <w:sz w:val="20"/>
                <w:szCs w:val="20"/>
              </w:rPr>
              <w:t>1.57%</w:t>
            </w:r>
          </w:p>
        </w:tc>
        <w:tc>
          <w:tcPr>
            <w:tcW w:w="1276" w:type="dxa"/>
            <w:tcBorders>
              <w:top w:val="sing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9</w:t>
            </w:r>
            <w:r w:rsidRPr="003B67EB">
              <w:rPr>
                <w:rFonts w:hAnsi="標楷體"/>
                <w:spacing w:val="-12"/>
                <w:sz w:val="20"/>
                <w:szCs w:val="20"/>
              </w:rPr>
              <w:t>.51%</w:t>
            </w:r>
          </w:p>
        </w:tc>
        <w:tc>
          <w:tcPr>
            <w:tcW w:w="1275" w:type="dxa"/>
            <w:tcBorders>
              <w:top w:val="single" w:sz="4" w:space="0" w:color="auto"/>
            </w:tcBorders>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spacing w:val="-12"/>
                <w:sz w:val="20"/>
                <w:szCs w:val="20"/>
              </w:rPr>
              <w:t>6.67%</w:t>
            </w:r>
          </w:p>
        </w:tc>
      </w:tr>
    </w:tbl>
    <w:p w:rsidR="00CD32F3" w:rsidRPr="003B67EB" w:rsidRDefault="00CD32F3" w:rsidP="00CD32F3">
      <w:pPr>
        <w:spacing w:line="280" w:lineRule="exact"/>
        <w:ind w:leftChars="150" w:left="425" w:firstLineChars="0" w:firstLine="0"/>
        <w:jc w:val="left"/>
        <w:rPr>
          <w:rFonts w:hAnsi="標楷體"/>
          <w:sz w:val="24"/>
        </w:rPr>
      </w:pPr>
      <w:r w:rsidRPr="003B67EB">
        <w:rPr>
          <w:rFonts w:hAnsi="標楷體" w:hint="eastAsia"/>
          <w:sz w:val="24"/>
        </w:rPr>
        <w:t>說    明</w:t>
      </w:r>
      <w:r w:rsidRPr="003B67EB">
        <w:rPr>
          <w:rFonts w:hAnsi="標楷體" w:cs="全字庫正宋體" w:hint="eastAsia"/>
          <w:sz w:val="24"/>
        </w:rPr>
        <w:t>：</w:t>
      </w:r>
      <w:r>
        <w:rPr>
          <w:rFonts w:hAnsi="標楷體" w:hint="eastAsia"/>
          <w:sz w:val="24"/>
        </w:rPr>
        <w:t>表內總淨收益係指利息淨收益加計利息以外淨收益之合計數</w:t>
      </w:r>
      <w:r w:rsidRPr="003B67EB">
        <w:rPr>
          <w:rFonts w:hAnsi="標楷體" w:hint="eastAsia"/>
          <w:sz w:val="24"/>
        </w:rPr>
        <w:t>。</w:t>
      </w:r>
    </w:p>
    <w:p w:rsidR="00CD32F3" w:rsidRPr="00B6310B" w:rsidRDefault="00CD32F3" w:rsidP="00CD32F3">
      <w:pPr>
        <w:spacing w:line="280" w:lineRule="exact"/>
        <w:ind w:leftChars="150" w:left="425" w:firstLineChars="0" w:firstLine="0"/>
        <w:jc w:val="left"/>
        <w:rPr>
          <w:rFonts w:hAnsi="標楷體" w:hint="eastAsia"/>
          <w:sz w:val="24"/>
        </w:rPr>
      </w:pPr>
      <w:r w:rsidRPr="00B6310B">
        <w:rPr>
          <w:rFonts w:hAnsi="標楷體" w:hint="eastAsia"/>
          <w:sz w:val="24"/>
        </w:rPr>
        <w:t>資料來源：臺灣銀行各年度年報及臺灣銀行提供。</w:t>
      </w:r>
    </w:p>
    <w:p w:rsidR="00CD32F3" w:rsidRPr="00872B86" w:rsidRDefault="00CD32F3" w:rsidP="00CD32F3">
      <w:pPr>
        <w:pStyle w:val="a4"/>
        <w:ind w:left="849" w:hanging="283"/>
        <w:rPr>
          <w:rFonts w:hAnsi="標楷體"/>
          <w:b/>
        </w:rPr>
      </w:pPr>
      <w:r w:rsidRPr="00872B86">
        <w:rPr>
          <w:rFonts w:hAnsi="標楷體" w:hint="eastAsia"/>
          <w:b/>
        </w:rPr>
        <w:t>(</w:t>
      </w:r>
      <w:r>
        <w:rPr>
          <w:rFonts w:hAnsi="標楷體" w:hint="eastAsia"/>
          <w:b/>
        </w:rPr>
        <w:t>二</w:t>
      </w:r>
      <w:r w:rsidRPr="00872B86">
        <w:rPr>
          <w:rFonts w:hAnsi="標楷體" w:hint="eastAsia"/>
          <w:b/>
        </w:rPr>
        <w:t>)</w:t>
      </w:r>
      <w:r w:rsidRPr="00CD32F3">
        <w:rPr>
          <w:rFonts w:hAnsi="標楷體" w:hint="eastAsia"/>
          <w:b/>
        </w:rPr>
        <w:t>財富管理手續費收入持續下滑，允宜加強推展業務</w:t>
      </w:r>
    </w:p>
    <w:p w:rsidR="006B2649" w:rsidRDefault="00CD32F3" w:rsidP="006B2649">
      <w:pPr>
        <w:ind w:leftChars="300" w:left="850" w:firstLine="566"/>
        <w:rPr>
          <w:rFonts w:hAnsi="標楷體"/>
          <w:color w:val="000000"/>
        </w:rPr>
      </w:pPr>
      <w:r w:rsidRPr="006B2649">
        <w:rPr>
          <w:rFonts w:hAnsi="標楷體" w:hint="eastAsia"/>
          <w:color w:val="000000"/>
        </w:rPr>
        <w:t>該行財富管理業務係利用金控集團商品及通路整合行銷效益，建立多元化金融商品銷售平臺，拓展理財業務之服務網，並優化理財業務專業人才培訓，實施業務輔導機制，以強化目標管理，並賡續辦理投資理財講座，深耕理財客戶。</w:t>
      </w:r>
    </w:p>
    <w:p w:rsidR="00CD32F3" w:rsidRPr="006B2649" w:rsidRDefault="006B2649" w:rsidP="006B2649">
      <w:pPr>
        <w:ind w:leftChars="300" w:left="850" w:firstLine="566"/>
        <w:rPr>
          <w:rFonts w:hAnsi="標楷體"/>
          <w:color w:val="000000"/>
        </w:rPr>
      </w:pPr>
      <w:r w:rsidRPr="006B2649">
        <w:rPr>
          <w:rFonts w:hAnsi="標楷體" w:hint="eastAsia"/>
          <w:color w:val="000000"/>
        </w:rPr>
        <w:t>有關近年度臺灣銀行財富管理業務執行情形，該行整體財富管理業務收入由108年度14.42億元逐年減至112年度5.94億元(減幅58.81%)，業務規模大幅縮減，業務拓展成效難謂良善(詳表2)，謹分述如次：</w:t>
      </w:r>
    </w:p>
    <w:p w:rsidR="006B2649" w:rsidRPr="005820D1" w:rsidRDefault="006B2649" w:rsidP="006B2649">
      <w:pPr>
        <w:pStyle w:val="123"/>
        <w:ind w:left="1133" w:hanging="283"/>
        <w:rPr>
          <w:rFonts w:hAnsi="標楷體"/>
        </w:rPr>
      </w:pPr>
      <w:r w:rsidRPr="005820D1">
        <w:rPr>
          <w:rFonts w:hAnsi="標楷體" w:hint="eastAsia"/>
          <w:b/>
        </w:rPr>
        <w:t>1.基金手續費收入</w:t>
      </w:r>
      <w:r w:rsidRPr="005820D1">
        <w:rPr>
          <w:rFonts w:hAnsi="標楷體" w:cs="全字庫正宋體" w:hint="eastAsia"/>
          <w:b/>
        </w:rPr>
        <w:t>：</w:t>
      </w:r>
      <w:r w:rsidRPr="005820D1">
        <w:rPr>
          <w:rFonts w:hAnsi="標楷體" w:hint="eastAsia"/>
        </w:rPr>
        <w:t>由108年度2.27億元增至110年度3.62億元，惟1</w:t>
      </w:r>
      <w:r w:rsidRPr="005820D1">
        <w:rPr>
          <w:rFonts w:hAnsi="標楷體"/>
        </w:rPr>
        <w:t>12</w:t>
      </w:r>
      <w:r w:rsidRPr="005820D1">
        <w:rPr>
          <w:rFonts w:hAnsi="標楷體" w:hint="eastAsia"/>
        </w:rPr>
        <w:t>年度縮減至2.</w:t>
      </w:r>
      <w:r w:rsidRPr="005820D1">
        <w:rPr>
          <w:rFonts w:hAnsi="標楷體"/>
        </w:rPr>
        <w:t>06</w:t>
      </w:r>
      <w:r w:rsidRPr="005820D1">
        <w:rPr>
          <w:rFonts w:hAnsi="標楷體" w:hint="eastAsia"/>
        </w:rPr>
        <w:t>億元，較1</w:t>
      </w:r>
      <w:r w:rsidRPr="005820D1">
        <w:rPr>
          <w:rFonts w:hAnsi="標楷體"/>
        </w:rPr>
        <w:t>10</w:t>
      </w:r>
      <w:r w:rsidRPr="005820D1">
        <w:rPr>
          <w:rFonts w:hAnsi="標楷體" w:hint="eastAsia"/>
        </w:rPr>
        <w:t>年度減少</w:t>
      </w:r>
      <w:r w:rsidRPr="005820D1">
        <w:rPr>
          <w:rFonts w:hAnsi="標楷體"/>
        </w:rPr>
        <w:t>43</w:t>
      </w:r>
      <w:r w:rsidRPr="005820D1">
        <w:rPr>
          <w:rFonts w:hAnsi="標楷體" w:hint="eastAsia"/>
        </w:rPr>
        <w:t>.</w:t>
      </w:r>
      <w:r w:rsidRPr="005820D1">
        <w:rPr>
          <w:rFonts w:hAnsi="標楷體"/>
        </w:rPr>
        <w:t>09</w:t>
      </w:r>
      <w:r w:rsidRPr="005820D1">
        <w:rPr>
          <w:rFonts w:hAnsi="標楷體" w:hint="eastAsia"/>
        </w:rPr>
        <w:t>%，據該行表示主要係11</w:t>
      </w:r>
      <w:r w:rsidRPr="005820D1">
        <w:rPr>
          <w:rFonts w:hAnsi="標楷體"/>
        </w:rPr>
        <w:t>2</w:t>
      </w:r>
      <w:r w:rsidRPr="005820D1">
        <w:rPr>
          <w:rFonts w:hAnsi="標楷體" w:hint="eastAsia"/>
        </w:rPr>
        <w:t>年全球金融市場波動劇烈，該行客戶投資屬性偏保守穩健多持觀望以對，致達成情形未如預期。</w:t>
      </w:r>
    </w:p>
    <w:p w:rsidR="006B2649" w:rsidRPr="005820D1" w:rsidRDefault="006B2649" w:rsidP="006B2649">
      <w:pPr>
        <w:pStyle w:val="123"/>
        <w:ind w:left="1133" w:hanging="283"/>
        <w:rPr>
          <w:rFonts w:hAnsi="標楷體"/>
        </w:rPr>
      </w:pPr>
      <w:r w:rsidRPr="005820D1">
        <w:rPr>
          <w:rFonts w:hAnsi="標楷體" w:hint="eastAsia"/>
          <w:b/>
        </w:rPr>
        <w:t>2</w:t>
      </w:r>
      <w:r w:rsidRPr="005820D1">
        <w:rPr>
          <w:rFonts w:hAnsi="標楷體"/>
          <w:b/>
        </w:rPr>
        <w:t>.</w:t>
      </w:r>
      <w:r w:rsidRPr="005820D1">
        <w:rPr>
          <w:rFonts w:hAnsi="標楷體" w:hint="eastAsia"/>
          <w:b/>
        </w:rPr>
        <w:t>保險手續費收入</w:t>
      </w:r>
      <w:r w:rsidRPr="005820D1">
        <w:rPr>
          <w:rFonts w:hAnsi="標楷體" w:cs="全字庫正宋體" w:hint="eastAsia"/>
          <w:b/>
        </w:rPr>
        <w:t>：</w:t>
      </w:r>
      <w:r w:rsidRPr="005820D1">
        <w:rPr>
          <w:rFonts w:hAnsi="標楷體" w:hint="eastAsia"/>
        </w:rPr>
        <w:t>由108年度11.52億元逐年減至11</w:t>
      </w:r>
      <w:r w:rsidRPr="005820D1">
        <w:rPr>
          <w:rFonts w:hAnsi="標楷體"/>
        </w:rPr>
        <w:t>2</w:t>
      </w:r>
      <w:r w:rsidRPr="005820D1">
        <w:rPr>
          <w:rFonts w:hAnsi="標楷體" w:hint="eastAsia"/>
        </w:rPr>
        <w:t>年度3.</w:t>
      </w:r>
      <w:r w:rsidRPr="005820D1">
        <w:rPr>
          <w:rFonts w:hAnsi="標楷體"/>
        </w:rPr>
        <w:t>22</w:t>
      </w:r>
      <w:r w:rsidRPr="005820D1">
        <w:rPr>
          <w:rFonts w:hAnsi="標楷體" w:hint="eastAsia"/>
        </w:rPr>
        <w:t>億元(減幅</w:t>
      </w:r>
      <w:r w:rsidRPr="005820D1">
        <w:rPr>
          <w:rFonts w:hAnsi="標楷體"/>
        </w:rPr>
        <w:t>72</w:t>
      </w:r>
      <w:r w:rsidRPr="005820D1">
        <w:rPr>
          <w:rFonts w:hAnsi="標楷體" w:hint="eastAsia"/>
        </w:rPr>
        <w:t>.</w:t>
      </w:r>
      <w:r w:rsidRPr="005820D1">
        <w:rPr>
          <w:rFonts w:hAnsi="標楷體"/>
        </w:rPr>
        <w:t>05</w:t>
      </w:r>
      <w:r w:rsidRPr="005820D1">
        <w:rPr>
          <w:rFonts w:hAnsi="標楷體" w:hint="eastAsia"/>
        </w:rPr>
        <w:t>%)，據該行表示主要係產品銷售主力-儲蓄型保單及投資型保單銷售推展困難，已逐步調整商品策略，將持續轉型銷售高保障型商品，以符合該行眾多中小企業主之退休規劃、資產傳承等需求。</w:t>
      </w:r>
    </w:p>
    <w:p w:rsidR="006B2649" w:rsidRPr="00120819" w:rsidRDefault="006B2649" w:rsidP="006B2649">
      <w:pPr>
        <w:pStyle w:val="123"/>
        <w:ind w:left="1133" w:hanging="283"/>
        <w:rPr>
          <w:rFonts w:hAnsi="標楷體"/>
        </w:rPr>
      </w:pPr>
      <w:r w:rsidRPr="00120819">
        <w:rPr>
          <w:rFonts w:hAnsi="標楷體" w:hint="eastAsia"/>
          <w:b/>
        </w:rPr>
        <w:t>3.黃金存摺手續費收入：</w:t>
      </w:r>
      <w:r w:rsidRPr="00120819">
        <w:rPr>
          <w:rFonts w:hAnsi="標楷體" w:hint="eastAsia"/>
        </w:rPr>
        <w:t>由</w:t>
      </w:r>
      <w:r w:rsidR="00454D00">
        <w:rPr>
          <w:rFonts w:hAnsi="標楷體" w:hint="eastAsia"/>
        </w:rPr>
        <w:t>近年最高之</w:t>
      </w:r>
      <w:r w:rsidRPr="00120819">
        <w:rPr>
          <w:rFonts w:hAnsi="標楷體" w:hint="eastAsia"/>
        </w:rPr>
        <w:t>109年度1.48億元減至11</w:t>
      </w:r>
      <w:r w:rsidRPr="00120819">
        <w:rPr>
          <w:rFonts w:hAnsi="標楷體"/>
        </w:rPr>
        <w:t>2</w:t>
      </w:r>
      <w:r w:rsidRPr="00120819">
        <w:rPr>
          <w:rFonts w:hAnsi="標楷體" w:hint="eastAsia"/>
        </w:rPr>
        <w:t>年度0.</w:t>
      </w:r>
      <w:r w:rsidRPr="00120819">
        <w:rPr>
          <w:rFonts w:hAnsi="標楷體"/>
        </w:rPr>
        <w:t>66</w:t>
      </w:r>
      <w:r w:rsidRPr="00120819">
        <w:rPr>
          <w:rFonts w:hAnsi="標楷體" w:hint="eastAsia"/>
        </w:rPr>
        <w:t>億元(減幅5</w:t>
      </w:r>
      <w:r w:rsidRPr="00120819">
        <w:rPr>
          <w:rFonts w:hAnsi="標楷體"/>
        </w:rPr>
        <w:t>5</w:t>
      </w:r>
      <w:r w:rsidRPr="00120819">
        <w:rPr>
          <w:rFonts w:hAnsi="標楷體" w:hint="eastAsia"/>
        </w:rPr>
        <w:t>.</w:t>
      </w:r>
      <w:r w:rsidRPr="00120819">
        <w:rPr>
          <w:rFonts w:hAnsi="標楷體"/>
        </w:rPr>
        <w:t>41</w:t>
      </w:r>
      <w:r w:rsidRPr="00120819">
        <w:rPr>
          <w:rFonts w:hAnsi="標楷體" w:hint="eastAsia"/>
        </w:rPr>
        <w:t>%)，據該行表示11</w:t>
      </w:r>
      <w:r w:rsidRPr="00120819">
        <w:rPr>
          <w:rFonts w:hAnsi="標楷體"/>
        </w:rPr>
        <w:t>2</w:t>
      </w:r>
      <w:r w:rsidRPr="00120819">
        <w:rPr>
          <w:rFonts w:hAnsi="標楷體" w:hint="eastAsia"/>
        </w:rPr>
        <w:t>年因以巴戰爭引發地緣政治風險急遽上升，投資人買賣轉為積極，惟通膨降溫，帶動金價處於高檔，投資人轉趨觀望，影響後續銷售動能致手續費收入不如預期。</w:t>
      </w:r>
    </w:p>
    <w:p w:rsidR="006B2649" w:rsidRPr="00120819" w:rsidRDefault="006B2649" w:rsidP="006B2649">
      <w:pPr>
        <w:ind w:leftChars="300" w:left="850" w:firstLine="566"/>
        <w:rPr>
          <w:rFonts w:hAnsi="標楷體"/>
        </w:rPr>
      </w:pPr>
      <w:r w:rsidRPr="00120819">
        <w:rPr>
          <w:rFonts w:hAnsi="標楷體" w:hint="eastAsia"/>
        </w:rPr>
        <w:t>鑒於國際金融市場</w:t>
      </w:r>
      <w:r w:rsidR="00454D00">
        <w:rPr>
          <w:rFonts w:hAnsi="標楷體" w:hint="eastAsia"/>
        </w:rPr>
        <w:t>及地緣政治</w:t>
      </w:r>
      <w:r w:rsidRPr="00120819">
        <w:rPr>
          <w:rFonts w:hAnsi="標楷體" w:hint="eastAsia"/>
        </w:rPr>
        <w:t>風險</w:t>
      </w:r>
      <w:r w:rsidR="00454D00">
        <w:rPr>
          <w:rFonts w:hAnsi="標楷體" w:hint="eastAsia"/>
        </w:rPr>
        <w:t>影響該行財富管理業務甚鉅</w:t>
      </w:r>
      <w:r w:rsidRPr="00120819">
        <w:rPr>
          <w:rFonts w:hAnsi="標楷體" w:hint="eastAsia"/>
        </w:rPr>
        <w:t>，</w:t>
      </w:r>
      <w:r w:rsidR="00454D00">
        <w:rPr>
          <w:rFonts w:hAnsi="標楷體" w:hint="eastAsia"/>
        </w:rPr>
        <w:t>爰相關</w:t>
      </w:r>
      <w:r w:rsidRPr="00120819">
        <w:rPr>
          <w:rFonts w:hAnsi="標楷體" w:hint="eastAsia"/>
        </w:rPr>
        <w:t>金融商品投資與專業管理更顯重要，允宜積極利用該行具備之銷售平台與專業人才等優勢，積極改善各該財富管理業務之推展績效。</w:t>
      </w:r>
    </w:p>
    <w:p w:rsidR="006B2649" w:rsidRDefault="006B2649" w:rsidP="006B2649">
      <w:pPr>
        <w:ind w:leftChars="300" w:left="850" w:firstLineChars="0" w:firstLine="0"/>
        <w:rPr>
          <w:rFonts w:hAnsi="標楷體"/>
          <w:b/>
        </w:rPr>
      </w:pPr>
      <w:r w:rsidRPr="00973A1E">
        <w:rPr>
          <w:rFonts w:hAnsi="標楷體" w:hint="eastAsia"/>
          <w:b/>
        </w:rPr>
        <w:t xml:space="preserve">表2 近年臺灣銀行財富管理業務執行情形一覽表 </w:t>
      </w:r>
      <w:r>
        <w:rPr>
          <w:rFonts w:hAnsi="標楷體"/>
          <w:b/>
        </w:rPr>
        <w:t xml:space="preserve"> </w:t>
      </w:r>
    </w:p>
    <w:p w:rsidR="006B2649" w:rsidRPr="00973A1E" w:rsidRDefault="006B2649" w:rsidP="006B2649">
      <w:pPr>
        <w:spacing w:line="280" w:lineRule="exact"/>
        <w:ind w:leftChars="100" w:left="283" w:firstLineChars="0" w:firstLine="0"/>
        <w:jc w:val="right"/>
        <w:rPr>
          <w:rFonts w:hAnsi="標楷體"/>
          <w:snapToGrid/>
          <w:spacing w:val="-5"/>
          <w:kern w:val="0"/>
          <w:sz w:val="24"/>
          <w:szCs w:val="24"/>
        </w:rPr>
      </w:pPr>
      <w:r w:rsidRPr="00973A1E">
        <w:rPr>
          <w:rFonts w:hAnsi="標楷體" w:hint="eastAsia"/>
          <w:sz w:val="24"/>
          <w:szCs w:val="24"/>
        </w:rPr>
        <w:t>單位：新臺幣億元</w:t>
      </w:r>
    </w:p>
    <w:tbl>
      <w:tblPr>
        <w:tblW w:w="0" w:type="auto"/>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43"/>
        <w:gridCol w:w="1134"/>
        <w:gridCol w:w="1134"/>
        <w:gridCol w:w="1275"/>
        <w:gridCol w:w="1134"/>
        <w:gridCol w:w="1134"/>
      </w:tblGrid>
      <w:tr w:rsidR="006B2649" w:rsidRPr="00973A1E" w:rsidTr="006B2649">
        <w:trPr>
          <w:tblHeader/>
        </w:trPr>
        <w:tc>
          <w:tcPr>
            <w:tcW w:w="1843" w:type="dxa"/>
            <w:shd w:val="clear" w:color="auto" w:fill="auto"/>
            <w:vAlign w:val="center"/>
          </w:tcPr>
          <w:p w:rsidR="006B2649" w:rsidRPr="00973A1E" w:rsidRDefault="006B2649" w:rsidP="0047740F">
            <w:pPr>
              <w:widowControl/>
              <w:spacing w:line="260" w:lineRule="exact"/>
              <w:ind w:leftChars="0" w:left="0" w:firstLineChars="0" w:firstLine="0"/>
              <w:rPr>
                <w:rFonts w:hAnsi="標楷體"/>
                <w:snapToGrid/>
                <w:spacing w:val="-5"/>
                <w:kern w:val="0"/>
                <w:sz w:val="22"/>
                <w:szCs w:val="22"/>
              </w:rPr>
            </w:pPr>
            <w:r w:rsidRPr="00973A1E">
              <w:rPr>
                <w:rFonts w:hAnsi="標楷體"/>
                <w:snapToGrid/>
                <w:spacing w:val="-5"/>
                <w:kern w:val="0"/>
                <w:sz w:val="22"/>
                <w:szCs w:val="22"/>
              </w:rPr>
              <w:t>項目</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rPr>
                <w:rFonts w:hAnsi="標楷體"/>
                <w:snapToGrid/>
                <w:spacing w:val="-5"/>
                <w:kern w:val="0"/>
                <w:sz w:val="22"/>
                <w:szCs w:val="22"/>
              </w:rPr>
            </w:pPr>
            <w:r w:rsidRPr="00973A1E">
              <w:rPr>
                <w:rFonts w:hAnsi="標楷體" w:hint="eastAsia"/>
                <w:snapToGrid/>
                <w:spacing w:val="-5"/>
                <w:kern w:val="0"/>
                <w:sz w:val="22"/>
                <w:szCs w:val="22"/>
              </w:rPr>
              <w:t>108年度</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rPr>
                <w:rFonts w:hAnsi="標楷體"/>
                <w:snapToGrid/>
                <w:spacing w:val="-5"/>
                <w:kern w:val="0"/>
                <w:sz w:val="22"/>
                <w:szCs w:val="22"/>
              </w:rPr>
            </w:pPr>
            <w:r w:rsidRPr="00973A1E">
              <w:rPr>
                <w:rFonts w:hAnsi="標楷體" w:hint="eastAsia"/>
                <w:snapToGrid/>
                <w:spacing w:val="-5"/>
                <w:kern w:val="0"/>
                <w:sz w:val="22"/>
                <w:szCs w:val="22"/>
              </w:rPr>
              <w:t>109年度</w:t>
            </w:r>
          </w:p>
        </w:tc>
        <w:tc>
          <w:tcPr>
            <w:tcW w:w="1275" w:type="dxa"/>
            <w:shd w:val="clear" w:color="auto" w:fill="auto"/>
            <w:vAlign w:val="center"/>
          </w:tcPr>
          <w:p w:rsidR="006B2649" w:rsidRPr="00973A1E" w:rsidRDefault="006B2649" w:rsidP="0047740F">
            <w:pPr>
              <w:widowControl/>
              <w:spacing w:line="260" w:lineRule="exact"/>
              <w:ind w:leftChars="0" w:left="0" w:firstLineChars="0" w:firstLine="0"/>
              <w:rPr>
                <w:rFonts w:hAnsi="標楷體"/>
                <w:snapToGrid/>
                <w:spacing w:val="-5"/>
                <w:kern w:val="0"/>
                <w:sz w:val="22"/>
                <w:szCs w:val="22"/>
              </w:rPr>
            </w:pPr>
            <w:r w:rsidRPr="00973A1E">
              <w:rPr>
                <w:rFonts w:hAnsi="標楷體" w:hint="eastAsia"/>
                <w:snapToGrid/>
                <w:spacing w:val="-5"/>
                <w:kern w:val="0"/>
                <w:sz w:val="22"/>
                <w:szCs w:val="22"/>
              </w:rPr>
              <w:t>110年度</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rPr>
                <w:rFonts w:hAnsi="標楷體"/>
                <w:snapToGrid/>
                <w:spacing w:val="-5"/>
                <w:kern w:val="0"/>
                <w:sz w:val="22"/>
                <w:szCs w:val="22"/>
              </w:rPr>
            </w:pPr>
            <w:r w:rsidRPr="00973A1E">
              <w:rPr>
                <w:rFonts w:hAnsi="標楷體" w:hint="eastAsia"/>
                <w:snapToGrid/>
                <w:spacing w:val="-5"/>
                <w:kern w:val="0"/>
                <w:sz w:val="22"/>
                <w:szCs w:val="22"/>
              </w:rPr>
              <w:t>111年度</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rPr>
                <w:rFonts w:hAnsi="標楷體"/>
                <w:snapToGrid/>
                <w:spacing w:val="-5"/>
                <w:kern w:val="0"/>
                <w:sz w:val="22"/>
                <w:szCs w:val="22"/>
              </w:rPr>
            </w:pPr>
            <w:r w:rsidRPr="00973A1E">
              <w:rPr>
                <w:rFonts w:hAnsi="標楷體" w:hint="eastAsia"/>
                <w:snapToGrid/>
                <w:spacing w:val="-5"/>
                <w:kern w:val="0"/>
                <w:sz w:val="22"/>
                <w:szCs w:val="22"/>
              </w:rPr>
              <w:t>11</w:t>
            </w:r>
            <w:r w:rsidRPr="00973A1E">
              <w:rPr>
                <w:rFonts w:hAnsi="標楷體"/>
                <w:snapToGrid/>
                <w:spacing w:val="-5"/>
                <w:kern w:val="0"/>
                <w:sz w:val="22"/>
                <w:szCs w:val="22"/>
              </w:rPr>
              <w:t>2</w:t>
            </w:r>
            <w:r w:rsidRPr="00973A1E">
              <w:rPr>
                <w:rFonts w:hAnsi="標楷體" w:hint="eastAsia"/>
                <w:snapToGrid/>
                <w:spacing w:val="-5"/>
                <w:kern w:val="0"/>
                <w:sz w:val="22"/>
                <w:szCs w:val="22"/>
              </w:rPr>
              <w:t>年度</w:t>
            </w:r>
          </w:p>
        </w:tc>
      </w:tr>
      <w:tr w:rsidR="006B2649" w:rsidRPr="00973A1E" w:rsidTr="006B2649">
        <w:tc>
          <w:tcPr>
            <w:tcW w:w="1843" w:type="dxa"/>
            <w:shd w:val="clear" w:color="auto" w:fill="auto"/>
            <w:vAlign w:val="center"/>
          </w:tcPr>
          <w:p w:rsidR="006B2649" w:rsidRPr="00973A1E" w:rsidRDefault="006B2649" w:rsidP="0047740F">
            <w:pPr>
              <w:widowControl/>
              <w:spacing w:line="260" w:lineRule="exact"/>
              <w:ind w:leftChars="0" w:left="0" w:firstLineChars="0" w:firstLine="0"/>
              <w:rPr>
                <w:rFonts w:hAnsi="標楷體"/>
                <w:snapToGrid/>
                <w:spacing w:val="-5"/>
                <w:kern w:val="0"/>
                <w:sz w:val="22"/>
                <w:szCs w:val="22"/>
              </w:rPr>
            </w:pPr>
            <w:r w:rsidRPr="00973A1E">
              <w:rPr>
                <w:rFonts w:hAnsi="標楷體"/>
                <w:snapToGrid/>
                <w:spacing w:val="-5"/>
                <w:kern w:val="0"/>
                <w:sz w:val="22"/>
                <w:szCs w:val="22"/>
              </w:rPr>
              <w:t>基金手續費收入</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2.27</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3.16</w:t>
            </w:r>
          </w:p>
        </w:tc>
        <w:tc>
          <w:tcPr>
            <w:tcW w:w="1275"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3.62</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2.22</w:t>
            </w:r>
          </w:p>
        </w:tc>
        <w:tc>
          <w:tcPr>
            <w:tcW w:w="1134" w:type="dxa"/>
            <w:vAlign w:val="center"/>
          </w:tcPr>
          <w:p w:rsidR="006B2649" w:rsidRPr="00973A1E" w:rsidRDefault="006B2649" w:rsidP="0047740F">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hint="eastAsia"/>
                <w:snapToGrid/>
                <w:spacing w:val="-5"/>
                <w:kern w:val="0"/>
                <w:sz w:val="22"/>
                <w:szCs w:val="22"/>
              </w:rPr>
              <w:t>2.</w:t>
            </w:r>
            <w:r w:rsidRPr="00973A1E">
              <w:rPr>
                <w:rFonts w:hAnsi="標楷體"/>
                <w:snapToGrid/>
                <w:spacing w:val="-5"/>
                <w:kern w:val="0"/>
                <w:sz w:val="22"/>
                <w:szCs w:val="22"/>
              </w:rPr>
              <w:t>06</w:t>
            </w:r>
          </w:p>
        </w:tc>
      </w:tr>
      <w:tr w:rsidR="006B2649" w:rsidRPr="00973A1E" w:rsidTr="006B2649">
        <w:tc>
          <w:tcPr>
            <w:tcW w:w="1843" w:type="dxa"/>
            <w:shd w:val="clear" w:color="auto" w:fill="auto"/>
            <w:vAlign w:val="center"/>
          </w:tcPr>
          <w:p w:rsidR="006B2649" w:rsidRPr="00973A1E" w:rsidRDefault="006B2649" w:rsidP="0047740F">
            <w:pPr>
              <w:widowControl/>
              <w:spacing w:line="260" w:lineRule="exact"/>
              <w:ind w:leftChars="0" w:left="0" w:firstLineChars="0" w:firstLine="0"/>
              <w:rPr>
                <w:rFonts w:hAnsi="標楷體"/>
                <w:snapToGrid/>
                <w:spacing w:val="-5"/>
                <w:kern w:val="0"/>
                <w:sz w:val="22"/>
                <w:szCs w:val="22"/>
              </w:rPr>
            </w:pPr>
            <w:r w:rsidRPr="00973A1E">
              <w:rPr>
                <w:rFonts w:hAnsi="標楷體"/>
                <w:snapToGrid/>
                <w:spacing w:val="-5"/>
                <w:kern w:val="0"/>
                <w:sz w:val="22"/>
                <w:szCs w:val="22"/>
              </w:rPr>
              <w:t>保險手續費收入</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11.52</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6.89</w:t>
            </w:r>
          </w:p>
        </w:tc>
        <w:tc>
          <w:tcPr>
            <w:tcW w:w="1275"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6.82</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3.86</w:t>
            </w:r>
          </w:p>
        </w:tc>
        <w:tc>
          <w:tcPr>
            <w:tcW w:w="1134" w:type="dxa"/>
            <w:vAlign w:val="center"/>
          </w:tcPr>
          <w:p w:rsidR="006B2649" w:rsidRPr="00973A1E" w:rsidRDefault="006B2649" w:rsidP="0047740F">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hint="eastAsia"/>
                <w:snapToGrid/>
                <w:spacing w:val="-5"/>
                <w:kern w:val="0"/>
                <w:sz w:val="22"/>
                <w:szCs w:val="22"/>
              </w:rPr>
              <w:t>3.</w:t>
            </w:r>
            <w:r w:rsidRPr="00973A1E">
              <w:rPr>
                <w:rFonts w:hAnsi="標楷體"/>
                <w:snapToGrid/>
                <w:spacing w:val="-5"/>
                <w:kern w:val="0"/>
                <w:sz w:val="22"/>
                <w:szCs w:val="22"/>
              </w:rPr>
              <w:t>22</w:t>
            </w:r>
          </w:p>
        </w:tc>
      </w:tr>
      <w:tr w:rsidR="006B2649" w:rsidRPr="00973A1E" w:rsidTr="006B2649">
        <w:tc>
          <w:tcPr>
            <w:tcW w:w="1843" w:type="dxa"/>
            <w:shd w:val="clear" w:color="auto" w:fill="auto"/>
            <w:vAlign w:val="center"/>
          </w:tcPr>
          <w:p w:rsidR="006B2649" w:rsidRPr="00973A1E" w:rsidRDefault="006B2649" w:rsidP="0047740F">
            <w:pPr>
              <w:widowControl/>
              <w:spacing w:line="260" w:lineRule="exact"/>
              <w:ind w:leftChars="0" w:left="0" w:firstLineChars="0" w:firstLine="0"/>
              <w:rPr>
                <w:rFonts w:hAnsi="標楷體"/>
                <w:snapToGrid/>
                <w:spacing w:val="-10"/>
                <w:kern w:val="0"/>
                <w:sz w:val="22"/>
                <w:szCs w:val="22"/>
              </w:rPr>
            </w:pPr>
            <w:r w:rsidRPr="00973A1E">
              <w:rPr>
                <w:rFonts w:hAnsi="標楷體"/>
                <w:snapToGrid/>
                <w:spacing w:val="-10"/>
                <w:kern w:val="0"/>
                <w:sz w:val="22"/>
                <w:szCs w:val="22"/>
              </w:rPr>
              <w:t>黃金存摺手續費收入</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0.63</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1.48</w:t>
            </w:r>
          </w:p>
        </w:tc>
        <w:tc>
          <w:tcPr>
            <w:tcW w:w="1275"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0.68</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0.70</w:t>
            </w:r>
          </w:p>
        </w:tc>
        <w:tc>
          <w:tcPr>
            <w:tcW w:w="1134" w:type="dxa"/>
            <w:vAlign w:val="center"/>
          </w:tcPr>
          <w:p w:rsidR="006B2649" w:rsidRPr="00973A1E" w:rsidRDefault="006B2649" w:rsidP="0047740F">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hint="eastAsia"/>
                <w:snapToGrid/>
                <w:spacing w:val="-5"/>
                <w:kern w:val="0"/>
                <w:sz w:val="22"/>
                <w:szCs w:val="22"/>
              </w:rPr>
              <w:t>0.6</w:t>
            </w:r>
            <w:r w:rsidRPr="00973A1E">
              <w:rPr>
                <w:rFonts w:hAnsi="標楷體"/>
                <w:snapToGrid/>
                <w:spacing w:val="-5"/>
                <w:kern w:val="0"/>
                <w:sz w:val="22"/>
                <w:szCs w:val="22"/>
              </w:rPr>
              <w:t>6</w:t>
            </w:r>
          </w:p>
        </w:tc>
      </w:tr>
      <w:tr w:rsidR="006B2649" w:rsidRPr="00973A1E" w:rsidTr="006B2649">
        <w:tc>
          <w:tcPr>
            <w:tcW w:w="1843" w:type="dxa"/>
            <w:shd w:val="clear" w:color="auto" w:fill="auto"/>
            <w:vAlign w:val="center"/>
          </w:tcPr>
          <w:p w:rsidR="006B2649" w:rsidRPr="00973A1E" w:rsidRDefault="006B2649" w:rsidP="0047740F">
            <w:pPr>
              <w:widowControl/>
              <w:spacing w:line="260" w:lineRule="exact"/>
              <w:ind w:leftChars="0" w:left="0" w:firstLineChars="0" w:firstLine="0"/>
              <w:rPr>
                <w:rFonts w:hAnsi="標楷體"/>
                <w:snapToGrid/>
                <w:spacing w:val="-5"/>
                <w:kern w:val="0"/>
                <w:sz w:val="22"/>
                <w:szCs w:val="22"/>
              </w:rPr>
            </w:pPr>
            <w:r w:rsidRPr="00973A1E">
              <w:rPr>
                <w:rFonts w:hAnsi="標楷體"/>
                <w:snapToGrid/>
                <w:spacing w:val="-5"/>
                <w:kern w:val="0"/>
                <w:sz w:val="22"/>
                <w:szCs w:val="22"/>
              </w:rPr>
              <w:t>合計</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14.42</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11.53</w:t>
            </w:r>
          </w:p>
        </w:tc>
        <w:tc>
          <w:tcPr>
            <w:tcW w:w="1275"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11.12</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6.78</w:t>
            </w:r>
          </w:p>
        </w:tc>
        <w:tc>
          <w:tcPr>
            <w:tcW w:w="1134" w:type="dxa"/>
            <w:vAlign w:val="center"/>
          </w:tcPr>
          <w:p w:rsidR="006B2649" w:rsidRPr="00973A1E" w:rsidRDefault="006B2649" w:rsidP="0047740F">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snapToGrid/>
                <w:spacing w:val="-5"/>
                <w:kern w:val="0"/>
                <w:sz w:val="22"/>
                <w:szCs w:val="22"/>
              </w:rPr>
              <w:t>5</w:t>
            </w:r>
            <w:r w:rsidRPr="00973A1E">
              <w:rPr>
                <w:rFonts w:hAnsi="標楷體" w:hint="eastAsia"/>
                <w:snapToGrid/>
                <w:spacing w:val="-5"/>
                <w:kern w:val="0"/>
                <w:sz w:val="22"/>
                <w:szCs w:val="22"/>
              </w:rPr>
              <w:t>.9</w:t>
            </w:r>
            <w:r w:rsidRPr="00973A1E">
              <w:rPr>
                <w:rFonts w:hAnsi="標楷體"/>
                <w:snapToGrid/>
                <w:spacing w:val="-5"/>
                <w:kern w:val="0"/>
                <w:sz w:val="22"/>
                <w:szCs w:val="22"/>
              </w:rPr>
              <w:t>4</w:t>
            </w:r>
          </w:p>
        </w:tc>
      </w:tr>
    </w:tbl>
    <w:p w:rsidR="006B2649" w:rsidRPr="00973A1E" w:rsidRDefault="006B2649" w:rsidP="006B2649">
      <w:pPr>
        <w:spacing w:line="360" w:lineRule="exact"/>
        <w:ind w:leftChars="300" w:left="850" w:firstLineChars="0" w:firstLine="0"/>
        <w:rPr>
          <w:rFonts w:hAnsi="標楷體" w:hint="eastAsia"/>
          <w:sz w:val="24"/>
          <w:szCs w:val="24"/>
        </w:rPr>
      </w:pPr>
      <w:r w:rsidRPr="00973A1E">
        <w:rPr>
          <w:rFonts w:hAnsi="標楷體" w:hint="eastAsia"/>
          <w:sz w:val="24"/>
          <w:szCs w:val="24"/>
        </w:rPr>
        <w:t>資料來源：臺灣銀行提供。</w:t>
      </w:r>
    </w:p>
    <w:p w:rsidR="00A33729" w:rsidRPr="000C21D7" w:rsidRDefault="00A33729" w:rsidP="00A33729">
      <w:pPr>
        <w:adjustRightInd w:val="0"/>
        <w:ind w:leftChars="201" w:left="569" w:firstLine="566"/>
        <w:rPr>
          <w:rFonts w:hAnsi="標楷體"/>
          <w:snapToGrid/>
        </w:rPr>
      </w:pPr>
      <w:r w:rsidRPr="000C21D7">
        <w:rPr>
          <w:rFonts w:hAnsi="標楷體" w:hint="eastAsia"/>
        </w:rPr>
        <w:t>綜上，臺灣銀行</w:t>
      </w:r>
      <w:r w:rsidR="00494C8D">
        <w:rPr>
          <w:rFonts w:hAnsi="標楷體" w:hint="eastAsia"/>
        </w:rPr>
        <w:t>近5年</w:t>
      </w:r>
      <w:r w:rsidR="00454D00">
        <w:rPr>
          <w:rFonts w:hAnsi="標楷體" w:hint="eastAsia"/>
        </w:rPr>
        <w:t>度</w:t>
      </w:r>
      <w:r w:rsidR="00494C8D" w:rsidRPr="00494C8D">
        <w:rPr>
          <w:rFonts w:hAnsi="標楷體" w:hint="eastAsia"/>
        </w:rPr>
        <w:t>手續費收入及其淨收益持續下滑；其中財富管理手續費收入由108年度14.42億元減至11</w:t>
      </w:r>
      <w:r w:rsidR="00494C8D">
        <w:rPr>
          <w:rFonts w:hAnsi="標楷體"/>
        </w:rPr>
        <w:t>2</w:t>
      </w:r>
      <w:r w:rsidR="00494C8D" w:rsidRPr="00494C8D">
        <w:rPr>
          <w:rFonts w:hAnsi="標楷體" w:hint="eastAsia"/>
        </w:rPr>
        <w:t>年度5.94億元，業務收入大幅縮減，各該業務辦理績效容有提升空間，允宜儘速研謀改善對策，俾提高財富管理業務績效。</w:t>
      </w:r>
    </w:p>
    <w:p w:rsidR="005376E5" w:rsidRPr="000C21D7" w:rsidRDefault="000C5C66" w:rsidP="000C5C66">
      <w:pPr>
        <w:pStyle w:val="ac"/>
        <w:rPr>
          <w:rFonts w:hAnsi="標楷體"/>
        </w:rPr>
      </w:pPr>
      <w:r w:rsidRPr="000C21D7">
        <w:rPr>
          <w:rFonts w:hAnsi="標楷體" w:hint="eastAsia"/>
        </w:rPr>
        <w:t>（分機：19</w:t>
      </w:r>
      <w:r w:rsidR="00D049A5">
        <w:rPr>
          <w:rFonts w:hAnsi="標楷體"/>
        </w:rPr>
        <w:t>14</w:t>
      </w:r>
      <w:r w:rsidRPr="000C21D7">
        <w:rPr>
          <w:rFonts w:hAnsi="標楷體" w:hint="eastAsia"/>
        </w:rPr>
        <w:t xml:space="preserve"> </w:t>
      </w:r>
      <w:r w:rsidR="00D049A5">
        <w:rPr>
          <w:rFonts w:hAnsi="標楷體" w:hint="eastAsia"/>
        </w:rPr>
        <w:t>葉蘭</w:t>
      </w:r>
      <w:r w:rsidR="005376E5" w:rsidRPr="000C21D7">
        <w:rPr>
          <w:rFonts w:hAnsi="標楷體" w:hint="eastAsia"/>
        </w:rPr>
        <w:t>）</w:t>
      </w:r>
    </w:p>
    <w:sectPr w:rsidR="005376E5" w:rsidRPr="000C21D7" w:rsidSect="00B11139">
      <w:footerReference w:type="default" r:id="rId14"/>
      <w:type w:val="continuous"/>
      <w:pgSz w:w="11906" w:h="16838" w:code="9"/>
      <w:pgMar w:top="1701" w:right="1701" w:bottom="1701" w:left="1701" w:header="0" w:footer="1134" w:gutter="0"/>
      <w:pgNumType w:start="0"/>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2316" w:rsidRDefault="00172316" w:rsidP="00956559">
      <w:pPr>
        <w:spacing w:line="240" w:lineRule="auto"/>
        <w:ind w:left="560" w:firstLine="560"/>
      </w:pPr>
      <w:r>
        <w:separator/>
      </w:r>
    </w:p>
  </w:endnote>
  <w:endnote w:type="continuationSeparator" w:id="0">
    <w:p w:rsidR="00172316" w:rsidRDefault="00172316" w:rsidP="009565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52" w:rsidRDefault="00BE4852">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38F" w:rsidRDefault="0050138F" w:rsidP="00281E8D">
    <w:pPr>
      <w:spacing w:line="240" w:lineRule="auto"/>
      <w:ind w:left="560" w:firstLine="560"/>
    </w:pPr>
  </w:p>
  <w:p w:rsidR="0050138F" w:rsidRDefault="0050138F" w:rsidP="00281E8D">
    <w:pPr>
      <w:ind w:left="560" w:firstLine="560"/>
    </w:pPr>
  </w:p>
  <w:p w:rsidR="0050138F" w:rsidRDefault="0050138F" w:rsidP="00281E8D">
    <w:pPr>
      <w:spacing w:line="240" w:lineRule="auto"/>
      <w:ind w:left="560" w:firstLine="560"/>
    </w:pPr>
    <w:r>
      <w:continuationSeparator/>
    </w:r>
  </w:p>
  <w:p w:rsidR="0050138F" w:rsidRDefault="0050138F" w:rsidP="00281E8D">
    <w:pPr>
      <w:ind w:left="560" w:firstLine="560"/>
    </w:pPr>
  </w:p>
  <w:p w:rsidR="0050138F" w:rsidRDefault="0050138F" w:rsidP="00281E8D">
    <w:pPr>
      <w:spacing w:line="240" w:lineRule="auto"/>
      <w:ind w:left="560" w:firstLine="560"/>
    </w:pPr>
    <w:r>
      <w:separator/>
    </w:r>
  </w:p>
  <w:p w:rsidR="0050138F" w:rsidRDefault="0050138F" w:rsidP="00281E8D">
    <w:pPr>
      <w:ind w:left="560" w:firstLine="560"/>
    </w:pPr>
  </w:p>
  <w:p w:rsidR="0050138F" w:rsidRDefault="0050138F" w:rsidP="00281E8D">
    <w:pPr>
      <w:spacing w:line="240" w:lineRule="auto"/>
      <w:ind w:left="560" w:firstLine="560"/>
    </w:pPr>
    <w:r>
      <w:continuationSeparator/>
    </w:r>
  </w:p>
  <w:p w:rsidR="0050138F" w:rsidRDefault="0050138F" w:rsidP="00281E8D">
    <w:pPr>
      <w:ind w:left="560" w:firstLine="560"/>
    </w:pPr>
  </w:p>
  <w:p w:rsidR="0050138F" w:rsidRDefault="0050138F" w:rsidP="00281E8D">
    <w:pPr>
      <w:pStyle w:val="af"/>
      <w:ind w:left="560" w:firstLine="400"/>
    </w:pPr>
  </w:p>
  <w:p w:rsidR="0050138F" w:rsidRDefault="0050138F" w:rsidP="00281E8D">
    <w:pPr>
      <w:ind w:left="560" w:firstLine="560"/>
    </w:pPr>
  </w:p>
  <w:p w:rsidR="0050138F" w:rsidRDefault="0050138F" w:rsidP="00281E8D">
    <w:pPr>
      <w:pStyle w:val="af"/>
      <w:ind w:left="560" w:firstLine="400"/>
    </w:pPr>
  </w:p>
  <w:p w:rsidR="0050138F" w:rsidRDefault="0050138F" w:rsidP="00281E8D">
    <w:pPr>
      <w:ind w:left="560" w:firstLine="560"/>
    </w:pPr>
  </w:p>
  <w:p w:rsidR="0050138F" w:rsidRDefault="0050138F" w:rsidP="00281E8D">
    <w:pPr>
      <w:pStyle w:val="af1"/>
      <w:ind w:left="560" w:firstLine="400"/>
    </w:pPr>
  </w:p>
  <w:p w:rsidR="0050138F" w:rsidRDefault="0050138F" w:rsidP="00281E8D">
    <w:pPr>
      <w:ind w:left="560" w:firstLine="560"/>
    </w:pPr>
  </w:p>
  <w:p w:rsidR="0050138F" w:rsidRPr="00B85352" w:rsidRDefault="0050138F" w:rsidP="00281E8D">
    <w:pPr>
      <w:pStyle w:val="af1"/>
      <w:ind w:left="560" w:firstLine="400"/>
    </w:pPr>
  </w:p>
  <w:p w:rsidR="0050138F" w:rsidRDefault="0050138F" w:rsidP="00281E8D">
    <w:pPr>
      <w:ind w:left="560" w:firstLine="560"/>
    </w:pPr>
  </w:p>
  <w:p w:rsidR="0050138F" w:rsidRDefault="0050138F" w:rsidP="00281E8D">
    <w:pPr>
      <w:pStyle w:val="af"/>
      <w:ind w:left="560" w:firstLine="400"/>
    </w:pPr>
  </w:p>
  <w:p w:rsidR="0050138F" w:rsidRDefault="0050138F" w:rsidP="00281E8D">
    <w:pPr>
      <w:ind w:left="560" w:firstLine="560"/>
    </w:pPr>
  </w:p>
  <w:p w:rsidR="0050138F" w:rsidRPr="00C0457A" w:rsidRDefault="0050138F" w:rsidP="00281E8D">
    <w:pPr>
      <w:spacing w:beforeLines="80" w:before="192"/>
      <w:ind w:leftChars="0" w:left="566" w:firstLineChars="0" w:firstLine="406"/>
      <w:jc w:val="center"/>
      <w:rPr>
        <w:sz w:val="24"/>
        <w:szCs w:val="24"/>
      </w:rPr>
    </w:pPr>
    <w:r>
      <w:rPr>
        <w:rFonts w:hint="eastAsia"/>
        <w:sz w:val="24"/>
        <w:szCs w:val="24"/>
      </w:rPr>
      <w:t>1</w:t>
    </w:r>
  </w:p>
  <w:p w:rsidR="0050138F" w:rsidRDefault="0050138F" w:rsidP="008B5FC6">
    <w:pPr>
      <w:pStyle w:val="af1"/>
      <w:ind w:leftChars="0" w:left="566" w:firstLineChars="0" w:firstLine="406"/>
      <w:jc w:val="center"/>
    </w:pPr>
    <w:r>
      <w:rPr>
        <w:noProof/>
        <w:sz w:val="28"/>
        <w:szCs w:val="28"/>
      </w:rPr>
      <w:t>1</w:t>
    </w:r>
    <w:r>
      <w:t>P</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52" w:rsidRDefault="00BE4852">
    <w:pPr>
      <w:pStyle w:val="af1"/>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38F" w:rsidRDefault="0050138F" w:rsidP="008B5FC6">
    <w:pPr>
      <w:pStyle w:val="af1"/>
      <w:ind w:leftChars="0" w:left="566" w:firstLineChars="0" w:firstLine="406"/>
      <w:jc w:val="center"/>
    </w:pPr>
    <w:r>
      <w:fldChar w:fldCharType="begin"/>
    </w:r>
    <w:r>
      <w:instrText>PAGE   \* MERGEFORMAT</w:instrText>
    </w:r>
    <w:r>
      <w:fldChar w:fldCharType="separate"/>
    </w:r>
    <w:r w:rsidR="005947BB" w:rsidRPr="005947BB">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2316" w:rsidRDefault="00172316" w:rsidP="003F0A05">
      <w:pPr>
        <w:spacing w:line="240" w:lineRule="auto"/>
        <w:ind w:left="560" w:firstLine="560"/>
      </w:pPr>
      <w:r>
        <w:separator/>
      </w:r>
    </w:p>
  </w:footnote>
  <w:footnote w:type="continuationSeparator" w:id="0">
    <w:p w:rsidR="00172316" w:rsidRDefault="00172316" w:rsidP="00956559">
      <w:pPr>
        <w:spacing w:line="240" w:lineRule="auto"/>
        <w:ind w:left="560" w:firstLine="560"/>
      </w:pPr>
      <w:r>
        <w:continuationSeparator/>
      </w:r>
    </w:p>
  </w:footnote>
  <w:footnote w:id="1">
    <w:p w:rsidR="0050138F" w:rsidRPr="002E60E1" w:rsidRDefault="0050138F" w:rsidP="002E60E1">
      <w:pPr>
        <w:pStyle w:val="142"/>
        <w:ind w:left="122" w:hangingChars="50" w:hanging="122"/>
        <w:jc w:val="both"/>
        <w:rPr>
          <w:rStyle w:val="afa"/>
        </w:rPr>
      </w:pPr>
      <w:r>
        <w:rPr>
          <w:rStyle w:val="afa"/>
        </w:rPr>
        <w:footnoteRef/>
      </w:r>
      <w:r w:rsidRPr="002E60E1">
        <w:rPr>
          <w:rStyle w:val="afa"/>
        </w:rPr>
        <w:t xml:space="preserve"> </w:t>
      </w:r>
      <w:r w:rsidRPr="002E60E1">
        <w:rPr>
          <w:rFonts w:hint="eastAsia"/>
        </w:rPr>
        <w:t>摘錄自審計部112年度中央政府總決算附屬單位決算及綜計表審核報告（營業部分），第戊-65至戊-66頁。</w:t>
      </w:r>
    </w:p>
  </w:footnote>
  <w:footnote w:id="2">
    <w:p w:rsidR="0050138F" w:rsidRPr="006963E4" w:rsidRDefault="0050138F" w:rsidP="00D22A9D">
      <w:pPr>
        <w:pStyle w:val="142"/>
        <w:ind w:left="122" w:hangingChars="50" w:hanging="122"/>
        <w:jc w:val="both"/>
        <w:rPr>
          <w:rFonts w:hint="eastAsia"/>
        </w:rPr>
      </w:pPr>
      <w:r>
        <w:rPr>
          <w:rStyle w:val="afa"/>
        </w:rPr>
        <w:footnoteRef/>
      </w:r>
      <w:r>
        <w:rPr>
          <w:rFonts w:hint="eastAsia"/>
        </w:rPr>
        <w:t xml:space="preserve"> 該公司</w:t>
      </w:r>
      <w:r w:rsidRPr="006963E4">
        <w:rPr>
          <w:rFonts w:hint="eastAsia"/>
        </w:rPr>
        <w:t>非</w:t>
      </w:r>
      <w:r>
        <w:rPr>
          <w:rFonts w:hint="eastAsia"/>
        </w:rPr>
        <w:t>屬</w:t>
      </w:r>
      <w:r w:rsidRPr="006963E4">
        <w:rPr>
          <w:rFonts w:hint="eastAsia"/>
        </w:rPr>
        <w:t>公開發行公司</w:t>
      </w:r>
      <w:r>
        <w:rPr>
          <w:rFonts w:hint="eastAsia"/>
        </w:rPr>
        <w:t>，</w:t>
      </w:r>
      <w:r w:rsidRPr="006963E4">
        <w:rPr>
          <w:rFonts w:hint="eastAsia"/>
        </w:rPr>
        <w:t>無法對非特定人以公開標售方式辦理釋股撤資</w:t>
      </w:r>
      <w:r>
        <w:rPr>
          <w:rFonts w:hint="eastAsia"/>
        </w:rPr>
        <w:t>。該</w:t>
      </w:r>
      <w:r w:rsidRPr="006963E4">
        <w:rPr>
          <w:rFonts w:hint="eastAsia"/>
        </w:rPr>
        <w:t>行曾數次函詢其主要股東承購意願，惟或未獲回復或出價偏離合理淨值過大，致未能釋</w:t>
      </w:r>
      <w:r>
        <w:rPr>
          <w:rFonts w:hint="eastAsia"/>
        </w:rPr>
        <w:t>股撤資，該</w:t>
      </w:r>
      <w:r w:rsidRPr="006963E4">
        <w:rPr>
          <w:rFonts w:hint="eastAsia"/>
        </w:rPr>
        <w:t>行將持續注意並俟有承購意願者且價格合理時，編列釋股預算，出清持股，以達撤資目的</w:t>
      </w:r>
      <w:r>
        <w:rPr>
          <w:rFonts w:hint="eastAsia"/>
        </w:rPr>
        <w:t>。</w:t>
      </w:r>
    </w:p>
  </w:footnote>
  <w:footnote w:id="3">
    <w:p w:rsidR="0050138F" w:rsidRPr="005B74DC" w:rsidRDefault="0050138F" w:rsidP="00954E55">
      <w:pPr>
        <w:pStyle w:val="142"/>
        <w:ind w:left="122" w:hangingChars="50" w:hanging="122"/>
        <w:jc w:val="both"/>
        <w:rPr>
          <w:rStyle w:val="afa"/>
        </w:rPr>
      </w:pPr>
      <w:r>
        <w:rPr>
          <w:rStyle w:val="afa"/>
        </w:rPr>
        <w:footnoteRef/>
      </w:r>
      <w:r w:rsidRPr="005B74DC">
        <w:rPr>
          <w:rStyle w:val="afa"/>
        </w:rPr>
        <w:t xml:space="preserve"> </w:t>
      </w:r>
      <w:r>
        <w:rPr>
          <w:rFonts w:hint="eastAsia"/>
        </w:rPr>
        <w:t>包括承購帳款手續費等3</w:t>
      </w:r>
      <w:r>
        <w:t>6</w:t>
      </w:r>
      <w:r>
        <w:rPr>
          <w:rFonts w:hint="eastAsia"/>
        </w:rPr>
        <w:t>項手續費收入，前5大收入項目依序為信託手續費、保證手續費、託辦手續費、聯貸手續費及合作推廣業務手續費。</w:t>
      </w:r>
    </w:p>
  </w:footnote>
  <w:footnote w:id="4">
    <w:p w:rsidR="0050138F" w:rsidRPr="006A1A84" w:rsidRDefault="0050138F" w:rsidP="006A1A84">
      <w:pPr>
        <w:pStyle w:val="142"/>
        <w:ind w:left="122" w:hangingChars="50" w:hanging="122"/>
        <w:jc w:val="both"/>
        <w:rPr>
          <w:rStyle w:val="afa"/>
        </w:rPr>
      </w:pPr>
      <w:r>
        <w:rPr>
          <w:rStyle w:val="afa"/>
        </w:rPr>
        <w:footnoteRef/>
      </w:r>
      <w:r w:rsidRPr="006A1A84">
        <w:rPr>
          <w:rStyle w:val="afa"/>
        </w:rPr>
        <w:t xml:space="preserve"> </w:t>
      </w:r>
      <w:r w:rsidRPr="006A1A84">
        <w:rPr>
          <w:rFonts w:hint="eastAsia"/>
        </w:rPr>
        <w:t>係最大宗手續費收入項目，11</w:t>
      </w:r>
      <w:r>
        <w:t>2</w:t>
      </w:r>
      <w:r w:rsidRPr="006A1A84">
        <w:rPr>
          <w:rFonts w:hint="eastAsia"/>
        </w:rPr>
        <w:t>年度</w:t>
      </w:r>
      <w:r>
        <w:rPr>
          <w:rFonts w:hint="eastAsia"/>
        </w:rPr>
        <w:t>決</w:t>
      </w:r>
      <w:r w:rsidRPr="006A1A84">
        <w:rPr>
          <w:rFonts w:hint="eastAsia"/>
        </w:rPr>
        <w:t>算</w:t>
      </w:r>
      <w:r>
        <w:rPr>
          <w:rFonts w:hint="eastAsia"/>
        </w:rPr>
        <w:t>3</w:t>
      </w:r>
      <w:r w:rsidRPr="006A1A84">
        <w:rPr>
          <w:rFonts w:hint="eastAsia"/>
        </w:rPr>
        <w:t>.</w:t>
      </w:r>
      <w:r>
        <w:t>53</w:t>
      </w:r>
      <w:r w:rsidRPr="006A1A84">
        <w:rPr>
          <w:rFonts w:hint="eastAsia"/>
        </w:rPr>
        <w:t>億元，占比為</w:t>
      </w:r>
      <w:r>
        <w:t>7</w:t>
      </w:r>
      <w:r w:rsidRPr="006A1A84">
        <w:rPr>
          <w:rFonts w:hint="eastAsia"/>
        </w:rPr>
        <w:t>.6</w:t>
      </w:r>
      <w:r>
        <w:t>4</w:t>
      </w:r>
      <w:r w:rsidRPr="006A1A84">
        <w:rPr>
          <w:rFonts w:hint="eastAsia"/>
        </w:rPr>
        <w:t>%。</w:t>
      </w:r>
    </w:p>
  </w:footnote>
  <w:footnote w:id="5">
    <w:p w:rsidR="0050138F" w:rsidRPr="006A1A84" w:rsidRDefault="0050138F" w:rsidP="006A1A84">
      <w:pPr>
        <w:pStyle w:val="142"/>
        <w:ind w:left="122" w:hangingChars="50" w:hanging="122"/>
        <w:jc w:val="both"/>
        <w:rPr>
          <w:rStyle w:val="afa"/>
        </w:rPr>
      </w:pPr>
      <w:r>
        <w:rPr>
          <w:rStyle w:val="afa"/>
        </w:rPr>
        <w:footnoteRef/>
      </w:r>
      <w:r w:rsidRPr="006A1A84">
        <w:rPr>
          <w:rStyle w:val="afa"/>
        </w:rPr>
        <w:t xml:space="preserve"> </w:t>
      </w:r>
      <w:r w:rsidRPr="006A1A84">
        <w:rPr>
          <w:rFonts w:hint="eastAsia"/>
        </w:rPr>
        <w:t>如調降新契約責任準備金利率、實施宣告利率平穩機制及提高人壽保險死亡保障門檻等。</w:t>
      </w:r>
    </w:p>
  </w:footnote>
  <w:footnote w:id="6">
    <w:p w:rsidR="0050138F" w:rsidRPr="006A1A84" w:rsidRDefault="0050138F" w:rsidP="006A1A84">
      <w:pPr>
        <w:pStyle w:val="142"/>
        <w:ind w:left="122" w:hangingChars="50" w:hanging="122"/>
        <w:jc w:val="both"/>
        <w:rPr>
          <w:rStyle w:val="afa"/>
        </w:rPr>
      </w:pPr>
      <w:r>
        <w:rPr>
          <w:rStyle w:val="afa"/>
        </w:rPr>
        <w:footnoteRef/>
      </w:r>
      <w:r w:rsidRPr="006A1A84">
        <w:rPr>
          <w:rStyle w:val="afa"/>
        </w:rPr>
        <w:t xml:space="preserve"> </w:t>
      </w:r>
      <w:r w:rsidRPr="00CD32F3">
        <w:rPr>
          <w:rFonts w:hint="eastAsia"/>
        </w:rPr>
        <w:t>美元利變保險商品宣告利率因受限主管機關宣告利率平穩機制監理政策而未能反映，商品宣告利率較不具競爭力，影響銀行主力利變商品銷售動能。</w:t>
      </w:r>
    </w:p>
  </w:footnote>
  <w:footnote w:id="7">
    <w:p w:rsidR="0050138F" w:rsidRPr="00CD32F3" w:rsidRDefault="0050138F" w:rsidP="00CD32F3">
      <w:pPr>
        <w:pStyle w:val="142"/>
        <w:ind w:left="122" w:hangingChars="50" w:hanging="122"/>
        <w:jc w:val="both"/>
        <w:rPr>
          <w:rStyle w:val="afa"/>
        </w:rPr>
      </w:pPr>
      <w:r>
        <w:rPr>
          <w:rStyle w:val="afa"/>
        </w:rPr>
        <w:footnoteRef/>
      </w:r>
      <w:r w:rsidRPr="00CD32F3">
        <w:rPr>
          <w:rFonts w:hint="eastAsia"/>
        </w:rPr>
        <w:t>投資型保單因國際地緣政治與金融市場波動，持續影響客戶投保意願及保險業務員銷售信心，又112年7月類全委投資型保單(係指委託投信公司代為運用與管理專設帳簿資產之投資型保單)連結高收益債與新興債基金上限新規上路，更影響銷售動能。</w:t>
      </w:r>
      <w:r w:rsidRPr="00CD32F3">
        <w:rPr>
          <w:rStyle w:val="af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52" w:rsidRDefault="00BE4852">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52" w:rsidRDefault="00BE4852">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52" w:rsidRDefault="00BE4852">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71D94"/>
    <w:multiLevelType w:val="hybridMultilevel"/>
    <w:tmpl w:val="5D7CB5BE"/>
    <w:lvl w:ilvl="0" w:tplc="36049786">
      <w:start w:val="11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19B0323F"/>
    <w:multiLevelType w:val="hybridMultilevel"/>
    <w:tmpl w:val="3B0EF748"/>
    <w:lvl w:ilvl="0" w:tplc="49709DEC">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07A1631"/>
    <w:multiLevelType w:val="hybridMultilevel"/>
    <w:tmpl w:val="D764C23A"/>
    <w:lvl w:ilvl="0" w:tplc="2168DDDC">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0321C13"/>
    <w:multiLevelType w:val="hybridMultilevel"/>
    <w:tmpl w:val="CD28156A"/>
    <w:lvl w:ilvl="0" w:tplc="C3D45938">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79E5EA5"/>
    <w:multiLevelType w:val="hybridMultilevel"/>
    <w:tmpl w:val="686C54AA"/>
    <w:lvl w:ilvl="0" w:tplc="0610F6D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3654018"/>
    <w:multiLevelType w:val="hybridMultilevel"/>
    <w:tmpl w:val="CA00172C"/>
    <w:lvl w:ilvl="0" w:tplc="9CDE82EA">
      <w:start w:val="1"/>
      <w:numFmt w:val="taiwaneseCountingThousand"/>
      <w:lvlText w:val="(%1)"/>
      <w:lvlJc w:val="left"/>
      <w:pPr>
        <w:ind w:left="846" w:hanging="28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4CFF2318"/>
    <w:multiLevelType w:val="hybridMultilevel"/>
    <w:tmpl w:val="79AAFF30"/>
    <w:lvl w:ilvl="0" w:tplc="8E363E9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AA539F"/>
    <w:multiLevelType w:val="hybridMultilevel"/>
    <w:tmpl w:val="ED3258BA"/>
    <w:lvl w:ilvl="0" w:tplc="03A06390">
      <w:start w:val="1"/>
      <w:numFmt w:val="taiwaneseCountingThousand"/>
      <w:lvlText w:val="%1、"/>
      <w:lvlJc w:val="left"/>
      <w:pPr>
        <w:ind w:left="4831" w:hanging="720"/>
      </w:pPr>
      <w:rPr>
        <w:rFonts w:hint="default"/>
      </w:rPr>
    </w:lvl>
    <w:lvl w:ilvl="1" w:tplc="04090019" w:tentative="1">
      <w:start w:val="1"/>
      <w:numFmt w:val="ideographTraditional"/>
      <w:lvlText w:val="%2、"/>
      <w:lvlJc w:val="left"/>
      <w:pPr>
        <w:ind w:left="3795" w:hanging="480"/>
      </w:pPr>
    </w:lvl>
    <w:lvl w:ilvl="2" w:tplc="0409001B" w:tentative="1">
      <w:start w:val="1"/>
      <w:numFmt w:val="lowerRoman"/>
      <w:lvlText w:val="%3."/>
      <w:lvlJc w:val="right"/>
      <w:pPr>
        <w:ind w:left="4275" w:hanging="480"/>
      </w:pPr>
    </w:lvl>
    <w:lvl w:ilvl="3" w:tplc="0409000F" w:tentative="1">
      <w:start w:val="1"/>
      <w:numFmt w:val="decimal"/>
      <w:lvlText w:val="%4."/>
      <w:lvlJc w:val="left"/>
      <w:pPr>
        <w:ind w:left="4755" w:hanging="480"/>
      </w:pPr>
    </w:lvl>
    <w:lvl w:ilvl="4" w:tplc="04090019" w:tentative="1">
      <w:start w:val="1"/>
      <w:numFmt w:val="ideographTraditional"/>
      <w:lvlText w:val="%5、"/>
      <w:lvlJc w:val="left"/>
      <w:pPr>
        <w:ind w:left="5235" w:hanging="480"/>
      </w:pPr>
    </w:lvl>
    <w:lvl w:ilvl="5" w:tplc="0409001B" w:tentative="1">
      <w:start w:val="1"/>
      <w:numFmt w:val="lowerRoman"/>
      <w:lvlText w:val="%6."/>
      <w:lvlJc w:val="right"/>
      <w:pPr>
        <w:ind w:left="5715" w:hanging="480"/>
      </w:pPr>
    </w:lvl>
    <w:lvl w:ilvl="6" w:tplc="0409000F" w:tentative="1">
      <w:start w:val="1"/>
      <w:numFmt w:val="decimal"/>
      <w:lvlText w:val="%7."/>
      <w:lvlJc w:val="left"/>
      <w:pPr>
        <w:ind w:left="6195" w:hanging="480"/>
      </w:pPr>
    </w:lvl>
    <w:lvl w:ilvl="7" w:tplc="04090019" w:tentative="1">
      <w:start w:val="1"/>
      <w:numFmt w:val="ideographTraditional"/>
      <w:lvlText w:val="%8、"/>
      <w:lvlJc w:val="left"/>
      <w:pPr>
        <w:ind w:left="6675" w:hanging="480"/>
      </w:pPr>
    </w:lvl>
    <w:lvl w:ilvl="8" w:tplc="0409001B" w:tentative="1">
      <w:start w:val="1"/>
      <w:numFmt w:val="lowerRoman"/>
      <w:lvlText w:val="%9."/>
      <w:lvlJc w:val="right"/>
      <w:pPr>
        <w:ind w:left="7155" w:hanging="480"/>
      </w:pPr>
    </w:lvl>
  </w:abstractNum>
  <w:num w:numId="1">
    <w:abstractNumId w:val="3"/>
  </w:num>
  <w:num w:numId="2">
    <w:abstractNumId w:val="2"/>
  </w:num>
  <w:num w:numId="3">
    <w:abstractNumId w:val="4"/>
  </w:num>
  <w:num w:numId="4">
    <w:abstractNumId w:val="1"/>
  </w:num>
  <w:num w:numId="5">
    <w:abstractNumId w:val="6"/>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HorizontalDrawingGridEvery w:val="0"/>
  <w:displayVerticalDrawingGridEvery w:val="2"/>
  <w:characterSpacingControl w:val="compressPunctuation"/>
  <w:hdrShapeDefaults>
    <o:shapedefaults v:ext="edit" spidmax="3074">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E5874"/>
    <w:rsid w:val="0000090A"/>
    <w:rsid w:val="00000A00"/>
    <w:rsid w:val="00000FC9"/>
    <w:rsid w:val="0000119D"/>
    <w:rsid w:val="000011AF"/>
    <w:rsid w:val="000028CC"/>
    <w:rsid w:val="00003B2E"/>
    <w:rsid w:val="00003E20"/>
    <w:rsid w:val="0000401F"/>
    <w:rsid w:val="00004DB1"/>
    <w:rsid w:val="00006FCC"/>
    <w:rsid w:val="00007BA3"/>
    <w:rsid w:val="00007F36"/>
    <w:rsid w:val="00010970"/>
    <w:rsid w:val="0001140B"/>
    <w:rsid w:val="000118AD"/>
    <w:rsid w:val="00011CDD"/>
    <w:rsid w:val="00011E87"/>
    <w:rsid w:val="00012ADC"/>
    <w:rsid w:val="000137D7"/>
    <w:rsid w:val="00013E9A"/>
    <w:rsid w:val="000147DD"/>
    <w:rsid w:val="000152F0"/>
    <w:rsid w:val="00017BF5"/>
    <w:rsid w:val="000211D4"/>
    <w:rsid w:val="00021ED5"/>
    <w:rsid w:val="0002265D"/>
    <w:rsid w:val="000228D7"/>
    <w:rsid w:val="00022ED3"/>
    <w:rsid w:val="000233F1"/>
    <w:rsid w:val="00023A5E"/>
    <w:rsid w:val="00023E26"/>
    <w:rsid w:val="00024A64"/>
    <w:rsid w:val="000255A3"/>
    <w:rsid w:val="00025FF3"/>
    <w:rsid w:val="00026C06"/>
    <w:rsid w:val="00027247"/>
    <w:rsid w:val="00030798"/>
    <w:rsid w:val="000307AA"/>
    <w:rsid w:val="00030D65"/>
    <w:rsid w:val="000313B0"/>
    <w:rsid w:val="00033715"/>
    <w:rsid w:val="00034739"/>
    <w:rsid w:val="00035B28"/>
    <w:rsid w:val="00035FD5"/>
    <w:rsid w:val="000361A4"/>
    <w:rsid w:val="000362D9"/>
    <w:rsid w:val="00036B70"/>
    <w:rsid w:val="0004041D"/>
    <w:rsid w:val="00040A3A"/>
    <w:rsid w:val="0004122C"/>
    <w:rsid w:val="00041585"/>
    <w:rsid w:val="000419EE"/>
    <w:rsid w:val="000423D3"/>
    <w:rsid w:val="0004386B"/>
    <w:rsid w:val="00043BE0"/>
    <w:rsid w:val="000448C6"/>
    <w:rsid w:val="00044D4A"/>
    <w:rsid w:val="0004607B"/>
    <w:rsid w:val="0004615A"/>
    <w:rsid w:val="00046211"/>
    <w:rsid w:val="000462FF"/>
    <w:rsid w:val="00050CD5"/>
    <w:rsid w:val="0005218B"/>
    <w:rsid w:val="00053080"/>
    <w:rsid w:val="00053A8D"/>
    <w:rsid w:val="00053B41"/>
    <w:rsid w:val="00054165"/>
    <w:rsid w:val="00054A1C"/>
    <w:rsid w:val="00055B74"/>
    <w:rsid w:val="00055D45"/>
    <w:rsid w:val="00056163"/>
    <w:rsid w:val="00056B3A"/>
    <w:rsid w:val="00056FA2"/>
    <w:rsid w:val="000571D7"/>
    <w:rsid w:val="0005764D"/>
    <w:rsid w:val="00061630"/>
    <w:rsid w:val="00061D81"/>
    <w:rsid w:val="00061F6D"/>
    <w:rsid w:val="0006238D"/>
    <w:rsid w:val="0006246D"/>
    <w:rsid w:val="00062831"/>
    <w:rsid w:val="00062A03"/>
    <w:rsid w:val="00063504"/>
    <w:rsid w:val="0006376A"/>
    <w:rsid w:val="00063D72"/>
    <w:rsid w:val="00064353"/>
    <w:rsid w:val="0006462B"/>
    <w:rsid w:val="0006523E"/>
    <w:rsid w:val="00065999"/>
    <w:rsid w:val="00066083"/>
    <w:rsid w:val="00067CF8"/>
    <w:rsid w:val="0007042D"/>
    <w:rsid w:val="000705EE"/>
    <w:rsid w:val="00070E5C"/>
    <w:rsid w:val="00071AA1"/>
    <w:rsid w:val="00073314"/>
    <w:rsid w:val="00074493"/>
    <w:rsid w:val="00074B89"/>
    <w:rsid w:val="0007500E"/>
    <w:rsid w:val="00075C7D"/>
    <w:rsid w:val="000760C8"/>
    <w:rsid w:val="00076183"/>
    <w:rsid w:val="0007626E"/>
    <w:rsid w:val="00076A46"/>
    <w:rsid w:val="00080EFB"/>
    <w:rsid w:val="00083876"/>
    <w:rsid w:val="00083890"/>
    <w:rsid w:val="0008498F"/>
    <w:rsid w:val="00085753"/>
    <w:rsid w:val="00085F4B"/>
    <w:rsid w:val="000863CC"/>
    <w:rsid w:val="0008643F"/>
    <w:rsid w:val="0008646A"/>
    <w:rsid w:val="00086992"/>
    <w:rsid w:val="00086A76"/>
    <w:rsid w:val="000873FD"/>
    <w:rsid w:val="00090941"/>
    <w:rsid w:val="00090DB4"/>
    <w:rsid w:val="0009418D"/>
    <w:rsid w:val="000941FD"/>
    <w:rsid w:val="00095517"/>
    <w:rsid w:val="00095606"/>
    <w:rsid w:val="000969AE"/>
    <w:rsid w:val="00097129"/>
    <w:rsid w:val="00097DB3"/>
    <w:rsid w:val="00097E3F"/>
    <w:rsid w:val="000A002D"/>
    <w:rsid w:val="000A01A2"/>
    <w:rsid w:val="000A0FA5"/>
    <w:rsid w:val="000A0FF2"/>
    <w:rsid w:val="000A1252"/>
    <w:rsid w:val="000A3C87"/>
    <w:rsid w:val="000A543E"/>
    <w:rsid w:val="000A5448"/>
    <w:rsid w:val="000A5544"/>
    <w:rsid w:val="000A5C4D"/>
    <w:rsid w:val="000A6F04"/>
    <w:rsid w:val="000B09C1"/>
    <w:rsid w:val="000B35B7"/>
    <w:rsid w:val="000B3D4A"/>
    <w:rsid w:val="000B426B"/>
    <w:rsid w:val="000B49DB"/>
    <w:rsid w:val="000B4AD1"/>
    <w:rsid w:val="000B565B"/>
    <w:rsid w:val="000B6598"/>
    <w:rsid w:val="000B67CA"/>
    <w:rsid w:val="000B7A4B"/>
    <w:rsid w:val="000B7E92"/>
    <w:rsid w:val="000B7F2E"/>
    <w:rsid w:val="000C05E4"/>
    <w:rsid w:val="000C19DF"/>
    <w:rsid w:val="000C20C1"/>
    <w:rsid w:val="000C21D7"/>
    <w:rsid w:val="000C24BF"/>
    <w:rsid w:val="000C2B6F"/>
    <w:rsid w:val="000C3BF3"/>
    <w:rsid w:val="000C3C8C"/>
    <w:rsid w:val="000C4994"/>
    <w:rsid w:val="000C5C66"/>
    <w:rsid w:val="000C5FF1"/>
    <w:rsid w:val="000C6FBA"/>
    <w:rsid w:val="000C74EB"/>
    <w:rsid w:val="000D124F"/>
    <w:rsid w:val="000D1478"/>
    <w:rsid w:val="000D1D65"/>
    <w:rsid w:val="000D2066"/>
    <w:rsid w:val="000D38EA"/>
    <w:rsid w:val="000D3A09"/>
    <w:rsid w:val="000D49D5"/>
    <w:rsid w:val="000D5581"/>
    <w:rsid w:val="000D66C6"/>
    <w:rsid w:val="000D67ED"/>
    <w:rsid w:val="000D6D4D"/>
    <w:rsid w:val="000D7472"/>
    <w:rsid w:val="000E048B"/>
    <w:rsid w:val="000E05D0"/>
    <w:rsid w:val="000E1C75"/>
    <w:rsid w:val="000E309B"/>
    <w:rsid w:val="000E3425"/>
    <w:rsid w:val="000E3520"/>
    <w:rsid w:val="000E4BF9"/>
    <w:rsid w:val="000E60F3"/>
    <w:rsid w:val="000E6252"/>
    <w:rsid w:val="000E6823"/>
    <w:rsid w:val="000E727D"/>
    <w:rsid w:val="000E75CA"/>
    <w:rsid w:val="000F05E8"/>
    <w:rsid w:val="000F2799"/>
    <w:rsid w:val="000F29C3"/>
    <w:rsid w:val="000F33D2"/>
    <w:rsid w:val="000F53E6"/>
    <w:rsid w:val="000F6C53"/>
    <w:rsid w:val="000F7774"/>
    <w:rsid w:val="000F7919"/>
    <w:rsid w:val="00100226"/>
    <w:rsid w:val="00101A19"/>
    <w:rsid w:val="0010253A"/>
    <w:rsid w:val="00103E13"/>
    <w:rsid w:val="0010512F"/>
    <w:rsid w:val="00105A87"/>
    <w:rsid w:val="001062C1"/>
    <w:rsid w:val="00106302"/>
    <w:rsid w:val="0010680D"/>
    <w:rsid w:val="00106FF2"/>
    <w:rsid w:val="00107A91"/>
    <w:rsid w:val="00107E15"/>
    <w:rsid w:val="00110720"/>
    <w:rsid w:val="00110AC0"/>
    <w:rsid w:val="0011189C"/>
    <w:rsid w:val="00114902"/>
    <w:rsid w:val="0011519D"/>
    <w:rsid w:val="00115DB7"/>
    <w:rsid w:val="00116124"/>
    <w:rsid w:val="00116CD5"/>
    <w:rsid w:val="0011712D"/>
    <w:rsid w:val="00117319"/>
    <w:rsid w:val="00117344"/>
    <w:rsid w:val="00117B9C"/>
    <w:rsid w:val="00120770"/>
    <w:rsid w:val="00120819"/>
    <w:rsid w:val="00122137"/>
    <w:rsid w:val="00122BDB"/>
    <w:rsid w:val="00124B56"/>
    <w:rsid w:val="00126C74"/>
    <w:rsid w:val="00126F96"/>
    <w:rsid w:val="001303E5"/>
    <w:rsid w:val="00130863"/>
    <w:rsid w:val="00130876"/>
    <w:rsid w:val="00130FF1"/>
    <w:rsid w:val="001310DB"/>
    <w:rsid w:val="00131183"/>
    <w:rsid w:val="001316EB"/>
    <w:rsid w:val="00132158"/>
    <w:rsid w:val="00132920"/>
    <w:rsid w:val="00133214"/>
    <w:rsid w:val="00133BB1"/>
    <w:rsid w:val="00134049"/>
    <w:rsid w:val="001351BB"/>
    <w:rsid w:val="00135537"/>
    <w:rsid w:val="0013586A"/>
    <w:rsid w:val="00135F98"/>
    <w:rsid w:val="00136409"/>
    <w:rsid w:val="001366BC"/>
    <w:rsid w:val="00136DFE"/>
    <w:rsid w:val="00137648"/>
    <w:rsid w:val="00140BC6"/>
    <w:rsid w:val="00140D6D"/>
    <w:rsid w:val="00141F2A"/>
    <w:rsid w:val="0014200D"/>
    <w:rsid w:val="0014276F"/>
    <w:rsid w:val="00142ACE"/>
    <w:rsid w:val="001447AB"/>
    <w:rsid w:val="00144F35"/>
    <w:rsid w:val="00145A64"/>
    <w:rsid w:val="00145FE9"/>
    <w:rsid w:val="00146197"/>
    <w:rsid w:val="00147F6F"/>
    <w:rsid w:val="001525A0"/>
    <w:rsid w:val="001527DB"/>
    <w:rsid w:val="00152C70"/>
    <w:rsid w:val="00153094"/>
    <w:rsid w:val="0015363C"/>
    <w:rsid w:val="00153FF1"/>
    <w:rsid w:val="0015510D"/>
    <w:rsid w:val="00155B17"/>
    <w:rsid w:val="00155B8E"/>
    <w:rsid w:val="00155CCC"/>
    <w:rsid w:val="00157730"/>
    <w:rsid w:val="00157F0A"/>
    <w:rsid w:val="00157F34"/>
    <w:rsid w:val="00160B2C"/>
    <w:rsid w:val="001619E0"/>
    <w:rsid w:val="00161C10"/>
    <w:rsid w:val="001628DB"/>
    <w:rsid w:val="00163F99"/>
    <w:rsid w:val="00164C8D"/>
    <w:rsid w:val="00166A5C"/>
    <w:rsid w:val="00170181"/>
    <w:rsid w:val="00170E0B"/>
    <w:rsid w:val="00170E81"/>
    <w:rsid w:val="00172316"/>
    <w:rsid w:val="00172532"/>
    <w:rsid w:val="00174C2B"/>
    <w:rsid w:val="00174D91"/>
    <w:rsid w:val="001756C5"/>
    <w:rsid w:val="00175E60"/>
    <w:rsid w:val="00176257"/>
    <w:rsid w:val="00177483"/>
    <w:rsid w:val="00181060"/>
    <w:rsid w:val="00181798"/>
    <w:rsid w:val="00181D5F"/>
    <w:rsid w:val="00182B59"/>
    <w:rsid w:val="00182ECD"/>
    <w:rsid w:val="00183B12"/>
    <w:rsid w:val="001846D8"/>
    <w:rsid w:val="00184D6F"/>
    <w:rsid w:val="00184F5E"/>
    <w:rsid w:val="001855FC"/>
    <w:rsid w:val="0018599B"/>
    <w:rsid w:val="001871FF"/>
    <w:rsid w:val="0018752C"/>
    <w:rsid w:val="00187586"/>
    <w:rsid w:val="001879A3"/>
    <w:rsid w:val="00187D67"/>
    <w:rsid w:val="00190146"/>
    <w:rsid w:val="0019037B"/>
    <w:rsid w:val="00191CD7"/>
    <w:rsid w:val="001928C9"/>
    <w:rsid w:val="001936AA"/>
    <w:rsid w:val="00195A5A"/>
    <w:rsid w:val="00195FF2"/>
    <w:rsid w:val="00196A38"/>
    <w:rsid w:val="00196C6A"/>
    <w:rsid w:val="001A01D2"/>
    <w:rsid w:val="001A0C0D"/>
    <w:rsid w:val="001A1429"/>
    <w:rsid w:val="001A1BA8"/>
    <w:rsid w:val="001A1D9E"/>
    <w:rsid w:val="001A2871"/>
    <w:rsid w:val="001A34BC"/>
    <w:rsid w:val="001A513E"/>
    <w:rsid w:val="001A51AF"/>
    <w:rsid w:val="001A51BC"/>
    <w:rsid w:val="001A5603"/>
    <w:rsid w:val="001A594E"/>
    <w:rsid w:val="001A68B4"/>
    <w:rsid w:val="001A6DE8"/>
    <w:rsid w:val="001A779A"/>
    <w:rsid w:val="001B08CE"/>
    <w:rsid w:val="001B152C"/>
    <w:rsid w:val="001B189B"/>
    <w:rsid w:val="001B1F2C"/>
    <w:rsid w:val="001B352E"/>
    <w:rsid w:val="001B38D1"/>
    <w:rsid w:val="001C0571"/>
    <w:rsid w:val="001C21E5"/>
    <w:rsid w:val="001C28FF"/>
    <w:rsid w:val="001C2996"/>
    <w:rsid w:val="001C2D1C"/>
    <w:rsid w:val="001C35BE"/>
    <w:rsid w:val="001C3A6A"/>
    <w:rsid w:val="001C4BE2"/>
    <w:rsid w:val="001C520E"/>
    <w:rsid w:val="001C533D"/>
    <w:rsid w:val="001C6891"/>
    <w:rsid w:val="001C6A2C"/>
    <w:rsid w:val="001D12C9"/>
    <w:rsid w:val="001D183E"/>
    <w:rsid w:val="001D1924"/>
    <w:rsid w:val="001D2B56"/>
    <w:rsid w:val="001D2DF0"/>
    <w:rsid w:val="001D5766"/>
    <w:rsid w:val="001D614E"/>
    <w:rsid w:val="001D6567"/>
    <w:rsid w:val="001D66B7"/>
    <w:rsid w:val="001D773A"/>
    <w:rsid w:val="001D7BD5"/>
    <w:rsid w:val="001D7CC5"/>
    <w:rsid w:val="001D7CF1"/>
    <w:rsid w:val="001E2B9F"/>
    <w:rsid w:val="001E49F2"/>
    <w:rsid w:val="001E5386"/>
    <w:rsid w:val="001E5483"/>
    <w:rsid w:val="001E61D4"/>
    <w:rsid w:val="001E66C4"/>
    <w:rsid w:val="001E769E"/>
    <w:rsid w:val="001F17B1"/>
    <w:rsid w:val="001F210F"/>
    <w:rsid w:val="001F21AB"/>
    <w:rsid w:val="001F2C2C"/>
    <w:rsid w:val="001F31F8"/>
    <w:rsid w:val="001F51D1"/>
    <w:rsid w:val="001F5DB7"/>
    <w:rsid w:val="001F629D"/>
    <w:rsid w:val="001F65D0"/>
    <w:rsid w:val="001F6E60"/>
    <w:rsid w:val="001F7310"/>
    <w:rsid w:val="00200546"/>
    <w:rsid w:val="00200D8A"/>
    <w:rsid w:val="0020176A"/>
    <w:rsid w:val="00201BB3"/>
    <w:rsid w:val="00203A07"/>
    <w:rsid w:val="00206D9B"/>
    <w:rsid w:val="002073CD"/>
    <w:rsid w:val="002101D1"/>
    <w:rsid w:val="0021052E"/>
    <w:rsid w:val="002119B1"/>
    <w:rsid w:val="00212221"/>
    <w:rsid w:val="002125F4"/>
    <w:rsid w:val="00213358"/>
    <w:rsid w:val="00213E04"/>
    <w:rsid w:val="002144B9"/>
    <w:rsid w:val="00220A63"/>
    <w:rsid w:val="00221D52"/>
    <w:rsid w:val="00222217"/>
    <w:rsid w:val="00223B03"/>
    <w:rsid w:val="002267BF"/>
    <w:rsid w:val="00227830"/>
    <w:rsid w:val="0022787C"/>
    <w:rsid w:val="0023070D"/>
    <w:rsid w:val="00230A1C"/>
    <w:rsid w:val="00230BAC"/>
    <w:rsid w:val="00231886"/>
    <w:rsid w:val="00231BCB"/>
    <w:rsid w:val="002340D5"/>
    <w:rsid w:val="00234D48"/>
    <w:rsid w:val="0023527B"/>
    <w:rsid w:val="00235CF4"/>
    <w:rsid w:val="002361B6"/>
    <w:rsid w:val="0023742E"/>
    <w:rsid w:val="002406A9"/>
    <w:rsid w:val="00240D57"/>
    <w:rsid w:val="002416DC"/>
    <w:rsid w:val="00241BB4"/>
    <w:rsid w:val="00242544"/>
    <w:rsid w:val="00242984"/>
    <w:rsid w:val="0024374A"/>
    <w:rsid w:val="002440D6"/>
    <w:rsid w:val="00244631"/>
    <w:rsid w:val="002446F7"/>
    <w:rsid w:val="002467CF"/>
    <w:rsid w:val="00247C94"/>
    <w:rsid w:val="00247CC4"/>
    <w:rsid w:val="00247E15"/>
    <w:rsid w:val="00250178"/>
    <w:rsid w:val="00250D3B"/>
    <w:rsid w:val="002514B5"/>
    <w:rsid w:val="002516F7"/>
    <w:rsid w:val="00252BE7"/>
    <w:rsid w:val="00253691"/>
    <w:rsid w:val="00253E66"/>
    <w:rsid w:val="00254DCE"/>
    <w:rsid w:val="002558A4"/>
    <w:rsid w:val="00255954"/>
    <w:rsid w:val="002565F3"/>
    <w:rsid w:val="00260137"/>
    <w:rsid w:val="00261376"/>
    <w:rsid w:val="00261AF1"/>
    <w:rsid w:val="00261F7D"/>
    <w:rsid w:val="002620F1"/>
    <w:rsid w:val="00262151"/>
    <w:rsid w:val="00262235"/>
    <w:rsid w:val="00262D25"/>
    <w:rsid w:val="00262E1C"/>
    <w:rsid w:val="00262F76"/>
    <w:rsid w:val="0026307A"/>
    <w:rsid w:val="0026448A"/>
    <w:rsid w:val="00265357"/>
    <w:rsid w:val="00265C77"/>
    <w:rsid w:val="00266569"/>
    <w:rsid w:val="0026691B"/>
    <w:rsid w:val="0026734E"/>
    <w:rsid w:val="00271070"/>
    <w:rsid w:val="00271931"/>
    <w:rsid w:val="00273A33"/>
    <w:rsid w:val="002745AB"/>
    <w:rsid w:val="0027495A"/>
    <w:rsid w:val="0027577D"/>
    <w:rsid w:val="002758A0"/>
    <w:rsid w:val="00275FBD"/>
    <w:rsid w:val="0027672F"/>
    <w:rsid w:val="00276881"/>
    <w:rsid w:val="00277010"/>
    <w:rsid w:val="002815E0"/>
    <w:rsid w:val="00281E8D"/>
    <w:rsid w:val="002822F1"/>
    <w:rsid w:val="002833F3"/>
    <w:rsid w:val="00283527"/>
    <w:rsid w:val="002843A7"/>
    <w:rsid w:val="00284715"/>
    <w:rsid w:val="00284A33"/>
    <w:rsid w:val="00284A88"/>
    <w:rsid w:val="002851EB"/>
    <w:rsid w:val="00285387"/>
    <w:rsid w:val="00286263"/>
    <w:rsid w:val="002864FA"/>
    <w:rsid w:val="00286AC4"/>
    <w:rsid w:val="00290614"/>
    <w:rsid w:val="002906D8"/>
    <w:rsid w:val="00290D07"/>
    <w:rsid w:val="00290DCB"/>
    <w:rsid w:val="00291005"/>
    <w:rsid w:val="002911D9"/>
    <w:rsid w:val="0029273B"/>
    <w:rsid w:val="0029282D"/>
    <w:rsid w:val="00293BB7"/>
    <w:rsid w:val="00294F9B"/>
    <w:rsid w:val="002954BF"/>
    <w:rsid w:val="00296466"/>
    <w:rsid w:val="00296514"/>
    <w:rsid w:val="00296684"/>
    <w:rsid w:val="002A13C4"/>
    <w:rsid w:val="002A1523"/>
    <w:rsid w:val="002A1CB8"/>
    <w:rsid w:val="002A2F3E"/>
    <w:rsid w:val="002A5E1D"/>
    <w:rsid w:val="002A6BE6"/>
    <w:rsid w:val="002A6DE3"/>
    <w:rsid w:val="002B1005"/>
    <w:rsid w:val="002B1618"/>
    <w:rsid w:val="002B2B75"/>
    <w:rsid w:val="002B3C02"/>
    <w:rsid w:val="002B474B"/>
    <w:rsid w:val="002B4E67"/>
    <w:rsid w:val="002B501E"/>
    <w:rsid w:val="002B52DF"/>
    <w:rsid w:val="002B6FC9"/>
    <w:rsid w:val="002B7705"/>
    <w:rsid w:val="002B7C13"/>
    <w:rsid w:val="002C1147"/>
    <w:rsid w:val="002C122A"/>
    <w:rsid w:val="002C1750"/>
    <w:rsid w:val="002C3D29"/>
    <w:rsid w:val="002C54E2"/>
    <w:rsid w:val="002C5847"/>
    <w:rsid w:val="002C59E8"/>
    <w:rsid w:val="002C5B3A"/>
    <w:rsid w:val="002C64F6"/>
    <w:rsid w:val="002C6D4A"/>
    <w:rsid w:val="002D106D"/>
    <w:rsid w:val="002D285A"/>
    <w:rsid w:val="002D4AF9"/>
    <w:rsid w:val="002D6A7E"/>
    <w:rsid w:val="002D6BC2"/>
    <w:rsid w:val="002D6BD4"/>
    <w:rsid w:val="002D6D96"/>
    <w:rsid w:val="002D6E1F"/>
    <w:rsid w:val="002D7C5D"/>
    <w:rsid w:val="002D7DAD"/>
    <w:rsid w:val="002E019A"/>
    <w:rsid w:val="002E0C6E"/>
    <w:rsid w:val="002E1426"/>
    <w:rsid w:val="002E2B54"/>
    <w:rsid w:val="002E319C"/>
    <w:rsid w:val="002E343A"/>
    <w:rsid w:val="002E4AF5"/>
    <w:rsid w:val="002E5ACF"/>
    <w:rsid w:val="002E60E1"/>
    <w:rsid w:val="002E618E"/>
    <w:rsid w:val="002E6665"/>
    <w:rsid w:val="002E6A6D"/>
    <w:rsid w:val="002E76BD"/>
    <w:rsid w:val="002E7C7C"/>
    <w:rsid w:val="002F0E5A"/>
    <w:rsid w:val="002F12BD"/>
    <w:rsid w:val="002F1674"/>
    <w:rsid w:val="002F27CA"/>
    <w:rsid w:val="002F31EA"/>
    <w:rsid w:val="002F4AA5"/>
    <w:rsid w:val="002F4C35"/>
    <w:rsid w:val="002F4C95"/>
    <w:rsid w:val="002F5062"/>
    <w:rsid w:val="00301477"/>
    <w:rsid w:val="003018F8"/>
    <w:rsid w:val="00301E73"/>
    <w:rsid w:val="00301E7D"/>
    <w:rsid w:val="0030209E"/>
    <w:rsid w:val="00302EF2"/>
    <w:rsid w:val="00304692"/>
    <w:rsid w:val="00304CC3"/>
    <w:rsid w:val="00305032"/>
    <w:rsid w:val="00306D53"/>
    <w:rsid w:val="00307B6B"/>
    <w:rsid w:val="00307BD8"/>
    <w:rsid w:val="003113BE"/>
    <w:rsid w:val="00311E96"/>
    <w:rsid w:val="00312EEB"/>
    <w:rsid w:val="00314BFB"/>
    <w:rsid w:val="003153B7"/>
    <w:rsid w:val="00315CB7"/>
    <w:rsid w:val="003168D5"/>
    <w:rsid w:val="00316E36"/>
    <w:rsid w:val="00317171"/>
    <w:rsid w:val="00317436"/>
    <w:rsid w:val="003175D2"/>
    <w:rsid w:val="003175EE"/>
    <w:rsid w:val="00321A73"/>
    <w:rsid w:val="00322273"/>
    <w:rsid w:val="003222B6"/>
    <w:rsid w:val="0032296E"/>
    <w:rsid w:val="00322FF5"/>
    <w:rsid w:val="0032371B"/>
    <w:rsid w:val="00323D3E"/>
    <w:rsid w:val="00324958"/>
    <w:rsid w:val="00325107"/>
    <w:rsid w:val="00325785"/>
    <w:rsid w:val="00326032"/>
    <w:rsid w:val="003300E7"/>
    <w:rsid w:val="003309DA"/>
    <w:rsid w:val="0033291D"/>
    <w:rsid w:val="00333D2F"/>
    <w:rsid w:val="00336251"/>
    <w:rsid w:val="0033632E"/>
    <w:rsid w:val="00336B57"/>
    <w:rsid w:val="003372F3"/>
    <w:rsid w:val="00340B51"/>
    <w:rsid w:val="00341635"/>
    <w:rsid w:val="00341899"/>
    <w:rsid w:val="00341C58"/>
    <w:rsid w:val="00341D02"/>
    <w:rsid w:val="00343AB8"/>
    <w:rsid w:val="003442B1"/>
    <w:rsid w:val="00346148"/>
    <w:rsid w:val="003472F2"/>
    <w:rsid w:val="0035206C"/>
    <w:rsid w:val="003526A3"/>
    <w:rsid w:val="003528F8"/>
    <w:rsid w:val="00352EED"/>
    <w:rsid w:val="00353433"/>
    <w:rsid w:val="00353C89"/>
    <w:rsid w:val="00353DF1"/>
    <w:rsid w:val="00357025"/>
    <w:rsid w:val="00357125"/>
    <w:rsid w:val="00362039"/>
    <w:rsid w:val="00362A68"/>
    <w:rsid w:val="00362E0F"/>
    <w:rsid w:val="00363CF0"/>
    <w:rsid w:val="00363E8A"/>
    <w:rsid w:val="00364900"/>
    <w:rsid w:val="0036592F"/>
    <w:rsid w:val="00366F8C"/>
    <w:rsid w:val="00367367"/>
    <w:rsid w:val="003701DB"/>
    <w:rsid w:val="003714A7"/>
    <w:rsid w:val="0037232E"/>
    <w:rsid w:val="00372E34"/>
    <w:rsid w:val="003732E6"/>
    <w:rsid w:val="00374060"/>
    <w:rsid w:val="00374E50"/>
    <w:rsid w:val="00375427"/>
    <w:rsid w:val="003759BC"/>
    <w:rsid w:val="00377E0E"/>
    <w:rsid w:val="00380FDB"/>
    <w:rsid w:val="00382F30"/>
    <w:rsid w:val="003837B9"/>
    <w:rsid w:val="00383FCD"/>
    <w:rsid w:val="00384722"/>
    <w:rsid w:val="00384EB5"/>
    <w:rsid w:val="00385148"/>
    <w:rsid w:val="0038727E"/>
    <w:rsid w:val="00387BCB"/>
    <w:rsid w:val="0039008F"/>
    <w:rsid w:val="00391603"/>
    <w:rsid w:val="00391D08"/>
    <w:rsid w:val="00391F62"/>
    <w:rsid w:val="003924C8"/>
    <w:rsid w:val="003930DE"/>
    <w:rsid w:val="00393E05"/>
    <w:rsid w:val="003945DE"/>
    <w:rsid w:val="00394CCE"/>
    <w:rsid w:val="00395A1D"/>
    <w:rsid w:val="00396444"/>
    <w:rsid w:val="00397EAA"/>
    <w:rsid w:val="003A1163"/>
    <w:rsid w:val="003A1178"/>
    <w:rsid w:val="003A1764"/>
    <w:rsid w:val="003A221A"/>
    <w:rsid w:val="003A3963"/>
    <w:rsid w:val="003A422E"/>
    <w:rsid w:val="003A568A"/>
    <w:rsid w:val="003A56A8"/>
    <w:rsid w:val="003A6433"/>
    <w:rsid w:val="003A6774"/>
    <w:rsid w:val="003A6AA1"/>
    <w:rsid w:val="003A7A6E"/>
    <w:rsid w:val="003B0CF4"/>
    <w:rsid w:val="003B0EE0"/>
    <w:rsid w:val="003B130D"/>
    <w:rsid w:val="003B15CC"/>
    <w:rsid w:val="003B164D"/>
    <w:rsid w:val="003B253D"/>
    <w:rsid w:val="003B2DD5"/>
    <w:rsid w:val="003B2FB5"/>
    <w:rsid w:val="003B4B2E"/>
    <w:rsid w:val="003B528C"/>
    <w:rsid w:val="003B53F9"/>
    <w:rsid w:val="003B677C"/>
    <w:rsid w:val="003B6A03"/>
    <w:rsid w:val="003B6F5C"/>
    <w:rsid w:val="003B7532"/>
    <w:rsid w:val="003C0C96"/>
    <w:rsid w:val="003C0F20"/>
    <w:rsid w:val="003C288B"/>
    <w:rsid w:val="003C5088"/>
    <w:rsid w:val="003C5421"/>
    <w:rsid w:val="003C579D"/>
    <w:rsid w:val="003C6910"/>
    <w:rsid w:val="003C725E"/>
    <w:rsid w:val="003C73D5"/>
    <w:rsid w:val="003C74F1"/>
    <w:rsid w:val="003C7633"/>
    <w:rsid w:val="003D0624"/>
    <w:rsid w:val="003D1A41"/>
    <w:rsid w:val="003D22A9"/>
    <w:rsid w:val="003D255E"/>
    <w:rsid w:val="003D2CB3"/>
    <w:rsid w:val="003D3679"/>
    <w:rsid w:val="003D3928"/>
    <w:rsid w:val="003D394F"/>
    <w:rsid w:val="003D539D"/>
    <w:rsid w:val="003D62D1"/>
    <w:rsid w:val="003D6D5B"/>
    <w:rsid w:val="003D74C9"/>
    <w:rsid w:val="003E0A37"/>
    <w:rsid w:val="003E174B"/>
    <w:rsid w:val="003E2053"/>
    <w:rsid w:val="003E2305"/>
    <w:rsid w:val="003E2314"/>
    <w:rsid w:val="003E28EE"/>
    <w:rsid w:val="003E2EBC"/>
    <w:rsid w:val="003E44B5"/>
    <w:rsid w:val="003E4513"/>
    <w:rsid w:val="003E4ACC"/>
    <w:rsid w:val="003E56DC"/>
    <w:rsid w:val="003E5EC1"/>
    <w:rsid w:val="003E643A"/>
    <w:rsid w:val="003E6865"/>
    <w:rsid w:val="003E6BE2"/>
    <w:rsid w:val="003F0431"/>
    <w:rsid w:val="003F04BD"/>
    <w:rsid w:val="003F05C8"/>
    <w:rsid w:val="003F0A05"/>
    <w:rsid w:val="003F100E"/>
    <w:rsid w:val="003F22B7"/>
    <w:rsid w:val="003F2E58"/>
    <w:rsid w:val="003F3574"/>
    <w:rsid w:val="003F41AC"/>
    <w:rsid w:val="003F4BA4"/>
    <w:rsid w:val="003F5113"/>
    <w:rsid w:val="003F74E0"/>
    <w:rsid w:val="003F7A9A"/>
    <w:rsid w:val="003F7E45"/>
    <w:rsid w:val="00400103"/>
    <w:rsid w:val="0040064A"/>
    <w:rsid w:val="00400818"/>
    <w:rsid w:val="00400A37"/>
    <w:rsid w:val="00400F9C"/>
    <w:rsid w:val="00401D5F"/>
    <w:rsid w:val="00402DC8"/>
    <w:rsid w:val="00402FB2"/>
    <w:rsid w:val="00403E22"/>
    <w:rsid w:val="00404ADB"/>
    <w:rsid w:val="00404C47"/>
    <w:rsid w:val="00405FEE"/>
    <w:rsid w:val="004069F2"/>
    <w:rsid w:val="00406EF2"/>
    <w:rsid w:val="004075EB"/>
    <w:rsid w:val="004078F8"/>
    <w:rsid w:val="004079B5"/>
    <w:rsid w:val="0041016C"/>
    <w:rsid w:val="00410F88"/>
    <w:rsid w:val="00411099"/>
    <w:rsid w:val="00411655"/>
    <w:rsid w:val="00411B20"/>
    <w:rsid w:val="0041298A"/>
    <w:rsid w:val="0041303C"/>
    <w:rsid w:val="00413500"/>
    <w:rsid w:val="004140FC"/>
    <w:rsid w:val="0041469D"/>
    <w:rsid w:val="00414D99"/>
    <w:rsid w:val="004151B2"/>
    <w:rsid w:val="00415A0B"/>
    <w:rsid w:val="00416505"/>
    <w:rsid w:val="00416914"/>
    <w:rsid w:val="00416A2C"/>
    <w:rsid w:val="00416B2E"/>
    <w:rsid w:val="00420213"/>
    <w:rsid w:val="00420858"/>
    <w:rsid w:val="00420ADE"/>
    <w:rsid w:val="004229D6"/>
    <w:rsid w:val="00422A61"/>
    <w:rsid w:val="00422C04"/>
    <w:rsid w:val="0042323B"/>
    <w:rsid w:val="00423727"/>
    <w:rsid w:val="00423756"/>
    <w:rsid w:val="00423766"/>
    <w:rsid w:val="00424011"/>
    <w:rsid w:val="00425C88"/>
    <w:rsid w:val="00425F50"/>
    <w:rsid w:val="00427459"/>
    <w:rsid w:val="004300BA"/>
    <w:rsid w:val="00430BB1"/>
    <w:rsid w:val="0043111C"/>
    <w:rsid w:val="00431321"/>
    <w:rsid w:val="004327F1"/>
    <w:rsid w:val="0043315E"/>
    <w:rsid w:val="00433984"/>
    <w:rsid w:val="00433C5F"/>
    <w:rsid w:val="00434A0A"/>
    <w:rsid w:val="00435733"/>
    <w:rsid w:val="00437103"/>
    <w:rsid w:val="00437692"/>
    <w:rsid w:val="00437DD1"/>
    <w:rsid w:val="004404AF"/>
    <w:rsid w:val="004412BA"/>
    <w:rsid w:val="00441B6A"/>
    <w:rsid w:val="00441D60"/>
    <w:rsid w:val="004424D6"/>
    <w:rsid w:val="004426C6"/>
    <w:rsid w:val="00442840"/>
    <w:rsid w:val="00442B92"/>
    <w:rsid w:val="0044368A"/>
    <w:rsid w:val="00445216"/>
    <w:rsid w:val="00446663"/>
    <w:rsid w:val="004470D6"/>
    <w:rsid w:val="004505D2"/>
    <w:rsid w:val="00450605"/>
    <w:rsid w:val="00450813"/>
    <w:rsid w:val="00451B8B"/>
    <w:rsid w:val="004525B6"/>
    <w:rsid w:val="00454724"/>
    <w:rsid w:val="00454807"/>
    <w:rsid w:val="00454D00"/>
    <w:rsid w:val="00455845"/>
    <w:rsid w:val="00456B72"/>
    <w:rsid w:val="004605CC"/>
    <w:rsid w:val="004610F4"/>
    <w:rsid w:val="00461262"/>
    <w:rsid w:val="004617D9"/>
    <w:rsid w:val="00461A34"/>
    <w:rsid w:val="00461F7E"/>
    <w:rsid w:val="00462158"/>
    <w:rsid w:val="00462939"/>
    <w:rsid w:val="00464109"/>
    <w:rsid w:val="00464224"/>
    <w:rsid w:val="0046424B"/>
    <w:rsid w:val="00465715"/>
    <w:rsid w:val="00465A72"/>
    <w:rsid w:val="00465BEB"/>
    <w:rsid w:val="00466242"/>
    <w:rsid w:val="004701F5"/>
    <w:rsid w:val="00470D21"/>
    <w:rsid w:val="00471192"/>
    <w:rsid w:val="00471C9F"/>
    <w:rsid w:val="00471EB2"/>
    <w:rsid w:val="00472786"/>
    <w:rsid w:val="004732EC"/>
    <w:rsid w:val="0047372C"/>
    <w:rsid w:val="004750CC"/>
    <w:rsid w:val="00475FFA"/>
    <w:rsid w:val="004771AF"/>
    <w:rsid w:val="00477310"/>
    <w:rsid w:val="0047740F"/>
    <w:rsid w:val="0048134B"/>
    <w:rsid w:val="00481A8E"/>
    <w:rsid w:val="004824B2"/>
    <w:rsid w:val="00482B29"/>
    <w:rsid w:val="00482BB6"/>
    <w:rsid w:val="0048346E"/>
    <w:rsid w:val="00483C9E"/>
    <w:rsid w:val="004841CC"/>
    <w:rsid w:val="004860BC"/>
    <w:rsid w:val="00487A11"/>
    <w:rsid w:val="004902C2"/>
    <w:rsid w:val="004906F3"/>
    <w:rsid w:val="0049093D"/>
    <w:rsid w:val="00491D16"/>
    <w:rsid w:val="00494C8D"/>
    <w:rsid w:val="00495309"/>
    <w:rsid w:val="004969E0"/>
    <w:rsid w:val="00496D2A"/>
    <w:rsid w:val="004972D9"/>
    <w:rsid w:val="004A0315"/>
    <w:rsid w:val="004A05CF"/>
    <w:rsid w:val="004A099B"/>
    <w:rsid w:val="004A0A1F"/>
    <w:rsid w:val="004A1339"/>
    <w:rsid w:val="004A190E"/>
    <w:rsid w:val="004A5E33"/>
    <w:rsid w:val="004A6666"/>
    <w:rsid w:val="004A6C3F"/>
    <w:rsid w:val="004A7CA1"/>
    <w:rsid w:val="004B1AEC"/>
    <w:rsid w:val="004B3E13"/>
    <w:rsid w:val="004B552F"/>
    <w:rsid w:val="004B5E24"/>
    <w:rsid w:val="004B6C73"/>
    <w:rsid w:val="004B757B"/>
    <w:rsid w:val="004B7758"/>
    <w:rsid w:val="004C0D88"/>
    <w:rsid w:val="004C15BB"/>
    <w:rsid w:val="004C1E21"/>
    <w:rsid w:val="004C20C7"/>
    <w:rsid w:val="004C241C"/>
    <w:rsid w:val="004C361E"/>
    <w:rsid w:val="004C4818"/>
    <w:rsid w:val="004C48B4"/>
    <w:rsid w:val="004C53CE"/>
    <w:rsid w:val="004C6008"/>
    <w:rsid w:val="004C62E1"/>
    <w:rsid w:val="004C7189"/>
    <w:rsid w:val="004C71C3"/>
    <w:rsid w:val="004C7656"/>
    <w:rsid w:val="004C79E8"/>
    <w:rsid w:val="004D0CF9"/>
    <w:rsid w:val="004D0E2E"/>
    <w:rsid w:val="004D1F42"/>
    <w:rsid w:val="004D2298"/>
    <w:rsid w:val="004D2442"/>
    <w:rsid w:val="004D3537"/>
    <w:rsid w:val="004D38A8"/>
    <w:rsid w:val="004D3C55"/>
    <w:rsid w:val="004D4FF4"/>
    <w:rsid w:val="004D61A3"/>
    <w:rsid w:val="004D6AAA"/>
    <w:rsid w:val="004D6D44"/>
    <w:rsid w:val="004E0016"/>
    <w:rsid w:val="004E0AD8"/>
    <w:rsid w:val="004E0B8E"/>
    <w:rsid w:val="004E17B6"/>
    <w:rsid w:val="004E1D1D"/>
    <w:rsid w:val="004E4F3C"/>
    <w:rsid w:val="004E5126"/>
    <w:rsid w:val="004E51BD"/>
    <w:rsid w:val="004E5577"/>
    <w:rsid w:val="004E5EBB"/>
    <w:rsid w:val="004E69B8"/>
    <w:rsid w:val="004E6D40"/>
    <w:rsid w:val="004E7D56"/>
    <w:rsid w:val="004E7FBC"/>
    <w:rsid w:val="004F07D4"/>
    <w:rsid w:val="004F1BF2"/>
    <w:rsid w:val="004F2105"/>
    <w:rsid w:val="004F2110"/>
    <w:rsid w:val="004F2158"/>
    <w:rsid w:val="004F2C00"/>
    <w:rsid w:val="004F348D"/>
    <w:rsid w:val="004F3F14"/>
    <w:rsid w:val="004F50D6"/>
    <w:rsid w:val="004F52F0"/>
    <w:rsid w:val="004F5FB9"/>
    <w:rsid w:val="004F7C4F"/>
    <w:rsid w:val="004F7F7F"/>
    <w:rsid w:val="00501239"/>
    <w:rsid w:val="0050138F"/>
    <w:rsid w:val="00501467"/>
    <w:rsid w:val="0050160C"/>
    <w:rsid w:val="00501B56"/>
    <w:rsid w:val="00501BD0"/>
    <w:rsid w:val="00502088"/>
    <w:rsid w:val="00503287"/>
    <w:rsid w:val="005033FE"/>
    <w:rsid w:val="005037E5"/>
    <w:rsid w:val="005038DD"/>
    <w:rsid w:val="0050478D"/>
    <w:rsid w:val="00504993"/>
    <w:rsid w:val="00504D82"/>
    <w:rsid w:val="00505DA3"/>
    <w:rsid w:val="00506F29"/>
    <w:rsid w:val="0051472C"/>
    <w:rsid w:val="005160F2"/>
    <w:rsid w:val="005160FD"/>
    <w:rsid w:val="00516B77"/>
    <w:rsid w:val="005212C4"/>
    <w:rsid w:val="005213C9"/>
    <w:rsid w:val="00522012"/>
    <w:rsid w:val="0052252A"/>
    <w:rsid w:val="00522D7E"/>
    <w:rsid w:val="005230CE"/>
    <w:rsid w:val="005241BD"/>
    <w:rsid w:val="00524E0E"/>
    <w:rsid w:val="00525378"/>
    <w:rsid w:val="005262E5"/>
    <w:rsid w:val="00530175"/>
    <w:rsid w:val="005301A4"/>
    <w:rsid w:val="00530331"/>
    <w:rsid w:val="0053337E"/>
    <w:rsid w:val="00533BDC"/>
    <w:rsid w:val="00533E1B"/>
    <w:rsid w:val="005342FA"/>
    <w:rsid w:val="005346AD"/>
    <w:rsid w:val="00534A63"/>
    <w:rsid w:val="00534C99"/>
    <w:rsid w:val="00534CB0"/>
    <w:rsid w:val="00536783"/>
    <w:rsid w:val="00536CCA"/>
    <w:rsid w:val="0053742B"/>
    <w:rsid w:val="005376E5"/>
    <w:rsid w:val="00537A33"/>
    <w:rsid w:val="00537B42"/>
    <w:rsid w:val="00541F46"/>
    <w:rsid w:val="00542101"/>
    <w:rsid w:val="005423CD"/>
    <w:rsid w:val="0054369B"/>
    <w:rsid w:val="00545666"/>
    <w:rsid w:val="00546091"/>
    <w:rsid w:val="005461ED"/>
    <w:rsid w:val="00546AAD"/>
    <w:rsid w:val="00547699"/>
    <w:rsid w:val="005506B7"/>
    <w:rsid w:val="00551F77"/>
    <w:rsid w:val="00552751"/>
    <w:rsid w:val="005528B4"/>
    <w:rsid w:val="00552C8B"/>
    <w:rsid w:val="00553466"/>
    <w:rsid w:val="005543E3"/>
    <w:rsid w:val="0055484F"/>
    <w:rsid w:val="00554BAA"/>
    <w:rsid w:val="0055573B"/>
    <w:rsid w:val="00555A61"/>
    <w:rsid w:val="00557604"/>
    <w:rsid w:val="00560DBF"/>
    <w:rsid w:val="00561476"/>
    <w:rsid w:val="005646B4"/>
    <w:rsid w:val="005654D5"/>
    <w:rsid w:val="00565CD7"/>
    <w:rsid w:val="00566392"/>
    <w:rsid w:val="00567186"/>
    <w:rsid w:val="0057018A"/>
    <w:rsid w:val="00570367"/>
    <w:rsid w:val="00570594"/>
    <w:rsid w:val="00570669"/>
    <w:rsid w:val="00571130"/>
    <w:rsid w:val="00571B61"/>
    <w:rsid w:val="00572ED3"/>
    <w:rsid w:val="0057314B"/>
    <w:rsid w:val="00575023"/>
    <w:rsid w:val="00575890"/>
    <w:rsid w:val="00576640"/>
    <w:rsid w:val="00576BCF"/>
    <w:rsid w:val="005772B3"/>
    <w:rsid w:val="00577BF1"/>
    <w:rsid w:val="00577F73"/>
    <w:rsid w:val="0058003F"/>
    <w:rsid w:val="00581201"/>
    <w:rsid w:val="0058197E"/>
    <w:rsid w:val="005820C8"/>
    <w:rsid w:val="005820D1"/>
    <w:rsid w:val="00582AB0"/>
    <w:rsid w:val="005835FE"/>
    <w:rsid w:val="005837E5"/>
    <w:rsid w:val="00585D22"/>
    <w:rsid w:val="00590277"/>
    <w:rsid w:val="005906F2"/>
    <w:rsid w:val="0059094B"/>
    <w:rsid w:val="005914ED"/>
    <w:rsid w:val="005917A2"/>
    <w:rsid w:val="00592043"/>
    <w:rsid w:val="005929AC"/>
    <w:rsid w:val="00592EBB"/>
    <w:rsid w:val="005944DE"/>
    <w:rsid w:val="005947BB"/>
    <w:rsid w:val="0059482F"/>
    <w:rsid w:val="00594F2D"/>
    <w:rsid w:val="0059512F"/>
    <w:rsid w:val="005959E6"/>
    <w:rsid w:val="00595BEF"/>
    <w:rsid w:val="00595FDD"/>
    <w:rsid w:val="005966AE"/>
    <w:rsid w:val="005969E4"/>
    <w:rsid w:val="005974B2"/>
    <w:rsid w:val="005A0097"/>
    <w:rsid w:val="005A095C"/>
    <w:rsid w:val="005A14CA"/>
    <w:rsid w:val="005A3021"/>
    <w:rsid w:val="005A41D8"/>
    <w:rsid w:val="005A4323"/>
    <w:rsid w:val="005A4962"/>
    <w:rsid w:val="005A540F"/>
    <w:rsid w:val="005A5879"/>
    <w:rsid w:val="005A5940"/>
    <w:rsid w:val="005A7691"/>
    <w:rsid w:val="005B0C23"/>
    <w:rsid w:val="005B2B61"/>
    <w:rsid w:val="005B4A17"/>
    <w:rsid w:val="005B4E80"/>
    <w:rsid w:val="005B5D25"/>
    <w:rsid w:val="005B5D81"/>
    <w:rsid w:val="005B5E01"/>
    <w:rsid w:val="005B74DC"/>
    <w:rsid w:val="005B7737"/>
    <w:rsid w:val="005C0F43"/>
    <w:rsid w:val="005C2F5B"/>
    <w:rsid w:val="005C354E"/>
    <w:rsid w:val="005C4395"/>
    <w:rsid w:val="005C60A4"/>
    <w:rsid w:val="005C65F5"/>
    <w:rsid w:val="005C6D27"/>
    <w:rsid w:val="005D05DC"/>
    <w:rsid w:val="005D0D2D"/>
    <w:rsid w:val="005D17A4"/>
    <w:rsid w:val="005D1C02"/>
    <w:rsid w:val="005D1C08"/>
    <w:rsid w:val="005D1E07"/>
    <w:rsid w:val="005D3AFC"/>
    <w:rsid w:val="005D3C25"/>
    <w:rsid w:val="005D3E0B"/>
    <w:rsid w:val="005D3FBD"/>
    <w:rsid w:val="005D45EA"/>
    <w:rsid w:val="005D46D0"/>
    <w:rsid w:val="005D4863"/>
    <w:rsid w:val="005D4DB7"/>
    <w:rsid w:val="005D5064"/>
    <w:rsid w:val="005D555D"/>
    <w:rsid w:val="005D75F7"/>
    <w:rsid w:val="005D7C40"/>
    <w:rsid w:val="005D7EAD"/>
    <w:rsid w:val="005E0444"/>
    <w:rsid w:val="005E0937"/>
    <w:rsid w:val="005E1AC1"/>
    <w:rsid w:val="005E21C0"/>
    <w:rsid w:val="005E4775"/>
    <w:rsid w:val="005E58BD"/>
    <w:rsid w:val="005E7EC1"/>
    <w:rsid w:val="005E7EE7"/>
    <w:rsid w:val="005F0002"/>
    <w:rsid w:val="005F1BC1"/>
    <w:rsid w:val="005F3860"/>
    <w:rsid w:val="005F3F4A"/>
    <w:rsid w:val="005F45D0"/>
    <w:rsid w:val="005F5102"/>
    <w:rsid w:val="005F6145"/>
    <w:rsid w:val="005F6E50"/>
    <w:rsid w:val="0060086A"/>
    <w:rsid w:val="00600B6E"/>
    <w:rsid w:val="0060108A"/>
    <w:rsid w:val="0060132F"/>
    <w:rsid w:val="006014C5"/>
    <w:rsid w:val="00602AC7"/>
    <w:rsid w:val="00602C63"/>
    <w:rsid w:val="006030A4"/>
    <w:rsid w:val="00603887"/>
    <w:rsid w:val="00603F0D"/>
    <w:rsid w:val="0060588B"/>
    <w:rsid w:val="00605BD6"/>
    <w:rsid w:val="00605D92"/>
    <w:rsid w:val="00606EC8"/>
    <w:rsid w:val="00606FD7"/>
    <w:rsid w:val="00607FA4"/>
    <w:rsid w:val="0061090A"/>
    <w:rsid w:val="00611198"/>
    <w:rsid w:val="006117B7"/>
    <w:rsid w:val="00611E54"/>
    <w:rsid w:val="00612202"/>
    <w:rsid w:val="0061224B"/>
    <w:rsid w:val="006125E4"/>
    <w:rsid w:val="00612720"/>
    <w:rsid w:val="0061464E"/>
    <w:rsid w:val="00614967"/>
    <w:rsid w:val="006149AB"/>
    <w:rsid w:val="00614BE7"/>
    <w:rsid w:val="0061561F"/>
    <w:rsid w:val="00617746"/>
    <w:rsid w:val="006178CC"/>
    <w:rsid w:val="00617EF8"/>
    <w:rsid w:val="00621D0D"/>
    <w:rsid w:val="006224E4"/>
    <w:rsid w:val="0062297C"/>
    <w:rsid w:val="00622B80"/>
    <w:rsid w:val="006236D0"/>
    <w:rsid w:val="00623D6F"/>
    <w:rsid w:val="0062506E"/>
    <w:rsid w:val="006260F5"/>
    <w:rsid w:val="006261FE"/>
    <w:rsid w:val="00626F3C"/>
    <w:rsid w:val="00626FDD"/>
    <w:rsid w:val="00627AA9"/>
    <w:rsid w:val="006300C8"/>
    <w:rsid w:val="00630BE4"/>
    <w:rsid w:val="00630D61"/>
    <w:rsid w:val="0063136C"/>
    <w:rsid w:val="0063140D"/>
    <w:rsid w:val="00632DC0"/>
    <w:rsid w:val="0063467E"/>
    <w:rsid w:val="00635FBE"/>
    <w:rsid w:val="006376CF"/>
    <w:rsid w:val="00637B0C"/>
    <w:rsid w:val="00640385"/>
    <w:rsid w:val="00640B19"/>
    <w:rsid w:val="00640CB3"/>
    <w:rsid w:val="00640D33"/>
    <w:rsid w:val="00640F67"/>
    <w:rsid w:val="006422DD"/>
    <w:rsid w:val="0064234C"/>
    <w:rsid w:val="00642824"/>
    <w:rsid w:val="0064360E"/>
    <w:rsid w:val="00643D94"/>
    <w:rsid w:val="0064473B"/>
    <w:rsid w:val="00644FE4"/>
    <w:rsid w:val="0064505C"/>
    <w:rsid w:val="006457C0"/>
    <w:rsid w:val="00647903"/>
    <w:rsid w:val="0065115D"/>
    <w:rsid w:val="006519EF"/>
    <w:rsid w:val="00653C12"/>
    <w:rsid w:val="006543DF"/>
    <w:rsid w:val="00655180"/>
    <w:rsid w:val="00656172"/>
    <w:rsid w:val="00656432"/>
    <w:rsid w:val="00657B5B"/>
    <w:rsid w:val="00660FD2"/>
    <w:rsid w:val="00661FC7"/>
    <w:rsid w:val="006622C6"/>
    <w:rsid w:val="006626ED"/>
    <w:rsid w:val="00663ECB"/>
    <w:rsid w:val="006651CA"/>
    <w:rsid w:val="00665322"/>
    <w:rsid w:val="00666E0E"/>
    <w:rsid w:val="006678EC"/>
    <w:rsid w:val="00667E52"/>
    <w:rsid w:val="00670252"/>
    <w:rsid w:val="00672CE5"/>
    <w:rsid w:val="0067306B"/>
    <w:rsid w:val="006740E6"/>
    <w:rsid w:val="00674C4F"/>
    <w:rsid w:val="006757D9"/>
    <w:rsid w:val="00677063"/>
    <w:rsid w:val="006820E8"/>
    <w:rsid w:val="0068244C"/>
    <w:rsid w:val="006825C6"/>
    <w:rsid w:val="00682882"/>
    <w:rsid w:val="00682E09"/>
    <w:rsid w:val="00683856"/>
    <w:rsid w:val="0068558C"/>
    <w:rsid w:val="006855B8"/>
    <w:rsid w:val="0068628F"/>
    <w:rsid w:val="00687BD2"/>
    <w:rsid w:val="00687CF5"/>
    <w:rsid w:val="00690497"/>
    <w:rsid w:val="00690CDB"/>
    <w:rsid w:val="00691281"/>
    <w:rsid w:val="00691669"/>
    <w:rsid w:val="00691A78"/>
    <w:rsid w:val="00691F1F"/>
    <w:rsid w:val="0069229A"/>
    <w:rsid w:val="00692630"/>
    <w:rsid w:val="00694573"/>
    <w:rsid w:val="00694BEC"/>
    <w:rsid w:val="00694CDF"/>
    <w:rsid w:val="00695E41"/>
    <w:rsid w:val="00695E46"/>
    <w:rsid w:val="00696174"/>
    <w:rsid w:val="006966C9"/>
    <w:rsid w:val="00696A19"/>
    <w:rsid w:val="0069759D"/>
    <w:rsid w:val="006A07C8"/>
    <w:rsid w:val="006A1A84"/>
    <w:rsid w:val="006A26EA"/>
    <w:rsid w:val="006A3BD4"/>
    <w:rsid w:val="006A41A4"/>
    <w:rsid w:val="006A5197"/>
    <w:rsid w:val="006A537C"/>
    <w:rsid w:val="006A53C5"/>
    <w:rsid w:val="006A5762"/>
    <w:rsid w:val="006A648B"/>
    <w:rsid w:val="006A7012"/>
    <w:rsid w:val="006A7BF0"/>
    <w:rsid w:val="006B0785"/>
    <w:rsid w:val="006B0933"/>
    <w:rsid w:val="006B2649"/>
    <w:rsid w:val="006B277D"/>
    <w:rsid w:val="006B361B"/>
    <w:rsid w:val="006B6171"/>
    <w:rsid w:val="006C082D"/>
    <w:rsid w:val="006C29DA"/>
    <w:rsid w:val="006C340C"/>
    <w:rsid w:val="006C3949"/>
    <w:rsid w:val="006C428E"/>
    <w:rsid w:val="006C4386"/>
    <w:rsid w:val="006C45A4"/>
    <w:rsid w:val="006C504A"/>
    <w:rsid w:val="006C5074"/>
    <w:rsid w:val="006C52B0"/>
    <w:rsid w:val="006C6416"/>
    <w:rsid w:val="006C6C47"/>
    <w:rsid w:val="006D011E"/>
    <w:rsid w:val="006D11F6"/>
    <w:rsid w:val="006D2E8B"/>
    <w:rsid w:val="006D31BA"/>
    <w:rsid w:val="006D493B"/>
    <w:rsid w:val="006D4A74"/>
    <w:rsid w:val="006D59E4"/>
    <w:rsid w:val="006D637A"/>
    <w:rsid w:val="006E06C2"/>
    <w:rsid w:val="006E0DC9"/>
    <w:rsid w:val="006E0F60"/>
    <w:rsid w:val="006E1198"/>
    <w:rsid w:val="006E182D"/>
    <w:rsid w:val="006E32E1"/>
    <w:rsid w:val="006E6550"/>
    <w:rsid w:val="006E72A1"/>
    <w:rsid w:val="006E7521"/>
    <w:rsid w:val="006E7557"/>
    <w:rsid w:val="006E7855"/>
    <w:rsid w:val="006F11E1"/>
    <w:rsid w:val="006F27DC"/>
    <w:rsid w:val="006F2849"/>
    <w:rsid w:val="006F3D8F"/>
    <w:rsid w:val="006F3E31"/>
    <w:rsid w:val="006F455A"/>
    <w:rsid w:val="006F4FF3"/>
    <w:rsid w:val="006F7D1F"/>
    <w:rsid w:val="006F7F38"/>
    <w:rsid w:val="007009E2"/>
    <w:rsid w:val="007015A1"/>
    <w:rsid w:val="00701BA7"/>
    <w:rsid w:val="00702030"/>
    <w:rsid w:val="0070214E"/>
    <w:rsid w:val="00703BF6"/>
    <w:rsid w:val="00703F12"/>
    <w:rsid w:val="00704423"/>
    <w:rsid w:val="00704D30"/>
    <w:rsid w:val="007057BA"/>
    <w:rsid w:val="00706116"/>
    <w:rsid w:val="007069EE"/>
    <w:rsid w:val="007115B9"/>
    <w:rsid w:val="00711C0D"/>
    <w:rsid w:val="00711DAC"/>
    <w:rsid w:val="007138DD"/>
    <w:rsid w:val="00713F2F"/>
    <w:rsid w:val="00714DD5"/>
    <w:rsid w:val="00714F11"/>
    <w:rsid w:val="00715DA1"/>
    <w:rsid w:val="007204BE"/>
    <w:rsid w:val="00720DF6"/>
    <w:rsid w:val="00721D59"/>
    <w:rsid w:val="00722689"/>
    <w:rsid w:val="00722A73"/>
    <w:rsid w:val="00722F3D"/>
    <w:rsid w:val="00723A28"/>
    <w:rsid w:val="00724239"/>
    <w:rsid w:val="0072443A"/>
    <w:rsid w:val="00724A95"/>
    <w:rsid w:val="00725620"/>
    <w:rsid w:val="00726B61"/>
    <w:rsid w:val="00726B87"/>
    <w:rsid w:val="007307CE"/>
    <w:rsid w:val="00730FEF"/>
    <w:rsid w:val="00731100"/>
    <w:rsid w:val="0073164A"/>
    <w:rsid w:val="00731D2C"/>
    <w:rsid w:val="00732551"/>
    <w:rsid w:val="007325B3"/>
    <w:rsid w:val="00733B08"/>
    <w:rsid w:val="00733CBD"/>
    <w:rsid w:val="00733ECB"/>
    <w:rsid w:val="007344E2"/>
    <w:rsid w:val="00734647"/>
    <w:rsid w:val="007354A9"/>
    <w:rsid w:val="00735683"/>
    <w:rsid w:val="007362F7"/>
    <w:rsid w:val="00737042"/>
    <w:rsid w:val="0073737F"/>
    <w:rsid w:val="007377BC"/>
    <w:rsid w:val="00740919"/>
    <w:rsid w:val="00740B1C"/>
    <w:rsid w:val="007429B1"/>
    <w:rsid w:val="0074341B"/>
    <w:rsid w:val="00743558"/>
    <w:rsid w:val="007436FF"/>
    <w:rsid w:val="00743753"/>
    <w:rsid w:val="00743E5F"/>
    <w:rsid w:val="00744408"/>
    <w:rsid w:val="0074586D"/>
    <w:rsid w:val="00745CEB"/>
    <w:rsid w:val="00746925"/>
    <w:rsid w:val="0074705D"/>
    <w:rsid w:val="0074791E"/>
    <w:rsid w:val="007510D1"/>
    <w:rsid w:val="00751776"/>
    <w:rsid w:val="0075278E"/>
    <w:rsid w:val="00753387"/>
    <w:rsid w:val="00753F8E"/>
    <w:rsid w:val="007547B3"/>
    <w:rsid w:val="00755647"/>
    <w:rsid w:val="00756B79"/>
    <w:rsid w:val="00756D7E"/>
    <w:rsid w:val="00756FA3"/>
    <w:rsid w:val="007572AF"/>
    <w:rsid w:val="007579EB"/>
    <w:rsid w:val="007600C5"/>
    <w:rsid w:val="0076039A"/>
    <w:rsid w:val="00760715"/>
    <w:rsid w:val="00761617"/>
    <w:rsid w:val="00761F1E"/>
    <w:rsid w:val="0076234B"/>
    <w:rsid w:val="00763B73"/>
    <w:rsid w:val="00763BB8"/>
    <w:rsid w:val="00763BE5"/>
    <w:rsid w:val="007647E5"/>
    <w:rsid w:val="00764D15"/>
    <w:rsid w:val="007652BD"/>
    <w:rsid w:val="00766AC6"/>
    <w:rsid w:val="00767B02"/>
    <w:rsid w:val="00767BFA"/>
    <w:rsid w:val="0077181F"/>
    <w:rsid w:val="00772C90"/>
    <w:rsid w:val="0077328F"/>
    <w:rsid w:val="007740FE"/>
    <w:rsid w:val="00774BBD"/>
    <w:rsid w:val="00774C79"/>
    <w:rsid w:val="00775714"/>
    <w:rsid w:val="007757C1"/>
    <w:rsid w:val="00775E6D"/>
    <w:rsid w:val="007760DD"/>
    <w:rsid w:val="00776119"/>
    <w:rsid w:val="007766C6"/>
    <w:rsid w:val="0077770D"/>
    <w:rsid w:val="00777A7E"/>
    <w:rsid w:val="00777E9D"/>
    <w:rsid w:val="00780B03"/>
    <w:rsid w:val="007813E5"/>
    <w:rsid w:val="00781AFB"/>
    <w:rsid w:val="0078293F"/>
    <w:rsid w:val="00783CD8"/>
    <w:rsid w:val="007849F7"/>
    <w:rsid w:val="00786767"/>
    <w:rsid w:val="007867D9"/>
    <w:rsid w:val="007906DF"/>
    <w:rsid w:val="00790E76"/>
    <w:rsid w:val="00791B46"/>
    <w:rsid w:val="00793B1C"/>
    <w:rsid w:val="0079440F"/>
    <w:rsid w:val="0079497E"/>
    <w:rsid w:val="0079568B"/>
    <w:rsid w:val="00796CEA"/>
    <w:rsid w:val="0079708D"/>
    <w:rsid w:val="00797867"/>
    <w:rsid w:val="00797A3C"/>
    <w:rsid w:val="00797FB3"/>
    <w:rsid w:val="007A0B0B"/>
    <w:rsid w:val="007A2297"/>
    <w:rsid w:val="007A27D2"/>
    <w:rsid w:val="007A2A35"/>
    <w:rsid w:val="007A33D3"/>
    <w:rsid w:val="007A4096"/>
    <w:rsid w:val="007A4520"/>
    <w:rsid w:val="007A45BA"/>
    <w:rsid w:val="007A4AD7"/>
    <w:rsid w:val="007A53D0"/>
    <w:rsid w:val="007A6BBA"/>
    <w:rsid w:val="007A7448"/>
    <w:rsid w:val="007B01D3"/>
    <w:rsid w:val="007B2BA7"/>
    <w:rsid w:val="007B3378"/>
    <w:rsid w:val="007B3894"/>
    <w:rsid w:val="007B48AC"/>
    <w:rsid w:val="007B4D12"/>
    <w:rsid w:val="007B5651"/>
    <w:rsid w:val="007B56FF"/>
    <w:rsid w:val="007B58BB"/>
    <w:rsid w:val="007B5BB6"/>
    <w:rsid w:val="007B7880"/>
    <w:rsid w:val="007B7DAE"/>
    <w:rsid w:val="007B7FC6"/>
    <w:rsid w:val="007C0002"/>
    <w:rsid w:val="007C1C6C"/>
    <w:rsid w:val="007C2BE6"/>
    <w:rsid w:val="007C3346"/>
    <w:rsid w:val="007C36D4"/>
    <w:rsid w:val="007C62E2"/>
    <w:rsid w:val="007C63A4"/>
    <w:rsid w:val="007C729B"/>
    <w:rsid w:val="007D0047"/>
    <w:rsid w:val="007D04B7"/>
    <w:rsid w:val="007D0E30"/>
    <w:rsid w:val="007D1F4E"/>
    <w:rsid w:val="007D2B09"/>
    <w:rsid w:val="007D2CEB"/>
    <w:rsid w:val="007D3F05"/>
    <w:rsid w:val="007D5109"/>
    <w:rsid w:val="007D549C"/>
    <w:rsid w:val="007D5559"/>
    <w:rsid w:val="007D634A"/>
    <w:rsid w:val="007D63E0"/>
    <w:rsid w:val="007D6665"/>
    <w:rsid w:val="007D684E"/>
    <w:rsid w:val="007D7F51"/>
    <w:rsid w:val="007E0050"/>
    <w:rsid w:val="007E221D"/>
    <w:rsid w:val="007E2604"/>
    <w:rsid w:val="007E36D5"/>
    <w:rsid w:val="007E4637"/>
    <w:rsid w:val="007E4B44"/>
    <w:rsid w:val="007E54FD"/>
    <w:rsid w:val="007E57C8"/>
    <w:rsid w:val="007E58D1"/>
    <w:rsid w:val="007E652D"/>
    <w:rsid w:val="007E730A"/>
    <w:rsid w:val="007E76FE"/>
    <w:rsid w:val="007E79F3"/>
    <w:rsid w:val="007F0145"/>
    <w:rsid w:val="007F0688"/>
    <w:rsid w:val="007F0C5F"/>
    <w:rsid w:val="007F18FA"/>
    <w:rsid w:val="007F21C4"/>
    <w:rsid w:val="007F3542"/>
    <w:rsid w:val="007F3A5D"/>
    <w:rsid w:val="007F55C9"/>
    <w:rsid w:val="007F5D69"/>
    <w:rsid w:val="007F5DA8"/>
    <w:rsid w:val="007F666C"/>
    <w:rsid w:val="0080044C"/>
    <w:rsid w:val="00801128"/>
    <w:rsid w:val="00801B50"/>
    <w:rsid w:val="00801E44"/>
    <w:rsid w:val="00801F6D"/>
    <w:rsid w:val="00802025"/>
    <w:rsid w:val="008042A8"/>
    <w:rsid w:val="0080477C"/>
    <w:rsid w:val="00804C92"/>
    <w:rsid w:val="00804CD5"/>
    <w:rsid w:val="0080553F"/>
    <w:rsid w:val="00805AD9"/>
    <w:rsid w:val="0080635A"/>
    <w:rsid w:val="00811363"/>
    <w:rsid w:val="00812307"/>
    <w:rsid w:val="00812F6B"/>
    <w:rsid w:val="0081312E"/>
    <w:rsid w:val="00813149"/>
    <w:rsid w:val="00814B43"/>
    <w:rsid w:val="008159F1"/>
    <w:rsid w:val="00817FE2"/>
    <w:rsid w:val="00821241"/>
    <w:rsid w:val="00821309"/>
    <w:rsid w:val="00822345"/>
    <w:rsid w:val="00822BEF"/>
    <w:rsid w:val="008231C7"/>
    <w:rsid w:val="00823DD6"/>
    <w:rsid w:val="008250F9"/>
    <w:rsid w:val="00825E31"/>
    <w:rsid w:val="0082657B"/>
    <w:rsid w:val="00826A23"/>
    <w:rsid w:val="0082791B"/>
    <w:rsid w:val="00827A26"/>
    <w:rsid w:val="008317CE"/>
    <w:rsid w:val="0083193E"/>
    <w:rsid w:val="00833810"/>
    <w:rsid w:val="00834933"/>
    <w:rsid w:val="00835682"/>
    <w:rsid w:val="00836684"/>
    <w:rsid w:val="0083793F"/>
    <w:rsid w:val="00837B26"/>
    <w:rsid w:val="0084034B"/>
    <w:rsid w:val="008404A2"/>
    <w:rsid w:val="008408C0"/>
    <w:rsid w:val="00840A39"/>
    <w:rsid w:val="00841833"/>
    <w:rsid w:val="00841867"/>
    <w:rsid w:val="00843340"/>
    <w:rsid w:val="00844407"/>
    <w:rsid w:val="00844F4C"/>
    <w:rsid w:val="00845C4C"/>
    <w:rsid w:val="008461F2"/>
    <w:rsid w:val="00846276"/>
    <w:rsid w:val="00846826"/>
    <w:rsid w:val="00846C6D"/>
    <w:rsid w:val="0084782B"/>
    <w:rsid w:val="0084798D"/>
    <w:rsid w:val="00847D21"/>
    <w:rsid w:val="0085072E"/>
    <w:rsid w:val="00850FA7"/>
    <w:rsid w:val="00851FEF"/>
    <w:rsid w:val="00852804"/>
    <w:rsid w:val="00853626"/>
    <w:rsid w:val="0085413A"/>
    <w:rsid w:val="008546D6"/>
    <w:rsid w:val="008558AB"/>
    <w:rsid w:val="00855B0D"/>
    <w:rsid w:val="00855E4B"/>
    <w:rsid w:val="008566D3"/>
    <w:rsid w:val="00856863"/>
    <w:rsid w:val="00857AB4"/>
    <w:rsid w:val="00857D8F"/>
    <w:rsid w:val="008605E8"/>
    <w:rsid w:val="00860A8F"/>
    <w:rsid w:val="00861114"/>
    <w:rsid w:val="00861173"/>
    <w:rsid w:val="00861DE6"/>
    <w:rsid w:val="008625D9"/>
    <w:rsid w:val="00863313"/>
    <w:rsid w:val="008642B9"/>
    <w:rsid w:val="0086496C"/>
    <w:rsid w:val="008670EE"/>
    <w:rsid w:val="008674B6"/>
    <w:rsid w:val="008675F8"/>
    <w:rsid w:val="00870133"/>
    <w:rsid w:val="0087216E"/>
    <w:rsid w:val="00872901"/>
    <w:rsid w:val="00873D15"/>
    <w:rsid w:val="00875BB5"/>
    <w:rsid w:val="00875FBE"/>
    <w:rsid w:val="0087602E"/>
    <w:rsid w:val="0087609D"/>
    <w:rsid w:val="008760CE"/>
    <w:rsid w:val="008767FF"/>
    <w:rsid w:val="00876ACE"/>
    <w:rsid w:val="00876C2E"/>
    <w:rsid w:val="008770D5"/>
    <w:rsid w:val="008778E9"/>
    <w:rsid w:val="0087793F"/>
    <w:rsid w:val="00877FA2"/>
    <w:rsid w:val="00880646"/>
    <w:rsid w:val="00880B6C"/>
    <w:rsid w:val="00881021"/>
    <w:rsid w:val="008811C9"/>
    <w:rsid w:val="008816D4"/>
    <w:rsid w:val="008820BA"/>
    <w:rsid w:val="00882EA7"/>
    <w:rsid w:val="00882FA4"/>
    <w:rsid w:val="00883479"/>
    <w:rsid w:val="008845DA"/>
    <w:rsid w:val="00885F5F"/>
    <w:rsid w:val="008865FC"/>
    <w:rsid w:val="0088750C"/>
    <w:rsid w:val="008903ED"/>
    <w:rsid w:val="00890829"/>
    <w:rsid w:val="0089089E"/>
    <w:rsid w:val="00890F46"/>
    <w:rsid w:val="00891859"/>
    <w:rsid w:val="00892532"/>
    <w:rsid w:val="00893056"/>
    <w:rsid w:val="008939F1"/>
    <w:rsid w:val="0089541E"/>
    <w:rsid w:val="008956F2"/>
    <w:rsid w:val="00896A28"/>
    <w:rsid w:val="00897CB4"/>
    <w:rsid w:val="008A01FB"/>
    <w:rsid w:val="008A027D"/>
    <w:rsid w:val="008A0634"/>
    <w:rsid w:val="008A1FA7"/>
    <w:rsid w:val="008A2146"/>
    <w:rsid w:val="008A2D58"/>
    <w:rsid w:val="008A3F34"/>
    <w:rsid w:val="008A5119"/>
    <w:rsid w:val="008A537D"/>
    <w:rsid w:val="008A5801"/>
    <w:rsid w:val="008A6E74"/>
    <w:rsid w:val="008A74C5"/>
    <w:rsid w:val="008B0011"/>
    <w:rsid w:val="008B00A9"/>
    <w:rsid w:val="008B10AD"/>
    <w:rsid w:val="008B18DE"/>
    <w:rsid w:val="008B2B7B"/>
    <w:rsid w:val="008B544C"/>
    <w:rsid w:val="008B5FC6"/>
    <w:rsid w:val="008B613C"/>
    <w:rsid w:val="008B6AE8"/>
    <w:rsid w:val="008B77EA"/>
    <w:rsid w:val="008B786D"/>
    <w:rsid w:val="008C0908"/>
    <w:rsid w:val="008C124C"/>
    <w:rsid w:val="008C2CDE"/>
    <w:rsid w:val="008C3FF8"/>
    <w:rsid w:val="008C54E4"/>
    <w:rsid w:val="008C57B7"/>
    <w:rsid w:val="008C61FD"/>
    <w:rsid w:val="008C6424"/>
    <w:rsid w:val="008C7196"/>
    <w:rsid w:val="008D058D"/>
    <w:rsid w:val="008D06DB"/>
    <w:rsid w:val="008D0E4D"/>
    <w:rsid w:val="008D0ECD"/>
    <w:rsid w:val="008D0F51"/>
    <w:rsid w:val="008D250E"/>
    <w:rsid w:val="008D374E"/>
    <w:rsid w:val="008D4634"/>
    <w:rsid w:val="008D4864"/>
    <w:rsid w:val="008D4B21"/>
    <w:rsid w:val="008D6566"/>
    <w:rsid w:val="008D65B4"/>
    <w:rsid w:val="008D6785"/>
    <w:rsid w:val="008D67B7"/>
    <w:rsid w:val="008D7EE2"/>
    <w:rsid w:val="008E008D"/>
    <w:rsid w:val="008E06F0"/>
    <w:rsid w:val="008E0F05"/>
    <w:rsid w:val="008E112B"/>
    <w:rsid w:val="008E1249"/>
    <w:rsid w:val="008E249E"/>
    <w:rsid w:val="008E2D87"/>
    <w:rsid w:val="008E2E11"/>
    <w:rsid w:val="008E45B9"/>
    <w:rsid w:val="008E47A7"/>
    <w:rsid w:val="008E49EC"/>
    <w:rsid w:val="008E4D5A"/>
    <w:rsid w:val="008E5C8B"/>
    <w:rsid w:val="008E5E2F"/>
    <w:rsid w:val="008E6EE6"/>
    <w:rsid w:val="008E755F"/>
    <w:rsid w:val="008E7A59"/>
    <w:rsid w:val="008E7F33"/>
    <w:rsid w:val="008F02E3"/>
    <w:rsid w:val="008F08EC"/>
    <w:rsid w:val="008F0E94"/>
    <w:rsid w:val="008F1430"/>
    <w:rsid w:val="008F219E"/>
    <w:rsid w:val="008F3360"/>
    <w:rsid w:val="008F3409"/>
    <w:rsid w:val="008F3588"/>
    <w:rsid w:val="008F3614"/>
    <w:rsid w:val="008F4753"/>
    <w:rsid w:val="008F4DBA"/>
    <w:rsid w:val="008F4EB2"/>
    <w:rsid w:val="008F5480"/>
    <w:rsid w:val="008F5A2E"/>
    <w:rsid w:val="008F5AC0"/>
    <w:rsid w:val="008F5D52"/>
    <w:rsid w:val="008F768F"/>
    <w:rsid w:val="008F7CEA"/>
    <w:rsid w:val="0090031B"/>
    <w:rsid w:val="00900A30"/>
    <w:rsid w:val="009018E9"/>
    <w:rsid w:val="0090261A"/>
    <w:rsid w:val="009029BE"/>
    <w:rsid w:val="00905656"/>
    <w:rsid w:val="00905D39"/>
    <w:rsid w:val="009064AB"/>
    <w:rsid w:val="00907BCC"/>
    <w:rsid w:val="00907E0F"/>
    <w:rsid w:val="00910056"/>
    <w:rsid w:val="00910663"/>
    <w:rsid w:val="00910C02"/>
    <w:rsid w:val="00910E74"/>
    <w:rsid w:val="00911672"/>
    <w:rsid w:val="00911C0C"/>
    <w:rsid w:val="00911E37"/>
    <w:rsid w:val="009127A2"/>
    <w:rsid w:val="00912E63"/>
    <w:rsid w:val="00913244"/>
    <w:rsid w:val="009142E3"/>
    <w:rsid w:val="0091486F"/>
    <w:rsid w:val="00914D75"/>
    <w:rsid w:val="009162E0"/>
    <w:rsid w:val="00917BD7"/>
    <w:rsid w:val="00920778"/>
    <w:rsid w:val="00920EBA"/>
    <w:rsid w:val="0092121A"/>
    <w:rsid w:val="0092199F"/>
    <w:rsid w:val="009227AB"/>
    <w:rsid w:val="009243C8"/>
    <w:rsid w:val="00924876"/>
    <w:rsid w:val="00924AE4"/>
    <w:rsid w:val="009253DD"/>
    <w:rsid w:val="00925787"/>
    <w:rsid w:val="00925EF4"/>
    <w:rsid w:val="009263B0"/>
    <w:rsid w:val="009265AB"/>
    <w:rsid w:val="00927B8E"/>
    <w:rsid w:val="00931233"/>
    <w:rsid w:val="00931AF6"/>
    <w:rsid w:val="00932114"/>
    <w:rsid w:val="0093279C"/>
    <w:rsid w:val="0093429D"/>
    <w:rsid w:val="00934A2F"/>
    <w:rsid w:val="00935023"/>
    <w:rsid w:val="009351B2"/>
    <w:rsid w:val="00935A65"/>
    <w:rsid w:val="00935C2E"/>
    <w:rsid w:val="009366FC"/>
    <w:rsid w:val="00936A46"/>
    <w:rsid w:val="00936A81"/>
    <w:rsid w:val="00937AFB"/>
    <w:rsid w:val="00937E78"/>
    <w:rsid w:val="00937F62"/>
    <w:rsid w:val="00941FFB"/>
    <w:rsid w:val="009428EA"/>
    <w:rsid w:val="0094397C"/>
    <w:rsid w:val="00944092"/>
    <w:rsid w:val="009440F6"/>
    <w:rsid w:val="0094432D"/>
    <w:rsid w:val="009446C0"/>
    <w:rsid w:val="0094498F"/>
    <w:rsid w:val="00944B5C"/>
    <w:rsid w:val="009454BE"/>
    <w:rsid w:val="00946F2B"/>
    <w:rsid w:val="009476C1"/>
    <w:rsid w:val="00947750"/>
    <w:rsid w:val="00950E79"/>
    <w:rsid w:val="00951417"/>
    <w:rsid w:val="00951504"/>
    <w:rsid w:val="00951E71"/>
    <w:rsid w:val="00951EC9"/>
    <w:rsid w:val="00952A20"/>
    <w:rsid w:val="009535F2"/>
    <w:rsid w:val="009548FB"/>
    <w:rsid w:val="00954E55"/>
    <w:rsid w:val="00955A2D"/>
    <w:rsid w:val="00956559"/>
    <w:rsid w:val="00956A91"/>
    <w:rsid w:val="00956C25"/>
    <w:rsid w:val="00956CC3"/>
    <w:rsid w:val="009575CD"/>
    <w:rsid w:val="00960117"/>
    <w:rsid w:val="009601E0"/>
    <w:rsid w:val="00960964"/>
    <w:rsid w:val="009609B3"/>
    <w:rsid w:val="00960A9E"/>
    <w:rsid w:val="009612DF"/>
    <w:rsid w:val="009615FD"/>
    <w:rsid w:val="009636AB"/>
    <w:rsid w:val="009661B5"/>
    <w:rsid w:val="009669A5"/>
    <w:rsid w:val="00966BAF"/>
    <w:rsid w:val="00966E84"/>
    <w:rsid w:val="0096718B"/>
    <w:rsid w:val="00967D47"/>
    <w:rsid w:val="00970682"/>
    <w:rsid w:val="00971303"/>
    <w:rsid w:val="0097176D"/>
    <w:rsid w:val="00971F59"/>
    <w:rsid w:val="00972093"/>
    <w:rsid w:val="00972B8A"/>
    <w:rsid w:val="009737BE"/>
    <w:rsid w:val="0097591A"/>
    <w:rsid w:val="00976D5F"/>
    <w:rsid w:val="00977191"/>
    <w:rsid w:val="00977266"/>
    <w:rsid w:val="00977EAF"/>
    <w:rsid w:val="00980010"/>
    <w:rsid w:val="0098095B"/>
    <w:rsid w:val="00981F76"/>
    <w:rsid w:val="00982C29"/>
    <w:rsid w:val="0098328D"/>
    <w:rsid w:val="009836E8"/>
    <w:rsid w:val="009838C6"/>
    <w:rsid w:val="00983CFA"/>
    <w:rsid w:val="00984167"/>
    <w:rsid w:val="00984434"/>
    <w:rsid w:val="00984D9D"/>
    <w:rsid w:val="009855A1"/>
    <w:rsid w:val="00986362"/>
    <w:rsid w:val="00986684"/>
    <w:rsid w:val="00990517"/>
    <w:rsid w:val="0099080E"/>
    <w:rsid w:val="009910BE"/>
    <w:rsid w:val="00992657"/>
    <w:rsid w:val="00992F5B"/>
    <w:rsid w:val="009930C3"/>
    <w:rsid w:val="00993AA4"/>
    <w:rsid w:val="00993ADE"/>
    <w:rsid w:val="0099408C"/>
    <w:rsid w:val="00994978"/>
    <w:rsid w:val="0099511D"/>
    <w:rsid w:val="00995A40"/>
    <w:rsid w:val="00995C59"/>
    <w:rsid w:val="009961FD"/>
    <w:rsid w:val="00996F14"/>
    <w:rsid w:val="00997AB8"/>
    <w:rsid w:val="009A02C1"/>
    <w:rsid w:val="009A2A26"/>
    <w:rsid w:val="009A3CD1"/>
    <w:rsid w:val="009A4F5C"/>
    <w:rsid w:val="009A5F5C"/>
    <w:rsid w:val="009A64ED"/>
    <w:rsid w:val="009A679D"/>
    <w:rsid w:val="009A6DD8"/>
    <w:rsid w:val="009A761E"/>
    <w:rsid w:val="009A77A9"/>
    <w:rsid w:val="009B112E"/>
    <w:rsid w:val="009B16A0"/>
    <w:rsid w:val="009B1FF9"/>
    <w:rsid w:val="009B732E"/>
    <w:rsid w:val="009C09D5"/>
    <w:rsid w:val="009C1618"/>
    <w:rsid w:val="009C31F2"/>
    <w:rsid w:val="009C393F"/>
    <w:rsid w:val="009C46D4"/>
    <w:rsid w:val="009C4B8E"/>
    <w:rsid w:val="009C57E8"/>
    <w:rsid w:val="009C5B51"/>
    <w:rsid w:val="009C5E8F"/>
    <w:rsid w:val="009C6E65"/>
    <w:rsid w:val="009C752C"/>
    <w:rsid w:val="009C78DA"/>
    <w:rsid w:val="009C7A24"/>
    <w:rsid w:val="009D00CC"/>
    <w:rsid w:val="009D0FB6"/>
    <w:rsid w:val="009D1AF6"/>
    <w:rsid w:val="009D1CE5"/>
    <w:rsid w:val="009D2453"/>
    <w:rsid w:val="009D31B7"/>
    <w:rsid w:val="009D45FC"/>
    <w:rsid w:val="009D4B6B"/>
    <w:rsid w:val="009D4C4F"/>
    <w:rsid w:val="009D55B1"/>
    <w:rsid w:val="009D708B"/>
    <w:rsid w:val="009D7CAA"/>
    <w:rsid w:val="009E078C"/>
    <w:rsid w:val="009E07F7"/>
    <w:rsid w:val="009E088F"/>
    <w:rsid w:val="009E0EA4"/>
    <w:rsid w:val="009E1DEE"/>
    <w:rsid w:val="009E2E59"/>
    <w:rsid w:val="009E332C"/>
    <w:rsid w:val="009E45D6"/>
    <w:rsid w:val="009E4C4E"/>
    <w:rsid w:val="009E4DF4"/>
    <w:rsid w:val="009E57C0"/>
    <w:rsid w:val="009E5BCD"/>
    <w:rsid w:val="009E7127"/>
    <w:rsid w:val="009E71D6"/>
    <w:rsid w:val="009F0512"/>
    <w:rsid w:val="009F0620"/>
    <w:rsid w:val="009F1B43"/>
    <w:rsid w:val="009F2E3A"/>
    <w:rsid w:val="009F315B"/>
    <w:rsid w:val="009F5715"/>
    <w:rsid w:val="009F59EE"/>
    <w:rsid w:val="009F5A54"/>
    <w:rsid w:val="009F6180"/>
    <w:rsid w:val="009F6351"/>
    <w:rsid w:val="009F648B"/>
    <w:rsid w:val="009F6ED5"/>
    <w:rsid w:val="009F7104"/>
    <w:rsid w:val="009F7148"/>
    <w:rsid w:val="00A0048C"/>
    <w:rsid w:val="00A00D60"/>
    <w:rsid w:val="00A01414"/>
    <w:rsid w:val="00A029AA"/>
    <w:rsid w:val="00A040D2"/>
    <w:rsid w:val="00A0562F"/>
    <w:rsid w:val="00A059A7"/>
    <w:rsid w:val="00A06D54"/>
    <w:rsid w:val="00A111BF"/>
    <w:rsid w:val="00A11697"/>
    <w:rsid w:val="00A11EBF"/>
    <w:rsid w:val="00A13AA9"/>
    <w:rsid w:val="00A140D4"/>
    <w:rsid w:val="00A148AE"/>
    <w:rsid w:val="00A14A40"/>
    <w:rsid w:val="00A15343"/>
    <w:rsid w:val="00A15947"/>
    <w:rsid w:val="00A161F4"/>
    <w:rsid w:val="00A1662D"/>
    <w:rsid w:val="00A176B2"/>
    <w:rsid w:val="00A1771D"/>
    <w:rsid w:val="00A17810"/>
    <w:rsid w:val="00A17B8B"/>
    <w:rsid w:val="00A2150E"/>
    <w:rsid w:val="00A2157A"/>
    <w:rsid w:val="00A21644"/>
    <w:rsid w:val="00A21F29"/>
    <w:rsid w:val="00A22685"/>
    <w:rsid w:val="00A22B45"/>
    <w:rsid w:val="00A22EE6"/>
    <w:rsid w:val="00A22F90"/>
    <w:rsid w:val="00A23552"/>
    <w:rsid w:val="00A23625"/>
    <w:rsid w:val="00A23759"/>
    <w:rsid w:val="00A245AF"/>
    <w:rsid w:val="00A24824"/>
    <w:rsid w:val="00A24E97"/>
    <w:rsid w:val="00A256EA"/>
    <w:rsid w:val="00A26A15"/>
    <w:rsid w:val="00A305EE"/>
    <w:rsid w:val="00A32D33"/>
    <w:rsid w:val="00A330E1"/>
    <w:rsid w:val="00A3342F"/>
    <w:rsid w:val="00A3351B"/>
    <w:rsid w:val="00A33729"/>
    <w:rsid w:val="00A3609D"/>
    <w:rsid w:val="00A362C8"/>
    <w:rsid w:val="00A364D9"/>
    <w:rsid w:val="00A36B60"/>
    <w:rsid w:val="00A371F4"/>
    <w:rsid w:val="00A373C2"/>
    <w:rsid w:val="00A37A60"/>
    <w:rsid w:val="00A40C45"/>
    <w:rsid w:val="00A40CC7"/>
    <w:rsid w:val="00A422CF"/>
    <w:rsid w:val="00A431CE"/>
    <w:rsid w:val="00A4323E"/>
    <w:rsid w:val="00A43615"/>
    <w:rsid w:val="00A46629"/>
    <w:rsid w:val="00A46C39"/>
    <w:rsid w:val="00A47DED"/>
    <w:rsid w:val="00A5043A"/>
    <w:rsid w:val="00A519CA"/>
    <w:rsid w:val="00A529D4"/>
    <w:rsid w:val="00A52FE1"/>
    <w:rsid w:val="00A54563"/>
    <w:rsid w:val="00A54B99"/>
    <w:rsid w:val="00A54BAD"/>
    <w:rsid w:val="00A554B3"/>
    <w:rsid w:val="00A56154"/>
    <w:rsid w:val="00A56194"/>
    <w:rsid w:val="00A601C0"/>
    <w:rsid w:val="00A601DE"/>
    <w:rsid w:val="00A60667"/>
    <w:rsid w:val="00A60E8A"/>
    <w:rsid w:val="00A614D5"/>
    <w:rsid w:val="00A61861"/>
    <w:rsid w:val="00A620E1"/>
    <w:rsid w:val="00A64878"/>
    <w:rsid w:val="00A66B3A"/>
    <w:rsid w:val="00A67992"/>
    <w:rsid w:val="00A67D55"/>
    <w:rsid w:val="00A70D78"/>
    <w:rsid w:val="00A72047"/>
    <w:rsid w:val="00A72D97"/>
    <w:rsid w:val="00A730CC"/>
    <w:rsid w:val="00A73779"/>
    <w:rsid w:val="00A73F54"/>
    <w:rsid w:val="00A745E1"/>
    <w:rsid w:val="00A74694"/>
    <w:rsid w:val="00A75BAC"/>
    <w:rsid w:val="00A76078"/>
    <w:rsid w:val="00A76309"/>
    <w:rsid w:val="00A7740C"/>
    <w:rsid w:val="00A77565"/>
    <w:rsid w:val="00A77F86"/>
    <w:rsid w:val="00A80021"/>
    <w:rsid w:val="00A80646"/>
    <w:rsid w:val="00A81494"/>
    <w:rsid w:val="00A81902"/>
    <w:rsid w:val="00A81EBD"/>
    <w:rsid w:val="00A82594"/>
    <w:rsid w:val="00A8635B"/>
    <w:rsid w:val="00A86367"/>
    <w:rsid w:val="00A86F81"/>
    <w:rsid w:val="00A87210"/>
    <w:rsid w:val="00A905EE"/>
    <w:rsid w:val="00A9077F"/>
    <w:rsid w:val="00A91816"/>
    <w:rsid w:val="00A948B4"/>
    <w:rsid w:val="00A97440"/>
    <w:rsid w:val="00A97F74"/>
    <w:rsid w:val="00AA0392"/>
    <w:rsid w:val="00AA0998"/>
    <w:rsid w:val="00AA0AF0"/>
    <w:rsid w:val="00AA0DE4"/>
    <w:rsid w:val="00AA1D7E"/>
    <w:rsid w:val="00AA2769"/>
    <w:rsid w:val="00AA2A11"/>
    <w:rsid w:val="00AA3DFC"/>
    <w:rsid w:val="00AA48C4"/>
    <w:rsid w:val="00AA5235"/>
    <w:rsid w:val="00AA7172"/>
    <w:rsid w:val="00AB0784"/>
    <w:rsid w:val="00AB0B1B"/>
    <w:rsid w:val="00AB0C51"/>
    <w:rsid w:val="00AB147E"/>
    <w:rsid w:val="00AB1657"/>
    <w:rsid w:val="00AB1790"/>
    <w:rsid w:val="00AB236E"/>
    <w:rsid w:val="00AB3110"/>
    <w:rsid w:val="00AB4467"/>
    <w:rsid w:val="00AB46A1"/>
    <w:rsid w:val="00AB48E4"/>
    <w:rsid w:val="00AB4BC4"/>
    <w:rsid w:val="00AB71E3"/>
    <w:rsid w:val="00AB752C"/>
    <w:rsid w:val="00AB7770"/>
    <w:rsid w:val="00AB7AB1"/>
    <w:rsid w:val="00AB7BD1"/>
    <w:rsid w:val="00AC138D"/>
    <w:rsid w:val="00AC1792"/>
    <w:rsid w:val="00AC1FD4"/>
    <w:rsid w:val="00AC3B99"/>
    <w:rsid w:val="00AC3E31"/>
    <w:rsid w:val="00AC4B1F"/>
    <w:rsid w:val="00AC6716"/>
    <w:rsid w:val="00AC76B6"/>
    <w:rsid w:val="00AD004D"/>
    <w:rsid w:val="00AD0F27"/>
    <w:rsid w:val="00AD1800"/>
    <w:rsid w:val="00AD1921"/>
    <w:rsid w:val="00AD1D57"/>
    <w:rsid w:val="00AD219F"/>
    <w:rsid w:val="00AD2A86"/>
    <w:rsid w:val="00AD2CD2"/>
    <w:rsid w:val="00AD37DA"/>
    <w:rsid w:val="00AD3B49"/>
    <w:rsid w:val="00AD4B6E"/>
    <w:rsid w:val="00AD61DB"/>
    <w:rsid w:val="00AD67ED"/>
    <w:rsid w:val="00AD6CB5"/>
    <w:rsid w:val="00AD79EF"/>
    <w:rsid w:val="00AD7A4B"/>
    <w:rsid w:val="00AE0161"/>
    <w:rsid w:val="00AE0349"/>
    <w:rsid w:val="00AE1478"/>
    <w:rsid w:val="00AE2B9D"/>
    <w:rsid w:val="00AE5874"/>
    <w:rsid w:val="00AE6A79"/>
    <w:rsid w:val="00AE7CDC"/>
    <w:rsid w:val="00AE7D7D"/>
    <w:rsid w:val="00AF059E"/>
    <w:rsid w:val="00AF0718"/>
    <w:rsid w:val="00AF0C2B"/>
    <w:rsid w:val="00AF106D"/>
    <w:rsid w:val="00AF23C7"/>
    <w:rsid w:val="00AF2406"/>
    <w:rsid w:val="00AF2967"/>
    <w:rsid w:val="00AF2C00"/>
    <w:rsid w:val="00AF2DCE"/>
    <w:rsid w:val="00AF3162"/>
    <w:rsid w:val="00AF378B"/>
    <w:rsid w:val="00AF3BB9"/>
    <w:rsid w:val="00AF3F8F"/>
    <w:rsid w:val="00AF4E64"/>
    <w:rsid w:val="00AF6AD0"/>
    <w:rsid w:val="00B01264"/>
    <w:rsid w:val="00B0145C"/>
    <w:rsid w:val="00B02876"/>
    <w:rsid w:val="00B044E1"/>
    <w:rsid w:val="00B04808"/>
    <w:rsid w:val="00B05745"/>
    <w:rsid w:val="00B0579E"/>
    <w:rsid w:val="00B05A37"/>
    <w:rsid w:val="00B05A3C"/>
    <w:rsid w:val="00B05A53"/>
    <w:rsid w:val="00B0672A"/>
    <w:rsid w:val="00B10AA6"/>
    <w:rsid w:val="00B10FBD"/>
    <w:rsid w:val="00B11139"/>
    <w:rsid w:val="00B115AF"/>
    <w:rsid w:val="00B1228E"/>
    <w:rsid w:val="00B1301D"/>
    <w:rsid w:val="00B13B66"/>
    <w:rsid w:val="00B14EBD"/>
    <w:rsid w:val="00B1504D"/>
    <w:rsid w:val="00B1570E"/>
    <w:rsid w:val="00B15F5F"/>
    <w:rsid w:val="00B16736"/>
    <w:rsid w:val="00B16A10"/>
    <w:rsid w:val="00B1783C"/>
    <w:rsid w:val="00B17D55"/>
    <w:rsid w:val="00B20141"/>
    <w:rsid w:val="00B205DF"/>
    <w:rsid w:val="00B20D7B"/>
    <w:rsid w:val="00B21D68"/>
    <w:rsid w:val="00B24964"/>
    <w:rsid w:val="00B257B2"/>
    <w:rsid w:val="00B26E5F"/>
    <w:rsid w:val="00B275B5"/>
    <w:rsid w:val="00B27D2F"/>
    <w:rsid w:val="00B307CB"/>
    <w:rsid w:val="00B31EBF"/>
    <w:rsid w:val="00B32557"/>
    <w:rsid w:val="00B33F01"/>
    <w:rsid w:val="00B34979"/>
    <w:rsid w:val="00B35698"/>
    <w:rsid w:val="00B358AC"/>
    <w:rsid w:val="00B35D93"/>
    <w:rsid w:val="00B37636"/>
    <w:rsid w:val="00B37786"/>
    <w:rsid w:val="00B41748"/>
    <w:rsid w:val="00B41FAE"/>
    <w:rsid w:val="00B420B8"/>
    <w:rsid w:val="00B43934"/>
    <w:rsid w:val="00B43FC6"/>
    <w:rsid w:val="00B44D34"/>
    <w:rsid w:val="00B44D36"/>
    <w:rsid w:val="00B462FD"/>
    <w:rsid w:val="00B4648A"/>
    <w:rsid w:val="00B4651A"/>
    <w:rsid w:val="00B46C17"/>
    <w:rsid w:val="00B47181"/>
    <w:rsid w:val="00B473C2"/>
    <w:rsid w:val="00B50086"/>
    <w:rsid w:val="00B50833"/>
    <w:rsid w:val="00B51F7C"/>
    <w:rsid w:val="00B521E4"/>
    <w:rsid w:val="00B52370"/>
    <w:rsid w:val="00B560EA"/>
    <w:rsid w:val="00B56BCB"/>
    <w:rsid w:val="00B56D25"/>
    <w:rsid w:val="00B57DDD"/>
    <w:rsid w:val="00B60583"/>
    <w:rsid w:val="00B60846"/>
    <w:rsid w:val="00B609DF"/>
    <w:rsid w:val="00B619C8"/>
    <w:rsid w:val="00B6458F"/>
    <w:rsid w:val="00B64B44"/>
    <w:rsid w:val="00B65146"/>
    <w:rsid w:val="00B66285"/>
    <w:rsid w:val="00B66E4C"/>
    <w:rsid w:val="00B670C5"/>
    <w:rsid w:val="00B67224"/>
    <w:rsid w:val="00B7020C"/>
    <w:rsid w:val="00B72195"/>
    <w:rsid w:val="00B72319"/>
    <w:rsid w:val="00B72620"/>
    <w:rsid w:val="00B72C56"/>
    <w:rsid w:val="00B74D7C"/>
    <w:rsid w:val="00B750D9"/>
    <w:rsid w:val="00B758E3"/>
    <w:rsid w:val="00B7611C"/>
    <w:rsid w:val="00B7612B"/>
    <w:rsid w:val="00B7650F"/>
    <w:rsid w:val="00B76A9D"/>
    <w:rsid w:val="00B76B3A"/>
    <w:rsid w:val="00B806D0"/>
    <w:rsid w:val="00B81313"/>
    <w:rsid w:val="00B81471"/>
    <w:rsid w:val="00B818D5"/>
    <w:rsid w:val="00B83741"/>
    <w:rsid w:val="00B83AB9"/>
    <w:rsid w:val="00B8409F"/>
    <w:rsid w:val="00B8461E"/>
    <w:rsid w:val="00B84E00"/>
    <w:rsid w:val="00B85352"/>
    <w:rsid w:val="00B85476"/>
    <w:rsid w:val="00B875F5"/>
    <w:rsid w:val="00B87768"/>
    <w:rsid w:val="00B90906"/>
    <w:rsid w:val="00B92BB3"/>
    <w:rsid w:val="00B93306"/>
    <w:rsid w:val="00B9399C"/>
    <w:rsid w:val="00B944E2"/>
    <w:rsid w:val="00B94E1F"/>
    <w:rsid w:val="00B95EA1"/>
    <w:rsid w:val="00B96F4E"/>
    <w:rsid w:val="00B970B2"/>
    <w:rsid w:val="00B97824"/>
    <w:rsid w:val="00BA1160"/>
    <w:rsid w:val="00BA19C4"/>
    <w:rsid w:val="00BA1E11"/>
    <w:rsid w:val="00BA26FA"/>
    <w:rsid w:val="00BA2B56"/>
    <w:rsid w:val="00BA55CA"/>
    <w:rsid w:val="00BA5954"/>
    <w:rsid w:val="00BA6627"/>
    <w:rsid w:val="00BA6A4D"/>
    <w:rsid w:val="00BA6E10"/>
    <w:rsid w:val="00BA7540"/>
    <w:rsid w:val="00BB011C"/>
    <w:rsid w:val="00BB0C08"/>
    <w:rsid w:val="00BB2959"/>
    <w:rsid w:val="00BB2C0C"/>
    <w:rsid w:val="00BB2E91"/>
    <w:rsid w:val="00BB2F8D"/>
    <w:rsid w:val="00BB3524"/>
    <w:rsid w:val="00BB3E63"/>
    <w:rsid w:val="00BB408A"/>
    <w:rsid w:val="00BB4992"/>
    <w:rsid w:val="00BB5F25"/>
    <w:rsid w:val="00BB6061"/>
    <w:rsid w:val="00BB6BB9"/>
    <w:rsid w:val="00BB76E1"/>
    <w:rsid w:val="00BC00EB"/>
    <w:rsid w:val="00BC0214"/>
    <w:rsid w:val="00BC1826"/>
    <w:rsid w:val="00BC1D89"/>
    <w:rsid w:val="00BC30DC"/>
    <w:rsid w:val="00BC3E2A"/>
    <w:rsid w:val="00BC52A9"/>
    <w:rsid w:val="00BC5646"/>
    <w:rsid w:val="00BC5831"/>
    <w:rsid w:val="00BC7806"/>
    <w:rsid w:val="00BD074D"/>
    <w:rsid w:val="00BD255B"/>
    <w:rsid w:val="00BD36F5"/>
    <w:rsid w:val="00BD44D0"/>
    <w:rsid w:val="00BD65AF"/>
    <w:rsid w:val="00BD67A1"/>
    <w:rsid w:val="00BD69CA"/>
    <w:rsid w:val="00BD71B0"/>
    <w:rsid w:val="00BD732F"/>
    <w:rsid w:val="00BE048E"/>
    <w:rsid w:val="00BE09D8"/>
    <w:rsid w:val="00BE127E"/>
    <w:rsid w:val="00BE137C"/>
    <w:rsid w:val="00BE1BBE"/>
    <w:rsid w:val="00BE1CFB"/>
    <w:rsid w:val="00BE3874"/>
    <w:rsid w:val="00BE4591"/>
    <w:rsid w:val="00BE4852"/>
    <w:rsid w:val="00BE70E7"/>
    <w:rsid w:val="00BE71DB"/>
    <w:rsid w:val="00BE7797"/>
    <w:rsid w:val="00BE795A"/>
    <w:rsid w:val="00BF0D2A"/>
    <w:rsid w:val="00BF1216"/>
    <w:rsid w:val="00BF15AA"/>
    <w:rsid w:val="00BF24E3"/>
    <w:rsid w:val="00BF2813"/>
    <w:rsid w:val="00BF412B"/>
    <w:rsid w:val="00BF42EF"/>
    <w:rsid w:val="00BF46A7"/>
    <w:rsid w:val="00BF4A8D"/>
    <w:rsid w:val="00BF4C1A"/>
    <w:rsid w:val="00BF4C6F"/>
    <w:rsid w:val="00BF5A16"/>
    <w:rsid w:val="00BF5BBD"/>
    <w:rsid w:val="00BF5E60"/>
    <w:rsid w:val="00BF6201"/>
    <w:rsid w:val="00BF6DD4"/>
    <w:rsid w:val="00C0159C"/>
    <w:rsid w:val="00C01EE0"/>
    <w:rsid w:val="00C03AE6"/>
    <w:rsid w:val="00C0427D"/>
    <w:rsid w:val="00C0457A"/>
    <w:rsid w:val="00C04B67"/>
    <w:rsid w:val="00C04FB2"/>
    <w:rsid w:val="00C064A1"/>
    <w:rsid w:val="00C10198"/>
    <w:rsid w:val="00C108B2"/>
    <w:rsid w:val="00C11139"/>
    <w:rsid w:val="00C11EDF"/>
    <w:rsid w:val="00C125A6"/>
    <w:rsid w:val="00C134B6"/>
    <w:rsid w:val="00C1617A"/>
    <w:rsid w:val="00C161E0"/>
    <w:rsid w:val="00C17CBF"/>
    <w:rsid w:val="00C2005C"/>
    <w:rsid w:val="00C20C33"/>
    <w:rsid w:val="00C234E2"/>
    <w:rsid w:val="00C23EDB"/>
    <w:rsid w:val="00C23F84"/>
    <w:rsid w:val="00C2420D"/>
    <w:rsid w:val="00C2424C"/>
    <w:rsid w:val="00C260F3"/>
    <w:rsid w:val="00C261BA"/>
    <w:rsid w:val="00C26616"/>
    <w:rsid w:val="00C270C9"/>
    <w:rsid w:val="00C27590"/>
    <w:rsid w:val="00C30864"/>
    <w:rsid w:val="00C308A5"/>
    <w:rsid w:val="00C30F97"/>
    <w:rsid w:val="00C3112D"/>
    <w:rsid w:val="00C311CF"/>
    <w:rsid w:val="00C31C84"/>
    <w:rsid w:val="00C32020"/>
    <w:rsid w:val="00C320A4"/>
    <w:rsid w:val="00C329A6"/>
    <w:rsid w:val="00C32B36"/>
    <w:rsid w:val="00C32DDF"/>
    <w:rsid w:val="00C341F5"/>
    <w:rsid w:val="00C34288"/>
    <w:rsid w:val="00C357B2"/>
    <w:rsid w:val="00C37771"/>
    <w:rsid w:val="00C37E45"/>
    <w:rsid w:val="00C400CF"/>
    <w:rsid w:val="00C40D0A"/>
    <w:rsid w:val="00C444B5"/>
    <w:rsid w:val="00C4450D"/>
    <w:rsid w:val="00C450A2"/>
    <w:rsid w:val="00C4546F"/>
    <w:rsid w:val="00C46915"/>
    <w:rsid w:val="00C46F32"/>
    <w:rsid w:val="00C5041B"/>
    <w:rsid w:val="00C515E4"/>
    <w:rsid w:val="00C51E84"/>
    <w:rsid w:val="00C51EF2"/>
    <w:rsid w:val="00C52FD7"/>
    <w:rsid w:val="00C531B5"/>
    <w:rsid w:val="00C536B4"/>
    <w:rsid w:val="00C53E24"/>
    <w:rsid w:val="00C54E95"/>
    <w:rsid w:val="00C562CB"/>
    <w:rsid w:val="00C5640D"/>
    <w:rsid w:val="00C56EE6"/>
    <w:rsid w:val="00C57A0E"/>
    <w:rsid w:val="00C6023F"/>
    <w:rsid w:val="00C602B9"/>
    <w:rsid w:val="00C61BF7"/>
    <w:rsid w:val="00C61EF7"/>
    <w:rsid w:val="00C62F74"/>
    <w:rsid w:val="00C636B8"/>
    <w:rsid w:val="00C64777"/>
    <w:rsid w:val="00C6536F"/>
    <w:rsid w:val="00C65F0A"/>
    <w:rsid w:val="00C660F2"/>
    <w:rsid w:val="00C661D7"/>
    <w:rsid w:val="00C66D63"/>
    <w:rsid w:val="00C66ED8"/>
    <w:rsid w:val="00C70A3A"/>
    <w:rsid w:val="00C714B7"/>
    <w:rsid w:val="00C72175"/>
    <w:rsid w:val="00C7282C"/>
    <w:rsid w:val="00C72F78"/>
    <w:rsid w:val="00C73027"/>
    <w:rsid w:val="00C73F6E"/>
    <w:rsid w:val="00C754D3"/>
    <w:rsid w:val="00C75850"/>
    <w:rsid w:val="00C75A37"/>
    <w:rsid w:val="00C75CB6"/>
    <w:rsid w:val="00C769FE"/>
    <w:rsid w:val="00C76FCF"/>
    <w:rsid w:val="00C7740E"/>
    <w:rsid w:val="00C7778E"/>
    <w:rsid w:val="00C77C4C"/>
    <w:rsid w:val="00C77C4E"/>
    <w:rsid w:val="00C81CDA"/>
    <w:rsid w:val="00C822D8"/>
    <w:rsid w:val="00C82AB9"/>
    <w:rsid w:val="00C8313B"/>
    <w:rsid w:val="00C83D40"/>
    <w:rsid w:val="00C8430A"/>
    <w:rsid w:val="00C87A50"/>
    <w:rsid w:val="00C87A90"/>
    <w:rsid w:val="00C87B9F"/>
    <w:rsid w:val="00C90742"/>
    <w:rsid w:val="00C90751"/>
    <w:rsid w:val="00C913A1"/>
    <w:rsid w:val="00C917BC"/>
    <w:rsid w:val="00C91B88"/>
    <w:rsid w:val="00C9236F"/>
    <w:rsid w:val="00C92CE5"/>
    <w:rsid w:val="00C92EF4"/>
    <w:rsid w:val="00C9367F"/>
    <w:rsid w:val="00C938BA"/>
    <w:rsid w:val="00C94356"/>
    <w:rsid w:val="00C9442B"/>
    <w:rsid w:val="00C946BF"/>
    <w:rsid w:val="00C94EC9"/>
    <w:rsid w:val="00C9559C"/>
    <w:rsid w:val="00C95DE3"/>
    <w:rsid w:val="00C962CA"/>
    <w:rsid w:val="00C9773D"/>
    <w:rsid w:val="00C97A40"/>
    <w:rsid w:val="00CA03A1"/>
    <w:rsid w:val="00CA137F"/>
    <w:rsid w:val="00CA318D"/>
    <w:rsid w:val="00CA3861"/>
    <w:rsid w:val="00CA42FB"/>
    <w:rsid w:val="00CA4D98"/>
    <w:rsid w:val="00CA62C5"/>
    <w:rsid w:val="00CA6A52"/>
    <w:rsid w:val="00CA7789"/>
    <w:rsid w:val="00CB0B5C"/>
    <w:rsid w:val="00CB126E"/>
    <w:rsid w:val="00CB14E7"/>
    <w:rsid w:val="00CB221A"/>
    <w:rsid w:val="00CB4812"/>
    <w:rsid w:val="00CB4B0A"/>
    <w:rsid w:val="00CB4F1D"/>
    <w:rsid w:val="00CB6468"/>
    <w:rsid w:val="00CB680B"/>
    <w:rsid w:val="00CB7BAA"/>
    <w:rsid w:val="00CB7C9A"/>
    <w:rsid w:val="00CC282D"/>
    <w:rsid w:val="00CC3E1F"/>
    <w:rsid w:val="00CC4206"/>
    <w:rsid w:val="00CC51CF"/>
    <w:rsid w:val="00CC51F0"/>
    <w:rsid w:val="00CC663F"/>
    <w:rsid w:val="00CC6730"/>
    <w:rsid w:val="00CC7583"/>
    <w:rsid w:val="00CC78AA"/>
    <w:rsid w:val="00CC7BCA"/>
    <w:rsid w:val="00CD0A74"/>
    <w:rsid w:val="00CD10FE"/>
    <w:rsid w:val="00CD275C"/>
    <w:rsid w:val="00CD32F3"/>
    <w:rsid w:val="00CD4A89"/>
    <w:rsid w:val="00CD536E"/>
    <w:rsid w:val="00CD5CDE"/>
    <w:rsid w:val="00CD64C8"/>
    <w:rsid w:val="00CD6752"/>
    <w:rsid w:val="00CD6D71"/>
    <w:rsid w:val="00CD71ED"/>
    <w:rsid w:val="00CE0D7A"/>
    <w:rsid w:val="00CE1992"/>
    <w:rsid w:val="00CE1A71"/>
    <w:rsid w:val="00CE20F4"/>
    <w:rsid w:val="00CE28EA"/>
    <w:rsid w:val="00CE2D3F"/>
    <w:rsid w:val="00CE366F"/>
    <w:rsid w:val="00CE3773"/>
    <w:rsid w:val="00CE4EA6"/>
    <w:rsid w:val="00CE562D"/>
    <w:rsid w:val="00CE5685"/>
    <w:rsid w:val="00CE56C2"/>
    <w:rsid w:val="00CE586C"/>
    <w:rsid w:val="00CE685D"/>
    <w:rsid w:val="00CE6A2B"/>
    <w:rsid w:val="00CE7031"/>
    <w:rsid w:val="00CE7128"/>
    <w:rsid w:val="00CE7577"/>
    <w:rsid w:val="00CF036A"/>
    <w:rsid w:val="00CF12A1"/>
    <w:rsid w:val="00CF16E7"/>
    <w:rsid w:val="00CF1AED"/>
    <w:rsid w:val="00CF1FA4"/>
    <w:rsid w:val="00CF3062"/>
    <w:rsid w:val="00CF3734"/>
    <w:rsid w:val="00CF4321"/>
    <w:rsid w:val="00CF480F"/>
    <w:rsid w:val="00CF65AA"/>
    <w:rsid w:val="00CF7714"/>
    <w:rsid w:val="00CF776B"/>
    <w:rsid w:val="00D034FF"/>
    <w:rsid w:val="00D03C18"/>
    <w:rsid w:val="00D0444F"/>
    <w:rsid w:val="00D049A5"/>
    <w:rsid w:val="00D04AC4"/>
    <w:rsid w:val="00D04C12"/>
    <w:rsid w:val="00D04C2E"/>
    <w:rsid w:val="00D04EC4"/>
    <w:rsid w:val="00D05568"/>
    <w:rsid w:val="00D05A0B"/>
    <w:rsid w:val="00D05B8D"/>
    <w:rsid w:val="00D06A28"/>
    <w:rsid w:val="00D0781C"/>
    <w:rsid w:val="00D07B80"/>
    <w:rsid w:val="00D07BAF"/>
    <w:rsid w:val="00D10192"/>
    <w:rsid w:val="00D110CA"/>
    <w:rsid w:val="00D11194"/>
    <w:rsid w:val="00D12237"/>
    <w:rsid w:val="00D122EF"/>
    <w:rsid w:val="00D132F9"/>
    <w:rsid w:val="00D157D4"/>
    <w:rsid w:val="00D16AF3"/>
    <w:rsid w:val="00D204B2"/>
    <w:rsid w:val="00D20D3B"/>
    <w:rsid w:val="00D20EAB"/>
    <w:rsid w:val="00D20F3E"/>
    <w:rsid w:val="00D2102B"/>
    <w:rsid w:val="00D21385"/>
    <w:rsid w:val="00D21A0A"/>
    <w:rsid w:val="00D220D9"/>
    <w:rsid w:val="00D22A9D"/>
    <w:rsid w:val="00D23F33"/>
    <w:rsid w:val="00D24C94"/>
    <w:rsid w:val="00D25039"/>
    <w:rsid w:val="00D26197"/>
    <w:rsid w:val="00D2671C"/>
    <w:rsid w:val="00D26F54"/>
    <w:rsid w:val="00D2778D"/>
    <w:rsid w:val="00D27ACD"/>
    <w:rsid w:val="00D30ADE"/>
    <w:rsid w:val="00D327B4"/>
    <w:rsid w:val="00D343D4"/>
    <w:rsid w:val="00D3685C"/>
    <w:rsid w:val="00D368A9"/>
    <w:rsid w:val="00D370F1"/>
    <w:rsid w:val="00D40017"/>
    <w:rsid w:val="00D40C53"/>
    <w:rsid w:val="00D41221"/>
    <w:rsid w:val="00D43CE3"/>
    <w:rsid w:val="00D446EB"/>
    <w:rsid w:val="00D451ED"/>
    <w:rsid w:val="00D45208"/>
    <w:rsid w:val="00D45501"/>
    <w:rsid w:val="00D45551"/>
    <w:rsid w:val="00D457E8"/>
    <w:rsid w:val="00D4587D"/>
    <w:rsid w:val="00D509B4"/>
    <w:rsid w:val="00D543B1"/>
    <w:rsid w:val="00D54542"/>
    <w:rsid w:val="00D54A89"/>
    <w:rsid w:val="00D54AC5"/>
    <w:rsid w:val="00D551A8"/>
    <w:rsid w:val="00D56035"/>
    <w:rsid w:val="00D56723"/>
    <w:rsid w:val="00D56CD0"/>
    <w:rsid w:val="00D5704A"/>
    <w:rsid w:val="00D57142"/>
    <w:rsid w:val="00D5716E"/>
    <w:rsid w:val="00D603C8"/>
    <w:rsid w:val="00D6095E"/>
    <w:rsid w:val="00D609F4"/>
    <w:rsid w:val="00D616DC"/>
    <w:rsid w:val="00D61F6D"/>
    <w:rsid w:val="00D624AE"/>
    <w:rsid w:val="00D626F3"/>
    <w:rsid w:val="00D63BA8"/>
    <w:rsid w:val="00D64171"/>
    <w:rsid w:val="00D65C4E"/>
    <w:rsid w:val="00D65D7D"/>
    <w:rsid w:val="00D66DF0"/>
    <w:rsid w:val="00D67215"/>
    <w:rsid w:val="00D67A63"/>
    <w:rsid w:val="00D67A9C"/>
    <w:rsid w:val="00D67D59"/>
    <w:rsid w:val="00D707DC"/>
    <w:rsid w:val="00D71CAB"/>
    <w:rsid w:val="00D72280"/>
    <w:rsid w:val="00D73EDF"/>
    <w:rsid w:val="00D73EE9"/>
    <w:rsid w:val="00D74323"/>
    <w:rsid w:val="00D7455B"/>
    <w:rsid w:val="00D74C79"/>
    <w:rsid w:val="00D7560C"/>
    <w:rsid w:val="00D75F71"/>
    <w:rsid w:val="00D75FCD"/>
    <w:rsid w:val="00D76BA1"/>
    <w:rsid w:val="00D77835"/>
    <w:rsid w:val="00D77A35"/>
    <w:rsid w:val="00D8196C"/>
    <w:rsid w:val="00D821C2"/>
    <w:rsid w:val="00D82D4D"/>
    <w:rsid w:val="00D83D09"/>
    <w:rsid w:val="00D84692"/>
    <w:rsid w:val="00D86784"/>
    <w:rsid w:val="00D8698E"/>
    <w:rsid w:val="00D869E8"/>
    <w:rsid w:val="00D87D2F"/>
    <w:rsid w:val="00D90FE8"/>
    <w:rsid w:val="00D91A0D"/>
    <w:rsid w:val="00D926C9"/>
    <w:rsid w:val="00D92B4D"/>
    <w:rsid w:val="00D941CE"/>
    <w:rsid w:val="00D943CC"/>
    <w:rsid w:val="00D9483F"/>
    <w:rsid w:val="00D94C4E"/>
    <w:rsid w:val="00D94DB0"/>
    <w:rsid w:val="00D94EC1"/>
    <w:rsid w:val="00D952B0"/>
    <w:rsid w:val="00D95339"/>
    <w:rsid w:val="00D9561F"/>
    <w:rsid w:val="00D9690E"/>
    <w:rsid w:val="00DA1A22"/>
    <w:rsid w:val="00DA2A9C"/>
    <w:rsid w:val="00DA416E"/>
    <w:rsid w:val="00DA4448"/>
    <w:rsid w:val="00DA56A9"/>
    <w:rsid w:val="00DA5BFE"/>
    <w:rsid w:val="00DA63F0"/>
    <w:rsid w:val="00DB0853"/>
    <w:rsid w:val="00DB0EC2"/>
    <w:rsid w:val="00DB11FE"/>
    <w:rsid w:val="00DB3210"/>
    <w:rsid w:val="00DB3489"/>
    <w:rsid w:val="00DB3D01"/>
    <w:rsid w:val="00DB4610"/>
    <w:rsid w:val="00DB4CE0"/>
    <w:rsid w:val="00DB51FC"/>
    <w:rsid w:val="00DB5A56"/>
    <w:rsid w:val="00DB67C7"/>
    <w:rsid w:val="00DB7653"/>
    <w:rsid w:val="00DC07B1"/>
    <w:rsid w:val="00DC0FE4"/>
    <w:rsid w:val="00DC1135"/>
    <w:rsid w:val="00DC176D"/>
    <w:rsid w:val="00DC1F9E"/>
    <w:rsid w:val="00DC2441"/>
    <w:rsid w:val="00DC2A3F"/>
    <w:rsid w:val="00DC2B82"/>
    <w:rsid w:val="00DC4114"/>
    <w:rsid w:val="00DC5A5F"/>
    <w:rsid w:val="00DC5AE9"/>
    <w:rsid w:val="00DC5B41"/>
    <w:rsid w:val="00DC64A9"/>
    <w:rsid w:val="00DC798C"/>
    <w:rsid w:val="00DC7E40"/>
    <w:rsid w:val="00DD0A07"/>
    <w:rsid w:val="00DD16C8"/>
    <w:rsid w:val="00DD3A68"/>
    <w:rsid w:val="00DD401C"/>
    <w:rsid w:val="00DD442A"/>
    <w:rsid w:val="00DD4D82"/>
    <w:rsid w:val="00DD51CF"/>
    <w:rsid w:val="00DD67A9"/>
    <w:rsid w:val="00DD7711"/>
    <w:rsid w:val="00DE1D94"/>
    <w:rsid w:val="00DE1E28"/>
    <w:rsid w:val="00DE2BF9"/>
    <w:rsid w:val="00DE33F1"/>
    <w:rsid w:val="00DE36F8"/>
    <w:rsid w:val="00DE37C4"/>
    <w:rsid w:val="00DE40A6"/>
    <w:rsid w:val="00DE4877"/>
    <w:rsid w:val="00DE4918"/>
    <w:rsid w:val="00DE4B7A"/>
    <w:rsid w:val="00DE5578"/>
    <w:rsid w:val="00DE5F81"/>
    <w:rsid w:val="00DE6F6C"/>
    <w:rsid w:val="00DE7656"/>
    <w:rsid w:val="00DF04F2"/>
    <w:rsid w:val="00DF0C42"/>
    <w:rsid w:val="00DF147D"/>
    <w:rsid w:val="00DF214E"/>
    <w:rsid w:val="00DF23E1"/>
    <w:rsid w:val="00DF337C"/>
    <w:rsid w:val="00DF3644"/>
    <w:rsid w:val="00DF3717"/>
    <w:rsid w:val="00DF4156"/>
    <w:rsid w:val="00DF513E"/>
    <w:rsid w:val="00DF5B71"/>
    <w:rsid w:val="00DF6559"/>
    <w:rsid w:val="00DF660E"/>
    <w:rsid w:val="00DF686C"/>
    <w:rsid w:val="00DF6FEB"/>
    <w:rsid w:val="00DF729B"/>
    <w:rsid w:val="00DF7A75"/>
    <w:rsid w:val="00E00095"/>
    <w:rsid w:val="00E0011A"/>
    <w:rsid w:val="00E0031C"/>
    <w:rsid w:val="00E01A7C"/>
    <w:rsid w:val="00E01CAC"/>
    <w:rsid w:val="00E02403"/>
    <w:rsid w:val="00E026A1"/>
    <w:rsid w:val="00E02E3C"/>
    <w:rsid w:val="00E03535"/>
    <w:rsid w:val="00E03CA1"/>
    <w:rsid w:val="00E0434B"/>
    <w:rsid w:val="00E04C47"/>
    <w:rsid w:val="00E05496"/>
    <w:rsid w:val="00E061E1"/>
    <w:rsid w:val="00E06378"/>
    <w:rsid w:val="00E065AE"/>
    <w:rsid w:val="00E067A1"/>
    <w:rsid w:val="00E06DBD"/>
    <w:rsid w:val="00E105CC"/>
    <w:rsid w:val="00E110AF"/>
    <w:rsid w:val="00E115EC"/>
    <w:rsid w:val="00E116CC"/>
    <w:rsid w:val="00E11933"/>
    <w:rsid w:val="00E11E12"/>
    <w:rsid w:val="00E12DDB"/>
    <w:rsid w:val="00E13248"/>
    <w:rsid w:val="00E14492"/>
    <w:rsid w:val="00E16530"/>
    <w:rsid w:val="00E1714F"/>
    <w:rsid w:val="00E171C5"/>
    <w:rsid w:val="00E17733"/>
    <w:rsid w:val="00E20009"/>
    <w:rsid w:val="00E20DC4"/>
    <w:rsid w:val="00E20FBC"/>
    <w:rsid w:val="00E210E0"/>
    <w:rsid w:val="00E21C6B"/>
    <w:rsid w:val="00E21EC2"/>
    <w:rsid w:val="00E22235"/>
    <w:rsid w:val="00E23D01"/>
    <w:rsid w:val="00E24202"/>
    <w:rsid w:val="00E243F4"/>
    <w:rsid w:val="00E246B0"/>
    <w:rsid w:val="00E2591F"/>
    <w:rsid w:val="00E261AB"/>
    <w:rsid w:val="00E274D4"/>
    <w:rsid w:val="00E275D6"/>
    <w:rsid w:val="00E27AD5"/>
    <w:rsid w:val="00E3030B"/>
    <w:rsid w:val="00E327E4"/>
    <w:rsid w:val="00E32864"/>
    <w:rsid w:val="00E32875"/>
    <w:rsid w:val="00E32E2A"/>
    <w:rsid w:val="00E346D2"/>
    <w:rsid w:val="00E346FE"/>
    <w:rsid w:val="00E3522A"/>
    <w:rsid w:val="00E3581B"/>
    <w:rsid w:val="00E36063"/>
    <w:rsid w:val="00E41AD4"/>
    <w:rsid w:val="00E431DC"/>
    <w:rsid w:val="00E4374E"/>
    <w:rsid w:val="00E43D44"/>
    <w:rsid w:val="00E44021"/>
    <w:rsid w:val="00E4432D"/>
    <w:rsid w:val="00E44958"/>
    <w:rsid w:val="00E45D81"/>
    <w:rsid w:val="00E46505"/>
    <w:rsid w:val="00E466E8"/>
    <w:rsid w:val="00E466F6"/>
    <w:rsid w:val="00E4705A"/>
    <w:rsid w:val="00E47362"/>
    <w:rsid w:val="00E47897"/>
    <w:rsid w:val="00E501BF"/>
    <w:rsid w:val="00E50614"/>
    <w:rsid w:val="00E50B77"/>
    <w:rsid w:val="00E51449"/>
    <w:rsid w:val="00E519A9"/>
    <w:rsid w:val="00E51A62"/>
    <w:rsid w:val="00E534E3"/>
    <w:rsid w:val="00E5354D"/>
    <w:rsid w:val="00E54A43"/>
    <w:rsid w:val="00E5546B"/>
    <w:rsid w:val="00E55D3E"/>
    <w:rsid w:val="00E579ED"/>
    <w:rsid w:val="00E57E67"/>
    <w:rsid w:val="00E57F9C"/>
    <w:rsid w:val="00E616A9"/>
    <w:rsid w:val="00E63531"/>
    <w:rsid w:val="00E63DEA"/>
    <w:rsid w:val="00E640FE"/>
    <w:rsid w:val="00E642F5"/>
    <w:rsid w:val="00E649D3"/>
    <w:rsid w:val="00E64BE4"/>
    <w:rsid w:val="00E64D3F"/>
    <w:rsid w:val="00E65EC9"/>
    <w:rsid w:val="00E7018F"/>
    <w:rsid w:val="00E70DF9"/>
    <w:rsid w:val="00E71425"/>
    <w:rsid w:val="00E71816"/>
    <w:rsid w:val="00E730F1"/>
    <w:rsid w:val="00E73653"/>
    <w:rsid w:val="00E752F5"/>
    <w:rsid w:val="00E754B7"/>
    <w:rsid w:val="00E7578D"/>
    <w:rsid w:val="00E757FD"/>
    <w:rsid w:val="00E75B18"/>
    <w:rsid w:val="00E77BAA"/>
    <w:rsid w:val="00E82059"/>
    <w:rsid w:val="00E82367"/>
    <w:rsid w:val="00E82E71"/>
    <w:rsid w:val="00E835A2"/>
    <w:rsid w:val="00E83744"/>
    <w:rsid w:val="00E83D86"/>
    <w:rsid w:val="00E841B7"/>
    <w:rsid w:val="00E84C9A"/>
    <w:rsid w:val="00E84E55"/>
    <w:rsid w:val="00E84E70"/>
    <w:rsid w:val="00E8539B"/>
    <w:rsid w:val="00E8556E"/>
    <w:rsid w:val="00E857FE"/>
    <w:rsid w:val="00E85B45"/>
    <w:rsid w:val="00E8724A"/>
    <w:rsid w:val="00E87C5C"/>
    <w:rsid w:val="00E902F6"/>
    <w:rsid w:val="00E90371"/>
    <w:rsid w:val="00E91B33"/>
    <w:rsid w:val="00E91DBC"/>
    <w:rsid w:val="00E922D0"/>
    <w:rsid w:val="00E93294"/>
    <w:rsid w:val="00E9381E"/>
    <w:rsid w:val="00E94983"/>
    <w:rsid w:val="00E95338"/>
    <w:rsid w:val="00E954F9"/>
    <w:rsid w:val="00E96512"/>
    <w:rsid w:val="00E9651E"/>
    <w:rsid w:val="00E97046"/>
    <w:rsid w:val="00EA0AC3"/>
    <w:rsid w:val="00EA0E5E"/>
    <w:rsid w:val="00EA1B30"/>
    <w:rsid w:val="00EA1CEC"/>
    <w:rsid w:val="00EA29A7"/>
    <w:rsid w:val="00EA2C5D"/>
    <w:rsid w:val="00EA3013"/>
    <w:rsid w:val="00EA34BB"/>
    <w:rsid w:val="00EA3C8C"/>
    <w:rsid w:val="00EA406D"/>
    <w:rsid w:val="00EA7429"/>
    <w:rsid w:val="00EB164A"/>
    <w:rsid w:val="00EB3779"/>
    <w:rsid w:val="00EB38AA"/>
    <w:rsid w:val="00EB48AA"/>
    <w:rsid w:val="00EB49B6"/>
    <w:rsid w:val="00EB4B2F"/>
    <w:rsid w:val="00EB52DC"/>
    <w:rsid w:val="00EB5889"/>
    <w:rsid w:val="00EB7751"/>
    <w:rsid w:val="00EC1AB7"/>
    <w:rsid w:val="00EC32C0"/>
    <w:rsid w:val="00EC48F9"/>
    <w:rsid w:val="00EC5475"/>
    <w:rsid w:val="00EC5489"/>
    <w:rsid w:val="00EC66B6"/>
    <w:rsid w:val="00EC726A"/>
    <w:rsid w:val="00EC754A"/>
    <w:rsid w:val="00ED203A"/>
    <w:rsid w:val="00ED20FD"/>
    <w:rsid w:val="00ED2D99"/>
    <w:rsid w:val="00ED3672"/>
    <w:rsid w:val="00ED44D4"/>
    <w:rsid w:val="00ED668A"/>
    <w:rsid w:val="00ED6FAD"/>
    <w:rsid w:val="00ED73A1"/>
    <w:rsid w:val="00EE07CE"/>
    <w:rsid w:val="00EE1D4A"/>
    <w:rsid w:val="00EE2EC1"/>
    <w:rsid w:val="00EE32B2"/>
    <w:rsid w:val="00EE3698"/>
    <w:rsid w:val="00EE4682"/>
    <w:rsid w:val="00EE66AF"/>
    <w:rsid w:val="00EF03CF"/>
    <w:rsid w:val="00EF13F7"/>
    <w:rsid w:val="00EF269F"/>
    <w:rsid w:val="00EF3442"/>
    <w:rsid w:val="00EF3ECD"/>
    <w:rsid w:val="00EF401D"/>
    <w:rsid w:val="00EF4198"/>
    <w:rsid w:val="00EF4A20"/>
    <w:rsid w:val="00EF51A0"/>
    <w:rsid w:val="00EF6AAE"/>
    <w:rsid w:val="00EF6FA1"/>
    <w:rsid w:val="00EF72DC"/>
    <w:rsid w:val="00EF77C1"/>
    <w:rsid w:val="00EF7AC3"/>
    <w:rsid w:val="00EF7E87"/>
    <w:rsid w:val="00F00860"/>
    <w:rsid w:val="00F01172"/>
    <w:rsid w:val="00F0163D"/>
    <w:rsid w:val="00F022E4"/>
    <w:rsid w:val="00F0338E"/>
    <w:rsid w:val="00F04184"/>
    <w:rsid w:val="00F04428"/>
    <w:rsid w:val="00F064D7"/>
    <w:rsid w:val="00F07050"/>
    <w:rsid w:val="00F10986"/>
    <w:rsid w:val="00F10DA9"/>
    <w:rsid w:val="00F11162"/>
    <w:rsid w:val="00F1203E"/>
    <w:rsid w:val="00F12722"/>
    <w:rsid w:val="00F12988"/>
    <w:rsid w:val="00F12CA9"/>
    <w:rsid w:val="00F13260"/>
    <w:rsid w:val="00F13444"/>
    <w:rsid w:val="00F13850"/>
    <w:rsid w:val="00F140E4"/>
    <w:rsid w:val="00F1453C"/>
    <w:rsid w:val="00F14F05"/>
    <w:rsid w:val="00F154E0"/>
    <w:rsid w:val="00F1590B"/>
    <w:rsid w:val="00F160ED"/>
    <w:rsid w:val="00F16C97"/>
    <w:rsid w:val="00F17FB2"/>
    <w:rsid w:val="00F20922"/>
    <w:rsid w:val="00F210C1"/>
    <w:rsid w:val="00F2133F"/>
    <w:rsid w:val="00F21499"/>
    <w:rsid w:val="00F2302A"/>
    <w:rsid w:val="00F238BF"/>
    <w:rsid w:val="00F2434B"/>
    <w:rsid w:val="00F24891"/>
    <w:rsid w:val="00F24900"/>
    <w:rsid w:val="00F24915"/>
    <w:rsid w:val="00F25E22"/>
    <w:rsid w:val="00F2689E"/>
    <w:rsid w:val="00F27807"/>
    <w:rsid w:val="00F2784A"/>
    <w:rsid w:val="00F30168"/>
    <w:rsid w:val="00F31AB5"/>
    <w:rsid w:val="00F32157"/>
    <w:rsid w:val="00F322E2"/>
    <w:rsid w:val="00F3381E"/>
    <w:rsid w:val="00F33BAF"/>
    <w:rsid w:val="00F34169"/>
    <w:rsid w:val="00F362A6"/>
    <w:rsid w:val="00F36BEB"/>
    <w:rsid w:val="00F37D0C"/>
    <w:rsid w:val="00F400CA"/>
    <w:rsid w:val="00F4122C"/>
    <w:rsid w:val="00F41542"/>
    <w:rsid w:val="00F42A06"/>
    <w:rsid w:val="00F42C48"/>
    <w:rsid w:val="00F4512B"/>
    <w:rsid w:val="00F46BE9"/>
    <w:rsid w:val="00F46C4A"/>
    <w:rsid w:val="00F46ED4"/>
    <w:rsid w:val="00F47472"/>
    <w:rsid w:val="00F47657"/>
    <w:rsid w:val="00F47708"/>
    <w:rsid w:val="00F51923"/>
    <w:rsid w:val="00F51CB9"/>
    <w:rsid w:val="00F526CC"/>
    <w:rsid w:val="00F54061"/>
    <w:rsid w:val="00F54F7A"/>
    <w:rsid w:val="00F55676"/>
    <w:rsid w:val="00F55E65"/>
    <w:rsid w:val="00F56805"/>
    <w:rsid w:val="00F57F5C"/>
    <w:rsid w:val="00F6030F"/>
    <w:rsid w:val="00F6055E"/>
    <w:rsid w:val="00F60D1F"/>
    <w:rsid w:val="00F62201"/>
    <w:rsid w:val="00F6265F"/>
    <w:rsid w:val="00F65806"/>
    <w:rsid w:val="00F65966"/>
    <w:rsid w:val="00F6675A"/>
    <w:rsid w:val="00F704AC"/>
    <w:rsid w:val="00F70E3E"/>
    <w:rsid w:val="00F7176F"/>
    <w:rsid w:val="00F71B48"/>
    <w:rsid w:val="00F728E0"/>
    <w:rsid w:val="00F73D1A"/>
    <w:rsid w:val="00F74371"/>
    <w:rsid w:val="00F74C9E"/>
    <w:rsid w:val="00F74F6C"/>
    <w:rsid w:val="00F75DE7"/>
    <w:rsid w:val="00F76162"/>
    <w:rsid w:val="00F76EE4"/>
    <w:rsid w:val="00F76F06"/>
    <w:rsid w:val="00F77053"/>
    <w:rsid w:val="00F77846"/>
    <w:rsid w:val="00F77DCC"/>
    <w:rsid w:val="00F809DC"/>
    <w:rsid w:val="00F80C48"/>
    <w:rsid w:val="00F810D7"/>
    <w:rsid w:val="00F811B4"/>
    <w:rsid w:val="00F81D3B"/>
    <w:rsid w:val="00F820D0"/>
    <w:rsid w:val="00F82DC6"/>
    <w:rsid w:val="00F833C4"/>
    <w:rsid w:val="00F83D9E"/>
    <w:rsid w:val="00F84D59"/>
    <w:rsid w:val="00F85EC4"/>
    <w:rsid w:val="00F87548"/>
    <w:rsid w:val="00F90038"/>
    <w:rsid w:val="00F90817"/>
    <w:rsid w:val="00F90829"/>
    <w:rsid w:val="00F9147C"/>
    <w:rsid w:val="00F92049"/>
    <w:rsid w:val="00F92A7D"/>
    <w:rsid w:val="00F93469"/>
    <w:rsid w:val="00F93BDC"/>
    <w:rsid w:val="00F94CE8"/>
    <w:rsid w:val="00F9663E"/>
    <w:rsid w:val="00F976E7"/>
    <w:rsid w:val="00F97DE5"/>
    <w:rsid w:val="00F97E40"/>
    <w:rsid w:val="00FA1192"/>
    <w:rsid w:val="00FA1344"/>
    <w:rsid w:val="00FA1458"/>
    <w:rsid w:val="00FA16DC"/>
    <w:rsid w:val="00FA2140"/>
    <w:rsid w:val="00FA2310"/>
    <w:rsid w:val="00FA2CDB"/>
    <w:rsid w:val="00FA3141"/>
    <w:rsid w:val="00FA328F"/>
    <w:rsid w:val="00FA43B4"/>
    <w:rsid w:val="00FA4DDB"/>
    <w:rsid w:val="00FA5002"/>
    <w:rsid w:val="00FA535E"/>
    <w:rsid w:val="00FA61DD"/>
    <w:rsid w:val="00FA6297"/>
    <w:rsid w:val="00FA6C15"/>
    <w:rsid w:val="00FA6F20"/>
    <w:rsid w:val="00FA78C2"/>
    <w:rsid w:val="00FB0363"/>
    <w:rsid w:val="00FB1287"/>
    <w:rsid w:val="00FB17D6"/>
    <w:rsid w:val="00FB1ADE"/>
    <w:rsid w:val="00FB1E2D"/>
    <w:rsid w:val="00FB2542"/>
    <w:rsid w:val="00FB4A27"/>
    <w:rsid w:val="00FB6502"/>
    <w:rsid w:val="00FB6814"/>
    <w:rsid w:val="00FB6CA5"/>
    <w:rsid w:val="00FB6F2A"/>
    <w:rsid w:val="00FB7A14"/>
    <w:rsid w:val="00FC0392"/>
    <w:rsid w:val="00FC0AE9"/>
    <w:rsid w:val="00FC0F1B"/>
    <w:rsid w:val="00FC1D40"/>
    <w:rsid w:val="00FC41A3"/>
    <w:rsid w:val="00FC5285"/>
    <w:rsid w:val="00FC58C6"/>
    <w:rsid w:val="00FC5A4C"/>
    <w:rsid w:val="00FC5CF1"/>
    <w:rsid w:val="00FC6F9B"/>
    <w:rsid w:val="00FC72D5"/>
    <w:rsid w:val="00FC7769"/>
    <w:rsid w:val="00FD0475"/>
    <w:rsid w:val="00FD161D"/>
    <w:rsid w:val="00FD26AE"/>
    <w:rsid w:val="00FD3154"/>
    <w:rsid w:val="00FD3308"/>
    <w:rsid w:val="00FD3FDD"/>
    <w:rsid w:val="00FD412A"/>
    <w:rsid w:val="00FD44E3"/>
    <w:rsid w:val="00FD5042"/>
    <w:rsid w:val="00FD5586"/>
    <w:rsid w:val="00FD5770"/>
    <w:rsid w:val="00FD6755"/>
    <w:rsid w:val="00FD704F"/>
    <w:rsid w:val="00FD7732"/>
    <w:rsid w:val="00FD7F8D"/>
    <w:rsid w:val="00FE0452"/>
    <w:rsid w:val="00FE1595"/>
    <w:rsid w:val="00FE1F53"/>
    <w:rsid w:val="00FE2366"/>
    <w:rsid w:val="00FE24FB"/>
    <w:rsid w:val="00FE3C85"/>
    <w:rsid w:val="00FE4275"/>
    <w:rsid w:val="00FE43F6"/>
    <w:rsid w:val="00FE4E50"/>
    <w:rsid w:val="00FE5B5A"/>
    <w:rsid w:val="00FE5D6D"/>
    <w:rsid w:val="00FE6667"/>
    <w:rsid w:val="00FE744C"/>
    <w:rsid w:val="00FE7A2A"/>
    <w:rsid w:val="00FE7D99"/>
    <w:rsid w:val="00FF0B6F"/>
    <w:rsid w:val="00FF0F17"/>
    <w:rsid w:val="00FF10F3"/>
    <w:rsid w:val="00FF2204"/>
    <w:rsid w:val="00FF471B"/>
    <w:rsid w:val="00FF6B34"/>
    <w:rsid w:val="00FF6C98"/>
    <w:rsid w:val="00FF6F15"/>
    <w:rsid w:val="00FF7724"/>
    <w:rsid w:val="00FF7C3F"/>
    <w:rsid w:val="00FF7F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white"/>
    </o:shapedefaults>
    <o:shapelayout v:ext="edit">
      <o:idmap v:ext="edit" data="1"/>
    </o:shapelayout>
  </w:shapeDefaults>
  <w:decimalSymbol w:val="."/>
  <w:listSeparator w:val=","/>
  <w15:chartTrackingRefBased/>
  <w15:docId w15:val="{A0EA7E29-07AC-4ABE-ABDC-DB090690B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468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530331"/>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qFormat/>
    <w:rsid w:val="0053033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qFormat/>
    <w:rsid w:val="00B02876"/>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23"/>
    <w:next w:val="a"/>
    <w:autoRedefine/>
    <w:uiPriority w:val="39"/>
    <w:rsid w:val="00846826"/>
    <w:rPr>
      <w:b/>
      <w:noProof/>
    </w:rPr>
  </w:style>
  <w:style w:type="paragraph" w:styleId="23">
    <w:name w:val="toc 2"/>
    <w:basedOn w:val="a"/>
    <w:next w:val="a"/>
    <w:autoRedefine/>
    <w:uiPriority w:val="39"/>
    <w:rsid w:val="0007042D"/>
    <w:pPr>
      <w:tabs>
        <w:tab w:val="right" w:leader="hyphen" w:pos="8505"/>
      </w:tabs>
      <w:spacing w:line="480" w:lineRule="exact"/>
      <w:ind w:leftChars="0" w:left="486" w:rightChars="49" w:right="139" w:hangingChars="200" w:hanging="486"/>
    </w:pPr>
    <w:rPr>
      <w:sz w:val="24"/>
    </w:rPr>
  </w:style>
  <w:style w:type="paragraph" w:styleId="af">
    <w:name w:val="header"/>
    <w:basedOn w:val="a"/>
    <w:link w:val="af0"/>
    <w:uiPriority w:val="99"/>
    <w:unhideWhenUsed/>
    <w:rsid w:val="00406EF2"/>
    <w:pPr>
      <w:tabs>
        <w:tab w:val="center" w:pos="4153"/>
        <w:tab w:val="right" w:pos="8306"/>
      </w:tabs>
      <w:snapToGrid w:val="0"/>
    </w:pPr>
    <w:rPr>
      <w:sz w:val="20"/>
      <w:szCs w:val="20"/>
    </w:rPr>
  </w:style>
  <w:style w:type="character" w:customStyle="1" w:styleId="af0">
    <w:name w:val="頁首 字元"/>
    <w:link w:val="af"/>
    <w:uiPriority w:val="99"/>
    <w:rsid w:val="00406EF2"/>
    <w:rPr>
      <w:rFonts w:ascii="標楷體" w:eastAsia="標楷體"/>
      <w:snapToGrid w:val="0"/>
      <w:kern w:val="2"/>
    </w:rPr>
  </w:style>
  <w:style w:type="paragraph" w:styleId="af1">
    <w:name w:val="footer"/>
    <w:basedOn w:val="a"/>
    <w:link w:val="af2"/>
    <w:uiPriority w:val="99"/>
    <w:unhideWhenUsed/>
    <w:rsid w:val="00406EF2"/>
    <w:pPr>
      <w:tabs>
        <w:tab w:val="center" w:pos="4153"/>
        <w:tab w:val="right" w:pos="8306"/>
      </w:tabs>
      <w:snapToGrid w:val="0"/>
    </w:pPr>
    <w:rPr>
      <w:sz w:val="20"/>
      <w:szCs w:val="20"/>
    </w:rPr>
  </w:style>
  <w:style w:type="character" w:customStyle="1" w:styleId="af2">
    <w:name w:val="頁尾 字元"/>
    <w:link w:val="af1"/>
    <w:uiPriority w:val="99"/>
    <w:rsid w:val="00406EF2"/>
    <w:rPr>
      <w:rFonts w:ascii="標楷體" w:eastAsia="標楷體"/>
      <w:snapToGrid w:val="0"/>
      <w:kern w:val="2"/>
    </w:rPr>
  </w:style>
  <w:style w:type="paragraph" w:styleId="af3">
    <w:name w:val="List Paragraph"/>
    <w:basedOn w:val="a"/>
    <w:uiPriority w:val="34"/>
    <w:qFormat/>
    <w:rsid w:val="00F728E0"/>
    <w:pPr>
      <w:ind w:left="480"/>
    </w:pPr>
  </w:style>
  <w:style w:type="character" w:customStyle="1" w:styleId="141">
    <w:name w:val="第二層(14號字) 字元1"/>
    <w:link w:val="14"/>
    <w:locked/>
    <w:rsid w:val="009454BE"/>
    <w:rPr>
      <w:rFonts w:ascii="標楷體" w:eastAsia="標楷體"/>
      <w:b/>
      <w:snapToGrid w:val="0"/>
      <w:kern w:val="2"/>
      <w:sz w:val="28"/>
    </w:rPr>
  </w:style>
  <w:style w:type="character" w:customStyle="1" w:styleId="a5">
    <w:name w:val="(一)(二)(三) 字元"/>
    <w:link w:val="a4"/>
    <w:locked/>
    <w:rsid w:val="009454BE"/>
    <w:rPr>
      <w:rFonts w:ascii="標楷體" w:eastAsia="標楷體"/>
      <w:snapToGrid w:val="0"/>
      <w:kern w:val="2"/>
      <w:sz w:val="28"/>
      <w:szCs w:val="28"/>
    </w:rPr>
  </w:style>
  <w:style w:type="character" w:customStyle="1" w:styleId="1230">
    <w:name w:val="1.2.3. 字元"/>
    <w:link w:val="123"/>
    <w:locked/>
    <w:rsid w:val="009454BE"/>
    <w:rPr>
      <w:rFonts w:ascii="標楷體" w:eastAsia="標楷體"/>
      <w:snapToGrid w:val="0"/>
      <w:kern w:val="2"/>
      <w:sz w:val="28"/>
      <w:szCs w:val="28"/>
    </w:rPr>
  </w:style>
  <w:style w:type="character" w:customStyle="1" w:styleId="22">
    <w:name w:val="(一)下內文縮2 字元"/>
    <w:link w:val="21"/>
    <w:locked/>
    <w:rsid w:val="009454BE"/>
    <w:rPr>
      <w:rFonts w:ascii="標楷體" w:eastAsia="標楷體"/>
      <w:snapToGrid w:val="0"/>
      <w:kern w:val="2"/>
      <w:sz w:val="28"/>
      <w:szCs w:val="28"/>
    </w:rPr>
  </w:style>
  <w:style w:type="paragraph" w:customStyle="1" w:styleId="24">
    <w:name w:val="字元 字元2 字元 字元 字元"/>
    <w:basedOn w:val="a"/>
    <w:semiHidden/>
    <w:rsid w:val="006177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
    <w:semiHidden/>
    <w:rsid w:val="004D244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locked/>
    <w:rsid w:val="00A17810"/>
    <w:rPr>
      <w:rFonts w:ascii="標楷體" w:eastAsia="標楷體"/>
      <w:snapToGrid w:val="0"/>
      <w:kern w:val="2"/>
      <w:sz w:val="28"/>
      <w:szCs w:val="28"/>
    </w:rPr>
  </w:style>
  <w:style w:type="character" w:customStyle="1" w:styleId="143">
    <w:name w:val="表格內文(14行高) 字元"/>
    <w:link w:val="142"/>
    <w:qFormat/>
    <w:locked/>
    <w:rsid w:val="00A17810"/>
    <w:rPr>
      <w:rFonts w:ascii="標楷體" w:eastAsia="標楷體"/>
      <w:snapToGrid w:val="0"/>
      <w:kern w:val="2"/>
      <w:sz w:val="24"/>
      <w:szCs w:val="28"/>
    </w:rPr>
  </w:style>
  <w:style w:type="paragraph" w:styleId="af4">
    <w:name w:val="Balloon Text"/>
    <w:basedOn w:val="a"/>
    <w:link w:val="af5"/>
    <w:uiPriority w:val="99"/>
    <w:semiHidden/>
    <w:unhideWhenUsed/>
    <w:rsid w:val="00A17810"/>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A17810"/>
    <w:rPr>
      <w:rFonts w:ascii="Cambria" w:eastAsia="新細明體" w:hAnsi="Cambria" w:cs="Times New Roman"/>
      <w:snapToGrid w:val="0"/>
      <w:kern w:val="2"/>
      <w:sz w:val="18"/>
      <w:szCs w:val="18"/>
    </w:rPr>
  </w:style>
  <w:style w:type="paragraph" w:customStyle="1" w:styleId="28">
    <w:name w:val="字元 字元2 字元 字元 字元8"/>
    <w:basedOn w:val="a"/>
    <w:semiHidden/>
    <w:rsid w:val="00F5680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6">
    <w:name w:val="Table Grid"/>
    <w:basedOn w:val="a1"/>
    <w:uiPriority w:val="59"/>
    <w:rsid w:val="00A46C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530331"/>
    <w:rPr>
      <w:rFonts w:ascii="Cambria" w:eastAsia="新細明體" w:hAnsi="Cambria" w:cs="Times New Roman"/>
      <w:b/>
      <w:bCs/>
      <w:snapToGrid w:val="0"/>
      <w:kern w:val="52"/>
      <w:sz w:val="52"/>
      <w:szCs w:val="52"/>
    </w:rPr>
  </w:style>
  <w:style w:type="character" w:customStyle="1" w:styleId="20">
    <w:name w:val="標題 2 字元"/>
    <w:link w:val="2"/>
    <w:rsid w:val="00530331"/>
    <w:rPr>
      <w:rFonts w:ascii="Cambria" w:eastAsia="新細明體" w:hAnsi="Cambria" w:cs="Times New Roman"/>
      <w:b/>
      <w:bCs/>
      <w:snapToGrid w:val="0"/>
      <w:kern w:val="2"/>
      <w:sz w:val="48"/>
      <w:szCs w:val="48"/>
    </w:rPr>
  </w:style>
  <w:style w:type="character" w:styleId="af7">
    <w:name w:val="Hyperlink"/>
    <w:uiPriority w:val="99"/>
    <w:unhideWhenUsed/>
    <w:rsid w:val="00530331"/>
    <w:rPr>
      <w:color w:val="0000FF"/>
      <w:u w:val="single"/>
    </w:rPr>
  </w:style>
  <w:style w:type="character" w:customStyle="1" w:styleId="201">
    <w:name w:val="表格內文(20行高) 字元"/>
    <w:link w:val="200"/>
    <w:locked/>
    <w:rsid w:val="00E7578D"/>
    <w:rPr>
      <w:rFonts w:ascii="標楷體" w:eastAsia="標楷體"/>
      <w:snapToGrid w:val="0"/>
      <w:kern w:val="2"/>
      <w:sz w:val="24"/>
      <w:szCs w:val="28"/>
    </w:rPr>
  </w:style>
  <w:style w:type="paragraph" w:styleId="af8">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9"/>
    <w:unhideWhenUsed/>
    <w:rsid w:val="00FA328F"/>
    <w:pPr>
      <w:snapToGrid w:val="0"/>
      <w:jc w:val="left"/>
    </w:pPr>
    <w:rPr>
      <w:sz w:val="20"/>
      <w:szCs w:val="20"/>
    </w:rPr>
  </w:style>
  <w:style w:type="character" w:customStyle="1" w:styleId="af9">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rsid w:val="00FA328F"/>
    <w:rPr>
      <w:rFonts w:ascii="標楷體" w:eastAsia="標楷體"/>
      <w:snapToGrid w:val="0"/>
      <w:kern w:val="2"/>
    </w:rPr>
  </w:style>
  <w:style w:type="character" w:styleId="afa">
    <w:name w:val="footnote reference"/>
    <w:aliases w:val="FR,Ref,de nota al pie,註腳內容,Error-Fußnotenzeichen5,Error-Fußnotenzeichen6,Error-Fußnotenzeichen3"/>
    <w:uiPriority w:val="99"/>
    <w:unhideWhenUsed/>
    <w:rsid w:val="00FA328F"/>
    <w:rPr>
      <w:vertAlign w:val="superscript"/>
    </w:rPr>
  </w:style>
  <w:style w:type="paragraph" w:customStyle="1" w:styleId="27">
    <w:name w:val="字元 字元2 字元 字元 字元7"/>
    <w:basedOn w:val="a"/>
    <w:semiHidden/>
    <w:rsid w:val="004426C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6"/>
    <w:basedOn w:val="a"/>
    <w:semiHidden/>
    <w:rsid w:val="005902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5"/>
    <w:basedOn w:val="a"/>
    <w:semiHidden/>
    <w:rsid w:val="0004122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
    <w:semiHidden/>
    <w:rsid w:val="00882E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0C3C8C"/>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c">
    <w:name w:val="第二層"/>
    <w:basedOn w:val="a"/>
    <w:rsid w:val="002340D5"/>
    <w:pPr>
      <w:spacing w:line="240" w:lineRule="auto"/>
      <w:ind w:leftChars="0" w:left="0" w:firstLineChars="0" w:firstLine="0"/>
      <w:jc w:val="left"/>
    </w:pPr>
    <w:rPr>
      <w:rFonts w:ascii="Times New Roman" w:eastAsia="新細明體"/>
      <w:snapToGrid/>
      <w:szCs w:val="24"/>
    </w:rPr>
  </w:style>
  <w:style w:type="paragraph" w:customStyle="1" w:styleId="230">
    <w:name w:val="字元 字元2 字元 字元 字元3"/>
    <w:basedOn w:val="a"/>
    <w:semiHidden/>
    <w:rsid w:val="00DE4B7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d">
    <w:name w:val="Placeholder Text"/>
    <w:uiPriority w:val="99"/>
    <w:semiHidden/>
    <w:rsid w:val="002B474B"/>
    <w:rPr>
      <w:color w:val="808080"/>
    </w:rPr>
  </w:style>
  <w:style w:type="character" w:customStyle="1" w:styleId="30">
    <w:name w:val="標題 3 字元"/>
    <w:link w:val="3"/>
    <w:uiPriority w:val="9"/>
    <w:semiHidden/>
    <w:rsid w:val="00B02876"/>
    <w:rPr>
      <w:rFonts w:ascii="Cambria" w:eastAsia="新細明體" w:hAnsi="Cambria" w:cs="Times New Roman"/>
      <w:b/>
      <w:bCs/>
      <w:snapToGrid w:val="0"/>
      <w:kern w:val="2"/>
      <w:sz w:val="36"/>
      <w:szCs w:val="36"/>
    </w:rPr>
  </w:style>
  <w:style w:type="paragraph" w:customStyle="1" w:styleId="220">
    <w:name w:val="字元 字元2 字元 字元 字元2"/>
    <w:basedOn w:val="a"/>
    <w:semiHidden/>
    <w:rsid w:val="00D451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e">
    <w:name w:val="字元 字元"/>
    <w:basedOn w:val="a"/>
    <w:semiHidden/>
    <w:rsid w:val="009F6E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字元 字元1"/>
    <w:basedOn w:val="a"/>
    <w:semiHidden/>
    <w:rsid w:val="00516B7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
    <w:semiHidden/>
    <w:rsid w:val="001F5D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 字元2 字元 字元 字元"/>
    <w:basedOn w:val="a"/>
    <w:semiHidden/>
    <w:rsid w:val="005944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Body Text"/>
    <w:basedOn w:val="a"/>
    <w:rsid w:val="0029273B"/>
    <w:pPr>
      <w:spacing w:after="120"/>
    </w:pPr>
  </w:style>
  <w:style w:type="paragraph" w:styleId="aff0">
    <w:name w:val="Date"/>
    <w:basedOn w:val="a"/>
    <w:next w:val="a"/>
    <w:link w:val="aff1"/>
    <w:rsid w:val="00F2689E"/>
    <w:pPr>
      <w:spacing w:line="240" w:lineRule="auto"/>
      <w:ind w:leftChars="0" w:left="0" w:firstLineChars="0" w:firstLine="0"/>
      <w:jc w:val="right"/>
    </w:pPr>
    <w:rPr>
      <w:rFonts w:ascii="Times New Roman"/>
      <w:b/>
      <w:bCs/>
      <w:snapToGrid/>
      <w:sz w:val="36"/>
      <w:szCs w:val="24"/>
    </w:rPr>
  </w:style>
  <w:style w:type="character" w:customStyle="1" w:styleId="aff1">
    <w:name w:val="日期 字元"/>
    <w:link w:val="aff0"/>
    <w:rsid w:val="00F2689E"/>
    <w:rPr>
      <w:rFonts w:eastAsia="標楷體"/>
      <w:b/>
      <w:bCs/>
      <w:kern w:val="2"/>
      <w:sz w:val="36"/>
      <w:szCs w:val="24"/>
    </w:rPr>
  </w:style>
  <w:style w:type="character" w:customStyle="1" w:styleId="145">
    <w:name w:val="表格內文(14行高) 字元 字元"/>
    <w:rsid w:val="00D56CD0"/>
    <w:rPr>
      <w:rFonts w:ascii="標楷體" w:eastAsia="標楷體"/>
      <w:snapToGrid w:val="0"/>
      <w:kern w:val="2"/>
      <w:sz w:val="24"/>
      <w:szCs w:val="28"/>
      <w:lang w:val="en-US" w:eastAsia="zh-TW" w:bidi="ar-SA"/>
    </w:rPr>
  </w:style>
  <w:style w:type="character" w:styleId="aff2">
    <w:name w:val="Emphasis"/>
    <w:uiPriority w:val="20"/>
    <w:qFormat/>
    <w:rsid w:val="005376E5"/>
    <w:rPr>
      <w:i/>
      <w:iCs/>
    </w:rPr>
  </w:style>
  <w:style w:type="character" w:customStyle="1" w:styleId="146">
    <w:name w:val="第二層(14號字) 字元"/>
    <w:rsid w:val="00B670C5"/>
    <w:rPr>
      <w:rFonts w:ascii="標楷體" w:eastAsia="標楷體" w:hAnsi="Times New Roman"/>
      <w:b/>
      <w:snapToGrid w:val="0"/>
      <w:kern w:val="2"/>
      <w:sz w:val="28"/>
    </w:rPr>
  </w:style>
  <w:style w:type="character" w:customStyle="1" w:styleId="ad">
    <w:name w:val="姓名及分機 字元"/>
    <w:link w:val="ac"/>
    <w:locked/>
    <w:rsid w:val="000C5C66"/>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892568">
      <w:bodyDiv w:val="1"/>
      <w:marLeft w:val="0"/>
      <w:marRight w:val="0"/>
      <w:marTop w:val="0"/>
      <w:marBottom w:val="0"/>
      <w:divBdr>
        <w:top w:val="none" w:sz="0" w:space="0" w:color="auto"/>
        <w:left w:val="none" w:sz="0" w:space="0" w:color="auto"/>
        <w:bottom w:val="none" w:sz="0" w:space="0" w:color="auto"/>
        <w:right w:val="none" w:sz="0" w:space="0" w:color="auto"/>
      </w:divBdr>
    </w:div>
    <w:div w:id="316569825">
      <w:bodyDiv w:val="1"/>
      <w:marLeft w:val="0"/>
      <w:marRight w:val="0"/>
      <w:marTop w:val="0"/>
      <w:marBottom w:val="0"/>
      <w:divBdr>
        <w:top w:val="none" w:sz="0" w:space="0" w:color="auto"/>
        <w:left w:val="none" w:sz="0" w:space="0" w:color="auto"/>
        <w:bottom w:val="none" w:sz="0" w:space="0" w:color="auto"/>
        <w:right w:val="none" w:sz="0" w:space="0" w:color="auto"/>
      </w:divBdr>
    </w:div>
    <w:div w:id="359622193">
      <w:bodyDiv w:val="1"/>
      <w:marLeft w:val="0"/>
      <w:marRight w:val="0"/>
      <w:marTop w:val="0"/>
      <w:marBottom w:val="0"/>
      <w:divBdr>
        <w:top w:val="none" w:sz="0" w:space="0" w:color="auto"/>
        <w:left w:val="none" w:sz="0" w:space="0" w:color="auto"/>
        <w:bottom w:val="none" w:sz="0" w:space="0" w:color="auto"/>
        <w:right w:val="none" w:sz="0" w:space="0" w:color="auto"/>
      </w:divBdr>
    </w:div>
    <w:div w:id="1050500329">
      <w:bodyDiv w:val="1"/>
      <w:marLeft w:val="0"/>
      <w:marRight w:val="0"/>
      <w:marTop w:val="0"/>
      <w:marBottom w:val="0"/>
      <w:divBdr>
        <w:top w:val="none" w:sz="0" w:space="0" w:color="auto"/>
        <w:left w:val="none" w:sz="0" w:space="0" w:color="auto"/>
        <w:bottom w:val="none" w:sz="0" w:space="0" w:color="auto"/>
        <w:right w:val="none" w:sz="0" w:space="0" w:color="auto"/>
      </w:divBdr>
    </w:div>
    <w:div w:id="1372531863">
      <w:bodyDiv w:val="1"/>
      <w:marLeft w:val="0"/>
      <w:marRight w:val="0"/>
      <w:marTop w:val="0"/>
      <w:marBottom w:val="0"/>
      <w:divBdr>
        <w:top w:val="none" w:sz="0" w:space="0" w:color="auto"/>
        <w:left w:val="none" w:sz="0" w:space="0" w:color="auto"/>
        <w:bottom w:val="none" w:sz="0" w:space="0" w:color="auto"/>
        <w:right w:val="none" w:sz="0" w:space="0" w:color="auto"/>
      </w:divBdr>
    </w:div>
    <w:div w:id="1379863665">
      <w:bodyDiv w:val="1"/>
      <w:marLeft w:val="0"/>
      <w:marRight w:val="0"/>
      <w:marTop w:val="0"/>
      <w:marBottom w:val="0"/>
      <w:divBdr>
        <w:top w:val="none" w:sz="0" w:space="0" w:color="auto"/>
        <w:left w:val="none" w:sz="0" w:space="0" w:color="auto"/>
        <w:bottom w:val="none" w:sz="0" w:space="0" w:color="auto"/>
        <w:right w:val="none" w:sz="0" w:space="0" w:color="auto"/>
      </w:divBdr>
    </w:div>
    <w:div w:id="1571619336">
      <w:bodyDiv w:val="1"/>
      <w:marLeft w:val="0"/>
      <w:marRight w:val="0"/>
      <w:marTop w:val="0"/>
      <w:marBottom w:val="0"/>
      <w:divBdr>
        <w:top w:val="none" w:sz="0" w:space="0" w:color="auto"/>
        <w:left w:val="none" w:sz="0" w:space="0" w:color="auto"/>
        <w:bottom w:val="none" w:sz="0" w:space="0" w:color="auto"/>
        <w:right w:val="none" w:sz="0" w:space="0" w:color="auto"/>
      </w:divBdr>
    </w:div>
    <w:div w:id="1628242420">
      <w:bodyDiv w:val="1"/>
      <w:marLeft w:val="0"/>
      <w:marRight w:val="0"/>
      <w:marTop w:val="0"/>
      <w:marBottom w:val="0"/>
      <w:divBdr>
        <w:top w:val="none" w:sz="0" w:space="0" w:color="auto"/>
        <w:left w:val="none" w:sz="0" w:space="0" w:color="auto"/>
        <w:bottom w:val="none" w:sz="0" w:space="0" w:color="auto"/>
        <w:right w:val="none" w:sz="0" w:space="0" w:color="auto"/>
      </w:divBdr>
    </w:div>
    <w:div w:id="2029209111">
      <w:bodyDiv w:val="1"/>
      <w:marLeft w:val="0"/>
      <w:marRight w:val="0"/>
      <w:marTop w:val="0"/>
      <w:marBottom w:val="0"/>
      <w:divBdr>
        <w:top w:val="none" w:sz="0" w:space="0" w:color="auto"/>
        <w:left w:val="none" w:sz="0" w:space="0" w:color="auto"/>
        <w:bottom w:val="none" w:sz="0" w:space="0" w:color="auto"/>
        <w:right w:val="none" w:sz="0" w:space="0" w:color="auto"/>
      </w:divBdr>
    </w:div>
    <w:div w:id="2033608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6356;&#26032;&#20462;&#27491;&#2925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9F8620-91EF-4B29-B0B7-E70E993F9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更新修正版.dot</Template>
  <TotalTime>0</TotalTime>
  <Pages>3</Pages>
  <Words>856</Words>
  <Characters>4880</Characters>
  <Application>Microsoft Office Word</Application>
  <DocSecurity>0</DocSecurity>
  <Lines>40</Lines>
  <Paragraphs>11</Paragraphs>
  <ScaleCrop>false</ScaleCrop>
  <Company/>
  <LinksUpToDate>false</LinksUpToDate>
  <CharactersWithSpaces>5725</CharactersWithSpaces>
  <SharedDoc>false</SharedDoc>
  <HLinks>
    <vt:vector size="18" baseType="variant">
      <vt:variant>
        <vt:i4>1900593</vt:i4>
      </vt:variant>
      <vt:variant>
        <vt:i4>14</vt:i4>
      </vt:variant>
      <vt:variant>
        <vt:i4>0</vt:i4>
      </vt:variant>
      <vt:variant>
        <vt:i4>5</vt:i4>
      </vt:variant>
      <vt:variant>
        <vt:lpwstr/>
      </vt:variant>
      <vt:variant>
        <vt:lpwstr>_Toc193356662</vt:lpwstr>
      </vt:variant>
      <vt:variant>
        <vt:i4>1900593</vt:i4>
      </vt:variant>
      <vt:variant>
        <vt:i4>8</vt:i4>
      </vt:variant>
      <vt:variant>
        <vt:i4>0</vt:i4>
      </vt:variant>
      <vt:variant>
        <vt:i4>5</vt:i4>
      </vt:variant>
      <vt:variant>
        <vt:lpwstr/>
      </vt:variant>
      <vt:variant>
        <vt:lpwstr>_Toc193356661</vt:lpwstr>
      </vt:variant>
      <vt:variant>
        <vt:i4>1900593</vt:i4>
      </vt:variant>
      <vt:variant>
        <vt:i4>2</vt:i4>
      </vt:variant>
      <vt:variant>
        <vt:i4>0</vt:i4>
      </vt:variant>
      <vt:variant>
        <vt:i4>5</vt:i4>
      </vt:variant>
      <vt:variant>
        <vt:lpwstr/>
      </vt:variant>
      <vt:variant>
        <vt:lpwstr>_Toc193356660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臺灣金融控股股份有限公司及所屬臺灣銀行股份有限公司104年度營業預算評估報告目錄            頁次</dc:title>
  <dc:subject/>
  <dc:creator>ASUS-MD700</dc:creator>
  <cp:keywords/>
  <cp:lastModifiedBy>Administrator</cp:lastModifiedBy>
  <cp:revision>2</cp:revision>
  <cp:lastPrinted>2020-03-13T08:29:00Z</cp:lastPrinted>
  <dcterms:created xsi:type="dcterms:W3CDTF">2025-04-02T06:55:00Z</dcterms:created>
  <dcterms:modified xsi:type="dcterms:W3CDTF">2025-04-02T06:55:00Z</dcterms:modified>
</cp:coreProperties>
</file>