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6B14149F" w14:textId="77777777" w:rsidR="00645EF7" w:rsidRPr="000E59B6" w:rsidRDefault="00645EF7" w:rsidP="008B71CE">
      <w:pPr>
        <w:pStyle w:val="14"/>
        <w:ind w:left="567" w:hanging="567"/>
        <w:rPr>
          <w:rFonts w:hAnsi="標楷體"/>
        </w:rPr>
      </w:pPr>
      <w:bookmarkStart w:id="1" w:name="_Toc194991579"/>
      <w:bookmarkStart w:id="2" w:name="_Toc54853519"/>
      <w:bookmarkStart w:id="3" w:name="_Toc85529394"/>
      <w:bookmarkStart w:id="4" w:name="_Toc98577396"/>
      <w:bookmarkStart w:id="5" w:name="_Toc476211249"/>
      <w:bookmarkStart w:id="6" w:name="_Toc67472138"/>
      <w:bookmarkStart w:id="7" w:name="_Toc193976055"/>
      <w:r w:rsidRPr="000E59B6">
        <w:rPr>
          <w:rFonts w:hAnsi="標楷體" w:hint="eastAsia"/>
        </w:rPr>
        <w:t>第</w:t>
      </w:r>
      <w:r>
        <w:rPr>
          <w:rFonts w:hAnsi="標楷體"/>
        </w:rPr>
        <w:t>2</w:t>
      </w:r>
      <w:r w:rsidRPr="000E59B6">
        <w:rPr>
          <w:rFonts w:hAnsi="標楷體" w:hint="eastAsia"/>
        </w:rPr>
        <w:t>項、</w:t>
      </w:r>
      <w:r>
        <w:rPr>
          <w:rFonts w:hAnsi="標楷體" w:hint="eastAsia"/>
        </w:rPr>
        <w:t>考選</w:t>
      </w:r>
      <w:r w:rsidRPr="000E59B6">
        <w:rPr>
          <w:rFonts w:hAnsi="標楷體" w:hint="eastAsia"/>
        </w:rPr>
        <w:t>部</w:t>
      </w:r>
      <w:bookmarkEnd w:id="1"/>
      <w:bookmarkEnd w:id="5"/>
      <w:bookmarkEnd w:id="6"/>
      <w:bookmarkEnd w:id="7"/>
    </w:p>
    <w:p w14:paraId="7C681257" w14:textId="77777777" w:rsidR="00645EF7" w:rsidRPr="000E59B6" w:rsidRDefault="00645EF7" w:rsidP="007769DA">
      <w:pPr>
        <w:pStyle w:val="a5"/>
        <w:ind w:left="567" w:hanging="567"/>
        <w:rPr>
          <w:rFonts w:hAnsi="標楷體"/>
          <w:color w:val="000000"/>
          <w:szCs w:val="28"/>
        </w:rPr>
      </w:pPr>
      <w:r w:rsidRPr="000E59B6">
        <w:rPr>
          <w:rFonts w:hAnsi="標楷體" w:hint="eastAsia"/>
          <w:color w:val="000000"/>
          <w:szCs w:val="28"/>
        </w:rPr>
        <w:t>一、為應</w:t>
      </w:r>
      <w:r>
        <w:rPr>
          <w:rFonts w:hAnsi="標楷體" w:hint="eastAsia"/>
          <w:color w:val="000000"/>
          <w:szCs w:val="28"/>
        </w:rPr>
        <w:t>國家考試數位轉型發</w:t>
      </w:r>
      <w:r w:rsidRPr="00C003A4">
        <w:rPr>
          <w:rFonts w:hAnsi="標楷體" w:hint="eastAsia"/>
          <w:color w:val="000000"/>
          <w:szCs w:val="28"/>
        </w:rPr>
        <w:t>展</w:t>
      </w:r>
      <w:r w:rsidRPr="000E59B6">
        <w:rPr>
          <w:rFonts w:hAnsi="標楷體" w:hint="eastAsia"/>
          <w:color w:val="000000"/>
          <w:szCs w:val="28"/>
        </w:rPr>
        <w:t>所需，</w:t>
      </w:r>
      <w:r>
        <w:rPr>
          <w:rFonts w:hAnsi="標楷體" w:hint="eastAsia"/>
          <w:color w:val="000000"/>
          <w:szCs w:val="28"/>
        </w:rPr>
        <w:t>申請</w:t>
      </w:r>
      <w:r w:rsidRPr="000E59B6">
        <w:rPr>
          <w:rFonts w:hAnsi="標楷體" w:hint="eastAsia"/>
          <w:color w:val="000000"/>
          <w:szCs w:val="28"/>
        </w:rPr>
        <w:t>動支第二預備金</w:t>
      </w:r>
      <w:r>
        <w:rPr>
          <w:rFonts w:hAnsi="標楷體" w:hint="eastAsia"/>
          <w:color w:val="000000"/>
          <w:szCs w:val="28"/>
        </w:rPr>
        <w:t>支應</w:t>
      </w:r>
      <w:r w:rsidRPr="000E59B6">
        <w:rPr>
          <w:rFonts w:hAnsi="標楷體" w:hint="eastAsia"/>
          <w:color w:val="000000"/>
        </w:rPr>
        <w:t>，核與預算法規定尚無不符</w:t>
      </w:r>
      <w:r>
        <w:rPr>
          <w:rFonts w:hAnsi="標楷體" w:hint="eastAsia"/>
          <w:color w:val="000000"/>
        </w:rPr>
        <w:t>，惟保留款迄未執行完竣，</w:t>
      </w:r>
      <w:r w:rsidRPr="008B28F9">
        <w:rPr>
          <w:rFonts w:hAnsi="標楷體" w:hint="eastAsia"/>
          <w:color w:val="000000"/>
          <w:szCs w:val="28"/>
        </w:rPr>
        <w:t>允宜加</w:t>
      </w:r>
      <w:r>
        <w:rPr>
          <w:rFonts w:hAnsi="標楷體" w:hint="eastAsia"/>
          <w:color w:val="000000"/>
          <w:szCs w:val="28"/>
        </w:rPr>
        <w:t>強</w:t>
      </w:r>
      <w:r w:rsidRPr="008B28F9">
        <w:rPr>
          <w:rFonts w:hAnsi="標楷體" w:hint="eastAsia"/>
          <w:color w:val="000000"/>
          <w:szCs w:val="28"/>
        </w:rPr>
        <w:t>辦理</w:t>
      </w:r>
    </w:p>
    <w:p w14:paraId="3F949A1A" w14:textId="77777777" w:rsidR="00645EF7" w:rsidRPr="000E59B6" w:rsidRDefault="00645EF7" w:rsidP="00FE2616">
      <w:pPr>
        <w:ind w:left="566" w:firstLine="566"/>
        <w:rPr>
          <w:rFonts w:hAnsi="標楷體"/>
          <w:color w:val="000000"/>
        </w:rPr>
      </w:pPr>
      <w:r w:rsidRPr="00FB7ADC">
        <w:rPr>
          <w:rFonts w:hAnsi="標楷體" w:hint="eastAsia"/>
          <w:color w:val="000000"/>
        </w:rPr>
        <w:t>考選</w:t>
      </w:r>
      <w:r w:rsidRPr="00893EA8">
        <w:rPr>
          <w:rFonts w:hAnsi="標楷體" w:hint="eastAsia"/>
          <w:color w:val="000000"/>
        </w:rPr>
        <w:t>部11</w:t>
      </w:r>
      <w:r>
        <w:rPr>
          <w:rFonts w:hAnsi="標楷體"/>
          <w:color w:val="000000"/>
        </w:rPr>
        <w:t>3</w:t>
      </w:r>
      <w:r w:rsidRPr="00893EA8">
        <w:rPr>
          <w:rFonts w:hAnsi="標楷體" w:hint="eastAsia"/>
          <w:color w:val="000000"/>
        </w:rPr>
        <w:t>年度</w:t>
      </w:r>
      <w:r>
        <w:rPr>
          <w:rFonts w:hAnsi="標楷體" w:hint="eastAsia"/>
          <w:color w:val="000000"/>
        </w:rPr>
        <w:t>分別</w:t>
      </w:r>
      <w:r w:rsidRPr="00893EA8">
        <w:rPr>
          <w:rFonts w:hAnsi="標楷體" w:hint="eastAsia"/>
          <w:color w:val="000000"/>
        </w:rPr>
        <w:t>於「一般行政」</w:t>
      </w:r>
      <w:r>
        <w:rPr>
          <w:rFonts w:hAnsi="標楷體" w:hint="eastAsia"/>
          <w:color w:val="000000"/>
        </w:rPr>
        <w:t>與</w:t>
      </w:r>
      <w:r w:rsidRPr="00893EA8">
        <w:rPr>
          <w:rFonts w:hAnsi="標楷體" w:hint="eastAsia"/>
          <w:color w:val="000000"/>
        </w:rPr>
        <w:t>「</w:t>
      </w:r>
      <w:r>
        <w:rPr>
          <w:rFonts w:hAnsi="標楷體" w:hint="eastAsia"/>
          <w:color w:val="000000"/>
        </w:rPr>
        <w:t>考試業務</w:t>
      </w:r>
      <w:r w:rsidRPr="00893EA8">
        <w:rPr>
          <w:rFonts w:hAnsi="標楷體" w:hint="eastAsia"/>
          <w:color w:val="000000"/>
        </w:rPr>
        <w:t>」科目</w:t>
      </w:r>
      <w:r>
        <w:rPr>
          <w:rFonts w:hAnsi="標楷體" w:hint="eastAsia"/>
          <w:color w:val="000000"/>
        </w:rPr>
        <w:t>項</w:t>
      </w:r>
      <w:r w:rsidRPr="007B692B">
        <w:rPr>
          <w:rFonts w:hAnsi="標楷體" w:cs="細明體" w:hint="eastAsia"/>
          <w:color w:val="000000"/>
        </w:rPr>
        <w:t>下，申獲核定動支第二預備金</w:t>
      </w:r>
      <w:r>
        <w:rPr>
          <w:rFonts w:hAnsi="標楷體" w:cs="細明體" w:hint="eastAsia"/>
          <w:color w:val="000000"/>
        </w:rPr>
        <w:t>各為</w:t>
      </w:r>
      <w:r>
        <w:rPr>
          <w:rFonts w:hAnsi="標楷體" w:hint="eastAsia"/>
          <w:color w:val="000000"/>
        </w:rPr>
        <w:t>3</w:t>
      </w:r>
      <w:r>
        <w:rPr>
          <w:rFonts w:hAnsi="標楷體"/>
          <w:color w:val="000000"/>
        </w:rPr>
        <w:t>,360</w:t>
      </w:r>
      <w:r>
        <w:rPr>
          <w:rFonts w:hAnsi="標楷體" w:hint="eastAsia"/>
          <w:color w:val="000000"/>
        </w:rPr>
        <w:t>萬4</w:t>
      </w:r>
      <w:r w:rsidRPr="002A66E1">
        <w:rPr>
          <w:rFonts w:hAnsi="標楷體" w:hint="eastAsia"/>
          <w:color w:val="000000"/>
        </w:rPr>
        <w:t>千元</w:t>
      </w:r>
      <w:r>
        <w:rPr>
          <w:rFonts w:hAnsi="標楷體" w:hint="eastAsia"/>
          <w:color w:val="000000"/>
        </w:rPr>
        <w:t>及5</w:t>
      </w:r>
      <w:r>
        <w:rPr>
          <w:rFonts w:hAnsi="標楷體"/>
          <w:color w:val="000000"/>
        </w:rPr>
        <w:t>,450</w:t>
      </w:r>
      <w:r>
        <w:rPr>
          <w:rFonts w:hAnsi="標楷體" w:hint="eastAsia"/>
          <w:color w:val="000000"/>
        </w:rPr>
        <w:t>萬元，合共8</w:t>
      </w:r>
      <w:r>
        <w:rPr>
          <w:rFonts w:hAnsi="標楷體"/>
          <w:color w:val="000000"/>
        </w:rPr>
        <w:t>,810</w:t>
      </w:r>
      <w:r>
        <w:rPr>
          <w:rFonts w:hAnsi="標楷體" w:hint="eastAsia"/>
          <w:color w:val="000000"/>
        </w:rPr>
        <w:t>萬4千元</w:t>
      </w:r>
      <w:r w:rsidRPr="000E59B6">
        <w:rPr>
          <w:rFonts w:hAnsi="標楷體" w:hint="eastAsia"/>
          <w:color w:val="000000"/>
        </w:rPr>
        <w:t>。經查：</w:t>
      </w:r>
    </w:p>
    <w:p w14:paraId="42E8B315" w14:textId="77777777" w:rsidR="00645EF7" w:rsidRPr="001E028C" w:rsidRDefault="00645EF7" w:rsidP="00243049">
      <w:pPr>
        <w:pStyle w:val="a7"/>
        <w:tabs>
          <w:tab w:val="left" w:pos="1701"/>
        </w:tabs>
        <w:ind w:left="849" w:hanging="283"/>
        <w:rPr>
          <w:rFonts w:hAnsi="標楷體" w:cs="細明體"/>
          <w:color w:val="FF0000"/>
        </w:rPr>
      </w:pPr>
      <w:r w:rsidRPr="000E59B6">
        <w:rPr>
          <w:rFonts w:hAnsi="標楷體" w:hint="eastAsia"/>
          <w:b/>
          <w:color w:val="000000"/>
        </w:rPr>
        <w:t>(</w:t>
      </w:r>
      <w:r w:rsidRPr="000E59B6">
        <w:rPr>
          <w:rFonts w:hAnsi="標楷體" w:cs="細明體" w:hint="eastAsia"/>
          <w:b/>
          <w:color w:val="000000"/>
        </w:rPr>
        <w:t>一)</w:t>
      </w:r>
      <w:r w:rsidRPr="000E59B6">
        <w:rPr>
          <w:rFonts w:hAnsi="標楷體" w:hint="eastAsia"/>
          <w:b/>
          <w:color w:val="000000"/>
        </w:rPr>
        <w:t>動支條件：</w:t>
      </w:r>
      <w:r w:rsidRPr="000E59B6">
        <w:rPr>
          <w:rFonts w:hAnsi="標楷體" w:cs="細明體" w:hint="eastAsia"/>
          <w:color w:val="000000"/>
        </w:rPr>
        <w:t>依據</w:t>
      </w:r>
      <w:r w:rsidRPr="000E59B6">
        <w:rPr>
          <w:rFonts w:hAnsi="標楷體" w:hint="eastAsia"/>
          <w:color w:val="000000"/>
        </w:rPr>
        <w:t>預算法第70條第</w:t>
      </w:r>
      <w:r>
        <w:rPr>
          <w:rFonts w:hAnsi="標楷體"/>
          <w:color w:val="000000"/>
        </w:rPr>
        <w:t>1</w:t>
      </w:r>
      <w:r w:rsidRPr="000E59B6">
        <w:rPr>
          <w:rFonts w:hAnsi="標楷體" w:hint="eastAsia"/>
          <w:color w:val="000000"/>
        </w:rPr>
        <w:t>款規定：「</w:t>
      </w:r>
      <w:r w:rsidRPr="0015007D">
        <w:rPr>
          <w:rFonts w:hAnsi="標楷體" w:hint="eastAsia"/>
          <w:color w:val="000000"/>
        </w:rPr>
        <w:t>原列計畫費用因事實需要奉准修訂致原列經費不敷時</w:t>
      </w:r>
      <w:r w:rsidRPr="000E59B6">
        <w:rPr>
          <w:rFonts w:hAnsi="標楷體" w:hint="eastAsia"/>
          <w:color w:val="000000"/>
        </w:rPr>
        <w:t>。」申請動支第二預備金。</w:t>
      </w:r>
      <w:r>
        <w:rPr>
          <w:rFonts w:hAnsi="標楷體" w:hint="eastAsia"/>
          <w:color w:val="000000"/>
        </w:rPr>
        <w:t>由</w:t>
      </w:r>
      <w:r w:rsidRPr="00F75C39">
        <w:rPr>
          <w:rFonts w:hAnsi="標楷體" w:hint="eastAsia"/>
        </w:rPr>
        <w:t>於本項動支數額超過5,</w:t>
      </w:r>
      <w:r w:rsidRPr="00F75C39">
        <w:rPr>
          <w:rFonts w:hAnsi="標楷體"/>
        </w:rPr>
        <w:t>000</w:t>
      </w:r>
      <w:r w:rsidRPr="00F75C39">
        <w:rPr>
          <w:rFonts w:hAnsi="標楷體" w:hint="eastAsia"/>
        </w:rPr>
        <w:t>萬元，依預算法第2</w:t>
      </w:r>
      <w:r w:rsidRPr="00F75C39">
        <w:rPr>
          <w:rFonts w:hAnsi="標楷體"/>
        </w:rPr>
        <w:t>2</w:t>
      </w:r>
      <w:r w:rsidRPr="00F75C39">
        <w:rPr>
          <w:rFonts w:hAnsi="標楷體" w:hint="eastAsia"/>
        </w:rPr>
        <w:t>條第3項規定，行政院於1</w:t>
      </w:r>
      <w:r w:rsidRPr="00F75C39">
        <w:rPr>
          <w:rFonts w:hAnsi="標楷體"/>
        </w:rPr>
        <w:t>13</w:t>
      </w:r>
      <w:r w:rsidRPr="00F75C39">
        <w:rPr>
          <w:rFonts w:hAnsi="標楷體" w:hint="eastAsia"/>
        </w:rPr>
        <w:t>年5月3</w:t>
      </w:r>
      <w:r w:rsidRPr="00F75C39">
        <w:rPr>
          <w:rFonts w:hAnsi="標楷體"/>
        </w:rPr>
        <w:t>1</w:t>
      </w:r>
      <w:r w:rsidRPr="00F75C39">
        <w:rPr>
          <w:rFonts w:hAnsi="標楷體" w:hint="eastAsia"/>
        </w:rPr>
        <w:t>日以院授主預政字第1</w:t>
      </w:r>
      <w:r w:rsidRPr="00F75C39">
        <w:rPr>
          <w:rFonts w:hAnsi="標楷體"/>
        </w:rPr>
        <w:t>130052407</w:t>
      </w:r>
      <w:r w:rsidRPr="00F75C39">
        <w:rPr>
          <w:rFonts w:hAnsi="標楷體" w:hint="eastAsia"/>
        </w:rPr>
        <w:t>號函送請本院備查。</w:t>
      </w:r>
    </w:p>
    <w:p w14:paraId="742B0C16" w14:textId="77777777" w:rsidR="00645EF7" w:rsidRPr="000E59B6" w:rsidRDefault="00645EF7" w:rsidP="008B71CE">
      <w:pPr>
        <w:pStyle w:val="a7"/>
        <w:ind w:left="849" w:hanging="283"/>
        <w:rPr>
          <w:rFonts w:hAnsi="標楷體"/>
        </w:rPr>
      </w:pPr>
      <w:r w:rsidRPr="000E59B6">
        <w:rPr>
          <w:rFonts w:hAnsi="標楷體" w:hint="eastAsia"/>
          <w:b/>
        </w:rPr>
        <w:t>(</w:t>
      </w:r>
      <w:r w:rsidRPr="000E59B6">
        <w:rPr>
          <w:rFonts w:hAnsi="標楷體" w:cs="細明體" w:hint="eastAsia"/>
          <w:b/>
        </w:rPr>
        <w:t>二)</w:t>
      </w:r>
      <w:r w:rsidRPr="000E59B6">
        <w:rPr>
          <w:rFonts w:hAnsi="標楷體" w:hint="eastAsia"/>
          <w:b/>
        </w:rPr>
        <w:t>動支原因：</w:t>
      </w:r>
      <w:r w:rsidRPr="008B28F9">
        <w:rPr>
          <w:rFonts w:hAnsi="標楷體" w:hint="eastAsia"/>
          <w:bCs/>
        </w:rPr>
        <w:t>考選部自</w:t>
      </w:r>
      <w:r>
        <w:rPr>
          <w:rFonts w:hAnsi="標楷體" w:hint="eastAsia"/>
          <w:bCs/>
        </w:rPr>
        <w:t>1</w:t>
      </w:r>
      <w:r w:rsidRPr="00B64547">
        <w:rPr>
          <w:rFonts w:hAnsi="標楷體"/>
          <w:bCs/>
        </w:rPr>
        <w:t>11</w:t>
      </w:r>
      <w:r w:rsidRPr="00B64547">
        <w:rPr>
          <w:rFonts w:hAnsi="標楷體" w:hint="eastAsia"/>
          <w:bCs/>
        </w:rPr>
        <w:t>年起推動國家考試數位轉型，為符應</w:t>
      </w:r>
      <w:r w:rsidRPr="00B64547">
        <w:rPr>
          <w:rFonts w:hAnsi="標楷體" w:hint="eastAsia"/>
        </w:rPr>
        <w:t>國考利害關係人關注要項</w:t>
      </w:r>
      <w:r w:rsidRPr="00B64547">
        <w:rPr>
          <w:rStyle w:val="af8"/>
          <w:rFonts w:hAnsi="標楷體"/>
        </w:rPr>
        <w:footnoteReference w:id="1"/>
      </w:r>
      <w:r w:rsidRPr="00B64547">
        <w:rPr>
          <w:rFonts w:hAnsi="標楷體" w:hint="eastAsia"/>
        </w:rPr>
        <w:t>，增加醫護界人力品質與數量需求，提供國考數位包容與照護，並增加跨域合作與官學協力，建構永續發展國家考試數位賦能，爰</w:t>
      </w:r>
      <w:r>
        <w:rPr>
          <w:rFonts w:hAnsi="標楷體" w:hint="eastAsia"/>
        </w:rPr>
        <w:t>於1</w:t>
      </w:r>
      <w:r>
        <w:rPr>
          <w:rFonts w:hAnsi="標楷體"/>
        </w:rPr>
        <w:t>13</w:t>
      </w:r>
      <w:r>
        <w:rPr>
          <w:rFonts w:hAnsi="標楷體" w:hint="eastAsia"/>
        </w:rPr>
        <w:t>年</w:t>
      </w:r>
      <w:r w:rsidRPr="00DC5764">
        <w:rPr>
          <w:rFonts w:hAnsi="標楷體" w:hint="eastAsia"/>
        </w:rPr>
        <w:t>動態調整</w:t>
      </w:r>
      <w:r>
        <w:rPr>
          <w:rFonts w:hAnsi="標楷體" w:hint="eastAsia"/>
        </w:rPr>
        <w:t>修訂「</w:t>
      </w:r>
      <w:r w:rsidRPr="00B64547">
        <w:rPr>
          <w:rFonts w:hAnsi="標楷體" w:hint="eastAsia"/>
        </w:rPr>
        <w:t>國家考試數位轉型發展及推動計畫</w:t>
      </w:r>
      <w:r>
        <w:rPr>
          <w:rFonts w:hAnsi="標楷體" w:hint="eastAsia"/>
        </w:rPr>
        <w:t>」(</w:t>
      </w:r>
      <w:r>
        <w:rPr>
          <w:rFonts w:hAnsi="標楷體"/>
        </w:rPr>
        <w:t>113</w:t>
      </w:r>
      <w:r>
        <w:rPr>
          <w:rFonts w:hAnsi="標楷體" w:hint="eastAsia"/>
        </w:rPr>
        <w:t>至11</w:t>
      </w:r>
      <w:r>
        <w:rPr>
          <w:rFonts w:hAnsi="標楷體"/>
        </w:rPr>
        <w:t>6</w:t>
      </w:r>
      <w:r>
        <w:rPr>
          <w:rFonts w:hAnsi="標楷體" w:hint="eastAsia"/>
        </w:rPr>
        <w:t>年度)</w:t>
      </w:r>
      <w:r w:rsidRPr="00DC5764">
        <w:rPr>
          <w:rFonts w:hAnsi="標楷體" w:hint="eastAsia"/>
        </w:rPr>
        <w:t>，</w:t>
      </w:r>
      <w:r>
        <w:rPr>
          <w:rFonts w:hAnsi="標楷體" w:hint="eastAsia"/>
        </w:rPr>
        <w:t>致增加經費而</w:t>
      </w:r>
      <w:r w:rsidRPr="00DC5764">
        <w:rPr>
          <w:rFonts w:hAnsi="標楷體" w:hint="eastAsia"/>
        </w:rPr>
        <w:t>申請動支第二預備金</w:t>
      </w:r>
      <w:r>
        <w:rPr>
          <w:rFonts w:hAnsi="標楷體" w:hint="eastAsia"/>
        </w:rPr>
        <w:t>，以配合加速辦理執行方案期程與範圍，包含增建國家考場電腦試場、增加1</w:t>
      </w:r>
      <w:r>
        <w:rPr>
          <w:rFonts w:hAnsi="標楷體"/>
        </w:rPr>
        <w:t>13</w:t>
      </w:r>
      <w:r>
        <w:rPr>
          <w:rFonts w:hAnsi="標楷體" w:hint="eastAsia"/>
        </w:rPr>
        <w:t>年全國電腦試場國考系統建置與認證數量及強化官學協力合作規範之經費補助</w:t>
      </w:r>
      <w:r w:rsidRPr="00DC5764">
        <w:rPr>
          <w:rFonts w:hAnsi="標楷體" w:hint="eastAsia"/>
        </w:rPr>
        <w:t>。經報</w:t>
      </w:r>
      <w:r w:rsidRPr="00893EA8">
        <w:rPr>
          <w:rFonts w:hAnsi="標楷體" w:hint="eastAsia"/>
          <w:color w:val="000000"/>
        </w:rPr>
        <w:t>考試院核轉行政院於11</w:t>
      </w:r>
      <w:r>
        <w:rPr>
          <w:rFonts w:hAnsi="標楷體"/>
          <w:color w:val="000000"/>
        </w:rPr>
        <w:t>3</w:t>
      </w:r>
      <w:r w:rsidRPr="00893EA8">
        <w:rPr>
          <w:rFonts w:hAnsi="標楷體" w:hint="eastAsia"/>
          <w:color w:val="000000"/>
        </w:rPr>
        <w:t>年</w:t>
      </w:r>
      <w:r>
        <w:rPr>
          <w:rFonts w:hAnsi="標楷體" w:hint="eastAsia"/>
          <w:color w:val="000000"/>
        </w:rPr>
        <w:t>4</w:t>
      </w:r>
      <w:r w:rsidRPr="00893EA8">
        <w:rPr>
          <w:rFonts w:hAnsi="標楷體" w:hint="eastAsia"/>
          <w:color w:val="000000"/>
        </w:rPr>
        <w:t>月</w:t>
      </w:r>
      <w:r>
        <w:rPr>
          <w:rFonts w:hAnsi="標楷體" w:hint="eastAsia"/>
          <w:color w:val="000000"/>
        </w:rPr>
        <w:t>3</w:t>
      </w:r>
      <w:r>
        <w:rPr>
          <w:rFonts w:hAnsi="標楷體"/>
          <w:color w:val="000000"/>
        </w:rPr>
        <w:t>0</w:t>
      </w:r>
      <w:r w:rsidRPr="00893EA8">
        <w:rPr>
          <w:rFonts w:hAnsi="標楷體" w:hint="eastAsia"/>
          <w:color w:val="000000"/>
        </w:rPr>
        <w:t>日院授主預政字第</w:t>
      </w:r>
      <w:r w:rsidRPr="00893EA8">
        <w:rPr>
          <w:rFonts w:hAnsi="標楷體"/>
          <w:color w:val="000000"/>
        </w:rPr>
        <w:t>11</w:t>
      </w:r>
      <w:r>
        <w:rPr>
          <w:rFonts w:hAnsi="標楷體"/>
          <w:color w:val="000000"/>
        </w:rPr>
        <w:t>3</w:t>
      </w:r>
      <w:r w:rsidRPr="00893EA8">
        <w:rPr>
          <w:rFonts w:hAnsi="標楷體"/>
          <w:color w:val="000000"/>
        </w:rPr>
        <w:t>010</w:t>
      </w:r>
      <w:r>
        <w:rPr>
          <w:rFonts w:hAnsi="標楷體"/>
          <w:color w:val="000000"/>
        </w:rPr>
        <w:t>1</w:t>
      </w:r>
      <w:r w:rsidRPr="00893EA8">
        <w:rPr>
          <w:rFonts w:hAnsi="標楷體"/>
          <w:color w:val="000000"/>
        </w:rPr>
        <w:t>1</w:t>
      </w:r>
      <w:r>
        <w:rPr>
          <w:rFonts w:hAnsi="標楷體"/>
          <w:color w:val="000000"/>
        </w:rPr>
        <w:t>38</w:t>
      </w:r>
      <w:r w:rsidRPr="00893EA8">
        <w:rPr>
          <w:rFonts w:hAnsi="標楷體" w:hint="eastAsia"/>
          <w:color w:val="000000"/>
        </w:rPr>
        <w:t>號函核准</w:t>
      </w:r>
      <w:r>
        <w:rPr>
          <w:rFonts w:hAnsi="標楷體" w:hint="eastAsia"/>
          <w:color w:val="000000"/>
        </w:rPr>
        <w:t>，</w:t>
      </w:r>
      <w:r w:rsidRPr="00893EA8">
        <w:rPr>
          <w:rFonts w:hAnsi="標楷體" w:hint="eastAsia"/>
          <w:color w:val="000000"/>
        </w:rPr>
        <w:t>於</w:t>
      </w:r>
      <w:r>
        <w:rPr>
          <w:rFonts w:hAnsi="標楷體" w:hint="eastAsia"/>
          <w:color w:val="000000"/>
        </w:rPr>
        <w:t>8</w:t>
      </w:r>
      <w:r>
        <w:rPr>
          <w:rFonts w:hAnsi="標楷體"/>
          <w:color w:val="000000"/>
        </w:rPr>
        <w:t>,810</w:t>
      </w:r>
      <w:r w:rsidRPr="00893EA8">
        <w:rPr>
          <w:rFonts w:hAnsi="標楷體" w:hint="eastAsia"/>
          <w:color w:val="000000"/>
        </w:rPr>
        <w:t>萬4千元範圍內動支第二預備金以為支應。</w:t>
      </w:r>
    </w:p>
    <w:p w14:paraId="327B9191" w14:textId="77777777" w:rsidR="00645EF7" w:rsidRPr="00893EA8" w:rsidRDefault="00645EF7" w:rsidP="00ED093E">
      <w:pPr>
        <w:pStyle w:val="a7"/>
        <w:tabs>
          <w:tab w:val="left" w:pos="1701"/>
        </w:tabs>
        <w:ind w:left="849" w:hanging="283"/>
        <w:rPr>
          <w:rFonts w:hAnsi="標楷體" w:cs="細明體"/>
          <w:color w:val="000000"/>
        </w:rPr>
      </w:pPr>
      <w:r w:rsidRPr="00893EA8">
        <w:rPr>
          <w:rFonts w:hAnsi="標楷體" w:hint="eastAsia"/>
          <w:b/>
          <w:color w:val="000000"/>
        </w:rPr>
        <w:lastRenderedPageBreak/>
        <w:t>(</w:t>
      </w:r>
      <w:r w:rsidRPr="00893EA8">
        <w:rPr>
          <w:rFonts w:hAnsi="標楷體" w:cs="細明體" w:hint="eastAsia"/>
          <w:b/>
          <w:color w:val="000000"/>
        </w:rPr>
        <w:t>三)</w:t>
      </w:r>
      <w:r w:rsidRPr="00893EA8">
        <w:rPr>
          <w:rFonts w:hAnsi="標楷體" w:hint="eastAsia"/>
          <w:b/>
          <w:color w:val="000000"/>
        </w:rPr>
        <w:t>執行情形：</w:t>
      </w:r>
      <w:r w:rsidRPr="00D76766">
        <w:rPr>
          <w:rFonts w:hAnsi="標楷體" w:hint="eastAsia"/>
        </w:rPr>
        <w:t>行政院主計總處於11</w:t>
      </w:r>
      <w:r w:rsidRPr="00D76766">
        <w:rPr>
          <w:rFonts w:hAnsi="標楷體"/>
        </w:rPr>
        <w:t>3</w:t>
      </w:r>
      <w:r w:rsidRPr="00D76766">
        <w:rPr>
          <w:rFonts w:hAnsi="標楷體" w:hint="eastAsia"/>
        </w:rPr>
        <w:t>年6月5日核定動支8</w:t>
      </w:r>
      <w:r w:rsidRPr="00D76766">
        <w:rPr>
          <w:rFonts w:hAnsi="標楷體"/>
        </w:rPr>
        <w:t>,810</w:t>
      </w:r>
      <w:r w:rsidRPr="00D76766">
        <w:rPr>
          <w:rFonts w:hAnsi="標楷體" w:hint="eastAsia"/>
        </w:rPr>
        <w:t>萬4千元，其中「一般行政」及「考試業務」各為3</w:t>
      </w:r>
      <w:r w:rsidRPr="00D76766">
        <w:rPr>
          <w:rFonts w:hAnsi="標楷體"/>
        </w:rPr>
        <w:t>,360</w:t>
      </w:r>
      <w:r w:rsidRPr="00D76766">
        <w:rPr>
          <w:rFonts w:hAnsi="標楷體" w:hint="eastAsia"/>
        </w:rPr>
        <w:t>萬4</w:t>
      </w:r>
      <w:r w:rsidRPr="00967122">
        <w:rPr>
          <w:rFonts w:hAnsi="標楷體" w:hint="eastAsia"/>
        </w:rPr>
        <w:t>千元及5</w:t>
      </w:r>
      <w:r w:rsidRPr="00967122">
        <w:rPr>
          <w:rFonts w:hAnsi="標楷體"/>
        </w:rPr>
        <w:t>,450</w:t>
      </w:r>
      <w:r w:rsidRPr="00967122">
        <w:rPr>
          <w:rFonts w:hAnsi="標楷體" w:hint="eastAsia"/>
        </w:rPr>
        <w:t>萬元，執行結果(詳表1)，「一般行政」實現數3,258</w:t>
      </w:r>
      <w:r w:rsidRPr="00D44DE0">
        <w:rPr>
          <w:rFonts w:hAnsi="標楷體" w:hint="eastAsia"/>
        </w:rPr>
        <w:t>萬7千元</w:t>
      </w:r>
      <w:r>
        <w:rPr>
          <w:rFonts w:hAnsi="標楷體" w:hint="eastAsia"/>
        </w:rPr>
        <w:t>、保留數8</w:t>
      </w:r>
      <w:r>
        <w:rPr>
          <w:rFonts w:hAnsi="標楷體"/>
        </w:rPr>
        <w:t>7</w:t>
      </w:r>
      <w:r>
        <w:rPr>
          <w:rFonts w:hAnsi="標楷體" w:hint="eastAsia"/>
        </w:rPr>
        <w:t>萬7千元、</w:t>
      </w:r>
      <w:r w:rsidRPr="007E666D">
        <w:rPr>
          <w:rFonts w:hAnsi="標楷體" w:hint="eastAsia"/>
        </w:rPr>
        <w:t>賸餘數</w:t>
      </w:r>
      <w:r>
        <w:rPr>
          <w:rFonts w:hAnsi="標楷體" w:hint="eastAsia"/>
        </w:rPr>
        <w:t>1</w:t>
      </w:r>
      <w:r>
        <w:rPr>
          <w:rFonts w:hAnsi="標楷體"/>
        </w:rPr>
        <w:t>4</w:t>
      </w:r>
      <w:r>
        <w:rPr>
          <w:rFonts w:hAnsi="標楷體" w:hint="eastAsia"/>
        </w:rPr>
        <w:t>萬元，</w:t>
      </w:r>
      <w:r w:rsidRPr="00D76766">
        <w:rPr>
          <w:rFonts w:hAnsi="標楷體" w:hint="eastAsia"/>
        </w:rPr>
        <w:t>執行率9</w:t>
      </w:r>
      <w:r>
        <w:rPr>
          <w:rFonts w:hAnsi="標楷體"/>
        </w:rPr>
        <w:t>9</w:t>
      </w:r>
      <w:r w:rsidRPr="00D76766">
        <w:rPr>
          <w:rFonts w:hAnsi="標楷體"/>
        </w:rPr>
        <w:t>.</w:t>
      </w:r>
      <w:r>
        <w:rPr>
          <w:rFonts w:hAnsi="標楷體"/>
        </w:rPr>
        <w:t>58</w:t>
      </w:r>
      <w:r w:rsidRPr="00D76766">
        <w:rPr>
          <w:rFonts w:hAnsi="標楷體"/>
        </w:rPr>
        <w:t>%</w:t>
      </w:r>
      <w:r>
        <w:rPr>
          <w:rFonts w:hAnsi="標楷體" w:hint="eastAsia"/>
        </w:rPr>
        <w:t>，保留原因據該部表示</w:t>
      </w:r>
      <w:r w:rsidRPr="00ED6F2A">
        <w:rPr>
          <w:rFonts w:hAnsi="標楷體" w:hint="eastAsia"/>
        </w:rPr>
        <w:t>，係國家考場2樓改建電腦試場裝修工程及資訊工程，屬跨年度工程契約，爰保留經費至11</w:t>
      </w:r>
      <w:r w:rsidRPr="00ED6F2A">
        <w:rPr>
          <w:rFonts w:hAnsi="標楷體"/>
        </w:rPr>
        <w:t>4</w:t>
      </w:r>
      <w:r w:rsidRPr="00ED6F2A">
        <w:rPr>
          <w:rFonts w:hAnsi="標楷體" w:hint="eastAsia"/>
        </w:rPr>
        <w:t>年度繼續執行</w:t>
      </w:r>
      <w:r>
        <w:rPr>
          <w:rFonts w:hAnsi="標楷體" w:hint="eastAsia"/>
        </w:rPr>
        <w:t>；另</w:t>
      </w:r>
      <w:r w:rsidRPr="00D76766">
        <w:rPr>
          <w:rFonts w:hAnsi="標楷體" w:hint="eastAsia"/>
        </w:rPr>
        <w:t>「考試業務」實</w:t>
      </w:r>
      <w:r>
        <w:rPr>
          <w:rFonts w:hAnsi="標楷體" w:hint="eastAsia"/>
        </w:rPr>
        <w:t>現數</w:t>
      </w:r>
      <w:r w:rsidRPr="00D76766">
        <w:rPr>
          <w:rFonts w:hAnsi="標楷體" w:hint="eastAsia"/>
        </w:rPr>
        <w:t>5</w:t>
      </w:r>
      <w:r w:rsidRPr="00D76766">
        <w:rPr>
          <w:rFonts w:hAnsi="標楷體"/>
        </w:rPr>
        <w:t>,450</w:t>
      </w:r>
      <w:r w:rsidRPr="00D76766">
        <w:rPr>
          <w:rFonts w:hAnsi="標楷體" w:hint="eastAsia"/>
        </w:rPr>
        <w:t>萬元，執行率1</w:t>
      </w:r>
      <w:r w:rsidRPr="00D76766">
        <w:rPr>
          <w:rFonts w:hAnsi="標楷體"/>
        </w:rPr>
        <w:t>00%</w:t>
      </w:r>
      <w:r w:rsidRPr="00893EA8">
        <w:rPr>
          <w:rFonts w:hAnsi="標楷體" w:cs="細明體" w:hint="eastAsia"/>
          <w:color w:val="000000"/>
        </w:rPr>
        <w:t>。</w:t>
      </w:r>
    </w:p>
    <w:p w14:paraId="498C3EF8" w14:textId="77777777" w:rsidR="00645EF7" w:rsidRPr="00893EA8" w:rsidRDefault="00645EF7" w:rsidP="00243049">
      <w:pPr>
        <w:pStyle w:val="a7"/>
        <w:ind w:left="849" w:hanging="283"/>
        <w:rPr>
          <w:rFonts w:hAnsi="標楷體" w:cs="細明體"/>
          <w:color w:val="000000"/>
        </w:rPr>
      </w:pPr>
      <w:r w:rsidRPr="00893EA8">
        <w:rPr>
          <w:rFonts w:hAnsi="標楷體" w:hint="eastAsia"/>
          <w:b/>
          <w:color w:val="000000"/>
        </w:rPr>
        <w:t>(</w:t>
      </w:r>
      <w:r w:rsidRPr="00893EA8">
        <w:rPr>
          <w:rFonts w:hAnsi="標楷體" w:cs="細明體" w:hint="eastAsia"/>
          <w:b/>
          <w:color w:val="000000"/>
        </w:rPr>
        <w:t>四)</w:t>
      </w:r>
      <w:r w:rsidRPr="00893EA8">
        <w:rPr>
          <w:rFonts w:hAnsi="標楷體" w:hint="eastAsia"/>
          <w:b/>
          <w:color w:val="000000"/>
        </w:rPr>
        <w:t>評估意見：</w:t>
      </w:r>
      <w:r>
        <w:rPr>
          <w:rFonts w:hAnsi="標楷體" w:cs="細明體" w:hint="eastAsia"/>
          <w:color w:val="000000"/>
        </w:rPr>
        <w:t>據考選部稱</w:t>
      </w:r>
      <w:r w:rsidRPr="00893EA8">
        <w:rPr>
          <w:rFonts w:hAnsi="標楷體" w:cs="細明體" w:hint="eastAsia"/>
          <w:color w:val="000000"/>
        </w:rPr>
        <w:t>為因應</w:t>
      </w:r>
      <w:r>
        <w:rPr>
          <w:rFonts w:hAnsi="標楷體" w:cs="細明體" w:hint="eastAsia"/>
          <w:color w:val="000000"/>
        </w:rPr>
        <w:t>醫護界人力品質與數量需求等急迫性與必要性因素，奉准修訂</w:t>
      </w:r>
      <w:r>
        <w:rPr>
          <w:rFonts w:hAnsi="標楷體" w:hint="eastAsia"/>
        </w:rPr>
        <w:t>「</w:t>
      </w:r>
      <w:r w:rsidRPr="00B64547">
        <w:rPr>
          <w:rFonts w:hAnsi="標楷體" w:hint="eastAsia"/>
        </w:rPr>
        <w:t>國家考試數位轉型發展及推動計畫</w:t>
      </w:r>
      <w:r>
        <w:rPr>
          <w:rFonts w:hAnsi="標楷體" w:hint="eastAsia"/>
        </w:rPr>
        <w:t>」</w:t>
      </w:r>
      <w:r w:rsidRPr="00893EA8">
        <w:rPr>
          <w:rFonts w:hAnsi="標楷體" w:cs="細明體" w:hint="eastAsia"/>
          <w:color w:val="000000"/>
        </w:rPr>
        <w:t>，</w:t>
      </w:r>
      <w:r>
        <w:rPr>
          <w:rFonts w:hAnsi="標楷體" w:cs="細明體" w:hint="eastAsia"/>
          <w:color w:val="000000"/>
        </w:rPr>
        <w:t>致原列1</w:t>
      </w:r>
      <w:r>
        <w:rPr>
          <w:rFonts w:hAnsi="標楷體" w:cs="細明體"/>
          <w:color w:val="000000"/>
        </w:rPr>
        <w:t>13</w:t>
      </w:r>
      <w:r>
        <w:rPr>
          <w:rFonts w:hAnsi="標楷體" w:cs="細明體" w:hint="eastAsia"/>
          <w:color w:val="000000"/>
        </w:rPr>
        <w:t>年度</w:t>
      </w:r>
      <w:r w:rsidRPr="00E14D33">
        <w:rPr>
          <w:rFonts w:hAnsi="標楷體" w:cs="細明體" w:hint="eastAsia"/>
          <w:color w:val="000000"/>
        </w:rPr>
        <w:t>經費不敷</w:t>
      </w:r>
      <w:r>
        <w:rPr>
          <w:rFonts w:hAnsi="標楷體" w:cs="細明體" w:hint="eastAsia"/>
          <w:color w:val="000000"/>
        </w:rPr>
        <w:t>而動支第二預備金，</w:t>
      </w:r>
      <w:r w:rsidRPr="00893EA8">
        <w:rPr>
          <w:rFonts w:hAnsi="標楷體" w:cs="細明體" w:hint="eastAsia"/>
          <w:color w:val="000000"/>
        </w:rPr>
        <w:t>核與預算法規定尚無不符。</w:t>
      </w:r>
      <w:r w:rsidRPr="00F75C39">
        <w:rPr>
          <w:rFonts w:hAnsi="標楷體" w:cs="細明體" w:hint="eastAsia"/>
        </w:rPr>
        <w:t>惟截至11</w:t>
      </w:r>
      <w:r w:rsidRPr="00F75C39">
        <w:rPr>
          <w:rFonts w:hAnsi="標楷體" w:cs="細明體"/>
        </w:rPr>
        <w:t>4</w:t>
      </w:r>
      <w:r w:rsidRPr="00F75C39">
        <w:rPr>
          <w:rFonts w:hAnsi="標楷體" w:cs="細明體" w:hint="eastAsia"/>
        </w:rPr>
        <w:t>年3月仍有8</w:t>
      </w:r>
      <w:r w:rsidRPr="00F75C39">
        <w:rPr>
          <w:rFonts w:hAnsi="標楷體" w:cs="細明體"/>
        </w:rPr>
        <w:t>7</w:t>
      </w:r>
      <w:r w:rsidRPr="00F75C39">
        <w:rPr>
          <w:rFonts w:hAnsi="標楷體" w:cs="細明體" w:hint="eastAsia"/>
        </w:rPr>
        <w:t>萬7千元</w:t>
      </w:r>
      <w:r>
        <w:rPr>
          <w:rFonts w:hAnsi="標楷體" w:cs="細明體" w:hint="eastAsia"/>
          <w:color w:val="000000"/>
        </w:rPr>
        <w:t>保留</w:t>
      </w:r>
      <w:r w:rsidRPr="00E12ADA">
        <w:rPr>
          <w:rFonts w:hAnsi="標楷體" w:cs="細明體" w:hint="eastAsia"/>
          <w:color w:val="000000"/>
        </w:rPr>
        <w:t>款迄未執行完竣</w:t>
      </w:r>
      <w:r>
        <w:rPr>
          <w:rFonts w:hAnsi="標楷體" w:cs="細明體" w:hint="eastAsia"/>
          <w:color w:val="000000"/>
        </w:rPr>
        <w:t>，經洽該部預計於1</w:t>
      </w:r>
      <w:r>
        <w:rPr>
          <w:rFonts w:hAnsi="標楷體" w:cs="細明體"/>
          <w:color w:val="000000"/>
        </w:rPr>
        <w:t>14</w:t>
      </w:r>
      <w:r>
        <w:rPr>
          <w:rFonts w:hAnsi="標楷體" w:cs="細明體" w:hint="eastAsia"/>
          <w:color w:val="000000"/>
        </w:rPr>
        <w:t>年5月完成</w:t>
      </w:r>
      <w:r w:rsidRPr="00E12ADA">
        <w:rPr>
          <w:rFonts w:hAnsi="標楷體" w:cs="細明體" w:hint="eastAsia"/>
          <w:color w:val="000000"/>
        </w:rPr>
        <w:t>，允宜加</w:t>
      </w:r>
      <w:r>
        <w:rPr>
          <w:rFonts w:hAnsi="標楷體" w:cs="細明體" w:hint="eastAsia"/>
          <w:color w:val="000000"/>
        </w:rPr>
        <w:t>強</w:t>
      </w:r>
      <w:r w:rsidRPr="00E12ADA">
        <w:rPr>
          <w:rFonts w:hAnsi="標楷體" w:cs="細明體" w:hint="eastAsia"/>
          <w:color w:val="000000"/>
        </w:rPr>
        <w:t>辦理</w:t>
      </w:r>
      <w:r>
        <w:rPr>
          <w:rFonts w:hAnsi="標楷體" w:cs="細明體" w:hint="eastAsia"/>
          <w:color w:val="000000"/>
        </w:rPr>
        <w:t>，俾符該部為擴大推動國家考試電腦化測驗之初衷。</w:t>
      </w:r>
    </w:p>
    <w:p w14:paraId="24587B06" w14:textId="77777777" w:rsidR="00645EF7" w:rsidRDefault="00645EF7" w:rsidP="000C044E">
      <w:pPr>
        <w:adjustRightInd w:val="0"/>
        <w:ind w:leftChars="10" w:left="1533" w:hangingChars="531" w:hanging="1505"/>
        <w:rPr>
          <w:rFonts w:hAnsi="標楷體"/>
          <w:spacing w:val="-6"/>
          <w:sz w:val="24"/>
          <w:szCs w:val="24"/>
        </w:rPr>
      </w:pPr>
      <w:r w:rsidRPr="000E59B6">
        <w:rPr>
          <w:rFonts w:hAnsi="標楷體" w:hint="eastAsia"/>
          <w:b/>
        </w:rPr>
        <w:t xml:space="preserve">表1 </w:t>
      </w:r>
      <w:r>
        <w:rPr>
          <w:rFonts w:hAnsi="標楷體" w:hint="eastAsia"/>
          <w:b/>
        </w:rPr>
        <w:t>考選</w:t>
      </w:r>
      <w:r w:rsidRPr="000E59B6">
        <w:rPr>
          <w:rFonts w:hAnsi="標楷體" w:hint="eastAsia"/>
          <w:b/>
        </w:rPr>
        <w:t>部11</w:t>
      </w:r>
      <w:r>
        <w:rPr>
          <w:rFonts w:hAnsi="標楷體"/>
          <w:b/>
        </w:rPr>
        <w:t>3</w:t>
      </w:r>
      <w:r w:rsidRPr="000E59B6">
        <w:rPr>
          <w:rFonts w:hAnsi="標楷體" w:hint="eastAsia"/>
          <w:b/>
        </w:rPr>
        <w:t>年度動支</w:t>
      </w:r>
      <w:r w:rsidRPr="00CE6E4D">
        <w:rPr>
          <w:rFonts w:hAnsi="標楷體" w:hint="eastAsia"/>
          <w:b/>
          <w:spacing w:val="-6"/>
        </w:rPr>
        <w:t>第二預備金</w:t>
      </w:r>
      <w:r>
        <w:rPr>
          <w:rFonts w:hAnsi="標楷體" w:hint="eastAsia"/>
          <w:b/>
          <w:spacing w:val="-6"/>
        </w:rPr>
        <w:t>執行</w:t>
      </w:r>
      <w:r w:rsidRPr="00CE6E4D">
        <w:rPr>
          <w:rFonts w:hAnsi="標楷體" w:hint="eastAsia"/>
          <w:b/>
          <w:spacing w:val="-6"/>
        </w:rPr>
        <w:t>情形表</w:t>
      </w:r>
      <w:r>
        <w:rPr>
          <w:rFonts w:hAnsi="標楷體" w:hint="eastAsia"/>
          <w:b/>
          <w:spacing w:val="-6"/>
        </w:rPr>
        <w:t xml:space="preserve">  </w:t>
      </w:r>
      <w:r>
        <w:rPr>
          <w:rFonts w:hAnsi="標楷體"/>
          <w:b/>
          <w:spacing w:val="-6"/>
        </w:rPr>
        <w:t xml:space="preserve">    </w:t>
      </w:r>
      <w:r w:rsidRPr="00741381">
        <w:rPr>
          <w:rFonts w:hAnsi="標楷體" w:hint="eastAsia"/>
          <w:spacing w:val="-6"/>
          <w:sz w:val="24"/>
          <w:szCs w:val="24"/>
        </w:rPr>
        <w:t>單位：新臺幣千元</w:t>
      </w:r>
    </w:p>
    <w:tbl>
      <w:tblPr>
        <w:tblW w:w="856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80"/>
        <w:gridCol w:w="1276"/>
        <w:gridCol w:w="850"/>
        <w:gridCol w:w="851"/>
        <w:gridCol w:w="992"/>
        <w:gridCol w:w="908"/>
        <w:gridCol w:w="1103"/>
      </w:tblGrid>
      <w:tr w:rsidR="00645EF7" w:rsidRPr="000E59B6" w14:paraId="1A56820E" w14:textId="77777777" w:rsidTr="00F75C39">
        <w:trPr>
          <w:trHeight w:val="330"/>
          <w:jc w:val="center"/>
        </w:trPr>
        <w:tc>
          <w:tcPr>
            <w:tcW w:w="2580" w:type="dxa"/>
            <w:vMerge w:val="restart"/>
            <w:shd w:val="clear" w:color="auto" w:fill="auto"/>
            <w:noWrap/>
            <w:vAlign w:val="center"/>
          </w:tcPr>
          <w:p w14:paraId="7174613B"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F75C39">
              <w:rPr>
                <w:rFonts w:hAnsi="標楷體" w:cs="新細明體" w:hint="eastAsia"/>
                <w:snapToGrid/>
                <w:kern w:val="0"/>
                <w:sz w:val="24"/>
                <w:szCs w:val="24"/>
              </w:rPr>
              <w:t xml:space="preserve">                                               </w:t>
            </w:r>
            <w:r w:rsidRPr="00F75C39">
              <w:rPr>
                <w:rFonts w:hAnsi="標楷體" w:cs="新細明體"/>
                <w:snapToGrid/>
                <w:kern w:val="0"/>
                <w:sz w:val="24"/>
                <w:szCs w:val="24"/>
              </w:rPr>
              <w:t xml:space="preserve">    </w:t>
            </w:r>
            <w:r w:rsidRPr="00CE6E4D">
              <w:rPr>
                <w:rFonts w:hAnsi="標楷體" w:cs="新細明體" w:hint="eastAsia"/>
                <w:snapToGrid/>
                <w:kern w:val="0"/>
                <w:sz w:val="24"/>
                <w:szCs w:val="24"/>
              </w:rPr>
              <w:t>項目</w:t>
            </w:r>
          </w:p>
        </w:tc>
        <w:tc>
          <w:tcPr>
            <w:tcW w:w="1276" w:type="dxa"/>
            <w:vMerge w:val="restart"/>
            <w:shd w:val="clear" w:color="auto" w:fill="auto"/>
            <w:noWrap/>
            <w:vAlign w:val="center"/>
          </w:tcPr>
          <w:p w14:paraId="18C2FC49"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CE6E4D">
              <w:rPr>
                <w:rFonts w:hAnsi="標楷體" w:cs="新細明體" w:hint="eastAsia"/>
                <w:snapToGrid/>
                <w:kern w:val="0"/>
                <w:sz w:val="24"/>
                <w:szCs w:val="24"/>
              </w:rPr>
              <w:t>核准動支數</w:t>
            </w:r>
            <w:r w:rsidRPr="000E59B6">
              <w:rPr>
                <w:rFonts w:hAnsi="標楷體" w:cs="新細明體" w:hint="eastAsia"/>
                <w:snapToGrid/>
                <w:kern w:val="0"/>
                <w:sz w:val="24"/>
                <w:szCs w:val="24"/>
              </w:rPr>
              <w:t>(</w:t>
            </w:r>
            <w:r w:rsidRPr="000E59B6">
              <w:rPr>
                <w:rFonts w:hAnsi="標楷體" w:cs="新細明體"/>
                <w:snapToGrid/>
                <w:kern w:val="0"/>
                <w:sz w:val="24"/>
                <w:szCs w:val="24"/>
              </w:rPr>
              <w:t>a)</w:t>
            </w:r>
          </w:p>
        </w:tc>
        <w:tc>
          <w:tcPr>
            <w:tcW w:w="1701" w:type="dxa"/>
            <w:gridSpan w:val="2"/>
            <w:shd w:val="clear" w:color="auto" w:fill="auto"/>
            <w:noWrap/>
          </w:tcPr>
          <w:p w14:paraId="0B554D12"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執行數(</w:t>
            </w:r>
            <w:r>
              <w:rPr>
                <w:rFonts w:hAnsi="標楷體" w:cs="新細明體"/>
                <w:snapToGrid/>
                <w:kern w:val="0"/>
                <w:sz w:val="24"/>
                <w:szCs w:val="24"/>
              </w:rPr>
              <w:t>b)</w:t>
            </w:r>
          </w:p>
        </w:tc>
        <w:tc>
          <w:tcPr>
            <w:tcW w:w="992" w:type="dxa"/>
            <w:vMerge w:val="restart"/>
            <w:shd w:val="clear" w:color="auto" w:fill="auto"/>
            <w:noWrap/>
            <w:vAlign w:val="center"/>
          </w:tcPr>
          <w:p w14:paraId="627A6921"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CE6E4D">
              <w:rPr>
                <w:rFonts w:hAnsi="標楷體" w:cs="新細明體" w:hint="eastAsia"/>
                <w:snapToGrid/>
                <w:kern w:val="0"/>
                <w:sz w:val="24"/>
                <w:szCs w:val="24"/>
              </w:rPr>
              <w:t>賸餘數</w:t>
            </w:r>
            <w:r w:rsidRPr="000E59B6">
              <w:rPr>
                <w:rFonts w:hAnsi="標楷體" w:cs="新細明體" w:hint="eastAsia"/>
                <w:snapToGrid/>
                <w:kern w:val="0"/>
                <w:sz w:val="24"/>
                <w:szCs w:val="24"/>
              </w:rPr>
              <w:t>(</w:t>
            </w:r>
            <w:r w:rsidRPr="000E59B6">
              <w:rPr>
                <w:rFonts w:hAnsi="標楷體" w:cs="新細明體"/>
                <w:snapToGrid/>
                <w:kern w:val="0"/>
                <w:sz w:val="24"/>
                <w:szCs w:val="24"/>
              </w:rPr>
              <w:t>c=a-b)</w:t>
            </w:r>
          </w:p>
        </w:tc>
        <w:tc>
          <w:tcPr>
            <w:tcW w:w="908" w:type="dxa"/>
            <w:vMerge w:val="restart"/>
            <w:vAlign w:val="center"/>
          </w:tcPr>
          <w:p w14:paraId="0D1FFCAB" w14:textId="77777777" w:rsidR="00645EF7" w:rsidRPr="00CE6E4D" w:rsidRDefault="00645EF7" w:rsidP="00E87470">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執行率(d</w:t>
            </w:r>
            <w:r>
              <w:rPr>
                <w:rFonts w:hAnsi="標楷體" w:cs="新細明體"/>
                <w:snapToGrid/>
                <w:kern w:val="0"/>
                <w:sz w:val="24"/>
                <w:szCs w:val="24"/>
              </w:rPr>
              <w:t>=b/a)</w:t>
            </w:r>
          </w:p>
        </w:tc>
        <w:tc>
          <w:tcPr>
            <w:tcW w:w="1103" w:type="dxa"/>
            <w:vMerge w:val="restart"/>
            <w:vAlign w:val="center"/>
          </w:tcPr>
          <w:p w14:paraId="1F2CF242" w14:textId="77777777" w:rsidR="00645EF7" w:rsidRDefault="00645EF7" w:rsidP="00E87470">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辦理事項</w:t>
            </w:r>
          </w:p>
        </w:tc>
      </w:tr>
      <w:tr w:rsidR="00645EF7" w:rsidRPr="000E59B6" w14:paraId="2876F06A" w14:textId="77777777" w:rsidTr="000C044E">
        <w:trPr>
          <w:trHeight w:val="330"/>
          <w:jc w:val="center"/>
        </w:trPr>
        <w:tc>
          <w:tcPr>
            <w:tcW w:w="2580" w:type="dxa"/>
            <w:vMerge/>
            <w:shd w:val="clear" w:color="auto" w:fill="auto"/>
            <w:noWrap/>
            <w:vAlign w:val="center"/>
          </w:tcPr>
          <w:p w14:paraId="03C80FC8"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p>
        </w:tc>
        <w:tc>
          <w:tcPr>
            <w:tcW w:w="1276" w:type="dxa"/>
            <w:vMerge/>
            <w:shd w:val="clear" w:color="auto" w:fill="auto"/>
            <w:noWrap/>
            <w:vAlign w:val="center"/>
          </w:tcPr>
          <w:p w14:paraId="2D122414"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p>
        </w:tc>
        <w:tc>
          <w:tcPr>
            <w:tcW w:w="850" w:type="dxa"/>
            <w:shd w:val="clear" w:color="auto" w:fill="auto"/>
            <w:noWrap/>
          </w:tcPr>
          <w:p w14:paraId="2BFEE47D"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sidRPr="00CE6E4D">
              <w:rPr>
                <w:rFonts w:hAnsi="標楷體" w:cs="新細明體" w:hint="eastAsia"/>
                <w:snapToGrid/>
                <w:kern w:val="0"/>
                <w:sz w:val="24"/>
                <w:szCs w:val="24"/>
              </w:rPr>
              <w:t>實</w:t>
            </w:r>
            <w:r>
              <w:rPr>
                <w:rFonts w:hAnsi="標楷體" w:cs="新細明體" w:hint="eastAsia"/>
                <w:snapToGrid/>
                <w:kern w:val="0"/>
                <w:sz w:val="24"/>
                <w:szCs w:val="24"/>
              </w:rPr>
              <w:t>現</w:t>
            </w:r>
            <w:r w:rsidRPr="00CE6E4D">
              <w:rPr>
                <w:rFonts w:hAnsi="標楷體" w:cs="新細明體" w:hint="eastAsia"/>
                <w:snapToGrid/>
                <w:kern w:val="0"/>
                <w:sz w:val="24"/>
                <w:szCs w:val="24"/>
              </w:rPr>
              <w:t>數</w:t>
            </w:r>
          </w:p>
        </w:tc>
        <w:tc>
          <w:tcPr>
            <w:tcW w:w="851" w:type="dxa"/>
          </w:tcPr>
          <w:p w14:paraId="6C90655A"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r>
              <w:rPr>
                <w:rFonts w:hAnsi="標楷體" w:cs="新細明體" w:hint="eastAsia"/>
                <w:snapToGrid/>
                <w:kern w:val="0"/>
                <w:sz w:val="24"/>
                <w:szCs w:val="24"/>
              </w:rPr>
              <w:t>保留數</w:t>
            </w:r>
          </w:p>
        </w:tc>
        <w:tc>
          <w:tcPr>
            <w:tcW w:w="992" w:type="dxa"/>
            <w:vMerge/>
            <w:shd w:val="clear" w:color="auto" w:fill="auto"/>
            <w:noWrap/>
            <w:vAlign w:val="center"/>
          </w:tcPr>
          <w:p w14:paraId="7A8D14A5" w14:textId="77777777" w:rsidR="00645EF7" w:rsidRPr="00CE6E4D" w:rsidRDefault="00645EF7" w:rsidP="00CE6E4D">
            <w:pPr>
              <w:widowControl/>
              <w:spacing w:line="360" w:lineRule="exact"/>
              <w:ind w:leftChars="0" w:left="0" w:firstLineChars="0" w:firstLine="0"/>
              <w:jc w:val="center"/>
              <w:rPr>
                <w:rFonts w:hAnsi="標楷體" w:cs="新細明體"/>
                <w:snapToGrid/>
                <w:kern w:val="0"/>
                <w:sz w:val="24"/>
                <w:szCs w:val="24"/>
              </w:rPr>
            </w:pPr>
          </w:p>
        </w:tc>
        <w:tc>
          <w:tcPr>
            <w:tcW w:w="908" w:type="dxa"/>
            <w:vMerge/>
            <w:vAlign w:val="center"/>
          </w:tcPr>
          <w:p w14:paraId="115DEDF6" w14:textId="77777777" w:rsidR="00645EF7" w:rsidRDefault="00645EF7" w:rsidP="00E87470">
            <w:pPr>
              <w:widowControl/>
              <w:spacing w:line="360" w:lineRule="exact"/>
              <w:ind w:leftChars="0" w:left="0" w:firstLineChars="0" w:firstLine="0"/>
              <w:jc w:val="center"/>
              <w:rPr>
                <w:rFonts w:hAnsi="標楷體" w:cs="新細明體"/>
                <w:snapToGrid/>
                <w:kern w:val="0"/>
                <w:sz w:val="24"/>
                <w:szCs w:val="24"/>
              </w:rPr>
            </w:pPr>
          </w:p>
        </w:tc>
        <w:tc>
          <w:tcPr>
            <w:tcW w:w="1103" w:type="dxa"/>
            <w:vMerge/>
          </w:tcPr>
          <w:p w14:paraId="5B7EBF1F" w14:textId="77777777" w:rsidR="00645EF7" w:rsidRDefault="00645EF7" w:rsidP="00E87470">
            <w:pPr>
              <w:widowControl/>
              <w:spacing w:line="360" w:lineRule="exact"/>
              <w:ind w:leftChars="0" w:left="0" w:firstLineChars="0" w:firstLine="0"/>
              <w:jc w:val="center"/>
              <w:rPr>
                <w:rFonts w:hAnsi="標楷體" w:cs="新細明體"/>
                <w:snapToGrid/>
                <w:kern w:val="0"/>
                <w:sz w:val="24"/>
                <w:szCs w:val="24"/>
              </w:rPr>
            </w:pPr>
          </w:p>
        </w:tc>
      </w:tr>
      <w:tr w:rsidR="00645EF7" w:rsidRPr="00E87470" w14:paraId="1DEE5A2A" w14:textId="77777777" w:rsidTr="000C044E">
        <w:trPr>
          <w:trHeight w:val="522"/>
          <w:jc w:val="center"/>
        </w:trPr>
        <w:tc>
          <w:tcPr>
            <w:tcW w:w="2580" w:type="dxa"/>
            <w:shd w:val="clear" w:color="auto" w:fill="auto"/>
            <w:noWrap/>
            <w:vAlign w:val="center"/>
          </w:tcPr>
          <w:p w14:paraId="75F1D86A" w14:textId="77777777" w:rsidR="00645EF7" w:rsidRPr="00CE6E4D" w:rsidRDefault="00645EF7" w:rsidP="00CE6E4D">
            <w:pPr>
              <w:widowControl/>
              <w:spacing w:line="360" w:lineRule="exact"/>
              <w:ind w:leftChars="0" w:left="0" w:firstLineChars="0" w:firstLine="0"/>
              <w:jc w:val="left"/>
              <w:rPr>
                <w:rFonts w:hAnsi="標楷體"/>
                <w:b/>
                <w:snapToGrid/>
                <w:kern w:val="0"/>
                <w:sz w:val="24"/>
                <w:szCs w:val="24"/>
              </w:rPr>
            </w:pPr>
            <w:r w:rsidRPr="00CE6E4D">
              <w:rPr>
                <w:rFonts w:hAnsi="標楷體" w:hint="eastAsia"/>
                <w:b/>
                <w:snapToGrid/>
                <w:kern w:val="0"/>
                <w:sz w:val="24"/>
                <w:szCs w:val="24"/>
              </w:rPr>
              <w:t>一般行政</w:t>
            </w:r>
          </w:p>
        </w:tc>
        <w:tc>
          <w:tcPr>
            <w:tcW w:w="1276" w:type="dxa"/>
            <w:shd w:val="clear" w:color="auto" w:fill="auto"/>
            <w:noWrap/>
            <w:vAlign w:val="center"/>
          </w:tcPr>
          <w:p w14:paraId="5A084667" w14:textId="77777777" w:rsidR="00645EF7" w:rsidRPr="00CE6E4D" w:rsidRDefault="00645EF7" w:rsidP="00CE6E4D">
            <w:pPr>
              <w:spacing w:line="360" w:lineRule="exact"/>
              <w:ind w:leftChars="0" w:left="0" w:firstLineChars="0" w:firstLine="0"/>
              <w:jc w:val="right"/>
              <w:rPr>
                <w:rFonts w:hAnsi="標楷體"/>
                <w:b/>
                <w:snapToGrid/>
                <w:sz w:val="24"/>
                <w:szCs w:val="24"/>
              </w:rPr>
            </w:pPr>
            <w:r>
              <w:rPr>
                <w:rFonts w:hAnsi="標楷體"/>
                <w:b/>
                <w:snapToGrid/>
                <w:sz w:val="24"/>
                <w:szCs w:val="24"/>
              </w:rPr>
              <w:t>33,604</w:t>
            </w:r>
          </w:p>
        </w:tc>
        <w:tc>
          <w:tcPr>
            <w:tcW w:w="850" w:type="dxa"/>
            <w:shd w:val="clear" w:color="auto" w:fill="auto"/>
            <w:noWrap/>
            <w:vAlign w:val="center"/>
          </w:tcPr>
          <w:p w14:paraId="0A81CCD7" w14:textId="77777777" w:rsidR="00645EF7" w:rsidRPr="00CE6E4D" w:rsidRDefault="00645EF7" w:rsidP="00CE6E4D">
            <w:pPr>
              <w:spacing w:line="360" w:lineRule="exact"/>
              <w:ind w:leftChars="0" w:left="0" w:firstLineChars="0" w:firstLine="0"/>
              <w:jc w:val="right"/>
              <w:rPr>
                <w:rFonts w:hAnsi="標楷體"/>
                <w:b/>
                <w:snapToGrid/>
                <w:sz w:val="24"/>
                <w:szCs w:val="24"/>
              </w:rPr>
            </w:pPr>
            <w:r w:rsidRPr="002C675D">
              <w:rPr>
                <w:rFonts w:hAnsi="標楷體"/>
                <w:b/>
                <w:snapToGrid/>
                <w:sz w:val="24"/>
                <w:szCs w:val="24"/>
              </w:rPr>
              <w:t>3</w:t>
            </w:r>
            <w:r>
              <w:rPr>
                <w:rFonts w:hAnsi="標楷體"/>
                <w:b/>
                <w:snapToGrid/>
                <w:sz w:val="24"/>
                <w:szCs w:val="24"/>
              </w:rPr>
              <w:t>2</w:t>
            </w:r>
            <w:r w:rsidRPr="002C675D">
              <w:rPr>
                <w:rFonts w:hAnsi="標楷體"/>
                <w:b/>
                <w:snapToGrid/>
                <w:sz w:val="24"/>
                <w:szCs w:val="24"/>
              </w:rPr>
              <w:t>,</w:t>
            </w:r>
            <w:r>
              <w:rPr>
                <w:rFonts w:hAnsi="標楷體"/>
                <w:b/>
                <w:snapToGrid/>
                <w:sz w:val="24"/>
                <w:szCs w:val="24"/>
              </w:rPr>
              <w:t>587</w:t>
            </w:r>
          </w:p>
        </w:tc>
        <w:tc>
          <w:tcPr>
            <w:tcW w:w="851" w:type="dxa"/>
            <w:vAlign w:val="center"/>
          </w:tcPr>
          <w:p w14:paraId="309C0B67" w14:textId="77777777" w:rsidR="00645EF7" w:rsidRPr="00CE6E4D" w:rsidRDefault="00645EF7" w:rsidP="00CE6E4D">
            <w:pPr>
              <w:spacing w:line="360" w:lineRule="exact"/>
              <w:ind w:leftChars="0" w:left="0" w:firstLineChars="0" w:firstLine="0"/>
              <w:jc w:val="right"/>
              <w:rPr>
                <w:rFonts w:hAnsi="標楷體"/>
                <w:b/>
                <w:snapToGrid/>
                <w:sz w:val="24"/>
                <w:szCs w:val="24"/>
              </w:rPr>
            </w:pPr>
            <w:r>
              <w:rPr>
                <w:rFonts w:hAnsi="標楷體" w:hint="eastAsia"/>
                <w:b/>
                <w:snapToGrid/>
                <w:sz w:val="24"/>
                <w:szCs w:val="24"/>
              </w:rPr>
              <w:t>8</w:t>
            </w:r>
            <w:r>
              <w:rPr>
                <w:rFonts w:hAnsi="標楷體"/>
                <w:b/>
                <w:snapToGrid/>
                <w:sz w:val="24"/>
                <w:szCs w:val="24"/>
              </w:rPr>
              <w:t>77</w:t>
            </w:r>
          </w:p>
        </w:tc>
        <w:tc>
          <w:tcPr>
            <w:tcW w:w="992" w:type="dxa"/>
            <w:shd w:val="clear" w:color="auto" w:fill="auto"/>
            <w:noWrap/>
            <w:vAlign w:val="center"/>
          </w:tcPr>
          <w:p w14:paraId="6D6E4A34" w14:textId="77777777" w:rsidR="00645EF7" w:rsidRPr="00CE6E4D" w:rsidRDefault="00645EF7" w:rsidP="00CE6E4D">
            <w:pPr>
              <w:spacing w:line="360" w:lineRule="exact"/>
              <w:ind w:leftChars="0" w:left="0" w:firstLineChars="0" w:firstLine="0"/>
              <w:jc w:val="right"/>
              <w:rPr>
                <w:rFonts w:hAnsi="標楷體"/>
                <w:b/>
                <w:snapToGrid/>
                <w:sz w:val="24"/>
                <w:szCs w:val="24"/>
              </w:rPr>
            </w:pPr>
            <w:r w:rsidRPr="00CE6E4D">
              <w:rPr>
                <w:rFonts w:hAnsi="標楷體" w:hint="eastAsia"/>
                <w:b/>
                <w:snapToGrid/>
                <w:sz w:val="24"/>
                <w:szCs w:val="24"/>
              </w:rPr>
              <w:t>1</w:t>
            </w:r>
            <w:r>
              <w:rPr>
                <w:rFonts w:hAnsi="標楷體"/>
                <w:b/>
                <w:snapToGrid/>
                <w:sz w:val="24"/>
                <w:szCs w:val="24"/>
              </w:rPr>
              <w:t>40</w:t>
            </w:r>
            <w:r w:rsidRPr="00CE6E4D">
              <w:rPr>
                <w:rFonts w:hAnsi="標楷體" w:hint="eastAsia"/>
                <w:b/>
                <w:snapToGrid/>
                <w:sz w:val="24"/>
                <w:szCs w:val="24"/>
              </w:rPr>
              <w:t xml:space="preserve">　</w:t>
            </w:r>
          </w:p>
        </w:tc>
        <w:tc>
          <w:tcPr>
            <w:tcW w:w="908" w:type="dxa"/>
            <w:vAlign w:val="center"/>
          </w:tcPr>
          <w:p w14:paraId="3B219A49" w14:textId="77777777" w:rsidR="00645EF7" w:rsidRPr="00CE6E4D" w:rsidRDefault="00645EF7" w:rsidP="00CE6E4D">
            <w:pPr>
              <w:spacing w:line="360" w:lineRule="exact"/>
              <w:ind w:leftChars="0" w:left="0" w:firstLineChars="0" w:firstLine="0"/>
              <w:jc w:val="right"/>
              <w:rPr>
                <w:rFonts w:hAnsi="標楷體"/>
                <w:b/>
                <w:snapToGrid/>
                <w:sz w:val="24"/>
                <w:szCs w:val="24"/>
              </w:rPr>
            </w:pPr>
            <w:r>
              <w:rPr>
                <w:rFonts w:hAnsi="標楷體" w:hint="eastAsia"/>
                <w:b/>
                <w:snapToGrid/>
                <w:sz w:val="24"/>
                <w:szCs w:val="24"/>
              </w:rPr>
              <w:t>9</w:t>
            </w:r>
            <w:r>
              <w:rPr>
                <w:rFonts w:hAnsi="標楷體"/>
                <w:b/>
                <w:snapToGrid/>
                <w:sz w:val="24"/>
                <w:szCs w:val="24"/>
              </w:rPr>
              <w:t>9.58%</w:t>
            </w:r>
          </w:p>
        </w:tc>
        <w:tc>
          <w:tcPr>
            <w:tcW w:w="1103" w:type="dxa"/>
            <w:vMerge w:val="restart"/>
          </w:tcPr>
          <w:p w14:paraId="1328C3DB" w14:textId="77777777" w:rsidR="00645EF7" w:rsidRPr="000C044E" w:rsidRDefault="00645EF7" w:rsidP="000C044E">
            <w:pPr>
              <w:spacing w:line="360" w:lineRule="exact"/>
              <w:ind w:leftChars="0" w:left="0" w:firstLineChars="0" w:firstLine="0"/>
              <w:jc w:val="left"/>
              <w:rPr>
                <w:rFonts w:ascii="新細明體-ExtB" w:eastAsia="新細明體-ExtB" w:hAnsi="新細明體-ExtB" w:cs="新細明體-ExtB"/>
                <w:bCs/>
                <w:snapToGrid/>
                <w:sz w:val="24"/>
                <w:szCs w:val="24"/>
              </w:rPr>
            </w:pPr>
            <w:r w:rsidRPr="000C044E">
              <w:rPr>
                <w:rFonts w:hAnsi="標楷體" w:hint="eastAsia"/>
                <w:bCs/>
                <w:snapToGrid/>
                <w:sz w:val="24"/>
                <w:szCs w:val="24"/>
              </w:rPr>
              <w:t>增</w:t>
            </w:r>
            <w:r>
              <w:rPr>
                <w:rFonts w:hAnsi="標楷體" w:hint="eastAsia"/>
                <w:bCs/>
                <w:snapToGrid/>
                <w:sz w:val="24"/>
                <w:szCs w:val="24"/>
              </w:rPr>
              <w:t>加國家考場2樓改建電腦試場裝修工程及資訊工程</w:t>
            </w:r>
          </w:p>
        </w:tc>
      </w:tr>
      <w:tr w:rsidR="00645EF7" w:rsidRPr="000E59B6" w14:paraId="13A8CD24" w14:textId="77777777" w:rsidTr="000C044E">
        <w:trPr>
          <w:trHeight w:val="522"/>
          <w:jc w:val="center"/>
        </w:trPr>
        <w:tc>
          <w:tcPr>
            <w:tcW w:w="2580" w:type="dxa"/>
            <w:shd w:val="clear" w:color="auto" w:fill="auto"/>
            <w:noWrap/>
            <w:vAlign w:val="center"/>
          </w:tcPr>
          <w:p w14:paraId="5C05BA2C" w14:textId="77777777" w:rsidR="00645EF7" w:rsidRPr="00CE6E4D" w:rsidRDefault="00645EF7" w:rsidP="00CE6E4D">
            <w:pPr>
              <w:widowControl/>
              <w:spacing w:line="360" w:lineRule="exact"/>
              <w:ind w:leftChars="0" w:left="559" w:hangingChars="230" w:hanging="559"/>
              <w:jc w:val="left"/>
              <w:rPr>
                <w:rFonts w:hAnsi="標楷體"/>
                <w:snapToGrid/>
                <w:kern w:val="0"/>
                <w:sz w:val="24"/>
                <w:szCs w:val="24"/>
              </w:rPr>
            </w:pPr>
            <w:r w:rsidRPr="00CE6E4D">
              <w:rPr>
                <w:rFonts w:hAnsi="標楷體" w:hint="eastAsia"/>
                <w:snapToGrid/>
                <w:kern w:val="0"/>
                <w:sz w:val="24"/>
                <w:szCs w:val="24"/>
              </w:rPr>
              <w:t xml:space="preserve">  02基本行政工作維持</w:t>
            </w:r>
          </w:p>
        </w:tc>
        <w:tc>
          <w:tcPr>
            <w:tcW w:w="1276" w:type="dxa"/>
            <w:shd w:val="clear" w:color="auto" w:fill="auto"/>
            <w:noWrap/>
            <w:vAlign w:val="center"/>
          </w:tcPr>
          <w:p w14:paraId="62C41DAC"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2C675D">
              <w:rPr>
                <w:rFonts w:hAnsi="標楷體"/>
                <w:snapToGrid/>
                <w:sz w:val="24"/>
                <w:szCs w:val="24"/>
              </w:rPr>
              <w:t>33,604</w:t>
            </w:r>
          </w:p>
        </w:tc>
        <w:tc>
          <w:tcPr>
            <w:tcW w:w="850" w:type="dxa"/>
            <w:shd w:val="clear" w:color="auto" w:fill="auto"/>
            <w:noWrap/>
            <w:vAlign w:val="center"/>
          </w:tcPr>
          <w:p w14:paraId="18B33AB6"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2C675D">
              <w:rPr>
                <w:rFonts w:hAnsi="標楷體"/>
                <w:snapToGrid/>
                <w:sz w:val="24"/>
                <w:szCs w:val="24"/>
              </w:rPr>
              <w:t>32,587</w:t>
            </w:r>
          </w:p>
        </w:tc>
        <w:tc>
          <w:tcPr>
            <w:tcW w:w="851" w:type="dxa"/>
            <w:vAlign w:val="center"/>
          </w:tcPr>
          <w:p w14:paraId="2EE008D2" w14:textId="77777777" w:rsidR="00645EF7" w:rsidRPr="002C675D" w:rsidRDefault="00645EF7" w:rsidP="00CE6E4D">
            <w:pPr>
              <w:spacing w:line="360" w:lineRule="exact"/>
              <w:ind w:leftChars="0" w:left="0" w:firstLineChars="0" w:firstLine="0"/>
              <w:jc w:val="right"/>
              <w:rPr>
                <w:rFonts w:hAnsi="標楷體"/>
                <w:snapToGrid/>
                <w:sz w:val="24"/>
                <w:szCs w:val="24"/>
              </w:rPr>
            </w:pPr>
            <w:r w:rsidRPr="003D36C3">
              <w:rPr>
                <w:rFonts w:hAnsi="標楷體"/>
                <w:snapToGrid/>
                <w:sz w:val="24"/>
                <w:szCs w:val="24"/>
              </w:rPr>
              <w:t>877</w:t>
            </w:r>
          </w:p>
        </w:tc>
        <w:tc>
          <w:tcPr>
            <w:tcW w:w="992" w:type="dxa"/>
            <w:shd w:val="clear" w:color="auto" w:fill="auto"/>
            <w:noWrap/>
            <w:vAlign w:val="center"/>
          </w:tcPr>
          <w:p w14:paraId="63BF3CAC"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2C675D">
              <w:rPr>
                <w:rFonts w:hAnsi="標楷體"/>
                <w:snapToGrid/>
                <w:sz w:val="24"/>
                <w:szCs w:val="24"/>
              </w:rPr>
              <w:t>140</w:t>
            </w:r>
          </w:p>
        </w:tc>
        <w:tc>
          <w:tcPr>
            <w:tcW w:w="908" w:type="dxa"/>
            <w:vAlign w:val="center"/>
          </w:tcPr>
          <w:p w14:paraId="3A879144"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99.58%</w:t>
            </w:r>
          </w:p>
        </w:tc>
        <w:tc>
          <w:tcPr>
            <w:tcW w:w="1103" w:type="dxa"/>
            <w:vMerge/>
          </w:tcPr>
          <w:p w14:paraId="7DDC9E10" w14:textId="77777777" w:rsidR="00645EF7" w:rsidRPr="0030047E" w:rsidRDefault="00645EF7" w:rsidP="00CE6E4D">
            <w:pPr>
              <w:spacing w:line="360" w:lineRule="exact"/>
              <w:ind w:leftChars="0" w:left="0" w:firstLineChars="0" w:firstLine="0"/>
              <w:jc w:val="right"/>
              <w:rPr>
                <w:rFonts w:hAnsi="標楷體"/>
                <w:snapToGrid/>
                <w:sz w:val="24"/>
                <w:szCs w:val="24"/>
              </w:rPr>
            </w:pPr>
          </w:p>
        </w:tc>
      </w:tr>
      <w:tr w:rsidR="00645EF7" w:rsidRPr="000E59B6" w14:paraId="244B4F42" w14:textId="77777777" w:rsidTr="000C044E">
        <w:trPr>
          <w:trHeight w:val="522"/>
          <w:jc w:val="center"/>
        </w:trPr>
        <w:tc>
          <w:tcPr>
            <w:tcW w:w="2580" w:type="dxa"/>
            <w:shd w:val="clear" w:color="auto" w:fill="auto"/>
            <w:noWrap/>
            <w:vAlign w:val="center"/>
          </w:tcPr>
          <w:p w14:paraId="4DD2A556" w14:textId="77777777" w:rsidR="00645EF7" w:rsidRPr="002C675D" w:rsidRDefault="00645EF7" w:rsidP="002C675D">
            <w:pPr>
              <w:widowControl/>
              <w:spacing w:line="360" w:lineRule="exact"/>
              <w:ind w:leftChars="0" w:left="0" w:firstLineChars="0" w:firstLine="0"/>
              <w:jc w:val="left"/>
              <w:rPr>
                <w:rFonts w:hAnsi="標楷體"/>
                <w:b/>
                <w:snapToGrid/>
                <w:kern w:val="0"/>
                <w:sz w:val="24"/>
                <w:szCs w:val="24"/>
              </w:rPr>
            </w:pPr>
            <w:r w:rsidRPr="002C675D">
              <w:rPr>
                <w:rFonts w:hAnsi="標楷體" w:hint="eastAsia"/>
                <w:b/>
                <w:snapToGrid/>
                <w:kern w:val="0"/>
                <w:sz w:val="24"/>
                <w:szCs w:val="24"/>
              </w:rPr>
              <w:t>考試業務</w:t>
            </w:r>
          </w:p>
        </w:tc>
        <w:tc>
          <w:tcPr>
            <w:tcW w:w="1276" w:type="dxa"/>
            <w:shd w:val="clear" w:color="auto" w:fill="auto"/>
            <w:noWrap/>
            <w:vAlign w:val="center"/>
          </w:tcPr>
          <w:p w14:paraId="251DA41E"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5</w:t>
            </w:r>
            <w:r>
              <w:rPr>
                <w:rFonts w:hAnsi="標楷體"/>
                <w:b/>
                <w:snapToGrid/>
                <w:kern w:val="0"/>
                <w:sz w:val="24"/>
                <w:szCs w:val="24"/>
              </w:rPr>
              <w:t>4,500</w:t>
            </w:r>
          </w:p>
        </w:tc>
        <w:tc>
          <w:tcPr>
            <w:tcW w:w="850" w:type="dxa"/>
            <w:shd w:val="clear" w:color="auto" w:fill="auto"/>
            <w:noWrap/>
            <w:vAlign w:val="center"/>
          </w:tcPr>
          <w:p w14:paraId="7D2DDE7F"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sidRPr="0030047E">
              <w:rPr>
                <w:rFonts w:hAnsi="標楷體"/>
                <w:b/>
                <w:snapToGrid/>
                <w:kern w:val="0"/>
                <w:sz w:val="24"/>
                <w:szCs w:val="24"/>
              </w:rPr>
              <w:t>54,500</w:t>
            </w:r>
          </w:p>
        </w:tc>
        <w:tc>
          <w:tcPr>
            <w:tcW w:w="851" w:type="dxa"/>
          </w:tcPr>
          <w:p w14:paraId="63BDB8E7"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0</w:t>
            </w:r>
          </w:p>
        </w:tc>
        <w:tc>
          <w:tcPr>
            <w:tcW w:w="992" w:type="dxa"/>
            <w:shd w:val="clear" w:color="auto" w:fill="auto"/>
            <w:noWrap/>
            <w:vAlign w:val="center"/>
          </w:tcPr>
          <w:p w14:paraId="006B5F0C"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0</w:t>
            </w:r>
          </w:p>
        </w:tc>
        <w:tc>
          <w:tcPr>
            <w:tcW w:w="908" w:type="dxa"/>
            <w:vAlign w:val="center"/>
          </w:tcPr>
          <w:p w14:paraId="3229FCC4" w14:textId="77777777" w:rsidR="00645EF7" w:rsidRPr="002C675D" w:rsidRDefault="00645EF7" w:rsidP="002C675D">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1</w:t>
            </w:r>
            <w:r>
              <w:rPr>
                <w:rFonts w:hAnsi="標楷體"/>
                <w:b/>
                <w:snapToGrid/>
                <w:kern w:val="0"/>
                <w:sz w:val="24"/>
                <w:szCs w:val="24"/>
              </w:rPr>
              <w:t>00%</w:t>
            </w:r>
          </w:p>
        </w:tc>
        <w:tc>
          <w:tcPr>
            <w:tcW w:w="1103" w:type="dxa"/>
            <w:vMerge w:val="restart"/>
          </w:tcPr>
          <w:p w14:paraId="0FD2C7E5" w14:textId="77777777" w:rsidR="00645EF7" w:rsidRPr="000C044E" w:rsidRDefault="00645EF7" w:rsidP="000C044E">
            <w:pPr>
              <w:spacing w:line="360" w:lineRule="exact"/>
              <w:ind w:leftChars="0" w:left="0" w:firstLineChars="0" w:firstLine="0"/>
              <w:jc w:val="left"/>
              <w:rPr>
                <w:rFonts w:hAnsi="標楷體"/>
                <w:bCs/>
                <w:snapToGrid/>
                <w:kern w:val="0"/>
                <w:sz w:val="24"/>
                <w:szCs w:val="24"/>
              </w:rPr>
            </w:pPr>
            <w:r w:rsidRPr="000C044E">
              <w:rPr>
                <w:rFonts w:hAnsi="標楷體" w:hint="eastAsia"/>
                <w:bCs/>
                <w:snapToGrid/>
                <w:kern w:val="0"/>
                <w:sz w:val="24"/>
                <w:szCs w:val="24"/>
              </w:rPr>
              <w:t>擴充電腦試場規模</w:t>
            </w:r>
          </w:p>
        </w:tc>
      </w:tr>
      <w:tr w:rsidR="00645EF7" w:rsidRPr="000E59B6" w14:paraId="524D1846" w14:textId="77777777" w:rsidTr="000C044E">
        <w:trPr>
          <w:trHeight w:val="522"/>
          <w:jc w:val="center"/>
        </w:trPr>
        <w:tc>
          <w:tcPr>
            <w:tcW w:w="2580" w:type="dxa"/>
            <w:shd w:val="clear" w:color="auto" w:fill="auto"/>
            <w:noWrap/>
            <w:vAlign w:val="center"/>
          </w:tcPr>
          <w:p w14:paraId="782C5580" w14:textId="77777777" w:rsidR="00645EF7" w:rsidRPr="00CE6E4D" w:rsidRDefault="00645EF7" w:rsidP="0030047E">
            <w:pPr>
              <w:widowControl/>
              <w:spacing w:line="360" w:lineRule="exact"/>
              <w:ind w:leftChars="100" w:left="599" w:hangingChars="130" w:hanging="316"/>
              <w:jc w:val="left"/>
              <w:rPr>
                <w:rFonts w:hAnsi="標楷體"/>
                <w:snapToGrid/>
                <w:kern w:val="0"/>
                <w:sz w:val="24"/>
                <w:szCs w:val="24"/>
              </w:rPr>
            </w:pPr>
            <w:r w:rsidRPr="0030047E">
              <w:rPr>
                <w:rFonts w:hAnsi="標楷體" w:hint="eastAsia"/>
                <w:snapToGrid/>
                <w:kern w:val="0"/>
                <w:sz w:val="24"/>
                <w:szCs w:val="24"/>
              </w:rPr>
              <w:t>02</w:t>
            </w:r>
            <w:r>
              <w:rPr>
                <w:rFonts w:hAnsi="標楷體" w:hint="eastAsia"/>
                <w:snapToGrid/>
                <w:kern w:val="0"/>
                <w:sz w:val="24"/>
                <w:szCs w:val="24"/>
              </w:rPr>
              <w:t>對考選業務基金國家考試數位轉型發展及推動補助</w:t>
            </w:r>
          </w:p>
        </w:tc>
        <w:tc>
          <w:tcPr>
            <w:tcW w:w="1276" w:type="dxa"/>
            <w:shd w:val="clear" w:color="auto" w:fill="auto"/>
            <w:noWrap/>
            <w:vAlign w:val="center"/>
          </w:tcPr>
          <w:p w14:paraId="57D912BC"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54,500</w:t>
            </w:r>
          </w:p>
        </w:tc>
        <w:tc>
          <w:tcPr>
            <w:tcW w:w="850" w:type="dxa"/>
            <w:shd w:val="clear" w:color="auto" w:fill="auto"/>
            <w:noWrap/>
            <w:vAlign w:val="center"/>
          </w:tcPr>
          <w:p w14:paraId="3DB0A8DD" w14:textId="77777777" w:rsidR="00645EF7" w:rsidRPr="00CE6E4D"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54,500</w:t>
            </w:r>
          </w:p>
        </w:tc>
        <w:tc>
          <w:tcPr>
            <w:tcW w:w="851" w:type="dxa"/>
            <w:vAlign w:val="center"/>
          </w:tcPr>
          <w:p w14:paraId="3D4AF5B6" w14:textId="77777777" w:rsidR="00645EF7" w:rsidRPr="00CE6E4D" w:rsidRDefault="00645EF7" w:rsidP="00CE6E4D">
            <w:pPr>
              <w:spacing w:line="360" w:lineRule="exact"/>
              <w:ind w:leftChars="0" w:left="0" w:firstLineChars="0" w:firstLine="0"/>
              <w:jc w:val="right"/>
              <w:rPr>
                <w:rFonts w:hAnsi="標楷體"/>
                <w:snapToGrid/>
                <w:sz w:val="24"/>
                <w:szCs w:val="24"/>
              </w:rPr>
            </w:pPr>
            <w:r>
              <w:rPr>
                <w:rFonts w:hAnsi="標楷體" w:hint="eastAsia"/>
                <w:snapToGrid/>
                <w:sz w:val="24"/>
                <w:szCs w:val="24"/>
              </w:rPr>
              <w:t>0</w:t>
            </w:r>
          </w:p>
        </w:tc>
        <w:tc>
          <w:tcPr>
            <w:tcW w:w="992" w:type="dxa"/>
            <w:shd w:val="clear" w:color="auto" w:fill="auto"/>
            <w:noWrap/>
            <w:vAlign w:val="center"/>
          </w:tcPr>
          <w:p w14:paraId="7FC10F45" w14:textId="77777777" w:rsidR="00645EF7" w:rsidRPr="00CE6E4D" w:rsidRDefault="00645EF7" w:rsidP="00CE6E4D">
            <w:pPr>
              <w:spacing w:line="360" w:lineRule="exact"/>
              <w:ind w:leftChars="0" w:left="0" w:firstLineChars="0" w:firstLine="0"/>
              <w:jc w:val="right"/>
              <w:rPr>
                <w:rFonts w:hAnsi="標楷體"/>
                <w:snapToGrid/>
                <w:sz w:val="24"/>
                <w:szCs w:val="24"/>
              </w:rPr>
            </w:pPr>
            <w:r>
              <w:rPr>
                <w:rFonts w:hAnsi="標楷體" w:hint="eastAsia"/>
                <w:snapToGrid/>
                <w:sz w:val="24"/>
                <w:szCs w:val="24"/>
              </w:rPr>
              <w:t>0</w:t>
            </w:r>
          </w:p>
        </w:tc>
        <w:tc>
          <w:tcPr>
            <w:tcW w:w="908" w:type="dxa"/>
            <w:vAlign w:val="center"/>
          </w:tcPr>
          <w:p w14:paraId="2C73C733" w14:textId="77777777" w:rsidR="00645EF7" w:rsidRDefault="00645EF7" w:rsidP="00CE6E4D">
            <w:pPr>
              <w:spacing w:line="360" w:lineRule="exact"/>
              <w:ind w:leftChars="0" w:left="0" w:firstLineChars="0" w:firstLine="0"/>
              <w:jc w:val="right"/>
              <w:rPr>
                <w:rFonts w:hAnsi="標楷體"/>
                <w:snapToGrid/>
                <w:sz w:val="24"/>
                <w:szCs w:val="24"/>
              </w:rPr>
            </w:pPr>
            <w:r w:rsidRPr="0030047E">
              <w:rPr>
                <w:rFonts w:hAnsi="標楷體"/>
                <w:snapToGrid/>
                <w:sz w:val="24"/>
                <w:szCs w:val="24"/>
              </w:rPr>
              <w:t>100%</w:t>
            </w:r>
          </w:p>
        </w:tc>
        <w:tc>
          <w:tcPr>
            <w:tcW w:w="1103" w:type="dxa"/>
            <w:vMerge/>
          </w:tcPr>
          <w:p w14:paraId="70ADB030" w14:textId="77777777" w:rsidR="00645EF7" w:rsidRPr="0030047E" w:rsidRDefault="00645EF7" w:rsidP="00CE6E4D">
            <w:pPr>
              <w:spacing w:line="360" w:lineRule="exact"/>
              <w:ind w:leftChars="0" w:left="0" w:firstLineChars="0" w:firstLine="0"/>
              <w:jc w:val="right"/>
              <w:rPr>
                <w:rFonts w:hAnsi="標楷體"/>
                <w:snapToGrid/>
                <w:sz w:val="24"/>
                <w:szCs w:val="24"/>
              </w:rPr>
            </w:pPr>
          </w:p>
        </w:tc>
      </w:tr>
      <w:tr w:rsidR="00645EF7" w:rsidRPr="000E59B6" w14:paraId="1482F780" w14:textId="77777777" w:rsidTr="000C044E">
        <w:trPr>
          <w:trHeight w:val="522"/>
          <w:jc w:val="center"/>
        </w:trPr>
        <w:tc>
          <w:tcPr>
            <w:tcW w:w="2580" w:type="dxa"/>
            <w:shd w:val="clear" w:color="auto" w:fill="auto"/>
            <w:noWrap/>
            <w:vAlign w:val="center"/>
          </w:tcPr>
          <w:p w14:paraId="72A91290" w14:textId="77777777" w:rsidR="00645EF7" w:rsidRPr="00945807" w:rsidRDefault="00645EF7" w:rsidP="00945807">
            <w:pPr>
              <w:widowControl/>
              <w:spacing w:line="360" w:lineRule="exact"/>
              <w:ind w:leftChars="0" w:left="0" w:firstLineChars="0" w:firstLine="0"/>
              <w:jc w:val="left"/>
              <w:rPr>
                <w:rFonts w:hAnsi="標楷體"/>
                <w:b/>
                <w:snapToGrid/>
                <w:kern w:val="0"/>
                <w:sz w:val="24"/>
                <w:szCs w:val="24"/>
              </w:rPr>
            </w:pPr>
            <w:r w:rsidRPr="00945807">
              <w:rPr>
                <w:rFonts w:hAnsi="標楷體" w:hint="eastAsia"/>
                <w:b/>
                <w:snapToGrid/>
                <w:kern w:val="0"/>
                <w:sz w:val="24"/>
                <w:szCs w:val="24"/>
              </w:rPr>
              <w:t>合計</w:t>
            </w:r>
          </w:p>
        </w:tc>
        <w:tc>
          <w:tcPr>
            <w:tcW w:w="1276" w:type="dxa"/>
            <w:shd w:val="clear" w:color="auto" w:fill="auto"/>
            <w:noWrap/>
            <w:vAlign w:val="center"/>
          </w:tcPr>
          <w:p w14:paraId="5B3A160C"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8</w:t>
            </w:r>
            <w:r>
              <w:rPr>
                <w:rFonts w:hAnsi="標楷體"/>
                <w:b/>
                <w:snapToGrid/>
                <w:kern w:val="0"/>
                <w:sz w:val="24"/>
                <w:szCs w:val="24"/>
              </w:rPr>
              <w:t>8,104</w:t>
            </w:r>
          </w:p>
        </w:tc>
        <w:tc>
          <w:tcPr>
            <w:tcW w:w="850" w:type="dxa"/>
            <w:shd w:val="clear" w:color="auto" w:fill="auto"/>
            <w:noWrap/>
            <w:vAlign w:val="center"/>
          </w:tcPr>
          <w:p w14:paraId="5E6CAE63"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8</w:t>
            </w:r>
            <w:r>
              <w:rPr>
                <w:rFonts w:hAnsi="標楷體"/>
                <w:b/>
                <w:snapToGrid/>
                <w:kern w:val="0"/>
                <w:sz w:val="24"/>
                <w:szCs w:val="24"/>
              </w:rPr>
              <w:t>7,087</w:t>
            </w:r>
          </w:p>
        </w:tc>
        <w:tc>
          <w:tcPr>
            <w:tcW w:w="851" w:type="dxa"/>
            <w:vAlign w:val="center"/>
          </w:tcPr>
          <w:p w14:paraId="0A6AF89D"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8</w:t>
            </w:r>
            <w:r>
              <w:rPr>
                <w:rFonts w:hAnsi="標楷體"/>
                <w:b/>
                <w:snapToGrid/>
                <w:kern w:val="0"/>
                <w:sz w:val="24"/>
                <w:szCs w:val="24"/>
              </w:rPr>
              <w:t>77</w:t>
            </w:r>
          </w:p>
        </w:tc>
        <w:tc>
          <w:tcPr>
            <w:tcW w:w="992" w:type="dxa"/>
            <w:shd w:val="clear" w:color="auto" w:fill="auto"/>
            <w:noWrap/>
            <w:vAlign w:val="center"/>
          </w:tcPr>
          <w:p w14:paraId="44D0610C"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kern w:val="0"/>
                <w:sz w:val="24"/>
                <w:szCs w:val="24"/>
              </w:rPr>
              <w:t>1</w:t>
            </w:r>
            <w:r>
              <w:rPr>
                <w:rFonts w:hAnsi="標楷體"/>
                <w:b/>
                <w:snapToGrid/>
                <w:kern w:val="0"/>
                <w:sz w:val="24"/>
                <w:szCs w:val="24"/>
              </w:rPr>
              <w:t>40</w:t>
            </w:r>
          </w:p>
        </w:tc>
        <w:tc>
          <w:tcPr>
            <w:tcW w:w="908" w:type="dxa"/>
            <w:vAlign w:val="center"/>
          </w:tcPr>
          <w:p w14:paraId="0927E42D" w14:textId="77777777" w:rsidR="00645EF7" w:rsidRPr="00945807" w:rsidRDefault="00645EF7" w:rsidP="00945807">
            <w:pPr>
              <w:spacing w:line="360" w:lineRule="exact"/>
              <w:ind w:leftChars="0" w:left="0" w:firstLineChars="0" w:firstLine="0"/>
              <w:jc w:val="right"/>
              <w:rPr>
                <w:rFonts w:hAnsi="標楷體"/>
                <w:b/>
                <w:snapToGrid/>
                <w:kern w:val="0"/>
                <w:sz w:val="24"/>
                <w:szCs w:val="24"/>
              </w:rPr>
            </w:pPr>
            <w:r>
              <w:rPr>
                <w:rFonts w:hAnsi="標楷體" w:hint="eastAsia"/>
                <w:b/>
                <w:snapToGrid/>
                <w:sz w:val="24"/>
                <w:szCs w:val="24"/>
              </w:rPr>
              <w:t>9</w:t>
            </w:r>
            <w:r>
              <w:rPr>
                <w:rFonts w:hAnsi="標楷體"/>
                <w:b/>
                <w:snapToGrid/>
                <w:sz w:val="24"/>
                <w:szCs w:val="24"/>
              </w:rPr>
              <w:t>9.84%</w:t>
            </w:r>
          </w:p>
        </w:tc>
        <w:tc>
          <w:tcPr>
            <w:tcW w:w="1103" w:type="dxa"/>
          </w:tcPr>
          <w:p w14:paraId="5A694B84" w14:textId="77777777" w:rsidR="00645EF7" w:rsidRDefault="00645EF7" w:rsidP="00945807">
            <w:pPr>
              <w:spacing w:line="360" w:lineRule="exact"/>
              <w:ind w:leftChars="0" w:left="0" w:firstLineChars="0" w:firstLine="0"/>
              <w:jc w:val="right"/>
              <w:rPr>
                <w:rFonts w:hAnsi="標楷體"/>
                <w:b/>
                <w:snapToGrid/>
                <w:sz w:val="24"/>
                <w:szCs w:val="24"/>
              </w:rPr>
            </w:pPr>
          </w:p>
        </w:tc>
      </w:tr>
    </w:tbl>
    <w:p w14:paraId="7F5D963B" w14:textId="77777777" w:rsidR="00645EF7" w:rsidRPr="000E59B6" w:rsidRDefault="00645EF7" w:rsidP="00F75C39">
      <w:pPr>
        <w:adjustRightInd w:val="0"/>
        <w:spacing w:line="400" w:lineRule="exact"/>
        <w:ind w:leftChars="0" w:left="1792" w:hangingChars="737" w:hanging="1792"/>
        <w:rPr>
          <w:rFonts w:hAnsi="標楷體" w:cs="細明體"/>
        </w:rPr>
      </w:pPr>
      <w:r w:rsidRPr="000E59B6">
        <w:rPr>
          <w:rFonts w:hAnsi="標楷體" w:hint="eastAsia"/>
          <w:snapToGrid/>
          <w:sz w:val="24"/>
          <w:szCs w:val="24"/>
        </w:rPr>
        <w:t>資料來源：</w:t>
      </w:r>
      <w:r>
        <w:rPr>
          <w:rFonts w:hAnsi="標楷體" w:hint="eastAsia"/>
          <w:spacing w:val="-6"/>
          <w:sz w:val="24"/>
          <w:szCs w:val="24"/>
        </w:rPr>
        <w:t>考選</w:t>
      </w:r>
      <w:r w:rsidRPr="000E59B6">
        <w:rPr>
          <w:rFonts w:hAnsi="標楷體" w:hint="eastAsia"/>
          <w:snapToGrid/>
          <w:sz w:val="24"/>
          <w:szCs w:val="24"/>
        </w:rPr>
        <w:t>部提供。</w:t>
      </w:r>
    </w:p>
    <w:p w14:paraId="44594022" w14:textId="77777777" w:rsidR="00645EF7" w:rsidRPr="000E59B6" w:rsidRDefault="00645EF7" w:rsidP="00243049">
      <w:pPr>
        <w:pStyle w:val="ae"/>
        <w:rPr>
          <w:rFonts w:hAnsi="標楷體"/>
        </w:rPr>
      </w:pPr>
      <w:r w:rsidRPr="000E59B6">
        <w:rPr>
          <w:rFonts w:hAnsi="標楷體" w:hint="eastAsia"/>
        </w:rPr>
        <w:t>（分機：19</w:t>
      </w:r>
      <w:r>
        <w:rPr>
          <w:rFonts w:hAnsi="標楷體"/>
        </w:rPr>
        <w:t>14</w:t>
      </w:r>
      <w:r w:rsidRPr="000E59B6">
        <w:rPr>
          <w:rFonts w:hAnsi="標楷體" w:hint="eastAsia"/>
        </w:rPr>
        <w:t xml:space="preserve"> </w:t>
      </w:r>
      <w:r>
        <w:rPr>
          <w:rFonts w:hAnsi="標楷體" w:hint="eastAsia"/>
        </w:rPr>
        <w:t>葉蘭</w:t>
      </w:r>
      <w:r w:rsidRPr="000E59B6">
        <w:rPr>
          <w:rFonts w:hAnsi="標楷體" w:hint="eastAsia"/>
        </w:rPr>
        <w:t>）</w:t>
      </w:r>
      <w:bookmarkEnd w:id="2"/>
      <w:bookmarkEnd w:id="3"/>
      <w:bookmarkEnd w:id="4"/>
    </w:p>
    <w:sectPr w:rsidR="00645EF7" w:rsidRPr="000E59B6"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全字庫正宋體">
    <w:panose1 w:val="02020300000000000000"/>
    <w:charset w:val="88"/>
    <w:family w:val="roman"/>
    <w:pitch w:val="variable"/>
    <w:sig w:usb0="F7FFAEFF" w:usb1="E9DFFFFF" w:usb2="681FFFFF" w:usb3="00000000" w:csb0="003F00FF" w:csb1="00000000"/>
  </w:font>
  <w:font w:name="新細明體-ExtB">
    <w:panose1 w:val="02020500000000000000"/>
    <w:charset w:val="88"/>
    <w:family w:val="roman"/>
    <w:pitch w:val="variable"/>
    <w:sig w:usb0="8000002F" w:usb1="0A080008" w:usb2="00000010"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6B3CB8"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233BB0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6B3CB8">
      <w:rPr>
        <w:rStyle w:val="af5"/>
        <w:noProof/>
      </w:rPr>
      <w:t>2</w:t>
    </w:r>
    <w:r>
      <w:rPr>
        <w:rStyle w:val="af5"/>
      </w:rPr>
      <w:fldChar w:fldCharType="end"/>
    </w:r>
  </w:p>
  <w:p w14:paraId="29C1FABB" w14:textId="77777777" w:rsidR="00B84D17" w:rsidRPr="0060523D" w:rsidRDefault="006B3CB8"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6B3CB8"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2EFE2501" w14:textId="77777777" w:rsidR="00645EF7" w:rsidRPr="008F0DC2" w:rsidRDefault="00645EF7" w:rsidP="008F0DC2">
      <w:pPr>
        <w:pStyle w:val="142"/>
        <w:ind w:left="61" w:hangingChars="25" w:hanging="61"/>
        <w:jc w:val="both"/>
        <w:rPr>
          <w:rFonts w:hAnsi="標楷體"/>
        </w:rPr>
      </w:pPr>
      <w:r>
        <w:rPr>
          <w:rStyle w:val="af8"/>
        </w:rPr>
        <w:footnoteRef/>
      </w:r>
      <w:r w:rsidRPr="00DA1224">
        <w:rPr>
          <w:rFonts w:hAnsi="標楷體" w:hint="eastAsia"/>
        </w:rPr>
        <w:t>近年因受嚴重特殊傳染性肺炎疫情影響，國內第一線護理人力負荷過重，造成護理師人力荒及醫療服務量能下降，考量即時補足護理師新血，提升國人醫療服務品質，有職場用人需求及急迫性，</w:t>
      </w:r>
      <w:r>
        <w:rPr>
          <w:rFonts w:hAnsi="標楷體" w:hint="eastAsia"/>
        </w:rPr>
        <w:t>該</w:t>
      </w:r>
      <w:r w:rsidRPr="00DA1224">
        <w:rPr>
          <w:rFonts w:hAnsi="標楷體" w:hint="eastAsia"/>
        </w:rPr>
        <w:t>部考試端配合加速推動護理師考試全面採行電腦化測驗方式，爰調整「國家考試數位轉型發展及推動計畫」期程，加速辦理擴大建置電腦化試區</w:t>
      </w:r>
      <w:r>
        <w:rPr>
          <w:rFonts w:hAnsi="標楷體" w:cs="全字庫正宋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6B3CB8"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6B3CB8"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6B3CB8"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6B3CB8"/>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34B5F-B7C4-4571-9DE5-B849E8158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205</Words>
  <Characters>1174</Characters>
  <Application>Microsoft Office Word</Application>
  <DocSecurity>0</DocSecurity>
  <Lines>9</Lines>
  <Paragraphs>2</Paragraphs>
  <ScaleCrop>false</ScaleCrop>
  <Company>HOME</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2025-04-07T03:29:00Z</dcterms:created>
  <dcterms:modified xsi:type="dcterms:W3CDTF">2025-04-07T03:29:00Z</dcterms:modified>
</cp:coreProperties>
</file>