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6DA8FB9F" w14:textId="77777777" w:rsidR="00EB546F" w:rsidRPr="00CC629F" w:rsidRDefault="00EB546F" w:rsidP="00191EC6">
      <w:pPr>
        <w:pStyle w:val="14"/>
        <w:ind w:left="567" w:hanging="567"/>
      </w:pPr>
      <w:bookmarkStart w:id="1" w:name="_Toc193976068"/>
      <w:r w:rsidRPr="00CC629F">
        <w:rPr>
          <w:rFonts w:hint="eastAsia"/>
        </w:rPr>
        <w:t>第2項、國防部所屬</w:t>
      </w:r>
      <w:bookmarkEnd w:id="1"/>
    </w:p>
    <w:p w14:paraId="06C9EF30" w14:textId="77777777" w:rsidR="00EB546F" w:rsidRPr="00CC629F" w:rsidRDefault="00EB546F" w:rsidP="00786C5D">
      <w:pPr>
        <w:pStyle w:val="a5"/>
        <w:ind w:left="567" w:hanging="567"/>
      </w:pPr>
      <w:r>
        <w:rPr>
          <w:rFonts w:hint="eastAsia"/>
        </w:rPr>
        <w:t>一</w:t>
      </w:r>
      <w:r w:rsidRPr="00CC629F">
        <w:rPr>
          <w:rFonts w:hint="eastAsia"/>
        </w:rPr>
        <w:t>、因應</w:t>
      </w:r>
      <w:r>
        <w:rPr>
          <w:rFonts w:hint="eastAsia"/>
        </w:rPr>
        <w:t>國軍各式裝備油料採購預算不足而</w:t>
      </w:r>
      <w:r w:rsidRPr="00CC629F">
        <w:rPr>
          <w:rFonts w:hint="eastAsia"/>
        </w:rPr>
        <w:t>申請動支第二預備金支應，</w:t>
      </w:r>
      <w:r>
        <w:rPr>
          <w:rFonts w:hint="eastAsia"/>
        </w:rPr>
        <w:t>與</w:t>
      </w:r>
      <w:r w:rsidRPr="00CC629F">
        <w:rPr>
          <w:rFonts w:hint="eastAsia"/>
        </w:rPr>
        <w:t>預算法規定</w:t>
      </w:r>
      <w:r>
        <w:rPr>
          <w:rFonts w:hint="eastAsia"/>
        </w:rPr>
        <w:t>尚無不符</w:t>
      </w:r>
      <w:r w:rsidRPr="00CC629F">
        <w:t xml:space="preserve"> </w:t>
      </w:r>
    </w:p>
    <w:p w14:paraId="0BE9B19F" w14:textId="77777777" w:rsidR="00EB546F" w:rsidRPr="00CC629F" w:rsidRDefault="00EB546F" w:rsidP="00786C5D">
      <w:pPr>
        <w:ind w:left="566" w:firstLine="566"/>
      </w:pPr>
      <w:r>
        <w:rPr>
          <w:rFonts w:hint="eastAsia"/>
        </w:rPr>
        <w:t>受中共機艦擾台頻次加劇及國際油價上漲等</w:t>
      </w:r>
      <w:r w:rsidRPr="00CC629F">
        <w:rPr>
          <w:rFonts w:hint="eastAsia"/>
        </w:rPr>
        <w:t>因素</w:t>
      </w:r>
      <w:r>
        <w:rPr>
          <w:rFonts w:hint="eastAsia"/>
        </w:rPr>
        <w:t>影響</w:t>
      </w:r>
      <w:r w:rsidRPr="00CC629F">
        <w:rPr>
          <w:rFonts w:hint="eastAsia"/>
        </w:rPr>
        <w:t>，國防部所屬</w:t>
      </w:r>
      <w:r>
        <w:rPr>
          <w:rFonts w:hint="eastAsia"/>
        </w:rPr>
        <w:t>113年度原編油料採購預算不足，爰於</w:t>
      </w:r>
      <w:r w:rsidRPr="00CC629F">
        <w:rPr>
          <w:rFonts w:hint="eastAsia"/>
        </w:rPr>
        <w:t>「</w:t>
      </w:r>
      <w:r>
        <w:rPr>
          <w:rFonts w:hint="eastAsia"/>
        </w:rPr>
        <w:t>後勤及通資業務</w:t>
      </w:r>
      <w:r w:rsidRPr="00CC629F">
        <w:rPr>
          <w:rFonts w:hint="eastAsia"/>
        </w:rPr>
        <w:t>」業務計畫</w:t>
      </w:r>
      <w:r>
        <w:rPr>
          <w:rFonts w:hint="eastAsia"/>
        </w:rPr>
        <w:t>下之</w:t>
      </w:r>
      <w:r w:rsidRPr="00CC629F">
        <w:rPr>
          <w:rFonts w:hint="eastAsia"/>
        </w:rPr>
        <w:t>「</w:t>
      </w:r>
      <w:r>
        <w:rPr>
          <w:rFonts w:hint="eastAsia"/>
        </w:rPr>
        <w:t>業務費</w:t>
      </w:r>
      <w:r w:rsidRPr="00CC629F">
        <w:rPr>
          <w:rFonts w:hint="eastAsia"/>
        </w:rPr>
        <w:t>」科目申獲核定動支第二預備金</w:t>
      </w:r>
      <w:r>
        <w:rPr>
          <w:rFonts w:hint="eastAsia"/>
        </w:rPr>
        <w:t>16</w:t>
      </w:r>
      <w:r w:rsidRPr="00CC629F">
        <w:rPr>
          <w:rFonts w:hint="eastAsia"/>
        </w:rPr>
        <w:t>億</w:t>
      </w:r>
      <w:r>
        <w:rPr>
          <w:rFonts w:hint="eastAsia"/>
        </w:rPr>
        <w:t>6</w:t>
      </w:r>
      <w:r w:rsidRPr="00CC629F">
        <w:rPr>
          <w:rFonts w:hint="eastAsia"/>
        </w:rPr>
        <w:t>,</w:t>
      </w:r>
      <w:r>
        <w:rPr>
          <w:rFonts w:hint="eastAsia"/>
        </w:rPr>
        <w:t>000</w:t>
      </w:r>
      <w:r w:rsidRPr="00CC629F">
        <w:rPr>
          <w:rFonts w:hint="eastAsia"/>
        </w:rPr>
        <w:t>萬元，以支應</w:t>
      </w:r>
      <w:r>
        <w:rPr>
          <w:rFonts w:hint="eastAsia"/>
        </w:rPr>
        <w:t>不敷數</w:t>
      </w:r>
      <w:r w:rsidRPr="00CC629F">
        <w:rPr>
          <w:rFonts w:hint="eastAsia"/>
        </w:rPr>
        <w:t>。經查：</w:t>
      </w:r>
    </w:p>
    <w:p w14:paraId="1F4FE88C" w14:textId="77777777" w:rsidR="00EB546F" w:rsidRPr="00CC629F" w:rsidRDefault="00EB546F" w:rsidP="00786C5D">
      <w:pPr>
        <w:pStyle w:val="a7"/>
        <w:ind w:left="849" w:hanging="283"/>
        <w:rPr>
          <w:rFonts w:hAnsi="標楷體"/>
        </w:rPr>
      </w:pPr>
      <w:r w:rsidRPr="00CC629F">
        <w:rPr>
          <w:rFonts w:hAnsi="標楷體" w:hint="eastAsia"/>
          <w:b/>
        </w:rPr>
        <w:t>(一)動支條件：</w:t>
      </w:r>
      <w:r w:rsidRPr="00CC629F">
        <w:rPr>
          <w:rFonts w:hAnsi="標楷體" w:hint="eastAsia"/>
        </w:rPr>
        <w:t>依預算法第70條第2款</w:t>
      </w:r>
      <w:r>
        <w:rPr>
          <w:rFonts w:hAnsi="標楷體" w:hint="eastAsia"/>
        </w:rPr>
        <w:t>規定</w:t>
      </w:r>
      <w:r w:rsidRPr="00CC629F">
        <w:rPr>
          <w:rFonts w:hAnsi="標楷體" w:hint="eastAsia"/>
        </w:rPr>
        <w:t>：「原列計畫費用因增加業務量致增加經費時。」申請動支第二預備金。</w:t>
      </w:r>
    </w:p>
    <w:p w14:paraId="5798F6C9" w14:textId="77777777" w:rsidR="00EB546F" w:rsidRDefault="00EB546F" w:rsidP="00AD0581">
      <w:pPr>
        <w:pStyle w:val="a7"/>
        <w:ind w:left="849" w:hanging="283"/>
      </w:pPr>
      <w:r w:rsidRPr="00CC629F">
        <w:rPr>
          <w:rFonts w:hAnsi="標楷體" w:hint="eastAsia"/>
          <w:b/>
        </w:rPr>
        <w:t>(二)動支原因:</w:t>
      </w:r>
      <w:r w:rsidRPr="00C67FCE">
        <w:rPr>
          <w:rFonts w:hAnsi="標楷體" w:hint="eastAsia"/>
          <w:bCs/>
          <w:szCs w:val="20"/>
        </w:rPr>
        <w:t xml:space="preserve"> </w:t>
      </w:r>
      <w:r w:rsidRPr="00F35AF7">
        <w:rPr>
          <w:rFonts w:ascii="Arial" w:hAnsi="Arial" w:cs="Arial"/>
        </w:rPr>
        <w:t>受</w:t>
      </w:r>
      <w:r>
        <w:rPr>
          <w:rFonts w:ascii="Arial" w:hAnsi="Arial" w:cs="Arial" w:hint="eastAsia"/>
        </w:rPr>
        <w:t>國際情勢影響，</w:t>
      </w:r>
      <w:r w:rsidRPr="00F35AF7">
        <w:rPr>
          <w:rFonts w:ascii="Arial" w:hAnsi="Arial" w:cs="Arial"/>
        </w:rPr>
        <w:t>油價</w:t>
      </w:r>
      <w:r>
        <w:rPr>
          <w:rFonts w:ascii="Arial" w:hAnsi="Arial" w:cs="Arial"/>
        </w:rPr>
        <w:t>呈漲多</w:t>
      </w:r>
      <w:r w:rsidRPr="00F35AF7">
        <w:rPr>
          <w:rFonts w:ascii="Arial" w:hAnsi="Arial" w:cs="Arial"/>
        </w:rPr>
        <w:t>跌少</w:t>
      </w:r>
      <w:r>
        <w:rPr>
          <w:rFonts w:ascii="Arial" w:hAnsi="Arial" w:cs="Arial"/>
        </w:rPr>
        <w:t>趨勢，</w:t>
      </w:r>
      <w:r w:rsidRPr="00E86010">
        <w:rPr>
          <w:rFonts w:ascii="Arial" w:hAnsi="Arial" w:cs="Arial" w:hint="eastAsia"/>
        </w:rPr>
        <w:t>國軍因應中共演習及擾台行動，派遺適切兵力應對及監控，致機艦耗油量較往年提升</w:t>
      </w:r>
      <w:r w:rsidRPr="00F35AF7">
        <w:rPr>
          <w:rFonts w:ascii="Arial" w:hAnsi="Arial" w:cs="Arial"/>
        </w:rPr>
        <w:t>，</w:t>
      </w:r>
      <w:r>
        <w:rPr>
          <w:rFonts w:hint="eastAsia"/>
        </w:rPr>
        <w:t>113年度各軍種油料採購經費需求134億7,400萬元，國防部所屬</w:t>
      </w:r>
      <w:r>
        <w:rPr>
          <w:rFonts w:hAnsi="標楷體" w:hint="eastAsia"/>
          <w:bCs/>
          <w:szCs w:val="20"/>
        </w:rPr>
        <w:t>原編</w:t>
      </w:r>
      <w:r w:rsidRPr="00CC629F">
        <w:rPr>
          <w:rFonts w:hint="eastAsia"/>
        </w:rPr>
        <w:t>預算</w:t>
      </w:r>
      <w:r>
        <w:rPr>
          <w:rFonts w:hint="eastAsia"/>
        </w:rPr>
        <w:t>110</w:t>
      </w:r>
      <w:r w:rsidRPr="00CC629F">
        <w:rPr>
          <w:rFonts w:hint="eastAsia"/>
        </w:rPr>
        <w:t>億</w:t>
      </w:r>
      <w:r>
        <w:rPr>
          <w:rFonts w:hint="eastAsia"/>
        </w:rPr>
        <w:t>不敷所需，該部除於113年12月17日經行政院主計總處同意動支</w:t>
      </w:r>
      <w:r w:rsidRPr="00CC629F">
        <w:rPr>
          <w:rFonts w:hint="eastAsia"/>
        </w:rPr>
        <w:t>第一預備金</w:t>
      </w:r>
      <w:r>
        <w:rPr>
          <w:rFonts w:hint="eastAsia"/>
        </w:rPr>
        <w:t>8億1,400萬元，同年12月3</w:t>
      </w:r>
      <w:r>
        <w:t>0</w:t>
      </w:r>
      <w:r>
        <w:rPr>
          <w:rFonts w:hint="eastAsia"/>
        </w:rPr>
        <w:t>日再經行政院同意</w:t>
      </w:r>
      <w:r w:rsidRPr="00CC629F">
        <w:rPr>
          <w:rFonts w:hint="eastAsia"/>
        </w:rPr>
        <w:t>動支第二預備金</w:t>
      </w:r>
      <w:r>
        <w:rPr>
          <w:rFonts w:hint="eastAsia"/>
        </w:rPr>
        <w:t>16</w:t>
      </w:r>
      <w:r w:rsidRPr="00CC629F">
        <w:rPr>
          <w:rFonts w:hint="eastAsia"/>
        </w:rPr>
        <w:t>億</w:t>
      </w:r>
      <w:r>
        <w:rPr>
          <w:rFonts w:hint="eastAsia"/>
        </w:rPr>
        <w:t>6</w:t>
      </w:r>
      <w:r w:rsidRPr="00CC629F">
        <w:rPr>
          <w:rFonts w:hint="eastAsia"/>
        </w:rPr>
        <w:t>,</w:t>
      </w:r>
      <w:r>
        <w:rPr>
          <w:rFonts w:hint="eastAsia"/>
        </w:rPr>
        <w:t>000</w:t>
      </w:r>
      <w:r w:rsidRPr="00CC629F">
        <w:rPr>
          <w:rFonts w:hint="eastAsia"/>
        </w:rPr>
        <w:t>萬元</w:t>
      </w:r>
      <w:r>
        <w:rPr>
          <w:rFonts w:hint="eastAsia"/>
        </w:rPr>
        <w:t>(詳表1)</w:t>
      </w:r>
      <w:r w:rsidRPr="00CC629F">
        <w:rPr>
          <w:rFonts w:hint="eastAsia"/>
        </w:rPr>
        <w:t>。</w:t>
      </w:r>
    </w:p>
    <w:p w14:paraId="22405224" w14:textId="77777777" w:rsidR="00EB546F" w:rsidRDefault="00EB546F" w:rsidP="00ED14D7">
      <w:pPr>
        <w:pStyle w:val="a7"/>
        <w:ind w:leftChars="101" w:left="1134" w:hangingChars="299" w:hanging="848"/>
        <w:rPr>
          <w:snapToGrid/>
          <w:sz w:val="24"/>
          <w:szCs w:val="24"/>
        </w:rPr>
      </w:pPr>
      <w:r>
        <w:rPr>
          <w:rFonts w:hint="eastAsia"/>
          <w:b/>
          <w:snapToGrid/>
        </w:rPr>
        <w:t xml:space="preserve">表1  </w:t>
      </w:r>
      <w:r w:rsidRPr="00CC629F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13</w:t>
      </w:r>
      <w:r w:rsidRPr="00CC629F">
        <w:rPr>
          <w:rFonts w:hint="eastAsia"/>
          <w:b/>
          <w:snapToGrid/>
        </w:rPr>
        <w:t>年度國防部所屬「</w:t>
      </w:r>
      <w:r>
        <w:rPr>
          <w:rFonts w:hint="eastAsia"/>
          <w:b/>
          <w:snapToGrid/>
        </w:rPr>
        <w:t>後勤及通資</w:t>
      </w:r>
      <w:r w:rsidRPr="00CC629F">
        <w:rPr>
          <w:rFonts w:hint="eastAsia"/>
          <w:b/>
          <w:snapToGrid/>
        </w:rPr>
        <w:t>業務」</w:t>
      </w:r>
      <w:r>
        <w:rPr>
          <w:rFonts w:hint="eastAsia"/>
          <w:b/>
          <w:snapToGrid/>
        </w:rPr>
        <w:t>計畫下油料採購</w:t>
      </w:r>
      <w:r w:rsidRPr="00ED14D7">
        <w:rPr>
          <w:rFonts w:hint="eastAsia"/>
          <w:b/>
          <w:snapToGrid/>
        </w:rPr>
        <w:t>預算執行情形表</w:t>
      </w:r>
      <w:r>
        <w:rPr>
          <w:rFonts w:hint="eastAsia"/>
          <w:b/>
          <w:snapToGrid/>
        </w:rPr>
        <w:t xml:space="preserve">                        </w:t>
      </w:r>
      <w:r w:rsidRPr="00BE33DE">
        <w:rPr>
          <w:rFonts w:hint="eastAsia"/>
          <w:snapToGrid/>
          <w:sz w:val="24"/>
          <w:szCs w:val="24"/>
        </w:rPr>
        <w:t>單位：新臺幣千元</w:t>
      </w:r>
      <w:r>
        <w:rPr>
          <w:rFonts w:hint="eastAsia"/>
          <w:snapToGrid/>
          <w:sz w:val="24"/>
          <w:szCs w:val="24"/>
        </w:rPr>
        <w:t>，%</w:t>
      </w:r>
    </w:p>
    <w:tbl>
      <w:tblPr>
        <w:tblW w:w="4714" w:type="pct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3829"/>
        <w:gridCol w:w="2974"/>
      </w:tblGrid>
      <w:tr w:rsidR="00EB546F" w14:paraId="5CD7111F" w14:textId="77777777" w:rsidTr="008F0DB8">
        <w:trPr>
          <w:trHeight w:val="500"/>
          <w:tblHeader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BEFBE" w14:textId="77777777" w:rsidR="00EB546F" w:rsidRDefault="00EB546F" w:rsidP="008F0DB8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項              目</w:t>
            </w:r>
          </w:p>
        </w:tc>
        <w:tc>
          <w:tcPr>
            <w:tcW w:w="18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1491C7F" w14:textId="77777777" w:rsidR="00EB546F" w:rsidRDefault="00EB546F" w:rsidP="008F0DB8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金       額</w:t>
            </w:r>
          </w:p>
        </w:tc>
      </w:tr>
      <w:tr w:rsidR="00EB546F" w14:paraId="3529A34C" w14:textId="77777777" w:rsidTr="008F0DB8">
        <w:trPr>
          <w:trHeight w:val="260"/>
        </w:trPr>
        <w:tc>
          <w:tcPr>
            <w:tcW w:w="862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8BC10" w14:textId="77777777" w:rsidR="00EB546F" w:rsidRDefault="00EB546F" w:rsidP="007459DE">
            <w:pPr>
              <w:pStyle w:val="142"/>
              <w:jc w:val="center"/>
              <w:rPr>
                <w:rFonts w:hAnsi="標楷體"/>
              </w:rPr>
            </w:pPr>
            <w:r>
              <w:t>可用預算數</w:t>
            </w: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37792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原編預算數(A)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0DEF9FF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Cs/>
                <w:sz w:val="24"/>
                <w:szCs w:val="24"/>
              </w:rPr>
            </w:pPr>
            <w:r>
              <w:rPr>
                <w:rFonts w:hAnsi="標楷體" w:cs="Arial" w:hint="eastAsia"/>
                <w:sz w:val="24"/>
                <w:szCs w:val="24"/>
              </w:rPr>
              <w:t>11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 w:hint="eastAsia"/>
                <w:sz w:val="24"/>
                <w:szCs w:val="24"/>
              </w:rPr>
              <w:t>000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 w:hint="eastAsia"/>
                <w:sz w:val="24"/>
                <w:szCs w:val="24"/>
              </w:rPr>
              <w:t>000</w:t>
            </w:r>
          </w:p>
        </w:tc>
      </w:tr>
      <w:tr w:rsidR="00EB546F" w14:paraId="6989825C" w14:textId="77777777" w:rsidTr="008F0DB8">
        <w:trPr>
          <w:trHeight w:val="222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A7799" w14:textId="77777777" w:rsidR="00EB546F" w:rsidRDefault="00EB546F" w:rsidP="004B2C5B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AEC05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動支第一預備金(</w:t>
            </w:r>
            <w:r>
              <w:rPr>
                <w:rFonts w:hAnsi="標楷體"/>
              </w:rPr>
              <w:t>B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ABD4194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cs="Arial" w:hint="eastAsia"/>
                <w:sz w:val="24"/>
                <w:szCs w:val="24"/>
              </w:rPr>
              <w:t>814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 w:hint="eastAsia"/>
                <w:sz w:val="24"/>
                <w:szCs w:val="24"/>
              </w:rPr>
              <w:t>000</w:t>
            </w:r>
          </w:p>
        </w:tc>
      </w:tr>
      <w:tr w:rsidR="00EB546F" w14:paraId="3EAD969C" w14:textId="77777777" w:rsidTr="008F0DB8">
        <w:trPr>
          <w:trHeight w:val="212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AFB15" w14:textId="77777777" w:rsidR="00EB546F" w:rsidRDefault="00EB546F" w:rsidP="004B2C5B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F318A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動支第二預備金(</w:t>
            </w:r>
            <w:r>
              <w:rPr>
                <w:rFonts w:hAnsi="標楷體"/>
              </w:rPr>
              <w:t>C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AFC5DF6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cs="Arial" w:hint="eastAsia"/>
                <w:sz w:val="24"/>
                <w:szCs w:val="24"/>
              </w:rPr>
              <w:t>1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 w:hint="eastAsia"/>
                <w:sz w:val="24"/>
                <w:szCs w:val="24"/>
              </w:rPr>
              <w:t>660</w:t>
            </w:r>
            <w:r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 w:hint="eastAsia"/>
                <w:sz w:val="24"/>
                <w:szCs w:val="24"/>
              </w:rPr>
              <w:t>000</w:t>
            </w:r>
          </w:p>
        </w:tc>
      </w:tr>
      <w:tr w:rsidR="00EB546F" w14:paraId="782378B3" w14:textId="77777777" w:rsidTr="008F0DB8">
        <w:trPr>
          <w:trHeight w:val="6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7BC69" w14:textId="77777777" w:rsidR="00EB546F" w:rsidRDefault="00EB546F" w:rsidP="004B2C5B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23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3C48A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合計(</w:t>
            </w:r>
            <w:r>
              <w:rPr>
                <w:rFonts w:hAnsi="標楷體"/>
              </w:rPr>
              <w:t>D</w:t>
            </w:r>
            <w:r>
              <w:rPr>
                <w:rFonts w:hAnsi="標楷體" w:hint="eastAsia"/>
              </w:rPr>
              <w:t>=A+B+C)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A17A50A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bCs/>
                <w:sz w:val="24"/>
                <w:szCs w:val="24"/>
              </w:rPr>
            </w:pPr>
            <w:r>
              <w:rPr>
                <w:rFonts w:hAnsi="標楷體" w:cs="Arial"/>
                <w:sz w:val="24"/>
                <w:szCs w:val="24"/>
              </w:rPr>
              <w:t>13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/>
                <w:sz w:val="24"/>
                <w:szCs w:val="24"/>
              </w:rPr>
              <w:t>474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/>
                <w:sz w:val="24"/>
                <w:szCs w:val="24"/>
              </w:rPr>
              <w:t>000</w:t>
            </w:r>
          </w:p>
        </w:tc>
      </w:tr>
      <w:tr w:rsidR="00EB546F" w14:paraId="41B764F1" w14:textId="77777777" w:rsidTr="006D5A40">
        <w:trPr>
          <w:trHeight w:val="60"/>
        </w:trPr>
        <w:tc>
          <w:tcPr>
            <w:tcW w:w="3191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A65D7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決算數(</w:t>
            </w:r>
            <w:r>
              <w:rPr>
                <w:rFonts w:hAnsi="標楷體"/>
              </w:rPr>
              <w:t>E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81917D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sz w:val="24"/>
                <w:szCs w:val="24"/>
              </w:rPr>
            </w:pPr>
            <w:r>
              <w:rPr>
                <w:rFonts w:hAnsi="標楷體" w:cs="Arial"/>
                <w:sz w:val="24"/>
                <w:szCs w:val="24"/>
              </w:rPr>
              <w:t>13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/>
                <w:sz w:val="24"/>
                <w:szCs w:val="24"/>
              </w:rPr>
              <w:t>474</w:t>
            </w:r>
            <w:r w:rsidRPr="008F0DB8">
              <w:rPr>
                <w:rFonts w:hAnsi="標楷體" w:cs="Arial"/>
                <w:sz w:val="24"/>
                <w:szCs w:val="24"/>
              </w:rPr>
              <w:t>,</w:t>
            </w:r>
            <w:r>
              <w:rPr>
                <w:rFonts w:hAnsi="標楷體" w:cs="Arial"/>
                <w:sz w:val="24"/>
                <w:szCs w:val="24"/>
              </w:rPr>
              <w:t>000</w:t>
            </w:r>
          </w:p>
        </w:tc>
      </w:tr>
      <w:tr w:rsidR="00EB546F" w14:paraId="38D56883" w14:textId="77777777" w:rsidTr="006D5A40">
        <w:trPr>
          <w:trHeight w:val="60"/>
        </w:trPr>
        <w:tc>
          <w:tcPr>
            <w:tcW w:w="3191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84732" w14:textId="77777777" w:rsidR="00EB546F" w:rsidRDefault="00EB546F" w:rsidP="004B2C5B">
            <w:pPr>
              <w:pStyle w:val="142"/>
              <w:ind w:left="567" w:hanging="567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執行率(</w:t>
            </w:r>
            <w:r>
              <w:rPr>
                <w:rFonts w:hAnsi="標楷體"/>
              </w:rPr>
              <w:t>F</w:t>
            </w:r>
            <w:r>
              <w:rPr>
                <w:rFonts w:hAnsi="標楷體" w:hint="eastAsia"/>
              </w:rPr>
              <w:t>)=(</w:t>
            </w:r>
            <w:r>
              <w:rPr>
                <w:rFonts w:hAnsi="標楷體"/>
              </w:rPr>
              <w:t>E</w:t>
            </w:r>
            <w:r>
              <w:rPr>
                <w:rFonts w:hAnsi="標楷體" w:hint="eastAsia"/>
              </w:rPr>
              <w:t>)/(</w:t>
            </w:r>
            <w:r>
              <w:rPr>
                <w:rFonts w:hAnsi="標楷體"/>
              </w:rPr>
              <w:t>D</w:t>
            </w:r>
            <w:r>
              <w:rPr>
                <w:rFonts w:hAnsi="標楷體" w:hint="eastAsia"/>
              </w:rPr>
              <w:t>)</w:t>
            </w:r>
          </w:p>
        </w:tc>
        <w:tc>
          <w:tcPr>
            <w:tcW w:w="1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C0143E" w14:textId="77777777" w:rsidR="00EB546F" w:rsidRPr="008F0DB8" w:rsidRDefault="00EB546F" w:rsidP="004B2C5B">
            <w:pPr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 w:cs="Arial"/>
                <w:sz w:val="24"/>
                <w:szCs w:val="24"/>
              </w:rPr>
            </w:pPr>
            <w:r>
              <w:rPr>
                <w:rFonts w:hAnsi="標楷體" w:cs="Arial" w:hint="eastAsia"/>
                <w:sz w:val="24"/>
                <w:szCs w:val="24"/>
              </w:rPr>
              <w:t>100.0</w:t>
            </w:r>
          </w:p>
        </w:tc>
      </w:tr>
    </w:tbl>
    <w:p w14:paraId="6E174932" w14:textId="77777777" w:rsidR="00EB546F" w:rsidRDefault="00EB546F" w:rsidP="00100B6B">
      <w:pPr>
        <w:pStyle w:val="142"/>
      </w:pPr>
      <w:r w:rsidRPr="00CC629F">
        <w:rPr>
          <w:rFonts w:hint="eastAsia"/>
        </w:rPr>
        <w:t xml:space="preserve">  資料來源</w:t>
      </w:r>
      <w:r>
        <w:rPr>
          <w:rFonts w:hint="eastAsia"/>
        </w:rPr>
        <w:t>：</w:t>
      </w:r>
      <w:r w:rsidRPr="00CC629F">
        <w:rPr>
          <w:rFonts w:hint="eastAsia"/>
        </w:rPr>
        <w:t>國防部所屬。</w:t>
      </w:r>
    </w:p>
    <w:p w14:paraId="0E5FFAAE" w14:textId="77777777" w:rsidR="00EB546F" w:rsidRDefault="00EB546F" w:rsidP="003C00C8">
      <w:pPr>
        <w:pStyle w:val="a7"/>
        <w:ind w:left="849" w:hanging="283"/>
        <w:rPr>
          <w:bCs/>
          <w:szCs w:val="20"/>
        </w:rPr>
      </w:pPr>
      <w:r w:rsidRPr="00CC629F">
        <w:rPr>
          <w:rFonts w:hAnsi="標楷體" w:hint="eastAsia"/>
          <w:b/>
          <w:bCs/>
          <w:szCs w:val="20"/>
        </w:rPr>
        <w:t>(三)執行情形:</w:t>
      </w:r>
      <w:r>
        <w:rPr>
          <w:rFonts w:hint="eastAsia"/>
        </w:rPr>
        <w:t>行政院於11</w:t>
      </w:r>
      <w:r>
        <w:t>3</w:t>
      </w:r>
      <w:r>
        <w:rPr>
          <w:rFonts w:hint="eastAsia"/>
        </w:rPr>
        <w:t>年12月3</w:t>
      </w:r>
      <w:r>
        <w:t>0</w:t>
      </w:r>
      <w:r>
        <w:rPr>
          <w:rFonts w:hint="eastAsia"/>
        </w:rPr>
        <w:t>日核定</w:t>
      </w:r>
      <w:r w:rsidRPr="00CC629F">
        <w:rPr>
          <w:rFonts w:hint="eastAsia"/>
        </w:rPr>
        <w:t>動支第二預備金</w:t>
      </w:r>
      <w:r>
        <w:t>16</w:t>
      </w:r>
      <w:r w:rsidRPr="00CC629F">
        <w:rPr>
          <w:rFonts w:hint="eastAsia"/>
        </w:rPr>
        <w:t>億</w:t>
      </w:r>
      <w:r>
        <w:rPr>
          <w:rFonts w:hint="eastAsia"/>
        </w:rPr>
        <w:t>6</w:t>
      </w:r>
      <w:r w:rsidRPr="00CC629F">
        <w:rPr>
          <w:rFonts w:hint="eastAsia"/>
        </w:rPr>
        <w:t>,</w:t>
      </w:r>
      <w:r>
        <w:t>000</w:t>
      </w:r>
      <w:r w:rsidRPr="00CC629F">
        <w:rPr>
          <w:rFonts w:hint="eastAsia"/>
        </w:rPr>
        <w:t>萬元</w:t>
      </w:r>
      <w:r>
        <w:rPr>
          <w:rFonts w:hint="eastAsia"/>
        </w:rPr>
        <w:t>，全數執行完畢</w:t>
      </w:r>
      <w:r w:rsidRPr="00CC629F">
        <w:rPr>
          <w:rFonts w:hint="eastAsia"/>
        </w:rPr>
        <w:t>。</w:t>
      </w:r>
      <w:r>
        <w:rPr>
          <w:rFonts w:hint="eastAsia"/>
        </w:rPr>
        <w:t>另</w:t>
      </w:r>
      <w:r w:rsidRPr="00C94F7B">
        <w:rPr>
          <w:rFonts w:hint="eastAsia"/>
          <w:bCs/>
          <w:szCs w:val="20"/>
        </w:rPr>
        <w:t>本案申請動支第二預備金數</w:t>
      </w:r>
      <w:r w:rsidRPr="00C94F7B">
        <w:rPr>
          <w:rFonts w:hint="eastAsia"/>
          <w:bCs/>
          <w:szCs w:val="20"/>
        </w:rPr>
        <w:lastRenderedPageBreak/>
        <w:t>額超過5,000萬元，行政院業依</w:t>
      </w:r>
      <w:r w:rsidRPr="00CC629F">
        <w:rPr>
          <w:rFonts w:hint="eastAsia"/>
          <w:bCs/>
          <w:szCs w:val="20"/>
        </w:rPr>
        <w:t>預算法第22條第3項規定，</w:t>
      </w:r>
      <w:r>
        <w:rPr>
          <w:rFonts w:hint="eastAsia"/>
          <w:bCs/>
          <w:szCs w:val="20"/>
        </w:rPr>
        <w:t>先</w:t>
      </w:r>
      <w:r w:rsidRPr="00CC629F">
        <w:rPr>
          <w:rFonts w:hint="eastAsia"/>
          <w:bCs/>
          <w:szCs w:val="20"/>
        </w:rPr>
        <w:t>於</w:t>
      </w:r>
      <w:r>
        <w:rPr>
          <w:rFonts w:hint="eastAsia"/>
          <w:bCs/>
          <w:szCs w:val="20"/>
        </w:rPr>
        <w:t>11</w:t>
      </w:r>
      <w:r>
        <w:rPr>
          <w:bCs/>
          <w:szCs w:val="20"/>
        </w:rPr>
        <w:t>3</w:t>
      </w:r>
      <w:r w:rsidRPr="00CC629F">
        <w:rPr>
          <w:rFonts w:hint="eastAsia"/>
          <w:bCs/>
          <w:szCs w:val="20"/>
        </w:rPr>
        <w:t>年1</w:t>
      </w:r>
      <w:r>
        <w:rPr>
          <w:rFonts w:hint="eastAsia"/>
          <w:bCs/>
          <w:szCs w:val="20"/>
        </w:rPr>
        <w:t>2</w:t>
      </w:r>
      <w:r w:rsidRPr="00CC629F">
        <w:rPr>
          <w:rFonts w:hint="eastAsia"/>
          <w:bCs/>
          <w:szCs w:val="20"/>
        </w:rPr>
        <w:t>月</w:t>
      </w:r>
      <w:r>
        <w:rPr>
          <w:rFonts w:hint="eastAsia"/>
          <w:bCs/>
          <w:szCs w:val="20"/>
        </w:rPr>
        <w:t>2</w:t>
      </w:r>
      <w:r>
        <w:rPr>
          <w:bCs/>
          <w:szCs w:val="20"/>
        </w:rPr>
        <w:t>7</w:t>
      </w:r>
      <w:r w:rsidRPr="00CC629F">
        <w:rPr>
          <w:rFonts w:hint="eastAsia"/>
          <w:bCs/>
          <w:szCs w:val="20"/>
        </w:rPr>
        <w:t>日函送本院備查。</w:t>
      </w:r>
    </w:p>
    <w:p w14:paraId="13208DE6" w14:textId="77777777" w:rsidR="00EB546F" w:rsidRDefault="00EB546F" w:rsidP="00066E39">
      <w:pPr>
        <w:pStyle w:val="a7"/>
        <w:ind w:left="1133" w:hangingChars="200" w:hanging="567"/>
        <w:rPr>
          <w:rFonts w:hAnsi="標楷體"/>
          <w:b/>
        </w:rPr>
      </w:pPr>
      <w:r w:rsidRPr="00CC629F">
        <w:rPr>
          <w:rFonts w:hAnsi="標楷體" w:hint="eastAsia"/>
          <w:b/>
        </w:rPr>
        <w:t>(四)評估意見：</w:t>
      </w:r>
    </w:p>
    <w:p w14:paraId="62F07C3B" w14:textId="77777777" w:rsidR="00EB546F" w:rsidRDefault="00EB546F" w:rsidP="00843960">
      <w:pPr>
        <w:pStyle w:val="a7"/>
        <w:ind w:leftChars="300" w:left="1133" w:hanging="283"/>
        <w:rPr>
          <w:rFonts w:hAnsi="標楷體"/>
        </w:rPr>
      </w:pPr>
      <w:r w:rsidRPr="00843960">
        <w:rPr>
          <w:rFonts w:hint="eastAsia"/>
        </w:rPr>
        <w:t>1.</w:t>
      </w:r>
      <w:r w:rsidRPr="000308A4">
        <w:rPr>
          <w:rFonts w:hAnsi="標楷體" w:hint="eastAsia"/>
        </w:rPr>
        <w:t>為讓國人及國際瞭解中國武嚇作為，國防部自109年9月起在官網設置「即時軍事動態」並每日公布</w:t>
      </w:r>
      <w:r w:rsidRPr="000308A4">
        <w:rPr>
          <w:rFonts w:hAnsi="標楷體"/>
        </w:rPr>
        <w:t>臺海周邊</w:t>
      </w:r>
      <w:r w:rsidRPr="000308A4">
        <w:rPr>
          <w:rFonts w:hAnsi="標楷體" w:hint="eastAsia"/>
          <w:spacing w:val="-10"/>
        </w:rPr>
        <w:t>海空域偵獲共機(艦)</w:t>
      </w:r>
      <w:r w:rsidRPr="000308A4">
        <w:rPr>
          <w:rFonts w:hAnsi="標楷體"/>
        </w:rPr>
        <w:t>動態</w:t>
      </w:r>
      <w:r>
        <w:rPr>
          <w:rFonts w:hAnsi="標楷體"/>
        </w:rPr>
        <w:t>。</w:t>
      </w:r>
      <w:r w:rsidRPr="000308A4">
        <w:rPr>
          <w:rFonts w:hAnsi="標楷體"/>
        </w:rPr>
        <w:t>據國防部統計資料，</w:t>
      </w:r>
      <w:r w:rsidRPr="000308A4">
        <w:rPr>
          <w:rFonts w:hAnsi="標楷體" w:hint="eastAsia"/>
        </w:rPr>
        <w:t>11</w:t>
      </w:r>
      <w:r>
        <w:rPr>
          <w:rFonts w:hAnsi="標楷體"/>
        </w:rPr>
        <w:t>3</w:t>
      </w:r>
      <w:r w:rsidRPr="000308A4">
        <w:rPr>
          <w:rFonts w:hAnsi="標楷體" w:hint="eastAsia"/>
        </w:rPr>
        <w:t>年度偵獲共機</w:t>
      </w:r>
      <w:r>
        <w:rPr>
          <w:rFonts w:hAnsi="標楷體"/>
        </w:rPr>
        <w:t>5</w:t>
      </w:r>
      <w:r>
        <w:rPr>
          <w:rFonts w:hAnsi="標楷體" w:hint="eastAsia"/>
        </w:rPr>
        <w:t>,</w:t>
      </w:r>
      <w:r>
        <w:rPr>
          <w:rFonts w:hAnsi="標楷體"/>
        </w:rPr>
        <w:t>105</w:t>
      </w:r>
      <w:r w:rsidRPr="000308A4">
        <w:rPr>
          <w:rFonts w:hAnsi="標楷體" w:hint="eastAsia"/>
        </w:rPr>
        <w:t>架次</w:t>
      </w:r>
      <w:r>
        <w:rPr>
          <w:rFonts w:hAnsi="標楷體" w:hint="eastAsia"/>
        </w:rPr>
        <w:t>、共艦2</w:t>
      </w:r>
      <w:r>
        <w:rPr>
          <w:rFonts w:hAnsi="標楷體"/>
        </w:rPr>
        <w:t>,501</w:t>
      </w:r>
      <w:r>
        <w:rPr>
          <w:rFonts w:hAnsi="標楷體" w:hint="eastAsia"/>
        </w:rPr>
        <w:t>艘次，較11</w:t>
      </w:r>
      <w:r>
        <w:rPr>
          <w:rFonts w:hAnsi="標楷體"/>
        </w:rPr>
        <w:t>2</w:t>
      </w:r>
      <w:r>
        <w:rPr>
          <w:rFonts w:hAnsi="標楷體" w:hint="eastAsia"/>
        </w:rPr>
        <w:t>年度之</w:t>
      </w:r>
      <w:r>
        <w:rPr>
          <w:rFonts w:hAnsi="標楷體"/>
        </w:rPr>
        <w:t>4,714</w:t>
      </w:r>
      <w:r>
        <w:rPr>
          <w:rFonts w:hAnsi="標楷體" w:hint="eastAsia"/>
        </w:rPr>
        <w:t>架次及1</w:t>
      </w:r>
      <w:r>
        <w:rPr>
          <w:rFonts w:hAnsi="標楷體"/>
        </w:rPr>
        <w:t>,915</w:t>
      </w:r>
      <w:r>
        <w:rPr>
          <w:rFonts w:hAnsi="標楷體" w:hint="eastAsia"/>
        </w:rPr>
        <w:t>艘次，分別增加3</w:t>
      </w:r>
      <w:r>
        <w:rPr>
          <w:rFonts w:hAnsi="標楷體"/>
        </w:rPr>
        <w:t>91</w:t>
      </w:r>
      <w:r>
        <w:rPr>
          <w:rFonts w:hAnsi="標楷體" w:hint="eastAsia"/>
        </w:rPr>
        <w:t>架次及5</w:t>
      </w:r>
      <w:r>
        <w:rPr>
          <w:rFonts w:hAnsi="標楷體"/>
        </w:rPr>
        <w:t>86</w:t>
      </w:r>
      <w:r>
        <w:rPr>
          <w:rFonts w:hAnsi="標楷體" w:hint="eastAsia"/>
        </w:rPr>
        <w:t>艘次，增幅8</w:t>
      </w:r>
      <w:r>
        <w:rPr>
          <w:rFonts w:hAnsi="標楷體"/>
        </w:rPr>
        <w:t>.29%</w:t>
      </w:r>
      <w:r>
        <w:rPr>
          <w:rFonts w:hAnsi="標楷體" w:hint="eastAsia"/>
        </w:rPr>
        <w:t>及</w:t>
      </w:r>
      <w:r>
        <w:rPr>
          <w:rFonts w:hAnsi="標楷體"/>
        </w:rPr>
        <w:t>30.6</w:t>
      </w:r>
      <w:r>
        <w:rPr>
          <w:rFonts w:hAnsi="標楷體" w:hint="eastAsia"/>
        </w:rPr>
        <w:t>%。</w:t>
      </w:r>
    </w:p>
    <w:p w14:paraId="3EDACECE" w14:textId="77777777" w:rsidR="00EB546F" w:rsidRDefault="00EB546F" w:rsidP="00017DA3">
      <w:pPr>
        <w:pStyle w:val="a7"/>
        <w:ind w:leftChars="300" w:left="1133" w:hanging="283"/>
      </w:pPr>
      <w:r>
        <w:rPr>
          <w:rFonts w:hint="eastAsia"/>
        </w:rPr>
        <w:t>2.受年度中共機艦擾台頻次加劇及油價上漲等</w:t>
      </w:r>
      <w:r w:rsidRPr="00CC629F">
        <w:rPr>
          <w:rFonts w:hint="eastAsia"/>
        </w:rPr>
        <w:t>因素</w:t>
      </w:r>
      <w:r>
        <w:rPr>
          <w:rFonts w:hint="eastAsia"/>
        </w:rPr>
        <w:t>影響，海空軍油料耗用較11</w:t>
      </w:r>
      <w:r>
        <w:t>2</w:t>
      </w:r>
      <w:r>
        <w:rPr>
          <w:rFonts w:hint="eastAsia"/>
        </w:rPr>
        <w:t>年度同期增加</w:t>
      </w:r>
      <w:r w:rsidRPr="00CC629F">
        <w:rPr>
          <w:rFonts w:hint="eastAsia"/>
        </w:rPr>
        <w:t>，</w:t>
      </w:r>
      <w:r>
        <w:rPr>
          <w:rFonts w:hint="eastAsia"/>
        </w:rPr>
        <w:t>國防部所屬</w:t>
      </w:r>
      <w:r>
        <w:rPr>
          <w:rFonts w:hAnsi="標楷體" w:hint="eastAsia"/>
        </w:rPr>
        <w:t>11</w:t>
      </w:r>
      <w:r>
        <w:rPr>
          <w:rFonts w:hAnsi="標楷體"/>
        </w:rPr>
        <w:t>3</w:t>
      </w:r>
      <w:r>
        <w:rPr>
          <w:rFonts w:hAnsi="標楷體" w:hint="eastAsia"/>
        </w:rPr>
        <w:t>年度各式裝備油料採購預算不敷而動支第二預備金，與預算法第70條第2款「</w:t>
      </w:r>
      <w:r w:rsidRPr="00BA71F1">
        <w:rPr>
          <w:rFonts w:hAnsi="標楷體" w:hint="eastAsia"/>
        </w:rPr>
        <w:t>原列計畫費用因增加業務量致增加經費時</w:t>
      </w:r>
      <w:r>
        <w:rPr>
          <w:rFonts w:hAnsi="標楷體" w:hint="eastAsia"/>
        </w:rPr>
        <w:t>」之動支規定尚無不符。</w:t>
      </w:r>
    </w:p>
    <w:p w14:paraId="6B3C99D6" w14:textId="77777777" w:rsidR="00EB546F" w:rsidRPr="008628EA" w:rsidRDefault="00EB546F" w:rsidP="008628EA">
      <w:pPr>
        <w:pStyle w:val="ae"/>
        <w:rPr>
          <w:rFonts w:hAnsi="標楷體"/>
        </w:rPr>
      </w:pPr>
      <w:r w:rsidRPr="008316C5">
        <w:rPr>
          <w:rFonts w:hint="eastAsia"/>
        </w:rPr>
        <w:t>（分機：</w:t>
      </w:r>
      <w:r>
        <w:rPr>
          <w:rFonts w:hint="eastAsia"/>
        </w:rPr>
        <w:t>1924</w:t>
      </w:r>
      <w:r w:rsidRPr="008316C5">
        <w:rPr>
          <w:rFonts w:hint="eastAsia"/>
        </w:rPr>
        <w:t xml:space="preserve"> </w:t>
      </w:r>
      <w:r>
        <w:rPr>
          <w:rFonts w:hint="eastAsia"/>
        </w:rPr>
        <w:t>曾文煌</w:t>
      </w:r>
      <w:r w:rsidRPr="008316C5">
        <w:rPr>
          <w:rFonts w:hint="eastAsia"/>
        </w:rPr>
        <w:t>）</w:t>
      </w:r>
    </w:p>
    <w:sectPr w:rsidR="00EB546F" w:rsidRPr="008628EA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A5420A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637E17A5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A5420A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A5420A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A5420A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A5420A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A5420A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A5420A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A5420A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BBDB8-9CBE-422C-BD07-40014E46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922</Characters>
  <Application>Microsoft Office Word</Application>
  <DocSecurity>0</DocSecurity>
  <Lines>7</Lines>
  <Paragraphs>2</Paragraphs>
  <ScaleCrop>false</ScaleCrop>
  <Company>HOME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2025-04-07T03:30:00Z</dcterms:created>
  <dcterms:modified xsi:type="dcterms:W3CDTF">2025-04-07T03:30:00Z</dcterms:modified>
</cp:coreProperties>
</file>